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BF" w:rsidRPr="00E077B5" w:rsidRDefault="00E077B5" w:rsidP="00C87F2C">
      <w:pPr>
        <w:jc w:val="center"/>
        <w:rPr>
          <w:rFonts w:asciiTheme="minorHAnsi" w:hAnsiTheme="minorHAnsi" w:cstheme="minorHAnsi"/>
          <w:b/>
        </w:rPr>
      </w:pPr>
      <w:bookmarkStart w:id="0" w:name="_GoBack"/>
      <w:bookmarkEnd w:id="0"/>
      <w:r w:rsidRPr="00E077B5">
        <w:rPr>
          <w:rFonts w:asciiTheme="minorHAnsi" w:hAnsiTheme="minorHAnsi" w:cstheme="minorHAnsi"/>
          <w:b/>
        </w:rPr>
        <w:t>Diminished responsibility: no defence without evidence</w:t>
      </w:r>
    </w:p>
    <w:p w:rsidR="002956BF" w:rsidRPr="00E077B5" w:rsidRDefault="002956BF" w:rsidP="00C87F2C">
      <w:pPr>
        <w:jc w:val="center"/>
        <w:rPr>
          <w:rFonts w:asciiTheme="minorHAnsi" w:hAnsiTheme="minorHAnsi" w:cstheme="minorHAnsi"/>
          <w:b/>
        </w:rPr>
      </w:pPr>
    </w:p>
    <w:p w:rsidR="003B5812" w:rsidRPr="00C87F2C" w:rsidRDefault="003B5812" w:rsidP="00C87F2C">
      <w:pPr>
        <w:jc w:val="center"/>
        <w:rPr>
          <w:rFonts w:asciiTheme="minorHAnsi" w:eastAsia="Calibri" w:hAnsiTheme="minorHAnsi" w:cstheme="minorHAnsi"/>
        </w:rPr>
      </w:pPr>
      <w:r w:rsidRPr="00C87F2C">
        <w:rPr>
          <w:rFonts w:asciiTheme="minorHAnsi" w:hAnsiTheme="minorHAnsi" w:cstheme="minorHAnsi"/>
          <w:bCs/>
          <w:i/>
        </w:rPr>
        <w:t xml:space="preserve">R v Bunch </w:t>
      </w:r>
      <w:r w:rsidRPr="00C87F2C">
        <w:rPr>
          <w:rFonts w:asciiTheme="minorHAnsi" w:eastAsia="Calibri" w:hAnsiTheme="minorHAnsi" w:cstheme="minorHAnsi"/>
        </w:rPr>
        <w:t xml:space="preserve">[2013] EWCA </w:t>
      </w:r>
      <w:proofErr w:type="spellStart"/>
      <w:r w:rsidRPr="00C87F2C">
        <w:rPr>
          <w:rFonts w:asciiTheme="minorHAnsi" w:eastAsia="Calibri" w:hAnsiTheme="minorHAnsi" w:cstheme="minorHAnsi"/>
        </w:rPr>
        <w:t>Crim</w:t>
      </w:r>
      <w:proofErr w:type="spellEnd"/>
      <w:r w:rsidRPr="00C87F2C">
        <w:rPr>
          <w:rFonts w:asciiTheme="minorHAnsi" w:eastAsia="Calibri" w:hAnsiTheme="minorHAnsi" w:cstheme="minorHAnsi"/>
        </w:rPr>
        <w:t xml:space="preserve"> 2498</w:t>
      </w:r>
    </w:p>
    <w:p w:rsidR="002956BF" w:rsidRPr="00E077B5" w:rsidRDefault="002956BF" w:rsidP="00C87F2C">
      <w:pPr>
        <w:jc w:val="center"/>
        <w:rPr>
          <w:rFonts w:asciiTheme="minorHAnsi" w:hAnsiTheme="minorHAnsi" w:cstheme="minorHAnsi"/>
          <w:bCs/>
        </w:rPr>
      </w:pPr>
    </w:p>
    <w:p w:rsidR="002956BF" w:rsidRPr="00E077B5" w:rsidRDefault="002956BF" w:rsidP="00C87F2C">
      <w:pPr>
        <w:jc w:val="center"/>
        <w:rPr>
          <w:rFonts w:asciiTheme="minorHAnsi" w:hAnsiTheme="minorHAnsi" w:cstheme="minorHAnsi"/>
        </w:rPr>
      </w:pPr>
      <w:r w:rsidRPr="00C87F2C">
        <w:rPr>
          <w:rFonts w:asciiTheme="minorHAnsi" w:hAnsiTheme="minorHAnsi" w:cstheme="minorHAnsi"/>
          <w:i/>
        </w:rPr>
        <w:t>Keywords</w:t>
      </w:r>
      <w:r w:rsidRPr="00E077B5">
        <w:rPr>
          <w:rFonts w:asciiTheme="minorHAnsi" w:hAnsiTheme="minorHAnsi" w:cstheme="minorHAnsi"/>
          <w:b/>
        </w:rPr>
        <w:t xml:space="preserve">: </w:t>
      </w:r>
      <w:r w:rsidR="00FE0EB7" w:rsidRPr="00E077B5">
        <w:rPr>
          <w:rFonts w:asciiTheme="minorHAnsi" w:hAnsiTheme="minorHAnsi" w:cstheme="minorHAnsi"/>
        </w:rPr>
        <w:t xml:space="preserve">Murder; </w:t>
      </w:r>
      <w:r w:rsidR="009B07C6" w:rsidRPr="00E077B5">
        <w:rPr>
          <w:rFonts w:asciiTheme="minorHAnsi" w:hAnsiTheme="minorHAnsi" w:cstheme="minorHAnsi"/>
        </w:rPr>
        <w:t xml:space="preserve">Amnesia; </w:t>
      </w:r>
      <w:r w:rsidR="003B5812" w:rsidRPr="00E077B5">
        <w:rPr>
          <w:rFonts w:asciiTheme="minorHAnsi" w:hAnsiTheme="minorHAnsi" w:cstheme="minorHAnsi"/>
        </w:rPr>
        <w:t xml:space="preserve">Diminished responsibility; </w:t>
      </w:r>
      <w:r w:rsidR="00FE0EB7" w:rsidRPr="00E077B5">
        <w:rPr>
          <w:rFonts w:asciiTheme="minorHAnsi" w:hAnsiTheme="minorHAnsi" w:cstheme="minorHAnsi"/>
        </w:rPr>
        <w:t>Alcohol dependence syndrome; V</w:t>
      </w:r>
      <w:r w:rsidR="003B5812" w:rsidRPr="00E077B5">
        <w:rPr>
          <w:rFonts w:asciiTheme="minorHAnsi" w:hAnsiTheme="minorHAnsi" w:cstheme="minorHAnsi"/>
        </w:rPr>
        <w:t>oluntary intoxication</w:t>
      </w:r>
    </w:p>
    <w:p w:rsidR="002956BF" w:rsidRPr="00E077B5" w:rsidRDefault="002956BF" w:rsidP="002956BF">
      <w:pPr>
        <w:jc w:val="both"/>
        <w:rPr>
          <w:rFonts w:asciiTheme="minorHAnsi" w:hAnsiTheme="minorHAnsi" w:cstheme="minorHAnsi"/>
          <w:b/>
        </w:rPr>
      </w:pPr>
    </w:p>
    <w:p w:rsidR="003B5812" w:rsidRPr="00E077B5" w:rsidRDefault="003B5812" w:rsidP="003B5812">
      <w:pPr>
        <w:jc w:val="both"/>
        <w:rPr>
          <w:rFonts w:asciiTheme="minorHAnsi" w:hAnsiTheme="minorHAnsi" w:cstheme="minorHAnsi"/>
          <w:lang w:val="en"/>
        </w:rPr>
      </w:pPr>
      <w:r w:rsidRPr="00E077B5">
        <w:rPr>
          <w:rFonts w:asciiTheme="minorHAnsi" w:hAnsiTheme="minorHAnsi" w:cstheme="minorHAnsi"/>
        </w:rPr>
        <w:t xml:space="preserve">Martin Bunch </w:t>
      </w:r>
      <w:r w:rsidR="00945C22" w:rsidRPr="00E077B5">
        <w:rPr>
          <w:rFonts w:asciiTheme="minorHAnsi" w:hAnsiTheme="minorHAnsi" w:cstheme="minorHAnsi"/>
        </w:rPr>
        <w:t xml:space="preserve">(MB) </w:t>
      </w:r>
      <w:r w:rsidRPr="00E077B5">
        <w:rPr>
          <w:rFonts w:asciiTheme="minorHAnsi" w:hAnsiTheme="minorHAnsi" w:cstheme="minorHAnsi"/>
        </w:rPr>
        <w:t xml:space="preserve">and Jeanette Goodwin </w:t>
      </w:r>
      <w:r w:rsidR="00945C22" w:rsidRPr="00E077B5">
        <w:rPr>
          <w:rFonts w:asciiTheme="minorHAnsi" w:hAnsiTheme="minorHAnsi" w:cstheme="minorHAnsi"/>
        </w:rPr>
        <w:t xml:space="preserve">(JG) </w:t>
      </w:r>
      <w:r w:rsidRPr="00E077B5">
        <w:rPr>
          <w:rFonts w:asciiTheme="minorHAnsi" w:hAnsiTheme="minorHAnsi" w:cstheme="minorHAnsi"/>
        </w:rPr>
        <w:t>had an affair which ended in late 2010. From early 2011, however, MB made phone calls and sent text messages to JG in threatening and abusive terms</w:t>
      </w:r>
      <w:r w:rsidRPr="00E077B5">
        <w:rPr>
          <w:rFonts w:asciiTheme="minorHAnsi" w:hAnsiTheme="minorHAnsi" w:cstheme="minorHAnsi"/>
          <w:lang w:val="en"/>
        </w:rPr>
        <w:t xml:space="preserve">. Eventually in July 2011 he went to JG’s home and stabbed her to death with a kitchen knife that he had brought with him. JG was stabbed </w:t>
      </w:r>
      <w:r w:rsidR="00981380" w:rsidRPr="00E077B5">
        <w:rPr>
          <w:rFonts w:asciiTheme="minorHAnsi" w:hAnsiTheme="minorHAnsi" w:cstheme="minorHAnsi"/>
          <w:lang w:val="en"/>
        </w:rPr>
        <w:t>“</w:t>
      </w:r>
      <w:r w:rsidRPr="00E077B5">
        <w:rPr>
          <w:rFonts w:asciiTheme="minorHAnsi" w:hAnsiTheme="minorHAnsi" w:cstheme="minorHAnsi"/>
          <w:lang w:val="en"/>
        </w:rPr>
        <w:t>more than 20 times</w:t>
      </w:r>
      <w:r w:rsidR="00981380" w:rsidRPr="00E077B5">
        <w:rPr>
          <w:rFonts w:asciiTheme="minorHAnsi" w:hAnsiTheme="minorHAnsi" w:cstheme="minorHAnsi"/>
          <w:lang w:val="en"/>
        </w:rPr>
        <w:t>”</w:t>
      </w:r>
      <w:r w:rsidRPr="00E077B5">
        <w:rPr>
          <w:rFonts w:asciiTheme="minorHAnsi" w:hAnsiTheme="minorHAnsi" w:cstheme="minorHAnsi"/>
          <w:lang w:val="en"/>
        </w:rPr>
        <w:t>, principally in the upper chest and arm. MB was charged with murder</w:t>
      </w:r>
      <w:r w:rsidR="00981380" w:rsidRPr="00E077B5">
        <w:rPr>
          <w:rFonts w:asciiTheme="minorHAnsi" w:hAnsiTheme="minorHAnsi" w:cstheme="minorHAnsi"/>
          <w:lang w:val="en"/>
        </w:rPr>
        <w:t xml:space="preserve"> and was tried at Chelmsford Crown Court in August 2012. </w:t>
      </w:r>
      <w:r w:rsidR="00FE0EB7" w:rsidRPr="00E077B5">
        <w:rPr>
          <w:rFonts w:asciiTheme="minorHAnsi" w:hAnsiTheme="minorHAnsi" w:cstheme="minorHAnsi"/>
          <w:lang w:val="en"/>
        </w:rPr>
        <w:t>D</w:t>
      </w:r>
      <w:r w:rsidRPr="00E077B5">
        <w:rPr>
          <w:rFonts w:asciiTheme="minorHAnsi" w:hAnsiTheme="minorHAnsi" w:cstheme="minorHAnsi"/>
          <w:lang w:val="en"/>
        </w:rPr>
        <w:t xml:space="preserve">espite “overwhelming” evidence that MB was the killer, he pleaded not guilty on the basis that </w:t>
      </w:r>
      <w:r w:rsidR="00155346" w:rsidRPr="00E077B5">
        <w:rPr>
          <w:rFonts w:asciiTheme="minorHAnsi" w:hAnsiTheme="minorHAnsi" w:cstheme="minorHAnsi"/>
          <w:lang w:val="en"/>
        </w:rPr>
        <w:t xml:space="preserve">either he was not the killer or, if he was, that </w:t>
      </w:r>
      <w:r w:rsidRPr="00E077B5">
        <w:rPr>
          <w:rFonts w:asciiTheme="minorHAnsi" w:hAnsiTheme="minorHAnsi" w:cstheme="minorHAnsi"/>
          <w:lang w:val="en"/>
        </w:rPr>
        <w:t xml:space="preserve">he had consumed so much alcohol (and </w:t>
      </w:r>
      <w:r w:rsidR="00155346" w:rsidRPr="00E077B5">
        <w:rPr>
          <w:rFonts w:asciiTheme="minorHAnsi" w:hAnsiTheme="minorHAnsi" w:cstheme="minorHAnsi"/>
          <w:lang w:val="en"/>
        </w:rPr>
        <w:t>“</w:t>
      </w:r>
      <w:r w:rsidRPr="00E077B5">
        <w:rPr>
          <w:rFonts w:asciiTheme="minorHAnsi" w:hAnsiTheme="minorHAnsi" w:cstheme="minorHAnsi"/>
          <w:lang w:val="en"/>
        </w:rPr>
        <w:t>some</w:t>
      </w:r>
      <w:r w:rsidR="00155346" w:rsidRPr="00E077B5">
        <w:rPr>
          <w:rFonts w:asciiTheme="minorHAnsi" w:hAnsiTheme="minorHAnsi" w:cstheme="minorHAnsi"/>
          <w:lang w:val="en"/>
        </w:rPr>
        <w:t>”</w:t>
      </w:r>
      <w:r w:rsidRPr="00E077B5">
        <w:rPr>
          <w:rFonts w:asciiTheme="minorHAnsi" w:hAnsiTheme="minorHAnsi" w:cstheme="minorHAnsi"/>
          <w:lang w:val="en"/>
        </w:rPr>
        <w:t xml:space="preserve"> cocaine) on the day in question that he had no recollection of what happened and/or that he lacked malice aforethought.</w:t>
      </w:r>
      <w:r w:rsidR="00981380" w:rsidRPr="00E077B5">
        <w:rPr>
          <w:rFonts w:asciiTheme="minorHAnsi" w:hAnsiTheme="minorHAnsi" w:cstheme="minorHAnsi"/>
          <w:lang w:val="en"/>
        </w:rPr>
        <w:t xml:space="preserve"> At his trial</w:t>
      </w:r>
      <w:r w:rsidRPr="00E077B5">
        <w:rPr>
          <w:rFonts w:asciiTheme="minorHAnsi" w:hAnsiTheme="minorHAnsi" w:cstheme="minorHAnsi"/>
          <w:lang w:val="en"/>
        </w:rPr>
        <w:t>, th</w:t>
      </w:r>
      <w:r w:rsidR="00155346" w:rsidRPr="00E077B5">
        <w:rPr>
          <w:rFonts w:asciiTheme="minorHAnsi" w:hAnsiTheme="minorHAnsi" w:cstheme="minorHAnsi"/>
          <w:lang w:val="en"/>
        </w:rPr>
        <w:t>e</w:t>
      </w:r>
      <w:r w:rsidRPr="00E077B5">
        <w:rPr>
          <w:rFonts w:asciiTheme="minorHAnsi" w:hAnsiTheme="minorHAnsi" w:cstheme="minorHAnsi"/>
          <w:lang w:val="en"/>
        </w:rPr>
        <w:t>s</w:t>
      </w:r>
      <w:r w:rsidR="00155346" w:rsidRPr="00E077B5">
        <w:rPr>
          <w:rFonts w:asciiTheme="minorHAnsi" w:hAnsiTheme="minorHAnsi" w:cstheme="minorHAnsi"/>
          <w:lang w:val="en"/>
        </w:rPr>
        <w:t>e pleas were</w:t>
      </w:r>
      <w:r w:rsidRPr="00E077B5">
        <w:rPr>
          <w:rFonts w:asciiTheme="minorHAnsi" w:hAnsiTheme="minorHAnsi" w:cstheme="minorHAnsi"/>
          <w:lang w:val="en"/>
        </w:rPr>
        <w:t xml:space="preserve"> rejected and he was convicted of murder. </w:t>
      </w:r>
      <w:r w:rsidR="00155346" w:rsidRPr="00E077B5">
        <w:rPr>
          <w:rFonts w:asciiTheme="minorHAnsi" w:hAnsiTheme="minorHAnsi" w:cstheme="minorHAnsi"/>
          <w:lang w:val="en"/>
        </w:rPr>
        <w:t xml:space="preserve">The trial judge, </w:t>
      </w:r>
      <w:proofErr w:type="spellStart"/>
      <w:r w:rsidR="00155346" w:rsidRPr="00E077B5">
        <w:rPr>
          <w:rFonts w:asciiTheme="minorHAnsi" w:hAnsiTheme="minorHAnsi" w:cstheme="minorHAnsi"/>
          <w:lang w:val="en"/>
        </w:rPr>
        <w:t>Gratwicke</w:t>
      </w:r>
      <w:proofErr w:type="spellEnd"/>
      <w:r w:rsidR="00155346" w:rsidRPr="00E077B5">
        <w:rPr>
          <w:rFonts w:asciiTheme="minorHAnsi" w:hAnsiTheme="minorHAnsi" w:cstheme="minorHAnsi"/>
          <w:lang w:val="en"/>
        </w:rPr>
        <w:t xml:space="preserve"> J, imposed a life sentence with a minimum term of 27 years’ imprisonment. MB </w:t>
      </w:r>
      <w:r w:rsidRPr="00E077B5">
        <w:rPr>
          <w:rFonts w:asciiTheme="minorHAnsi" w:hAnsiTheme="minorHAnsi" w:cstheme="minorHAnsi"/>
          <w:lang w:val="en"/>
        </w:rPr>
        <w:t xml:space="preserve">appealed, contending that </w:t>
      </w:r>
      <w:proofErr w:type="spellStart"/>
      <w:r w:rsidR="00155346" w:rsidRPr="00E077B5">
        <w:rPr>
          <w:rFonts w:asciiTheme="minorHAnsi" w:hAnsiTheme="minorHAnsi" w:cstheme="minorHAnsi"/>
          <w:lang w:val="en"/>
        </w:rPr>
        <w:t>Gratwicke</w:t>
      </w:r>
      <w:proofErr w:type="spellEnd"/>
      <w:r w:rsidR="00155346" w:rsidRPr="00E077B5">
        <w:rPr>
          <w:rFonts w:asciiTheme="minorHAnsi" w:hAnsiTheme="minorHAnsi" w:cstheme="minorHAnsi"/>
          <w:lang w:val="en"/>
        </w:rPr>
        <w:t xml:space="preserve"> J </w:t>
      </w:r>
      <w:r w:rsidRPr="00E077B5">
        <w:rPr>
          <w:rFonts w:asciiTheme="minorHAnsi" w:hAnsiTheme="minorHAnsi" w:cstheme="minorHAnsi"/>
          <w:lang w:val="en"/>
        </w:rPr>
        <w:t xml:space="preserve">should have directed the jury on </w:t>
      </w:r>
      <w:r w:rsidR="00FD10A8" w:rsidRPr="00E077B5">
        <w:rPr>
          <w:rFonts w:asciiTheme="minorHAnsi" w:hAnsiTheme="minorHAnsi" w:cstheme="minorHAnsi"/>
          <w:lang w:val="en"/>
        </w:rPr>
        <w:t xml:space="preserve">the statutory </w:t>
      </w:r>
      <w:proofErr w:type="spellStart"/>
      <w:r w:rsidR="00FD10A8" w:rsidRPr="00E077B5">
        <w:rPr>
          <w:rFonts w:asciiTheme="minorHAnsi" w:hAnsiTheme="minorHAnsi" w:cstheme="minorHAnsi"/>
          <w:lang w:val="en"/>
        </w:rPr>
        <w:t>defence</w:t>
      </w:r>
      <w:proofErr w:type="spellEnd"/>
      <w:r w:rsidR="00FD10A8" w:rsidRPr="00E077B5">
        <w:rPr>
          <w:rFonts w:asciiTheme="minorHAnsi" w:hAnsiTheme="minorHAnsi" w:cstheme="minorHAnsi"/>
          <w:lang w:val="en"/>
        </w:rPr>
        <w:t xml:space="preserve"> of </w:t>
      </w:r>
      <w:r w:rsidR="00FD10A8" w:rsidRPr="00E077B5">
        <w:rPr>
          <w:rFonts w:asciiTheme="minorHAnsi" w:hAnsiTheme="minorHAnsi" w:cstheme="minorHAnsi"/>
        </w:rPr>
        <w:t>diminished responsibility</w:t>
      </w:r>
      <w:r w:rsidRPr="00E077B5">
        <w:rPr>
          <w:rFonts w:asciiTheme="minorHAnsi" w:hAnsiTheme="minorHAnsi" w:cstheme="minorHAnsi"/>
          <w:lang w:val="en"/>
        </w:rPr>
        <w:t xml:space="preserve">, on the basis that MB </w:t>
      </w:r>
      <w:r w:rsidR="00FE0EB7" w:rsidRPr="00E077B5">
        <w:rPr>
          <w:rFonts w:asciiTheme="minorHAnsi" w:hAnsiTheme="minorHAnsi" w:cstheme="minorHAnsi"/>
          <w:lang w:val="en"/>
        </w:rPr>
        <w:t xml:space="preserve">suffered from </w:t>
      </w:r>
      <w:r w:rsidRPr="00E077B5">
        <w:rPr>
          <w:rFonts w:asciiTheme="minorHAnsi" w:hAnsiTheme="minorHAnsi" w:cstheme="minorHAnsi"/>
          <w:lang w:val="en"/>
        </w:rPr>
        <w:t>alcohol</w:t>
      </w:r>
      <w:r w:rsidR="00FE0EB7" w:rsidRPr="00E077B5">
        <w:rPr>
          <w:rFonts w:asciiTheme="minorHAnsi" w:hAnsiTheme="minorHAnsi" w:cstheme="minorHAnsi"/>
          <w:lang w:val="en"/>
        </w:rPr>
        <w:t xml:space="preserve"> dependence syndrome</w:t>
      </w:r>
      <w:r w:rsidRPr="00E077B5">
        <w:rPr>
          <w:rFonts w:asciiTheme="minorHAnsi" w:hAnsiTheme="minorHAnsi" w:cstheme="minorHAnsi"/>
          <w:lang w:val="en"/>
        </w:rPr>
        <w:t>.</w:t>
      </w:r>
    </w:p>
    <w:p w:rsidR="003B5812" w:rsidRPr="00E077B5" w:rsidRDefault="003B5812" w:rsidP="003B5812">
      <w:pPr>
        <w:jc w:val="both"/>
        <w:rPr>
          <w:rFonts w:asciiTheme="minorHAnsi" w:hAnsiTheme="minorHAnsi" w:cstheme="minorHAnsi"/>
          <w:lang w:val="en"/>
        </w:rPr>
      </w:pPr>
    </w:p>
    <w:p w:rsidR="003B5812" w:rsidRPr="00E077B5" w:rsidRDefault="003B5812" w:rsidP="003B5812">
      <w:pPr>
        <w:jc w:val="both"/>
        <w:rPr>
          <w:rFonts w:asciiTheme="minorHAnsi" w:hAnsiTheme="minorHAnsi" w:cstheme="minorHAnsi"/>
          <w:lang w:val="en"/>
        </w:rPr>
      </w:pPr>
      <w:r w:rsidRPr="00E077B5">
        <w:rPr>
          <w:rFonts w:asciiTheme="minorHAnsi" w:hAnsiTheme="minorHAnsi" w:cstheme="minorHAnsi"/>
          <w:b/>
          <w:lang w:val="en"/>
        </w:rPr>
        <w:t>HELD, DISMISSING THE APPEAL</w:t>
      </w:r>
      <w:r w:rsidRPr="00E077B5">
        <w:rPr>
          <w:rFonts w:asciiTheme="minorHAnsi" w:hAnsiTheme="minorHAnsi" w:cstheme="minorHAnsi"/>
          <w:lang w:val="en"/>
        </w:rPr>
        <w:t>, that although alcohol dependenc</w:t>
      </w:r>
      <w:r w:rsidR="00E077B5">
        <w:rPr>
          <w:rFonts w:asciiTheme="minorHAnsi" w:hAnsiTheme="minorHAnsi" w:cstheme="minorHAnsi"/>
          <w:lang w:val="en"/>
        </w:rPr>
        <w:t>e</w:t>
      </w:r>
      <w:r w:rsidRPr="00E077B5">
        <w:rPr>
          <w:rFonts w:asciiTheme="minorHAnsi" w:hAnsiTheme="minorHAnsi" w:cstheme="minorHAnsi"/>
          <w:lang w:val="en"/>
        </w:rPr>
        <w:t xml:space="preserve"> could, in principle, support a plea of </w:t>
      </w:r>
      <w:r w:rsidR="00FD10A8" w:rsidRPr="00E077B5">
        <w:rPr>
          <w:rFonts w:asciiTheme="minorHAnsi" w:hAnsiTheme="minorHAnsi" w:cstheme="minorHAnsi"/>
        </w:rPr>
        <w:t>diminished responsibility</w:t>
      </w:r>
      <w:r w:rsidRPr="00E077B5">
        <w:rPr>
          <w:rFonts w:asciiTheme="minorHAnsi" w:hAnsiTheme="minorHAnsi" w:cstheme="minorHAnsi"/>
          <w:lang w:val="en"/>
        </w:rPr>
        <w:t xml:space="preserve">, in this case there was simply insufficient evidence to support such a plea. </w:t>
      </w:r>
      <w:proofErr w:type="spellStart"/>
      <w:r w:rsidR="00FD10A8" w:rsidRPr="00E077B5">
        <w:rPr>
          <w:rFonts w:asciiTheme="minorHAnsi" w:hAnsiTheme="minorHAnsi" w:cstheme="minorHAnsi"/>
          <w:lang w:val="en"/>
        </w:rPr>
        <w:t>Gratwicke</w:t>
      </w:r>
      <w:proofErr w:type="spellEnd"/>
      <w:r w:rsidR="00FD10A8" w:rsidRPr="00E077B5">
        <w:rPr>
          <w:rFonts w:asciiTheme="minorHAnsi" w:hAnsiTheme="minorHAnsi" w:cstheme="minorHAnsi"/>
          <w:lang w:val="en"/>
        </w:rPr>
        <w:t xml:space="preserve"> J </w:t>
      </w:r>
      <w:r w:rsidRPr="00E077B5">
        <w:rPr>
          <w:rFonts w:asciiTheme="minorHAnsi" w:hAnsiTheme="minorHAnsi" w:cstheme="minorHAnsi"/>
          <w:lang w:val="en"/>
        </w:rPr>
        <w:t>had correctly decided that, even if MB was suffering from alcohol dependenc</w:t>
      </w:r>
      <w:r w:rsidR="00FE0EB7" w:rsidRPr="00E077B5">
        <w:rPr>
          <w:rFonts w:asciiTheme="minorHAnsi" w:hAnsiTheme="minorHAnsi" w:cstheme="minorHAnsi"/>
          <w:lang w:val="en"/>
        </w:rPr>
        <w:t>e</w:t>
      </w:r>
      <w:r w:rsidRPr="00E077B5">
        <w:rPr>
          <w:rFonts w:asciiTheme="minorHAnsi" w:hAnsiTheme="minorHAnsi" w:cstheme="minorHAnsi"/>
          <w:lang w:val="en"/>
        </w:rPr>
        <w:t xml:space="preserve">, there was insufficient evidence for him to be able to prove the other elements of the </w:t>
      </w:r>
      <w:proofErr w:type="spellStart"/>
      <w:r w:rsidR="00FD10A8" w:rsidRPr="00E077B5">
        <w:rPr>
          <w:rFonts w:asciiTheme="minorHAnsi" w:hAnsiTheme="minorHAnsi" w:cstheme="minorHAnsi"/>
          <w:lang w:val="en"/>
        </w:rPr>
        <w:t>de</w:t>
      </w:r>
      <w:r w:rsidRPr="00E077B5">
        <w:rPr>
          <w:rFonts w:asciiTheme="minorHAnsi" w:hAnsiTheme="minorHAnsi" w:cstheme="minorHAnsi"/>
          <w:lang w:val="en"/>
        </w:rPr>
        <w:t>fence</w:t>
      </w:r>
      <w:proofErr w:type="spellEnd"/>
      <w:r w:rsidRPr="00E077B5">
        <w:rPr>
          <w:rFonts w:asciiTheme="minorHAnsi" w:hAnsiTheme="minorHAnsi" w:cstheme="minorHAnsi"/>
          <w:lang w:val="en"/>
        </w:rPr>
        <w:t xml:space="preserve">, i.e. that he was suffering an abnormality of mental functioning, and that his medical condition (if indeed there was one) had substantially impaired his ability to understand the nature of his own conduct, </w:t>
      </w:r>
      <w:r w:rsidR="00FD10A8" w:rsidRPr="00E077B5">
        <w:rPr>
          <w:rFonts w:asciiTheme="minorHAnsi" w:hAnsiTheme="minorHAnsi" w:cstheme="minorHAnsi"/>
        </w:rPr>
        <w:t>to form a rational judgment or to exercise self-control</w:t>
      </w:r>
      <w:r w:rsidR="004862AC" w:rsidRPr="00E077B5">
        <w:rPr>
          <w:rFonts w:asciiTheme="minorHAnsi" w:hAnsiTheme="minorHAnsi" w:cstheme="minorHAnsi"/>
        </w:rPr>
        <w:t>, as set out in s.2(1) of the Homicide Act 1957 (as amended)</w:t>
      </w:r>
      <w:r w:rsidRPr="00E077B5">
        <w:rPr>
          <w:rFonts w:asciiTheme="minorHAnsi" w:hAnsiTheme="minorHAnsi" w:cstheme="minorHAnsi"/>
          <w:lang w:val="en"/>
        </w:rPr>
        <w:t xml:space="preserve">. Such evidence as there was indicated that MB was a binge drinker, rather than someone who was dependent on alcohol (in his own evidence, MB had denied being dependent on alcohol and had told the jury that he could control his desire to drink if it was a working day). Moreover, simply being intoxicated could not support a plea of </w:t>
      </w:r>
      <w:r w:rsidR="00FD10A8" w:rsidRPr="00E077B5">
        <w:rPr>
          <w:rFonts w:asciiTheme="minorHAnsi" w:hAnsiTheme="minorHAnsi" w:cstheme="minorHAnsi"/>
        </w:rPr>
        <w:t>diminished responsibility</w:t>
      </w:r>
      <w:r w:rsidRPr="00E077B5">
        <w:rPr>
          <w:rFonts w:asciiTheme="minorHAnsi" w:hAnsiTheme="minorHAnsi" w:cstheme="minorHAnsi"/>
          <w:lang w:val="en"/>
        </w:rPr>
        <w:t>.</w:t>
      </w:r>
    </w:p>
    <w:p w:rsidR="003B5812" w:rsidRPr="00E077B5" w:rsidRDefault="003B5812" w:rsidP="003B5812">
      <w:pPr>
        <w:jc w:val="both"/>
        <w:rPr>
          <w:rFonts w:asciiTheme="minorHAnsi" w:hAnsiTheme="minorHAnsi" w:cstheme="minorHAnsi"/>
          <w:lang w:val="en"/>
        </w:rPr>
      </w:pPr>
    </w:p>
    <w:p w:rsidR="003B5812" w:rsidRPr="00E077B5" w:rsidRDefault="003B5812" w:rsidP="003B5812">
      <w:pPr>
        <w:jc w:val="both"/>
        <w:rPr>
          <w:rFonts w:asciiTheme="minorHAnsi" w:hAnsiTheme="minorHAnsi" w:cstheme="minorHAnsi"/>
          <w:b/>
          <w:lang w:val="en"/>
        </w:rPr>
      </w:pPr>
      <w:r w:rsidRPr="00E077B5">
        <w:rPr>
          <w:rFonts w:asciiTheme="minorHAnsi" w:hAnsiTheme="minorHAnsi" w:cstheme="minorHAnsi"/>
          <w:b/>
          <w:lang w:val="en"/>
        </w:rPr>
        <w:t>COMMENTARY</w:t>
      </w:r>
    </w:p>
    <w:p w:rsidR="003B5812" w:rsidRPr="00E077B5" w:rsidRDefault="003B5812" w:rsidP="003B5812">
      <w:pPr>
        <w:jc w:val="both"/>
        <w:rPr>
          <w:rFonts w:asciiTheme="minorHAnsi" w:hAnsiTheme="minorHAnsi" w:cstheme="minorHAnsi"/>
        </w:rPr>
      </w:pPr>
    </w:p>
    <w:p w:rsidR="009B07C6" w:rsidRPr="00E077B5" w:rsidRDefault="009B07C6" w:rsidP="003B5812">
      <w:pPr>
        <w:jc w:val="both"/>
        <w:rPr>
          <w:rFonts w:asciiTheme="minorHAnsi" w:hAnsiTheme="minorHAnsi" w:cstheme="minorHAnsi"/>
          <w:b/>
          <w:i/>
        </w:rPr>
      </w:pPr>
      <w:r w:rsidRPr="00E077B5">
        <w:rPr>
          <w:rFonts w:asciiTheme="minorHAnsi" w:hAnsiTheme="minorHAnsi" w:cstheme="minorHAnsi"/>
          <w:b/>
          <w:i/>
        </w:rPr>
        <w:t>Amnesia</w:t>
      </w:r>
    </w:p>
    <w:p w:rsidR="009B07C6" w:rsidRPr="00E077B5" w:rsidRDefault="009B07C6" w:rsidP="009B07C6">
      <w:pPr>
        <w:jc w:val="both"/>
        <w:outlineLvl w:val="2"/>
        <w:rPr>
          <w:rFonts w:asciiTheme="minorHAnsi" w:hAnsiTheme="minorHAnsi" w:cstheme="minorHAnsi"/>
          <w:bCs/>
          <w:lang w:eastAsia="zh-CN"/>
        </w:rPr>
      </w:pPr>
      <w:r w:rsidRPr="00E077B5">
        <w:rPr>
          <w:rFonts w:asciiTheme="minorHAnsi" w:hAnsiTheme="minorHAnsi" w:cstheme="minorHAnsi"/>
        </w:rPr>
        <w:t>MB’s claim at trial that he had “</w:t>
      </w:r>
      <w:bookmarkStart w:id="1" w:name="para5"/>
      <w:r w:rsidRPr="00E077B5">
        <w:rPr>
          <w:rFonts w:asciiTheme="minorHAnsi" w:hAnsiTheme="minorHAnsi" w:cstheme="minorHAnsi"/>
        </w:rPr>
        <w:t>no recollection of that afternoon</w:t>
      </w:r>
      <w:bookmarkEnd w:id="1"/>
      <w:r w:rsidRPr="00E077B5">
        <w:rPr>
          <w:rFonts w:asciiTheme="minorHAnsi" w:hAnsiTheme="minorHAnsi" w:cstheme="minorHAnsi"/>
        </w:rPr>
        <w:t xml:space="preserve"> because he had drunk a great deal of alcohol” is no defence. In </w:t>
      </w:r>
      <w:r w:rsidRPr="00E077B5">
        <w:rPr>
          <w:rFonts w:asciiTheme="minorHAnsi" w:hAnsiTheme="minorHAnsi" w:cstheme="minorHAnsi"/>
          <w:i/>
        </w:rPr>
        <w:t>R v Heard</w:t>
      </w:r>
      <w:r w:rsidRPr="00E077B5">
        <w:rPr>
          <w:rFonts w:asciiTheme="minorHAnsi" w:hAnsiTheme="minorHAnsi" w:cstheme="minorHAnsi"/>
        </w:rPr>
        <w:t xml:space="preserve"> </w:t>
      </w:r>
      <w:r w:rsidRPr="00E077B5">
        <w:rPr>
          <w:rFonts w:asciiTheme="minorHAnsi" w:hAnsiTheme="minorHAnsi" w:cstheme="minorHAnsi"/>
          <w:bCs/>
          <w:lang w:eastAsia="zh-CN"/>
        </w:rPr>
        <w:t xml:space="preserve">[2007] EWCA </w:t>
      </w:r>
      <w:proofErr w:type="spellStart"/>
      <w:r w:rsidRPr="00E077B5">
        <w:rPr>
          <w:rFonts w:asciiTheme="minorHAnsi" w:hAnsiTheme="minorHAnsi" w:cstheme="minorHAnsi"/>
          <w:bCs/>
          <w:lang w:eastAsia="zh-CN"/>
        </w:rPr>
        <w:t>Crim</w:t>
      </w:r>
      <w:proofErr w:type="spellEnd"/>
      <w:r w:rsidRPr="00E077B5">
        <w:rPr>
          <w:rFonts w:asciiTheme="minorHAnsi" w:hAnsiTheme="minorHAnsi" w:cstheme="minorHAnsi"/>
          <w:bCs/>
          <w:lang w:eastAsia="zh-CN"/>
        </w:rPr>
        <w:t xml:space="preserve"> 125, [2008] QB 43, the accused had made a similar claim in response to an allegation of sexual assault contrary to s.3 of the Sexual Offences Act 2003. In upholding the guilty verdict, Hughes LJ (as he then was) in the Court of Appeal stated unequivocally that:</w:t>
      </w:r>
    </w:p>
    <w:p w:rsidR="009B07C6" w:rsidRPr="00E077B5" w:rsidRDefault="009B07C6" w:rsidP="009B07C6">
      <w:pPr>
        <w:jc w:val="both"/>
        <w:outlineLvl w:val="2"/>
        <w:rPr>
          <w:rFonts w:asciiTheme="minorHAnsi" w:hAnsiTheme="minorHAnsi" w:cstheme="minorHAnsi"/>
          <w:bCs/>
          <w:lang w:eastAsia="zh-CN"/>
        </w:rPr>
      </w:pPr>
    </w:p>
    <w:p w:rsidR="009B07C6" w:rsidRPr="00E077B5" w:rsidRDefault="009B07C6" w:rsidP="00ED5A78">
      <w:pPr>
        <w:ind w:left="567" w:right="567"/>
        <w:jc w:val="both"/>
        <w:outlineLvl w:val="2"/>
        <w:rPr>
          <w:rFonts w:asciiTheme="minorHAnsi" w:hAnsiTheme="minorHAnsi" w:cstheme="minorHAnsi"/>
          <w:b/>
          <w:bCs/>
          <w:lang w:eastAsia="zh-CN"/>
        </w:rPr>
      </w:pPr>
      <w:r w:rsidRPr="00E077B5">
        <w:rPr>
          <w:rFonts w:asciiTheme="minorHAnsi" w:hAnsiTheme="minorHAnsi" w:cstheme="minorHAnsi"/>
        </w:rPr>
        <w:t>On the evidence the defendant plainly did intend to touch the policeman with his penis. That he was drunk may have meant either: (</w:t>
      </w:r>
      <w:proofErr w:type="spellStart"/>
      <w:r w:rsidRPr="00E077B5">
        <w:rPr>
          <w:rFonts w:asciiTheme="minorHAnsi" w:hAnsiTheme="minorHAnsi" w:cstheme="minorHAnsi"/>
        </w:rPr>
        <w:t>i</w:t>
      </w:r>
      <w:proofErr w:type="spellEnd"/>
      <w:r w:rsidRPr="00E077B5">
        <w:rPr>
          <w:rFonts w:asciiTheme="minorHAnsi" w:hAnsiTheme="minorHAnsi" w:cstheme="minorHAnsi"/>
        </w:rPr>
        <w:t xml:space="preserve">) that he was disinhibited </w:t>
      </w:r>
      <w:r w:rsidRPr="00E077B5">
        <w:rPr>
          <w:rFonts w:asciiTheme="minorHAnsi" w:hAnsiTheme="minorHAnsi" w:cstheme="minorHAnsi"/>
        </w:rPr>
        <w:lastRenderedPageBreak/>
        <w:t>and did something which he would not have done if sober; and/or (ii) that he did not remember it afterwards. But neither of those matters (if true) would destroy the intentional character of his touching</w:t>
      </w:r>
      <w:r w:rsidR="00ED5A78" w:rsidRPr="00E077B5">
        <w:rPr>
          <w:rFonts w:asciiTheme="minorHAnsi" w:hAnsiTheme="minorHAnsi" w:cstheme="minorHAnsi"/>
        </w:rPr>
        <w:t>… [F]or the memory to blot out what was intentionally done is common, if not perhaps quite as common as is the assertion by</w:t>
      </w:r>
      <w:r w:rsidR="00C87F2C">
        <w:rPr>
          <w:rFonts w:asciiTheme="minorHAnsi" w:hAnsiTheme="minorHAnsi" w:cstheme="minorHAnsi"/>
        </w:rPr>
        <w:t xml:space="preserve"> offenders that it has done so. </w:t>
      </w:r>
      <w:r w:rsidR="00C87F2C" w:rsidRPr="00E077B5">
        <w:rPr>
          <w:rFonts w:asciiTheme="minorHAnsi" w:hAnsiTheme="minorHAnsi" w:cstheme="minorHAnsi"/>
          <w:bCs/>
          <w:lang w:eastAsia="zh-CN"/>
        </w:rPr>
        <w:t>(</w:t>
      </w:r>
      <w:r w:rsidR="00C87F2C" w:rsidRPr="00E077B5">
        <w:rPr>
          <w:rFonts w:asciiTheme="minorHAnsi" w:hAnsiTheme="minorHAnsi" w:cstheme="minorHAnsi"/>
          <w:bCs/>
          <w:i/>
          <w:lang w:eastAsia="zh-CN"/>
        </w:rPr>
        <w:t>Heard</w:t>
      </w:r>
      <w:r w:rsidR="00C87F2C" w:rsidRPr="00E077B5">
        <w:rPr>
          <w:rFonts w:asciiTheme="minorHAnsi" w:hAnsiTheme="minorHAnsi" w:cstheme="minorHAnsi"/>
          <w:bCs/>
          <w:lang w:eastAsia="zh-CN"/>
        </w:rPr>
        <w:t xml:space="preserve"> at [17])</w:t>
      </w:r>
    </w:p>
    <w:p w:rsidR="009B07C6" w:rsidRPr="00E077B5" w:rsidRDefault="009B07C6" w:rsidP="003B5812">
      <w:pPr>
        <w:jc w:val="both"/>
        <w:rPr>
          <w:rFonts w:asciiTheme="minorHAnsi" w:hAnsiTheme="minorHAnsi" w:cstheme="minorHAnsi"/>
        </w:rPr>
      </w:pPr>
    </w:p>
    <w:p w:rsidR="00550445" w:rsidRPr="00E077B5" w:rsidRDefault="00550445" w:rsidP="003B5812">
      <w:pPr>
        <w:jc w:val="both"/>
        <w:rPr>
          <w:rFonts w:asciiTheme="minorHAnsi" w:hAnsiTheme="minorHAnsi" w:cstheme="minorHAnsi"/>
          <w:b/>
          <w:i/>
        </w:rPr>
      </w:pPr>
      <w:r w:rsidRPr="00E077B5">
        <w:rPr>
          <w:rFonts w:asciiTheme="minorHAnsi" w:hAnsiTheme="minorHAnsi" w:cstheme="minorHAnsi"/>
          <w:b/>
          <w:i/>
        </w:rPr>
        <w:t xml:space="preserve">Voluntary Intoxication </w:t>
      </w:r>
    </w:p>
    <w:p w:rsidR="00550445" w:rsidRPr="00E077B5" w:rsidRDefault="00550445" w:rsidP="003B5812">
      <w:pPr>
        <w:jc w:val="both"/>
        <w:rPr>
          <w:rFonts w:asciiTheme="minorHAnsi" w:hAnsiTheme="minorHAnsi" w:cstheme="minorHAnsi"/>
        </w:rPr>
      </w:pPr>
      <w:r w:rsidRPr="00E077B5">
        <w:rPr>
          <w:rFonts w:asciiTheme="minorHAnsi" w:hAnsiTheme="minorHAnsi" w:cstheme="minorHAnsi"/>
        </w:rPr>
        <w:t xml:space="preserve">MB’s principal defence at his trial was </w:t>
      </w:r>
      <w:r w:rsidR="00155346" w:rsidRPr="00E077B5">
        <w:rPr>
          <w:rFonts w:asciiTheme="minorHAnsi" w:hAnsiTheme="minorHAnsi" w:cstheme="minorHAnsi"/>
        </w:rPr>
        <w:t xml:space="preserve">that, despite all of the evidence to the contrary, he was not in fact the killer; rather, he suggested that JG’s husband was responsible for her death. This defence, described as “cynical” by </w:t>
      </w:r>
      <w:proofErr w:type="spellStart"/>
      <w:r w:rsidR="00155346" w:rsidRPr="00E077B5">
        <w:rPr>
          <w:rFonts w:asciiTheme="minorHAnsi" w:hAnsiTheme="minorHAnsi" w:cstheme="minorHAnsi"/>
        </w:rPr>
        <w:t>Holroyde</w:t>
      </w:r>
      <w:proofErr w:type="spellEnd"/>
      <w:r w:rsidR="00155346" w:rsidRPr="00E077B5">
        <w:rPr>
          <w:rFonts w:asciiTheme="minorHAnsi" w:hAnsiTheme="minorHAnsi" w:cstheme="minorHAnsi"/>
        </w:rPr>
        <w:t xml:space="preserve"> LJ in the Court of Appeal, was rejected by the jury. MB’s alternative basis for his not guilty plea was </w:t>
      </w:r>
      <w:r w:rsidRPr="00E077B5">
        <w:rPr>
          <w:rFonts w:asciiTheme="minorHAnsi" w:hAnsiTheme="minorHAnsi" w:cstheme="minorHAnsi"/>
        </w:rPr>
        <w:t xml:space="preserve">a denial of </w:t>
      </w:r>
      <w:proofErr w:type="spellStart"/>
      <w:r w:rsidRPr="00E077B5">
        <w:rPr>
          <w:rFonts w:asciiTheme="minorHAnsi" w:hAnsiTheme="minorHAnsi" w:cstheme="minorHAnsi"/>
          <w:i/>
        </w:rPr>
        <w:t>mens</w:t>
      </w:r>
      <w:proofErr w:type="spellEnd"/>
      <w:r w:rsidRPr="00E077B5">
        <w:rPr>
          <w:rFonts w:asciiTheme="minorHAnsi" w:hAnsiTheme="minorHAnsi" w:cstheme="minorHAnsi"/>
          <w:i/>
        </w:rPr>
        <w:t xml:space="preserve"> rea</w:t>
      </w:r>
      <w:r w:rsidRPr="00E077B5">
        <w:rPr>
          <w:rFonts w:asciiTheme="minorHAnsi" w:hAnsiTheme="minorHAnsi" w:cstheme="minorHAnsi"/>
        </w:rPr>
        <w:t>, specifically malice aforethought, caused by his voluntary consumption of alcohol and cocaine. As is well known, evidence of a state of intoxication, even if self-induced, is capable of preventing the Crown proving intention in “specific intent” crimes, of which murder is perhaps the quintessential example (</w:t>
      </w:r>
      <w:hyperlink r:id="rId6" w:history="1">
        <w:r w:rsidRPr="00E077B5">
          <w:rPr>
            <w:rStyle w:val="Hyperlink"/>
            <w:rFonts w:asciiTheme="minorHAnsi" w:hAnsiTheme="minorHAnsi" w:cstheme="minorHAnsi"/>
            <w:i/>
            <w:color w:val="auto"/>
            <w:u w:val="none"/>
          </w:rPr>
          <w:t>DPP v Beard</w:t>
        </w:r>
      </w:hyperlink>
      <w:r w:rsidRPr="00E077B5">
        <w:rPr>
          <w:rFonts w:asciiTheme="minorHAnsi" w:hAnsiTheme="minorHAnsi" w:cstheme="minorHAnsi"/>
        </w:rPr>
        <w:t xml:space="preserve"> [1920] AC 479; </w:t>
      </w:r>
      <w:hyperlink r:id="rId7" w:history="1">
        <w:r w:rsidRPr="00E077B5">
          <w:rPr>
            <w:rStyle w:val="Hyperlink"/>
            <w:rFonts w:asciiTheme="minorHAnsi" w:hAnsiTheme="minorHAnsi" w:cstheme="minorHAnsi"/>
            <w:i/>
            <w:color w:val="auto"/>
            <w:u w:val="none"/>
          </w:rPr>
          <w:t>Bratty v Attorney-General for Northern Ireland</w:t>
        </w:r>
      </w:hyperlink>
      <w:r w:rsidRPr="00E077B5">
        <w:rPr>
          <w:rFonts w:asciiTheme="minorHAnsi" w:hAnsiTheme="minorHAnsi" w:cstheme="minorHAnsi"/>
        </w:rPr>
        <w:t xml:space="preserve"> [1963] AC 386; </w:t>
      </w:r>
      <w:hyperlink r:id="rId8" w:history="1">
        <w:r w:rsidRPr="00E077B5">
          <w:rPr>
            <w:rStyle w:val="Hyperlink"/>
            <w:rFonts w:asciiTheme="minorHAnsi" w:hAnsiTheme="minorHAnsi" w:cstheme="minorHAnsi"/>
            <w:i/>
            <w:color w:val="auto"/>
            <w:u w:val="none"/>
          </w:rPr>
          <w:t xml:space="preserve">R v </w:t>
        </w:r>
        <w:proofErr w:type="spellStart"/>
        <w:r w:rsidRPr="00E077B5">
          <w:rPr>
            <w:rStyle w:val="Hyperlink"/>
            <w:rFonts w:asciiTheme="minorHAnsi" w:hAnsiTheme="minorHAnsi" w:cstheme="minorHAnsi"/>
            <w:i/>
            <w:color w:val="auto"/>
            <w:u w:val="none"/>
          </w:rPr>
          <w:t>Lipman</w:t>
        </w:r>
        <w:proofErr w:type="spellEnd"/>
      </w:hyperlink>
      <w:r w:rsidRPr="00E077B5">
        <w:rPr>
          <w:rFonts w:asciiTheme="minorHAnsi" w:hAnsiTheme="minorHAnsi" w:cstheme="minorHAnsi"/>
          <w:i/>
        </w:rPr>
        <w:t xml:space="preserve"> </w:t>
      </w:r>
      <w:r w:rsidRPr="00E077B5">
        <w:rPr>
          <w:rFonts w:asciiTheme="minorHAnsi" w:hAnsiTheme="minorHAnsi" w:cstheme="minorHAnsi"/>
        </w:rPr>
        <w:t xml:space="preserve">[1970] 1 QB 152). However, simply being intoxicated is never a “defence” and, unless the intoxication is so extreme as to prevent proof of </w:t>
      </w:r>
      <w:proofErr w:type="spellStart"/>
      <w:r w:rsidRPr="00E077B5">
        <w:rPr>
          <w:rFonts w:asciiTheme="minorHAnsi" w:hAnsiTheme="minorHAnsi" w:cstheme="minorHAnsi"/>
          <w:i/>
        </w:rPr>
        <w:t>mens</w:t>
      </w:r>
      <w:proofErr w:type="spellEnd"/>
      <w:r w:rsidRPr="00E077B5">
        <w:rPr>
          <w:rFonts w:asciiTheme="minorHAnsi" w:hAnsiTheme="minorHAnsi" w:cstheme="minorHAnsi"/>
          <w:i/>
        </w:rPr>
        <w:t xml:space="preserve"> rea</w:t>
      </w:r>
      <w:r w:rsidRPr="00E077B5">
        <w:rPr>
          <w:rFonts w:asciiTheme="minorHAnsi" w:hAnsiTheme="minorHAnsi" w:cstheme="minorHAnsi"/>
        </w:rPr>
        <w:t xml:space="preserve">, it is irrelevant. The failure of MB’s plea is an example of the situation described by Lane LJ </w:t>
      </w:r>
      <w:r w:rsidR="00641786" w:rsidRPr="00E077B5">
        <w:rPr>
          <w:rFonts w:asciiTheme="minorHAnsi" w:hAnsiTheme="minorHAnsi" w:cstheme="minorHAnsi"/>
        </w:rPr>
        <w:t xml:space="preserve">(as he then was) </w:t>
      </w:r>
      <w:r w:rsidRPr="00E077B5">
        <w:rPr>
          <w:rFonts w:asciiTheme="minorHAnsi" w:hAnsiTheme="minorHAnsi" w:cstheme="minorHAnsi"/>
        </w:rPr>
        <w:t xml:space="preserve">in </w:t>
      </w:r>
      <w:hyperlink r:id="rId9" w:history="1">
        <w:r w:rsidRPr="00E077B5">
          <w:rPr>
            <w:rStyle w:val="Hyperlink"/>
            <w:rFonts w:asciiTheme="minorHAnsi" w:hAnsiTheme="minorHAnsi" w:cstheme="minorHAnsi"/>
            <w:i/>
            <w:color w:val="auto"/>
            <w:u w:val="none"/>
          </w:rPr>
          <w:t>R v Sheehan</w:t>
        </w:r>
      </w:hyperlink>
      <w:r w:rsidR="00641786" w:rsidRPr="00E077B5">
        <w:rPr>
          <w:rFonts w:asciiTheme="minorHAnsi" w:hAnsiTheme="minorHAnsi" w:cstheme="minorHAnsi"/>
        </w:rPr>
        <w:t xml:space="preserve"> [1975] 1 WLR 739 when he said:</w:t>
      </w:r>
    </w:p>
    <w:p w:rsidR="00550445" w:rsidRPr="00E077B5" w:rsidRDefault="00550445" w:rsidP="003B5812">
      <w:pPr>
        <w:jc w:val="both"/>
        <w:rPr>
          <w:rFonts w:asciiTheme="minorHAnsi" w:hAnsiTheme="minorHAnsi" w:cstheme="minorHAnsi"/>
        </w:rPr>
      </w:pPr>
    </w:p>
    <w:p w:rsidR="00550445" w:rsidRPr="00E077B5" w:rsidRDefault="00550445" w:rsidP="00CF0A72">
      <w:pPr>
        <w:ind w:left="567" w:right="567"/>
        <w:jc w:val="both"/>
        <w:rPr>
          <w:rFonts w:asciiTheme="minorHAnsi" w:hAnsiTheme="minorHAnsi" w:cstheme="minorHAnsi"/>
          <w:b/>
        </w:rPr>
      </w:pPr>
      <w:r w:rsidRPr="00E077B5">
        <w:rPr>
          <w:rFonts w:asciiTheme="minorHAnsi" w:hAnsiTheme="minorHAnsi" w:cstheme="minorHAnsi"/>
        </w:rPr>
        <w:t>In</w:t>
      </w:r>
      <w:r w:rsidR="000B28FE" w:rsidRPr="00E077B5">
        <w:rPr>
          <w:rFonts w:asciiTheme="minorHAnsi" w:hAnsiTheme="minorHAnsi" w:cstheme="minorHAnsi"/>
        </w:rPr>
        <w:t>deed, in</w:t>
      </w:r>
      <w:r w:rsidRPr="00E077B5">
        <w:rPr>
          <w:rFonts w:asciiTheme="minorHAnsi" w:hAnsiTheme="minorHAnsi" w:cstheme="minorHAnsi"/>
        </w:rPr>
        <w:t xml:space="preserve"> cases where drunkenness and its possible effect upon </w:t>
      </w:r>
      <w:r w:rsidR="000B28FE" w:rsidRPr="00E077B5">
        <w:rPr>
          <w:rFonts w:asciiTheme="minorHAnsi" w:hAnsiTheme="minorHAnsi" w:cstheme="minorHAnsi"/>
        </w:rPr>
        <w:t>the defendant</w:t>
      </w:r>
      <w:r w:rsidRPr="00E077B5">
        <w:rPr>
          <w:rFonts w:asciiTheme="minorHAnsi" w:hAnsiTheme="minorHAnsi" w:cstheme="minorHAnsi"/>
        </w:rPr>
        <w:t xml:space="preserve">’s </w:t>
      </w:r>
      <w:proofErr w:type="spellStart"/>
      <w:r w:rsidRPr="00E077B5">
        <w:rPr>
          <w:rFonts w:asciiTheme="minorHAnsi" w:hAnsiTheme="minorHAnsi" w:cstheme="minorHAnsi"/>
          <w:i/>
        </w:rPr>
        <w:t>mens</w:t>
      </w:r>
      <w:proofErr w:type="spellEnd"/>
      <w:r w:rsidRPr="00E077B5">
        <w:rPr>
          <w:rFonts w:asciiTheme="minorHAnsi" w:hAnsiTheme="minorHAnsi" w:cstheme="minorHAnsi"/>
          <w:i/>
        </w:rPr>
        <w:t xml:space="preserve"> rea</w:t>
      </w:r>
      <w:r w:rsidRPr="00E077B5">
        <w:rPr>
          <w:rFonts w:asciiTheme="minorHAnsi" w:hAnsiTheme="minorHAnsi" w:cstheme="minorHAnsi"/>
        </w:rPr>
        <w:t xml:space="preserve"> is an issue, we think that the proper direction to a jury is</w:t>
      </w:r>
      <w:r w:rsidR="000B28FE" w:rsidRPr="00E077B5">
        <w:rPr>
          <w:rFonts w:asciiTheme="minorHAnsi" w:hAnsiTheme="minorHAnsi" w:cstheme="minorHAnsi"/>
        </w:rPr>
        <w:t>, first,</w:t>
      </w:r>
      <w:r w:rsidRPr="00E077B5">
        <w:rPr>
          <w:rFonts w:asciiTheme="minorHAnsi" w:hAnsiTheme="minorHAnsi" w:cstheme="minorHAnsi"/>
        </w:rPr>
        <w:t xml:space="preserve"> to warn them that the mere fact that </w:t>
      </w:r>
      <w:r w:rsidR="000B28FE" w:rsidRPr="00E077B5">
        <w:rPr>
          <w:rFonts w:asciiTheme="minorHAnsi" w:hAnsiTheme="minorHAnsi" w:cstheme="minorHAnsi"/>
        </w:rPr>
        <w:t>the defendant’s</w:t>
      </w:r>
      <w:r w:rsidRPr="00E077B5">
        <w:rPr>
          <w:rFonts w:asciiTheme="minorHAnsi" w:hAnsiTheme="minorHAnsi" w:cstheme="minorHAnsi"/>
        </w:rPr>
        <w:t xml:space="preserve"> mind was affected by drink so that he acted in a way in which he would not have done had he been sober does not assist him at all, provided that the necessary intention was there. A drunken in</w:t>
      </w:r>
      <w:r w:rsidR="00C87F2C">
        <w:rPr>
          <w:rFonts w:asciiTheme="minorHAnsi" w:hAnsiTheme="minorHAnsi" w:cstheme="minorHAnsi"/>
        </w:rPr>
        <w:t>tent is nevertheless an intent. (</w:t>
      </w:r>
      <w:r w:rsidR="00C87F2C">
        <w:rPr>
          <w:rFonts w:asciiTheme="minorHAnsi" w:hAnsiTheme="minorHAnsi" w:cstheme="minorHAnsi"/>
          <w:i/>
        </w:rPr>
        <w:t xml:space="preserve">Sheehan </w:t>
      </w:r>
      <w:r w:rsidR="00C87F2C" w:rsidRPr="00E077B5">
        <w:rPr>
          <w:rFonts w:asciiTheme="minorHAnsi" w:hAnsiTheme="minorHAnsi" w:cstheme="minorHAnsi"/>
        </w:rPr>
        <w:t>at 744</w:t>
      </w:r>
      <w:r w:rsidR="00C87F2C">
        <w:rPr>
          <w:rFonts w:asciiTheme="minorHAnsi" w:hAnsiTheme="minorHAnsi" w:cstheme="minorHAnsi"/>
        </w:rPr>
        <w:t>)</w:t>
      </w:r>
    </w:p>
    <w:p w:rsidR="00550445" w:rsidRPr="00E077B5" w:rsidRDefault="00550445" w:rsidP="003B5812">
      <w:pPr>
        <w:jc w:val="both"/>
        <w:rPr>
          <w:rFonts w:asciiTheme="minorHAnsi" w:hAnsiTheme="minorHAnsi" w:cstheme="minorHAnsi"/>
        </w:rPr>
      </w:pPr>
    </w:p>
    <w:p w:rsidR="00550445" w:rsidRPr="00E077B5" w:rsidRDefault="00550445" w:rsidP="003B5812">
      <w:pPr>
        <w:jc w:val="both"/>
        <w:rPr>
          <w:rFonts w:asciiTheme="minorHAnsi" w:hAnsiTheme="minorHAnsi" w:cstheme="minorHAnsi"/>
        </w:rPr>
      </w:pPr>
      <w:r w:rsidRPr="00E077B5">
        <w:rPr>
          <w:rFonts w:asciiTheme="minorHAnsi" w:hAnsiTheme="minorHAnsi" w:cstheme="minorHAnsi"/>
        </w:rPr>
        <w:t xml:space="preserve">In </w:t>
      </w:r>
      <w:r w:rsidR="00C87F2C">
        <w:rPr>
          <w:rFonts w:asciiTheme="minorHAnsi" w:hAnsiTheme="minorHAnsi" w:cstheme="minorHAnsi"/>
        </w:rPr>
        <w:t>the present case</w:t>
      </w:r>
      <w:r w:rsidRPr="00E077B5">
        <w:rPr>
          <w:rFonts w:asciiTheme="minorHAnsi" w:hAnsiTheme="minorHAnsi" w:cstheme="minorHAnsi"/>
        </w:rPr>
        <w:t xml:space="preserve">, </w:t>
      </w:r>
      <w:proofErr w:type="spellStart"/>
      <w:r w:rsidRPr="00E077B5">
        <w:rPr>
          <w:rFonts w:asciiTheme="minorHAnsi" w:hAnsiTheme="minorHAnsi" w:cstheme="minorHAnsi"/>
        </w:rPr>
        <w:t>Holroyde</w:t>
      </w:r>
      <w:proofErr w:type="spellEnd"/>
      <w:r w:rsidRPr="00E077B5">
        <w:rPr>
          <w:rFonts w:asciiTheme="minorHAnsi" w:hAnsiTheme="minorHAnsi" w:cstheme="minorHAnsi"/>
        </w:rPr>
        <w:t xml:space="preserve"> LJ had no doubt that MB’s state of mind at the time of the killing fell within the parameters of “drunken intent” when he said that </w:t>
      </w:r>
      <w:r w:rsidR="00641786" w:rsidRPr="00E077B5">
        <w:rPr>
          <w:rFonts w:asciiTheme="minorHAnsi" w:hAnsiTheme="minorHAnsi" w:cstheme="minorHAnsi"/>
        </w:rPr>
        <w:t>t</w:t>
      </w:r>
      <w:r w:rsidRPr="00E077B5">
        <w:rPr>
          <w:rFonts w:asciiTheme="minorHAnsi" w:hAnsiTheme="minorHAnsi" w:cstheme="minorHAnsi"/>
        </w:rPr>
        <w:t xml:space="preserve">he </w:t>
      </w:r>
      <w:r w:rsidR="00641786" w:rsidRPr="00E077B5">
        <w:rPr>
          <w:rFonts w:asciiTheme="minorHAnsi" w:hAnsiTheme="minorHAnsi" w:cstheme="minorHAnsi"/>
        </w:rPr>
        <w:t>“</w:t>
      </w:r>
      <w:r w:rsidRPr="00E077B5">
        <w:rPr>
          <w:rFonts w:asciiTheme="minorHAnsi" w:hAnsiTheme="minorHAnsi" w:cstheme="minorHAnsi"/>
        </w:rPr>
        <w:t xml:space="preserve">nature of the attack and the level of force used in the stabbing plainly pointed to an intention to kill, or at least to cause really serious injury” </w:t>
      </w:r>
      <w:r w:rsidR="00641786" w:rsidRPr="00E077B5">
        <w:rPr>
          <w:rFonts w:asciiTheme="minorHAnsi" w:hAnsiTheme="minorHAnsi" w:cstheme="minorHAnsi"/>
        </w:rPr>
        <w:t>(</w:t>
      </w:r>
      <w:r w:rsidRPr="00E077B5">
        <w:rPr>
          <w:rFonts w:asciiTheme="minorHAnsi" w:hAnsiTheme="minorHAnsi" w:cstheme="minorHAnsi"/>
        </w:rPr>
        <w:t>[at 3]</w:t>
      </w:r>
      <w:r w:rsidR="00641786" w:rsidRPr="00E077B5">
        <w:rPr>
          <w:rFonts w:asciiTheme="minorHAnsi" w:hAnsiTheme="minorHAnsi" w:cstheme="minorHAnsi"/>
        </w:rPr>
        <w:t>)</w:t>
      </w:r>
      <w:r w:rsidRPr="00E077B5">
        <w:rPr>
          <w:rFonts w:asciiTheme="minorHAnsi" w:hAnsiTheme="minorHAnsi" w:cstheme="minorHAnsi"/>
        </w:rPr>
        <w:t>.</w:t>
      </w:r>
    </w:p>
    <w:p w:rsidR="003B5812" w:rsidRPr="00E077B5" w:rsidRDefault="003B5812" w:rsidP="003B5812">
      <w:pPr>
        <w:pStyle w:val="ListParagraph"/>
        <w:ind w:left="0"/>
        <w:jc w:val="both"/>
        <w:rPr>
          <w:rFonts w:asciiTheme="minorHAnsi" w:hAnsiTheme="minorHAnsi" w:cstheme="minorHAnsi"/>
        </w:rPr>
      </w:pPr>
    </w:p>
    <w:p w:rsidR="00B64BF5" w:rsidRPr="00E077B5" w:rsidRDefault="000B28FE">
      <w:pPr>
        <w:rPr>
          <w:rFonts w:asciiTheme="minorHAnsi" w:hAnsiTheme="minorHAnsi" w:cstheme="minorHAnsi"/>
          <w:b/>
          <w:i/>
        </w:rPr>
      </w:pPr>
      <w:r w:rsidRPr="00E077B5">
        <w:rPr>
          <w:rFonts w:asciiTheme="minorHAnsi" w:hAnsiTheme="minorHAnsi" w:cstheme="minorHAnsi"/>
          <w:b/>
          <w:i/>
        </w:rPr>
        <w:t>Diminished responsibility</w:t>
      </w:r>
    </w:p>
    <w:p w:rsidR="000B28FE" w:rsidRPr="00E077B5" w:rsidRDefault="00155346" w:rsidP="00EC367B">
      <w:pPr>
        <w:jc w:val="both"/>
        <w:rPr>
          <w:rFonts w:asciiTheme="minorHAnsi" w:hAnsiTheme="minorHAnsi" w:cstheme="minorHAnsi"/>
        </w:rPr>
      </w:pPr>
      <w:r w:rsidRPr="00E077B5">
        <w:rPr>
          <w:rFonts w:asciiTheme="minorHAnsi" w:hAnsiTheme="minorHAnsi" w:cstheme="minorHAnsi"/>
        </w:rPr>
        <w:t>The defence of diminished responsibility is located in s.2</w:t>
      </w:r>
      <w:r w:rsidR="00641786" w:rsidRPr="00E077B5">
        <w:rPr>
          <w:rFonts w:asciiTheme="minorHAnsi" w:hAnsiTheme="minorHAnsi" w:cstheme="minorHAnsi"/>
        </w:rPr>
        <w:t>(1)</w:t>
      </w:r>
      <w:r w:rsidRPr="00E077B5">
        <w:rPr>
          <w:rFonts w:asciiTheme="minorHAnsi" w:hAnsiTheme="minorHAnsi" w:cstheme="minorHAnsi"/>
        </w:rPr>
        <w:t xml:space="preserve"> of the Homicide Act 1957</w:t>
      </w:r>
      <w:r w:rsidR="00FD10A8" w:rsidRPr="00E077B5">
        <w:rPr>
          <w:rFonts w:asciiTheme="minorHAnsi" w:hAnsiTheme="minorHAnsi" w:cstheme="minorHAnsi"/>
        </w:rPr>
        <w:t xml:space="preserve"> (the 1957 Act)</w:t>
      </w:r>
      <w:r w:rsidRPr="00E077B5">
        <w:rPr>
          <w:rFonts w:asciiTheme="minorHAnsi" w:hAnsiTheme="minorHAnsi" w:cstheme="minorHAnsi"/>
        </w:rPr>
        <w:t>, as amended by s.52 of the Corners and Justice Act 2009</w:t>
      </w:r>
      <w:r w:rsidR="00FD10A8" w:rsidRPr="00E077B5">
        <w:rPr>
          <w:rFonts w:asciiTheme="minorHAnsi" w:hAnsiTheme="minorHAnsi" w:cstheme="minorHAnsi"/>
        </w:rPr>
        <w:t xml:space="preserve"> (the 2009 Act)</w:t>
      </w:r>
      <w:r w:rsidR="00EC367B" w:rsidRPr="00E077B5">
        <w:rPr>
          <w:rFonts w:asciiTheme="minorHAnsi" w:hAnsiTheme="minorHAnsi" w:cstheme="minorHAnsi"/>
        </w:rPr>
        <w:t xml:space="preserve">. It is only a defence to murder and </w:t>
      </w:r>
      <w:r w:rsidRPr="00E077B5">
        <w:rPr>
          <w:rFonts w:asciiTheme="minorHAnsi" w:hAnsiTheme="minorHAnsi" w:cstheme="minorHAnsi"/>
        </w:rPr>
        <w:t xml:space="preserve">provides that </w:t>
      </w:r>
      <w:r w:rsidR="00EC367B" w:rsidRPr="00E077B5">
        <w:rPr>
          <w:rFonts w:asciiTheme="minorHAnsi" w:hAnsiTheme="minorHAnsi" w:cstheme="minorHAnsi"/>
        </w:rPr>
        <w:t>an accused will be entitled to be found not guilty of murder (albeit guilty of manslaughter instead) if the jury is satisfied that, at the time of the killing, he was suffering from an ‘abnormality of mental functioning’ which arose from a ‘recognised mental condition’, which ‘substantially impaired’ the accused</w:t>
      </w:r>
      <w:r w:rsidR="00641786" w:rsidRPr="00E077B5">
        <w:rPr>
          <w:rFonts w:asciiTheme="minorHAnsi" w:hAnsiTheme="minorHAnsi" w:cstheme="minorHAnsi"/>
        </w:rPr>
        <w:t>’</w:t>
      </w:r>
      <w:r w:rsidR="00EC367B" w:rsidRPr="00E077B5">
        <w:rPr>
          <w:rFonts w:asciiTheme="minorHAnsi" w:hAnsiTheme="minorHAnsi" w:cstheme="minorHAnsi"/>
        </w:rPr>
        <w:t>s ability to understand the nature of his conduct, to form a rational judgment and/or to exercise self-control and which provided ‘an explanation’ for his doing or being a party to the killing. The burden of proof is on the defence (s.2(2))</w:t>
      </w:r>
      <w:r w:rsidR="00FD10A8" w:rsidRPr="00E077B5">
        <w:rPr>
          <w:rFonts w:asciiTheme="minorHAnsi" w:hAnsiTheme="minorHAnsi" w:cstheme="minorHAnsi"/>
        </w:rPr>
        <w:t xml:space="preserve"> of the </w:t>
      </w:r>
      <w:r w:rsidR="00EC367B" w:rsidRPr="00E077B5">
        <w:rPr>
          <w:rFonts w:asciiTheme="minorHAnsi" w:hAnsiTheme="minorHAnsi" w:cstheme="minorHAnsi"/>
        </w:rPr>
        <w:t>1957</w:t>
      </w:r>
      <w:r w:rsidR="00FD10A8" w:rsidRPr="00E077B5">
        <w:rPr>
          <w:rFonts w:asciiTheme="minorHAnsi" w:hAnsiTheme="minorHAnsi" w:cstheme="minorHAnsi"/>
        </w:rPr>
        <w:t xml:space="preserve"> Act</w:t>
      </w:r>
      <w:r w:rsidR="00EC367B" w:rsidRPr="00E077B5">
        <w:rPr>
          <w:rFonts w:asciiTheme="minorHAnsi" w:hAnsiTheme="minorHAnsi" w:cstheme="minorHAnsi"/>
        </w:rPr>
        <w:t>) albeit on the lower standard, that of the balance of probability (</w:t>
      </w:r>
      <w:r w:rsidR="00EC367B" w:rsidRPr="00E077B5">
        <w:rPr>
          <w:rFonts w:asciiTheme="minorHAnsi" w:hAnsiTheme="minorHAnsi" w:cstheme="minorHAnsi"/>
          <w:bCs/>
          <w:i/>
        </w:rPr>
        <w:t>R v Dunbar</w:t>
      </w:r>
      <w:r w:rsidR="00EC367B" w:rsidRPr="00E077B5">
        <w:rPr>
          <w:rFonts w:asciiTheme="minorHAnsi" w:hAnsiTheme="minorHAnsi" w:cstheme="minorHAnsi"/>
          <w:bCs/>
        </w:rPr>
        <w:t xml:space="preserve"> </w:t>
      </w:r>
      <w:r w:rsidR="00EC367B" w:rsidRPr="00E077B5">
        <w:rPr>
          <w:rFonts w:asciiTheme="minorHAnsi" w:hAnsiTheme="minorHAnsi" w:cstheme="minorHAnsi"/>
        </w:rPr>
        <w:t>[1958] 1 QB 1).</w:t>
      </w:r>
    </w:p>
    <w:p w:rsidR="00EC367B" w:rsidRPr="00E077B5" w:rsidRDefault="00EC367B" w:rsidP="00EC367B">
      <w:pPr>
        <w:jc w:val="both"/>
        <w:rPr>
          <w:rFonts w:asciiTheme="minorHAnsi" w:hAnsiTheme="minorHAnsi" w:cstheme="minorHAnsi"/>
        </w:rPr>
      </w:pPr>
    </w:p>
    <w:p w:rsidR="00C87F2C" w:rsidRDefault="00EC367B" w:rsidP="00EC367B">
      <w:pPr>
        <w:jc w:val="both"/>
        <w:rPr>
          <w:rStyle w:val="Emphasis"/>
          <w:rFonts w:asciiTheme="minorHAnsi" w:hAnsiTheme="minorHAnsi" w:cstheme="minorHAnsi"/>
          <w:i w:val="0"/>
          <w:color w:val="000000" w:themeColor="text1"/>
        </w:rPr>
      </w:pPr>
      <w:r w:rsidRPr="00E077B5">
        <w:rPr>
          <w:rFonts w:asciiTheme="minorHAnsi" w:hAnsiTheme="minorHAnsi" w:cstheme="minorHAnsi"/>
        </w:rPr>
        <w:t xml:space="preserve">In </w:t>
      </w:r>
      <w:r w:rsidR="00C87F2C">
        <w:rPr>
          <w:rFonts w:asciiTheme="minorHAnsi" w:hAnsiTheme="minorHAnsi" w:cstheme="minorHAnsi"/>
        </w:rPr>
        <w:t>the present case</w:t>
      </w:r>
      <w:r w:rsidR="00CF0A72" w:rsidRPr="00E077B5">
        <w:rPr>
          <w:rFonts w:asciiTheme="minorHAnsi" w:hAnsiTheme="minorHAnsi" w:cstheme="minorHAnsi"/>
        </w:rPr>
        <w:t>,</w:t>
      </w:r>
      <w:r w:rsidRPr="00E077B5">
        <w:rPr>
          <w:rFonts w:asciiTheme="minorHAnsi" w:hAnsiTheme="minorHAnsi" w:cstheme="minorHAnsi"/>
        </w:rPr>
        <w:t xml:space="preserve"> the defence </w:t>
      </w:r>
      <w:r w:rsidR="00ED5A78" w:rsidRPr="00E077B5">
        <w:rPr>
          <w:rFonts w:asciiTheme="minorHAnsi" w:hAnsiTheme="minorHAnsi" w:cstheme="minorHAnsi"/>
        </w:rPr>
        <w:t xml:space="preserve">did not fail because of any judicial misgivings about the acceptability of alcohol dependence syndrome as the basis of a </w:t>
      </w:r>
      <w:r w:rsidR="00ED5A78" w:rsidRPr="00E077B5">
        <w:rPr>
          <w:rStyle w:val="documentbody1"/>
          <w:rFonts w:asciiTheme="minorHAnsi" w:hAnsiTheme="minorHAnsi" w:cstheme="minorHAnsi"/>
          <w:color w:val="000000"/>
          <w:sz w:val="24"/>
          <w:szCs w:val="24"/>
        </w:rPr>
        <w:t xml:space="preserve">diminished responsibility </w:t>
      </w:r>
      <w:r w:rsidR="00ED5A78" w:rsidRPr="00E077B5">
        <w:rPr>
          <w:rStyle w:val="documentbody1"/>
          <w:rFonts w:asciiTheme="minorHAnsi" w:hAnsiTheme="minorHAnsi" w:cstheme="minorHAnsi"/>
          <w:color w:val="000000"/>
          <w:sz w:val="24"/>
          <w:szCs w:val="24"/>
        </w:rPr>
        <w:lastRenderedPageBreak/>
        <w:t xml:space="preserve">plea. </w:t>
      </w:r>
      <w:r w:rsidR="007E5F35" w:rsidRPr="00E077B5">
        <w:rPr>
          <w:rStyle w:val="documentbody1"/>
          <w:rFonts w:asciiTheme="minorHAnsi" w:hAnsiTheme="minorHAnsi" w:cstheme="minorHAnsi"/>
          <w:color w:val="000000"/>
          <w:sz w:val="24"/>
          <w:szCs w:val="24"/>
        </w:rPr>
        <w:t xml:space="preserve">In </w:t>
      </w:r>
      <w:r w:rsidR="007E5F35" w:rsidRPr="00E077B5">
        <w:rPr>
          <w:rStyle w:val="Emphasis"/>
          <w:rFonts w:asciiTheme="minorHAnsi" w:hAnsiTheme="minorHAnsi" w:cstheme="minorHAnsi"/>
          <w:color w:val="000000" w:themeColor="text1"/>
        </w:rPr>
        <w:t>R v Stewart</w:t>
      </w:r>
      <w:r w:rsidR="007E5F35" w:rsidRPr="00E077B5">
        <w:rPr>
          <w:rStyle w:val="Emphasis"/>
          <w:rFonts w:asciiTheme="minorHAnsi" w:hAnsiTheme="minorHAnsi" w:cstheme="minorHAnsi"/>
          <w:i w:val="0"/>
          <w:color w:val="000000" w:themeColor="text1"/>
        </w:rPr>
        <w:t xml:space="preserve"> </w:t>
      </w:r>
      <w:r w:rsidR="007E5F35" w:rsidRPr="00E077B5">
        <w:rPr>
          <w:rFonts w:asciiTheme="minorHAnsi" w:hAnsiTheme="minorHAnsi" w:cstheme="minorHAnsi"/>
          <w:bCs/>
        </w:rPr>
        <w:t xml:space="preserve">[2009] EWCA </w:t>
      </w:r>
      <w:proofErr w:type="spellStart"/>
      <w:r w:rsidR="007E5F35" w:rsidRPr="00E077B5">
        <w:rPr>
          <w:rFonts w:asciiTheme="minorHAnsi" w:hAnsiTheme="minorHAnsi" w:cstheme="minorHAnsi"/>
          <w:bCs/>
        </w:rPr>
        <w:t>Crim</w:t>
      </w:r>
      <w:proofErr w:type="spellEnd"/>
      <w:r w:rsidR="007E5F35" w:rsidRPr="00E077B5">
        <w:rPr>
          <w:rFonts w:asciiTheme="minorHAnsi" w:hAnsiTheme="minorHAnsi" w:cstheme="minorHAnsi"/>
          <w:bCs/>
        </w:rPr>
        <w:t xml:space="preserve"> 593</w:t>
      </w:r>
      <w:r w:rsidR="007E5F35" w:rsidRPr="00E077B5">
        <w:rPr>
          <w:rStyle w:val="Emphasis"/>
          <w:rFonts w:asciiTheme="minorHAnsi" w:hAnsiTheme="minorHAnsi" w:cstheme="minorHAnsi"/>
          <w:i w:val="0"/>
          <w:color w:val="000000" w:themeColor="text1"/>
        </w:rPr>
        <w:t xml:space="preserve">, [2009] 1 WLR 2507, Lord Judge CJ in </w:t>
      </w:r>
      <w:r w:rsidR="00C87F2C">
        <w:rPr>
          <w:rStyle w:val="Emphasis"/>
          <w:rFonts w:asciiTheme="minorHAnsi" w:hAnsiTheme="minorHAnsi" w:cstheme="minorHAnsi"/>
          <w:i w:val="0"/>
          <w:color w:val="000000" w:themeColor="text1"/>
        </w:rPr>
        <w:t>the Court of Appeal stated that:</w:t>
      </w:r>
    </w:p>
    <w:p w:rsidR="00C87F2C" w:rsidRDefault="00C87F2C" w:rsidP="00EC367B">
      <w:pPr>
        <w:jc w:val="both"/>
        <w:rPr>
          <w:rStyle w:val="Emphasis"/>
          <w:rFonts w:asciiTheme="minorHAnsi" w:hAnsiTheme="minorHAnsi" w:cstheme="minorHAnsi"/>
          <w:i w:val="0"/>
          <w:color w:val="000000" w:themeColor="text1"/>
        </w:rPr>
      </w:pPr>
    </w:p>
    <w:p w:rsidR="00C87F2C" w:rsidRDefault="007E5F35" w:rsidP="00C87F2C">
      <w:pPr>
        <w:ind w:left="567" w:right="567"/>
        <w:jc w:val="both"/>
        <w:rPr>
          <w:rStyle w:val="Emphasis"/>
          <w:rFonts w:asciiTheme="minorHAnsi" w:hAnsiTheme="minorHAnsi" w:cstheme="minorHAnsi"/>
          <w:i w:val="0"/>
        </w:rPr>
      </w:pPr>
      <w:r w:rsidRPr="00E077B5">
        <w:rPr>
          <w:rFonts w:asciiTheme="minorHAnsi" w:hAnsiTheme="minorHAnsi" w:cstheme="minorHAnsi"/>
        </w:rPr>
        <w:t>Whether or not brain damage is discernible, alcohol dependency syndrome is a disease (ICD-10) or disorder of the mind (DSM-IV-TR). It is not excluded from the operation of s.2 of the Homicide Act 1957</w:t>
      </w:r>
      <w:r w:rsidR="00C87F2C">
        <w:rPr>
          <w:rFonts w:asciiTheme="minorHAnsi" w:hAnsiTheme="minorHAnsi" w:cstheme="minorHAnsi"/>
        </w:rPr>
        <w:t>.</w:t>
      </w:r>
      <w:r w:rsidRPr="00E077B5">
        <w:rPr>
          <w:rStyle w:val="Emphasis"/>
          <w:rFonts w:asciiTheme="minorHAnsi" w:hAnsiTheme="minorHAnsi" w:cstheme="minorHAnsi"/>
          <w:i w:val="0"/>
        </w:rPr>
        <w:t xml:space="preserve"> (</w:t>
      </w:r>
      <w:r w:rsidRPr="00E077B5">
        <w:rPr>
          <w:rStyle w:val="Emphasis"/>
          <w:rFonts w:asciiTheme="minorHAnsi" w:hAnsiTheme="minorHAnsi" w:cstheme="minorHAnsi"/>
        </w:rPr>
        <w:t>Stewart</w:t>
      </w:r>
      <w:r w:rsidRPr="00E077B5">
        <w:rPr>
          <w:rStyle w:val="Emphasis"/>
          <w:rFonts w:asciiTheme="minorHAnsi" w:hAnsiTheme="minorHAnsi" w:cstheme="minorHAnsi"/>
          <w:i w:val="0"/>
        </w:rPr>
        <w:t xml:space="preserve"> at [26]). </w:t>
      </w:r>
    </w:p>
    <w:p w:rsidR="00C87F2C" w:rsidRDefault="00C87F2C" w:rsidP="00EC367B">
      <w:pPr>
        <w:jc w:val="both"/>
        <w:rPr>
          <w:rStyle w:val="Emphasis"/>
          <w:rFonts w:asciiTheme="minorHAnsi" w:hAnsiTheme="minorHAnsi" w:cstheme="minorHAnsi"/>
          <w:i w:val="0"/>
        </w:rPr>
      </w:pPr>
    </w:p>
    <w:p w:rsidR="00ED5A78" w:rsidRPr="00E077B5" w:rsidRDefault="007E5F35" w:rsidP="00EC367B">
      <w:pPr>
        <w:jc w:val="both"/>
        <w:rPr>
          <w:rFonts w:asciiTheme="minorHAnsi" w:hAnsiTheme="minorHAnsi" w:cstheme="minorHAnsi"/>
        </w:rPr>
      </w:pPr>
      <w:r w:rsidRPr="00E077B5">
        <w:rPr>
          <w:rStyle w:val="Emphasis"/>
          <w:rFonts w:asciiTheme="minorHAnsi" w:hAnsiTheme="minorHAnsi" w:cstheme="minorHAnsi"/>
          <w:i w:val="0"/>
        </w:rPr>
        <w:t xml:space="preserve">Although </w:t>
      </w:r>
      <w:r w:rsidRPr="00E077B5">
        <w:rPr>
          <w:rStyle w:val="Emphasis"/>
          <w:rFonts w:asciiTheme="minorHAnsi" w:hAnsiTheme="minorHAnsi" w:cstheme="minorHAnsi"/>
        </w:rPr>
        <w:t>Stewart</w:t>
      </w:r>
      <w:r w:rsidRPr="00E077B5">
        <w:rPr>
          <w:rStyle w:val="Emphasis"/>
          <w:rFonts w:asciiTheme="minorHAnsi" w:hAnsiTheme="minorHAnsi" w:cstheme="minorHAnsi"/>
          <w:i w:val="0"/>
        </w:rPr>
        <w:t xml:space="preserve"> was a decision on the </w:t>
      </w:r>
      <w:r w:rsidR="00E01AE0" w:rsidRPr="00E077B5">
        <w:rPr>
          <w:rStyle w:val="Emphasis"/>
          <w:rFonts w:asciiTheme="minorHAnsi" w:hAnsiTheme="minorHAnsi" w:cstheme="minorHAnsi"/>
          <w:i w:val="0"/>
        </w:rPr>
        <w:t xml:space="preserve">original version of the </w:t>
      </w:r>
      <w:r w:rsidRPr="00E077B5">
        <w:rPr>
          <w:rStyle w:val="Emphasis"/>
          <w:rFonts w:asciiTheme="minorHAnsi" w:hAnsiTheme="minorHAnsi" w:cstheme="minorHAnsi"/>
          <w:i w:val="0"/>
        </w:rPr>
        <w:t>Homicide Act</w:t>
      </w:r>
      <w:r w:rsidR="00E01AE0" w:rsidRPr="00E077B5">
        <w:rPr>
          <w:rStyle w:val="Emphasis"/>
          <w:rFonts w:asciiTheme="minorHAnsi" w:hAnsiTheme="minorHAnsi" w:cstheme="minorHAnsi"/>
          <w:i w:val="0"/>
        </w:rPr>
        <w:t xml:space="preserve">, the </w:t>
      </w:r>
      <w:r w:rsidRPr="00E077B5">
        <w:rPr>
          <w:rStyle w:val="Emphasis"/>
          <w:rFonts w:asciiTheme="minorHAnsi" w:hAnsiTheme="minorHAnsi" w:cstheme="minorHAnsi"/>
          <w:i w:val="0"/>
        </w:rPr>
        <w:t xml:space="preserve">amendment </w:t>
      </w:r>
      <w:r w:rsidR="00E01AE0" w:rsidRPr="00E077B5">
        <w:rPr>
          <w:rStyle w:val="Emphasis"/>
          <w:rFonts w:asciiTheme="minorHAnsi" w:hAnsiTheme="minorHAnsi" w:cstheme="minorHAnsi"/>
          <w:i w:val="0"/>
        </w:rPr>
        <w:t xml:space="preserve">of s.2 by </w:t>
      </w:r>
      <w:r w:rsidRPr="00E077B5">
        <w:rPr>
          <w:rStyle w:val="Emphasis"/>
          <w:rFonts w:asciiTheme="minorHAnsi" w:hAnsiTheme="minorHAnsi" w:cstheme="minorHAnsi"/>
          <w:i w:val="0"/>
        </w:rPr>
        <w:t>the Coroners and Justice Act</w:t>
      </w:r>
      <w:r w:rsidR="00E01AE0" w:rsidRPr="00E077B5">
        <w:rPr>
          <w:rStyle w:val="Emphasis"/>
          <w:rFonts w:asciiTheme="minorHAnsi" w:hAnsiTheme="minorHAnsi" w:cstheme="minorHAnsi"/>
          <w:i w:val="0"/>
        </w:rPr>
        <w:t xml:space="preserve"> 2009 does not undermine the veracity of this statement. It is clear that </w:t>
      </w:r>
      <w:r w:rsidR="00E01AE0" w:rsidRPr="00E077B5">
        <w:rPr>
          <w:rFonts w:asciiTheme="minorHAnsi" w:hAnsiTheme="minorHAnsi" w:cstheme="minorHAnsi"/>
        </w:rPr>
        <w:t>alcohol dependence syndrome is a ‘recognised mental condition’.</w:t>
      </w:r>
      <w:r w:rsidR="00E01AE0" w:rsidRPr="00E077B5">
        <w:rPr>
          <w:rStyle w:val="Emphasis"/>
          <w:rFonts w:asciiTheme="minorHAnsi" w:hAnsiTheme="minorHAnsi" w:cstheme="minorHAnsi"/>
          <w:i w:val="0"/>
        </w:rPr>
        <w:t xml:space="preserve"> (</w:t>
      </w:r>
      <w:r w:rsidR="00E01AE0" w:rsidRPr="00C87F2C">
        <w:rPr>
          <w:rStyle w:val="Emphasis"/>
          <w:rFonts w:asciiTheme="minorHAnsi" w:hAnsiTheme="minorHAnsi" w:cstheme="minorHAnsi"/>
        </w:rPr>
        <w:t>Note</w:t>
      </w:r>
      <w:r w:rsidR="00E01AE0" w:rsidRPr="00E077B5">
        <w:rPr>
          <w:rStyle w:val="Emphasis"/>
          <w:rFonts w:asciiTheme="minorHAnsi" w:hAnsiTheme="minorHAnsi" w:cstheme="minorHAnsi"/>
          <w:i w:val="0"/>
        </w:rPr>
        <w:t xml:space="preserve">: </w:t>
      </w:r>
      <w:r w:rsidR="00E077B5">
        <w:rPr>
          <w:rStyle w:val="Emphasis"/>
          <w:rFonts w:asciiTheme="minorHAnsi" w:hAnsiTheme="minorHAnsi" w:cstheme="minorHAnsi"/>
          <w:i w:val="0"/>
        </w:rPr>
        <w:t>“</w:t>
      </w:r>
      <w:r w:rsidR="00E01AE0" w:rsidRPr="00E077B5">
        <w:rPr>
          <w:rFonts w:asciiTheme="minorHAnsi" w:hAnsiTheme="minorHAnsi" w:cstheme="minorHAnsi"/>
        </w:rPr>
        <w:t>ICD-10</w:t>
      </w:r>
      <w:r w:rsidR="00E077B5">
        <w:rPr>
          <w:rFonts w:asciiTheme="minorHAnsi" w:hAnsiTheme="minorHAnsi" w:cstheme="minorHAnsi"/>
        </w:rPr>
        <w:t>”</w:t>
      </w:r>
      <w:r w:rsidR="00E01AE0" w:rsidRPr="00E077B5">
        <w:rPr>
          <w:rFonts w:asciiTheme="minorHAnsi" w:hAnsiTheme="minorHAnsi" w:cstheme="minorHAnsi"/>
        </w:rPr>
        <w:t xml:space="preserve"> refers to the 10</w:t>
      </w:r>
      <w:r w:rsidR="00E01AE0" w:rsidRPr="00E077B5">
        <w:rPr>
          <w:rFonts w:asciiTheme="minorHAnsi" w:hAnsiTheme="minorHAnsi" w:cstheme="minorHAnsi"/>
          <w:vertAlign w:val="superscript"/>
        </w:rPr>
        <w:t>th</w:t>
      </w:r>
      <w:r w:rsidR="00E01AE0" w:rsidRPr="00E077B5">
        <w:rPr>
          <w:rFonts w:asciiTheme="minorHAnsi" w:hAnsiTheme="minorHAnsi" w:cstheme="minorHAnsi"/>
        </w:rPr>
        <w:t xml:space="preserve"> revision of the World Health Organisation’s </w:t>
      </w:r>
      <w:r w:rsidR="00E01AE0" w:rsidRPr="00E077B5">
        <w:rPr>
          <w:rFonts w:asciiTheme="minorHAnsi" w:hAnsiTheme="minorHAnsi" w:cstheme="minorHAnsi"/>
          <w:i/>
        </w:rPr>
        <w:t>International Classification of Diseases</w:t>
      </w:r>
      <w:r w:rsidR="00E01AE0" w:rsidRPr="00E077B5">
        <w:rPr>
          <w:rFonts w:asciiTheme="minorHAnsi" w:hAnsiTheme="minorHAnsi" w:cstheme="minorHAnsi"/>
        </w:rPr>
        <w:t xml:space="preserve"> and </w:t>
      </w:r>
      <w:r w:rsidR="00E077B5">
        <w:rPr>
          <w:rFonts w:asciiTheme="minorHAnsi" w:hAnsiTheme="minorHAnsi" w:cstheme="minorHAnsi"/>
        </w:rPr>
        <w:t>“</w:t>
      </w:r>
      <w:r w:rsidR="00E01AE0" w:rsidRPr="00E077B5">
        <w:rPr>
          <w:rFonts w:asciiTheme="minorHAnsi" w:hAnsiTheme="minorHAnsi" w:cstheme="minorHAnsi"/>
        </w:rPr>
        <w:t>DSM-IV-TR</w:t>
      </w:r>
      <w:r w:rsidR="00E077B5">
        <w:rPr>
          <w:rFonts w:asciiTheme="minorHAnsi" w:hAnsiTheme="minorHAnsi" w:cstheme="minorHAnsi"/>
        </w:rPr>
        <w:t>”</w:t>
      </w:r>
      <w:r w:rsidR="00E01AE0" w:rsidRPr="00E077B5">
        <w:rPr>
          <w:rFonts w:asciiTheme="minorHAnsi" w:hAnsiTheme="minorHAnsi" w:cstheme="minorHAnsi"/>
        </w:rPr>
        <w:t xml:space="preserve"> refers to the </w:t>
      </w:r>
      <w:r w:rsidR="00E01AE0" w:rsidRPr="00E077B5">
        <w:rPr>
          <w:rFonts w:asciiTheme="minorHAnsi" w:hAnsiTheme="minorHAnsi" w:cstheme="minorHAnsi"/>
          <w:i/>
        </w:rPr>
        <w:t>Diagnostic and Statistical Manual of Mental Disorders</w:t>
      </w:r>
      <w:r w:rsidR="00E01AE0" w:rsidRPr="00E077B5">
        <w:rPr>
          <w:rFonts w:asciiTheme="minorHAnsi" w:hAnsiTheme="minorHAnsi" w:cstheme="minorHAnsi"/>
        </w:rPr>
        <w:t>, published by the American Psychiatric Association.)</w:t>
      </w:r>
    </w:p>
    <w:p w:rsidR="00ED5A78" w:rsidRPr="00E077B5" w:rsidRDefault="00ED5A78" w:rsidP="00EC367B">
      <w:pPr>
        <w:jc w:val="both"/>
        <w:rPr>
          <w:rFonts w:asciiTheme="minorHAnsi" w:hAnsiTheme="minorHAnsi" w:cstheme="minorHAnsi"/>
        </w:rPr>
      </w:pPr>
    </w:p>
    <w:p w:rsidR="007D7CF4" w:rsidRPr="00E077B5" w:rsidRDefault="00C87F2C" w:rsidP="00EC367B">
      <w:pPr>
        <w:jc w:val="both"/>
        <w:rPr>
          <w:rFonts w:asciiTheme="minorHAnsi" w:hAnsiTheme="minorHAnsi" w:cstheme="minorHAnsi"/>
        </w:rPr>
      </w:pPr>
      <w:r>
        <w:rPr>
          <w:rFonts w:asciiTheme="minorHAnsi" w:hAnsiTheme="minorHAnsi" w:cstheme="minorHAnsi"/>
        </w:rPr>
        <w:t>T</w:t>
      </w:r>
      <w:r w:rsidR="00ED5A78" w:rsidRPr="00E077B5">
        <w:rPr>
          <w:rFonts w:asciiTheme="minorHAnsi" w:hAnsiTheme="minorHAnsi" w:cstheme="minorHAnsi"/>
        </w:rPr>
        <w:t xml:space="preserve">he defence </w:t>
      </w:r>
      <w:r>
        <w:rPr>
          <w:rFonts w:asciiTheme="minorHAnsi" w:hAnsiTheme="minorHAnsi" w:cstheme="minorHAnsi"/>
        </w:rPr>
        <w:t>i</w:t>
      </w:r>
      <w:r>
        <w:rPr>
          <w:rFonts w:asciiTheme="minorHAnsi" w:hAnsiTheme="minorHAnsi" w:cstheme="minorHAnsi"/>
        </w:rPr>
        <w:t>n the present case</w:t>
      </w:r>
      <w:r w:rsidRPr="00E077B5">
        <w:rPr>
          <w:rFonts w:asciiTheme="minorHAnsi" w:hAnsiTheme="minorHAnsi" w:cstheme="minorHAnsi"/>
        </w:rPr>
        <w:t xml:space="preserve"> </w:t>
      </w:r>
      <w:r w:rsidR="00EC367B" w:rsidRPr="00E077B5">
        <w:rPr>
          <w:rFonts w:asciiTheme="minorHAnsi" w:hAnsiTheme="minorHAnsi" w:cstheme="minorHAnsi"/>
        </w:rPr>
        <w:t xml:space="preserve">failed because of a lack of evidence. </w:t>
      </w:r>
      <w:r w:rsidR="00CF0A72" w:rsidRPr="00E077B5">
        <w:rPr>
          <w:rFonts w:asciiTheme="minorHAnsi" w:hAnsiTheme="minorHAnsi" w:cstheme="minorHAnsi"/>
          <w:bCs/>
        </w:rPr>
        <w:t xml:space="preserve">The principle that medical evidence is crucial to the defence of </w:t>
      </w:r>
      <w:r w:rsidR="00B64BF5" w:rsidRPr="00E077B5">
        <w:rPr>
          <w:rStyle w:val="documentbody1"/>
          <w:rFonts w:asciiTheme="minorHAnsi" w:hAnsiTheme="minorHAnsi" w:cstheme="minorHAnsi"/>
          <w:sz w:val="24"/>
          <w:szCs w:val="24"/>
        </w:rPr>
        <w:t xml:space="preserve">diminished responsibility was </w:t>
      </w:r>
      <w:r w:rsidR="00CF0A72" w:rsidRPr="00E077B5">
        <w:rPr>
          <w:rFonts w:asciiTheme="minorHAnsi" w:hAnsiTheme="minorHAnsi" w:cstheme="minorHAnsi"/>
          <w:bCs/>
        </w:rPr>
        <w:t xml:space="preserve">first </w:t>
      </w:r>
      <w:r w:rsidR="00FE0EB7" w:rsidRPr="00E077B5">
        <w:rPr>
          <w:rFonts w:asciiTheme="minorHAnsi" w:hAnsiTheme="minorHAnsi" w:cstheme="minorHAnsi"/>
          <w:bCs/>
        </w:rPr>
        <w:t>established</w:t>
      </w:r>
      <w:r w:rsidR="00CF0A72" w:rsidRPr="00E077B5">
        <w:rPr>
          <w:rFonts w:asciiTheme="minorHAnsi" w:hAnsiTheme="minorHAnsi" w:cstheme="minorHAnsi"/>
          <w:bCs/>
        </w:rPr>
        <w:t xml:space="preserve"> in </w:t>
      </w:r>
      <w:r w:rsidR="00641786" w:rsidRPr="00E077B5">
        <w:rPr>
          <w:rFonts w:asciiTheme="minorHAnsi" w:hAnsiTheme="minorHAnsi" w:cstheme="minorHAnsi"/>
          <w:bCs/>
          <w:i/>
        </w:rPr>
        <w:t xml:space="preserve">R v </w:t>
      </w:r>
      <w:r w:rsidR="00CF0A72" w:rsidRPr="00E077B5">
        <w:rPr>
          <w:rFonts w:asciiTheme="minorHAnsi" w:hAnsiTheme="minorHAnsi" w:cstheme="minorHAnsi"/>
          <w:i/>
          <w:iCs/>
        </w:rPr>
        <w:t>Byrne</w:t>
      </w:r>
      <w:r w:rsidR="00CF0A72" w:rsidRPr="00E077B5">
        <w:rPr>
          <w:rFonts w:asciiTheme="minorHAnsi" w:hAnsiTheme="minorHAnsi" w:cstheme="minorHAnsi"/>
        </w:rPr>
        <w:t xml:space="preserve"> [1960] 2 QB 396, in which </w:t>
      </w:r>
      <w:r w:rsidR="00641786" w:rsidRPr="00E077B5">
        <w:rPr>
          <w:rFonts w:asciiTheme="minorHAnsi" w:hAnsiTheme="minorHAnsi" w:cstheme="minorHAnsi"/>
        </w:rPr>
        <w:t xml:space="preserve">Lord </w:t>
      </w:r>
      <w:r w:rsidR="00CF0A72" w:rsidRPr="00E077B5">
        <w:rPr>
          <w:rFonts w:asciiTheme="minorHAnsi" w:hAnsiTheme="minorHAnsi" w:cstheme="minorHAnsi"/>
        </w:rPr>
        <w:t xml:space="preserve">Parker CJ said that, while there was no statutory requirement that a plea of </w:t>
      </w:r>
      <w:r w:rsidR="00CF0A72" w:rsidRPr="00E077B5">
        <w:rPr>
          <w:rFonts w:asciiTheme="minorHAnsi" w:hAnsiTheme="minorHAnsi" w:cstheme="minorHAnsi"/>
          <w:bCs/>
        </w:rPr>
        <w:t xml:space="preserve">diminished responsibility </w:t>
      </w:r>
      <w:r w:rsidR="00CF0A72" w:rsidRPr="00E077B5">
        <w:rPr>
          <w:rFonts w:asciiTheme="minorHAnsi" w:hAnsiTheme="minorHAnsi" w:cstheme="minorHAnsi"/>
        </w:rPr>
        <w:t>be supported by medical evidence, the “aetiology of the abnormality… does, however, seem to be a matter to be determined on expert evidence”</w:t>
      </w:r>
      <w:r w:rsidR="00FE0EB7" w:rsidRPr="00E077B5">
        <w:rPr>
          <w:rFonts w:asciiTheme="minorHAnsi" w:hAnsiTheme="minorHAnsi" w:cstheme="minorHAnsi"/>
        </w:rPr>
        <w:t xml:space="preserve"> (at 403)</w:t>
      </w:r>
      <w:r w:rsidR="00CF0A72" w:rsidRPr="00E077B5">
        <w:rPr>
          <w:rFonts w:asciiTheme="minorHAnsi" w:hAnsiTheme="minorHAnsi" w:cstheme="minorHAnsi"/>
        </w:rPr>
        <w:t xml:space="preserve">. Similarly, in </w:t>
      </w:r>
      <w:r w:rsidR="00CF0A72" w:rsidRPr="00E077B5">
        <w:rPr>
          <w:rFonts w:asciiTheme="minorHAnsi" w:hAnsiTheme="minorHAnsi" w:cstheme="minorHAnsi"/>
          <w:i/>
          <w:iCs/>
        </w:rPr>
        <w:t>Dix</w:t>
      </w:r>
      <w:r w:rsidR="00CF0A72" w:rsidRPr="00E077B5">
        <w:rPr>
          <w:rFonts w:asciiTheme="minorHAnsi" w:hAnsiTheme="minorHAnsi" w:cstheme="minorHAnsi"/>
        </w:rPr>
        <w:t xml:space="preserve"> (1982) 74 </w:t>
      </w:r>
      <w:r w:rsidR="007D7CF4" w:rsidRPr="00E077B5">
        <w:rPr>
          <w:rFonts w:asciiTheme="minorHAnsi" w:hAnsiTheme="minorHAnsi" w:cstheme="minorHAnsi"/>
        </w:rPr>
        <w:t>Cr App R</w:t>
      </w:r>
      <w:r w:rsidR="00CF0A72" w:rsidRPr="00E077B5">
        <w:rPr>
          <w:rFonts w:asciiTheme="minorHAnsi" w:hAnsiTheme="minorHAnsi" w:cstheme="minorHAnsi"/>
        </w:rPr>
        <w:t xml:space="preserve"> 30</w:t>
      </w:r>
      <w:r w:rsidR="009B07C6" w:rsidRPr="00E077B5">
        <w:rPr>
          <w:rFonts w:asciiTheme="minorHAnsi" w:hAnsiTheme="minorHAnsi" w:cstheme="minorHAnsi"/>
        </w:rPr>
        <w:t>6</w:t>
      </w:r>
      <w:r w:rsidR="00CF0A72" w:rsidRPr="00E077B5">
        <w:rPr>
          <w:rFonts w:asciiTheme="minorHAnsi" w:hAnsiTheme="minorHAnsi" w:cstheme="minorHAnsi"/>
        </w:rPr>
        <w:t xml:space="preserve">, </w:t>
      </w:r>
      <w:r w:rsidR="007D7CF4" w:rsidRPr="00E077B5">
        <w:rPr>
          <w:rFonts w:asciiTheme="minorHAnsi" w:hAnsiTheme="minorHAnsi" w:cstheme="minorHAnsi"/>
        </w:rPr>
        <w:t xml:space="preserve">Shaw LJ in </w:t>
      </w:r>
      <w:r w:rsidR="00CF0A72" w:rsidRPr="00E077B5">
        <w:rPr>
          <w:rFonts w:asciiTheme="minorHAnsi" w:hAnsiTheme="minorHAnsi" w:cstheme="minorHAnsi"/>
        </w:rPr>
        <w:t xml:space="preserve">the Court of Appeal </w:t>
      </w:r>
      <w:r w:rsidR="009B07C6" w:rsidRPr="00E077B5">
        <w:rPr>
          <w:rFonts w:asciiTheme="minorHAnsi" w:hAnsiTheme="minorHAnsi" w:cstheme="minorHAnsi"/>
        </w:rPr>
        <w:t>stated</w:t>
      </w:r>
      <w:r w:rsidR="007D7CF4" w:rsidRPr="00E077B5">
        <w:rPr>
          <w:rFonts w:asciiTheme="minorHAnsi" w:hAnsiTheme="minorHAnsi" w:cstheme="minorHAnsi"/>
        </w:rPr>
        <w:t>, with reference to s.2(1) of the 1957</w:t>
      </w:r>
      <w:r w:rsidR="00641786" w:rsidRPr="00E077B5">
        <w:rPr>
          <w:rFonts w:asciiTheme="minorHAnsi" w:hAnsiTheme="minorHAnsi" w:cstheme="minorHAnsi"/>
        </w:rPr>
        <w:t xml:space="preserve"> Act</w:t>
      </w:r>
      <w:r w:rsidR="007D7CF4" w:rsidRPr="00E077B5">
        <w:rPr>
          <w:rFonts w:asciiTheme="minorHAnsi" w:hAnsiTheme="minorHAnsi" w:cstheme="minorHAnsi"/>
        </w:rPr>
        <w:t>:</w:t>
      </w:r>
    </w:p>
    <w:p w:rsidR="007D7CF4" w:rsidRPr="00E077B5" w:rsidRDefault="007D7CF4" w:rsidP="00EC367B">
      <w:pPr>
        <w:jc w:val="both"/>
        <w:rPr>
          <w:rFonts w:asciiTheme="minorHAnsi" w:hAnsiTheme="minorHAnsi" w:cstheme="minorHAnsi"/>
        </w:rPr>
      </w:pPr>
    </w:p>
    <w:p w:rsidR="00CF0A72" w:rsidRPr="00E077B5" w:rsidRDefault="00C87F2C" w:rsidP="007D7CF4">
      <w:pPr>
        <w:ind w:left="567" w:right="567"/>
        <w:jc w:val="both"/>
        <w:rPr>
          <w:rFonts w:asciiTheme="minorHAnsi" w:hAnsiTheme="minorHAnsi" w:cstheme="minorHAnsi"/>
        </w:rPr>
      </w:pPr>
      <w:r>
        <w:rPr>
          <w:rFonts w:asciiTheme="minorHAnsi" w:hAnsiTheme="minorHAnsi" w:cstheme="minorHAnsi"/>
        </w:rPr>
        <w:t>…s</w:t>
      </w:r>
      <w:r w:rsidR="007D7CF4" w:rsidRPr="00E077B5">
        <w:rPr>
          <w:rFonts w:asciiTheme="minorHAnsi" w:hAnsiTheme="minorHAnsi" w:cstheme="minorHAnsi"/>
        </w:rPr>
        <w:t>cientific evidence of a medical kind is essential… Thus while the subsection does not in terms require that medical evidence be adduced in support of a defence of diminished responsibility, it makes it a practical necessity if that def</w:t>
      </w:r>
      <w:r>
        <w:rPr>
          <w:rFonts w:asciiTheme="minorHAnsi" w:hAnsiTheme="minorHAnsi" w:cstheme="minorHAnsi"/>
        </w:rPr>
        <w:t xml:space="preserve">ence is to begin to run at all. </w:t>
      </w:r>
      <w:r w:rsidRPr="00E077B5">
        <w:rPr>
          <w:rFonts w:asciiTheme="minorHAnsi" w:hAnsiTheme="minorHAnsi" w:cstheme="minorHAnsi"/>
        </w:rPr>
        <w:t>(</w:t>
      </w:r>
      <w:r>
        <w:rPr>
          <w:rFonts w:asciiTheme="minorHAnsi" w:hAnsiTheme="minorHAnsi" w:cstheme="minorHAnsi"/>
          <w:i/>
        </w:rPr>
        <w:t xml:space="preserve">Dix </w:t>
      </w:r>
      <w:r w:rsidRPr="00E077B5">
        <w:rPr>
          <w:rFonts w:asciiTheme="minorHAnsi" w:hAnsiTheme="minorHAnsi" w:cstheme="minorHAnsi"/>
        </w:rPr>
        <w:t>at 311)</w:t>
      </w:r>
    </w:p>
    <w:p w:rsidR="007D7CF4" w:rsidRPr="00E077B5" w:rsidRDefault="007D7CF4" w:rsidP="00EC367B">
      <w:pPr>
        <w:jc w:val="both"/>
        <w:rPr>
          <w:rFonts w:asciiTheme="minorHAnsi" w:hAnsiTheme="minorHAnsi" w:cstheme="minorHAnsi"/>
        </w:rPr>
      </w:pPr>
    </w:p>
    <w:p w:rsidR="00CF0A72" w:rsidRPr="00E077B5" w:rsidRDefault="00CF0A72" w:rsidP="00EC367B">
      <w:pPr>
        <w:jc w:val="both"/>
        <w:rPr>
          <w:rFonts w:asciiTheme="minorHAnsi" w:hAnsiTheme="minorHAnsi" w:cstheme="minorHAnsi"/>
          <w:lang w:val="en"/>
        </w:rPr>
      </w:pPr>
      <w:r w:rsidRPr="00E077B5">
        <w:rPr>
          <w:rFonts w:asciiTheme="minorHAnsi" w:hAnsiTheme="minorHAnsi" w:cstheme="minorHAnsi"/>
        </w:rPr>
        <w:t xml:space="preserve">Whilst </w:t>
      </w:r>
      <w:r w:rsidR="007D7CF4" w:rsidRPr="00E077B5">
        <w:rPr>
          <w:rFonts w:asciiTheme="minorHAnsi" w:hAnsiTheme="minorHAnsi" w:cstheme="minorHAnsi"/>
        </w:rPr>
        <w:t>all</w:t>
      </w:r>
      <w:r w:rsidRPr="00E077B5">
        <w:rPr>
          <w:rFonts w:asciiTheme="minorHAnsi" w:hAnsiTheme="minorHAnsi" w:cstheme="minorHAnsi"/>
        </w:rPr>
        <w:t xml:space="preserve"> of these cases pre-date the amendment of the original </w:t>
      </w:r>
      <w:r w:rsidR="00FD10A8" w:rsidRPr="00E077B5">
        <w:rPr>
          <w:rFonts w:asciiTheme="minorHAnsi" w:hAnsiTheme="minorHAnsi" w:cstheme="minorHAnsi"/>
        </w:rPr>
        <w:t>1957</w:t>
      </w:r>
      <w:r w:rsidRPr="00E077B5">
        <w:rPr>
          <w:rFonts w:asciiTheme="minorHAnsi" w:hAnsiTheme="minorHAnsi" w:cstheme="minorHAnsi"/>
        </w:rPr>
        <w:t xml:space="preserve"> Act by the </w:t>
      </w:r>
      <w:r w:rsidR="00FD10A8" w:rsidRPr="00E077B5">
        <w:rPr>
          <w:rFonts w:asciiTheme="minorHAnsi" w:hAnsiTheme="minorHAnsi" w:cstheme="minorHAnsi"/>
        </w:rPr>
        <w:t>2009</w:t>
      </w:r>
      <w:r w:rsidRPr="00E077B5">
        <w:rPr>
          <w:rFonts w:asciiTheme="minorHAnsi" w:hAnsiTheme="minorHAnsi" w:cstheme="minorHAnsi"/>
        </w:rPr>
        <w:t xml:space="preserve"> Act, in </w:t>
      </w:r>
      <w:r w:rsidRPr="00E077B5">
        <w:rPr>
          <w:rFonts w:asciiTheme="minorHAnsi" w:hAnsiTheme="minorHAnsi" w:cstheme="minorHAnsi"/>
          <w:i/>
        </w:rPr>
        <w:t>Bunch</w:t>
      </w:r>
      <w:r w:rsidRPr="00E077B5">
        <w:rPr>
          <w:rFonts w:asciiTheme="minorHAnsi" w:hAnsiTheme="minorHAnsi" w:cstheme="minorHAnsi"/>
        </w:rPr>
        <w:t xml:space="preserve"> both </w:t>
      </w:r>
      <w:proofErr w:type="spellStart"/>
      <w:r w:rsidRPr="00E077B5">
        <w:rPr>
          <w:rFonts w:asciiTheme="minorHAnsi" w:hAnsiTheme="minorHAnsi" w:cstheme="minorHAnsi"/>
          <w:lang w:val="en"/>
        </w:rPr>
        <w:t>Gratwicke</w:t>
      </w:r>
      <w:proofErr w:type="spellEnd"/>
      <w:r w:rsidRPr="00E077B5">
        <w:rPr>
          <w:rFonts w:asciiTheme="minorHAnsi" w:hAnsiTheme="minorHAnsi" w:cstheme="minorHAnsi"/>
          <w:lang w:val="en"/>
        </w:rPr>
        <w:t xml:space="preserve"> J in the Crown Court and </w:t>
      </w:r>
      <w:proofErr w:type="spellStart"/>
      <w:r w:rsidRPr="00E077B5">
        <w:rPr>
          <w:rFonts w:asciiTheme="minorHAnsi" w:hAnsiTheme="minorHAnsi" w:cstheme="minorHAnsi"/>
          <w:lang w:val="en"/>
        </w:rPr>
        <w:t>Holroyde</w:t>
      </w:r>
      <w:proofErr w:type="spellEnd"/>
      <w:r w:rsidRPr="00E077B5">
        <w:rPr>
          <w:rFonts w:asciiTheme="minorHAnsi" w:hAnsiTheme="minorHAnsi" w:cstheme="minorHAnsi"/>
          <w:lang w:val="en"/>
        </w:rPr>
        <w:t xml:space="preserve"> LJ in the Court of Appeal were in agreement that these principles continued to apply (at [11]). </w:t>
      </w:r>
      <w:proofErr w:type="spellStart"/>
      <w:r w:rsidRPr="00E077B5">
        <w:rPr>
          <w:rFonts w:asciiTheme="minorHAnsi" w:hAnsiTheme="minorHAnsi" w:cstheme="minorHAnsi"/>
          <w:lang w:val="en"/>
        </w:rPr>
        <w:t>Holroyde</w:t>
      </w:r>
      <w:proofErr w:type="spellEnd"/>
      <w:r w:rsidRPr="00E077B5">
        <w:rPr>
          <w:rFonts w:asciiTheme="minorHAnsi" w:hAnsiTheme="minorHAnsi" w:cstheme="minorHAnsi"/>
          <w:lang w:val="en"/>
        </w:rPr>
        <w:t xml:space="preserve"> LJ stated:</w:t>
      </w:r>
    </w:p>
    <w:p w:rsidR="00CF0A72" w:rsidRPr="00E077B5" w:rsidRDefault="00CF0A72" w:rsidP="00EC367B">
      <w:pPr>
        <w:jc w:val="both"/>
        <w:rPr>
          <w:rFonts w:asciiTheme="minorHAnsi" w:hAnsiTheme="minorHAnsi" w:cstheme="minorHAnsi"/>
          <w:lang w:val="en"/>
        </w:rPr>
      </w:pPr>
    </w:p>
    <w:p w:rsidR="00CF0A72" w:rsidRPr="00E077B5" w:rsidRDefault="00CF0A72" w:rsidP="00CF0A72">
      <w:pPr>
        <w:ind w:left="567" w:right="567"/>
        <w:jc w:val="both"/>
        <w:rPr>
          <w:rFonts w:asciiTheme="minorHAnsi" w:hAnsiTheme="minorHAnsi" w:cstheme="minorHAnsi"/>
        </w:rPr>
      </w:pPr>
      <w:r w:rsidRPr="00E077B5">
        <w:rPr>
          <w:rFonts w:asciiTheme="minorHAnsi" w:hAnsiTheme="minorHAnsi" w:cstheme="minorHAnsi"/>
        </w:rPr>
        <w:t>In our judgment, the judge’s reasoning and conclusion cannot be faulted. The evidence on which [counsel for MB] seeks to rely was wholly insufficient to found the partial defence of diminished responsibility. Even if on the totality of the evidence the jury might properly have found that the defendant probably suffered from alcohol dependence, which we doubt, there was no evidence on which they could make any decision favourable to the applicant in relation to the ot</w:t>
      </w:r>
      <w:r w:rsidR="00C87F2C">
        <w:rPr>
          <w:rFonts w:asciiTheme="minorHAnsi" w:hAnsiTheme="minorHAnsi" w:cstheme="minorHAnsi"/>
        </w:rPr>
        <w:t xml:space="preserve">her ingredients of the defence. </w:t>
      </w:r>
      <w:r w:rsidR="00C87F2C" w:rsidRPr="00E077B5">
        <w:rPr>
          <w:rFonts w:asciiTheme="minorHAnsi" w:hAnsiTheme="minorHAnsi" w:cstheme="minorHAnsi"/>
          <w:lang w:val="en"/>
        </w:rPr>
        <w:t>(at [12])</w:t>
      </w:r>
    </w:p>
    <w:p w:rsidR="007D7CF4" w:rsidRPr="00E077B5" w:rsidRDefault="007D7CF4" w:rsidP="007D7CF4">
      <w:pPr>
        <w:ind w:right="567"/>
        <w:jc w:val="both"/>
        <w:rPr>
          <w:rFonts w:asciiTheme="minorHAnsi" w:hAnsiTheme="minorHAnsi" w:cstheme="minorHAnsi"/>
        </w:rPr>
      </w:pPr>
    </w:p>
    <w:p w:rsidR="00FD10A8" w:rsidRPr="00E077B5" w:rsidRDefault="007D7CF4" w:rsidP="00FD10A8">
      <w:pPr>
        <w:jc w:val="both"/>
        <w:rPr>
          <w:rFonts w:asciiTheme="minorHAnsi" w:hAnsiTheme="minorHAnsi" w:cstheme="minorHAnsi"/>
        </w:rPr>
      </w:pPr>
      <w:r w:rsidRPr="00E077B5">
        <w:rPr>
          <w:rFonts w:asciiTheme="minorHAnsi" w:hAnsiTheme="minorHAnsi" w:cstheme="minorHAnsi"/>
        </w:rPr>
        <w:t xml:space="preserve">The judgment also confirmed that, in the absence of evidence of an abnormality of mental functioning and/or a recognised medical disorder, MB’s state of voluntary intoxication could not support a plea of diminished responsibility. </w:t>
      </w:r>
      <w:proofErr w:type="spellStart"/>
      <w:r w:rsidR="00CA1F91" w:rsidRPr="00E077B5">
        <w:rPr>
          <w:rFonts w:asciiTheme="minorHAnsi" w:hAnsiTheme="minorHAnsi" w:cstheme="minorHAnsi"/>
        </w:rPr>
        <w:t>Holroyde</w:t>
      </w:r>
      <w:proofErr w:type="spellEnd"/>
      <w:r w:rsidR="00CA1F91" w:rsidRPr="00E077B5">
        <w:rPr>
          <w:rFonts w:asciiTheme="minorHAnsi" w:hAnsiTheme="minorHAnsi" w:cstheme="minorHAnsi"/>
        </w:rPr>
        <w:t xml:space="preserve"> LJ stated that “In this context the law draws an important distinction between voluntary intoxication and alcohol dependency. The former cannot found a defence of diminished responsibility” </w:t>
      </w:r>
      <w:r w:rsidR="00CA1F91" w:rsidRPr="00E077B5">
        <w:rPr>
          <w:rFonts w:asciiTheme="minorHAnsi" w:hAnsiTheme="minorHAnsi" w:cstheme="minorHAnsi"/>
          <w:color w:val="000000" w:themeColor="text1"/>
        </w:rPr>
        <w:t xml:space="preserve">(at [13]). The post-2009 Act case of </w:t>
      </w:r>
      <w:r w:rsidR="00CA1F91" w:rsidRPr="00E077B5">
        <w:rPr>
          <w:rFonts w:asciiTheme="minorHAnsi" w:hAnsiTheme="minorHAnsi" w:cstheme="minorHAnsi"/>
          <w:i/>
          <w:color w:val="000000" w:themeColor="text1"/>
        </w:rPr>
        <w:t xml:space="preserve">R v </w:t>
      </w:r>
      <w:proofErr w:type="spellStart"/>
      <w:r w:rsidR="00CA1F91" w:rsidRPr="00E077B5">
        <w:rPr>
          <w:rFonts w:asciiTheme="minorHAnsi" w:hAnsiTheme="minorHAnsi" w:cstheme="minorHAnsi"/>
          <w:i/>
          <w:color w:val="000000" w:themeColor="text1"/>
        </w:rPr>
        <w:t>Dowds</w:t>
      </w:r>
      <w:proofErr w:type="spellEnd"/>
      <w:r w:rsidR="00CA1F91" w:rsidRPr="00E077B5">
        <w:rPr>
          <w:rFonts w:asciiTheme="minorHAnsi" w:hAnsiTheme="minorHAnsi" w:cstheme="minorHAnsi"/>
          <w:color w:val="000000" w:themeColor="text1"/>
        </w:rPr>
        <w:t xml:space="preserve"> </w:t>
      </w:r>
      <w:r w:rsidR="00CA1F91" w:rsidRPr="00E077B5">
        <w:rPr>
          <w:rFonts w:asciiTheme="minorHAnsi" w:hAnsiTheme="minorHAnsi" w:cstheme="minorHAnsi"/>
          <w:lang w:val="en"/>
        </w:rPr>
        <w:t xml:space="preserve">[2012] EWCA </w:t>
      </w:r>
      <w:proofErr w:type="spellStart"/>
      <w:r w:rsidR="00CA1F91" w:rsidRPr="00E077B5">
        <w:rPr>
          <w:rFonts w:asciiTheme="minorHAnsi" w:hAnsiTheme="minorHAnsi" w:cstheme="minorHAnsi"/>
          <w:lang w:val="en"/>
        </w:rPr>
        <w:t>Crim</w:t>
      </w:r>
      <w:proofErr w:type="spellEnd"/>
      <w:r w:rsidR="00CA1F91" w:rsidRPr="00E077B5">
        <w:rPr>
          <w:rFonts w:asciiTheme="minorHAnsi" w:hAnsiTheme="minorHAnsi" w:cstheme="minorHAnsi"/>
          <w:lang w:val="en"/>
        </w:rPr>
        <w:t xml:space="preserve"> 281</w:t>
      </w:r>
      <w:r w:rsidR="00E077B5" w:rsidRPr="00E077B5">
        <w:rPr>
          <w:rFonts w:asciiTheme="minorHAnsi" w:hAnsiTheme="minorHAnsi" w:cstheme="minorHAnsi"/>
          <w:lang w:val="en"/>
        </w:rPr>
        <w:t>,</w:t>
      </w:r>
      <w:r w:rsidR="00CA1F91" w:rsidRPr="00E077B5">
        <w:rPr>
          <w:rFonts w:asciiTheme="minorHAnsi" w:hAnsiTheme="minorHAnsi" w:cstheme="minorHAnsi"/>
          <w:lang w:val="en"/>
        </w:rPr>
        <w:t xml:space="preserve"> [2012] 1 WLR 2576 </w:t>
      </w:r>
      <w:r w:rsidR="00CA1F91" w:rsidRPr="00E077B5">
        <w:rPr>
          <w:rFonts w:asciiTheme="minorHAnsi" w:hAnsiTheme="minorHAnsi" w:cstheme="minorHAnsi"/>
          <w:color w:val="000000" w:themeColor="text1"/>
        </w:rPr>
        <w:t xml:space="preserve">was cited in support of this proposition. It should be noted that the Court of Appeal in </w:t>
      </w:r>
      <w:proofErr w:type="spellStart"/>
      <w:r w:rsidR="00CA1F91" w:rsidRPr="00E077B5">
        <w:rPr>
          <w:rFonts w:asciiTheme="minorHAnsi" w:hAnsiTheme="minorHAnsi" w:cstheme="minorHAnsi"/>
          <w:i/>
          <w:color w:val="000000" w:themeColor="text1"/>
        </w:rPr>
        <w:t>Dowds</w:t>
      </w:r>
      <w:proofErr w:type="spellEnd"/>
      <w:r w:rsidR="00CA1F91" w:rsidRPr="00E077B5">
        <w:rPr>
          <w:rFonts w:asciiTheme="minorHAnsi" w:hAnsiTheme="minorHAnsi" w:cstheme="minorHAnsi"/>
          <w:color w:val="000000" w:themeColor="text1"/>
        </w:rPr>
        <w:t xml:space="preserve"> relied upon several judgments delivered prior to the 2009 Act, including </w:t>
      </w:r>
      <w:r w:rsidR="00CA1F91" w:rsidRPr="00E077B5">
        <w:rPr>
          <w:rStyle w:val="Emphasis"/>
          <w:rFonts w:asciiTheme="minorHAnsi" w:hAnsiTheme="minorHAnsi" w:cstheme="minorHAnsi"/>
          <w:color w:val="000000" w:themeColor="text1"/>
        </w:rPr>
        <w:t>R v Fenton</w:t>
      </w:r>
      <w:r w:rsidR="00CA1F91" w:rsidRPr="00E077B5">
        <w:rPr>
          <w:rStyle w:val="Emphasis"/>
          <w:rFonts w:asciiTheme="minorHAnsi" w:hAnsiTheme="minorHAnsi" w:cstheme="minorHAnsi"/>
          <w:i w:val="0"/>
          <w:color w:val="000000" w:themeColor="text1"/>
        </w:rPr>
        <w:t xml:space="preserve"> (1975) 61 Cr App R 261; </w:t>
      </w:r>
      <w:r w:rsidR="00CA1F91" w:rsidRPr="00E077B5">
        <w:rPr>
          <w:rStyle w:val="Emphasis"/>
          <w:rFonts w:asciiTheme="minorHAnsi" w:hAnsiTheme="minorHAnsi" w:cstheme="minorHAnsi"/>
          <w:color w:val="000000" w:themeColor="text1"/>
        </w:rPr>
        <w:t xml:space="preserve">R v </w:t>
      </w:r>
      <w:proofErr w:type="spellStart"/>
      <w:r w:rsidR="00CA1F91" w:rsidRPr="00E077B5">
        <w:rPr>
          <w:rStyle w:val="Emphasis"/>
          <w:rFonts w:asciiTheme="minorHAnsi" w:hAnsiTheme="minorHAnsi" w:cstheme="minorHAnsi"/>
          <w:color w:val="000000" w:themeColor="text1"/>
        </w:rPr>
        <w:lastRenderedPageBreak/>
        <w:t>Dietschmann</w:t>
      </w:r>
      <w:proofErr w:type="spellEnd"/>
      <w:r w:rsidR="00CA1F91" w:rsidRPr="00E077B5">
        <w:rPr>
          <w:rStyle w:val="Emphasis"/>
          <w:rFonts w:asciiTheme="minorHAnsi" w:hAnsiTheme="minorHAnsi" w:cstheme="minorHAnsi"/>
          <w:i w:val="0"/>
          <w:color w:val="000000" w:themeColor="text1"/>
        </w:rPr>
        <w:t xml:space="preserve"> </w:t>
      </w:r>
      <w:r w:rsidR="00E077B5" w:rsidRPr="00E077B5">
        <w:rPr>
          <w:rFonts w:asciiTheme="minorHAnsi" w:hAnsiTheme="minorHAnsi" w:cstheme="minorHAnsi"/>
        </w:rPr>
        <w:t>[2003] UKHL 10,</w:t>
      </w:r>
      <w:r w:rsidR="00E077B5" w:rsidRPr="00E077B5">
        <w:rPr>
          <w:rStyle w:val="Emphasis"/>
          <w:rFonts w:asciiTheme="minorHAnsi" w:hAnsiTheme="minorHAnsi" w:cstheme="minorHAnsi"/>
          <w:i w:val="0"/>
          <w:color w:val="000000" w:themeColor="text1"/>
        </w:rPr>
        <w:t xml:space="preserve"> </w:t>
      </w:r>
      <w:r w:rsidR="00CA1F91" w:rsidRPr="00E077B5">
        <w:rPr>
          <w:rStyle w:val="Emphasis"/>
          <w:rFonts w:asciiTheme="minorHAnsi" w:hAnsiTheme="minorHAnsi" w:cstheme="minorHAnsi"/>
          <w:i w:val="0"/>
          <w:color w:val="000000" w:themeColor="text1"/>
        </w:rPr>
        <w:t>[2003] 1 AC 1209</w:t>
      </w:r>
      <w:r w:rsidR="00CA1F91" w:rsidRPr="00E077B5">
        <w:rPr>
          <w:rFonts w:asciiTheme="minorHAnsi" w:hAnsiTheme="minorHAnsi" w:cstheme="minorHAnsi"/>
          <w:color w:val="000000" w:themeColor="text1"/>
        </w:rPr>
        <w:t xml:space="preserve">; </w:t>
      </w:r>
      <w:r w:rsidR="00CA1F91" w:rsidRPr="00E077B5">
        <w:rPr>
          <w:rStyle w:val="Emphasis"/>
          <w:rFonts w:asciiTheme="minorHAnsi" w:hAnsiTheme="minorHAnsi" w:cstheme="minorHAnsi"/>
          <w:color w:val="000000" w:themeColor="text1"/>
        </w:rPr>
        <w:t>R v Wood</w:t>
      </w:r>
      <w:r w:rsidR="00CA1F91" w:rsidRPr="00E077B5">
        <w:rPr>
          <w:rStyle w:val="Emphasis"/>
          <w:rFonts w:asciiTheme="minorHAnsi" w:hAnsiTheme="minorHAnsi" w:cstheme="minorHAnsi"/>
          <w:i w:val="0"/>
          <w:color w:val="000000" w:themeColor="text1"/>
        </w:rPr>
        <w:t xml:space="preserve"> </w:t>
      </w:r>
      <w:r w:rsidR="00E077B5" w:rsidRPr="00E077B5">
        <w:rPr>
          <w:rFonts w:asciiTheme="minorHAnsi" w:hAnsiTheme="minorHAnsi" w:cstheme="minorHAnsi"/>
        </w:rPr>
        <w:t xml:space="preserve">[2008] EWCA </w:t>
      </w:r>
      <w:proofErr w:type="spellStart"/>
      <w:r w:rsidR="00E077B5" w:rsidRPr="00E077B5">
        <w:rPr>
          <w:rFonts w:asciiTheme="minorHAnsi" w:hAnsiTheme="minorHAnsi" w:cstheme="minorHAnsi"/>
        </w:rPr>
        <w:t>Crim</w:t>
      </w:r>
      <w:proofErr w:type="spellEnd"/>
      <w:r w:rsidR="00E077B5" w:rsidRPr="00E077B5">
        <w:rPr>
          <w:rFonts w:asciiTheme="minorHAnsi" w:hAnsiTheme="minorHAnsi" w:cstheme="minorHAnsi"/>
        </w:rPr>
        <w:t xml:space="preserve"> 1305,</w:t>
      </w:r>
      <w:r w:rsidR="00E077B5" w:rsidRPr="00E077B5">
        <w:rPr>
          <w:rStyle w:val="Emphasis"/>
          <w:rFonts w:asciiTheme="minorHAnsi" w:hAnsiTheme="minorHAnsi" w:cstheme="minorHAnsi"/>
          <w:i w:val="0"/>
          <w:color w:val="000000" w:themeColor="text1"/>
        </w:rPr>
        <w:t xml:space="preserve"> </w:t>
      </w:r>
      <w:r w:rsidR="00CA1F91" w:rsidRPr="00E077B5">
        <w:rPr>
          <w:rStyle w:val="Emphasis"/>
          <w:rFonts w:asciiTheme="minorHAnsi" w:hAnsiTheme="minorHAnsi" w:cstheme="minorHAnsi"/>
          <w:i w:val="0"/>
          <w:color w:val="000000" w:themeColor="text1"/>
        </w:rPr>
        <w:t xml:space="preserve">[2009] 1 WLR 496 and </w:t>
      </w:r>
      <w:r w:rsidR="00CA1F91" w:rsidRPr="00E077B5">
        <w:rPr>
          <w:rStyle w:val="Emphasis"/>
          <w:rFonts w:asciiTheme="minorHAnsi" w:hAnsiTheme="minorHAnsi" w:cstheme="minorHAnsi"/>
          <w:color w:val="000000" w:themeColor="text1"/>
        </w:rPr>
        <w:t>R v Stewart</w:t>
      </w:r>
      <w:r w:rsidR="00CA1F91" w:rsidRPr="00E077B5">
        <w:rPr>
          <w:rStyle w:val="Emphasis"/>
          <w:rFonts w:asciiTheme="minorHAnsi" w:hAnsiTheme="minorHAnsi" w:cstheme="minorHAnsi"/>
          <w:i w:val="0"/>
          <w:color w:val="000000" w:themeColor="text1"/>
        </w:rPr>
        <w:t xml:space="preserve"> </w:t>
      </w:r>
      <w:r w:rsidR="007D7B11" w:rsidRPr="00E077B5">
        <w:rPr>
          <w:rFonts w:asciiTheme="minorHAnsi" w:hAnsiTheme="minorHAnsi" w:cstheme="minorHAnsi"/>
          <w:bCs/>
        </w:rPr>
        <w:t xml:space="preserve">[2009] EWCA </w:t>
      </w:r>
      <w:proofErr w:type="spellStart"/>
      <w:r w:rsidR="007D7B11" w:rsidRPr="00E077B5">
        <w:rPr>
          <w:rFonts w:asciiTheme="minorHAnsi" w:hAnsiTheme="minorHAnsi" w:cstheme="minorHAnsi"/>
          <w:bCs/>
        </w:rPr>
        <w:t>Crim</w:t>
      </w:r>
      <w:proofErr w:type="spellEnd"/>
      <w:r w:rsidR="007D7B11" w:rsidRPr="00E077B5">
        <w:rPr>
          <w:rFonts w:asciiTheme="minorHAnsi" w:hAnsiTheme="minorHAnsi" w:cstheme="minorHAnsi"/>
          <w:bCs/>
        </w:rPr>
        <w:t xml:space="preserve"> 593</w:t>
      </w:r>
      <w:r w:rsidR="007D7B11">
        <w:rPr>
          <w:rFonts w:asciiTheme="minorHAnsi" w:hAnsiTheme="minorHAnsi" w:cstheme="minorHAnsi"/>
          <w:bCs/>
        </w:rPr>
        <w:t>,</w:t>
      </w:r>
      <w:r w:rsidR="007D7B11" w:rsidRPr="00E077B5">
        <w:rPr>
          <w:rStyle w:val="Emphasis"/>
          <w:rFonts w:asciiTheme="minorHAnsi" w:hAnsiTheme="minorHAnsi" w:cstheme="minorHAnsi"/>
          <w:i w:val="0"/>
          <w:color w:val="000000" w:themeColor="text1"/>
        </w:rPr>
        <w:t xml:space="preserve"> </w:t>
      </w:r>
      <w:r w:rsidR="00CA1F91" w:rsidRPr="00E077B5">
        <w:rPr>
          <w:rStyle w:val="Emphasis"/>
          <w:rFonts w:asciiTheme="minorHAnsi" w:hAnsiTheme="minorHAnsi" w:cstheme="minorHAnsi"/>
          <w:i w:val="0"/>
          <w:color w:val="000000" w:themeColor="text1"/>
        </w:rPr>
        <w:t>[2009] 1 WLR 2507</w:t>
      </w:r>
      <w:r w:rsidR="00CA1F91" w:rsidRPr="00E077B5">
        <w:rPr>
          <w:rFonts w:asciiTheme="minorHAnsi" w:hAnsiTheme="minorHAnsi" w:cstheme="minorHAnsi"/>
          <w:i/>
          <w:color w:val="000000" w:themeColor="text1"/>
        </w:rPr>
        <w:t>.</w:t>
      </w:r>
      <w:r w:rsidR="00CA1F91" w:rsidRPr="00E077B5">
        <w:rPr>
          <w:rFonts w:asciiTheme="minorHAnsi" w:hAnsiTheme="minorHAnsi" w:cstheme="minorHAnsi"/>
          <w:color w:val="000000" w:themeColor="text1"/>
        </w:rPr>
        <w:t xml:space="preserve"> In </w:t>
      </w:r>
      <w:proofErr w:type="spellStart"/>
      <w:r w:rsidR="00CA1F91" w:rsidRPr="00E077B5">
        <w:rPr>
          <w:rFonts w:asciiTheme="minorHAnsi" w:hAnsiTheme="minorHAnsi" w:cstheme="minorHAnsi"/>
          <w:i/>
          <w:color w:val="000000" w:themeColor="text1"/>
        </w:rPr>
        <w:t>Dowds</w:t>
      </w:r>
      <w:proofErr w:type="spellEnd"/>
      <w:r w:rsidR="00CA1F91" w:rsidRPr="00E077B5">
        <w:rPr>
          <w:rFonts w:asciiTheme="minorHAnsi" w:hAnsiTheme="minorHAnsi" w:cstheme="minorHAnsi"/>
          <w:color w:val="000000" w:themeColor="text1"/>
        </w:rPr>
        <w:t xml:space="preserve">, the Court of Appeal confirmed that the principle established in those cases – that voluntary intoxication was incapable of supporting a defence </w:t>
      </w:r>
      <w:r w:rsidR="00CA1F91" w:rsidRPr="00E077B5">
        <w:rPr>
          <w:rFonts w:asciiTheme="minorHAnsi" w:hAnsiTheme="minorHAnsi" w:cstheme="minorHAnsi"/>
        </w:rPr>
        <w:t>of diminished responsibility</w:t>
      </w:r>
      <w:r w:rsidR="00CA1F91" w:rsidRPr="00E077B5">
        <w:rPr>
          <w:rFonts w:asciiTheme="minorHAnsi" w:hAnsiTheme="minorHAnsi" w:cstheme="minorHAnsi"/>
          <w:color w:val="000000" w:themeColor="text1"/>
        </w:rPr>
        <w:t xml:space="preserve"> – remained applicable notwithstanding the amendments made to the </w:t>
      </w:r>
      <w:r w:rsidR="00CA1F91" w:rsidRPr="00E077B5">
        <w:rPr>
          <w:rFonts w:asciiTheme="minorHAnsi" w:hAnsiTheme="minorHAnsi" w:cstheme="minorHAnsi"/>
        </w:rPr>
        <w:t>defence in the 2009 Act. Hughes LJ (as he then was) state</w:t>
      </w:r>
      <w:r w:rsidR="00FD10A8" w:rsidRPr="00E077B5">
        <w:rPr>
          <w:rFonts w:asciiTheme="minorHAnsi" w:hAnsiTheme="minorHAnsi" w:cstheme="minorHAnsi"/>
        </w:rPr>
        <w:t>d:</w:t>
      </w:r>
    </w:p>
    <w:p w:rsidR="00FD10A8" w:rsidRPr="00E077B5" w:rsidRDefault="00FD10A8" w:rsidP="007D7CF4">
      <w:pPr>
        <w:ind w:right="567"/>
        <w:jc w:val="both"/>
        <w:rPr>
          <w:rFonts w:asciiTheme="minorHAnsi" w:hAnsiTheme="minorHAnsi" w:cstheme="minorHAnsi"/>
        </w:rPr>
      </w:pPr>
    </w:p>
    <w:p w:rsidR="007D7CF4" w:rsidRPr="00E077B5" w:rsidRDefault="00FD10A8" w:rsidP="00FD10A8">
      <w:pPr>
        <w:ind w:left="567" w:right="567"/>
        <w:jc w:val="both"/>
        <w:rPr>
          <w:rFonts w:asciiTheme="minorHAnsi" w:hAnsiTheme="minorHAnsi" w:cstheme="minorHAnsi"/>
        </w:rPr>
      </w:pPr>
      <w:r w:rsidRPr="00E077B5">
        <w:rPr>
          <w:rFonts w:asciiTheme="minorHAnsi" w:hAnsiTheme="minorHAnsi" w:cstheme="minorHAnsi"/>
        </w:rPr>
        <w:t xml:space="preserve">[T]he exception which prevents a defendant from relying on his voluntary intoxication, save upon the limited question of whether a “specific intent” has been formed, is well entrenched and formed the unspoken backdrop for the new statutory formula… </w:t>
      </w:r>
      <w:r w:rsidR="00CA1F91" w:rsidRPr="00E077B5">
        <w:rPr>
          <w:rFonts w:asciiTheme="minorHAnsi" w:hAnsiTheme="minorHAnsi" w:cstheme="minorHAnsi"/>
        </w:rPr>
        <w:t>If Parliament had meant to alter it, or to depart from it, it would undoubtedly have made its intention explicit</w:t>
      </w:r>
      <w:r w:rsidRPr="00E077B5">
        <w:rPr>
          <w:rFonts w:asciiTheme="minorHAnsi" w:hAnsiTheme="minorHAnsi" w:cstheme="minorHAnsi"/>
        </w:rPr>
        <w:t>… [I]t is quite clear that the reformulation of the statutory conditions for diminished responsibility was not intended to reverse the well-established rule that voluntary acute intoxication is not capable of being relied upon to found diminished responsibility. That remains the law. The presence of a ‘recognised medical condition’ is a necessary, but not always a sufficient, condition to raise the issue of diminished responsibility.</w:t>
      </w:r>
      <w:r w:rsidR="00C87F2C">
        <w:rPr>
          <w:rFonts w:asciiTheme="minorHAnsi" w:hAnsiTheme="minorHAnsi" w:cstheme="minorHAnsi"/>
        </w:rPr>
        <w:t xml:space="preserve"> </w:t>
      </w:r>
      <w:r w:rsidR="00C87F2C" w:rsidRPr="00E077B5">
        <w:rPr>
          <w:rFonts w:asciiTheme="minorHAnsi" w:hAnsiTheme="minorHAnsi" w:cstheme="minorHAnsi"/>
        </w:rPr>
        <w:t>(</w:t>
      </w:r>
      <w:proofErr w:type="spellStart"/>
      <w:r w:rsidR="00C87F2C" w:rsidRPr="00E077B5">
        <w:rPr>
          <w:rFonts w:asciiTheme="minorHAnsi" w:hAnsiTheme="minorHAnsi" w:cstheme="minorHAnsi"/>
          <w:i/>
        </w:rPr>
        <w:t>Dowds</w:t>
      </w:r>
      <w:proofErr w:type="spellEnd"/>
      <w:r w:rsidR="00C87F2C" w:rsidRPr="00E077B5">
        <w:rPr>
          <w:rFonts w:asciiTheme="minorHAnsi" w:hAnsiTheme="minorHAnsi" w:cstheme="minorHAnsi"/>
        </w:rPr>
        <w:t xml:space="preserve"> at [35] and [40])</w:t>
      </w:r>
    </w:p>
    <w:p w:rsidR="00FD10A8" w:rsidRPr="00E077B5" w:rsidRDefault="00FD10A8" w:rsidP="00FD10A8">
      <w:pPr>
        <w:ind w:right="567"/>
        <w:jc w:val="both"/>
        <w:rPr>
          <w:rFonts w:asciiTheme="minorHAnsi" w:hAnsiTheme="minorHAnsi" w:cstheme="minorHAnsi"/>
          <w:color w:val="000000" w:themeColor="text1"/>
        </w:rPr>
      </w:pPr>
    </w:p>
    <w:sectPr w:rsidR="00FD10A8" w:rsidRPr="00E07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B2CC6"/>
    <w:multiLevelType w:val="hybridMultilevel"/>
    <w:tmpl w:val="CAB2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BF"/>
    <w:rsid w:val="00057F2D"/>
    <w:rsid w:val="000B28FE"/>
    <w:rsid w:val="00155346"/>
    <w:rsid w:val="002956BF"/>
    <w:rsid w:val="003B5812"/>
    <w:rsid w:val="004862AC"/>
    <w:rsid w:val="0054095A"/>
    <w:rsid w:val="00550445"/>
    <w:rsid w:val="00641786"/>
    <w:rsid w:val="00775CB4"/>
    <w:rsid w:val="007D7B11"/>
    <w:rsid w:val="007D7CF4"/>
    <w:rsid w:val="007E5F35"/>
    <w:rsid w:val="00945C22"/>
    <w:rsid w:val="00981380"/>
    <w:rsid w:val="009B07C6"/>
    <w:rsid w:val="00B64BF5"/>
    <w:rsid w:val="00C87F2C"/>
    <w:rsid w:val="00CA1F91"/>
    <w:rsid w:val="00CC326F"/>
    <w:rsid w:val="00CF0A72"/>
    <w:rsid w:val="00E01AE0"/>
    <w:rsid w:val="00E077B5"/>
    <w:rsid w:val="00EC367B"/>
    <w:rsid w:val="00ED5A78"/>
    <w:rsid w:val="00FD10A8"/>
    <w:rsid w:val="00FE0E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2956BF"/>
    <w:rPr>
      <w:rFonts w:ascii="Verdana" w:hAnsi="Verdana" w:hint="default"/>
      <w:sz w:val="19"/>
      <w:szCs w:val="19"/>
    </w:rPr>
  </w:style>
  <w:style w:type="character" w:styleId="Emphasis">
    <w:name w:val="Emphasis"/>
    <w:uiPriority w:val="20"/>
    <w:qFormat/>
    <w:rsid w:val="002956BF"/>
    <w:rPr>
      <w:i/>
      <w:iCs/>
    </w:rPr>
  </w:style>
  <w:style w:type="character" w:styleId="CommentReference">
    <w:name w:val="annotation reference"/>
    <w:basedOn w:val="DefaultParagraphFont"/>
    <w:uiPriority w:val="99"/>
    <w:semiHidden/>
    <w:unhideWhenUsed/>
    <w:rsid w:val="002956BF"/>
    <w:rPr>
      <w:sz w:val="16"/>
      <w:szCs w:val="16"/>
    </w:rPr>
  </w:style>
  <w:style w:type="paragraph" w:styleId="CommentText">
    <w:name w:val="annotation text"/>
    <w:basedOn w:val="Normal"/>
    <w:link w:val="CommentTextChar"/>
    <w:uiPriority w:val="99"/>
    <w:semiHidden/>
    <w:unhideWhenUsed/>
    <w:rsid w:val="002956BF"/>
    <w:rPr>
      <w:sz w:val="20"/>
      <w:szCs w:val="20"/>
    </w:rPr>
  </w:style>
  <w:style w:type="character" w:customStyle="1" w:styleId="CommentTextChar">
    <w:name w:val="Comment Text Char"/>
    <w:basedOn w:val="DefaultParagraphFont"/>
    <w:link w:val="CommentText"/>
    <w:uiPriority w:val="99"/>
    <w:semiHidden/>
    <w:rsid w:val="002956B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956BF"/>
    <w:rPr>
      <w:rFonts w:ascii="Tahoma" w:hAnsi="Tahoma" w:cs="Tahoma"/>
      <w:sz w:val="16"/>
      <w:szCs w:val="16"/>
    </w:rPr>
  </w:style>
  <w:style w:type="character" w:customStyle="1" w:styleId="BalloonTextChar">
    <w:name w:val="Balloon Text Char"/>
    <w:basedOn w:val="DefaultParagraphFont"/>
    <w:link w:val="BalloonText"/>
    <w:uiPriority w:val="99"/>
    <w:semiHidden/>
    <w:rsid w:val="002956BF"/>
    <w:rPr>
      <w:rFonts w:ascii="Tahoma" w:eastAsia="Times New Roman" w:hAnsi="Tahoma" w:cs="Tahoma"/>
      <w:sz w:val="16"/>
      <w:szCs w:val="16"/>
      <w:lang w:eastAsia="en-GB"/>
    </w:rPr>
  </w:style>
  <w:style w:type="paragraph" w:styleId="ListParagraph">
    <w:name w:val="List Paragraph"/>
    <w:basedOn w:val="Normal"/>
    <w:uiPriority w:val="34"/>
    <w:qFormat/>
    <w:rsid w:val="003B5812"/>
    <w:pPr>
      <w:ind w:left="720"/>
      <w:contextualSpacing/>
    </w:pPr>
  </w:style>
  <w:style w:type="character" w:styleId="Hyperlink">
    <w:name w:val="Hyperlink"/>
    <w:rsid w:val="00550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2956BF"/>
    <w:rPr>
      <w:rFonts w:ascii="Verdana" w:hAnsi="Verdana" w:hint="default"/>
      <w:sz w:val="19"/>
      <w:szCs w:val="19"/>
    </w:rPr>
  </w:style>
  <w:style w:type="character" w:styleId="Emphasis">
    <w:name w:val="Emphasis"/>
    <w:uiPriority w:val="20"/>
    <w:qFormat/>
    <w:rsid w:val="002956BF"/>
    <w:rPr>
      <w:i/>
      <w:iCs/>
    </w:rPr>
  </w:style>
  <w:style w:type="character" w:styleId="CommentReference">
    <w:name w:val="annotation reference"/>
    <w:basedOn w:val="DefaultParagraphFont"/>
    <w:uiPriority w:val="99"/>
    <w:semiHidden/>
    <w:unhideWhenUsed/>
    <w:rsid w:val="002956BF"/>
    <w:rPr>
      <w:sz w:val="16"/>
      <w:szCs w:val="16"/>
    </w:rPr>
  </w:style>
  <w:style w:type="paragraph" w:styleId="CommentText">
    <w:name w:val="annotation text"/>
    <w:basedOn w:val="Normal"/>
    <w:link w:val="CommentTextChar"/>
    <w:uiPriority w:val="99"/>
    <w:semiHidden/>
    <w:unhideWhenUsed/>
    <w:rsid w:val="002956BF"/>
    <w:rPr>
      <w:sz w:val="20"/>
      <w:szCs w:val="20"/>
    </w:rPr>
  </w:style>
  <w:style w:type="character" w:customStyle="1" w:styleId="CommentTextChar">
    <w:name w:val="Comment Text Char"/>
    <w:basedOn w:val="DefaultParagraphFont"/>
    <w:link w:val="CommentText"/>
    <w:uiPriority w:val="99"/>
    <w:semiHidden/>
    <w:rsid w:val="002956B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956BF"/>
    <w:rPr>
      <w:rFonts w:ascii="Tahoma" w:hAnsi="Tahoma" w:cs="Tahoma"/>
      <w:sz w:val="16"/>
      <w:szCs w:val="16"/>
    </w:rPr>
  </w:style>
  <w:style w:type="character" w:customStyle="1" w:styleId="BalloonTextChar">
    <w:name w:val="Balloon Text Char"/>
    <w:basedOn w:val="DefaultParagraphFont"/>
    <w:link w:val="BalloonText"/>
    <w:uiPriority w:val="99"/>
    <w:semiHidden/>
    <w:rsid w:val="002956BF"/>
    <w:rPr>
      <w:rFonts w:ascii="Tahoma" w:eastAsia="Times New Roman" w:hAnsi="Tahoma" w:cs="Tahoma"/>
      <w:sz w:val="16"/>
      <w:szCs w:val="16"/>
      <w:lang w:eastAsia="en-GB"/>
    </w:rPr>
  </w:style>
  <w:style w:type="paragraph" w:styleId="ListParagraph">
    <w:name w:val="List Paragraph"/>
    <w:basedOn w:val="Normal"/>
    <w:uiPriority w:val="34"/>
    <w:qFormat/>
    <w:rsid w:val="003B5812"/>
    <w:pPr>
      <w:ind w:left="720"/>
      <w:contextualSpacing/>
    </w:pPr>
  </w:style>
  <w:style w:type="character" w:styleId="Hyperlink">
    <w:name w:val="Hyperlink"/>
    <w:rsid w:val="0055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5667">
      <w:bodyDiv w:val="1"/>
      <w:marLeft w:val="375"/>
      <w:marRight w:val="375"/>
      <w:marTop w:val="75"/>
      <w:marBottom w:val="75"/>
      <w:divBdr>
        <w:top w:val="none" w:sz="0" w:space="0" w:color="auto"/>
        <w:left w:val="none" w:sz="0" w:space="0" w:color="auto"/>
        <w:bottom w:val="none" w:sz="0" w:space="0" w:color="auto"/>
        <w:right w:val="none" w:sz="0" w:space="0" w:color="auto"/>
      </w:divBdr>
      <w:divsChild>
        <w:div w:id="1242522109">
          <w:marLeft w:val="0"/>
          <w:marRight w:val="0"/>
          <w:marTop w:val="0"/>
          <w:marBottom w:val="0"/>
          <w:divBdr>
            <w:top w:val="none" w:sz="0" w:space="0" w:color="auto"/>
            <w:left w:val="none" w:sz="0" w:space="0" w:color="auto"/>
            <w:bottom w:val="none" w:sz="0" w:space="0" w:color="auto"/>
            <w:right w:val="none" w:sz="0" w:space="0" w:color="auto"/>
          </w:divBdr>
          <w:divsChild>
            <w:div w:id="692532526">
              <w:marLeft w:val="0"/>
              <w:marRight w:val="0"/>
              <w:marTop w:val="0"/>
              <w:marBottom w:val="0"/>
              <w:divBdr>
                <w:top w:val="none" w:sz="0" w:space="0" w:color="auto"/>
                <w:left w:val="none" w:sz="0" w:space="0" w:color="auto"/>
                <w:bottom w:val="none" w:sz="0" w:space="0" w:color="auto"/>
                <w:right w:val="none" w:sz="0" w:space="0" w:color="auto"/>
              </w:divBdr>
              <w:divsChild>
                <w:div w:id="831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estlaw.com/Find/Default.wl?DB=3898&amp;SerialNum=1969019521&amp;FindType=g&amp;AP=&amp;fn=_top&amp;rs=WLUK7.01&amp;mt=WestlawUK&amp;vr=2.0&amp;sv=Split&amp;sp=ukatunn-000&amp;RLT=CLID_FQRLT03918122&amp;TF=756&amp;TC=1&amp;n=1" TargetMode="External"/><Relationship Id="rId3" Type="http://schemas.microsoft.com/office/2007/relationships/stylesWithEffects" Target="stylesWithEffects.xml"/><Relationship Id="rId7" Type="http://schemas.openxmlformats.org/officeDocument/2006/relationships/hyperlink" Target="http://uk.westlaw.com/find/default.wl?spa=ukatunn-000&amp;rs=WLUK7.01&amp;fn=_top&amp;sv=Split&amp;cite=%5b1963%5d+AC+386&amp;vr=2.0&amp;rp=%2ffind%2fdefault.wl&amp;mt=Westlaw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estlaw.com/Find/Default.wl?DB=4651&amp;SerialNum=1920020271&amp;FindType=g&amp;AP=&amp;fn=_top&amp;rs=WLUK7.01&amp;mt=WestlawUK&amp;vr=2.0&amp;sv=Split&amp;sp=ukatunn-000&amp;RLT=CLID_FQRLT501319122&amp;TF=756&amp;TC=1&amp;n=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westlaw.co.uk/app/document?src=doc&amp;linktype=ref&amp;&amp;context=4&amp;crumb-action=replace&amp;docguid=I698BDF10E42811DA8FC2A0F0355337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lats1</cp:lastModifiedBy>
  <cp:revision>9</cp:revision>
  <cp:lastPrinted>2014-01-23T14:22:00Z</cp:lastPrinted>
  <dcterms:created xsi:type="dcterms:W3CDTF">2014-01-08T11:04:00Z</dcterms:created>
  <dcterms:modified xsi:type="dcterms:W3CDTF">2014-05-14T21:51:00Z</dcterms:modified>
</cp:coreProperties>
</file>