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BA" w:rsidRDefault="003B7295" w:rsidP="00011EF9">
      <w:pPr>
        <w:jc w:val="both"/>
        <w:rPr>
          <w:b/>
          <w:bCs/>
          <w:color w:val="221E1F"/>
          <w:sz w:val="28"/>
          <w:szCs w:val="28"/>
        </w:rPr>
      </w:pPr>
      <w:r>
        <w:rPr>
          <w:b/>
          <w:bCs/>
          <w:color w:val="221E1F"/>
          <w:sz w:val="28"/>
          <w:szCs w:val="28"/>
        </w:rPr>
        <w:t>Transferred Malice, Joint Enterprise and Attempted Murder</w:t>
      </w:r>
    </w:p>
    <w:p w:rsidR="003B7295" w:rsidRPr="00111EBA" w:rsidRDefault="003B7295" w:rsidP="00011EF9">
      <w:pPr>
        <w:jc w:val="both"/>
        <w:rPr>
          <w:rFonts w:asciiTheme="minorHAnsi" w:hAnsiTheme="minorHAnsi" w:cstheme="minorHAnsi"/>
          <w:b/>
          <w:color w:val="auto"/>
        </w:rPr>
      </w:pPr>
    </w:p>
    <w:p w:rsidR="00111EBA" w:rsidRPr="00111EBA" w:rsidRDefault="00111EBA" w:rsidP="00011EF9">
      <w:pPr>
        <w:rPr>
          <w:rFonts w:asciiTheme="minorHAnsi" w:eastAsia="Calibri" w:hAnsiTheme="minorHAnsi" w:cstheme="minorHAnsi"/>
          <w:b/>
          <w:color w:val="auto"/>
        </w:rPr>
      </w:pPr>
      <w:r w:rsidRPr="00111EBA">
        <w:rPr>
          <w:rFonts w:asciiTheme="minorHAnsi" w:hAnsiTheme="minorHAnsi" w:cstheme="minorHAnsi"/>
          <w:b/>
          <w:i/>
          <w:color w:val="auto"/>
        </w:rPr>
        <w:t>R v Grant &amp; Others</w:t>
      </w:r>
      <w:r w:rsidRPr="00111EBA">
        <w:rPr>
          <w:rFonts w:asciiTheme="minorHAnsi" w:hAnsiTheme="minorHAnsi" w:cstheme="minorHAnsi"/>
          <w:b/>
          <w:color w:val="auto"/>
        </w:rPr>
        <w:t xml:space="preserve"> [2014] EWCA </w:t>
      </w:r>
      <w:proofErr w:type="spellStart"/>
      <w:r w:rsidRPr="00111EBA">
        <w:rPr>
          <w:rFonts w:asciiTheme="minorHAnsi" w:hAnsiTheme="minorHAnsi" w:cstheme="minorHAnsi"/>
          <w:b/>
          <w:color w:val="auto"/>
        </w:rPr>
        <w:t>Crim</w:t>
      </w:r>
      <w:proofErr w:type="spellEnd"/>
      <w:r w:rsidRPr="00111EBA">
        <w:rPr>
          <w:rFonts w:asciiTheme="minorHAnsi" w:hAnsiTheme="minorHAnsi" w:cstheme="minorHAnsi"/>
          <w:b/>
          <w:color w:val="auto"/>
        </w:rPr>
        <w:t xml:space="preserve"> 143, Court of Appeal</w:t>
      </w:r>
    </w:p>
    <w:p w:rsidR="00111EBA" w:rsidRPr="00111EBA" w:rsidRDefault="00111EBA" w:rsidP="00011EF9">
      <w:pPr>
        <w:jc w:val="both"/>
        <w:rPr>
          <w:rFonts w:asciiTheme="minorHAnsi" w:hAnsiTheme="minorHAnsi" w:cstheme="minorHAnsi"/>
          <w:bCs/>
          <w:color w:val="auto"/>
        </w:rPr>
      </w:pPr>
    </w:p>
    <w:p w:rsidR="00111EBA" w:rsidRPr="00111EBA" w:rsidRDefault="00111EBA" w:rsidP="00011EF9">
      <w:pPr>
        <w:jc w:val="both"/>
        <w:rPr>
          <w:rFonts w:asciiTheme="minorHAnsi" w:hAnsiTheme="minorHAnsi" w:cstheme="minorHAnsi"/>
          <w:color w:val="auto"/>
        </w:rPr>
      </w:pPr>
      <w:r w:rsidRPr="00111EBA">
        <w:rPr>
          <w:rFonts w:asciiTheme="minorHAnsi" w:hAnsiTheme="minorHAnsi" w:cstheme="minorHAnsi"/>
          <w:b/>
          <w:color w:val="auto"/>
        </w:rPr>
        <w:t xml:space="preserve">Keywords: </w:t>
      </w:r>
      <w:r w:rsidRPr="00111EBA">
        <w:rPr>
          <w:rFonts w:asciiTheme="minorHAnsi" w:hAnsiTheme="minorHAnsi" w:cstheme="minorHAnsi"/>
          <w:color w:val="auto"/>
        </w:rPr>
        <w:t>Attempted Murder; Transferred malice; GBH with intent</w:t>
      </w:r>
      <w:r w:rsidR="001853C3">
        <w:rPr>
          <w:rFonts w:asciiTheme="minorHAnsi" w:hAnsiTheme="minorHAnsi" w:cstheme="minorHAnsi"/>
          <w:color w:val="auto"/>
        </w:rPr>
        <w:t>; Joint enterprise</w:t>
      </w:r>
    </w:p>
    <w:p w:rsidR="0005502D" w:rsidRPr="00111EBA" w:rsidRDefault="0005502D" w:rsidP="00011EF9">
      <w:pPr>
        <w:pStyle w:val="NormalWeb"/>
        <w:spacing w:before="0" w:beforeAutospacing="0" w:after="0" w:afterAutospacing="0"/>
        <w:jc w:val="both"/>
        <w:rPr>
          <w:rFonts w:asciiTheme="minorHAnsi" w:hAnsiTheme="minorHAnsi" w:cstheme="minorHAnsi"/>
          <w:b/>
        </w:rPr>
      </w:pPr>
    </w:p>
    <w:p w:rsidR="00F078A4" w:rsidRDefault="0005502D" w:rsidP="00011EF9">
      <w:pPr>
        <w:autoSpaceDE w:val="0"/>
        <w:autoSpaceDN w:val="0"/>
        <w:adjustRightInd w:val="0"/>
        <w:jc w:val="both"/>
        <w:rPr>
          <w:rFonts w:asciiTheme="minorHAnsi" w:hAnsiTheme="minorHAnsi" w:cstheme="minorHAnsi"/>
          <w:color w:val="auto"/>
        </w:rPr>
      </w:pPr>
      <w:r w:rsidRPr="00111EBA">
        <w:rPr>
          <w:rFonts w:asciiTheme="minorHAnsi" w:hAnsiTheme="minorHAnsi" w:cstheme="minorHAnsi"/>
          <w:color w:val="auto"/>
        </w:rPr>
        <w:t xml:space="preserve">Facts: </w:t>
      </w:r>
      <w:r w:rsidRPr="00111EBA">
        <w:rPr>
          <w:rFonts w:asciiTheme="minorHAnsi" w:hAnsiTheme="minorHAnsi" w:cstheme="minorHAnsi"/>
          <w:bCs/>
          <w:color w:val="auto"/>
        </w:rPr>
        <w:t xml:space="preserve">Nathaniel Grant, </w:t>
      </w:r>
      <w:proofErr w:type="spellStart"/>
      <w:r w:rsidRPr="00111EBA">
        <w:rPr>
          <w:rFonts w:asciiTheme="minorHAnsi" w:hAnsiTheme="minorHAnsi" w:cstheme="minorHAnsi"/>
          <w:bCs/>
          <w:color w:val="auto"/>
        </w:rPr>
        <w:t>Kazeem</w:t>
      </w:r>
      <w:proofErr w:type="spellEnd"/>
      <w:r w:rsidRPr="00111EBA">
        <w:rPr>
          <w:rFonts w:asciiTheme="minorHAnsi" w:hAnsiTheme="minorHAnsi" w:cstheme="minorHAnsi"/>
          <w:bCs/>
          <w:color w:val="auto"/>
        </w:rPr>
        <w:t xml:space="preserve"> </w:t>
      </w:r>
      <w:proofErr w:type="spellStart"/>
      <w:r w:rsidRPr="00111EBA">
        <w:rPr>
          <w:rFonts w:asciiTheme="minorHAnsi" w:hAnsiTheme="minorHAnsi" w:cstheme="minorHAnsi"/>
          <w:bCs/>
          <w:color w:val="auto"/>
        </w:rPr>
        <w:t>Kolawole</w:t>
      </w:r>
      <w:proofErr w:type="spellEnd"/>
      <w:r w:rsidRPr="00111EBA">
        <w:rPr>
          <w:rFonts w:asciiTheme="minorHAnsi" w:hAnsiTheme="minorHAnsi" w:cstheme="minorHAnsi"/>
          <w:bCs/>
          <w:color w:val="auto"/>
        </w:rPr>
        <w:t xml:space="preserve"> and Tony </w:t>
      </w:r>
      <w:proofErr w:type="spellStart"/>
      <w:r w:rsidRPr="00111EBA">
        <w:rPr>
          <w:rFonts w:asciiTheme="minorHAnsi" w:hAnsiTheme="minorHAnsi" w:cstheme="minorHAnsi"/>
          <w:bCs/>
          <w:color w:val="auto"/>
        </w:rPr>
        <w:t>McCalla</w:t>
      </w:r>
      <w:proofErr w:type="spellEnd"/>
      <w:r w:rsidRPr="00111EBA">
        <w:rPr>
          <w:rFonts w:asciiTheme="minorHAnsi" w:hAnsiTheme="minorHAnsi" w:cstheme="minorHAnsi"/>
          <w:bCs/>
          <w:color w:val="auto"/>
        </w:rPr>
        <w:t xml:space="preserve"> were all charged with </w:t>
      </w:r>
      <w:r w:rsidR="00597166">
        <w:rPr>
          <w:rFonts w:asciiTheme="minorHAnsi" w:hAnsiTheme="minorHAnsi" w:cstheme="minorHAnsi"/>
          <w:bCs/>
          <w:color w:val="auto"/>
        </w:rPr>
        <w:t xml:space="preserve">a single count of </w:t>
      </w:r>
      <w:r w:rsidRPr="00111EBA">
        <w:rPr>
          <w:rFonts w:asciiTheme="minorHAnsi" w:hAnsiTheme="minorHAnsi" w:cstheme="minorHAnsi"/>
          <w:bCs/>
          <w:color w:val="auto"/>
        </w:rPr>
        <w:t>attempted murder and two counts of inflicting GBH with intent.</w:t>
      </w:r>
      <w:r w:rsidRPr="00111EBA">
        <w:rPr>
          <w:rFonts w:asciiTheme="minorHAnsi" w:hAnsiTheme="minorHAnsi" w:cstheme="minorHAnsi"/>
          <w:color w:val="auto"/>
        </w:rPr>
        <w:t xml:space="preserve"> </w:t>
      </w:r>
      <w:r w:rsidR="00597166">
        <w:rPr>
          <w:rFonts w:asciiTheme="minorHAnsi" w:hAnsiTheme="minorHAnsi" w:cstheme="minorHAnsi"/>
          <w:color w:val="auto"/>
        </w:rPr>
        <w:t xml:space="preserve">They were tried before His </w:t>
      </w:r>
      <w:proofErr w:type="spellStart"/>
      <w:r w:rsidR="00597166">
        <w:rPr>
          <w:rFonts w:asciiTheme="minorHAnsi" w:hAnsiTheme="minorHAnsi" w:cstheme="minorHAnsi"/>
          <w:color w:val="auto"/>
        </w:rPr>
        <w:t>Honour</w:t>
      </w:r>
      <w:proofErr w:type="spellEnd"/>
      <w:r w:rsidR="00597166">
        <w:rPr>
          <w:rFonts w:asciiTheme="minorHAnsi" w:hAnsiTheme="minorHAnsi" w:cstheme="minorHAnsi"/>
          <w:color w:val="auto"/>
        </w:rPr>
        <w:t xml:space="preserve"> Judge Stephens QC</w:t>
      </w:r>
      <w:r w:rsidR="00597166" w:rsidRPr="00111EBA">
        <w:rPr>
          <w:rFonts w:asciiTheme="minorHAnsi" w:hAnsiTheme="minorHAnsi" w:cstheme="minorHAnsi"/>
          <w:color w:val="auto"/>
        </w:rPr>
        <w:t xml:space="preserve"> </w:t>
      </w:r>
      <w:r w:rsidR="00597166">
        <w:rPr>
          <w:rFonts w:asciiTheme="minorHAnsi" w:hAnsiTheme="minorHAnsi" w:cstheme="minorHAnsi"/>
          <w:color w:val="auto"/>
        </w:rPr>
        <w:t xml:space="preserve">and jury at the Old Bailey in March 2012. </w:t>
      </w:r>
      <w:r w:rsidRPr="00111EBA">
        <w:rPr>
          <w:rFonts w:asciiTheme="minorHAnsi" w:hAnsiTheme="minorHAnsi" w:cstheme="minorHAnsi"/>
          <w:color w:val="auto"/>
        </w:rPr>
        <w:t>The Crown’s case was that the three defendants were members of</w:t>
      </w:r>
      <w:r w:rsidR="00F078A4">
        <w:rPr>
          <w:rFonts w:asciiTheme="minorHAnsi" w:hAnsiTheme="minorHAnsi" w:cstheme="minorHAnsi"/>
          <w:color w:val="auto"/>
        </w:rPr>
        <w:t>,</w:t>
      </w:r>
      <w:r w:rsidRPr="00111EBA">
        <w:rPr>
          <w:rFonts w:asciiTheme="minorHAnsi" w:hAnsiTheme="minorHAnsi" w:cstheme="minorHAnsi"/>
          <w:color w:val="auto"/>
        </w:rPr>
        <w:t xml:space="preserve"> or associated with</w:t>
      </w:r>
      <w:r w:rsidR="00F078A4">
        <w:rPr>
          <w:rFonts w:asciiTheme="minorHAnsi" w:hAnsiTheme="minorHAnsi" w:cstheme="minorHAnsi"/>
          <w:color w:val="auto"/>
        </w:rPr>
        <w:t>,</w:t>
      </w:r>
      <w:r w:rsidRPr="00111EBA">
        <w:rPr>
          <w:rFonts w:asciiTheme="minorHAnsi" w:hAnsiTheme="minorHAnsi" w:cstheme="minorHAnsi"/>
          <w:color w:val="auto"/>
        </w:rPr>
        <w:t xml:space="preserve"> the Grind and Stack gang (GAS) or </w:t>
      </w:r>
      <w:proofErr w:type="spellStart"/>
      <w:r w:rsidRPr="00111EBA">
        <w:rPr>
          <w:rFonts w:asciiTheme="minorHAnsi" w:hAnsiTheme="minorHAnsi" w:cstheme="minorHAnsi"/>
          <w:color w:val="auto"/>
        </w:rPr>
        <w:t>Organised</w:t>
      </w:r>
      <w:proofErr w:type="spellEnd"/>
      <w:r w:rsidRPr="00111EBA">
        <w:rPr>
          <w:rFonts w:asciiTheme="minorHAnsi" w:hAnsiTheme="minorHAnsi" w:cstheme="minorHAnsi"/>
          <w:color w:val="auto"/>
        </w:rPr>
        <w:t xml:space="preserve"> Crime/One Chance gang (OC). Shortly after 9pm one evening in March 2011, the three defendants, on bicycles, had pulled up outside the </w:t>
      </w:r>
      <w:proofErr w:type="spellStart"/>
      <w:r w:rsidRPr="00111EBA">
        <w:rPr>
          <w:rFonts w:asciiTheme="minorHAnsi" w:hAnsiTheme="minorHAnsi" w:cstheme="minorHAnsi"/>
          <w:color w:val="auto"/>
        </w:rPr>
        <w:t>Stockwell</w:t>
      </w:r>
      <w:proofErr w:type="spellEnd"/>
      <w:r w:rsidRPr="00111EBA">
        <w:rPr>
          <w:rFonts w:asciiTheme="minorHAnsi" w:hAnsiTheme="minorHAnsi" w:cstheme="minorHAnsi"/>
          <w:color w:val="auto"/>
        </w:rPr>
        <w:t xml:space="preserve"> Food &amp; Wine shop </w:t>
      </w:r>
      <w:r w:rsidR="00630221">
        <w:rPr>
          <w:rFonts w:asciiTheme="minorHAnsi" w:hAnsiTheme="minorHAnsi" w:cstheme="minorHAnsi"/>
          <w:color w:val="auto"/>
        </w:rPr>
        <w:t xml:space="preserve">in south London, </w:t>
      </w:r>
      <w:r w:rsidRPr="00111EBA">
        <w:rPr>
          <w:rFonts w:asciiTheme="minorHAnsi" w:hAnsiTheme="minorHAnsi" w:cstheme="minorHAnsi"/>
          <w:color w:val="auto"/>
        </w:rPr>
        <w:t xml:space="preserve">directly after </w:t>
      </w:r>
      <w:proofErr w:type="spellStart"/>
      <w:r w:rsidRPr="00111EBA">
        <w:rPr>
          <w:rFonts w:asciiTheme="minorHAnsi" w:hAnsiTheme="minorHAnsi" w:cstheme="minorHAnsi"/>
          <w:color w:val="auto"/>
        </w:rPr>
        <w:t>Roshaun</w:t>
      </w:r>
      <w:proofErr w:type="spellEnd"/>
      <w:r w:rsidRPr="00111EBA">
        <w:rPr>
          <w:rFonts w:asciiTheme="minorHAnsi" w:hAnsiTheme="minorHAnsi" w:cstheme="minorHAnsi"/>
          <w:color w:val="auto"/>
        </w:rPr>
        <w:t xml:space="preserve"> Bryan had run inside. Bryan was</w:t>
      </w:r>
      <w:r w:rsidR="00F078A4">
        <w:rPr>
          <w:rFonts w:asciiTheme="minorHAnsi" w:hAnsiTheme="minorHAnsi" w:cstheme="minorHAnsi"/>
          <w:color w:val="auto"/>
        </w:rPr>
        <w:t>,</w:t>
      </w:r>
      <w:r w:rsidRPr="00111EBA">
        <w:rPr>
          <w:rFonts w:asciiTheme="minorHAnsi" w:hAnsiTheme="minorHAnsi" w:cstheme="minorHAnsi"/>
          <w:color w:val="auto"/>
        </w:rPr>
        <w:t xml:space="preserve"> or was suspected to be</w:t>
      </w:r>
      <w:r w:rsidR="00F078A4">
        <w:rPr>
          <w:rFonts w:asciiTheme="minorHAnsi" w:hAnsiTheme="minorHAnsi" w:cstheme="minorHAnsi"/>
          <w:color w:val="auto"/>
        </w:rPr>
        <w:t>,</w:t>
      </w:r>
      <w:r w:rsidRPr="00111EBA">
        <w:rPr>
          <w:rFonts w:asciiTheme="minorHAnsi" w:hAnsiTheme="minorHAnsi" w:cstheme="minorHAnsi"/>
          <w:color w:val="auto"/>
        </w:rPr>
        <w:t xml:space="preserve"> a member of a rival gang, the All ‘Bout Money gang (ABM). One of the defendants – Grant – fired two shots into the shop. One bullet hit and </w:t>
      </w:r>
      <w:proofErr w:type="spellStart"/>
      <w:r w:rsidRPr="00111EBA">
        <w:rPr>
          <w:rFonts w:asciiTheme="minorHAnsi" w:hAnsiTheme="minorHAnsi" w:cstheme="minorHAnsi"/>
          <w:color w:val="auto"/>
        </w:rPr>
        <w:t>paralysed</w:t>
      </w:r>
      <w:proofErr w:type="spellEnd"/>
      <w:r w:rsidRPr="00111EBA">
        <w:rPr>
          <w:rFonts w:asciiTheme="minorHAnsi" w:hAnsiTheme="minorHAnsi" w:cstheme="minorHAnsi"/>
          <w:color w:val="auto"/>
        </w:rPr>
        <w:t xml:space="preserve"> a 5-year-old girl, </w:t>
      </w:r>
      <w:proofErr w:type="spellStart"/>
      <w:r w:rsidRPr="00111EBA">
        <w:rPr>
          <w:rFonts w:asciiTheme="minorHAnsi" w:hAnsiTheme="minorHAnsi" w:cstheme="minorHAnsi"/>
          <w:color w:val="auto"/>
        </w:rPr>
        <w:t>Thusha</w:t>
      </w:r>
      <w:proofErr w:type="spellEnd"/>
      <w:r w:rsidRPr="00111EBA">
        <w:rPr>
          <w:rFonts w:asciiTheme="minorHAnsi" w:hAnsiTheme="minorHAnsi" w:cstheme="minorHAnsi"/>
          <w:color w:val="auto"/>
        </w:rPr>
        <w:t xml:space="preserve"> </w:t>
      </w:r>
      <w:proofErr w:type="spellStart"/>
      <w:r w:rsidRPr="00111EBA">
        <w:rPr>
          <w:rFonts w:asciiTheme="minorHAnsi" w:hAnsiTheme="minorHAnsi" w:cstheme="minorHAnsi"/>
          <w:color w:val="auto"/>
        </w:rPr>
        <w:t>Kamaleswaran</w:t>
      </w:r>
      <w:proofErr w:type="spellEnd"/>
      <w:r w:rsidRPr="00111EBA">
        <w:rPr>
          <w:rFonts w:asciiTheme="minorHAnsi" w:hAnsiTheme="minorHAnsi" w:cstheme="minorHAnsi"/>
          <w:color w:val="auto"/>
        </w:rPr>
        <w:t xml:space="preserve">, whose uncle owned the shop; the other hit, and remains in the head of, a customer, </w:t>
      </w:r>
      <w:proofErr w:type="spellStart"/>
      <w:r w:rsidRPr="00111EBA">
        <w:rPr>
          <w:rFonts w:asciiTheme="minorHAnsi" w:hAnsiTheme="minorHAnsi" w:cstheme="minorHAnsi"/>
          <w:color w:val="auto"/>
        </w:rPr>
        <w:t>Roshan</w:t>
      </w:r>
      <w:proofErr w:type="spellEnd"/>
      <w:r w:rsidRPr="00111EBA">
        <w:rPr>
          <w:rFonts w:asciiTheme="minorHAnsi" w:hAnsiTheme="minorHAnsi" w:cstheme="minorHAnsi"/>
          <w:color w:val="auto"/>
        </w:rPr>
        <w:t xml:space="preserve"> </w:t>
      </w:r>
      <w:proofErr w:type="spellStart"/>
      <w:r w:rsidRPr="00111EBA">
        <w:rPr>
          <w:rFonts w:asciiTheme="minorHAnsi" w:hAnsiTheme="minorHAnsi" w:cstheme="minorHAnsi"/>
          <w:color w:val="auto"/>
        </w:rPr>
        <w:t>Selvakumar</w:t>
      </w:r>
      <w:proofErr w:type="spellEnd"/>
      <w:r w:rsidRPr="00111EBA">
        <w:rPr>
          <w:rFonts w:asciiTheme="minorHAnsi" w:hAnsiTheme="minorHAnsi" w:cstheme="minorHAnsi"/>
          <w:color w:val="auto"/>
        </w:rPr>
        <w:t xml:space="preserve">. Bryan was unhurt. </w:t>
      </w:r>
    </w:p>
    <w:p w:rsidR="00F078A4" w:rsidRDefault="00F078A4" w:rsidP="00011EF9">
      <w:pPr>
        <w:autoSpaceDE w:val="0"/>
        <w:autoSpaceDN w:val="0"/>
        <w:adjustRightInd w:val="0"/>
        <w:jc w:val="both"/>
        <w:rPr>
          <w:rFonts w:asciiTheme="minorHAnsi" w:hAnsiTheme="minorHAnsi" w:cstheme="minorHAnsi"/>
          <w:color w:val="auto"/>
        </w:rPr>
      </w:pPr>
    </w:p>
    <w:p w:rsidR="0005502D" w:rsidRDefault="0005502D" w:rsidP="00011EF9">
      <w:pPr>
        <w:autoSpaceDE w:val="0"/>
        <w:autoSpaceDN w:val="0"/>
        <w:adjustRightInd w:val="0"/>
        <w:jc w:val="both"/>
        <w:rPr>
          <w:rFonts w:asciiTheme="minorHAnsi" w:hAnsiTheme="minorHAnsi" w:cstheme="minorHAnsi"/>
          <w:color w:val="auto"/>
        </w:rPr>
      </w:pPr>
      <w:r w:rsidRPr="00111EBA">
        <w:rPr>
          <w:rFonts w:asciiTheme="minorHAnsi" w:hAnsiTheme="minorHAnsi" w:cstheme="minorHAnsi"/>
          <w:color w:val="auto"/>
        </w:rPr>
        <w:t>During the</w:t>
      </w:r>
      <w:r w:rsidR="00630221">
        <w:rPr>
          <w:rFonts w:asciiTheme="minorHAnsi" w:hAnsiTheme="minorHAnsi" w:cstheme="minorHAnsi"/>
          <w:color w:val="auto"/>
        </w:rPr>
        <w:t>ir</w:t>
      </w:r>
      <w:r w:rsidRPr="00111EBA">
        <w:rPr>
          <w:rFonts w:asciiTheme="minorHAnsi" w:hAnsiTheme="minorHAnsi" w:cstheme="minorHAnsi"/>
          <w:color w:val="auto"/>
        </w:rPr>
        <w:t xml:space="preserve"> trial, the defendants contended that the charges </w:t>
      </w:r>
      <w:r w:rsidR="00F078A4">
        <w:rPr>
          <w:rFonts w:asciiTheme="minorHAnsi" w:hAnsiTheme="minorHAnsi" w:cstheme="minorHAnsi"/>
          <w:color w:val="auto"/>
        </w:rPr>
        <w:t xml:space="preserve">of </w:t>
      </w:r>
      <w:r w:rsidRPr="00111EBA">
        <w:rPr>
          <w:rFonts w:asciiTheme="minorHAnsi" w:hAnsiTheme="minorHAnsi" w:cstheme="minorHAnsi"/>
          <w:color w:val="auto"/>
        </w:rPr>
        <w:t xml:space="preserve">attempted murder </w:t>
      </w:r>
      <w:r w:rsidR="00F078A4">
        <w:rPr>
          <w:rFonts w:asciiTheme="minorHAnsi" w:hAnsiTheme="minorHAnsi" w:cstheme="minorHAnsi"/>
          <w:color w:val="auto"/>
        </w:rPr>
        <w:t>and</w:t>
      </w:r>
      <w:r w:rsidRPr="00111EBA">
        <w:rPr>
          <w:rFonts w:asciiTheme="minorHAnsi" w:hAnsiTheme="minorHAnsi" w:cstheme="minorHAnsi"/>
          <w:color w:val="auto"/>
        </w:rPr>
        <w:t xml:space="preserve"> GBH with intent were mutually inconsistent, as they involved the same </w:t>
      </w:r>
      <w:proofErr w:type="spellStart"/>
      <w:r w:rsidRPr="00111EBA">
        <w:rPr>
          <w:rFonts w:asciiTheme="minorHAnsi" w:hAnsiTheme="minorHAnsi" w:cstheme="minorHAnsi"/>
          <w:i/>
          <w:color w:val="auto"/>
        </w:rPr>
        <w:t>actus</w:t>
      </w:r>
      <w:proofErr w:type="spellEnd"/>
      <w:r w:rsidRPr="00111EBA">
        <w:rPr>
          <w:rFonts w:asciiTheme="minorHAnsi" w:hAnsiTheme="minorHAnsi" w:cstheme="minorHAnsi"/>
          <w:i/>
          <w:color w:val="auto"/>
        </w:rPr>
        <w:t xml:space="preserve"> </w:t>
      </w:r>
      <w:proofErr w:type="spellStart"/>
      <w:proofErr w:type="gramStart"/>
      <w:r w:rsidRPr="00111EBA">
        <w:rPr>
          <w:rFonts w:asciiTheme="minorHAnsi" w:hAnsiTheme="minorHAnsi" w:cstheme="minorHAnsi"/>
          <w:i/>
          <w:color w:val="auto"/>
        </w:rPr>
        <w:t>reus</w:t>
      </w:r>
      <w:proofErr w:type="spellEnd"/>
      <w:proofErr w:type="gramEnd"/>
      <w:r w:rsidRPr="00111EBA">
        <w:rPr>
          <w:rFonts w:asciiTheme="minorHAnsi" w:hAnsiTheme="minorHAnsi" w:cstheme="minorHAnsi"/>
          <w:color w:val="auto"/>
        </w:rPr>
        <w:t xml:space="preserve"> but different </w:t>
      </w:r>
      <w:proofErr w:type="spellStart"/>
      <w:r w:rsidRPr="00111EBA">
        <w:rPr>
          <w:rFonts w:asciiTheme="minorHAnsi" w:hAnsiTheme="minorHAnsi" w:cstheme="minorHAnsi"/>
          <w:i/>
          <w:color w:val="auto"/>
        </w:rPr>
        <w:t>mens</w:t>
      </w:r>
      <w:proofErr w:type="spellEnd"/>
      <w:r w:rsidRPr="00111EBA">
        <w:rPr>
          <w:rFonts w:asciiTheme="minorHAnsi" w:hAnsiTheme="minorHAnsi" w:cstheme="minorHAnsi"/>
          <w:i/>
          <w:color w:val="auto"/>
        </w:rPr>
        <w:t xml:space="preserve"> </w:t>
      </w:r>
      <w:proofErr w:type="spellStart"/>
      <w:r w:rsidRPr="00111EBA">
        <w:rPr>
          <w:rFonts w:asciiTheme="minorHAnsi" w:hAnsiTheme="minorHAnsi" w:cstheme="minorHAnsi"/>
          <w:i/>
          <w:color w:val="auto"/>
        </w:rPr>
        <w:t>rea</w:t>
      </w:r>
      <w:proofErr w:type="spellEnd"/>
      <w:r w:rsidRPr="00111EBA">
        <w:rPr>
          <w:rFonts w:asciiTheme="minorHAnsi" w:hAnsiTheme="minorHAnsi" w:cstheme="minorHAnsi"/>
          <w:color w:val="auto"/>
        </w:rPr>
        <w:t xml:space="preserve">: intention to kill vis-à-vis intention to do GBH. However, </w:t>
      </w:r>
      <w:r w:rsidR="00597166">
        <w:rPr>
          <w:rFonts w:asciiTheme="minorHAnsi" w:hAnsiTheme="minorHAnsi" w:cstheme="minorHAnsi"/>
          <w:color w:val="auto"/>
        </w:rPr>
        <w:t>Judge Stephens QC</w:t>
      </w:r>
      <w:r w:rsidR="00597166" w:rsidRPr="00111EBA">
        <w:rPr>
          <w:rFonts w:asciiTheme="minorHAnsi" w:hAnsiTheme="minorHAnsi" w:cstheme="minorHAnsi"/>
          <w:color w:val="auto"/>
        </w:rPr>
        <w:t xml:space="preserve"> </w:t>
      </w:r>
      <w:r w:rsidRPr="00111EBA">
        <w:rPr>
          <w:rFonts w:asciiTheme="minorHAnsi" w:hAnsiTheme="minorHAnsi" w:cstheme="minorHAnsi"/>
          <w:color w:val="auto"/>
        </w:rPr>
        <w:t xml:space="preserve">ruled that if </w:t>
      </w:r>
      <w:r w:rsidR="00597166">
        <w:rPr>
          <w:rFonts w:asciiTheme="minorHAnsi" w:hAnsiTheme="minorHAnsi" w:cstheme="minorHAnsi"/>
          <w:color w:val="auto"/>
        </w:rPr>
        <w:t>a defendant</w:t>
      </w:r>
      <w:r w:rsidRPr="00111EBA">
        <w:rPr>
          <w:rFonts w:asciiTheme="minorHAnsi" w:hAnsiTheme="minorHAnsi" w:cstheme="minorHAnsi"/>
          <w:color w:val="auto"/>
        </w:rPr>
        <w:t xml:space="preserve"> shot with the intention of killing he intended to cause at least really serious bodily harm. </w:t>
      </w:r>
      <w:r w:rsidR="00597166" w:rsidRPr="00111EBA">
        <w:rPr>
          <w:rFonts w:asciiTheme="minorHAnsi" w:hAnsiTheme="minorHAnsi" w:cstheme="minorHAnsi"/>
          <w:color w:val="auto"/>
        </w:rPr>
        <w:t>The lesser intent may be subsumed in the greater.</w:t>
      </w:r>
      <w:r w:rsidR="00597166">
        <w:rPr>
          <w:rFonts w:asciiTheme="minorHAnsi" w:hAnsiTheme="minorHAnsi" w:cstheme="minorHAnsi"/>
          <w:color w:val="auto"/>
        </w:rPr>
        <w:t xml:space="preserve"> Moreover, a</w:t>
      </w:r>
      <w:r w:rsidRPr="00111EBA">
        <w:rPr>
          <w:rFonts w:asciiTheme="minorHAnsi" w:hAnsiTheme="minorHAnsi" w:cstheme="minorHAnsi"/>
          <w:color w:val="auto"/>
        </w:rPr>
        <w:t xml:space="preserve"> single act could amount to more than one offence, and the relevant counts in the indictment were </w:t>
      </w:r>
      <w:r w:rsidRPr="00111EBA">
        <w:rPr>
          <w:rFonts w:asciiTheme="minorHAnsi" w:hAnsiTheme="minorHAnsi" w:cstheme="minorHAnsi"/>
          <w:color w:val="auto"/>
          <w:u w:val="single"/>
        </w:rPr>
        <w:t>not</w:t>
      </w:r>
      <w:r w:rsidRPr="00111EBA">
        <w:rPr>
          <w:rFonts w:asciiTheme="minorHAnsi" w:hAnsiTheme="minorHAnsi" w:cstheme="minorHAnsi"/>
          <w:color w:val="auto"/>
        </w:rPr>
        <w:t xml:space="preserve"> mutually exclusive. The jury convicted on all </w:t>
      </w:r>
      <w:r w:rsidR="00597166">
        <w:rPr>
          <w:rFonts w:asciiTheme="minorHAnsi" w:hAnsiTheme="minorHAnsi" w:cstheme="minorHAnsi"/>
          <w:color w:val="auto"/>
        </w:rPr>
        <w:t xml:space="preserve">three </w:t>
      </w:r>
      <w:r w:rsidRPr="00111EBA">
        <w:rPr>
          <w:rFonts w:asciiTheme="minorHAnsi" w:hAnsiTheme="minorHAnsi" w:cstheme="minorHAnsi"/>
          <w:color w:val="auto"/>
        </w:rPr>
        <w:t>counts</w:t>
      </w:r>
      <w:r w:rsidR="003557DA">
        <w:rPr>
          <w:rFonts w:asciiTheme="minorHAnsi" w:hAnsiTheme="minorHAnsi" w:cstheme="minorHAnsi"/>
          <w:color w:val="auto"/>
        </w:rPr>
        <w:t xml:space="preserve"> and the trial judge imposed life sentences on all three</w:t>
      </w:r>
      <w:r w:rsidR="0086528F">
        <w:rPr>
          <w:rFonts w:asciiTheme="minorHAnsi" w:hAnsiTheme="minorHAnsi" w:cstheme="minorHAnsi"/>
          <w:color w:val="auto"/>
        </w:rPr>
        <w:t xml:space="preserve"> defendants</w:t>
      </w:r>
      <w:r w:rsidRPr="00111EBA">
        <w:rPr>
          <w:rFonts w:asciiTheme="minorHAnsi" w:hAnsiTheme="minorHAnsi" w:cstheme="minorHAnsi"/>
          <w:color w:val="auto"/>
        </w:rPr>
        <w:t xml:space="preserve">. </w:t>
      </w:r>
      <w:r w:rsidR="003557DA">
        <w:rPr>
          <w:rFonts w:asciiTheme="minorHAnsi" w:hAnsiTheme="minorHAnsi" w:cstheme="minorHAnsi"/>
          <w:color w:val="auto"/>
        </w:rPr>
        <w:t xml:space="preserve">Grant (the gunman) was sentenced to a minimum term of 17 years’ imprisonment, while </w:t>
      </w:r>
      <w:proofErr w:type="spellStart"/>
      <w:r w:rsidR="003557DA" w:rsidRPr="00111EBA">
        <w:rPr>
          <w:rFonts w:asciiTheme="minorHAnsi" w:hAnsiTheme="minorHAnsi" w:cstheme="minorHAnsi"/>
          <w:bCs/>
          <w:color w:val="auto"/>
        </w:rPr>
        <w:t>Kolawole</w:t>
      </w:r>
      <w:proofErr w:type="spellEnd"/>
      <w:r w:rsidR="003557DA" w:rsidRPr="00111EBA">
        <w:rPr>
          <w:rFonts w:asciiTheme="minorHAnsi" w:hAnsiTheme="minorHAnsi" w:cstheme="minorHAnsi"/>
          <w:bCs/>
          <w:color w:val="auto"/>
        </w:rPr>
        <w:t xml:space="preserve"> and </w:t>
      </w:r>
      <w:proofErr w:type="spellStart"/>
      <w:r w:rsidR="003557DA" w:rsidRPr="00111EBA">
        <w:rPr>
          <w:rFonts w:asciiTheme="minorHAnsi" w:hAnsiTheme="minorHAnsi" w:cstheme="minorHAnsi"/>
          <w:bCs/>
          <w:color w:val="auto"/>
        </w:rPr>
        <w:t>McCalla</w:t>
      </w:r>
      <w:proofErr w:type="spellEnd"/>
      <w:r w:rsidR="003557DA" w:rsidRPr="00111EBA">
        <w:rPr>
          <w:rFonts w:asciiTheme="minorHAnsi" w:hAnsiTheme="minorHAnsi" w:cstheme="minorHAnsi"/>
          <w:color w:val="auto"/>
        </w:rPr>
        <w:t xml:space="preserve"> </w:t>
      </w:r>
      <w:r w:rsidR="003557DA">
        <w:rPr>
          <w:rFonts w:asciiTheme="minorHAnsi" w:hAnsiTheme="minorHAnsi" w:cstheme="minorHAnsi"/>
          <w:color w:val="auto"/>
        </w:rPr>
        <w:t xml:space="preserve">were given </w:t>
      </w:r>
      <w:r w:rsidR="00F078A4">
        <w:rPr>
          <w:rFonts w:asciiTheme="minorHAnsi" w:hAnsiTheme="minorHAnsi" w:cstheme="minorHAnsi"/>
          <w:color w:val="auto"/>
        </w:rPr>
        <w:t>minimum terms</w:t>
      </w:r>
      <w:r w:rsidR="003557DA">
        <w:rPr>
          <w:rFonts w:asciiTheme="minorHAnsi" w:hAnsiTheme="minorHAnsi" w:cstheme="minorHAnsi"/>
          <w:color w:val="auto"/>
        </w:rPr>
        <w:t xml:space="preserve"> of 14 years each. </w:t>
      </w:r>
      <w:r w:rsidRPr="00111EBA">
        <w:rPr>
          <w:rFonts w:asciiTheme="minorHAnsi" w:hAnsiTheme="minorHAnsi" w:cstheme="minorHAnsi"/>
          <w:color w:val="auto"/>
        </w:rPr>
        <w:t>The defendants appealed</w:t>
      </w:r>
      <w:r w:rsidR="00597166">
        <w:rPr>
          <w:rFonts w:asciiTheme="minorHAnsi" w:hAnsiTheme="minorHAnsi" w:cstheme="minorHAnsi"/>
          <w:color w:val="auto"/>
        </w:rPr>
        <w:t>, essentially repeating their submissions at trial</w:t>
      </w:r>
      <w:r w:rsidRPr="00111EBA">
        <w:rPr>
          <w:rFonts w:asciiTheme="minorHAnsi" w:hAnsiTheme="minorHAnsi" w:cstheme="minorHAnsi"/>
          <w:color w:val="auto"/>
        </w:rPr>
        <w:t>.</w:t>
      </w:r>
    </w:p>
    <w:p w:rsidR="00111EBA" w:rsidRPr="00111EBA" w:rsidRDefault="00111EBA" w:rsidP="00011EF9">
      <w:pPr>
        <w:autoSpaceDE w:val="0"/>
        <w:autoSpaceDN w:val="0"/>
        <w:adjustRightInd w:val="0"/>
        <w:jc w:val="both"/>
        <w:rPr>
          <w:rFonts w:asciiTheme="minorHAnsi" w:hAnsiTheme="minorHAnsi" w:cstheme="minorHAnsi"/>
          <w:color w:val="auto"/>
        </w:rPr>
      </w:pPr>
    </w:p>
    <w:p w:rsidR="0005502D" w:rsidRPr="003853D4" w:rsidRDefault="00111EBA" w:rsidP="00011EF9">
      <w:pPr>
        <w:autoSpaceDE w:val="0"/>
        <w:autoSpaceDN w:val="0"/>
        <w:adjustRightInd w:val="0"/>
        <w:jc w:val="both"/>
        <w:rPr>
          <w:rFonts w:asciiTheme="minorHAnsi" w:hAnsiTheme="minorHAnsi" w:cstheme="minorHAnsi"/>
          <w:color w:val="auto"/>
        </w:rPr>
      </w:pPr>
      <w:r w:rsidRPr="00111EBA">
        <w:rPr>
          <w:rFonts w:asciiTheme="minorHAnsi" w:hAnsiTheme="minorHAnsi" w:cstheme="minorHAnsi"/>
          <w:b/>
          <w:color w:val="auto"/>
        </w:rPr>
        <w:t xml:space="preserve">HELD, </w:t>
      </w:r>
      <w:r w:rsidRPr="003853D4">
        <w:rPr>
          <w:rFonts w:asciiTheme="minorHAnsi" w:hAnsiTheme="minorHAnsi" w:cstheme="minorHAnsi"/>
          <w:b/>
          <w:color w:val="auto"/>
        </w:rPr>
        <w:t>DISMISSING THE APPEAL</w:t>
      </w:r>
      <w:r w:rsidR="00597166" w:rsidRPr="003853D4">
        <w:rPr>
          <w:rFonts w:asciiTheme="minorHAnsi" w:hAnsiTheme="minorHAnsi" w:cstheme="minorHAnsi"/>
          <w:b/>
          <w:color w:val="auto"/>
        </w:rPr>
        <w:t>S</w:t>
      </w:r>
      <w:r w:rsidRPr="003853D4">
        <w:rPr>
          <w:rFonts w:asciiTheme="minorHAnsi" w:hAnsiTheme="minorHAnsi" w:cstheme="minorHAnsi"/>
          <w:b/>
          <w:color w:val="auto"/>
        </w:rPr>
        <w:t>,</w:t>
      </w:r>
      <w:r w:rsidRPr="003853D4">
        <w:rPr>
          <w:rFonts w:asciiTheme="minorHAnsi" w:hAnsiTheme="minorHAnsi" w:cstheme="minorHAnsi"/>
          <w:color w:val="auto"/>
        </w:rPr>
        <w:t xml:space="preserve"> </w:t>
      </w:r>
      <w:r w:rsidR="003853D4" w:rsidRPr="003853D4">
        <w:rPr>
          <w:rFonts w:asciiTheme="minorHAnsi" w:hAnsiTheme="minorHAnsi" w:cstheme="minorHAnsi"/>
          <w:color w:val="auto"/>
        </w:rPr>
        <w:t>that there was “</w:t>
      </w:r>
      <w:r w:rsidR="003853D4" w:rsidRPr="003853D4">
        <w:rPr>
          <w:rFonts w:asciiTheme="minorHAnsi" w:eastAsiaTheme="minorEastAsia" w:hAnsiTheme="minorHAnsi" w:cstheme="minorHAnsi"/>
          <w:color w:val="auto"/>
          <w:lang w:val="en-GB" w:eastAsia="zh-CN"/>
        </w:rPr>
        <w:t xml:space="preserve">no rule of law </w:t>
      </w:r>
      <w:proofErr w:type="gramStart"/>
      <w:r w:rsidR="003853D4" w:rsidRPr="003853D4">
        <w:rPr>
          <w:rFonts w:asciiTheme="minorHAnsi" w:eastAsiaTheme="minorEastAsia" w:hAnsiTheme="minorHAnsi" w:cstheme="minorHAnsi"/>
          <w:color w:val="auto"/>
          <w:lang w:val="en-GB" w:eastAsia="zh-CN"/>
        </w:rPr>
        <w:t>nor</w:t>
      </w:r>
      <w:proofErr w:type="gramEnd"/>
      <w:r w:rsidR="003853D4" w:rsidRPr="003853D4">
        <w:rPr>
          <w:rFonts w:asciiTheme="minorHAnsi" w:eastAsiaTheme="minorEastAsia" w:hAnsiTheme="minorHAnsi" w:cstheme="minorHAnsi"/>
          <w:color w:val="auto"/>
          <w:lang w:val="en-GB" w:eastAsia="zh-CN"/>
        </w:rPr>
        <w:t xml:space="preserve"> any legal principle nor any policy ground” which supported the appeal. </w:t>
      </w:r>
      <w:r w:rsidR="005C5ECA">
        <w:rPr>
          <w:rFonts w:asciiTheme="minorHAnsi" w:eastAsiaTheme="minorEastAsia" w:hAnsiTheme="minorHAnsi" w:cstheme="minorHAnsi"/>
          <w:color w:val="auto"/>
          <w:lang w:val="en-GB" w:eastAsia="zh-CN"/>
        </w:rPr>
        <w:t>T</w:t>
      </w:r>
      <w:r w:rsidR="003853D4" w:rsidRPr="003853D4">
        <w:rPr>
          <w:rFonts w:asciiTheme="minorHAnsi" w:eastAsiaTheme="minorEastAsia" w:hAnsiTheme="minorHAnsi" w:cstheme="minorHAnsi"/>
          <w:color w:val="auto"/>
          <w:lang w:val="en-GB" w:eastAsia="zh-CN"/>
        </w:rPr>
        <w:t xml:space="preserve">he appellants’ intention to kill Bryan </w:t>
      </w:r>
      <w:r w:rsidR="005C5ECA">
        <w:rPr>
          <w:rFonts w:asciiTheme="minorHAnsi" w:eastAsiaTheme="minorEastAsia" w:hAnsiTheme="minorHAnsi" w:cstheme="minorHAnsi"/>
          <w:color w:val="auto"/>
          <w:lang w:val="en-GB" w:eastAsia="zh-CN"/>
        </w:rPr>
        <w:t xml:space="preserve">included an </w:t>
      </w:r>
      <w:r w:rsidR="003853D4" w:rsidRPr="003853D4">
        <w:rPr>
          <w:rFonts w:asciiTheme="minorHAnsi" w:eastAsiaTheme="minorEastAsia" w:hAnsiTheme="minorHAnsi" w:cstheme="minorHAnsi"/>
          <w:color w:val="auto"/>
          <w:lang w:val="en-GB" w:eastAsia="zh-CN"/>
        </w:rPr>
        <w:t xml:space="preserve">intention to cause </w:t>
      </w:r>
      <w:r w:rsidR="005C5ECA">
        <w:rPr>
          <w:rFonts w:asciiTheme="minorHAnsi" w:eastAsiaTheme="minorEastAsia" w:hAnsiTheme="minorHAnsi" w:cstheme="minorHAnsi"/>
          <w:color w:val="auto"/>
          <w:lang w:val="en-GB" w:eastAsia="zh-CN"/>
        </w:rPr>
        <w:t>him GBH</w:t>
      </w:r>
      <w:r w:rsidR="003853D4" w:rsidRPr="003853D4">
        <w:rPr>
          <w:rFonts w:asciiTheme="minorHAnsi" w:eastAsiaTheme="minorEastAsia" w:hAnsiTheme="minorHAnsi" w:cstheme="minorHAnsi"/>
          <w:color w:val="auto"/>
          <w:lang w:val="en-GB" w:eastAsia="zh-CN"/>
        </w:rPr>
        <w:t xml:space="preserve"> (at [35]).</w:t>
      </w:r>
      <w:r w:rsidR="003853D4" w:rsidRPr="003853D4">
        <w:rPr>
          <w:rFonts w:asciiTheme="minorHAnsi" w:hAnsiTheme="minorHAnsi" w:cstheme="minorHAnsi"/>
          <w:color w:val="auto"/>
        </w:rPr>
        <w:t xml:space="preserve"> P</w:t>
      </w:r>
      <w:r w:rsidR="0005502D" w:rsidRPr="003853D4">
        <w:rPr>
          <w:rFonts w:asciiTheme="minorHAnsi" w:hAnsiTheme="minorHAnsi" w:cstheme="minorHAnsi"/>
          <w:color w:val="auto"/>
        </w:rPr>
        <w:t xml:space="preserve">roof of the </w:t>
      </w:r>
      <w:proofErr w:type="spellStart"/>
      <w:r w:rsidR="0005502D" w:rsidRPr="003853D4">
        <w:rPr>
          <w:rFonts w:asciiTheme="minorHAnsi" w:hAnsiTheme="minorHAnsi" w:cstheme="minorHAnsi"/>
          <w:i/>
          <w:color w:val="auto"/>
        </w:rPr>
        <w:t>mens</w:t>
      </w:r>
      <w:proofErr w:type="spellEnd"/>
      <w:r w:rsidR="0005502D" w:rsidRPr="003853D4">
        <w:rPr>
          <w:rFonts w:asciiTheme="minorHAnsi" w:hAnsiTheme="minorHAnsi" w:cstheme="minorHAnsi"/>
          <w:i/>
          <w:color w:val="auto"/>
        </w:rPr>
        <w:t xml:space="preserve"> </w:t>
      </w:r>
      <w:proofErr w:type="spellStart"/>
      <w:r w:rsidR="0005502D" w:rsidRPr="003853D4">
        <w:rPr>
          <w:rFonts w:asciiTheme="minorHAnsi" w:hAnsiTheme="minorHAnsi" w:cstheme="minorHAnsi"/>
          <w:i/>
          <w:color w:val="auto"/>
        </w:rPr>
        <w:t>rea</w:t>
      </w:r>
      <w:proofErr w:type="spellEnd"/>
      <w:r w:rsidR="0005502D" w:rsidRPr="003853D4">
        <w:rPr>
          <w:rFonts w:asciiTheme="minorHAnsi" w:hAnsiTheme="minorHAnsi" w:cstheme="minorHAnsi"/>
          <w:color w:val="auto"/>
        </w:rPr>
        <w:t xml:space="preserve"> for attempted murder “by definition” involved proof of the </w:t>
      </w:r>
      <w:proofErr w:type="spellStart"/>
      <w:r w:rsidR="0005502D" w:rsidRPr="003853D4">
        <w:rPr>
          <w:rFonts w:asciiTheme="minorHAnsi" w:hAnsiTheme="minorHAnsi" w:cstheme="minorHAnsi"/>
          <w:i/>
          <w:color w:val="auto"/>
        </w:rPr>
        <w:t>mens</w:t>
      </w:r>
      <w:proofErr w:type="spellEnd"/>
      <w:r w:rsidR="0005502D" w:rsidRPr="003853D4">
        <w:rPr>
          <w:rFonts w:asciiTheme="minorHAnsi" w:hAnsiTheme="minorHAnsi" w:cstheme="minorHAnsi"/>
          <w:i/>
          <w:color w:val="auto"/>
        </w:rPr>
        <w:t xml:space="preserve"> </w:t>
      </w:r>
      <w:proofErr w:type="spellStart"/>
      <w:r w:rsidR="0005502D" w:rsidRPr="003853D4">
        <w:rPr>
          <w:rFonts w:asciiTheme="minorHAnsi" w:hAnsiTheme="minorHAnsi" w:cstheme="minorHAnsi"/>
          <w:i/>
          <w:color w:val="auto"/>
        </w:rPr>
        <w:t>rea</w:t>
      </w:r>
      <w:proofErr w:type="spellEnd"/>
      <w:r w:rsidR="0005502D" w:rsidRPr="003853D4">
        <w:rPr>
          <w:rFonts w:asciiTheme="minorHAnsi" w:hAnsiTheme="minorHAnsi" w:cstheme="minorHAnsi"/>
          <w:color w:val="auto"/>
        </w:rPr>
        <w:t xml:space="preserve"> for causing GBH with intent</w:t>
      </w:r>
      <w:r w:rsidR="00597166" w:rsidRPr="003853D4">
        <w:rPr>
          <w:rFonts w:asciiTheme="minorHAnsi" w:hAnsiTheme="minorHAnsi" w:cstheme="minorHAnsi"/>
          <w:color w:val="auto"/>
        </w:rPr>
        <w:t xml:space="preserve"> (at [36])</w:t>
      </w:r>
      <w:r w:rsidR="0005502D" w:rsidRPr="003853D4">
        <w:rPr>
          <w:rFonts w:asciiTheme="minorHAnsi" w:hAnsiTheme="minorHAnsi" w:cstheme="minorHAnsi"/>
          <w:color w:val="auto"/>
        </w:rPr>
        <w:t>. A finding of intention to kill (count 1) led “inevitably” to a finding of intention to cause GBH (counts 2 and 3) – this was “the consequence of the hierarchy of intent, with intention to kill at the top”. It was “impossible” to kill without causing really serious harm</w:t>
      </w:r>
      <w:r w:rsidR="00597166" w:rsidRPr="003853D4">
        <w:rPr>
          <w:rFonts w:asciiTheme="minorHAnsi" w:hAnsiTheme="minorHAnsi" w:cstheme="minorHAnsi"/>
          <w:color w:val="auto"/>
        </w:rPr>
        <w:t xml:space="preserve"> (at [40])</w:t>
      </w:r>
      <w:r w:rsidR="0005502D" w:rsidRPr="003853D4">
        <w:rPr>
          <w:rFonts w:asciiTheme="minorHAnsi" w:hAnsiTheme="minorHAnsi" w:cstheme="minorHAnsi"/>
          <w:color w:val="auto"/>
        </w:rPr>
        <w:t>.</w:t>
      </w:r>
      <w:r w:rsidR="005C5ECA">
        <w:rPr>
          <w:rFonts w:asciiTheme="minorHAnsi" w:hAnsiTheme="minorHAnsi" w:cstheme="minorHAnsi"/>
          <w:color w:val="auto"/>
        </w:rPr>
        <w:t xml:space="preserve"> Nor were the </w:t>
      </w:r>
      <w:r w:rsidR="0086528F">
        <w:rPr>
          <w:rFonts w:asciiTheme="minorHAnsi" w:hAnsiTheme="minorHAnsi" w:cstheme="minorHAnsi"/>
          <w:color w:val="auto"/>
        </w:rPr>
        <w:t xml:space="preserve">various </w:t>
      </w:r>
      <w:r w:rsidR="005C5ECA">
        <w:rPr>
          <w:rFonts w:asciiTheme="minorHAnsi" w:hAnsiTheme="minorHAnsi" w:cstheme="minorHAnsi"/>
          <w:color w:val="auto"/>
        </w:rPr>
        <w:t>charges “</w:t>
      </w:r>
      <w:r w:rsidR="005C5ECA" w:rsidRPr="00111EBA">
        <w:rPr>
          <w:rFonts w:asciiTheme="minorHAnsi" w:hAnsiTheme="minorHAnsi" w:cstheme="minorHAnsi"/>
          <w:color w:val="auto"/>
        </w:rPr>
        <w:t xml:space="preserve">mutually </w:t>
      </w:r>
      <w:r w:rsidR="005C5ECA">
        <w:rPr>
          <w:rFonts w:asciiTheme="minorHAnsi" w:hAnsiTheme="minorHAnsi" w:cstheme="minorHAnsi"/>
          <w:color w:val="auto"/>
        </w:rPr>
        <w:t xml:space="preserve">exclusive or </w:t>
      </w:r>
      <w:r w:rsidR="005C5ECA" w:rsidRPr="00111EBA">
        <w:rPr>
          <w:rFonts w:asciiTheme="minorHAnsi" w:hAnsiTheme="minorHAnsi" w:cstheme="minorHAnsi"/>
          <w:color w:val="auto"/>
        </w:rPr>
        <w:t>inconsistent</w:t>
      </w:r>
      <w:r w:rsidR="005C5ECA">
        <w:rPr>
          <w:rFonts w:asciiTheme="minorHAnsi" w:hAnsiTheme="minorHAnsi" w:cstheme="minorHAnsi"/>
          <w:color w:val="auto"/>
        </w:rPr>
        <w:t>” (at [37]).</w:t>
      </w:r>
    </w:p>
    <w:p w:rsidR="0005502D" w:rsidRPr="00111EBA" w:rsidRDefault="0005502D" w:rsidP="00011EF9">
      <w:pPr>
        <w:jc w:val="both"/>
        <w:rPr>
          <w:rFonts w:asciiTheme="minorHAnsi" w:hAnsiTheme="minorHAnsi" w:cstheme="minorHAnsi"/>
          <w:color w:val="auto"/>
        </w:rPr>
      </w:pPr>
    </w:p>
    <w:p w:rsidR="00111EBA" w:rsidRPr="00111EBA" w:rsidRDefault="00111EBA" w:rsidP="00011EF9">
      <w:pPr>
        <w:jc w:val="both"/>
        <w:rPr>
          <w:rFonts w:asciiTheme="minorHAnsi" w:hAnsiTheme="minorHAnsi" w:cstheme="minorHAnsi"/>
          <w:b/>
          <w:color w:val="auto"/>
          <w:lang w:val="en"/>
        </w:rPr>
      </w:pPr>
      <w:r w:rsidRPr="00111EBA">
        <w:rPr>
          <w:rFonts w:asciiTheme="minorHAnsi" w:hAnsiTheme="minorHAnsi" w:cstheme="minorHAnsi"/>
          <w:b/>
          <w:color w:val="auto"/>
          <w:lang w:val="en"/>
        </w:rPr>
        <w:t>COMMENTARY</w:t>
      </w:r>
    </w:p>
    <w:p w:rsidR="00574249" w:rsidRDefault="00574249" w:rsidP="00011EF9">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The present case raises two main issues: the scope of the transferred malice doctrine, and the scope of the joint enterprise doctrine. </w:t>
      </w:r>
    </w:p>
    <w:p w:rsidR="00574249" w:rsidRDefault="00574249" w:rsidP="00011EF9">
      <w:pPr>
        <w:jc w:val="both"/>
        <w:rPr>
          <w:rFonts w:asciiTheme="minorHAnsi" w:hAnsiTheme="minorHAnsi" w:cstheme="minorHAnsi"/>
          <w:color w:val="000000" w:themeColor="text1"/>
        </w:rPr>
      </w:pPr>
    </w:p>
    <w:p w:rsidR="00574249" w:rsidRPr="00574249" w:rsidRDefault="00574249" w:rsidP="00011EF9">
      <w:pPr>
        <w:jc w:val="both"/>
        <w:rPr>
          <w:rFonts w:asciiTheme="minorHAnsi" w:hAnsiTheme="minorHAnsi" w:cstheme="minorHAnsi"/>
          <w:b/>
          <w:i/>
          <w:color w:val="000000" w:themeColor="text1"/>
        </w:rPr>
      </w:pPr>
      <w:r w:rsidRPr="00574249">
        <w:rPr>
          <w:rFonts w:asciiTheme="minorHAnsi" w:hAnsiTheme="minorHAnsi" w:cstheme="minorHAnsi"/>
          <w:b/>
          <w:i/>
          <w:color w:val="000000" w:themeColor="text1"/>
        </w:rPr>
        <w:t>Transferred Malice</w:t>
      </w:r>
    </w:p>
    <w:p w:rsidR="003067E1" w:rsidRPr="003067E1" w:rsidRDefault="00BD2B66" w:rsidP="00011EF9">
      <w:pPr>
        <w:jc w:val="both"/>
        <w:rPr>
          <w:rFonts w:asciiTheme="minorHAnsi" w:hAnsiTheme="minorHAnsi" w:cstheme="minorHAnsi"/>
          <w:bCs/>
          <w:iCs/>
          <w:color w:val="000000" w:themeColor="text1"/>
        </w:rPr>
      </w:pPr>
      <w:r>
        <w:rPr>
          <w:rFonts w:asciiTheme="minorHAnsi" w:hAnsiTheme="minorHAnsi" w:cstheme="minorHAnsi"/>
          <w:color w:val="000000" w:themeColor="text1"/>
        </w:rPr>
        <w:t xml:space="preserve">It is trite law that if D fires a gun at V, </w:t>
      </w:r>
      <w:r w:rsidRPr="00BD2B66">
        <w:rPr>
          <w:rFonts w:asciiTheme="minorHAnsi" w:hAnsiTheme="minorHAnsi" w:cstheme="minorHAnsi"/>
          <w:color w:val="000000" w:themeColor="text1"/>
        </w:rPr>
        <w:t>intending to kill V, but the bullet misses and instead hits and kills W</w:t>
      </w:r>
      <w:r w:rsidR="00AE1B20">
        <w:rPr>
          <w:rFonts w:asciiTheme="minorHAnsi" w:hAnsiTheme="minorHAnsi" w:cstheme="minorHAnsi"/>
          <w:color w:val="000000" w:themeColor="text1"/>
        </w:rPr>
        <w:t xml:space="preserve"> (an innocent bystander)</w:t>
      </w:r>
      <w:r w:rsidRPr="00BD2B66">
        <w:rPr>
          <w:rFonts w:asciiTheme="minorHAnsi" w:hAnsiTheme="minorHAnsi" w:cstheme="minorHAnsi"/>
          <w:color w:val="000000" w:themeColor="text1"/>
        </w:rPr>
        <w:t>, then D is guilty of the murder of W</w:t>
      </w:r>
      <w:r w:rsidR="002373D6">
        <w:rPr>
          <w:rFonts w:asciiTheme="minorHAnsi" w:hAnsiTheme="minorHAnsi" w:cstheme="minorHAnsi"/>
          <w:color w:val="000000" w:themeColor="text1"/>
        </w:rPr>
        <w:t xml:space="preserve">, as well as </w:t>
      </w:r>
      <w:r w:rsidR="002373D6" w:rsidRPr="00BD2B66">
        <w:rPr>
          <w:rFonts w:asciiTheme="minorHAnsi" w:hAnsiTheme="minorHAnsi" w:cstheme="minorHAnsi"/>
          <w:color w:val="000000" w:themeColor="text1"/>
        </w:rPr>
        <w:t xml:space="preserve">the attempted murder of V </w:t>
      </w:r>
      <w:r w:rsidRPr="00BD2B66">
        <w:rPr>
          <w:rFonts w:asciiTheme="minorHAnsi" w:hAnsiTheme="minorHAnsi" w:cstheme="minorHAnsi"/>
          <w:color w:val="000000" w:themeColor="text1"/>
        </w:rPr>
        <w:t>(</w:t>
      </w:r>
      <w:r w:rsidRPr="00BD2B66">
        <w:rPr>
          <w:rFonts w:asciiTheme="minorHAnsi" w:hAnsiTheme="minorHAnsi" w:cstheme="minorHAnsi"/>
          <w:bCs/>
          <w:i/>
          <w:iCs/>
          <w:color w:val="000000"/>
        </w:rPr>
        <w:t xml:space="preserve">R v </w:t>
      </w:r>
      <w:proofErr w:type="spellStart"/>
      <w:r w:rsidRPr="00BD2B66">
        <w:rPr>
          <w:rFonts w:asciiTheme="minorHAnsi" w:hAnsiTheme="minorHAnsi" w:cstheme="minorHAnsi"/>
          <w:bCs/>
          <w:i/>
          <w:iCs/>
          <w:color w:val="000000"/>
        </w:rPr>
        <w:t>Gnango</w:t>
      </w:r>
      <w:proofErr w:type="spellEnd"/>
      <w:r w:rsidRPr="00BD2B66">
        <w:rPr>
          <w:rFonts w:asciiTheme="minorHAnsi" w:hAnsiTheme="minorHAnsi" w:cstheme="minorHAnsi"/>
          <w:bCs/>
          <w:color w:val="000000"/>
        </w:rPr>
        <w:t xml:space="preserve"> </w:t>
      </w:r>
      <w:r w:rsidRPr="00BD2B66">
        <w:rPr>
          <w:rFonts w:asciiTheme="minorHAnsi" w:hAnsiTheme="minorHAnsi" w:cstheme="minorHAnsi"/>
          <w:color w:val="000000"/>
        </w:rPr>
        <w:t xml:space="preserve">[2011] UKSC 59, </w:t>
      </w:r>
      <w:r w:rsidRPr="00BD2B66">
        <w:rPr>
          <w:rFonts w:asciiTheme="minorHAnsi" w:hAnsiTheme="minorHAnsi" w:cstheme="minorHAnsi"/>
          <w:color w:val="auto"/>
          <w:lang w:val="en-GB"/>
        </w:rPr>
        <w:t>[2012] 1 AC 827</w:t>
      </w:r>
      <w:r w:rsidRPr="00BD2B66">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3067E1">
        <w:rPr>
          <w:rFonts w:asciiTheme="minorHAnsi" w:hAnsiTheme="minorHAnsi" w:cstheme="minorHAnsi"/>
          <w:color w:val="000000" w:themeColor="text1"/>
        </w:rPr>
        <w:t xml:space="preserve">D’s </w:t>
      </w:r>
      <w:proofErr w:type="spellStart"/>
      <w:r w:rsidRPr="003067E1">
        <w:rPr>
          <w:rFonts w:asciiTheme="minorHAnsi" w:hAnsiTheme="minorHAnsi" w:cstheme="minorHAnsi"/>
          <w:color w:val="000000" w:themeColor="text1"/>
        </w:rPr>
        <w:t>mens</w:t>
      </w:r>
      <w:proofErr w:type="spellEnd"/>
      <w:r w:rsidRPr="003067E1">
        <w:rPr>
          <w:rFonts w:asciiTheme="minorHAnsi" w:hAnsiTheme="minorHAnsi" w:cstheme="minorHAnsi"/>
          <w:color w:val="000000" w:themeColor="text1"/>
        </w:rPr>
        <w:t xml:space="preserve"> </w:t>
      </w:r>
      <w:proofErr w:type="spellStart"/>
      <w:r w:rsidRPr="003067E1">
        <w:rPr>
          <w:rFonts w:asciiTheme="minorHAnsi" w:hAnsiTheme="minorHAnsi" w:cstheme="minorHAnsi"/>
          <w:color w:val="000000" w:themeColor="text1"/>
        </w:rPr>
        <w:t>rea</w:t>
      </w:r>
      <w:proofErr w:type="spellEnd"/>
      <w:r w:rsidRPr="003067E1">
        <w:rPr>
          <w:rFonts w:asciiTheme="minorHAnsi" w:hAnsiTheme="minorHAnsi" w:cstheme="minorHAnsi"/>
          <w:color w:val="000000" w:themeColor="text1"/>
        </w:rPr>
        <w:t xml:space="preserve"> with respect to his intended victim (V) is “transferred” to the uninte</w:t>
      </w:r>
      <w:r w:rsidR="003067E1">
        <w:rPr>
          <w:rFonts w:asciiTheme="minorHAnsi" w:hAnsiTheme="minorHAnsi" w:cstheme="minorHAnsi"/>
          <w:color w:val="000000" w:themeColor="text1"/>
        </w:rPr>
        <w:t>nde</w:t>
      </w:r>
      <w:r w:rsidRPr="003067E1">
        <w:rPr>
          <w:rFonts w:asciiTheme="minorHAnsi" w:hAnsiTheme="minorHAnsi" w:cstheme="minorHAnsi"/>
          <w:color w:val="000000" w:themeColor="text1"/>
        </w:rPr>
        <w:t xml:space="preserve">d victim (W). As </w:t>
      </w:r>
      <w:r w:rsidR="003067E1" w:rsidRPr="003067E1">
        <w:rPr>
          <w:rFonts w:asciiTheme="minorHAnsi" w:hAnsiTheme="minorHAnsi" w:cstheme="minorHAnsi"/>
          <w:color w:val="000000" w:themeColor="text1"/>
        </w:rPr>
        <w:t xml:space="preserve">Lord </w:t>
      </w:r>
      <w:proofErr w:type="spellStart"/>
      <w:r w:rsidR="003067E1">
        <w:rPr>
          <w:rFonts w:asciiTheme="minorHAnsi" w:hAnsiTheme="minorHAnsi" w:cstheme="minorHAnsi"/>
          <w:color w:val="000000" w:themeColor="text1"/>
        </w:rPr>
        <w:lastRenderedPageBreak/>
        <w:t>Mustill</w:t>
      </w:r>
      <w:proofErr w:type="spellEnd"/>
      <w:r w:rsidR="003067E1" w:rsidRPr="003067E1">
        <w:rPr>
          <w:rFonts w:asciiTheme="minorHAnsi" w:hAnsiTheme="minorHAnsi" w:cstheme="minorHAnsi"/>
          <w:color w:val="000000" w:themeColor="text1"/>
        </w:rPr>
        <w:t xml:space="preserve"> explained in </w:t>
      </w:r>
      <w:r w:rsidR="003067E1" w:rsidRPr="003067E1">
        <w:rPr>
          <w:rFonts w:asciiTheme="minorHAnsi" w:hAnsiTheme="minorHAnsi" w:cstheme="minorHAnsi"/>
          <w:bCs/>
          <w:i/>
          <w:iCs/>
          <w:color w:val="000000" w:themeColor="text1"/>
        </w:rPr>
        <w:t>Attorney-General’s Reference (No.3 of 1994)</w:t>
      </w:r>
      <w:r w:rsidR="003067E1" w:rsidRPr="003067E1">
        <w:rPr>
          <w:rFonts w:asciiTheme="minorHAnsi" w:hAnsiTheme="minorHAnsi" w:cstheme="minorHAnsi"/>
          <w:bCs/>
          <w:iCs/>
          <w:color w:val="000000" w:themeColor="text1"/>
        </w:rPr>
        <w:t xml:space="preserve"> </w:t>
      </w:r>
      <w:r w:rsidR="003067E1" w:rsidRPr="003067E1">
        <w:rPr>
          <w:rFonts w:asciiTheme="minorHAnsi" w:hAnsiTheme="minorHAnsi" w:cstheme="minorHAnsi"/>
          <w:color w:val="000000" w:themeColor="text1"/>
        </w:rPr>
        <w:t>[1998] AC 245</w:t>
      </w:r>
      <w:r w:rsidR="003067E1">
        <w:rPr>
          <w:rFonts w:asciiTheme="minorHAnsi" w:hAnsiTheme="minorHAnsi" w:cstheme="minorHAnsi"/>
          <w:color w:val="000000" w:themeColor="text1"/>
        </w:rPr>
        <w:t xml:space="preserve"> (at page 262)</w:t>
      </w:r>
      <w:r w:rsidR="003067E1" w:rsidRPr="003067E1">
        <w:rPr>
          <w:rFonts w:asciiTheme="minorHAnsi" w:hAnsiTheme="minorHAnsi" w:cstheme="minorHAnsi"/>
          <w:bCs/>
          <w:iCs/>
          <w:color w:val="000000" w:themeColor="text1"/>
        </w:rPr>
        <w:t>:</w:t>
      </w:r>
    </w:p>
    <w:p w:rsidR="003067E1" w:rsidRPr="003067E1" w:rsidRDefault="003067E1" w:rsidP="00011EF9">
      <w:pPr>
        <w:jc w:val="both"/>
        <w:rPr>
          <w:rFonts w:asciiTheme="minorHAnsi" w:hAnsiTheme="minorHAnsi" w:cstheme="minorHAnsi"/>
          <w:bCs/>
          <w:iCs/>
          <w:color w:val="000000" w:themeColor="text1"/>
          <w:lang w:val="en-GB"/>
        </w:rPr>
      </w:pPr>
    </w:p>
    <w:p w:rsidR="003067E1" w:rsidRPr="003067E1" w:rsidRDefault="003067E1" w:rsidP="00011EF9">
      <w:pPr>
        <w:ind w:left="567" w:right="567"/>
        <w:jc w:val="both"/>
        <w:rPr>
          <w:rFonts w:asciiTheme="minorHAnsi" w:hAnsiTheme="minorHAnsi" w:cstheme="minorHAnsi"/>
          <w:bCs/>
          <w:iCs/>
          <w:color w:val="000000" w:themeColor="text1"/>
          <w:lang w:val="en-GB"/>
        </w:rPr>
      </w:pPr>
      <w:r w:rsidRPr="003067E1">
        <w:rPr>
          <w:rFonts w:asciiTheme="minorHAnsi" w:hAnsiTheme="minorHAnsi" w:cstheme="minorHAnsi"/>
          <w:bCs/>
          <w:iCs/>
          <w:color w:val="000000" w:themeColor="text1"/>
          <w:lang w:val="en-GB"/>
        </w:rPr>
        <w:t xml:space="preserve">“The effect of transferred malice… is that the intended victim and the actual </w:t>
      </w:r>
      <w:r w:rsidRPr="005C5ECA">
        <w:rPr>
          <w:rFonts w:asciiTheme="minorHAnsi" w:hAnsiTheme="minorHAnsi" w:cstheme="minorHAnsi"/>
          <w:bCs/>
          <w:iCs/>
          <w:color w:val="000000" w:themeColor="text1"/>
          <w:lang w:val="en-GB"/>
        </w:rPr>
        <w:t xml:space="preserve">victim are treated as if they were one, so that what was intended to happen to </w:t>
      </w:r>
      <w:r w:rsidRPr="003067E1">
        <w:rPr>
          <w:rFonts w:asciiTheme="minorHAnsi" w:hAnsiTheme="minorHAnsi" w:cstheme="minorHAnsi"/>
          <w:bCs/>
          <w:iCs/>
          <w:color w:val="000000" w:themeColor="text1"/>
          <w:lang w:val="en-GB"/>
        </w:rPr>
        <w:t>the first person (but did not happen) is added to what actually did happen to the second person (but was not intended to happen), with the result that what was intended and what happened are married to make a notionally intended and actually consummated crime.</w:t>
      </w:r>
      <w:r>
        <w:rPr>
          <w:rFonts w:asciiTheme="minorHAnsi" w:hAnsiTheme="minorHAnsi" w:cstheme="minorHAnsi"/>
          <w:bCs/>
          <w:iCs/>
          <w:color w:val="000000" w:themeColor="text1"/>
          <w:lang w:val="en-GB"/>
        </w:rPr>
        <w:t xml:space="preserve"> </w:t>
      </w:r>
      <w:r w:rsidRPr="003067E1">
        <w:rPr>
          <w:rFonts w:asciiTheme="minorHAnsi" w:hAnsiTheme="minorHAnsi" w:cstheme="minorHAnsi"/>
          <w:color w:val="000000" w:themeColor="text1"/>
        </w:rPr>
        <w:t>The cases are treated as if the actual victim had been the intended victim from the start.</w:t>
      </w:r>
      <w:r w:rsidRPr="003067E1">
        <w:rPr>
          <w:rFonts w:asciiTheme="minorHAnsi" w:hAnsiTheme="minorHAnsi" w:cstheme="minorHAnsi"/>
          <w:bCs/>
          <w:iCs/>
          <w:color w:val="000000" w:themeColor="text1"/>
          <w:lang w:val="en-GB"/>
        </w:rPr>
        <w:t>”</w:t>
      </w:r>
    </w:p>
    <w:p w:rsidR="003067E1" w:rsidRPr="003067E1" w:rsidRDefault="003067E1" w:rsidP="00011EF9">
      <w:pPr>
        <w:jc w:val="both"/>
        <w:rPr>
          <w:rFonts w:asciiTheme="minorHAnsi" w:hAnsiTheme="minorHAnsi" w:cstheme="minorHAnsi"/>
          <w:bCs/>
          <w:iCs/>
          <w:color w:val="000000" w:themeColor="text1"/>
          <w:lang w:val="en-GB"/>
        </w:rPr>
      </w:pPr>
    </w:p>
    <w:p w:rsidR="00BD2B66" w:rsidRDefault="003067E1" w:rsidP="00011EF9">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The principles set out above are not unique to murder. If </w:t>
      </w:r>
      <w:r w:rsidR="0086528F">
        <w:rPr>
          <w:rFonts w:asciiTheme="minorHAnsi" w:hAnsiTheme="minorHAnsi" w:cstheme="minorHAnsi"/>
          <w:color w:val="000000" w:themeColor="text1"/>
          <w:lang w:val="en-GB"/>
        </w:rPr>
        <w:t xml:space="preserve">D </w:t>
      </w:r>
      <w:r>
        <w:rPr>
          <w:rFonts w:asciiTheme="minorHAnsi" w:hAnsiTheme="minorHAnsi" w:cstheme="minorHAnsi"/>
          <w:color w:val="000000" w:themeColor="text1"/>
          <w:lang w:val="en-GB"/>
        </w:rPr>
        <w:t xml:space="preserve">swings a belt at V, intending to do at </w:t>
      </w:r>
      <w:r w:rsidRPr="003067E1">
        <w:rPr>
          <w:rFonts w:asciiTheme="minorHAnsi" w:hAnsiTheme="minorHAnsi" w:cstheme="minorHAnsi"/>
          <w:color w:val="000000" w:themeColor="text1"/>
          <w:lang w:val="en-GB"/>
        </w:rPr>
        <w:t>least some harm to V, but the belt misses and instead hits and wounds W, then D is guilty of the malicious wounding of W, contrary to s.20 of the Offences Against the Person Act 1861 (</w:t>
      </w:r>
      <w:r w:rsidRPr="003067E1">
        <w:rPr>
          <w:rFonts w:asciiTheme="minorHAnsi" w:hAnsiTheme="minorHAnsi" w:cstheme="minorHAnsi"/>
          <w:i/>
          <w:iCs/>
          <w:color w:val="000000" w:themeColor="text1"/>
        </w:rPr>
        <w:t>R v Latimer</w:t>
      </w:r>
      <w:r w:rsidRPr="003067E1">
        <w:rPr>
          <w:rFonts w:asciiTheme="minorHAnsi" w:hAnsiTheme="minorHAnsi" w:cstheme="minorHAnsi"/>
          <w:color w:val="000000" w:themeColor="text1"/>
        </w:rPr>
        <w:t xml:space="preserve"> (1886) 17 QBD 359</w:t>
      </w:r>
      <w:r w:rsidRPr="003067E1">
        <w:rPr>
          <w:rFonts w:asciiTheme="minorHAnsi" w:hAnsiTheme="minorHAnsi" w:cstheme="minorHAnsi"/>
          <w:color w:val="000000" w:themeColor="text1"/>
          <w:lang w:val="en-GB"/>
        </w:rPr>
        <w:t>)</w:t>
      </w:r>
      <w:r>
        <w:rPr>
          <w:rFonts w:asciiTheme="minorHAnsi" w:hAnsiTheme="minorHAnsi" w:cstheme="minorHAnsi"/>
          <w:color w:val="000000" w:themeColor="text1"/>
          <w:lang w:val="en-GB"/>
        </w:rPr>
        <w:t>.</w:t>
      </w:r>
      <w:r w:rsidR="002373D6">
        <w:rPr>
          <w:rFonts w:asciiTheme="minorHAnsi" w:hAnsiTheme="minorHAnsi" w:cstheme="minorHAnsi"/>
          <w:color w:val="000000" w:themeColor="text1"/>
          <w:lang w:val="en-GB"/>
        </w:rPr>
        <w:t xml:space="preserve"> If D punches V, who stumbles into and knocks over W, who suffers fatal injuries as a result of falling over, then D is guilty of the manslaughter of </w:t>
      </w:r>
      <w:r w:rsidR="002373D6" w:rsidRPr="002373D6">
        <w:rPr>
          <w:rFonts w:asciiTheme="minorHAnsi" w:hAnsiTheme="minorHAnsi" w:cstheme="minorHAnsi"/>
          <w:color w:val="000000" w:themeColor="text1"/>
          <w:lang w:val="en-GB"/>
        </w:rPr>
        <w:t>W (</w:t>
      </w:r>
      <w:r w:rsidR="002373D6" w:rsidRPr="002373D6">
        <w:rPr>
          <w:rStyle w:val="groupheading1"/>
          <w:rFonts w:asciiTheme="minorHAnsi" w:hAnsiTheme="minorHAnsi" w:cstheme="minorHAnsi"/>
          <w:b w:val="0"/>
          <w:bCs w:val="0"/>
          <w:i/>
          <w:color w:val="auto"/>
          <w:sz w:val="24"/>
          <w:szCs w:val="24"/>
        </w:rPr>
        <w:t>R v Mitchell</w:t>
      </w:r>
      <w:r w:rsidR="002373D6" w:rsidRPr="002373D6">
        <w:rPr>
          <w:rStyle w:val="groupheading1"/>
          <w:rFonts w:asciiTheme="minorHAnsi" w:hAnsiTheme="minorHAnsi" w:cstheme="minorHAnsi"/>
          <w:color w:val="auto"/>
          <w:sz w:val="24"/>
          <w:szCs w:val="24"/>
        </w:rPr>
        <w:t xml:space="preserve"> </w:t>
      </w:r>
      <w:r w:rsidR="002373D6" w:rsidRPr="002373D6">
        <w:rPr>
          <w:rFonts w:asciiTheme="minorHAnsi" w:hAnsiTheme="minorHAnsi" w:cstheme="minorHAnsi"/>
          <w:color w:val="auto"/>
        </w:rPr>
        <w:t>[1983] QB 741</w:t>
      </w:r>
      <w:r w:rsidR="002373D6" w:rsidRPr="002373D6">
        <w:rPr>
          <w:rFonts w:asciiTheme="minorHAnsi" w:hAnsiTheme="minorHAnsi" w:cstheme="minorHAnsi"/>
          <w:color w:val="000000" w:themeColor="text1"/>
          <w:lang w:val="en-GB"/>
        </w:rPr>
        <w:t>)</w:t>
      </w:r>
      <w:r w:rsidR="002373D6">
        <w:rPr>
          <w:rFonts w:asciiTheme="minorHAnsi" w:hAnsiTheme="minorHAnsi" w:cstheme="minorHAnsi"/>
          <w:color w:val="000000" w:themeColor="text1"/>
          <w:lang w:val="en-GB"/>
        </w:rPr>
        <w:t xml:space="preserve">. </w:t>
      </w:r>
    </w:p>
    <w:p w:rsidR="00C44FAF" w:rsidRDefault="00C44FAF" w:rsidP="00011EF9">
      <w:pPr>
        <w:jc w:val="both"/>
        <w:rPr>
          <w:rFonts w:asciiTheme="minorHAnsi" w:hAnsiTheme="minorHAnsi" w:cstheme="minorHAnsi"/>
          <w:color w:val="000000" w:themeColor="text1"/>
          <w:lang w:val="en-GB"/>
        </w:rPr>
      </w:pPr>
    </w:p>
    <w:p w:rsidR="005C5ECA" w:rsidRPr="005C5ECA" w:rsidRDefault="00C44FAF" w:rsidP="00011EF9">
      <w:pPr>
        <w:autoSpaceDE w:val="0"/>
        <w:autoSpaceDN w:val="0"/>
        <w:adjustRightInd w:val="0"/>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In all of the above cases, </w:t>
      </w:r>
      <w:r w:rsidR="00574249">
        <w:rPr>
          <w:rFonts w:asciiTheme="minorHAnsi" w:hAnsiTheme="minorHAnsi" w:cstheme="minorHAnsi"/>
          <w:color w:val="000000" w:themeColor="text1"/>
          <w:lang w:val="en-GB"/>
        </w:rPr>
        <w:t xml:space="preserve">the issue was straightforward: </w:t>
      </w:r>
      <w:r>
        <w:rPr>
          <w:rFonts w:asciiTheme="minorHAnsi" w:hAnsiTheme="minorHAnsi" w:cstheme="minorHAnsi"/>
          <w:color w:val="000000" w:themeColor="text1"/>
          <w:lang w:val="en-GB"/>
        </w:rPr>
        <w:t xml:space="preserve">D’s </w:t>
      </w:r>
      <w:proofErr w:type="spellStart"/>
      <w:r>
        <w:rPr>
          <w:rFonts w:asciiTheme="minorHAnsi" w:hAnsiTheme="minorHAnsi" w:cstheme="minorHAnsi"/>
          <w:color w:val="000000" w:themeColor="text1"/>
          <w:lang w:val="en-GB"/>
        </w:rPr>
        <w:t>mens</w:t>
      </w:r>
      <w:proofErr w:type="spellEnd"/>
      <w:r>
        <w:rPr>
          <w:rFonts w:asciiTheme="minorHAnsi" w:hAnsiTheme="minorHAnsi" w:cstheme="minorHAnsi"/>
          <w:color w:val="000000" w:themeColor="text1"/>
          <w:lang w:val="en-GB"/>
        </w:rPr>
        <w:t xml:space="preserve"> </w:t>
      </w:r>
      <w:proofErr w:type="spellStart"/>
      <w:r>
        <w:rPr>
          <w:rFonts w:asciiTheme="minorHAnsi" w:hAnsiTheme="minorHAnsi" w:cstheme="minorHAnsi"/>
          <w:color w:val="000000" w:themeColor="text1"/>
          <w:lang w:val="en-GB"/>
        </w:rPr>
        <w:t>rea</w:t>
      </w:r>
      <w:proofErr w:type="spellEnd"/>
      <w:r>
        <w:rPr>
          <w:rFonts w:asciiTheme="minorHAnsi" w:hAnsiTheme="minorHAnsi" w:cstheme="minorHAnsi"/>
          <w:color w:val="000000" w:themeColor="text1"/>
          <w:lang w:val="en-GB"/>
        </w:rPr>
        <w:t xml:space="preserve"> with respect to the intended victim </w:t>
      </w:r>
      <w:r w:rsidR="004E2497">
        <w:rPr>
          <w:rFonts w:asciiTheme="minorHAnsi" w:hAnsiTheme="minorHAnsi" w:cstheme="minorHAnsi"/>
          <w:color w:val="000000" w:themeColor="text1"/>
          <w:lang w:val="en-GB"/>
        </w:rPr>
        <w:t xml:space="preserve">(V) </w:t>
      </w:r>
      <w:r>
        <w:rPr>
          <w:rFonts w:asciiTheme="minorHAnsi" w:hAnsiTheme="minorHAnsi" w:cstheme="minorHAnsi"/>
          <w:color w:val="000000" w:themeColor="text1"/>
          <w:lang w:val="en-GB"/>
        </w:rPr>
        <w:t xml:space="preserve">was transferred </w:t>
      </w:r>
      <w:r w:rsidR="007B57F2">
        <w:rPr>
          <w:rFonts w:asciiTheme="minorHAnsi" w:hAnsiTheme="minorHAnsi" w:cstheme="minorHAnsi"/>
          <w:color w:val="000000" w:themeColor="text1"/>
          <w:lang w:val="en-GB"/>
        </w:rPr>
        <w:t xml:space="preserve">in its entirety </w:t>
      </w:r>
      <w:r>
        <w:rPr>
          <w:rFonts w:asciiTheme="minorHAnsi" w:hAnsiTheme="minorHAnsi" w:cstheme="minorHAnsi"/>
          <w:color w:val="000000" w:themeColor="text1"/>
          <w:lang w:val="en-GB"/>
        </w:rPr>
        <w:t>to an “unintended” victim</w:t>
      </w:r>
      <w:r w:rsidR="004E2497">
        <w:rPr>
          <w:rFonts w:asciiTheme="minorHAnsi" w:hAnsiTheme="minorHAnsi" w:cstheme="minorHAnsi"/>
          <w:color w:val="000000" w:themeColor="text1"/>
          <w:lang w:val="en-GB"/>
        </w:rPr>
        <w:t xml:space="preserve"> (W)</w:t>
      </w:r>
      <w:r w:rsidR="00574249">
        <w:rPr>
          <w:rFonts w:asciiTheme="minorHAnsi" w:hAnsiTheme="minorHAnsi" w:cstheme="minorHAnsi"/>
          <w:color w:val="000000" w:themeColor="text1"/>
          <w:lang w:val="en-GB"/>
        </w:rPr>
        <w:t xml:space="preserve"> in order to convict D of exactly the same offence with which he would have been liable had </w:t>
      </w:r>
      <w:r w:rsidR="004E2497">
        <w:rPr>
          <w:rFonts w:asciiTheme="minorHAnsi" w:hAnsiTheme="minorHAnsi" w:cstheme="minorHAnsi"/>
          <w:color w:val="000000" w:themeColor="text1"/>
          <w:lang w:val="en-GB"/>
        </w:rPr>
        <w:t>V</w:t>
      </w:r>
      <w:r w:rsidR="00574249">
        <w:rPr>
          <w:rFonts w:asciiTheme="minorHAnsi" w:hAnsiTheme="minorHAnsi" w:cstheme="minorHAnsi"/>
          <w:color w:val="000000" w:themeColor="text1"/>
          <w:lang w:val="en-GB"/>
        </w:rPr>
        <w:t xml:space="preserve"> been shot, or struck with a belt, or punched.</w:t>
      </w:r>
      <w:r>
        <w:rPr>
          <w:rFonts w:asciiTheme="minorHAnsi" w:hAnsiTheme="minorHAnsi" w:cstheme="minorHAnsi"/>
          <w:color w:val="000000" w:themeColor="text1"/>
          <w:lang w:val="en-GB"/>
        </w:rPr>
        <w:t xml:space="preserve"> The </w:t>
      </w:r>
      <w:r w:rsidR="00574249">
        <w:rPr>
          <w:rFonts w:asciiTheme="minorHAnsi" w:hAnsiTheme="minorHAnsi" w:cstheme="minorHAnsi"/>
          <w:color w:val="000000" w:themeColor="text1"/>
          <w:lang w:val="en-GB"/>
        </w:rPr>
        <w:t>question</w:t>
      </w:r>
      <w:r>
        <w:rPr>
          <w:rFonts w:asciiTheme="minorHAnsi" w:hAnsiTheme="minorHAnsi" w:cstheme="minorHAnsi"/>
          <w:color w:val="000000" w:themeColor="text1"/>
          <w:lang w:val="en-GB"/>
        </w:rPr>
        <w:t xml:space="preserve"> </w:t>
      </w:r>
      <w:r w:rsidR="00574249">
        <w:rPr>
          <w:rFonts w:asciiTheme="minorHAnsi" w:hAnsiTheme="minorHAnsi" w:cstheme="minorHAnsi"/>
          <w:color w:val="000000" w:themeColor="text1"/>
          <w:lang w:val="en-GB"/>
        </w:rPr>
        <w:t>for the trial judge and for the Court of Appeal in the present case was more complicated</w:t>
      </w:r>
      <w:r w:rsidR="00516C56">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whether </w:t>
      </w:r>
      <w:r w:rsidR="00574249">
        <w:rPr>
          <w:rFonts w:asciiTheme="minorHAnsi" w:hAnsiTheme="minorHAnsi" w:cstheme="minorHAnsi"/>
          <w:color w:val="000000" w:themeColor="text1"/>
          <w:lang w:val="en-GB"/>
        </w:rPr>
        <w:t>or not transferred malice</w:t>
      </w:r>
      <w:r>
        <w:rPr>
          <w:rFonts w:asciiTheme="minorHAnsi" w:hAnsiTheme="minorHAnsi" w:cstheme="minorHAnsi"/>
          <w:color w:val="000000" w:themeColor="text1"/>
          <w:lang w:val="en-GB"/>
        </w:rPr>
        <w:t xml:space="preserve"> applied when D’s </w:t>
      </w:r>
      <w:proofErr w:type="spellStart"/>
      <w:r>
        <w:rPr>
          <w:rFonts w:asciiTheme="minorHAnsi" w:hAnsiTheme="minorHAnsi" w:cstheme="minorHAnsi"/>
          <w:color w:val="000000" w:themeColor="text1"/>
          <w:lang w:val="en-GB"/>
        </w:rPr>
        <w:t>mens</w:t>
      </w:r>
      <w:proofErr w:type="spellEnd"/>
      <w:r>
        <w:rPr>
          <w:rFonts w:asciiTheme="minorHAnsi" w:hAnsiTheme="minorHAnsi" w:cstheme="minorHAnsi"/>
          <w:color w:val="000000" w:themeColor="text1"/>
          <w:lang w:val="en-GB"/>
        </w:rPr>
        <w:t xml:space="preserve"> </w:t>
      </w:r>
      <w:proofErr w:type="spellStart"/>
      <w:r>
        <w:rPr>
          <w:rFonts w:asciiTheme="minorHAnsi" w:hAnsiTheme="minorHAnsi" w:cstheme="minorHAnsi"/>
          <w:color w:val="000000" w:themeColor="text1"/>
          <w:lang w:val="en-GB"/>
        </w:rPr>
        <w:t>rea</w:t>
      </w:r>
      <w:proofErr w:type="spellEnd"/>
      <w:r>
        <w:rPr>
          <w:rFonts w:asciiTheme="minorHAnsi" w:hAnsiTheme="minorHAnsi" w:cstheme="minorHAnsi"/>
          <w:color w:val="000000" w:themeColor="text1"/>
          <w:lang w:val="en-GB"/>
        </w:rPr>
        <w:t xml:space="preserve"> with respect to </w:t>
      </w:r>
      <w:r w:rsidR="004E2497">
        <w:rPr>
          <w:rFonts w:asciiTheme="minorHAnsi" w:hAnsiTheme="minorHAnsi" w:cstheme="minorHAnsi"/>
          <w:color w:val="000000" w:themeColor="text1"/>
          <w:lang w:val="en-GB"/>
        </w:rPr>
        <w:t>V</w:t>
      </w:r>
      <w:r>
        <w:rPr>
          <w:rFonts w:asciiTheme="minorHAnsi" w:hAnsiTheme="minorHAnsi" w:cstheme="minorHAnsi"/>
          <w:color w:val="000000" w:themeColor="text1"/>
          <w:lang w:val="en-GB"/>
        </w:rPr>
        <w:t xml:space="preserve"> </w:t>
      </w:r>
      <w:r w:rsidR="00F078A4">
        <w:rPr>
          <w:rFonts w:asciiTheme="minorHAnsi" w:hAnsiTheme="minorHAnsi" w:cstheme="minorHAnsi"/>
          <w:color w:val="000000" w:themeColor="text1"/>
          <w:lang w:val="en-GB"/>
        </w:rPr>
        <w:t>(the intended victim) i</w:t>
      </w:r>
      <w:r>
        <w:rPr>
          <w:rFonts w:asciiTheme="minorHAnsi" w:hAnsiTheme="minorHAnsi" w:cstheme="minorHAnsi"/>
          <w:color w:val="000000" w:themeColor="text1"/>
          <w:lang w:val="en-GB"/>
        </w:rPr>
        <w:t xml:space="preserve">s </w:t>
      </w:r>
      <w:r w:rsidR="007B57F2">
        <w:rPr>
          <w:rFonts w:asciiTheme="minorHAnsi" w:hAnsiTheme="minorHAnsi" w:cstheme="minorHAnsi"/>
          <w:color w:val="000000" w:themeColor="text1"/>
          <w:lang w:val="en-GB"/>
        </w:rPr>
        <w:t xml:space="preserve">different to, but </w:t>
      </w:r>
      <w:r>
        <w:rPr>
          <w:rFonts w:asciiTheme="minorHAnsi" w:hAnsiTheme="minorHAnsi" w:cstheme="minorHAnsi"/>
          <w:color w:val="000000" w:themeColor="text1"/>
          <w:lang w:val="en-GB"/>
        </w:rPr>
        <w:t>greater than</w:t>
      </w:r>
      <w:r w:rsidR="007B57F2">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that needed </w:t>
      </w:r>
      <w:r w:rsidR="007B57F2">
        <w:rPr>
          <w:rFonts w:asciiTheme="minorHAnsi" w:hAnsiTheme="minorHAnsi" w:cstheme="minorHAnsi"/>
          <w:color w:val="000000" w:themeColor="text1"/>
          <w:lang w:val="en-GB"/>
        </w:rPr>
        <w:t xml:space="preserve">in order to convict him of an offence in respect of </w:t>
      </w:r>
      <w:r w:rsidR="004E2497">
        <w:rPr>
          <w:rFonts w:asciiTheme="minorHAnsi" w:hAnsiTheme="minorHAnsi" w:cstheme="minorHAnsi"/>
          <w:color w:val="000000" w:themeColor="text1"/>
          <w:lang w:val="en-GB"/>
        </w:rPr>
        <w:t>W</w:t>
      </w:r>
      <w:r w:rsidR="00F078A4">
        <w:rPr>
          <w:rFonts w:asciiTheme="minorHAnsi" w:hAnsiTheme="minorHAnsi" w:cstheme="minorHAnsi"/>
          <w:color w:val="000000" w:themeColor="text1"/>
          <w:lang w:val="en-GB"/>
        </w:rPr>
        <w:t xml:space="preserve"> (the unintended victim)</w:t>
      </w:r>
      <w:r w:rsidR="007B57F2">
        <w:rPr>
          <w:rFonts w:asciiTheme="minorHAnsi" w:hAnsiTheme="minorHAnsi" w:cstheme="minorHAnsi"/>
          <w:color w:val="000000" w:themeColor="text1"/>
          <w:lang w:val="en-GB"/>
        </w:rPr>
        <w:t xml:space="preserve">. The </w:t>
      </w:r>
      <w:r w:rsidR="007B57F2" w:rsidRPr="005C5ECA">
        <w:rPr>
          <w:rFonts w:asciiTheme="minorHAnsi" w:hAnsiTheme="minorHAnsi" w:cstheme="minorHAnsi"/>
          <w:color w:val="000000" w:themeColor="text1"/>
          <w:lang w:val="en-GB"/>
        </w:rPr>
        <w:t xml:space="preserve">answer was an unequivocal “yes”. </w:t>
      </w:r>
      <w:r w:rsidR="005C5ECA" w:rsidRPr="005C5ECA">
        <w:rPr>
          <w:rFonts w:asciiTheme="minorHAnsi" w:hAnsiTheme="minorHAnsi" w:cstheme="minorHAnsi"/>
          <w:color w:val="000000" w:themeColor="text1"/>
          <w:lang w:val="en-GB"/>
        </w:rPr>
        <w:t>According to Rafferty LJ (at [35] and [36]):</w:t>
      </w:r>
    </w:p>
    <w:p w:rsidR="005C5ECA" w:rsidRPr="005C5ECA" w:rsidRDefault="005C5ECA" w:rsidP="00011EF9">
      <w:pPr>
        <w:autoSpaceDE w:val="0"/>
        <w:autoSpaceDN w:val="0"/>
        <w:adjustRightInd w:val="0"/>
        <w:jc w:val="both"/>
        <w:rPr>
          <w:rFonts w:asciiTheme="minorHAnsi" w:hAnsiTheme="minorHAnsi" w:cstheme="minorHAnsi"/>
          <w:color w:val="000000" w:themeColor="text1"/>
          <w:lang w:val="en-GB"/>
        </w:rPr>
      </w:pPr>
    </w:p>
    <w:p w:rsidR="005C5ECA" w:rsidRPr="005C5ECA" w:rsidRDefault="005C5ECA" w:rsidP="00011EF9">
      <w:pPr>
        <w:pStyle w:val="indent11"/>
        <w:ind w:left="567" w:right="567"/>
        <w:jc w:val="both"/>
        <w:rPr>
          <w:rFonts w:asciiTheme="minorHAnsi" w:hAnsiTheme="minorHAnsi" w:cstheme="minorHAnsi"/>
          <w:color w:val="000000" w:themeColor="text1"/>
        </w:rPr>
      </w:pPr>
      <w:r w:rsidRPr="005C5ECA">
        <w:rPr>
          <w:rFonts w:asciiTheme="minorHAnsi" w:hAnsiTheme="minorHAnsi" w:cstheme="minorHAnsi"/>
          <w:color w:val="000000" w:themeColor="text1"/>
        </w:rPr>
        <w:t>“</w:t>
      </w:r>
      <w:r w:rsidRPr="005C5ECA">
        <w:rPr>
          <w:rFonts w:asciiTheme="minorHAnsi" w:hAnsiTheme="minorHAnsi" w:cstheme="minorHAnsi"/>
        </w:rPr>
        <w:t>Within the appellants</w:t>
      </w:r>
      <w:r>
        <w:rPr>
          <w:rFonts w:asciiTheme="minorHAnsi" w:hAnsiTheme="minorHAnsi" w:cstheme="minorHAnsi"/>
        </w:rPr>
        <w:t>’</w:t>
      </w:r>
      <w:r w:rsidRPr="005C5ECA">
        <w:rPr>
          <w:rFonts w:asciiTheme="minorHAnsi" w:hAnsiTheme="minorHAnsi" w:cstheme="minorHAnsi"/>
        </w:rPr>
        <w:t xml:space="preserve"> intention to kill Bryan lay an intention to cause really serious physical harm to Bryan. Proof of the </w:t>
      </w:r>
      <w:proofErr w:type="spellStart"/>
      <w:r w:rsidRPr="005C5ECA">
        <w:rPr>
          <w:rFonts w:asciiTheme="minorHAnsi" w:hAnsiTheme="minorHAnsi" w:cstheme="minorHAnsi"/>
        </w:rPr>
        <w:t>mens</w:t>
      </w:r>
      <w:proofErr w:type="spellEnd"/>
      <w:r w:rsidRPr="005C5ECA">
        <w:rPr>
          <w:rFonts w:asciiTheme="minorHAnsi" w:hAnsiTheme="minorHAnsi" w:cstheme="minorHAnsi"/>
        </w:rPr>
        <w:t xml:space="preserve"> </w:t>
      </w:r>
      <w:proofErr w:type="spellStart"/>
      <w:r w:rsidRPr="005C5ECA">
        <w:rPr>
          <w:rFonts w:asciiTheme="minorHAnsi" w:hAnsiTheme="minorHAnsi" w:cstheme="minorHAnsi"/>
        </w:rPr>
        <w:t>rea</w:t>
      </w:r>
      <w:proofErr w:type="spellEnd"/>
      <w:r w:rsidRPr="005C5ECA">
        <w:rPr>
          <w:rFonts w:asciiTheme="minorHAnsi" w:hAnsiTheme="minorHAnsi" w:cstheme="minorHAnsi"/>
        </w:rPr>
        <w:t xml:space="preserve"> for attempted murder by definition involves proof of the </w:t>
      </w:r>
      <w:proofErr w:type="spellStart"/>
      <w:r w:rsidRPr="005C5ECA">
        <w:rPr>
          <w:rFonts w:asciiTheme="minorHAnsi" w:hAnsiTheme="minorHAnsi" w:cstheme="minorHAnsi"/>
        </w:rPr>
        <w:t>mens</w:t>
      </w:r>
      <w:proofErr w:type="spellEnd"/>
      <w:r w:rsidRPr="005C5ECA">
        <w:rPr>
          <w:rFonts w:asciiTheme="minorHAnsi" w:hAnsiTheme="minorHAnsi" w:cstheme="minorHAnsi"/>
        </w:rPr>
        <w:t xml:space="preserve"> </w:t>
      </w:r>
      <w:proofErr w:type="spellStart"/>
      <w:r w:rsidRPr="005C5ECA">
        <w:rPr>
          <w:rFonts w:asciiTheme="minorHAnsi" w:hAnsiTheme="minorHAnsi" w:cstheme="minorHAnsi"/>
        </w:rPr>
        <w:t>rea</w:t>
      </w:r>
      <w:proofErr w:type="spellEnd"/>
      <w:r w:rsidRPr="005C5ECA">
        <w:rPr>
          <w:rFonts w:asciiTheme="minorHAnsi" w:hAnsiTheme="minorHAnsi" w:cstheme="minorHAnsi"/>
        </w:rPr>
        <w:t xml:space="preserve"> for causing grievous bodily harm with intent.</w:t>
      </w:r>
      <w:r w:rsidRPr="005C5ECA">
        <w:rPr>
          <w:rFonts w:asciiTheme="minorHAnsi" w:hAnsiTheme="minorHAnsi" w:cstheme="minorHAnsi"/>
          <w:color w:val="000000" w:themeColor="text1"/>
        </w:rPr>
        <w:t>”</w:t>
      </w:r>
    </w:p>
    <w:p w:rsidR="005C5ECA" w:rsidRPr="005C5ECA" w:rsidRDefault="005C5ECA" w:rsidP="00011EF9">
      <w:pPr>
        <w:autoSpaceDE w:val="0"/>
        <w:autoSpaceDN w:val="0"/>
        <w:adjustRightInd w:val="0"/>
        <w:jc w:val="both"/>
        <w:rPr>
          <w:rFonts w:asciiTheme="minorHAnsi" w:hAnsiTheme="minorHAnsi" w:cstheme="minorHAnsi"/>
          <w:color w:val="000000" w:themeColor="text1"/>
          <w:lang w:val="en-GB"/>
        </w:rPr>
      </w:pPr>
    </w:p>
    <w:p w:rsidR="00516C56" w:rsidRPr="00516C56" w:rsidRDefault="007B57F2" w:rsidP="00011EF9">
      <w:pPr>
        <w:autoSpaceDE w:val="0"/>
        <w:autoSpaceDN w:val="0"/>
        <w:adjustRightInd w:val="0"/>
        <w:jc w:val="both"/>
        <w:rPr>
          <w:rFonts w:asciiTheme="minorHAnsi" w:hAnsiTheme="minorHAnsi" w:cstheme="minorHAnsi"/>
          <w:color w:val="000000" w:themeColor="text1"/>
          <w:lang w:val="en-GB" w:eastAsia="en-GB"/>
        </w:rPr>
      </w:pPr>
      <w:r w:rsidRPr="005C5ECA">
        <w:rPr>
          <w:rFonts w:asciiTheme="minorHAnsi" w:hAnsiTheme="minorHAnsi" w:cstheme="minorHAnsi"/>
          <w:color w:val="000000" w:themeColor="text1"/>
          <w:lang w:val="en-GB"/>
        </w:rPr>
        <w:t xml:space="preserve">This must be correct. </w:t>
      </w:r>
      <w:r w:rsidR="00F078A4">
        <w:rPr>
          <w:rFonts w:asciiTheme="minorHAnsi" w:hAnsiTheme="minorHAnsi" w:cstheme="minorHAnsi"/>
          <w:color w:val="000000" w:themeColor="text1"/>
          <w:lang w:val="en-GB"/>
        </w:rPr>
        <w:t xml:space="preserve">The principle </w:t>
      </w:r>
      <w:r w:rsidRPr="005C5ECA">
        <w:rPr>
          <w:rFonts w:asciiTheme="minorHAnsi" w:hAnsiTheme="minorHAnsi" w:cstheme="minorHAnsi"/>
          <w:color w:val="000000" w:themeColor="text1"/>
          <w:lang w:val="en-GB"/>
        </w:rPr>
        <w:t xml:space="preserve">that a greater </w:t>
      </w:r>
      <w:proofErr w:type="spellStart"/>
      <w:r w:rsidRPr="005C5ECA">
        <w:rPr>
          <w:rFonts w:asciiTheme="minorHAnsi" w:hAnsiTheme="minorHAnsi" w:cstheme="minorHAnsi"/>
          <w:color w:val="000000" w:themeColor="text1"/>
          <w:lang w:val="en-GB"/>
        </w:rPr>
        <w:t>mens</w:t>
      </w:r>
      <w:proofErr w:type="spellEnd"/>
      <w:r w:rsidRPr="005C5ECA">
        <w:rPr>
          <w:rFonts w:asciiTheme="minorHAnsi" w:hAnsiTheme="minorHAnsi" w:cstheme="minorHAnsi"/>
          <w:color w:val="000000" w:themeColor="text1"/>
          <w:lang w:val="en-GB"/>
        </w:rPr>
        <w:t xml:space="preserve"> </w:t>
      </w:r>
      <w:proofErr w:type="spellStart"/>
      <w:r w:rsidRPr="005C5ECA">
        <w:rPr>
          <w:rFonts w:asciiTheme="minorHAnsi" w:hAnsiTheme="minorHAnsi" w:cstheme="minorHAnsi"/>
          <w:color w:val="000000" w:themeColor="text1"/>
          <w:lang w:val="en-GB"/>
        </w:rPr>
        <w:t>rea</w:t>
      </w:r>
      <w:proofErr w:type="spellEnd"/>
      <w:r>
        <w:rPr>
          <w:rFonts w:asciiTheme="minorHAnsi" w:hAnsiTheme="minorHAnsi" w:cstheme="minorHAnsi"/>
          <w:color w:val="000000" w:themeColor="text1"/>
          <w:lang w:val="en-GB"/>
        </w:rPr>
        <w:t xml:space="preserve"> includes a lesser </w:t>
      </w:r>
      <w:proofErr w:type="spellStart"/>
      <w:r>
        <w:rPr>
          <w:rFonts w:asciiTheme="minorHAnsi" w:hAnsiTheme="minorHAnsi" w:cstheme="minorHAnsi"/>
          <w:color w:val="000000" w:themeColor="text1"/>
          <w:lang w:val="en-GB"/>
        </w:rPr>
        <w:t>mens</w:t>
      </w:r>
      <w:proofErr w:type="spellEnd"/>
      <w:r>
        <w:rPr>
          <w:rFonts w:asciiTheme="minorHAnsi" w:hAnsiTheme="minorHAnsi" w:cstheme="minorHAnsi"/>
          <w:color w:val="000000" w:themeColor="text1"/>
          <w:lang w:val="en-GB"/>
        </w:rPr>
        <w:t xml:space="preserve"> </w:t>
      </w:r>
      <w:proofErr w:type="spellStart"/>
      <w:r>
        <w:rPr>
          <w:rFonts w:asciiTheme="minorHAnsi" w:hAnsiTheme="minorHAnsi" w:cstheme="minorHAnsi"/>
          <w:color w:val="000000" w:themeColor="text1"/>
          <w:lang w:val="en-GB"/>
        </w:rPr>
        <w:t>rea</w:t>
      </w:r>
      <w:proofErr w:type="spellEnd"/>
      <w:r w:rsidR="00F078A4">
        <w:rPr>
          <w:rFonts w:asciiTheme="minorHAnsi" w:hAnsiTheme="minorHAnsi" w:cstheme="minorHAnsi"/>
          <w:color w:val="000000" w:themeColor="text1"/>
          <w:lang w:val="en-GB"/>
        </w:rPr>
        <w:t xml:space="preserve"> is implicit in legislation (see in particular s.6 of the Criminal Law Act 1967) and case law (see f</w:t>
      </w:r>
      <w:r>
        <w:rPr>
          <w:rFonts w:asciiTheme="minorHAnsi" w:hAnsiTheme="minorHAnsi" w:cstheme="minorHAnsi"/>
          <w:color w:val="000000" w:themeColor="text1"/>
          <w:lang w:val="en-GB"/>
        </w:rPr>
        <w:t xml:space="preserve">or example, </w:t>
      </w:r>
      <w:r w:rsidR="004F460A" w:rsidRPr="004F460A">
        <w:rPr>
          <w:rFonts w:asciiTheme="minorHAnsi" w:hAnsiTheme="minorHAnsi" w:cstheme="minorHAnsi"/>
          <w:i/>
          <w:color w:val="000000" w:themeColor="text1"/>
          <w:lang w:val="en-GB"/>
        </w:rPr>
        <w:t xml:space="preserve">R v </w:t>
      </w:r>
      <w:proofErr w:type="spellStart"/>
      <w:r w:rsidR="004F460A" w:rsidRPr="004F460A">
        <w:rPr>
          <w:rFonts w:asciiTheme="minorHAnsi" w:hAnsiTheme="minorHAnsi" w:cstheme="minorHAnsi"/>
          <w:i/>
          <w:color w:val="000000" w:themeColor="text1"/>
          <w:lang w:val="en-GB"/>
        </w:rPr>
        <w:t>Mandair</w:t>
      </w:r>
      <w:proofErr w:type="spellEnd"/>
      <w:r w:rsidR="004F460A">
        <w:rPr>
          <w:rFonts w:asciiTheme="minorHAnsi" w:hAnsiTheme="minorHAnsi" w:cstheme="minorHAnsi"/>
          <w:color w:val="000000" w:themeColor="text1"/>
          <w:lang w:val="en-GB"/>
        </w:rPr>
        <w:t xml:space="preserve"> </w:t>
      </w:r>
      <w:r w:rsidR="004F460A" w:rsidRPr="004F460A">
        <w:rPr>
          <w:rFonts w:asciiTheme="minorHAnsi" w:hAnsiTheme="minorHAnsi" w:cstheme="minorHAnsi"/>
          <w:bCs/>
          <w:color w:val="auto"/>
          <w:lang w:val="en-GB" w:eastAsia="zh-CN"/>
        </w:rPr>
        <w:t>[1995] 1 AC 208</w:t>
      </w:r>
      <w:r w:rsidR="00FE1655">
        <w:rPr>
          <w:rFonts w:asciiTheme="minorHAnsi" w:hAnsiTheme="minorHAnsi" w:cstheme="minorHAnsi"/>
          <w:bCs/>
          <w:color w:val="auto"/>
          <w:lang w:val="en-GB" w:eastAsia="zh-CN"/>
        </w:rPr>
        <w:t>, in which the House of Lords</w:t>
      </w:r>
      <w:r w:rsidR="00516C56">
        <w:rPr>
          <w:rFonts w:asciiTheme="minorHAnsi" w:hAnsiTheme="minorHAnsi" w:cstheme="minorHAnsi"/>
          <w:bCs/>
          <w:color w:val="auto"/>
          <w:lang w:val="en-GB" w:eastAsia="zh-CN"/>
        </w:rPr>
        <w:t xml:space="preserve"> </w:t>
      </w:r>
      <w:r w:rsidR="004F460A">
        <w:rPr>
          <w:rFonts w:asciiTheme="minorHAnsi" w:hAnsiTheme="minorHAnsi" w:cstheme="minorHAnsi"/>
          <w:color w:val="000000" w:themeColor="text1"/>
          <w:lang w:val="en-GB"/>
        </w:rPr>
        <w:t xml:space="preserve">accepted that a charge of causing GBH with intent to do GBH (s.18 OAPA 1861) included the lesser offence of maliciously inflicting GBH (s.20 OAPA 1861) – see in particular Lord </w:t>
      </w:r>
      <w:proofErr w:type="spellStart"/>
      <w:r w:rsidR="004F460A">
        <w:rPr>
          <w:rFonts w:asciiTheme="minorHAnsi" w:hAnsiTheme="minorHAnsi" w:cstheme="minorHAnsi"/>
          <w:color w:val="000000" w:themeColor="text1"/>
          <w:lang w:val="en-GB"/>
        </w:rPr>
        <w:t>Templeman’s</w:t>
      </w:r>
      <w:proofErr w:type="spellEnd"/>
      <w:r w:rsidR="004F460A">
        <w:rPr>
          <w:rFonts w:asciiTheme="minorHAnsi" w:hAnsiTheme="minorHAnsi" w:cstheme="minorHAnsi"/>
          <w:color w:val="000000" w:themeColor="text1"/>
          <w:lang w:val="en-GB"/>
        </w:rPr>
        <w:t xml:space="preserve"> </w:t>
      </w:r>
      <w:r w:rsidR="00516C56">
        <w:rPr>
          <w:rFonts w:asciiTheme="minorHAnsi" w:hAnsiTheme="minorHAnsi" w:cstheme="minorHAnsi"/>
          <w:color w:val="000000" w:themeColor="text1"/>
          <w:lang w:val="en-GB"/>
        </w:rPr>
        <w:t>robust</w:t>
      </w:r>
      <w:r w:rsidR="004F460A">
        <w:rPr>
          <w:rFonts w:asciiTheme="minorHAnsi" w:hAnsiTheme="minorHAnsi" w:cstheme="minorHAnsi"/>
          <w:color w:val="000000" w:themeColor="text1"/>
          <w:lang w:val="en-GB"/>
        </w:rPr>
        <w:t xml:space="preserve"> </w:t>
      </w:r>
      <w:r w:rsidR="004F460A" w:rsidRPr="00516C56">
        <w:rPr>
          <w:rFonts w:asciiTheme="minorHAnsi" w:hAnsiTheme="minorHAnsi" w:cstheme="minorHAnsi"/>
          <w:color w:val="000000" w:themeColor="text1"/>
          <w:lang w:val="en-GB"/>
        </w:rPr>
        <w:t>speech</w:t>
      </w:r>
      <w:r w:rsidR="00516C56">
        <w:rPr>
          <w:rFonts w:asciiTheme="minorHAnsi" w:hAnsiTheme="minorHAnsi" w:cstheme="minorHAnsi"/>
          <w:color w:val="000000" w:themeColor="text1"/>
          <w:lang w:val="en-GB"/>
        </w:rPr>
        <w:t xml:space="preserve"> (at 219)</w:t>
      </w:r>
      <w:r w:rsidR="00FE1655">
        <w:rPr>
          <w:rFonts w:asciiTheme="minorHAnsi" w:hAnsiTheme="minorHAnsi" w:cstheme="minorHAnsi"/>
          <w:color w:val="000000" w:themeColor="text1"/>
          <w:lang w:val="en-GB"/>
        </w:rPr>
        <w:t>)</w:t>
      </w:r>
      <w:r w:rsidR="004F460A" w:rsidRPr="00516C56">
        <w:rPr>
          <w:rFonts w:asciiTheme="minorHAnsi" w:hAnsiTheme="minorHAnsi" w:cstheme="minorHAnsi"/>
          <w:color w:val="000000" w:themeColor="text1"/>
          <w:lang w:val="en-GB"/>
        </w:rPr>
        <w:t xml:space="preserve">. </w:t>
      </w:r>
    </w:p>
    <w:p w:rsidR="00516C56" w:rsidRDefault="00516C56" w:rsidP="00011EF9">
      <w:pPr>
        <w:jc w:val="both"/>
        <w:rPr>
          <w:rFonts w:asciiTheme="minorHAnsi" w:hAnsiTheme="minorHAnsi" w:cstheme="minorHAnsi"/>
          <w:color w:val="000000" w:themeColor="text1"/>
          <w:lang w:val="en-GB"/>
        </w:rPr>
      </w:pPr>
    </w:p>
    <w:p w:rsidR="0009510B" w:rsidRDefault="002373D6" w:rsidP="00011EF9">
      <w:pPr>
        <w:jc w:val="both"/>
        <w:rPr>
          <w:rFonts w:asciiTheme="minorHAnsi" w:hAnsiTheme="minorHAnsi" w:cstheme="minorHAnsi"/>
          <w:color w:val="000000" w:themeColor="text1"/>
        </w:rPr>
      </w:pPr>
      <w:r>
        <w:rPr>
          <w:rFonts w:asciiTheme="minorHAnsi" w:hAnsiTheme="minorHAnsi" w:cstheme="minorHAnsi"/>
          <w:color w:val="000000" w:themeColor="text1"/>
          <w:lang w:val="en-GB"/>
        </w:rPr>
        <w:t xml:space="preserve">However, </w:t>
      </w:r>
      <w:r w:rsidR="00516C56">
        <w:rPr>
          <w:rFonts w:asciiTheme="minorHAnsi" w:hAnsiTheme="minorHAnsi" w:cstheme="minorHAnsi"/>
          <w:color w:val="000000" w:themeColor="text1"/>
          <w:lang w:val="en-GB"/>
        </w:rPr>
        <w:t>transferred malice</w:t>
      </w:r>
      <w:r>
        <w:rPr>
          <w:rFonts w:asciiTheme="minorHAnsi" w:hAnsiTheme="minorHAnsi" w:cstheme="minorHAnsi"/>
          <w:color w:val="000000" w:themeColor="text1"/>
          <w:lang w:val="en-GB"/>
        </w:rPr>
        <w:t xml:space="preserve"> principles do not, apparently, apply in the </w:t>
      </w:r>
      <w:r w:rsidR="00AE1B20">
        <w:rPr>
          <w:rFonts w:asciiTheme="minorHAnsi" w:hAnsiTheme="minorHAnsi" w:cstheme="minorHAnsi"/>
          <w:color w:val="000000" w:themeColor="text1"/>
          <w:lang w:val="en-GB"/>
        </w:rPr>
        <w:t xml:space="preserve">following </w:t>
      </w:r>
      <w:r>
        <w:rPr>
          <w:rFonts w:asciiTheme="minorHAnsi" w:hAnsiTheme="minorHAnsi" w:cstheme="minorHAnsi"/>
          <w:color w:val="000000" w:themeColor="text1"/>
          <w:lang w:val="en-GB"/>
        </w:rPr>
        <w:t>situation</w:t>
      </w:r>
      <w:r w:rsidR="00AE1B20">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sidR="00AE1B20">
        <w:rPr>
          <w:rFonts w:asciiTheme="minorHAnsi" w:hAnsiTheme="minorHAnsi" w:cstheme="minorHAnsi"/>
          <w:color w:val="000000" w:themeColor="text1"/>
          <w:lang w:val="en-GB"/>
        </w:rPr>
        <w:t>Suppose that</w:t>
      </w:r>
      <w:r>
        <w:rPr>
          <w:rFonts w:asciiTheme="minorHAnsi" w:hAnsiTheme="minorHAnsi" w:cstheme="minorHAnsi"/>
          <w:color w:val="000000" w:themeColor="text1"/>
          <w:lang w:val="en-GB"/>
        </w:rPr>
        <w:t xml:space="preserve"> D </w:t>
      </w:r>
      <w:r w:rsidR="00AE1B20">
        <w:rPr>
          <w:rFonts w:asciiTheme="minorHAnsi" w:hAnsiTheme="minorHAnsi" w:cstheme="minorHAnsi"/>
          <w:color w:val="000000" w:themeColor="text1"/>
          <w:lang w:val="en-GB"/>
        </w:rPr>
        <w:t>fires a gun</w:t>
      </w:r>
      <w:r>
        <w:rPr>
          <w:rFonts w:asciiTheme="minorHAnsi" w:hAnsiTheme="minorHAnsi" w:cstheme="minorHAnsi"/>
          <w:color w:val="000000" w:themeColor="text1"/>
          <w:lang w:val="en-GB"/>
        </w:rPr>
        <w:t xml:space="preserve"> </w:t>
      </w:r>
      <w:r w:rsidR="00AE1B20">
        <w:rPr>
          <w:rFonts w:asciiTheme="minorHAnsi" w:hAnsiTheme="minorHAnsi" w:cstheme="minorHAnsi"/>
          <w:color w:val="000000" w:themeColor="text1"/>
          <w:lang w:val="en-GB"/>
        </w:rPr>
        <w:t xml:space="preserve">at V, intending to </w:t>
      </w:r>
      <w:r>
        <w:rPr>
          <w:rFonts w:asciiTheme="minorHAnsi" w:hAnsiTheme="minorHAnsi" w:cstheme="minorHAnsi"/>
          <w:color w:val="000000" w:themeColor="text1"/>
          <w:lang w:val="en-GB"/>
        </w:rPr>
        <w:t>kill V</w:t>
      </w:r>
      <w:r w:rsidR="00ED5B8A">
        <w:rPr>
          <w:rFonts w:asciiTheme="minorHAnsi" w:hAnsiTheme="minorHAnsi" w:cstheme="minorHAnsi"/>
          <w:color w:val="000000" w:themeColor="text1"/>
          <w:lang w:val="en-GB"/>
        </w:rPr>
        <w:t>. O</w:t>
      </w:r>
      <w:r w:rsidR="00AE1B20">
        <w:rPr>
          <w:rFonts w:asciiTheme="minorHAnsi" w:hAnsiTheme="minorHAnsi" w:cstheme="minorHAnsi"/>
          <w:color w:val="000000" w:themeColor="text1"/>
          <w:lang w:val="en-GB"/>
        </w:rPr>
        <w:t xml:space="preserve">ne or more of the bullets </w:t>
      </w:r>
      <w:r>
        <w:rPr>
          <w:rFonts w:asciiTheme="minorHAnsi" w:hAnsiTheme="minorHAnsi" w:cstheme="minorHAnsi"/>
          <w:color w:val="000000" w:themeColor="text1"/>
          <w:lang w:val="en-GB"/>
        </w:rPr>
        <w:t>miss</w:t>
      </w:r>
      <w:r w:rsidR="00ED5B8A">
        <w:rPr>
          <w:rFonts w:asciiTheme="minorHAnsi" w:hAnsiTheme="minorHAnsi" w:cstheme="minorHAnsi"/>
          <w:color w:val="000000" w:themeColor="text1"/>
          <w:lang w:val="en-GB"/>
        </w:rPr>
        <w:t>es</w:t>
      </w:r>
      <w:r w:rsidR="00AE1B20">
        <w:rPr>
          <w:rFonts w:asciiTheme="minorHAnsi" w:hAnsiTheme="minorHAnsi" w:cstheme="minorHAnsi"/>
          <w:color w:val="000000" w:themeColor="text1"/>
          <w:lang w:val="en-GB"/>
        </w:rPr>
        <w:t xml:space="preserve"> V and instead hit</w:t>
      </w:r>
      <w:r w:rsidR="00ED5B8A">
        <w:rPr>
          <w:rFonts w:asciiTheme="minorHAnsi" w:hAnsiTheme="minorHAnsi" w:cstheme="minorHAnsi"/>
          <w:color w:val="000000" w:themeColor="text1"/>
          <w:lang w:val="en-GB"/>
        </w:rPr>
        <w:t>s</w:t>
      </w:r>
      <w:r w:rsidR="00AE1B20">
        <w:rPr>
          <w:rFonts w:asciiTheme="minorHAnsi" w:hAnsiTheme="minorHAnsi" w:cstheme="minorHAnsi"/>
          <w:color w:val="000000" w:themeColor="text1"/>
          <w:lang w:val="en-GB"/>
        </w:rPr>
        <w:t xml:space="preserve"> and injure</w:t>
      </w:r>
      <w:r w:rsidR="00ED5B8A">
        <w:rPr>
          <w:rFonts w:asciiTheme="minorHAnsi" w:hAnsiTheme="minorHAnsi" w:cstheme="minorHAnsi"/>
          <w:color w:val="000000" w:themeColor="text1"/>
          <w:lang w:val="en-GB"/>
        </w:rPr>
        <w:t>s</w:t>
      </w:r>
      <w:r w:rsidR="00AE1B20">
        <w:rPr>
          <w:rFonts w:asciiTheme="minorHAnsi" w:hAnsiTheme="minorHAnsi" w:cstheme="minorHAnsi"/>
          <w:color w:val="000000" w:themeColor="text1"/>
          <w:lang w:val="en-GB"/>
        </w:rPr>
        <w:t xml:space="preserve"> W</w:t>
      </w:r>
      <w:r w:rsidR="00ED5B8A">
        <w:rPr>
          <w:rFonts w:asciiTheme="minorHAnsi" w:hAnsiTheme="minorHAnsi" w:cstheme="minorHAnsi"/>
          <w:color w:val="000000" w:themeColor="text1"/>
        </w:rPr>
        <w:t xml:space="preserve">. Here, although </w:t>
      </w:r>
      <w:r w:rsidR="00AE1B20">
        <w:rPr>
          <w:rFonts w:asciiTheme="minorHAnsi" w:hAnsiTheme="minorHAnsi" w:cstheme="minorHAnsi"/>
          <w:color w:val="000000" w:themeColor="text1"/>
          <w:lang w:val="en-GB"/>
        </w:rPr>
        <w:t xml:space="preserve">D would be guilty of the </w:t>
      </w:r>
      <w:r w:rsidR="00ED5B8A">
        <w:rPr>
          <w:rFonts w:asciiTheme="minorHAnsi" w:hAnsiTheme="minorHAnsi" w:cstheme="minorHAnsi"/>
          <w:color w:val="000000" w:themeColor="text1"/>
          <w:lang w:val="en-GB"/>
        </w:rPr>
        <w:t xml:space="preserve">murder or </w:t>
      </w:r>
      <w:r w:rsidR="00AE1B20">
        <w:rPr>
          <w:rFonts w:asciiTheme="minorHAnsi" w:hAnsiTheme="minorHAnsi" w:cstheme="minorHAnsi"/>
          <w:color w:val="000000" w:themeColor="text1"/>
          <w:lang w:val="en-GB"/>
        </w:rPr>
        <w:t xml:space="preserve">attempted murder of V </w:t>
      </w:r>
      <w:r w:rsidR="00ED5B8A">
        <w:rPr>
          <w:rFonts w:asciiTheme="minorHAnsi" w:hAnsiTheme="minorHAnsi" w:cstheme="minorHAnsi"/>
          <w:color w:val="000000" w:themeColor="text1"/>
          <w:lang w:val="en-GB"/>
        </w:rPr>
        <w:t>(depend</w:t>
      </w:r>
      <w:r w:rsidR="00FE1655">
        <w:rPr>
          <w:rFonts w:asciiTheme="minorHAnsi" w:hAnsiTheme="minorHAnsi" w:cstheme="minorHAnsi"/>
          <w:color w:val="000000" w:themeColor="text1"/>
          <w:lang w:val="en-GB"/>
        </w:rPr>
        <w:t>ing</w:t>
      </w:r>
      <w:r w:rsidR="00ED5B8A">
        <w:rPr>
          <w:rFonts w:asciiTheme="minorHAnsi" w:hAnsiTheme="minorHAnsi" w:cstheme="minorHAnsi"/>
          <w:color w:val="000000" w:themeColor="text1"/>
          <w:lang w:val="en-GB"/>
        </w:rPr>
        <w:t xml:space="preserve"> on whether </w:t>
      </w:r>
      <w:r w:rsidR="00516C56">
        <w:rPr>
          <w:rFonts w:asciiTheme="minorHAnsi" w:hAnsiTheme="minorHAnsi" w:cstheme="minorHAnsi"/>
          <w:color w:val="000000" w:themeColor="text1"/>
          <w:lang w:val="en-GB"/>
        </w:rPr>
        <w:t>V</w:t>
      </w:r>
      <w:r w:rsidR="00ED5B8A">
        <w:rPr>
          <w:rFonts w:asciiTheme="minorHAnsi" w:hAnsiTheme="minorHAnsi" w:cstheme="minorHAnsi"/>
          <w:color w:val="000000" w:themeColor="text1"/>
          <w:lang w:val="en-GB"/>
        </w:rPr>
        <w:t xml:space="preserve"> </w:t>
      </w:r>
      <w:r w:rsidR="00FE1655">
        <w:rPr>
          <w:rFonts w:asciiTheme="minorHAnsi" w:hAnsiTheme="minorHAnsi" w:cstheme="minorHAnsi"/>
          <w:color w:val="000000" w:themeColor="text1"/>
          <w:lang w:val="en-GB"/>
        </w:rPr>
        <w:t>was</w:t>
      </w:r>
      <w:r w:rsidR="00ED5B8A">
        <w:rPr>
          <w:rFonts w:asciiTheme="minorHAnsi" w:hAnsiTheme="minorHAnsi" w:cstheme="minorHAnsi"/>
          <w:color w:val="000000" w:themeColor="text1"/>
          <w:lang w:val="en-GB"/>
        </w:rPr>
        <w:t xml:space="preserve"> killed), he </w:t>
      </w:r>
      <w:r w:rsidR="00AE1B20">
        <w:rPr>
          <w:rFonts w:asciiTheme="minorHAnsi" w:hAnsiTheme="minorHAnsi" w:cstheme="minorHAnsi"/>
          <w:color w:val="000000" w:themeColor="text1"/>
          <w:lang w:val="en-GB"/>
        </w:rPr>
        <w:t xml:space="preserve">would </w:t>
      </w:r>
      <w:r w:rsidR="00AE1B20" w:rsidRPr="00AE1B20">
        <w:rPr>
          <w:rFonts w:asciiTheme="minorHAnsi" w:hAnsiTheme="minorHAnsi" w:cstheme="minorHAnsi"/>
          <w:color w:val="000000" w:themeColor="text1"/>
          <w:u w:val="single"/>
          <w:lang w:val="en-GB"/>
        </w:rPr>
        <w:t>not</w:t>
      </w:r>
      <w:r w:rsidR="00AE1B20">
        <w:rPr>
          <w:rFonts w:asciiTheme="minorHAnsi" w:hAnsiTheme="minorHAnsi" w:cstheme="minorHAnsi"/>
          <w:color w:val="000000" w:themeColor="text1"/>
          <w:lang w:val="en-GB"/>
        </w:rPr>
        <w:t xml:space="preserve"> be guilty of the attempted murder of W.</w:t>
      </w:r>
      <w:r w:rsidR="00ED5B8A">
        <w:rPr>
          <w:rFonts w:asciiTheme="minorHAnsi" w:hAnsiTheme="minorHAnsi" w:cstheme="minorHAnsi"/>
          <w:color w:val="000000" w:themeColor="text1"/>
          <w:lang w:val="en-GB"/>
        </w:rPr>
        <w:t xml:space="preserve"> This was the decision of the Supreme Court of </w:t>
      </w:r>
      <w:r w:rsidR="00ED5B8A" w:rsidRPr="00ED5B8A">
        <w:rPr>
          <w:rFonts w:asciiTheme="minorHAnsi" w:hAnsiTheme="minorHAnsi" w:cstheme="minorHAnsi"/>
          <w:color w:val="000000" w:themeColor="text1"/>
          <w:lang w:val="en-GB"/>
        </w:rPr>
        <w:t xml:space="preserve">California in </w:t>
      </w:r>
      <w:r w:rsidR="00ED5B8A" w:rsidRPr="00ED5B8A">
        <w:rPr>
          <w:rFonts w:asciiTheme="minorHAnsi" w:hAnsiTheme="minorHAnsi" w:cstheme="minorHAnsi"/>
          <w:i/>
          <w:color w:val="000000" w:themeColor="text1"/>
        </w:rPr>
        <w:t>People v Bland</w:t>
      </w:r>
      <w:r w:rsidR="00ED5B8A" w:rsidRPr="00ED5B8A">
        <w:rPr>
          <w:rFonts w:asciiTheme="minorHAnsi" w:hAnsiTheme="minorHAnsi" w:cstheme="minorHAnsi"/>
          <w:color w:val="000000" w:themeColor="text1"/>
        </w:rPr>
        <w:t xml:space="preserve"> (2002) 28 Cal.</w:t>
      </w:r>
      <w:r w:rsidR="00ED5B8A">
        <w:rPr>
          <w:rFonts w:asciiTheme="minorHAnsi" w:hAnsiTheme="minorHAnsi" w:cstheme="minorHAnsi"/>
          <w:color w:val="000000" w:themeColor="text1"/>
        </w:rPr>
        <w:t xml:space="preserve"> </w:t>
      </w:r>
      <w:r w:rsidR="00ED5B8A" w:rsidRPr="00ED5B8A">
        <w:rPr>
          <w:rFonts w:asciiTheme="minorHAnsi" w:hAnsiTheme="minorHAnsi" w:cstheme="minorHAnsi"/>
          <w:color w:val="000000" w:themeColor="text1"/>
        </w:rPr>
        <w:t>4th 313, 121 Cal.</w:t>
      </w:r>
      <w:r w:rsidR="00ED5B8A">
        <w:rPr>
          <w:rFonts w:asciiTheme="minorHAnsi" w:hAnsiTheme="minorHAnsi" w:cstheme="minorHAnsi"/>
          <w:color w:val="000000" w:themeColor="text1"/>
        </w:rPr>
        <w:t xml:space="preserve"> </w:t>
      </w:r>
      <w:proofErr w:type="spellStart"/>
      <w:r w:rsidR="00ED5B8A" w:rsidRPr="00ED5B8A">
        <w:rPr>
          <w:rFonts w:asciiTheme="minorHAnsi" w:hAnsiTheme="minorHAnsi" w:cstheme="minorHAnsi"/>
          <w:color w:val="000000" w:themeColor="text1"/>
        </w:rPr>
        <w:t>Rptr</w:t>
      </w:r>
      <w:proofErr w:type="spellEnd"/>
      <w:r w:rsidR="00ED5B8A" w:rsidRPr="00ED5B8A">
        <w:rPr>
          <w:rFonts w:asciiTheme="minorHAnsi" w:hAnsiTheme="minorHAnsi" w:cstheme="minorHAnsi"/>
          <w:color w:val="000000" w:themeColor="text1"/>
        </w:rPr>
        <w:t xml:space="preserve">. 2d </w:t>
      </w:r>
      <w:r w:rsidR="00ED5B8A" w:rsidRPr="0009510B">
        <w:rPr>
          <w:rFonts w:asciiTheme="minorHAnsi" w:hAnsiTheme="minorHAnsi" w:cstheme="minorHAnsi"/>
          <w:color w:val="000000" w:themeColor="text1"/>
        </w:rPr>
        <w:t>546</w:t>
      </w:r>
      <w:r w:rsidR="003D17B4" w:rsidRPr="0009510B">
        <w:rPr>
          <w:rFonts w:asciiTheme="minorHAnsi" w:hAnsiTheme="minorHAnsi" w:cstheme="minorHAnsi"/>
          <w:color w:val="000000" w:themeColor="text1"/>
        </w:rPr>
        <w:t xml:space="preserve">, </w:t>
      </w:r>
      <w:r w:rsidR="0009510B" w:rsidRPr="0009510B">
        <w:rPr>
          <w:rFonts w:asciiTheme="minorHAnsi" w:hAnsiTheme="minorHAnsi" w:cstheme="minorHAnsi"/>
          <w:color w:val="000000" w:themeColor="text1"/>
        </w:rPr>
        <w:t xml:space="preserve">which </w:t>
      </w:r>
      <w:r w:rsidR="0009510B">
        <w:rPr>
          <w:rFonts w:asciiTheme="minorHAnsi" w:hAnsiTheme="minorHAnsi" w:cstheme="minorHAnsi"/>
          <w:color w:val="000000" w:themeColor="text1"/>
        </w:rPr>
        <w:t xml:space="preserve">was relied </w:t>
      </w:r>
      <w:r w:rsidR="0009510B" w:rsidRPr="00ED5B8A">
        <w:rPr>
          <w:rFonts w:asciiTheme="minorHAnsi" w:hAnsiTheme="minorHAnsi" w:cstheme="minorHAnsi"/>
          <w:color w:val="000000" w:themeColor="text1"/>
        </w:rPr>
        <w:t xml:space="preserve">upon by </w:t>
      </w:r>
      <w:r w:rsidR="0009510B">
        <w:rPr>
          <w:rFonts w:asciiTheme="minorHAnsi" w:hAnsiTheme="minorHAnsi" w:cstheme="minorHAnsi"/>
          <w:color w:val="auto"/>
        </w:rPr>
        <w:t xml:space="preserve">His </w:t>
      </w:r>
      <w:proofErr w:type="spellStart"/>
      <w:r w:rsidR="0009510B">
        <w:rPr>
          <w:rFonts w:asciiTheme="minorHAnsi" w:hAnsiTheme="minorHAnsi" w:cstheme="minorHAnsi"/>
          <w:color w:val="auto"/>
        </w:rPr>
        <w:t>Honour</w:t>
      </w:r>
      <w:proofErr w:type="spellEnd"/>
      <w:r w:rsidR="0009510B">
        <w:rPr>
          <w:rFonts w:asciiTheme="minorHAnsi" w:hAnsiTheme="minorHAnsi" w:cstheme="minorHAnsi"/>
          <w:color w:val="auto"/>
        </w:rPr>
        <w:t xml:space="preserve"> Judge</w:t>
      </w:r>
      <w:r w:rsidR="0009510B" w:rsidRPr="00ED5B8A">
        <w:rPr>
          <w:rFonts w:asciiTheme="minorHAnsi" w:hAnsiTheme="minorHAnsi" w:cstheme="minorHAnsi"/>
          <w:color w:val="000000" w:themeColor="text1"/>
        </w:rPr>
        <w:t xml:space="preserve"> </w:t>
      </w:r>
      <w:r w:rsidR="0009510B">
        <w:rPr>
          <w:rFonts w:asciiTheme="minorHAnsi" w:hAnsiTheme="minorHAnsi" w:cstheme="minorHAnsi"/>
          <w:color w:val="000000" w:themeColor="text1"/>
        </w:rPr>
        <w:t xml:space="preserve">Peter </w:t>
      </w:r>
      <w:r w:rsidR="0009510B" w:rsidRPr="00ED5B8A">
        <w:rPr>
          <w:rFonts w:asciiTheme="minorHAnsi" w:hAnsiTheme="minorHAnsi" w:cstheme="minorHAnsi"/>
          <w:color w:val="000000" w:themeColor="text1"/>
        </w:rPr>
        <w:t>Rook QC</w:t>
      </w:r>
      <w:r w:rsidR="0009510B">
        <w:rPr>
          <w:rFonts w:asciiTheme="minorHAnsi" w:hAnsiTheme="minorHAnsi" w:cstheme="minorHAnsi"/>
          <w:color w:val="000000" w:themeColor="text1"/>
        </w:rPr>
        <w:t xml:space="preserve"> in a pre-trial hearing in the present case in October 2011. </w:t>
      </w:r>
      <w:r w:rsidR="0009510B" w:rsidRPr="00111EBA">
        <w:rPr>
          <w:rFonts w:asciiTheme="minorHAnsi" w:hAnsiTheme="minorHAnsi" w:cstheme="minorHAnsi"/>
          <w:bCs/>
          <w:color w:val="auto"/>
        </w:rPr>
        <w:t xml:space="preserve">Grant, </w:t>
      </w:r>
      <w:proofErr w:type="spellStart"/>
      <w:r w:rsidR="0009510B" w:rsidRPr="00111EBA">
        <w:rPr>
          <w:rFonts w:asciiTheme="minorHAnsi" w:hAnsiTheme="minorHAnsi" w:cstheme="minorHAnsi"/>
          <w:bCs/>
          <w:color w:val="auto"/>
        </w:rPr>
        <w:t>Kolawole</w:t>
      </w:r>
      <w:proofErr w:type="spellEnd"/>
      <w:r w:rsidR="0009510B" w:rsidRPr="00111EBA">
        <w:rPr>
          <w:rFonts w:asciiTheme="minorHAnsi" w:hAnsiTheme="minorHAnsi" w:cstheme="minorHAnsi"/>
          <w:bCs/>
          <w:color w:val="auto"/>
        </w:rPr>
        <w:t xml:space="preserve"> </w:t>
      </w:r>
      <w:r w:rsidR="0009510B" w:rsidRPr="00111EBA">
        <w:rPr>
          <w:rFonts w:asciiTheme="minorHAnsi" w:hAnsiTheme="minorHAnsi" w:cstheme="minorHAnsi"/>
          <w:bCs/>
          <w:color w:val="auto"/>
        </w:rPr>
        <w:lastRenderedPageBreak/>
        <w:t xml:space="preserve">and </w:t>
      </w:r>
      <w:proofErr w:type="spellStart"/>
      <w:r w:rsidR="0009510B" w:rsidRPr="00111EBA">
        <w:rPr>
          <w:rFonts w:asciiTheme="minorHAnsi" w:hAnsiTheme="minorHAnsi" w:cstheme="minorHAnsi"/>
          <w:bCs/>
          <w:color w:val="auto"/>
        </w:rPr>
        <w:t>McCalla</w:t>
      </w:r>
      <w:proofErr w:type="spellEnd"/>
      <w:r w:rsidR="0009510B">
        <w:rPr>
          <w:rFonts w:asciiTheme="minorHAnsi" w:hAnsiTheme="minorHAnsi" w:cstheme="minorHAnsi"/>
          <w:bCs/>
          <w:color w:val="auto"/>
        </w:rPr>
        <w:t xml:space="preserve"> had all originally been charged with two further counts: the attempted murders of </w:t>
      </w:r>
      <w:proofErr w:type="spellStart"/>
      <w:r w:rsidR="0009510B" w:rsidRPr="00111EBA">
        <w:rPr>
          <w:rFonts w:asciiTheme="minorHAnsi" w:hAnsiTheme="minorHAnsi" w:cstheme="minorHAnsi"/>
          <w:color w:val="auto"/>
        </w:rPr>
        <w:t>Kamaleswaran</w:t>
      </w:r>
      <w:proofErr w:type="spellEnd"/>
      <w:r w:rsidR="0009510B">
        <w:rPr>
          <w:rFonts w:asciiTheme="minorHAnsi" w:hAnsiTheme="minorHAnsi" w:cstheme="minorHAnsi"/>
          <w:color w:val="auto"/>
        </w:rPr>
        <w:t xml:space="preserve"> and</w:t>
      </w:r>
      <w:r w:rsidR="0009510B" w:rsidRPr="00111EBA">
        <w:rPr>
          <w:rFonts w:asciiTheme="minorHAnsi" w:hAnsiTheme="minorHAnsi" w:cstheme="minorHAnsi"/>
          <w:color w:val="auto"/>
        </w:rPr>
        <w:t xml:space="preserve"> </w:t>
      </w:r>
      <w:proofErr w:type="spellStart"/>
      <w:r w:rsidR="0009510B" w:rsidRPr="00111EBA">
        <w:rPr>
          <w:rFonts w:asciiTheme="minorHAnsi" w:hAnsiTheme="minorHAnsi" w:cstheme="minorHAnsi"/>
          <w:color w:val="auto"/>
        </w:rPr>
        <w:t>Selvakumar</w:t>
      </w:r>
      <w:proofErr w:type="spellEnd"/>
      <w:r w:rsidR="0009510B">
        <w:rPr>
          <w:rFonts w:asciiTheme="minorHAnsi" w:hAnsiTheme="minorHAnsi" w:cstheme="minorHAnsi"/>
          <w:color w:val="auto"/>
        </w:rPr>
        <w:t xml:space="preserve">. However, these counts were dismissed by HHJ Rook QC, who said </w:t>
      </w:r>
      <w:r w:rsidR="0009510B" w:rsidRPr="00F41D7C">
        <w:rPr>
          <w:rFonts w:asciiTheme="minorHAnsi" w:hAnsiTheme="minorHAnsi" w:cstheme="minorHAnsi"/>
          <w:color w:val="000000" w:themeColor="text1"/>
        </w:rPr>
        <w:t>that “</w:t>
      </w:r>
      <w:r w:rsidR="00FE1655">
        <w:rPr>
          <w:rFonts w:asciiTheme="minorHAnsi" w:hAnsiTheme="minorHAnsi" w:cstheme="minorHAnsi"/>
          <w:color w:val="000000" w:themeColor="text1"/>
        </w:rPr>
        <w:t>[t]</w:t>
      </w:r>
      <w:r w:rsidR="0009510B" w:rsidRPr="00F41D7C">
        <w:rPr>
          <w:rFonts w:asciiTheme="minorHAnsi" w:hAnsiTheme="minorHAnsi" w:cstheme="minorHAnsi"/>
          <w:color w:val="000000" w:themeColor="text1"/>
        </w:rPr>
        <w:t>here are great difficulties in applying…</w:t>
      </w:r>
      <w:r w:rsidR="0009510B">
        <w:rPr>
          <w:rFonts w:asciiTheme="minorHAnsi" w:hAnsiTheme="minorHAnsi" w:cstheme="minorHAnsi"/>
          <w:color w:val="000000" w:themeColor="text1"/>
        </w:rPr>
        <w:t xml:space="preserve"> </w:t>
      </w:r>
      <w:r w:rsidR="0009510B" w:rsidRPr="00F41D7C">
        <w:rPr>
          <w:rFonts w:asciiTheme="minorHAnsi" w:hAnsiTheme="minorHAnsi" w:cstheme="minorHAnsi"/>
          <w:color w:val="000000" w:themeColor="text1"/>
        </w:rPr>
        <w:t>transferred malice to attempted murder of an unintended victim. The intent alleged</w:t>
      </w:r>
      <w:r w:rsidR="0009510B">
        <w:rPr>
          <w:rFonts w:asciiTheme="minorHAnsi" w:hAnsiTheme="minorHAnsi" w:cstheme="minorHAnsi"/>
          <w:color w:val="000000" w:themeColor="text1"/>
        </w:rPr>
        <w:t xml:space="preserve"> [</w:t>
      </w:r>
      <w:r w:rsidR="0009510B" w:rsidRPr="00F41D7C">
        <w:rPr>
          <w:rFonts w:asciiTheme="minorHAnsi" w:hAnsiTheme="minorHAnsi" w:cstheme="minorHAnsi"/>
          <w:color w:val="000000" w:themeColor="text1"/>
        </w:rPr>
        <w:t>is</w:t>
      </w:r>
      <w:r w:rsidR="0009510B">
        <w:rPr>
          <w:rFonts w:asciiTheme="minorHAnsi" w:hAnsiTheme="minorHAnsi" w:cstheme="minorHAnsi"/>
          <w:color w:val="000000" w:themeColor="text1"/>
        </w:rPr>
        <w:t xml:space="preserve">] </w:t>
      </w:r>
      <w:r w:rsidR="0009510B" w:rsidRPr="00F41D7C">
        <w:rPr>
          <w:rFonts w:asciiTheme="minorHAnsi" w:hAnsiTheme="minorHAnsi" w:cstheme="minorHAnsi"/>
          <w:color w:val="000000" w:themeColor="text1"/>
        </w:rPr>
        <w:t>to kill a particular victim, Bryan. No further intent can be said to have been formed after the pulling of the trigger. The offence was complete at that stage.”</w:t>
      </w:r>
      <w:r w:rsidR="0009510B">
        <w:rPr>
          <w:rFonts w:asciiTheme="minorHAnsi" w:hAnsiTheme="minorHAnsi" w:cstheme="minorHAnsi"/>
          <w:color w:val="000000" w:themeColor="text1"/>
        </w:rPr>
        <w:t xml:space="preserve"> The Court of Appeal in the present case did not discuss the veracity of HHJ Rook QC’s decision; Rafferty LJ </w:t>
      </w:r>
      <w:r w:rsidR="00FE1655">
        <w:rPr>
          <w:rFonts w:asciiTheme="minorHAnsi" w:hAnsiTheme="minorHAnsi" w:cstheme="minorHAnsi"/>
          <w:color w:val="000000" w:themeColor="text1"/>
        </w:rPr>
        <w:t xml:space="preserve">simply </w:t>
      </w:r>
      <w:r w:rsidR="0009510B" w:rsidRPr="00F41D7C">
        <w:rPr>
          <w:rFonts w:asciiTheme="minorHAnsi" w:hAnsiTheme="minorHAnsi" w:cstheme="minorHAnsi"/>
          <w:color w:val="000000" w:themeColor="text1"/>
        </w:rPr>
        <w:t>note</w:t>
      </w:r>
      <w:r w:rsidR="00FE1655">
        <w:rPr>
          <w:rFonts w:asciiTheme="minorHAnsi" w:hAnsiTheme="minorHAnsi" w:cstheme="minorHAnsi"/>
          <w:color w:val="000000" w:themeColor="text1"/>
        </w:rPr>
        <w:t>d</w:t>
      </w:r>
      <w:r w:rsidR="0009510B" w:rsidRPr="00F41D7C">
        <w:rPr>
          <w:rFonts w:asciiTheme="minorHAnsi" w:hAnsiTheme="minorHAnsi" w:cstheme="minorHAnsi"/>
          <w:color w:val="000000" w:themeColor="text1"/>
        </w:rPr>
        <w:t xml:space="preserve"> that “</w:t>
      </w:r>
      <w:r w:rsidR="00FE1655">
        <w:rPr>
          <w:rFonts w:asciiTheme="minorHAnsi" w:hAnsiTheme="minorHAnsi" w:cstheme="minorHAnsi"/>
          <w:color w:val="000000" w:themeColor="text1"/>
        </w:rPr>
        <w:t>[t]</w:t>
      </w:r>
      <w:r w:rsidR="0009510B" w:rsidRPr="00F41D7C">
        <w:rPr>
          <w:rFonts w:asciiTheme="minorHAnsi" w:hAnsiTheme="minorHAnsi" w:cstheme="minorHAnsi"/>
          <w:color w:val="000000" w:themeColor="text1"/>
        </w:rPr>
        <w:t>he court is no longer concerned with the attempted murder of more than one victim, consequent upon the ruling of HHJ Rook”</w:t>
      </w:r>
      <w:r w:rsidR="0009510B">
        <w:rPr>
          <w:rFonts w:asciiTheme="minorHAnsi" w:hAnsiTheme="minorHAnsi" w:cstheme="minorHAnsi"/>
          <w:color w:val="000000" w:themeColor="text1"/>
        </w:rPr>
        <w:t xml:space="preserve"> (at [34]).</w:t>
      </w:r>
    </w:p>
    <w:p w:rsidR="0009510B" w:rsidRDefault="0009510B" w:rsidP="00011EF9">
      <w:pPr>
        <w:jc w:val="both"/>
        <w:rPr>
          <w:rFonts w:asciiTheme="minorHAnsi" w:hAnsiTheme="minorHAnsi" w:cstheme="minorHAnsi"/>
          <w:color w:val="000000" w:themeColor="text1"/>
        </w:rPr>
      </w:pPr>
    </w:p>
    <w:p w:rsidR="003D17B4" w:rsidRPr="00516C56" w:rsidRDefault="0009510B" w:rsidP="00011EF9">
      <w:pPr>
        <w:jc w:val="both"/>
        <w:rPr>
          <w:rFonts w:asciiTheme="minorHAnsi" w:hAnsiTheme="minorHAnsi" w:cstheme="minorHAnsi"/>
          <w:color w:val="000000" w:themeColor="text1"/>
        </w:rPr>
      </w:pPr>
      <w:r>
        <w:rPr>
          <w:rFonts w:asciiTheme="minorHAnsi" w:hAnsiTheme="minorHAnsi" w:cstheme="minorHAnsi"/>
          <w:i/>
          <w:color w:val="000000" w:themeColor="text1"/>
        </w:rPr>
        <w:t xml:space="preserve">People v </w:t>
      </w:r>
      <w:r w:rsidRPr="0009510B">
        <w:rPr>
          <w:rFonts w:asciiTheme="minorHAnsi" w:hAnsiTheme="minorHAnsi" w:cstheme="minorHAnsi"/>
          <w:i/>
          <w:color w:val="000000" w:themeColor="text1"/>
        </w:rPr>
        <w:t>Bland</w:t>
      </w:r>
      <w:r>
        <w:rPr>
          <w:rFonts w:asciiTheme="minorHAnsi" w:hAnsiTheme="minorHAnsi" w:cstheme="minorHAnsi"/>
          <w:color w:val="000000" w:themeColor="text1"/>
        </w:rPr>
        <w:t xml:space="preserve"> </w:t>
      </w:r>
      <w:r w:rsidR="003D17B4">
        <w:rPr>
          <w:rFonts w:asciiTheme="minorHAnsi" w:hAnsiTheme="minorHAnsi" w:cstheme="minorHAnsi"/>
          <w:color w:val="000000" w:themeColor="text1"/>
        </w:rPr>
        <w:t>involv</w:t>
      </w:r>
      <w:r>
        <w:rPr>
          <w:rFonts w:asciiTheme="minorHAnsi" w:hAnsiTheme="minorHAnsi" w:cstheme="minorHAnsi"/>
          <w:color w:val="000000" w:themeColor="text1"/>
        </w:rPr>
        <w:t>ed</w:t>
      </w:r>
      <w:r w:rsidR="003D17B4">
        <w:rPr>
          <w:rFonts w:asciiTheme="minorHAnsi" w:hAnsiTheme="minorHAnsi" w:cstheme="minorHAnsi"/>
          <w:color w:val="000000" w:themeColor="text1"/>
        </w:rPr>
        <w:t xml:space="preserve"> a gang-related shooting not unlike the facts of the present case. </w:t>
      </w:r>
      <w:proofErr w:type="spellStart"/>
      <w:r w:rsidR="003D17B4">
        <w:rPr>
          <w:rFonts w:asciiTheme="minorHAnsi" w:hAnsiTheme="minorHAnsi" w:cstheme="minorHAnsi"/>
          <w:color w:val="000000" w:themeColor="text1"/>
        </w:rPr>
        <w:t>Jomo</w:t>
      </w:r>
      <w:proofErr w:type="spellEnd"/>
      <w:r w:rsidR="003D17B4">
        <w:rPr>
          <w:rFonts w:asciiTheme="minorHAnsi" w:hAnsiTheme="minorHAnsi" w:cstheme="minorHAnsi"/>
          <w:color w:val="000000" w:themeColor="text1"/>
        </w:rPr>
        <w:t xml:space="preserve"> Bland was a member of the Insane Crips gang in Long Beach, California. One evening in March 1999 he shot and killed Kenneth “</w:t>
      </w:r>
      <w:proofErr w:type="spellStart"/>
      <w:r w:rsidR="003D17B4">
        <w:rPr>
          <w:rFonts w:asciiTheme="minorHAnsi" w:hAnsiTheme="minorHAnsi" w:cstheme="minorHAnsi"/>
          <w:color w:val="000000" w:themeColor="text1"/>
        </w:rPr>
        <w:t>Kebo</w:t>
      </w:r>
      <w:proofErr w:type="spellEnd"/>
      <w:r w:rsidR="003D17B4">
        <w:rPr>
          <w:rFonts w:asciiTheme="minorHAnsi" w:hAnsiTheme="minorHAnsi" w:cstheme="minorHAnsi"/>
          <w:color w:val="000000" w:themeColor="text1"/>
        </w:rPr>
        <w:t xml:space="preserve">” Wilson, a member of a rival gang called the Rolling 20’s Crips, as he was driving his car. Wilson’s passengers, Skylar Morgan and Leon Simon, were </w:t>
      </w:r>
      <w:r w:rsidR="00FE1655">
        <w:rPr>
          <w:rFonts w:asciiTheme="minorHAnsi" w:hAnsiTheme="minorHAnsi" w:cstheme="minorHAnsi"/>
          <w:color w:val="000000" w:themeColor="text1"/>
        </w:rPr>
        <w:t xml:space="preserve">also </w:t>
      </w:r>
      <w:r w:rsidR="003D17B4">
        <w:rPr>
          <w:rFonts w:asciiTheme="minorHAnsi" w:hAnsiTheme="minorHAnsi" w:cstheme="minorHAnsi"/>
          <w:color w:val="000000" w:themeColor="text1"/>
        </w:rPr>
        <w:t xml:space="preserve">shot and injured. At trial, Bland was convicted of the </w:t>
      </w:r>
      <w:r w:rsidR="00FE1655">
        <w:rPr>
          <w:rFonts w:asciiTheme="minorHAnsi" w:hAnsiTheme="minorHAnsi" w:cstheme="minorHAnsi"/>
          <w:color w:val="000000" w:themeColor="text1"/>
        </w:rPr>
        <w:t>first</w:t>
      </w:r>
      <w:r w:rsidR="003D17B4">
        <w:rPr>
          <w:rFonts w:asciiTheme="minorHAnsi" w:hAnsiTheme="minorHAnsi" w:cstheme="minorHAnsi"/>
          <w:color w:val="000000" w:themeColor="text1"/>
        </w:rPr>
        <w:t xml:space="preserve"> degree murder of W</w:t>
      </w:r>
      <w:r w:rsidR="003D17B4" w:rsidRPr="00516C56">
        <w:rPr>
          <w:rFonts w:asciiTheme="minorHAnsi" w:hAnsiTheme="minorHAnsi" w:cstheme="minorHAnsi"/>
          <w:color w:val="000000" w:themeColor="text1"/>
        </w:rPr>
        <w:t>ilson and the attempted murder of Morgan and Simon. However, on appeal, the Court of Appeal</w:t>
      </w:r>
      <w:r w:rsidR="00C44FAF" w:rsidRPr="00516C56">
        <w:rPr>
          <w:rFonts w:asciiTheme="minorHAnsi" w:hAnsiTheme="minorHAnsi" w:cstheme="minorHAnsi"/>
          <w:color w:val="000000" w:themeColor="text1"/>
        </w:rPr>
        <w:t>s</w:t>
      </w:r>
      <w:r w:rsidR="003D17B4" w:rsidRPr="00516C56">
        <w:rPr>
          <w:rFonts w:asciiTheme="minorHAnsi" w:hAnsiTheme="minorHAnsi" w:cstheme="minorHAnsi"/>
          <w:color w:val="000000" w:themeColor="text1"/>
        </w:rPr>
        <w:t xml:space="preserve"> reversed the attempted murder convictions. The Supreme Court of California agreed</w:t>
      </w:r>
      <w:r w:rsidR="00A57396">
        <w:rPr>
          <w:rFonts w:asciiTheme="minorHAnsi" w:hAnsiTheme="minorHAnsi" w:cstheme="minorHAnsi"/>
          <w:color w:val="000000" w:themeColor="text1"/>
        </w:rPr>
        <w:t>, by a 5-2 majority,</w:t>
      </w:r>
      <w:r w:rsidR="003D17B4" w:rsidRPr="00516C56">
        <w:rPr>
          <w:rFonts w:asciiTheme="minorHAnsi" w:hAnsiTheme="minorHAnsi" w:cstheme="minorHAnsi"/>
          <w:color w:val="000000" w:themeColor="text1"/>
        </w:rPr>
        <w:t xml:space="preserve"> with the appeal court.</w:t>
      </w:r>
      <w:r w:rsidR="00516C56" w:rsidRPr="00516C56">
        <w:rPr>
          <w:rFonts w:asciiTheme="minorHAnsi" w:hAnsiTheme="minorHAnsi" w:cstheme="minorHAnsi"/>
          <w:color w:val="000000" w:themeColor="text1"/>
        </w:rPr>
        <w:t xml:space="preserve"> </w:t>
      </w:r>
      <w:r w:rsidR="00A57396">
        <w:rPr>
          <w:rFonts w:asciiTheme="minorHAnsi" w:hAnsiTheme="minorHAnsi" w:cstheme="minorHAnsi"/>
          <w:color w:val="000000" w:themeColor="text1"/>
        </w:rPr>
        <w:t>Giving judgment</w:t>
      </w:r>
      <w:r w:rsidR="00516C56" w:rsidRPr="00516C56">
        <w:rPr>
          <w:rFonts w:asciiTheme="minorHAnsi" w:hAnsiTheme="minorHAnsi" w:cstheme="minorHAnsi"/>
          <w:color w:val="000000" w:themeColor="text1"/>
        </w:rPr>
        <w:t xml:space="preserve"> </w:t>
      </w:r>
      <w:r w:rsidR="00A57396">
        <w:rPr>
          <w:rFonts w:asciiTheme="minorHAnsi" w:hAnsiTheme="minorHAnsi" w:cstheme="minorHAnsi"/>
          <w:color w:val="000000" w:themeColor="text1"/>
        </w:rPr>
        <w:t xml:space="preserve">for </w:t>
      </w:r>
      <w:r w:rsidR="00FE1655">
        <w:rPr>
          <w:rFonts w:asciiTheme="minorHAnsi" w:hAnsiTheme="minorHAnsi" w:cstheme="minorHAnsi"/>
          <w:color w:val="000000" w:themeColor="text1"/>
        </w:rPr>
        <w:t xml:space="preserve">the </w:t>
      </w:r>
      <w:r w:rsidR="00A57396">
        <w:rPr>
          <w:rFonts w:asciiTheme="minorHAnsi" w:hAnsiTheme="minorHAnsi" w:cstheme="minorHAnsi"/>
          <w:color w:val="000000" w:themeColor="text1"/>
        </w:rPr>
        <w:t>majority, Chin J s</w:t>
      </w:r>
      <w:r w:rsidR="00516C56" w:rsidRPr="00516C56">
        <w:rPr>
          <w:rFonts w:asciiTheme="minorHAnsi" w:hAnsiTheme="minorHAnsi" w:cstheme="minorHAnsi"/>
          <w:color w:val="000000" w:themeColor="text1"/>
        </w:rPr>
        <w:t>tated:</w:t>
      </w:r>
    </w:p>
    <w:p w:rsidR="00516C56" w:rsidRPr="00516C56" w:rsidRDefault="00516C56" w:rsidP="00011EF9">
      <w:pPr>
        <w:jc w:val="both"/>
        <w:rPr>
          <w:rFonts w:asciiTheme="minorHAnsi" w:hAnsiTheme="minorHAnsi" w:cstheme="minorHAnsi"/>
          <w:color w:val="000000" w:themeColor="text1"/>
        </w:rPr>
      </w:pPr>
    </w:p>
    <w:p w:rsidR="00516C56" w:rsidRPr="00516C56" w:rsidRDefault="00516C56" w:rsidP="00011EF9">
      <w:pPr>
        <w:shd w:val="clear" w:color="auto" w:fill="FFFFFF"/>
        <w:ind w:left="567" w:right="567"/>
        <w:jc w:val="both"/>
        <w:rPr>
          <w:rFonts w:asciiTheme="minorHAnsi" w:hAnsiTheme="minorHAnsi" w:cstheme="minorHAnsi"/>
          <w:color w:val="000000" w:themeColor="text1"/>
        </w:rPr>
      </w:pPr>
      <w:r w:rsidRPr="00516C56">
        <w:rPr>
          <w:rFonts w:asciiTheme="minorHAnsi" w:hAnsiTheme="minorHAnsi" w:cstheme="minorHAnsi"/>
          <w:color w:val="000000" w:themeColor="text1"/>
        </w:rPr>
        <w:t>“</w:t>
      </w:r>
      <w:r w:rsidRPr="00516C56">
        <w:rPr>
          <w:rFonts w:asciiTheme="minorHAnsi" w:hAnsiTheme="minorHAnsi" w:cstheme="minorHAnsi"/>
          <w:color w:val="auto"/>
          <w:lang w:val="en" w:eastAsia="zh-CN"/>
        </w:rPr>
        <w:t xml:space="preserve">To be guilty of attempted murder, the defendant must intend to kill the alleged victim, not someone else. The defendant’s mental state must be examined as to each alleged attempted murder victim. Someone who intends to kill only one person and attempts unsuccessfully to do </w:t>
      </w:r>
      <w:proofErr w:type="gramStart"/>
      <w:r w:rsidRPr="00516C56">
        <w:rPr>
          <w:rFonts w:asciiTheme="minorHAnsi" w:hAnsiTheme="minorHAnsi" w:cstheme="minorHAnsi"/>
          <w:color w:val="auto"/>
          <w:lang w:val="en" w:eastAsia="zh-CN"/>
        </w:rPr>
        <w:t>so,</w:t>
      </w:r>
      <w:proofErr w:type="gramEnd"/>
      <w:r w:rsidRPr="00516C56">
        <w:rPr>
          <w:rFonts w:asciiTheme="minorHAnsi" w:hAnsiTheme="minorHAnsi" w:cstheme="minorHAnsi"/>
          <w:color w:val="auto"/>
          <w:lang w:val="en" w:eastAsia="zh-CN"/>
        </w:rPr>
        <w:t xml:space="preserve"> is guilty of the attempted murder of the intended victim, but not of others.</w:t>
      </w:r>
      <w:r w:rsidRPr="00516C56">
        <w:rPr>
          <w:rFonts w:asciiTheme="minorHAnsi" w:hAnsiTheme="minorHAnsi" w:cstheme="minorHAnsi"/>
          <w:color w:val="000000" w:themeColor="text1"/>
        </w:rPr>
        <w:t>”</w:t>
      </w:r>
    </w:p>
    <w:p w:rsidR="00FD73E3" w:rsidRPr="00516C56" w:rsidRDefault="00FD73E3" w:rsidP="00011EF9">
      <w:pPr>
        <w:jc w:val="both"/>
        <w:rPr>
          <w:rFonts w:asciiTheme="minorHAnsi" w:hAnsiTheme="minorHAnsi" w:cstheme="minorHAnsi"/>
          <w:color w:val="000000" w:themeColor="text1"/>
        </w:rPr>
      </w:pPr>
    </w:p>
    <w:p w:rsidR="004E78D5" w:rsidRDefault="00FD73E3" w:rsidP="00011EF9">
      <w:pPr>
        <w:jc w:val="both"/>
        <w:rPr>
          <w:rFonts w:asciiTheme="minorHAnsi" w:hAnsiTheme="minorHAnsi" w:cstheme="minorHAnsi"/>
          <w:color w:val="000000" w:themeColor="text1"/>
          <w:lang w:val="en"/>
        </w:rPr>
      </w:pPr>
      <w:r w:rsidRPr="00516C56">
        <w:rPr>
          <w:rFonts w:asciiTheme="minorHAnsi" w:hAnsiTheme="minorHAnsi" w:cstheme="minorHAnsi"/>
          <w:color w:val="000000" w:themeColor="text1"/>
        </w:rPr>
        <w:t xml:space="preserve">In reaching its decision, the Supreme Court approved two earlier Californian decisions, </w:t>
      </w:r>
      <w:r w:rsidRPr="00516C56">
        <w:rPr>
          <w:rFonts w:asciiTheme="minorHAnsi" w:hAnsiTheme="minorHAnsi" w:cstheme="minorHAnsi"/>
          <w:i/>
          <w:color w:val="000000" w:themeColor="text1"/>
          <w:lang w:val="en"/>
        </w:rPr>
        <w:t xml:space="preserve">People v </w:t>
      </w:r>
      <w:proofErr w:type="spellStart"/>
      <w:r w:rsidRPr="00516C56">
        <w:rPr>
          <w:rFonts w:asciiTheme="minorHAnsi" w:hAnsiTheme="minorHAnsi" w:cstheme="minorHAnsi"/>
          <w:i/>
          <w:color w:val="000000" w:themeColor="text1"/>
          <w:lang w:val="en"/>
        </w:rPr>
        <w:t>Czahara</w:t>
      </w:r>
      <w:proofErr w:type="spellEnd"/>
      <w:r w:rsidRPr="00516C56">
        <w:rPr>
          <w:rFonts w:asciiTheme="minorHAnsi" w:hAnsiTheme="minorHAnsi" w:cstheme="minorHAnsi"/>
          <w:color w:val="000000" w:themeColor="text1"/>
          <w:lang w:val="en"/>
        </w:rPr>
        <w:t xml:space="preserve"> (1988) 203 Cal. App. 3d 1468 and </w:t>
      </w:r>
      <w:r w:rsidRPr="00516C56">
        <w:rPr>
          <w:rFonts w:asciiTheme="minorHAnsi" w:hAnsiTheme="minorHAnsi" w:cstheme="minorHAnsi"/>
          <w:i/>
          <w:color w:val="000000" w:themeColor="text1"/>
          <w:lang w:val="en"/>
        </w:rPr>
        <w:t xml:space="preserve">People v Calderon </w:t>
      </w:r>
      <w:r w:rsidRPr="00516C56">
        <w:rPr>
          <w:rFonts w:asciiTheme="minorHAnsi" w:hAnsiTheme="minorHAnsi" w:cstheme="minorHAnsi"/>
          <w:color w:val="000000" w:themeColor="text1"/>
          <w:lang w:val="en"/>
        </w:rPr>
        <w:t>(1991) 232 Cal. App. 3d 930.</w:t>
      </w:r>
      <w:r w:rsidR="003E0E25" w:rsidRPr="00516C56">
        <w:rPr>
          <w:rFonts w:asciiTheme="minorHAnsi" w:hAnsiTheme="minorHAnsi" w:cstheme="minorHAnsi"/>
          <w:color w:val="000000" w:themeColor="text1"/>
          <w:lang w:val="en"/>
        </w:rPr>
        <w:t xml:space="preserve"> </w:t>
      </w:r>
      <w:r w:rsidR="004E78D5">
        <w:rPr>
          <w:rFonts w:asciiTheme="minorHAnsi" w:hAnsiTheme="minorHAnsi" w:cstheme="minorHAnsi"/>
          <w:color w:val="000000" w:themeColor="text1"/>
          <w:lang w:val="en"/>
        </w:rPr>
        <w:t>In the forme</w:t>
      </w:r>
      <w:r w:rsidR="004E78D5" w:rsidRPr="004E78D5">
        <w:rPr>
          <w:rFonts w:asciiTheme="minorHAnsi" w:hAnsiTheme="minorHAnsi" w:cstheme="minorHAnsi"/>
          <w:color w:val="000000" w:themeColor="text1"/>
          <w:lang w:val="en"/>
        </w:rPr>
        <w:t xml:space="preserve">r case, Michael </w:t>
      </w:r>
      <w:proofErr w:type="spellStart"/>
      <w:r w:rsidR="004E78D5" w:rsidRPr="004E78D5">
        <w:rPr>
          <w:rFonts w:asciiTheme="minorHAnsi" w:hAnsiTheme="minorHAnsi" w:cstheme="minorHAnsi"/>
          <w:color w:val="000000" w:themeColor="text1"/>
          <w:lang w:val="en"/>
        </w:rPr>
        <w:t>Czahara</w:t>
      </w:r>
      <w:proofErr w:type="spellEnd"/>
      <w:r w:rsidR="004E78D5" w:rsidRPr="004E78D5">
        <w:rPr>
          <w:rFonts w:asciiTheme="minorHAnsi" w:hAnsiTheme="minorHAnsi" w:cstheme="minorHAnsi"/>
          <w:color w:val="000000" w:themeColor="text1"/>
          <w:lang w:val="en"/>
        </w:rPr>
        <w:t xml:space="preserve"> </w:t>
      </w:r>
      <w:r w:rsidR="0009510B">
        <w:rPr>
          <w:rFonts w:asciiTheme="minorHAnsi" w:hAnsiTheme="minorHAnsi" w:cstheme="minorHAnsi"/>
          <w:color w:val="000000" w:themeColor="text1"/>
          <w:lang w:val="en"/>
        </w:rPr>
        <w:t xml:space="preserve">(D) </w:t>
      </w:r>
      <w:r w:rsidR="004E78D5" w:rsidRPr="004E78D5">
        <w:rPr>
          <w:rFonts w:asciiTheme="minorHAnsi" w:hAnsiTheme="minorHAnsi" w:cstheme="minorHAnsi"/>
          <w:color w:val="000000" w:themeColor="text1"/>
          <w:lang w:val="en"/>
        </w:rPr>
        <w:t>had been convicted of the attempted murders of his ex-girlfriend, Carole Christie</w:t>
      </w:r>
      <w:r w:rsidR="0009510B">
        <w:rPr>
          <w:rFonts w:asciiTheme="minorHAnsi" w:hAnsiTheme="minorHAnsi" w:cstheme="minorHAnsi"/>
          <w:color w:val="000000" w:themeColor="text1"/>
          <w:lang w:val="en"/>
        </w:rPr>
        <w:t xml:space="preserve"> (V)</w:t>
      </w:r>
      <w:r w:rsidR="004E78D5" w:rsidRPr="004E78D5">
        <w:rPr>
          <w:rFonts w:asciiTheme="minorHAnsi" w:hAnsiTheme="minorHAnsi" w:cstheme="minorHAnsi"/>
          <w:color w:val="000000" w:themeColor="text1"/>
          <w:lang w:val="en"/>
        </w:rPr>
        <w:t>, and her new boyfriend, Ronald Johnson</w:t>
      </w:r>
      <w:r w:rsidR="0009510B">
        <w:rPr>
          <w:rFonts w:asciiTheme="minorHAnsi" w:hAnsiTheme="minorHAnsi" w:cstheme="minorHAnsi"/>
          <w:color w:val="000000" w:themeColor="text1"/>
          <w:lang w:val="en"/>
        </w:rPr>
        <w:t xml:space="preserve"> (W)</w:t>
      </w:r>
      <w:r w:rsidR="004E78D5" w:rsidRPr="004E78D5">
        <w:rPr>
          <w:rFonts w:asciiTheme="minorHAnsi" w:hAnsiTheme="minorHAnsi" w:cstheme="minorHAnsi"/>
          <w:color w:val="000000" w:themeColor="text1"/>
          <w:lang w:val="en"/>
        </w:rPr>
        <w:t xml:space="preserve">. </w:t>
      </w:r>
      <w:r w:rsidR="0009510B">
        <w:rPr>
          <w:rFonts w:asciiTheme="minorHAnsi" w:hAnsiTheme="minorHAnsi" w:cstheme="minorHAnsi"/>
          <w:color w:val="000000" w:themeColor="text1"/>
          <w:lang w:val="en"/>
        </w:rPr>
        <w:t>D</w:t>
      </w:r>
      <w:r w:rsidR="004E78D5">
        <w:rPr>
          <w:rFonts w:asciiTheme="minorHAnsi" w:hAnsiTheme="minorHAnsi" w:cstheme="minorHAnsi"/>
          <w:color w:val="000000" w:themeColor="text1"/>
          <w:lang w:val="en"/>
        </w:rPr>
        <w:t xml:space="preserve"> had </w:t>
      </w:r>
      <w:r w:rsidR="0009510B">
        <w:rPr>
          <w:rFonts w:asciiTheme="minorHAnsi" w:hAnsiTheme="minorHAnsi" w:cstheme="minorHAnsi"/>
          <w:color w:val="000000" w:themeColor="text1"/>
          <w:lang w:val="en"/>
        </w:rPr>
        <w:t xml:space="preserve">fired at least two </w:t>
      </w:r>
      <w:r w:rsidR="004E78D5">
        <w:rPr>
          <w:rFonts w:asciiTheme="minorHAnsi" w:hAnsiTheme="minorHAnsi" w:cstheme="minorHAnsi"/>
          <w:color w:val="000000" w:themeColor="text1"/>
          <w:lang w:val="en"/>
        </w:rPr>
        <w:t>shot</w:t>
      </w:r>
      <w:r w:rsidR="0009510B">
        <w:rPr>
          <w:rFonts w:asciiTheme="minorHAnsi" w:hAnsiTheme="minorHAnsi" w:cstheme="minorHAnsi"/>
          <w:color w:val="000000" w:themeColor="text1"/>
          <w:lang w:val="en"/>
        </w:rPr>
        <w:t>s</w:t>
      </w:r>
      <w:r w:rsidR="004E78D5">
        <w:rPr>
          <w:rFonts w:asciiTheme="minorHAnsi" w:hAnsiTheme="minorHAnsi" w:cstheme="minorHAnsi"/>
          <w:color w:val="000000" w:themeColor="text1"/>
          <w:lang w:val="en"/>
        </w:rPr>
        <w:t xml:space="preserve"> at </w:t>
      </w:r>
      <w:r w:rsidR="0009510B">
        <w:rPr>
          <w:rFonts w:asciiTheme="minorHAnsi" w:hAnsiTheme="minorHAnsi" w:cstheme="minorHAnsi"/>
          <w:color w:val="000000" w:themeColor="text1"/>
          <w:lang w:val="en"/>
        </w:rPr>
        <w:t>V</w:t>
      </w:r>
      <w:r w:rsidR="004E78D5">
        <w:rPr>
          <w:rFonts w:asciiTheme="minorHAnsi" w:hAnsiTheme="minorHAnsi" w:cstheme="minorHAnsi"/>
          <w:color w:val="000000" w:themeColor="text1"/>
          <w:lang w:val="en"/>
        </w:rPr>
        <w:t xml:space="preserve"> with a handgun from a distance of no more than 6 feet whilst she was sitting in the </w:t>
      </w:r>
      <w:r w:rsidR="0009510B">
        <w:rPr>
          <w:rFonts w:asciiTheme="minorHAnsi" w:hAnsiTheme="minorHAnsi" w:cstheme="minorHAnsi"/>
          <w:color w:val="000000" w:themeColor="text1"/>
          <w:lang w:val="en"/>
        </w:rPr>
        <w:t>driver’s</w:t>
      </w:r>
      <w:r w:rsidR="004E78D5">
        <w:rPr>
          <w:rFonts w:asciiTheme="minorHAnsi" w:hAnsiTheme="minorHAnsi" w:cstheme="minorHAnsi"/>
          <w:color w:val="000000" w:themeColor="text1"/>
          <w:lang w:val="en"/>
        </w:rPr>
        <w:t xml:space="preserve"> seat of </w:t>
      </w:r>
      <w:r w:rsidR="0009510B">
        <w:rPr>
          <w:rFonts w:asciiTheme="minorHAnsi" w:hAnsiTheme="minorHAnsi" w:cstheme="minorHAnsi"/>
          <w:color w:val="000000" w:themeColor="text1"/>
          <w:lang w:val="en"/>
        </w:rPr>
        <w:t>her</w:t>
      </w:r>
      <w:r w:rsidR="004E78D5">
        <w:rPr>
          <w:rFonts w:asciiTheme="minorHAnsi" w:hAnsiTheme="minorHAnsi" w:cstheme="minorHAnsi"/>
          <w:color w:val="000000" w:themeColor="text1"/>
          <w:lang w:val="en"/>
        </w:rPr>
        <w:t xml:space="preserve"> car; both she and </w:t>
      </w:r>
      <w:r w:rsidR="0009510B">
        <w:rPr>
          <w:rFonts w:asciiTheme="minorHAnsi" w:hAnsiTheme="minorHAnsi" w:cstheme="minorHAnsi"/>
          <w:color w:val="000000" w:themeColor="text1"/>
          <w:lang w:val="en"/>
        </w:rPr>
        <w:t>W, who was sitting in the passenger seat,</w:t>
      </w:r>
      <w:r w:rsidR="004E78D5">
        <w:rPr>
          <w:rFonts w:asciiTheme="minorHAnsi" w:hAnsiTheme="minorHAnsi" w:cstheme="minorHAnsi"/>
          <w:color w:val="000000" w:themeColor="text1"/>
          <w:lang w:val="en"/>
        </w:rPr>
        <w:t xml:space="preserve"> were seriously injured. </w:t>
      </w:r>
      <w:r w:rsidR="0009510B">
        <w:rPr>
          <w:rFonts w:asciiTheme="minorHAnsi" w:hAnsiTheme="minorHAnsi" w:cstheme="minorHAnsi"/>
          <w:color w:val="000000" w:themeColor="text1"/>
          <w:lang w:val="en"/>
        </w:rPr>
        <w:t>The evidence showed that D was aiming at V when he opened fire. The Court of Appeals a</w:t>
      </w:r>
      <w:r w:rsidR="004E78D5">
        <w:rPr>
          <w:rFonts w:asciiTheme="minorHAnsi" w:hAnsiTheme="minorHAnsi" w:cstheme="minorHAnsi"/>
          <w:color w:val="000000" w:themeColor="text1"/>
          <w:lang w:val="en"/>
        </w:rPr>
        <w:t>llow</w:t>
      </w:r>
      <w:r w:rsidR="0009510B">
        <w:rPr>
          <w:rFonts w:asciiTheme="minorHAnsi" w:hAnsiTheme="minorHAnsi" w:cstheme="minorHAnsi"/>
          <w:color w:val="000000" w:themeColor="text1"/>
          <w:lang w:val="en"/>
        </w:rPr>
        <w:t>ed</w:t>
      </w:r>
      <w:r w:rsidR="004E78D5">
        <w:rPr>
          <w:rFonts w:asciiTheme="minorHAnsi" w:hAnsiTheme="minorHAnsi" w:cstheme="minorHAnsi"/>
          <w:color w:val="000000" w:themeColor="text1"/>
          <w:lang w:val="en"/>
        </w:rPr>
        <w:t xml:space="preserve"> </w:t>
      </w:r>
      <w:r w:rsidR="0009510B">
        <w:rPr>
          <w:rFonts w:asciiTheme="minorHAnsi" w:hAnsiTheme="minorHAnsi" w:cstheme="minorHAnsi"/>
          <w:color w:val="000000" w:themeColor="text1"/>
          <w:lang w:val="en"/>
        </w:rPr>
        <w:t>D</w:t>
      </w:r>
      <w:r w:rsidR="004E78D5">
        <w:rPr>
          <w:rFonts w:asciiTheme="minorHAnsi" w:hAnsiTheme="minorHAnsi" w:cstheme="minorHAnsi"/>
          <w:color w:val="000000" w:themeColor="text1"/>
          <w:lang w:val="en"/>
        </w:rPr>
        <w:t xml:space="preserve">’s appeal against his conviction of attempting to murder </w:t>
      </w:r>
      <w:r w:rsidR="0009510B">
        <w:rPr>
          <w:rFonts w:asciiTheme="minorHAnsi" w:hAnsiTheme="minorHAnsi" w:cstheme="minorHAnsi"/>
          <w:color w:val="000000" w:themeColor="text1"/>
          <w:lang w:val="en"/>
        </w:rPr>
        <w:t>W</w:t>
      </w:r>
      <w:r w:rsidR="008E0ED5">
        <w:rPr>
          <w:rFonts w:asciiTheme="minorHAnsi" w:hAnsiTheme="minorHAnsi" w:cstheme="minorHAnsi"/>
          <w:color w:val="000000" w:themeColor="text1"/>
          <w:lang w:val="en"/>
        </w:rPr>
        <w:t xml:space="preserve">. </w:t>
      </w:r>
      <w:r w:rsidR="004E78D5">
        <w:rPr>
          <w:rFonts w:asciiTheme="minorHAnsi" w:hAnsiTheme="minorHAnsi" w:cstheme="minorHAnsi"/>
          <w:color w:val="000000" w:themeColor="text1"/>
          <w:lang w:val="en"/>
        </w:rPr>
        <w:t>Low J stated:</w:t>
      </w:r>
    </w:p>
    <w:p w:rsidR="004E78D5" w:rsidRPr="004E78D5" w:rsidRDefault="004E78D5" w:rsidP="00011EF9">
      <w:pPr>
        <w:jc w:val="both"/>
        <w:rPr>
          <w:rFonts w:asciiTheme="minorHAnsi" w:hAnsiTheme="minorHAnsi" w:cstheme="minorHAnsi"/>
          <w:color w:val="000000" w:themeColor="text1"/>
          <w:lang w:val="en"/>
        </w:rPr>
      </w:pPr>
    </w:p>
    <w:p w:rsidR="004E78D5" w:rsidRPr="004E78D5" w:rsidRDefault="004E78D5" w:rsidP="00011EF9">
      <w:pPr>
        <w:ind w:left="567"/>
        <w:jc w:val="both"/>
        <w:rPr>
          <w:rFonts w:asciiTheme="minorHAnsi" w:hAnsiTheme="minorHAnsi" w:cstheme="minorHAnsi"/>
          <w:color w:val="000000" w:themeColor="text1"/>
        </w:rPr>
      </w:pPr>
      <w:r w:rsidRPr="004E78D5">
        <w:rPr>
          <w:rFonts w:asciiTheme="minorHAnsi" w:hAnsiTheme="minorHAnsi" w:cstheme="minorHAnsi"/>
          <w:color w:val="000000" w:themeColor="text1"/>
          <w:lang w:val="en"/>
        </w:rPr>
        <w:t xml:space="preserve">“The purpose of the transferred intent rule </w:t>
      </w:r>
      <w:r>
        <w:rPr>
          <w:rFonts w:asciiTheme="minorHAnsi" w:hAnsiTheme="minorHAnsi" w:cstheme="minorHAnsi"/>
          <w:color w:val="000000" w:themeColor="text1"/>
          <w:lang w:val="en"/>
        </w:rPr>
        <w:t>–</w:t>
      </w:r>
      <w:r w:rsidRPr="004E78D5">
        <w:rPr>
          <w:rFonts w:asciiTheme="minorHAnsi" w:hAnsiTheme="minorHAnsi" w:cstheme="minorHAnsi"/>
          <w:color w:val="000000" w:themeColor="text1"/>
          <w:lang w:val="en"/>
        </w:rPr>
        <w:t xml:space="preserve"> to</w:t>
      </w:r>
      <w:r>
        <w:rPr>
          <w:rFonts w:asciiTheme="minorHAnsi" w:hAnsiTheme="minorHAnsi" w:cstheme="minorHAnsi"/>
          <w:color w:val="000000" w:themeColor="text1"/>
          <w:lang w:val="en"/>
        </w:rPr>
        <w:t xml:space="preserve"> </w:t>
      </w:r>
      <w:r w:rsidRPr="004E78D5">
        <w:rPr>
          <w:rFonts w:asciiTheme="minorHAnsi" w:hAnsiTheme="minorHAnsi" w:cstheme="minorHAnsi"/>
          <w:color w:val="000000" w:themeColor="text1"/>
          <w:lang w:val="en"/>
        </w:rPr>
        <w:t xml:space="preserve">ensure that prosecution and punishment accord with culpability </w:t>
      </w:r>
      <w:r>
        <w:rPr>
          <w:rFonts w:asciiTheme="minorHAnsi" w:hAnsiTheme="minorHAnsi" w:cstheme="minorHAnsi"/>
          <w:color w:val="000000" w:themeColor="text1"/>
          <w:lang w:val="en"/>
        </w:rPr>
        <w:t>–</w:t>
      </w:r>
      <w:r w:rsidRPr="004E78D5">
        <w:rPr>
          <w:rFonts w:asciiTheme="minorHAnsi" w:hAnsiTheme="minorHAnsi" w:cstheme="minorHAnsi"/>
          <w:color w:val="000000" w:themeColor="text1"/>
          <w:lang w:val="en"/>
        </w:rPr>
        <w:t xml:space="preserve"> would</w:t>
      </w:r>
      <w:r>
        <w:rPr>
          <w:rFonts w:asciiTheme="minorHAnsi" w:hAnsiTheme="minorHAnsi" w:cstheme="minorHAnsi"/>
          <w:color w:val="000000" w:themeColor="text1"/>
          <w:lang w:val="en"/>
        </w:rPr>
        <w:t xml:space="preserve"> </w:t>
      </w:r>
      <w:r w:rsidRPr="004E78D5">
        <w:rPr>
          <w:rFonts w:asciiTheme="minorHAnsi" w:hAnsiTheme="minorHAnsi" w:cstheme="minorHAnsi"/>
          <w:color w:val="000000" w:themeColor="text1"/>
          <w:lang w:val="en"/>
        </w:rPr>
        <w:t>not be served by convicting a defendant of two or more attempted murders for a single act by which he intended to kill only one person.”</w:t>
      </w:r>
    </w:p>
    <w:p w:rsidR="004E78D5" w:rsidRPr="004E78D5" w:rsidRDefault="004E78D5" w:rsidP="00011EF9">
      <w:pPr>
        <w:jc w:val="both"/>
        <w:rPr>
          <w:rFonts w:asciiTheme="minorHAnsi" w:hAnsiTheme="minorHAnsi" w:cstheme="minorHAnsi"/>
          <w:color w:val="000000" w:themeColor="text1"/>
          <w:lang w:val="en"/>
        </w:rPr>
      </w:pPr>
    </w:p>
    <w:p w:rsidR="00FD73E3" w:rsidRDefault="004E78D5" w:rsidP="00011EF9">
      <w:pPr>
        <w:jc w:val="both"/>
        <w:rPr>
          <w:rFonts w:asciiTheme="minorHAnsi" w:hAnsiTheme="minorHAnsi" w:cstheme="minorHAnsi"/>
          <w:color w:val="000000" w:themeColor="text1"/>
          <w:lang w:val="en"/>
        </w:rPr>
      </w:pPr>
      <w:r w:rsidRPr="00516C56">
        <w:rPr>
          <w:rFonts w:asciiTheme="minorHAnsi" w:hAnsiTheme="minorHAnsi" w:cstheme="minorHAnsi"/>
          <w:i/>
          <w:color w:val="000000" w:themeColor="text1"/>
          <w:lang w:val="en"/>
        </w:rPr>
        <w:t>Calderon</w:t>
      </w:r>
      <w:r w:rsidR="003E0E25" w:rsidRPr="00516C56">
        <w:rPr>
          <w:rFonts w:asciiTheme="minorHAnsi" w:hAnsiTheme="minorHAnsi" w:cstheme="minorHAnsi"/>
          <w:color w:val="000000" w:themeColor="text1"/>
          <w:lang w:val="en"/>
        </w:rPr>
        <w:t xml:space="preserve"> is the closest, factually, to the present case. Danny Calderon</w:t>
      </w:r>
      <w:r w:rsidR="008E0ED5">
        <w:rPr>
          <w:rFonts w:asciiTheme="minorHAnsi" w:hAnsiTheme="minorHAnsi" w:cstheme="minorHAnsi"/>
          <w:color w:val="000000" w:themeColor="text1"/>
          <w:lang w:val="en"/>
        </w:rPr>
        <w:t xml:space="preserve"> (D</w:t>
      </w:r>
      <w:proofErr w:type="gramStart"/>
      <w:r w:rsidR="008E0ED5">
        <w:rPr>
          <w:rFonts w:asciiTheme="minorHAnsi" w:hAnsiTheme="minorHAnsi" w:cstheme="minorHAnsi"/>
          <w:color w:val="000000" w:themeColor="text1"/>
          <w:lang w:val="en"/>
        </w:rPr>
        <w:t>)</w:t>
      </w:r>
      <w:r w:rsidR="003E0E25" w:rsidRPr="00516C56">
        <w:rPr>
          <w:rFonts w:asciiTheme="minorHAnsi" w:hAnsiTheme="minorHAnsi" w:cstheme="minorHAnsi"/>
          <w:color w:val="000000" w:themeColor="text1"/>
          <w:lang w:val="en"/>
        </w:rPr>
        <w:t>,</w:t>
      </w:r>
      <w:proofErr w:type="gramEnd"/>
      <w:r w:rsidR="003E0E25" w:rsidRPr="00516C56">
        <w:rPr>
          <w:rFonts w:asciiTheme="minorHAnsi" w:hAnsiTheme="minorHAnsi" w:cstheme="minorHAnsi"/>
          <w:color w:val="000000" w:themeColor="text1"/>
          <w:lang w:val="en"/>
        </w:rPr>
        <w:t xml:space="preserve"> fired a shotgun four times at another man called </w:t>
      </w:r>
      <w:proofErr w:type="spellStart"/>
      <w:r w:rsidR="003E0E25" w:rsidRPr="00516C56">
        <w:rPr>
          <w:rFonts w:asciiTheme="minorHAnsi" w:hAnsiTheme="minorHAnsi" w:cstheme="minorHAnsi"/>
          <w:color w:val="000000" w:themeColor="text1"/>
          <w:lang w:val="en"/>
        </w:rPr>
        <w:t>Hiep</w:t>
      </w:r>
      <w:proofErr w:type="spellEnd"/>
      <w:r w:rsidR="003E0E25" w:rsidRPr="00516C56">
        <w:rPr>
          <w:rFonts w:asciiTheme="minorHAnsi" w:hAnsiTheme="minorHAnsi" w:cstheme="minorHAnsi"/>
          <w:color w:val="000000" w:themeColor="text1"/>
          <w:lang w:val="en"/>
        </w:rPr>
        <w:t xml:space="preserve"> Bui </w:t>
      </w:r>
      <w:r w:rsidR="008E0ED5">
        <w:rPr>
          <w:rFonts w:asciiTheme="minorHAnsi" w:hAnsiTheme="minorHAnsi" w:cstheme="minorHAnsi"/>
          <w:color w:val="000000" w:themeColor="text1"/>
          <w:lang w:val="en"/>
        </w:rPr>
        <w:t>(V)</w:t>
      </w:r>
      <w:r w:rsidR="001C32A2">
        <w:rPr>
          <w:rFonts w:asciiTheme="minorHAnsi" w:hAnsiTheme="minorHAnsi" w:cstheme="minorHAnsi"/>
          <w:color w:val="000000" w:themeColor="text1"/>
          <w:lang w:val="en"/>
        </w:rPr>
        <w:t xml:space="preserve"> after an argument</w:t>
      </w:r>
      <w:r w:rsidR="003E0E25">
        <w:rPr>
          <w:rFonts w:asciiTheme="minorHAnsi" w:hAnsiTheme="minorHAnsi" w:cstheme="minorHAnsi"/>
          <w:color w:val="000000" w:themeColor="text1"/>
          <w:lang w:val="en"/>
        </w:rPr>
        <w:t xml:space="preserve">. </w:t>
      </w:r>
      <w:r w:rsidR="008E0ED5">
        <w:rPr>
          <w:rFonts w:asciiTheme="minorHAnsi" w:hAnsiTheme="minorHAnsi" w:cstheme="minorHAnsi"/>
          <w:color w:val="000000" w:themeColor="text1"/>
          <w:lang w:val="en"/>
        </w:rPr>
        <w:t>D</w:t>
      </w:r>
      <w:r w:rsidR="003E0E25" w:rsidRPr="003E0E25">
        <w:rPr>
          <w:rFonts w:asciiTheme="minorHAnsi" w:hAnsiTheme="minorHAnsi" w:cstheme="minorHAnsi"/>
          <w:color w:val="000000" w:themeColor="text1"/>
          <w:lang w:val="en"/>
        </w:rPr>
        <w:t xml:space="preserve"> missed </w:t>
      </w:r>
      <w:r w:rsidR="008E0ED5">
        <w:rPr>
          <w:rFonts w:asciiTheme="minorHAnsi" w:hAnsiTheme="minorHAnsi" w:cstheme="minorHAnsi"/>
          <w:color w:val="000000" w:themeColor="text1"/>
          <w:lang w:val="en"/>
        </w:rPr>
        <w:t>V</w:t>
      </w:r>
      <w:r w:rsidR="003E0E25" w:rsidRPr="003E0E25">
        <w:rPr>
          <w:rFonts w:asciiTheme="minorHAnsi" w:hAnsiTheme="minorHAnsi" w:cstheme="minorHAnsi"/>
          <w:color w:val="000000" w:themeColor="text1"/>
          <w:lang w:val="en"/>
        </w:rPr>
        <w:t xml:space="preserve">, but hit </w:t>
      </w:r>
      <w:r w:rsidR="003E0E25">
        <w:rPr>
          <w:rFonts w:asciiTheme="minorHAnsi" w:hAnsiTheme="minorHAnsi" w:cstheme="minorHAnsi"/>
          <w:color w:val="000000" w:themeColor="text1"/>
          <w:lang w:val="en"/>
        </w:rPr>
        <w:t xml:space="preserve">a </w:t>
      </w:r>
      <w:r w:rsidR="003E0E25" w:rsidRPr="003E0E25">
        <w:rPr>
          <w:rFonts w:asciiTheme="minorHAnsi" w:hAnsiTheme="minorHAnsi" w:cstheme="minorHAnsi"/>
          <w:color w:val="000000" w:themeColor="text1"/>
          <w:lang w:val="en"/>
        </w:rPr>
        <w:t xml:space="preserve">seven-year-old </w:t>
      </w:r>
      <w:r w:rsidR="003E0E25">
        <w:rPr>
          <w:rFonts w:asciiTheme="minorHAnsi" w:hAnsiTheme="minorHAnsi" w:cstheme="minorHAnsi"/>
          <w:color w:val="000000" w:themeColor="text1"/>
          <w:lang w:val="en"/>
        </w:rPr>
        <w:t xml:space="preserve">boy, </w:t>
      </w:r>
      <w:r w:rsidR="003E0E25" w:rsidRPr="003E0E25">
        <w:rPr>
          <w:rFonts w:asciiTheme="minorHAnsi" w:hAnsiTheme="minorHAnsi" w:cstheme="minorHAnsi"/>
          <w:color w:val="000000" w:themeColor="text1"/>
          <w:lang w:val="en"/>
        </w:rPr>
        <w:t>Felix Angel</w:t>
      </w:r>
      <w:r w:rsidR="008E0ED5">
        <w:rPr>
          <w:rFonts w:asciiTheme="minorHAnsi" w:hAnsiTheme="minorHAnsi" w:cstheme="minorHAnsi"/>
          <w:color w:val="000000" w:themeColor="text1"/>
          <w:lang w:val="en"/>
        </w:rPr>
        <w:t xml:space="preserve"> (W)</w:t>
      </w:r>
      <w:r w:rsidR="003E0E25" w:rsidRPr="003E0E25">
        <w:rPr>
          <w:rFonts w:asciiTheme="minorHAnsi" w:hAnsiTheme="minorHAnsi" w:cstheme="minorHAnsi"/>
          <w:color w:val="000000" w:themeColor="text1"/>
          <w:lang w:val="en"/>
        </w:rPr>
        <w:t>, who was playing five feet away</w:t>
      </w:r>
      <w:r w:rsidR="003E0E25">
        <w:rPr>
          <w:rFonts w:asciiTheme="minorHAnsi" w:hAnsiTheme="minorHAnsi" w:cstheme="minorHAnsi"/>
          <w:color w:val="000000" w:themeColor="text1"/>
          <w:lang w:val="en"/>
        </w:rPr>
        <w:t>, causing a fractured skull and a broken arm</w:t>
      </w:r>
      <w:r w:rsidR="003E0E25" w:rsidRPr="003E0E25">
        <w:rPr>
          <w:rFonts w:asciiTheme="minorHAnsi" w:hAnsiTheme="minorHAnsi" w:cstheme="minorHAnsi"/>
          <w:color w:val="000000" w:themeColor="text1"/>
          <w:lang w:val="en"/>
        </w:rPr>
        <w:t>.</w:t>
      </w:r>
      <w:r w:rsidR="003E0E25">
        <w:rPr>
          <w:rFonts w:asciiTheme="minorHAnsi" w:hAnsiTheme="minorHAnsi" w:cstheme="minorHAnsi"/>
          <w:color w:val="000000" w:themeColor="text1"/>
          <w:lang w:val="en"/>
        </w:rPr>
        <w:t xml:space="preserve"> </w:t>
      </w:r>
      <w:r w:rsidR="008E0ED5">
        <w:rPr>
          <w:rFonts w:asciiTheme="minorHAnsi" w:hAnsiTheme="minorHAnsi" w:cstheme="minorHAnsi"/>
          <w:color w:val="000000" w:themeColor="text1"/>
          <w:lang w:val="en"/>
        </w:rPr>
        <w:t>D</w:t>
      </w:r>
      <w:r w:rsidR="003E0E25">
        <w:rPr>
          <w:rFonts w:asciiTheme="minorHAnsi" w:hAnsiTheme="minorHAnsi" w:cstheme="minorHAnsi"/>
          <w:color w:val="000000" w:themeColor="text1"/>
          <w:lang w:val="en"/>
        </w:rPr>
        <w:t xml:space="preserve"> subsequently pleaded guilty to two counts of attempted murder but later appealed, successfully, against his conviction for attempting to murder </w:t>
      </w:r>
      <w:r w:rsidR="008E0ED5">
        <w:rPr>
          <w:rFonts w:asciiTheme="minorHAnsi" w:hAnsiTheme="minorHAnsi" w:cstheme="minorHAnsi"/>
          <w:color w:val="000000" w:themeColor="text1"/>
          <w:lang w:val="en"/>
        </w:rPr>
        <w:t>W</w:t>
      </w:r>
      <w:r w:rsidR="003E0E25">
        <w:rPr>
          <w:rFonts w:asciiTheme="minorHAnsi" w:hAnsiTheme="minorHAnsi" w:cstheme="minorHAnsi"/>
          <w:color w:val="000000" w:themeColor="text1"/>
          <w:lang w:val="en"/>
        </w:rPr>
        <w:t xml:space="preserve">. The </w:t>
      </w:r>
      <w:r w:rsidR="00C44FAF">
        <w:rPr>
          <w:rFonts w:asciiTheme="minorHAnsi" w:hAnsiTheme="minorHAnsi" w:cstheme="minorHAnsi"/>
          <w:color w:val="000000" w:themeColor="text1"/>
          <w:lang w:val="en"/>
        </w:rPr>
        <w:t xml:space="preserve">Court of Appeals justified its decision on the basis that, as </w:t>
      </w:r>
      <w:r w:rsidR="008E0ED5">
        <w:rPr>
          <w:rFonts w:asciiTheme="minorHAnsi" w:hAnsiTheme="minorHAnsi" w:cstheme="minorHAnsi"/>
          <w:color w:val="000000" w:themeColor="text1"/>
          <w:lang w:val="en"/>
        </w:rPr>
        <w:t>D</w:t>
      </w:r>
      <w:r w:rsidR="00C44FAF">
        <w:rPr>
          <w:rFonts w:asciiTheme="minorHAnsi" w:hAnsiTheme="minorHAnsi" w:cstheme="minorHAnsi"/>
          <w:color w:val="000000" w:themeColor="text1"/>
          <w:lang w:val="en"/>
        </w:rPr>
        <w:t xml:space="preserve"> had been convicted of the </w:t>
      </w:r>
      <w:r w:rsidR="00C44FAF">
        <w:rPr>
          <w:rFonts w:asciiTheme="minorHAnsi" w:hAnsiTheme="minorHAnsi" w:cstheme="minorHAnsi"/>
          <w:color w:val="000000" w:themeColor="text1"/>
          <w:lang w:val="en"/>
        </w:rPr>
        <w:lastRenderedPageBreak/>
        <w:t xml:space="preserve">attempted murder of </w:t>
      </w:r>
      <w:proofErr w:type="gramStart"/>
      <w:r w:rsidR="008E0ED5">
        <w:rPr>
          <w:rFonts w:asciiTheme="minorHAnsi" w:hAnsiTheme="minorHAnsi" w:cstheme="minorHAnsi"/>
          <w:color w:val="000000" w:themeColor="text1"/>
          <w:lang w:val="en"/>
        </w:rPr>
        <w:t>V</w:t>
      </w:r>
      <w:r w:rsidR="00C44FAF">
        <w:rPr>
          <w:rFonts w:asciiTheme="minorHAnsi" w:hAnsiTheme="minorHAnsi" w:cstheme="minorHAnsi"/>
          <w:color w:val="000000" w:themeColor="text1"/>
          <w:lang w:val="en"/>
        </w:rPr>
        <w:t>,</w:t>
      </w:r>
      <w:proofErr w:type="gramEnd"/>
      <w:r w:rsidR="00C44FAF">
        <w:rPr>
          <w:rFonts w:asciiTheme="minorHAnsi" w:hAnsiTheme="minorHAnsi" w:cstheme="minorHAnsi"/>
          <w:color w:val="000000" w:themeColor="text1"/>
          <w:lang w:val="en"/>
        </w:rPr>
        <w:t xml:space="preserve"> there was no purpose to be served by invoking transferred malice in order to convict him of the attempted murder of </w:t>
      </w:r>
      <w:r w:rsidR="008E0ED5">
        <w:rPr>
          <w:rFonts w:asciiTheme="minorHAnsi" w:hAnsiTheme="minorHAnsi" w:cstheme="minorHAnsi"/>
          <w:color w:val="000000" w:themeColor="text1"/>
          <w:lang w:val="en"/>
        </w:rPr>
        <w:t>W</w:t>
      </w:r>
      <w:r w:rsidR="00C44FAF">
        <w:rPr>
          <w:rFonts w:asciiTheme="minorHAnsi" w:hAnsiTheme="minorHAnsi" w:cstheme="minorHAnsi"/>
          <w:color w:val="000000" w:themeColor="text1"/>
          <w:lang w:val="en"/>
        </w:rPr>
        <w:t xml:space="preserve"> as well. </w:t>
      </w:r>
      <w:proofErr w:type="spellStart"/>
      <w:r w:rsidR="00C44FAF" w:rsidRPr="00C44FAF">
        <w:rPr>
          <w:rFonts w:asciiTheme="minorHAnsi" w:hAnsiTheme="minorHAnsi" w:cstheme="minorHAnsi"/>
          <w:color w:val="000000" w:themeColor="text1"/>
          <w:lang w:val="en"/>
        </w:rPr>
        <w:t>Sonenshine</w:t>
      </w:r>
      <w:proofErr w:type="spellEnd"/>
      <w:r w:rsidR="00C44FAF" w:rsidRPr="00C44FAF">
        <w:rPr>
          <w:rFonts w:asciiTheme="minorHAnsi" w:hAnsiTheme="minorHAnsi" w:cstheme="minorHAnsi"/>
          <w:color w:val="000000" w:themeColor="text1"/>
          <w:lang w:val="en"/>
        </w:rPr>
        <w:t xml:space="preserve"> </w:t>
      </w:r>
      <w:r w:rsidR="00C44FAF">
        <w:rPr>
          <w:rFonts w:asciiTheme="minorHAnsi" w:hAnsiTheme="minorHAnsi" w:cstheme="minorHAnsi"/>
          <w:color w:val="000000" w:themeColor="text1"/>
          <w:lang w:val="en"/>
        </w:rPr>
        <w:t>J</w:t>
      </w:r>
      <w:r w:rsidR="00FE1655">
        <w:rPr>
          <w:rFonts w:asciiTheme="minorHAnsi" w:hAnsiTheme="minorHAnsi" w:cstheme="minorHAnsi"/>
          <w:color w:val="000000" w:themeColor="text1"/>
          <w:lang w:val="en"/>
        </w:rPr>
        <w:t xml:space="preserve"> </w:t>
      </w:r>
      <w:r w:rsidR="00C44FAF">
        <w:rPr>
          <w:rFonts w:asciiTheme="minorHAnsi" w:hAnsiTheme="minorHAnsi" w:cstheme="minorHAnsi"/>
          <w:color w:val="000000" w:themeColor="text1"/>
          <w:lang w:val="en"/>
        </w:rPr>
        <w:t xml:space="preserve">explained that </w:t>
      </w:r>
      <w:r w:rsidR="008E0ED5">
        <w:rPr>
          <w:rFonts w:asciiTheme="minorHAnsi" w:hAnsiTheme="minorHAnsi" w:cstheme="minorHAnsi"/>
          <w:color w:val="000000" w:themeColor="text1"/>
          <w:lang w:val="en"/>
        </w:rPr>
        <w:t>D</w:t>
      </w:r>
      <w:r w:rsidR="00C44FAF" w:rsidRPr="00C44FAF">
        <w:rPr>
          <w:rFonts w:asciiTheme="minorHAnsi" w:hAnsiTheme="minorHAnsi" w:cstheme="minorHAnsi"/>
          <w:color w:val="000000" w:themeColor="text1"/>
          <w:lang w:val="en"/>
        </w:rPr>
        <w:t xml:space="preserve"> </w:t>
      </w:r>
      <w:r w:rsidR="00C44FAF">
        <w:rPr>
          <w:rFonts w:asciiTheme="minorHAnsi" w:hAnsiTheme="minorHAnsi" w:cstheme="minorHAnsi"/>
          <w:color w:val="000000" w:themeColor="text1"/>
          <w:lang w:val="en"/>
        </w:rPr>
        <w:t>had “c</w:t>
      </w:r>
      <w:r w:rsidR="00C44FAF" w:rsidRPr="00C44FAF">
        <w:rPr>
          <w:rFonts w:asciiTheme="minorHAnsi" w:hAnsiTheme="minorHAnsi" w:cstheme="minorHAnsi"/>
          <w:color w:val="000000" w:themeColor="text1"/>
          <w:lang w:val="en"/>
        </w:rPr>
        <w:t>ommitted a completed crime against his intended victim which is as serious as the greatest level of culpability which could be achieved by transferring that intent to his unintended victim, obviating the need to apply the doctrine”</w:t>
      </w:r>
      <w:r w:rsidR="00C44FAF">
        <w:rPr>
          <w:rFonts w:asciiTheme="minorHAnsi" w:hAnsiTheme="minorHAnsi" w:cstheme="minorHAnsi"/>
          <w:color w:val="000000" w:themeColor="text1"/>
          <w:lang w:val="en"/>
        </w:rPr>
        <w:t>.</w:t>
      </w:r>
    </w:p>
    <w:p w:rsidR="004E78D5" w:rsidRDefault="004E78D5" w:rsidP="00011EF9">
      <w:pPr>
        <w:jc w:val="both"/>
        <w:rPr>
          <w:rFonts w:asciiTheme="minorHAnsi" w:hAnsiTheme="minorHAnsi" w:cstheme="minorHAnsi"/>
          <w:color w:val="000000" w:themeColor="text1"/>
          <w:lang w:val="en"/>
        </w:rPr>
      </w:pPr>
    </w:p>
    <w:p w:rsidR="004E78D5" w:rsidRDefault="008E0ED5" w:rsidP="00011EF9">
      <w:pPr>
        <w:jc w:val="both"/>
        <w:rPr>
          <w:rFonts w:asciiTheme="minorHAnsi" w:hAnsiTheme="minorHAnsi" w:cstheme="minorHAnsi"/>
          <w:color w:val="auto"/>
        </w:rPr>
      </w:pPr>
      <w:r>
        <w:rPr>
          <w:rFonts w:asciiTheme="minorHAnsi" w:hAnsiTheme="minorHAnsi" w:cstheme="minorHAnsi"/>
          <w:color w:val="000000" w:themeColor="text1"/>
        </w:rPr>
        <w:t xml:space="preserve">This issue does not appear to have been raised before an English </w:t>
      </w:r>
      <w:r w:rsidR="00FE1655">
        <w:rPr>
          <w:rFonts w:asciiTheme="minorHAnsi" w:hAnsiTheme="minorHAnsi" w:cstheme="minorHAnsi"/>
          <w:color w:val="000000" w:themeColor="text1"/>
        </w:rPr>
        <w:t xml:space="preserve">appellate </w:t>
      </w:r>
      <w:r>
        <w:rPr>
          <w:rFonts w:asciiTheme="minorHAnsi" w:hAnsiTheme="minorHAnsi" w:cstheme="minorHAnsi"/>
          <w:color w:val="000000" w:themeColor="text1"/>
        </w:rPr>
        <w:t xml:space="preserve">court and HHJ Rook QC’s dismissal of the two counts of attempted murder </w:t>
      </w:r>
      <w:r w:rsidR="0086528F">
        <w:rPr>
          <w:rFonts w:asciiTheme="minorHAnsi" w:hAnsiTheme="minorHAnsi" w:cstheme="minorHAnsi"/>
          <w:color w:val="000000" w:themeColor="text1"/>
        </w:rPr>
        <w:t>of</w:t>
      </w:r>
      <w:r>
        <w:rPr>
          <w:rFonts w:asciiTheme="minorHAnsi" w:hAnsiTheme="minorHAnsi" w:cstheme="minorHAnsi"/>
          <w:color w:val="000000" w:themeColor="text1"/>
        </w:rPr>
        <w:t xml:space="preserve"> </w:t>
      </w:r>
      <w:proofErr w:type="spellStart"/>
      <w:r w:rsidRPr="00111EBA">
        <w:rPr>
          <w:rFonts w:asciiTheme="minorHAnsi" w:hAnsiTheme="minorHAnsi" w:cstheme="minorHAnsi"/>
          <w:color w:val="auto"/>
        </w:rPr>
        <w:t>Kamaleswaran</w:t>
      </w:r>
      <w:proofErr w:type="spellEnd"/>
      <w:r>
        <w:rPr>
          <w:rFonts w:asciiTheme="minorHAnsi" w:hAnsiTheme="minorHAnsi" w:cstheme="minorHAnsi"/>
          <w:color w:val="auto"/>
        </w:rPr>
        <w:t xml:space="preserve"> and</w:t>
      </w:r>
      <w:r w:rsidRPr="00111EBA">
        <w:rPr>
          <w:rFonts w:asciiTheme="minorHAnsi" w:hAnsiTheme="minorHAnsi" w:cstheme="minorHAnsi"/>
          <w:color w:val="auto"/>
        </w:rPr>
        <w:t xml:space="preserve"> </w:t>
      </w:r>
      <w:proofErr w:type="spellStart"/>
      <w:r w:rsidRPr="00111EBA">
        <w:rPr>
          <w:rFonts w:asciiTheme="minorHAnsi" w:hAnsiTheme="minorHAnsi" w:cstheme="minorHAnsi"/>
          <w:color w:val="auto"/>
        </w:rPr>
        <w:t>Selvakumar</w:t>
      </w:r>
      <w:proofErr w:type="spellEnd"/>
      <w:r>
        <w:rPr>
          <w:rFonts w:asciiTheme="minorHAnsi" w:hAnsiTheme="minorHAnsi" w:cstheme="minorHAnsi"/>
          <w:color w:val="auto"/>
        </w:rPr>
        <w:t xml:space="preserve"> </w:t>
      </w:r>
      <w:r w:rsidR="0086528F">
        <w:rPr>
          <w:rFonts w:asciiTheme="minorHAnsi" w:hAnsiTheme="minorHAnsi" w:cstheme="minorHAnsi"/>
          <w:color w:val="auto"/>
        </w:rPr>
        <w:t xml:space="preserve">in the present case </w:t>
      </w:r>
      <w:r>
        <w:rPr>
          <w:rFonts w:asciiTheme="minorHAnsi" w:hAnsiTheme="minorHAnsi" w:cstheme="minorHAnsi"/>
          <w:color w:val="auto"/>
        </w:rPr>
        <w:t>means that it still has not done so. It is submitted that, should this issue ever arise, the English courts should follow the Californian courts. Consider the following situations:</w:t>
      </w:r>
    </w:p>
    <w:p w:rsidR="008E0ED5" w:rsidRDefault="008E0ED5" w:rsidP="00011EF9">
      <w:pPr>
        <w:jc w:val="both"/>
        <w:rPr>
          <w:rFonts w:asciiTheme="minorHAnsi" w:hAnsiTheme="minorHAnsi" w:cstheme="minorHAnsi"/>
          <w:color w:val="auto"/>
        </w:rPr>
      </w:pPr>
    </w:p>
    <w:p w:rsidR="008E0ED5" w:rsidRDefault="008E0ED5" w:rsidP="00011EF9">
      <w:pPr>
        <w:pStyle w:val="ListParagraph"/>
        <w:numPr>
          <w:ilvl w:val="0"/>
          <w:numId w:val="3"/>
        </w:numPr>
        <w:jc w:val="both"/>
        <w:rPr>
          <w:rFonts w:asciiTheme="minorHAnsi" w:hAnsiTheme="minorHAnsi" w:cstheme="minorHAnsi"/>
          <w:color w:val="000000" w:themeColor="text1"/>
        </w:rPr>
      </w:pPr>
      <w:r>
        <w:rPr>
          <w:rFonts w:asciiTheme="minorHAnsi" w:hAnsiTheme="minorHAnsi" w:cstheme="minorHAnsi"/>
          <w:color w:val="000000" w:themeColor="text1"/>
        </w:rPr>
        <w:t>D1, a gang member, fires into a room containing V, a rival gang member, intending to kill him (and only him). The room also contains two innocent bystanders</w:t>
      </w:r>
      <w:r w:rsidR="003557DA">
        <w:rPr>
          <w:rFonts w:asciiTheme="minorHAnsi" w:hAnsiTheme="minorHAnsi" w:cstheme="minorHAnsi"/>
          <w:color w:val="000000" w:themeColor="text1"/>
        </w:rPr>
        <w:t xml:space="preserve"> of whom D1 was completely unaware</w:t>
      </w:r>
      <w:r>
        <w:rPr>
          <w:rFonts w:asciiTheme="minorHAnsi" w:hAnsiTheme="minorHAnsi" w:cstheme="minorHAnsi"/>
          <w:color w:val="000000" w:themeColor="text1"/>
        </w:rPr>
        <w:t>. The bullets miss everyone in the room.</w:t>
      </w:r>
    </w:p>
    <w:p w:rsidR="008E0ED5" w:rsidRPr="008E0ED5" w:rsidRDefault="008E0ED5" w:rsidP="00011EF9">
      <w:pPr>
        <w:pStyle w:val="ListParagraph"/>
        <w:numPr>
          <w:ilvl w:val="0"/>
          <w:numId w:val="3"/>
        </w:numPr>
        <w:jc w:val="both"/>
        <w:rPr>
          <w:rFonts w:asciiTheme="minorHAnsi" w:hAnsiTheme="minorHAnsi" w:cstheme="minorHAnsi"/>
          <w:color w:val="000000" w:themeColor="text1"/>
        </w:rPr>
      </w:pPr>
      <w:r>
        <w:rPr>
          <w:rFonts w:asciiTheme="minorHAnsi" w:hAnsiTheme="minorHAnsi" w:cstheme="minorHAnsi"/>
          <w:color w:val="000000" w:themeColor="text1"/>
        </w:rPr>
        <w:t>D2, a gang member, fires into a room containing V, W and X, three rival gang members, intending to kill all of them. The bullets miss everyone in the room.</w:t>
      </w:r>
    </w:p>
    <w:p w:rsidR="004E78D5" w:rsidRDefault="004E78D5" w:rsidP="00011EF9">
      <w:pPr>
        <w:jc w:val="both"/>
        <w:rPr>
          <w:rFonts w:asciiTheme="minorHAnsi" w:hAnsiTheme="minorHAnsi" w:cstheme="minorHAnsi"/>
          <w:color w:val="000000" w:themeColor="text1"/>
        </w:rPr>
      </w:pPr>
    </w:p>
    <w:p w:rsidR="00011EF9" w:rsidRPr="00011EF9" w:rsidRDefault="008E0ED5" w:rsidP="00011EF9">
      <w:pPr>
        <w:jc w:val="both"/>
        <w:rPr>
          <w:rFonts w:asciiTheme="minorHAnsi" w:hAnsiTheme="minorHAnsi" w:cstheme="minorHAnsi"/>
          <w:color w:val="000000" w:themeColor="text1"/>
          <w:lang w:val="en"/>
        </w:rPr>
      </w:pPr>
      <w:r>
        <w:rPr>
          <w:rFonts w:asciiTheme="minorHAnsi" w:hAnsiTheme="minorHAnsi" w:cstheme="minorHAnsi"/>
          <w:color w:val="000000" w:themeColor="text1"/>
        </w:rPr>
        <w:t xml:space="preserve">According to </w:t>
      </w:r>
      <w:r w:rsidRPr="008E0ED5">
        <w:rPr>
          <w:rFonts w:asciiTheme="minorHAnsi" w:hAnsiTheme="minorHAnsi" w:cstheme="minorHAnsi"/>
          <w:i/>
          <w:color w:val="000000" w:themeColor="text1"/>
        </w:rPr>
        <w:t>Bland</w:t>
      </w:r>
      <w:r>
        <w:rPr>
          <w:rFonts w:asciiTheme="minorHAnsi" w:hAnsiTheme="minorHAnsi" w:cstheme="minorHAnsi"/>
          <w:color w:val="000000" w:themeColor="text1"/>
        </w:rPr>
        <w:t xml:space="preserve">, </w:t>
      </w:r>
      <w:r w:rsidRPr="008E0ED5">
        <w:rPr>
          <w:rFonts w:asciiTheme="minorHAnsi" w:hAnsiTheme="minorHAnsi" w:cstheme="minorHAnsi"/>
          <w:i/>
          <w:color w:val="000000" w:themeColor="text1"/>
        </w:rPr>
        <w:t>Calderon</w:t>
      </w:r>
      <w:r>
        <w:rPr>
          <w:rFonts w:asciiTheme="minorHAnsi" w:hAnsiTheme="minorHAnsi" w:cstheme="minorHAnsi"/>
          <w:color w:val="000000" w:themeColor="text1"/>
        </w:rPr>
        <w:t xml:space="preserve"> and </w:t>
      </w:r>
      <w:proofErr w:type="spellStart"/>
      <w:r w:rsidRPr="00516C56">
        <w:rPr>
          <w:rFonts w:asciiTheme="minorHAnsi" w:hAnsiTheme="minorHAnsi" w:cstheme="minorHAnsi"/>
          <w:i/>
          <w:color w:val="000000" w:themeColor="text1"/>
          <w:lang w:val="en"/>
        </w:rPr>
        <w:t>Czahara</w:t>
      </w:r>
      <w:proofErr w:type="spellEnd"/>
      <w:r>
        <w:rPr>
          <w:rFonts w:asciiTheme="minorHAnsi" w:hAnsiTheme="minorHAnsi" w:cstheme="minorHAnsi"/>
          <w:color w:val="000000" w:themeColor="text1"/>
          <w:lang w:val="en"/>
        </w:rPr>
        <w:t xml:space="preserve">, D1 is guilty of one count of attempted murder whereas D2 is guilty of three counts. This seems sensible and reflects the fact that although the </w:t>
      </w:r>
      <w:proofErr w:type="spellStart"/>
      <w:r>
        <w:rPr>
          <w:rFonts w:asciiTheme="minorHAnsi" w:hAnsiTheme="minorHAnsi" w:cstheme="minorHAnsi"/>
          <w:color w:val="000000" w:themeColor="text1"/>
          <w:lang w:val="en"/>
        </w:rPr>
        <w:t>actus</w:t>
      </w:r>
      <w:proofErr w:type="spellEnd"/>
      <w:r>
        <w:rPr>
          <w:rFonts w:asciiTheme="minorHAnsi" w:hAnsiTheme="minorHAnsi" w:cstheme="minorHAnsi"/>
          <w:color w:val="000000" w:themeColor="text1"/>
          <w:lang w:val="en"/>
        </w:rPr>
        <w:t xml:space="preserve"> </w:t>
      </w:r>
      <w:proofErr w:type="spellStart"/>
      <w:proofErr w:type="gramStart"/>
      <w:r>
        <w:rPr>
          <w:rFonts w:asciiTheme="minorHAnsi" w:hAnsiTheme="minorHAnsi" w:cstheme="minorHAnsi"/>
          <w:color w:val="000000" w:themeColor="text1"/>
          <w:lang w:val="en"/>
        </w:rPr>
        <w:t>reus</w:t>
      </w:r>
      <w:proofErr w:type="spellEnd"/>
      <w:proofErr w:type="gramEnd"/>
      <w:r>
        <w:rPr>
          <w:rFonts w:asciiTheme="minorHAnsi" w:hAnsiTheme="minorHAnsi" w:cstheme="minorHAnsi"/>
          <w:color w:val="000000" w:themeColor="text1"/>
          <w:lang w:val="en"/>
        </w:rPr>
        <w:t xml:space="preserve"> in both situations is identical, D1’s </w:t>
      </w:r>
      <w:proofErr w:type="spellStart"/>
      <w:r>
        <w:rPr>
          <w:rFonts w:asciiTheme="minorHAnsi" w:hAnsiTheme="minorHAnsi" w:cstheme="minorHAnsi"/>
          <w:color w:val="000000" w:themeColor="text1"/>
          <w:lang w:val="en"/>
        </w:rPr>
        <w:t>mens</w:t>
      </w:r>
      <w:proofErr w:type="spellEnd"/>
      <w:r>
        <w:rPr>
          <w:rFonts w:asciiTheme="minorHAnsi" w:hAnsiTheme="minorHAnsi" w:cstheme="minorHAnsi"/>
          <w:color w:val="000000" w:themeColor="text1"/>
          <w:lang w:val="en"/>
        </w:rPr>
        <w:t xml:space="preserve"> </w:t>
      </w:r>
      <w:proofErr w:type="spellStart"/>
      <w:r>
        <w:rPr>
          <w:rFonts w:asciiTheme="minorHAnsi" w:hAnsiTheme="minorHAnsi" w:cstheme="minorHAnsi"/>
          <w:color w:val="000000" w:themeColor="text1"/>
          <w:lang w:val="en"/>
        </w:rPr>
        <w:t>rea</w:t>
      </w:r>
      <w:proofErr w:type="spellEnd"/>
      <w:r>
        <w:rPr>
          <w:rFonts w:asciiTheme="minorHAnsi" w:hAnsiTheme="minorHAnsi" w:cstheme="minorHAnsi"/>
          <w:color w:val="000000" w:themeColor="text1"/>
          <w:lang w:val="en"/>
        </w:rPr>
        <w:t xml:space="preserve"> differs from D2’s. If transferred malice were to be applied to the first situation then both D1 and D2 would be guilty of three </w:t>
      </w:r>
      <w:r w:rsidR="003557DA">
        <w:rPr>
          <w:rFonts w:asciiTheme="minorHAnsi" w:hAnsiTheme="minorHAnsi" w:cstheme="minorHAnsi"/>
          <w:color w:val="000000" w:themeColor="text1"/>
          <w:lang w:val="en"/>
        </w:rPr>
        <w:t>attempted murders, glossing over the fact that D2 intended to kill three people whereas D1 intended to</w:t>
      </w:r>
      <w:r w:rsidR="003557DA" w:rsidRPr="00011EF9">
        <w:rPr>
          <w:rFonts w:asciiTheme="minorHAnsi" w:hAnsiTheme="minorHAnsi" w:cstheme="minorHAnsi"/>
          <w:color w:val="000000" w:themeColor="text1"/>
          <w:lang w:val="en"/>
        </w:rPr>
        <w:t xml:space="preserve"> kill only one.</w:t>
      </w:r>
      <w:r w:rsidR="00011EF9">
        <w:rPr>
          <w:rFonts w:asciiTheme="minorHAnsi" w:hAnsiTheme="minorHAnsi" w:cstheme="minorHAnsi"/>
          <w:color w:val="000000" w:themeColor="text1"/>
          <w:lang w:val="en"/>
        </w:rPr>
        <w:t xml:space="preserve"> </w:t>
      </w:r>
      <w:r w:rsidR="00011EF9" w:rsidRPr="00011EF9">
        <w:rPr>
          <w:rFonts w:asciiTheme="minorHAnsi" w:hAnsiTheme="minorHAnsi" w:cstheme="minorHAnsi"/>
          <w:color w:val="000000" w:themeColor="text1"/>
          <w:lang w:val="en"/>
        </w:rPr>
        <w:t xml:space="preserve">As the Californian Court of Appeals explained in </w:t>
      </w:r>
      <w:proofErr w:type="spellStart"/>
      <w:r w:rsidR="00011EF9" w:rsidRPr="00011EF9">
        <w:rPr>
          <w:rFonts w:asciiTheme="minorHAnsi" w:hAnsiTheme="minorHAnsi" w:cstheme="minorHAnsi"/>
          <w:i/>
          <w:color w:val="000000" w:themeColor="text1"/>
          <w:lang w:val="en"/>
        </w:rPr>
        <w:t>Czahara</w:t>
      </w:r>
      <w:proofErr w:type="spellEnd"/>
      <w:r w:rsidR="00011EF9" w:rsidRPr="00011EF9">
        <w:rPr>
          <w:rFonts w:asciiTheme="minorHAnsi" w:hAnsiTheme="minorHAnsi" w:cstheme="minorHAnsi"/>
          <w:i/>
          <w:color w:val="000000" w:themeColor="text1"/>
          <w:lang w:val="en"/>
        </w:rPr>
        <w:t>:</w:t>
      </w:r>
    </w:p>
    <w:p w:rsidR="00011EF9" w:rsidRDefault="00011EF9" w:rsidP="00011EF9">
      <w:pPr>
        <w:jc w:val="both"/>
        <w:rPr>
          <w:rFonts w:asciiTheme="minorHAnsi" w:hAnsiTheme="minorHAnsi" w:cstheme="minorHAnsi"/>
          <w:color w:val="auto"/>
          <w:lang w:val="en" w:eastAsia="zh-CN"/>
        </w:rPr>
      </w:pPr>
    </w:p>
    <w:p w:rsidR="0086528F" w:rsidRPr="00011EF9" w:rsidRDefault="00011EF9" w:rsidP="00011EF9">
      <w:pPr>
        <w:ind w:left="567"/>
        <w:jc w:val="both"/>
        <w:rPr>
          <w:rFonts w:asciiTheme="minorHAnsi" w:hAnsiTheme="minorHAnsi" w:cstheme="minorHAnsi"/>
          <w:color w:val="auto"/>
          <w:lang w:val="en" w:eastAsia="zh-CN"/>
        </w:rPr>
      </w:pPr>
      <w:r w:rsidRPr="00011EF9">
        <w:rPr>
          <w:rFonts w:asciiTheme="minorHAnsi" w:hAnsiTheme="minorHAnsi" w:cstheme="minorHAnsi"/>
          <w:color w:val="auto"/>
          <w:lang w:val="en" w:eastAsia="zh-CN"/>
        </w:rPr>
        <w:t>“[T</w:t>
      </w:r>
      <w:r w:rsidR="0086528F" w:rsidRPr="00011EF9">
        <w:rPr>
          <w:rFonts w:asciiTheme="minorHAnsi" w:hAnsiTheme="minorHAnsi" w:cstheme="minorHAnsi"/>
          <w:color w:val="auto"/>
          <w:lang w:val="en" w:eastAsia="zh-CN"/>
        </w:rPr>
        <w:t>he</w:t>
      </w:r>
      <w:r w:rsidRPr="00011EF9">
        <w:rPr>
          <w:rFonts w:asciiTheme="minorHAnsi" w:hAnsiTheme="minorHAnsi" w:cstheme="minorHAnsi"/>
          <w:color w:val="auto"/>
          <w:lang w:val="en" w:eastAsia="zh-CN"/>
        </w:rPr>
        <w:t>]</w:t>
      </w:r>
      <w:r w:rsidR="0086528F" w:rsidRPr="00011EF9">
        <w:rPr>
          <w:rFonts w:asciiTheme="minorHAnsi" w:hAnsiTheme="minorHAnsi" w:cstheme="minorHAnsi"/>
          <w:color w:val="auto"/>
          <w:lang w:val="en" w:eastAsia="zh-CN"/>
        </w:rPr>
        <w:t xml:space="preserve"> attacker who shoots at two or more victims, with the intent of killing all, is more culpable than the one who aims at a single individual, even when the latter also injures a bystander.</w:t>
      </w:r>
      <w:r w:rsidRPr="00011EF9">
        <w:rPr>
          <w:rFonts w:asciiTheme="minorHAnsi" w:hAnsiTheme="minorHAnsi" w:cstheme="minorHAnsi"/>
          <w:color w:val="auto"/>
          <w:lang w:val="en" w:eastAsia="zh-CN"/>
        </w:rPr>
        <w:t>”</w:t>
      </w:r>
    </w:p>
    <w:p w:rsidR="0086528F" w:rsidRPr="00011EF9" w:rsidRDefault="0086528F" w:rsidP="00011EF9">
      <w:pPr>
        <w:jc w:val="both"/>
        <w:rPr>
          <w:rFonts w:asciiTheme="minorHAnsi" w:hAnsiTheme="minorHAnsi" w:cstheme="minorHAnsi"/>
          <w:color w:val="000000" w:themeColor="text1"/>
          <w:lang w:val="en"/>
        </w:rPr>
      </w:pPr>
    </w:p>
    <w:p w:rsidR="003557DA" w:rsidRPr="003557DA" w:rsidRDefault="003557DA" w:rsidP="00011EF9">
      <w:pPr>
        <w:jc w:val="both"/>
        <w:rPr>
          <w:rFonts w:asciiTheme="minorHAnsi" w:hAnsiTheme="minorHAnsi" w:cstheme="minorHAnsi"/>
          <w:b/>
          <w:i/>
          <w:color w:val="000000" w:themeColor="text1"/>
          <w:lang w:val="en"/>
        </w:rPr>
      </w:pPr>
      <w:r w:rsidRPr="003557DA">
        <w:rPr>
          <w:rFonts w:asciiTheme="minorHAnsi" w:hAnsiTheme="minorHAnsi" w:cstheme="minorHAnsi"/>
          <w:b/>
          <w:i/>
          <w:color w:val="000000" w:themeColor="text1"/>
          <w:lang w:val="en"/>
        </w:rPr>
        <w:t>Joint Enterprise</w:t>
      </w:r>
    </w:p>
    <w:p w:rsidR="00EB5411" w:rsidRDefault="003557DA" w:rsidP="00011EF9">
      <w:pPr>
        <w:jc w:val="both"/>
        <w:rPr>
          <w:rFonts w:asciiTheme="minorHAnsi" w:hAnsiTheme="minorHAnsi" w:cstheme="minorHAnsi"/>
          <w:bCs/>
          <w:color w:val="auto"/>
        </w:rPr>
      </w:pPr>
      <w:r w:rsidRPr="003557DA">
        <w:rPr>
          <w:rFonts w:asciiTheme="minorHAnsi" w:hAnsiTheme="minorHAnsi" w:cstheme="minorHAnsi"/>
          <w:color w:val="000000" w:themeColor="text1"/>
          <w:lang w:val="en"/>
        </w:rPr>
        <w:t xml:space="preserve">Although </w:t>
      </w:r>
      <w:r>
        <w:rPr>
          <w:rFonts w:asciiTheme="minorHAnsi" w:hAnsiTheme="minorHAnsi" w:cstheme="minorHAnsi"/>
          <w:color w:val="000000" w:themeColor="text1"/>
          <w:lang w:val="en"/>
        </w:rPr>
        <w:t xml:space="preserve">Grant was the gunman, </w:t>
      </w:r>
      <w:proofErr w:type="spellStart"/>
      <w:r w:rsidRPr="00111EBA">
        <w:rPr>
          <w:rFonts w:asciiTheme="minorHAnsi" w:hAnsiTheme="minorHAnsi" w:cstheme="minorHAnsi"/>
          <w:bCs/>
          <w:color w:val="auto"/>
        </w:rPr>
        <w:t>Kolawole</w:t>
      </w:r>
      <w:proofErr w:type="spellEnd"/>
      <w:r w:rsidRPr="00111EBA">
        <w:rPr>
          <w:rFonts w:asciiTheme="minorHAnsi" w:hAnsiTheme="minorHAnsi" w:cstheme="minorHAnsi"/>
          <w:bCs/>
          <w:color w:val="auto"/>
        </w:rPr>
        <w:t xml:space="preserve"> and </w:t>
      </w:r>
      <w:proofErr w:type="spellStart"/>
      <w:r w:rsidRPr="00111EBA">
        <w:rPr>
          <w:rFonts w:asciiTheme="minorHAnsi" w:hAnsiTheme="minorHAnsi" w:cstheme="minorHAnsi"/>
          <w:bCs/>
          <w:color w:val="auto"/>
        </w:rPr>
        <w:t>McCalla</w:t>
      </w:r>
      <w:proofErr w:type="spellEnd"/>
      <w:r>
        <w:rPr>
          <w:rFonts w:asciiTheme="minorHAnsi" w:hAnsiTheme="minorHAnsi" w:cstheme="minorHAnsi"/>
          <w:bCs/>
          <w:color w:val="auto"/>
        </w:rPr>
        <w:t xml:space="preserve"> were convicted alongside him</w:t>
      </w:r>
      <w:r w:rsidR="00E5734E">
        <w:rPr>
          <w:rFonts w:asciiTheme="minorHAnsi" w:hAnsiTheme="minorHAnsi" w:cstheme="minorHAnsi"/>
          <w:bCs/>
          <w:color w:val="auto"/>
        </w:rPr>
        <w:t>. Whether this was on the basis of secondary liability or joint enterprise is not entirely clear</w:t>
      </w:r>
      <w:r>
        <w:rPr>
          <w:rFonts w:asciiTheme="minorHAnsi" w:hAnsiTheme="minorHAnsi" w:cstheme="minorHAnsi"/>
          <w:bCs/>
          <w:color w:val="auto"/>
        </w:rPr>
        <w:t xml:space="preserve">. </w:t>
      </w:r>
      <w:r w:rsidR="00E5734E">
        <w:rPr>
          <w:rFonts w:asciiTheme="minorHAnsi" w:hAnsiTheme="minorHAnsi" w:cstheme="minorHAnsi"/>
          <w:bCs/>
          <w:color w:val="auto"/>
        </w:rPr>
        <w:t>At certain points in the judgment they are described as “secondary parties” (</w:t>
      </w:r>
      <w:r w:rsidR="00FE1655">
        <w:rPr>
          <w:rFonts w:asciiTheme="minorHAnsi" w:hAnsiTheme="minorHAnsi" w:cstheme="minorHAnsi"/>
          <w:bCs/>
          <w:color w:val="auto"/>
        </w:rPr>
        <w:t xml:space="preserve">at </w:t>
      </w:r>
      <w:r w:rsidR="00E5734E">
        <w:rPr>
          <w:rFonts w:asciiTheme="minorHAnsi" w:hAnsiTheme="minorHAnsi" w:cstheme="minorHAnsi"/>
          <w:bCs/>
          <w:color w:val="auto"/>
        </w:rPr>
        <w:t xml:space="preserve">[6] </w:t>
      </w:r>
      <w:r w:rsidR="001C32A2">
        <w:rPr>
          <w:rFonts w:asciiTheme="minorHAnsi" w:hAnsiTheme="minorHAnsi" w:cstheme="minorHAnsi"/>
          <w:bCs/>
          <w:color w:val="auto"/>
        </w:rPr>
        <w:t xml:space="preserve">and </w:t>
      </w:r>
      <w:r w:rsidR="00E5734E">
        <w:rPr>
          <w:rFonts w:asciiTheme="minorHAnsi" w:hAnsiTheme="minorHAnsi" w:cstheme="minorHAnsi"/>
          <w:bCs/>
          <w:color w:val="auto"/>
        </w:rPr>
        <w:t>[20]) whereas at other</w:t>
      </w:r>
      <w:r w:rsidR="00EB5411">
        <w:rPr>
          <w:rFonts w:asciiTheme="minorHAnsi" w:hAnsiTheme="minorHAnsi" w:cstheme="minorHAnsi"/>
          <w:bCs/>
          <w:color w:val="auto"/>
        </w:rPr>
        <w:t>s</w:t>
      </w:r>
      <w:r w:rsidR="00E5734E">
        <w:rPr>
          <w:rFonts w:asciiTheme="minorHAnsi" w:hAnsiTheme="minorHAnsi" w:cstheme="minorHAnsi"/>
          <w:bCs/>
          <w:color w:val="auto"/>
        </w:rPr>
        <w:t xml:space="preserve"> they are said to be “jointly responsible” (</w:t>
      </w:r>
      <w:r w:rsidR="001C32A2">
        <w:rPr>
          <w:rFonts w:asciiTheme="minorHAnsi" w:hAnsiTheme="minorHAnsi" w:cstheme="minorHAnsi"/>
          <w:bCs/>
          <w:color w:val="auto"/>
        </w:rPr>
        <w:t xml:space="preserve">at </w:t>
      </w:r>
      <w:r w:rsidR="00E5734E">
        <w:rPr>
          <w:rFonts w:asciiTheme="minorHAnsi" w:hAnsiTheme="minorHAnsi" w:cstheme="minorHAnsi"/>
          <w:bCs/>
          <w:color w:val="auto"/>
        </w:rPr>
        <w:t>[8]</w:t>
      </w:r>
      <w:r w:rsidR="001C32A2">
        <w:rPr>
          <w:rFonts w:asciiTheme="minorHAnsi" w:hAnsiTheme="minorHAnsi" w:cstheme="minorHAnsi"/>
          <w:bCs/>
          <w:color w:val="auto"/>
        </w:rPr>
        <w:t xml:space="preserve"> and </w:t>
      </w:r>
      <w:r w:rsidR="00E5734E">
        <w:rPr>
          <w:rFonts w:asciiTheme="minorHAnsi" w:hAnsiTheme="minorHAnsi" w:cstheme="minorHAnsi"/>
          <w:bCs/>
          <w:color w:val="auto"/>
        </w:rPr>
        <w:t xml:space="preserve">[12]). </w:t>
      </w:r>
      <w:r w:rsidR="00EB5411">
        <w:rPr>
          <w:rFonts w:asciiTheme="minorHAnsi" w:hAnsiTheme="minorHAnsi" w:cstheme="minorHAnsi"/>
          <w:bCs/>
          <w:color w:val="auto"/>
        </w:rPr>
        <w:t xml:space="preserve">Ultimately, it should make no difference to the Crown’s case whether the three appellants were all jointly engaged in an enterprise to murder Bryan or whether Grant was the primary offender and </w:t>
      </w:r>
      <w:proofErr w:type="spellStart"/>
      <w:r w:rsidR="00EB5411" w:rsidRPr="00111EBA">
        <w:rPr>
          <w:rFonts w:asciiTheme="minorHAnsi" w:hAnsiTheme="minorHAnsi" w:cstheme="minorHAnsi"/>
          <w:bCs/>
          <w:color w:val="auto"/>
        </w:rPr>
        <w:t>Kolawole</w:t>
      </w:r>
      <w:proofErr w:type="spellEnd"/>
      <w:r w:rsidR="00EB5411" w:rsidRPr="00111EBA">
        <w:rPr>
          <w:rFonts w:asciiTheme="minorHAnsi" w:hAnsiTheme="minorHAnsi" w:cstheme="minorHAnsi"/>
          <w:bCs/>
          <w:color w:val="auto"/>
        </w:rPr>
        <w:t xml:space="preserve"> and </w:t>
      </w:r>
      <w:proofErr w:type="spellStart"/>
      <w:r w:rsidR="00EB5411" w:rsidRPr="00111EBA">
        <w:rPr>
          <w:rFonts w:asciiTheme="minorHAnsi" w:hAnsiTheme="minorHAnsi" w:cstheme="minorHAnsi"/>
          <w:bCs/>
          <w:color w:val="auto"/>
        </w:rPr>
        <w:t>McCalla</w:t>
      </w:r>
      <w:proofErr w:type="spellEnd"/>
      <w:r w:rsidR="00EB5411">
        <w:rPr>
          <w:rFonts w:asciiTheme="minorHAnsi" w:hAnsiTheme="minorHAnsi" w:cstheme="minorHAnsi"/>
          <w:bCs/>
          <w:color w:val="auto"/>
        </w:rPr>
        <w:t xml:space="preserve"> were abetting him. The principles applicable in both situations are the same. </w:t>
      </w:r>
    </w:p>
    <w:p w:rsidR="00EB5411" w:rsidRDefault="00EB5411" w:rsidP="00011EF9">
      <w:pPr>
        <w:jc w:val="both"/>
        <w:rPr>
          <w:rFonts w:asciiTheme="minorHAnsi" w:hAnsiTheme="minorHAnsi" w:cstheme="minorHAnsi"/>
          <w:bCs/>
          <w:color w:val="auto"/>
        </w:rPr>
      </w:pPr>
    </w:p>
    <w:p w:rsidR="00B86025" w:rsidRDefault="00B86025" w:rsidP="00011EF9">
      <w:pPr>
        <w:jc w:val="both"/>
        <w:rPr>
          <w:rFonts w:asciiTheme="minorHAnsi" w:hAnsiTheme="minorHAnsi" w:cstheme="minorHAnsi"/>
          <w:color w:val="000000" w:themeColor="text1"/>
        </w:rPr>
      </w:pPr>
      <w:r>
        <w:rPr>
          <w:rFonts w:asciiTheme="minorHAnsi" w:hAnsiTheme="minorHAnsi" w:cstheme="minorHAnsi"/>
          <w:bCs/>
          <w:color w:val="auto"/>
        </w:rPr>
        <w:t>T</w:t>
      </w:r>
      <w:r w:rsidR="00EB5411">
        <w:rPr>
          <w:rFonts w:asciiTheme="minorHAnsi" w:hAnsiTheme="minorHAnsi" w:cstheme="minorHAnsi"/>
          <w:bCs/>
          <w:color w:val="auto"/>
        </w:rPr>
        <w:t xml:space="preserve">he Court of Appeal was not invited to consider the applicable principles, </w:t>
      </w:r>
      <w:r>
        <w:rPr>
          <w:rFonts w:asciiTheme="minorHAnsi" w:hAnsiTheme="minorHAnsi" w:cstheme="minorHAnsi"/>
          <w:bCs/>
          <w:color w:val="auto"/>
        </w:rPr>
        <w:t xml:space="preserve">which is perhaps surprising </w:t>
      </w:r>
      <w:r w:rsidR="00EB5411">
        <w:rPr>
          <w:rFonts w:asciiTheme="minorHAnsi" w:hAnsiTheme="minorHAnsi" w:cstheme="minorHAnsi"/>
          <w:bCs/>
          <w:color w:val="auto"/>
        </w:rPr>
        <w:t xml:space="preserve">given </w:t>
      </w:r>
      <w:proofErr w:type="spellStart"/>
      <w:r w:rsidR="00EB5411" w:rsidRPr="00111EBA">
        <w:rPr>
          <w:rFonts w:asciiTheme="minorHAnsi" w:hAnsiTheme="minorHAnsi" w:cstheme="minorHAnsi"/>
          <w:bCs/>
          <w:color w:val="auto"/>
        </w:rPr>
        <w:t>McCalla</w:t>
      </w:r>
      <w:r w:rsidR="00EB5411">
        <w:rPr>
          <w:rFonts w:asciiTheme="minorHAnsi" w:hAnsiTheme="minorHAnsi" w:cstheme="minorHAnsi"/>
          <w:bCs/>
          <w:color w:val="auto"/>
        </w:rPr>
        <w:t>’s</w:t>
      </w:r>
      <w:proofErr w:type="spellEnd"/>
      <w:r w:rsidR="00EB5411">
        <w:rPr>
          <w:rFonts w:asciiTheme="minorHAnsi" w:hAnsiTheme="minorHAnsi" w:cstheme="minorHAnsi"/>
          <w:bCs/>
          <w:color w:val="auto"/>
        </w:rPr>
        <w:t xml:space="preserve"> account of the events on the night of the shooting. Whereas Grant and </w:t>
      </w:r>
      <w:proofErr w:type="spellStart"/>
      <w:r w:rsidR="00EB5411" w:rsidRPr="00111EBA">
        <w:rPr>
          <w:rFonts w:asciiTheme="minorHAnsi" w:hAnsiTheme="minorHAnsi" w:cstheme="minorHAnsi"/>
          <w:bCs/>
          <w:color w:val="auto"/>
        </w:rPr>
        <w:t>Kolawole</w:t>
      </w:r>
      <w:proofErr w:type="spellEnd"/>
      <w:r w:rsidR="00EB5411">
        <w:rPr>
          <w:rFonts w:asciiTheme="minorHAnsi" w:hAnsiTheme="minorHAnsi" w:cstheme="minorHAnsi"/>
          <w:bCs/>
          <w:color w:val="auto"/>
        </w:rPr>
        <w:t xml:space="preserve"> denied being at the </w:t>
      </w:r>
      <w:proofErr w:type="spellStart"/>
      <w:r w:rsidR="00EB5411" w:rsidRPr="00111EBA">
        <w:rPr>
          <w:rFonts w:asciiTheme="minorHAnsi" w:hAnsiTheme="minorHAnsi" w:cstheme="minorHAnsi"/>
          <w:color w:val="auto"/>
        </w:rPr>
        <w:t>Stockwell</w:t>
      </w:r>
      <w:proofErr w:type="spellEnd"/>
      <w:r w:rsidR="00EB5411" w:rsidRPr="00111EBA">
        <w:rPr>
          <w:rFonts w:asciiTheme="minorHAnsi" w:hAnsiTheme="minorHAnsi" w:cstheme="minorHAnsi"/>
          <w:color w:val="auto"/>
        </w:rPr>
        <w:t xml:space="preserve"> Food &amp; Wine shop</w:t>
      </w:r>
      <w:r w:rsidR="00EB5411">
        <w:rPr>
          <w:rFonts w:asciiTheme="minorHAnsi" w:hAnsiTheme="minorHAnsi" w:cstheme="minorHAnsi"/>
          <w:color w:val="auto"/>
        </w:rPr>
        <w:t xml:space="preserve"> at all, </w:t>
      </w:r>
      <w:proofErr w:type="spellStart"/>
      <w:r w:rsidR="00EB5411">
        <w:rPr>
          <w:rFonts w:asciiTheme="minorHAnsi" w:hAnsiTheme="minorHAnsi" w:cstheme="minorHAnsi"/>
          <w:color w:val="auto"/>
        </w:rPr>
        <w:t>McCalla</w:t>
      </w:r>
      <w:proofErr w:type="spellEnd"/>
      <w:r w:rsidR="00EB5411">
        <w:rPr>
          <w:rFonts w:asciiTheme="minorHAnsi" w:hAnsiTheme="minorHAnsi" w:cstheme="minorHAnsi"/>
          <w:color w:val="auto"/>
        </w:rPr>
        <w:t xml:space="preserve"> had admitted being present but had denied knowledge of the gun. </w:t>
      </w:r>
      <w:r>
        <w:rPr>
          <w:rFonts w:asciiTheme="minorHAnsi" w:hAnsiTheme="minorHAnsi" w:cstheme="minorHAnsi"/>
          <w:color w:val="auto"/>
        </w:rPr>
        <w:t xml:space="preserve">This is tantamount to a denial of the </w:t>
      </w:r>
      <w:proofErr w:type="spellStart"/>
      <w:r>
        <w:rPr>
          <w:rFonts w:asciiTheme="minorHAnsi" w:hAnsiTheme="minorHAnsi" w:cstheme="minorHAnsi"/>
          <w:color w:val="auto"/>
        </w:rPr>
        <w:t>mens</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rea</w:t>
      </w:r>
      <w:proofErr w:type="spellEnd"/>
      <w:r>
        <w:rPr>
          <w:rFonts w:asciiTheme="minorHAnsi" w:hAnsiTheme="minorHAnsi" w:cstheme="minorHAnsi"/>
          <w:color w:val="auto"/>
        </w:rPr>
        <w:t xml:space="preserve"> required for secondary liability / joint enterprise</w:t>
      </w:r>
      <w:r w:rsidR="00D42EF4">
        <w:rPr>
          <w:rFonts w:asciiTheme="minorHAnsi" w:hAnsiTheme="minorHAnsi" w:cstheme="minorHAnsi"/>
          <w:color w:val="auto"/>
        </w:rPr>
        <w:t>.</w:t>
      </w:r>
      <w:r>
        <w:rPr>
          <w:rFonts w:asciiTheme="minorHAnsi" w:hAnsiTheme="minorHAnsi" w:cstheme="minorHAnsi"/>
          <w:color w:val="auto"/>
        </w:rPr>
        <w:t xml:space="preserve"> </w:t>
      </w:r>
      <w:r w:rsidR="00D42EF4">
        <w:rPr>
          <w:rFonts w:asciiTheme="minorHAnsi" w:hAnsiTheme="minorHAnsi" w:cstheme="minorHAnsi"/>
          <w:color w:val="auto"/>
        </w:rPr>
        <w:t>T</w:t>
      </w:r>
      <w:r>
        <w:rPr>
          <w:rFonts w:asciiTheme="minorHAnsi" w:hAnsiTheme="minorHAnsi" w:cstheme="minorHAnsi"/>
          <w:color w:val="auto"/>
        </w:rPr>
        <w:t xml:space="preserve">he jury’s guilty verdict indicates that they did not accept this </w:t>
      </w:r>
      <w:proofErr w:type="spellStart"/>
      <w:r>
        <w:rPr>
          <w:rFonts w:asciiTheme="minorHAnsi" w:hAnsiTheme="minorHAnsi" w:cstheme="minorHAnsi"/>
          <w:color w:val="auto"/>
        </w:rPr>
        <w:t>defence</w:t>
      </w:r>
      <w:proofErr w:type="spellEnd"/>
      <w:r>
        <w:rPr>
          <w:rFonts w:asciiTheme="minorHAnsi" w:hAnsiTheme="minorHAnsi" w:cstheme="minorHAnsi"/>
          <w:color w:val="auto"/>
        </w:rPr>
        <w:t xml:space="preserve"> either. However, it would have been </w:t>
      </w:r>
      <w:r w:rsidR="00D42EF4">
        <w:rPr>
          <w:rFonts w:asciiTheme="minorHAnsi" w:hAnsiTheme="minorHAnsi" w:cstheme="minorHAnsi"/>
          <w:color w:val="auto"/>
        </w:rPr>
        <w:t xml:space="preserve">interesting to have seen what the Court of Appeal’s response would have been had this question been explored on appeal, </w:t>
      </w:r>
      <w:r w:rsidR="00D42EF4" w:rsidRPr="00D42EF4">
        <w:rPr>
          <w:rFonts w:asciiTheme="minorHAnsi" w:hAnsiTheme="minorHAnsi" w:cstheme="minorHAnsi"/>
          <w:i/>
          <w:color w:val="auto"/>
        </w:rPr>
        <w:t>viz</w:t>
      </w:r>
      <w:r w:rsidR="00D42EF4">
        <w:rPr>
          <w:rFonts w:asciiTheme="minorHAnsi" w:hAnsiTheme="minorHAnsi" w:cstheme="minorHAnsi"/>
          <w:color w:val="auto"/>
        </w:rPr>
        <w:t xml:space="preserve">.: whereas it is now accepted that in secondary </w:t>
      </w:r>
      <w:r w:rsidR="00D42EF4">
        <w:rPr>
          <w:rFonts w:asciiTheme="minorHAnsi" w:hAnsiTheme="minorHAnsi" w:cstheme="minorHAnsi"/>
          <w:color w:val="auto"/>
        </w:rPr>
        <w:lastRenderedPageBreak/>
        <w:t xml:space="preserve">liability / joint enterprise cases where V is murdered by </w:t>
      </w:r>
      <w:r w:rsidR="0086528F">
        <w:rPr>
          <w:rFonts w:asciiTheme="minorHAnsi" w:hAnsiTheme="minorHAnsi" w:cstheme="minorHAnsi"/>
          <w:color w:val="000000" w:themeColor="text1"/>
        </w:rPr>
        <w:t>the principal (P)</w:t>
      </w:r>
      <w:r w:rsidR="00D42EF4">
        <w:rPr>
          <w:rFonts w:asciiTheme="minorHAnsi" w:hAnsiTheme="minorHAnsi" w:cstheme="minorHAnsi"/>
          <w:color w:val="auto"/>
        </w:rPr>
        <w:t xml:space="preserve">, the </w:t>
      </w:r>
      <w:proofErr w:type="spellStart"/>
      <w:r w:rsidR="00D42EF4">
        <w:rPr>
          <w:rFonts w:asciiTheme="minorHAnsi" w:hAnsiTheme="minorHAnsi" w:cstheme="minorHAnsi"/>
          <w:color w:val="auto"/>
        </w:rPr>
        <w:t>mens</w:t>
      </w:r>
      <w:proofErr w:type="spellEnd"/>
      <w:r w:rsidR="00D42EF4">
        <w:rPr>
          <w:rFonts w:asciiTheme="minorHAnsi" w:hAnsiTheme="minorHAnsi" w:cstheme="minorHAnsi"/>
          <w:color w:val="auto"/>
        </w:rPr>
        <w:t xml:space="preserve"> </w:t>
      </w:r>
      <w:proofErr w:type="spellStart"/>
      <w:r w:rsidR="00D42EF4">
        <w:rPr>
          <w:rFonts w:asciiTheme="minorHAnsi" w:hAnsiTheme="minorHAnsi" w:cstheme="minorHAnsi"/>
          <w:color w:val="auto"/>
        </w:rPr>
        <w:t>rea</w:t>
      </w:r>
      <w:proofErr w:type="spellEnd"/>
      <w:r w:rsidR="00D42EF4">
        <w:rPr>
          <w:rFonts w:asciiTheme="minorHAnsi" w:hAnsiTheme="minorHAnsi" w:cstheme="minorHAnsi"/>
          <w:color w:val="auto"/>
        </w:rPr>
        <w:t xml:space="preserve"> required of any secondary part</w:t>
      </w:r>
      <w:r w:rsidR="0086528F">
        <w:rPr>
          <w:rFonts w:asciiTheme="minorHAnsi" w:hAnsiTheme="minorHAnsi" w:cstheme="minorHAnsi"/>
          <w:color w:val="auto"/>
        </w:rPr>
        <w:t>y</w:t>
      </w:r>
      <w:r w:rsidR="00D42EF4">
        <w:rPr>
          <w:rFonts w:asciiTheme="minorHAnsi" w:hAnsiTheme="minorHAnsi" w:cstheme="minorHAnsi"/>
          <w:color w:val="auto"/>
        </w:rPr>
        <w:t xml:space="preserve"> is that they had contemplated that </w:t>
      </w:r>
      <w:r w:rsidR="0086528F">
        <w:rPr>
          <w:rFonts w:asciiTheme="minorHAnsi" w:hAnsiTheme="minorHAnsi" w:cstheme="minorHAnsi"/>
          <w:color w:val="auto"/>
        </w:rPr>
        <w:t xml:space="preserve">P </w:t>
      </w:r>
      <w:r w:rsidR="00D42EF4">
        <w:rPr>
          <w:rFonts w:asciiTheme="minorHAnsi" w:hAnsiTheme="minorHAnsi" w:cstheme="minorHAnsi"/>
          <w:color w:val="auto"/>
        </w:rPr>
        <w:t xml:space="preserve">might kill with malice aforethought </w:t>
      </w:r>
      <w:r w:rsidR="00D42EF4">
        <w:rPr>
          <w:rFonts w:asciiTheme="minorHAnsi" w:hAnsiTheme="minorHAnsi" w:cstheme="minorHAnsi"/>
          <w:color w:val="000000" w:themeColor="text1"/>
        </w:rPr>
        <w:t xml:space="preserve">(see inter alia </w:t>
      </w:r>
      <w:r w:rsidRPr="00B86025">
        <w:rPr>
          <w:rFonts w:asciiTheme="minorHAnsi" w:hAnsiTheme="minorHAnsi" w:cstheme="minorHAnsi"/>
          <w:bCs/>
          <w:i/>
          <w:color w:val="000000" w:themeColor="text1"/>
        </w:rPr>
        <w:t>R v Powell &amp; Daniels; R v English</w:t>
      </w:r>
      <w:r w:rsidRPr="00B86025">
        <w:rPr>
          <w:rFonts w:asciiTheme="minorHAnsi" w:hAnsiTheme="minorHAnsi" w:cstheme="minorHAnsi"/>
          <w:bCs/>
          <w:color w:val="000000" w:themeColor="text1"/>
        </w:rPr>
        <w:t xml:space="preserve"> [1999] 1 AC 1</w:t>
      </w:r>
      <w:r w:rsidR="00D42EF4">
        <w:rPr>
          <w:rFonts w:asciiTheme="minorHAnsi" w:hAnsiTheme="minorHAnsi" w:cstheme="minorHAnsi"/>
          <w:bCs/>
          <w:color w:val="000000" w:themeColor="text1"/>
        </w:rPr>
        <w:t xml:space="preserve">; </w:t>
      </w:r>
      <w:r w:rsidRPr="00B86025">
        <w:rPr>
          <w:rFonts w:asciiTheme="minorHAnsi" w:hAnsiTheme="minorHAnsi" w:cstheme="minorHAnsi"/>
          <w:i/>
          <w:color w:val="000000" w:themeColor="text1"/>
        </w:rPr>
        <w:t xml:space="preserve"> R v </w:t>
      </w:r>
      <w:proofErr w:type="spellStart"/>
      <w:r w:rsidRPr="00B86025">
        <w:rPr>
          <w:rFonts w:asciiTheme="minorHAnsi" w:hAnsiTheme="minorHAnsi" w:cstheme="minorHAnsi"/>
          <w:i/>
          <w:color w:val="000000" w:themeColor="text1"/>
        </w:rPr>
        <w:t>Rahman</w:t>
      </w:r>
      <w:proofErr w:type="spellEnd"/>
      <w:r w:rsidRPr="00B86025">
        <w:rPr>
          <w:rFonts w:asciiTheme="minorHAnsi" w:hAnsiTheme="minorHAnsi" w:cstheme="minorHAnsi"/>
          <w:i/>
          <w:color w:val="000000" w:themeColor="text1"/>
        </w:rPr>
        <w:t xml:space="preserve"> &amp; Others</w:t>
      </w:r>
      <w:r w:rsidRPr="00B86025">
        <w:rPr>
          <w:rFonts w:asciiTheme="minorHAnsi" w:hAnsiTheme="minorHAnsi" w:cstheme="minorHAnsi"/>
          <w:color w:val="000000" w:themeColor="text1"/>
        </w:rPr>
        <w:t xml:space="preserve"> [2008] UKHL 45; [200</w:t>
      </w:r>
      <w:r w:rsidR="00D52828">
        <w:rPr>
          <w:rFonts w:asciiTheme="minorHAnsi" w:hAnsiTheme="minorHAnsi" w:cstheme="minorHAnsi"/>
          <w:color w:val="000000" w:themeColor="text1"/>
        </w:rPr>
        <w:t>9</w:t>
      </w:r>
      <w:r w:rsidRPr="00B86025">
        <w:rPr>
          <w:rFonts w:asciiTheme="minorHAnsi" w:hAnsiTheme="minorHAnsi" w:cstheme="minorHAnsi"/>
          <w:color w:val="000000" w:themeColor="text1"/>
        </w:rPr>
        <w:t xml:space="preserve">] </w:t>
      </w:r>
      <w:r w:rsidR="00D52828">
        <w:rPr>
          <w:rFonts w:asciiTheme="minorHAnsi" w:hAnsiTheme="minorHAnsi" w:cstheme="minorHAnsi"/>
          <w:color w:val="000000" w:themeColor="text1"/>
        </w:rPr>
        <w:t>1 AC 129</w:t>
      </w:r>
      <w:r w:rsidR="00D42EF4">
        <w:rPr>
          <w:rFonts w:asciiTheme="minorHAnsi" w:hAnsiTheme="minorHAnsi" w:cstheme="minorHAnsi"/>
          <w:color w:val="000000" w:themeColor="text1"/>
        </w:rPr>
        <w:t>;</w:t>
      </w:r>
      <w:r w:rsidR="00D42EF4" w:rsidRPr="00D42EF4">
        <w:rPr>
          <w:rFonts w:asciiTheme="minorHAnsi" w:hAnsiTheme="minorHAnsi" w:cstheme="minorHAnsi"/>
          <w:color w:val="000000" w:themeColor="text1"/>
        </w:rPr>
        <w:t xml:space="preserve"> </w:t>
      </w:r>
      <w:r w:rsidR="00D42EF4" w:rsidRPr="00D42EF4">
        <w:rPr>
          <w:rFonts w:asciiTheme="minorHAnsi" w:hAnsiTheme="minorHAnsi" w:cstheme="minorHAnsi"/>
          <w:i/>
          <w:color w:val="000000" w:themeColor="text1"/>
        </w:rPr>
        <w:t>R v A &amp; Others</w:t>
      </w:r>
      <w:r w:rsidR="00D42EF4" w:rsidRPr="00D42EF4">
        <w:rPr>
          <w:rFonts w:asciiTheme="minorHAnsi" w:hAnsiTheme="minorHAnsi" w:cstheme="minorHAnsi"/>
          <w:color w:val="000000" w:themeColor="text1"/>
        </w:rPr>
        <w:t xml:space="preserve"> [2010] EWCA </w:t>
      </w:r>
      <w:proofErr w:type="spellStart"/>
      <w:r w:rsidR="00D42EF4" w:rsidRPr="00D42EF4">
        <w:rPr>
          <w:rFonts w:asciiTheme="minorHAnsi" w:hAnsiTheme="minorHAnsi" w:cstheme="minorHAnsi"/>
          <w:color w:val="000000" w:themeColor="text1"/>
        </w:rPr>
        <w:t>Crim</w:t>
      </w:r>
      <w:proofErr w:type="spellEnd"/>
      <w:r w:rsidR="00D42EF4" w:rsidRPr="00D42EF4">
        <w:rPr>
          <w:rFonts w:asciiTheme="minorHAnsi" w:hAnsiTheme="minorHAnsi" w:cstheme="minorHAnsi"/>
          <w:color w:val="000000" w:themeColor="text1"/>
        </w:rPr>
        <w:t xml:space="preserve"> 1622; [2011] QB 841), what is the requisite </w:t>
      </w:r>
      <w:proofErr w:type="spellStart"/>
      <w:r w:rsidR="00D42EF4">
        <w:rPr>
          <w:rFonts w:asciiTheme="minorHAnsi" w:hAnsiTheme="minorHAnsi" w:cstheme="minorHAnsi"/>
          <w:color w:val="000000" w:themeColor="text1"/>
        </w:rPr>
        <w:t>mens</w:t>
      </w:r>
      <w:proofErr w:type="spellEnd"/>
      <w:r w:rsidR="00D42EF4">
        <w:rPr>
          <w:rFonts w:asciiTheme="minorHAnsi" w:hAnsiTheme="minorHAnsi" w:cstheme="minorHAnsi"/>
          <w:color w:val="000000" w:themeColor="text1"/>
        </w:rPr>
        <w:t xml:space="preserve"> </w:t>
      </w:r>
      <w:proofErr w:type="spellStart"/>
      <w:r w:rsidR="00D42EF4">
        <w:rPr>
          <w:rFonts w:asciiTheme="minorHAnsi" w:hAnsiTheme="minorHAnsi" w:cstheme="minorHAnsi"/>
          <w:color w:val="000000" w:themeColor="text1"/>
        </w:rPr>
        <w:t>rea</w:t>
      </w:r>
      <w:proofErr w:type="spellEnd"/>
      <w:r w:rsidR="00D42EF4">
        <w:rPr>
          <w:rFonts w:asciiTheme="minorHAnsi" w:hAnsiTheme="minorHAnsi" w:cstheme="minorHAnsi"/>
          <w:color w:val="000000" w:themeColor="text1"/>
        </w:rPr>
        <w:t xml:space="preserve"> where V survives a murder attempt?</w:t>
      </w:r>
    </w:p>
    <w:p w:rsidR="004215DF" w:rsidRDefault="004215DF" w:rsidP="00011EF9">
      <w:pPr>
        <w:jc w:val="both"/>
        <w:rPr>
          <w:rFonts w:asciiTheme="minorHAnsi" w:hAnsiTheme="minorHAnsi" w:cstheme="minorHAnsi"/>
          <w:color w:val="000000" w:themeColor="text1"/>
        </w:rPr>
      </w:pPr>
    </w:p>
    <w:p w:rsidR="004215DF" w:rsidRPr="004215DF" w:rsidRDefault="004215DF" w:rsidP="00011EF9">
      <w:pPr>
        <w:jc w:val="both"/>
        <w:rPr>
          <w:rFonts w:asciiTheme="minorHAnsi" w:hAnsiTheme="minorHAnsi" w:cstheme="minorHAnsi"/>
          <w:bCs/>
          <w:i/>
          <w:color w:val="000000" w:themeColor="text1"/>
          <w:kern w:val="36"/>
        </w:rPr>
      </w:pPr>
      <w:r w:rsidRPr="004215DF">
        <w:rPr>
          <w:rFonts w:asciiTheme="minorHAnsi" w:hAnsiTheme="minorHAnsi" w:cstheme="minorHAnsi"/>
          <w:color w:val="000000" w:themeColor="text1"/>
        </w:rPr>
        <w:t xml:space="preserve">In attempted murder cases, </w:t>
      </w:r>
      <w:r w:rsidR="0086528F">
        <w:rPr>
          <w:rFonts w:asciiTheme="minorHAnsi" w:hAnsiTheme="minorHAnsi" w:cstheme="minorHAnsi"/>
          <w:color w:val="000000" w:themeColor="text1"/>
        </w:rPr>
        <w:t xml:space="preserve">D </w:t>
      </w:r>
      <w:r w:rsidRPr="004215DF">
        <w:rPr>
          <w:rFonts w:asciiTheme="minorHAnsi" w:hAnsiTheme="minorHAnsi" w:cstheme="minorHAnsi"/>
          <w:color w:val="000000" w:themeColor="text1"/>
        </w:rPr>
        <w:t>must have acted with an intention to kill</w:t>
      </w:r>
      <w:r>
        <w:rPr>
          <w:rFonts w:asciiTheme="minorHAnsi" w:hAnsiTheme="minorHAnsi" w:cstheme="minorHAnsi"/>
          <w:color w:val="000000" w:themeColor="text1"/>
        </w:rPr>
        <w:t>, an intention to do really serious harm is not enough</w:t>
      </w:r>
      <w:r w:rsidRPr="004215DF">
        <w:rPr>
          <w:rFonts w:asciiTheme="minorHAnsi" w:hAnsiTheme="minorHAnsi" w:cstheme="minorHAnsi"/>
          <w:color w:val="000000" w:themeColor="text1"/>
        </w:rPr>
        <w:t xml:space="preserve"> (</w:t>
      </w:r>
      <w:hyperlink r:id="rId8" w:history="1">
        <w:r w:rsidRPr="004215DF">
          <w:rPr>
            <w:rStyle w:val="Hyperlink"/>
            <w:rFonts w:asciiTheme="minorHAnsi" w:hAnsiTheme="minorHAnsi" w:cstheme="minorHAnsi"/>
            <w:bCs/>
            <w:i/>
            <w:color w:val="000000" w:themeColor="text1"/>
            <w:u w:val="none"/>
          </w:rPr>
          <w:t xml:space="preserve">R v </w:t>
        </w:r>
        <w:proofErr w:type="spellStart"/>
        <w:r w:rsidRPr="004215DF">
          <w:rPr>
            <w:rStyle w:val="Hyperlink"/>
            <w:rFonts w:asciiTheme="minorHAnsi" w:hAnsiTheme="minorHAnsi" w:cstheme="minorHAnsi"/>
            <w:bCs/>
            <w:i/>
            <w:color w:val="000000" w:themeColor="text1"/>
            <w:u w:val="none"/>
          </w:rPr>
          <w:t>Whybrow</w:t>
        </w:r>
        <w:proofErr w:type="spellEnd"/>
      </w:hyperlink>
      <w:r w:rsidRPr="004215DF">
        <w:rPr>
          <w:rFonts w:asciiTheme="minorHAnsi" w:hAnsiTheme="minorHAnsi" w:cstheme="minorHAnsi"/>
          <w:bCs/>
          <w:color w:val="000000" w:themeColor="text1"/>
        </w:rPr>
        <w:t xml:space="preserve"> (1951) 35 Cr. App. R. 141; </w:t>
      </w:r>
      <w:r w:rsidRPr="004215DF">
        <w:rPr>
          <w:rFonts w:asciiTheme="minorHAnsi" w:hAnsiTheme="minorHAnsi" w:cstheme="minorHAnsi"/>
          <w:bCs/>
          <w:i/>
          <w:iCs/>
          <w:color w:val="000000" w:themeColor="text1"/>
        </w:rPr>
        <w:t xml:space="preserve">R v Walker &amp; </w:t>
      </w:r>
      <w:proofErr w:type="spellStart"/>
      <w:r w:rsidRPr="004215DF">
        <w:rPr>
          <w:rFonts w:asciiTheme="minorHAnsi" w:hAnsiTheme="minorHAnsi" w:cstheme="minorHAnsi"/>
          <w:bCs/>
          <w:i/>
          <w:iCs/>
          <w:color w:val="000000" w:themeColor="text1"/>
        </w:rPr>
        <w:t>Hayles</w:t>
      </w:r>
      <w:proofErr w:type="spellEnd"/>
      <w:r w:rsidRPr="004215DF">
        <w:rPr>
          <w:rFonts w:asciiTheme="minorHAnsi" w:hAnsiTheme="minorHAnsi" w:cstheme="minorHAnsi"/>
          <w:bCs/>
          <w:color w:val="000000" w:themeColor="text1"/>
        </w:rPr>
        <w:t xml:space="preserve"> </w:t>
      </w:r>
      <w:r w:rsidRPr="004215DF">
        <w:rPr>
          <w:rFonts w:asciiTheme="minorHAnsi" w:hAnsiTheme="minorHAnsi" w:cstheme="minorHAnsi"/>
          <w:color w:val="000000" w:themeColor="text1"/>
        </w:rPr>
        <w:t>(1990) 90 Cr. App. R. 226</w:t>
      </w:r>
      <w:r>
        <w:rPr>
          <w:rFonts w:asciiTheme="minorHAnsi" w:hAnsiTheme="minorHAnsi" w:cstheme="minorHAnsi"/>
          <w:color w:val="000000" w:themeColor="text1"/>
        </w:rPr>
        <w:t xml:space="preserve">). </w:t>
      </w:r>
      <w:r w:rsidRPr="004215DF">
        <w:rPr>
          <w:rFonts w:asciiTheme="minorHAnsi" w:hAnsiTheme="minorHAnsi" w:cstheme="minorHAnsi"/>
          <w:color w:val="000000" w:themeColor="text1"/>
        </w:rPr>
        <w:t>What, therefore, is the</w:t>
      </w:r>
      <w:r w:rsidR="0086528F">
        <w:rPr>
          <w:rFonts w:asciiTheme="minorHAnsi" w:hAnsiTheme="minorHAnsi" w:cstheme="minorHAnsi"/>
          <w:color w:val="000000" w:themeColor="text1"/>
        </w:rPr>
        <w:t xml:space="preserve"> </w:t>
      </w:r>
      <w:proofErr w:type="spellStart"/>
      <w:r w:rsidR="0086528F">
        <w:rPr>
          <w:rFonts w:asciiTheme="minorHAnsi" w:hAnsiTheme="minorHAnsi" w:cstheme="minorHAnsi"/>
          <w:color w:val="000000" w:themeColor="text1"/>
        </w:rPr>
        <w:t>mens</w:t>
      </w:r>
      <w:proofErr w:type="spellEnd"/>
      <w:r w:rsidR="0086528F">
        <w:rPr>
          <w:rFonts w:asciiTheme="minorHAnsi" w:hAnsiTheme="minorHAnsi" w:cstheme="minorHAnsi"/>
          <w:color w:val="000000" w:themeColor="text1"/>
        </w:rPr>
        <w:t xml:space="preserve"> </w:t>
      </w:r>
      <w:proofErr w:type="spellStart"/>
      <w:r w:rsidR="0086528F">
        <w:rPr>
          <w:rFonts w:asciiTheme="minorHAnsi" w:hAnsiTheme="minorHAnsi" w:cstheme="minorHAnsi"/>
          <w:color w:val="000000" w:themeColor="text1"/>
        </w:rPr>
        <w:t>rea</w:t>
      </w:r>
      <w:proofErr w:type="spellEnd"/>
      <w:r w:rsidR="0086528F">
        <w:rPr>
          <w:rFonts w:asciiTheme="minorHAnsi" w:hAnsiTheme="minorHAnsi" w:cstheme="minorHAnsi"/>
          <w:color w:val="000000" w:themeColor="text1"/>
        </w:rPr>
        <w:t xml:space="preserve"> of any secondary party</w:t>
      </w:r>
      <w:r w:rsidRPr="004215DF">
        <w:rPr>
          <w:rFonts w:asciiTheme="minorHAnsi" w:hAnsiTheme="minorHAnsi" w:cstheme="minorHAnsi"/>
          <w:color w:val="000000" w:themeColor="text1"/>
        </w:rPr>
        <w:t xml:space="preserve">? Some guidance is provided by the Court of Appeal in </w:t>
      </w:r>
      <w:hyperlink r:id="rId9" w:history="1">
        <w:r w:rsidRPr="004215DF">
          <w:rPr>
            <w:rStyle w:val="Hyperlink"/>
            <w:rFonts w:asciiTheme="minorHAnsi" w:hAnsiTheme="minorHAnsi" w:cstheme="minorHAnsi"/>
            <w:bCs/>
            <w:i/>
            <w:color w:val="000000" w:themeColor="text1"/>
            <w:kern w:val="36"/>
            <w:u w:val="none"/>
          </w:rPr>
          <w:t>R v O’Brien</w:t>
        </w:r>
      </w:hyperlink>
      <w:r w:rsidRPr="004215DF">
        <w:rPr>
          <w:rFonts w:asciiTheme="minorHAnsi" w:hAnsiTheme="minorHAnsi" w:cstheme="minorHAnsi"/>
          <w:bCs/>
          <w:i/>
          <w:color w:val="000000" w:themeColor="text1"/>
          <w:kern w:val="36"/>
        </w:rPr>
        <w:t xml:space="preserve"> </w:t>
      </w:r>
      <w:r w:rsidRPr="004215DF">
        <w:rPr>
          <w:rFonts w:asciiTheme="minorHAnsi" w:hAnsiTheme="minorHAnsi" w:cstheme="minorHAnsi"/>
          <w:bCs/>
          <w:color w:val="000000" w:themeColor="text1"/>
        </w:rPr>
        <w:t xml:space="preserve">[1995] 2 Cr. App. R. 649, </w:t>
      </w:r>
      <w:r>
        <w:rPr>
          <w:rFonts w:asciiTheme="minorHAnsi" w:hAnsiTheme="minorHAnsi" w:cstheme="minorHAnsi"/>
          <w:bCs/>
          <w:color w:val="000000" w:themeColor="text1"/>
        </w:rPr>
        <w:t>where</w:t>
      </w:r>
      <w:r w:rsidRPr="004215DF">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Michael O’Brien had been convicted </w:t>
      </w:r>
      <w:r w:rsidR="00D721A6">
        <w:rPr>
          <w:rFonts w:asciiTheme="minorHAnsi" w:hAnsiTheme="minorHAnsi" w:cstheme="minorHAnsi"/>
          <w:bCs/>
          <w:color w:val="000000" w:themeColor="text1"/>
        </w:rPr>
        <w:t xml:space="preserve">under secondary liability principles </w:t>
      </w:r>
      <w:r>
        <w:rPr>
          <w:rFonts w:asciiTheme="minorHAnsi" w:hAnsiTheme="minorHAnsi" w:cstheme="minorHAnsi"/>
          <w:bCs/>
          <w:color w:val="000000" w:themeColor="text1"/>
        </w:rPr>
        <w:t>of the attempted murder</w:t>
      </w:r>
      <w:r w:rsidR="00D721A6">
        <w:rPr>
          <w:rFonts w:asciiTheme="minorHAnsi" w:hAnsiTheme="minorHAnsi" w:cstheme="minorHAnsi"/>
          <w:bCs/>
          <w:color w:val="000000" w:themeColor="text1"/>
        </w:rPr>
        <w:t>s</w:t>
      </w:r>
      <w:r>
        <w:rPr>
          <w:rFonts w:asciiTheme="minorHAnsi" w:hAnsiTheme="minorHAnsi" w:cstheme="minorHAnsi"/>
          <w:bCs/>
          <w:color w:val="000000" w:themeColor="text1"/>
        </w:rPr>
        <w:t xml:space="preserve"> of </w:t>
      </w:r>
      <w:r w:rsidR="00D721A6">
        <w:rPr>
          <w:rFonts w:asciiTheme="minorHAnsi" w:hAnsiTheme="minorHAnsi" w:cstheme="minorHAnsi"/>
          <w:bCs/>
          <w:color w:val="000000" w:themeColor="text1"/>
        </w:rPr>
        <w:t xml:space="preserve">two police officers, who had been shot at by his co-accused Paul Magee. </w:t>
      </w:r>
      <w:proofErr w:type="spellStart"/>
      <w:r w:rsidRPr="004215DF">
        <w:rPr>
          <w:rFonts w:asciiTheme="minorHAnsi" w:hAnsiTheme="minorHAnsi" w:cstheme="minorHAnsi"/>
          <w:bCs/>
          <w:color w:val="000000" w:themeColor="text1"/>
        </w:rPr>
        <w:t>Glidewell</w:t>
      </w:r>
      <w:proofErr w:type="spellEnd"/>
      <w:r w:rsidRPr="004215DF">
        <w:rPr>
          <w:rFonts w:asciiTheme="minorHAnsi" w:hAnsiTheme="minorHAnsi" w:cstheme="minorHAnsi"/>
          <w:bCs/>
          <w:color w:val="000000" w:themeColor="text1"/>
        </w:rPr>
        <w:t xml:space="preserve"> LJ</w:t>
      </w:r>
      <w:r>
        <w:rPr>
          <w:rFonts w:asciiTheme="minorHAnsi" w:hAnsiTheme="minorHAnsi" w:cstheme="minorHAnsi"/>
          <w:bCs/>
          <w:color w:val="000000" w:themeColor="text1"/>
        </w:rPr>
        <w:t xml:space="preserve"> stated</w:t>
      </w:r>
      <w:r w:rsidR="00D721A6">
        <w:rPr>
          <w:rFonts w:asciiTheme="minorHAnsi" w:hAnsiTheme="minorHAnsi" w:cstheme="minorHAnsi"/>
          <w:bCs/>
          <w:color w:val="000000" w:themeColor="text1"/>
        </w:rPr>
        <w:t xml:space="preserve"> (</w:t>
      </w:r>
      <w:r w:rsidR="008A7EEE">
        <w:rPr>
          <w:rFonts w:asciiTheme="minorHAnsi" w:hAnsiTheme="minorHAnsi" w:cstheme="minorHAnsi"/>
          <w:bCs/>
          <w:color w:val="000000" w:themeColor="text1"/>
        </w:rPr>
        <w:t>at 658 – 659</w:t>
      </w:r>
      <w:r w:rsidR="00D721A6">
        <w:rPr>
          <w:rFonts w:asciiTheme="minorHAnsi" w:hAnsiTheme="minorHAnsi" w:cstheme="minorHAnsi"/>
          <w:bCs/>
          <w:color w:val="000000" w:themeColor="text1"/>
        </w:rPr>
        <w:t>)</w:t>
      </w:r>
      <w:r w:rsidRPr="004215DF">
        <w:rPr>
          <w:rFonts w:asciiTheme="minorHAnsi" w:hAnsiTheme="minorHAnsi" w:cstheme="minorHAnsi"/>
          <w:bCs/>
          <w:color w:val="000000" w:themeColor="text1"/>
        </w:rPr>
        <w:t>:</w:t>
      </w:r>
    </w:p>
    <w:p w:rsidR="004215DF" w:rsidRPr="004215DF" w:rsidRDefault="004215DF" w:rsidP="00011EF9">
      <w:pPr>
        <w:jc w:val="both"/>
        <w:rPr>
          <w:rFonts w:asciiTheme="minorHAnsi" w:hAnsiTheme="minorHAnsi" w:cstheme="minorHAnsi"/>
          <w:color w:val="000000" w:themeColor="text1"/>
        </w:rPr>
      </w:pPr>
    </w:p>
    <w:p w:rsidR="004215DF" w:rsidRPr="004215DF" w:rsidRDefault="004215DF" w:rsidP="00011EF9">
      <w:pPr>
        <w:ind w:left="567"/>
        <w:jc w:val="both"/>
        <w:rPr>
          <w:rFonts w:asciiTheme="minorHAnsi" w:hAnsiTheme="minorHAnsi" w:cstheme="minorHAnsi"/>
          <w:bCs/>
          <w:i/>
          <w:color w:val="000000" w:themeColor="text1"/>
        </w:rPr>
      </w:pPr>
      <w:r w:rsidRPr="004215DF">
        <w:rPr>
          <w:rFonts w:asciiTheme="minorHAnsi" w:hAnsiTheme="minorHAnsi" w:cstheme="minorHAnsi"/>
          <w:color w:val="000000" w:themeColor="text1"/>
        </w:rPr>
        <w:t>“[</w:t>
      </w:r>
      <w:proofErr w:type="spellStart"/>
      <w:r w:rsidRPr="004215DF">
        <w:rPr>
          <w:rFonts w:asciiTheme="minorHAnsi" w:hAnsiTheme="minorHAnsi" w:cstheme="minorHAnsi"/>
          <w:color w:val="000000" w:themeColor="text1"/>
        </w:rPr>
        <w:t>Defence</w:t>
      </w:r>
      <w:proofErr w:type="spellEnd"/>
      <w:r w:rsidRPr="004215DF">
        <w:rPr>
          <w:rFonts w:asciiTheme="minorHAnsi" w:hAnsiTheme="minorHAnsi" w:cstheme="minorHAnsi"/>
          <w:color w:val="000000" w:themeColor="text1"/>
        </w:rPr>
        <w:t xml:space="preserve"> counsel] argues that, since the intention of the principal in attempted murder must be to kill, so a secondary party is only guilty if he knows that the principal does intend to kill – that he ‘will shoot to kill’. We do not follow the logic of this argument… If the jury</w:t>
      </w:r>
      <w:r>
        <w:rPr>
          <w:rFonts w:asciiTheme="minorHAnsi" w:hAnsiTheme="minorHAnsi" w:cstheme="minorHAnsi"/>
          <w:color w:val="000000" w:themeColor="text1"/>
        </w:rPr>
        <w:t xml:space="preserve"> concluded that </w:t>
      </w:r>
      <w:r w:rsidR="00D721A6">
        <w:rPr>
          <w:rFonts w:asciiTheme="minorHAnsi" w:hAnsiTheme="minorHAnsi" w:cstheme="minorHAnsi"/>
          <w:color w:val="000000" w:themeColor="text1"/>
        </w:rPr>
        <w:t>O’Brien</w:t>
      </w:r>
      <w:r>
        <w:rPr>
          <w:rFonts w:asciiTheme="minorHAnsi" w:hAnsiTheme="minorHAnsi" w:cstheme="minorHAnsi"/>
          <w:color w:val="000000" w:themeColor="text1"/>
        </w:rPr>
        <w:t xml:space="preserve"> knew that </w:t>
      </w:r>
      <w:r w:rsidR="00D721A6">
        <w:rPr>
          <w:rFonts w:asciiTheme="minorHAnsi" w:hAnsiTheme="minorHAnsi" w:cstheme="minorHAnsi"/>
          <w:color w:val="000000" w:themeColor="text1"/>
        </w:rPr>
        <w:t>Magee</w:t>
      </w:r>
      <w:r w:rsidRPr="004215DF">
        <w:rPr>
          <w:rFonts w:asciiTheme="minorHAnsi" w:hAnsiTheme="minorHAnsi" w:cstheme="minorHAnsi"/>
          <w:color w:val="000000" w:themeColor="text1"/>
        </w:rPr>
        <w:t xml:space="preserve"> </w:t>
      </w:r>
      <w:r w:rsidRPr="00D721A6">
        <w:rPr>
          <w:rFonts w:asciiTheme="minorHAnsi" w:hAnsiTheme="minorHAnsi" w:cstheme="minorHAnsi"/>
          <w:color w:val="000000" w:themeColor="text1"/>
        </w:rPr>
        <w:t>might</w:t>
      </w:r>
      <w:r w:rsidRPr="004215DF">
        <w:rPr>
          <w:rFonts w:asciiTheme="minorHAnsi" w:hAnsiTheme="minorHAnsi" w:cstheme="minorHAnsi"/>
          <w:color w:val="000000" w:themeColor="text1"/>
        </w:rPr>
        <w:t xml:space="preserve"> shoot to kill and if he had actually killed [the police officers</w:t>
      </w:r>
      <w:r w:rsidR="00D721A6">
        <w:rPr>
          <w:rFonts w:asciiTheme="minorHAnsi" w:hAnsiTheme="minorHAnsi" w:cstheme="minorHAnsi"/>
          <w:color w:val="000000" w:themeColor="text1"/>
        </w:rPr>
        <w:t>]</w:t>
      </w:r>
      <w:r w:rsidRPr="004215DF">
        <w:rPr>
          <w:rFonts w:asciiTheme="minorHAnsi" w:hAnsiTheme="minorHAnsi" w:cstheme="minorHAnsi"/>
          <w:color w:val="000000" w:themeColor="text1"/>
        </w:rPr>
        <w:t xml:space="preserve">, </w:t>
      </w:r>
      <w:r w:rsidR="00D721A6">
        <w:rPr>
          <w:rFonts w:asciiTheme="minorHAnsi" w:hAnsiTheme="minorHAnsi" w:cstheme="minorHAnsi"/>
          <w:color w:val="000000" w:themeColor="text1"/>
        </w:rPr>
        <w:t>O’Brien</w:t>
      </w:r>
      <w:r w:rsidRPr="004215DF">
        <w:rPr>
          <w:rFonts w:asciiTheme="minorHAnsi" w:hAnsiTheme="minorHAnsi" w:cstheme="minorHAnsi"/>
          <w:color w:val="000000" w:themeColor="text1"/>
        </w:rPr>
        <w:t xml:space="preserve"> would have been guilty of murder. There is no logical reason why the same knowledge should not make him guilty of an attempt to commit that offence.”</w:t>
      </w:r>
    </w:p>
    <w:p w:rsidR="004215DF" w:rsidRDefault="004215DF" w:rsidP="00011EF9">
      <w:pPr>
        <w:jc w:val="both"/>
        <w:rPr>
          <w:rFonts w:asciiTheme="minorHAnsi" w:hAnsiTheme="minorHAnsi" w:cstheme="minorHAnsi"/>
          <w:bCs/>
          <w:color w:val="000000" w:themeColor="text1"/>
        </w:rPr>
      </w:pPr>
    </w:p>
    <w:p w:rsidR="00D721A6" w:rsidRDefault="00D721A6" w:rsidP="00011EF9">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However, although this seems – at first glance – to require proof of contemplation by </w:t>
      </w:r>
      <w:r w:rsidR="0086528F">
        <w:rPr>
          <w:rFonts w:asciiTheme="minorHAnsi" w:hAnsiTheme="minorHAnsi" w:cstheme="minorHAnsi"/>
          <w:bCs/>
          <w:color w:val="000000" w:themeColor="text1"/>
        </w:rPr>
        <w:t>the secondary party (</w:t>
      </w:r>
      <w:r w:rsidR="00DB5717">
        <w:rPr>
          <w:rFonts w:asciiTheme="minorHAnsi" w:hAnsiTheme="minorHAnsi" w:cstheme="minorHAnsi"/>
          <w:bCs/>
          <w:color w:val="000000" w:themeColor="text1"/>
        </w:rPr>
        <w:t>S</w:t>
      </w:r>
      <w:r w:rsidR="0086528F">
        <w:rPr>
          <w:rFonts w:asciiTheme="minorHAnsi" w:hAnsiTheme="minorHAnsi" w:cstheme="minorHAnsi"/>
          <w:bCs/>
          <w:color w:val="000000" w:themeColor="text1"/>
        </w:rPr>
        <w:t>)</w:t>
      </w:r>
      <w:r>
        <w:rPr>
          <w:rFonts w:asciiTheme="minorHAnsi" w:hAnsiTheme="minorHAnsi" w:cstheme="minorHAnsi"/>
          <w:bCs/>
          <w:color w:val="000000" w:themeColor="text1"/>
        </w:rPr>
        <w:t xml:space="preserve"> that </w:t>
      </w:r>
      <w:r w:rsidR="0086528F">
        <w:rPr>
          <w:rFonts w:asciiTheme="minorHAnsi" w:hAnsiTheme="minorHAnsi" w:cstheme="minorHAnsi"/>
          <w:bCs/>
          <w:color w:val="000000" w:themeColor="text1"/>
        </w:rPr>
        <w:t>that principal (</w:t>
      </w:r>
      <w:r w:rsidR="00DB5717">
        <w:rPr>
          <w:rFonts w:asciiTheme="minorHAnsi" w:hAnsiTheme="minorHAnsi" w:cstheme="minorHAnsi"/>
          <w:bCs/>
          <w:color w:val="000000" w:themeColor="text1"/>
        </w:rPr>
        <w:t>P</w:t>
      </w:r>
      <w:r w:rsidR="0086528F">
        <w:rPr>
          <w:rFonts w:asciiTheme="minorHAnsi" w:hAnsiTheme="minorHAnsi" w:cstheme="minorHAnsi"/>
          <w:bCs/>
          <w:color w:val="000000" w:themeColor="text1"/>
        </w:rPr>
        <w:t>)</w:t>
      </w:r>
      <w:r>
        <w:rPr>
          <w:rFonts w:asciiTheme="minorHAnsi" w:hAnsiTheme="minorHAnsi" w:cstheme="minorHAnsi"/>
          <w:bCs/>
          <w:color w:val="000000" w:themeColor="text1"/>
        </w:rPr>
        <w:t xml:space="preserve"> might act with intent </w:t>
      </w:r>
      <w:r w:rsidRPr="004F71DB">
        <w:rPr>
          <w:rFonts w:asciiTheme="minorHAnsi" w:hAnsiTheme="minorHAnsi" w:cstheme="minorHAnsi"/>
          <w:bCs/>
          <w:color w:val="000000" w:themeColor="text1"/>
          <w:u w:val="single"/>
        </w:rPr>
        <w:t>to kill</w:t>
      </w:r>
      <w:r>
        <w:rPr>
          <w:rFonts w:asciiTheme="minorHAnsi" w:hAnsiTheme="minorHAnsi" w:cstheme="minorHAnsi"/>
          <w:bCs/>
          <w:color w:val="000000" w:themeColor="text1"/>
        </w:rPr>
        <w:t xml:space="preserve"> (and that foresight </w:t>
      </w:r>
      <w:r w:rsidR="00DB5717">
        <w:rPr>
          <w:rFonts w:asciiTheme="minorHAnsi" w:hAnsiTheme="minorHAnsi" w:cstheme="minorHAnsi"/>
          <w:bCs/>
          <w:color w:val="000000" w:themeColor="text1"/>
        </w:rPr>
        <w:t xml:space="preserve">by S </w:t>
      </w:r>
      <w:r>
        <w:rPr>
          <w:rFonts w:asciiTheme="minorHAnsi" w:hAnsiTheme="minorHAnsi" w:cstheme="minorHAnsi"/>
          <w:bCs/>
          <w:color w:val="000000" w:themeColor="text1"/>
        </w:rPr>
        <w:t xml:space="preserve">that </w:t>
      </w:r>
      <w:r w:rsidR="00DB5717">
        <w:rPr>
          <w:rFonts w:asciiTheme="minorHAnsi" w:hAnsiTheme="minorHAnsi" w:cstheme="minorHAnsi"/>
          <w:bCs/>
          <w:color w:val="000000" w:themeColor="text1"/>
        </w:rPr>
        <w:t>P</w:t>
      </w:r>
      <w:r>
        <w:rPr>
          <w:rFonts w:asciiTheme="minorHAnsi" w:hAnsiTheme="minorHAnsi" w:cstheme="minorHAnsi"/>
          <w:bCs/>
          <w:color w:val="000000" w:themeColor="text1"/>
        </w:rPr>
        <w:t xml:space="preserve"> might act with intent </w:t>
      </w:r>
      <w:r w:rsidRPr="004F71DB">
        <w:rPr>
          <w:rFonts w:asciiTheme="minorHAnsi" w:hAnsiTheme="minorHAnsi" w:cstheme="minorHAnsi"/>
          <w:bCs/>
          <w:color w:val="000000" w:themeColor="text1"/>
          <w:u w:val="single"/>
        </w:rPr>
        <w:t>to do GBH</w:t>
      </w:r>
      <w:r>
        <w:rPr>
          <w:rFonts w:asciiTheme="minorHAnsi" w:hAnsiTheme="minorHAnsi" w:cstheme="minorHAnsi"/>
          <w:bCs/>
          <w:color w:val="000000" w:themeColor="text1"/>
        </w:rPr>
        <w:t xml:space="preserve"> is insufficient), it is submitted that </w:t>
      </w:r>
      <w:r w:rsidRPr="00D721A6">
        <w:rPr>
          <w:rFonts w:asciiTheme="minorHAnsi" w:hAnsiTheme="minorHAnsi" w:cstheme="minorHAnsi"/>
          <w:bCs/>
          <w:i/>
          <w:color w:val="000000" w:themeColor="text1"/>
        </w:rPr>
        <w:t>O’Brien</w:t>
      </w:r>
      <w:r>
        <w:rPr>
          <w:rFonts w:asciiTheme="minorHAnsi" w:hAnsiTheme="minorHAnsi" w:cstheme="minorHAnsi"/>
          <w:bCs/>
          <w:color w:val="000000" w:themeColor="text1"/>
        </w:rPr>
        <w:t xml:space="preserve"> does not go that far. Rather, </w:t>
      </w:r>
      <w:r w:rsidRPr="00D721A6">
        <w:rPr>
          <w:rFonts w:asciiTheme="minorHAnsi" w:hAnsiTheme="minorHAnsi" w:cstheme="minorHAnsi"/>
          <w:bCs/>
          <w:i/>
          <w:color w:val="000000" w:themeColor="text1"/>
        </w:rPr>
        <w:t>O’Brien</w:t>
      </w:r>
      <w:r>
        <w:rPr>
          <w:rFonts w:asciiTheme="minorHAnsi" w:hAnsiTheme="minorHAnsi" w:cstheme="minorHAnsi"/>
          <w:bCs/>
          <w:color w:val="000000" w:themeColor="text1"/>
        </w:rPr>
        <w:t xml:space="preserve"> decides that, in attempted murder cases, it is unnecessary to prove that </w:t>
      </w:r>
      <w:r w:rsidR="00DB5717">
        <w:rPr>
          <w:rFonts w:asciiTheme="minorHAnsi" w:hAnsiTheme="minorHAnsi" w:cstheme="minorHAnsi"/>
          <w:bCs/>
          <w:color w:val="000000" w:themeColor="text1"/>
        </w:rPr>
        <w:t>S</w:t>
      </w:r>
      <w:r>
        <w:rPr>
          <w:rFonts w:asciiTheme="minorHAnsi" w:hAnsiTheme="minorHAnsi" w:cstheme="minorHAnsi"/>
          <w:bCs/>
          <w:color w:val="000000" w:themeColor="text1"/>
        </w:rPr>
        <w:t xml:space="preserve"> foresaw that </w:t>
      </w:r>
      <w:r w:rsidR="00DB5717">
        <w:rPr>
          <w:rFonts w:asciiTheme="minorHAnsi" w:hAnsiTheme="minorHAnsi" w:cstheme="minorHAnsi"/>
          <w:bCs/>
          <w:color w:val="000000" w:themeColor="text1"/>
        </w:rPr>
        <w:t>P</w:t>
      </w:r>
      <w:r>
        <w:rPr>
          <w:rFonts w:asciiTheme="minorHAnsi" w:hAnsiTheme="minorHAnsi" w:cstheme="minorHAnsi"/>
          <w:bCs/>
          <w:color w:val="000000" w:themeColor="text1"/>
        </w:rPr>
        <w:t xml:space="preserve"> “</w:t>
      </w:r>
      <w:r w:rsidR="004F71DB">
        <w:rPr>
          <w:rFonts w:asciiTheme="minorHAnsi" w:hAnsiTheme="minorHAnsi" w:cstheme="minorHAnsi"/>
          <w:bCs/>
          <w:color w:val="000000" w:themeColor="text1"/>
        </w:rPr>
        <w:t>will</w:t>
      </w:r>
      <w:r>
        <w:rPr>
          <w:rFonts w:asciiTheme="minorHAnsi" w:hAnsiTheme="minorHAnsi" w:cstheme="minorHAnsi"/>
          <w:bCs/>
          <w:color w:val="000000" w:themeColor="text1"/>
        </w:rPr>
        <w:t xml:space="preserve">” act with intent to kill, it is sufficient to prove that </w:t>
      </w:r>
      <w:r w:rsidR="00DB5717">
        <w:rPr>
          <w:rFonts w:asciiTheme="minorHAnsi" w:hAnsiTheme="minorHAnsi" w:cstheme="minorHAnsi"/>
          <w:bCs/>
          <w:color w:val="000000" w:themeColor="text1"/>
        </w:rPr>
        <w:t xml:space="preserve">S foresaw that </w:t>
      </w:r>
      <w:r>
        <w:rPr>
          <w:rFonts w:asciiTheme="minorHAnsi" w:hAnsiTheme="minorHAnsi" w:cstheme="minorHAnsi"/>
          <w:bCs/>
          <w:color w:val="000000" w:themeColor="text1"/>
        </w:rPr>
        <w:t xml:space="preserve">he “might” do so. </w:t>
      </w:r>
      <w:r w:rsidRPr="00D721A6">
        <w:rPr>
          <w:rFonts w:asciiTheme="minorHAnsi" w:hAnsiTheme="minorHAnsi" w:cstheme="minorHAnsi"/>
          <w:bCs/>
          <w:i/>
          <w:color w:val="000000" w:themeColor="text1"/>
        </w:rPr>
        <w:t>O’Brien</w:t>
      </w:r>
      <w:r>
        <w:rPr>
          <w:rFonts w:asciiTheme="minorHAnsi" w:hAnsiTheme="minorHAnsi" w:cstheme="minorHAnsi"/>
          <w:bCs/>
          <w:color w:val="000000" w:themeColor="text1"/>
        </w:rPr>
        <w:t xml:space="preserve"> </w:t>
      </w:r>
      <w:r w:rsidR="004F71DB">
        <w:rPr>
          <w:rFonts w:asciiTheme="minorHAnsi" w:hAnsiTheme="minorHAnsi" w:cstheme="minorHAnsi"/>
          <w:bCs/>
          <w:color w:val="000000" w:themeColor="text1"/>
        </w:rPr>
        <w:t xml:space="preserve">therefore </w:t>
      </w:r>
      <w:r>
        <w:rPr>
          <w:rFonts w:asciiTheme="minorHAnsi" w:hAnsiTheme="minorHAnsi" w:cstheme="minorHAnsi"/>
          <w:bCs/>
          <w:color w:val="000000" w:themeColor="text1"/>
        </w:rPr>
        <w:t xml:space="preserve">does not exclude the possibility of </w:t>
      </w:r>
      <w:r w:rsidR="00DB5717">
        <w:rPr>
          <w:rFonts w:asciiTheme="minorHAnsi" w:hAnsiTheme="minorHAnsi" w:cstheme="minorHAnsi"/>
          <w:bCs/>
          <w:color w:val="000000" w:themeColor="text1"/>
        </w:rPr>
        <w:t>S</w:t>
      </w:r>
      <w:r>
        <w:rPr>
          <w:rFonts w:asciiTheme="minorHAnsi" w:hAnsiTheme="minorHAnsi" w:cstheme="minorHAnsi"/>
          <w:bCs/>
          <w:color w:val="000000" w:themeColor="text1"/>
        </w:rPr>
        <w:t xml:space="preserve"> being liable for attempted murder on the basis that he foresaw that </w:t>
      </w:r>
      <w:r w:rsidR="00DB5717">
        <w:rPr>
          <w:rFonts w:asciiTheme="minorHAnsi" w:hAnsiTheme="minorHAnsi" w:cstheme="minorHAnsi"/>
          <w:bCs/>
          <w:color w:val="000000" w:themeColor="text1"/>
        </w:rPr>
        <w:t>P</w:t>
      </w:r>
      <w:r>
        <w:rPr>
          <w:rFonts w:asciiTheme="minorHAnsi" w:hAnsiTheme="minorHAnsi" w:cstheme="minorHAnsi"/>
          <w:bCs/>
          <w:color w:val="000000" w:themeColor="text1"/>
        </w:rPr>
        <w:t xml:space="preserve"> might act with </w:t>
      </w:r>
      <w:r w:rsidR="004F71DB">
        <w:rPr>
          <w:rFonts w:asciiTheme="minorHAnsi" w:hAnsiTheme="minorHAnsi" w:cstheme="minorHAnsi"/>
          <w:bCs/>
          <w:color w:val="000000" w:themeColor="text1"/>
        </w:rPr>
        <w:t>intent to do GBH.</w:t>
      </w:r>
      <w:r w:rsidR="008A7EEE">
        <w:rPr>
          <w:rFonts w:asciiTheme="minorHAnsi" w:hAnsiTheme="minorHAnsi" w:cstheme="minorHAnsi"/>
          <w:bCs/>
          <w:color w:val="000000" w:themeColor="text1"/>
        </w:rPr>
        <w:t xml:space="preserve"> </w:t>
      </w:r>
      <w:r w:rsidR="008A7EEE" w:rsidRPr="008A7EEE">
        <w:rPr>
          <w:rFonts w:asciiTheme="minorHAnsi" w:hAnsiTheme="minorHAnsi" w:cstheme="minorHAnsi"/>
          <w:bCs/>
          <w:i/>
          <w:color w:val="000000" w:themeColor="text1"/>
        </w:rPr>
        <w:t>O’Brien</w:t>
      </w:r>
      <w:r w:rsidR="008A7EEE">
        <w:rPr>
          <w:rFonts w:asciiTheme="minorHAnsi" w:hAnsiTheme="minorHAnsi" w:cstheme="minorHAnsi"/>
          <w:bCs/>
          <w:color w:val="000000" w:themeColor="text1"/>
        </w:rPr>
        <w:t xml:space="preserve"> was followed by the Court of Appeal for Northern Ireland in </w:t>
      </w:r>
      <w:r w:rsidR="008A7EEE" w:rsidRPr="008A7EEE">
        <w:rPr>
          <w:rFonts w:asciiTheme="minorHAnsi" w:hAnsiTheme="minorHAnsi" w:cstheme="minorHAnsi"/>
          <w:bCs/>
          <w:i/>
          <w:color w:val="000000" w:themeColor="text1"/>
        </w:rPr>
        <w:t xml:space="preserve">R v </w:t>
      </w:r>
      <w:proofErr w:type="spellStart"/>
      <w:r w:rsidR="008A7EEE" w:rsidRPr="008A7EEE">
        <w:rPr>
          <w:rFonts w:asciiTheme="minorHAnsi" w:hAnsiTheme="minorHAnsi" w:cstheme="minorHAnsi"/>
          <w:bCs/>
          <w:i/>
          <w:color w:val="000000" w:themeColor="text1"/>
        </w:rPr>
        <w:t>Loke</w:t>
      </w:r>
      <w:proofErr w:type="spellEnd"/>
      <w:r w:rsidR="008A7EEE" w:rsidRPr="008A7EEE">
        <w:rPr>
          <w:rFonts w:asciiTheme="minorHAnsi" w:hAnsiTheme="minorHAnsi" w:cstheme="minorHAnsi"/>
          <w:bCs/>
          <w:i/>
          <w:color w:val="000000" w:themeColor="text1"/>
        </w:rPr>
        <w:t xml:space="preserve"> </w:t>
      </w:r>
      <w:r w:rsidR="008A7EEE">
        <w:rPr>
          <w:rFonts w:asciiTheme="minorHAnsi" w:hAnsiTheme="minorHAnsi" w:cstheme="minorHAnsi"/>
          <w:bCs/>
          <w:color w:val="000000" w:themeColor="text1"/>
        </w:rPr>
        <w:t>(1999), unreported. In that case</w:t>
      </w:r>
      <w:r w:rsidR="00DB5717">
        <w:rPr>
          <w:rFonts w:asciiTheme="minorHAnsi" w:hAnsiTheme="minorHAnsi" w:cstheme="minorHAnsi"/>
          <w:bCs/>
          <w:color w:val="000000" w:themeColor="text1"/>
        </w:rPr>
        <w:t>,</w:t>
      </w:r>
      <w:r w:rsidR="008A7EEE">
        <w:rPr>
          <w:rFonts w:asciiTheme="minorHAnsi" w:hAnsiTheme="minorHAnsi" w:cstheme="minorHAnsi"/>
          <w:bCs/>
          <w:color w:val="000000" w:themeColor="text1"/>
        </w:rPr>
        <w:t xml:space="preserve"> </w:t>
      </w:r>
      <w:proofErr w:type="spellStart"/>
      <w:r w:rsidR="00DB5717">
        <w:rPr>
          <w:rFonts w:asciiTheme="minorHAnsi" w:hAnsiTheme="minorHAnsi" w:cstheme="minorHAnsi"/>
          <w:bCs/>
          <w:color w:val="000000" w:themeColor="text1"/>
        </w:rPr>
        <w:t>Carswell</w:t>
      </w:r>
      <w:proofErr w:type="spellEnd"/>
      <w:r w:rsidR="00DB5717">
        <w:rPr>
          <w:rFonts w:asciiTheme="minorHAnsi" w:hAnsiTheme="minorHAnsi" w:cstheme="minorHAnsi"/>
          <w:bCs/>
          <w:color w:val="000000" w:themeColor="text1"/>
        </w:rPr>
        <w:t xml:space="preserve"> LCJ upheld the appellant’s conviction following the trial judge’s direction that contemplation by S </w:t>
      </w:r>
      <w:r w:rsidR="001C32A2">
        <w:rPr>
          <w:rFonts w:asciiTheme="minorHAnsi" w:hAnsiTheme="minorHAnsi" w:cstheme="minorHAnsi"/>
          <w:bCs/>
          <w:color w:val="000000" w:themeColor="text1"/>
        </w:rPr>
        <w:t>that</w:t>
      </w:r>
      <w:r w:rsidR="00DB5717">
        <w:rPr>
          <w:rFonts w:asciiTheme="minorHAnsi" w:hAnsiTheme="minorHAnsi" w:cstheme="minorHAnsi"/>
          <w:bCs/>
          <w:color w:val="000000" w:themeColor="text1"/>
        </w:rPr>
        <w:t xml:space="preserve"> P </w:t>
      </w:r>
      <w:r w:rsidR="001C32A2">
        <w:rPr>
          <w:rFonts w:asciiTheme="minorHAnsi" w:hAnsiTheme="minorHAnsi" w:cstheme="minorHAnsi"/>
          <w:bCs/>
          <w:color w:val="000000" w:themeColor="text1"/>
        </w:rPr>
        <w:t xml:space="preserve">might </w:t>
      </w:r>
      <w:r w:rsidR="00DB5717">
        <w:rPr>
          <w:rFonts w:asciiTheme="minorHAnsi" w:hAnsiTheme="minorHAnsi" w:cstheme="minorHAnsi"/>
          <w:bCs/>
          <w:color w:val="000000" w:themeColor="text1"/>
        </w:rPr>
        <w:t xml:space="preserve">act with intent to kill was sufficient </w:t>
      </w:r>
      <w:proofErr w:type="spellStart"/>
      <w:r w:rsidR="00DB5717">
        <w:rPr>
          <w:rFonts w:asciiTheme="minorHAnsi" w:hAnsiTheme="minorHAnsi" w:cstheme="minorHAnsi"/>
          <w:bCs/>
          <w:color w:val="000000" w:themeColor="text1"/>
        </w:rPr>
        <w:t>mens</w:t>
      </w:r>
      <w:proofErr w:type="spellEnd"/>
      <w:r w:rsidR="00DB5717">
        <w:rPr>
          <w:rFonts w:asciiTheme="minorHAnsi" w:hAnsiTheme="minorHAnsi" w:cstheme="minorHAnsi"/>
          <w:bCs/>
          <w:color w:val="000000" w:themeColor="text1"/>
        </w:rPr>
        <w:t xml:space="preserve"> </w:t>
      </w:r>
      <w:proofErr w:type="spellStart"/>
      <w:r w:rsidR="00DB5717">
        <w:rPr>
          <w:rFonts w:asciiTheme="minorHAnsi" w:hAnsiTheme="minorHAnsi" w:cstheme="minorHAnsi"/>
          <w:bCs/>
          <w:color w:val="000000" w:themeColor="text1"/>
        </w:rPr>
        <w:t>rea</w:t>
      </w:r>
      <w:proofErr w:type="spellEnd"/>
      <w:r w:rsidR="00DB5717">
        <w:rPr>
          <w:rFonts w:asciiTheme="minorHAnsi" w:hAnsiTheme="minorHAnsi" w:cstheme="minorHAnsi"/>
          <w:bCs/>
          <w:color w:val="000000" w:themeColor="text1"/>
        </w:rPr>
        <w:t xml:space="preserve">, rejecting the submission that S needed to have </w:t>
      </w:r>
      <w:r w:rsidR="00F33764">
        <w:rPr>
          <w:rFonts w:asciiTheme="minorHAnsi" w:hAnsiTheme="minorHAnsi" w:cstheme="minorHAnsi"/>
          <w:bCs/>
          <w:color w:val="000000" w:themeColor="text1"/>
        </w:rPr>
        <w:t>formed exactly</w:t>
      </w:r>
      <w:r w:rsidR="00DB5717">
        <w:rPr>
          <w:rFonts w:asciiTheme="minorHAnsi" w:hAnsiTheme="minorHAnsi" w:cstheme="minorHAnsi"/>
          <w:bCs/>
          <w:color w:val="000000" w:themeColor="text1"/>
        </w:rPr>
        <w:t xml:space="preserve"> the same </w:t>
      </w:r>
      <w:proofErr w:type="spellStart"/>
      <w:r w:rsidR="00DB5717">
        <w:rPr>
          <w:rFonts w:asciiTheme="minorHAnsi" w:hAnsiTheme="minorHAnsi" w:cstheme="minorHAnsi"/>
          <w:bCs/>
          <w:color w:val="000000" w:themeColor="text1"/>
        </w:rPr>
        <w:t>mens</w:t>
      </w:r>
      <w:proofErr w:type="spellEnd"/>
      <w:r w:rsidR="00DB5717">
        <w:rPr>
          <w:rFonts w:asciiTheme="minorHAnsi" w:hAnsiTheme="minorHAnsi" w:cstheme="minorHAnsi"/>
          <w:bCs/>
          <w:color w:val="000000" w:themeColor="text1"/>
        </w:rPr>
        <w:t xml:space="preserve"> </w:t>
      </w:r>
      <w:proofErr w:type="spellStart"/>
      <w:r w:rsidR="00DB5717">
        <w:rPr>
          <w:rFonts w:asciiTheme="minorHAnsi" w:hAnsiTheme="minorHAnsi" w:cstheme="minorHAnsi"/>
          <w:bCs/>
          <w:color w:val="000000" w:themeColor="text1"/>
        </w:rPr>
        <w:t>rea</w:t>
      </w:r>
      <w:proofErr w:type="spellEnd"/>
      <w:r w:rsidR="00DB5717">
        <w:rPr>
          <w:rFonts w:asciiTheme="minorHAnsi" w:hAnsiTheme="minorHAnsi" w:cstheme="minorHAnsi"/>
          <w:bCs/>
          <w:color w:val="000000" w:themeColor="text1"/>
        </w:rPr>
        <w:t xml:space="preserve">, i.e. an intention to kill, as P. Again, this does not exclude the possibility that contemplation by S of P acting with intent to do GBH may be sufficient </w:t>
      </w:r>
      <w:proofErr w:type="spellStart"/>
      <w:r w:rsidR="00DB5717">
        <w:rPr>
          <w:rFonts w:asciiTheme="minorHAnsi" w:hAnsiTheme="minorHAnsi" w:cstheme="minorHAnsi"/>
          <w:bCs/>
          <w:color w:val="000000" w:themeColor="text1"/>
        </w:rPr>
        <w:t>mens</w:t>
      </w:r>
      <w:proofErr w:type="spellEnd"/>
      <w:r w:rsidR="00DB5717">
        <w:rPr>
          <w:rFonts w:asciiTheme="minorHAnsi" w:hAnsiTheme="minorHAnsi" w:cstheme="minorHAnsi"/>
          <w:bCs/>
          <w:color w:val="000000" w:themeColor="text1"/>
        </w:rPr>
        <w:t xml:space="preserve"> </w:t>
      </w:r>
      <w:proofErr w:type="spellStart"/>
      <w:r w:rsidR="00DB5717">
        <w:rPr>
          <w:rFonts w:asciiTheme="minorHAnsi" w:hAnsiTheme="minorHAnsi" w:cstheme="minorHAnsi"/>
          <w:bCs/>
          <w:color w:val="000000" w:themeColor="text1"/>
        </w:rPr>
        <w:t>rea</w:t>
      </w:r>
      <w:proofErr w:type="spellEnd"/>
      <w:r w:rsidR="00DB5717">
        <w:rPr>
          <w:rFonts w:asciiTheme="minorHAnsi" w:hAnsiTheme="minorHAnsi" w:cstheme="minorHAnsi"/>
          <w:bCs/>
          <w:color w:val="000000" w:themeColor="text1"/>
        </w:rPr>
        <w:t>.</w:t>
      </w:r>
    </w:p>
    <w:p w:rsidR="00DB5717" w:rsidRDefault="00DB5717" w:rsidP="00011EF9">
      <w:pPr>
        <w:jc w:val="both"/>
        <w:rPr>
          <w:rFonts w:asciiTheme="minorHAnsi" w:hAnsiTheme="minorHAnsi" w:cstheme="minorHAnsi"/>
          <w:bCs/>
          <w:color w:val="000000" w:themeColor="text1"/>
        </w:rPr>
      </w:pPr>
    </w:p>
    <w:p w:rsidR="00DB5717" w:rsidRDefault="00DB5717" w:rsidP="00011EF9">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Clarification of this point from the Court of Appeal would have been </w:t>
      </w:r>
      <w:r w:rsidR="001C32A2">
        <w:rPr>
          <w:rFonts w:asciiTheme="minorHAnsi" w:hAnsiTheme="minorHAnsi" w:cstheme="minorHAnsi"/>
          <w:bCs/>
          <w:color w:val="000000" w:themeColor="text1"/>
        </w:rPr>
        <w:t>welcome</w:t>
      </w:r>
      <w:r>
        <w:rPr>
          <w:rFonts w:asciiTheme="minorHAnsi" w:hAnsiTheme="minorHAnsi" w:cstheme="minorHAnsi"/>
          <w:bCs/>
          <w:color w:val="000000" w:themeColor="text1"/>
        </w:rPr>
        <w:t xml:space="preserve">. In </w:t>
      </w:r>
      <w:r w:rsidR="001C32A2">
        <w:rPr>
          <w:rFonts w:asciiTheme="minorHAnsi" w:hAnsiTheme="minorHAnsi" w:cstheme="minorHAnsi"/>
          <w:bCs/>
          <w:color w:val="000000" w:themeColor="text1"/>
        </w:rPr>
        <w:t>its</w:t>
      </w:r>
      <w:r>
        <w:rPr>
          <w:rFonts w:asciiTheme="minorHAnsi" w:hAnsiTheme="minorHAnsi" w:cstheme="minorHAnsi"/>
          <w:bCs/>
          <w:color w:val="000000" w:themeColor="text1"/>
        </w:rPr>
        <w:t xml:space="preserve"> absence, it is submitted here that </w:t>
      </w:r>
      <w:r w:rsidR="00D52828">
        <w:rPr>
          <w:rFonts w:asciiTheme="minorHAnsi" w:hAnsiTheme="minorHAnsi" w:cstheme="minorHAnsi"/>
          <w:bCs/>
          <w:color w:val="000000" w:themeColor="text1"/>
        </w:rPr>
        <w:t xml:space="preserve">in both murder and attempted murder cases involving one or more secondary parties, </w:t>
      </w:r>
      <w:r>
        <w:rPr>
          <w:rFonts w:asciiTheme="minorHAnsi" w:hAnsiTheme="minorHAnsi" w:cstheme="minorHAnsi"/>
          <w:bCs/>
          <w:color w:val="000000" w:themeColor="text1"/>
        </w:rPr>
        <w:t xml:space="preserve">the law </w:t>
      </w:r>
      <w:r w:rsidR="00D52828">
        <w:rPr>
          <w:rFonts w:asciiTheme="minorHAnsi" w:hAnsiTheme="minorHAnsi" w:cstheme="minorHAnsi"/>
          <w:bCs/>
          <w:color w:val="000000" w:themeColor="text1"/>
        </w:rPr>
        <w:t xml:space="preserve">need </w:t>
      </w:r>
      <w:r w:rsidR="00D52828" w:rsidRPr="00D52828">
        <w:rPr>
          <w:rFonts w:asciiTheme="minorHAnsi" w:hAnsiTheme="minorHAnsi" w:cstheme="minorHAnsi"/>
          <w:bCs/>
          <w:color w:val="000000" w:themeColor="text1"/>
          <w:u w:val="single"/>
        </w:rPr>
        <w:t>not</w:t>
      </w:r>
      <w:r>
        <w:rPr>
          <w:rFonts w:asciiTheme="minorHAnsi" w:hAnsiTheme="minorHAnsi" w:cstheme="minorHAnsi"/>
          <w:bCs/>
          <w:color w:val="000000" w:themeColor="text1"/>
        </w:rPr>
        <w:t xml:space="preserve"> </w:t>
      </w:r>
      <w:r w:rsidR="00F33764">
        <w:rPr>
          <w:rFonts w:asciiTheme="minorHAnsi" w:hAnsiTheme="minorHAnsi" w:cstheme="minorHAnsi"/>
          <w:bCs/>
          <w:color w:val="000000" w:themeColor="text1"/>
        </w:rPr>
        <w:t xml:space="preserve">go so far as to </w:t>
      </w:r>
      <w:r>
        <w:rPr>
          <w:rFonts w:asciiTheme="minorHAnsi" w:hAnsiTheme="minorHAnsi" w:cstheme="minorHAnsi"/>
          <w:bCs/>
          <w:color w:val="000000" w:themeColor="text1"/>
        </w:rPr>
        <w:t>require proof that S contemplated that P might act with intent to kill</w:t>
      </w:r>
      <w:r w:rsidR="001C32A2">
        <w:rPr>
          <w:rFonts w:asciiTheme="minorHAnsi" w:hAnsiTheme="minorHAnsi" w:cstheme="minorHAnsi"/>
          <w:bCs/>
          <w:color w:val="000000" w:themeColor="text1"/>
        </w:rPr>
        <w:t>;</w:t>
      </w:r>
      <w:r w:rsidR="00D52828">
        <w:rPr>
          <w:rFonts w:asciiTheme="minorHAnsi" w:hAnsiTheme="minorHAnsi" w:cstheme="minorHAnsi"/>
          <w:bCs/>
          <w:color w:val="000000" w:themeColor="text1"/>
        </w:rPr>
        <w:t xml:space="preserve"> foresight by S that P might act with intent to do GBH is sufficient</w:t>
      </w:r>
      <w:r>
        <w:rPr>
          <w:rFonts w:asciiTheme="minorHAnsi" w:hAnsiTheme="minorHAnsi" w:cstheme="minorHAnsi"/>
          <w:bCs/>
          <w:color w:val="000000" w:themeColor="text1"/>
        </w:rPr>
        <w:t xml:space="preserve">. </w:t>
      </w:r>
      <w:r w:rsidR="00D52828">
        <w:rPr>
          <w:rFonts w:asciiTheme="minorHAnsi" w:hAnsiTheme="minorHAnsi" w:cstheme="minorHAnsi"/>
          <w:bCs/>
          <w:color w:val="000000" w:themeColor="text1"/>
        </w:rPr>
        <w:t xml:space="preserve">As Lord Bingham explained in </w:t>
      </w:r>
      <w:proofErr w:type="spellStart"/>
      <w:r w:rsidR="00D52828" w:rsidRPr="00D52828">
        <w:rPr>
          <w:rFonts w:asciiTheme="minorHAnsi" w:hAnsiTheme="minorHAnsi" w:cstheme="minorHAnsi"/>
          <w:bCs/>
          <w:i/>
          <w:color w:val="000000" w:themeColor="text1"/>
        </w:rPr>
        <w:t>Rahman</w:t>
      </w:r>
      <w:proofErr w:type="spellEnd"/>
      <w:r w:rsidR="00D52828" w:rsidRPr="00D52828">
        <w:rPr>
          <w:rFonts w:asciiTheme="minorHAnsi" w:hAnsiTheme="minorHAnsi" w:cstheme="minorHAnsi"/>
          <w:bCs/>
          <w:i/>
          <w:color w:val="000000" w:themeColor="text1"/>
        </w:rPr>
        <w:t xml:space="preserve"> &amp; Others</w:t>
      </w:r>
      <w:r w:rsidR="00D52828">
        <w:rPr>
          <w:rFonts w:asciiTheme="minorHAnsi" w:hAnsiTheme="minorHAnsi" w:cstheme="minorHAnsi"/>
          <w:bCs/>
          <w:color w:val="000000" w:themeColor="text1"/>
        </w:rPr>
        <w:t xml:space="preserve"> (at [24]):</w:t>
      </w:r>
    </w:p>
    <w:p w:rsidR="00D52828" w:rsidRPr="00D52828" w:rsidRDefault="00D52828" w:rsidP="00011EF9">
      <w:pPr>
        <w:jc w:val="both"/>
        <w:rPr>
          <w:rFonts w:asciiTheme="minorHAnsi" w:hAnsiTheme="minorHAnsi" w:cstheme="minorHAnsi"/>
          <w:bCs/>
          <w:color w:val="000000" w:themeColor="text1"/>
        </w:rPr>
      </w:pPr>
    </w:p>
    <w:p w:rsidR="00D52828" w:rsidRPr="00D52828" w:rsidRDefault="00D52828" w:rsidP="00011EF9">
      <w:pPr>
        <w:ind w:left="567" w:right="567"/>
        <w:jc w:val="both"/>
        <w:rPr>
          <w:rFonts w:asciiTheme="minorHAnsi" w:hAnsiTheme="minorHAnsi" w:cstheme="minorHAnsi"/>
          <w:bCs/>
          <w:color w:val="000000" w:themeColor="text1"/>
        </w:rPr>
      </w:pPr>
      <w:r w:rsidRPr="00D52828">
        <w:rPr>
          <w:rFonts w:asciiTheme="minorHAnsi" w:hAnsiTheme="minorHAnsi" w:cstheme="minorHAnsi"/>
          <w:color w:val="000000" w:themeColor="text1"/>
          <w:lang w:eastAsia="en-GB"/>
        </w:rPr>
        <w:t>“</w:t>
      </w:r>
      <w:r>
        <w:rPr>
          <w:rFonts w:asciiTheme="minorHAnsi" w:hAnsiTheme="minorHAnsi" w:cstheme="minorHAnsi"/>
          <w:color w:val="000000" w:themeColor="text1"/>
          <w:lang w:eastAsia="en-GB"/>
        </w:rPr>
        <w:t>[I</w:t>
      </w:r>
      <w:r w:rsidRPr="00D52828">
        <w:rPr>
          <w:rFonts w:asciiTheme="minorHAnsi" w:hAnsiTheme="minorHAnsi" w:cstheme="minorHAnsi"/>
          <w:color w:val="000000" w:themeColor="text1"/>
          <w:lang w:eastAsia="en-GB"/>
        </w:rPr>
        <w:t>t</w:t>
      </w:r>
      <w:r>
        <w:rPr>
          <w:rFonts w:asciiTheme="minorHAnsi" w:hAnsiTheme="minorHAnsi" w:cstheme="minorHAnsi"/>
          <w:color w:val="000000" w:themeColor="text1"/>
          <w:lang w:eastAsia="en-GB"/>
        </w:rPr>
        <w:t>]</w:t>
      </w:r>
      <w:r w:rsidRPr="00D52828">
        <w:rPr>
          <w:rFonts w:asciiTheme="minorHAnsi" w:hAnsiTheme="minorHAnsi" w:cstheme="minorHAnsi"/>
          <w:color w:val="000000" w:themeColor="text1"/>
          <w:lang w:eastAsia="en-GB"/>
        </w:rPr>
        <w:t xml:space="preserve"> must often be very hard for jurors to make a reliable assessment of what a particular defendant foresaw as likely or possible acts on the part of his associates. It would be even harder, and would border on speculation, to judge what a particular defendant foresaw as the intention with which his associates might perform such acts. It is safer to focus on the defendant</w:t>
      </w:r>
      <w:r>
        <w:rPr>
          <w:rFonts w:asciiTheme="minorHAnsi" w:hAnsiTheme="minorHAnsi" w:cstheme="minorHAnsi"/>
          <w:color w:val="000000" w:themeColor="text1"/>
          <w:lang w:eastAsia="en-GB"/>
        </w:rPr>
        <w:t>’</w:t>
      </w:r>
      <w:r w:rsidRPr="00D52828">
        <w:rPr>
          <w:rFonts w:asciiTheme="minorHAnsi" w:hAnsiTheme="minorHAnsi" w:cstheme="minorHAnsi"/>
          <w:color w:val="000000" w:themeColor="text1"/>
          <w:lang w:eastAsia="en-GB"/>
        </w:rPr>
        <w:t xml:space="preserve">s foresight of what </w:t>
      </w:r>
      <w:r w:rsidRPr="00D52828">
        <w:rPr>
          <w:rFonts w:asciiTheme="minorHAnsi" w:hAnsiTheme="minorHAnsi" w:cstheme="minorHAnsi"/>
          <w:color w:val="000000" w:themeColor="text1"/>
          <w:lang w:eastAsia="en-GB"/>
        </w:rPr>
        <w:lastRenderedPageBreak/>
        <w:t xml:space="preserve">an associate might </w:t>
      </w:r>
      <w:proofErr w:type="gramStart"/>
      <w:r w:rsidRPr="00D52828">
        <w:rPr>
          <w:rFonts w:asciiTheme="minorHAnsi" w:hAnsiTheme="minorHAnsi" w:cstheme="minorHAnsi"/>
          <w:color w:val="000000" w:themeColor="text1"/>
          <w:lang w:eastAsia="en-GB"/>
        </w:rPr>
        <w:t>do,</w:t>
      </w:r>
      <w:proofErr w:type="gramEnd"/>
      <w:r w:rsidRPr="00D52828">
        <w:rPr>
          <w:rFonts w:asciiTheme="minorHAnsi" w:hAnsiTheme="minorHAnsi" w:cstheme="minorHAnsi"/>
          <w:color w:val="000000" w:themeColor="text1"/>
          <w:lang w:eastAsia="en-GB"/>
        </w:rPr>
        <w:t xml:space="preserve"> an issue to which knowledge of the associate’s possession of an obviously lethal weapon such as a gun or a knife would usually be very relevant.”</w:t>
      </w:r>
    </w:p>
    <w:p w:rsidR="004215DF" w:rsidRDefault="004215DF" w:rsidP="00011EF9">
      <w:pPr>
        <w:jc w:val="both"/>
        <w:rPr>
          <w:rFonts w:asciiTheme="minorHAnsi" w:hAnsiTheme="minorHAnsi" w:cstheme="minorHAnsi"/>
          <w:color w:val="000000" w:themeColor="text1"/>
        </w:rPr>
      </w:pPr>
    </w:p>
    <w:p w:rsidR="003557DA" w:rsidRPr="00D52828" w:rsidRDefault="003557DA" w:rsidP="00011EF9">
      <w:pPr>
        <w:jc w:val="both"/>
        <w:rPr>
          <w:rFonts w:asciiTheme="minorHAnsi" w:hAnsiTheme="minorHAnsi" w:cstheme="minorHAnsi"/>
          <w:color w:val="000000" w:themeColor="text1"/>
        </w:rPr>
      </w:pPr>
      <w:bookmarkStart w:id="0" w:name="_GoBack"/>
      <w:bookmarkEnd w:id="0"/>
    </w:p>
    <w:sectPr w:rsidR="003557DA" w:rsidRPr="00D52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55" w:rsidRDefault="00FE1655" w:rsidP="00A57396">
      <w:r>
        <w:separator/>
      </w:r>
    </w:p>
  </w:endnote>
  <w:endnote w:type="continuationSeparator" w:id="0">
    <w:p w:rsidR="00FE1655" w:rsidRDefault="00FE1655" w:rsidP="00A5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55" w:rsidRDefault="00FE1655" w:rsidP="00A57396">
      <w:r>
        <w:separator/>
      </w:r>
    </w:p>
  </w:footnote>
  <w:footnote w:type="continuationSeparator" w:id="0">
    <w:p w:rsidR="00FE1655" w:rsidRDefault="00FE1655" w:rsidP="00A5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15B6"/>
    <w:multiLevelType w:val="hybridMultilevel"/>
    <w:tmpl w:val="3F3685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F11DD"/>
    <w:multiLevelType w:val="hybridMultilevel"/>
    <w:tmpl w:val="F104E5D2"/>
    <w:lvl w:ilvl="0" w:tplc="AD92650C">
      <w:start w:val="1"/>
      <w:numFmt w:val="bullet"/>
      <w:lvlText w:val=""/>
      <w:lvlJc w:val="left"/>
      <w:pPr>
        <w:tabs>
          <w:tab w:val="num" w:pos="284"/>
        </w:tabs>
        <w:ind w:left="284" w:hanging="284"/>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2222D7"/>
    <w:multiLevelType w:val="hybridMultilevel"/>
    <w:tmpl w:val="8692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2D"/>
    <w:rsid w:val="00011EF9"/>
    <w:rsid w:val="0005502D"/>
    <w:rsid w:val="0009510B"/>
    <w:rsid w:val="00111EBA"/>
    <w:rsid w:val="001853C3"/>
    <w:rsid w:val="001C32A2"/>
    <w:rsid w:val="002373D6"/>
    <w:rsid w:val="003067E1"/>
    <w:rsid w:val="003557DA"/>
    <w:rsid w:val="003853D4"/>
    <w:rsid w:val="003B7295"/>
    <w:rsid w:val="003D17B4"/>
    <w:rsid w:val="003E0E25"/>
    <w:rsid w:val="004215DF"/>
    <w:rsid w:val="004E2497"/>
    <w:rsid w:val="004E78D5"/>
    <w:rsid w:val="004F460A"/>
    <w:rsid w:val="004F71DB"/>
    <w:rsid w:val="00516C56"/>
    <w:rsid w:val="0054095A"/>
    <w:rsid w:val="00574249"/>
    <w:rsid w:val="00597166"/>
    <w:rsid w:val="005C5ECA"/>
    <w:rsid w:val="00630221"/>
    <w:rsid w:val="00775CB4"/>
    <w:rsid w:val="007B57F2"/>
    <w:rsid w:val="0086528F"/>
    <w:rsid w:val="008A7EEE"/>
    <w:rsid w:val="008E0ED5"/>
    <w:rsid w:val="00A57396"/>
    <w:rsid w:val="00AE1B20"/>
    <w:rsid w:val="00B86025"/>
    <w:rsid w:val="00BD2B66"/>
    <w:rsid w:val="00C44FAF"/>
    <w:rsid w:val="00D42EF4"/>
    <w:rsid w:val="00D52828"/>
    <w:rsid w:val="00D721A6"/>
    <w:rsid w:val="00DB5717"/>
    <w:rsid w:val="00E5734E"/>
    <w:rsid w:val="00EB5411"/>
    <w:rsid w:val="00ED5B8A"/>
    <w:rsid w:val="00F078A4"/>
    <w:rsid w:val="00F33764"/>
    <w:rsid w:val="00F41D7C"/>
    <w:rsid w:val="00FD73E3"/>
    <w:rsid w:val="00FE16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2D"/>
    <w:pPr>
      <w:spacing w:after="0" w:line="240" w:lineRule="auto"/>
    </w:pPr>
    <w:rPr>
      <w:rFonts w:ascii="Times New Roman" w:eastAsia="Times New Roman" w:hAnsi="Times New Roman" w:cs="Times New Roman"/>
      <w:color w:val="FF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502D"/>
    <w:pPr>
      <w:spacing w:before="100" w:beforeAutospacing="1" w:after="100" w:afterAutospacing="1"/>
    </w:pPr>
    <w:rPr>
      <w:color w:val="auto"/>
    </w:rPr>
  </w:style>
  <w:style w:type="character" w:customStyle="1" w:styleId="groupheading1">
    <w:name w:val="groupheading1"/>
    <w:rsid w:val="002373D6"/>
    <w:rPr>
      <w:rFonts w:ascii="Verdana" w:hAnsi="Verdana" w:hint="default"/>
      <w:b/>
      <w:bCs/>
      <w:sz w:val="19"/>
      <w:szCs w:val="19"/>
    </w:rPr>
  </w:style>
  <w:style w:type="paragraph" w:styleId="Header">
    <w:name w:val="header"/>
    <w:basedOn w:val="Normal"/>
    <w:link w:val="HeaderChar"/>
    <w:uiPriority w:val="99"/>
    <w:unhideWhenUsed/>
    <w:rsid w:val="00A57396"/>
    <w:pPr>
      <w:tabs>
        <w:tab w:val="center" w:pos="4513"/>
        <w:tab w:val="right" w:pos="9026"/>
      </w:tabs>
    </w:pPr>
  </w:style>
  <w:style w:type="character" w:customStyle="1" w:styleId="HeaderChar">
    <w:name w:val="Header Char"/>
    <w:basedOn w:val="DefaultParagraphFont"/>
    <w:link w:val="Header"/>
    <w:uiPriority w:val="99"/>
    <w:rsid w:val="00A57396"/>
    <w:rPr>
      <w:rFonts w:ascii="Times New Roman" w:eastAsia="Times New Roman" w:hAnsi="Times New Roman" w:cs="Times New Roman"/>
      <w:color w:val="FF0000"/>
      <w:sz w:val="24"/>
      <w:szCs w:val="24"/>
      <w:lang w:val="en-US" w:eastAsia="en-US"/>
    </w:rPr>
  </w:style>
  <w:style w:type="paragraph" w:styleId="Footer">
    <w:name w:val="footer"/>
    <w:basedOn w:val="Normal"/>
    <w:link w:val="FooterChar"/>
    <w:uiPriority w:val="99"/>
    <w:unhideWhenUsed/>
    <w:rsid w:val="00A57396"/>
    <w:pPr>
      <w:tabs>
        <w:tab w:val="center" w:pos="4513"/>
        <w:tab w:val="right" w:pos="9026"/>
      </w:tabs>
    </w:pPr>
  </w:style>
  <w:style w:type="character" w:customStyle="1" w:styleId="FooterChar">
    <w:name w:val="Footer Char"/>
    <w:basedOn w:val="DefaultParagraphFont"/>
    <w:link w:val="Footer"/>
    <w:uiPriority w:val="99"/>
    <w:rsid w:val="00A57396"/>
    <w:rPr>
      <w:rFonts w:ascii="Times New Roman" w:eastAsia="Times New Roman" w:hAnsi="Times New Roman" w:cs="Times New Roman"/>
      <w:color w:val="FF0000"/>
      <w:sz w:val="24"/>
      <w:szCs w:val="24"/>
      <w:lang w:val="en-US" w:eastAsia="en-US"/>
    </w:rPr>
  </w:style>
  <w:style w:type="paragraph" w:customStyle="1" w:styleId="indent11">
    <w:name w:val="indent11"/>
    <w:basedOn w:val="Normal"/>
    <w:rsid w:val="005C5ECA"/>
    <w:rPr>
      <w:color w:val="auto"/>
      <w:lang w:val="en-GB" w:eastAsia="zh-CN"/>
    </w:rPr>
  </w:style>
  <w:style w:type="paragraph" w:styleId="ListParagraph">
    <w:name w:val="List Paragraph"/>
    <w:basedOn w:val="Normal"/>
    <w:uiPriority w:val="34"/>
    <w:qFormat/>
    <w:rsid w:val="008E0ED5"/>
    <w:pPr>
      <w:ind w:left="720"/>
      <w:contextualSpacing/>
    </w:pPr>
  </w:style>
  <w:style w:type="character" w:styleId="Hyperlink">
    <w:name w:val="Hyperlink"/>
    <w:rsid w:val="00B86025"/>
    <w:rPr>
      <w:color w:val="0000FF"/>
      <w:u w:val="single"/>
    </w:rPr>
  </w:style>
  <w:style w:type="paragraph" w:styleId="BalloonText">
    <w:name w:val="Balloon Text"/>
    <w:basedOn w:val="Normal"/>
    <w:link w:val="BalloonTextChar"/>
    <w:uiPriority w:val="99"/>
    <w:semiHidden/>
    <w:unhideWhenUsed/>
    <w:rsid w:val="001853C3"/>
    <w:rPr>
      <w:rFonts w:ascii="Tahoma" w:hAnsi="Tahoma" w:cs="Tahoma"/>
      <w:sz w:val="16"/>
      <w:szCs w:val="16"/>
    </w:rPr>
  </w:style>
  <w:style w:type="character" w:customStyle="1" w:styleId="BalloonTextChar">
    <w:name w:val="Balloon Text Char"/>
    <w:basedOn w:val="DefaultParagraphFont"/>
    <w:link w:val="BalloonText"/>
    <w:uiPriority w:val="99"/>
    <w:semiHidden/>
    <w:rsid w:val="001853C3"/>
    <w:rPr>
      <w:rFonts w:ascii="Tahoma" w:eastAsia="Times New Roman" w:hAnsi="Tahoma" w:cs="Tahoma"/>
      <w:color w:val="FF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2D"/>
    <w:pPr>
      <w:spacing w:after="0" w:line="240" w:lineRule="auto"/>
    </w:pPr>
    <w:rPr>
      <w:rFonts w:ascii="Times New Roman" w:eastAsia="Times New Roman" w:hAnsi="Times New Roman" w:cs="Times New Roman"/>
      <w:color w:val="FF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502D"/>
    <w:pPr>
      <w:spacing w:before="100" w:beforeAutospacing="1" w:after="100" w:afterAutospacing="1"/>
    </w:pPr>
    <w:rPr>
      <w:color w:val="auto"/>
    </w:rPr>
  </w:style>
  <w:style w:type="character" w:customStyle="1" w:styleId="groupheading1">
    <w:name w:val="groupheading1"/>
    <w:rsid w:val="002373D6"/>
    <w:rPr>
      <w:rFonts w:ascii="Verdana" w:hAnsi="Verdana" w:hint="default"/>
      <w:b/>
      <w:bCs/>
      <w:sz w:val="19"/>
      <w:szCs w:val="19"/>
    </w:rPr>
  </w:style>
  <w:style w:type="paragraph" w:styleId="Header">
    <w:name w:val="header"/>
    <w:basedOn w:val="Normal"/>
    <w:link w:val="HeaderChar"/>
    <w:uiPriority w:val="99"/>
    <w:unhideWhenUsed/>
    <w:rsid w:val="00A57396"/>
    <w:pPr>
      <w:tabs>
        <w:tab w:val="center" w:pos="4513"/>
        <w:tab w:val="right" w:pos="9026"/>
      </w:tabs>
    </w:pPr>
  </w:style>
  <w:style w:type="character" w:customStyle="1" w:styleId="HeaderChar">
    <w:name w:val="Header Char"/>
    <w:basedOn w:val="DefaultParagraphFont"/>
    <w:link w:val="Header"/>
    <w:uiPriority w:val="99"/>
    <w:rsid w:val="00A57396"/>
    <w:rPr>
      <w:rFonts w:ascii="Times New Roman" w:eastAsia="Times New Roman" w:hAnsi="Times New Roman" w:cs="Times New Roman"/>
      <w:color w:val="FF0000"/>
      <w:sz w:val="24"/>
      <w:szCs w:val="24"/>
      <w:lang w:val="en-US" w:eastAsia="en-US"/>
    </w:rPr>
  </w:style>
  <w:style w:type="paragraph" w:styleId="Footer">
    <w:name w:val="footer"/>
    <w:basedOn w:val="Normal"/>
    <w:link w:val="FooterChar"/>
    <w:uiPriority w:val="99"/>
    <w:unhideWhenUsed/>
    <w:rsid w:val="00A57396"/>
    <w:pPr>
      <w:tabs>
        <w:tab w:val="center" w:pos="4513"/>
        <w:tab w:val="right" w:pos="9026"/>
      </w:tabs>
    </w:pPr>
  </w:style>
  <w:style w:type="character" w:customStyle="1" w:styleId="FooterChar">
    <w:name w:val="Footer Char"/>
    <w:basedOn w:val="DefaultParagraphFont"/>
    <w:link w:val="Footer"/>
    <w:uiPriority w:val="99"/>
    <w:rsid w:val="00A57396"/>
    <w:rPr>
      <w:rFonts w:ascii="Times New Roman" w:eastAsia="Times New Roman" w:hAnsi="Times New Roman" w:cs="Times New Roman"/>
      <w:color w:val="FF0000"/>
      <w:sz w:val="24"/>
      <w:szCs w:val="24"/>
      <w:lang w:val="en-US" w:eastAsia="en-US"/>
    </w:rPr>
  </w:style>
  <w:style w:type="paragraph" w:customStyle="1" w:styleId="indent11">
    <w:name w:val="indent11"/>
    <w:basedOn w:val="Normal"/>
    <w:rsid w:val="005C5ECA"/>
    <w:rPr>
      <w:color w:val="auto"/>
      <w:lang w:val="en-GB" w:eastAsia="zh-CN"/>
    </w:rPr>
  </w:style>
  <w:style w:type="paragraph" w:styleId="ListParagraph">
    <w:name w:val="List Paragraph"/>
    <w:basedOn w:val="Normal"/>
    <w:uiPriority w:val="34"/>
    <w:qFormat/>
    <w:rsid w:val="008E0ED5"/>
    <w:pPr>
      <w:ind w:left="720"/>
      <w:contextualSpacing/>
    </w:pPr>
  </w:style>
  <w:style w:type="character" w:styleId="Hyperlink">
    <w:name w:val="Hyperlink"/>
    <w:rsid w:val="00B86025"/>
    <w:rPr>
      <w:color w:val="0000FF"/>
      <w:u w:val="single"/>
    </w:rPr>
  </w:style>
  <w:style w:type="paragraph" w:styleId="BalloonText">
    <w:name w:val="Balloon Text"/>
    <w:basedOn w:val="Normal"/>
    <w:link w:val="BalloonTextChar"/>
    <w:uiPriority w:val="99"/>
    <w:semiHidden/>
    <w:unhideWhenUsed/>
    <w:rsid w:val="001853C3"/>
    <w:rPr>
      <w:rFonts w:ascii="Tahoma" w:hAnsi="Tahoma" w:cs="Tahoma"/>
      <w:sz w:val="16"/>
      <w:szCs w:val="16"/>
    </w:rPr>
  </w:style>
  <w:style w:type="character" w:customStyle="1" w:styleId="BalloonTextChar">
    <w:name w:val="Balloon Text Char"/>
    <w:basedOn w:val="DefaultParagraphFont"/>
    <w:link w:val="BalloonText"/>
    <w:uiPriority w:val="99"/>
    <w:semiHidden/>
    <w:rsid w:val="001853C3"/>
    <w:rPr>
      <w:rFonts w:ascii="Tahoma" w:eastAsia="Times New Roman" w:hAnsi="Tahoma" w:cs="Tahoma"/>
      <w:color w:val="FF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290">
      <w:bodyDiv w:val="1"/>
      <w:marLeft w:val="0"/>
      <w:marRight w:val="0"/>
      <w:marTop w:val="0"/>
      <w:marBottom w:val="0"/>
      <w:divBdr>
        <w:top w:val="none" w:sz="0" w:space="0" w:color="auto"/>
        <w:left w:val="none" w:sz="0" w:space="0" w:color="auto"/>
        <w:bottom w:val="none" w:sz="0" w:space="0" w:color="auto"/>
        <w:right w:val="none" w:sz="0" w:space="0" w:color="auto"/>
      </w:divBdr>
      <w:divsChild>
        <w:div w:id="81217841">
          <w:marLeft w:val="0"/>
          <w:marRight w:val="0"/>
          <w:marTop w:val="0"/>
          <w:marBottom w:val="0"/>
          <w:divBdr>
            <w:top w:val="none" w:sz="0" w:space="0" w:color="auto"/>
            <w:left w:val="none" w:sz="0" w:space="0" w:color="auto"/>
            <w:bottom w:val="none" w:sz="0" w:space="0" w:color="auto"/>
            <w:right w:val="none" w:sz="0" w:space="0" w:color="auto"/>
          </w:divBdr>
          <w:divsChild>
            <w:div w:id="423576334">
              <w:marLeft w:val="0"/>
              <w:marRight w:val="0"/>
              <w:marTop w:val="0"/>
              <w:marBottom w:val="0"/>
              <w:divBdr>
                <w:top w:val="none" w:sz="0" w:space="0" w:color="auto"/>
                <w:left w:val="none" w:sz="0" w:space="0" w:color="auto"/>
                <w:bottom w:val="none" w:sz="0" w:space="0" w:color="auto"/>
                <w:right w:val="none" w:sz="0" w:space="0" w:color="auto"/>
              </w:divBdr>
              <w:divsChild>
                <w:div w:id="17388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7523">
      <w:bodyDiv w:val="1"/>
      <w:marLeft w:val="375"/>
      <w:marRight w:val="375"/>
      <w:marTop w:val="75"/>
      <w:marBottom w:val="75"/>
      <w:divBdr>
        <w:top w:val="none" w:sz="0" w:space="0" w:color="auto"/>
        <w:left w:val="none" w:sz="0" w:space="0" w:color="auto"/>
        <w:bottom w:val="none" w:sz="0" w:space="0" w:color="auto"/>
        <w:right w:val="none" w:sz="0" w:space="0" w:color="auto"/>
      </w:divBdr>
      <w:divsChild>
        <w:div w:id="1255822740">
          <w:marLeft w:val="0"/>
          <w:marRight w:val="0"/>
          <w:marTop w:val="0"/>
          <w:marBottom w:val="0"/>
          <w:divBdr>
            <w:top w:val="none" w:sz="0" w:space="0" w:color="auto"/>
            <w:left w:val="none" w:sz="0" w:space="0" w:color="auto"/>
            <w:bottom w:val="none" w:sz="0" w:space="0" w:color="auto"/>
            <w:right w:val="none" w:sz="0" w:space="0" w:color="auto"/>
          </w:divBdr>
          <w:divsChild>
            <w:div w:id="1367877436">
              <w:marLeft w:val="0"/>
              <w:marRight w:val="0"/>
              <w:marTop w:val="0"/>
              <w:marBottom w:val="0"/>
              <w:divBdr>
                <w:top w:val="none" w:sz="0" w:space="0" w:color="auto"/>
                <w:left w:val="none" w:sz="0" w:space="0" w:color="auto"/>
                <w:bottom w:val="none" w:sz="0" w:space="0" w:color="auto"/>
                <w:right w:val="none" w:sz="0" w:space="0" w:color="auto"/>
              </w:divBdr>
              <w:divsChild>
                <w:div w:id="13849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4999">
      <w:bodyDiv w:val="1"/>
      <w:marLeft w:val="375"/>
      <w:marRight w:val="375"/>
      <w:marTop w:val="75"/>
      <w:marBottom w:val="75"/>
      <w:divBdr>
        <w:top w:val="none" w:sz="0" w:space="0" w:color="auto"/>
        <w:left w:val="none" w:sz="0" w:space="0" w:color="auto"/>
        <w:bottom w:val="none" w:sz="0" w:space="0" w:color="auto"/>
        <w:right w:val="none" w:sz="0" w:space="0" w:color="auto"/>
      </w:divBdr>
      <w:divsChild>
        <w:div w:id="1028603369">
          <w:marLeft w:val="0"/>
          <w:marRight w:val="0"/>
          <w:marTop w:val="0"/>
          <w:marBottom w:val="0"/>
          <w:divBdr>
            <w:top w:val="none" w:sz="0" w:space="0" w:color="auto"/>
            <w:left w:val="none" w:sz="0" w:space="0" w:color="auto"/>
            <w:bottom w:val="none" w:sz="0" w:space="0" w:color="auto"/>
            <w:right w:val="none" w:sz="0" w:space="0" w:color="auto"/>
          </w:divBdr>
          <w:divsChild>
            <w:div w:id="371081132">
              <w:marLeft w:val="0"/>
              <w:marRight w:val="0"/>
              <w:marTop w:val="0"/>
              <w:marBottom w:val="0"/>
              <w:divBdr>
                <w:top w:val="none" w:sz="0" w:space="0" w:color="auto"/>
                <w:left w:val="none" w:sz="0" w:space="0" w:color="auto"/>
                <w:bottom w:val="none" w:sz="0" w:space="0" w:color="auto"/>
                <w:right w:val="none" w:sz="0" w:space="0" w:color="auto"/>
              </w:divBdr>
              <w:divsChild>
                <w:div w:id="12898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780">
      <w:bodyDiv w:val="1"/>
      <w:marLeft w:val="0"/>
      <w:marRight w:val="0"/>
      <w:marTop w:val="0"/>
      <w:marBottom w:val="0"/>
      <w:divBdr>
        <w:top w:val="none" w:sz="0" w:space="0" w:color="auto"/>
        <w:left w:val="none" w:sz="0" w:space="0" w:color="auto"/>
        <w:bottom w:val="none" w:sz="0" w:space="0" w:color="auto"/>
        <w:right w:val="none" w:sz="0" w:space="0" w:color="auto"/>
      </w:divBdr>
      <w:divsChild>
        <w:div w:id="2026445047">
          <w:marLeft w:val="0"/>
          <w:marRight w:val="0"/>
          <w:marTop w:val="0"/>
          <w:marBottom w:val="0"/>
          <w:divBdr>
            <w:top w:val="none" w:sz="0" w:space="0" w:color="auto"/>
            <w:left w:val="single" w:sz="6" w:space="0" w:color="D2D2D2"/>
            <w:bottom w:val="single" w:sz="6" w:space="0" w:color="D2D2D2"/>
            <w:right w:val="single" w:sz="6" w:space="0" w:color="D2D2D2"/>
          </w:divBdr>
          <w:divsChild>
            <w:div w:id="1946376418">
              <w:marLeft w:val="0"/>
              <w:marRight w:val="0"/>
              <w:marTop w:val="0"/>
              <w:marBottom w:val="0"/>
              <w:divBdr>
                <w:top w:val="none" w:sz="0" w:space="0" w:color="auto"/>
                <w:left w:val="none" w:sz="0" w:space="0" w:color="auto"/>
                <w:bottom w:val="none" w:sz="0" w:space="0" w:color="auto"/>
                <w:right w:val="single" w:sz="48" w:space="0" w:color="F6F6F6"/>
              </w:divBdr>
              <w:divsChild>
                <w:div w:id="1420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wluk/app/document?src=doc&amp;rs=WLUK1.0&amp;vr=1.0&amp;bctocguid=I1D0AA9361DD211B297BBE2003208A825&amp;bchistory=6;7;&amp;ststate=S;S&amp;page=0&amp;rlanchor=result5&amp;linktype=ref&amp;dochiskey=0&amp;docguid=I1DE15400E4B911DAB61499BEED25CD3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westlaw.co.uk/wluk/app/document?src=doc&amp;rs=WLUK1.0&amp;vr=1.0&amp;bctocguid=I1D0AA9361DD211B297BBE2003208A825&amp;bchistory=6;7;&amp;ststate=S;S&amp;page=0&amp;rlanchor=result1&amp;linktype=ref&amp;dochiskey=0&amp;docguid=I5F639F00E428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2014-03-28T12:48:00Z</cp:lastPrinted>
  <dcterms:created xsi:type="dcterms:W3CDTF">2014-03-07T13:47:00Z</dcterms:created>
  <dcterms:modified xsi:type="dcterms:W3CDTF">2014-10-23T10:10:00Z</dcterms:modified>
</cp:coreProperties>
</file>