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71" w:rsidRPr="00883E1C" w:rsidRDefault="00A02806" w:rsidP="0068667B">
      <w:pPr>
        <w:pStyle w:val="Default"/>
        <w:spacing w:after="0" w:line="480" w:lineRule="auto"/>
        <w:rPr>
          <w:b/>
          <w:color w:val="auto"/>
          <w:sz w:val="28"/>
          <w:szCs w:val="28"/>
        </w:rPr>
      </w:pPr>
      <w:bookmarkStart w:id="0" w:name="_Toc275444250"/>
      <w:bookmarkStart w:id="1" w:name="_Toc276469233"/>
      <w:bookmarkStart w:id="2" w:name="_Toc297710265"/>
      <w:bookmarkStart w:id="3" w:name="_Toc297720344"/>
      <w:bookmarkStart w:id="4" w:name="_Toc300859213"/>
      <w:bookmarkStart w:id="5" w:name="_Toc314667652"/>
      <w:bookmarkStart w:id="6" w:name="_Toc329241615"/>
      <w:bookmarkStart w:id="7" w:name="_GoBack"/>
      <w:bookmarkEnd w:id="7"/>
      <w:r w:rsidRPr="00883E1C">
        <w:rPr>
          <w:b/>
          <w:color w:val="auto"/>
          <w:sz w:val="28"/>
          <w:szCs w:val="28"/>
        </w:rPr>
        <w:t xml:space="preserve">1. </w:t>
      </w:r>
      <w:r w:rsidR="00B77C30" w:rsidRPr="00883E1C">
        <w:rPr>
          <w:b/>
          <w:color w:val="auto"/>
          <w:sz w:val="28"/>
          <w:szCs w:val="28"/>
        </w:rPr>
        <w:t>I</w:t>
      </w:r>
      <w:r w:rsidR="00443F94" w:rsidRPr="00883E1C">
        <w:rPr>
          <w:b/>
          <w:color w:val="auto"/>
          <w:sz w:val="28"/>
          <w:szCs w:val="28"/>
        </w:rPr>
        <w:t>ntroduction</w:t>
      </w:r>
      <w:r w:rsidR="006C4CE8" w:rsidRPr="00883E1C">
        <w:rPr>
          <w:b/>
          <w:color w:val="auto"/>
          <w:sz w:val="28"/>
          <w:szCs w:val="28"/>
        </w:rPr>
        <w:tab/>
      </w:r>
    </w:p>
    <w:p w:rsidR="009D63EF" w:rsidRPr="00883E1C" w:rsidRDefault="009100D3" w:rsidP="00F33898">
      <w:pPr>
        <w:ind w:firstLine="720"/>
        <w:rPr>
          <w:rFonts w:ascii="Times New Roman" w:hAnsi="Times New Roman"/>
          <w:sz w:val="24"/>
          <w:szCs w:val="24"/>
        </w:rPr>
      </w:pPr>
      <w:r w:rsidRPr="00883E1C">
        <w:rPr>
          <w:rFonts w:ascii="Times New Roman" w:hAnsi="Times New Roman"/>
          <w:sz w:val="24"/>
          <w:szCs w:val="24"/>
        </w:rPr>
        <w:t>Beginning in 2007, the world was shock</w:t>
      </w:r>
      <w:r w:rsidR="00A2634D" w:rsidRPr="00883E1C">
        <w:rPr>
          <w:rFonts w:ascii="Times New Roman" w:hAnsi="Times New Roman"/>
          <w:sz w:val="24"/>
          <w:szCs w:val="24"/>
        </w:rPr>
        <w:t>ed</w:t>
      </w:r>
      <w:r w:rsidRPr="00883E1C">
        <w:rPr>
          <w:rFonts w:ascii="Times New Roman" w:hAnsi="Times New Roman"/>
          <w:sz w:val="24"/>
          <w:szCs w:val="24"/>
        </w:rPr>
        <w:t xml:space="preserve"> by a </w:t>
      </w:r>
      <w:r w:rsidR="004D3433" w:rsidRPr="00883E1C">
        <w:rPr>
          <w:rFonts w:ascii="Times New Roman" w:hAnsi="Times New Roman"/>
          <w:sz w:val="24"/>
          <w:szCs w:val="24"/>
        </w:rPr>
        <w:t xml:space="preserve">stock </w:t>
      </w:r>
      <w:r w:rsidRPr="00883E1C">
        <w:rPr>
          <w:rFonts w:ascii="Times New Roman" w:hAnsi="Times New Roman"/>
          <w:sz w:val="24"/>
          <w:szCs w:val="24"/>
        </w:rPr>
        <w:t xml:space="preserve">market crash that sent major indices </w:t>
      </w:r>
      <w:r w:rsidR="00A2634D" w:rsidRPr="00883E1C">
        <w:rPr>
          <w:rFonts w:ascii="Times New Roman" w:hAnsi="Times New Roman"/>
          <w:sz w:val="24"/>
          <w:szCs w:val="24"/>
        </w:rPr>
        <w:t>(</w:t>
      </w:r>
      <w:r w:rsidRPr="00883E1C">
        <w:rPr>
          <w:rFonts w:ascii="Times New Roman" w:hAnsi="Times New Roman"/>
          <w:sz w:val="24"/>
          <w:szCs w:val="24"/>
        </w:rPr>
        <w:t>such as the S&amp;P 500 and the MSCI Index</w:t>
      </w:r>
      <w:r w:rsidR="00A2634D" w:rsidRPr="00883E1C">
        <w:rPr>
          <w:rFonts w:ascii="Times New Roman" w:hAnsi="Times New Roman"/>
          <w:sz w:val="24"/>
          <w:szCs w:val="24"/>
        </w:rPr>
        <w:t>)</w:t>
      </w:r>
      <w:r w:rsidRPr="00883E1C">
        <w:rPr>
          <w:rFonts w:ascii="Times New Roman" w:hAnsi="Times New Roman"/>
          <w:sz w:val="24"/>
          <w:szCs w:val="24"/>
        </w:rPr>
        <w:t xml:space="preserve"> tumbling. The result</w:t>
      </w:r>
      <w:r w:rsidR="00A2634D" w:rsidRPr="00883E1C">
        <w:rPr>
          <w:rFonts w:ascii="Times New Roman" w:hAnsi="Times New Roman"/>
          <w:sz w:val="24"/>
          <w:szCs w:val="24"/>
        </w:rPr>
        <w:t>ing</w:t>
      </w:r>
      <w:r w:rsidRPr="00883E1C">
        <w:rPr>
          <w:rFonts w:ascii="Times New Roman" w:hAnsi="Times New Roman"/>
          <w:sz w:val="24"/>
          <w:szCs w:val="24"/>
        </w:rPr>
        <w:t xml:space="preserve"> effect was that investors’ portfolios shrank in value, and many asset management firms went into survival mode, while others went out of business. </w:t>
      </w:r>
      <w:r w:rsidR="009D63EF" w:rsidRPr="00883E1C">
        <w:rPr>
          <w:rFonts w:ascii="Times New Roman" w:hAnsi="Times New Roman"/>
          <w:sz w:val="24"/>
          <w:szCs w:val="24"/>
        </w:rPr>
        <w:t xml:space="preserve">Apropos with the financial crisis, </w:t>
      </w:r>
      <w:r w:rsidR="004D3433" w:rsidRPr="00883E1C">
        <w:rPr>
          <w:rFonts w:ascii="Times New Roman" w:hAnsi="Times New Roman"/>
          <w:sz w:val="24"/>
          <w:szCs w:val="24"/>
        </w:rPr>
        <w:t xml:space="preserve">leading financial regulation experts and industry </w:t>
      </w:r>
      <w:r w:rsidR="009D63EF" w:rsidRPr="00883E1C">
        <w:rPr>
          <w:rFonts w:ascii="Times New Roman" w:hAnsi="Times New Roman"/>
          <w:sz w:val="24"/>
          <w:szCs w:val="24"/>
        </w:rPr>
        <w:t xml:space="preserve">professionals alike </w:t>
      </w:r>
      <w:r w:rsidR="004D3433" w:rsidRPr="00883E1C">
        <w:rPr>
          <w:rFonts w:ascii="Times New Roman" w:hAnsi="Times New Roman"/>
          <w:sz w:val="24"/>
          <w:szCs w:val="24"/>
        </w:rPr>
        <w:t>blamed the failure on the policies related to self-regulation (Credit Suisse, 2012: para. 1</w:t>
      </w:r>
      <w:r w:rsidR="004E5834" w:rsidRPr="00883E1C">
        <w:rPr>
          <w:rFonts w:ascii="Times New Roman" w:hAnsi="Times New Roman"/>
          <w:sz w:val="24"/>
          <w:szCs w:val="24"/>
        </w:rPr>
        <w:t>; CFA</w:t>
      </w:r>
      <w:r w:rsidR="0065230B" w:rsidRPr="00883E1C">
        <w:rPr>
          <w:rFonts w:ascii="Times New Roman" w:hAnsi="Times New Roman"/>
          <w:sz w:val="24"/>
          <w:szCs w:val="24"/>
        </w:rPr>
        <w:t>, 2013</w:t>
      </w:r>
      <w:r w:rsidR="00740C4C" w:rsidRPr="00883E1C">
        <w:rPr>
          <w:rFonts w:ascii="Times New Roman" w:hAnsi="Times New Roman"/>
          <w:sz w:val="24"/>
          <w:szCs w:val="24"/>
        </w:rPr>
        <w:t>: 3</w:t>
      </w:r>
      <w:r w:rsidR="004D3433" w:rsidRPr="00883E1C">
        <w:rPr>
          <w:rFonts w:ascii="Times New Roman" w:hAnsi="Times New Roman"/>
          <w:sz w:val="24"/>
          <w:szCs w:val="24"/>
        </w:rPr>
        <w:t>)</w:t>
      </w:r>
      <w:r w:rsidR="009D63EF" w:rsidRPr="00883E1C">
        <w:rPr>
          <w:rFonts w:ascii="Times New Roman" w:hAnsi="Times New Roman"/>
          <w:sz w:val="24"/>
          <w:szCs w:val="24"/>
        </w:rPr>
        <w:t>. F</w:t>
      </w:r>
      <w:r w:rsidR="00DE2F81" w:rsidRPr="00883E1C">
        <w:rPr>
          <w:rFonts w:ascii="Times New Roman" w:hAnsi="Times New Roman"/>
          <w:sz w:val="24"/>
          <w:szCs w:val="24"/>
        </w:rPr>
        <w:t>ormer Securities and Exchange Commission’s (</w:t>
      </w:r>
      <w:r w:rsidR="00135040" w:rsidRPr="00883E1C">
        <w:rPr>
          <w:rFonts w:ascii="Times New Roman" w:hAnsi="Times New Roman"/>
          <w:sz w:val="24"/>
          <w:szCs w:val="24"/>
        </w:rPr>
        <w:t xml:space="preserve">SEC) </w:t>
      </w:r>
      <w:r w:rsidR="00DE2F81" w:rsidRPr="00883E1C">
        <w:rPr>
          <w:rFonts w:ascii="Times New Roman" w:hAnsi="Times New Roman"/>
          <w:sz w:val="24"/>
          <w:szCs w:val="24"/>
        </w:rPr>
        <w:t>Chairman</w:t>
      </w:r>
      <w:r w:rsidR="00B33B5B" w:rsidRPr="00883E1C">
        <w:rPr>
          <w:rFonts w:ascii="Times New Roman" w:hAnsi="Times New Roman"/>
          <w:sz w:val="24"/>
          <w:szCs w:val="24"/>
        </w:rPr>
        <w:t>,</w:t>
      </w:r>
      <w:r w:rsidR="00DE2F81" w:rsidRPr="00883E1C">
        <w:rPr>
          <w:rFonts w:ascii="Times New Roman" w:hAnsi="Times New Roman"/>
          <w:sz w:val="24"/>
          <w:szCs w:val="24"/>
        </w:rPr>
        <w:t xml:space="preserve"> Christopher Cox</w:t>
      </w:r>
      <w:r w:rsidR="00135040" w:rsidRPr="00883E1C">
        <w:rPr>
          <w:rFonts w:ascii="Times New Roman" w:hAnsi="Times New Roman"/>
          <w:sz w:val="24"/>
          <w:szCs w:val="24"/>
        </w:rPr>
        <w:t>,</w:t>
      </w:r>
      <w:r w:rsidR="00DE2F81" w:rsidRPr="00883E1C">
        <w:rPr>
          <w:rFonts w:ascii="Times New Roman" w:hAnsi="Times New Roman"/>
          <w:sz w:val="24"/>
          <w:szCs w:val="24"/>
        </w:rPr>
        <w:t xml:space="preserve"> conceded that self-regulation of the investment banks contributed to the crisis (Labaton, 2008: para. 1-4).</w:t>
      </w:r>
      <w:r w:rsidR="001C37AC" w:rsidRPr="00883E1C">
        <w:rPr>
          <w:rFonts w:ascii="Times New Roman" w:hAnsi="Times New Roman"/>
          <w:sz w:val="24"/>
          <w:szCs w:val="24"/>
        </w:rPr>
        <w:t xml:space="preserve"> </w:t>
      </w:r>
      <w:r w:rsidR="00D86BE6" w:rsidRPr="00883E1C">
        <w:rPr>
          <w:rFonts w:ascii="Times New Roman" w:hAnsi="Times New Roman"/>
          <w:sz w:val="24"/>
          <w:szCs w:val="24"/>
        </w:rPr>
        <w:t>Some even go as far and argue that the “financial crisis resulted from the largely unregulated nature of globa</w:t>
      </w:r>
      <w:r w:rsidR="00297C2F" w:rsidRPr="00883E1C">
        <w:rPr>
          <w:rFonts w:ascii="Times New Roman" w:hAnsi="Times New Roman"/>
          <w:sz w:val="24"/>
          <w:szCs w:val="24"/>
        </w:rPr>
        <w:t>l financial institutions” (Engobo</w:t>
      </w:r>
      <w:r w:rsidR="00D86BE6" w:rsidRPr="00883E1C">
        <w:rPr>
          <w:rFonts w:ascii="Times New Roman" w:hAnsi="Times New Roman"/>
          <w:sz w:val="24"/>
          <w:szCs w:val="24"/>
        </w:rPr>
        <w:t xml:space="preserve"> et al</w:t>
      </w:r>
      <w:r w:rsidR="00FE6E72" w:rsidRPr="00883E1C">
        <w:rPr>
          <w:rFonts w:ascii="Times New Roman" w:hAnsi="Times New Roman"/>
          <w:sz w:val="24"/>
          <w:szCs w:val="24"/>
        </w:rPr>
        <w:t>.</w:t>
      </w:r>
      <w:r w:rsidR="00D86BE6" w:rsidRPr="00883E1C">
        <w:rPr>
          <w:rFonts w:ascii="Times New Roman" w:hAnsi="Times New Roman"/>
          <w:sz w:val="24"/>
          <w:szCs w:val="24"/>
        </w:rPr>
        <w:t xml:space="preserve"> 2009: 230). </w:t>
      </w:r>
      <w:r w:rsidR="00B36E61" w:rsidRPr="00883E1C">
        <w:rPr>
          <w:rFonts w:ascii="Times New Roman" w:hAnsi="Times New Roman"/>
          <w:sz w:val="24"/>
          <w:szCs w:val="24"/>
        </w:rPr>
        <w:t xml:space="preserve">While it is difficult to dispute these claims, some degree of introspection is needed to address these assertions of regulatory failure by </w:t>
      </w:r>
      <w:r w:rsidR="00F1192F" w:rsidRPr="00883E1C">
        <w:rPr>
          <w:rFonts w:ascii="Times New Roman" w:hAnsi="Times New Roman"/>
          <w:sz w:val="24"/>
          <w:szCs w:val="24"/>
        </w:rPr>
        <w:t>SROs</w:t>
      </w:r>
      <w:r w:rsidR="00126DBE" w:rsidRPr="00883E1C">
        <w:rPr>
          <w:rFonts w:ascii="Times New Roman" w:hAnsi="Times New Roman"/>
          <w:sz w:val="24"/>
          <w:szCs w:val="24"/>
        </w:rPr>
        <w:t xml:space="preserve"> operating</w:t>
      </w:r>
      <w:r w:rsidR="00F1192F" w:rsidRPr="00883E1C">
        <w:rPr>
          <w:rFonts w:ascii="Times New Roman" w:hAnsi="Times New Roman"/>
          <w:sz w:val="24"/>
          <w:szCs w:val="24"/>
        </w:rPr>
        <w:t xml:space="preserve"> in</w:t>
      </w:r>
      <w:r w:rsidR="00085812" w:rsidRPr="00883E1C">
        <w:rPr>
          <w:rFonts w:ascii="Times New Roman" w:hAnsi="Times New Roman"/>
          <w:sz w:val="24"/>
          <w:szCs w:val="24"/>
        </w:rPr>
        <w:t xml:space="preserve"> the securities industry.</w:t>
      </w:r>
      <w:r w:rsidR="006B079C" w:rsidRPr="00883E1C">
        <w:rPr>
          <w:rFonts w:ascii="Times New Roman" w:hAnsi="Times New Roman"/>
          <w:sz w:val="24"/>
          <w:szCs w:val="24"/>
        </w:rPr>
        <w:t xml:space="preserve"> </w:t>
      </w:r>
      <w:r w:rsidR="006F4D44" w:rsidRPr="00883E1C">
        <w:rPr>
          <w:rFonts w:ascii="Times New Roman" w:hAnsi="Times New Roman"/>
          <w:sz w:val="24"/>
          <w:szCs w:val="24"/>
        </w:rPr>
        <w:t>Framed in relation to the</w:t>
      </w:r>
      <w:r w:rsidR="00E85885" w:rsidRPr="00883E1C">
        <w:rPr>
          <w:rFonts w:ascii="Times New Roman" w:hAnsi="Times New Roman"/>
          <w:sz w:val="24"/>
          <w:szCs w:val="24"/>
        </w:rPr>
        <w:t xml:space="preserve"> global financial crisis</w:t>
      </w:r>
      <w:r w:rsidR="006F4D44" w:rsidRPr="00883E1C">
        <w:rPr>
          <w:rFonts w:ascii="Times New Roman" w:hAnsi="Times New Roman"/>
          <w:sz w:val="24"/>
          <w:szCs w:val="24"/>
        </w:rPr>
        <w:t xml:space="preserve"> </w:t>
      </w:r>
      <w:r w:rsidR="00E85885" w:rsidRPr="00883E1C">
        <w:rPr>
          <w:rFonts w:ascii="Times New Roman" w:hAnsi="Times New Roman"/>
          <w:sz w:val="24"/>
          <w:szCs w:val="24"/>
        </w:rPr>
        <w:t>(</w:t>
      </w:r>
      <w:r w:rsidR="006F4D44" w:rsidRPr="00883E1C">
        <w:rPr>
          <w:rFonts w:ascii="Times New Roman" w:hAnsi="Times New Roman"/>
          <w:sz w:val="24"/>
          <w:szCs w:val="24"/>
        </w:rPr>
        <w:t>GFC</w:t>
      </w:r>
      <w:r w:rsidR="00E85885" w:rsidRPr="00883E1C">
        <w:rPr>
          <w:rFonts w:ascii="Times New Roman" w:hAnsi="Times New Roman"/>
          <w:sz w:val="24"/>
          <w:szCs w:val="24"/>
        </w:rPr>
        <w:t>)</w:t>
      </w:r>
      <w:r w:rsidR="006F4D44" w:rsidRPr="00883E1C">
        <w:rPr>
          <w:rFonts w:ascii="Times New Roman" w:hAnsi="Times New Roman"/>
          <w:sz w:val="24"/>
          <w:szCs w:val="24"/>
        </w:rPr>
        <w:t xml:space="preserve"> of 2008 and the widespread concerns regarding the ineffectiveness of self-regulation in the securities industry, this study seeks to examine the enforcement practices of one such SRO: the Investment Dealers Association of Canada</w:t>
      </w:r>
      <w:r w:rsidR="00E54391" w:rsidRPr="00883E1C">
        <w:rPr>
          <w:rFonts w:ascii="Times New Roman" w:hAnsi="Times New Roman"/>
          <w:sz w:val="24"/>
          <w:szCs w:val="24"/>
        </w:rPr>
        <w:t xml:space="preserve"> (IDA</w:t>
      </w:r>
      <w:r w:rsidR="009F1BB0" w:rsidRPr="00883E1C">
        <w:rPr>
          <w:rFonts w:ascii="Times New Roman" w:hAnsi="Times New Roman"/>
          <w:sz w:val="24"/>
          <w:szCs w:val="24"/>
        </w:rPr>
        <w:t>).</w:t>
      </w:r>
      <w:r w:rsidR="009F1BB0" w:rsidRPr="00883E1C">
        <w:rPr>
          <w:rStyle w:val="EndnoteReference"/>
          <w:rFonts w:ascii="Times New Roman" w:hAnsi="Times New Roman"/>
          <w:sz w:val="24"/>
          <w:szCs w:val="24"/>
        </w:rPr>
        <w:endnoteReference w:id="1"/>
      </w:r>
      <w:r w:rsidR="009F1BB0" w:rsidRPr="00883E1C">
        <w:rPr>
          <w:rFonts w:ascii="Times New Roman" w:hAnsi="Times New Roman"/>
          <w:sz w:val="24"/>
          <w:szCs w:val="24"/>
        </w:rPr>
        <w:t xml:space="preserve"> </w:t>
      </w:r>
      <w:r w:rsidR="00D42BDE" w:rsidRPr="00883E1C">
        <w:rPr>
          <w:rFonts w:ascii="Times New Roman" w:hAnsi="Times New Roman"/>
          <w:sz w:val="24"/>
          <w:szCs w:val="24"/>
        </w:rPr>
        <w:t>The IDA was the national SRO that was</w:t>
      </w:r>
      <w:r w:rsidR="009D63EF" w:rsidRPr="00883E1C">
        <w:rPr>
          <w:rFonts w:ascii="Times New Roman" w:hAnsi="Times New Roman"/>
          <w:sz w:val="24"/>
          <w:szCs w:val="24"/>
        </w:rPr>
        <w:t xml:space="preserve"> responsible for policing investment dealers and their respective Member firms that trade</w:t>
      </w:r>
      <w:r w:rsidR="000F30B9" w:rsidRPr="00883E1C">
        <w:rPr>
          <w:rFonts w:ascii="Times New Roman" w:hAnsi="Times New Roman"/>
          <w:sz w:val="24"/>
          <w:szCs w:val="24"/>
        </w:rPr>
        <w:t>d</w:t>
      </w:r>
      <w:r w:rsidR="009D63EF" w:rsidRPr="00883E1C">
        <w:rPr>
          <w:rFonts w:ascii="Times New Roman" w:hAnsi="Times New Roman"/>
          <w:sz w:val="24"/>
          <w:szCs w:val="24"/>
        </w:rPr>
        <w:t xml:space="preserve"> on the debt and equi</w:t>
      </w:r>
      <w:r w:rsidR="00D42BDE" w:rsidRPr="00883E1C">
        <w:rPr>
          <w:rFonts w:ascii="Times New Roman" w:hAnsi="Times New Roman"/>
          <w:sz w:val="24"/>
          <w:szCs w:val="24"/>
        </w:rPr>
        <w:t>ty marketplaces in Canada. The IDA</w:t>
      </w:r>
      <w:r w:rsidR="009D63EF" w:rsidRPr="00883E1C">
        <w:rPr>
          <w:rFonts w:ascii="Times New Roman" w:hAnsi="Times New Roman"/>
          <w:sz w:val="24"/>
          <w:szCs w:val="24"/>
        </w:rPr>
        <w:t xml:space="preserve"> </w:t>
      </w:r>
      <w:r w:rsidR="00B26B97" w:rsidRPr="00883E1C">
        <w:rPr>
          <w:rFonts w:ascii="Times New Roman" w:hAnsi="Times New Roman"/>
          <w:sz w:val="24"/>
          <w:szCs w:val="24"/>
        </w:rPr>
        <w:t xml:space="preserve">was responsible for setting </w:t>
      </w:r>
      <w:r w:rsidR="009D63EF" w:rsidRPr="00883E1C">
        <w:rPr>
          <w:rFonts w:ascii="Times New Roman" w:hAnsi="Times New Roman"/>
          <w:sz w:val="24"/>
          <w:szCs w:val="24"/>
        </w:rPr>
        <w:t>its own education standar</w:t>
      </w:r>
      <w:r w:rsidR="00425EFA" w:rsidRPr="00883E1C">
        <w:rPr>
          <w:rFonts w:ascii="Times New Roman" w:hAnsi="Times New Roman"/>
          <w:sz w:val="24"/>
          <w:szCs w:val="24"/>
        </w:rPr>
        <w:t>ds and regulatory requirements</w:t>
      </w:r>
      <w:r w:rsidR="009D63EF" w:rsidRPr="00883E1C">
        <w:rPr>
          <w:rFonts w:ascii="Times New Roman" w:hAnsi="Times New Roman"/>
          <w:sz w:val="24"/>
          <w:szCs w:val="24"/>
        </w:rPr>
        <w:t xml:space="preserve">. Investment dealers and their respective entities </w:t>
      </w:r>
      <w:r w:rsidR="0093488C" w:rsidRPr="00883E1C">
        <w:rPr>
          <w:rFonts w:ascii="Times New Roman" w:hAnsi="Times New Roman"/>
          <w:sz w:val="24"/>
          <w:szCs w:val="24"/>
        </w:rPr>
        <w:t xml:space="preserve">were </w:t>
      </w:r>
      <w:r w:rsidR="00B27000" w:rsidRPr="00883E1C">
        <w:rPr>
          <w:rFonts w:ascii="Times New Roman" w:hAnsi="Times New Roman"/>
          <w:sz w:val="24"/>
          <w:szCs w:val="24"/>
        </w:rPr>
        <w:t xml:space="preserve">expected to comply with </w:t>
      </w:r>
      <w:r w:rsidR="0093488C" w:rsidRPr="00883E1C">
        <w:rPr>
          <w:rFonts w:ascii="Times New Roman" w:hAnsi="Times New Roman"/>
          <w:sz w:val="24"/>
          <w:szCs w:val="24"/>
        </w:rPr>
        <w:t>the IDA’s</w:t>
      </w:r>
      <w:r w:rsidR="009D63EF" w:rsidRPr="00883E1C">
        <w:rPr>
          <w:rFonts w:ascii="Times New Roman" w:hAnsi="Times New Roman"/>
          <w:sz w:val="24"/>
          <w:szCs w:val="24"/>
        </w:rPr>
        <w:t xml:space="preserve"> rules, or face sanctions ranging from fines to permanent bans from the Asso</w:t>
      </w:r>
      <w:r w:rsidR="00B27000" w:rsidRPr="00883E1C">
        <w:rPr>
          <w:rFonts w:ascii="Times New Roman" w:hAnsi="Times New Roman"/>
          <w:sz w:val="24"/>
          <w:szCs w:val="24"/>
        </w:rPr>
        <w:t>ciation for non-compliance</w:t>
      </w:r>
      <w:r w:rsidR="0093488C" w:rsidRPr="00883E1C">
        <w:rPr>
          <w:rFonts w:ascii="Times New Roman" w:hAnsi="Times New Roman"/>
          <w:sz w:val="24"/>
          <w:szCs w:val="24"/>
        </w:rPr>
        <w:t>.</w:t>
      </w:r>
      <w:r w:rsidR="009D63EF" w:rsidRPr="00883E1C">
        <w:rPr>
          <w:rFonts w:ascii="Times New Roman" w:hAnsi="Times New Roman"/>
          <w:sz w:val="24"/>
          <w:szCs w:val="24"/>
        </w:rPr>
        <w:t xml:space="preserve"> </w:t>
      </w:r>
    </w:p>
    <w:p w:rsidR="000E361E" w:rsidRPr="00883E1C" w:rsidRDefault="006F4D44" w:rsidP="000E361E">
      <w:pPr>
        <w:ind w:firstLine="720"/>
        <w:rPr>
          <w:rFonts w:ascii="Times New Roman" w:hAnsi="Times New Roman"/>
          <w:sz w:val="24"/>
          <w:szCs w:val="24"/>
        </w:rPr>
      </w:pPr>
      <w:r w:rsidRPr="00883E1C">
        <w:rPr>
          <w:rFonts w:ascii="Times New Roman" w:hAnsi="Times New Roman"/>
          <w:sz w:val="24"/>
          <w:szCs w:val="24"/>
        </w:rPr>
        <w:t>O</w:t>
      </w:r>
      <w:r w:rsidR="00722719" w:rsidRPr="00883E1C">
        <w:rPr>
          <w:rFonts w:ascii="Times New Roman" w:hAnsi="Times New Roman"/>
          <w:sz w:val="24"/>
          <w:szCs w:val="24"/>
        </w:rPr>
        <w:t>n the basis of an a</w:t>
      </w:r>
      <w:r w:rsidRPr="00883E1C">
        <w:rPr>
          <w:rFonts w:ascii="Times New Roman" w:hAnsi="Times New Roman"/>
          <w:sz w:val="24"/>
          <w:szCs w:val="24"/>
        </w:rPr>
        <w:t>nalysis of published data</w:t>
      </w:r>
      <w:r w:rsidR="00F17D42" w:rsidRPr="00883E1C">
        <w:rPr>
          <w:rFonts w:ascii="Times New Roman" w:hAnsi="Times New Roman"/>
          <w:sz w:val="24"/>
          <w:szCs w:val="24"/>
        </w:rPr>
        <w:t xml:space="preserve">, </w:t>
      </w:r>
      <w:r w:rsidRPr="00883E1C">
        <w:rPr>
          <w:rFonts w:ascii="Times New Roman" w:hAnsi="Times New Roman"/>
          <w:sz w:val="24"/>
          <w:szCs w:val="24"/>
        </w:rPr>
        <w:t xml:space="preserve">this study </w:t>
      </w:r>
      <w:r w:rsidR="00F623BB" w:rsidRPr="00883E1C">
        <w:rPr>
          <w:rFonts w:ascii="Times New Roman" w:hAnsi="Times New Roman"/>
          <w:sz w:val="24"/>
          <w:szCs w:val="24"/>
        </w:rPr>
        <w:t>will utilize</w:t>
      </w:r>
      <w:r w:rsidR="00717685" w:rsidRPr="00883E1C">
        <w:rPr>
          <w:rFonts w:ascii="Times New Roman" w:hAnsi="Times New Roman"/>
          <w:sz w:val="24"/>
          <w:szCs w:val="24"/>
        </w:rPr>
        <w:t xml:space="preserve"> the SRO</w:t>
      </w:r>
      <w:r w:rsidR="008B140F" w:rsidRPr="00883E1C">
        <w:rPr>
          <w:rFonts w:ascii="Times New Roman" w:hAnsi="Times New Roman"/>
          <w:sz w:val="24"/>
          <w:szCs w:val="24"/>
        </w:rPr>
        <w:t>’s misconduct</w:t>
      </w:r>
      <w:r w:rsidR="00717685" w:rsidRPr="00883E1C">
        <w:rPr>
          <w:rFonts w:ascii="Times New Roman" w:hAnsi="Times New Roman"/>
          <w:sz w:val="24"/>
          <w:szCs w:val="24"/>
        </w:rPr>
        <w:t xml:space="preserve"> funnel as it was developed by Brockman</w:t>
      </w:r>
      <w:r w:rsidR="007611F4" w:rsidRPr="00883E1C">
        <w:rPr>
          <w:rFonts w:ascii="Times New Roman" w:hAnsi="Times New Roman"/>
          <w:sz w:val="24"/>
          <w:szCs w:val="24"/>
        </w:rPr>
        <w:t xml:space="preserve"> and McEwen (1990)</w:t>
      </w:r>
      <w:r w:rsidR="00717685" w:rsidRPr="00883E1C">
        <w:rPr>
          <w:rFonts w:ascii="Times New Roman" w:hAnsi="Times New Roman"/>
          <w:sz w:val="24"/>
          <w:szCs w:val="24"/>
        </w:rPr>
        <w:t xml:space="preserve">, and further refined by Brockman </w:t>
      </w:r>
      <w:r w:rsidR="00717685" w:rsidRPr="00883E1C">
        <w:rPr>
          <w:rFonts w:ascii="Times New Roman" w:hAnsi="Times New Roman"/>
          <w:sz w:val="24"/>
          <w:szCs w:val="24"/>
        </w:rPr>
        <w:lastRenderedPageBreak/>
        <w:t>(2004</w:t>
      </w:r>
      <w:r w:rsidR="005C6D32" w:rsidRPr="00883E1C">
        <w:rPr>
          <w:rFonts w:ascii="Times New Roman" w:hAnsi="Times New Roman"/>
          <w:sz w:val="24"/>
          <w:szCs w:val="24"/>
        </w:rPr>
        <w:t>)</w:t>
      </w:r>
      <w:r w:rsidR="00C878B4" w:rsidRPr="00883E1C">
        <w:rPr>
          <w:rFonts w:ascii="Times New Roman" w:hAnsi="Times New Roman"/>
          <w:sz w:val="24"/>
          <w:szCs w:val="24"/>
        </w:rPr>
        <w:t>,</w:t>
      </w:r>
      <w:r w:rsidR="00F623BB" w:rsidRPr="00883E1C">
        <w:rPr>
          <w:rFonts w:ascii="Times New Roman" w:hAnsi="Times New Roman"/>
          <w:sz w:val="24"/>
          <w:szCs w:val="24"/>
        </w:rPr>
        <w:t xml:space="preserve"> to examine the enforcement of complaints by the</w:t>
      </w:r>
      <w:r w:rsidR="00955297" w:rsidRPr="00883E1C">
        <w:rPr>
          <w:rFonts w:ascii="Times New Roman" w:hAnsi="Times New Roman"/>
          <w:sz w:val="24"/>
          <w:szCs w:val="24"/>
        </w:rPr>
        <w:t xml:space="preserve"> IDA for six years (2002-2007) leading up to the GFC. </w:t>
      </w:r>
      <w:r w:rsidR="005B3499" w:rsidRPr="00883E1C">
        <w:rPr>
          <w:rFonts w:ascii="Times New Roman" w:hAnsi="Times New Roman"/>
          <w:sz w:val="24"/>
          <w:szCs w:val="24"/>
        </w:rPr>
        <w:t>Brockman and McEwen (1990</w:t>
      </w:r>
      <w:r w:rsidR="00626851" w:rsidRPr="00883E1C">
        <w:rPr>
          <w:rFonts w:ascii="Times New Roman" w:hAnsi="Times New Roman"/>
          <w:sz w:val="24"/>
          <w:szCs w:val="24"/>
        </w:rPr>
        <w:t>)</w:t>
      </w:r>
      <w:r w:rsidR="005B3499" w:rsidRPr="00883E1C">
        <w:rPr>
          <w:rFonts w:ascii="Times New Roman" w:hAnsi="Times New Roman"/>
          <w:sz w:val="24"/>
          <w:szCs w:val="24"/>
        </w:rPr>
        <w:t xml:space="preserve"> and Brockman (2004)</w:t>
      </w:r>
      <w:r w:rsidR="00626851" w:rsidRPr="00883E1C">
        <w:rPr>
          <w:rFonts w:ascii="Times New Roman" w:hAnsi="Times New Roman"/>
          <w:sz w:val="24"/>
          <w:szCs w:val="24"/>
        </w:rPr>
        <w:t xml:space="preserve"> modif</w:t>
      </w:r>
      <w:r w:rsidR="00895A9B" w:rsidRPr="00883E1C">
        <w:rPr>
          <w:rFonts w:ascii="Times New Roman" w:hAnsi="Times New Roman"/>
          <w:sz w:val="24"/>
          <w:szCs w:val="24"/>
        </w:rPr>
        <w:t>ied</w:t>
      </w:r>
      <w:r w:rsidR="00626851" w:rsidRPr="00883E1C">
        <w:rPr>
          <w:rFonts w:ascii="Times New Roman" w:hAnsi="Times New Roman"/>
          <w:sz w:val="24"/>
          <w:szCs w:val="24"/>
        </w:rPr>
        <w:t xml:space="preserve"> the crime funnel that was </w:t>
      </w:r>
      <w:r w:rsidR="00DE6AA4" w:rsidRPr="00883E1C">
        <w:rPr>
          <w:rFonts w:ascii="Times New Roman" w:hAnsi="Times New Roman"/>
          <w:sz w:val="24"/>
          <w:szCs w:val="24"/>
        </w:rPr>
        <w:t xml:space="preserve">initially </w:t>
      </w:r>
      <w:r w:rsidR="00626851" w:rsidRPr="00883E1C">
        <w:rPr>
          <w:rFonts w:ascii="Times New Roman" w:hAnsi="Times New Roman"/>
          <w:sz w:val="24"/>
          <w:szCs w:val="24"/>
        </w:rPr>
        <w:t>developed</w:t>
      </w:r>
      <w:r w:rsidR="00895A9B" w:rsidRPr="00883E1C">
        <w:rPr>
          <w:rFonts w:ascii="Times New Roman" w:hAnsi="Times New Roman"/>
          <w:sz w:val="24"/>
          <w:szCs w:val="24"/>
        </w:rPr>
        <w:t xml:space="preserve"> in order</w:t>
      </w:r>
      <w:r w:rsidR="00626851" w:rsidRPr="00883E1C">
        <w:rPr>
          <w:rFonts w:ascii="Times New Roman" w:hAnsi="Times New Roman"/>
          <w:sz w:val="24"/>
          <w:szCs w:val="24"/>
        </w:rPr>
        <w:t xml:space="preserve"> to show how the number of cases involving street crime</w:t>
      </w:r>
      <w:r w:rsidR="00895A9B" w:rsidRPr="00883E1C">
        <w:rPr>
          <w:rFonts w:ascii="Times New Roman" w:hAnsi="Times New Roman"/>
          <w:sz w:val="24"/>
          <w:szCs w:val="24"/>
        </w:rPr>
        <w:t>s</w:t>
      </w:r>
      <w:r w:rsidR="00626851" w:rsidRPr="00883E1C">
        <w:rPr>
          <w:rFonts w:ascii="Times New Roman" w:hAnsi="Times New Roman"/>
          <w:sz w:val="24"/>
          <w:szCs w:val="24"/>
        </w:rPr>
        <w:t xml:space="preserve"> shr</w:t>
      </w:r>
      <w:r w:rsidR="00895A9B" w:rsidRPr="00883E1C">
        <w:rPr>
          <w:rFonts w:ascii="Times New Roman" w:hAnsi="Times New Roman"/>
          <w:sz w:val="24"/>
          <w:szCs w:val="24"/>
        </w:rPr>
        <w:t>ank</w:t>
      </w:r>
      <w:r w:rsidR="00626851" w:rsidRPr="00883E1C">
        <w:rPr>
          <w:rFonts w:ascii="Times New Roman" w:hAnsi="Times New Roman"/>
          <w:sz w:val="24"/>
          <w:szCs w:val="24"/>
        </w:rPr>
        <w:t xml:space="preserve"> as they </w:t>
      </w:r>
      <w:r w:rsidR="00895A9B" w:rsidRPr="00883E1C">
        <w:rPr>
          <w:rFonts w:ascii="Times New Roman" w:hAnsi="Times New Roman"/>
          <w:sz w:val="24"/>
          <w:szCs w:val="24"/>
        </w:rPr>
        <w:t>were</w:t>
      </w:r>
      <w:r w:rsidR="00626851" w:rsidRPr="00883E1C">
        <w:rPr>
          <w:rFonts w:ascii="Times New Roman" w:hAnsi="Times New Roman"/>
          <w:sz w:val="24"/>
          <w:szCs w:val="24"/>
        </w:rPr>
        <w:t xml:space="preserve"> processed from arrest to sentencing through the criminal justice system</w:t>
      </w:r>
      <w:r w:rsidR="000C64EF" w:rsidRPr="00883E1C">
        <w:rPr>
          <w:rFonts w:ascii="Times New Roman" w:hAnsi="Times New Roman"/>
          <w:sz w:val="24"/>
          <w:szCs w:val="24"/>
        </w:rPr>
        <w:t xml:space="preserve"> (CJS</w:t>
      </w:r>
      <w:r w:rsidR="007055FD" w:rsidRPr="00883E1C">
        <w:rPr>
          <w:rFonts w:ascii="Times New Roman" w:hAnsi="Times New Roman"/>
          <w:sz w:val="24"/>
          <w:szCs w:val="24"/>
        </w:rPr>
        <w:t>)</w:t>
      </w:r>
      <w:r w:rsidR="00626851" w:rsidRPr="00883E1C">
        <w:rPr>
          <w:rFonts w:ascii="Times New Roman" w:hAnsi="Times New Roman"/>
          <w:sz w:val="24"/>
          <w:szCs w:val="24"/>
        </w:rPr>
        <w:t>, and appl</w:t>
      </w:r>
      <w:r w:rsidR="00895A9B" w:rsidRPr="00883E1C">
        <w:rPr>
          <w:rFonts w:ascii="Times New Roman" w:hAnsi="Times New Roman"/>
          <w:sz w:val="24"/>
          <w:szCs w:val="24"/>
        </w:rPr>
        <w:t>ied</w:t>
      </w:r>
      <w:r w:rsidR="00626851" w:rsidRPr="00883E1C">
        <w:rPr>
          <w:rFonts w:ascii="Times New Roman" w:hAnsi="Times New Roman"/>
          <w:sz w:val="24"/>
          <w:szCs w:val="24"/>
        </w:rPr>
        <w:t xml:space="preserve"> it to examine the disposition of complaints by The Law Society of British Columbia.  </w:t>
      </w:r>
      <w:bookmarkStart w:id="8" w:name="_Toc275444217"/>
      <w:r w:rsidR="000E361E" w:rsidRPr="00883E1C">
        <w:rPr>
          <w:rFonts w:ascii="Times New Roman" w:hAnsi="Times New Roman"/>
          <w:sz w:val="24"/>
          <w:szCs w:val="24"/>
        </w:rPr>
        <w:t>Brockman and McEwen’s model of case disposition by SROs is built on three fundamental concepts: “funnel in”, “funnel out” a</w:t>
      </w:r>
      <w:r w:rsidR="00FE6E72" w:rsidRPr="00883E1C">
        <w:rPr>
          <w:rFonts w:ascii="Times New Roman" w:hAnsi="Times New Roman"/>
          <w:sz w:val="24"/>
          <w:szCs w:val="24"/>
        </w:rPr>
        <w:t>nd “funnel away” (see Brockman and McEwen</w:t>
      </w:r>
      <w:r w:rsidR="000E361E" w:rsidRPr="00883E1C">
        <w:rPr>
          <w:rFonts w:ascii="Times New Roman" w:hAnsi="Times New Roman"/>
          <w:sz w:val="24"/>
          <w:szCs w:val="24"/>
        </w:rPr>
        <w:t xml:space="preserve"> 1990; Brockman, 2004).</w:t>
      </w:r>
    </w:p>
    <w:p w:rsidR="00C107CA" w:rsidRPr="00883E1C" w:rsidRDefault="00EC14F4" w:rsidP="00F33898">
      <w:pPr>
        <w:ind w:firstLine="720"/>
        <w:rPr>
          <w:rFonts w:ascii="Times New Roman" w:hAnsi="Times New Roman"/>
          <w:sz w:val="24"/>
          <w:szCs w:val="24"/>
        </w:rPr>
      </w:pPr>
      <w:r w:rsidRPr="00883E1C">
        <w:rPr>
          <w:rFonts w:ascii="Times New Roman" w:hAnsi="Times New Roman"/>
          <w:noProof/>
          <w:sz w:val="24"/>
          <w:szCs w:val="24"/>
          <w:lang w:val="en-GB" w:eastAsia="en-GB" w:bidi="ar-SA"/>
        </w:rPr>
        <mc:AlternateContent>
          <mc:Choice Requires="wps">
            <w:drawing>
              <wp:anchor distT="0" distB="0" distL="114300" distR="114300" simplePos="0" relativeHeight="251660288" behindDoc="0" locked="0" layoutInCell="1" allowOverlap="1" wp14:anchorId="6C0F0F90" wp14:editId="18D5038C">
                <wp:simplePos x="0" y="0"/>
                <wp:positionH relativeFrom="column">
                  <wp:posOffset>3068320</wp:posOffset>
                </wp:positionH>
                <wp:positionV relativeFrom="paragraph">
                  <wp:posOffset>1538605</wp:posOffset>
                </wp:positionV>
                <wp:extent cx="45720" cy="580390"/>
                <wp:effectExtent l="19050" t="0" r="30480" b="2921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8039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41.6pt;margin-top:121.15pt;width:3.6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SrbgIAAC8FAAAOAAAAZHJzL2Uyb0RvYy54bWysVE1PGzEQvVfqf7B8L5ukQGGVDYpAVJUi&#10;QEDF2XjtZIXtccdONumv79i7WT6aU9WLZXvmzcfzG08vttawjcLQgKv4+GjEmXIS6sYtK/7z8frL&#10;GWchClcLA05VfKcCv5h9/jRtfakmsAJTK2QUxIWy9RVfxejLoghypawIR+CVI6MGtCLSEZdFjaKl&#10;6NYUk9HotGgBa48gVQh0e9UZ+SzH11rJeKt1UJGZilNtMa+Y1+e0FrOpKJco/KqRfRniH6qwonGU&#10;dAh1JaJga2z+CmUbiRBAxyMJtgCtG6lyD9TNePShm4eV8Cr3QuQEP9AU/l9YebO5Q9bUFT/lzAlL&#10;T3QFrWNzRGjZaeKn9aEktwd/h6nD4BcgXwIZineWdAi9z1ajTb7UH9tmsncD2WobmaTL45NvE3oR&#10;SZaTs9HX8/wWhSj3WI8hfldgWdpUvKaqclGZZrFZhJhKEOXer6+nKyEXE3dGpSqMu1eaeqSkk4zO&#10;6lKXBtlGkC6ElMrFk9QrxcveCaYbYwbg+BDQxHEP6n0TTGXVDcDRIeD7jAMiZwUXB7BtHOChAPXL&#10;kLnz33ff9Zzaf4Z6R0+L0Gk+eHndEJMLEeKdQBI5kU+DG29p0QbaikO/42wF+PvQffIn7ZGVs5aG&#10;puLh11qg4sz8cKTK8/HxcZqyfOgfGN9ant9a3NpeAvE/pi/Cy7wlMEaz32oE+0TzPU9ZySScpNwV&#10;lxH3h8vYDTP9EFLN59mNJsuLuHAPXqbgidUkksftk0DfyymSDG9gP2Ci/CCozjchHczXEXST1fbK&#10;a883TWUWTf+DpLF/e85er//c7A8AAAD//wMAUEsDBBQABgAIAAAAIQDydyi14wAAAAsBAAAPAAAA&#10;ZHJzL2Rvd25yZXYueG1sTI/LTsMwEEX3SPyDNUjsqNM4hTaNUyEkkCqhSrR8gBNPk0A8DrHzoF+P&#10;WcFydI/uPZPtZtOyEXvXWJKwXETAkEqrG6okvJ+e79bAnFekVWsJJXyjg11+fZWpVNuJ3nA8+oqF&#10;EnKpklB736Wcu7JGo9zCdkghO9veKB/OvuK6V1MoNy2Po+ieG9VQWKhVh081lp/HwUgwxeX1ZTWM&#10;B7/cX5r6Y9qfNl8rKW9v5sctMI+z/4PhVz+oQx6cCjuQdqyVkKxFHFAJcRILYIFINlECrJAghHgA&#10;nmf8/w/5DwAAAP//AwBQSwECLQAUAAYACAAAACEAtoM4kv4AAADhAQAAEwAAAAAAAAAAAAAAAAAA&#10;AAAAW0NvbnRlbnRfVHlwZXNdLnhtbFBLAQItABQABgAIAAAAIQA4/SH/1gAAAJQBAAALAAAAAAAA&#10;AAAAAAAAAC8BAABfcmVscy8ucmVsc1BLAQItABQABgAIAAAAIQDxc7SrbgIAAC8FAAAOAAAAAAAA&#10;AAAAAAAAAC4CAABkcnMvZTJvRG9jLnhtbFBLAQItABQABgAIAAAAIQDydyi14wAAAAsBAAAPAAAA&#10;AAAAAAAAAAAAAMgEAABkcnMvZG93bnJldi54bWxQSwUGAAAAAAQABADzAAAA2AUAAAAA&#10;" adj="20749" fillcolor="white [3201]" strokecolor="#4bacc6 [3208]" strokeweight="2pt">
                <v:path arrowok="t"/>
              </v:shape>
            </w:pict>
          </mc:Fallback>
        </mc:AlternateContent>
      </w:r>
      <w:r w:rsidRPr="00883E1C">
        <w:rPr>
          <w:rFonts w:ascii="Times New Roman" w:hAnsi="Times New Roman"/>
          <w:noProof/>
          <w:sz w:val="24"/>
          <w:szCs w:val="24"/>
          <w:lang w:val="en-GB" w:eastAsia="en-GB" w:bidi="ar-SA"/>
        </w:rPr>
        <mc:AlternateContent>
          <mc:Choice Requires="wps">
            <w:drawing>
              <wp:anchor distT="0" distB="0" distL="114300" distR="114300" simplePos="0" relativeHeight="251659264" behindDoc="0" locked="0" layoutInCell="1" allowOverlap="1" wp14:anchorId="3EF5CBA1" wp14:editId="7691BB0C">
                <wp:simplePos x="0" y="0"/>
                <wp:positionH relativeFrom="column">
                  <wp:posOffset>3068320</wp:posOffset>
                </wp:positionH>
                <wp:positionV relativeFrom="paragraph">
                  <wp:posOffset>668020</wp:posOffset>
                </wp:positionV>
                <wp:extent cx="45720" cy="553720"/>
                <wp:effectExtent l="19050" t="0" r="30480" b="3683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372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241.6pt;margin-top:52.6pt;width:3.6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ayaAIAAC8FAAAOAAAAZHJzL2Uyb0RvYy54bWysVNtuGyEQfa/Uf0C8N2u7cS+rrCPLUapK&#10;VmI1qfJMWLBXAYYO2Gv36zuw682lfqr6goA5Z26c4eJybw3bKQwNuIqPz0acKSehbty64j/vrz98&#10;4SxE4WphwKmKH1Tgl7P37y5aX6oJbMDUChk5caFsfcU3MfqyKILcKCvCGXjlyKgBrYh0xHVRo2jJ&#10;uzXFZDT6VLSAtUeQKgS6veqMfJb9a61kvNU6qMhMxSm3mFfM62Nai9mFKNco/KaRfRriH7KwonEU&#10;dHB1JaJgW2z+cmUbiRBAxzMJtgCtG6lyDVTNePSmmruN8CrXQs0JfmhT+H9u5c1uhaypKz7hzAlL&#10;T3QFrWNzRGjZJPWn9aEk2J1fYaow+CXIp0CG4pUlHUKP2Wu0CUv1sX1u9mFottpHJunyfPp5Qi8i&#10;yTKdfkz75FKUR67HEL8psCxtKl5TVjmp3GaxW4bY4Y+4Pp8uhZxMPBiVsjDuh9JUIwWdZHZWl1oY&#10;ZDtBuhBSKhenffyMTjTdGDMQx6eIJo57Uo9NNJVVNxBHp4ivIw6MHBVcHMi2cYCnHNRPQ+QOf6y+&#10;qzmV/wj1gZ4WodN88PK6oU4uRYgrgSRyaj4NbrylRRtoKw79jrMN4O9T9wlP2iMrZy0NTcXDr61A&#10;xZn57kiVX8fn52nK8qF/YHxpeXxpcVu7AOr/mL4IL/OWyBjNcasR7APN9zxFJZNwkmJXXEY8Hhax&#10;G2b6IaSazzOMJsuLuHR3XibnqatJJPf7B4G+l1MkGd7AccBE+UZQHTYxHcy3EXST1fbc177fNJVZ&#10;tP0Pksb+5Tmjnv+52R8AAAD//wMAUEsDBBQABgAIAAAAIQDt/ZbA4QAAAAsBAAAPAAAAZHJzL2Rv&#10;d25yZXYueG1sTI9BT8MwDIXvSPyHyEjcWEIp01aaTogJCWmHaWMHjlnjtR2NUzXp1vHrMadxs/2e&#10;nr+XL0bXihP2ofGk4XGiQCCV3jZUadh9vj/MQIRoyJrWE2q4YIBFcXuTm8z6M23wtI2V4BAKmdFQ&#10;x9hlUoayRmfCxHdIrB1870zkta+k7c2Zw10rE6Wm0pmG+ENtOnyrsfzeDk7DcjmNyUrG3Wb9445f&#10;l5W36+FD6/u78fUFRMQxXs3wh8/oUDDT3g9kg2g1pLOnhK0sqGce2JHOVQpiz5d5koIscvm/Q/EL&#10;AAD//wMAUEsBAi0AFAAGAAgAAAAhALaDOJL+AAAA4QEAABMAAAAAAAAAAAAAAAAAAAAAAFtDb250&#10;ZW50X1R5cGVzXS54bWxQSwECLQAUAAYACAAAACEAOP0h/9YAAACUAQAACwAAAAAAAAAAAAAAAAAv&#10;AQAAX3JlbHMvLnJlbHNQSwECLQAUAAYACAAAACEATXcmsmgCAAAvBQAADgAAAAAAAAAAAAAAAAAu&#10;AgAAZHJzL2Uyb0RvYy54bWxQSwECLQAUAAYACAAAACEA7f2WwOEAAAALAQAADwAAAAAAAAAAAAAA&#10;AADCBAAAZHJzL2Rvd25yZXYueG1sUEsFBgAAAAAEAAQA8wAAANAFAAAAAA==&#10;" adj="20708" fillcolor="white [3201]" strokecolor="#4bacc6 [3208]" strokeweight="2pt">
                <v:path arrowok="t"/>
              </v:shape>
            </w:pict>
          </mc:Fallback>
        </mc:AlternateContent>
      </w:r>
      <w:r w:rsidR="00C107CA" w:rsidRPr="00883E1C">
        <w:rPr>
          <w:rFonts w:ascii="Times New Roman" w:hAnsi="Times New Roman"/>
          <w:noProof/>
          <w:sz w:val="24"/>
          <w:szCs w:val="24"/>
          <w:lang w:val="en-GB" w:eastAsia="en-GB" w:bidi="ar-SA"/>
        </w:rPr>
        <w:drawing>
          <wp:inline distT="0" distB="0" distL="0" distR="0" wp14:anchorId="4FC1BA36" wp14:editId="56119763">
            <wp:extent cx="3999230" cy="2712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9230" cy="2712720"/>
                    </a:xfrm>
                    <a:prstGeom prst="rect">
                      <a:avLst/>
                    </a:prstGeom>
                    <a:noFill/>
                  </pic:spPr>
                </pic:pic>
              </a:graphicData>
            </a:graphic>
          </wp:inline>
        </w:drawing>
      </w:r>
    </w:p>
    <w:p w:rsidR="00C107CA" w:rsidRPr="00883E1C" w:rsidRDefault="00C107CA" w:rsidP="00F33898">
      <w:pPr>
        <w:ind w:firstLine="720"/>
        <w:rPr>
          <w:rFonts w:ascii="Times New Roman" w:hAnsi="Times New Roman"/>
          <w:b/>
          <w:sz w:val="24"/>
          <w:szCs w:val="24"/>
        </w:rPr>
      </w:pPr>
      <w:r w:rsidRPr="00883E1C">
        <w:rPr>
          <w:rFonts w:ascii="Times New Roman" w:hAnsi="Times New Roman"/>
          <w:b/>
          <w:sz w:val="24"/>
          <w:szCs w:val="24"/>
        </w:rPr>
        <w:t>Figure 1:</w:t>
      </w:r>
      <w:r w:rsidRPr="00883E1C">
        <w:rPr>
          <w:rFonts w:ascii="Times New Roman" w:hAnsi="Times New Roman"/>
          <w:b/>
          <w:sz w:val="24"/>
          <w:szCs w:val="24"/>
        </w:rPr>
        <w:tab/>
        <w:t>The SRO Misconduct Funnel</w:t>
      </w:r>
    </w:p>
    <w:p w:rsidR="00CB7684" w:rsidRPr="00883E1C" w:rsidRDefault="00955297" w:rsidP="00F33898">
      <w:pPr>
        <w:ind w:firstLine="720"/>
        <w:rPr>
          <w:rFonts w:ascii="Times New Roman" w:hAnsi="Times New Roman"/>
          <w:sz w:val="24"/>
          <w:szCs w:val="24"/>
        </w:rPr>
      </w:pPr>
      <w:r w:rsidRPr="00883E1C">
        <w:rPr>
          <w:rFonts w:ascii="Times New Roman" w:hAnsi="Times New Roman"/>
          <w:sz w:val="24"/>
          <w:szCs w:val="24"/>
        </w:rPr>
        <w:t xml:space="preserve">As can be seen in </w:t>
      </w:r>
      <w:r w:rsidR="00FB31DF" w:rsidRPr="00883E1C">
        <w:rPr>
          <w:rFonts w:ascii="Times New Roman" w:hAnsi="Times New Roman"/>
          <w:sz w:val="24"/>
          <w:szCs w:val="24"/>
        </w:rPr>
        <w:t>Fig.</w:t>
      </w:r>
      <w:r w:rsidR="00C107CA" w:rsidRPr="00883E1C">
        <w:rPr>
          <w:rFonts w:ascii="Times New Roman" w:hAnsi="Times New Roman"/>
          <w:sz w:val="24"/>
          <w:szCs w:val="24"/>
        </w:rPr>
        <w:t xml:space="preserve"> 1</w:t>
      </w:r>
      <w:r w:rsidRPr="00883E1C">
        <w:rPr>
          <w:rFonts w:ascii="Times New Roman" w:hAnsi="Times New Roman"/>
          <w:sz w:val="24"/>
          <w:szCs w:val="24"/>
        </w:rPr>
        <w:t>, “f</w:t>
      </w:r>
      <w:r w:rsidR="000E361E" w:rsidRPr="00883E1C">
        <w:rPr>
          <w:rFonts w:ascii="Times New Roman" w:hAnsi="Times New Roman"/>
          <w:sz w:val="24"/>
          <w:szCs w:val="24"/>
        </w:rPr>
        <w:t xml:space="preserve">unnel in” tests the claim made by SROs, “that they enforce standards which would not otherwise be enforced” by other government agencies (Brockman </w:t>
      </w:r>
      <w:r w:rsidR="00BD4291" w:rsidRPr="00883E1C">
        <w:rPr>
          <w:rFonts w:ascii="Times New Roman" w:hAnsi="Times New Roman"/>
          <w:sz w:val="24"/>
          <w:szCs w:val="24"/>
        </w:rPr>
        <w:t>and McEwen</w:t>
      </w:r>
      <w:r w:rsidR="000E361E" w:rsidRPr="00883E1C">
        <w:rPr>
          <w:rFonts w:ascii="Times New Roman" w:hAnsi="Times New Roman"/>
          <w:sz w:val="24"/>
          <w:szCs w:val="24"/>
        </w:rPr>
        <w:t>, 1990: 3). At the center of this p</w:t>
      </w:r>
      <w:r w:rsidR="00117DEE" w:rsidRPr="00883E1C">
        <w:rPr>
          <w:rFonts w:ascii="Times New Roman" w:hAnsi="Times New Roman"/>
          <w:sz w:val="24"/>
          <w:szCs w:val="24"/>
        </w:rPr>
        <w:t xml:space="preserve">remise is the notion that SROs </w:t>
      </w:r>
      <w:r w:rsidR="000E361E" w:rsidRPr="00883E1C">
        <w:rPr>
          <w:rFonts w:ascii="Times New Roman" w:hAnsi="Times New Roman"/>
          <w:sz w:val="24"/>
          <w:szCs w:val="24"/>
        </w:rPr>
        <w:t xml:space="preserve">scrutinize a wider variety of behaviours </w:t>
      </w:r>
      <w:r w:rsidR="00606E35" w:rsidRPr="00883E1C">
        <w:rPr>
          <w:rFonts w:ascii="Times New Roman" w:hAnsi="Times New Roman"/>
          <w:sz w:val="24"/>
          <w:szCs w:val="24"/>
        </w:rPr>
        <w:t>and ensure</w:t>
      </w:r>
      <w:r w:rsidR="000E361E" w:rsidRPr="00883E1C">
        <w:rPr>
          <w:rFonts w:ascii="Times New Roman" w:hAnsi="Times New Roman"/>
          <w:sz w:val="24"/>
          <w:szCs w:val="24"/>
        </w:rPr>
        <w:t xml:space="preserve"> a higher standard </w:t>
      </w:r>
      <w:r w:rsidR="00117DEE" w:rsidRPr="00883E1C">
        <w:rPr>
          <w:rFonts w:ascii="Times New Roman" w:hAnsi="Times New Roman"/>
          <w:sz w:val="24"/>
          <w:szCs w:val="24"/>
        </w:rPr>
        <w:t>than government regulators</w:t>
      </w:r>
      <w:r w:rsidR="000E361E" w:rsidRPr="00883E1C">
        <w:rPr>
          <w:rFonts w:ascii="Times New Roman" w:hAnsi="Times New Roman"/>
          <w:sz w:val="24"/>
          <w:szCs w:val="24"/>
        </w:rPr>
        <w:t xml:space="preserve"> (p. 3). </w:t>
      </w:r>
      <w:r w:rsidR="00BD4291" w:rsidRPr="00883E1C">
        <w:rPr>
          <w:rFonts w:ascii="Times New Roman" w:hAnsi="Times New Roman"/>
          <w:sz w:val="24"/>
          <w:szCs w:val="24"/>
        </w:rPr>
        <w:t xml:space="preserve">“‘Funnel out’ </w:t>
      </w:r>
      <w:r w:rsidR="000E361E" w:rsidRPr="00883E1C">
        <w:rPr>
          <w:rFonts w:ascii="Times New Roman" w:hAnsi="Times New Roman"/>
          <w:sz w:val="24"/>
          <w:szCs w:val="24"/>
        </w:rPr>
        <w:t xml:space="preserve">looks at how offenders might escape disciplinary action once they enter the system, and the </w:t>
      </w:r>
      <w:r w:rsidR="000E361E" w:rsidRPr="00883E1C">
        <w:rPr>
          <w:rFonts w:ascii="Times New Roman" w:hAnsi="Times New Roman"/>
          <w:sz w:val="24"/>
          <w:szCs w:val="24"/>
        </w:rPr>
        <w:lastRenderedPageBreak/>
        <w:t xml:space="preserve">potential leniency of penalties imposed on those who are formally sanctioned” (Brockman, 2004: 73). </w:t>
      </w:r>
      <w:r w:rsidR="00C27081" w:rsidRPr="00883E1C">
        <w:rPr>
          <w:rFonts w:ascii="Times New Roman" w:hAnsi="Times New Roman"/>
          <w:sz w:val="24"/>
          <w:szCs w:val="24"/>
        </w:rPr>
        <w:t xml:space="preserve">The preoccupation of SROs to protect their own, “may function to keep their members from coming into contact with the </w:t>
      </w:r>
      <w:r w:rsidR="007055FD" w:rsidRPr="00883E1C">
        <w:rPr>
          <w:rFonts w:ascii="Times New Roman" w:hAnsi="Times New Roman"/>
          <w:sz w:val="24"/>
          <w:szCs w:val="24"/>
        </w:rPr>
        <w:t>CJS</w:t>
      </w:r>
      <w:r w:rsidR="00C27081" w:rsidRPr="00883E1C">
        <w:rPr>
          <w:rFonts w:ascii="Times New Roman" w:hAnsi="Times New Roman"/>
          <w:sz w:val="24"/>
          <w:szCs w:val="24"/>
        </w:rPr>
        <w:t xml:space="preserve"> when criminal offences have been committed” (</w:t>
      </w:r>
      <w:r w:rsidR="00855B26" w:rsidRPr="00883E1C">
        <w:rPr>
          <w:rFonts w:ascii="Times New Roman" w:hAnsi="Times New Roman"/>
          <w:sz w:val="24"/>
          <w:szCs w:val="24"/>
        </w:rPr>
        <w:t>Brockman and</w:t>
      </w:r>
      <w:r w:rsidR="00606E35" w:rsidRPr="00883E1C">
        <w:rPr>
          <w:rFonts w:ascii="Times New Roman" w:hAnsi="Times New Roman"/>
          <w:sz w:val="24"/>
          <w:szCs w:val="24"/>
        </w:rPr>
        <w:t xml:space="preserve"> McEwen, 1990:</w:t>
      </w:r>
      <w:r w:rsidR="00C27081" w:rsidRPr="00883E1C">
        <w:rPr>
          <w:rFonts w:ascii="Times New Roman" w:hAnsi="Times New Roman"/>
          <w:sz w:val="24"/>
          <w:szCs w:val="24"/>
        </w:rPr>
        <w:t xml:space="preserve"> 4). This charge alleges that “SROs ‘funnel away’ individuals from the </w:t>
      </w:r>
      <w:r w:rsidR="007055FD" w:rsidRPr="00883E1C">
        <w:rPr>
          <w:rFonts w:ascii="Times New Roman" w:hAnsi="Times New Roman"/>
          <w:sz w:val="24"/>
          <w:szCs w:val="24"/>
        </w:rPr>
        <w:t xml:space="preserve">CJS </w:t>
      </w:r>
      <w:r w:rsidR="00C27081" w:rsidRPr="00883E1C">
        <w:rPr>
          <w:rFonts w:ascii="Times New Roman" w:hAnsi="Times New Roman"/>
          <w:sz w:val="24"/>
          <w:szCs w:val="24"/>
        </w:rPr>
        <w:t>who might otherwise come into contact with it” (p. 4).</w:t>
      </w:r>
      <w:r w:rsidR="005B3499" w:rsidRPr="00883E1C">
        <w:rPr>
          <w:rFonts w:ascii="Times New Roman" w:hAnsi="Times New Roman"/>
          <w:sz w:val="24"/>
          <w:szCs w:val="24"/>
        </w:rPr>
        <w:t xml:space="preserve"> </w:t>
      </w:r>
      <w:r w:rsidR="00FE54A5" w:rsidRPr="00883E1C">
        <w:rPr>
          <w:rFonts w:ascii="Times New Roman" w:hAnsi="Times New Roman"/>
          <w:sz w:val="24"/>
          <w:szCs w:val="24"/>
        </w:rPr>
        <w:t>By applying the concept of the r</w:t>
      </w:r>
      <w:r w:rsidR="006F22E7" w:rsidRPr="00883E1C">
        <w:rPr>
          <w:rFonts w:ascii="Times New Roman" w:hAnsi="Times New Roman"/>
          <w:sz w:val="24"/>
          <w:szCs w:val="24"/>
        </w:rPr>
        <w:t>egulatory “funnel” to the</w:t>
      </w:r>
      <w:r w:rsidR="00FE54A5" w:rsidRPr="00883E1C">
        <w:rPr>
          <w:rFonts w:ascii="Times New Roman" w:hAnsi="Times New Roman"/>
          <w:sz w:val="24"/>
          <w:szCs w:val="24"/>
        </w:rPr>
        <w:t xml:space="preserve"> context of professional self-regulation</w:t>
      </w:r>
      <w:r w:rsidR="00B47CB4" w:rsidRPr="00883E1C">
        <w:rPr>
          <w:rFonts w:ascii="Times New Roman" w:hAnsi="Times New Roman"/>
          <w:sz w:val="24"/>
          <w:szCs w:val="24"/>
        </w:rPr>
        <w:t xml:space="preserve">, </w:t>
      </w:r>
      <w:r w:rsidR="00A93926" w:rsidRPr="00883E1C">
        <w:rPr>
          <w:rFonts w:ascii="Times New Roman" w:hAnsi="Times New Roman"/>
          <w:sz w:val="24"/>
          <w:szCs w:val="24"/>
        </w:rPr>
        <w:t xml:space="preserve">this </w:t>
      </w:r>
      <w:r w:rsidR="0086483D" w:rsidRPr="00883E1C">
        <w:rPr>
          <w:rFonts w:ascii="Times New Roman" w:hAnsi="Times New Roman"/>
          <w:sz w:val="24"/>
          <w:szCs w:val="24"/>
        </w:rPr>
        <w:t>study</w:t>
      </w:r>
      <w:r w:rsidR="00A93926" w:rsidRPr="00883E1C">
        <w:rPr>
          <w:rFonts w:ascii="Times New Roman" w:hAnsi="Times New Roman"/>
          <w:sz w:val="24"/>
          <w:szCs w:val="24"/>
        </w:rPr>
        <w:t xml:space="preserve"> </w:t>
      </w:r>
      <w:r w:rsidR="0086483D" w:rsidRPr="00883E1C">
        <w:rPr>
          <w:rFonts w:ascii="Times New Roman" w:hAnsi="Times New Roman"/>
          <w:sz w:val="24"/>
          <w:szCs w:val="24"/>
        </w:rPr>
        <w:t>will examine the enforcement practices of the IDA from 2002 to 2007.</w:t>
      </w:r>
    </w:p>
    <w:p w:rsidR="009A22B9" w:rsidRPr="00883E1C" w:rsidRDefault="00C248C2" w:rsidP="00F33898">
      <w:pPr>
        <w:ind w:firstLine="720"/>
        <w:rPr>
          <w:rFonts w:ascii="Times New Roman" w:hAnsi="Times New Roman"/>
          <w:sz w:val="24"/>
          <w:szCs w:val="24"/>
        </w:rPr>
      </w:pPr>
      <w:r w:rsidRPr="00883E1C">
        <w:rPr>
          <w:rFonts w:ascii="Times New Roman" w:hAnsi="Times New Roman"/>
          <w:sz w:val="24"/>
          <w:szCs w:val="24"/>
        </w:rPr>
        <w:t xml:space="preserve">It </w:t>
      </w:r>
      <w:r w:rsidR="00CB7684" w:rsidRPr="00883E1C">
        <w:rPr>
          <w:rFonts w:ascii="Times New Roman" w:hAnsi="Times New Roman"/>
          <w:sz w:val="24"/>
          <w:szCs w:val="24"/>
        </w:rPr>
        <w:t>seems rather obvious</w:t>
      </w:r>
      <w:r w:rsidRPr="00883E1C">
        <w:rPr>
          <w:rFonts w:ascii="Times New Roman" w:hAnsi="Times New Roman"/>
          <w:sz w:val="24"/>
          <w:szCs w:val="24"/>
        </w:rPr>
        <w:t xml:space="preserve"> that SROs will track more complaints than coercive state led enforcement (see Brockman</w:t>
      </w:r>
      <w:r w:rsidR="004F278B" w:rsidRPr="00883E1C">
        <w:rPr>
          <w:rFonts w:ascii="Times New Roman" w:hAnsi="Times New Roman"/>
          <w:sz w:val="24"/>
          <w:szCs w:val="24"/>
        </w:rPr>
        <w:t xml:space="preserve"> &amp; McEwen</w:t>
      </w:r>
      <w:r w:rsidRPr="00883E1C">
        <w:rPr>
          <w:rFonts w:ascii="Times New Roman" w:hAnsi="Times New Roman"/>
          <w:sz w:val="24"/>
          <w:szCs w:val="24"/>
        </w:rPr>
        <w:t xml:space="preserve">, 1998; </w:t>
      </w:r>
      <w:r w:rsidR="004F278B" w:rsidRPr="00883E1C">
        <w:rPr>
          <w:rFonts w:ascii="Times New Roman" w:hAnsi="Times New Roman"/>
          <w:sz w:val="24"/>
          <w:szCs w:val="24"/>
        </w:rPr>
        <w:t xml:space="preserve">Brockman, </w:t>
      </w:r>
      <w:r w:rsidRPr="00883E1C">
        <w:rPr>
          <w:rFonts w:ascii="Times New Roman" w:hAnsi="Times New Roman"/>
          <w:sz w:val="24"/>
          <w:szCs w:val="24"/>
        </w:rPr>
        <w:t>2004). The resultant effect is that SROs</w:t>
      </w:r>
      <w:r w:rsidR="00CB7684" w:rsidRPr="00883E1C">
        <w:rPr>
          <w:rFonts w:ascii="Times New Roman" w:hAnsi="Times New Roman"/>
          <w:sz w:val="24"/>
          <w:szCs w:val="24"/>
        </w:rPr>
        <w:t xml:space="preserve"> </w:t>
      </w:r>
      <w:r w:rsidR="000F30B9" w:rsidRPr="00883E1C">
        <w:rPr>
          <w:rFonts w:ascii="Times New Roman" w:hAnsi="Times New Roman"/>
          <w:sz w:val="24"/>
          <w:szCs w:val="24"/>
        </w:rPr>
        <w:t>are</w:t>
      </w:r>
      <w:r w:rsidR="00CB7684" w:rsidRPr="00883E1C">
        <w:rPr>
          <w:rFonts w:ascii="Times New Roman" w:hAnsi="Times New Roman"/>
          <w:sz w:val="24"/>
          <w:szCs w:val="24"/>
        </w:rPr>
        <w:t xml:space="preserve"> more likely to</w:t>
      </w:r>
      <w:r w:rsidRPr="00883E1C">
        <w:rPr>
          <w:rFonts w:ascii="Times New Roman" w:hAnsi="Times New Roman"/>
          <w:sz w:val="24"/>
          <w:szCs w:val="24"/>
        </w:rPr>
        <w:t xml:space="preserve"> “funnel in” more complaints than would </w:t>
      </w:r>
      <w:r w:rsidR="003D3593" w:rsidRPr="00883E1C">
        <w:rPr>
          <w:rFonts w:ascii="Times New Roman" w:hAnsi="Times New Roman"/>
          <w:sz w:val="24"/>
          <w:szCs w:val="24"/>
        </w:rPr>
        <w:t>have been</w:t>
      </w:r>
      <w:r w:rsidRPr="00883E1C">
        <w:rPr>
          <w:rFonts w:ascii="Times New Roman" w:hAnsi="Times New Roman"/>
          <w:sz w:val="24"/>
          <w:szCs w:val="24"/>
        </w:rPr>
        <w:t xml:space="preserve"> handled by the CJS.  </w:t>
      </w:r>
      <w:r w:rsidR="004F278B" w:rsidRPr="00883E1C">
        <w:rPr>
          <w:rFonts w:ascii="Times New Roman" w:hAnsi="Times New Roman"/>
          <w:sz w:val="24"/>
          <w:szCs w:val="24"/>
        </w:rPr>
        <w:t>The “funnel in” argument is simply not compelling</w:t>
      </w:r>
      <w:r w:rsidR="0017042A" w:rsidRPr="00883E1C">
        <w:rPr>
          <w:rFonts w:ascii="Times New Roman" w:hAnsi="Times New Roman"/>
          <w:sz w:val="24"/>
          <w:szCs w:val="24"/>
        </w:rPr>
        <w:t xml:space="preserve"> enough </w:t>
      </w:r>
      <w:r w:rsidR="00852AA2" w:rsidRPr="00883E1C">
        <w:rPr>
          <w:rFonts w:ascii="Times New Roman" w:hAnsi="Times New Roman"/>
          <w:sz w:val="24"/>
          <w:szCs w:val="24"/>
        </w:rPr>
        <w:t xml:space="preserve">to </w:t>
      </w:r>
      <w:r w:rsidR="0017042A" w:rsidRPr="00883E1C">
        <w:rPr>
          <w:rFonts w:ascii="Times New Roman" w:hAnsi="Times New Roman"/>
          <w:sz w:val="24"/>
          <w:szCs w:val="24"/>
        </w:rPr>
        <w:t>justify the</w:t>
      </w:r>
      <w:r w:rsidR="00852AA2" w:rsidRPr="00883E1C">
        <w:rPr>
          <w:rFonts w:ascii="Times New Roman" w:hAnsi="Times New Roman"/>
          <w:sz w:val="24"/>
          <w:szCs w:val="24"/>
        </w:rPr>
        <w:t xml:space="preserve"> call for industry self</w:t>
      </w:r>
      <w:r w:rsidR="004F278B" w:rsidRPr="00883E1C">
        <w:rPr>
          <w:rFonts w:ascii="Times New Roman" w:hAnsi="Times New Roman"/>
          <w:sz w:val="24"/>
          <w:szCs w:val="24"/>
        </w:rPr>
        <w:t>-regulation (McCaffrey &amp; Hart, 1998; Brockman, 2004).</w:t>
      </w:r>
      <w:r w:rsidR="0017042A" w:rsidRPr="00883E1C">
        <w:rPr>
          <w:rFonts w:ascii="Times New Roman" w:hAnsi="Times New Roman"/>
          <w:sz w:val="24"/>
          <w:szCs w:val="24"/>
        </w:rPr>
        <w:t xml:space="preserve"> </w:t>
      </w:r>
      <w:r w:rsidR="00852AA2" w:rsidRPr="00883E1C">
        <w:rPr>
          <w:rFonts w:ascii="Times New Roman" w:hAnsi="Times New Roman"/>
          <w:sz w:val="24"/>
          <w:szCs w:val="24"/>
        </w:rPr>
        <w:t xml:space="preserve"> Perhaps of more importance, is</w:t>
      </w:r>
      <w:r w:rsidR="0017042A" w:rsidRPr="00883E1C">
        <w:rPr>
          <w:rFonts w:ascii="Times New Roman" w:hAnsi="Times New Roman"/>
          <w:sz w:val="24"/>
          <w:szCs w:val="24"/>
        </w:rPr>
        <w:t xml:space="preserve"> the "funnel out" and “funnel away” </w:t>
      </w:r>
      <w:r w:rsidR="00852AA2" w:rsidRPr="00883E1C">
        <w:rPr>
          <w:rFonts w:ascii="Times New Roman" w:hAnsi="Times New Roman"/>
          <w:sz w:val="24"/>
          <w:szCs w:val="24"/>
        </w:rPr>
        <w:t>concepts</w:t>
      </w:r>
      <w:r w:rsidR="000F30B9" w:rsidRPr="00883E1C">
        <w:rPr>
          <w:rFonts w:ascii="Times New Roman" w:hAnsi="Times New Roman"/>
          <w:sz w:val="24"/>
          <w:szCs w:val="24"/>
        </w:rPr>
        <w:t>,</w:t>
      </w:r>
      <w:r w:rsidR="00852AA2" w:rsidRPr="00883E1C">
        <w:rPr>
          <w:rFonts w:ascii="Times New Roman" w:hAnsi="Times New Roman"/>
          <w:sz w:val="24"/>
          <w:szCs w:val="24"/>
        </w:rPr>
        <w:t xml:space="preserve"> where cases </w:t>
      </w:r>
      <w:r w:rsidR="007D3C57" w:rsidRPr="00883E1C">
        <w:rPr>
          <w:rFonts w:ascii="Times New Roman" w:hAnsi="Times New Roman"/>
          <w:sz w:val="24"/>
          <w:szCs w:val="24"/>
        </w:rPr>
        <w:t>were</w:t>
      </w:r>
      <w:r w:rsidR="00852AA2" w:rsidRPr="00883E1C">
        <w:rPr>
          <w:rFonts w:ascii="Times New Roman" w:hAnsi="Times New Roman"/>
          <w:sz w:val="24"/>
          <w:szCs w:val="24"/>
        </w:rPr>
        <w:t xml:space="preserve"> dealt with in a manner that result</w:t>
      </w:r>
      <w:r w:rsidR="007D3C57" w:rsidRPr="00883E1C">
        <w:rPr>
          <w:rFonts w:ascii="Times New Roman" w:hAnsi="Times New Roman"/>
          <w:sz w:val="24"/>
          <w:szCs w:val="24"/>
        </w:rPr>
        <w:t>ed</w:t>
      </w:r>
      <w:r w:rsidR="00852AA2" w:rsidRPr="00883E1C">
        <w:rPr>
          <w:rFonts w:ascii="Times New Roman" w:hAnsi="Times New Roman"/>
          <w:sz w:val="24"/>
          <w:szCs w:val="24"/>
        </w:rPr>
        <w:t xml:space="preserve"> in a laxity of sanctions imposed</w:t>
      </w:r>
      <w:r w:rsidR="007D3C57" w:rsidRPr="00883E1C">
        <w:rPr>
          <w:rFonts w:ascii="Times New Roman" w:hAnsi="Times New Roman"/>
          <w:sz w:val="24"/>
          <w:szCs w:val="24"/>
        </w:rPr>
        <w:t xml:space="preserve"> and </w:t>
      </w:r>
      <w:r w:rsidR="00CF5A60" w:rsidRPr="00883E1C">
        <w:rPr>
          <w:rFonts w:ascii="Times New Roman" w:hAnsi="Times New Roman"/>
          <w:sz w:val="24"/>
          <w:szCs w:val="24"/>
        </w:rPr>
        <w:t xml:space="preserve">in  a </w:t>
      </w:r>
      <w:r w:rsidR="00852AA2" w:rsidRPr="00883E1C">
        <w:rPr>
          <w:rFonts w:ascii="Times New Roman" w:hAnsi="Times New Roman"/>
          <w:sz w:val="24"/>
          <w:szCs w:val="24"/>
        </w:rPr>
        <w:t>lack of effective regulation (</w:t>
      </w:r>
      <w:r w:rsidR="009A22B9" w:rsidRPr="00883E1C">
        <w:rPr>
          <w:rFonts w:ascii="Times New Roman" w:hAnsi="Times New Roman"/>
          <w:sz w:val="24"/>
          <w:szCs w:val="24"/>
        </w:rPr>
        <w:t>Canadian Foundation for Advancement of</w:t>
      </w:r>
      <w:r w:rsidR="008F4F31" w:rsidRPr="00883E1C">
        <w:rPr>
          <w:rFonts w:ascii="Times New Roman" w:hAnsi="Times New Roman"/>
          <w:sz w:val="24"/>
          <w:szCs w:val="24"/>
        </w:rPr>
        <w:t xml:space="preserve"> Investor Rights (FAIR Canada), </w:t>
      </w:r>
      <w:r w:rsidR="009A22B9" w:rsidRPr="00883E1C">
        <w:rPr>
          <w:rFonts w:ascii="Times New Roman" w:hAnsi="Times New Roman"/>
          <w:sz w:val="24"/>
          <w:szCs w:val="24"/>
        </w:rPr>
        <w:t>2011</w:t>
      </w:r>
      <w:r w:rsidR="008F4F31" w:rsidRPr="00883E1C">
        <w:rPr>
          <w:rFonts w:ascii="Times New Roman" w:hAnsi="Times New Roman"/>
          <w:sz w:val="24"/>
          <w:szCs w:val="24"/>
        </w:rPr>
        <w:t>; Lokanan, 2014</w:t>
      </w:r>
      <w:r w:rsidR="009A22B9" w:rsidRPr="00883E1C">
        <w:rPr>
          <w:rFonts w:ascii="Times New Roman" w:hAnsi="Times New Roman"/>
          <w:sz w:val="24"/>
          <w:szCs w:val="24"/>
        </w:rPr>
        <w:t>).</w:t>
      </w:r>
      <w:r w:rsidR="003D3593" w:rsidRPr="00883E1C">
        <w:rPr>
          <w:rFonts w:ascii="Times New Roman" w:hAnsi="Times New Roman"/>
          <w:sz w:val="24"/>
          <w:szCs w:val="24"/>
        </w:rPr>
        <w:t xml:space="preserve"> Given this outcome, </w:t>
      </w:r>
      <w:r w:rsidR="00092A24" w:rsidRPr="00883E1C">
        <w:rPr>
          <w:rFonts w:ascii="Times New Roman" w:hAnsi="Times New Roman"/>
          <w:sz w:val="24"/>
          <w:szCs w:val="24"/>
        </w:rPr>
        <w:t>the objective</w:t>
      </w:r>
      <w:r w:rsidR="003D3593" w:rsidRPr="00883E1C">
        <w:rPr>
          <w:rFonts w:ascii="Times New Roman" w:hAnsi="Times New Roman"/>
          <w:sz w:val="24"/>
          <w:szCs w:val="24"/>
        </w:rPr>
        <w:t xml:space="preserve"> of this</w:t>
      </w:r>
      <w:r w:rsidR="00CF5A60" w:rsidRPr="00883E1C">
        <w:rPr>
          <w:rFonts w:ascii="Times New Roman" w:hAnsi="Times New Roman"/>
          <w:sz w:val="24"/>
          <w:szCs w:val="24"/>
        </w:rPr>
        <w:t xml:space="preserve"> pa</w:t>
      </w:r>
      <w:r w:rsidR="003D3593" w:rsidRPr="00883E1C">
        <w:rPr>
          <w:rFonts w:ascii="Times New Roman" w:hAnsi="Times New Roman"/>
          <w:sz w:val="24"/>
          <w:szCs w:val="24"/>
        </w:rPr>
        <w:t>per is to</w:t>
      </w:r>
      <w:r w:rsidR="00CF5A60" w:rsidRPr="00883E1C">
        <w:rPr>
          <w:rFonts w:ascii="Times New Roman" w:hAnsi="Times New Roman"/>
          <w:sz w:val="24"/>
          <w:szCs w:val="24"/>
        </w:rPr>
        <w:t xml:space="preserve"> examine the role of self-regulation in the Canadian securities industry and in doing so, address the foll</w:t>
      </w:r>
      <w:r w:rsidR="0086483D" w:rsidRPr="00883E1C">
        <w:rPr>
          <w:rFonts w:ascii="Times New Roman" w:hAnsi="Times New Roman"/>
          <w:sz w:val="24"/>
          <w:szCs w:val="24"/>
        </w:rPr>
        <w:t xml:space="preserve">owing questions: </w:t>
      </w:r>
      <w:r w:rsidR="007D3C57" w:rsidRPr="00883E1C">
        <w:rPr>
          <w:rFonts w:ascii="Times New Roman" w:hAnsi="Times New Roman"/>
          <w:sz w:val="24"/>
          <w:szCs w:val="24"/>
        </w:rPr>
        <w:t xml:space="preserve">To what extent </w:t>
      </w:r>
      <w:r w:rsidR="000F30B9" w:rsidRPr="00883E1C">
        <w:rPr>
          <w:rFonts w:ascii="Times New Roman" w:hAnsi="Times New Roman"/>
          <w:sz w:val="24"/>
          <w:szCs w:val="24"/>
        </w:rPr>
        <w:t>were</w:t>
      </w:r>
      <w:r w:rsidR="009A22B9" w:rsidRPr="00883E1C">
        <w:rPr>
          <w:rFonts w:ascii="Times New Roman" w:hAnsi="Times New Roman"/>
          <w:sz w:val="24"/>
          <w:szCs w:val="24"/>
        </w:rPr>
        <w:t xml:space="preserve"> complaints ‘funneled out’ of the IDA’s disciplinary system? D</w:t>
      </w:r>
      <w:r w:rsidR="000F30B9" w:rsidRPr="00883E1C">
        <w:rPr>
          <w:rFonts w:ascii="Times New Roman" w:hAnsi="Times New Roman"/>
          <w:sz w:val="24"/>
          <w:szCs w:val="24"/>
        </w:rPr>
        <w:t>id</w:t>
      </w:r>
      <w:r w:rsidR="009A22B9" w:rsidRPr="00883E1C">
        <w:rPr>
          <w:rFonts w:ascii="Times New Roman" w:hAnsi="Times New Roman"/>
          <w:sz w:val="24"/>
          <w:szCs w:val="24"/>
        </w:rPr>
        <w:t xml:space="preserve"> the IDA ‘</w:t>
      </w:r>
      <w:r w:rsidR="0070424F" w:rsidRPr="00883E1C">
        <w:rPr>
          <w:rFonts w:ascii="Times New Roman" w:hAnsi="Times New Roman"/>
          <w:sz w:val="24"/>
          <w:szCs w:val="24"/>
        </w:rPr>
        <w:t>funneled</w:t>
      </w:r>
      <w:r w:rsidR="009A22B9" w:rsidRPr="00883E1C">
        <w:rPr>
          <w:rFonts w:ascii="Times New Roman" w:hAnsi="Times New Roman"/>
          <w:sz w:val="24"/>
          <w:szCs w:val="24"/>
        </w:rPr>
        <w:t xml:space="preserve"> away’ complaints with criminal elements from the CJS, which would have otherwise been dealt with as </w:t>
      </w:r>
      <w:r w:rsidR="009A22B9" w:rsidRPr="00883E1C">
        <w:rPr>
          <w:rFonts w:ascii="Times New Roman" w:hAnsi="Times New Roman"/>
          <w:i/>
          <w:sz w:val="24"/>
          <w:szCs w:val="24"/>
        </w:rPr>
        <w:t>Criminal Code</w:t>
      </w:r>
      <w:r w:rsidR="009A22B9" w:rsidRPr="00883E1C">
        <w:rPr>
          <w:rFonts w:ascii="Times New Roman" w:hAnsi="Times New Roman"/>
          <w:sz w:val="24"/>
          <w:szCs w:val="24"/>
        </w:rPr>
        <w:t xml:space="preserve"> offences?</w:t>
      </w:r>
    </w:p>
    <w:p w:rsidR="00932B15" w:rsidRPr="00883E1C" w:rsidRDefault="00341D63" w:rsidP="00987646">
      <w:pPr>
        <w:ind w:firstLine="720"/>
        <w:rPr>
          <w:rFonts w:ascii="Times New Roman" w:hAnsi="Times New Roman"/>
          <w:sz w:val="24"/>
          <w:szCs w:val="24"/>
        </w:rPr>
      </w:pPr>
      <w:r w:rsidRPr="00883E1C">
        <w:rPr>
          <w:rFonts w:ascii="Times New Roman" w:hAnsi="Times New Roman"/>
          <w:sz w:val="24"/>
          <w:szCs w:val="24"/>
        </w:rPr>
        <w:t xml:space="preserve">In </w:t>
      </w:r>
      <w:r w:rsidR="00A93926" w:rsidRPr="00883E1C">
        <w:rPr>
          <w:rFonts w:ascii="Times New Roman" w:hAnsi="Times New Roman"/>
          <w:sz w:val="24"/>
          <w:szCs w:val="24"/>
        </w:rPr>
        <w:t xml:space="preserve">answering </w:t>
      </w:r>
      <w:r w:rsidR="00EF07BA" w:rsidRPr="00883E1C">
        <w:rPr>
          <w:rFonts w:ascii="Times New Roman" w:hAnsi="Times New Roman"/>
          <w:sz w:val="24"/>
          <w:szCs w:val="24"/>
        </w:rPr>
        <w:t>these questions</w:t>
      </w:r>
      <w:r w:rsidR="007C10EC" w:rsidRPr="00883E1C">
        <w:rPr>
          <w:rFonts w:ascii="Times New Roman" w:hAnsi="Times New Roman"/>
          <w:sz w:val="24"/>
          <w:szCs w:val="24"/>
        </w:rPr>
        <w:t xml:space="preserve">, </w:t>
      </w:r>
      <w:r w:rsidR="00F33898" w:rsidRPr="00883E1C">
        <w:rPr>
          <w:rFonts w:ascii="Times New Roman" w:hAnsi="Times New Roman"/>
          <w:sz w:val="24"/>
          <w:szCs w:val="24"/>
        </w:rPr>
        <w:t xml:space="preserve">the study </w:t>
      </w:r>
      <w:r w:rsidR="003D50C0" w:rsidRPr="00883E1C">
        <w:rPr>
          <w:rFonts w:ascii="Times New Roman" w:hAnsi="Times New Roman"/>
          <w:sz w:val="24"/>
          <w:szCs w:val="24"/>
        </w:rPr>
        <w:t xml:space="preserve">simultaneously </w:t>
      </w:r>
      <w:r w:rsidR="00F33898" w:rsidRPr="00883E1C">
        <w:rPr>
          <w:rFonts w:ascii="Times New Roman" w:hAnsi="Times New Roman"/>
          <w:sz w:val="24"/>
          <w:szCs w:val="24"/>
        </w:rPr>
        <w:t>makes two significan</w:t>
      </w:r>
      <w:r w:rsidR="00B27000" w:rsidRPr="00883E1C">
        <w:rPr>
          <w:rFonts w:ascii="Times New Roman" w:hAnsi="Times New Roman"/>
          <w:sz w:val="24"/>
          <w:szCs w:val="24"/>
        </w:rPr>
        <w:t xml:space="preserve">t contributions to the </w:t>
      </w:r>
      <w:r w:rsidR="00F33898" w:rsidRPr="00883E1C">
        <w:rPr>
          <w:rFonts w:ascii="Times New Roman" w:hAnsi="Times New Roman"/>
          <w:sz w:val="24"/>
          <w:szCs w:val="24"/>
        </w:rPr>
        <w:t>literature on</w:t>
      </w:r>
      <w:r w:rsidR="00971CDB" w:rsidRPr="00883E1C">
        <w:rPr>
          <w:rFonts w:ascii="Times New Roman" w:hAnsi="Times New Roman"/>
          <w:sz w:val="24"/>
          <w:szCs w:val="24"/>
        </w:rPr>
        <w:t xml:space="preserve"> </w:t>
      </w:r>
      <w:r w:rsidR="00561C64" w:rsidRPr="00883E1C">
        <w:rPr>
          <w:rFonts w:ascii="Times New Roman" w:hAnsi="Times New Roman"/>
          <w:sz w:val="24"/>
          <w:szCs w:val="24"/>
        </w:rPr>
        <w:t>securities regulation</w:t>
      </w:r>
      <w:r w:rsidR="00971CDB" w:rsidRPr="00883E1C">
        <w:rPr>
          <w:rFonts w:ascii="Times New Roman" w:hAnsi="Times New Roman"/>
          <w:sz w:val="24"/>
          <w:szCs w:val="24"/>
        </w:rPr>
        <w:t xml:space="preserve">. </w:t>
      </w:r>
      <w:r w:rsidR="00F33898" w:rsidRPr="00883E1C">
        <w:rPr>
          <w:rFonts w:ascii="Times New Roman" w:hAnsi="Times New Roman"/>
          <w:sz w:val="24"/>
          <w:szCs w:val="24"/>
        </w:rPr>
        <w:t xml:space="preserve"> </w:t>
      </w:r>
      <w:r w:rsidR="005A5D57" w:rsidRPr="00883E1C">
        <w:rPr>
          <w:rFonts w:ascii="Times New Roman" w:hAnsi="Times New Roman"/>
          <w:sz w:val="24"/>
          <w:szCs w:val="24"/>
        </w:rPr>
        <w:t>First,</w:t>
      </w:r>
      <w:r w:rsidR="00414ED4" w:rsidRPr="00883E1C">
        <w:rPr>
          <w:rFonts w:ascii="Times New Roman" w:hAnsi="Times New Roman"/>
          <w:sz w:val="24"/>
          <w:szCs w:val="24"/>
        </w:rPr>
        <w:t xml:space="preserve"> t</w:t>
      </w:r>
      <w:r w:rsidR="00135E08" w:rsidRPr="00883E1C">
        <w:rPr>
          <w:rFonts w:ascii="Times New Roman" w:hAnsi="Times New Roman"/>
          <w:sz w:val="24"/>
          <w:szCs w:val="24"/>
        </w:rPr>
        <w:t>he study examine</w:t>
      </w:r>
      <w:r w:rsidR="00DE7ECE" w:rsidRPr="00883E1C">
        <w:rPr>
          <w:rFonts w:ascii="Times New Roman" w:hAnsi="Times New Roman"/>
          <w:sz w:val="24"/>
          <w:szCs w:val="24"/>
        </w:rPr>
        <w:t>s</w:t>
      </w:r>
      <w:r w:rsidR="00135E08" w:rsidRPr="00883E1C">
        <w:rPr>
          <w:rFonts w:ascii="Times New Roman" w:hAnsi="Times New Roman"/>
          <w:sz w:val="24"/>
          <w:szCs w:val="24"/>
        </w:rPr>
        <w:t xml:space="preserve"> the allegation </w:t>
      </w:r>
      <w:r w:rsidR="006316F7" w:rsidRPr="00883E1C">
        <w:rPr>
          <w:rFonts w:ascii="Times New Roman" w:hAnsi="Times New Roman"/>
          <w:sz w:val="24"/>
          <w:szCs w:val="24"/>
        </w:rPr>
        <w:t>that</w:t>
      </w:r>
      <w:r w:rsidR="00DE7ECE" w:rsidRPr="00883E1C">
        <w:rPr>
          <w:rFonts w:ascii="Times New Roman" w:hAnsi="Times New Roman"/>
          <w:sz w:val="24"/>
          <w:szCs w:val="24"/>
        </w:rPr>
        <w:t xml:space="preserve"> </w:t>
      </w:r>
      <w:r w:rsidR="006316F7" w:rsidRPr="00883E1C">
        <w:rPr>
          <w:rFonts w:ascii="Times New Roman" w:hAnsi="Times New Roman"/>
          <w:sz w:val="24"/>
          <w:szCs w:val="24"/>
        </w:rPr>
        <w:t>SROs’</w:t>
      </w:r>
      <w:r w:rsidR="0028774A" w:rsidRPr="00883E1C">
        <w:rPr>
          <w:rFonts w:ascii="Times New Roman" w:hAnsi="Times New Roman"/>
          <w:sz w:val="24"/>
          <w:szCs w:val="24"/>
        </w:rPr>
        <w:t xml:space="preserve"> inability to deal with the more serious securities fraud cases </w:t>
      </w:r>
      <w:r w:rsidR="00120A6C" w:rsidRPr="00883E1C">
        <w:rPr>
          <w:rFonts w:ascii="Times New Roman" w:hAnsi="Times New Roman"/>
          <w:sz w:val="24"/>
          <w:szCs w:val="24"/>
        </w:rPr>
        <w:t xml:space="preserve">is </w:t>
      </w:r>
      <w:r w:rsidR="0028774A" w:rsidRPr="00883E1C">
        <w:rPr>
          <w:rFonts w:ascii="Times New Roman" w:hAnsi="Times New Roman"/>
          <w:sz w:val="24"/>
          <w:szCs w:val="24"/>
        </w:rPr>
        <w:t>symptomatic</w:t>
      </w:r>
      <w:r w:rsidR="003A13C3" w:rsidRPr="00883E1C">
        <w:rPr>
          <w:rFonts w:ascii="Times New Roman" w:hAnsi="Times New Roman"/>
          <w:sz w:val="24"/>
          <w:szCs w:val="24"/>
        </w:rPr>
        <w:t xml:space="preserve"> of a </w:t>
      </w:r>
      <w:r w:rsidR="00BD4291" w:rsidRPr="00883E1C">
        <w:rPr>
          <w:rFonts w:ascii="Times New Roman" w:hAnsi="Times New Roman"/>
          <w:sz w:val="24"/>
          <w:szCs w:val="24"/>
        </w:rPr>
        <w:lastRenderedPageBreak/>
        <w:t xml:space="preserve">much </w:t>
      </w:r>
      <w:r w:rsidR="003A13C3" w:rsidRPr="00883E1C">
        <w:rPr>
          <w:rFonts w:ascii="Times New Roman" w:hAnsi="Times New Roman"/>
          <w:sz w:val="24"/>
          <w:szCs w:val="24"/>
        </w:rPr>
        <w:t>larger problem</w:t>
      </w:r>
      <w:r w:rsidR="00B27000" w:rsidRPr="00883E1C">
        <w:rPr>
          <w:rFonts w:ascii="Times New Roman" w:hAnsi="Times New Roman"/>
          <w:sz w:val="24"/>
          <w:szCs w:val="24"/>
        </w:rPr>
        <w:t xml:space="preserve"> (</w:t>
      </w:r>
      <w:r w:rsidR="00EF2E73" w:rsidRPr="00883E1C">
        <w:rPr>
          <w:rFonts w:ascii="Times New Roman" w:hAnsi="Times New Roman"/>
          <w:sz w:val="24"/>
          <w:szCs w:val="24"/>
        </w:rPr>
        <w:t xml:space="preserve">Williams, </w:t>
      </w:r>
      <w:r w:rsidR="00297C2F" w:rsidRPr="00883E1C">
        <w:rPr>
          <w:rFonts w:ascii="Times New Roman" w:hAnsi="Times New Roman"/>
          <w:sz w:val="24"/>
          <w:szCs w:val="24"/>
        </w:rPr>
        <w:t>2012, 2013; Snider</w:t>
      </w:r>
      <w:r w:rsidR="006E6366" w:rsidRPr="00883E1C">
        <w:rPr>
          <w:rFonts w:ascii="Times New Roman" w:hAnsi="Times New Roman"/>
          <w:sz w:val="24"/>
          <w:szCs w:val="24"/>
        </w:rPr>
        <w:t>, 2009</w:t>
      </w:r>
      <w:r w:rsidR="00EF2E73" w:rsidRPr="00883E1C">
        <w:rPr>
          <w:rFonts w:ascii="Times New Roman" w:hAnsi="Times New Roman"/>
          <w:sz w:val="24"/>
          <w:szCs w:val="24"/>
        </w:rPr>
        <w:t xml:space="preserve">). </w:t>
      </w:r>
      <w:r w:rsidR="003A13C3" w:rsidRPr="00883E1C">
        <w:rPr>
          <w:rFonts w:ascii="Times New Roman" w:hAnsi="Times New Roman"/>
          <w:sz w:val="24"/>
          <w:szCs w:val="24"/>
        </w:rPr>
        <w:t>It could very well be that the IDA and perhaps SROs that operate in the securities industry in general</w:t>
      </w:r>
      <w:r w:rsidR="00DE7ECE" w:rsidRPr="00883E1C">
        <w:rPr>
          <w:rFonts w:ascii="Times New Roman" w:hAnsi="Times New Roman"/>
          <w:sz w:val="24"/>
          <w:szCs w:val="24"/>
        </w:rPr>
        <w:t>,</w:t>
      </w:r>
      <w:r w:rsidR="003A13C3" w:rsidRPr="00883E1C">
        <w:rPr>
          <w:rFonts w:ascii="Times New Roman" w:hAnsi="Times New Roman"/>
          <w:sz w:val="24"/>
          <w:szCs w:val="24"/>
        </w:rPr>
        <w:t xml:space="preserve"> are ineffective because they are not equipped and therefore unable to deal with</w:t>
      </w:r>
      <w:r w:rsidR="0028774A" w:rsidRPr="00883E1C">
        <w:rPr>
          <w:rFonts w:ascii="Times New Roman" w:hAnsi="Times New Roman"/>
          <w:sz w:val="24"/>
          <w:szCs w:val="24"/>
        </w:rPr>
        <w:t xml:space="preserve"> the</w:t>
      </w:r>
      <w:r w:rsidR="003A13C3" w:rsidRPr="00883E1C">
        <w:rPr>
          <w:rFonts w:ascii="Times New Roman" w:hAnsi="Times New Roman"/>
          <w:sz w:val="24"/>
          <w:szCs w:val="24"/>
        </w:rPr>
        <w:t xml:space="preserve"> more serious cases</w:t>
      </w:r>
      <w:r w:rsidR="00EA1B2A" w:rsidRPr="00883E1C">
        <w:rPr>
          <w:rFonts w:ascii="Times New Roman" w:hAnsi="Times New Roman"/>
          <w:sz w:val="24"/>
          <w:szCs w:val="24"/>
        </w:rPr>
        <w:t>, and thus</w:t>
      </w:r>
      <w:r w:rsidR="00D22F56" w:rsidRPr="00883E1C">
        <w:rPr>
          <w:rFonts w:ascii="Times New Roman" w:hAnsi="Times New Roman"/>
          <w:sz w:val="24"/>
          <w:szCs w:val="24"/>
        </w:rPr>
        <w:t>, represents</w:t>
      </w:r>
      <w:r w:rsidR="003A13C3" w:rsidRPr="00883E1C">
        <w:rPr>
          <w:rFonts w:ascii="Times New Roman" w:hAnsi="Times New Roman"/>
          <w:sz w:val="24"/>
          <w:szCs w:val="24"/>
        </w:rPr>
        <w:t xml:space="preserve"> a much larger systemic industry problem. </w:t>
      </w:r>
      <w:r w:rsidR="00DE7ECE" w:rsidRPr="00883E1C">
        <w:rPr>
          <w:rFonts w:ascii="Times New Roman" w:hAnsi="Times New Roman"/>
          <w:sz w:val="24"/>
          <w:szCs w:val="24"/>
        </w:rPr>
        <w:t>Therefore, a</w:t>
      </w:r>
      <w:r w:rsidR="00140AA6" w:rsidRPr="00883E1C">
        <w:rPr>
          <w:rFonts w:ascii="Times New Roman" w:hAnsi="Times New Roman"/>
          <w:sz w:val="24"/>
          <w:szCs w:val="24"/>
        </w:rPr>
        <w:t xml:space="preserve"> more meaning</w:t>
      </w:r>
      <w:r w:rsidR="006463BC" w:rsidRPr="00883E1C">
        <w:rPr>
          <w:rFonts w:ascii="Times New Roman" w:hAnsi="Times New Roman"/>
          <w:sz w:val="24"/>
          <w:szCs w:val="24"/>
        </w:rPr>
        <w:t>ful</w:t>
      </w:r>
      <w:r w:rsidR="00140AA6" w:rsidRPr="00883E1C">
        <w:rPr>
          <w:rFonts w:ascii="Times New Roman" w:hAnsi="Times New Roman"/>
          <w:sz w:val="24"/>
          <w:szCs w:val="24"/>
        </w:rPr>
        <w:t xml:space="preserve"> contribution to the literature</w:t>
      </w:r>
      <w:r w:rsidR="00BD4291" w:rsidRPr="00883E1C">
        <w:rPr>
          <w:rFonts w:ascii="Times New Roman" w:hAnsi="Times New Roman"/>
          <w:sz w:val="24"/>
          <w:szCs w:val="24"/>
        </w:rPr>
        <w:t xml:space="preserve"> </w:t>
      </w:r>
      <w:r w:rsidR="00780453" w:rsidRPr="00883E1C">
        <w:rPr>
          <w:rFonts w:ascii="Times New Roman" w:hAnsi="Times New Roman"/>
          <w:sz w:val="24"/>
          <w:szCs w:val="24"/>
        </w:rPr>
        <w:t>is to look at the findings within the larger</w:t>
      </w:r>
      <w:r w:rsidR="00140AA6" w:rsidRPr="00883E1C">
        <w:rPr>
          <w:rFonts w:ascii="Times New Roman" w:hAnsi="Times New Roman"/>
          <w:sz w:val="24"/>
          <w:szCs w:val="24"/>
        </w:rPr>
        <w:t xml:space="preserve"> context of securities </w:t>
      </w:r>
      <w:r w:rsidR="006E6366" w:rsidRPr="00883E1C">
        <w:rPr>
          <w:rFonts w:ascii="Times New Roman" w:hAnsi="Times New Roman"/>
          <w:sz w:val="24"/>
          <w:szCs w:val="24"/>
        </w:rPr>
        <w:t>regulation</w:t>
      </w:r>
      <w:r w:rsidR="00DE7ECE" w:rsidRPr="00883E1C">
        <w:rPr>
          <w:rFonts w:ascii="Times New Roman" w:hAnsi="Times New Roman"/>
          <w:sz w:val="24"/>
          <w:szCs w:val="24"/>
        </w:rPr>
        <w:t>,</w:t>
      </w:r>
      <w:r w:rsidR="006E6366" w:rsidRPr="00883E1C">
        <w:rPr>
          <w:rFonts w:ascii="Times New Roman" w:hAnsi="Times New Roman"/>
          <w:sz w:val="24"/>
          <w:szCs w:val="24"/>
        </w:rPr>
        <w:t xml:space="preserve"> to</w:t>
      </w:r>
      <w:r w:rsidR="00CF47B9" w:rsidRPr="00883E1C">
        <w:rPr>
          <w:rFonts w:ascii="Times New Roman" w:hAnsi="Times New Roman"/>
          <w:sz w:val="24"/>
          <w:szCs w:val="24"/>
        </w:rPr>
        <w:t xml:space="preserve"> enable a firmer </w:t>
      </w:r>
      <w:r w:rsidR="006E6366" w:rsidRPr="00883E1C">
        <w:rPr>
          <w:rFonts w:ascii="Times New Roman" w:hAnsi="Times New Roman"/>
          <w:sz w:val="24"/>
          <w:szCs w:val="24"/>
        </w:rPr>
        <w:t>assessment of</w:t>
      </w:r>
      <w:r w:rsidR="00CF47B9" w:rsidRPr="00883E1C">
        <w:rPr>
          <w:rFonts w:ascii="Times New Roman" w:hAnsi="Times New Roman"/>
          <w:sz w:val="24"/>
          <w:szCs w:val="24"/>
        </w:rPr>
        <w:t xml:space="preserve"> SROs’ enforcement performance. </w:t>
      </w:r>
      <w:r w:rsidR="006B4DCA" w:rsidRPr="00883E1C">
        <w:rPr>
          <w:rFonts w:ascii="Times New Roman" w:hAnsi="Times New Roman"/>
          <w:sz w:val="24"/>
          <w:szCs w:val="24"/>
        </w:rPr>
        <w:t>Second, over the last decade, SROs that operate in the securities industry have faced some significant challenges. Central among these challenges is the inherent confl</w:t>
      </w:r>
      <w:r w:rsidR="00BD4291" w:rsidRPr="00883E1C">
        <w:rPr>
          <w:rFonts w:ascii="Times New Roman" w:hAnsi="Times New Roman"/>
          <w:sz w:val="24"/>
          <w:szCs w:val="24"/>
        </w:rPr>
        <w:t xml:space="preserve">icts- of- interests between </w:t>
      </w:r>
      <w:r w:rsidR="006B4DCA" w:rsidRPr="00883E1C">
        <w:rPr>
          <w:rFonts w:ascii="Times New Roman" w:hAnsi="Times New Roman"/>
          <w:sz w:val="24"/>
          <w:szCs w:val="24"/>
        </w:rPr>
        <w:t>SROs’ regulatory function</w:t>
      </w:r>
      <w:r w:rsidR="00561C64" w:rsidRPr="00883E1C">
        <w:rPr>
          <w:rFonts w:ascii="Times New Roman" w:hAnsi="Times New Roman"/>
          <w:sz w:val="24"/>
          <w:szCs w:val="24"/>
        </w:rPr>
        <w:t xml:space="preserve">s of </w:t>
      </w:r>
      <w:r w:rsidR="00712593" w:rsidRPr="00883E1C">
        <w:rPr>
          <w:rFonts w:ascii="Times New Roman" w:hAnsi="Times New Roman"/>
          <w:sz w:val="24"/>
          <w:szCs w:val="24"/>
        </w:rPr>
        <w:t>their members</w:t>
      </w:r>
      <w:r w:rsidR="00561C64" w:rsidRPr="00883E1C">
        <w:rPr>
          <w:rFonts w:ascii="Times New Roman" w:hAnsi="Times New Roman"/>
          <w:sz w:val="24"/>
          <w:szCs w:val="24"/>
        </w:rPr>
        <w:t xml:space="preserve"> and </w:t>
      </w:r>
      <w:r w:rsidR="00C27499" w:rsidRPr="00883E1C">
        <w:rPr>
          <w:rFonts w:ascii="Times New Roman" w:hAnsi="Times New Roman"/>
          <w:sz w:val="24"/>
          <w:szCs w:val="24"/>
        </w:rPr>
        <w:t>their market</w:t>
      </w:r>
      <w:r w:rsidR="006B4DCA" w:rsidRPr="00883E1C">
        <w:rPr>
          <w:rFonts w:ascii="Times New Roman" w:hAnsi="Times New Roman"/>
          <w:sz w:val="24"/>
          <w:szCs w:val="24"/>
        </w:rPr>
        <w:t xml:space="preserve"> regulating duties</w:t>
      </w:r>
      <w:r w:rsidR="007835CA" w:rsidRPr="00883E1C">
        <w:rPr>
          <w:rFonts w:ascii="Times New Roman" w:hAnsi="Times New Roman"/>
          <w:sz w:val="24"/>
          <w:szCs w:val="24"/>
        </w:rPr>
        <w:t xml:space="preserve"> (Dorn, 2011)</w:t>
      </w:r>
      <w:r w:rsidR="006B4DCA" w:rsidRPr="00883E1C">
        <w:rPr>
          <w:rFonts w:ascii="Times New Roman" w:hAnsi="Times New Roman"/>
          <w:sz w:val="24"/>
          <w:szCs w:val="24"/>
        </w:rPr>
        <w:t xml:space="preserve">. The present study will take a closer look </w:t>
      </w:r>
      <w:r w:rsidR="00932B15" w:rsidRPr="00883E1C">
        <w:rPr>
          <w:rFonts w:ascii="Times New Roman" w:hAnsi="Times New Roman"/>
          <w:sz w:val="24"/>
          <w:szCs w:val="24"/>
        </w:rPr>
        <w:t xml:space="preserve">at </w:t>
      </w:r>
      <w:r w:rsidR="00987646" w:rsidRPr="00883E1C">
        <w:rPr>
          <w:rFonts w:ascii="Times New Roman" w:hAnsi="Times New Roman"/>
          <w:sz w:val="24"/>
          <w:szCs w:val="24"/>
        </w:rPr>
        <w:t xml:space="preserve">this relationship </w:t>
      </w:r>
      <w:r w:rsidR="00932B15" w:rsidRPr="00883E1C">
        <w:rPr>
          <w:rFonts w:ascii="Times New Roman" w:hAnsi="Times New Roman"/>
          <w:sz w:val="24"/>
          <w:szCs w:val="24"/>
        </w:rPr>
        <w:t xml:space="preserve"> to show how</w:t>
      </w:r>
      <w:r w:rsidR="00987646" w:rsidRPr="00883E1C">
        <w:rPr>
          <w:rFonts w:ascii="Times New Roman" w:hAnsi="Times New Roman"/>
          <w:sz w:val="24"/>
          <w:szCs w:val="24"/>
        </w:rPr>
        <w:t xml:space="preserve"> one SRO – the IDA</w:t>
      </w:r>
      <w:r w:rsidR="00932B15" w:rsidRPr="00883E1C">
        <w:rPr>
          <w:rFonts w:ascii="Times New Roman" w:hAnsi="Times New Roman"/>
          <w:sz w:val="24"/>
          <w:szCs w:val="24"/>
        </w:rPr>
        <w:t xml:space="preserve"> uses symbolic management to create a carefully crafted appearance of effective enforcement, </w:t>
      </w:r>
      <w:r w:rsidR="00144984" w:rsidRPr="00883E1C">
        <w:rPr>
          <w:rFonts w:ascii="Times New Roman" w:hAnsi="Times New Roman"/>
          <w:sz w:val="24"/>
          <w:szCs w:val="24"/>
        </w:rPr>
        <w:t>despite empirical evidence showing its</w:t>
      </w:r>
      <w:r w:rsidR="00932B15" w:rsidRPr="00883E1C">
        <w:rPr>
          <w:rFonts w:ascii="Times New Roman" w:hAnsi="Times New Roman"/>
          <w:sz w:val="24"/>
          <w:szCs w:val="24"/>
        </w:rPr>
        <w:t xml:space="preserve"> inability to effectively</w:t>
      </w:r>
      <w:r w:rsidR="00561C64" w:rsidRPr="00883E1C">
        <w:rPr>
          <w:rFonts w:ascii="Times New Roman" w:hAnsi="Times New Roman"/>
          <w:sz w:val="24"/>
          <w:szCs w:val="24"/>
        </w:rPr>
        <w:t xml:space="preserve"> police the market in practice</w:t>
      </w:r>
      <w:r w:rsidR="00932B15" w:rsidRPr="00883E1C">
        <w:rPr>
          <w:rFonts w:ascii="Times New Roman" w:hAnsi="Times New Roman"/>
          <w:sz w:val="24"/>
          <w:szCs w:val="24"/>
        </w:rPr>
        <w:t xml:space="preserve">.  </w:t>
      </w:r>
    </w:p>
    <w:p w:rsidR="00D14BC6" w:rsidRPr="00883E1C" w:rsidRDefault="00E254E6" w:rsidP="00855B26">
      <w:pPr>
        <w:pStyle w:val="Default"/>
        <w:spacing w:after="0" w:line="480" w:lineRule="auto"/>
        <w:ind w:firstLine="720"/>
        <w:rPr>
          <w:color w:val="auto"/>
        </w:rPr>
      </w:pPr>
      <w:r w:rsidRPr="00883E1C">
        <w:rPr>
          <w:color w:val="auto"/>
        </w:rPr>
        <w:t xml:space="preserve">Having </w:t>
      </w:r>
      <w:r w:rsidR="00BC67C0" w:rsidRPr="00883E1C">
        <w:rPr>
          <w:color w:val="auto"/>
        </w:rPr>
        <w:t xml:space="preserve">briefly </w:t>
      </w:r>
      <w:r w:rsidR="005445A5" w:rsidRPr="00883E1C">
        <w:rPr>
          <w:color w:val="auto"/>
        </w:rPr>
        <w:t>surveyed</w:t>
      </w:r>
      <w:r w:rsidR="00B80160" w:rsidRPr="00883E1C">
        <w:rPr>
          <w:color w:val="auto"/>
        </w:rPr>
        <w:t xml:space="preserve"> the contextual problems associated with</w:t>
      </w:r>
      <w:r w:rsidR="005856AF" w:rsidRPr="00883E1C">
        <w:rPr>
          <w:color w:val="auto"/>
        </w:rPr>
        <w:t xml:space="preserve"> SROs and securities</w:t>
      </w:r>
      <w:r w:rsidR="00B80160" w:rsidRPr="00883E1C">
        <w:rPr>
          <w:color w:val="auto"/>
        </w:rPr>
        <w:t xml:space="preserve"> regulation</w:t>
      </w:r>
      <w:r w:rsidR="00E3740A" w:rsidRPr="00883E1C">
        <w:rPr>
          <w:color w:val="auto"/>
        </w:rPr>
        <w:t>, the</w:t>
      </w:r>
      <w:r w:rsidRPr="00883E1C">
        <w:rPr>
          <w:color w:val="auto"/>
        </w:rPr>
        <w:t xml:space="preserve"> remainder of the paper</w:t>
      </w:r>
      <w:r w:rsidR="005445A5" w:rsidRPr="00883E1C">
        <w:rPr>
          <w:color w:val="auto"/>
        </w:rPr>
        <w:t xml:space="preserve"> proceeds according to the following format. </w:t>
      </w:r>
      <w:r w:rsidR="00134E84" w:rsidRPr="00883E1C">
        <w:rPr>
          <w:color w:val="auto"/>
        </w:rPr>
        <w:t xml:space="preserve"> First,</w:t>
      </w:r>
      <w:r w:rsidR="0017635B" w:rsidRPr="00883E1C">
        <w:rPr>
          <w:color w:val="auto"/>
        </w:rPr>
        <w:t xml:space="preserve"> </w:t>
      </w:r>
      <w:r w:rsidR="00A02806" w:rsidRPr="00883E1C">
        <w:rPr>
          <w:color w:val="auto"/>
        </w:rPr>
        <w:t xml:space="preserve">I provide a brief overview on SROs and the wider context of securities regulation in Canada. </w:t>
      </w:r>
      <w:r w:rsidR="0017635B" w:rsidRPr="00883E1C">
        <w:rPr>
          <w:color w:val="auto"/>
        </w:rPr>
        <w:t xml:space="preserve">I </w:t>
      </w:r>
      <w:r w:rsidR="00A02806" w:rsidRPr="00883E1C">
        <w:rPr>
          <w:color w:val="auto"/>
        </w:rPr>
        <w:t xml:space="preserve">then </w:t>
      </w:r>
      <w:r w:rsidR="0017635B" w:rsidRPr="00883E1C">
        <w:rPr>
          <w:color w:val="auto"/>
        </w:rPr>
        <w:t xml:space="preserve">sketch </w:t>
      </w:r>
      <w:r w:rsidR="00134E84" w:rsidRPr="00883E1C">
        <w:rPr>
          <w:color w:val="auto"/>
        </w:rPr>
        <w:t xml:space="preserve">the </w:t>
      </w:r>
      <w:r w:rsidR="0017635B" w:rsidRPr="00883E1C">
        <w:rPr>
          <w:color w:val="auto"/>
        </w:rPr>
        <w:t>theoretical underpinnings and examine the arguments that have been used to justify the use of self-regulation and the criticisms leveled against its usage. This is followed by a brief</w:t>
      </w:r>
      <w:r w:rsidR="006B1004" w:rsidRPr="00883E1C">
        <w:rPr>
          <w:color w:val="auto"/>
        </w:rPr>
        <w:t xml:space="preserve"> description of</w:t>
      </w:r>
      <w:r w:rsidR="00D46307" w:rsidRPr="00883E1C">
        <w:rPr>
          <w:color w:val="auto"/>
        </w:rPr>
        <w:t xml:space="preserve"> the methodolog</w:t>
      </w:r>
      <w:r w:rsidR="0017635B" w:rsidRPr="00883E1C">
        <w:rPr>
          <w:color w:val="auto"/>
        </w:rPr>
        <w:t>y emplo</w:t>
      </w:r>
      <w:r w:rsidR="00FE2F2A" w:rsidRPr="00883E1C">
        <w:rPr>
          <w:color w:val="auto"/>
        </w:rPr>
        <w:t>yed to gather the data, and</w:t>
      </w:r>
      <w:r w:rsidR="0017635B" w:rsidRPr="00883E1C">
        <w:rPr>
          <w:color w:val="auto"/>
        </w:rPr>
        <w:t xml:space="preserve"> a discussion to address some of the limitations related to the data. </w:t>
      </w:r>
      <w:r w:rsidR="00D46307" w:rsidRPr="00883E1C">
        <w:rPr>
          <w:color w:val="auto"/>
        </w:rPr>
        <w:t xml:space="preserve">I </w:t>
      </w:r>
      <w:r w:rsidR="00E3740A" w:rsidRPr="00883E1C">
        <w:rPr>
          <w:color w:val="auto"/>
        </w:rPr>
        <w:t xml:space="preserve">then examine the </w:t>
      </w:r>
      <w:r w:rsidR="00D46307" w:rsidRPr="00883E1C">
        <w:rPr>
          <w:color w:val="auto"/>
        </w:rPr>
        <w:t xml:space="preserve">types of complaints received by the IDA and how these complaints were processed </w:t>
      </w:r>
      <w:r w:rsidR="005B3F2E" w:rsidRPr="00883E1C">
        <w:rPr>
          <w:color w:val="auto"/>
        </w:rPr>
        <w:t xml:space="preserve">through the regulatory funnel </w:t>
      </w:r>
      <w:r w:rsidR="00D46307" w:rsidRPr="00883E1C">
        <w:rPr>
          <w:color w:val="auto"/>
        </w:rPr>
        <w:t>from initial screening through to final disposition of the IDA</w:t>
      </w:r>
      <w:r w:rsidR="00FF0946" w:rsidRPr="00883E1C">
        <w:rPr>
          <w:color w:val="auto"/>
        </w:rPr>
        <w:t>’s</w:t>
      </w:r>
      <w:r w:rsidR="00D46307" w:rsidRPr="00883E1C">
        <w:rPr>
          <w:color w:val="auto"/>
        </w:rPr>
        <w:t xml:space="preserve"> disciplinary system</w:t>
      </w:r>
      <w:r w:rsidR="00DD1D42" w:rsidRPr="00883E1C">
        <w:rPr>
          <w:color w:val="auto"/>
        </w:rPr>
        <w:t xml:space="preserve">. </w:t>
      </w:r>
      <w:r w:rsidR="00E3740A" w:rsidRPr="00883E1C">
        <w:rPr>
          <w:color w:val="auto"/>
        </w:rPr>
        <w:t xml:space="preserve">Finally, I </w:t>
      </w:r>
      <w:r w:rsidR="00D46307" w:rsidRPr="00883E1C">
        <w:rPr>
          <w:color w:val="auto"/>
        </w:rPr>
        <w:t>discuss the findings</w:t>
      </w:r>
      <w:r w:rsidR="00A02806" w:rsidRPr="00883E1C">
        <w:rPr>
          <w:color w:val="auto"/>
        </w:rPr>
        <w:t xml:space="preserve"> within</w:t>
      </w:r>
      <w:r w:rsidR="005B3F2E" w:rsidRPr="00883E1C">
        <w:rPr>
          <w:color w:val="auto"/>
        </w:rPr>
        <w:t xml:space="preserve"> the wider context of securities</w:t>
      </w:r>
      <w:r w:rsidR="005F5415" w:rsidRPr="00883E1C">
        <w:rPr>
          <w:color w:val="auto"/>
        </w:rPr>
        <w:t xml:space="preserve"> regulation</w:t>
      </w:r>
      <w:r w:rsidR="00D46307" w:rsidRPr="00883E1C">
        <w:rPr>
          <w:color w:val="auto"/>
        </w:rPr>
        <w:t xml:space="preserve"> and highlight areas for future research.</w:t>
      </w:r>
    </w:p>
    <w:p w:rsidR="00A02806" w:rsidRPr="00883E1C" w:rsidRDefault="00A02806" w:rsidP="00BA211A">
      <w:pPr>
        <w:pStyle w:val="Default"/>
        <w:spacing w:after="0" w:line="480" w:lineRule="auto"/>
        <w:rPr>
          <w:b/>
          <w:color w:val="auto"/>
        </w:rPr>
      </w:pPr>
    </w:p>
    <w:p w:rsidR="00BA211A" w:rsidRPr="00883E1C" w:rsidRDefault="00A02806" w:rsidP="00BA211A">
      <w:pPr>
        <w:pStyle w:val="Default"/>
        <w:spacing w:after="0" w:line="480" w:lineRule="auto"/>
        <w:rPr>
          <w:b/>
          <w:color w:val="auto"/>
        </w:rPr>
      </w:pPr>
      <w:r w:rsidRPr="00883E1C">
        <w:rPr>
          <w:b/>
          <w:color w:val="auto"/>
        </w:rPr>
        <w:lastRenderedPageBreak/>
        <w:t xml:space="preserve">2.  </w:t>
      </w:r>
      <w:r w:rsidR="00BA211A" w:rsidRPr="00883E1C">
        <w:rPr>
          <w:b/>
          <w:color w:val="auto"/>
        </w:rPr>
        <w:t>SROs and the</w:t>
      </w:r>
      <w:r w:rsidR="00BA211A" w:rsidRPr="00883E1C">
        <w:rPr>
          <w:color w:val="auto"/>
        </w:rPr>
        <w:t xml:space="preserve"> </w:t>
      </w:r>
      <w:r w:rsidR="00BA211A" w:rsidRPr="00883E1C">
        <w:rPr>
          <w:b/>
          <w:color w:val="auto"/>
        </w:rPr>
        <w:t>Wider Context of Securities Regulation in Canada</w:t>
      </w:r>
    </w:p>
    <w:p w:rsidR="00EC35E0" w:rsidRPr="00883E1C" w:rsidRDefault="00B6512D" w:rsidP="00A36E38">
      <w:pPr>
        <w:pStyle w:val="Default"/>
        <w:spacing w:after="0" w:line="480" w:lineRule="auto"/>
        <w:ind w:firstLine="720"/>
        <w:rPr>
          <w:color w:val="auto"/>
        </w:rPr>
      </w:pPr>
      <w:r w:rsidRPr="00883E1C">
        <w:rPr>
          <w:rStyle w:val="HTMLTypewriter"/>
          <w:rFonts w:ascii="Times New Roman" w:hAnsi="Times New Roman" w:cs="Times New Roman"/>
          <w:color w:val="auto"/>
          <w:sz w:val="24"/>
        </w:rPr>
        <w:t xml:space="preserve">One hallmark of Canada’s securities regulatory landscape is the sheer number of </w:t>
      </w:r>
      <w:r w:rsidR="00A36E38" w:rsidRPr="00883E1C">
        <w:rPr>
          <w:rStyle w:val="HTMLTypewriter"/>
          <w:rFonts w:ascii="Times New Roman" w:hAnsi="Times New Roman" w:cs="Times New Roman"/>
          <w:color w:val="auto"/>
          <w:sz w:val="24"/>
        </w:rPr>
        <w:t>different agencies</w:t>
      </w:r>
      <w:r w:rsidRPr="00883E1C">
        <w:rPr>
          <w:rStyle w:val="HTMLTypewriter"/>
          <w:rFonts w:ascii="Times New Roman" w:hAnsi="Times New Roman" w:cs="Times New Roman"/>
          <w:color w:val="auto"/>
          <w:sz w:val="24"/>
        </w:rPr>
        <w:t xml:space="preserve"> with stakes in the regulatory game</w:t>
      </w:r>
      <w:r w:rsidR="004B4D4D" w:rsidRPr="00883E1C">
        <w:rPr>
          <w:rStyle w:val="HTMLTypewriter"/>
          <w:rFonts w:ascii="Times New Roman" w:hAnsi="Times New Roman" w:cs="Times New Roman"/>
          <w:color w:val="auto"/>
          <w:sz w:val="24"/>
        </w:rPr>
        <w:t xml:space="preserve">. </w:t>
      </w:r>
      <w:r w:rsidR="00EC35E0" w:rsidRPr="00883E1C">
        <w:rPr>
          <w:color w:val="auto"/>
        </w:rPr>
        <w:t xml:space="preserve">The </w:t>
      </w:r>
      <w:r w:rsidR="00195EB2" w:rsidRPr="00883E1C">
        <w:rPr>
          <w:color w:val="auto"/>
        </w:rPr>
        <w:t>motley</w:t>
      </w:r>
      <w:r w:rsidR="00EC35E0" w:rsidRPr="00883E1C">
        <w:rPr>
          <w:color w:val="auto"/>
        </w:rPr>
        <w:t xml:space="preserve"> crew of agencies responsible for the governance of the securities markets</w:t>
      </w:r>
      <w:r w:rsidR="00E671F3" w:rsidRPr="00883E1C">
        <w:rPr>
          <w:color w:val="auto"/>
        </w:rPr>
        <w:t>,</w:t>
      </w:r>
      <w:r w:rsidR="00EC35E0" w:rsidRPr="00883E1C">
        <w:rPr>
          <w:color w:val="auto"/>
        </w:rPr>
        <w:t xml:space="preserve"> </w:t>
      </w:r>
      <w:r w:rsidR="00A36E38" w:rsidRPr="00883E1C">
        <w:rPr>
          <w:color w:val="auto"/>
        </w:rPr>
        <w:t xml:space="preserve">demands a brief review of </w:t>
      </w:r>
      <w:r w:rsidR="00195EB2" w:rsidRPr="00883E1C">
        <w:rPr>
          <w:color w:val="auto"/>
        </w:rPr>
        <w:t>their relationship</w:t>
      </w:r>
      <w:r w:rsidR="00473B63" w:rsidRPr="00883E1C">
        <w:rPr>
          <w:color w:val="auto"/>
        </w:rPr>
        <w:t>.</w:t>
      </w:r>
      <w:r w:rsidR="00AA528A" w:rsidRPr="00883E1C">
        <w:rPr>
          <w:color w:val="auto"/>
        </w:rPr>
        <w:t xml:space="preserve"> </w:t>
      </w:r>
      <w:r w:rsidR="007D6C47" w:rsidRPr="00883E1C">
        <w:rPr>
          <w:color w:val="auto"/>
        </w:rPr>
        <w:t xml:space="preserve">The </w:t>
      </w:r>
      <w:r w:rsidR="00195EB2" w:rsidRPr="00883E1C">
        <w:rPr>
          <w:color w:val="auto"/>
        </w:rPr>
        <w:t>agencies range</w:t>
      </w:r>
      <w:r w:rsidR="00EC35E0" w:rsidRPr="00883E1C">
        <w:rPr>
          <w:color w:val="auto"/>
        </w:rPr>
        <w:t xml:space="preserve"> from the SROs, to the pro</w:t>
      </w:r>
      <w:r w:rsidR="00BE1B0E" w:rsidRPr="00883E1C">
        <w:rPr>
          <w:color w:val="auto"/>
        </w:rPr>
        <w:t>vincial securities commissions</w:t>
      </w:r>
      <w:r w:rsidRPr="00883E1C">
        <w:rPr>
          <w:color w:val="auto"/>
        </w:rPr>
        <w:t xml:space="preserve">, and </w:t>
      </w:r>
      <w:r w:rsidR="00EC35E0" w:rsidRPr="00883E1C">
        <w:rPr>
          <w:color w:val="auto"/>
        </w:rPr>
        <w:t>the R</w:t>
      </w:r>
      <w:r w:rsidR="00BE1B0E" w:rsidRPr="00883E1C">
        <w:rPr>
          <w:color w:val="auto"/>
        </w:rPr>
        <w:t>oyal Canadian Mounted Police (R</w:t>
      </w:r>
      <w:r w:rsidR="00EC35E0" w:rsidRPr="00883E1C">
        <w:rPr>
          <w:color w:val="auto"/>
        </w:rPr>
        <w:t>CMP</w:t>
      </w:r>
      <w:r w:rsidR="00BE1B0E" w:rsidRPr="00883E1C">
        <w:rPr>
          <w:color w:val="auto"/>
        </w:rPr>
        <w:t>)</w:t>
      </w:r>
      <w:r w:rsidR="00EC35E0" w:rsidRPr="00883E1C">
        <w:rPr>
          <w:color w:val="auto"/>
        </w:rPr>
        <w:t xml:space="preserve">, all of which have their own legislations and enforcement frameworks that govern securities regulation.  The commissions have their own </w:t>
      </w:r>
      <w:r w:rsidR="00EC35E0" w:rsidRPr="00883E1C">
        <w:rPr>
          <w:i/>
          <w:color w:val="auto"/>
        </w:rPr>
        <w:t>Securities Acts</w:t>
      </w:r>
      <w:r w:rsidR="00EC35E0" w:rsidRPr="00883E1C">
        <w:rPr>
          <w:color w:val="auto"/>
        </w:rPr>
        <w:t>; the SROs their S</w:t>
      </w:r>
      <w:r w:rsidRPr="00883E1C">
        <w:rPr>
          <w:color w:val="auto"/>
        </w:rPr>
        <w:t>anction Guidelines</w:t>
      </w:r>
      <w:r w:rsidR="00EC35E0" w:rsidRPr="00883E1C">
        <w:rPr>
          <w:color w:val="auto"/>
        </w:rPr>
        <w:t xml:space="preserve">; and the RCMP the Canadian </w:t>
      </w:r>
      <w:r w:rsidR="00EC35E0" w:rsidRPr="00883E1C">
        <w:rPr>
          <w:i/>
          <w:color w:val="auto"/>
        </w:rPr>
        <w:t>Criminal Code</w:t>
      </w:r>
      <w:r w:rsidR="00EC35E0" w:rsidRPr="00883E1C">
        <w:rPr>
          <w:color w:val="auto"/>
        </w:rPr>
        <w:t xml:space="preserve">. The enforcement of these legislations is effected through administrative hearings, securities law quasi-criminal prosecutions, and criminal prosecution. </w:t>
      </w:r>
    </w:p>
    <w:p w:rsidR="00EC35E0" w:rsidRPr="00883E1C" w:rsidRDefault="00EC35E0" w:rsidP="001757BF">
      <w:pPr>
        <w:spacing w:after="0"/>
        <w:ind w:firstLine="720"/>
        <w:rPr>
          <w:rFonts w:ascii="Times New Roman" w:hAnsi="Times New Roman"/>
          <w:sz w:val="24"/>
          <w:szCs w:val="24"/>
        </w:rPr>
      </w:pPr>
      <w:r w:rsidRPr="00883E1C">
        <w:rPr>
          <w:rFonts w:ascii="Times New Roman" w:hAnsi="Times New Roman"/>
          <w:sz w:val="24"/>
          <w:szCs w:val="24"/>
        </w:rPr>
        <w:t xml:space="preserve">The enforcement of the provincial securities legislations and SROs’ Guidelines are effected through administrative proceedings. The commissions can also effect quasi-criminal prosecutions under provincial securities laws in provincial courts.  Quasi-criminal offences are punitive proceedings and are brought under the provincial securities act or SROs’ Guidelines rather than the Canadian </w:t>
      </w:r>
      <w:r w:rsidRPr="00883E1C">
        <w:rPr>
          <w:rFonts w:ascii="Times New Roman" w:hAnsi="Times New Roman"/>
          <w:i/>
          <w:sz w:val="24"/>
          <w:szCs w:val="24"/>
        </w:rPr>
        <w:t>Criminal Code</w:t>
      </w:r>
      <w:r w:rsidRPr="00883E1C">
        <w:rPr>
          <w:rFonts w:ascii="Times New Roman" w:hAnsi="Times New Roman"/>
          <w:sz w:val="24"/>
          <w:szCs w:val="24"/>
        </w:rPr>
        <w:t xml:space="preserve">. Cases referred to the RCMP by the commissions and SROs or cases the RCMP initiated, are prosecuted under the Canadian </w:t>
      </w:r>
      <w:r w:rsidRPr="00883E1C">
        <w:rPr>
          <w:rFonts w:ascii="Times New Roman" w:hAnsi="Times New Roman"/>
          <w:i/>
          <w:sz w:val="24"/>
          <w:szCs w:val="24"/>
        </w:rPr>
        <w:t>Criminal Code</w:t>
      </w:r>
      <w:r w:rsidRPr="00883E1C">
        <w:rPr>
          <w:rFonts w:ascii="Times New Roman" w:hAnsi="Times New Roman"/>
          <w:sz w:val="24"/>
          <w:szCs w:val="24"/>
        </w:rPr>
        <w:t xml:space="preserve">. </w:t>
      </w:r>
    </w:p>
    <w:p w:rsidR="00644F9F" w:rsidRPr="00883E1C" w:rsidRDefault="00A02806" w:rsidP="00295BE4">
      <w:pPr>
        <w:pStyle w:val="Default"/>
        <w:spacing w:after="0" w:line="480" w:lineRule="auto"/>
        <w:rPr>
          <w:b/>
          <w:color w:val="auto"/>
          <w:sz w:val="28"/>
          <w:szCs w:val="28"/>
        </w:rPr>
      </w:pPr>
      <w:r w:rsidRPr="00883E1C">
        <w:rPr>
          <w:b/>
          <w:color w:val="auto"/>
          <w:sz w:val="28"/>
          <w:szCs w:val="28"/>
        </w:rPr>
        <w:t xml:space="preserve">3.  </w:t>
      </w:r>
      <w:r w:rsidR="00C829BF" w:rsidRPr="00883E1C">
        <w:rPr>
          <w:b/>
          <w:color w:val="auto"/>
          <w:sz w:val="28"/>
          <w:szCs w:val="28"/>
        </w:rPr>
        <w:t>Self-Regulatory</w:t>
      </w:r>
      <w:r w:rsidR="00644F9F" w:rsidRPr="00883E1C">
        <w:rPr>
          <w:b/>
          <w:color w:val="auto"/>
          <w:sz w:val="28"/>
          <w:szCs w:val="28"/>
        </w:rPr>
        <w:t xml:space="preserve"> Theoretical Framework</w:t>
      </w:r>
    </w:p>
    <w:p w:rsidR="006B1004" w:rsidRPr="00883E1C" w:rsidRDefault="00A02806" w:rsidP="00295BE4">
      <w:pPr>
        <w:pStyle w:val="Default"/>
        <w:spacing w:after="0" w:line="480" w:lineRule="auto"/>
        <w:rPr>
          <w:i/>
          <w:color w:val="auto"/>
        </w:rPr>
      </w:pPr>
      <w:r w:rsidRPr="00883E1C">
        <w:rPr>
          <w:i/>
          <w:color w:val="auto"/>
        </w:rPr>
        <w:t xml:space="preserve">3.1. </w:t>
      </w:r>
      <w:r w:rsidR="00644F9F" w:rsidRPr="00883E1C">
        <w:rPr>
          <w:i/>
          <w:color w:val="auto"/>
        </w:rPr>
        <w:t xml:space="preserve">Self-regulation: </w:t>
      </w:r>
      <w:r w:rsidR="00C829BF" w:rsidRPr="00883E1C">
        <w:rPr>
          <w:i/>
          <w:color w:val="auto"/>
        </w:rPr>
        <w:t>The Concept</w:t>
      </w:r>
    </w:p>
    <w:p w:rsidR="00096651" w:rsidRPr="00883E1C" w:rsidRDefault="001254C4" w:rsidP="009333E3">
      <w:pPr>
        <w:ind w:firstLine="720"/>
        <w:rPr>
          <w:rFonts w:ascii="Times New Roman" w:hAnsi="Times New Roman"/>
          <w:sz w:val="24"/>
          <w:szCs w:val="24"/>
        </w:rPr>
      </w:pPr>
      <w:r w:rsidRPr="00883E1C">
        <w:rPr>
          <w:rFonts w:ascii="Times New Roman" w:hAnsi="Times New Roman"/>
          <w:sz w:val="24"/>
          <w:szCs w:val="24"/>
        </w:rPr>
        <w:t>SROs come in many forms</w:t>
      </w:r>
      <w:r w:rsidR="00644F9F" w:rsidRPr="00883E1C">
        <w:rPr>
          <w:rFonts w:ascii="Times New Roman" w:hAnsi="Times New Roman"/>
          <w:sz w:val="24"/>
          <w:szCs w:val="24"/>
        </w:rPr>
        <w:t xml:space="preserve"> (Gunningham and Rees: 1997: 364</w:t>
      </w:r>
      <w:r w:rsidR="005B3F2E" w:rsidRPr="00883E1C">
        <w:rPr>
          <w:rFonts w:ascii="Times New Roman" w:hAnsi="Times New Roman"/>
          <w:sz w:val="24"/>
          <w:szCs w:val="24"/>
        </w:rPr>
        <w:t>)</w:t>
      </w:r>
      <w:r w:rsidR="00644F9F" w:rsidRPr="00883E1C">
        <w:rPr>
          <w:rFonts w:ascii="Times New Roman" w:hAnsi="Times New Roman"/>
          <w:sz w:val="24"/>
          <w:szCs w:val="24"/>
        </w:rPr>
        <w:t xml:space="preserve">. </w:t>
      </w:r>
      <w:r w:rsidRPr="00883E1C">
        <w:rPr>
          <w:rFonts w:ascii="Times New Roman" w:hAnsi="Times New Roman"/>
          <w:sz w:val="24"/>
          <w:szCs w:val="24"/>
        </w:rPr>
        <w:t xml:space="preserve">As such, there is no </w:t>
      </w:r>
      <w:r w:rsidR="00F1668C" w:rsidRPr="00883E1C">
        <w:rPr>
          <w:rFonts w:ascii="Times New Roman" w:hAnsi="Times New Roman"/>
          <w:sz w:val="24"/>
          <w:szCs w:val="24"/>
        </w:rPr>
        <w:t xml:space="preserve">single </w:t>
      </w:r>
      <w:r w:rsidRPr="00883E1C">
        <w:rPr>
          <w:rFonts w:ascii="Times New Roman" w:hAnsi="Times New Roman"/>
          <w:sz w:val="24"/>
          <w:szCs w:val="24"/>
        </w:rPr>
        <w:t>overa</w:t>
      </w:r>
      <w:r w:rsidR="00B271A8" w:rsidRPr="00883E1C">
        <w:rPr>
          <w:rFonts w:ascii="Times New Roman" w:hAnsi="Times New Roman"/>
          <w:sz w:val="24"/>
          <w:szCs w:val="24"/>
        </w:rPr>
        <w:t>rching definition that guides their</w:t>
      </w:r>
      <w:r w:rsidR="00593052" w:rsidRPr="00883E1C">
        <w:rPr>
          <w:rFonts w:ascii="Times New Roman" w:hAnsi="Times New Roman"/>
          <w:sz w:val="24"/>
          <w:szCs w:val="24"/>
        </w:rPr>
        <w:t xml:space="preserve"> practices (Sinclair, 1997: 533-534). </w:t>
      </w:r>
      <w:r w:rsidR="00F1668C" w:rsidRPr="00883E1C">
        <w:rPr>
          <w:rFonts w:ascii="Times New Roman" w:hAnsi="Times New Roman"/>
          <w:sz w:val="24"/>
          <w:szCs w:val="24"/>
        </w:rPr>
        <w:t>Rather,</w:t>
      </w:r>
      <w:r w:rsidR="001D48BA" w:rsidRPr="00883E1C">
        <w:rPr>
          <w:rFonts w:ascii="Times New Roman" w:hAnsi="Times New Roman"/>
          <w:sz w:val="24"/>
          <w:szCs w:val="24"/>
        </w:rPr>
        <w:t xml:space="preserve"> in order to</w:t>
      </w:r>
      <w:r w:rsidR="00F1668C" w:rsidRPr="00883E1C">
        <w:rPr>
          <w:rFonts w:ascii="Times New Roman" w:hAnsi="Times New Roman"/>
          <w:sz w:val="24"/>
          <w:szCs w:val="24"/>
        </w:rPr>
        <w:t xml:space="preserve"> appreciate the various dimensions of self-re</w:t>
      </w:r>
      <w:r w:rsidR="001D48BA" w:rsidRPr="00883E1C">
        <w:rPr>
          <w:rFonts w:ascii="Times New Roman" w:hAnsi="Times New Roman"/>
          <w:sz w:val="24"/>
          <w:szCs w:val="24"/>
        </w:rPr>
        <w:t xml:space="preserve">gulation, it </w:t>
      </w:r>
      <w:r w:rsidR="00784C66" w:rsidRPr="00883E1C">
        <w:rPr>
          <w:rFonts w:ascii="Times New Roman" w:hAnsi="Times New Roman"/>
          <w:sz w:val="24"/>
          <w:szCs w:val="24"/>
        </w:rPr>
        <w:t xml:space="preserve">is </w:t>
      </w:r>
      <w:r w:rsidR="001D48BA" w:rsidRPr="00883E1C">
        <w:rPr>
          <w:rFonts w:ascii="Times New Roman" w:hAnsi="Times New Roman"/>
          <w:sz w:val="24"/>
          <w:szCs w:val="24"/>
        </w:rPr>
        <w:t>important to look</w:t>
      </w:r>
      <w:r w:rsidR="0028664D" w:rsidRPr="00883E1C">
        <w:rPr>
          <w:rFonts w:ascii="Times New Roman" w:hAnsi="Times New Roman"/>
          <w:sz w:val="24"/>
          <w:szCs w:val="24"/>
        </w:rPr>
        <w:t xml:space="preserve"> at</w:t>
      </w:r>
      <w:r w:rsidR="001D48BA" w:rsidRPr="00883E1C">
        <w:rPr>
          <w:rFonts w:ascii="Times New Roman" w:hAnsi="Times New Roman"/>
          <w:sz w:val="24"/>
          <w:szCs w:val="24"/>
        </w:rPr>
        <w:t xml:space="preserve"> th</w:t>
      </w:r>
      <w:r w:rsidR="005B3F2E" w:rsidRPr="00883E1C">
        <w:rPr>
          <w:rFonts w:ascii="Times New Roman" w:hAnsi="Times New Roman"/>
          <w:sz w:val="24"/>
          <w:szCs w:val="24"/>
        </w:rPr>
        <w:t>e context in which they operate</w:t>
      </w:r>
      <w:r w:rsidR="00593052" w:rsidRPr="00883E1C">
        <w:rPr>
          <w:rFonts w:ascii="Times New Roman" w:hAnsi="Times New Roman"/>
          <w:sz w:val="24"/>
          <w:szCs w:val="24"/>
        </w:rPr>
        <w:t>.</w:t>
      </w:r>
      <w:r w:rsidR="005B3F2E" w:rsidRPr="00883E1C">
        <w:rPr>
          <w:rFonts w:ascii="Times New Roman" w:hAnsi="Times New Roman"/>
          <w:sz w:val="24"/>
          <w:szCs w:val="24"/>
        </w:rPr>
        <w:t xml:space="preserve"> </w:t>
      </w:r>
      <w:r w:rsidR="001D48BA" w:rsidRPr="00883E1C">
        <w:rPr>
          <w:rFonts w:ascii="Times New Roman" w:hAnsi="Times New Roman"/>
          <w:sz w:val="24"/>
          <w:szCs w:val="24"/>
        </w:rPr>
        <w:t>Depending on the context, a number of important</w:t>
      </w:r>
      <w:r w:rsidR="00F1668C" w:rsidRPr="00883E1C">
        <w:rPr>
          <w:rFonts w:ascii="Times New Roman" w:hAnsi="Times New Roman"/>
          <w:sz w:val="24"/>
          <w:szCs w:val="24"/>
        </w:rPr>
        <w:t xml:space="preserve"> definitions have been put forward</w:t>
      </w:r>
      <w:r w:rsidR="001D48BA" w:rsidRPr="00883E1C">
        <w:rPr>
          <w:rFonts w:ascii="Times New Roman" w:hAnsi="Times New Roman"/>
          <w:sz w:val="24"/>
          <w:szCs w:val="24"/>
        </w:rPr>
        <w:t>.</w:t>
      </w:r>
      <w:r w:rsidR="00F1668C" w:rsidRPr="00883E1C">
        <w:rPr>
          <w:rFonts w:ascii="Times New Roman" w:hAnsi="Times New Roman"/>
          <w:sz w:val="24"/>
          <w:szCs w:val="24"/>
        </w:rPr>
        <w:t xml:space="preserve"> In its purest form, </w:t>
      </w:r>
      <w:r w:rsidR="00B271A8" w:rsidRPr="00883E1C">
        <w:rPr>
          <w:rFonts w:ascii="Times New Roman" w:hAnsi="Times New Roman"/>
          <w:sz w:val="24"/>
          <w:szCs w:val="24"/>
        </w:rPr>
        <w:t>“</w:t>
      </w:r>
      <w:r w:rsidR="00F1668C" w:rsidRPr="00883E1C">
        <w:rPr>
          <w:rFonts w:ascii="Times New Roman" w:hAnsi="Times New Roman"/>
          <w:sz w:val="24"/>
          <w:szCs w:val="24"/>
        </w:rPr>
        <w:t xml:space="preserve">self-regulation refers to situations in which firms, individuals, or </w:t>
      </w:r>
      <w:r w:rsidR="00F1668C" w:rsidRPr="00883E1C">
        <w:rPr>
          <w:rFonts w:ascii="Times New Roman" w:hAnsi="Times New Roman"/>
          <w:sz w:val="24"/>
          <w:szCs w:val="24"/>
        </w:rPr>
        <w:lastRenderedPageBreak/>
        <w:t>other parties are allowed to monitor and adjust their behaviour using certain standards and perhaps to set the st</w:t>
      </w:r>
      <w:r w:rsidR="00D02903" w:rsidRPr="00883E1C">
        <w:rPr>
          <w:rFonts w:ascii="Times New Roman" w:hAnsi="Times New Roman"/>
          <w:sz w:val="24"/>
          <w:szCs w:val="24"/>
        </w:rPr>
        <w:t>andards themselves” (McCaffrey and</w:t>
      </w:r>
      <w:r w:rsidR="00F1668C" w:rsidRPr="00883E1C">
        <w:rPr>
          <w:rFonts w:ascii="Times New Roman" w:hAnsi="Times New Roman"/>
          <w:sz w:val="24"/>
          <w:szCs w:val="24"/>
        </w:rPr>
        <w:t xml:space="preserve"> Hart, 1998: 6). </w:t>
      </w:r>
      <w:r w:rsidR="00096651" w:rsidRPr="00883E1C">
        <w:rPr>
          <w:rFonts w:ascii="Times New Roman" w:hAnsi="Times New Roman"/>
          <w:sz w:val="24"/>
          <w:szCs w:val="24"/>
        </w:rPr>
        <w:t xml:space="preserve">The implication of this definition is that </w:t>
      </w:r>
      <w:r w:rsidR="00096651" w:rsidRPr="00883E1C">
        <w:rPr>
          <w:rFonts w:ascii="Times New Roman" w:hAnsi="Times New Roman"/>
          <w:sz w:val="24"/>
          <w:szCs w:val="24"/>
          <w:lang w:bidi="ar-SA"/>
        </w:rPr>
        <w:t xml:space="preserve">industry self-regulation requires firms in the industry to decide to cooperate with each other (Gunningham and Rees: 1997: 365). </w:t>
      </w:r>
      <w:r w:rsidR="00134E84" w:rsidRPr="00883E1C">
        <w:rPr>
          <w:rFonts w:ascii="Times New Roman" w:hAnsi="Times New Roman"/>
          <w:sz w:val="24"/>
          <w:szCs w:val="24"/>
        </w:rPr>
        <w:t xml:space="preserve">These SROs </w:t>
      </w:r>
      <w:r w:rsidR="00E95E2D" w:rsidRPr="00883E1C">
        <w:rPr>
          <w:rFonts w:ascii="Times New Roman" w:hAnsi="Times New Roman"/>
          <w:sz w:val="24"/>
          <w:szCs w:val="24"/>
        </w:rPr>
        <w:t>are not “state-backed in the formal sense; the government neither legislates them into existence nor deleg</w:t>
      </w:r>
      <w:r w:rsidR="00D02903" w:rsidRPr="00883E1C">
        <w:rPr>
          <w:rFonts w:ascii="Times New Roman" w:hAnsi="Times New Roman"/>
          <w:sz w:val="24"/>
          <w:szCs w:val="24"/>
        </w:rPr>
        <w:t>ates powers to them” (Brockman and</w:t>
      </w:r>
      <w:r w:rsidR="00E95E2D" w:rsidRPr="00883E1C">
        <w:rPr>
          <w:rFonts w:ascii="Times New Roman" w:hAnsi="Times New Roman"/>
          <w:sz w:val="24"/>
          <w:szCs w:val="24"/>
        </w:rPr>
        <w:t xml:space="preserve"> McEwen 1990: 2). Even though “the government might facilitate their formation through legislation governing associations and corporations, it is not usually involved in enforcing rules created by the SROs” (p.2).</w:t>
      </w:r>
      <w:r w:rsidR="00B223C2" w:rsidRPr="00883E1C">
        <w:rPr>
          <w:rFonts w:ascii="Times New Roman" w:hAnsi="Times New Roman"/>
          <w:sz w:val="24"/>
          <w:szCs w:val="24"/>
        </w:rPr>
        <w:t xml:space="preserve"> Examples</w:t>
      </w:r>
      <w:r w:rsidR="00096651" w:rsidRPr="00883E1C">
        <w:rPr>
          <w:rFonts w:ascii="Times New Roman" w:hAnsi="Times New Roman"/>
          <w:sz w:val="24"/>
          <w:szCs w:val="24"/>
        </w:rPr>
        <w:t xml:space="preserve"> of these are </w:t>
      </w:r>
      <w:r w:rsidR="005D3C12" w:rsidRPr="00883E1C">
        <w:rPr>
          <w:rFonts w:ascii="Times New Roman" w:hAnsi="Times New Roman"/>
          <w:sz w:val="24"/>
          <w:szCs w:val="24"/>
        </w:rPr>
        <w:t>the early stock market exchanges</w:t>
      </w:r>
      <w:r w:rsidR="00A44969" w:rsidRPr="00883E1C">
        <w:rPr>
          <w:rFonts w:ascii="Times New Roman" w:hAnsi="Times New Roman"/>
          <w:sz w:val="24"/>
          <w:szCs w:val="24"/>
        </w:rPr>
        <w:t>,</w:t>
      </w:r>
      <w:r w:rsidR="005D3C12" w:rsidRPr="00883E1C">
        <w:rPr>
          <w:rFonts w:ascii="Times New Roman" w:hAnsi="Times New Roman"/>
          <w:sz w:val="24"/>
          <w:szCs w:val="24"/>
        </w:rPr>
        <w:t xml:space="preserve"> </w:t>
      </w:r>
      <w:r w:rsidR="0028664D" w:rsidRPr="00883E1C">
        <w:rPr>
          <w:rFonts w:ascii="Times New Roman" w:hAnsi="Times New Roman"/>
          <w:sz w:val="24"/>
          <w:szCs w:val="24"/>
        </w:rPr>
        <w:t>“where</w:t>
      </w:r>
      <w:r w:rsidR="00096651" w:rsidRPr="00883E1C">
        <w:rPr>
          <w:rFonts w:ascii="Times New Roman" w:hAnsi="Times New Roman"/>
          <w:sz w:val="24"/>
          <w:szCs w:val="24"/>
        </w:rPr>
        <w:t xml:space="preserve"> members participate in the group and adhere to written standards that govern the treatment of the group’s pooled resources”</w:t>
      </w:r>
      <w:r w:rsidR="005D3C12" w:rsidRPr="00883E1C">
        <w:rPr>
          <w:rFonts w:ascii="Times New Roman" w:hAnsi="Times New Roman"/>
          <w:sz w:val="24"/>
          <w:szCs w:val="24"/>
        </w:rPr>
        <w:t xml:space="preserve"> (p.9). </w:t>
      </w:r>
    </w:p>
    <w:p w:rsidR="0028664D" w:rsidRPr="00883E1C" w:rsidRDefault="00F1668C" w:rsidP="00B271A8">
      <w:pPr>
        <w:pStyle w:val="Default"/>
        <w:spacing w:after="0" w:line="480" w:lineRule="auto"/>
        <w:ind w:firstLine="720"/>
        <w:rPr>
          <w:color w:val="auto"/>
        </w:rPr>
      </w:pPr>
      <w:r w:rsidRPr="00883E1C">
        <w:rPr>
          <w:color w:val="auto"/>
        </w:rPr>
        <w:t>A more attenuated de</w:t>
      </w:r>
      <w:r w:rsidR="00B271A8" w:rsidRPr="00883E1C">
        <w:rPr>
          <w:color w:val="auto"/>
        </w:rPr>
        <w:t xml:space="preserve">finition notes that </w:t>
      </w:r>
      <w:r w:rsidRPr="00883E1C">
        <w:rPr>
          <w:color w:val="auto"/>
        </w:rPr>
        <w:t xml:space="preserve"> </w:t>
      </w:r>
      <w:r w:rsidR="00B271A8" w:rsidRPr="00883E1C">
        <w:rPr>
          <w:color w:val="auto"/>
        </w:rPr>
        <w:t>“self-regulatory organization</w:t>
      </w:r>
      <w:r w:rsidRPr="00883E1C">
        <w:rPr>
          <w:color w:val="auto"/>
        </w:rPr>
        <w:t xml:space="preserve"> means [an entity] that is organized for the purpose of regulating the operations and the standards of practice and business conduct, in capital markets, of its members and their representatives with a view to promoting the protection of investors and the publi</w:t>
      </w:r>
      <w:r w:rsidR="00E14969" w:rsidRPr="00883E1C">
        <w:rPr>
          <w:color w:val="auto"/>
        </w:rPr>
        <w:t>c interest” (Hockin Panel, 2009</w:t>
      </w:r>
      <w:r w:rsidRPr="00883E1C">
        <w:rPr>
          <w:color w:val="auto"/>
        </w:rPr>
        <w:t xml:space="preserve">: 25).  </w:t>
      </w:r>
      <w:r w:rsidR="000E1095" w:rsidRPr="00883E1C">
        <w:rPr>
          <w:color w:val="auto"/>
        </w:rPr>
        <w:t xml:space="preserve">Central to this definition is the notion that consumer protection is paramount to a self-regulatory </w:t>
      </w:r>
      <w:r w:rsidR="000D5B80" w:rsidRPr="00883E1C">
        <w:rPr>
          <w:color w:val="auto"/>
        </w:rPr>
        <w:t>framework</w:t>
      </w:r>
      <w:r w:rsidR="000E1095" w:rsidRPr="00883E1C">
        <w:rPr>
          <w:color w:val="auto"/>
        </w:rPr>
        <w:t xml:space="preserve"> (Gunningham and Rees: 1997: 365). </w:t>
      </w:r>
      <w:r w:rsidR="00FD3067" w:rsidRPr="00883E1C">
        <w:rPr>
          <w:color w:val="auto"/>
        </w:rPr>
        <w:t xml:space="preserve">Membership in these </w:t>
      </w:r>
      <w:r w:rsidR="000D5B80" w:rsidRPr="00883E1C">
        <w:rPr>
          <w:color w:val="auto"/>
        </w:rPr>
        <w:t>SROs</w:t>
      </w:r>
      <w:r w:rsidR="00FD3067" w:rsidRPr="00883E1C">
        <w:rPr>
          <w:color w:val="auto"/>
        </w:rPr>
        <w:t xml:space="preserve"> confers status and gives the registered members a competitive adva</w:t>
      </w:r>
      <w:r w:rsidR="00F77353" w:rsidRPr="00883E1C">
        <w:rPr>
          <w:color w:val="auto"/>
        </w:rPr>
        <w:t>ntage over non-members</w:t>
      </w:r>
      <w:r w:rsidR="00FD3067" w:rsidRPr="00883E1C">
        <w:rPr>
          <w:color w:val="auto"/>
        </w:rPr>
        <w:t>. Lack of membership however, “does not affect their ability to work in that market sector” (</w:t>
      </w:r>
      <w:r w:rsidR="000D5B80" w:rsidRPr="00883E1C">
        <w:rPr>
          <w:color w:val="auto"/>
        </w:rPr>
        <w:t>CFA, 2007:</w:t>
      </w:r>
      <w:r w:rsidR="00297CB6" w:rsidRPr="00883E1C">
        <w:rPr>
          <w:color w:val="auto"/>
        </w:rPr>
        <w:t>10). In Canada, provincial law gives</w:t>
      </w:r>
      <w:r w:rsidR="00FD3067" w:rsidRPr="00883E1C">
        <w:rPr>
          <w:color w:val="auto"/>
        </w:rPr>
        <w:t xml:space="preserve"> a profe</w:t>
      </w:r>
      <w:r w:rsidR="00297CB6" w:rsidRPr="00883E1C">
        <w:rPr>
          <w:color w:val="auto"/>
        </w:rPr>
        <w:t xml:space="preserve">ssional </w:t>
      </w:r>
      <w:r w:rsidR="00BB627A" w:rsidRPr="00883E1C">
        <w:rPr>
          <w:color w:val="auto"/>
        </w:rPr>
        <w:t xml:space="preserve">association for each </w:t>
      </w:r>
      <w:r w:rsidR="00297CB6" w:rsidRPr="00883E1C">
        <w:rPr>
          <w:color w:val="auto"/>
        </w:rPr>
        <w:t xml:space="preserve">accounting </w:t>
      </w:r>
      <w:r w:rsidR="00FD3067" w:rsidRPr="00883E1C">
        <w:rPr>
          <w:color w:val="auto"/>
        </w:rPr>
        <w:t>designation</w:t>
      </w:r>
      <w:r w:rsidR="00297CB6" w:rsidRPr="00883E1C">
        <w:rPr>
          <w:color w:val="auto"/>
        </w:rPr>
        <w:t>s</w:t>
      </w:r>
      <w:r w:rsidR="00FD3067" w:rsidRPr="00883E1C">
        <w:rPr>
          <w:color w:val="auto"/>
        </w:rPr>
        <w:t xml:space="preserve"> the power to govern the </w:t>
      </w:r>
      <w:r w:rsidR="00297CB6" w:rsidRPr="00883E1C">
        <w:rPr>
          <w:color w:val="auto"/>
        </w:rPr>
        <w:t>profession in that jurisdiction</w:t>
      </w:r>
      <w:r w:rsidR="00FD3067" w:rsidRPr="00883E1C">
        <w:rPr>
          <w:color w:val="auto"/>
        </w:rPr>
        <w:t xml:space="preserve">. An example of such an association is </w:t>
      </w:r>
      <w:r w:rsidR="00297C2F" w:rsidRPr="00883E1C">
        <w:rPr>
          <w:color w:val="auto"/>
        </w:rPr>
        <w:t>the Chartered</w:t>
      </w:r>
      <w:r w:rsidR="00D24CA2" w:rsidRPr="00883E1C">
        <w:rPr>
          <w:color w:val="auto"/>
        </w:rPr>
        <w:t xml:space="preserve"> Professional Accountants of </w:t>
      </w:r>
      <w:r w:rsidR="008629DC" w:rsidRPr="00883E1C">
        <w:rPr>
          <w:color w:val="auto"/>
        </w:rPr>
        <w:t>British Columbia (CPABC)</w:t>
      </w:r>
      <w:r w:rsidR="00FD3067" w:rsidRPr="00883E1C">
        <w:rPr>
          <w:color w:val="auto"/>
        </w:rPr>
        <w:t>.</w:t>
      </w:r>
      <w:r w:rsidR="008629DC" w:rsidRPr="00883E1C">
        <w:rPr>
          <w:color w:val="auto"/>
        </w:rPr>
        <w:t xml:space="preserve"> The CPABC</w:t>
      </w:r>
      <w:r w:rsidR="00FD3067" w:rsidRPr="00883E1C">
        <w:rPr>
          <w:color w:val="auto"/>
        </w:rPr>
        <w:t xml:space="preserve"> has its own education requirements and standardized examinations that members are expected to complete in order to </w:t>
      </w:r>
      <w:r w:rsidR="00FD3067" w:rsidRPr="00883E1C">
        <w:rPr>
          <w:color w:val="auto"/>
        </w:rPr>
        <w:lastRenderedPageBreak/>
        <w:t xml:space="preserve">be licensed as Charted Accountants (CA) in </w:t>
      </w:r>
      <w:r w:rsidR="00297CB6" w:rsidRPr="00883E1C">
        <w:rPr>
          <w:color w:val="auto"/>
        </w:rPr>
        <w:t>British Columbia</w:t>
      </w:r>
      <w:r w:rsidR="00BA3D19" w:rsidRPr="00883E1C">
        <w:rPr>
          <w:color w:val="auto"/>
        </w:rPr>
        <w:t>.</w:t>
      </w:r>
      <w:r w:rsidR="00FD3067" w:rsidRPr="00883E1C">
        <w:rPr>
          <w:color w:val="auto"/>
        </w:rPr>
        <w:t xml:space="preserve"> Once licensed, a CA has “Title Protection” and can expect to earn more than an accountant who is not licensed a</w:t>
      </w:r>
      <w:r w:rsidR="000E1095" w:rsidRPr="00883E1C">
        <w:rPr>
          <w:color w:val="auto"/>
        </w:rPr>
        <w:t>nd accredited.</w:t>
      </w:r>
    </w:p>
    <w:p w:rsidR="009333E3" w:rsidRPr="00883E1C" w:rsidRDefault="002E44A9" w:rsidP="00B271A8">
      <w:pPr>
        <w:pStyle w:val="Default"/>
        <w:spacing w:after="0" w:line="480" w:lineRule="auto"/>
        <w:ind w:firstLine="720"/>
        <w:rPr>
          <w:color w:val="auto"/>
        </w:rPr>
      </w:pPr>
      <w:r w:rsidRPr="00883E1C">
        <w:rPr>
          <w:color w:val="auto"/>
        </w:rPr>
        <w:t>Less synonymous with the other definitions</w:t>
      </w:r>
      <w:r w:rsidR="004A47A3" w:rsidRPr="00883E1C">
        <w:rPr>
          <w:color w:val="auto"/>
        </w:rPr>
        <w:t xml:space="preserve"> presented so far</w:t>
      </w:r>
      <w:r w:rsidR="00A44969" w:rsidRPr="00883E1C">
        <w:rPr>
          <w:color w:val="auto"/>
        </w:rPr>
        <w:t>,</w:t>
      </w:r>
      <w:r w:rsidR="004A47A3" w:rsidRPr="00883E1C">
        <w:rPr>
          <w:color w:val="auto"/>
        </w:rPr>
        <w:t xml:space="preserve"> is</w:t>
      </w:r>
      <w:r w:rsidRPr="00883E1C">
        <w:rPr>
          <w:color w:val="auto"/>
        </w:rPr>
        <w:t xml:space="preserve"> one that</w:t>
      </w:r>
      <w:r w:rsidR="00823CA6" w:rsidRPr="00883E1C">
        <w:rPr>
          <w:color w:val="auto"/>
        </w:rPr>
        <w:t xml:space="preserve"> highlights state intervention into the </w:t>
      </w:r>
      <w:r w:rsidR="00DE769C" w:rsidRPr="00883E1C">
        <w:rPr>
          <w:color w:val="auto"/>
        </w:rPr>
        <w:t>regulatory affairs of SROs (</w:t>
      </w:r>
      <w:r w:rsidR="00784C66" w:rsidRPr="00883E1C">
        <w:rPr>
          <w:color w:val="auto"/>
        </w:rPr>
        <w:t xml:space="preserve">Black, 1996; </w:t>
      </w:r>
      <w:r w:rsidR="009333E3" w:rsidRPr="00883E1C">
        <w:rPr>
          <w:color w:val="auto"/>
        </w:rPr>
        <w:t>Rees, 1998).</w:t>
      </w:r>
      <w:r w:rsidR="00375277" w:rsidRPr="00883E1C">
        <w:rPr>
          <w:color w:val="auto"/>
        </w:rPr>
        <w:t xml:space="preserve"> </w:t>
      </w:r>
      <w:r w:rsidR="00DE769C" w:rsidRPr="00883E1C">
        <w:rPr>
          <w:color w:val="auto"/>
        </w:rPr>
        <w:t xml:space="preserve">Here, self-regulation is defined as </w:t>
      </w:r>
      <w:r w:rsidR="00375277" w:rsidRPr="00883E1C">
        <w:rPr>
          <w:color w:val="auto"/>
        </w:rPr>
        <w:t>“a system that encourages (‘regulates’) certain social behaviours by a collective (the ‘Self’) in order to avoid</w:t>
      </w:r>
      <w:r w:rsidR="00551A1D" w:rsidRPr="00883E1C">
        <w:rPr>
          <w:color w:val="auto"/>
        </w:rPr>
        <w:t xml:space="preserve"> direct s</w:t>
      </w:r>
      <w:r w:rsidR="00375277" w:rsidRPr="00883E1C">
        <w:rPr>
          <w:color w:val="auto"/>
        </w:rPr>
        <w:t>tate intervention (‘regulation’)” (CFA, 2007: 1).</w:t>
      </w:r>
      <w:r w:rsidR="00DE769C" w:rsidRPr="00883E1C">
        <w:rPr>
          <w:color w:val="auto"/>
        </w:rPr>
        <w:t xml:space="preserve"> </w:t>
      </w:r>
      <w:r w:rsidR="00375277" w:rsidRPr="00883E1C">
        <w:rPr>
          <w:color w:val="auto"/>
        </w:rPr>
        <w:t xml:space="preserve">They are backed by the state, in that they are “created by legislation” and “delegated the power to make rules, investigate and adjudicate alleged breaches, and impose penalties on wayward members” (Brockman </w:t>
      </w:r>
      <w:r w:rsidR="00D02903" w:rsidRPr="00883E1C">
        <w:rPr>
          <w:color w:val="auto"/>
        </w:rPr>
        <w:t>and</w:t>
      </w:r>
      <w:r w:rsidR="00375277" w:rsidRPr="00883E1C">
        <w:rPr>
          <w:color w:val="auto"/>
        </w:rPr>
        <w:t xml:space="preserve"> McEwen 1990: 3). These SROs are usually established by professional groups, such as doctors and lawyers. An example of such an SRO is the Law Society of British Columbia. The Society has its own membership and licensing requirements for lawyers and articling students who wish to practice law in the province. Through the Legal Profession Act, there are provisions that govern the complaints and di</w:t>
      </w:r>
      <w:r w:rsidR="00551A1D" w:rsidRPr="00883E1C">
        <w:rPr>
          <w:color w:val="auto"/>
        </w:rPr>
        <w:t>sciplinary processes of members</w:t>
      </w:r>
      <w:r w:rsidR="00375277" w:rsidRPr="00883E1C">
        <w:rPr>
          <w:color w:val="auto"/>
        </w:rPr>
        <w:t xml:space="preserve"> accused of misconduct. The one distinguishing feature that sets these SROs apart from those that are classified as accredited associations with compulsory standards, is that individuals cannot offer specified services without being licensed by the regulatory body that oversees their profession.</w:t>
      </w:r>
    </w:p>
    <w:p w:rsidR="00594020" w:rsidRPr="00883E1C" w:rsidRDefault="00594020" w:rsidP="00B271A8">
      <w:pPr>
        <w:pStyle w:val="Default"/>
        <w:spacing w:after="0" w:line="480" w:lineRule="auto"/>
        <w:ind w:firstLine="720"/>
        <w:rPr>
          <w:color w:val="auto"/>
        </w:rPr>
      </w:pPr>
      <w:r w:rsidRPr="00883E1C">
        <w:rPr>
          <w:color w:val="auto"/>
        </w:rPr>
        <w:t>For oth</w:t>
      </w:r>
      <w:r w:rsidR="00B271A8" w:rsidRPr="00883E1C">
        <w:rPr>
          <w:color w:val="auto"/>
        </w:rPr>
        <w:t>ers, self-regulation has evolved</w:t>
      </w:r>
      <w:r w:rsidRPr="00883E1C">
        <w:rPr>
          <w:color w:val="auto"/>
        </w:rPr>
        <w:t xml:space="preserve"> to refer </w:t>
      </w:r>
      <w:r w:rsidR="00467926" w:rsidRPr="00883E1C">
        <w:rPr>
          <w:color w:val="auto"/>
        </w:rPr>
        <w:t xml:space="preserve">to </w:t>
      </w:r>
      <w:r w:rsidR="00FB116A" w:rsidRPr="00883E1C">
        <w:rPr>
          <w:color w:val="auto"/>
        </w:rPr>
        <w:t>gover</w:t>
      </w:r>
      <w:r w:rsidR="00C145E6" w:rsidRPr="00883E1C">
        <w:rPr>
          <w:color w:val="auto"/>
        </w:rPr>
        <w:t xml:space="preserve">nment or government </w:t>
      </w:r>
      <w:r w:rsidR="00200AF7" w:rsidRPr="00883E1C">
        <w:rPr>
          <w:color w:val="auto"/>
        </w:rPr>
        <w:t>agencies that oversee</w:t>
      </w:r>
      <w:r w:rsidR="00FB116A" w:rsidRPr="00883E1C">
        <w:rPr>
          <w:color w:val="auto"/>
        </w:rPr>
        <w:t xml:space="preserve"> the regulatory activities</w:t>
      </w:r>
      <w:r w:rsidR="00A53256" w:rsidRPr="00883E1C">
        <w:rPr>
          <w:color w:val="auto"/>
        </w:rPr>
        <w:t xml:space="preserve"> of SROs. </w:t>
      </w:r>
      <w:r w:rsidR="00200AF7" w:rsidRPr="00883E1C">
        <w:rPr>
          <w:color w:val="auto"/>
        </w:rPr>
        <w:t xml:space="preserve">From this </w:t>
      </w:r>
      <w:r w:rsidR="00AF21BB" w:rsidRPr="00883E1C">
        <w:rPr>
          <w:color w:val="auto"/>
        </w:rPr>
        <w:t>position</w:t>
      </w:r>
      <w:r w:rsidR="00200AF7" w:rsidRPr="00883E1C">
        <w:rPr>
          <w:color w:val="auto"/>
        </w:rPr>
        <w:t xml:space="preserve">, self-regulation is presented to mean </w:t>
      </w:r>
    </w:p>
    <w:p w:rsidR="00594020" w:rsidRPr="00883E1C" w:rsidRDefault="00594020" w:rsidP="00F1668C">
      <w:pPr>
        <w:pStyle w:val="Default"/>
        <w:spacing w:after="0"/>
        <w:ind w:firstLine="720"/>
        <w:rPr>
          <w:color w:val="auto"/>
        </w:rPr>
      </w:pPr>
    </w:p>
    <w:p w:rsidR="00594020" w:rsidRPr="00883E1C" w:rsidRDefault="00594020" w:rsidP="00594020">
      <w:pPr>
        <w:pStyle w:val="Default"/>
        <w:spacing w:after="0"/>
        <w:ind w:left="284" w:right="284"/>
        <w:rPr>
          <w:color w:val="auto"/>
        </w:rPr>
      </w:pPr>
      <w:r w:rsidRPr="00883E1C">
        <w:rPr>
          <w:color w:val="auto"/>
        </w:rPr>
        <w:t>the delegation of government regulatory functions to a quasi-public body that is officially expected to prevent or reduce both incompetence (lack of knowledge or ability) and misconduct (criminal, quasi-criminal, or unethical behaviour) by controlling the quality of service to the public, through regulating or governing a number of areas (Brockman, 1998: 588)</w:t>
      </w:r>
      <w:r w:rsidR="001C4C9C" w:rsidRPr="00883E1C">
        <w:rPr>
          <w:color w:val="auto"/>
        </w:rPr>
        <w:t xml:space="preserve">. </w:t>
      </w:r>
    </w:p>
    <w:p w:rsidR="00FB116A" w:rsidRPr="00883E1C" w:rsidRDefault="00FB116A" w:rsidP="00594020">
      <w:pPr>
        <w:pStyle w:val="Default"/>
        <w:spacing w:after="0"/>
        <w:ind w:left="284" w:right="284"/>
        <w:rPr>
          <w:color w:val="auto"/>
        </w:rPr>
      </w:pPr>
    </w:p>
    <w:p w:rsidR="00FB116A" w:rsidRPr="00883E1C" w:rsidRDefault="00FB116A" w:rsidP="00594020">
      <w:pPr>
        <w:pStyle w:val="Default"/>
        <w:spacing w:after="0"/>
        <w:ind w:left="284" w:right="284"/>
        <w:rPr>
          <w:color w:val="auto"/>
        </w:rPr>
      </w:pPr>
    </w:p>
    <w:p w:rsidR="00FB116A" w:rsidRPr="00883E1C" w:rsidRDefault="00C145E6" w:rsidP="00C145E6">
      <w:pPr>
        <w:pStyle w:val="Default"/>
        <w:spacing w:after="0" w:line="480" w:lineRule="auto"/>
        <w:rPr>
          <w:color w:val="auto"/>
        </w:rPr>
      </w:pPr>
      <w:r w:rsidRPr="00883E1C">
        <w:rPr>
          <w:color w:val="auto"/>
        </w:rPr>
        <w:t>Even though an SRO in this category has the power to regulate themselves, the “government retains ultimate oversight authority in which it can override the group’s regulatory proposals or impose rules and regulations as it deem[s] warranted” (CFA, 2007: 10-11; also see Brockman 1998: 591</w:t>
      </w:r>
      <w:r w:rsidR="001C1195" w:rsidRPr="00883E1C">
        <w:rPr>
          <w:color w:val="auto"/>
        </w:rPr>
        <w:t>)</w:t>
      </w:r>
      <w:r w:rsidRPr="00883E1C">
        <w:rPr>
          <w:color w:val="auto"/>
        </w:rPr>
        <w:t xml:space="preserve">. </w:t>
      </w:r>
      <w:r w:rsidR="00D57F23" w:rsidRPr="00883E1C">
        <w:rPr>
          <w:color w:val="auto"/>
        </w:rPr>
        <w:t xml:space="preserve"> </w:t>
      </w:r>
      <w:r w:rsidRPr="00883E1C">
        <w:rPr>
          <w:color w:val="auto"/>
        </w:rPr>
        <w:t xml:space="preserve">The Financial Industry Regulatory Authority (FINRA) in the U.S. falls into this category. The SEC oversees the regulatory activities of FINRA, but allows it to “generate rules and policies for broker-dealers and trading markets” (Pan, 2009: 17-18, 39). In Canada, the provincial securities commissions </w:t>
      </w:r>
      <w:r w:rsidR="00B26B97" w:rsidRPr="00883E1C">
        <w:rPr>
          <w:color w:val="auto"/>
        </w:rPr>
        <w:t xml:space="preserve">acted as </w:t>
      </w:r>
      <w:r w:rsidRPr="00883E1C">
        <w:rPr>
          <w:color w:val="auto"/>
        </w:rPr>
        <w:t xml:space="preserve">the oversight committees for </w:t>
      </w:r>
      <w:r w:rsidR="00B26B97" w:rsidRPr="00883E1C">
        <w:rPr>
          <w:color w:val="auto"/>
        </w:rPr>
        <w:t xml:space="preserve">the </w:t>
      </w:r>
      <w:r w:rsidRPr="00883E1C">
        <w:rPr>
          <w:color w:val="auto"/>
        </w:rPr>
        <w:t>SROs, which in turn overs</w:t>
      </w:r>
      <w:r w:rsidR="000F30B9" w:rsidRPr="00883E1C">
        <w:rPr>
          <w:color w:val="auto"/>
        </w:rPr>
        <w:t>aw</w:t>
      </w:r>
      <w:r w:rsidRPr="00883E1C">
        <w:rPr>
          <w:color w:val="auto"/>
        </w:rPr>
        <w:t xml:space="preserve"> the m</w:t>
      </w:r>
      <w:r w:rsidR="002F257B" w:rsidRPr="00883E1C">
        <w:rPr>
          <w:color w:val="auto"/>
        </w:rPr>
        <w:t>arket regulation of exchanges, M</w:t>
      </w:r>
      <w:r w:rsidRPr="00883E1C">
        <w:rPr>
          <w:color w:val="auto"/>
        </w:rPr>
        <w:t>ember firms and investment and brokerage dealers.</w:t>
      </w:r>
      <w:r w:rsidR="00D57F23" w:rsidRPr="00883E1C">
        <w:rPr>
          <w:color w:val="auto"/>
        </w:rPr>
        <w:t xml:space="preserve"> </w:t>
      </w:r>
      <w:r w:rsidR="00FB116A" w:rsidRPr="00883E1C">
        <w:rPr>
          <w:color w:val="auto"/>
        </w:rPr>
        <w:t>It is this form of self-regulation that</w:t>
      </w:r>
      <w:r w:rsidR="001B102D" w:rsidRPr="00883E1C">
        <w:rPr>
          <w:color w:val="auto"/>
        </w:rPr>
        <w:t xml:space="preserve"> is the principal focus of the present </w:t>
      </w:r>
      <w:r w:rsidR="00FB116A" w:rsidRPr="00883E1C">
        <w:rPr>
          <w:color w:val="auto"/>
        </w:rPr>
        <w:t xml:space="preserve">study. </w:t>
      </w:r>
    </w:p>
    <w:p w:rsidR="00803E92" w:rsidRPr="00883E1C" w:rsidRDefault="00C172BD" w:rsidP="00C172BD">
      <w:pPr>
        <w:pStyle w:val="Default"/>
        <w:spacing w:after="0" w:line="480" w:lineRule="auto"/>
        <w:ind w:firstLine="720"/>
        <w:rPr>
          <w:color w:val="auto"/>
        </w:rPr>
      </w:pPr>
      <w:r w:rsidRPr="00883E1C">
        <w:rPr>
          <w:color w:val="auto"/>
        </w:rPr>
        <w:t>Base</w:t>
      </w:r>
      <w:r w:rsidR="00A44969" w:rsidRPr="00883E1C">
        <w:rPr>
          <w:color w:val="auto"/>
        </w:rPr>
        <w:t>d</w:t>
      </w:r>
      <w:r w:rsidR="006A0EE8" w:rsidRPr="00883E1C">
        <w:rPr>
          <w:color w:val="auto"/>
        </w:rPr>
        <w:t xml:space="preserve"> on the forgoing discussion</w:t>
      </w:r>
      <w:r w:rsidRPr="00883E1C">
        <w:rPr>
          <w:color w:val="auto"/>
        </w:rPr>
        <w:t>, it is evident that there is no clear definition of what constitute</w:t>
      </w:r>
      <w:r w:rsidR="00A44969" w:rsidRPr="00883E1C">
        <w:rPr>
          <w:color w:val="auto"/>
        </w:rPr>
        <w:t>s</w:t>
      </w:r>
      <w:r w:rsidRPr="00883E1C">
        <w:rPr>
          <w:color w:val="auto"/>
        </w:rPr>
        <w:t xml:space="preserve"> self-regulation. </w:t>
      </w:r>
      <w:r w:rsidR="001C4C9C" w:rsidRPr="00883E1C">
        <w:rPr>
          <w:color w:val="auto"/>
        </w:rPr>
        <w:t xml:space="preserve">What is evident </w:t>
      </w:r>
      <w:r w:rsidRPr="00883E1C">
        <w:rPr>
          <w:color w:val="auto"/>
        </w:rPr>
        <w:t>however</w:t>
      </w:r>
      <w:r w:rsidR="001C4C9C" w:rsidRPr="00883E1C">
        <w:rPr>
          <w:color w:val="auto"/>
        </w:rPr>
        <w:t xml:space="preserve"> is that “there is a continuum</w:t>
      </w:r>
      <w:r w:rsidR="007624C4" w:rsidRPr="00883E1C">
        <w:rPr>
          <w:color w:val="auto"/>
        </w:rPr>
        <w:t>, with</w:t>
      </w:r>
      <w:r w:rsidR="001C4C9C" w:rsidRPr="00883E1C">
        <w:rPr>
          <w:color w:val="auto"/>
        </w:rPr>
        <w:t xml:space="preserve"> pure forms of self-regulation and government regulation at opposite ends” (Gunningham and Rees: 1997: 366</w:t>
      </w:r>
      <w:r w:rsidR="00D33C00" w:rsidRPr="00883E1C">
        <w:rPr>
          <w:color w:val="auto"/>
        </w:rPr>
        <w:t>)</w:t>
      </w:r>
      <w:r w:rsidR="007B592E" w:rsidRPr="00883E1C">
        <w:rPr>
          <w:color w:val="auto"/>
        </w:rPr>
        <w:t xml:space="preserve">. </w:t>
      </w:r>
      <w:r w:rsidR="001C4C9C" w:rsidRPr="00883E1C">
        <w:rPr>
          <w:color w:val="auto"/>
        </w:rPr>
        <w:t xml:space="preserve"> </w:t>
      </w:r>
      <w:r w:rsidR="000B51F3" w:rsidRPr="00883E1C">
        <w:rPr>
          <w:color w:val="auto"/>
        </w:rPr>
        <w:t>The underlying variable is the SRO’s relationship with the state, which starts from voluntary self-regulation and involves no formal supervision to the degree of government oversight exhibited over the SRO at the highly regulated end of the continuum</w:t>
      </w:r>
      <w:r w:rsidR="006C4A58" w:rsidRPr="00883E1C">
        <w:rPr>
          <w:color w:val="auto"/>
        </w:rPr>
        <w:t>.</w:t>
      </w:r>
      <w:r w:rsidR="0000039A" w:rsidRPr="00883E1C">
        <w:rPr>
          <w:color w:val="auto"/>
        </w:rPr>
        <w:t xml:space="preserve"> However, </w:t>
      </w:r>
      <w:r w:rsidR="00571FC5" w:rsidRPr="00883E1C">
        <w:rPr>
          <w:color w:val="auto"/>
        </w:rPr>
        <w:t>these pure forms of self-regulation rarely exist</w:t>
      </w:r>
      <w:r w:rsidR="006C4A58" w:rsidRPr="00883E1C">
        <w:rPr>
          <w:color w:val="auto"/>
        </w:rPr>
        <w:t xml:space="preserve">. </w:t>
      </w:r>
      <w:r w:rsidR="00571FC5" w:rsidRPr="00883E1C">
        <w:rPr>
          <w:color w:val="auto"/>
        </w:rPr>
        <w:t xml:space="preserve"> Instead, it may be more “</w:t>
      </w:r>
      <w:r w:rsidR="0000039A" w:rsidRPr="00883E1C">
        <w:rPr>
          <w:color w:val="auto"/>
        </w:rPr>
        <w:t>helpful to think in terms of typologies of</w:t>
      </w:r>
      <w:r w:rsidR="00571FC5" w:rsidRPr="00883E1C">
        <w:rPr>
          <w:color w:val="auto"/>
        </w:rPr>
        <w:t xml:space="preserve"> </w:t>
      </w:r>
      <w:r w:rsidR="0000039A" w:rsidRPr="00883E1C">
        <w:rPr>
          <w:color w:val="auto"/>
        </w:rPr>
        <w:t>social control, ranging from detailed government command and control</w:t>
      </w:r>
      <w:r w:rsidR="00314971" w:rsidRPr="00883E1C">
        <w:rPr>
          <w:color w:val="auto"/>
        </w:rPr>
        <w:t xml:space="preserve"> regulation to ‘pure'</w:t>
      </w:r>
      <w:r w:rsidR="0000039A" w:rsidRPr="00883E1C">
        <w:rPr>
          <w:color w:val="auto"/>
        </w:rPr>
        <w:t xml:space="preserve"> self-regulation, w</w:t>
      </w:r>
      <w:r w:rsidR="00571FC5" w:rsidRPr="00883E1C">
        <w:rPr>
          <w:color w:val="auto"/>
        </w:rPr>
        <w:t>ith different points on the con</w:t>
      </w:r>
      <w:r w:rsidR="0000039A" w:rsidRPr="00883E1C">
        <w:rPr>
          <w:color w:val="auto"/>
        </w:rPr>
        <w:t>tinuum encapsulating various kinds of co-regulation</w:t>
      </w:r>
      <w:r w:rsidR="009E05F1" w:rsidRPr="00883E1C">
        <w:rPr>
          <w:color w:val="auto"/>
        </w:rPr>
        <w:t xml:space="preserve">” (p. </w:t>
      </w:r>
      <w:r w:rsidR="00571FC5" w:rsidRPr="00883E1C">
        <w:rPr>
          <w:color w:val="auto"/>
        </w:rPr>
        <w:t>366</w:t>
      </w:r>
      <w:r w:rsidR="009E05F1" w:rsidRPr="00883E1C">
        <w:rPr>
          <w:color w:val="auto"/>
        </w:rPr>
        <w:t xml:space="preserve">). </w:t>
      </w:r>
    </w:p>
    <w:p w:rsidR="00CB0246" w:rsidRPr="00883E1C" w:rsidRDefault="001B393A" w:rsidP="00295BE4">
      <w:pPr>
        <w:pStyle w:val="Default"/>
        <w:spacing w:after="0" w:line="480" w:lineRule="auto"/>
        <w:rPr>
          <w:i/>
          <w:color w:val="auto"/>
        </w:rPr>
      </w:pPr>
      <w:r w:rsidRPr="00883E1C">
        <w:rPr>
          <w:i/>
          <w:color w:val="auto"/>
        </w:rPr>
        <w:t>3.2. Self</w:t>
      </w:r>
      <w:r w:rsidR="001F014B" w:rsidRPr="00883E1C">
        <w:rPr>
          <w:i/>
          <w:color w:val="auto"/>
        </w:rPr>
        <w:t>-regulation and The SRO’s Misconduct Funnel: Strengths and Weaknesses</w:t>
      </w:r>
    </w:p>
    <w:p w:rsidR="00277583" w:rsidRPr="00883E1C" w:rsidRDefault="008B140F" w:rsidP="00DC38ED">
      <w:pPr>
        <w:pStyle w:val="NormalIndent"/>
        <w:spacing w:after="0"/>
        <w:rPr>
          <w:rFonts w:ascii="Times New Roman" w:hAnsi="Times New Roman"/>
          <w:sz w:val="24"/>
          <w:szCs w:val="24"/>
        </w:rPr>
      </w:pPr>
      <w:r w:rsidRPr="00883E1C">
        <w:rPr>
          <w:rFonts w:ascii="Times New Roman" w:eastAsiaTheme="minorHAnsi" w:hAnsi="Times New Roman"/>
          <w:sz w:val="24"/>
          <w:szCs w:val="24"/>
          <w:lang w:bidi="ar-SA"/>
        </w:rPr>
        <w:t xml:space="preserve">The SRO’s misconduct funnel incorporates both the benefits and criticisms of self-regulation </w:t>
      </w:r>
      <w:r w:rsidR="005C6D32" w:rsidRPr="00883E1C">
        <w:rPr>
          <w:rFonts w:ascii="Times New Roman" w:eastAsiaTheme="minorHAnsi" w:hAnsi="Times New Roman"/>
          <w:sz w:val="24"/>
          <w:szCs w:val="24"/>
          <w:lang w:bidi="ar-SA"/>
        </w:rPr>
        <w:t>(Brockman, 2004: 55).</w:t>
      </w:r>
      <w:r w:rsidR="00D70AAF" w:rsidRPr="00883E1C">
        <w:rPr>
          <w:rFonts w:ascii="Times New Roman" w:eastAsiaTheme="minorHAnsi" w:hAnsi="Times New Roman"/>
          <w:sz w:val="24"/>
          <w:szCs w:val="24"/>
          <w:lang w:bidi="ar-SA"/>
        </w:rPr>
        <w:t xml:space="preserve"> </w:t>
      </w:r>
      <w:r w:rsidR="00D46C55" w:rsidRPr="00883E1C">
        <w:rPr>
          <w:rFonts w:ascii="Times New Roman" w:eastAsiaTheme="minorHAnsi" w:hAnsi="Times New Roman"/>
          <w:sz w:val="24"/>
          <w:szCs w:val="24"/>
          <w:lang w:bidi="ar-SA"/>
        </w:rPr>
        <w:t xml:space="preserve">Among the </w:t>
      </w:r>
      <w:r w:rsidR="005C6D32" w:rsidRPr="00883E1C">
        <w:rPr>
          <w:rFonts w:ascii="Times New Roman" w:hAnsi="Times New Roman"/>
          <w:sz w:val="24"/>
          <w:szCs w:val="24"/>
        </w:rPr>
        <w:t>benefits of SROs</w:t>
      </w:r>
      <w:r w:rsidR="007C01EB" w:rsidRPr="00883E1C">
        <w:rPr>
          <w:rFonts w:ascii="Times New Roman" w:hAnsi="Times New Roman"/>
          <w:sz w:val="24"/>
          <w:szCs w:val="24"/>
        </w:rPr>
        <w:t>,</w:t>
      </w:r>
      <w:r w:rsidR="005C6D32" w:rsidRPr="00883E1C">
        <w:rPr>
          <w:rFonts w:ascii="Times New Roman" w:hAnsi="Times New Roman"/>
          <w:sz w:val="24"/>
          <w:szCs w:val="24"/>
        </w:rPr>
        <w:t xml:space="preserve"> is that they claim to </w:t>
      </w:r>
      <w:r w:rsidR="006322B2" w:rsidRPr="00883E1C">
        <w:rPr>
          <w:rFonts w:ascii="Times New Roman" w:hAnsi="Times New Roman"/>
          <w:sz w:val="24"/>
          <w:szCs w:val="24"/>
        </w:rPr>
        <w:t>“‘funnel</w:t>
      </w:r>
      <w:r w:rsidR="00AE2B94" w:rsidRPr="00883E1C">
        <w:rPr>
          <w:rFonts w:ascii="Times New Roman" w:hAnsi="Times New Roman"/>
          <w:sz w:val="24"/>
          <w:szCs w:val="24"/>
        </w:rPr>
        <w:t xml:space="preserve"> in’ </w:t>
      </w:r>
      <w:r w:rsidR="005C6D32" w:rsidRPr="00883E1C">
        <w:rPr>
          <w:rFonts w:ascii="Times New Roman" w:hAnsi="Times New Roman"/>
          <w:sz w:val="24"/>
          <w:szCs w:val="24"/>
        </w:rPr>
        <w:t>more deviant behaviour than government regu</w:t>
      </w:r>
      <w:r w:rsidR="00AD6BFB" w:rsidRPr="00883E1C">
        <w:rPr>
          <w:rFonts w:ascii="Times New Roman" w:hAnsi="Times New Roman"/>
          <w:sz w:val="24"/>
          <w:szCs w:val="24"/>
        </w:rPr>
        <w:t>lators</w:t>
      </w:r>
      <w:r w:rsidR="00266645" w:rsidRPr="00883E1C">
        <w:rPr>
          <w:rFonts w:ascii="Times New Roman" w:hAnsi="Times New Roman"/>
          <w:sz w:val="24"/>
          <w:szCs w:val="24"/>
        </w:rPr>
        <w:t xml:space="preserve">” </w:t>
      </w:r>
      <w:r w:rsidR="00100BF2" w:rsidRPr="00883E1C">
        <w:rPr>
          <w:rFonts w:ascii="Times New Roman" w:hAnsi="Times New Roman"/>
          <w:sz w:val="24"/>
          <w:szCs w:val="24"/>
        </w:rPr>
        <w:t xml:space="preserve">would </w:t>
      </w:r>
      <w:r w:rsidR="00F15CE1" w:rsidRPr="00883E1C">
        <w:rPr>
          <w:rFonts w:ascii="Times New Roman" w:hAnsi="Times New Roman"/>
          <w:sz w:val="24"/>
          <w:szCs w:val="24"/>
        </w:rPr>
        <w:t xml:space="preserve">at </w:t>
      </w:r>
      <w:r w:rsidR="007C01EB" w:rsidRPr="00883E1C">
        <w:rPr>
          <w:rFonts w:ascii="Times New Roman" w:hAnsi="Times New Roman"/>
          <w:sz w:val="24"/>
          <w:szCs w:val="24"/>
        </w:rPr>
        <w:t xml:space="preserve">a </w:t>
      </w:r>
      <w:r w:rsidR="00F15CE1" w:rsidRPr="00883E1C">
        <w:rPr>
          <w:rFonts w:ascii="Times New Roman" w:hAnsi="Times New Roman"/>
          <w:sz w:val="24"/>
          <w:szCs w:val="24"/>
        </w:rPr>
        <w:t>reduced cost</w:t>
      </w:r>
      <w:r w:rsidR="006C4A58" w:rsidRPr="00883E1C">
        <w:rPr>
          <w:rFonts w:ascii="Times New Roman" w:hAnsi="Times New Roman"/>
          <w:sz w:val="24"/>
          <w:szCs w:val="24"/>
        </w:rPr>
        <w:t>.</w:t>
      </w:r>
      <w:r w:rsidR="00014243" w:rsidRPr="00883E1C">
        <w:rPr>
          <w:rFonts w:ascii="Times New Roman" w:hAnsi="Times New Roman"/>
          <w:b/>
          <w:sz w:val="24"/>
          <w:szCs w:val="24"/>
        </w:rPr>
        <w:t xml:space="preserve"> </w:t>
      </w:r>
      <w:r w:rsidR="007374E0" w:rsidRPr="00883E1C">
        <w:rPr>
          <w:rFonts w:ascii="Times New Roman" w:hAnsi="Times New Roman"/>
          <w:sz w:val="24"/>
          <w:szCs w:val="24"/>
        </w:rPr>
        <w:t xml:space="preserve">Central to this </w:t>
      </w:r>
      <w:r w:rsidR="007374E0" w:rsidRPr="00883E1C">
        <w:rPr>
          <w:rFonts w:ascii="Times New Roman" w:hAnsi="Times New Roman"/>
          <w:sz w:val="24"/>
          <w:szCs w:val="24"/>
        </w:rPr>
        <w:lastRenderedPageBreak/>
        <w:t xml:space="preserve">claim is that </w:t>
      </w:r>
      <w:r w:rsidR="00D46C55" w:rsidRPr="00883E1C">
        <w:rPr>
          <w:rFonts w:ascii="Times New Roman" w:hAnsi="Times New Roman"/>
          <w:sz w:val="24"/>
          <w:szCs w:val="24"/>
        </w:rPr>
        <w:t>SROs “</w:t>
      </w:r>
      <w:r w:rsidR="00626851" w:rsidRPr="00883E1C">
        <w:rPr>
          <w:rFonts w:ascii="Times New Roman" w:hAnsi="Times New Roman"/>
          <w:sz w:val="24"/>
          <w:szCs w:val="24"/>
        </w:rPr>
        <w:t>enforce standards which would not otherwise be enforced” by other</w:t>
      </w:r>
      <w:r w:rsidR="00D02903" w:rsidRPr="00883E1C">
        <w:rPr>
          <w:rFonts w:ascii="Times New Roman" w:hAnsi="Times New Roman"/>
          <w:sz w:val="24"/>
          <w:szCs w:val="24"/>
        </w:rPr>
        <w:t xml:space="preserve"> government agencies (Brockman and</w:t>
      </w:r>
      <w:r w:rsidR="00626851" w:rsidRPr="00883E1C">
        <w:rPr>
          <w:rFonts w:ascii="Times New Roman" w:hAnsi="Times New Roman"/>
          <w:sz w:val="24"/>
          <w:szCs w:val="24"/>
        </w:rPr>
        <w:t xml:space="preserve"> McEwen, 1990: 3).</w:t>
      </w:r>
      <w:r w:rsidR="00D46C55" w:rsidRPr="00883E1C">
        <w:rPr>
          <w:rFonts w:ascii="Times New Roman" w:hAnsi="Times New Roman"/>
          <w:sz w:val="24"/>
          <w:szCs w:val="24"/>
        </w:rPr>
        <w:t xml:space="preserve"> </w:t>
      </w:r>
      <w:r w:rsidR="0073737E" w:rsidRPr="00883E1C">
        <w:rPr>
          <w:rFonts w:ascii="Times New Roman" w:hAnsi="Times New Roman"/>
          <w:sz w:val="24"/>
          <w:szCs w:val="24"/>
        </w:rPr>
        <w:t xml:space="preserve">Standard setting and the detection of breaches of those standards </w:t>
      </w:r>
      <w:r w:rsidR="004A4968" w:rsidRPr="00883E1C">
        <w:rPr>
          <w:rFonts w:ascii="Times New Roman" w:hAnsi="Times New Roman"/>
          <w:sz w:val="24"/>
          <w:szCs w:val="24"/>
        </w:rPr>
        <w:t>should be the respon</w:t>
      </w:r>
      <w:r w:rsidR="00784C66" w:rsidRPr="00883E1C">
        <w:rPr>
          <w:rFonts w:ascii="Times New Roman" w:hAnsi="Times New Roman"/>
          <w:sz w:val="24"/>
          <w:szCs w:val="24"/>
        </w:rPr>
        <w:t xml:space="preserve">sibility of those who are </w:t>
      </w:r>
      <w:r w:rsidR="00F56096" w:rsidRPr="00883E1C">
        <w:rPr>
          <w:rFonts w:ascii="Times New Roman" w:hAnsi="Times New Roman"/>
          <w:sz w:val="24"/>
          <w:szCs w:val="24"/>
        </w:rPr>
        <w:t>closest to</w:t>
      </w:r>
      <w:r w:rsidR="004A4968" w:rsidRPr="00883E1C">
        <w:rPr>
          <w:rFonts w:ascii="Times New Roman" w:hAnsi="Times New Roman"/>
          <w:sz w:val="24"/>
          <w:szCs w:val="24"/>
        </w:rPr>
        <w:t xml:space="preserve"> the market (</w:t>
      </w:r>
      <w:r w:rsidR="0073737E" w:rsidRPr="00883E1C">
        <w:rPr>
          <w:rFonts w:ascii="Times New Roman" w:hAnsi="Times New Roman"/>
          <w:sz w:val="24"/>
          <w:szCs w:val="24"/>
        </w:rPr>
        <w:t>Gunningham and Rees, 1997: 366</w:t>
      </w:r>
      <w:r w:rsidR="004A4968" w:rsidRPr="00883E1C">
        <w:rPr>
          <w:rFonts w:ascii="Times New Roman" w:hAnsi="Times New Roman"/>
          <w:sz w:val="24"/>
          <w:szCs w:val="24"/>
        </w:rPr>
        <w:t>: Williams, 2012: 64</w:t>
      </w:r>
      <w:r w:rsidR="0073737E" w:rsidRPr="00883E1C">
        <w:rPr>
          <w:rFonts w:ascii="Times New Roman" w:hAnsi="Times New Roman"/>
          <w:sz w:val="24"/>
          <w:szCs w:val="24"/>
        </w:rPr>
        <w:t xml:space="preserve">). </w:t>
      </w:r>
      <w:r w:rsidR="00853E2B" w:rsidRPr="00883E1C">
        <w:rPr>
          <w:rFonts w:ascii="Times New Roman" w:hAnsi="Times New Roman"/>
          <w:sz w:val="24"/>
          <w:szCs w:val="24"/>
        </w:rPr>
        <w:t xml:space="preserve">By virtue of their close proximity to the markets, the </w:t>
      </w:r>
      <w:r w:rsidR="00626851" w:rsidRPr="00883E1C">
        <w:rPr>
          <w:rFonts w:ascii="Times New Roman" w:hAnsi="Times New Roman"/>
          <w:sz w:val="24"/>
          <w:szCs w:val="24"/>
        </w:rPr>
        <w:t>SROs</w:t>
      </w:r>
      <w:r w:rsidR="00853E2B" w:rsidRPr="00883E1C">
        <w:rPr>
          <w:rFonts w:ascii="Times New Roman" w:hAnsi="Times New Roman"/>
          <w:sz w:val="24"/>
          <w:szCs w:val="24"/>
        </w:rPr>
        <w:t xml:space="preserve"> are</w:t>
      </w:r>
      <w:r w:rsidR="00626851" w:rsidRPr="00883E1C">
        <w:rPr>
          <w:rFonts w:ascii="Times New Roman" w:hAnsi="Times New Roman"/>
          <w:sz w:val="24"/>
          <w:szCs w:val="24"/>
        </w:rPr>
        <w:t xml:space="preserve"> </w:t>
      </w:r>
      <w:r w:rsidR="006C70F8" w:rsidRPr="00883E1C">
        <w:rPr>
          <w:rFonts w:ascii="Times New Roman" w:hAnsi="Times New Roman"/>
          <w:sz w:val="24"/>
          <w:szCs w:val="24"/>
        </w:rPr>
        <w:t xml:space="preserve">in a position where they </w:t>
      </w:r>
      <w:r w:rsidR="003A7B7D" w:rsidRPr="00883E1C">
        <w:rPr>
          <w:rFonts w:ascii="Times New Roman" w:hAnsi="Times New Roman"/>
          <w:sz w:val="24"/>
          <w:szCs w:val="24"/>
        </w:rPr>
        <w:t xml:space="preserve">are able to </w:t>
      </w:r>
      <w:r w:rsidR="00626851" w:rsidRPr="00883E1C">
        <w:rPr>
          <w:rFonts w:ascii="Times New Roman" w:hAnsi="Times New Roman"/>
          <w:sz w:val="24"/>
          <w:szCs w:val="24"/>
        </w:rPr>
        <w:t>“scrutinize a wider variety of behaviours and thereby ensure a higher standard of conduct than if the public had to r</w:t>
      </w:r>
      <w:r w:rsidR="003A7B7D" w:rsidRPr="00883E1C">
        <w:rPr>
          <w:rFonts w:ascii="Times New Roman" w:hAnsi="Times New Roman"/>
          <w:sz w:val="24"/>
          <w:szCs w:val="24"/>
        </w:rPr>
        <w:t xml:space="preserve">ely on government regulation” (Brockman </w:t>
      </w:r>
      <w:r w:rsidR="003B28A3" w:rsidRPr="00883E1C">
        <w:rPr>
          <w:rFonts w:ascii="Times New Roman" w:hAnsi="Times New Roman"/>
          <w:sz w:val="24"/>
          <w:szCs w:val="24"/>
        </w:rPr>
        <w:t>and</w:t>
      </w:r>
      <w:r w:rsidR="003A7B7D" w:rsidRPr="00883E1C">
        <w:rPr>
          <w:rFonts w:ascii="Times New Roman" w:hAnsi="Times New Roman"/>
          <w:sz w:val="24"/>
          <w:szCs w:val="24"/>
        </w:rPr>
        <w:t xml:space="preserve"> McEwen, 1990:</w:t>
      </w:r>
      <w:r w:rsidR="00626851" w:rsidRPr="00883E1C">
        <w:rPr>
          <w:rFonts w:ascii="Times New Roman" w:hAnsi="Times New Roman"/>
          <w:sz w:val="24"/>
          <w:szCs w:val="24"/>
        </w:rPr>
        <w:t xml:space="preserve"> 3). </w:t>
      </w:r>
      <w:r w:rsidR="007F6859" w:rsidRPr="00883E1C">
        <w:rPr>
          <w:rFonts w:ascii="Times New Roman" w:hAnsi="Times New Roman"/>
          <w:sz w:val="24"/>
          <w:szCs w:val="24"/>
        </w:rPr>
        <w:t xml:space="preserve">In many ways then, </w:t>
      </w:r>
      <w:r w:rsidR="003C4F8B" w:rsidRPr="00883E1C">
        <w:rPr>
          <w:rFonts w:ascii="Times New Roman" w:hAnsi="Times New Roman"/>
          <w:sz w:val="24"/>
          <w:szCs w:val="24"/>
        </w:rPr>
        <w:t>“f</w:t>
      </w:r>
      <w:r w:rsidR="00626851" w:rsidRPr="00883E1C">
        <w:rPr>
          <w:rFonts w:ascii="Times New Roman" w:hAnsi="Times New Roman"/>
          <w:sz w:val="24"/>
          <w:szCs w:val="24"/>
        </w:rPr>
        <w:t xml:space="preserve">unnel in” would subject more “deviant behaviour for observation, investigation and sanctions which would not otherwise be the subject of such careful review” under centralized government regulation (p. 3). </w:t>
      </w:r>
    </w:p>
    <w:p w:rsidR="00112B64" w:rsidRPr="00883E1C" w:rsidRDefault="00C10835" w:rsidP="00DD1526">
      <w:pPr>
        <w:pStyle w:val="NormalIndent"/>
        <w:rPr>
          <w:rFonts w:ascii="Times New Roman" w:hAnsi="Times New Roman"/>
          <w:sz w:val="24"/>
          <w:szCs w:val="24"/>
        </w:rPr>
      </w:pPr>
      <w:r w:rsidRPr="00883E1C">
        <w:rPr>
          <w:rFonts w:ascii="Times New Roman" w:hAnsi="Times New Roman"/>
          <w:sz w:val="24"/>
          <w:szCs w:val="24"/>
        </w:rPr>
        <w:t xml:space="preserve">Certainly, self-regulation is not without its criticisms. Chief among these is that SROs </w:t>
      </w:r>
      <w:r w:rsidR="00277583" w:rsidRPr="00883E1C">
        <w:rPr>
          <w:rFonts w:ascii="Times New Roman" w:hAnsi="Times New Roman"/>
          <w:sz w:val="24"/>
          <w:szCs w:val="24"/>
        </w:rPr>
        <w:t>are often seen as “</w:t>
      </w:r>
      <w:r w:rsidR="00277583" w:rsidRPr="00883E1C">
        <w:rPr>
          <w:rFonts w:ascii="Times New Roman" w:eastAsiaTheme="minorHAnsi" w:hAnsi="Times New Roman"/>
          <w:sz w:val="24"/>
          <w:szCs w:val="24"/>
          <w:lang w:bidi="ar-SA"/>
        </w:rPr>
        <w:t>being too lenient on their members and, rather than widening the net of social control as t</w:t>
      </w:r>
      <w:r w:rsidR="004B4D4D" w:rsidRPr="00883E1C">
        <w:rPr>
          <w:rFonts w:ascii="Times New Roman" w:eastAsiaTheme="minorHAnsi" w:hAnsi="Times New Roman"/>
          <w:sz w:val="24"/>
          <w:szCs w:val="24"/>
          <w:lang w:bidi="ar-SA"/>
        </w:rPr>
        <w:t>hey claim, they are accused of “funneling out”</w:t>
      </w:r>
      <w:r w:rsidR="00277583" w:rsidRPr="00883E1C">
        <w:rPr>
          <w:rFonts w:ascii="Times New Roman" w:eastAsiaTheme="minorHAnsi" w:hAnsi="Times New Roman"/>
          <w:sz w:val="24"/>
          <w:szCs w:val="24"/>
          <w:lang w:bidi="ar-SA"/>
        </w:rPr>
        <w:t xml:space="preserve"> so many complaints that they are ineffective in controlling wayward professionals” (Brockman, 2004: 55-56</w:t>
      </w:r>
      <w:r w:rsidR="006C4A58" w:rsidRPr="00883E1C">
        <w:rPr>
          <w:rFonts w:ascii="Times New Roman" w:eastAsiaTheme="minorHAnsi" w:hAnsi="Times New Roman"/>
          <w:sz w:val="24"/>
          <w:szCs w:val="24"/>
          <w:lang w:bidi="ar-SA"/>
        </w:rPr>
        <w:t>).</w:t>
      </w:r>
      <w:r w:rsidR="00277583" w:rsidRPr="00883E1C">
        <w:rPr>
          <w:rFonts w:ascii="Times New Roman" w:eastAsiaTheme="minorHAnsi" w:hAnsi="Times New Roman"/>
          <w:sz w:val="24"/>
          <w:szCs w:val="24"/>
          <w:lang w:bidi="ar-SA"/>
        </w:rPr>
        <w:t xml:space="preserve"> </w:t>
      </w:r>
      <w:r w:rsidR="00DD1526" w:rsidRPr="00883E1C">
        <w:rPr>
          <w:rFonts w:ascii="Times New Roman" w:eastAsiaTheme="minorHAnsi" w:hAnsi="Times New Roman"/>
          <w:sz w:val="24"/>
          <w:szCs w:val="24"/>
          <w:lang w:bidi="ar-SA"/>
        </w:rPr>
        <w:t>E</w:t>
      </w:r>
      <w:r w:rsidR="00112B64" w:rsidRPr="00883E1C">
        <w:rPr>
          <w:rFonts w:ascii="Times New Roman" w:eastAsiaTheme="minorHAnsi" w:hAnsi="Times New Roman"/>
          <w:sz w:val="24"/>
          <w:szCs w:val="24"/>
          <w:lang w:bidi="ar-SA"/>
        </w:rPr>
        <w:t xml:space="preserve">ven though the standards are enforced, </w:t>
      </w:r>
      <w:r w:rsidR="007C01EB" w:rsidRPr="00883E1C">
        <w:rPr>
          <w:rFonts w:ascii="Times New Roman" w:eastAsiaTheme="minorHAnsi" w:hAnsi="Times New Roman"/>
          <w:sz w:val="24"/>
          <w:szCs w:val="24"/>
          <w:lang w:bidi="ar-SA"/>
        </w:rPr>
        <w:t>“</w:t>
      </w:r>
      <w:r w:rsidR="00112B64" w:rsidRPr="00883E1C">
        <w:rPr>
          <w:rFonts w:ascii="Times New Roman" w:eastAsiaTheme="minorHAnsi" w:hAnsi="Times New Roman"/>
          <w:sz w:val="24"/>
          <w:szCs w:val="24"/>
          <w:lang w:bidi="ar-SA"/>
        </w:rPr>
        <w:t>enforce</w:t>
      </w:r>
      <w:r w:rsidR="00B75CD3" w:rsidRPr="00883E1C">
        <w:rPr>
          <w:rFonts w:ascii="Times New Roman" w:eastAsiaTheme="minorHAnsi" w:hAnsi="Times New Roman"/>
          <w:sz w:val="24"/>
          <w:szCs w:val="24"/>
          <w:lang w:bidi="ar-SA"/>
        </w:rPr>
        <w:t xml:space="preserve">ment </w:t>
      </w:r>
      <w:r w:rsidR="00112B64" w:rsidRPr="00883E1C">
        <w:rPr>
          <w:rFonts w:ascii="Times New Roman" w:eastAsiaTheme="minorHAnsi" w:hAnsi="Times New Roman"/>
          <w:sz w:val="24"/>
          <w:szCs w:val="24"/>
          <w:lang w:bidi="ar-SA"/>
        </w:rPr>
        <w:t xml:space="preserve">is seen as </w:t>
      </w:r>
      <w:r w:rsidR="00B75CD3" w:rsidRPr="00883E1C">
        <w:rPr>
          <w:rFonts w:ascii="Times New Roman" w:eastAsiaTheme="minorHAnsi" w:hAnsi="Times New Roman"/>
          <w:sz w:val="24"/>
          <w:szCs w:val="24"/>
          <w:lang w:bidi="ar-SA"/>
        </w:rPr>
        <w:t>ineffective an</w:t>
      </w:r>
      <w:r w:rsidR="00112B64" w:rsidRPr="00883E1C">
        <w:rPr>
          <w:rFonts w:ascii="Times New Roman" w:eastAsiaTheme="minorHAnsi" w:hAnsi="Times New Roman"/>
          <w:sz w:val="24"/>
          <w:szCs w:val="24"/>
          <w:lang w:bidi="ar-SA"/>
        </w:rPr>
        <w:t xml:space="preserve">d punishment as secret and mild” (Gunningham and Rees, 1997: 370). </w:t>
      </w:r>
      <w:r w:rsidR="00D67897" w:rsidRPr="00883E1C">
        <w:rPr>
          <w:rFonts w:ascii="Times New Roman" w:hAnsi="Times New Roman"/>
          <w:sz w:val="24"/>
          <w:szCs w:val="24"/>
        </w:rPr>
        <w:t>S</w:t>
      </w:r>
      <w:r w:rsidR="00112B64" w:rsidRPr="00883E1C">
        <w:rPr>
          <w:rFonts w:ascii="Times New Roman" w:hAnsi="Times New Roman"/>
          <w:sz w:val="24"/>
          <w:szCs w:val="24"/>
        </w:rPr>
        <w:t>elf- regulation</w:t>
      </w:r>
      <w:r w:rsidR="00D67897" w:rsidRPr="00883E1C">
        <w:rPr>
          <w:rFonts w:ascii="Times New Roman" w:hAnsi="Times New Roman"/>
          <w:sz w:val="24"/>
          <w:szCs w:val="24"/>
        </w:rPr>
        <w:t xml:space="preserve"> then </w:t>
      </w:r>
      <w:r w:rsidR="00DC6728" w:rsidRPr="00883E1C">
        <w:rPr>
          <w:rFonts w:ascii="Times New Roman" w:hAnsi="Times New Roman"/>
          <w:sz w:val="24"/>
          <w:szCs w:val="24"/>
        </w:rPr>
        <w:t xml:space="preserve"> is nothing more than a governance mechanism that “</w:t>
      </w:r>
      <w:r w:rsidR="00112B64" w:rsidRPr="00883E1C">
        <w:rPr>
          <w:rFonts w:ascii="Times New Roman" w:hAnsi="Times New Roman"/>
          <w:sz w:val="24"/>
          <w:szCs w:val="24"/>
        </w:rPr>
        <w:t>attempt</w:t>
      </w:r>
      <w:r w:rsidR="007C01EB" w:rsidRPr="00883E1C">
        <w:rPr>
          <w:rFonts w:ascii="Times New Roman" w:hAnsi="Times New Roman"/>
          <w:sz w:val="24"/>
          <w:szCs w:val="24"/>
        </w:rPr>
        <w:t>[s]</w:t>
      </w:r>
      <w:r w:rsidR="00112B64" w:rsidRPr="00883E1C">
        <w:rPr>
          <w:rFonts w:ascii="Times New Roman" w:hAnsi="Times New Roman"/>
          <w:sz w:val="24"/>
          <w:szCs w:val="24"/>
        </w:rPr>
        <w:t xml:space="preserve"> to deceive the public into believing in the </w:t>
      </w:r>
      <w:r w:rsidR="00DC6728" w:rsidRPr="00883E1C">
        <w:rPr>
          <w:rFonts w:ascii="Times New Roman" w:hAnsi="Times New Roman"/>
          <w:sz w:val="24"/>
          <w:szCs w:val="24"/>
        </w:rPr>
        <w:t xml:space="preserve">responsibility of an  irresponsible industry” and “a </w:t>
      </w:r>
      <w:r w:rsidR="00112B64" w:rsidRPr="00883E1C">
        <w:rPr>
          <w:rFonts w:ascii="Times New Roman" w:hAnsi="Times New Roman"/>
          <w:sz w:val="24"/>
          <w:szCs w:val="24"/>
        </w:rPr>
        <w:t>strategy to give the government a</w:t>
      </w:r>
      <w:r w:rsidR="002F257B" w:rsidRPr="00883E1C">
        <w:rPr>
          <w:rFonts w:ascii="Times New Roman" w:hAnsi="Times New Roman"/>
          <w:sz w:val="24"/>
          <w:szCs w:val="24"/>
        </w:rPr>
        <w:t>n excuse for not doing its job”</w:t>
      </w:r>
      <w:r w:rsidR="00112B64" w:rsidRPr="00883E1C">
        <w:rPr>
          <w:rFonts w:ascii="Times New Roman" w:hAnsi="Times New Roman"/>
          <w:sz w:val="24"/>
          <w:szCs w:val="24"/>
        </w:rPr>
        <w:t xml:space="preserve"> (Braithwaite 1993: 91). </w:t>
      </w:r>
      <w:r w:rsidR="00F46DC0" w:rsidRPr="00883E1C">
        <w:rPr>
          <w:rFonts w:ascii="Times New Roman" w:hAnsi="Times New Roman"/>
          <w:sz w:val="24"/>
          <w:szCs w:val="24"/>
        </w:rPr>
        <w:t>The recognized by</w:t>
      </w:r>
      <w:r w:rsidR="007C01EB" w:rsidRPr="00883E1C">
        <w:rPr>
          <w:rFonts w:ascii="Times New Roman" w:hAnsi="Times New Roman"/>
          <w:sz w:val="24"/>
          <w:szCs w:val="24"/>
        </w:rPr>
        <w:t>-</w:t>
      </w:r>
      <w:r w:rsidR="00F46DC0" w:rsidRPr="00883E1C">
        <w:rPr>
          <w:rFonts w:ascii="Times New Roman" w:hAnsi="Times New Roman"/>
          <w:sz w:val="24"/>
          <w:szCs w:val="24"/>
        </w:rPr>
        <w:t xml:space="preserve">product of this regulatory conservatism is that the </w:t>
      </w:r>
      <w:r w:rsidR="00B50B99" w:rsidRPr="00883E1C">
        <w:rPr>
          <w:rFonts w:ascii="Times New Roman" w:hAnsi="Times New Roman"/>
          <w:sz w:val="24"/>
          <w:szCs w:val="24"/>
        </w:rPr>
        <w:t>“m</w:t>
      </w:r>
      <w:r w:rsidR="00112B64" w:rsidRPr="00883E1C">
        <w:rPr>
          <w:rFonts w:ascii="Times New Roman" w:hAnsi="Times New Roman"/>
          <w:sz w:val="24"/>
          <w:szCs w:val="24"/>
        </w:rPr>
        <w:t>embers of SROs</w:t>
      </w:r>
      <w:r w:rsidR="007C01EB" w:rsidRPr="00883E1C">
        <w:rPr>
          <w:rFonts w:ascii="Times New Roman" w:hAnsi="Times New Roman"/>
          <w:sz w:val="24"/>
          <w:szCs w:val="24"/>
        </w:rPr>
        <w:t>,</w:t>
      </w:r>
      <w:r w:rsidR="00112B64" w:rsidRPr="00883E1C">
        <w:rPr>
          <w:rFonts w:ascii="Times New Roman" w:hAnsi="Times New Roman"/>
          <w:sz w:val="24"/>
          <w:szCs w:val="24"/>
        </w:rPr>
        <w:t xml:space="preserve"> and not the public</w:t>
      </w:r>
      <w:r w:rsidR="007C01EB" w:rsidRPr="00883E1C">
        <w:rPr>
          <w:rFonts w:ascii="Times New Roman" w:hAnsi="Times New Roman"/>
          <w:sz w:val="24"/>
          <w:szCs w:val="24"/>
        </w:rPr>
        <w:t>,</w:t>
      </w:r>
      <w:r w:rsidR="00112B64" w:rsidRPr="00883E1C">
        <w:rPr>
          <w:rFonts w:ascii="Times New Roman" w:hAnsi="Times New Roman"/>
          <w:sz w:val="24"/>
          <w:szCs w:val="24"/>
        </w:rPr>
        <w:t xml:space="preserve"> are viewed as being the beneficiaries of self-regulation” (</w:t>
      </w:r>
      <w:r w:rsidR="00B50B99" w:rsidRPr="00883E1C">
        <w:rPr>
          <w:rFonts w:ascii="Times New Roman" w:hAnsi="Times New Roman"/>
          <w:sz w:val="24"/>
          <w:szCs w:val="24"/>
        </w:rPr>
        <w:t xml:space="preserve">Brockman and </w:t>
      </w:r>
      <w:r w:rsidR="003C4F8B" w:rsidRPr="00883E1C">
        <w:rPr>
          <w:rFonts w:ascii="Times New Roman" w:hAnsi="Times New Roman"/>
          <w:sz w:val="24"/>
          <w:szCs w:val="24"/>
        </w:rPr>
        <w:t>McEwen,</w:t>
      </w:r>
      <w:r w:rsidR="00B50B99" w:rsidRPr="00883E1C">
        <w:rPr>
          <w:rFonts w:ascii="Times New Roman" w:hAnsi="Times New Roman"/>
          <w:sz w:val="24"/>
          <w:szCs w:val="24"/>
        </w:rPr>
        <w:t xml:space="preserve"> 1990: </w:t>
      </w:r>
      <w:r w:rsidR="00112B64" w:rsidRPr="00883E1C">
        <w:rPr>
          <w:rFonts w:ascii="Times New Roman" w:hAnsi="Times New Roman"/>
          <w:sz w:val="24"/>
          <w:szCs w:val="24"/>
        </w:rPr>
        <w:t>4).</w:t>
      </w:r>
    </w:p>
    <w:p w:rsidR="00626851" w:rsidRPr="00883E1C" w:rsidRDefault="00B716AA" w:rsidP="00A974BA">
      <w:pPr>
        <w:widowControl/>
        <w:autoSpaceDE w:val="0"/>
        <w:autoSpaceDN w:val="0"/>
        <w:adjustRightInd w:val="0"/>
        <w:spacing w:after="0"/>
        <w:ind w:firstLine="720"/>
        <w:rPr>
          <w:rFonts w:ascii="Times New Roman" w:eastAsiaTheme="minorHAnsi" w:hAnsi="Times New Roman"/>
          <w:sz w:val="24"/>
          <w:szCs w:val="24"/>
          <w:lang w:bidi="ar-SA"/>
        </w:rPr>
      </w:pPr>
      <w:r w:rsidRPr="00883E1C">
        <w:rPr>
          <w:rFonts w:ascii="Times New Roman" w:hAnsi="Times New Roman"/>
          <w:sz w:val="24"/>
          <w:szCs w:val="24"/>
        </w:rPr>
        <w:t>Perhaps a more serious criticism of SROs is that the</w:t>
      </w:r>
      <w:r w:rsidR="00F8276A" w:rsidRPr="00883E1C">
        <w:rPr>
          <w:rFonts w:ascii="Times New Roman" w:hAnsi="Times New Roman"/>
          <w:sz w:val="24"/>
          <w:szCs w:val="24"/>
        </w:rPr>
        <w:t xml:space="preserve">ir disciplinary system may </w:t>
      </w:r>
      <w:r w:rsidRPr="00883E1C">
        <w:rPr>
          <w:rFonts w:ascii="Times New Roman" w:hAnsi="Times New Roman"/>
          <w:sz w:val="24"/>
          <w:szCs w:val="24"/>
        </w:rPr>
        <w:t xml:space="preserve">keep their members from </w:t>
      </w:r>
      <w:r w:rsidR="00DC38ED" w:rsidRPr="00883E1C">
        <w:rPr>
          <w:rFonts w:ascii="Times New Roman" w:hAnsi="Times New Roman"/>
          <w:sz w:val="24"/>
          <w:szCs w:val="24"/>
        </w:rPr>
        <w:t>coming into contact with the</w:t>
      </w:r>
      <w:r w:rsidR="007055FD" w:rsidRPr="00883E1C">
        <w:rPr>
          <w:rFonts w:ascii="Times New Roman" w:hAnsi="Times New Roman"/>
          <w:sz w:val="24"/>
          <w:szCs w:val="24"/>
        </w:rPr>
        <w:t xml:space="preserve"> CJS </w:t>
      </w:r>
      <w:r w:rsidR="00A974BA" w:rsidRPr="00883E1C">
        <w:rPr>
          <w:rFonts w:ascii="Times New Roman" w:hAnsi="Times New Roman"/>
          <w:sz w:val="24"/>
          <w:szCs w:val="24"/>
        </w:rPr>
        <w:t xml:space="preserve">(Brockman, 2004: 57). </w:t>
      </w:r>
      <w:r w:rsidR="00626851" w:rsidRPr="00883E1C">
        <w:rPr>
          <w:rFonts w:ascii="Times New Roman" w:hAnsi="Times New Roman"/>
          <w:sz w:val="24"/>
          <w:szCs w:val="24"/>
        </w:rPr>
        <w:t>This charge alleges</w:t>
      </w:r>
      <w:bookmarkEnd w:id="8"/>
      <w:r w:rsidR="00D03451" w:rsidRPr="00883E1C">
        <w:rPr>
          <w:rFonts w:ascii="Times New Roman" w:hAnsi="Times New Roman"/>
          <w:sz w:val="24"/>
          <w:szCs w:val="24"/>
        </w:rPr>
        <w:t xml:space="preserve"> </w:t>
      </w:r>
      <w:r w:rsidR="000A0804" w:rsidRPr="00883E1C">
        <w:rPr>
          <w:rFonts w:ascii="Times New Roman" w:hAnsi="Times New Roman"/>
          <w:sz w:val="24"/>
          <w:szCs w:val="24"/>
        </w:rPr>
        <w:t>that</w:t>
      </w:r>
      <w:r w:rsidR="000A0804" w:rsidRPr="00883E1C">
        <w:rPr>
          <w:rFonts w:ascii="Times New Roman" w:eastAsiaTheme="minorHAnsi" w:hAnsi="Times New Roman"/>
          <w:sz w:val="24"/>
          <w:szCs w:val="24"/>
          <w:lang w:bidi="ar-SA"/>
        </w:rPr>
        <w:t xml:space="preserve"> </w:t>
      </w:r>
      <w:r w:rsidR="000A0804" w:rsidRPr="00883E1C">
        <w:rPr>
          <w:rFonts w:ascii="Times New Roman" w:eastAsiaTheme="minorHAnsi" w:hAnsi="Times New Roman"/>
          <w:sz w:val="24"/>
          <w:szCs w:val="24"/>
          <w:lang w:bidi="ar-SA"/>
        </w:rPr>
        <w:lastRenderedPageBreak/>
        <w:t>“</w:t>
      </w:r>
      <w:r w:rsidR="00A974BA" w:rsidRPr="00883E1C">
        <w:rPr>
          <w:rFonts w:ascii="Times New Roman" w:eastAsiaTheme="minorHAnsi" w:hAnsi="Times New Roman"/>
          <w:sz w:val="24"/>
          <w:szCs w:val="24"/>
          <w:lang w:bidi="ar-SA"/>
        </w:rPr>
        <w:t>self-regulating professions take legitimate com</w:t>
      </w:r>
      <w:r w:rsidR="000A0804" w:rsidRPr="00883E1C">
        <w:rPr>
          <w:rFonts w:ascii="Times New Roman" w:eastAsiaTheme="minorHAnsi" w:hAnsi="Times New Roman"/>
          <w:sz w:val="24"/>
          <w:szCs w:val="24"/>
          <w:lang w:bidi="ar-SA"/>
        </w:rPr>
        <w:t>plaints of crime and have</w:t>
      </w:r>
      <w:r w:rsidR="000D7B97" w:rsidRPr="00883E1C">
        <w:rPr>
          <w:rFonts w:ascii="Times New Roman" w:eastAsiaTheme="minorHAnsi" w:hAnsi="Times New Roman"/>
          <w:sz w:val="24"/>
          <w:szCs w:val="24"/>
          <w:lang w:bidi="ar-SA"/>
        </w:rPr>
        <w:t xml:space="preserve"> </w:t>
      </w:r>
      <w:r w:rsidR="003135B9" w:rsidRPr="00883E1C">
        <w:rPr>
          <w:rFonts w:ascii="Times New Roman" w:eastAsiaTheme="minorHAnsi" w:hAnsi="Times New Roman"/>
          <w:sz w:val="24"/>
          <w:szCs w:val="24"/>
          <w:lang w:bidi="ar-SA"/>
        </w:rPr>
        <w:t>them ‘funneled away’</w:t>
      </w:r>
      <w:r w:rsidR="00A974BA" w:rsidRPr="00883E1C">
        <w:rPr>
          <w:rFonts w:ascii="Times New Roman" w:eastAsiaTheme="minorHAnsi" w:hAnsi="Times New Roman"/>
          <w:sz w:val="24"/>
          <w:szCs w:val="24"/>
          <w:lang w:bidi="ar-SA"/>
        </w:rPr>
        <w:t xml:space="preserve"> from the </w:t>
      </w:r>
      <w:r w:rsidR="007055FD" w:rsidRPr="00883E1C">
        <w:rPr>
          <w:rFonts w:ascii="Times New Roman" w:eastAsiaTheme="minorHAnsi" w:hAnsi="Times New Roman"/>
          <w:sz w:val="24"/>
          <w:szCs w:val="24"/>
          <w:lang w:bidi="ar-SA"/>
        </w:rPr>
        <w:t>CJS</w:t>
      </w:r>
      <w:r w:rsidR="00A974BA" w:rsidRPr="00883E1C">
        <w:rPr>
          <w:rFonts w:ascii="Times New Roman" w:eastAsiaTheme="minorHAnsi" w:hAnsi="Times New Roman"/>
          <w:sz w:val="24"/>
          <w:szCs w:val="24"/>
          <w:lang w:bidi="ar-SA"/>
        </w:rPr>
        <w:t xml:space="preserve">” </w:t>
      </w:r>
      <w:r w:rsidR="00906016" w:rsidRPr="00883E1C">
        <w:rPr>
          <w:rFonts w:ascii="Times New Roman" w:eastAsiaTheme="minorHAnsi" w:hAnsi="Times New Roman"/>
          <w:sz w:val="24"/>
          <w:szCs w:val="24"/>
          <w:lang w:bidi="ar-SA"/>
        </w:rPr>
        <w:t>by deal</w:t>
      </w:r>
      <w:r w:rsidR="000D7B97" w:rsidRPr="00883E1C">
        <w:rPr>
          <w:rFonts w:ascii="Times New Roman" w:eastAsiaTheme="minorHAnsi" w:hAnsi="Times New Roman"/>
          <w:sz w:val="24"/>
          <w:szCs w:val="24"/>
          <w:lang w:bidi="ar-SA"/>
        </w:rPr>
        <w:t xml:space="preserve">ing with them through their own </w:t>
      </w:r>
      <w:r w:rsidR="00906016" w:rsidRPr="00883E1C">
        <w:rPr>
          <w:rFonts w:ascii="Times New Roman" w:eastAsiaTheme="minorHAnsi" w:hAnsi="Times New Roman"/>
          <w:sz w:val="24"/>
          <w:szCs w:val="24"/>
          <w:lang w:bidi="ar-SA"/>
        </w:rPr>
        <w:t xml:space="preserve">disciplinary system </w:t>
      </w:r>
      <w:r w:rsidR="00A974BA" w:rsidRPr="00883E1C">
        <w:rPr>
          <w:rFonts w:ascii="Times New Roman" w:eastAsiaTheme="minorHAnsi" w:hAnsi="Times New Roman"/>
          <w:sz w:val="24"/>
          <w:szCs w:val="24"/>
          <w:lang w:bidi="ar-SA"/>
        </w:rPr>
        <w:t xml:space="preserve">(Brockman, 2004: 57). </w:t>
      </w:r>
      <w:r w:rsidR="00AA4E57" w:rsidRPr="00883E1C">
        <w:rPr>
          <w:rFonts w:ascii="Times New Roman" w:eastAsiaTheme="minorHAnsi" w:hAnsi="Times New Roman"/>
          <w:sz w:val="24"/>
          <w:szCs w:val="24"/>
          <w:lang w:bidi="ar-SA"/>
        </w:rPr>
        <w:t>I</w:t>
      </w:r>
      <w:r w:rsidR="003F643D" w:rsidRPr="00883E1C">
        <w:rPr>
          <w:rFonts w:ascii="Times New Roman" w:eastAsiaTheme="minorHAnsi" w:hAnsi="Times New Roman"/>
          <w:sz w:val="24"/>
          <w:szCs w:val="24"/>
          <w:lang w:bidi="ar-SA"/>
        </w:rPr>
        <w:t>n the world of market and finance, c</w:t>
      </w:r>
      <w:r w:rsidR="00F12FF0" w:rsidRPr="00883E1C">
        <w:rPr>
          <w:rFonts w:ascii="Times New Roman" w:eastAsiaTheme="minorHAnsi" w:hAnsi="Times New Roman"/>
          <w:sz w:val="24"/>
          <w:szCs w:val="24"/>
          <w:lang w:bidi="ar-SA"/>
        </w:rPr>
        <w:t xml:space="preserve">riminal enforcement </w:t>
      </w:r>
      <w:r w:rsidR="003F643D" w:rsidRPr="00883E1C">
        <w:rPr>
          <w:rFonts w:ascii="Times New Roman" w:eastAsiaTheme="minorHAnsi" w:hAnsi="Times New Roman"/>
          <w:sz w:val="24"/>
          <w:szCs w:val="24"/>
          <w:lang w:bidi="ar-SA"/>
        </w:rPr>
        <w:t xml:space="preserve">of </w:t>
      </w:r>
      <w:r w:rsidR="000702EC" w:rsidRPr="00883E1C">
        <w:rPr>
          <w:rFonts w:ascii="Times New Roman" w:eastAsiaTheme="minorHAnsi" w:hAnsi="Times New Roman"/>
          <w:sz w:val="24"/>
          <w:szCs w:val="24"/>
          <w:lang w:bidi="ar-SA"/>
        </w:rPr>
        <w:t xml:space="preserve">financial intermediaries and their employees  </w:t>
      </w:r>
      <w:r w:rsidR="003F643D" w:rsidRPr="00883E1C">
        <w:rPr>
          <w:rFonts w:ascii="Times New Roman" w:eastAsiaTheme="minorHAnsi" w:hAnsi="Times New Roman"/>
          <w:sz w:val="24"/>
          <w:szCs w:val="24"/>
          <w:lang w:bidi="ar-SA"/>
        </w:rPr>
        <w:t xml:space="preserve"> </w:t>
      </w:r>
      <w:r w:rsidR="00F12FF0" w:rsidRPr="00883E1C">
        <w:rPr>
          <w:rFonts w:ascii="Times New Roman" w:eastAsiaTheme="minorHAnsi" w:hAnsi="Times New Roman"/>
          <w:sz w:val="24"/>
          <w:szCs w:val="24"/>
          <w:lang w:bidi="ar-SA"/>
        </w:rPr>
        <w:t>is seen as bad publicity and is not something that</w:t>
      </w:r>
      <w:r w:rsidR="003F643D" w:rsidRPr="00883E1C">
        <w:rPr>
          <w:rFonts w:ascii="Times New Roman" w:eastAsiaTheme="minorHAnsi" w:hAnsi="Times New Roman"/>
          <w:sz w:val="24"/>
          <w:szCs w:val="24"/>
          <w:lang w:bidi="ar-SA"/>
        </w:rPr>
        <w:t xml:space="preserve"> is encouraged</w:t>
      </w:r>
      <w:r w:rsidR="000702EC" w:rsidRPr="00883E1C">
        <w:rPr>
          <w:rFonts w:ascii="Times New Roman" w:eastAsiaTheme="minorHAnsi" w:hAnsi="Times New Roman"/>
          <w:sz w:val="24"/>
          <w:szCs w:val="24"/>
          <w:lang w:bidi="ar-SA"/>
        </w:rPr>
        <w:t xml:space="preserve"> by the </w:t>
      </w:r>
      <w:r w:rsidR="000B6F30" w:rsidRPr="00883E1C">
        <w:rPr>
          <w:rFonts w:ascii="Times New Roman" w:eastAsiaTheme="minorHAnsi" w:hAnsi="Times New Roman"/>
          <w:sz w:val="24"/>
          <w:szCs w:val="24"/>
          <w:lang w:bidi="ar-SA"/>
        </w:rPr>
        <w:t>SROs (</w:t>
      </w:r>
      <w:r w:rsidR="00F12FF0" w:rsidRPr="00883E1C">
        <w:rPr>
          <w:rFonts w:ascii="Times New Roman" w:eastAsiaTheme="minorHAnsi" w:hAnsi="Times New Roman"/>
          <w:sz w:val="24"/>
          <w:szCs w:val="24"/>
          <w:lang w:bidi="ar-SA"/>
        </w:rPr>
        <w:t xml:space="preserve">Williams, 2012: 61). </w:t>
      </w:r>
    </w:p>
    <w:p w:rsidR="00D71271" w:rsidRPr="00883E1C" w:rsidRDefault="001B393A" w:rsidP="00D71271">
      <w:pPr>
        <w:pStyle w:val="Heading2"/>
        <w:rPr>
          <w:rFonts w:ascii="Times New Roman" w:hAnsi="Times New Roman"/>
          <w:szCs w:val="28"/>
        </w:rPr>
      </w:pPr>
      <w:bookmarkStart w:id="9" w:name="_Toc276469224"/>
      <w:bookmarkStart w:id="10" w:name="_Toc297710259"/>
      <w:bookmarkStart w:id="11" w:name="_Toc297720338"/>
      <w:bookmarkStart w:id="12" w:name="_Toc300859207"/>
      <w:bookmarkStart w:id="13" w:name="_Toc314667638"/>
      <w:bookmarkStart w:id="14" w:name="_Toc329241601"/>
      <w:r w:rsidRPr="00883E1C">
        <w:rPr>
          <w:rFonts w:ascii="Times New Roman" w:hAnsi="Times New Roman"/>
          <w:szCs w:val="28"/>
        </w:rPr>
        <w:t xml:space="preserve">4.  </w:t>
      </w:r>
      <w:r w:rsidR="00D71271" w:rsidRPr="00883E1C">
        <w:rPr>
          <w:rFonts w:ascii="Times New Roman" w:hAnsi="Times New Roman"/>
          <w:szCs w:val="28"/>
        </w:rPr>
        <w:t>Method</w:t>
      </w:r>
      <w:bookmarkEnd w:id="9"/>
      <w:bookmarkEnd w:id="10"/>
      <w:bookmarkEnd w:id="11"/>
      <w:bookmarkEnd w:id="12"/>
      <w:bookmarkEnd w:id="13"/>
      <w:bookmarkEnd w:id="14"/>
      <w:r w:rsidR="00D71271" w:rsidRPr="00883E1C">
        <w:rPr>
          <w:rFonts w:ascii="Times New Roman" w:hAnsi="Times New Roman"/>
          <w:szCs w:val="28"/>
        </w:rPr>
        <w:t>ology</w:t>
      </w:r>
      <w:r w:rsidR="00D71271" w:rsidRPr="00883E1C">
        <w:rPr>
          <w:rFonts w:ascii="Times New Roman" w:hAnsi="Times New Roman"/>
          <w:szCs w:val="28"/>
        </w:rPr>
        <w:tab/>
      </w:r>
    </w:p>
    <w:p w:rsidR="00476196" w:rsidRPr="00883E1C" w:rsidRDefault="001B393A" w:rsidP="00476196">
      <w:pPr>
        <w:rPr>
          <w:rFonts w:ascii="Times New Roman" w:hAnsi="Times New Roman"/>
          <w:i/>
          <w:sz w:val="24"/>
          <w:szCs w:val="24"/>
        </w:rPr>
      </w:pPr>
      <w:r w:rsidRPr="00883E1C">
        <w:rPr>
          <w:rFonts w:ascii="Times New Roman" w:hAnsi="Times New Roman"/>
          <w:i/>
          <w:sz w:val="24"/>
          <w:szCs w:val="24"/>
        </w:rPr>
        <w:t>4.1. Data s</w:t>
      </w:r>
      <w:r w:rsidR="00476196" w:rsidRPr="00883E1C">
        <w:rPr>
          <w:rFonts w:ascii="Times New Roman" w:hAnsi="Times New Roman"/>
          <w:i/>
          <w:sz w:val="24"/>
          <w:szCs w:val="24"/>
        </w:rPr>
        <w:t>ource one</w:t>
      </w:r>
    </w:p>
    <w:p w:rsidR="00476196" w:rsidRPr="00883E1C" w:rsidRDefault="00D71271" w:rsidP="00D71271">
      <w:pPr>
        <w:autoSpaceDE w:val="0"/>
        <w:autoSpaceDN w:val="0"/>
        <w:adjustRightInd w:val="0"/>
        <w:spacing w:after="0"/>
        <w:ind w:firstLine="720"/>
        <w:rPr>
          <w:rFonts w:ascii="Times New Roman" w:hAnsi="Times New Roman"/>
          <w:sz w:val="24"/>
          <w:szCs w:val="24"/>
        </w:rPr>
      </w:pPr>
      <w:r w:rsidRPr="00883E1C">
        <w:rPr>
          <w:rFonts w:ascii="Times New Roman" w:hAnsi="Times New Roman"/>
          <w:sz w:val="24"/>
          <w:szCs w:val="24"/>
        </w:rPr>
        <w:t xml:space="preserve">Data from the IDA’s Annual Reports were used to examine the funnel metaphor from 2002 to 2007. </w:t>
      </w:r>
      <w:r w:rsidR="001663B2" w:rsidRPr="00883E1C">
        <w:rPr>
          <w:rFonts w:ascii="Times New Roman" w:hAnsi="Times New Roman"/>
          <w:sz w:val="24"/>
          <w:szCs w:val="24"/>
        </w:rPr>
        <w:t>The</w:t>
      </w:r>
      <w:r w:rsidR="00D329AF" w:rsidRPr="00883E1C">
        <w:rPr>
          <w:rFonts w:ascii="Times New Roman" w:hAnsi="Times New Roman"/>
          <w:sz w:val="24"/>
          <w:szCs w:val="24"/>
        </w:rPr>
        <w:t xml:space="preserve"> data</w:t>
      </w:r>
      <w:r w:rsidRPr="00883E1C">
        <w:rPr>
          <w:rFonts w:ascii="Times New Roman" w:hAnsi="Times New Roman"/>
          <w:sz w:val="24"/>
          <w:szCs w:val="24"/>
        </w:rPr>
        <w:t xml:space="preserve"> were used to examine </w:t>
      </w:r>
      <w:r w:rsidR="00F8276A" w:rsidRPr="00883E1C">
        <w:rPr>
          <w:rFonts w:ascii="Times New Roman" w:hAnsi="Times New Roman"/>
          <w:sz w:val="24"/>
          <w:szCs w:val="24"/>
        </w:rPr>
        <w:t xml:space="preserve">how investigation and prosecution </w:t>
      </w:r>
      <w:r w:rsidR="00D329AF" w:rsidRPr="00883E1C">
        <w:rPr>
          <w:rFonts w:ascii="Times New Roman" w:hAnsi="Times New Roman"/>
          <w:sz w:val="24"/>
          <w:szCs w:val="24"/>
        </w:rPr>
        <w:t>staff processed</w:t>
      </w:r>
      <w:r w:rsidRPr="00883E1C">
        <w:rPr>
          <w:rFonts w:ascii="Times New Roman" w:hAnsi="Times New Roman"/>
          <w:sz w:val="24"/>
          <w:szCs w:val="24"/>
        </w:rPr>
        <w:t xml:space="preserve"> complaints from initial reporting to the Case Assessment Grou</w:t>
      </w:r>
      <w:r w:rsidR="009A7C67" w:rsidRPr="00883E1C">
        <w:rPr>
          <w:rFonts w:ascii="Times New Roman" w:hAnsi="Times New Roman"/>
          <w:sz w:val="24"/>
          <w:szCs w:val="24"/>
        </w:rPr>
        <w:t>p, to final disposition. Data were collected on</w:t>
      </w:r>
      <w:r w:rsidRPr="00883E1C">
        <w:rPr>
          <w:rFonts w:ascii="Times New Roman" w:hAnsi="Times New Roman"/>
          <w:sz w:val="24"/>
          <w:szCs w:val="24"/>
        </w:rPr>
        <w:t xml:space="preserve"> case assessments</w:t>
      </w:r>
      <w:r w:rsidR="009A7C67" w:rsidRPr="00883E1C">
        <w:rPr>
          <w:rFonts w:ascii="Times New Roman" w:hAnsi="Times New Roman"/>
          <w:sz w:val="24"/>
          <w:szCs w:val="24"/>
        </w:rPr>
        <w:t xml:space="preserve">, investigation and prosecution outcomes of complaints. </w:t>
      </w:r>
      <w:r w:rsidRPr="00883E1C">
        <w:rPr>
          <w:rFonts w:ascii="Times New Roman" w:hAnsi="Times New Roman"/>
          <w:sz w:val="24"/>
          <w:szCs w:val="24"/>
        </w:rPr>
        <w:t xml:space="preserve"> Data comparing the penalties of cases that were sent to a formal disciplinary hearing for both Member firms and </w:t>
      </w:r>
      <w:r w:rsidR="002F257B" w:rsidRPr="00883E1C">
        <w:rPr>
          <w:rFonts w:ascii="Times New Roman" w:hAnsi="Times New Roman"/>
          <w:sz w:val="24"/>
          <w:szCs w:val="24"/>
        </w:rPr>
        <w:t xml:space="preserve">individual registrants </w:t>
      </w:r>
      <w:r w:rsidRPr="00883E1C">
        <w:rPr>
          <w:rFonts w:ascii="Times New Roman" w:hAnsi="Times New Roman"/>
          <w:sz w:val="24"/>
          <w:szCs w:val="24"/>
        </w:rPr>
        <w:t xml:space="preserve">were also gathered for further analysis. </w:t>
      </w:r>
    </w:p>
    <w:p w:rsidR="00476196" w:rsidRPr="00883E1C" w:rsidRDefault="001B393A" w:rsidP="00476196">
      <w:pPr>
        <w:autoSpaceDE w:val="0"/>
        <w:autoSpaceDN w:val="0"/>
        <w:adjustRightInd w:val="0"/>
        <w:spacing w:after="0"/>
        <w:rPr>
          <w:rFonts w:ascii="Times New Roman" w:hAnsi="Times New Roman"/>
          <w:i/>
          <w:sz w:val="24"/>
          <w:szCs w:val="24"/>
        </w:rPr>
      </w:pPr>
      <w:r w:rsidRPr="00883E1C">
        <w:rPr>
          <w:rFonts w:ascii="Times New Roman" w:hAnsi="Times New Roman"/>
          <w:i/>
          <w:sz w:val="24"/>
          <w:szCs w:val="24"/>
        </w:rPr>
        <w:t xml:space="preserve">4.2. </w:t>
      </w:r>
      <w:r w:rsidR="00476196" w:rsidRPr="00883E1C">
        <w:rPr>
          <w:rFonts w:ascii="Times New Roman" w:hAnsi="Times New Roman"/>
          <w:i/>
          <w:sz w:val="24"/>
          <w:szCs w:val="24"/>
        </w:rPr>
        <w:t>Data Source two</w:t>
      </w:r>
    </w:p>
    <w:p w:rsidR="00473CC1" w:rsidRPr="00883E1C" w:rsidRDefault="00C447C5" w:rsidP="00523458">
      <w:pPr>
        <w:rPr>
          <w:rFonts w:ascii="Times New Roman" w:hAnsi="Times New Roman"/>
          <w:sz w:val="24"/>
          <w:szCs w:val="24"/>
        </w:rPr>
      </w:pPr>
      <w:r w:rsidRPr="00883E1C">
        <w:rPr>
          <w:rFonts w:ascii="Times New Roman" w:hAnsi="Times New Roman"/>
          <w:sz w:val="24"/>
          <w:szCs w:val="24"/>
        </w:rPr>
        <w:tab/>
      </w:r>
      <w:r w:rsidR="00F513CB" w:rsidRPr="00883E1C">
        <w:rPr>
          <w:rFonts w:ascii="Times New Roman" w:hAnsi="Times New Roman"/>
          <w:sz w:val="24"/>
          <w:szCs w:val="24"/>
        </w:rPr>
        <w:t xml:space="preserve">Data from the annual enforcement reports </w:t>
      </w:r>
      <w:r w:rsidR="00E96333" w:rsidRPr="00883E1C">
        <w:rPr>
          <w:rFonts w:ascii="Times New Roman" w:hAnsi="Times New Roman"/>
          <w:sz w:val="24"/>
          <w:szCs w:val="24"/>
        </w:rPr>
        <w:t xml:space="preserve">only allowed to </w:t>
      </w:r>
      <w:r w:rsidR="00F513CB" w:rsidRPr="00883E1C">
        <w:rPr>
          <w:rFonts w:ascii="Times New Roman" w:hAnsi="Times New Roman"/>
          <w:sz w:val="24"/>
          <w:szCs w:val="24"/>
        </w:rPr>
        <w:t xml:space="preserve">examine the </w:t>
      </w:r>
      <w:r w:rsidR="006C486C" w:rsidRPr="00883E1C">
        <w:rPr>
          <w:rFonts w:ascii="Times New Roman" w:hAnsi="Times New Roman"/>
          <w:sz w:val="24"/>
          <w:szCs w:val="24"/>
        </w:rPr>
        <w:t>“funnel in” and “funnel out” aspects of the SRO’s misconduct funnel.</w:t>
      </w:r>
      <w:r w:rsidR="00F513CB" w:rsidRPr="00883E1C">
        <w:rPr>
          <w:rFonts w:ascii="Times New Roman" w:hAnsi="Times New Roman"/>
          <w:sz w:val="24"/>
          <w:szCs w:val="24"/>
        </w:rPr>
        <w:t xml:space="preserve"> </w:t>
      </w:r>
      <w:r w:rsidR="005D4E2A" w:rsidRPr="00883E1C">
        <w:rPr>
          <w:rFonts w:ascii="Times New Roman" w:hAnsi="Times New Roman"/>
          <w:sz w:val="24"/>
          <w:szCs w:val="24"/>
        </w:rPr>
        <w:t xml:space="preserve">The </w:t>
      </w:r>
      <w:r w:rsidR="0073366B" w:rsidRPr="00883E1C">
        <w:rPr>
          <w:rFonts w:ascii="Times New Roman" w:hAnsi="Times New Roman"/>
          <w:sz w:val="24"/>
          <w:szCs w:val="24"/>
        </w:rPr>
        <w:t>“</w:t>
      </w:r>
      <w:r w:rsidR="00F513CB" w:rsidRPr="00883E1C">
        <w:rPr>
          <w:rFonts w:ascii="Times New Roman" w:hAnsi="Times New Roman"/>
          <w:sz w:val="24"/>
          <w:szCs w:val="24"/>
        </w:rPr>
        <w:t>f</w:t>
      </w:r>
      <w:r w:rsidR="0073366B" w:rsidRPr="00883E1C">
        <w:rPr>
          <w:rFonts w:ascii="Times New Roman" w:hAnsi="Times New Roman"/>
          <w:sz w:val="24"/>
          <w:szCs w:val="24"/>
        </w:rPr>
        <w:t>unnel away”</w:t>
      </w:r>
      <w:r w:rsidR="005D4E2A" w:rsidRPr="00883E1C">
        <w:rPr>
          <w:rFonts w:ascii="Times New Roman" w:hAnsi="Times New Roman"/>
          <w:sz w:val="24"/>
          <w:szCs w:val="24"/>
        </w:rPr>
        <w:t xml:space="preserve"> aspect</w:t>
      </w:r>
      <w:r w:rsidR="00F513CB" w:rsidRPr="00883E1C">
        <w:rPr>
          <w:rFonts w:ascii="Times New Roman" w:hAnsi="Times New Roman"/>
          <w:sz w:val="24"/>
          <w:szCs w:val="24"/>
        </w:rPr>
        <w:t xml:space="preserve"> of the misconduct funnel </w:t>
      </w:r>
      <w:r w:rsidR="005D4E2A" w:rsidRPr="00883E1C">
        <w:rPr>
          <w:rFonts w:ascii="Times New Roman" w:hAnsi="Times New Roman"/>
          <w:sz w:val="24"/>
          <w:szCs w:val="24"/>
        </w:rPr>
        <w:t xml:space="preserve">was examined through </w:t>
      </w:r>
      <w:r w:rsidR="0073366B" w:rsidRPr="00883E1C">
        <w:rPr>
          <w:rFonts w:ascii="Times New Roman" w:hAnsi="Times New Roman"/>
          <w:sz w:val="24"/>
          <w:szCs w:val="24"/>
        </w:rPr>
        <w:t>the IDA’</w:t>
      </w:r>
      <w:r w:rsidR="00F513CB" w:rsidRPr="00883E1C">
        <w:rPr>
          <w:rFonts w:ascii="Times New Roman" w:hAnsi="Times New Roman"/>
          <w:sz w:val="24"/>
          <w:szCs w:val="24"/>
        </w:rPr>
        <w:t xml:space="preserve">s tribunal </w:t>
      </w:r>
      <w:r w:rsidR="009A7C67" w:rsidRPr="00883E1C">
        <w:rPr>
          <w:rFonts w:ascii="Times New Roman" w:hAnsi="Times New Roman"/>
          <w:sz w:val="24"/>
          <w:szCs w:val="24"/>
        </w:rPr>
        <w:t>cases retrieved</w:t>
      </w:r>
      <w:r w:rsidRPr="00883E1C">
        <w:rPr>
          <w:rFonts w:ascii="Times New Roman" w:hAnsi="Times New Roman"/>
          <w:sz w:val="24"/>
          <w:szCs w:val="24"/>
        </w:rPr>
        <w:t xml:space="preserve"> from </w:t>
      </w:r>
      <w:r w:rsidRPr="00883E1C">
        <w:rPr>
          <w:rFonts w:ascii="Times New Roman" w:hAnsi="Times New Roman"/>
          <w:i/>
          <w:iCs/>
          <w:sz w:val="24"/>
          <w:szCs w:val="24"/>
        </w:rPr>
        <w:t>Quicklaw</w:t>
      </w:r>
      <w:r w:rsidRPr="00883E1C">
        <w:rPr>
          <w:rFonts w:ascii="Times New Roman" w:hAnsi="Times New Roman"/>
          <w:sz w:val="24"/>
          <w:szCs w:val="24"/>
        </w:rPr>
        <w:t xml:space="preserve">. </w:t>
      </w:r>
      <w:bookmarkEnd w:id="0"/>
      <w:bookmarkEnd w:id="1"/>
      <w:bookmarkEnd w:id="2"/>
      <w:bookmarkEnd w:id="3"/>
      <w:bookmarkEnd w:id="4"/>
      <w:bookmarkEnd w:id="5"/>
      <w:bookmarkEnd w:id="6"/>
      <w:r w:rsidR="00473CC1" w:rsidRPr="00883E1C">
        <w:rPr>
          <w:rFonts w:ascii="Times New Roman" w:hAnsi="Times New Roman"/>
          <w:sz w:val="24"/>
          <w:szCs w:val="24"/>
        </w:rPr>
        <w:t>In total, 292 cases were retrieved and coded for quasi-criminal offences between 2002 and 2007. The quasi-criminal offences that were coded were fraud, forgery, false endorsement, misappropriation of funds, and securities act breach. These offences were classified as qua</w:t>
      </w:r>
      <w:r w:rsidR="0073366B" w:rsidRPr="00883E1C">
        <w:rPr>
          <w:rFonts w:ascii="Times New Roman" w:hAnsi="Times New Roman"/>
          <w:sz w:val="24"/>
          <w:szCs w:val="24"/>
        </w:rPr>
        <w:t>si-criminal offences in the IDA’</w:t>
      </w:r>
      <w:r w:rsidR="00473CC1" w:rsidRPr="00883E1C">
        <w:rPr>
          <w:rFonts w:ascii="Times New Roman" w:hAnsi="Times New Roman"/>
          <w:sz w:val="24"/>
          <w:szCs w:val="24"/>
        </w:rPr>
        <w:t>s Sanction G</w:t>
      </w:r>
      <w:r w:rsidR="009E05F1" w:rsidRPr="00883E1C">
        <w:rPr>
          <w:rFonts w:ascii="Times New Roman" w:hAnsi="Times New Roman"/>
          <w:sz w:val="24"/>
          <w:szCs w:val="24"/>
        </w:rPr>
        <w:t>uidelines (see IDA, 2006</w:t>
      </w:r>
      <w:r w:rsidR="00473CC1" w:rsidRPr="00883E1C">
        <w:rPr>
          <w:rFonts w:ascii="Times New Roman" w:hAnsi="Times New Roman"/>
          <w:sz w:val="24"/>
          <w:szCs w:val="24"/>
        </w:rPr>
        <w:t xml:space="preserve">: 2-3). </w:t>
      </w:r>
    </w:p>
    <w:p w:rsidR="001B393A" w:rsidRPr="00883E1C" w:rsidRDefault="001B393A" w:rsidP="00523458">
      <w:pPr>
        <w:rPr>
          <w:rFonts w:ascii="Times New Roman" w:hAnsi="Times New Roman"/>
          <w:b/>
          <w:sz w:val="24"/>
          <w:szCs w:val="24"/>
        </w:rPr>
      </w:pPr>
    </w:p>
    <w:p w:rsidR="0014652E" w:rsidRPr="00883E1C" w:rsidRDefault="001B393A" w:rsidP="00523458">
      <w:pPr>
        <w:rPr>
          <w:rFonts w:ascii="Times New Roman" w:hAnsi="Times New Roman"/>
          <w:i/>
          <w:sz w:val="24"/>
          <w:szCs w:val="24"/>
        </w:rPr>
      </w:pPr>
      <w:r w:rsidRPr="00883E1C">
        <w:rPr>
          <w:rFonts w:ascii="Times New Roman" w:hAnsi="Times New Roman"/>
          <w:i/>
          <w:sz w:val="24"/>
          <w:szCs w:val="24"/>
        </w:rPr>
        <w:lastRenderedPageBreak/>
        <w:t xml:space="preserve">4.3. </w:t>
      </w:r>
      <w:r w:rsidR="003B0589" w:rsidRPr="00883E1C">
        <w:rPr>
          <w:rFonts w:ascii="Times New Roman" w:hAnsi="Times New Roman"/>
          <w:i/>
          <w:sz w:val="24"/>
          <w:szCs w:val="24"/>
        </w:rPr>
        <w:t>Limitations</w:t>
      </w:r>
      <w:r w:rsidR="007A69B6" w:rsidRPr="00883E1C">
        <w:rPr>
          <w:rFonts w:ascii="Times New Roman" w:hAnsi="Times New Roman"/>
          <w:i/>
          <w:sz w:val="24"/>
          <w:szCs w:val="24"/>
        </w:rPr>
        <w:t xml:space="preserve"> of the Study</w:t>
      </w:r>
    </w:p>
    <w:p w:rsidR="00A93F0F" w:rsidRPr="00883E1C" w:rsidRDefault="0082591F" w:rsidP="00671D42">
      <w:pPr>
        <w:ind w:firstLine="720"/>
        <w:rPr>
          <w:rFonts w:ascii="Times New Roman" w:hAnsi="Times New Roman"/>
          <w:sz w:val="24"/>
          <w:szCs w:val="24"/>
        </w:rPr>
      </w:pPr>
      <w:r w:rsidRPr="00883E1C">
        <w:rPr>
          <w:rFonts w:ascii="Times New Roman" w:hAnsi="Times New Roman"/>
          <w:sz w:val="24"/>
          <w:szCs w:val="24"/>
        </w:rPr>
        <w:t xml:space="preserve">There are two limitations </w:t>
      </w:r>
      <w:r w:rsidR="003147D0" w:rsidRPr="00883E1C">
        <w:rPr>
          <w:rFonts w:ascii="Times New Roman" w:hAnsi="Times New Roman"/>
          <w:sz w:val="24"/>
          <w:szCs w:val="24"/>
        </w:rPr>
        <w:t>to the present</w:t>
      </w:r>
      <w:r w:rsidR="003712FE" w:rsidRPr="00883E1C">
        <w:rPr>
          <w:rFonts w:ascii="Times New Roman" w:hAnsi="Times New Roman"/>
          <w:sz w:val="24"/>
          <w:szCs w:val="24"/>
        </w:rPr>
        <w:t xml:space="preserve"> study that</w:t>
      </w:r>
      <w:r w:rsidRPr="00883E1C">
        <w:rPr>
          <w:rFonts w:ascii="Times New Roman" w:hAnsi="Times New Roman"/>
          <w:sz w:val="24"/>
          <w:szCs w:val="24"/>
        </w:rPr>
        <w:t xml:space="preserve"> need to be </w:t>
      </w:r>
      <w:r w:rsidR="007536F5" w:rsidRPr="00883E1C">
        <w:rPr>
          <w:rFonts w:ascii="Times New Roman" w:hAnsi="Times New Roman"/>
          <w:sz w:val="24"/>
          <w:szCs w:val="24"/>
        </w:rPr>
        <w:t>addressed</w:t>
      </w:r>
      <w:r w:rsidRPr="00883E1C">
        <w:rPr>
          <w:rFonts w:ascii="Times New Roman" w:hAnsi="Times New Roman"/>
          <w:sz w:val="24"/>
          <w:szCs w:val="24"/>
        </w:rPr>
        <w:t>. First, t</w:t>
      </w:r>
      <w:r w:rsidR="009266EF" w:rsidRPr="00883E1C">
        <w:rPr>
          <w:rFonts w:ascii="Times New Roman" w:hAnsi="Times New Roman"/>
          <w:sz w:val="24"/>
          <w:szCs w:val="24"/>
        </w:rPr>
        <w:t xml:space="preserve">he analysis of this </w:t>
      </w:r>
      <w:r w:rsidR="006D0821" w:rsidRPr="00883E1C">
        <w:rPr>
          <w:rFonts w:ascii="Times New Roman" w:hAnsi="Times New Roman"/>
          <w:sz w:val="24"/>
          <w:szCs w:val="24"/>
        </w:rPr>
        <w:t xml:space="preserve">study is only informed with data gathered from the </w:t>
      </w:r>
      <w:r w:rsidR="009266EF" w:rsidRPr="00883E1C">
        <w:rPr>
          <w:rFonts w:ascii="Times New Roman" w:hAnsi="Times New Roman"/>
          <w:sz w:val="24"/>
          <w:szCs w:val="24"/>
        </w:rPr>
        <w:t>IDA</w:t>
      </w:r>
      <w:r w:rsidR="006D0821" w:rsidRPr="00883E1C">
        <w:rPr>
          <w:rFonts w:ascii="Times New Roman" w:hAnsi="Times New Roman"/>
          <w:sz w:val="24"/>
          <w:szCs w:val="24"/>
        </w:rPr>
        <w:t xml:space="preserve">’s enforcement annual reports and cases </w:t>
      </w:r>
      <w:r w:rsidR="009266EF" w:rsidRPr="00883E1C">
        <w:rPr>
          <w:rFonts w:ascii="Times New Roman" w:hAnsi="Times New Roman"/>
          <w:sz w:val="24"/>
          <w:szCs w:val="24"/>
        </w:rPr>
        <w:t xml:space="preserve">between 2002 and 2007. This is because </w:t>
      </w:r>
      <w:r w:rsidR="006D0821" w:rsidRPr="00883E1C">
        <w:rPr>
          <w:rFonts w:ascii="Times New Roman" w:hAnsi="Times New Roman"/>
          <w:sz w:val="24"/>
          <w:szCs w:val="24"/>
        </w:rPr>
        <w:t xml:space="preserve">the </w:t>
      </w:r>
      <w:r w:rsidR="009266EF" w:rsidRPr="00883E1C">
        <w:rPr>
          <w:rFonts w:ascii="Times New Roman" w:hAnsi="Times New Roman"/>
          <w:sz w:val="24"/>
          <w:szCs w:val="24"/>
        </w:rPr>
        <w:t>IDA’s enforcement annual reports are not available for the years preceding 20</w:t>
      </w:r>
      <w:r w:rsidR="00117AA8" w:rsidRPr="00883E1C">
        <w:rPr>
          <w:rFonts w:ascii="Times New Roman" w:hAnsi="Times New Roman"/>
          <w:sz w:val="24"/>
          <w:szCs w:val="24"/>
        </w:rPr>
        <w:t>02</w:t>
      </w:r>
      <w:r w:rsidR="009266EF" w:rsidRPr="00883E1C">
        <w:rPr>
          <w:rFonts w:ascii="Times New Roman" w:hAnsi="Times New Roman"/>
          <w:sz w:val="24"/>
          <w:szCs w:val="24"/>
        </w:rPr>
        <w:t xml:space="preserve">. Furthermore, </w:t>
      </w:r>
      <w:r w:rsidR="006D0821" w:rsidRPr="00883E1C">
        <w:rPr>
          <w:rFonts w:ascii="Times New Roman" w:hAnsi="Times New Roman"/>
          <w:sz w:val="24"/>
          <w:szCs w:val="24"/>
        </w:rPr>
        <w:t>I am unable to extend the analysis to the five years of enforcement data now available for IIROC</w:t>
      </w:r>
      <w:r w:rsidR="0042161D" w:rsidRPr="00883E1C">
        <w:rPr>
          <w:rFonts w:ascii="Times New Roman" w:hAnsi="Times New Roman"/>
          <w:sz w:val="24"/>
          <w:szCs w:val="24"/>
        </w:rPr>
        <w:t xml:space="preserve">. While IIROC’s enforcement </w:t>
      </w:r>
      <w:r w:rsidRPr="00883E1C">
        <w:rPr>
          <w:rFonts w:ascii="Times New Roman" w:hAnsi="Times New Roman"/>
          <w:sz w:val="24"/>
          <w:szCs w:val="24"/>
        </w:rPr>
        <w:t>reports provide</w:t>
      </w:r>
      <w:r w:rsidR="0042161D" w:rsidRPr="00883E1C">
        <w:rPr>
          <w:rFonts w:ascii="Times New Roman" w:hAnsi="Times New Roman"/>
          <w:sz w:val="24"/>
          <w:szCs w:val="24"/>
        </w:rPr>
        <w:t xml:space="preserve"> a high level overview of IIROC’s enforcement performance since its inception, it is not</w:t>
      </w:r>
      <w:r w:rsidR="001C7BA3" w:rsidRPr="00883E1C">
        <w:rPr>
          <w:rFonts w:ascii="Times New Roman" w:hAnsi="Times New Roman"/>
          <w:sz w:val="24"/>
          <w:szCs w:val="24"/>
        </w:rPr>
        <w:t xml:space="preserve"> detailed enough to allow for rigorous </w:t>
      </w:r>
      <w:r w:rsidRPr="00883E1C">
        <w:rPr>
          <w:rFonts w:ascii="Times New Roman" w:hAnsi="Times New Roman"/>
          <w:sz w:val="24"/>
          <w:szCs w:val="24"/>
        </w:rPr>
        <w:t xml:space="preserve">quantitative </w:t>
      </w:r>
      <w:r w:rsidR="001C7BA3" w:rsidRPr="00883E1C">
        <w:rPr>
          <w:rFonts w:ascii="Times New Roman" w:hAnsi="Times New Roman"/>
          <w:sz w:val="24"/>
          <w:szCs w:val="24"/>
        </w:rPr>
        <w:t>comparison to be made with the IDA</w:t>
      </w:r>
      <w:r w:rsidR="0042161D" w:rsidRPr="00883E1C">
        <w:rPr>
          <w:rFonts w:ascii="Times New Roman" w:hAnsi="Times New Roman"/>
          <w:sz w:val="24"/>
          <w:szCs w:val="24"/>
        </w:rPr>
        <w:t>’s data</w:t>
      </w:r>
      <w:r w:rsidR="001C7BA3" w:rsidRPr="00883E1C">
        <w:rPr>
          <w:rFonts w:ascii="Times New Roman" w:hAnsi="Times New Roman"/>
          <w:sz w:val="24"/>
          <w:szCs w:val="24"/>
        </w:rPr>
        <w:t xml:space="preserve">. </w:t>
      </w:r>
    </w:p>
    <w:p w:rsidR="0073366B" w:rsidRPr="00883E1C" w:rsidRDefault="0082591F" w:rsidP="00C27BC0">
      <w:pPr>
        <w:ind w:firstLine="720"/>
        <w:rPr>
          <w:rFonts w:ascii="Times New Roman" w:hAnsi="Times New Roman"/>
          <w:sz w:val="24"/>
          <w:szCs w:val="24"/>
        </w:rPr>
      </w:pPr>
      <w:r w:rsidRPr="00883E1C">
        <w:rPr>
          <w:rFonts w:ascii="Times New Roman" w:hAnsi="Times New Roman"/>
          <w:sz w:val="24"/>
          <w:szCs w:val="24"/>
        </w:rPr>
        <w:t>Second, a number of issues have been raised wit</w:t>
      </w:r>
      <w:r w:rsidR="00CB5399" w:rsidRPr="00883E1C">
        <w:rPr>
          <w:rFonts w:ascii="Times New Roman" w:hAnsi="Times New Roman"/>
          <w:sz w:val="24"/>
          <w:szCs w:val="24"/>
        </w:rPr>
        <w:t>h respect to the accuracy of ComSet</w:t>
      </w:r>
      <w:r w:rsidRPr="00883E1C">
        <w:rPr>
          <w:rFonts w:ascii="Times New Roman" w:hAnsi="Times New Roman"/>
          <w:sz w:val="24"/>
          <w:szCs w:val="24"/>
        </w:rPr>
        <w:t xml:space="preserve"> data</w:t>
      </w:r>
      <w:r w:rsidR="00CB5399" w:rsidRPr="00883E1C">
        <w:rPr>
          <w:rFonts w:ascii="Times New Roman" w:hAnsi="Times New Roman"/>
          <w:sz w:val="24"/>
          <w:szCs w:val="24"/>
        </w:rPr>
        <w:t>.</w:t>
      </w:r>
      <w:r w:rsidR="00F04C73">
        <w:rPr>
          <w:rStyle w:val="EndnoteReference"/>
          <w:rFonts w:ascii="Times New Roman" w:hAnsi="Times New Roman"/>
          <w:sz w:val="24"/>
          <w:szCs w:val="24"/>
        </w:rPr>
        <w:endnoteReference w:id="2"/>
      </w:r>
      <w:r w:rsidR="00CB5399" w:rsidRPr="00883E1C">
        <w:rPr>
          <w:rFonts w:ascii="Times New Roman" w:hAnsi="Times New Roman"/>
          <w:sz w:val="24"/>
          <w:szCs w:val="24"/>
        </w:rPr>
        <w:t xml:space="preserve"> Of paramount importance </w:t>
      </w:r>
      <w:r w:rsidRPr="00883E1C">
        <w:rPr>
          <w:rFonts w:ascii="Times New Roman" w:hAnsi="Times New Roman"/>
          <w:sz w:val="24"/>
          <w:szCs w:val="24"/>
        </w:rPr>
        <w:t xml:space="preserve">is the tendency on the part of </w:t>
      </w:r>
      <w:r w:rsidR="0065342A" w:rsidRPr="00883E1C">
        <w:rPr>
          <w:rFonts w:ascii="Times New Roman" w:hAnsi="Times New Roman"/>
          <w:sz w:val="24"/>
          <w:szCs w:val="24"/>
        </w:rPr>
        <w:t xml:space="preserve">the </w:t>
      </w:r>
      <w:r w:rsidRPr="00883E1C">
        <w:rPr>
          <w:rFonts w:ascii="Times New Roman" w:hAnsi="Times New Roman"/>
          <w:sz w:val="24"/>
          <w:szCs w:val="24"/>
        </w:rPr>
        <w:t xml:space="preserve">firms to </w:t>
      </w:r>
      <w:r w:rsidR="00026840" w:rsidRPr="00883E1C">
        <w:rPr>
          <w:rFonts w:ascii="Times New Roman" w:hAnsi="Times New Roman"/>
          <w:sz w:val="24"/>
          <w:szCs w:val="24"/>
        </w:rPr>
        <w:t>under-report problems or misdeed</w:t>
      </w:r>
      <w:r w:rsidR="00914A3D" w:rsidRPr="00883E1C">
        <w:rPr>
          <w:rFonts w:ascii="Times New Roman" w:hAnsi="Times New Roman"/>
          <w:sz w:val="24"/>
          <w:szCs w:val="24"/>
        </w:rPr>
        <w:t>s</w:t>
      </w:r>
      <w:r w:rsidR="00026840" w:rsidRPr="00883E1C">
        <w:rPr>
          <w:rFonts w:ascii="Times New Roman" w:hAnsi="Times New Roman"/>
          <w:sz w:val="24"/>
          <w:szCs w:val="24"/>
        </w:rPr>
        <w:t xml:space="preserve"> that may have </w:t>
      </w:r>
      <w:r w:rsidR="00C373EF" w:rsidRPr="00883E1C">
        <w:rPr>
          <w:rFonts w:ascii="Times New Roman" w:hAnsi="Times New Roman"/>
          <w:sz w:val="24"/>
          <w:szCs w:val="24"/>
        </w:rPr>
        <w:t>come to light (</w:t>
      </w:r>
      <w:r w:rsidR="003B28A3" w:rsidRPr="00883E1C">
        <w:rPr>
          <w:rFonts w:ascii="Times New Roman" w:hAnsi="Times New Roman"/>
          <w:sz w:val="24"/>
          <w:szCs w:val="24"/>
        </w:rPr>
        <w:t xml:space="preserve">Williams, 2012: </w:t>
      </w:r>
      <w:r w:rsidR="00C373EF" w:rsidRPr="00883E1C">
        <w:rPr>
          <w:rFonts w:ascii="Times New Roman" w:hAnsi="Times New Roman"/>
          <w:sz w:val="24"/>
          <w:szCs w:val="24"/>
        </w:rPr>
        <w:t xml:space="preserve">117). </w:t>
      </w:r>
      <w:r w:rsidR="00C93B51" w:rsidRPr="00883E1C">
        <w:rPr>
          <w:rFonts w:ascii="Times New Roman" w:hAnsi="Times New Roman"/>
          <w:sz w:val="24"/>
          <w:szCs w:val="24"/>
        </w:rPr>
        <w:t>F</w:t>
      </w:r>
      <w:r w:rsidR="007120A5" w:rsidRPr="00883E1C">
        <w:rPr>
          <w:rFonts w:ascii="Times New Roman" w:hAnsi="Times New Roman"/>
          <w:sz w:val="24"/>
          <w:szCs w:val="24"/>
        </w:rPr>
        <w:t>irms may dis</w:t>
      </w:r>
      <w:r w:rsidR="00764A56" w:rsidRPr="00883E1C">
        <w:rPr>
          <w:rFonts w:ascii="Times New Roman" w:hAnsi="Times New Roman"/>
          <w:sz w:val="24"/>
          <w:szCs w:val="24"/>
        </w:rPr>
        <w:t>abuse clients of the validity of</w:t>
      </w:r>
      <w:r w:rsidR="007120A5" w:rsidRPr="00883E1C">
        <w:rPr>
          <w:rFonts w:ascii="Times New Roman" w:hAnsi="Times New Roman"/>
          <w:sz w:val="24"/>
          <w:szCs w:val="24"/>
        </w:rPr>
        <w:t xml:space="preserve"> their complaints and encourage them either not to file a complaint or settle the matter in-house.  </w:t>
      </w:r>
      <w:r w:rsidR="00B53236" w:rsidRPr="00883E1C">
        <w:rPr>
          <w:rFonts w:ascii="Times New Roman" w:hAnsi="Times New Roman"/>
          <w:sz w:val="24"/>
          <w:szCs w:val="24"/>
        </w:rPr>
        <w:t xml:space="preserve">There may </w:t>
      </w:r>
      <w:r w:rsidR="00764A56" w:rsidRPr="00883E1C">
        <w:rPr>
          <w:rFonts w:ascii="Times New Roman" w:hAnsi="Times New Roman"/>
          <w:sz w:val="24"/>
          <w:szCs w:val="24"/>
        </w:rPr>
        <w:t xml:space="preserve">also </w:t>
      </w:r>
      <w:r w:rsidR="00B53236" w:rsidRPr="00883E1C">
        <w:rPr>
          <w:rFonts w:ascii="Times New Roman" w:hAnsi="Times New Roman"/>
          <w:sz w:val="24"/>
          <w:szCs w:val="24"/>
        </w:rPr>
        <w:t>be</w:t>
      </w:r>
      <w:r w:rsidR="001D62AA" w:rsidRPr="00883E1C">
        <w:rPr>
          <w:rFonts w:ascii="Times New Roman" w:hAnsi="Times New Roman"/>
          <w:sz w:val="24"/>
          <w:szCs w:val="24"/>
        </w:rPr>
        <w:t xml:space="preserve"> firms </w:t>
      </w:r>
      <w:r w:rsidR="00B53236" w:rsidRPr="00883E1C">
        <w:rPr>
          <w:rFonts w:ascii="Times New Roman" w:hAnsi="Times New Roman"/>
          <w:sz w:val="24"/>
          <w:szCs w:val="24"/>
        </w:rPr>
        <w:t>who are predisposed to</w:t>
      </w:r>
      <w:r w:rsidR="001D62AA" w:rsidRPr="00883E1C">
        <w:rPr>
          <w:rFonts w:ascii="Times New Roman" w:hAnsi="Times New Roman"/>
          <w:sz w:val="24"/>
          <w:szCs w:val="24"/>
        </w:rPr>
        <w:t xml:space="preserve"> game the system by distinguishing between service and non-service related complaints. Service re</w:t>
      </w:r>
      <w:r w:rsidR="00C93B51" w:rsidRPr="00883E1C">
        <w:rPr>
          <w:rFonts w:ascii="Times New Roman" w:hAnsi="Times New Roman"/>
          <w:sz w:val="24"/>
          <w:szCs w:val="24"/>
        </w:rPr>
        <w:t>lated complaints are not reported</w:t>
      </w:r>
      <w:r w:rsidR="001D62AA" w:rsidRPr="00883E1C">
        <w:rPr>
          <w:rFonts w:ascii="Times New Roman" w:hAnsi="Times New Roman"/>
          <w:sz w:val="24"/>
          <w:szCs w:val="24"/>
        </w:rPr>
        <w:t>. Since the IDA has never given a definition of what constitute</w:t>
      </w:r>
      <w:r w:rsidR="0038007D" w:rsidRPr="00883E1C">
        <w:rPr>
          <w:rFonts w:ascii="Times New Roman" w:hAnsi="Times New Roman"/>
          <w:sz w:val="24"/>
          <w:szCs w:val="24"/>
        </w:rPr>
        <w:t>s</w:t>
      </w:r>
      <w:r w:rsidR="001D62AA" w:rsidRPr="00883E1C">
        <w:rPr>
          <w:rFonts w:ascii="Times New Roman" w:hAnsi="Times New Roman"/>
          <w:sz w:val="24"/>
          <w:szCs w:val="24"/>
        </w:rPr>
        <w:t xml:space="preserve"> service related complaints, </w:t>
      </w:r>
      <w:r w:rsidR="00261D0C" w:rsidRPr="00883E1C">
        <w:rPr>
          <w:rFonts w:ascii="Times New Roman" w:hAnsi="Times New Roman"/>
          <w:sz w:val="24"/>
          <w:szCs w:val="24"/>
        </w:rPr>
        <w:t>f</w:t>
      </w:r>
      <w:r w:rsidR="001D62AA" w:rsidRPr="00883E1C">
        <w:rPr>
          <w:rFonts w:ascii="Times New Roman" w:hAnsi="Times New Roman"/>
          <w:sz w:val="24"/>
          <w:szCs w:val="24"/>
        </w:rPr>
        <w:t>irms may deal with the complaints internally and</w:t>
      </w:r>
      <w:r w:rsidR="00FB1460" w:rsidRPr="00883E1C">
        <w:rPr>
          <w:rFonts w:ascii="Times New Roman" w:hAnsi="Times New Roman"/>
          <w:sz w:val="24"/>
          <w:szCs w:val="24"/>
        </w:rPr>
        <w:t xml:space="preserve"> chose</w:t>
      </w:r>
      <w:r w:rsidR="001D62AA" w:rsidRPr="00883E1C">
        <w:rPr>
          <w:rFonts w:ascii="Times New Roman" w:hAnsi="Times New Roman"/>
          <w:sz w:val="24"/>
          <w:szCs w:val="24"/>
        </w:rPr>
        <w:t xml:space="preserve"> not </w:t>
      </w:r>
      <w:r w:rsidR="00E674BA" w:rsidRPr="00883E1C">
        <w:rPr>
          <w:rFonts w:ascii="Times New Roman" w:hAnsi="Times New Roman"/>
          <w:sz w:val="24"/>
          <w:szCs w:val="24"/>
        </w:rPr>
        <w:t>to report them to ComSet. (p. 117</w:t>
      </w:r>
      <w:r w:rsidR="001D62AA" w:rsidRPr="00883E1C">
        <w:rPr>
          <w:rFonts w:ascii="Times New Roman" w:hAnsi="Times New Roman"/>
          <w:sz w:val="24"/>
          <w:szCs w:val="24"/>
        </w:rPr>
        <w:t xml:space="preserve">). </w:t>
      </w:r>
    </w:p>
    <w:p w:rsidR="00A93F0F" w:rsidRPr="00883E1C" w:rsidRDefault="0065342A" w:rsidP="00C27BC0">
      <w:pPr>
        <w:ind w:firstLine="720"/>
        <w:rPr>
          <w:rFonts w:ascii="Times New Roman" w:hAnsi="Times New Roman"/>
          <w:sz w:val="24"/>
          <w:szCs w:val="24"/>
        </w:rPr>
      </w:pPr>
      <w:r w:rsidRPr="00883E1C">
        <w:rPr>
          <w:rFonts w:ascii="Times New Roman" w:hAnsi="Times New Roman"/>
          <w:sz w:val="24"/>
          <w:szCs w:val="24"/>
        </w:rPr>
        <w:t xml:space="preserve">In light of these limitations, </w:t>
      </w:r>
      <w:r w:rsidR="001E46A5" w:rsidRPr="00883E1C">
        <w:rPr>
          <w:rFonts w:ascii="Times New Roman" w:hAnsi="Times New Roman"/>
          <w:sz w:val="24"/>
          <w:szCs w:val="24"/>
        </w:rPr>
        <w:t>some</w:t>
      </w:r>
      <w:r w:rsidR="00764A56" w:rsidRPr="00883E1C">
        <w:rPr>
          <w:rFonts w:ascii="Times New Roman" w:hAnsi="Times New Roman"/>
          <w:sz w:val="24"/>
          <w:szCs w:val="24"/>
        </w:rPr>
        <w:t xml:space="preserve"> may</w:t>
      </w:r>
      <w:r w:rsidR="00F53E13" w:rsidRPr="00883E1C">
        <w:rPr>
          <w:rFonts w:ascii="Times New Roman" w:hAnsi="Times New Roman"/>
          <w:sz w:val="24"/>
          <w:szCs w:val="24"/>
        </w:rPr>
        <w:t xml:space="preserve"> be</w:t>
      </w:r>
      <w:r w:rsidR="000F3D19" w:rsidRPr="00883E1C">
        <w:rPr>
          <w:rFonts w:ascii="Times New Roman" w:hAnsi="Times New Roman"/>
          <w:sz w:val="24"/>
          <w:szCs w:val="24"/>
        </w:rPr>
        <w:t xml:space="preserve"> predisposed to argue that the aforementioned limitations may limit the credibility of the results. In this respect, it is important to pause and ask whether self-reporting by </w:t>
      </w:r>
      <w:r w:rsidR="00636EB4" w:rsidRPr="00883E1C">
        <w:rPr>
          <w:rFonts w:ascii="Times New Roman" w:hAnsi="Times New Roman"/>
          <w:sz w:val="24"/>
          <w:szCs w:val="24"/>
        </w:rPr>
        <w:t>Dealer M</w:t>
      </w:r>
      <w:r w:rsidR="00C93B51" w:rsidRPr="00883E1C">
        <w:rPr>
          <w:rFonts w:ascii="Times New Roman" w:hAnsi="Times New Roman"/>
          <w:sz w:val="24"/>
          <w:szCs w:val="24"/>
        </w:rPr>
        <w:t>embers</w:t>
      </w:r>
      <w:r w:rsidR="000F3D19" w:rsidRPr="00883E1C">
        <w:rPr>
          <w:rFonts w:ascii="Times New Roman" w:hAnsi="Times New Roman"/>
          <w:sz w:val="24"/>
          <w:szCs w:val="24"/>
        </w:rPr>
        <w:t xml:space="preserve"> will uncover more systemic violations, and consequently </w:t>
      </w:r>
      <w:r w:rsidR="00F53E13" w:rsidRPr="00883E1C">
        <w:rPr>
          <w:rFonts w:ascii="Times New Roman" w:hAnsi="Times New Roman"/>
          <w:sz w:val="24"/>
          <w:szCs w:val="24"/>
        </w:rPr>
        <w:t>ma</w:t>
      </w:r>
      <w:r w:rsidR="0038007D" w:rsidRPr="00883E1C">
        <w:rPr>
          <w:rFonts w:ascii="Times New Roman" w:hAnsi="Times New Roman"/>
          <w:sz w:val="24"/>
          <w:szCs w:val="24"/>
        </w:rPr>
        <w:t>k</w:t>
      </w:r>
      <w:r w:rsidR="00F53E13" w:rsidRPr="00883E1C">
        <w:rPr>
          <w:rFonts w:ascii="Times New Roman" w:hAnsi="Times New Roman"/>
          <w:sz w:val="24"/>
          <w:szCs w:val="24"/>
        </w:rPr>
        <w:t>e any si</w:t>
      </w:r>
      <w:r w:rsidR="000F3D19" w:rsidRPr="00883E1C">
        <w:rPr>
          <w:rFonts w:ascii="Times New Roman" w:hAnsi="Times New Roman"/>
          <w:sz w:val="24"/>
          <w:szCs w:val="24"/>
        </w:rPr>
        <w:t xml:space="preserve">gnificant impact on the results. </w:t>
      </w:r>
      <w:r w:rsidR="00F53E13" w:rsidRPr="00883E1C">
        <w:rPr>
          <w:rFonts w:ascii="Times New Roman" w:hAnsi="Times New Roman"/>
          <w:sz w:val="24"/>
          <w:szCs w:val="24"/>
        </w:rPr>
        <w:t xml:space="preserve"> As you will soon see</w:t>
      </w:r>
      <w:r w:rsidR="00CD5C92" w:rsidRPr="00883E1C">
        <w:rPr>
          <w:rFonts w:ascii="Times New Roman" w:hAnsi="Times New Roman"/>
          <w:sz w:val="24"/>
          <w:szCs w:val="24"/>
        </w:rPr>
        <w:t xml:space="preserve">, no </w:t>
      </w:r>
      <w:r w:rsidR="00D37FFE" w:rsidRPr="00883E1C">
        <w:rPr>
          <w:rFonts w:ascii="Times New Roman" w:hAnsi="Times New Roman"/>
          <w:sz w:val="24"/>
          <w:szCs w:val="24"/>
        </w:rPr>
        <w:t>information power is</w:t>
      </w:r>
      <w:r w:rsidR="00CD5C92" w:rsidRPr="00883E1C">
        <w:rPr>
          <w:rFonts w:ascii="Times New Roman" w:hAnsi="Times New Roman"/>
          <w:sz w:val="24"/>
          <w:szCs w:val="24"/>
        </w:rPr>
        <w:t xml:space="preserve"> lost,</w:t>
      </w:r>
      <w:r w:rsidR="00F53E13" w:rsidRPr="00883E1C">
        <w:rPr>
          <w:rFonts w:ascii="Times New Roman" w:hAnsi="Times New Roman"/>
          <w:sz w:val="24"/>
          <w:szCs w:val="24"/>
        </w:rPr>
        <w:t xml:space="preserve"> because the results from the data available provide sufficient information for a </w:t>
      </w:r>
      <w:r w:rsidR="00F53E13" w:rsidRPr="00883E1C">
        <w:rPr>
          <w:rFonts w:ascii="Times New Roman" w:hAnsi="Times New Roman"/>
          <w:sz w:val="24"/>
          <w:szCs w:val="24"/>
        </w:rPr>
        <w:lastRenderedPageBreak/>
        <w:t>representative analysis</w:t>
      </w:r>
      <w:r w:rsidR="000F3D19" w:rsidRPr="00883E1C">
        <w:rPr>
          <w:rFonts w:ascii="Times New Roman" w:hAnsi="Times New Roman"/>
          <w:sz w:val="24"/>
          <w:szCs w:val="24"/>
        </w:rPr>
        <w:t xml:space="preserve">. </w:t>
      </w:r>
      <w:r w:rsidR="00F53E13" w:rsidRPr="00883E1C">
        <w:rPr>
          <w:rFonts w:ascii="Times New Roman" w:hAnsi="Times New Roman"/>
          <w:sz w:val="24"/>
          <w:szCs w:val="24"/>
        </w:rPr>
        <w:t xml:space="preserve">It </w:t>
      </w:r>
      <w:r w:rsidR="00C93B51" w:rsidRPr="00883E1C">
        <w:rPr>
          <w:rFonts w:ascii="Times New Roman" w:hAnsi="Times New Roman"/>
          <w:sz w:val="24"/>
          <w:szCs w:val="24"/>
        </w:rPr>
        <w:t xml:space="preserve">is </w:t>
      </w:r>
      <w:r w:rsidR="00E674BA" w:rsidRPr="00883E1C">
        <w:rPr>
          <w:rFonts w:ascii="Times New Roman" w:hAnsi="Times New Roman"/>
          <w:sz w:val="24"/>
          <w:szCs w:val="24"/>
        </w:rPr>
        <w:t>therefore highly</w:t>
      </w:r>
      <w:r w:rsidR="00F53E13" w:rsidRPr="00883E1C">
        <w:rPr>
          <w:rFonts w:ascii="Times New Roman" w:hAnsi="Times New Roman"/>
          <w:sz w:val="24"/>
          <w:szCs w:val="24"/>
        </w:rPr>
        <w:t xml:space="preserve"> unlikely that there would have been any significant changes in the results with additional </w:t>
      </w:r>
      <w:r w:rsidR="000F3D19" w:rsidRPr="00883E1C">
        <w:rPr>
          <w:rFonts w:ascii="Times New Roman" w:hAnsi="Times New Roman"/>
          <w:sz w:val="24"/>
          <w:szCs w:val="24"/>
        </w:rPr>
        <w:t xml:space="preserve">ComSet data. </w:t>
      </w:r>
    </w:p>
    <w:p w:rsidR="00473CC1" w:rsidRPr="00883E1C" w:rsidRDefault="0042161D" w:rsidP="00E67447">
      <w:pPr>
        <w:rPr>
          <w:rFonts w:ascii="Times New Roman" w:hAnsi="Times New Roman"/>
          <w:i/>
          <w:sz w:val="24"/>
          <w:szCs w:val="24"/>
        </w:rPr>
      </w:pPr>
      <w:r w:rsidRPr="00883E1C">
        <w:rPr>
          <w:rFonts w:ascii="Times New Roman" w:hAnsi="Times New Roman"/>
          <w:i/>
          <w:sz w:val="24"/>
          <w:szCs w:val="24"/>
        </w:rPr>
        <w:t xml:space="preserve"> </w:t>
      </w:r>
      <w:r w:rsidR="001B393A" w:rsidRPr="00883E1C">
        <w:rPr>
          <w:rFonts w:ascii="Times New Roman" w:hAnsi="Times New Roman"/>
          <w:i/>
          <w:sz w:val="24"/>
          <w:szCs w:val="24"/>
        </w:rPr>
        <w:t xml:space="preserve">4.4. </w:t>
      </w:r>
      <w:r w:rsidR="00473CC1" w:rsidRPr="00883E1C">
        <w:rPr>
          <w:rFonts w:ascii="Times New Roman" w:hAnsi="Times New Roman"/>
          <w:i/>
          <w:sz w:val="24"/>
          <w:szCs w:val="24"/>
        </w:rPr>
        <w:t xml:space="preserve">The IDA Enforcement Process </w:t>
      </w:r>
    </w:p>
    <w:p w:rsidR="00473CC1" w:rsidRPr="00883E1C" w:rsidRDefault="00473CC1" w:rsidP="00F11B61">
      <w:pPr>
        <w:pStyle w:val="NormalIndent"/>
        <w:rPr>
          <w:rFonts w:ascii="Times New Roman" w:hAnsi="Times New Roman"/>
          <w:sz w:val="24"/>
          <w:szCs w:val="24"/>
        </w:rPr>
      </w:pPr>
      <w:r w:rsidRPr="00883E1C">
        <w:rPr>
          <w:rFonts w:ascii="Times New Roman" w:hAnsi="Times New Roman"/>
          <w:sz w:val="24"/>
          <w:szCs w:val="24"/>
        </w:rPr>
        <w:t xml:space="preserve">The IDA’s Disciplinary Sanction Guidelines list the offences for which the Association can discipline its registrants </w:t>
      </w:r>
      <w:r w:rsidR="009E05F1" w:rsidRPr="00883E1C">
        <w:rPr>
          <w:rFonts w:ascii="Times New Roman" w:hAnsi="Times New Roman"/>
          <w:sz w:val="24"/>
          <w:szCs w:val="24"/>
        </w:rPr>
        <w:t>and Member firms (see IDA, 2006</w:t>
      </w:r>
      <w:r w:rsidRPr="00883E1C">
        <w:rPr>
          <w:rFonts w:ascii="Times New Roman" w:hAnsi="Times New Roman"/>
          <w:sz w:val="24"/>
          <w:szCs w:val="24"/>
        </w:rPr>
        <w:t>). The Enforcement Department of the IDA, “is responsible for investigating allegations of regulatory breaches by [the] IDA Member firms and their registered employees, and when appropriate, prosecuting registered employees and firms in an IDA adm</w:t>
      </w:r>
      <w:r w:rsidR="00425EFA" w:rsidRPr="00883E1C">
        <w:rPr>
          <w:rFonts w:ascii="Times New Roman" w:hAnsi="Times New Roman"/>
          <w:sz w:val="24"/>
          <w:szCs w:val="24"/>
        </w:rPr>
        <w:t>inistrative hearing” (IDA, 2008</w:t>
      </w:r>
      <w:r w:rsidRPr="00883E1C">
        <w:rPr>
          <w:rFonts w:ascii="Times New Roman" w:hAnsi="Times New Roman"/>
          <w:sz w:val="24"/>
          <w:szCs w:val="24"/>
        </w:rPr>
        <w:t xml:space="preserve">: 2). There are three types of IDA administrative hearings: Contested, Settlement, and Expedited.  The range of disciplinary sanctions is set out in sections 20.33 and 20.34 of the </w:t>
      </w:r>
      <w:r w:rsidR="004F2BAF" w:rsidRPr="00883E1C">
        <w:rPr>
          <w:rFonts w:ascii="Times New Roman" w:hAnsi="Times New Roman"/>
          <w:sz w:val="24"/>
          <w:szCs w:val="24"/>
        </w:rPr>
        <w:t xml:space="preserve">IDA’s </w:t>
      </w:r>
      <w:r w:rsidRPr="00883E1C">
        <w:rPr>
          <w:rFonts w:ascii="Times New Roman" w:hAnsi="Times New Roman"/>
          <w:sz w:val="24"/>
          <w:szCs w:val="24"/>
        </w:rPr>
        <w:t>By-Laws and may include one or any combination of the following:</w:t>
      </w:r>
    </w:p>
    <w:p w:rsidR="00473CC1" w:rsidRPr="00883E1C" w:rsidRDefault="00473CC1" w:rsidP="00F11B61">
      <w:pPr>
        <w:pStyle w:val="3BodyQuoteMultipleParas"/>
        <w:rPr>
          <w:rFonts w:ascii="Times New Roman" w:hAnsi="Times New Roman"/>
          <w:sz w:val="24"/>
          <w:szCs w:val="24"/>
        </w:rPr>
      </w:pPr>
      <w:r w:rsidRPr="00883E1C">
        <w:rPr>
          <w:rFonts w:ascii="Times New Roman" w:hAnsi="Times New Roman"/>
          <w:sz w:val="24"/>
          <w:szCs w:val="24"/>
        </w:rPr>
        <w:t>(i) a reprimand;</w:t>
      </w:r>
    </w:p>
    <w:p w:rsidR="00473CC1" w:rsidRPr="00883E1C" w:rsidRDefault="00473CC1" w:rsidP="00F11B61">
      <w:pPr>
        <w:pStyle w:val="3BodyQuoteMultipleParas"/>
        <w:rPr>
          <w:rFonts w:ascii="Times New Roman" w:hAnsi="Times New Roman"/>
          <w:sz w:val="24"/>
          <w:szCs w:val="24"/>
        </w:rPr>
      </w:pPr>
      <w:r w:rsidRPr="00883E1C">
        <w:rPr>
          <w:rFonts w:ascii="Times New Roman" w:hAnsi="Times New Roman"/>
          <w:sz w:val="24"/>
          <w:szCs w:val="24"/>
        </w:rPr>
        <w:t>(ii) a fine up to $1,000,000 for Approved Persons and $5,000,000 for Members per offence or an amount equal to three times the pecuniary benefit obtained as a result of any contravention, whichever is greater;</w:t>
      </w:r>
    </w:p>
    <w:p w:rsidR="00473CC1" w:rsidRPr="00883E1C" w:rsidRDefault="00473CC1" w:rsidP="00F11B61">
      <w:pPr>
        <w:pStyle w:val="3BodyQuoteMultipleParas"/>
        <w:rPr>
          <w:rFonts w:ascii="Times New Roman" w:hAnsi="Times New Roman"/>
          <w:sz w:val="24"/>
          <w:szCs w:val="24"/>
        </w:rPr>
      </w:pPr>
      <w:r w:rsidRPr="00883E1C">
        <w:rPr>
          <w:rFonts w:ascii="Times New Roman" w:hAnsi="Times New Roman"/>
          <w:sz w:val="24"/>
          <w:szCs w:val="24"/>
        </w:rPr>
        <w:t>(iii) suspension of a Member's rights and privileges or of an Approved</w:t>
      </w:r>
    </w:p>
    <w:p w:rsidR="00473CC1" w:rsidRPr="00883E1C" w:rsidRDefault="00473CC1" w:rsidP="00F11B61">
      <w:pPr>
        <w:pStyle w:val="3BodyQuoteMultipleParas"/>
        <w:rPr>
          <w:rFonts w:ascii="Times New Roman" w:hAnsi="Times New Roman"/>
          <w:sz w:val="24"/>
          <w:szCs w:val="24"/>
        </w:rPr>
      </w:pPr>
      <w:r w:rsidRPr="00883E1C">
        <w:rPr>
          <w:rFonts w:ascii="Times New Roman" w:hAnsi="Times New Roman"/>
          <w:sz w:val="24"/>
          <w:szCs w:val="24"/>
        </w:rPr>
        <w:t xml:space="preserve">Person’s approval to act as a partner, director, officer or employee of a Member, possibly on terms; </w:t>
      </w:r>
    </w:p>
    <w:p w:rsidR="00473CC1" w:rsidRPr="00883E1C" w:rsidRDefault="00473CC1" w:rsidP="00F11B61">
      <w:pPr>
        <w:pStyle w:val="3BodyQuoteMultipleParas"/>
        <w:rPr>
          <w:rFonts w:ascii="Times New Roman" w:hAnsi="Times New Roman"/>
          <w:sz w:val="24"/>
          <w:szCs w:val="24"/>
        </w:rPr>
      </w:pPr>
      <w:r w:rsidRPr="00883E1C">
        <w:rPr>
          <w:rFonts w:ascii="Times New Roman" w:hAnsi="Times New Roman"/>
          <w:sz w:val="24"/>
          <w:szCs w:val="24"/>
        </w:rPr>
        <w:t xml:space="preserve">(iv) termination of a Member's membership and the accompanying rights and privileges or revocation of an Approved Person’s approval; </w:t>
      </w:r>
    </w:p>
    <w:p w:rsidR="00473CC1" w:rsidRPr="00883E1C" w:rsidRDefault="00473CC1" w:rsidP="00F11B61">
      <w:pPr>
        <w:pStyle w:val="3BodyQuoteMultipleParas"/>
        <w:rPr>
          <w:rFonts w:ascii="Times New Roman" w:hAnsi="Times New Roman"/>
          <w:sz w:val="24"/>
          <w:szCs w:val="24"/>
        </w:rPr>
      </w:pPr>
      <w:r w:rsidRPr="00883E1C">
        <w:rPr>
          <w:rFonts w:ascii="Times New Roman" w:hAnsi="Times New Roman"/>
          <w:sz w:val="24"/>
          <w:szCs w:val="24"/>
        </w:rPr>
        <w:t xml:space="preserve">(v) expulsion of a Member from the Association or prohibition of an Approved Person’s approval for any period of time; and </w:t>
      </w:r>
    </w:p>
    <w:p w:rsidR="00473CC1" w:rsidRPr="00883E1C" w:rsidRDefault="00473CC1" w:rsidP="00F11B61">
      <w:pPr>
        <w:pStyle w:val="3BodyQuoteSingleOrLast"/>
        <w:rPr>
          <w:rFonts w:ascii="Times New Roman" w:hAnsi="Times New Roman"/>
          <w:sz w:val="24"/>
          <w:szCs w:val="24"/>
        </w:rPr>
      </w:pPr>
      <w:r w:rsidRPr="00883E1C">
        <w:rPr>
          <w:rFonts w:ascii="Times New Roman" w:hAnsi="Times New Roman"/>
          <w:sz w:val="24"/>
          <w:szCs w:val="24"/>
        </w:rPr>
        <w:t>(vi) imposition of terms and conditions on a Member or conditions on a subsequent approval or continued approval of an Approved Person, as the Hearing Panel considers appropriate in the circumstances (IDA, 2006:4)</w:t>
      </w:r>
      <w:r w:rsidR="009E05F1" w:rsidRPr="00883E1C">
        <w:rPr>
          <w:rFonts w:ascii="Times New Roman" w:hAnsi="Times New Roman"/>
          <w:sz w:val="24"/>
          <w:szCs w:val="24"/>
        </w:rPr>
        <w:t>.</w:t>
      </w:r>
    </w:p>
    <w:p w:rsidR="00473CC1" w:rsidRDefault="00473CC1" w:rsidP="00F11B61">
      <w:pPr>
        <w:pStyle w:val="3BodyFlushLeft"/>
        <w:rPr>
          <w:rFonts w:ascii="Times New Roman" w:hAnsi="Times New Roman"/>
          <w:sz w:val="24"/>
          <w:szCs w:val="24"/>
        </w:rPr>
      </w:pPr>
      <w:r w:rsidRPr="00883E1C">
        <w:rPr>
          <w:rFonts w:ascii="Times New Roman" w:hAnsi="Times New Roman"/>
          <w:sz w:val="24"/>
          <w:szCs w:val="24"/>
        </w:rPr>
        <w:t xml:space="preserve">The IDA’s enforcement process consists of three stages: case assessment (of complaints), investigations, and prosecution by enforcement </w:t>
      </w:r>
      <w:r w:rsidR="00A00C2F" w:rsidRPr="00883E1C">
        <w:rPr>
          <w:rFonts w:ascii="Times New Roman" w:hAnsi="Times New Roman"/>
          <w:sz w:val="24"/>
          <w:szCs w:val="24"/>
        </w:rPr>
        <w:t xml:space="preserve">counsel. </w:t>
      </w:r>
    </w:p>
    <w:p w:rsidR="00F04C73" w:rsidRPr="00F04C73" w:rsidRDefault="00F04C73" w:rsidP="00F04C73"/>
    <w:p w:rsidR="00511D83" w:rsidRPr="00883E1C" w:rsidRDefault="001B393A" w:rsidP="00511D83">
      <w:pPr>
        <w:pStyle w:val="NormalIndent"/>
        <w:ind w:firstLine="0"/>
        <w:rPr>
          <w:rFonts w:ascii="Times New Roman" w:hAnsi="Times New Roman"/>
          <w:b/>
          <w:sz w:val="28"/>
          <w:szCs w:val="28"/>
        </w:rPr>
      </w:pPr>
      <w:r w:rsidRPr="00883E1C">
        <w:rPr>
          <w:rFonts w:ascii="Times New Roman" w:hAnsi="Times New Roman"/>
          <w:b/>
          <w:sz w:val="28"/>
          <w:szCs w:val="28"/>
        </w:rPr>
        <w:lastRenderedPageBreak/>
        <w:t xml:space="preserve">5. </w:t>
      </w:r>
      <w:r w:rsidR="00D37FFE" w:rsidRPr="00883E1C">
        <w:rPr>
          <w:rFonts w:ascii="Times New Roman" w:hAnsi="Times New Roman"/>
          <w:b/>
          <w:sz w:val="28"/>
          <w:szCs w:val="28"/>
        </w:rPr>
        <w:t>F</w:t>
      </w:r>
      <w:r w:rsidR="00511D83" w:rsidRPr="00883E1C">
        <w:rPr>
          <w:rFonts w:ascii="Times New Roman" w:hAnsi="Times New Roman"/>
          <w:b/>
          <w:sz w:val="28"/>
          <w:szCs w:val="28"/>
        </w:rPr>
        <w:t>indings</w:t>
      </w:r>
    </w:p>
    <w:p w:rsidR="00511D83" w:rsidRPr="00883E1C" w:rsidRDefault="001B393A" w:rsidP="00511D83">
      <w:pPr>
        <w:pStyle w:val="NormalIndent"/>
        <w:ind w:firstLine="0"/>
        <w:rPr>
          <w:rFonts w:ascii="Times New Roman" w:hAnsi="Times New Roman"/>
          <w:i/>
          <w:sz w:val="24"/>
          <w:szCs w:val="24"/>
        </w:rPr>
      </w:pPr>
      <w:r w:rsidRPr="00883E1C">
        <w:rPr>
          <w:rFonts w:ascii="Times New Roman" w:hAnsi="Times New Roman"/>
          <w:i/>
          <w:sz w:val="24"/>
          <w:szCs w:val="24"/>
        </w:rPr>
        <w:t xml:space="preserve">5.1. </w:t>
      </w:r>
      <w:r w:rsidR="00511D83" w:rsidRPr="00883E1C">
        <w:rPr>
          <w:rFonts w:ascii="Times New Roman" w:hAnsi="Times New Roman"/>
          <w:i/>
          <w:sz w:val="24"/>
          <w:szCs w:val="24"/>
        </w:rPr>
        <w:t>The Funnel Process: Funnel in</w:t>
      </w:r>
    </w:p>
    <w:p w:rsidR="00F42E94" w:rsidRPr="00883E1C" w:rsidRDefault="00F42E94" w:rsidP="006505D7">
      <w:pPr>
        <w:pStyle w:val="NormalIndent"/>
        <w:rPr>
          <w:rFonts w:ascii="Times New Roman" w:hAnsi="Times New Roman"/>
          <w:sz w:val="24"/>
          <w:szCs w:val="24"/>
        </w:rPr>
      </w:pPr>
      <w:r w:rsidRPr="00883E1C">
        <w:rPr>
          <w:rFonts w:ascii="Times New Roman" w:hAnsi="Times New Roman"/>
          <w:sz w:val="24"/>
          <w:szCs w:val="24"/>
        </w:rPr>
        <w:t>As mentioned earlier, SROs claim to “funnel in” more cases than the</w:t>
      </w:r>
      <w:r w:rsidR="007055FD" w:rsidRPr="00883E1C">
        <w:rPr>
          <w:rFonts w:ascii="Times New Roman" w:hAnsi="Times New Roman"/>
          <w:sz w:val="24"/>
          <w:szCs w:val="24"/>
        </w:rPr>
        <w:t xml:space="preserve"> CJS </w:t>
      </w:r>
      <w:r w:rsidRPr="00883E1C">
        <w:rPr>
          <w:rFonts w:ascii="Times New Roman" w:hAnsi="Times New Roman"/>
          <w:sz w:val="24"/>
          <w:szCs w:val="24"/>
        </w:rPr>
        <w:t>woul</w:t>
      </w:r>
      <w:r w:rsidR="008C10CE" w:rsidRPr="00883E1C">
        <w:rPr>
          <w:rFonts w:ascii="Times New Roman" w:hAnsi="Times New Roman"/>
          <w:sz w:val="24"/>
          <w:szCs w:val="24"/>
        </w:rPr>
        <w:t>d consider taking in (Brockman and</w:t>
      </w:r>
      <w:r w:rsidRPr="00883E1C">
        <w:rPr>
          <w:rFonts w:ascii="Times New Roman" w:hAnsi="Times New Roman"/>
          <w:sz w:val="24"/>
          <w:szCs w:val="24"/>
        </w:rPr>
        <w:t xml:space="preserve"> McEwen, 1990: 13). In this section, I will look at the number of events reported to ComSet and complaints processed by the IDA’s Case Assessment Group.</w:t>
      </w:r>
    </w:p>
    <w:p w:rsidR="00473CC1" w:rsidRPr="00883E1C" w:rsidRDefault="001B393A" w:rsidP="00F11B61">
      <w:pPr>
        <w:pStyle w:val="Heading3"/>
        <w:rPr>
          <w:rFonts w:ascii="Times New Roman" w:hAnsi="Times New Roman"/>
          <w:b w:val="0"/>
          <w:sz w:val="24"/>
        </w:rPr>
      </w:pPr>
      <w:bookmarkStart w:id="15" w:name="_Toc271724832"/>
      <w:bookmarkStart w:id="16" w:name="_Toc271727031"/>
      <w:bookmarkStart w:id="17" w:name="_Toc271727197"/>
      <w:bookmarkStart w:id="18" w:name="_Toc271727399"/>
      <w:bookmarkStart w:id="19" w:name="_Toc271733393"/>
      <w:bookmarkStart w:id="20" w:name="_Toc275444254"/>
      <w:bookmarkStart w:id="21" w:name="_Toc276469236"/>
      <w:bookmarkStart w:id="22" w:name="_Toc297710267"/>
      <w:bookmarkStart w:id="23" w:name="_Toc297720346"/>
      <w:bookmarkStart w:id="24" w:name="_Toc300859215"/>
      <w:bookmarkStart w:id="25" w:name="_Toc314667654"/>
      <w:bookmarkStart w:id="26" w:name="_Toc329241617"/>
      <w:r w:rsidRPr="00883E1C">
        <w:rPr>
          <w:rFonts w:ascii="Times New Roman" w:hAnsi="Times New Roman"/>
          <w:b w:val="0"/>
          <w:sz w:val="24"/>
        </w:rPr>
        <w:t xml:space="preserve">5.1.1. </w:t>
      </w:r>
      <w:r w:rsidR="00473CC1" w:rsidRPr="00883E1C">
        <w:rPr>
          <w:rFonts w:ascii="Times New Roman" w:hAnsi="Times New Roman"/>
          <w:b w:val="0"/>
          <w:sz w:val="24"/>
        </w:rPr>
        <w:t>Events Reported to ComSet</w:t>
      </w:r>
      <w:bookmarkEnd w:id="15"/>
      <w:bookmarkEnd w:id="16"/>
      <w:bookmarkEnd w:id="17"/>
      <w:bookmarkEnd w:id="18"/>
      <w:bookmarkEnd w:id="19"/>
      <w:bookmarkEnd w:id="20"/>
      <w:bookmarkEnd w:id="21"/>
      <w:bookmarkEnd w:id="22"/>
      <w:bookmarkEnd w:id="23"/>
      <w:bookmarkEnd w:id="24"/>
      <w:bookmarkEnd w:id="25"/>
      <w:bookmarkEnd w:id="26"/>
    </w:p>
    <w:p w:rsidR="00473CC1" w:rsidRPr="00883E1C" w:rsidRDefault="00473CC1" w:rsidP="00F11B61">
      <w:pPr>
        <w:pStyle w:val="Caption"/>
        <w:rPr>
          <w:rFonts w:ascii="Times New Roman" w:hAnsi="Times New Roman"/>
          <w:b w:val="0"/>
          <w:sz w:val="24"/>
        </w:rPr>
      </w:pPr>
      <w:bookmarkStart w:id="27" w:name="_Toc329241702"/>
      <w:r w:rsidRPr="00883E1C">
        <w:rPr>
          <w:rFonts w:ascii="Times New Roman" w:hAnsi="Times New Roman"/>
          <w:sz w:val="24"/>
        </w:rPr>
        <w:t>Table</w:t>
      </w:r>
      <w:r w:rsidR="000F4A07" w:rsidRPr="00883E1C">
        <w:rPr>
          <w:rFonts w:ascii="Times New Roman" w:hAnsi="Times New Roman"/>
          <w:sz w:val="24"/>
        </w:rPr>
        <w:t xml:space="preserve"> 1-1</w:t>
      </w:r>
      <w:r w:rsidRPr="00883E1C">
        <w:rPr>
          <w:rFonts w:ascii="Times New Roman" w:hAnsi="Times New Roman"/>
          <w:sz w:val="24"/>
        </w:rPr>
        <w:tab/>
        <w:t>Subject Nature of ComSet Events Reported</w:t>
      </w:r>
      <w:bookmarkEnd w:id="27"/>
    </w:p>
    <w:tbl>
      <w:tblPr>
        <w:tblW w:w="8652" w:type="dxa"/>
        <w:tblInd w:w="96" w:type="dxa"/>
        <w:tblLayout w:type="fixed"/>
        <w:tblLook w:val="04A0" w:firstRow="1" w:lastRow="0" w:firstColumn="1" w:lastColumn="0" w:noHBand="0" w:noVBand="1"/>
      </w:tblPr>
      <w:tblGrid>
        <w:gridCol w:w="2082"/>
        <w:gridCol w:w="663"/>
        <w:gridCol w:w="687"/>
        <w:gridCol w:w="630"/>
        <w:gridCol w:w="630"/>
        <w:gridCol w:w="630"/>
        <w:gridCol w:w="720"/>
        <w:gridCol w:w="630"/>
        <w:gridCol w:w="720"/>
        <w:gridCol w:w="630"/>
        <w:gridCol w:w="630"/>
      </w:tblGrid>
      <w:tr w:rsidR="00883E1C" w:rsidRPr="00883E1C" w:rsidTr="00D3609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4"/>
                <w:szCs w:val="24"/>
              </w:rPr>
            </w:pPr>
            <w:r w:rsidRPr="00883E1C">
              <w:rPr>
                <w:rFonts w:ascii="Times New Roman" w:hAnsi="Times New Roman"/>
                <w:sz w:val="24"/>
                <w:szCs w:val="24"/>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center"/>
              <w:rPr>
                <w:rFonts w:ascii="Times New Roman" w:hAnsi="Times New Roman"/>
                <w:b/>
                <w:bCs/>
                <w:sz w:val="24"/>
                <w:szCs w:val="24"/>
              </w:rPr>
            </w:pPr>
            <w:r w:rsidRPr="00883E1C">
              <w:rPr>
                <w:rFonts w:ascii="Times New Roman" w:hAnsi="Times New Roman"/>
                <w:b/>
                <w:bCs/>
                <w:sz w:val="24"/>
                <w:szCs w:val="24"/>
              </w:rPr>
              <w:t>2003</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center"/>
              <w:rPr>
                <w:rFonts w:ascii="Times New Roman" w:hAnsi="Times New Roman"/>
                <w:b/>
                <w:bCs/>
                <w:sz w:val="24"/>
                <w:szCs w:val="24"/>
              </w:rPr>
            </w:pPr>
            <w:r w:rsidRPr="00883E1C">
              <w:rPr>
                <w:rFonts w:ascii="Times New Roman" w:hAnsi="Times New Roman"/>
                <w:b/>
                <w:bCs/>
                <w:sz w:val="24"/>
                <w:szCs w:val="24"/>
              </w:rPr>
              <w:t>2004</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center"/>
              <w:rPr>
                <w:rFonts w:ascii="Times New Roman" w:hAnsi="Times New Roman"/>
                <w:b/>
                <w:bCs/>
                <w:sz w:val="24"/>
                <w:szCs w:val="24"/>
              </w:rPr>
            </w:pPr>
            <w:r w:rsidRPr="00883E1C">
              <w:rPr>
                <w:rFonts w:ascii="Times New Roman" w:hAnsi="Times New Roman"/>
                <w:b/>
                <w:bCs/>
                <w:sz w:val="24"/>
                <w:szCs w:val="24"/>
              </w:rPr>
              <w:t>2005</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center"/>
              <w:rPr>
                <w:rFonts w:ascii="Times New Roman" w:hAnsi="Times New Roman"/>
                <w:b/>
                <w:bCs/>
                <w:sz w:val="24"/>
                <w:szCs w:val="24"/>
              </w:rPr>
            </w:pPr>
            <w:r w:rsidRPr="00883E1C">
              <w:rPr>
                <w:rFonts w:ascii="Times New Roman" w:hAnsi="Times New Roman"/>
                <w:b/>
                <w:bCs/>
                <w:sz w:val="24"/>
                <w:szCs w:val="24"/>
              </w:rPr>
              <w:t>2006</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center"/>
              <w:rPr>
                <w:rFonts w:ascii="Times New Roman" w:hAnsi="Times New Roman"/>
                <w:b/>
                <w:bCs/>
                <w:sz w:val="24"/>
                <w:szCs w:val="24"/>
              </w:rPr>
            </w:pPr>
            <w:r w:rsidRPr="00883E1C">
              <w:rPr>
                <w:rFonts w:ascii="Times New Roman" w:hAnsi="Times New Roman"/>
                <w:b/>
                <w:bCs/>
                <w:sz w:val="24"/>
                <w:szCs w:val="24"/>
              </w:rPr>
              <w:t>2007</w:t>
            </w:r>
          </w:p>
        </w:tc>
      </w:tr>
      <w:tr w:rsidR="00883E1C" w:rsidRPr="00883E1C" w:rsidTr="00D36097">
        <w:trPr>
          <w:cantSplit/>
          <w:trHeight w:val="1134"/>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b/>
                <w:bCs/>
                <w:sz w:val="20"/>
                <w:szCs w:val="20"/>
              </w:rPr>
            </w:pPr>
            <w:r w:rsidRPr="00883E1C">
              <w:rPr>
                <w:rFonts w:ascii="Times New Roman" w:hAnsi="Times New Roman"/>
                <w:b/>
                <w:bCs/>
                <w:sz w:val="20"/>
                <w:szCs w:val="20"/>
              </w:rPr>
              <w:t>Type of Events Reported</w:t>
            </w:r>
          </w:p>
        </w:tc>
        <w:tc>
          <w:tcPr>
            <w:tcW w:w="663"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Count</w:t>
            </w:r>
          </w:p>
        </w:tc>
        <w:tc>
          <w:tcPr>
            <w:tcW w:w="687"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Percent</w:t>
            </w:r>
          </w:p>
        </w:tc>
        <w:tc>
          <w:tcPr>
            <w:tcW w:w="630"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Count</w:t>
            </w:r>
          </w:p>
        </w:tc>
        <w:tc>
          <w:tcPr>
            <w:tcW w:w="630"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Percent</w:t>
            </w:r>
          </w:p>
        </w:tc>
        <w:tc>
          <w:tcPr>
            <w:tcW w:w="630"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Count</w:t>
            </w:r>
          </w:p>
        </w:tc>
        <w:tc>
          <w:tcPr>
            <w:tcW w:w="720"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Percent</w:t>
            </w:r>
          </w:p>
        </w:tc>
        <w:tc>
          <w:tcPr>
            <w:tcW w:w="630"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Count</w:t>
            </w:r>
          </w:p>
        </w:tc>
        <w:tc>
          <w:tcPr>
            <w:tcW w:w="720"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Percent</w:t>
            </w:r>
          </w:p>
        </w:tc>
        <w:tc>
          <w:tcPr>
            <w:tcW w:w="630"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Count</w:t>
            </w:r>
          </w:p>
        </w:tc>
        <w:tc>
          <w:tcPr>
            <w:tcW w:w="630" w:type="dxa"/>
            <w:tcBorders>
              <w:top w:val="nil"/>
              <w:left w:val="nil"/>
              <w:bottom w:val="single" w:sz="4" w:space="0" w:color="auto"/>
              <w:right w:val="single" w:sz="4" w:space="0" w:color="auto"/>
            </w:tcBorders>
            <w:shd w:val="clear" w:color="auto" w:fill="auto"/>
            <w:noWrap/>
            <w:textDirection w:val="tbRl"/>
            <w:vAlign w:val="bottom"/>
            <w:hideMark/>
          </w:tcPr>
          <w:p w:rsidR="00473CC1" w:rsidRPr="00883E1C" w:rsidRDefault="00473CC1" w:rsidP="00D36097">
            <w:pPr>
              <w:spacing w:after="0" w:line="240" w:lineRule="auto"/>
              <w:ind w:left="113" w:right="113"/>
              <w:rPr>
                <w:rFonts w:ascii="Times New Roman" w:hAnsi="Times New Roman"/>
                <w:b/>
                <w:bCs/>
                <w:sz w:val="20"/>
                <w:szCs w:val="20"/>
              </w:rPr>
            </w:pPr>
            <w:r w:rsidRPr="00883E1C">
              <w:rPr>
                <w:rFonts w:ascii="Times New Roman" w:hAnsi="Times New Roman"/>
                <w:b/>
                <w:bCs/>
                <w:sz w:val="20"/>
                <w:szCs w:val="20"/>
              </w:rPr>
              <w:t>Percent</w:t>
            </w:r>
          </w:p>
        </w:tc>
      </w:tr>
      <w:tr w:rsidR="00883E1C" w:rsidRPr="00883E1C" w:rsidTr="00D36097">
        <w:trPr>
          <w:trHeight w:val="300"/>
        </w:trPr>
        <w:tc>
          <w:tcPr>
            <w:tcW w:w="208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Unsuitable Investment</w:t>
            </w:r>
          </w:p>
        </w:tc>
        <w:tc>
          <w:tcPr>
            <w:tcW w:w="663"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1249</w:t>
            </w:r>
          </w:p>
        </w:tc>
        <w:tc>
          <w:tcPr>
            <w:tcW w:w="68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46.8</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776</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40.9</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732</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39.8</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779</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40.3</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734</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39.3</w:t>
            </w:r>
          </w:p>
        </w:tc>
      </w:tr>
      <w:tr w:rsidR="00883E1C" w:rsidRPr="00883E1C" w:rsidTr="00D36097">
        <w:trPr>
          <w:trHeight w:val="600"/>
        </w:trPr>
        <w:tc>
          <w:tcPr>
            <w:tcW w:w="208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Unauthorized and Discretionary Trading</w:t>
            </w:r>
          </w:p>
        </w:tc>
        <w:tc>
          <w:tcPr>
            <w:tcW w:w="663"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338</w:t>
            </w:r>
          </w:p>
        </w:tc>
        <w:tc>
          <w:tcPr>
            <w:tcW w:w="68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12.7</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231</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12.2</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313</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17</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226</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11.7</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203</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10.9</w:t>
            </w:r>
          </w:p>
        </w:tc>
      </w:tr>
      <w:tr w:rsidR="00883E1C" w:rsidRPr="00883E1C" w:rsidTr="00D36097">
        <w:trPr>
          <w:trHeight w:val="300"/>
        </w:trPr>
        <w:tc>
          <w:tcPr>
            <w:tcW w:w="208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Misrepresentation</w:t>
            </w:r>
          </w:p>
        </w:tc>
        <w:tc>
          <w:tcPr>
            <w:tcW w:w="663"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120</w:t>
            </w:r>
          </w:p>
        </w:tc>
        <w:tc>
          <w:tcPr>
            <w:tcW w:w="68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4.5</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79</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4.2</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92</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5</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94</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4.9</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0</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0</w:t>
            </w:r>
          </w:p>
        </w:tc>
      </w:tr>
      <w:tr w:rsidR="00883E1C" w:rsidRPr="00883E1C" w:rsidTr="00D36097">
        <w:trPr>
          <w:trHeight w:val="600"/>
        </w:trPr>
        <w:tc>
          <w:tcPr>
            <w:tcW w:w="208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543CC6">
            <w:pPr>
              <w:spacing w:after="0" w:line="240" w:lineRule="auto"/>
              <w:rPr>
                <w:rFonts w:ascii="Times New Roman" w:hAnsi="Times New Roman"/>
              </w:rPr>
            </w:pPr>
            <w:r w:rsidRPr="00883E1C">
              <w:rPr>
                <w:rFonts w:ascii="Times New Roman" w:hAnsi="Times New Roman"/>
              </w:rPr>
              <w:t>Disputed fees, commissions, and charges</w:t>
            </w:r>
          </w:p>
        </w:tc>
        <w:tc>
          <w:tcPr>
            <w:tcW w:w="663"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w:t>
            </w:r>
          </w:p>
        </w:tc>
        <w:tc>
          <w:tcPr>
            <w:tcW w:w="68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130</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w:t>
            </w:r>
          </w:p>
        </w:tc>
      </w:tr>
      <w:tr w:rsidR="00883E1C" w:rsidRPr="00883E1C" w:rsidTr="00D36097">
        <w:trPr>
          <w:trHeight w:val="300"/>
        </w:trPr>
        <w:tc>
          <w:tcPr>
            <w:tcW w:w="208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Transfer of Accounts</w:t>
            </w:r>
          </w:p>
        </w:tc>
        <w:tc>
          <w:tcPr>
            <w:tcW w:w="663"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36</w:t>
            </w:r>
          </w:p>
        </w:tc>
        <w:tc>
          <w:tcPr>
            <w:tcW w:w="68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38</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32</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1.7</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79</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4.1</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76</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4.1</w:t>
            </w:r>
          </w:p>
        </w:tc>
      </w:tr>
      <w:tr w:rsidR="00883E1C" w:rsidRPr="00883E1C" w:rsidTr="00D36097">
        <w:trPr>
          <w:trHeight w:val="300"/>
        </w:trPr>
        <w:tc>
          <w:tcPr>
            <w:tcW w:w="208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543CC6">
            <w:pPr>
              <w:spacing w:after="0" w:line="240" w:lineRule="auto"/>
              <w:rPr>
                <w:rFonts w:ascii="Times New Roman" w:hAnsi="Times New Roman"/>
              </w:rPr>
            </w:pPr>
            <w:r w:rsidRPr="00883E1C">
              <w:rPr>
                <w:rFonts w:ascii="Times New Roman" w:hAnsi="Times New Roman"/>
              </w:rPr>
              <w:t>Others</w:t>
            </w:r>
          </w:p>
        </w:tc>
        <w:tc>
          <w:tcPr>
            <w:tcW w:w="663"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927</w:t>
            </w:r>
          </w:p>
        </w:tc>
        <w:tc>
          <w:tcPr>
            <w:tcW w:w="68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34.7</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772</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40.7</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672</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36.5</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754</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39</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727</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sz w:val="20"/>
                <w:szCs w:val="20"/>
              </w:rPr>
            </w:pPr>
            <w:r w:rsidRPr="00883E1C">
              <w:rPr>
                <w:rFonts w:ascii="Times New Roman" w:hAnsi="Times New Roman"/>
                <w:sz w:val="20"/>
                <w:szCs w:val="20"/>
              </w:rPr>
              <w:t>38.9</w:t>
            </w:r>
          </w:p>
        </w:tc>
      </w:tr>
      <w:tr w:rsidR="00473CC1" w:rsidRPr="00883E1C" w:rsidTr="00D36097">
        <w:trPr>
          <w:trHeight w:val="300"/>
        </w:trPr>
        <w:tc>
          <w:tcPr>
            <w:tcW w:w="208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b/>
                <w:bCs/>
                <w:sz w:val="20"/>
                <w:szCs w:val="20"/>
              </w:rPr>
            </w:pPr>
            <w:r w:rsidRPr="00883E1C">
              <w:rPr>
                <w:rFonts w:ascii="Times New Roman" w:hAnsi="Times New Roman"/>
                <w:b/>
                <w:bCs/>
                <w:sz w:val="20"/>
                <w:szCs w:val="20"/>
              </w:rPr>
              <w:t>Total</w:t>
            </w:r>
          </w:p>
        </w:tc>
        <w:tc>
          <w:tcPr>
            <w:tcW w:w="663"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2670</w:t>
            </w:r>
          </w:p>
        </w:tc>
        <w:tc>
          <w:tcPr>
            <w:tcW w:w="68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100</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1896</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100</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1841</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100</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1932</w:t>
            </w:r>
          </w:p>
        </w:tc>
        <w:tc>
          <w:tcPr>
            <w:tcW w:w="7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100</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1870</w:t>
            </w:r>
          </w:p>
        </w:tc>
        <w:tc>
          <w:tcPr>
            <w:tcW w:w="63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b/>
                <w:bCs/>
                <w:sz w:val="20"/>
                <w:szCs w:val="20"/>
              </w:rPr>
            </w:pPr>
            <w:r w:rsidRPr="00883E1C">
              <w:rPr>
                <w:rFonts w:ascii="Times New Roman" w:hAnsi="Times New Roman"/>
                <w:b/>
                <w:bCs/>
                <w:sz w:val="20"/>
                <w:szCs w:val="20"/>
              </w:rPr>
              <w:t>100</w:t>
            </w:r>
          </w:p>
        </w:tc>
      </w:tr>
    </w:tbl>
    <w:p w:rsidR="00473CC1" w:rsidRPr="00883E1C" w:rsidRDefault="00473CC1" w:rsidP="00F11B61">
      <w:pPr>
        <w:autoSpaceDE w:val="0"/>
        <w:autoSpaceDN w:val="0"/>
        <w:adjustRightInd w:val="0"/>
        <w:spacing w:after="0"/>
        <w:ind w:firstLine="720"/>
        <w:rPr>
          <w:rFonts w:ascii="Times New Roman" w:hAnsi="Times New Roman"/>
          <w:sz w:val="24"/>
          <w:szCs w:val="24"/>
        </w:rPr>
      </w:pPr>
    </w:p>
    <w:p w:rsidR="000D758A" w:rsidRPr="00883E1C" w:rsidRDefault="000F4A07" w:rsidP="004F2BAF">
      <w:pPr>
        <w:autoSpaceDE w:val="0"/>
        <w:autoSpaceDN w:val="0"/>
        <w:adjustRightInd w:val="0"/>
        <w:spacing w:after="0"/>
        <w:ind w:firstLine="720"/>
        <w:rPr>
          <w:rFonts w:ascii="Times New Roman" w:hAnsi="Times New Roman"/>
          <w:sz w:val="24"/>
          <w:szCs w:val="24"/>
        </w:rPr>
      </w:pPr>
      <w:r w:rsidRPr="00883E1C">
        <w:rPr>
          <w:rFonts w:ascii="Times New Roman" w:hAnsi="Times New Roman"/>
          <w:sz w:val="24"/>
          <w:szCs w:val="24"/>
        </w:rPr>
        <w:t>Table 1-1</w:t>
      </w:r>
      <w:r w:rsidR="00473CC1" w:rsidRPr="00883E1C">
        <w:rPr>
          <w:rFonts w:ascii="Times New Roman" w:hAnsi="Times New Roman"/>
          <w:sz w:val="24"/>
          <w:szCs w:val="24"/>
        </w:rPr>
        <w:t xml:space="preserve"> indicates that Unsuitable Investments </w:t>
      </w:r>
      <w:r w:rsidR="002577C4" w:rsidRPr="00883E1C">
        <w:rPr>
          <w:rFonts w:ascii="Times New Roman" w:hAnsi="Times New Roman"/>
          <w:sz w:val="24"/>
          <w:szCs w:val="24"/>
        </w:rPr>
        <w:t>was the</w:t>
      </w:r>
      <w:r w:rsidR="00473CC1" w:rsidRPr="00883E1C">
        <w:rPr>
          <w:rFonts w:ascii="Times New Roman" w:hAnsi="Times New Roman"/>
          <w:sz w:val="24"/>
          <w:szCs w:val="24"/>
        </w:rPr>
        <w:t xml:space="preserve"> events most reported to ComSet. </w:t>
      </w:r>
      <w:r w:rsidR="00B62B2D" w:rsidRPr="00883E1C">
        <w:rPr>
          <w:rFonts w:ascii="Times New Roman" w:hAnsi="Times New Roman"/>
          <w:sz w:val="24"/>
          <w:szCs w:val="24"/>
        </w:rPr>
        <w:t>Regulators use</w:t>
      </w:r>
      <w:r w:rsidR="002577C4" w:rsidRPr="00883E1C">
        <w:rPr>
          <w:rFonts w:ascii="Times New Roman" w:hAnsi="Times New Roman"/>
          <w:sz w:val="24"/>
          <w:szCs w:val="24"/>
        </w:rPr>
        <w:t xml:space="preserve"> suitability complaints to pursue what the</w:t>
      </w:r>
      <w:r w:rsidR="00916BD4" w:rsidRPr="00883E1C">
        <w:rPr>
          <w:rFonts w:ascii="Times New Roman" w:hAnsi="Times New Roman"/>
          <w:sz w:val="24"/>
          <w:szCs w:val="24"/>
        </w:rPr>
        <w:t>y</w:t>
      </w:r>
      <w:r w:rsidR="002577C4" w:rsidRPr="00883E1C">
        <w:rPr>
          <w:rFonts w:ascii="Times New Roman" w:hAnsi="Times New Roman"/>
          <w:sz w:val="24"/>
          <w:szCs w:val="24"/>
        </w:rPr>
        <w:t xml:space="preserve"> consider to be more systematic </w:t>
      </w:r>
      <w:r w:rsidR="00884388" w:rsidRPr="00883E1C">
        <w:rPr>
          <w:rFonts w:ascii="Times New Roman" w:hAnsi="Times New Roman"/>
          <w:sz w:val="24"/>
          <w:szCs w:val="24"/>
        </w:rPr>
        <w:t>mis</w:t>
      </w:r>
      <w:r w:rsidR="002577C4" w:rsidRPr="00883E1C">
        <w:rPr>
          <w:rFonts w:ascii="Times New Roman" w:hAnsi="Times New Roman"/>
          <w:sz w:val="24"/>
          <w:szCs w:val="24"/>
        </w:rPr>
        <w:t xml:space="preserve">conduct. According to one IDA regulator, </w:t>
      </w:r>
    </w:p>
    <w:p w:rsidR="002577C4" w:rsidRPr="00883E1C" w:rsidRDefault="00243C2B" w:rsidP="002577C4">
      <w:pPr>
        <w:autoSpaceDE w:val="0"/>
        <w:autoSpaceDN w:val="0"/>
        <w:adjustRightInd w:val="0"/>
        <w:spacing w:after="0" w:line="240" w:lineRule="auto"/>
        <w:ind w:left="284" w:right="284"/>
        <w:rPr>
          <w:rFonts w:ascii="Times New Roman" w:hAnsi="Times New Roman"/>
          <w:sz w:val="24"/>
          <w:szCs w:val="24"/>
        </w:rPr>
      </w:pPr>
      <w:r w:rsidRPr="00883E1C">
        <w:rPr>
          <w:rFonts w:ascii="Times New Roman" w:hAnsi="Times New Roman"/>
          <w:sz w:val="24"/>
          <w:szCs w:val="24"/>
        </w:rPr>
        <w:t>s</w:t>
      </w:r>
      <w:r w:rsidR="002577C4" w:rsidRPr="00883E1C">
        <w:rPr>
          <w:rFonts w:ascii="Times New Roman" w:hAnsi="Times New Roman"/>
          <w:sz w:val="24"/>
          <w:szCs w:val="24"/>
        </w:rPr>
        <w:t xml:space="preserve">uitability is the number one complaint that comes from clients and we use those as pathfinders. Where we identify that a suitability case is in fact valid, we might look further </w:t>
      </w:r>
      <w:r w:rsidR="002577C4" w:rsidRPr="00883E1C">
        <w:rPr>
          <w:rFonts w:ascii="Times New Roman" w:hAnsi="Times New Roman"/>
          <w:sz w:val="24"/>
          <w:szCs w:val="24"/>
        </w:rPr>
        <w:lastRenderedPageBreak/>
        <w:t>into the broker’s portfolios to see if this is just this particular client that got put into a particular type of equity, or is it more widespread acros</w:t>
      </w:r>
      <w:r w:rsidRPr="00883E1C">
        <w:rPr>
          <w:rFonts w:ascii="Times New Roman" w:hAnsi="Times New Roman"/>
          <w:sz w:val="24"/>
          <w:szCs w:val="24"/>
        </w:rPr>
        <w:t>s all of his clients (IDA #5,</w:t>
      </w:r>
      <w:r w:rsidR="00884388" w:rsidRPr="00883E1C">
        <w:rPr>
          <w:rFonts w:ascii="Times New Roman" w:hAnsi="Times New Roman"/>
          <w:sz w:val="24"/>
          <w:szCs w:val="24"/>
        </w:rPr>
        <w:t xml:space="preserve"> 9,</w:t>
      </w:r>
      <w:r w:rsidR="002577C4" w:rsidRPr="00883E1C">
        <w:rPr>
          <w:rFonts w:ascii="Times New Roman" w:hAnsi="Times New Roman"/>
          <w:sz w:val="24"/>
          <w:szCs w:val="24"/>
        </w:rPr>
        <w:t xml:space="preserve"> as cited in Williams, 2012: 113). </w:t>
      </w:r>
    </w:p>
    <w:p w:rsidR="002577C4" w:rsidRPr="00883E1C" w:rsidRDefault="002577C4" w:rsidP="00F11B61">
      <w:pPr>
        <w:autoSpaceDE w:val="0"/>
        <w:autoSpaceDN w:val="0"/>
        <w:adjustRightInd w:val="0"/>
        <w:spacing w:after="0"/>
        <w:ind w:firstLine="720"/>
        <w:rPr>
          <w:rFonts w:ascii="Times New Roman" w:hAnsi="Times New Roman"/>
          <w:sz w:val="24"/>
          <w:szCs w:val="24"/>
        </w:rPr>
      </w:pPr>
    </w:p>
    <w:p w:rsidR="00B62B2D" w:rsidRPr="00883E1C" w:rsidRDefault="00B62B2D" w:rsidP="00B62B2D">
      <w:pPr>
        <w:autoSpaceDE w:val="0"/>
        <w:autoSpaceDN w:val="0"/>
        <w:adjustRightInd w:val="0"/>
        <w:spacing w:after="0"/>
        <w:rPr>
          <w:rFonts w:ascii="Times New Roman" w:hAnsi="Times New Roman"/>
          <w:sz w:val="24"/>
          <w:szCs w:val="24"/>
        </w:rPr>
      </w:pPr>
      <w:r w:rsidRPr="00883E1C">
        <w:rPr>
          <w:rFonts w:ascii="Times New Roman" w:hAnsi="Times New Roman"/>
          <w:sz w:val="24"/>
          <w:szCs w:val="24"/>
        </w:rPr>
        <w:t>Suitability complaints are also use</w:t>
      </w:r>
      <w:r w:rsidR="0038007D" w:rsidRPr="00883E1C">
        <w:rPr>
          <w:rFonts w:ascii="Times New Roman" w:hAnsi="Times New Roman"/>
          <w:sz w:val="24"/>
          <w:szCs w:val="24"/>
        </w:rPr>
        <w:t>d</w:t>
      </w:r>
      <w:r w:rsidR="00884388" w:rsidRPr="00883E1C">
        <w:rPr>
          <w:rFonts w:ascii="Times New Roman" w:hAnsi="Times New Roman"/>
          <w:sz w:val="24"/>
          <w:szCs w:val="24"/>
        </w:rPr>
        <w:t xml:space="preserve"> to</w:t>
      </w:r>
      <w:r w:rsidRPr="00883E1C">
        <w:rPr>
          <w:rFonts w:ascii="Times New Roman" w:hAnsi="Times New Roman"/>
          <w:sz w:val="24"/>
          <w:szCs w:val="24"/>
        </w:rPr>
        <w:t xml:space="preserve"> assess more ostensibly and serious forms of misconduct by senior officers in the dealer firm. Consider what this IDA regulator had to say about one complaint. </w:t>
      </w:r>
    </w:p>
    <w:p w:rsidR="00B62B2D" w:rsidRPr="00883E1C" w:rsidRDefault="00B62B2D" w:rsidP="00B62B2D">
      <w:pPr>
        <w:autoSpaceDE w:val="0"/>
        <w:autoSpaceDN w:val="0"/>
        <w:adjustRightInd w:val="0"/>
        <w:spacing w:after="0" w:line="240" w:lineRule="auto"/>
        <w:ind w:left="284" w:right="284"/>
        <w:rPr>
          <w:rFonts w:ascii="Times New Roman" w:hAnsi="Times New Roman"/>
          <w:sz w:val="24"/>
          <w:szCs w:val="24"/>
        </w:rPr>
      </w:pPr>
      <w:r w:rsidRPr="00883E1C">
        <w:rPr>
          <w:rFonts w:ascii="Times New Roman" w:hAnsi="Times New Roman"/>
          <w:sz w:val="24"/>
          <w:szCs w:val="24"/>
        </w:rPr>
        <w:t>We had one example [where] the initial complaint was about suitability. We looked at the broker, and yes it was unsuitable. We looked across his portfolio and yes, he had all his clients in this particular equity. We look</w:t>
      </w:r>
      <w:r w:rsidR="0038007D" w:rsidRPr="00883E1C">
        <w:rPr>
          <w:rFonts w:ascii="Times New Roman" w:hAnsi="Times New Roman"/>
          <w:sz w:val="24"/>
          <w:szCs w:val="24"/>
        </w:rPr>
        <w:t>ed</w:t>
      </w:r>
      <w:r w:rsidRPr="00883E1C">
        <w:rPr>
          <w:rFonts w:ascii="Times New Roman" w:hAnsi="Times New Roman"/>
          <w:sz w:val="24"/>
          <w:szCs w:val="24"/>
        </w:rPr>
        <w:t xml:space="preserve"> more broadly. It was the branch manager that was actually get</w:t>
      </w:r>
      <w:r w:rsidR="00243C2B" w:rsidRPr="00883E1C">
        <w:rPr>
          <w:rFonts w:ascii="Times New Roman" w:hAnsi="Times New Roman"/>
          <w:sz w:val="24"/>
          <w:szCs w:val="24"/>
        </w:rPr>
        <w:t>ting a secret commission to park</w:t>
      </w:r>
      <w:r w:rsidRPr="00883E1C">
        <w:rPr>
          <w:rFonts w:ascii="Times New Roman" w:hAnsi="Times New Roman"/>
          <w:sz w:val="24"/>
          <w:szCs w:val="24"/>
        </w:rPr>
        <w:t xml:space="preserve"> stock, and he was the one who was encouraging all </w:t>
      </w:r>
      <w:r w:rsidR="0038007D" w:rsidRPr="00883E1C">
        <w:rPr>
          <w:rFonts w:ascii="Times New Roman" w:hAnsi="Times New Roman"/>
          <w:sz w:val="24"/>
          <w:szCs w:val="24"/>
        </w:rPr>
        <w:t xml:space="preserve">of </w:t>
      </w:r>
      <w:r w:rsidRPr="00883E1C">
        <w:rPr>
          <w:rFonts w:ascii="Times New Roman" w:hAnsi="Times New Roman"/>
          <w:sz w:val="24"/>
          <w:szCs w:val="24"/>
        </w:rPr>
        <w:t>his broker</w:t>
      </w:r>
      <w:r w:rsidR="0038007D" w:rsidRPr="00883E1C">
        <w:rPr>
          <w:rFonts w:ascii="Times New Roman" w:hAnsi="Times New Roman"/>
          <w:sz w:val="24"/>
          <w:szCs w:val="24"/>
        </w:rPr>
        <w:t>s</w:t>
      </w:r>
      <w:r w:rsidRPr="00883E1C">
        <w:rPr>
          <w:rFonts w:ascii="Times New Roman" w:hAnsi="Times New Roman"/>
          <w:sz w:val="24"/>
          <w:szCs w:val="24"/>
        </w:rPr>
        <w:t xml:space="preserve"> to p</w:t>
      </w:r>
      <w:r w:rsidR="0038007D" w:rsidRPr="00883E1C">
        <w:rPr>
          <w:rFonts w:ascii="Times New Roman" w:hAnsi="Times New Roman"/>
          <w:sz w:val="24"/>
          <w:szCs w:val="24"/>
        </w:rPr>
        <w:t>ut</w:t>
      </w:r>
      <w:r w:rsidRPr="00883E1C">
        <w:rPr>
          <w:rFonts w:ascii="Times New Roman" w:hAnsi="Times New Roman"/>
          <w:sz w:val="24"/>
          <w:szCs w:val="24"/>
        </w:rPr>
        <w:t xml:space="preserve"> the stock in their clients’ portfolios. So we went from a suitability, to a secret commission, to basicall</w:t>
      </w:r>
      <w:r w:rsidR="00243C2B" w:rsidRPr="00883E1C">
        <w:rPr>
          <w:rFonts w:ascii="Times New Roman" w:hAnsi="Times New Roman"/>
          <w:sz w:val="24"/>
          <w:szCs w:val="24"/>
        </w:rPr>
        <w:t>y a market manipulation offence (IDA #5, as</w:t>
      </w:r>
      <w:r w:rsidRPr="00883E1C">
        <w:rPr>
          <w:rFonts w:ascii="Times New Roman" w:hAnsi="Times New Roman"/>
          <w:sz w:val="24"/>
          <w:szCs w:val="24"/>
        </w:rPr>
        <w:t xml:space="preserve"> cited in Williams, 2012:113). </w:t>
      </w:r>
    </w:p>
    <w:p w:rsidR="00827645" w:rsidRPr="00883E1C" w:rsidRDefault="00827645" w:rsidP="00B62B2D">
      <w:pPr>
        <w:autoSpaceDE w:val="0"/>
        <w:autoSpaceDN w:val="0"/>
        <w:adjustRightInd w:val="0"/>
        <w:spacing w:after="0" w:line="240" w:lineRule="auto"/>
        <w:ind w:left="284" w:right="284"/>
        <w:rPr>
          <w:rFonts w:ascii="Times New Roman" w:hAnsi="Times New Roman"/>
          <w:sz w:val="24"/>
          <w:szCs w:val="24"/>
        </w:rPr>
      </w:pPr>
    </w:p>
    <w:p w:rsidR="00473CC1" w:rsidRPr="00883E1C" w:rsidRDefault="001B393A" w:rsidP="00F11B61">
      <w:pPr>
        <w:pStyle w:val="Heading2"/>
        <w:rPr>
          <w:rFonts w:ascii="Times New Roman" w:hAnsi="Times New Roman"/>
          <w:b w:val="0"/>
          <w:i/>
          <w:sz w:val="24"/>
        </w:rPr>
      </w:pPr>
      <w:bookmarkStart w:id="28" w:name="_Toc314667656"/>
      <w:bookmarkStart w:id="29" w:name="_Toc329241619"/>
      <w:r w:rsidRPr="00883E1C">
        <w:rPr>
          <w:rFonts w:ascii="Times New Roman" w:hAnsi="Times New Roman"/>
          <w:b w:val="0"/>
          <w:i/>
          <w:sz w:val="24"/>
        </w:rPr>
        <w:t xml:space="preserve">5.1.2.  </w:t>
      </w:r>
      <w:r w:rsidR="00473CC1" w:rsidRPr="00883E1C">
        <w:rPr>
          <w:rFonts w:ascii="Times New Roman" w:hAnsi="Times New Roman"/>
          <w:b w:val="0"/>
          <w:i/>
          <w:sz w:val="24"/>
        </w:rPr>
        <w:t>Case Assessment</w:t>
      </w:r>
      <w:bookmarkEnd w:id="28"/>
      <w:bookmarkEnd w:id="29"/>
    </w:p>
    <w:p w:rsidR="00516982" w:rsidRPr="00883E1C" w:rsidRDefault="00473CC1" w:rsidP="00F11B61">
      <w:pPr>
        <w:pStyle w:val="NormalIndent"/>
        <w:rPr>
          <w:rFonts w:ascii="Times New Roman" w:hAnsi="Times New Roman"/>
          <w:sz w:val="24"/>
          <w:szCs w:val="24"/>
        </w:rPr>
      </w:pPr>
      <w:r w:rsidRPr="00883E1C">
        <w:rPr>
          <w:rFonts w:ascii="Times New Roman" w:hAnsi="Times New Roman"/>
          <w:sz w:val="24"/>
          <w:szCs w:val="24"/>
        </w:rPr>
        <w:t>The “Case Assessment Group is responsible for receiving cases from the public, ComSet a</w:t>
      </w:r>
      <w:r w:rsidR="00425EFA" w:rsidRPr="00883E1C">
        <w:rPr>
          <w:rFonts w:ascii="Times New Roman" w:hAnsi="Times New Roman"/>
          <w:sz w:val="24"/>
          <w:szCs w:val="24"/>
        </w:rPr>
        <w:t>nd other regulators” (IDA, 2008</w:t>
      </w:r>
      <w:r w:rsidRPr="00883E1C">
        <w:rPr>
          <w:rFonts w:ascii="Times New Roman" w:hAnsi="Times New Roman"/>
          <w:sz w:val="24"/>
          <w:szCs w:val="24"/>
        </w:rPr>
        <w:t xml:space="preserve">: 9).  </w:t>
      </w:r>
      <w:r w:rsidR="005E5BB4" w:rsidRPr="00883E1C">
        <w:rPr>
          <w:rFonts w:ascii="Times New Roman" w:hAnsi="Times New Roman"/>
          <w:sz w:val="24"/>
          <w:szCs w:val="24"/>
        </w:rPr>
        <w:t xml:space="preserve">At the Case Assessment </w:t>
      </w:r>
      <w:r w:rsidR="00516982" w:rsidRPr="00883E1C">
        <w:rPr>
          <w:rFonts w:ascii="Times New Roman" w:hAnsi="Times New Roman"/>
          <w:sz w:val="24"/>
          <w:szCs w:val="24"/>
        </w:rPr>
        <w:t>stage,</w:t>
      </w:r>
      <w:r w:rsidR="005E5BB4" w:rsidRPr="00883E1C">
        <w:rPr>
          <w:rFonts w:ascii="Times New Roman" w:hAnsi="Times New Roman"/>
          <w:sz w:val="24"/>
          <w:szCs w:val="24"/>
        </w:rPr>
        <w:t xml:space="preserve"> the IDA’s </w:t>
      </w:r>
      <w:r w:rsidR="00516982" w:rsidRPr="00883E1C">
        <w:rPr>
          <w:rFonts w:ascii="Times New Roman" w:hAnsi="Times New Roman"/>
          <w:sz w:val="24"/>
          <w:szCs w:val="24"/>
        </w:rPr>
        <w:t>staff</w:t>
      </w:r>
      <w:r w:rsidR="005E5BB4" w:rsidRPr="00883E1C">
        <w:rPr>
          <w:rFonts w:ascii="Times New Roman" w:hAnsi="Times New Roman"/>
          <w:sz w:val="24"/>
          <w:szCs w:val="24"/>
        </w:rPr>
        <w:t xml:space="preserve"> will consider each matter to determine if there is sufficient evidence of a breach of the IDA’s </w:t>
      </w:r>
      <w:r w:rsidR="00516982" w:rsidRPr="00883E1C">
        <w:rPr>
          <w:rFonts w:ascii="Times New Roman" w:hAnsi="Times New Roman"/>
          <w:sz w:val="24"/>
          <w:szCs w:val="24"/>
        </w:rPr>
        <w:t>rules</w:t>
      </w:r>
      <w:r w:rsidR="005E5BB4" w:rsidRPr="00883E1C">
        <w:rPr>
          <w:rFonts w:ascii="Times New Roman" w:hAnsi="Times New Roman"/>
          <w:sz w:val="24"/>
          <w:szCs w:val="24"/>
        </w:rPr>
        <w:t xml:space="preserve"> that warrants </w:t>
      </w:r>
      <w:r w:rsidR="00516982" w:rsidRPr="00883E1C">
        <w:rPr>
          <w:rFonts w:ascii="Times New Roman" w:hAnsi="Times New Roman"/>
          <w:sz w:val="24"/>
          <w:szCs w:val="24"/>
        </w:rPr>
        <w:t xml:space="preserve">further </w:t>
      </w:r>
      <w:r w:rsidR="005E5BB4" w:rsidRPr="00883E1C">
        <w:rPr>
          <w:rFonts w:ascii="Times New Roman" w:hAnsi="Times New Roman"/>
          <w:sz w:val="24"/>
          <w:szCs w:val="24"/>
        </w:rPr>
        <w:t xml:space="preserve">disciplinary action. </w:t>
      </w:r>
      <w:r w:rsidR="00516982" w:rsidRPr="00883E1C">
        <w:rPr>
          <w:rFonts w:ascii="Times New Roman" w:hAnsi="Times New Roman"/>
          <w:sz w:val="24"/>
          <w:szCs w:val="24"/>
        </w:rPr>
        <w:t>Only cases with sufficient evidence and in the IDA’s jurisdiction will be sent to the Investigation team. With the remaining cases, the IDA may pursue a range of action</w:t>
      </w:r>
      <w:r w:rsidR="00F90A38" w:rsidRPr="00883E1C">
        <w:rPr>
          <w:rFonts w:ascii="Times New Roman" w:hAnsi="Times New Roman"/>
          <w:sz w:val="24"/>
          <w:szCs w:val="24"/>
        </w:rPr>
        <w:t>s</w:t>
      </w:r>
      <w:r w:rsidR="00516982" w:rsidRPr="00883E1C">
        <w:rPr>
          <w:rFonts w:ascii="Times New Roman" w:hAnsi="Times New Roman"/>
          <w:sz w:val="24"/>
          <w:szCs w:val="24"/>
        </w:rPr>
        <w:t xml:space="preserve"> ranging from issuing a warning letter to the Member firm or individual </w:t>
      </w:r>
      <w:r w:rsidR="00141706" w:rsidRPr="00883E1C">
        <w:rPr>
          <w:rFonts w:ascii="Times New Roman" w:hAnsi="Times New Roman"/>
          <w:sz w:val="24"/>
          <w:szCs w:val="24"/>
        </w:rPr>
        <w:t>registrant</w:t>
      </w:r>
      <w:r w:rsidR="00516982" w:rsidRPr="00883E1C">
        <w:rPr>
          <w:rFonts w:ascii="Times New Roman" w:hAnsi="Times New Roman"/>
          <w:sz w:val="24"/>
          <w:szCs w:val="24"/>
        </w:rPr>
        <w:t xml:space="preserve"> or refer the case to other regulatory agencies (including the securiti</w:t>
      </w:r>
      <w:r w:rsidR="00380F94" w:rsidRPr="00883E1C">
        <w:rPr>
          <w:rFonts w:ascii="Times New Roman" w:hAnsi="Times New Roman"/>
          <w:sz w:val="24"/>
          <w:szCs w:val="24"/>
        </w:rPr>
        <w:t>es commissions</w:t>
      </w:r>
      <w:r w:rsidR="00425EFA" w:rsidRPr="00883E1C">
        <w:rPr>
          <w:rFonts w:ascii="Times New Roman" w:hAnsi="Times New Roman"/>
          <w:sz w:val="24"/>
          <w:szCs w:val="24"/>
        </w:rPr>
        <w:t>) and the police (see IDA, 2008</w:t>
      </w:r>
      <w:r w:rsidR="00380F94" w:rsidRPr="00883E1C">
        <w:rPr>
          <w:rFonts w:ascii="Times New Roman" w:hAnsi="Times New Roman"/>
          <w:sz w:val="24"/>
          <w:szCs w:val="24"/>
        </w:rPr>
        <w:t>: 9).</w:t>
      </w:r>
    </w:p>
    <w:p w:rsidR="00092A24" w:rsidRPr="00883E1C" w:rsidRDefault="00092A24" w:rsidP="00F11B61">
      <w:pPr>
        <w:pStyle w:val="NormalIndent"/>
        <w:rPr>
          <w:rFonts w:ascii="Times New Roman" w:hAnsi="Times New Roman"/>
          <w:sz w:val="24"/>
          <w:szCs w:val="24"/>
        </w:rPr>
      </w:pPr>
    </w:p>
    <w:p w:rsidR="00092A24" w:rsidRPr="00883E1C" w:rsidRDefault="00092A24" w:rsidP="00F11B61">
      <w:pPr>
        <w:pStyle w:val="NormalIndent"/>
        <w:rPr>
          <w:rFonts w:ascii="Times New Roman" w:hAnsi="Times New Roman"/>
          <w:sz w:val="24"/>
          <w:szCs w:val="24"/>
        </w:rPr>
      </w:pPr>
    </w:p>
    <w:p w:rsidR="00092A24" w:rsidRPr="00883E1C" w:rsidRDefault="00092A24" w:rsidP="00F11B61">
      <w:pPr>
        <w:pStyle w:val="NormalIndent"/>
        <w:rPr>
          <w:rFonts w:ascii="Times New Roman" w:hAnsi="Times New Roman"/>
          <w:sz w:val="24"/>
          <w:szCs w:val="24"/>
        </w:rPr>
      </w:pPr>
    </w:p>
    <w:p w:rsidR="00473CC1" w:rsidRPr="00883E1C" w:rsidRDefault="00473CC1" w:rsidP="00F11B61">
      <w:pPr>
        <w:pStyle w:val="Caption"/>
        <w:tabs>
          <w:tab w:val="left" w:pos="1260"/>
        </w:tabs>
        <w:rPr>
          <w:rFonts w:ascii="Times New Roman" w:hAnsi="Times New Roman"/>
          <w:sz w:val="24"/>
        </w:rPr>
      </w:pPr>
      <w:bookmarkStart w:id="30" w:name="_Toc329241703"/>
      <w:r w:rsidRPr="00883E1C">
        <w:rPr>
          <w:rFonts w:ascii="Times New Roman" w:hAnsi="Times New Roman"/>
          <w:sz w:val="24"/>
        </w:rPr>
        <w:lastRenderedPageBreak/>
        <w:t>Table 1</w:t>
      </w:r>
      <w:r w:rsidRPr="00883E1C">
        <w:rPr>
          <w:rFonts w:ascii="Times New Roman" w:hAnsi="Times New Roman"/>
          <w:sz w:val="24"/>
        </w:rPr>
        <w:noBreakHyphen/>
      </w:r>
      <w:r w:rsidR="000F4A07" w:rsidRPr="00883E1C">
        <w:rPr>
          <w:rFonts w:ascii="Times New Roman" w:hAnsi="Times New Roman"/>
          <w:sz w:val="24"/>
        </w:rPr>
        <w:t>2</w:t>
      </w:r>
      <w:r w:rsidRPr="00883E1C">
        <w:rPr>
          <w:rFonts w:ascii="Times New Roman" w:hAnsi="Times New Roman"/>
          <w:sz w:val="24"/>
        </w:rPr>
        <w:tab/>
        <w:t>Types and Percentage of Complaints (by Issue) Opened by the Case Assessment Group from January 01 – December 31</w:t>
      </w:r>
      <w:bookmarkEnd w:id="30"/>
    </w:p>
    <w:tbl>
      <w:tblPr>
        <w:tblW w:w="8922" w:type="dxa"/>
        <w:tblInd w:w="96" w:type="dxa"/>
        <w:tblLayout w:type="fixed"/>
        <w:tblLook w:val="04A0" w:firstRow="1" w:lastRow="0" w:firstColumn="1" w:lastColumn="0" w:noHBand="0" w:noVBand="1"/>
      </w:tblPr>
      <w:tblGrid>
        <w:gridCol w:w="1632"/>
        <w:gridCol w:w="630"/>
        <w:gridCol w:w="630"/>
        <w:gridCol w:w="630"/>
        <w:gridCol w:w="630"/>
        <w:gridCol w:w="630"/>
        <w:gridCol w:w="540"/>
        <w:gridCol w:w="630"/>
        <w:gridCol w:w="630"/>
        <w:gridCol w:w="630"/>
        <w:gridCol w:w="540"/>
        <w:gridCol w:w="630"/>
        <w:gridCol w:w="540"/>
      </w:tblGrid>
      <w:tr w:rsidR="00883E1C" w:rsidRPr="00883E1C" w:rsidTr="00624FBA">
        <w:trPr>
          <w:trHeight w:val="525"/>
          <w:tblHeader/>
        </w:trPr>
        <w:tc>
          <w:tcPr>
            <w:tcW w:w="1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Complaints of File Open by Issue</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2002</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2003</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2004</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2005</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2006</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2007</w:t>
            </w:r>
          </w:p>
        </w:tc>
      </w:tr>
      <w:tr w:rsidR="00883E1C" w:rsidRPr="00883E1C" w:rsidTr="00E71D5F">
        <w:trPr>
          <w:trHeight w:val="300"/>
          <w:tblHeader/>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b/>
                <w:bCs/>
                <w:sz w:val="24"/>
                <w:szCs w:val="24"/>
                <w:lang w:bidi="ar-SA"/>
              </w:rPr>
            </w:pPr>
            <w:r w:rsidRPr="00883E1C">
              <w:rPr>
                <w:rFonts w:ascii="Times New Roman" w:hAnsi="Times New Roman"/>
                <w:b/>
                <w:bCs/>
                <w:sz w:val="24"/>
                <w:szCs w:val="24"/>
                <w:lang w:bidi="ar-SA"/>
              </w:rPr>
              <w:t> </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N</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N</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N</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N</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N</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N</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Adequacy of books and records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6</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6</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0.5</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Capital deficiency</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Churning and excessive trading</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0.8</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Client priority rule violation</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7</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0.6</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Conflict of interest</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26</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2.1</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Failure to comply with policy 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0.4</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Falsification/forgery of documentation</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15</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1.8</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Files with No Violation Assigned</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val="fr-FR" w:bidi="ar-SA"/>
              </w:rPr>
            </w:pPr>
            <w:r w:rsidRPr="00883E1C">
              <w:rPr>
                <w:rFonts w:ascii="Times New Roman" w:hAnsi="Times New Roman"/>
                <w:lang w:val="fr-FR" w:bidi="ar-SA"/>
              </w:rPr>
              <w:t>Inaccurate information on registrant application</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Inaccurate information on Termination Notice</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Inappropriate personal financial dealings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26</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2.6</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Insider trading/</w:t>
            </w:r>
            <w:r w:rsidR="00141706" w:rsidRPr="00883E1C">
              <w:rPr>
                <w:rFonts w:ascii="Times New Roman" w:hAnsi="Times New Roman"/>
                <w:lang w:bidi="ar-SA"/>
              </w:rPr>
              <w:t>self-dealing</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0.9</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Internal control violations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7</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1.9</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Manipulation &amp; wash trading</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19</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17</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1.4</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Margin Issues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0.8</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lastRenderedPageBreak/>
              <w:t>Misappropriation of funds or securities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7</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0.8</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b/>
                <w:bCs/>
                <w:lang w:bidi="ar-SA"/>
              </w:rPr>
            </w:pPr>
            <w:r w:rsidRPr="00883E1C">
              <w:rPr>
                <w:rFonts w:ascii="Times New Roman" w:hAnsi="Times New Roman"/>
                <w:b/>
                <w:bCs/>
                <w:lang w:bidi="ar-SA"/>
              </w:rPr>
              <w:t>Misrepresentation</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145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8.7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7.8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117</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8.9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129</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10.6</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Money Laundering</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Other</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208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260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18"/>
                <w:szCs w:val="18"/>
                <w:lang w:bidi="ar-SA"/>
              </w:rPr>
            </w:pPr>
            <w:r w:rsidRPr="00883E1C">
              <w:rPr>
                <w:rFonts w:ascii="Times New Roman" w:hAnsi="Times New Roman"/>
                <w:sz w:val="18"/>
                <w:szCs w:val="18"/>
                <w:lang w:bidi="ar-SA"/>
              </w:rPr>
              <w:t>19.8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188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14.8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272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18"/>
                <w:szCs w:val="18"/>
                <w:lang w:bidi="ar-SA"/>
              </w:rPr>
            </w:pPr>
            <w:r w:rsidRPr="00883E1C">
              <w:rPr>
                <w:rFonts w:ascii="Times New Roman" w:hAnsi="Times New Roman"/>
                <w:sz w:val="18"/>
                <w:szCs w:val="18"/>
                <w:lang w:bidi="ar-SA"/>
              </w:rPr>
              <w:t>20.7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139</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18"/>
                <w:szCs w:val="18"/>
                <w:lang w:bidi="ar-SA"/>
              </w:rPr>
            </w:pPr>
            <w:r w:rsidRPr="00883E1C">
              <w:rPr>
                <w:rFonts w:ascii="Times New Roman" w:hAnsi="Times New Roman"/>
                <w:sz w:val="18"/>
                <w:szCs w:val="18"/>
                <w:lang w:bidi="ar-SA"/>
              </w:rPr>
              <w:t>11.4</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Poor performance</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17</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16</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Principal/agent issues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Prospectus, exemptions and related matters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r>
      <w:bookmarkStart w:id="31" w:name="RANGE!A25"/>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FC6054" w:rsidP="00F60FC7">
            <w:pPr>
              <w:spacing w:after="0" w:line="240" w:lineRule="auto"/>
              <w:rPr>
                <w:rFonts w:ascii="Times New Roman" w:hAnsi="Times New Roman"/>
                <w:b/>
                <w:lang w:bidi="ar-SA"/>
              </w:rPr>
            </w:pPr>
            <w:r w:rsidRPr="00883E1C">
              <w:rPr>
                <w:rFonts w:ascii="Times New Roman" w:hAnsi="Times New Roman"/>
                <w:b/>
                <w:lang w:bidi="ar-SA"/>
              </w:rPr>
              <w:fldChar w:fldCharType="begin"/>
            </w:r>
            <w:r w:rsidR="00473CC1" w:rsidRPr="00883E1C">
              <w:rPr>
                <w:rFonts w:ascii="Times New Roman" w:hAnsi="Times New Roman"/>
                <w:b/>
                <w:lang w:bidi="ar-SA"/>
              </w:rPr>
              <w:instrText>HYPERLINK "C:\\Users\\Admin\\AppData\\Local\\AppData\\Local\\AppData\\Local\\AppData\\Documents and Settings\\scfabian\\Documents and Settings\\Joan\\Local Settings\\AppData\\Local\\Documents and Settings\\Joan\\Local Settings\\AppData\\Owner\\Desktop\\Percent changes.xlsx" \l "RANGE!#REF!"</w:instrText>
            </w:r>
            <w:r w:rsidRPr="00883E1C">
              <w:rPr>
                <w:rFonts w:ascii="Times New Roman" w:hAnsi="Times New Roman"/>
                <w:b/>
                <w:lang w:bidi="ar-SA"/>
              </w:rPr>
              <w:fldChar w:fldCharType="separate"/>
            </w:r>
            <w:r w:rsidR="00473CC1" w:rsidRPr="00883E1C">
              <w:rPr>
                <w:rFonts w:ascii="Times New Roman" w:hAnsi="Times New Roman"/>
                <w:b/>
                <w:lang w:bidi="ar-SA"/>
              </w:rPr>
              <w:t>Service</w:t>
            </w:r>
            <w:r w:rsidRPr="00883E1C">
              <w:rPr>
                <w:rFonts w:ascii="Times New Roman" w:hAnsi="Times New Roman"/>
                <w:b/>
                <w:lang w:bidi="ar-SA"/>
              </w:rPr>
              <w:fldChar w:fldCharType="end"/>
            </w:r>
            <w:bookmarkEnd w:id="31"/>
            <w:r w:rsidR="00473CC1" w:rsidRPr="00883E1C">
              <w:rPr>
                <w:rFonts w:ascii="Times New Roman" w:hAnsi="Times New Roman"/>
                <w:b/>
                <w:lang w:bidi="ar-SA"/>
              </w:rPr>
              <w:t xml:space="preserve"> issues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121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8.7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63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119</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9.8</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Supervision</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29</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2.5</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Theft or fraudulent activities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18</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80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6.6</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Trading outside jurisdiction</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8</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0.6</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Transfer of accounts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27</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2.6</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b/>
                <w:bCs/>
                <w:lang w:bidi="ar-SA"/>
              </w:rPr>
            </w:pPr>
            <w:r w:rsidRPr="00883E1C">
              <w:rPr>
                <w:rFonts w:ascii="Times New Roman" w:hAnsi="Times New Roman"/>
                <w:b/>
                <w:bCs/>
                <w:lang w:bidi="ar-SA"/>
              </w:rPr>
              <w:t>Unauthorized or discretionary trading</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420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26.7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311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18"/>
                <w:szCs w:val="18"/>
                <w:lang w:bidi="ar-SA"/>
              </w:rPr>
            </w:pPr>
            <w:r w:rsidRPr="00883E1C">
              <w:rPr>
                <w:rFonts w:ascii="Times New Roman" w:hAnsi="Times New Roman"/>
                <w:sz w:val="18"/>
                <w:szCs w:val="18"/>
                <w:lang w:bidi="ar-SA"/>
              </w:rPr>
              <w:t>23.7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322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25.3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325</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18"/>
                <w:szCs w:val="18"/>
                <w:lang w:bidi="ar-SA"/>
              </w:rPr>
            </w:pPr>
            <w:r w:rsidRPr="00883E1C">
              <w:rPr>
                <w:rFonts w:ascii="Times New Roman" w:hAnsi="Times New Roman"/>
                <w:sz w:val="18"/>
                <w:szCs w:val="18"/>
                <w:lang w:bidi="ar-SA"/>
              </w:rPr>
              <w:t>24.7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301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18"/>
                <w:szCs w:val="18"/>
                <w:lang w:bidi="ar-SA"/>
              </w:rPr>
            </w:pPr>
            <w:r w:rsidRPr="00883E1C">
              <w:rPr>
                <w:rFonts w:ascii="Times New Roman" w:hAnsi="Times New Roman"/>
                <w:sz w:val="18"/>
                <w:szCs w:val="18"/>
                <w:lang w:bidi="ar-SA"/>
              </w:rPr>
              <w:t>24.7</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Undetermined</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38</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44</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35</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2.9</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b/>
                <w:bCs/>
                <w:lang w:bidi="ar-SA"/>
              </w:rPr>
            </w:pPr>
            <w:r w:rsidRPr="00883E1C">
              <w:rPr>
                <w:rFonts w:ascii="Times New Roman" w:hAnsi="Times New Roman"/>
                <w:b/>
                <w:bCs/>
                <w:lang w:bidi="ar-SA"/>
              </w:rPr>
              <w:t>Unsuitable investment</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243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22.7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281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17.8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203</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18"/>
                <w:szCs w:val="18"/>
                <w:lang w:bidi="ar-SA"/>
              </w:rPr>
            </w:pPr>
            <w:r w:rsidRPr="00883E1C">
              <w:rPr>
                <w:rFonts w:ascii="Times New Roman" w:hAnsi="Times New Roman"/>
                <w:sz w:val="18"/>
                <w:szCs w:val="18"/>
                <w:lang w:bidi="ar-SA"/>
              </w:rPr>
              <w:t>15.5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222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17.5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234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18"/>
                <w:szCs w:val="18"/>
                <w:lang w:bidi="ar-SA"/>
              </w:rPr>
            </w:pPr>
            <w:r w:rsidRPr="00883E1C">
              <w:rPr>
                <w:rFonts w:ascii="Times New Roman" w:hAnsi="Times New Roman"/>
                <w:sz w:val="18"/>
                <w:szCs w:val="18"/>
                <w:lang w:bidi="ar-SA"/>
              </w:rPr>
              <w:t>17.8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140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18"/>
                <w:szCs w:val="18"/>
                <w:lang w:bidi="ar-SA"/>
              </w:rPr>
            </w:pPr>
            <w:r w:rsidRPr="00883E1C">
              <w:rPr>
                <w:rFonts w:ascii="Times New Roman" w:hAnsi="Times New Roman"/>
                <w:sz w:val="18"/>
                <w:szCs w:val="18"/>
                <w:lang w:bidi="ar-SA"/>
              </w:rPr>
              <w:t>11.5</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Uniform Termination Notice</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145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0.0</w:t>
            </w:r>
          </w:p>
        </w:tc>
      </w:tr>
      <w:tr w:rsidR="00883E1C" w:rsidRPr="00883E1C" w:rsidTr="00E71D5F">
        <w:trPr>
          <w:trHeight w:val="525"/>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Violation of Commissions' or other SROs' Orders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0.7</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4</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r>
      <w:tr w:rsidR="00883E1C"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Violation of IDA's orders</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9</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0.8</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0.2</w:t>
            </w:r>
          </w:p>
        </w:tc>
      </w:tr>
      <w:tr w:rsidR="00473CC1" w:rsidRPr="00883E1C" w:rsidTr="00E71D5F">
        <w:trPr>
          <w:trHeight w:val="300"/>
        </w:trPr>
        <w:tc>
          <w:tcPr>
            <w:tcW w:w="1632" w:type="dxa"/>
            <w:tcBorders>
              <w:top w:val="nil"/>
              <w:left w:val="single" w:sz="4" w:space="0" w:color="auto"/>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rPr>
                <w:rFonts w:ascii="Times New Roman" w:hAnsi="Times New Roman"/>
                <w:b/>
                <w:bCs/>
                <w:lang w:bidi="ar-SA"/>
              </w:rPr>
            </w:pPr>
            <w:r w:rsidRPr="00883E1C">
              <w:rPr>
                <w:rFonts w:ascii="Times New Roman" w:hAnsi="Times New Roman"/>
                <w:b/>
                <w:bCs/>
                <w:lang w:bidi="ar-SA"/>
              </w:rPr>
              <w:t>Total</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b/>
                <w:bCs/>
                <w:sz w:val="20"/>
                <w:szCs w:val="20"/>
                <w:lang w:bidi="ar-SA"/>
              </w:rPr>
            </w:pPr>
            <w:r w:rsidRPr="00883E1C">
              <w:rPr>
                <w:rFonts w:ascii="Times New Roman" w:hAnsi="Times New Roman"/>
                <w:b/>
                <w:bCs/>
                <w:sz w:val="20"/>
                <w:szCs w:val="20"/>
                <w:lang w:bidi="ar-SA"/>
              </w:rPr>
              <w:t>1073</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b/>
                <w:bCs/>
                <w:sz w:val="20"/>
                <w:szCs w:val="20"/>
                <w:lang w:bidi="ar-SA"/>
              </w:rPr>
            </w:pPr>
            <w:r w:rsidRPr="00883E1C">
              <w:rPr>
                <w:rFonts w:ascii="Times New Roman" w:hAnsi="Times New Roman"/>
                <w:b/>
                <w:bCs/>
                <w:sz w:val="20"/>
                <w:szCs w:val="20"/>
                <w:lang w:bidi="ar-SA"/>
              </w:rPr>
              <w:t>1575</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b/>
                <w:bCs/>
                <w:sz w:val="20"/>
                <w:szCs w:val="20"/>
                <w:lang w:bidi="ar-SA"/>
              </w:rPr>
            </w:pPr>
            <w:r w:rsidRPr="00883E1C">
              <w:rPr>
                <w:rFonts w:ascii="Times New Roman" w:hAnsi="Times New Roman"/>
                <w:b/>
                <w:bCs/>
                <w:sz w:val="20"/>
                <w:szCs w:val="20"/>
                <w:lang w:bidi="ar-SA"/>
              </w:rPr>
              <w:t>1311</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b/>
                <w:bCs/>
                <w:sz w:val="20"/>
                <w:szCs w:val="20"/>
                <w:lang w:bidi="ar-SA"/>
              </w:rPr>
            </w:pPr>
            <w:r w:rsidRPr="00883E1C">
              <w:rPr>
                <w:rFonts w:ascii="Times New Roman" w:hAnsi="Times New Roman"/>
                <w:b/>
                <w:bCs/>
                <w:sz w:val="20"/>
                <w:szCs w:val="20"/>
                <w:lang w:bidi="ar-SA"/>
              </w:rPr>
              <w:t>1271</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b/>
                <w:bCs/>
                <w:sz w:val="20"/>
                <w:szCs w:val="20"/>
                <w:lang w:bidi="ar-SA"/>
              </w:rPr>
            </w:pPr>
            <w:r w:rsidRPr="00883E1C">
              <w:rPr>
                <w:rFonts w:ascii="Times New Roman" w:hAnsi="Times New Roman"/>
                <w:b/>
                <w:bCs/>
                <w:sz w:val="20"/>
                <w:szCs w:val="20"/>
                <w:lang w:bidi="ar-SA"/>
              </w:rPr>
              <w:t>1315</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100</w:t>
            </w:r>
          </w:p>
        </w:tc>
        <w:tc>
          <w:tcPr>
            <w:tcW w:w="63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b/>
                <w:bCs/>
                <w:sz w:val="20"/>
                <w:szCs w:val="20"/>
                <w:lang w:bidi="ar-SA"/>
              </w:rPr>
            </w:pPr>
            <w:r w:rsidRPr="00883E1C">
              <w:rPr>
                <w:rFonts w:ascii="Times New Roman" w:hAnsi="Times New Roman"/>
                <w:b/>
                <w:bCs/>
                <w:sz w:val="20"/>
                <w:szCs w:val="20"/>
                <w:lang w:bidi="ar-SA"/>
              </w:rPr>
              <w:t>1220</w:t>
            </w:r>
          </w:p>
        </w:tc>
        <w:tc>
          <w:tcPr>
            <w:tcW w:w="540" w:type="dxa"/>
            <w:tcBorders>
              <w:top w:val="nil"/>
              <w:left w:val="nil"/>
              <w:bottom w:val="single" w:sz="4" w:space="0" w:color="auto"/>
              <w:right w:val="single" w:sz="4" w:space="0" w:color="auto"/>
            </w:tcBorders>
            <w:shd w:val="clear" w:color="auto" w:fill="auto"/>
            <w:vAlign w:val="bottom"/>
            <w:hideMark/>
          </w:tcPr>
          <w:p w:rsidR="00473CC1" w:rsidRPr="00883E1C" w:rsidRDefault="00473CC1" w:rsidP="00D36097">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100</w:t>
            </w:r>
          </w:p>
        </w:tc>
      </w:tr>
    </w:tbl>
    <w:p w:rsidR="00473CC1" w:rsidRPr="00883E1C" w:rsidRDefault="00473CC1" w:rsidP="00F11B61">
      <w:pPr>
        <w:spacing w:after="0"/>
        <w:ind w:firstLine="720"/>
        <w:rPr>
          <w:rFonts w:ascii="Times New Roman" w:hAnsi="Times New Roman"/>
          <w:sz w:val="24"/>
          <w:szCs w:val="24"/>
        </w:rPr>
      </w:pPr>
    </w:p>
    <w:p w:rsidR="00473CC1" w:rsidRPr="00883E1C" w:rsidRDefault="00473CC1" w:rsidP="00F11B61">
      <w:pPr>
        <w:pStyle w:val="NormalIndent"/>
        <w:rPr>
          <w:rFonts w:ascii="Times New Roman" w:hAnsi="Times New Roman"/>
          <w:sz w:val="24"/>
          <w:szCs w:val="24"/>
        </w:rPr>
      </w:pPr>
      <w:r w:rsidRPr="00883E1C">
        <w:rPr>
          <w:rFonts w:ascii="Times New Roman" w:hAnsi="Times New Roman"/>
          <w:sz w:val="24"/>
          <w:szCs w:val="24"/>
        </w:rPr>
        <w:lastRenderedPageBreak/>
        <w:t>In total, there were 7,765 complaints “</w:t>
      </w:r>
      <w:r w:rsidR="0070424F" w:rsidRPr="00883E1C">
        <w:rPr>
          <w:rFonts w:ascii="Times New Roman" w:hAnsi="Times New Roman"/>
          <w:sz w:val="24"/>
          <w:szCs w:val="24"/>
        </w:rPr>
        <w:t>funneled</w:t>
      </w:r>
      <w:r w:rsidRPr="00883E1C">
        <w:rPr>
          <w:rFonts w:ascii="Times New Roman" w:hAnsi="Times New Roman"/>
          <w:sz w:val="24"/>
          <w:szCs w:val="24"/>
        </w:rPr>
        <w:t xml:space="preserve"> in” by the Case Assessment Group between 2002 and 2007. That is an average of about 1, 294 complaints per year. The most common complaints opened by the Case Assessment Group over the six year period were complaints relating to improper sales practices, misrepresentation, and service relat</w:t>
      </w:r>
      <w:r w:rsidR="000F4A07" w:rsidRPr="00883E1C">
        <w:rPr>
          <w:rFonts w:ascii="Times New Roman" w:hAnsi="Times New Roman"/>
          <w:sz w:val="24"/>
          <w:szCs w:val="24"/>
        </w:rPr>
        <w:t>ed issues. As shown in Table 1-2</w:t>
      </w:r>
      <w:r w:rsidRPr="00883E1C">
        <w:rPr>
          <w:rFonts w:ascii="Times New Roman" w:hAnsi="Times New Roman"/>
          <w:sz w:val="24"/>
          <w:szCs w:val="24"/>
        </w:rPr>
        <w:t>, complaints related to unsuitable investments decreased by close to half from 2002 when there were 243 (22.7%), to only 140  (11.5%) in 2007. Even though complaints decreased, unsuitable investments were still among the top two complaints opened by the Case Assessment Group throughout the five year period. On the other hand, complaints related to unauthorized and discretionary trading increased by more than half from 119 (11.1%) in 2002, to 301 (24.7%) in 2007. Service related complaints such as the mishandling of cheques and other customer related issues</w:t>
      </w:r>
      <w:r w:rsidR="00FD50FD" w:rsidRPr="00883E1C">
        <w:rPr>
          <w:rFonts w:ascii="Times New Roman" w:hAnsi="Times New Roman"/>
          <w:sz w:val="24"/>
          <w:szCs w:val="24"/>
        </w:rPr>
        <w:t>, as well as c</w:t>
      </w:r>
      <w:r w:rsidRPr="00883E1C">
        <w:rPr>
          <w:rFonts w:ascii="Times New Roman" w:hAnsi="Times New Roman"/>
          <w:sz w:val="24"/>
          <w:szCs w:val="24"/>
        </w:rPr>
        <w:t xml:space="preserve">omplaints related to misrepresentation of facts to clients and/or Member </w:t>
      </w:r>
      <w:r w:rsidR="00FD50FD" w:rsidRPr="00883E1C">
        <w:rPr>
          <w:rFonts w:ascii="Times New Roman" w:hAnsi="Times New Roman"/>
          <w:sz w:val="24"/>
          <w:szCs w:val="24"/>
        </w:rPr>
        <w:t xml:space="preserve">firms, </w:t>
      </w:r>
      <w:r w:rsidRPr="00883E1C">
        <w:rPr>
          <w:rFonts w:ascii="Times New Roman" w:hAnsi="Times New Roman"/>
          <w:sz w:val="24"/>
          <w:szCs w:val="24"/>
        </w:rPr>
        <w:t>fluctuated throughout the six ye</w:t>
      </w:r>
      <w:r w:rsidR="000F4A07" w:rsidRPr="00883E1C">
        <w:rPr>
          <w:rFonts w:ascii="Times New Roman" w:hAnsi="Times New Roman"/>
          <w:sz w:val="24"/>
          <w:szCs w:val="24"/>
        </w:rPr>
        <w:t xml:space="preserve">ar period. </w:t>
      </w:r>
    </w:p>
    <w:p w:rsidR="00E26E43" w:rsidRPr="00883E1C" w:rsidRDefault="00E26E43" w:rsidP="00E26E43">
      <w:pPr>
        <w:pStyle w:val="NormalIndent"/>
        <w:rPr>
          <w:rFonts w:ascii="Times New Roman" w:hAnsi="Times New Roman"/>
          <w:b/>
          <w:sz w:val="24"/>
          <w:szCs w:val="24"/>
        </w:rPr>
      </w:pPr>
      <w:r w:rsidRPr="00883E1C">
        <w:rPr>
          <w:rFonts w:ascii="Times New Roman" w:hAnsi="Times New Roman"/>
          <w:sz w:val="24"/>
          <w:szCs w:val="24"/>
        </w:rPr>
        <w:t xml:space="preserve">Table 1-3 shows the number of files opened and closed by the Case Assessment Group from 2002 to 2007.  With the exception of 2007, the IDA was able to deal with and close more than 85% of the complaints opened by the Case Assessment Group during that period. By combining the number of complaints received from ComSet with those from the public and other regulatory agencies, the IDA is in a better position to “funnel in” and deal with more complaints. It is expected that the complaints with enough evidence for charges to be laid, will make their way down the disciplinary process and “[in] the long run…should actually increase consumer satisfaction and decrease the number of complaints” (see Brockman, 2004: 72).    </w:t>
      </w:r>
    </w:p>
    <w:p w:rsidR="00473CC1" w:rsidRPr="00883E1C" w:rsidRDefault="00473CC1" w:rsidP="00F11B61">
      <w:pPr>
        <w:pStyle w:val="Caption"/>
        <w:keepNext/>
        <w:rPr>
          <w:rFonts w:ascii="Times New Roman" w:hAnsi="Times New Roman"/>
          <w:sz w:val="24"/>
        </w:rPr>
      </w:pPr>
      <w:bookmarkStart w:id="32" w:name="_Toc271724838"/>
      <w:bookmarkStart w:id="33" w:name="_Toc271727037"/>
      <w:bookmarkStart w:id="34" w:name="_Toc271727203"/>
      <w:bookmarkStart w:id="35" w:name="_Toc271727405"/>
      <w:bookmarkStart w:id="36" w:name="_Toc271733399"/>
      <w:bookmarkStart w:id="37" w:name="_Toc275444260"/>
      <w:bookmarkStart w:id="38" w:name="_Toc329241705"/>
      <w:r w:rsidRPr="00883E1C">
        <w:rPr>
          <w:rFonts w:ascii="Times New Roman" w:hAnsi="Times New Roman"/>
          <w:sz w:val="24"/>
        </w:rPr>
        <w:lastRenderedPageBreak/>
        <w:t>Table 1</w:t>
      </w:r>
      <w:r w:rsidRPr="00883E1C">
        <w:rPr>
          <w:rFonts w:ascii="Times New Roman" w:hAnsi="Times New Roman"/>
          <w:sz w:val="24"/>
        </w:rPr>
        <w:noBreakHyphen/>
      </w:r>
      <w:r w:rsidR="00E26E43" w:rsidRPr="00883E1C">
        <w:rPr>
          <w:rFonts w:ascii="Times New Roman" w:hAnsi="Times New Roman"/>
          <w:sz w:val="24"/>
        </w:rPr>
        <w:t>3</w:t>
      </w:r>
      <w:r w:rsidRPr="00883E1C">
        <w:rPr>
          <w:rFonts w:ascii="Times New Roman" w:hAnsi="Times New Roman"/>
          <w:sz w:val="24"/>
        </w:rPr>
        <w:tab/>
        <w:t>Total Files Opened and Closed by Case Assessment Group from 2002-2007</w:t>
      </w:r>
      <w:bookmarkEnd w:id="32"/>
      <w:bookmarkEnd w:id="33"/>
      <w:bookmarkEnd w:id="34"/>
      <w:bookmarkEnd w:id="35"/>
      <w:bookmarkEnd w:id="36"/>
      <w:bookmarkEnd w:id="37"/>
      <w:bookmarkEnd w:id="38"/>
    </w:p>
    <w:tbl>
      <w:tblPr>
        <w:tblW w:w="8482" w:type="dxa"/>
        <w:tblInd w:w="96" w:type="dxa"/>
        <w:tblLook w:val="04A0" w:firstRow="1" w:lastRow="0" w:firstColumn="1" w:lastColumn="0" w:noHBand="0" w:noVBand="1"/>
      </w:tblPr>
      <w:tblGrid>
        <w:gridCol w:w="1440"/>
        <w:gridCol w:w="1182"/>
        <w:gridCol w:w="1400"/>
        <w:gridCol w:w="1380"/>
        <w:gridCol w:w="1660"/>
        <w:gridCol w:w="1420"/>
      </w:tblGrid>
      <w:tr w:rsidR="00883E1C" w:rsidRPr="00883E1C" w:rsidTr="00D36097">
        <w:trPr>
          <w:trHeight w:val="1043"/>
          <w:tblHead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b/>
                <w:bCs/>
                <w:sz w:val="24"/>
                <w:szCs w:val="24"/>
                <w:lang w:bidi="ar-SA"/>
              </w:rPr>
            </w:pPr>
            <w:r w:rsidRPr="00883E1C">
              <w:rPr>
                <w:rFonts w:ascii="Times New Roman" w:hAnsi="Times New Roman"/>
                <w:b/>
                <w:bCs/>
                <w:sz w:val="24"/>
                <w:szCs w:val="24"/>
                <w:lang w:bidi="ar-SA"/>
              </w:rPr>
              <w:t>As at</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keepNext/>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Open at Jan 1</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keepNext/>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Received During Period</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keepNext/>
              <w:spacing w:after="0" w:line="240" w:lineRule="auto"/>
              <w:rPr>
                <w:rFonts w:ascii="Times New Roman" w:hAnsi="Times New Roman"/>
                <w:b/>
                <w:bCs/>
                <w:sz w:val="24"/>
                <w:szCs w:val="24"/>
                <w:lang w:bidi="ar-SA"/>
              </w:rPr>
            </w:pPr>
            <w:r w:rsidRPr="00883E1C">
              <w:rPr>
                <w:rFonts w:ascii="Times New Roman" w:hAnsi="Times New Roman"/>
                <w:b/>
                <w:bCs/>
                <w:sz w:val="24"/>
                <w:szCs w:val="24"/>
                <w:lang w:bidi="ar-SA"/>
              </w:rPr>
              <w:t>Total open files during period</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keepNext/>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Closed During Period</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473CC1" w:rsidRPr="00883E1C" w:rsidRDefault="00473CC1" w:rsidP="00D36097">
            <w:pPr>
              <w:keepNext/>
              <w:spacing w:after="0" w:line="240" w:lineRule="auto"/>
              <w:jc w:val="center"/>
              <w:rPr>
                <w:rFonts w:ascii="Times New Roman" w:hAnsi="Times New Roman"/>
                <w:b/>
                <w:bCs/>
                <w:sz w:val="24"/>
                <w:szCs w:val="24"/>
                <w:lang w:bidi="ar-SA"/>
              </w:rPr>
            </w:pPr>
            <w:r w:rsidRPr="00883E1C">
              <w:rPr>
                <w:rFonts w:ascii="Times New Roman" w:hAnsi="Times New Roman"/>
                <w:b/>
                <w:bCs/>
                <w:sz w:val="24"/>
                <w:szCs w:val="24"/>
                <w:lang w:bidi="ar-SA"/>
              </w:rPr>
              <w:t>Open at End of Period</w:t>
            </w:r>
          </w:p>
        </w:tc>
      </w:tr>
      <w:tr w:rsidR="00883E1C" w:rsidRPr="00883E1C" w:rsidTr="00D3609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4"/>
                <w:szCs w:val="24"/>
                <w:lang w:bidi="ar-SA"/>
              </w:rPr>
            </w:pPr>
            <w:r w:rsidRPr="00883E1C">
              <w:rPr>
                <w:rFonts w:ascii="Times New Roman" w:hAnsi="Times New Roman"/>
                <w:sz w:val="24"/>
                <w:szCs w:val="24"/>
                <w:lang w:bidi="ar-SA"/>
              </w:rPr>
              <w:t>Dec 31 2002</w:t>
            </w:r>
          </w:p>
        </w:tc>
        <w:tc>
          <w:tcPr>
            <w:tcW w:w="118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134</w:t>
            </w:r>
          </w:p>
        </w:tc>
        <w:tc>
          <w:tcPr>
            <w:tcW w:w="140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1073</w:t>
            </w:r>
          </w:p>
        </w:tc>
        <w:tc>
          <w:tcPr>
            <w:tcW w:w="138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1207</w:t>
            </w:r>
          </w:p>
        </w:tc>
        <w:tc>
          <w:tcPr>
            <w:tcW w:w="166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1037 (85.9%)</w:t>
            </w:r>
          </w:p>
        </w:tc>
        <w:tc>
          <w:tcPr>
            <w:tcW w:w="14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170 (14.1%)</w:t>
            </w:r>
          </w:p>
        </w:tc>
      </w:tr>
      <w:tr w:rsidR="00883E1C" w:rsidRPr="00883E1C" w:rsidTr="00D3609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4"/>
                <w:szCs w:val="24"/>
                <w:lang w:bidi="ar-SA"/>
              </w:rPr>
            </w:pPr>
            <w:r w:rsidRPr="00883E1C">
              <w:rPr>
                <w:rFonts w:ascii="Times New Roman" w:hAnsi="Times New Roman"/>
                <w:sz w:val="24"/>
                <w:szCs w:val="24"/>
                <w:lang w:bidi="ar-SA"/>
              </w:rPr>
              <w:t>Dec 31 2003</w:t>
            </w:r>
          </w:p>
        </w:tc>
        <w:tc>
          <w:tcPr>
            <w:tcW w:w="118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170</w:t>
            </w:r>
          </w:p>
        </w:tc>
        <w:tc>
          <w:tcPr>
            <w:tcW w:w="140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1506</w:t>
            </w:r>
          </w:p>
        </w:tc>
        <w:tc>
          <w:tcPr>
            <w:tcW w:w="138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1676</w:t>
            </w:r>
          </w:p>
        </w:tc>
        <w:tc>
          <w:tcPr>
            <w:tcW w:w="166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1521 (90.8%)</w:t>
            </w:r>
          </w:p>
        </w:tc>
        <w:tc>
          <w:tcPr>
            <w:tcW w:w="14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155 (9.2%)</w:t>
            </w:r>
          </w:p>
        </w:tc>
      </w:tr>
      <w:tr w:rsidR="00883E1C" w:rsidRPr="00883E1C" w:rsidTr="00D3609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4"/>
                <w:szCs w:val="24"/>
                <w:lang w:bidi="ar-SA"/>
              </w:rPr>
            </w:pPr>
            <w:r w:rsidRPr="00883E1C">
              <w:rPr>
                <w:rFonts w:ascii="Times New Roman" w:hAnsi="Times New Roman"/>
                <w:sz w:val="24"/>
                <w:szCs w:val="24"/>
                <w:lang w:bidi="ar-SA"/>
              </w:rPr>
              <w:t>Dec 31 2004</w:t>
            </w:r>
          </w:p>
        </w:tc>
        <w:tc>
          <w:tcPr>
            <w:tcW w:w="118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155</w:t>
            </w:r>
          </w:p>
        </w:tc>
        <w:tc>
          <w:tcPr>
            <w:tcW w:w="140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1254</w:t>
            </w:r>
          </w:p>
        </w:tc>
        <w:tc>
          <w:tcPr>
            <w:tcW w:w="138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1409</w:t>
            </w:r>
          </w:p>
        </w:tc>
        <w:tc>
          <w:tcPr>
            <w:tcW w:w="166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1230 (87.3%)</w:t>
            </w:r>
          </w:p>
        </w:tc>
        <w:tc>
          <w:tcPr>
            <w:tcW w:w="14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179 (12.7%)</w:t>
            </w:r>
          </w:p>
        </w:tc>
      </w:tr>
      <w:tr w:rsidR="00883E1C" w:rsidRPr="00883E1C" w:rsidTr="00D3609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4"/>
                <w:szCs w:val="24"/>
                <w:lang w:bidi="ar-SA"/>
              </w:rPr>
            </w:pPr>
            <w:r w:rsidRPr="00883E1C">
              <w:rPr>
                <w:rFonts w:ascii="Times New Roman" w:hAnsi="Times New Roman"/>
                <w:sz w:val="24"/>
                <w:szCs w:val="24"/>
                <w:lang w:bidi="ar-SA"/>
              </w:rPr>
              <w:t>Dec 31 2005</w:t>
            </w:r>
          </w:p>
        </w:tc>
        <w:tc>
          <w:tcPr>
            <w:tcW w:w="118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199</w:t>
            </w:r>
          </w:p>
        </w:tc>
        <w:tc>
          <w:tcPr>
            <w:tcW w:w="140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1237</w:t>
            </w:r>
          </w:p>
        </w:tc>
        <w:tc>
          <w:tcPr>
            <w:tcW w:w="138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1436</w:t>
            </w:r>
          </w:p>
        </w:tc>
        <w:tc>
          <w:tcPr>
            <w:tcW w:w="166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1279 (89.1%)</w:t>
            </w:r>
          </w:p>
        </w:tc>
        <w:tc>
          <w:tcPr>
            <w:tcW w:w="14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157 (10.9%)</w:t>
            </w:r>
          </w:p>
        </w:tc>
      </w:tr>
      <w:tr w:rsidR="00883E1C" w:rsidRPr="00883E1C" w:rsidTr="00D3609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4"/>
                <w:szCs w:val="24"/>
                <w:lang w:bidi="ar-SA"/>
              </w:rPr>
            </w:pPr>
            <w:r w:rsidRPr="00883E1C">
              <w:rPr>
                <w:rFonts w:ascii="Times New Roman" w:hAnsi="Times New Roman"/>
                <w:sz w:val="24"/>
                <w:szCs w:val="24"/>
                <w:lang w:bidi="ar-SA"/>
              </w:rPr>
              <w:t>Dec 31 2006</w:t>
            </w:r>
          </w:p>
        </w:tc>
        <w:tc>
          <w:tcPr>
            <w:tcW w:w="118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183</w:t>
            </w:r>
          </w:p>
        </w:tc>
        <w:tc>
          <w:tcPr>
            <w:tcW w:w="140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1269</w:t>
            </w:r>
          </w:p>
        </w:tc>
        <w:tc>
          <w:tcPr>
            <w:tcW w:w="138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1452</w:t>
            </w:r>
          </w:p>
        </w:tc>
        <w:tc>
          <w:tcPr>
            <w:tcW w:w="166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1260 (86.8%)</w:t>
            </w:r>
          </w:p>
        </w:tc>
        <w:tc>
          <w:tcPr>
            <w:tcW w:w="14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192 (13.2%)</w:t>
            </w:r>
          </w:p>
        </w:tc>
      </w:tr>
      <w:tr w:rsidR="00473CC1" w:rsidRPr="00883E1C" w:rsidTr="00D3609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4"/>
                <w:szCs w:val="24"/>
                <w:lang w:bidi="ar-SA"/>
              </w:rPr>
            </w:pPr>
            <w:r w:rsidRPr="00883E1C">
              <w:rPr>
                <w:rFonts w:ascii="Times New Roman" w:hAnsi="Times New Roman"/>
                <w:sz w:val="24"/>
                <w:szCs w:val="24"/>
                <w:lang w:bidi="ar-SA"/>
              </w:rPr>
              <w:t>Dec 31 2007</w:t>
            </w:r>
          </w:p>
        </w:tc>
        <w:tc>
          <w:tcPr>
            <w:tcW w:w="118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196</w:t>
            </w:r>
          </w:p>
        </w:tc>
        <w:tc>
          <w:tcPr>
            <w:tcW w:w="140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1155</w:t>
            </w:r>
          </w:p>
        </w:tc>
        <w:tc>
          <w:tcPr>
            <w:tcW w:w="138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jc w:val="right"/>
              <w:rPr>
                <w:rFonts w:ascii="Times New Roman" w:hAnsi="Times New Roman"/>
                <w:lang w:bidi="ar-SA"/>
              </w:rPr>
            </w:pPr>
            <w:r w:rsidRPr="00883E1C">
              <w:rPr>
                <w:rFonts w:ascii="Times New Roman" w:hAnsi="Times New Roman"/>
                <w:lang w:bidi="ar-SA"/>
              </w:rPr>
              <w:t>1351</w:t>
            </w:r>
          </w:p>
        </w:tc>
        <w:tc>
          <w:tcPr>
            <w:tcW w:w="166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1100 (81.4%)</w:t>
            </w:r>
          </w:p>
        </w:tc>
        <w:tc>
          <w:tcPr>
            <w:tcW w:w="1420"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lang w:bidi="ar-SA"/>
              </w:rPr>
            </w:pPr>
            <w:r w:rsidRPr="00883E1C">
              <w:rPr>
                <w:rFonts w:ascii="Times New Roman" w:hAnsi="Times New Roman"/>
                <w:lang w:bidi="ar-SA"/>
              </w:rPr>
              <w:t>251 (18.6%)</w:t>
            </w:r>
          </w:p>
        </w:tc>
      </w:tr>
    </w:tbl>
    <w:p w:rsidR="001B393A" w:rsidRPr="00883E1C" w:rsidRDefault="001B393A" w:rsidP="00F11B61">
      <w:pPr>
        <w:pStyle w:val="Heading2"/>
        <w:rPr>
          <w:rFonts w:ascii="Times New Roman" w:hAnsi="Times New Roman"/>
          <w:szCs w:val="28"/>
        </w:rPr>
      </w:pPr>
      <w:bookmarkStart w:id="39" w:name="_Toc271724840"/>
      <w:bookmarkStart w:id="40" w:name="_Toc271727039"/>
      <w:bookmarkStart w:id="41" w:name="_Toc271727205"/>
      <w:bookmarkStart w:id="42" w:name="_Toc271727407"/>
      <w:bookmarkStart w:id="43" w:name="_Toc271733401"/>
      <w:bookmarkStart w:id="44" w:name="_Toc275444262"/>
      <w:bookmarkStart w:id="45" w:name="_Toc276469237"/>
      <w:bookmarkStart w:id="46" w:name="_Toc297710268"/>
      <w:bookmarkStart w:id="47" w:name="_Toc297720347"/>
      <w:bookmarkStart w:id="48" w:name="_Toc300859216"/>
      <w:bookmarkStart w:id="49" w:name="_Toc314667658"/>
      <w:bookmarkStart w:id="50" w:name="_Toc329241621"/>
    </w:p>
    <w:p w:rsidR="00473CC1" w:rsidRPr="00883E1C" w:rsidRDefault="001B393A" w:rsidP="00F11B61">
      <w:pPr>
        <w:pStyle w:val="Heading2"/>
        <w:rPr>
          <w:rFonts w:ascii="Times New Roman" w:hAnsi="Times New Roman"/>
          <w:b w:val="0"/>
          <w:i/>
          <w:szCs w:val="28"/>
        </w:rPr>
      </w:pPr>
      <w:r w:rsidRPr="00883E1C">
        <w:rPr>
          <w:rFonts w:ascii="Times New Roman" w:hAnsi="Times New Roman"/>
          <w:b w:val="0"/>
          <w:i/>
          <w:szCs w:val="28"/>
        </w:rPr>
        <w:t xml:space="preserve">5.2. </w:t>
      </w:r>
      <w:r w:rsidR="00473CC1" w:rsidRPr="00883E1C">
        <w:rPr>
          <w:rFonts w:ascii="Times New Roman" w:hAnsi="Times New Roman"/>
          <w:b w:val="0"/>
          <w:i/>
          <w:szCs w:val="28"/>
        </w:rPr>
        <w:t>The Funnel Process: Funnel Out</w:t>
      </w:r>
      <w:bookmarkEnd w:id="39"/>
      <w:bookmarkEnd w:id="40"/>
      <w:bookmarkEnd w:id="41"/>
      <w:bookmarkEnd w:id="42"/>
      <w:bookmarkEnd w:id="43"/>
      <w:bookmarkEnd w:id="44"/>
      <w:bookmarkEnd w:id="45"/>
      <w:bookmarkEnd w:id="46"/>
      <w:bookmarkEnd w:id="47"/>
      <w:bookmarkEnd w:id="48"/>
      <w:bookmarkEnd w:id="49"/>
      <w:bookmarkEnd w:id="50"/>
    </w:p>
    <w:p w:rsidR="00F229E1" w:rsidRPr="00883E1C" w:rsidRDefault="00F229E1" w:rsidP="00F229E1">
      <w:pPr>
        <w:widowControl/>
        <w:ind w:firstLine="720"/>
        <w:rPr>
          <w:rFonts w:ascii="Times New Roman" w:hAnsi="Times New Roman"/>
          <w:sz w:val="24"/>
          <w:szCs w:val="24"/>
        </w:rPr>
      </w:pPr>
      <w:bookmarkStart w:id="51" w:name="_Toc314667665"/>
      <w:bookmarkStart w:id="52" w:name="_Toc329241626"/>
      <w:r w:rsidRPr="00883E1C">
        <w:rPr>
          <w:rFonts w:ascii="Times New Roman" w:hAnsi="Times New Roman"/>
          <w:sz w:val="24"/>
          <w:szCs w:val="24"/>
        </w:rPr>
        <w:t>Once the cases enter the system, there is the possibility that offenders may escape disciplinary actions by being “</w:t>
      </w:r>
      <w:r w:rsidR="0070424F" w:rsidRPr="00883E1C">
        <w:rPr>
          <w:rFonts w:ascii="Times New Roman" w:hAnsi="Times New Roman"/>
          <w:sz w:val="24"/>
          <w:szCs w:val="24"/>
        </w:rPr>
        <w:t>funneled</w:t>
      </w:r>
      <w:r w:rsidRPr="00883E1C">
        <w:rPr>
          <w:rFonts w:ascii="Times New Roman" w:hAnsi="Times New Roman"/>
          <w:sz w:val="24"/>
          <w:szCs w:val="24"/>
        </w:rPr>
        <w:t xml:space="preserve"> out” and thus, “escap[ing] the net of social control” (Brockman, 2004: 73; Brockman &amp; McEwen, 1990: 15). There is also the possibility that offenders may be given lenient penalties by the disciplinary committee (Brockman, 2004: 73).  But before a complaint reaches the disciplinary committee, complaints must first go through two additional hurdles: investigation and prosecution stages (e.g., see Brockman, 2004: 73). At the investigation stage, the IDA’s investigative staff must establish that the case has sufficient evidence before it can be sent to Enforcement Counsel for prosecution (IIROC, 2008: 2).</w:t>
      </w:r>
      <w:bookmarkStart w:id="53" w:name="_Toc271724841"/>
      <w:bookmarkStart w:id="54" w:name="_Toc271727040"/>
      <w:bookmarkStart w:id="55" w:name="_Toc271727206"/>
      <w:bookmarkStart w:id="56" w:name="_Toc271727408"/>
      <w:bookmarkStart w:id="57" w:name="_Toc271733402"/>
      <w:bookmarkStart w:id="58" w:name="_Toc275444263"/>
      <w:bookmarkStart w:id="59" w:name="_Toc276469238"/>
      <w:bookmarkStart w:id="60" w:name="_Toc297710269"/>
      <w:bookmarkStart w:id="61" w:name="_Toc297720348"/>
      <w:bookmarkStart w:id="62" w:name="_Toc300859217"/>
      <w:bookmarkStart w:id="63" w:name="_Toc314667659"/>
    </w:p>
    <w:p w:rsidR="00F229E1" w:rsidRPr="00883E1C" w:rsidRDefault="001B393A" w:rsidP="00F229E1">
      <w:pPr>
        <w:keepNext/>
        <w:keepLines/>
        <w:spacing w:before="200" w:after="360" w:line="240" w:lineRule="auto"/>
        <w:outlineLvl w:val="1"/>
        <w:rPr>
          <w:rFonts w:ascii="Times New Roman" w:hAnsi="Times New Roman"/>
          <w:bCs/>
          <w:i/>
          <w:sz w:val="28"/>
          <w:szCs w:val="24"/>
        </w:rPr>
      </w:pPr>
      <w:bookmarkStart w:id="64" w:name="_Toc329241622"/>
      <w:r w:rsidRPr="00883E1C">
        <w:rPr>
          <w:rFonts w:ascii="Times New Roman" w:hAnsi="Times New Roman"/>
          <w:bCs/>
          <w:i/>
          <w:sz w:val="28"/>
          <w:szCs w:val="24"/>
        </w:rPr>
        <w:t xml:space="preserve">5.2.1. </w:t>
      </w:r>
      <w:r w:rsidR="00F229E1" w:rsidRPr="00883E1C">
        <w:rPr>
          <w:rFonts w:ascii="Times New Roman" w:hAnsi="Times New Roman"/>
          <w:bCs/>
          <w:i/>
          <w:sz w:val="28"/>
          <w:szCs w:val="24"/>
        </w:rPr>
        <w:t>Investigation</w:t>
      </w:r>
      <w:bookmarkEnd w:id="53"/>
      <w:bookmarkEnd w:id="54"/>
      <w:bookmarkEnd w:id="55"/>
      <w:bookmarkEnd w:id="56"/>
      <w:bookmarkEnd w:id="57"/>
      <w:bookmarkEnd w:id="58"/>
      <w:bookmarkEnd w:id="59"/>
      <w:bookmarkEnd w:id="60"/>
      <w:bookmarkEnd w:id="61"/>
      <w:bookmarkEnd w:id="62"/>
      <w:bookmarkEnd w:id="63"/>
      <w:bookmarkEnd w:id="64"/>
    </w:p>
    <w:p w:rsidR="00F229E1" w:rsidRPr="00883E1C" w:rsidRDefault="00F229E1" w:rsidP="00F229E1">
      <w:pPr>
        <w:widowControl/>
        <w:ind w:firstLine="720"/>
        <w:rPr>
          <w:rFonts w:ascii="Times New Roman" w:hAnsi="Times New Roman"/>
          <w:sz w:val="24"/>
          <w:szCs w:val="24"/>
        </w:rPr>
      </w:pPr>
      <w:r w:rsidRPr="00883E1C">
        <w:rPr>
          <w:rFonts w:ascii="Times New Roman" w:hAnsi="Times New Roman"/>
          <w:sz w:val="24"/>
          <w:szCs w:val="24"/>
        </w:rPr>
        <w:t>It can be argued that the “funneling out” of complaints start</w:t>
      </w:r>
      <w:r w:rsidR="00D06A8C" w:rsidRPr="00883E1C">
        <w:rPr>
          <w:rFonts w:ascii="Times New Roman" w:hAnsi="Times New Roman"/>
          <w:sz w:val="24"/>
          <w:szCs w:val="24"/>
        </w:rPr>
        <w:t>ed</w:t>
      </w:r>
      <w:r w:rsidRPr="00883E1C">
        <w:rPr>
          <w:rFonts w:ascii="Times New Roman" w:hAnsi="Times New Roman"/>
          <w:sz w:val="24"/>
          <w:szCs w:val="24"/>
        </w:rPr>
        <w:t xml:space="preserve"> at the Case Assessment stage. As mentioned earlier, some complaints may not </w:t>
      </w:r>
      <w:r w:rsidR="000F30B9" w:rsidRPr="00883E1C">
        <w:rPr>
          <w:rFonts w:ascii="Times New Roman" w:hAnsi="Times New Roman"/>
          <w:sz w:val="24"/>
          <w:szCs w:val="24"/>
        </w:rPr>
        <w:t xml:space="preserve">have </w:t>
      </w:r>
      <w:r w:rsidRPr="00883E1C">
        <w:rPr>
          <w:rFonts w:ascii="Times New Roman" w:hAnsi="Times New Roman"/>
          <w:sz w:val="24"/>
          <w:szCs w:val="24"/>
        </w:rPr>
        <w:t>be</w:t>
      </w:r>
      <w:r w:rsidR="000F30B9" w:rsidRPr="00883E1C">
        <w:rPr>
          <w:rFonts w:ascii="Times New Roman" w:hAnsi="Times New Roman"/>
          <w:sz w:val="24"/>
          <w:szCs w:val="24"/>
        </w:rPr>
        <w:t>en</w:t>
      </w:r>
      <w:r w:rsidRPr="00883E1C">
        <w:rPr>
          <w:rFonts w:ascii="Times New Roman" w:hAnsi="Times New Roman"/>
          <w:sz w:val="24"/>
          <w:szCs w:val="24"/>
        </w:rPr>
        <w:t xml:space="preserve"> “within the jurisdiction of the </w:t>
      </w:r>
      <w:r w:rsidRPr="00883E1C">
        <w:rPr>
          <w:rFonts w:ascii="Times New Roman" w:hAnsi="Times New Roman"/>
          <w:sz w:val="24"/>
          <w:szCs w:val="24"/>
        </w:rPr>
        <w:lastRenderedPageBreak/>
        <w:t xml:space="preserve">IDA,” or some may not </w:t>
      </w:r>
      <w:r w:rsidR="000F30B9" w:rsidRPr="00883E1C">
        <w:rPr>
          <w:rFonts w:ascii="Times New Roman" w:hAnsi="Times New Roman"/>
          <w:sz w:val="24"/>
          <w:szCs w:val="24"/>
        </w:rPr>
        <w:t xml:space="preserve">have </w:t>
      </w:r>
      <w:r w:rsidRPr="00883E1C">
        <w:rPr>
          <w:rFonts w:ascii="Times New Roman" w:hAnsi="Times New Roman"/>
          <w:sz w:val="24"/>
          <w:szCs w:val="24"/>
        </w:rPr>
        <w:t>be</w:t>
      </w:r>
      <w:r w:rsidR="000F30B9" w:rsidRPr="00883E1C">
        <w:rPr>
          <w:rFonts w:ascii="Times New Roman" w:hAnsi="Times New Roman"/>
          <w:sz w:val="24"/>
          <w:szCs w:val="24"/>
        </w:rPr>
        <w:t>en</w:t>
      </w:r>
      <w:r w:rsidRPr="00883E1C">
        <w:rPr>
          <w:rFonts w:ascii="Times New Roman" w:hAnsi="Times New Roman"/>
          <w:sz w:val="24"/>
          <w:szCs w:val="24"/>
        </w:rPr>
        <w:t xml:space="preserve"> “a regulatory issue [that] warrant</w:t>
      </w:r>
      <w:r w:rsidR="00D06A8C" w:rsidRPr="00883E1C">
        <w:rPr>
          <w:rFonts w:ascii="Times New Roman" w:hAnsi="Times New Roman"/>
          <w:sz w:val="24"/>
          <w:szCs w:val="24"/>
        </w:rPr>
        <w:t>[ed]</w:t>
      </w:r>
      <w:r w:rsidRPr="00883E1C">
        <w:rPr>
          <w:rFonts w:ascii="Times New Roman" w:hAnsi="Times New Roman"/>
          <w:sz w:val="24"/>
          <w:szCs w:val="24"/>
        </w:rPr>
        <w:t xml:space="preserve"> further investigation” </w:t>
      </w:r>
      <w:r w:rsidR="009E05F1" w:rsidRPr="00883E1C">
        <w:rPr>
          <w:rFonts w:ascii="Times New Roman" w:hAnsi="Times New Roman"/>
          <w:sz w:val="24"/>
          <w:szCs w:val="24"/>
        </w:rPr>
        <w:t>(IDA, 2008</w:t>
      </w:r>
      <w:r w:rsidRPr="00883E1C">
        <w:rPr>
          <w:rFonts w:ascii="Times New Roman" w:hAnsi="Times New Roman"/>
          <w:sz w:val="24"/>
          <w:szCs w:val="24"/>
        </w:rPr>
        <w:t>: 9). Complaints that f</w:t>
      </w:r>
      <w:r w:rsidR="00D06A8C" w:rsidRPr="00883E1C">
        <w:rPr>
          <w:rFonts w:ascii="Times New Roman" w:hAnsi="Times New Roman"/>
          <w:sz w:val="24"/>
          <w:szCs w:val="24"/>
        </w:rPr>
        <w:t>e</w:t>
      </w:r>
      <w:r w:rsidRPr="00883E1C">
        <w:rPr>
          <w:rFonts w:ascii="Times New Roman" w:hAnsi="Times New Roman"/>
          <w:sz w:val="24"/>
          <w:szCs w:val="24"/>
        </w:rPr>
        <w:t xml:space="preserve">ll into these categories </w:t>
      </w:r>
      <w:r w:rsidR="00D06A8C" w:rsidRPr="00883E1C">
        <w:rPr>
          <w:rFonts w:ascii="Times New Roman" w:hAnsi="Times New Roman"/>
          <w:sz w:val="24"/>
          <w:szCs w:val="24"/>
        </w:rPr>
        <w:t>were</w:t>
      </w:r>
      <w:r w:rsidRPr="00883E1C">
        <w:rPr>
          <w:rFonts w:ascii="Times New Roman" w:hAnsi="Times New Roman"/>
          <w:sz w:val="24"/>
          <w:szCs w:val="24"/>
        </w:rPr>
        <w:t xml:space="preserve"> either closed or sent to the appropriate body (p.9). The cases that </w:t>
      </w:r>
      <w:r w:rsidR="00D06A8C" w:rsidRPr="00883E1C">
        <w:rPr>
          <w:rFonts w:ascii="Times New Roman" w:hAnsi="Times New Roman"/>
          <w:sz w:val="24"/>
          <w:szCs w:val="24"/>
        </w:rPr>
        <w:t>were</w:t>
      </w:r>
      <w:r w:rsidRPr="00883E1C">
        <w:rPr>
          <w:rFonts w:ascii="Times New Roman" w:hAnsi="Times New Roman"/>
          <w:sz w:val="24"/>
          <w:szCs w:val="24"/>
        </w:rPr>
        <w:t xml:space="preserve"> determine</w:t>
      </w:r>
      <w:r w:rsidR="007D3C57" w:rsidRPr="00883E1C">
        <w:rPr>
          <w:rFonts w:ascii="Times New Roman" w:hAnsi="Times New Roman"/>
          <w:sz w:val="24"/>
          <w:szCs w:val="24"/>
        </w:rPr>
        <w:t>d</w:t>
      </w:r>
      <w:r w:rsidRPr="00883E1C">
        <w:rPr>
          <w:rFonts w:ascii="Times New Roman" w:hAnsi="Times New Roman"/>
          <w:sz w:val="24"/>
          <w:szCs w:val="24"/>
        </w:rPr>
        <w:t xml:space="preserve"> to warrant further investigations by Case Assessment staff </w:t>
      </w:r>
      <w:r w:rsidR="00D06A8C" w:rsidRPr="00883E1C">
        <w:rPr>
          <w:rFonts w:ascii="Times New Roman" w:hAnsi="Times New Roman"/>
          <w:sz w:val="24"/>
          <w:szCs w:val="24"/>
        </w:rPr>
        <w:t>were</w:t>
      </w:r>
      <w:r w:rsidRPr="00883E1C">
        <w:rPr>
          <w:rFonts w:ascii="Times New Roman" w:hAnsi="Times New Roman"/>
          <w:sz w:val="24"/>
          <w:szCs w:val="24"/>
        </w:rPr>
        <w:t xml:space="preserve"> then referred to the Investigation unit to begin a formal investigation. At the investigation stage, if the matters </w:t>
      </w:r>
      <w:r w:rsidR="00D06A8C" w:rsidRPr="00883E1C">
        <w:rPr>
          <w:rFonts w:ascii="Times New Roman" w:hAnsi="Times New Roman"/>
          <w:sz w:val="24"/>
          <w:szCs w:val="24"/>
        </w:rPr>
        <w:t>were</w:t>
      </w:r>
      <w:r w:rsidRPr="00883E1C">
        <w:rPr>
          <w:rFonts w:ascii="Times New Roman" w:hAnsi="Times New Roman"/>
          <w:sz w:val="24"/>
          <w:szCs w:val="24"/>
        </w:rPr>
        <w:t xml:space="preserve"> outside the scope of the IDA, they </w:t>
      </w:r>
      <w:r w:rsidR="00D06A8C" w:rsidRPr="00883E1C">
        <w:rPr>
          <w:rFonts w:ascii="Times New Roman" w:hAnsi="Times New Roman"/>
          <w:sz w:val="24"/>
          <w:szCs w:val="24"/>
        </w:rPr>
        <w:t>were</w:t>
      </w:r>
      <w:r w:rsidRPr="00883E1C">
        <w:rPr>
          <w:rFonts w:ascii="Times New Roman" w:hAnsi="Times New Roman"/>
          <w:sz w:val="24"/>
          <w:szCs w:val="24"/>
        </w:rPr>
        <w:t xml:space="preserve"> referred to the police, securities commission, or another regulatory agency (IDA, 2008: 12). Upon completion of the investigation, investigation staff w</w:t>
      </w:r>
      <w:r w:rsidR="00D06A8C" w:rsidRPr="00883E1C">
        <w:rPr>
          <w:rFonts w:ascii="Times New Roman" w:hAnsi="Times New Roman"/>
          <w:sz w:val="24"/>
          <w:szCs w:val="24"/>
        </w:rPr>
        <w:t>ould</w:t>
      </w:r>
      <w:r w:rsidRPr="00883E1C">
        <w:rPr>
          <w:rFonts w:ascii="Times New Roman" w:hAnsi="Times New Roman"/>
          <w:sz w:val="24"/>
          <w:szCs w:val="24"/>
        </w:rPr>
        <w:t xml:space="preserve"> prepare a detailed investigation report with recommendations “that the matter be closed with no further action</w:t>
      </w:r>
      <w:r w:rsidR="00377F89" w:rsidRPr="00883E1C">
        <w:rPr>
          <w:rFonts w:ascii="Times New Roman" w:hAnsi="Times New Roman"/>
          <w:sz w:val="24"/>
          <w:szCs w:val="24"/>
        </w:rPr>
        <w:t xml:space="preserve"> [being taken]</w:t>
      </w:r>
      <w:r w:rsidRPr="00883E1C">
        <w:rPr>
          <w:rFonts w:ascii="Times New Roman" w:hAnsi="Times New Roman"/>
          <w:sz w:val="24"/>
          <w:szCs w:val="24"/>
        </w:rPr>
        <w:t xml:space="preserve"> due to lack of evidence; issue a cautionary letter; or refer the matter to Prosecution for possible formal disciplinary action” (p.12).</w:t>
      </w:r>
    </w:p>
    <w:p w:rsidR="00F229E1" w:rsidRPr="00883E1C" w:rsidRDefault="001B393A" w:rsidP="00F229E1">
      <w:pPr>
        <w:keepNext/>
        <w:keepLines/>
        <w:spacing w:before="200"/>
        <w:outlineLvl w:val="2"/>
        <w:rPr>
          <w:rFonts w:ascii="Times New Roman" w:hAnsi="Times New Roman"/>
          <w:bCs/>
          <w:i/>
          <w:sz w:val="26"/>
          <w:szCs w:val="24"/>
        </w:rPr>
      </w:pPr>
      <w:bookmarkStart w:id="65" w:name="_Toc314667660"/>
      <w:bookmarkStart w:id="66" w:name="_Toc329241623"/>
      <w:r w:rsidRPr="00883E1C">
        <w:rPr>
          <w:rFonts w:ascii="Times New Roman" w:hAnsi="Times New Roman"/>
          <w:bCs/>
          <w:i/>
          <w:sz w:val="26"/>
          <w:szCs w:val="24"/>
        </w:rPr>
        <w:t xml:space="preserve">5.2.2. </w:t>
      </w:r>
      <w:r w:rsidR="00F229E1" w:rsidRPr="00883E1C">
        <w:rPr>
          <w:rFonts w:ascii="Times New Roman" w:hAnsi="Times New Roman"/>
          <w:bCs/>
          <w:i/>
          <w:sz w:val="26"/>
          <w:szCs w:val="24"/>
        </w:rPr>
        <w:t>Investigation Summary</w:t>
      </w:r>
      <w:bookmarkEnd w:id="65"/>
      <w:bookmarkEnd w:id="66"/>
    </w:p>
    <w:p w:rsidR="00F229E1" w:rsidRPr="00883E1C" w:rsidRDefault="00F229E1" w:rsidP="00F229E1">
      <w:pPr>
        <w:keepNext/>
        <w:tabs>
          <w:tab w:val="left" w:pos="720"/>
        </w:tabs>
        <w:autoSpaceDE w:val="0"/>
        <w:autoSpaceDN w:val="0"/>
        <w:adjustRightInd w:val="0"/>
        <w:spacing w:line="240" w:lineRule="auto"/>
        <w:rPr>
          <w:rFonts w:ascii="Times New Roman" w:hAnsi="Times New Roman"/>
          <w:bCs/>
          <w:szCs w:val="24"/>
        </w:rPr>
      </w:pPr>
      <w:bookmarkStart w:id="67" w:name="_Toc329241706"/>
      <w:r w:rsidRPr="00883E1C">
        <w:rPr>
          <w:rFonts w:ascii="Times New Roman" w:hAnsi="Times New Roman"/>
          <w:b/>
          <w:szCs w:val="24"/>
        </w:rPr>
        <w:t>Table 1</w:t>
      </w:r>
      <w:r w:rsidRPr="00883E1C">
        <w:rPr>
          <w:rFonts w:ascii="Times New Roman" w:hAnsi="Times New Roman"/>
          <w:b/>
          <w:szCs w:val="24"/>
        </w:rPr>
        <w:noBreakHyphen/>
      </w:r>
      <w:r w:rsidR="00E51121" w:rsidRPr="00883E1C">
        <w:rPr>
          <w:rFonts w:ascii="Times New Roman" w:hAnsi="Times New Roman"/>
          <w:b/>
          <w:szCs w:val="24"/>
        </w:rPr>
        <w:t>4</w:t>
      </w:r>
      <w:r w:rsidRPr="00883E1C">
        <w:rPr>
          <w:rFonts w:ascii="Times New Roman" w:hAnsi="Times New Roman"/>
          <w:b/>
          <w:szCs w:val="24"/>
        </w:rPr>
        <w:tab/>
      </w:r>
      <w:r w:rsidRPr="00883E1C">
        <w:rPr>
          <w:rFonts w:ascii="Times New Roman" w:hAnsi="Times New Roman"/>
          <w:b/>
          <w:bCs/>
          <w:szCs w:val="24"/>
        </w:rPr>
        <w:t>Total Files Opened and Closed by Investigation Unit from 2002-2007</w:t>
      </w:r>
      <w:r w:rsidRPr="00883E1C">
        <w:rPr>
          <w:rFonts w:ascii="Times New Roman" w:hAnsi="Times New Roman"/>
          <w:b/>
          <w:bCs/>
          <w:szCs w:val="24"/>
          <w:vertAlign w:val="superscript"/>
        </w:rPr>
        <w:endnoteReference w:id="3"/>
      </w:r>
      <w:bookmarkEnd w:id="67"/>
    </w:p>
    <w:tbl>
      <w:tblPr>
        <w:tblW w:w="8640" w:type="dxa"/>
        <w:tblInd w:w="96" w:type="dxa"/>
        <w:tblLook w:val="04A0" w:firstRow="1" w:lastRow="0" w:firstColumn="1" w:lastColumn="0" w:noHBand="0" w:noVBand="1"/>
      </w:tblPr>
      <w:tblGrid>
        <w:gridCol w:w="1815"/>
        <w:gridCol w:w="1259"/>
        <w:gridCol w:w="1307"/>
        <w:gridCol w:w="1181"/>
        <w:gridCol w:w="1581"/>
        <w:gridCol w:w="1497"/>
      </w:tblGrid>
      <w:tr w:rsidR="00883E1C" w:rsidRPr="00883E1C" w:rsidTr="00E51121">
        <w:trPr>
          <w:trHeight w:val="1260"/>
          <w:tblHead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As at</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Open at Beginning of Period ( Jan 1)</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Received During Period</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Total open files during period</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Closed During Period</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Open at End of Period</w:t>
            </w:r>
          </w:p>
        </w:tc>
      </w:tr>
      <w:tr w:rsidR="00883E1C" w:rsidRPr="00883E1C" w:rsidTr="00E51121">
        <w:trPr>
          <w:trHeight w:val="315"/>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Dec 31 2002</w:t>
            </w:r>
          </w:p>
        </w:tc>
        <w:tc>
          <w:tcPr>
            <w:tcW w:w="1194"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182</w:t>
            </w:r>
          </w:p>
        </w:tc>
        <w:tc>
          <w:tcPr>
            <w:tcW w:w="124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138</w:t>
            </w:r>
          </w:p>
        </w:tc>
        <w:tc>
          <w:tcPr>
            <w:tcW w:w="11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320</w:t>
            </w:r>
          </w:p>
        </w:tc>
        <w:tc>
          <w:tcPr>
            <w:tcW w:w="150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214 (66.9%)</w:t>
            </w:r>
          </w:p>
        </w:tc>
        <w:tc>
          <w:tcPr>
            <w:tcW w:w="14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106 (33.1%)</w:t>
            </w:r>
          </w:p>
        </w:tc>
      </w:tr>
      <w:tr w:rsidR="00883E1C" w:rsidRPr="00883E1C" w:rsidTr="00E51121">
        <w:trPr>
          <w:trHeight w:val="315"/>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Dec 31 2003</w:t>
            </w:r>
          </w:p>
        </w:tc>
        <w:tc>
          <w:tcPr>
            <w:tcW w:w="1194"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106</w:t>
            </w:r>
          </w:p>
        </w:tc>
        <w:tc>
          <w:tcPr>
            <w:tcW w:w="124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166</w:t>
            </w:r>
          </w:p>
        </w:tc>
        <w:tc>
          <w:tcPr>
            <w:tcW w:w="11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272</w:t>
            </w:r>
          </w:p>
        </w:tc>
        <w:tc>
          <w:tcPr>
            <w:tcW w:w="150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162 (59.6%)</w:t>
            </w:r>
          </w:p>
        </w:tc>
        <w:tc>
          <w:tcPr>
            <w:tcW w:w="14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110 (40.4%)</w:t>
            </w:r>
          </w:p>
        </w:tc>
      </w:tr>
      <w:tr w:rsidR="00883E1C" w:rsidRPr="00883E1C" w:rsidTr="00E51121">
        <w:trPr>
          <w:trHeight w:val="315"/>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Dec 31 2004</w:t>
            </w:r>
          </w:p>
        </w:tc>
        <w:tc>
          <w:tcPr>
            <w:tcW w:w="1194"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112</w:t>
            </w:r>
          </w:p>
        </w:tc>
        <w:tc>
          <w:tcPr>
            <w:tcW w:w="124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129</w:t>
            </w:r>
          </w:p>
        </w:tc>
        <w:tc>
          <w:tcPr>
            <w:tcW w:w="11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241</w:t>
            </w:r>
          </w:p>
        </w:tc>
        <w:tc>
          <w:tcPr>
            <w:tcW w:w="150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156 (64.7%)</w:t>
            </w:r>
          </w:p>
        </w:tc>
        <w:tc>
          <w:tcPr>
            <w:tcW w:w="14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85 (35.3%)</w:t>
            </w:r>
          </w:p>
        </w:tc>
      </w:tr>
      <w:tr w:rsidR="00883E1C" w:rsidRPr="00883E1C" w:rsidTr="00E51121">
        <w:trPr>
          <w:trHeight w:val="315"/>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Dec 31 2005</w:t>
            </w:r>
          </w:p>
        </w:tc>
        <w:tc>
          <w:tcPr>
            <w:tcW w:w="1194"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85</w:t>
            </w:r>
          </w:p>
        </w:tc>
        <w:tc>
          <w:tcPr>
            <w:tcW w:w="124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212</w:t>
            </w:r>
          </w:p>
        </w:tc>
        <w:tc>
          <w:tcPr>
            <w:tcW w:w="11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297</w:t>
            </w:r>
          </w:p>
        </w:tc>
        <w:tc>
          <w:tcPr>
            <w:tcW w:w="150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134 (45.1%)</w:t>
            </w:r>
          </w:p>
        </w:tc>
        <w:tc>
          <w:tcPr>
            <w:tcW w:w="14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163 (54.9%)</w:t>
            </w:r>
          </w:p>
        </w:tc>
      </w:tr>
      <w:tr w:rsidR="00883E1C" w:rsidRPr="00883E1C" w:rsidTr="00E51121">
        <w:trPr>
          <w:trHeight w:val="315"/>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Dec 31 2006</w:t>
            </w:r>
          </w:p>
        </w:tc>
        <w:tc>
          <w:tcPr>
            <w:tcW w:w="1194"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163</w:t>
            </w:r>
          </w:p>
        </w:tc>
        <w:tc>
          <w:tcPr>
            <w:tcW w:w="124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154</w:t>
            </w:r>
          </w:p>
        </w:tc>
        <w:tc>
          <w:tcPr>
            <w:tcW w:w="11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317</w:t>
            </w:r>
          </w:p>
        </w:tc>
        <w:tc>
          <w:tcPr>
            <w:tcW w:w="150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188 (59.3%)</w:t>
            </w:r>
          </w:p>
        </w:tc>
        <w:tc>
          <w:tcPr>
            <w:tcW w:w="14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129 (40.7%)</w:t>
            </w:r>
          </w:p>
        </w:tc>
      </w:tr>
      <w:tr w:rsidR="00F229E1" w:rsidRPr="00883E1C" w:rsidTr="00E51121">
        <w:trPr>
          <w:trHeight w:val="315"/>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Dec 31 2007</w:t>
            </w:r>
          </w:p>
        </w:tc>
        <w:tc>
          <w:tcPr>
            <w:tcW w:w="1194"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130</w:t>
            </w:r>
          </w:p>
        </w:tc>
        <w:tc>
          <w:tcPr>
            <w:tcW w:w="124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148</w:t>
            </w:r>
          </w:p>
        </w:tc>
        <w:tc>
          <w:tcPr>
            <w:tcW w:w="11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jc w:val="right"/>
              <w:rPr>
                <w:rFonts w:ascii="Times New Roman" w:hAnsi="Times New Roman"/>
                <w:sz w:val="20"/>
                <w:szCs w:val="20"/>
                <w:lang w:bidi="ar-SA"/>
              </w:rPr>
            </w:pPr>
            <w:r w:rsidRPr="00883E1C">
              <w:rPr>
                <w:rFonts w:ascii="Times New Roman" w:hAnsi="Times New Roman"/>
                <w:sz w:val="20"/>
                <w:szCs w:val="20"/>
                <w:lang w:bidi="ar-SA"/>
              </w:rPr>
              <w:t>278</w:t>
            </w:r>
          </w:p>
        </w:tc>
        <w:tc>
          <w:tcPr>
            <w:tcW w:w="150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141 (50.7%)</w:t>
            </w:r>
          </w:p>
        </w:tc>
        <w:tc>
          <w:tcPr>
            <w:tcW w:w="1420" w:type="dxa"/>
            <w:tcBorders>
              <w:top w:val="nil"/>
              <w:left w:val="nil"/>
              <w:bottom w:val="single" w:sz="4" w:space="0" w:color="auto"/>
              <w:right w:val="single" w:sz="4" w:space="0" w:color="auto"/>
            </w:tcBorders>
            <w:shd w:val="clear" w:color="auto" w:fill="auto"/>
            <w:noWrap/>
            <w:vAlign w:val="bottom"/>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137 (49.3%)</w:t>
            </w:r>
          </w:p>
        </w:tc>
      </w:tr>
    </w:tbl>
    <w:p w:rsidR="00F229E1" w:rsidRPr="00883E1C" w:rsidRDefault="00F229E1" w:rsidP="00F229E1">
      <w:pPr>
        <w:autoSpaceDE w:val="0"/>
        <w:autoSpaceDN w:val="0"/>
        <w:adjustRightInd w:val="0"/>
        <w:spacing w:after="0"/>
        <w:rPr>
          <w:rFonts w:ascii="Times New Roman" w:hAnsi="Times New Roman"/>
          <w:szCs w:val="24"/>
        </w:rPr>
      </w:pPr>
    </w:p>
    <w:p w:rsidR="007301BC" w:rsidRPr="00883E1C" w:rsidRDefault="00E51121" w:rsidP="007301BC">
      <w:pPr>
        <w:widowControl/>
        <w:ind w:firstLine="720"/>
        <w:rPr>
          <w:rFonts w:ascii="Times New Roman" w:hAnsi="Times New Roman"/>
          <w:sz w:val="24"/>
          <w:szCs w:val="24"/>
        </w:rPr>
      </w:pPr>
      <w:r w:rsidRPr="00883E1C">
        <w:rPr>
          <w:rFonts w:ascii="Times New Roman" w:hAnsi="Times New Roman"/>
          <w:sz w:val="24"/>
          <w:szCs w:val="24"/>
        </w:rPr>
        <w:t>As shown in Table 1-4</w:t>
      </w:r>
      <w:r w:rsidR="00F229E1" w:rsidRPr="00883E1C">
        <w:rPr>
          <w:rFonts w:ascii="Times New Roman" w:hAnsi="Times New Roman"/>
          <w:sz w:val="24"/>
          <w:szCs w:val="24"/>
        </w:rPr>
        <w:t xml:space="preserve">, the </w:t>
      </w:r>
      <w:r w:rsidR="00835581" w:rsidRPr="00883E1C">
        <w:rPr>
          <w:rFonts w:ascii="Times New Roman" w:hAnsi="Times New Roman"/>
          <w:sz w:val="24"/>
          <w:szCs w:val="24"/>
        </w:rPr>
        <w:t>number of files closed by the investigation unit was</w:t>
      </w:r>
      <w:r w:rsidR="00F229E1" w:rsidRPr="00883E1C">
        <w:rPr>
          <w:rFonts w:ascii="Times New Roman" w:hAnsi="Times New Roman"/>
          <w:sz w:val="24"/>
          <w:szCs w:val="24"/>
        </w:rPr>
        <w:t xml:space="preserve"> rather inconsistent throughout the five year period. Of particular importance is 2002, where the number of files closed was at its highest, reaching a peak of 214 (66.9%) and then decreas</w:t>
      </w:r>
      <w:r w:rsidR="00D06A8C" w:rsidRPr="00883E1C">
        <w:rPr>
          <w:rFonts w:ascii="Times New Roman" w:hAnsi="Times New Roman"/>
          <w:sz w:val="24"/>
          <w:szCs w:val="24"/>
        </w:rPr>
        <w:t>ing</w:t>
      </w:r>
      <w:r w:rsidR="00F229E1" w:rsidRPr="00883E1C">
        <w:rPr>
          <w:rFonts w:ascii="Times New Roman" w:hAnsi="Times New Roman"/>
          <w:sz w:val="24"/>
          <w:szCs w:val="24"/>
        </w:rPr>
        <w:t xml:space="preserve"> substantially to 141(50.7%) by 2007. The inconsistency shown above should not detract from the </w:t>
      </w:r>
      <w:r w:rsidR="00F229E1" w:rsidRPr="00883E1C">
        <w:rPr>
          <w:rFonts w:ascii="Times New Roman" w:hAnsi="Times New Roman"/>
          <w:sz w:val="24"/>
          <w:szCs w:val="24"/>
        </w:rPr>
        <w:lastRenderedPageBreak/>
        <w:t>fact that the number of cases continued to shrink as they were processed through the</w:t>
      </w:r>
      <w:r w:rsidR="007D3C57" w:rsidRPr="00883E1C">
        <w:rPr>
          <w:rFonts w:ascii="Times New Roman" w:hAnsi="Times New Roman"/>
          <w:sz w:val="24"/>
          <w:szCs w:val="24"/>
        </w:rPr>
        <w:t xml:space="preserve"> IDA’s enforcement system. T</w:t>
      </w:r>
      <w:r w:rsidR="00F229E1" w:rsidRPr="00883E1C">
        <w:rPr>
          <w:rFonts w:ascii="Times New Roman" w:hAnsi="Times New Roman"/>
          <w:sz w:val="24"/>
          <w:szCs w:val="24"/>
        </w:rPr>
        <w:t xml:space="preserve">here are fundamental reasons for this shrinkage at the investigation stage. </w:t>
      </w:r>
      <w:r w:rsidR="00D1145E" w:rsidRPr="00883E1C">
        <w:rPr>
          <w:rFonts w:ascii="Times New Roman" w:hAnsi="Times New Roman"/>
          <w:sz w:val="24"/>
          <w:szCs w:val="24"/>
        </w:rPr>
        <w:t xml:space="preserve">Chief among these </w:t>
      </w:r>
      <w:r w:rsidR="0011081A" w:rsidRPr="00883E1C">
        <w:rPr>
          <w:rFonts w:ascii="Times New Roman" w:hAnsi="Times New Roman"/>
          <w:sz w:val="24"/>
          <w:szCs w:val="24"/>
        </w:rPr>
        <w:t xml:space="preserve">is the “risk tariff” associated with successful prosecution and the </w:t>
      </w:r>
      <w:r w:rsidR="00FA47ED" w:rsidRPr="00883E1C">
        <w:rPr>
          <w:rFonts w:ascii="Times New Roman" w:hAnsi="Times New Roman"/>
          <w:sz w:val="24"/>
          <w:szCs w:val="24"/>
        </w:rPr>
        <w:t xml:space="preserve">attendant discretion and regulatory will to prosecute “high risk” cases. </w:t>
      </w:r>
    </w:p>
    <w:p w:rsidR="00092A24" w:rsidRPr="00883E1C" w:rsidRDefault="00317A88" w:rsidP="00092A24">
      <w:pPr>
        <w:widowControl/>
        <w:ind w:firstLine="720"/>
        <w:rPr>
          <w:rFonts w:ascii="Times New Roman" w:hAnsi="Times New Roman"/>
          <w:sz w:val="24"/>
          <w:szCs w:val="24"/>
        </w:rPr>
      </w:pPr>
      <w:r w:rsidRPr="00883E1C">
        <w:rPr>
          <w:rFonts w:ascii="Times New Roman" w:hAnsi="Times New Roman"/>
          <w:sz w:val="24"/>
          <w:szCs w:val="24"/>
        </w:rPr>
        <w:t>One of the benefits of framing enforcement in terms of the misconduct funnel is that it shed</w:t>
      </w:r>
      <w:r w:rsidR="0007367E" w:rsidRPr="00883E1C">
        <w:rPr>
          <w:rFonts w:ascii="Times New Roman" w:hAnsi="Times New Roman"/>
          <w:sz w:val="24"/>
          <w:szCs w:val="24"/>
        </w:rPr>
        <w:t>s</w:t>
      </w:r>
      <w:r w:rsidRPr="00883E1C">
        <w:rPr>
          <w:rFonts w:ascii="Times New Roman" w:hAnsi="Times New Roman"/>
          <w:sz w:val="24"/>
          <w:szCs w:val="24"/>
        </w:rPr>
        <w:t xml:space="preserve"> light on the tendencies that constrain</w:t>
      </w:r>
      <w:r w:rsidR="002E6749" w:rsidRPr="00883E1C">
        <w:rPr>
          <w:rFonts w:ascii="Times New Roman" w:hAnsi="Times New Roman"/>
          <w:sz w:val="24"/>
          <w:szCs w:val="24"/>
        </w:rPr>
        <w:t>ed</w:t>
      </w:r>
      <w:r w:rsidRPr="00883E1C">
        <w:rPr>
          <w:rFonts w:ascii="Times New Roman" w:hAnsi="Times New Roman"/>
          <w:sz w:val="24"/>
          <w:szCs w:val="24"/>
        </w:rPr>
        <w:t xml:space="preserve"> the IDA’s enforcement process. </w:t>
      </w:r>
      <w:r w:rsidR="0007367E" w:rsidRPr="00883E1C">
        <w:rPr>
          <w:rFonts w:ascii="Times New Roman" w:hAnsi="Times New Roman"/>
          <w:sz w:val="24"/>
          <w:szCs w:val="24"/>
        </w:rPr>
        <w:t xml:space="preserve">The first of these </w:t>
      </w:r>
      <w:r w:rsidRPr="00883E1C">
        <w:rPr>
          <w:rFonts w:ascii="Times New Roman" w:hAnsi="Times New Roman"/>
          <w:sz w:val="24"/>
          <w:szCs w:val="24"/>
        </w:rPr>
        <w:t xml:space="preserve">tendencies </w:t>
      </w:r>
      <w:r w:rsidR="002E6749" w:rsidRPr="00883E1C">
        <w:rPr>
          <w:rFonts w:ascii="Times New Roman" w:hAnsi="Times New Roman"/>
          <w:sz w:val="24"/>
          <w:szCs w:val="24"/>
        </w:rPr>
        <w:t>was</w:t>
      </w:r>
      <w:r w:rsidRPr="00883E1C">
        <w:rPr>
          <w:rFonts w:ascii="Times New Roman" w:hAnsi="Times New Roman"/>
          <w:sz w:val="24"/>
          <w:szCs w:val="24"/>
        </w:rPr>
        <w:t xml:space="preserve"> the emergence of an enforcement culture that tend</w:t>
      </w:r>
      <w:r w:rsidR="002E6749" w:rsidRPr="00883E1C">
        <w:rPr>
          <w:rFonts w:ascii="Times New Roman" w:hAnsi="Times New Roman"/>
          <w:sz w:val="24"/>
          <w:szCs w:val="24"/>
        </w:rPr>
        <w:t>ed</w:t>
      </w:r>
      <w:r w:rsidRPr="00883E1C">
        <w:rPr>
          <w:rFonts w:ascii="Times New Roman" w:hAnsi="Times New Roman"/>
          <w:sz w:val="24"/>
          <w:szCs w:val="24"/>
        </w:rPr>
        <w:t xml:space="preserve"> to be risk </w:t>
      </w:r>
      <w:r w:rsidR="0007367E" w:rsidRPr="00883E1C">
        <w:rPr>
          <w:rFonts w:ascii="Times New Roman" w:hAnsi="Times New Roman"/>
          <w:sz w:val="24"/>
          <w:szCs w:val="24"/>
        </w:rPr>
        <w:t>averse</w:t>
      </w:r>
      <w:r w:rsidR="00F17D81" w:rsidRPr="00883E1C">
        <w:rPr>
          <w:rFonts w:ascii="Times New Roman" w:hAnsi="Times New Roman"/>
          <w:sz w:val="24"/>
          <w:szCs w:val="24"/>
        </w:rPr>
        <w:t xml:space="preserve"> (Braithwaite, 2005</w:t>
      </w:r>
      <w:r w:rsidR="0007367E" w:rsidRPr="00883E1C">
        <w:rPr>
          <w:rFonts w:ascii="Times New Roman" w:hAnsi="Times New Roman"/>
          <w:sz w:val="24"/>
          <w:szCs w:val="24"/>
        </w:rPr>
        <w:t>, 2013</w:t>
      </w:r>
      <w:r w:rsidR="00F17D81" w:rsidRPr="00883E1C">
        <w:rPr>
          <w:rFonts w:ascii="Times New Roman" w:hAnsi="Times New Roman"/>
          <w:sz w:val="24"/>
          <w:szCs w:val="24"/>
        </w:rPr>
        <w:t>)</w:t>
      </w:r>
      <w:r w:rsidRPr="00883E1C">
        <w:rPr>
          <w:rFonts w:ascii="Times New Roman" w:hAnsi="Times New Roman"/>
          <w:sz w:val="24"/>
          <w:szCs w:val="24"/>
        </w:rPr>
        <w:t xml:space="preserve">. </w:t>
      </w:r>
      <w:r w:rsidR="0007367E" w:rsidRPr="00883E1C">
        <w:rPr>
          <w:rFonts w:ascii="Times New Roman" w:hAnsi="Times New Roman"/>
          <w:sz w:val="24"/>
          <w:szCs w:val="24"/>
        </w:rPr>
        <w:t xml:space="preserve">Perhaps motivated more by fear rather than commendation for pursuing cases where the rewards for successful prosecution </w:t>
      </w:r>
      <w:r w:rsidR="002E6749" w:rsidRPr="00883E1C">
        <w:rPr>
          <w:rFonts w:ascii="Times New Roman" w:hAnsi="Times New Roman"/>
          <w:sz w:val="24"/>
          <w:szCs w:val="24"/>
        </w:rPr>
        <w:t>were</w:t>
      </w:r>
      <w:r w:rsidR="0007367E" w:rsidRPr="00883E1C">
        <w:rPr>
          <w:rFonts w:ascii="Times New Roman" w:hAnsi="Times New Roman"/>
          <w:sz w:val="24"/>
          <w:szCs w:val="24"/>
        </w:rPr>
        <w:t xml:space="preserve"> low and the punishment for failure </w:t>
      </w:r>
      <w:r w:rsidR="002E6749" w:rsidRPr="00883E1C">
        <w:rPr>
          <w:rFonts w:ascii="Times New Roman" w:hAnsi="Times New Roman"/>
          <w:sz w:val="24"/>
          <w:szCs w:val="24"/>
        </w:rPr>
        <w:t>were</w:t>
      </w:r>
      <w:r w:rsidR="0007367E" w:rsidRPr="00883E1C">
        <w:rPr>
          <w:rFonts w:ascii="Times New Roman" w:hAnsi="Times New Roman"/>
          <w:sz w:val="24"/>
          <w:szCs w:val="24"/>
        </w:rPr>
        <w:t xml:space="preserve"> high </w:t>
      </w:r>
      <w:r w:rsidR="00474DCD" w:rsidRPr="00883E1C">
        <w:rPr>
          <w:rFonts w:ascii="Times New Roman" w:hAnsi="Times New Roman"/>
          <w:sz w:val="24"/>
          <w:szCs w:val="24"/>
        </w:rPr>
        <w:t>(Gunningham, 1987: 89; Braithwaite, 2005: 173)</w:t>
      </w:r>
      <w:r w:rsidR="0095677A" w:rsidRPr="00883E1C">
        <w:rPr>
          <w:rFonts w:ascii="Times New Roman" w:hAnsi="Times New Roman"/>
          <w:sz w:val="24"/>
          <w:szCs w:val="24"/>
        </w:rPr>
        <w:t>, exceeding</w:t>
      </w:r>
      <w:r w:rsidR="003B2C00" w:rsidRPr="00883E1C">
        <w:rPr>
          <w:rFonts w:ascii="Times New Roman" w:hAnsi="Times New Roman"/>
          <w:sz w:val="24"/>
          <w:szCs w:val="24"/>
        </w:rPr>
        <w:t>ly</w:t>
      </w:r>
      <w:r w:rsidR="0095677A" w:rsidRPr="00883E1C">
        <w:rPr>
          <w:rFonts w:ascii="Times New Roman" w:hAnsi="Times New Roman"/>
          <w:sz w:val="24"/>
          <w:szCs w:val="24"/>
        </w:rPr>
        <w:t xml:space="preserve"> high standards </w:t>
      </w:r>
      <w:r w:rsidR="002E6749" w:rsidRPr="00883E1C">
        <w:rPr>
          <w:rFonts w:ascii="Times New Roman" w:hAnsi="Times New Roman"/>
          <w:sz w:val="24"/>
          <w:szCs w:val="24"/>
        </w:rPr>
        <w:t>were</w:t>
      </w:r>
      <w:r w:rsidR="0095677A" w:rsidRPr="00883E1C">
        <w:rPr>
          <w:rFonts w:ascii="Times New Roman" w:hAnsi="Times New Roman"/>
          <w:sz w:val="24"/>
          <w:szCs w:val="24"/>
        </w:rPr>
        <w:t xml:space="preserve"> set for case viability, while carefully plotting their investigation according to the safest and more secure paths possible (Williams, 2012: 101). </w:t>
      </w:r>
      <w:r w:rsidR="003B2C00" w:rsidRPr="00883E1C">
        <w:rPr>
          <w:rFonts w:ascii="Times New Roman" w:hAnsi="Times New Roman"/>
          <w:sz w:val="24"/>
          <w:szCs w:val="24"/>
        </w:rPr>
        <w:t xml:space="preserve"> This sort of conservatism </w:t>
      </w:r>
      <w:r w:rsidR="002E6749" w:rsidRPr="00883E1C">
        <w:rPr>
          <w:rFonts w:ascii="Times New Roman" w:hAnsi="Times New Roman"/>
          <w:sz w:val="24"/>
          <w:szCs w:val="24"/>
        </w:rPr>
        <w:t>was</w:t>
      </w:r>
      <w:r w:rsidR="003B2C00" w:rsidRPr="00883E1C">
        <w:rPr>
          <w:rFonts w:ascii="Times New Roman" w:hAnsi="Times New Roman"/>
          <w:sz w:val="24"/>
          <w:szCs w:val="24"/>
        </w:rPr>
        <w:t xml:space="preserve"> a reflection of the type of cases that </w:t>
      </w:r>
      <w:r w:rsidR="002E6749" w:rsidRPr="00883E1C">
        <w:rPr>
          <w:rFonts w:ascii="Times New Roman" w:hAnsi="Times New Roman"/>
          <w:sz w:val="24"/>
          <w:szCs w:val="24"/>
        </w:rPr>
        <w:t>were</w:t>
      </w:r>
      <w:r w:rsidR="003B2C00" w:rsidRPr="00883E1C">
        <w:rPr>
          <w:rFonts w:ascii="Times New Roman" w:hAnsi="Times New Roman"/>
          <w:sz w:val="24"/>
          <w:szCs w:val="24"/>
        </w:rPr>
        <w:t xml:space="preserve"> being closed because of a lack of evidence for successful prosecution. Litigation staff may </w:t>
      </w:r>
      <w:r w:rsidR="002E6749" w:rsidRPr="00883E1C">
        <w:rPr>
          <w:rFonts w:ascii="Times New Roman" w:hAnsi="Times New Roman"/>
          <w:sz w:val="24"/>
          <w:szCs w:val="24"/>
        </w:rPr>
        <w:t xml:space="preserve">have </w:t>
      </w:r>
      <w:r w:rsidR="003B2C00" w:rsidRPr="00883E1C">
        <w:rPr>
          <w:rFonts w:ascii="Times New Roman" w:hAnsi="Times New Roman"/>
          <w:sz w:val="24"/>
          <w:szCs w:val="24"/>
        </w:rPr>
        <w:t>be</w:t>
      </w:r>
      <w:r w:rsidR="002E6749" w:rsidRPr="00883E1C">
        <w:rPr>
          <w:rFonts w:ascii="Times New Roman" w:hAnsi="Times New Roman"/>
          <w:sz w:val="24"/>
          <w:szCs w:val="24"/>
        </w:rPr>
        <w:t>en</w:t>
      </w:r>
      <w:r w:rsidR="003B2C00" w:rsidRPr="00883E1C">
        <w:rPr>
          <w:rFonts w:ascii="Times New Roman" w:hAnsi="Times New Roman"/>
          <w:sz w:val="24"/>
          <w:szCs w:val="24"/>
        </w:rPr>
        <w:t xml:space="preserve"> cognizant of the high standards needed to secure a prosecution and may </w:t>
      </w:r>
      <w:r w:rsidR="002E6749" w:rsidRPr="00883E1C">
        <w:rPr>
          <w:rFonts w:ascii="Times New Roman" w:hAnsi="Times New Roman"/>
          <w:sz w:val="24"/>
          <w:szCs w:val="24"/>
        </w:rPr>
        <w:t xml:space="preserve">have </w:t>
      </w:r>
      <w:r w:rsidR="003B2C00" w:rsidRPr="00883E1C">
        <w:rPr>
          <w:rFonts w:ascii="Times New Roman" w:hAnsi="Times New Roman"/>
          <w:sz w:val="24"/>
          <w:szCs w:val="24"/>
        </w:rPr>
        <w:t>cho</w:t>
      </w:r>
      <w:r w:rsidR="002E6749" w:rsidRPr="00883E1C">
        <w:rPr>
          <w:rFonts w:ascii="Times New Roman" w:hAnsi="Times New Roman"/>
          <w:sz w:val="24"/>
          <w:szCs w:val="24"/>
        </w:rPr>
        <w:t>sen</w:t>
      </w:r>
      <w:r w:rsidR="003B2C00" w:rsidRPr="00883E1C">
        <w:rPr>
          <w:rFonts w:ascii="Times New Roman" w:hAnsi="Times New Roman"/>
          <w:sz w:val="24"/>
          <w:szCs w:val="24"/>
        </w:rPr>
        <w:t xml:space="preserve"> to close a case for the fear of going to court and los</w:t>
      </w:r>
      <w:r w:rsidR="002E6749" w:rsidRPr="00883E1C">
        <w:rPr>
          <w:rFonts w:ascii="Times New Roman" w:hAnsi="Times New Roman"/>
          <w:sz w:val="24"/>
          <w:szCs w:val="24"/>
        </w:rPr>
        <w:t>ing</w:t>
      </w:r>
      <w:r w:rsidR="003B2C00" w:rsidRPr="00883E1C">
        <w:rPr>
          <w:rFonts w:ascii="Times New Roman" w:hAnsi="Times New Roman"/>
          <w:sz w:val="24"/>
          <w:szCs w:val="24"/>
        </w:rPr>
        <w:t xml:space="preserve">. This type of ‘regulatory inertia’ </w:t>
      </w:r>
      <w:r w:rsidR="00530CE8" w:rsidRPr="00883E1C">
        <w:rPr>
          <w:rFonts w:ascii="Times New Roman" w:hAnsi="Times New Roman"/>
          <w:sz w:val="24"/>
          <w:szCs w:val="24"/>
        </w:rPr>
        <w:t>of afraid to lose mentality, suggest</w:t>
      </w:r>
      <w:r w:rsidR="002E6749" w:rsidRPr="00883E1C">
        <w:rPr>
          <w:rFonts w:ascii="Times New Roman" w:hAnsi="Times New Roman"/>
          <w:sz w:val="24"/>
          <w:szCs w:val="24"/>
        </w:rPr>
        <w:t>s</w:t>
      </w:r>
      <w:r w:rsidR="00530CE8" w:rsidRPr="00883E1C">
        <w:rPr>
          <w:rFonts w:ascii="Times New Roman" w:hAnsi="Times New Roman"/>
          <w:sz w:val="24"/>
          <w:szCs w:val="24"/>
        </w:rPr>
        <w:t xml:space="preserve"> that </w:t>
      </w:r>
      <w:r w:rsidR="002E6749" w:rsidRPr="00883E1C">
        <w:rPr>
          <w:rFonts w:ascii="Times New Roman" w:hAnsi="Times New Roman"/>
          <w:sz w:val="24"/>
          <w:szCs w:val="24"/>
        </w:rPr>
        <w:t xml:space="preserve">the </w:t>
      </w:r>
      <w:r w:rsidR="00530CE8" w:rsidRPr="00883E1C">
        <w:rPr>
          <w:rFonts w:ascii="Times New Roman" w:hAnsi="Times New Roman"/>
          <w:sz w:val="24"/>
          <w:szCs w:val="24"/>
        </w:rPr>
        <w:t>enforcement staff only pursue</w:t>
      </w:r>
      <w:r w:rsidR="002E6749" w:rsidRPr="00883E1C">
        <w:rPr>
          <w:rFonts w:ascii="Times New Roman" w:hAnsi="Times New Roman"/>
          <w:sz w:val="24"/>
          <w:szCs w:val="24"/>
        </w:rPr>
        <w:t>d</w:t>
      </w:r>
      <w:r w:rsidR="00530CE8" w:rsidRPr="00883E1C">
        <w:rPr>
          <w:rFonts w:ascii="Times New Roman" w:hAnsi="Times New Roman"/>
          <w:sz w:val="24"/>
          <w:szCs w:val="24"/>
        </w:rPr>
        <w:t xml:space="preserve"> cases that they c</w:t>
      </w:r>
      <w:r w:rsidR="002E6749" w:rsidRPr="00883E1C">
        <w:rPr>
          <w:rFonts w:ascii="Times New Roman" w:hAnsi="Times New Roman"/>
          <w:sz w:val="24"/>
          <w:szCs w:val="24"/>
        </w:rPr>
        <w:t>ould</w:t>
      </w:r>
      <w:r w:rsidR="00530CE8" w:rsidRPr="00883E1C">
        <w:rPr>
          <w:rFonts w:ascii="Times New Roman" w:hAnsi="Times New Roman"/>
          <w:sz w:val="24"/>
          <w:szCs w:val="24"/>
        </w:rPr>
        <w:t xml:space="preserve"> win (p. 101). </w:t>
      </w:r>
      <w:r w:rsidR="00BD6CEB" w:rsidRPr="00883E1C">
        <w:rPr>
          <w:rFonts w:ascii="Times New Roman" w:hAnsi="Times New Roman"/>
          <w:sz w:val="24"/>
          <w:szCs w:val="24"/>
        </w:rPr>
        <w:t xml:space="preserve">In deciding to prosecute ‘high risk’ cases, </w:t>
      </w:r>
      <w:r w:rsidR="003B1E7D" w:rsidRPr="00883E1C">
        <w:rPr>
          <w:rFonts w:ascii="Times New Roman" w:hAnsi="Times New Roman"/>
          <w:sz w:val="24"/>
          <w:szCs w:val="24"/>
        </w:rPr>
        <w:t xml:space="preserve">enforcement staff must </w:t>
      </w:r>
      <w:r w:rsidR="00883E1C" w:rsidRPr="00883E1C">
        <w:rPr>
          <w:rFonts w:ascii="Times New Roman" w:hAnsi="Times New Roman"/>
          <w:sz w:val="24"/>
          <w:szCs w:val="24"/>
        </w:rPr>
        <w:t>toe</w:t>
      </w:r>
      <w:r w:rsidR="003B1E7D" w:rsidRPr="00883E1C">
        <w:rPr>
          <w:rFonts w:ascii="Times New Roman" w:hAnsi="Times New Roman"/>
          <w:sz w:val="24"/>
          <w:szCs w:val="24"/>
        </w:rPr>
        <w:t xml:space="preserve"> the line carefully. </w:t>
      </w:r>
    </w:p>
    <w:p w:rsidR="00317A88" w:rsidRPr="00883E1C" w:rsidRDefault="00835581" w:rsidP="00092A24">
      <w:pPr>
        <w:widowControl/>
        <w:ind w:firstLine="720"/>
        <w:rPr>
          <w:rFonts w:ascii="Times New Roman" w:hAnsi="Times New Roman"/>
          <w:sz w:val="24"/>
          <w:szCs w:val="24"/>
        </w:rPr>
      </w:pPr>
      <w:r w:rsidRPr="00883E1C">
        <w:rPr>
          <w:rFonts w:ascii="Times New Roman" w:hAnsi="Times New Roman"/>
          <w:sz w:val="24"/>
          <w:szCs w:val="24"/>
        </w:rPr>
        <w:t>The</w:t>
      </w:r>
      <w:r w:rsidR="003B1E7D" w:rsidRPr="00883E1C">
        <w:rPr>
          <w:rFonts w:ascii="Times New Roman" w:hAnsi="Times New Roman"/>
          <w:sz w:val="24"/>
          <w:szCs w:val="24"/>
        </w:rPr>
        <w:t xml:space="preserve"> sense of caution </w:t>
      </w:r>
      <w:r w:rsidRPr="00883E1C">
        <w:rPr>
          <w:rFonts w:ascii="Times New Roman" w:hAnsi="Times New Roman"/>
          <w:sz w:val="24"/>
          <w:szCs w:val="24"/>
        </w:rPr>
        <w:t>that acco</w:t>
      </w:r>
      <w:r w:rsidR="001A4E54" w:rsidRPr="00883E1C">
        <w:rPr>
          <w:rFonts w:ascii="Times New Roman" w:hAnsi="Times New Roman"/>
          <w:sz w:val="24"/>
          <w:szCs w:val="24"/>
        </w:rPr>
        <w:t>mpanied</w:t>
      </w:r>
      <w:r w:rsidRPr="00883E1C">
        <w:rPr>
          <w:rFonts w:ascii="Times New Roman" w:hAnsi="Times New Roman"/>
          <w:sz w:val="24"/>
          <w:szCs w:val="24"/>
        </w:rPr>
        <w:t xml:space="preserve"> the avoider mentality </w:t>
      </w:r>
      <w:r w:rsidR="0079568F" w:rsidRPr="00883E1C">
        <w:rPr>
          <w:rFonts w:ascii="Times New Roman" w:hAnsi="Times New Roman"/>
          <w:sz w:val="24"/>
          <w:szCs w:val="24"/>
        </w:rPr>
        <w:t>was</w:t>
      </w:r>
      <w:r w:rsidR="003B1E7D" w:rsidRPr="00883E1C">
        <w:rPr>
          <w:rFonts w:ascii="Times New Roman" w:hAnsi="Times New Roman"/>
          <w:sz w:val="24"/>
          <w:szCs w:val="24"/>
        </w:rPr>
        <w:t xml:space="preserve"> manifested in the discretion to prosecute 'high risk 'cases.  Even when a case </w:t>
      </w:r>
      <w:r w:rsidR="0079568F" w:rsidRPr="00883E1C">
        <w:rPr>
          <w:rFonts w:ascii="Times New Roman" w:hAnsi="Times New Roman"/>
          <w:sz w:val="24"/>
          <w:szCs w:val="24"/>
        </w:rPr>
        <w:t>was</w:t>
      </w:r>
      <w:r w:rsidR="003B1E7D" w:rsidRPr="00883E1C">
        <w:rPr>
          <w:rFonts w:ascii="Times New Roman" w:hAnsi="Times New Roman"/>
          <w:sz w:val="24"/>
          <w:szCs w:val="24"/>
        </w:rPr>
        <w:t xml:space="preserve"> egregious enough to warrant a ful</w:t>
      </w:r>
      <w:r w:rsidR="009F7DFA" w:rsidRPr="00883E1C">
        <w:rPr>
          <w:rFonts w:ascii="Times New Roman" w:hAnsi="Times New Roman"/>
          <w:sz w:val="24"/>
          <w:szCs w:val="24"/>
        </w:rPr>
        <w:t xml:space="preserve">l investigation, regulators and law enforcement tended to be </w:t>
      </w:r>
      <w:r w:rsidR="0038531C" w:rsidRPr="00883E1C">
        <w:rPr>
          <w:rFonts w:ascii="Times New Roman" w:hAnsi="Times New Roman"/>
          <w:sz w:val="24"/>
          <w:szCs w:val="24"/>
        </w:rPr>
        <w:t>very</w:t>
      </w:r>
      <w:r w:rsidR="00387460" w:rsidRPr="00883E1C">
        <w:rPr>
          <w:rFonts w:ascii="Times New Roman" w:hAnsi="Times New Roman"/>
          <w:sz w:val="24"/>
          <w:szCs w:val="24"/>
        </w:rPr>
        <w:t xml:space="preserve"> cautious </w:t>
      </w:r>
      <w:r w:rsidR="009F7DFA" w:rsidRPr="00883E1C">
        <w:rPr>
          <w:rFonts w:ascii="Times New Roman" w:hAnsi="Times New Roman"/>
          <w:sz w:val="24"/>
          <w:szCs w:val="24"/>
        </w:rPr>
        <w:t xml:space="preserve">in their approach. </w:t>
      </w:r>
      <w:r w:rsidR="003B1E7D" w:rsidRPr="00883E1C">
        <w:rPr>
          <w:rFonts w:ascii="Times New Roman" w:hAnsi="Times New Roman"/>
          <w:sz w:val="24"/>
          <w:szCs w:val="24"/>
        </w:rPr>
        <w:t xml:space="preserve"> </w:t>
      </w:r>
      <w:r w:rsidR="0038531C" w:rsidRPr="00883E1C">
        <w:rPr>
          <w:rFonts w:ascii="Times New Roman" w:hAnsi="Times New Roman"/>
          <w:sz w:val="24"/>
          <w:szCs w:val="24"/>
        </w:rPr>
        <w:t>A former member of the enforcement staff recounted the following message when dealing with litigation staff:</w:t>
      </w:r>
    </w:p>
    <w:p w:rsidR="009B1603" w:rsidRPr="00883E1C" w:rsidRDefault="0038531C" w:rsidP="009B1603">
      <w:pPr>
        <w:widowControl/>
        <w:spacing w:line="240" w:lineRule="auto"/>
        <w:ind w:left="284" w:right="284"/>
        <w:rPr>
          <w:rFonts w:ascii="Times New Roman" w:hAnsi="Times New Roman"/>
          <w:sz w:val="24"/>
          <w:szCs w:val="24"/>
        </w:rPr>
      </w:pPr>
      <w:r w:rsidRPr="00883E1C">
        <w:rPr>
          <w:rFonts w:ascii="Times New Roman" w:hAnsi="Times New Roman"/>
          <w:sz w:val="24"/>
          <w:szCs w:val="24"/>
        </w:rPr>
        <w:lastRenderedPageBreak/>
        <w:t xml:space="preserve">I remember one time where I wanted to bring an insider trading case and he came up and tried to convince me that I shouldn’t bring it because we could lose because of this and this. I basically said ‘bring the case we’re gonna win it. And the people pleaded guilty shortly after the charges were brought (Lawyer #22: 7, as cited in Williams, 2012: 101). </w:t>
      </w:r>
    </w:p>
    <w:p w:rsidR="009B1603" w:rsidRPr="00883E1C" w:rsidRDefault="00981412" w:rsidP="00092A24">
      <w:pPr>
        <w:widowControl/>
        <w:ind w:right="284"/>
        <w:rPr>
          <w:rFonts w:ascii="Times New Roman" w:hAnsi="Times New Roman"/>
          <w:sz w:val="24"/>
          <w:szCs w:val="24"/>
        </w:rPr>
      </w:pPr>
      <w:r w:rsidRPr="00883E1C">
        <w:rPr>
          <w:rFonts w:ascii="Times New Roman" w:hAnsi="Times New Roman"/>
          <w:sz w:val="24"/>
          <w:szCs w:val="24"/>
        </w:rPr>
        <w:t>The</w:t>
      </w:r>
      <w:r w:rsidR="009B1603" w:rsidRPr="00883E1C">
        <w:rPr>
          <w:rFonts w:ascii="Times New Roman" w:hAnsi="Times New Roman"/>
          <w:sz w:val="24"/>
          <w:szCs w:val="24"/>
        </w:rPr>
        <w:t xml:space="preserve"> ‘tread carefully’ message </w:t>
      </w:r>
      <w:r w:rsidR="0079568F" w:rsidRPr="00883E1C">
        <w:rPr>
          <w:rFonts w:ascii="Times New Roman" w:hAnsi="Times New Roman"/>
          <w:sz w:val="24"/>
          <w:szCs w:val="24"/>
        </w:rPr>
        <w:t>was</w:t>
      </w:r>
      <w:r w:rsidR="009B1603" w:rsidRPr="00883E1C">
        <w:rPr>
          <w:rFonts w:ascii="Times New Roman" w:hAnsi="Times New Roman"/>
          <w:sz w:val="24"/>
          <w:szCs w:val="24"/>
        </w:rPr>
        <w:t xml:space="preserve"> </w:t>
      </w:r>
      <w:r w:rsidR="00402C80" w:rsidRPr="00883E1C">
        <w:rPr>
          <w:rFonts w:ascii="Times New Roman" w:hAnsi="Times New Roman"/>
          <w:sz w:val="24"/>
          <w:szCs w:val="24"/>
        </w:rPr>
        <w:t>also driven</w:t>
      </w:r>
      <w:r w:rsidR="009B1603" w:rsidRPr="00883E1C">
        <w:rPr>
          <w:rFonts w:ascii="Times New Roman" w:hAnsi="Times New Roman"/>
          <w:sz w:val="24"/>
          <w:szCs w:val="24"/>
        </w:rPr>
        <w:t xml:space="preserve"> home by a Crown Attorney with experience in prosecuting </w:t>
      </w:r>
      <w:r w:rsidR="00605B77" w:rsidRPr="00883E1C">
        <w:rPr>
          <w:rFonts w:ascii="Times New Roman" w:hAnsi="Times New Roman"/>
          <w:sz w:val="24"/>
          <w:szCs w:val="24"/>
        </w:rPr>
        <w:t>securities fraud cases:</w:t>
      </w:r>
    </w:p>
    <w:p w:rsidR="0007367E" w:rsidRPr="00883E1C" w:rsidRDefault="00605B77" w:rsidP="00402C80">
      <w:pPr>
        <w:widowControl/>
        <w:spacing w:line="240" w:lineRule="auto"/>
        <w:ind w:left="284" w:right="284"/>
        <w:rPr>
          <w:rFonts w:ascii="Times New Roman" w:hAnsi="Times New Roman"/>
          <w:sz w:val="24"/>
          <w:szCs w:val="24"/>
        </w:rPr>
      </w:pPr>
      <w:r w:rsidRPr="00883E1C">
        <w:rPr>
          <w:rFonts w:ascii="Times New Roman" w:hAnsi="Times New Roman"/>
          <w:sz w:val="24"/>
          <w:szCs w:val="24"/>
        </w:rPr>
        <w:t>You tend to want to take a conservative approach to these things because the cost of getting it wrong is pretty high…your case could be thrown out unless you can find another way of proving it. You don’t want to embark upon a three, four, five year investigation based on information obtained from the securities commissions as your cornerstone. So you want to be conservative (Crown #2:, as cited in Williams, 2010: 102).</w:t>
      </w:r>
    </w:p>
    <w:p w:rsidR="009065D1" w:rsidRPr="00883E1C" w:rsidRDefault="00981412" w:rsidP="00027C46">
      <w:pPr>
        <w:widowControl/>
        <w:ind w:right="284"/>
        <w:rPr>
          <w:rFonts w:ascii="Times New Roman" w:hAnsi="Times New Roman"/>
          <w:sz w:val="24"/>
          <w:szCs w:val="24"/>
        </w:rPr>
      </w:pPr>
      <w:r w:rsidRPr="00883E1C">
        <w:rPr>
          <w:rFonts w:ascii="Times New Roman" w:hAnsi="Times New Roman"/>
          <w:sz w:val="24"/>
          <w:szCs w:val="24"/>
        </w:rPr>
        <w:t>Regulators’ aversion</w:t>
      </w:r>
      <w:r w:rsidR="00402C80" w:rsidRPr="00883E1C">
        <w:rPr>
          <w:rFonts w:ascii="Times New Roman" w:hAnsi="Times New Roman"/>
          <w:sz w:val="24"/>
          <w:szCs w:val="24"/>
        </w:rPr>
        <w:t xml:space="preserve"> to </w:t>
      </w:r>
      <w:r w:rsidR="001A4E54" w:rsidRPr="00883E1C">
        <w:rPr>
          <w:rFonts w:ascii="Times New Roman" w:hAnsi="Times New Roman"/>
          <w:sz w:val="24"/>
          <w:szCs w:val="24"/>
        </w:rPr>
        <w:t>risk</w:t>
      </w:r>
      <w:r w:rsidRPr="00883E1C">
        <w:rPr>
          <w:rFonts w:ascii="Times New Roman" w:hAnsi="Times New Roman"/>
          <w:sz w:val="24"/>
          <w:szCs w:val="24"/>
        </w:rPr>
        <w:t xml:space="preserve"> consequently resulted in them taking on</w:t>
      </w:r>
      <w:r w:rsidR="00402C80" w:rsidRPr="00883E1C">
        <w:rPr>
          <w:rFonts w:ascii="Times New Roman" w:hAnsi="Times New Roman"/>
          <w:sz w:val="24"/>
          <w:szCs w:val="24"/>
        </w:rPr>
        <w:t xml:space="preserve"> cases where they </w:t>
      </w:r>
      <w:r w:rsidR="0079568F" w:rsidRPr="00883E1C">
        <w:rPr>
          <w:rFonts w:ascii="Times New Roman" w:hAnsi="Times New Roman"/>
          <w:sz w:val="24"/>
          <w:szCs w:val="24"/>
        </w:rPr>
        <w:t>were</w:t>
      </w:r>
      <w:r w:rsidR="00402C80" w:rsidRPr="00883E1C">
        <w:rPr>
          <w:rFonts w:ascii="Times New Roman" w:hAnsi="Times New Roman"/>
          <w:sz w:val="24"/>
          <w:szCs w:val="24"/>
        </w:rPr>
        <w:t xml:space="preserve"> certain of a win. </w:t>
      </w:r>
      <w:r w:rsidR="00E76B91" w:rsidRPr="00883E1C">
        <w:rPr>
          <w:rFonts w:ascii="Times New Roman" w:hAnsi="Times New Roman"/>
          <w:sz w:val="24"/>
          <w:szCs w:val="24"/>
        </w:rPr>
        <w:t>M</w:t>
      </w:r>
      <w:r w:rsidR="00402C80" w:rsidRPr="00883E1C">
        <w:rPr>
          <w:rFonts w:ascii="Times New Roman" w:hAnsi="Times New Roman"/>
          <w:sz w:val="24"/>
          <w:szCs w:val="24"/>
        </w:rPr>
        <w:t>ore</w:t>
      </w:r>
      <w:r w:rsidR="00E76B91" w:rsidRPr="00883E1C">
        <w:rPr>
          <w:rFonts w:ascii="Times New Roman" w:hAnsi="Times New Roman"/>
          <w:sz w:val="24"/>
          <w:szCs w:val="24"/>
        </w:rPr>
        <w:t xml:space="preserve"> important however, </w:t>
      </w:r>
      <w:r w:rsidR="0079568F" w:rsidRPr="00883E1C">
        <w:rPr>
          <w:rFonts w:ascii="Times New Roman" w:hAnsi="Times New Roman"/>
          <w:sz w:val="24"/>
          <w:szCs w:val="24"/>
        </w:rPr>
        <w:t>wa</w:t>
      </w:r>
      <w:r w:rsidR="00E76B91" w:rsidRPr="00883E1C">
        <w:rPr>
          <w:rFonts w:ascii="Times New Roman" w:hAnsi="Times New Roman"/>
          <w:sz w:val="24"/>
          <w:szCs w:val="24"/>
        </w:rPr>
        <w:t xml:space="preserve">s that the </w:t>
      </w:r>
      <w:r w:rsidR="00402C80" w:rsidRPr="00883E1C">
        <w:rPr>
          <w:rFonts w:ascii="Times New Roman" w:hAnsi="Times New Roman"/>
          <w:sz w:val="24"/>
          <w:szCs w:val="24"/>
        </w:rPr>
        <w:t xml:space="preserve">preoccupation </w:t>
      </w:r>
      <w:r w:rsidR="00E76B91" w:rsidRPr="00883E1C">
        <w:rPr>
          <w:rFonts w:ascii="Times New Roman" w:hAnsi="Times New Roman"/>
          <w:sz w:val="24"/>
          <w:szCs w:val="24"/>
        </w:rPr>
        <w:t>with risk posed by the legal process c</w:t>
      </w:r>
      <w:r w:rsidR="0079568F" w:rsidRPr="00883E1C">
        <w:rPr>
          <w:rFonts w:ascii="Times New Roman" w:hAnsi="Times New Roman"/>
          <w:sz w:val="24"/>
          <w:szCs w:val="24"/>
        </w:rPr>
        <w:t>ould have</w:t>
      </w:r>
      <w:r w:rsidR="00E76B91" w:rsidRPr="00883E1C">
        <w:rPr>
          <w:rFonts w:ascii="Times New Roman" w:hAnsi="Times New Roman"/>
          <w:sz w:val="24"/>
          <w:szCs w:val="24"/>
        </w:rPr>
        <w:t xml:space="preserve"> produce</w:t>
      </w:r>
      <w:r w:rsidR="0079568F" w:rsidRPr="00883E1C">
        <w:rPr>
          <w:rFonts w:ascii="Times New Roman" w:hAnsi="Times New Roman"/>
          <w:sz w:val="24"/>
          <w:szCs w:val="24"/>
        </w:rPr>
        <w:t>d</w:t>
      </w:r>
      <w:r w:rsidR="00E76B91" w:rsidRPr="00883E1C">
        <w:rPr>
          <w:rFonts w:ascii="Times New Roman" w:hAnsi="Times New Roman"/>
          <w:sz w:val="24"/>
          <w:szCs w:val="24"/>
        </w:rPr>
        <w:t xml:space="preserve"> perverse effect </w:t>
      </w:r>
      <w:r w:rsidR="00402C80" w:rsidRPr="00883E1C">
        <w:rPr>
          <w:rFonts w:ascii="Times New Roman" w:hAnsi="Times New Roman"/>
          <w:sz w:val="24"/>
          <w:szCs w:val="24"/>
        </w:rPr>
        <w:t>(Hawkins, 2002: 404).</w:t>
      </w:r>
      <w:r w:rsidR="00E76B91" w:rsidRPr="00883E1C">
        <w:rPr>
          <w:rFonts w:ascii="Times New Roman" w:hAnsi="Times New Roman"/>
          <w:sz w:val="24"/>
          <w:szCs w:val="24"/>
        </w:rPr>
        <w:t xml:space="preserve"> One</w:t>
      </w:r>
      <w:r w:rsidRPr="00883E1C">
        <w:rPr>
          <w:rFonts w:ascii="Times New Roman" w:hAnsi="Times New Roman"/>
          <w:sz w:val="24"/>
          <w:szCs w:val="24"/>
        </w:rPr>
        <w:t xml:space="preserve"> such effect </w:t>
      </w:r>
      <w:r w:rsidR="0079568F" w:rsidRPr="00883E1C">
        <w:rPr>
          <w:rFonts w:ascii="Times New Roman" w:hAnsi="Times New Roman"/>
          <w:sz w:val="24"/>
          <w:szCs w:val="24"/>
        </w:rPr>
        <w:t>was</w:t>
      </w:r>
      <w:r w:rsidR="00E76B91" w:rsidRPr="00883E1C">
        <w:rPr>
          <w:rFonts w:ascii="Times New Roman" w:hAnsi="Times New Roman"/>
          <w:sz w:val="24"/>
          <w:szCs w:val="24"/>
        </w:rPr>
        <w:t xml:space="preserve"> the skew</w:t>
      </w:r>
      <w:r w:rsidR="0079568F" w:rsidRPr="00883E1C">
        <w:rPr>
          <w:rFonts w:ascii="Times New Roman" w:hAnsi="Times New Roman"/>
          <w:sz w:val="24"/>
          <w:szCs w:val="24"/>
        </w:rPr>
        <w:t>ing</w:t>
      </w:r>
      <w:r w:rsidR="00E76B91" w:rsidRPr="00883E1C">
        <w:rPr>
          <w:rFonts w:ascii="Times New Roman" w:hAnsi="Times New Roman"/>
          <w:sz w:val="24"/>
          <w:szCs w:val="24"/>
        </w:rPr>
        <w:t xml:space="preserve"> to the distribution of cases towards straightforward matters at the expense of the more ‘high risk’ cases that may </w:t>
      </w:r>
      <w:r w:rsidR="0079568F" w:rsidRPr="00883E1C">
        <w:rPr>
          <w:rFonts w:ascii="Times New Roman" w:hAnsi="Times New Roman"/>
          <w:sz w:val="24"/>
          <w:szCs w:val="24"/>
        </w:rPr>
        <w:t xml:space="preserve">have </w:t>
      </w:r>
      <w:r w:rsidR="00E76B91" w:rsidRPr="00883E1C">
        <w:rPr>
          <w:rFonts w:ascii="Times New Roman" w:hAnsi="Times New Roman"/>
          <w:sz w:val="24"/>
          <w:szCs w:val="24"/>
        </w:rPr>
        <w:t>be</w:t>
      </w:r>
      <w:r w:rsidR="0079568F" w:rsidRPr="00883E1C">
        <w:rPr>
          <w:rFonts w:ascii="Times New Roman" w:hAnsi="Times New Roman"/>
          <w:sz w:val="24"/>
          <w:szCs w:val="24"/>
        </w:rPr>
        <w:t>en</w:t>
      </w:r>
      <w:r w:rsidR="00E76B91" w:rsidRPr="00883E1C">
        <w:rPr>
          <w:rFonts w:ascii="Times New Roman" w:hAnsi="Times New Roman"/>
          <w:sz w:val="24"/>
          <w:szCs w:val="24"/>
        </w:rPr>
        <w:t xml:space="preserve"> more difficult to litigate and prosecute (p. 404). </w:t>
      </w:r>
    </w:p>
    <w:p w:rsidR="00F229E1" w:rsidRPr="00883E1C" w:rsidRDefault="00027C46" w:rsidP="009065D1">
      <w:pPr>
        <w:widowControl/>
        <w:ind w:right="284" w:firstLine="720"/>
        <w:rPr>
          <w:rFonts w:ascii="Times New Roman" w:hAnsi="Times New Roman"/>
          <w:sz w:val="24"/>
          <w:szCs w:val="24"/>
        </w:rPr>
      </w:pPr>
      <w:r w:rsidRPr="00883E1C">
        <w:rPr>
          <w:rFonts w:ascii="Times New Roman" w:hAnsi="Times New Roman"/>
          <w:sz w:val="24"/>
          <w:szCs w:val="24"/>
        </w:rPr>
        <w:t>When ‘high risk’ cases d</w:t>
      </w:r>
      <w:r w:rsidR="0079568F" w:rsidRPr="00883E1C">
        <w:rPr>
          <w:rFonts w:ascii="Times New Roman" w:hAnsi="Times New Roman"/>
          <w:sz w:val="24"/>
          <w:szCs w:val="24"/>
        </w:rPr>
        <w:t>id</w:t>
      </w:r>
      <w:r w:rsidRPr="00883E1C">
        <w:rPr>
          <w:rFonts w:ascii="Times New Roman" w:hAnsi="Times New Roman"/>
          <w:sz w:val="24"/>
          <w:szCs w:val="24"/>
        </w:rPr>
        <w:t xml:space="preserve"> come to the fore, the existing </w:t>
      </w:r>
      <w:r w:rsidR="00981412" w:rsidRPr="00883E1C">
        <w:rPr>
          <w:rFonts w:ascii="Times New Roman" w:hAnsi="Times New Roman"/>
          <w:sz w:val="24"/>
          <w:szCs w:val="24"/>
        </w:rPr>
        <w:t xml:space="preserve"> turf war between the IDA, </w:t>
      </w:r>
      <w:r w:rsidRPr="00883E1C">
        <w:rPr>
          <w:rFonts w:ascii="Times New Roman" w:hAnsi="Times New Roman"/>
          <w:sz w:val="24"/>
          <w:szCs w:val="24"/>
        </w:rPr>
        <w:t xml:space="preserve">the </w:t>
      </w:r>
      <w:r w:rsidR="00981412" w:rsidRPr="00883E1C">
        <w:rPr>
          <w:rFonts w:ascii="Times New Roman" w:hAnsi="Times New Roman"/>
          <w:sz w:val="24"/>
          <w:szCs w:val="24"/>
        </w:rPr>
        <w:t>provinc</w:t>
      </w:r>
      <w:r w:rsidRPr="00883E1C">
        <w:rPr>
          <w:rFonts w:ascii="Times New Roman" w:hAnsi="Times New Roman"/>
          <w:sz w:val="24"/>
          <w:szCs w:val="24"/>
        </w:rPr>
        <w:t>ial securities commissions, and the police ma</w:t>
      </w:r>
      <w:r w:rsidR="0079568F" w:rsidRPr="00883E1C">
        <w:rPr>
          <w:rFonts w:ascii="Times New Roman" w:hAnsi="Times New Roman"/>
          <w:sz w:val="24"/>
          <w:szCs w:val="24"/>
        </w:rPr>
        <w:t>de</w:t>
      </w:r>
      <w:r w:rsidRPr="00883E1C">
        <w:rPr>
          <w:rFonts w:ascii="Times New Roman" w:hAnsi="Times New Roman"/>
          <w:sz w:val="24"/>
          <w:szCs w:val="24"/>
        </w:rPr>
        <w:t xml:space="preserve"> it difficult to secure successful prosecutions. Given that all these regulators ha</w:t>
      </w:r>
      <w:r w:rsidR="0079568F" w:rsidRPr="00883E1C">
        <w:rPr>
          <w:rFonts w:ascii="Times New Roman" w:hAnsi="Times New Roman"/>
          <w:sz w:val="24"/>
          <w:szCs w:val="24"/>
        </w:rPr>
        <w:t>d</w:t>
      </w:r>
      <w:r w:rsidRPr="00883E1C">
        <w:rPr>
          <w:rFonts w:ascii="Times New Roman" w:hAnsi="Times New Roman"/>
          <w:sz w:val="24"/>
          <w:szCs w:val="24"/>
        </w:rPr>
        <w:t xml:space="preserve"> stakes in the regulatory game, i</w:t>
      </w:r>
      <w:r w:rsidR="00F229E1" w:rsidRPr="00883E1C">
        <w:rPr>
          <w:rFonts w:ascii="Times New Roman" w:hAnsi="Times New Roman"/>
          <w:sz w:val="24"/>
          <w:szCs w:val="24"/>
        </w:rPr>
        <w:t xml:space="preserve">t </w:t>
      </w:r>
      <w:r w:rsidR="0079568F" w:rsidRPr="00883E1C">
        <w:rPr>
          <w:rFonts w:ascii="Times New Roman" w:hAnsi="Times New Roman"/>
          <w:sz w:val="24"/>
          <w:szCs w:val="24"/>
        </w:rPr>
        <w:t>was</w:t>
      </w:r>
      <w:r w:rsidR="00F229E1" w:rsidRPr="00883E1C">
        <w:rPr>
          <w:rFonts w:ascii="Times New Roman" w:hAnsi="Times New Roman"/>
          <w:sz w:val="24"/>
          <w:szCs w:val="24"/>
        </w:rPr>
        <w:t xml:space="preserve"> inevitable that the</w:t>
      </w:r>
      <w:r w:rsidRPr="00883E1C">
        <w:rPr>
          <w:rFonts w:ascii="Times New Roman" w:hAnsi="Times New Roman"/>
          <w:sz w:val="24"/>
          <w:szCs w:val="24"/>
        </w:rPr>
        <w:t>y</w:t>
      </w:r>
      <w:r w:rsidR="00F229E1" w:rsidRPr="00883E1C">
        <w:rPr>
          <w:rFonts w:ascii="Times New Roman" w:hAnsi="Times New Roman"/>
          <w:sz w:val="24"/>
          <w:szCs w:val="24"/>
        </w:rPr>
        <w:t xml:space="preserve"> w</w:t>
      </w:r>
      <w:r w:rsidR="0079568F" w:rsidRPr="00883E1C">
        <w:rPr>
          <w:rFonts w:ascii="Times New Roman" w:hAnsi="Times New Roman"/>
          <w:sz w:val="24"/>
          <w:szCs w:val="24"/>
        </w:rPr>
        <w:t>ould</w:t>
      </w:r>
      <w:r w:rsidR="00F229E1" w:rsidRPr="00883E1C">
        <w:rPr>
          <w:rFonts w:ascii="Times New Roman" w:hAnsi="Times New Roman"/>
          <w:sz w:val="24"/>
          <w:szCs w:val="24"/>
        </w:rPr>
        <w:t xml:space="preserve"> try to protect their turf and only handle cases that belong</w:t>
      </w:r>
      <w:r w:rsidR="0079568F" w:rsidRPr="00883E1C">
        <w:rPr>
          <w:rFonts w:ascii="Times New Roman" w:hAnsi="Times New Roman"/>
          <w:sz w:val="24"/>
          <w:szCs w:val="24"/>
        </w:rPr>
        <w:t>ed</w:t>
      </w:r>
      <w:r w:rsidR="00F229E1" w:rsidRPr="00883E1C">
        <w:rPr>
          <w:rFonts w:ascii="Times New Roman" w:hAnsi="Times New Roman"/>
          <w:sz w:val="24"/>
          <w:szCs w:val="24"/>
        </w:rPr>
        <w:t xml:space="preserve"> to them. Consider the following excerpt from one of the IDA’s interviewees:</w:t>
      </w:r>
    </w:p>
    <w:p w:rsidR="00F229E1" w:rsidRPr="00883E1C" w:rsidRDefault="00F229E1" w:rsidP="00F229E1">
      <w:pPr>
        <w:widowControl/>
        <w:spacing w:after="0" w:line="240" w:lineRule="auto"/>
        <w:ind w:left="284" w:right="284"/>
        <w:rPr>
          <w:rFonts w:ascii="Times New Roman" w:hAnsi="Times New Roman"/>
          <w:sz w:val="24"/>
          <w:szCs w:val="24"/>
        </w:rPr>
      </w:pPr>
      <w:r w:rsidRPr="00883E1C">
        <w:rPr>
          <w:rFonts w:ascii="Times New Roman" w:hAnsi="Times New Roman"/>
          <w:sz w:val="24"/>
          <w:szCs w:val="24"/>
        </w:rPr>
        <w:t xml:space="preserve">The IDA does an investigation and you have a bunch of market participants that fall outside our jurisdiction and then at the end of the day we take disciplinary action against our broker, but the commission has no appetite to chase those guys. Then we go to our hearing, a natural question for one of the hearing panelists is ‘what’s happening over here?’ ‘Nothing.’ ‘Oh nothing. Well if nothing is happening over here then why is this so serious?’ So you’re not getting the total picture. (IDA #2: 5-6: as cited in Williams, 2012: 77). </w:t>
      </w:r>
    </w:p>
    <w:p w:rsidR="009065D1" w:rsidRPr="00883E1C" w:rsidRDefault="009065D1" w:rsidP="00092A24">
      <w:pPr>
        <w:widowControl/>
        <w:rPr>
          <w:rFonts w:ascii="Times New Roman" w:hAnsi="Times New Roman"/>
          <w:sz w:val="24"/>
          <w:szCs w:val="24"/>
        </w:rPr>
      </w:pPr>
    </w:p>
    <w:p w:rsidR="009065D1" w:rsidRPr="00883E1C" w:rsidRDefault="009065D1" w:rsidP="00092A24">
      <w:pPr>
        <w:widowControl/>
        <w:rPr>
          <w:rFonts w:ascii="Times New Roman" w:hAnsi="Times New Roman"/>
          <w:sz w:val="24"/>
          <w:szCs w:val="24"/>
        </w:rPr>
      </w:pPr>
      <w:r w:rsidRPr="00883E1C">
        <w:rPr>
          <w:rFonts w:ascii="Times New Roman" w:hAnsi="Times New Roman"/>
          <w:sz w:val="24"/>
          <w:szCs w:val="24"/>
        </w:rPr>
        <w:lastRenderedPageBreak/>
        <w:t>Th</w:t>
      </w:r>
      <w:r w:rsidR="00044866" w:rsidRPr="00883E1C">
        <w:rPr>
          <w:rFonts w:ascii="Times New Roman" w:hAnsi="Times New Roman"/>
          <w:sz w:val="24"/>
          <w:szCs w:val="24"/>
        </w:rPr>
        <w:t>e antecedent effect of this turf</w:t>
      </w:r>
      <w:r w:rsidRPr="00883E1C">
        <w:rPr>
          <w:rFonts w:ascii="Times New Roman" w:hAnsi="Times New Roman"/>
          <w:sz w:val="24"/>
          <w:szCs w:val="24"/>
        </w:rPr>
        <w:t xml:space="preserve"> war </w:t>
      </w:r>
      <w:r w:rsidR="0079568F" w:rsidRPr="00883E1C">
        <w:rPr>
          <w:rFonts w:ascii="Times New Roman" w:hAnsi="Times New Roman"/>
          <w:sz w:val="24"/>
          <w:szCs w:val="24"/>
        </w:rPr>
        <w:t>was</w:t>
      </w:r>
      <w:r w:rsidRPr="00883E1C">
        <w:rPr>
          <w:rFonts w:ascii="Times New Roman" w:hAnsi="Times New Roman"/>
          <w:sz w:val="24"/>
          <w:szCs w:val="24"/>
        </w:rPr>
        <w:t xml:space="preserve"> the balkanization of Canada’s financial market, which s</w:t>
      </w:r>
      <w:r w:rsidR="0079568F" w:rsidRPr="00883E1C">
        <w:rPr>
          <w:rFonts w:ascii="Times New Roman" w:hAnsi="Times New Roman"/>
          <w:sz w:val="24"/>
          <w:szCs w:val="24"/>
        </w:rPr>
        <w:t>aw</w:t>
      </w:r>
      <w:r w:rsidRPr="00883E1C">
        <w:rPr>
          <w:rFonts w:ascii="Times New Roman" w:hAnsi="Times New Roman"/>
          <w:sz w:val="24"/>
          <w:szCs w:val="24"/>
        </w:rPr>
        <w:t xml:space="preserve"> regulators releasing rules that </w:t>
      </w:r>
      <w:r w:rsidR="0079568F" w:rsidRPr="00883E1C">
        <w:rPr>
          <w:rFonts w:ascii="Times New Roman" w:hAnsi="Times New Roman"/>
          <w:sz w:val="24"/>
          <w:szCs w:val="24"/>
        </w:rPr>
        <w:t>were</w:t>
      </w:r>
      <w:r w:rsidRPr="00883E1C">
        <w:rPr>
          <w:rFonts w:ascii="Times New Roman" w:hAnsi="Times New Roman"/>
          <w:sz w:val="24"/>
          <w:szCs w:val="24"/>
        </w:rPr>
        <w:t xml:space="preserve"> contradictory in nature</w:t>
      </w:r>
      <w:r w:rsidR="0079568F" w:rsidRPr="00883E1C">
        <w:rPr>
          <w:rFonts w:ascii="Times New Roman" w:hAnsi="Times New Roman"/>
          <w:sz w:val="24"/>
          <w:szCs w:val="24"/>
        </w:rPr>
        <w:t>,</w:t>
      </w:r>
      <w:r w:rsidRPr="00883E1C">
        <w:rPr>
          <w:rFonts w:ascii="Times New Roman" w:hAnsi="Times New Roman"/>
          <w:sz w:val="24"/>
          <w:szCs w:val="24"/>
        </w:rPr>
        <w:t xml:space="preserve"> making it difficult for market participants to be compl</w:t>
      </w:r>
      <w:r w:rsidR="0079568F" w:rsidRPr="00883E1C">
        <w:rPr>
          <w:rFonts w:ascii="Times New Roman" w:hAnsi="Times New Roman"/>
          <w:sz w:val="24"/>
          <w:szCs w:val="24"/>
        </w:rPr>
        <w:t>iant</w:t>
      </w:r>
      <w:r w:rsidRPr="00883E1C">
        <w:rPr>
          <w:rFonts w:ascii="Times New Roman" w:hAnsi="Times New Roman"/>
          <w:sz w:val="24"/>
          <w:szCs w:val="24"/>
        </w:rPr>
        <w:t xml:space="preserve"> with them. Overlapping jurisdiction ha</w:t>
      </w:r>
      <w:r w:rsidR="0079568F" w:rsidRPr="00883E1C">
        <w:rPr>
          <w:rFonts w:ascii="Times New Roman" w:hAnsi="Times New Roman"/>
          <w:sz w:val="24"/>
          <w:szCs w:val="24"/>
        </w:rPr>
        <w:t>d</w:t>
      </w:r>
      <w:r w:rsidRPr="00883E1C">
        <w:rPr>
          <w:rFonts w:ascii="Times New Roman" w:hAnsi="Times New Roman"/>
          <w:sz w:val="24"/>
          <w:szCs w:val="24"/>
        </w:rPr>
        <w:t xml:space="preserve"> given rise to a governance structure where multiple version</w:t>
      </w:r>
      <w:r w:rsidR="0079568F" w:rsidRPr="00883E1C">
        <w:rPr>
          <w:rFonts w:ascii="Times New Roman" w:hAnsi="Times New Roman"/>
          <w:sz w:val="24"/>
          <w:szCs w:val="24"/>
        </w:rPr>
        <w:t>s</w:t>
      </w:r>
      <w:r w:rsidRPr="00883E1C">
        <w:rPr>
          <w:rFonts w:ascii="Times New Roman" w:hAnsi="Times New Roman"/>
          <w:sz w:val="24"/>
          <w:szCs w:val="24"/>
        </w:rPr>
        <w:t xml:space="preserve"> of rules </w:t>
      </w:r>
      <w:r w:rsidR="0079568F" w:rsidRPr="00883E1C">
        <w:rPr>
          <w:rFonts w:ascii="Times New Roman" w:hAnsi="Times New Roman"/>
          <w:sz w:val="24"/>
          <w:szCs w:val="24"/>
        </w:rPr>
        <w:t>were</w:t>
      </w:r>
      <w:r w:rsidRPr="00883E1C">
        <w:rPr>
          <w:rFonts w:ascii="Times New Roman" w:hAnsi="Times New Roman"/>
          <w:sz w:val="24"/>
          <w:szCs w:val="24"/>
        </w:rPr>
        <w:t xml:space="preserve"> created on the same issue and released by both SROs and centralized regulators, each with regulatory stakes in the market</w:t>
      </w:r>
      <w:r w:rsidR="0079568F" w:rsidRPr="00883E1C">
        <w:rPr>
          <w:rFonts w:ascii="Times New Roman" w:hAnsi="Times New Roman"/>
          <w:sz w:val="24"/>
          <w:szCs w:val="24"/>
        </w:rPr>
        <w:t>.</w:t>
      </w:r>
    </w:p>
    <w:p w:rsidR="00F229E1" w:rsidRPr="00883E1C" w:rsidRDefault="001A4E54" w:rsidP="00FB6E9F">
      <w:pPr>
        <w:widowControl/>
        <w:ind w:firstLine="720"/>
        <w:rPr>
          <w:rFonts w:ascii="Times New Roman" w:hAnsi="Times New Roman"/>
        </w:rPr>
      </w:pPr>
      <w:r w:rsidRPr="00883E1C">
        <w:rPr>
          <w:rFonts w:ascii="Times New Roman" w:hAnsi="Times New Roman"/>
          <w:sz w:val="24"/>
          <w:szCs w:val="24"/>
        </w:rPr>
        <w:t>Together, these</w:t>
      </w:r>
      <w:r w:rsidR="00F229E1" w:rsidRPr="00883E1C">
        <w:rPr>
          <w:rFonts w:ascii="Times New Roman" w:hAnsi="Times New Roman"/>
          <w:sz w:val="24"/>
          <w:szCs w:val="24"/>
        </w:rPr>
        <w:t xml:space="preserve"> limiting effects </w:t>
      </w:r>
      <w:r w:rsidR="0079568F" w:rsidRPr="00883E1C">
        <w:rPr>
          <w:rFonts w:ascii="Times New Roman" w:hAnsi="Times New Roman"/>
          <w:sz w:val="24"/>
          <w:szCs w:val="24"/>
        </w:rPr>
        <w:t>were</w:t>
      </w:r>
      <w:r w:rsidR="00F229E1" w:rsidRPr="00883E1C">
        <w:rPr>
          <w:rFonts w:ascii="Times New Roman" w:hAnsi="Times New Roman"/>
          <w:sz w:val="24"/>
          <w:szCs w:val="24"/>
        </w:rPr>
        <w:t xml:space="preserve"> among the reasons why the nature of the complaints changed, as the cases moved from the Case Assessment Group to Investigations. As mentioned before, the top four complaints handled by the Case Assessment Group were unauthorized and discretionary trading, unsuitable investments, misrepresentation and service issues (</w:t>
      </w:r>
      <w:r w:rsidR="00990B4B" w:rsidRPr="00883E1C">
        <w:rPr>
          <w:rFonts w:ascii="Times New Roman" w:hAnsi="Times New Roman"/>
          <w:sz w:val="24"/>
          <w:szCs w:val="24"/>
        </w:rPr>
        <w:t>see Table 1-2</w:t>
      </w:r>
      <w:r w:rsidR="00F229E1" w:rsidRPr="00883E1C">
        <w:rPr>
          <w:rFonts w:ascii="Times New Roman" w:hAnsi="Times New Roman"/>
          <w:sz w:val="24"/>
          <w:szCs w:val="24"/>
        </w:rPr>
        <w:t xml:space="preserve">).  As can be seen in Table </w:t>
      </w:r>
      <w:r w:rsidR="00E51121" w:rsidRPr="00883E1C">
        <w:rPr>
          <w:rFonts w:ascii="Times New Roman" w:hAnsi="Times New Roman"/>
          <w:sz w:val="24"/>
          <w:szCs w:val="24"/>
        </w:rPr>
        <w:t>1-5</w:t>
      </w:r>
      <w:r w:rsidR="00F229E1" w:rsidRPr="00883E1C">
        <w:rPr>
          <w:rFonts w:ascii="Times New Roman" w:hAnsi="Times New Roman"/>
          <w:sz w:val="24"/>
          <w:szCs w:val="24"/>
        </w:rPr>
        <w:t xml:space="preserve"> below, while unauthorized and discretionary trading and unsuitable investments remained in the top four, they were no longer the top two complaints dealt with by the Investigation staff throughout the six year period.  Rather, the top two complaints for each year were a mixed bag comprised of unauthorized and discretionary trading and unsuitable investments, as well as issues related to supervision, inappropriate personal financial dealings and theft and fraudulent activities. Other complaints that made up the top four that were sent to investigation were forgery, manipulation and wash trading, and conflict of interest. Noticeably missing from the top four complaints were misrepresentation and service related complaints. Since service related complaints are not seen as regulatory issues by the IDA, it is expected that they would not make it through to the Investigation unit. Misrepresentation of facts to clients, on the other hand, is seen as a regulatory issue and constitutes one of the regulatory offences under the IDA's Sanction Guidelines (see IDA, 2006: 46). One can only speculate that complaints regarding misrepresentation were disposed of at the case assessment stage, either because there was not enough evidence to build a case or the matters were classified </w:t>
      </w:r>
      <w:r w:rsidR="00F229E1" w:rsidRPr="00883E1C">
        <w:rPr>
          <w:rFonts w:ascii="Times New Roman" w:hAnsi="Times New Roman"/>
          <w:sz w:val="24"/>
          <w:szCs w:val="24"/>
        </w:rPr>
        <w:lastRenderedPageBreak/>
        <w:t xml:space="preserve">as technical breaches with no harm to investors and closed with a cautionary letter (see IDA, 2008: 9). </w:t>
      </w:r>
    </w:p>
    <w:p w:rsidR="00F229E1" w:rsidRPr="00883E1C" w:rsidRDefault="00F229E1" w:rsidP="00F229E1">
      <w:pPr>
        <w:keepNext/>
        <w:tabs>
          <w:tab w:val="left" w:pos="720"/>
        </w:tabs>
        <w:autoSpaceDE w:val="0"/>
        <w:autoSpaceDN w:val="0"/>
        <w:adjustRightInd w:val="0"/>
        <w:spacing w:line="240" w:lineRule="auto"/>
        <w:rPr>
          <w:rFonts w:ascii="Times New Roman" w:hAnsi="Times New Roman"/>
          <w:b/>
          <w:sz w:val="24"/>
          <w:szCs w:val="24"/>
        </w:rPr>
      </w:pPr>
      <w:bookmarkStart w:id="68" w:name="_Toc329241707"/>
      <w:r w:rsidRPr="00883E1C">
        <w:rPr>
          <w:rFonts w:ascii="Times New Roman" w:hAnsi="Times New Roman"/>
          <w:b/>
          <w:sz w:val="24"/>
          <w:szCs w:val="24"/>
        </w:rPr>
        <w:t>Table 1</w:t>
      </w:r>
      <w:r w:rsidRPr="00883E1C">
        <w:rPr>
          <w:rFonts w:ascii="Times New Roman" w:hAnsi="Times New Roman"/>
          <w:b/>
          <w:sz w:val="24"/>
          <w:szCs w:val="24"/>
        </w:rPr>
        <w:noBreakHyphen/>
      </w:r>
      <w:r w:rsidR="00E51121" w:rsidRPr="00883E1C">
        <w:rPr>
          <w:rFonts w:ascii="Times New Roman" w:hAnsi="Times New Roman"/>
          <w:b/>
          <w:sz w:val="24"/>
          <w:szCs w:val="24"/>
        </w:rPr>
        <w:t>5</w:t>
      </w:r>
      <w:r w:rsidRPr="00883E1C">
        <w:rPr>
          <w:rFonts w:ascii="Times New Roman" w:hAnsi="Times New Roman"/>
          <w:b/>
          <w:sz w:val="24"/>
          <w:szCs w:val="24"/>
        </w:rPr>
        <w:tab/>
        <w:t>Top Four Issues Referred to Investigation from 2003-2007</w:t>
      </w:r>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
        <w:gridCol w:w="1735"/>
        <w:gridCol w:w="2014"/>
        <w:gridCol w:w="1980"/>
        <w:gridCol w:w="1973"/>
      </w:tblGrid>
      <w:tr w:rsidR="00883E1C" w:rsidRPr="00883E1C" w:rsidTr="00E51121">
        <w:trPr>
          <w:trHeight w:val="300"/>
          <w:tblHeader/>
        </w:trPr>
        <w:tc>
          <w:tcPr>
            <w:tcW w:w="859" w:type="dxa"/>
            <w:noWrap/>
            <w:hideMark/>
          </w:tcPr>
          <w:p w:rsidR="00F229E1" w:rsidRPr="00883E1C" w:rsidRDefault="00F229E1" w:rsidP="00F229E1">
            <w:pPr>
              <w:keepNext/>
              <w:spacing w:after="0" w:line="240" w:lineRule="auto"/>
              <w:rPr>
                <w:rFonts w:ascii="Times New Roman" w:hAnsi="Times New Roman"/>
                <w:b/>
                <w:sz w:val="24"/>
                <w:szCs w:val="24"/>
              </w:rPr>
            </w:pPr>
            <w:r w:rsidRPr="00883E1C">
              <w:rPr>
                <w:rFonts w:ascii="Times New Roman" w:hAnsi="Times New Roman"/>
                <w:b/>
                <w:sz w:val="24"/>
                <w:szCs w:val="24"/>
              </w:rPr>
              <w:t>Year</w:t>
            </w:r>
          </w:p>
        </w:tc>
        <w:tc>
          <w:tcPr>
            <w:tcW w:w="1735" w:type="dxa"/>
            <w:noWrap/>
            <w:hideMark/>
          </w:tcPr>
          <w:p w:rsidR="00F229E1" w:rsidRPr="00883E1C" w:rsidRDefault="00F229E1" w:rsidP="00F229E1">
            <w:pPr>
              <w:keepNext/>
              <w:spacing w:after="0" w:line="240" w:lineRule="auto"/>
              <w:rPr>
                <w:rFonts w:ascii="Times New Roman" w:hAnsi="Times New Roman"/>
                <w:b/>
                <w:sz w:val="24"/>
                <w:szCs w:val="24"/>
              </w:rPr>
            </w:pPr>
            <w:r w:rsidRPr="00883E1C">
              <w:rPr>
                <w:rFonts w:ascii="Times New Roman" w:hAnsi="Times New Roman"/>
                <w:b/>
                <w:sz w:val="24"/>
                <w:szCs w:val="24"/>
              </w:rPr>
              <w:t>1</w:t>
            </w:r>
          </w:p>
        </w:tc>
        <w:tc>
          <w:tcPr>
            <w:tcW w:w="2014" w:type="dxa"/>
            <w:noWrap/>
            <w:hideMark/>
          </w:tcPr>
          <w:p w:rsidR="00F229E1" w:rsidRPr="00883E1C" w:rsidRDefault="00F229E1" w:rsidP="00F229E1">
            <w:pPr>
              <w:keepNext/>
              <w:spacing w:after="0" w:line="240" w:lineRule="auto"/>
              <w:rPr>
                <w:rFonts w:ascii="Times New Roman" w:hAnsi="Times New Roman"/>
                <w:b/>
                <w:sz w:val="24"/>
                <w:szCs w:val="24"/>
              </w:rPr>
            </w:pPr>
            <w:r w:rsidRPr="00883E1C">
              <w:rPr>
                <w:rFonts w:ascii="Times New Roman" w:hAnsi="Times New Roman"/>
                <w:b/>
                <w:sz w:val="24"/>
                <w:szCs w:val="24"/>
              </w:rPr>
              <w:t>2</w:t>
            </w:r>
          </w:p>
        </w:tc>
        <w:tc>
          <w:tcPr>
            <w:tcW w:w="1980" w:type="dxa"/>
            <w:noWrap/>
            <w:hideMark/>
          </w:tcPr>
          <w:p w:rsidR="00F229E1" w:rsidRPr="00883E1C" w:rsidRDefault="00F229E1" w:rsidP="00F229E1">
            <w:pPr>
              <w:keepNext/>
              <w:spacing w:after="0" w:line="240" w:lineRule="auto"/>
              <w:rPr>
                <w:rFonts w:ascii="Times New Roman" w:hAnsi="Times New Roman"/>
                <w:b/>
                <w:sz w:val="24"/>
                <w:szCs w:val="24"/>
              </w:rPr>
            </w:pPr>
            <w:r w:rsidRPr="00883E1C">
              <w:rPr>
                <w:rFonts w:ascii="Times New Roman" w:hAnsi="Times New Roman"/>
                <w:b/>
                <w:sz w:val="24"/>
                <w:szCs w:val="24"/>
              </w:rPr>
              <w:t>3</w:t>
            </w:r>
          </w:p>
        </w:tc>
        <w:tc>
          <w:tcPr>
            <w:tcW w:w="1973" w:type="dxa"/>
            <w:noWrap/>
            <w:hideMark/>
          </w:tcPr>
          <w:p w:rsidR="00F229E1" w:rsidRPr="00883E1C" w:rsidRDefault="00F229E1" w:rsidP="00F229E1">
            <w:pPr>
              <w:keepNext/>
              <w:spacing w:after="0" w:line="240" w:lineRule="auto"/>
              <w:rPr>
                <w:rFonts w:ascii="Times New Roman" w:hAnsi="Times New Roman"/>
                <w:b/>
                <w:sz w:val="24"/>
                <w:szCs w:val="24"/>
              </w:rPr>
            </w:pPr>
            <w:r w:rsidRPr="00883E1C">
              <w:rPr>
                <w:rFonts w:ascii="Times New Roman" w:hAnsi="Times New Roman"/>
                <w:b/>
                <w:sz w:val="24"/>
                <w:szCs w:val="24"/>
              </w:rPr>
              <w:t>4</w:t>
            </w:r>
          </w:p>
        </w:tc>
      </w:tr>
      <w:tr w:rsidR="00883E1C" w:rsidRPr="00883E1C" w:rsidTr="00E51121">
        <w:trPr>
          <w:trHeight w:val="300"/>
        </w:trPr>
        <w:tc>
          <w:tcPr>
            <w:tcW w:w="859" w:type="dxa"/>
            <w:noWrap/>
            <w:hideMark/>
          </w:tcPr>
          <w:p w:rsidR="00F229E1" w:rsidRPr="00883E1C" w:rsidRDefault="00F229E1" w:rsidP="00F229E1">
            <w:pPr>
              <w:keepNext/>
              <w:spacing w:after="0" w:line="240" w:lineRule="auto"/>
              <w:rPr>
                <w:rFonts w:ascii="Times New Roman" w:hAnsi="Times New Roman"/>
                <w:b/>
                <w:sz w:val="24"/>
                <w:szCs w:val="24"/>
              </w:rPr>
            </w:pPr>
            <w:r w:rsidRPr="00883E1C">
              <w:rPr>
                <w:rFonts w:ascii="Times New Roman" w:hAnsi="Times New Roman"/>
                <w:b/>
                <w:sz w:val="24"/>
                <w:szCs w:val="24"/>
              </w:rPr>
              <w:t>2003</w:t>
            </w:r>
          </w:p>
        </w:tc>
        <w:tc>
          <w:tcPr>
            <w:tcW w:w="1735" w:type="dxa"/>
            <w:noWrap/>
            <w:hideMark/>
          </w:tcPr>
          <w:p w:rsidR="00F229E1" w:rsidRPr="00883E1C" w:rsidRDefault="00F229E1" w:rsidP="00F229E1">
            <w:pPr>
              <w:keepNext/>
              <w:spacing w:after="0" w:line="240" w:lineRule="auto"/>
              <w:rPr>
                <w:rFonts w:ascii="Times New Roman" w:hAnsi="Times New Roman"/>
                <w:sz w:val="24"/>
                <w:szCs w:val="24"/>
              </w:rPr>
            </w:pPr>
            <w:r w:rsidRPr="00883E1C">
              <w:rPr>
                <w:rFonts w:ascii="Times New Roman" w:hAnsi="Times New Roman"/>
                <w:sz w:val="24"/>
                <w:szCs w:val="24"/>
              </w:rPr>
              <w:t>Unsuitable Investments</w:t>
            </w:r>
          </w:p>
        </w:tc>
        <w:tc>
          <w:tcPr>
            <w:tcW w:w="2014" w:type="dxa"/>
            <w:noWrap/>
            <w:hideMark/>
          </w:tcPr>
          <w:p w:rsidR="00F229E1" w:rsidRPr="00883E1C" w:rsidRDefault="00F229E1" w:rsidP="00F229E1">
            <w:pPr>
              <w:keepNext/>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c>
          <w:tcPr>
            <w:tcW w:w="1980" w:type="dxa"/>
            <w:noWrap/>
            <w:hideMark/>
          </w:tcPr>
          <w:p w:rsidR="00F229E1" w:rsidRPr="00883E1C" w:rsidRDefault="00F229E1" w:rsidP="00F229E1">
            <w:pPr>
              <w:keepNext/>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1973" w:type="dxa"/>
            <w:noWrap/>
            <w:hideMark/>
          </w:tcPr>
          <w:p w:rsidR="00F229E1" w:rsidRPr="00883E1C" w:rsidRDefault="00F229E1" w:rsidP="00F229E1">
            <w:pPr>
              <w:keepNext/>
              <w:spacing w:after="0" w:line="240" w:lineRule="auto"/>
              <w:rPr>
                <w:rFonts w:ascii="Times New Roman" w:hAnsi="Times New Roman"/>
                <w:sz w:val="24"/>
                <w:szCs w:val="24"/>
              </w:rPr>
            </w:pPr>
            <w:r w:rsidRPr="00883E1C">
              <w:rPr>
                <w:rFonts w:ascii="Times New Roman" w:hAnsi="Times New Roman"/>
                <w:sz w:val="24"/>
                <w:szCs w:val="24"/>
              </w:rPr>
              <w:t>Falsification/</w:t>
            </w:r>
          </w:p>
          <w:p w:rsidR="00F229E1" w:rsidRPr="00883E1C" w:rsidRDefault="00F229E1" w:rsidP="00F229E1">
            <w:pPr>
              <w:keepNext/>
              <w:spacing w:after="0" w:line="240" w:lineRule="auto"/>
              <w:rPr>
                <w:rFonts w:ascii="Times New Roman" w:hAnsi="Times New Roman"/>
                <w:sz w:val="24"/>
                <w:szCs w:val="24"/>
              </w:rPr>
            </w:pPr>
            <w:r w:rsidRPr="00883E1C">
              <w:rPr>
                <w:rFonts w:ascii="Times New Roman" w:hAnsi="Times New Roman"/>
                <w:sz w:val="24"/>
                <w:szCs w:val="24"/>
              </w:rPr>
              <w:t>forgery</w:t>
            </w:r>
          </w:p>
        </w:tc>
      </w:tr>
      <w:tr w:rsidR="00883E1C" w:rsidRPr="00883E1C" w:rsidTr="00E51121">
        <w:trPr>
          <w:trHeight w:val="300"/>
        </w:trPr>
        <w:tc>
          <w:tcPr>
            <w:tcW w:w="859" w:type="dxa"/>
            <w:shd w:val="clear" w:color="auto" w:fill="auto"/>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2004</w:t>
            </w:r>
          </w:p>
        </w:tc>
        <w:tc>
          <w:tcPr>
            <w:tcW w:w="1735"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2014"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Inappropriate personal financial dealings</w:t>
            </w:r>
          </w:p>
        </w:tc>
        <w:tc>
          <w:tcPr>
            <w:tcW w:w="198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c>
          <w:tcPr>
            <w:tcW w:w="1973"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 </w:t>
            </w:r>
          </w:p>
        </w:tc>
      </w:tr>
      <w:tr w:rsidR="00883E1C" w:rsidRPr="00883E1C" w:rsidTr="00E51121">
        <w:trPr>
          <w:trHeight w:val="300"/>
        </w:trPr>
        <w:tc>
          <w:tcPr>
            <w:tcW w:w="859" w:type="dxa"/>
            <w:shd w:val="clear" w:color="auto" w:fill="auto"/>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2005</w:t>
            </w:r>
          </w:p>
        </w:tc>
        <w:tc>
          <w:tcPr>
            <w:tcW w:w="1735"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2014"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Unsuitable investments</w:t>
            </w:r>
          </w:p>
        </w:tc>
        <w:tc>
          <w:tcPr>
            <w:tcW w:w="198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c>
          <w:tcPr>
            <w:tcW w:w="1973"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Manipulation and wash trading</w:t>
            </w:r>
          </w:p>
        </w:tc>
      </w:tr>
      <w:tr w:rsidR="00883E1C" w:rsidRPr="00883E1C" w:rsidTr="00E51121">
        <w:trPr>
          <w:trHeight w:val="300"/>
        </w:trPr>
        <w:tc>
          <w:tcPr>
            <w:tcW w:w="859" w:type="dxa"/>
            <w:shd w:val="clear" w:color="auto" w:fill="auto"/>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2006</w:t>
            </w:r>
          </w:p>
        </w:tc>
        <w:tc>
          <w:tcPr>
            <w:tcW w:w="1735"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2014"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Theft and fraudulent activities</w:t>
            </w:r>
          </w:p>
        </w:tc>
        <w:tc>
          <w:tcPr>
            <w:tcW w:w="198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Unsuitable investments</w:t>
            </w:r>
          </w:p>
        </w:tc>
        <w:tc>
          <w:tcPr>
            <w:tcW w:w="1973"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r>
      <w:tr w:rsidR="00883E1C" w:rsidRPr="00883E1C" w:rsidTr="00E51121">
        <w:trPr>
          <w:trHeight w:val="300"/>
        </w:trPr>
        <w:tc>
          <w:tcPr>
            <w:tcW w:w="859" w:type="dxa"/>
            <w:shd w:val="clear" w:color="auto" w:fill="auto"/>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2007</w:t>
            </w:r>
          </w:p>
        </w:tc>
        <w:tc>
          <w:tcPr>
            <w:tcW w:w="1735"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2014"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c>
          <w:tcPr>
            <w:tcW w:w="198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Conflict of Interest</w:t>
            </w:r>
          </w:p>
        </w:tc>
        <w:tc>
          <w:tcPr>
            <w:tcW w:w="1973"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Unsuitable investments</w:t>
            </w:r>
          </w:p>
        </w:tc>
      </w:tr>
    </w:tbl>
    <w:p w:rsidR="00F229E1" w:rsidRPr="00883E1C" w:rsidRDefault="001B393A" w:rsidP="00F229E1">
      <w:pPr>
        <w:keepNext/>
        <w:keepLines/>
        <w:spacing w:before="200" w:after="360" w:line="240" w:lineRule="auto"/>
        <w:outlineLvl w:val="1"/>
        <w:rPr>
          <w:rFonts w:ascii="Times New Roman" w:hAnsi="Times New Roman"/>
          <w:bCs/>
          <w:i/>
          <w:sz w:val="24"/>
          <w:szCs w:val="24"/>
        </w:rPr>
      </w:pPr>
      <w:bookmarkStart w:id="69" w:name="_Toc271724846"/>
      <w:bookmarkStart w:id="70" w:name="_Toc271727045"/>
      <w:bookmarkStart w:id="71" w:name="_Toc271727211"/>
      <w:bookmarkStart w:id="72" w:name="_Toc271727413"/>
      <w:bookmarkStart w:id="73" w:name="_Toc271733407"/>
      <w:bookmarkStart w:id="74" w:name="_Toc275444268"/>
      <w:bookmarkStart w:id="75" w:name="_Toc276469240"/>
      <w:bookmarkStart w:id="76" w:name="_Toc297710271"/>
      <w:bookmarkStart w:id="77" w:name="_Toc297720350"/>
      <w:bookmarkStart w:id="78" w:name="_Toc300859219"/>
      <w:bookmarkStart w:id="79" w:name="_Toc314667661"/>
      <w:bookmarkStart w:id="80" w:name="_Toc329241624"/>
      <w:r w:rsidRPr="00883E1C">
        <w:rPr>
          <w:rFonts w:ascii="Times New Roman" w:hAnsi="Times New Roman"/>
          <w:bCs/>
          <w:i/>
          <w:sz w:val="24"/>
          <w:szCs w:val="24"/>
        </w:rPr>
        <w:t xml:space="preserve">5.2.3. </w:t>
      </w:r>
      <w:r w:rsidR="00F229E1" w:rsidRPr="00883E1C">
        <w:rPr>
          <w:rFonts w:ascii="Times New Roman" w:hAnsi="Times New Roman"/>
          <w:bCs/>
          <w:i/>
          <w:sz w:val="24"/>
          <w:szCs w:val="24"/>
        </w:rPr>
        <w:t>IDA Internal Prosecution</w:t>
      </w:r>
      <w:bookmarkEnd w:id="69"/>
      <w:bookmarkEnd w:id="70"/>
      <w:bookmarkEnd w:id="71"/>
      <w:bookmarkEnd w:id="72"/>
      <w:bookmarkEnd w:id="73"/>
      <w:bookmarkEnd w:id="74"/>
      <w:bookmarkEnd w:id="75"/>
      <w:bookmarkEnd w:id="76"/>
      <w:bookmarkEnd w:id="77"/>
      <w:bookmarkEnd w:id="78"/>
      <w:bookmarkEnd w:id="79"/>
      <w:bookmarkEnd w:id="80"/>
      <w:r w:rsidR="00F229E1" w:rsidRPr="00883E1C">
        <w:rPr>
          <w:rFonts w:ascii="Times New Roman" w:hAnsi="Times New Roman"/>
          <w:bCs/>
          <w:i/>
          <w:sz w:val="24"/>
          <w:szCs w:val="24"/>
        </w:rPr>
        <w:t xml:space="preserve"> </w:t>
      </w:r>
    </w:p>
    <w:p w:rsidR="00F229E1" w:rsidRPr="00883E1C" w:rsidRDefault="00F229E1" w:rsidP="00F229E1">
      <w:pPr>
        <w:widowControl/>
        <w:ind w:firstLine="720"/>
        <w:rPr>
          <w:rFonts w:ascii="Times New Roman" w:hAnsi="Times New Roman"/>
          <w:sz w:val="24"/>
          <w:szCs w:val="24"/>
        </w:rPr>
      </w:pPr>
      <w:r w:rsidRPr="00883E1C">
        <w:rPr>
          <w:rFonts w:ascii="Times New Roman" w:hAnsi="Times New Roman"/>
          <w:sz w:val="24"/>
          <w:szCs w:val="24"/>
        </w:rPr>
        <w:t xml:space="preserve">Files referred from Investigations </w:t>
      </w:r>
      <w:r w:rsidR="00BF607E" w:rsidRPr="00883E1C">
        <w:rPr>
          <w:rFonts w:ascii="Times New Roman" w:hAnsi="Times New Roman"/>
          <w:sz w:val="24"/>
          <w:szCs w:val="24"/>
        </w:rPr>
        <w:t>were</w:t>
      </w:r>
      <w:r w:rsidRPr="00883E1C">
        <w:rPr>
          <w:rFonts w:ascii="Times New Roman" w:hAnsi="Times New Roman"/>
          <w:sz w:val="24"/>
          <w:szCs w:val="24"/>
        </w:rPr>
        <w:t xml:space="preserve"> then reviewed by the IDA’s Enforc</w:t>
      </w:r>
      <w:r w:rsidR="00714EA5" w:rsidRPr="00883E1C">
        <w:rPr>
          <w:rFonts w:ascii="Times New Roman" w:hAnsi="Times New Roman"/>
          <w:sz w:val="24"/>
          <w:szCs w:val="24"/>
        </w:rPr>
        <w:t>ement Counsel.</w:t>
      </w:r>
      <w:r w:rsidRPr="00883E1C">
        <w:rPr>
          <w:rFonts w:ascii="Times New Roman" w:hAnsi="Times New Roman"/>
          <w:sz w:val="24"/>
          <w:szCs w:val="24"/>
        </w:rPr>
        <w:t xml:space="preserve"> Once Enforcement staff determine</w:t>
      </w:r>
      <w:r w:rsidR="00BF607E" w:rsidRPr="00883E1C">
        <w:rPr>
          <w:rFonts w:ascii="Times New Roman" w:hAnsi="Times New Roman"/>
          <w:sz w:val="24"/>
          <w:szCs w:val="24"/>
        </w:rPr>
        <w:t>d</w:t>
      </w:r>
      <w:r w:rsidRPr="00883E1C">
        <w:rPr>
          <w:rFonts w:ascii="Times New Roman" w:hAnsi="Times New Roman"/>
          <w:sz w:val="24"/>
          <w:szCs w:val="24"/>
        </w:rPr>
        <w:t xml:space="preserve"> that there ha</w:t>
      </w:r>
      <w:r w:rsidR="00BF607E" w:rsidRPr="00883E1C">
        <w:rPr>
          <w:rFonts w:ascii="Times New Roman" w:hAnsi="Times New Roman"/>
          <w:sz w:val="24"/>
          <w:szCs w:val="24"/>
        </w:rPr>
        <w:t>d</w:t>
      </w:r>
      <w:r w:rsidRPr="00883E1C">
        <w:rPr>
          <w:rFonts w:ascii="Times New Roman" w:hAnsi="Times New Roman"/>
          <w:sz w:val="24"/>
          <w:szCs w:val="24"/>
        </w:rPr>
        <w:t xml:space="preserve"> been a breach in the IDA’s rules that warrant</w:t>
      </w:r>
      <w:r w:rsidR="00BF607E" w:rsidRPr="00883E1C">
        <w:rPr>
          <w:rFonts w:ascii="Times New Roman" w:hAnsi="Times New Roman"/>
          <w:sz w:val="24"/>
          <w:szCs w:val="24"/>
        </w:rPr>
        <w:t>ed</w:t>
      </w:r>
      <w:r w:rsidRPr="00883E1C">
        <w:rPr>
          <w:rFonts w:ascii="Times New Roman" w:hAnsi="Times New Roman"/>
          <w:sz w:val="24"/>
          <w:szCs w:val="24"/>
        </w:rPr>
        <w:t xml:space="preserve"> a disciplinary action, they then prepare</w:t>
      </w:r>
      <w:r w:rsidR="00BF607E" w:rsidRPr="00883E1C">
        <w:rPr>
          <w:rFonts w:ascii="Times New Roman" w:hAnsi="Times New Roman"/>
          <w:sz w:val="24"/>
          <w:szCs w:val="24"/>
        </w:rPr>
        <w:t>d</w:t>
      </w:r>
      <w:r w:rsidRPr="00883E1C">
        <w:rPr>
          <w:rFonts w:ascii="Times New Roman" w:hAnsi="Times New Roman"/>
          <w:sz w:val="24"/>
          <w:szCs w:val="24"/>
        </w:rPr>
        <w:t xml:space="preserve"> the matter for a formal hearing. Cases with insufficient evidence to meet the legal test to prove a case may </w:t>
      </w:r>
      <w:r w:rsidR="00BF607E" w:rsidRPr="00883E1C">
        <w:rPr>
          <w:rFonts w:ascii="Times New Roman" w:hAnsi="Times New Roman"/>
          <w:sz w:val="24"/>
          <w:szCs w:val="24"/>
        </w:rPr>
        <w:t xml:space="preserve">have </w:t>
      </w:r>
      <w:r w:rsidRPr="00883E1C">
        <w:rPr>
          <w:rFonts w:ascii="Times New Roman" w:hAnsi="Times New Roman"/>
          <w:sz w:val="24"/>
          <w:szCs w:val="24"/>
        </w:rPr>
        <w:t>be</w:t>
      </w:r>
      <w:r w:rsidR="00BF607E" w:rsidRPr="00883E1C">
        <w:rPr>
          <w:rFonts w:ascii="Times New Roman" w:hAnsi="Times New Roman"/>
          <w:sz w:val="24"/>
          <w:szCs w:val="24"/>
        </w:rPr>
        <w:t>en</w:t>
      </w:r>
      <w:r w:rsidRPr="00883E1C">
        <w:rPr>
          <w:rFonts w:ascii="Times New Roman" w:hAnsi="Times New Roman"/>
          <w:sz w:val="24"/>
          <w:szCs w:val="24"/>
        </w:rPr>
        <w:t xml:space="preserve"> close</w:t>
      </w:r>
      <w:r w:rsidR="00EC1F27" w:rsidRPr="00883E1C">
        <w:rPr>
          <w:rFonts w:ascii="Times New Roman" w:hAnsi="Times New Roman"/>
          <w:sz w:val="24"/>
          <w:szCs w:val="24"/>
        </w:rPr>
        <w:t>d</w:t>
      </w:r>
      <w:r w:rsidRPr="00883E1C">
        <w:rPr>
          <w:rFonts w:ascii="Times New Roman" w:hAnsi="Times New Roman"/>
          <w:sz w:val="24"/>
          <w:szCs w:val="24"/>
        </w:rPr>
        <w:t xml:space="preserve"> with a warning letter; closed with no further action or referred back to investigation for further </w:t>
      </w:r>
      <w:r w:rsidR="008B1E82" w:rsidRPr="00883E1C">
        <w:rPr>
          <w:rFonts w:ascii="Times New Roman" w:hAnsi="Times New Roman"/>
          <w:sz w:val="24"/>
          <w:szCs w:val="24"/>
        </w:rPr>
        <w:t>inquiries (</w:t>
      </w:r>
      <w:r w:rsidRPr="00883E1C">
        <w:rPr>
          <w:rFonts w:ascii="Times New Roman" w:hAnsi="Times New Roman"/>
          <w:sz w:val="24"/>
          <w:szCs w:val="24"/>
        </w:rPr>
        <w:t>IDA, 2008: 35-36).</w:t>
      </w:r>
    </w:p>
    <w:p w:rsidR="00F229E1" w:rsidRPr="00883E1C" w:rsidRDefault="001B393A" w:rsidP="00F229E1">
      <w:pPr>
        <w:keepNext/>
        <w:keepLines/>
        <w:spacing w:before="200"/>
        <w:outlineLvl w:val="2"/>
        <w:rPr>
          <w:rFonts w:ascii="Times New Roman" w:hAnsi="Times New Roman"/>
          <w:bCs/>
          <w:i/>
          <w:sz w:val="26"/>
          <w:szCs w:val="24"/>
        </w:rPr>
      </w:pPr>
      <w:bookmarkStart w:id="81" w:name="_Toc314667663"/>
      <w:bookmarkStart w:id="82" w:name="_Toc329241625"/>
      <w:bookmarkStart w:id="83" w:name="_Toc271724848"/>
      <w:bookmarkStart w:id="84" w:name="_Toc271727047"/>
      <w:bookmarkStart w:id="85" w:name="_Toc271727213"/>
      <w:bookmarkStart w:id="86" w:name="_Toc271727415"/>
      <w:bookmarkStart w:id="87" w:name="_Toc271733409"/>
      <w:bookmarkStart w:id="88" w:name="_Toc275444271"/>
      <w:r w:rsidRPr="00883E1C">
        <w:rPr>
          <w:rFonts w:ascii="Times New Roman" w:hAnsi="Times New Roman"/>
          <w:bCs/>
          <w:i/>
          <w:sz w:val="26"/>
          <w:szCs w:val="24"/>
        </w:rPr>
        <w:lastRenderedPageBreak/>
        <w:t xml:space="preserve">5.2.4. </w:t>
      </w:r>
      <w:r w:rsidR="00F229E1" w:rsidRPr="00883E1C">
        <w:rPr>
          <w:rFonts w:ascii="Times New Roman" w:hAnsi="Times New Roman"/>
          <w:bCs/>
          <w:i/>
          <w:sz w:val="26"/>
          <w:szCs w:val="24"/>
        </w:rPr>
        <w:t>Prosecution Summary</w:t>
      </w:r>
      <w:bookmarkEnd w:id="81"/>
      <w:bookmarkEnd w:id="82"/>
    </w:p>
    <w:p w:rsidR="00F229E1" w:rsidRPr="00883E1C" w:rsidRDefault="00F229E1" w:rsidP="00F229E1">
      <w:pPr>
        <w:keepNext/>
        <w:tabs>
          <w:tab w:val="left" w:pos="720"/>
        </w:tabs>
        <w:autoSpaceDE w:val="0"/>
        <w:autoSpaceDN w:val="0"/>
        <w:adjustRightInd w:val="0"/>
        <w:spacing w:line="240" w:lineRule="auto"/>
        <w:rPr>
          <w:rFonts w:ascii="Times New Roman" w:hAnsi="Times New Roman"/>
          <w:b/>
          <w:szCs w:val="24"/>
        </w:rPr>
      </w:pPr>
      <w:bookmarkStart w:id="89" w:name="_Toc329241708"/>
      <w:bookmarkEnd w:id="83"/>
      <w:bookmarkEnd w:id="84"/>
      <w:bookmarkEnd w:id="85"/>
      <w:bookmarkEnd w:id="86"/>
      <w:bookmarkEnd w:id="87"/>
      <w:bookmarkEnd w:id="88"/>
      <w:r w:rsidRPr="00883E1C">
        <w:rPr>
          <w:rFonts w:ascii="Times New Roman" w:hAnsi="Times New Roman"/>
          <w:b/>
          <w:szCs w:val="24"/>
        </w:rPr>
        <w:t>Table 1</w:t>
      </w:r>
      <w:r w:rsidRPr="00883E1C">
        <w:rPr>
          <w:rFonts w:ascii="Times New Roman" w:hAnsi="Times New Roman"/>
          <w:b/>
          <w:szCs w:val="24"/>
        </w:rPr>
        <w:noBreakHyphen/>
      </w:r>
      <w:r w:rsidR="00E51121" w:rsidRPr="00883E1C">
        <w:rPr>
          <w:rFonts w:ascii="Times New Roman" w:hAnsi="Times New Roman"/>
          <w:b/>
          <w:szCs w:val="24"/>
        </w:rPr>
        <w:t>6</w:t>
      </w:r>
      <w:r w:rsidRPr="00883E1C">
        <w:rPr>
          <w:rFonts w:ascii="Times New Roman" w:hAnsi="Times New Roman"/>
          <w:b/>
          <w:szCs w:val="24"/>
        </w:rPr>
        <w:tab/>
        <w:t>Results of Cases that were Referred to Enforcement Counsel for Prosecution from 2002-2007</w:t>
      </w:r>
      <w:bookmarkEnd w:id="89"/>
    </w:p>
    <w:tbl>
      <w:tblPr>
        <w:tblW w:w="8560" w:type="dxa"/>
        <w:tblInd w:w="98" w:type="dxa"/>
        <w:tblLayout w:type="fixed"/>
        <w:tblLook w:val="04A0" w:firstRow="1" w:lastRow="0" w:firstColumn="1" w:lastColumn="0" w:noHBand="0" w:noVBand="1"/>
      </w:tblPr>
      <w:tblGrid>
        <w:gridCol w:w="1000"/>
        <w:gridCol w:w="990"/>
        <w:gridCol w:w="900"/>
        <w:gridCol w:w="810"/>
        <w:gridCol w:w="810"/>
        <w:gridCol w:w="900"/>
        <w:gridCol w:w="872"/>
        <w:gridCol w:w="658"/>
        <w:gridCol w:w="810"/>
        <w:gridCol w:w="810"/>
      </w:tblGrid>
      <w:tr w:rsidR="00883E1C" w:rsidRPr="00883E1C" w:rsidTr="00E51121">
        <w:trPr>
          <w:trHeight w:val="315"/>
          <w:tblHead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F229E1" w:rsidRPr="00883E1C" w:rsidRDefault="00F229E1" w:rsidP="00F229E1">
            <w:pPr>
              <w:keepNext/>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c>
          <w:tcPr>
            <w:tcW w:w="990" w:type="dxa"/>
            <w:tcBorders>
              <w:top w:val="single" w:sz="4" w:space="0" w:color="auto"/>
              <w:left w:val="nil"/>
              <w:bottom w:val="single" w:sz="4" w:space="0" w:color="auto"/>
              <w:right w:val="single" w:sz="4" w:space="0" w:color="auto"/>
            </w:tcBorders>
            <w:shd w:val="clear" w:color="auto" w:fill="auto"/>
            <w:noWrap/>
            <w:hideMark/>
          </w:tcPr>
          <w:p w:rsidR="00F229E1" w:rsidRPr="00883E1C" w:rsidRDefault="00F229E1" w:rsidP="00F229E1">
            <w:pPr>
              <w:keepNext/>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c>
          <w:tcPr>
            <w:tcW w:w="900" w:type="dxa"/>
            <w:tcBorders>
              <w:top w:val="single" w:sz="4" w:space="0" w:color="auto"/>
              <w:left w:val="nil"/>
              <w:bottom w:val="single" w:sz="4" w:space="0" w:color="auto"/>
              <w:right w:val="single" w:sz="4" w:space="0" w:color="auto"/>
            </w:tcBorders>
            <w:shd w:val="clear" w:color="auto" w:fill="auto"/>
            <w:noWrap/>
            <w:hideMark/>
          </w:tcPr>
          <w:p w:rsidR="00F229E1" w:rsidRPr="00883E1C" w:rsidRDefault="00F229E1" w:rsidP="00F229E1">
            <w:pPr>
              <w:keepNext/>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c>
          <w:tcPr>
            <w:tcW w:w="810" w:type="dxa"/>
            <w:tcBorders>
              <w:top w:val="single" w:sz="4" w:space="0" w:color="auto"/>
              <w:left w:val="nil"/>
              <w:bottom w:val="single" w:sz="4" w:space="0" w:color="auto"/>
              <w:right w:val="single" w:sz="4" w:space="0" w:color="auto"/>
            </w:tcBorders>
            <w:shd w:val="clear" w:color="auto" w:fill="auto"/>
            <w:noWrap/>
            <w:hideMark/>
          </w:tcPr>
          <w:p w:rsidR="00F229E1" w:rsidRPr="00883E1C" w:rsidRDefault="00F229E1" w:rsidP="00F229E1">
            <w:pPr>
              <w:keepNext/>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c>
          <w:tcPr>
            <w:tcW w:w="3240" w:type="dxa"/>
            <w:gridSpan w:val="4"/>
            <w:tcBorders>
              <w:top w:val="single" w:sz="4" w:space="0" w:color="auto"/>
              <w:left w:val="nil"/>
              <w:bottom w:val="single" w:sz="4" w:space="0" w:color="auto"/>
              <w:right w:val="single" w:sz="4" w:space="0" w:color="000000"/>
            </w:tcBorders>
            <w:shd w:val="clear" w:color="auto" w:fill="auto"/>
            <w:noWrap/>
            <w:hideMark/>
          </w:tcPr>
          <w:p w:rsidR="00F229E1" w:rsidRPr="00883E1C" w:rsidRDefault="00F229E1" w:rsidP="00F229E1">
            <w:pPr>
              <w:keepNext/>
              <w:spacing w:after="0" w:line="240" w:lineRule="auto"/>
              <w:jc w:val="center"/>
              <w:rPr>
                <w:rFonts w:ascii="Times New Roman" w:hAnsi="Times New Roman"/>
                <w:b/>
                <w:bCs/>
                <w:sz w:val="20"/>
                <w:szCs w:val="20"/>
                <w:lang w:bidi="ar-SA"/>
              </w:rPr>
            </w:pPr>
            <w:r w:rsidRPr="00883E1C">
              <w:rPr>
                <w:rFonts w:ascii="Times New Roman" w:hAnsi="Times New Roman"/>
                <w:b/>
                <w:bCs/>
                <w:sz w:val="20"/>
                <w:szCs w:val="20"/>
                <w:lang w:bidi="ar-SA"/>
              </w:rPr>
              <w:t>Closed During the Period</w:t>
            </w:r>
          </w:p>
        </w:tc>
        <w:tc>
          <w:tcPr>
            <w:tcW w:w="810" w:type="dxa"/>
            <w:tcBorders>
              <w:top w:val="single" w:sz="4" w:space="0" w:color="auto"/>
              <w:left w:val="nil"/>
              <w:bottom w:val="single" w:sz="4" w:space="0" w:color="auto"/>
              <w:right w:val="single" w:sz="4" w:space="0" w:color="auto"/>
            </w:tcBorders>
            <w:shd w:val="clear" w:color="auto" w:fill="auto"/>
            <w:noWrap/>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 </w:t>
            </w:r>
          </w:p>
        </w:tc>
        <w:tc>
          <w:tcPr>
            <w:tcW w:w="810" w:type="dxa"/>
            <w:tcBorders>
              <w:top w:val="single" w:sz="4" w:space="0" w:color="auto"/>
              <w:left w:val="nil"/>
              <w:bottom w:val="single" w:sz="4" w:space="0" w:color="auto"/>
              <w:right w:val="single" w:sz="4" w:space="0" w:color="auto"/>
            </w:tcBorders>
            <w:shd w:val="clear" w:color="auto" w:fill="auto"/>
            <w:noWrap/>
            <w:hideMark/>
          </w:tcPr>
          <w:p w:rsidR="00F229E1" w:rsidRPr="00883E1C" w:rsidRDefault="00F229E1" w:rsidP="00F229E1">
            <w:pPr>
              <w:keepNext/>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r>
      <w:tr w:rsidR="00883E1C" w:rsidRPr="00883E1C" w:rsidTr="00E51121">
        <w:trPr>
          <w:cantSplit/>
          <w:trHeight w:val="1425"/>
        </w:trPr>
        <w:tc>
          <w:tcPr>
            <w:tcW w:w="1000" w:type="dxa"/>
            <w:tcBorders>
              <w:top w:val="nil"/>
              <w:left w:val="single" w:sz="4" w:space="0" w:color="auto"/>
              <w:bottom w:val="single" w:sz="4" w:space="0" w:color="auto"/>
              <w:right w:val="single" w:sz="4" w:space="0" w:color="auto"/>
            </w:tcBorders>
            <w:shd w:val="clear" w:color="auto" w:fill="auto"/>
            <w:noWrap/>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As at</w:t>
            </w:r>
          </w:p>
        </w:tc>
        <w:tc>
          <w:tcPr>
            <w:tcW w:w="990" w:type="dxa"/>
            <w:tcBorders>
              <w:top w:val="nil"/>
              <w:left w:val="nil"/>
              <w:bottom w:val="single" w:sz="4" w:space="0" w:color="auto"/>
              <w:right w:val="single" w:sz="4" w:space="0" w:color="auto"/>
            </w:tcBorders>
            <w:shd w:val="clear" w:color="auto" w:fill="auto"/>
            <w:hideMark/>
          </w:tcPr>
          <w:p w:rsidR="00F229E1" w:rsidRPr="00883E1C" w:rsidRDefault="00F229E1" w:rsidP="00F229E1">
            <w:pPr>
              <w:keepNext/>
              <w:spacing w:after="0" w:line="240" w:lineRule="auto"/>
              <w:ind w:right="-108"/>
              <w:rPr>
                <w:rFonts w:ascii="Times New Roman" w:hAnsi="Times New Roman"/>
                <w:b/>
                <w:bCs/>
                <w:sz w:val="20"/>
                <w:szCs w:val="20"/>
                <w:lang w:bidi="ar-SA"/>
              </w:rPr>
            </w:pPr>
            <w:r w:rsidRPr="00883E1C">
              <w:rPr>
                <w:rFonts w:ascii="Times New Roman" w:hAnsi="Times New Roman"/>
                <w:b/>
                <w:bCs/>
                <w:sz w:val="20"/>
                <w:szCs w:val="20"/>
                <w:lang w:bidi="ar-SA"/>
              </w:rPr>
              <w:t xml:space="preserve">Open at beginning of period (Jan. 1) </w:t>
            </w:r>
          </w:p>
        </w:tc>
        <w:tc>
          <w:tcPr>
            <w:tcW w:w="900" w:type="dxa"/>
            <w:tcBorders>
              <w:top w:val="nil"/>
              <w:left w:val="nil"/>
              <w:bottom w:val="single" w:sz="4" w:space="0" w:color="auto"/>
              <w:right w:val="single" w:sz="4" w:space="0" w:color="auto"/>
            </w:tcBorders>
            <w:shd w:val="clear" w:color="auto" w:fill="auto"/>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Received during period</w:t>
            </w:r>
          </w:p>
        </w:tc>
        <w:tc>
          <w:tcPr>
            <w:tcW w:w="810" w:type="dxa"/>
            <w:tcBorders>
              <w:top w:val="nil"/>
              <w:left w:val="nil"/>
              <w:bottom w:val="single" w:sz="4" w:space="0" w:color="auto"/>
              <w:right w:val="single" w:sz="4" w:space="0" w:color="auto"/>
            </w:tcBorders>
            <w:shd w:val="clear" w:color="auto" w:fill="auto"/>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Total files open</w:t>
            </w:r>
          </w:p>
        </w:tc>
        <w:tc>
          <w:tcPr>
            <w:tcW w:w="810" w:type="dxa"/>
            <w:tcBorders>
              <w:top w:val="nil"/>
              <w:left w:val="nil"/>
              <w:bottom w:val="single" w:sz="4" w:space="0" w:color="auto"/>
              <w:right w:val="single" w:sz="4" w:space="0" w:color="auto"/>
            </w:tcBorders>
            <w:shd w:val="clear" w:color="auto" w:fill="auto"/>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With No Action</w:t>
            </w:r>
          </w:p>
        </w:tc>
        <w:tc>
          <w:tcPr>
            <w:tcW w:w="900" w:type="dxa"/>
            <w:tcBorders>
              <w:top w:val="nil"/>
              <w:left w:val="nil"/>
              <w:bottom w:val="single" w:sz="4" w:space="0" w:color="auto"/>
              <w:right w:val="single" w:sz="4" w:space="0" w:color="auto"/>
            </w:tcBorders>
            <w:shd w:val="clear" w:color="auto" w:fill="auto"/>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With Action &amp; Warning Letters</w:t>
            </w:r>
          </w:p>
        </w:tc>
        <w:tc>
          <w:tcPr>
            <w:tcW w:w="872" w:type="dxa"/>
            <w:tcBorders>
              <w:top w:val="nil"/>
              <w:left w:val="nil"/>
              <w:bottom w:val="single" w:sz="4" w:space="0" w:color="auto"/>
              <w:right w:val="single" w:sz="4" w:space="0" w:color="auto"/>
            </w:tcBorders>
            <w:shd w:val="clear" w:color="auto" w:fill="auto"/>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Stayed</w:t>
            </w:r>
          </w:p>
        </w:tc>
        <w:tc>
          <w:tcPr>
            <w:tcW w:w="658" w:type="dxa"/>
            <w:tcBorders>
              <w:top w:val="nil"/>
              <w:left w:val="nil"/>
              <w:bottom w:val="single" w:sz="4" w:space="0" w:color="auto"/>
              <w:right w:val="single" w:sz="4" w:space="0" w:color="auto"/>
            </w:tcBorders>
            <w:shd w:val="clear" w:color="auto" w:fill="auto"/>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Dismissal</w:t>
            </w:r>
          </w:p>
        </w:tc>
        <w:tc>
          <w:tcPr>
            <w:tcW w:w="810" w:type="dxa"/>
            <w:tcBorders>
              <w:top w:val="nil"/>
              <w:left w:val="nil"/>
              <w:bottom w:val="single" w:sz="4" w:space="0" w:color="auto"/>
              <w:right w:val="single" w:sz="4" w:space="0" w:color="auto"/>
            </w:tcBorders>
            <w:shd w:val="clear" w:color="auto" w:fill="auto"/>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Total closed during period</w:t>
            </w:r>
          </w:p>
        </w:tc>
        <w:tc>
          <w:tcPr>
            <w:tcW w:w="810" w:type="dxa"/>
            <w:tcBorders>
              <w:top w:val="nil"/>
              <w:left w:val="nil"/>
              <w:bottom w:val="single" w:sz="4" w:space="0" w:color="auto"/>
              <w:right w:val="single" w:sz="4" w:space="0" w:color="auto"/>
            </w:tcBorders>
            <w:shd w:val="clear" w:color="auto" w:fill="auto"/>
            <w:hideMark/>
          </w:tcPr>
          <w:p w:rsidR="00F229E1" w:rsidRPr="00883E1C" w:rsidRDefault="00F229E1" w:rsidP="00F229E1">
            <w:pPr>
              <w:keepNext/>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Open at End of Period</w:t>
            </w:r>
          </w:p>
        </w:tc>
      </w:tr>
      <w:tr w:rsidR="00883E1C" w:rsidRPr="00883E1C" w:rsidTr="00E51121">
        <w:trPr>
          <w:trHeight w:val="315"/>
        </w:trPr>
        <w:tc>
          <w:tcPr>
            <w:tcW w:w="1000" w:type="dxa"/>
            <w:tcBorders>
              <w:top w:val="nil"/>
              <w:left w:val="single" w:sz="4" w:space="0" w:color="auto"/>
              <w:bottom w:val="single" w:sz="4" w:space="0" w:color="auto"/>
              <w:right w:val="single" w:sz="4" w:space="0" w:color="auto"/>
            </w:tcBorders>
            <w:shd w:val="clear" w:color="auto" w:fill="auto"/>
            <w:hideMark/>
          </w:tcPr>
          <w:p w:rsidR="00F229E1" w:rsidRPr="00883E1C" w:rsidRDefault="00F229E1" w:rsidP="00F229E1">
            <w:pPr>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Dec 31 2002</w:t>
            </w:r>
          </w:p>
        </w:tc>
        <w:tc>
          <w:tcPr>
            <w:tcW w:w="99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209</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86</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295</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41 13.9%</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147 49.8%</w:t>
            </w:r>
          </w:p>
        </w:tc>
        <w:tc>
          <w:tcPr>
            <w:tcW w:w="872"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c>
          <w:tcPr>
            <w:tcW w:w="658"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tabs>
                <w:tab w:val="left" w:pos="59"/>
              </w:tabs>
              <w:spacing w:after="0" w:line="240" w:lineRule="auto"/>
              <w:ind w:left="-31"/>
              <w:rPr>
                <w:rFonts w:ascii="Times New Roman" w:hAnsi="Times New Roman"/>
                <w:sz w:val="20"/>
                <w:szCs w:val="20"/>
                <w:lang w:bidi="ar-SA"/>
              </w:rPr>
            </w:pPr>
            <w:r w:rsidRPr="00883E1C">
              <w:rPr>
                <w:rFonts w:ascii="Times New Roman" w:hAnsi="Times New Roman"/>
                <w:sz w:val="20"/>
                <w:szCs w:val="20"/>
                <w:lang w:bidi="ar-SA"/>
              </w:rPr>
              <w:t> </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188 63.7%</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107 36.3%</w:t>
            </w:r>
          </w:p>
        </w:tc>
      </w:tr>
      <w:tr w:rsidR="00883E1C" w:rsidRPr="00883E1C" w:rsidTr="00E51121">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Dec 31 2003</w:t>
            </w:r>
          </w:p>
        </w:tc>
        <w:tc>
          <w:tcPr>
            <w:tcW w:w="99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107</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137</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244</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31</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12.7%</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90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36.9%</w:t>
            </w:r>
          </w:p>
        </w:tc>
        <w:tc>
          <w:tcPr>
            <w:tcW w:w="872"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c>
          <w:tcPr>
            <w:tcW w:w="658"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121 49.6%</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123 50.4%</w:t>
            </w:r>
          </w:p>
        </w:tc>
      </w:tr>
      <w:tr w:rsidR="00883E1C" w:rsidRPr="00883E1C" w:rsidTr="00E51121">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Dec 31 2004</w:t>
            </w:r>
          </w:p>
        </w:tc>
        <w:tc>
          <w:tcPr>
            <w:tcW w:w="99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121</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88</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209</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17</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 8.1%</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101 48.3%</w:t>
            </w:r>
          </w:p>
        </w:tc>
        <w:tc>
          <w:tcPr>
            <w:tcW w:w="872"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2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w:t>
            </w:r>
          </w:p>
        </w:tc>
        <w:tc>
          <w:tcPr>
            <w:tcW w:w="658"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1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.5%</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121</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57.9%</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88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42.1%</w:t>
            </w:r>
          </w:p>
        </w:tc>
      </w:tr>
      <w:tr w:rsidR="00883E1C" w:rsidRPr="00883E1C" w:rsidTr="00E51121">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Dec 31 2005</w:t>
            </w:r>
          </w:p>
        </w:tc>
        <w:tc>
          <w:tcPr>
            <w:tcW w:w="99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87</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71</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158</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14</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 8.9%</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63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39.9%</w:t>
            </w:r>
          </w:p>
        </w:tc>
        <w:tc>
          <w:tcPr>
            <w:tcW w:w="872"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5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3.2%</w:t>
            </w:r>
          </w:p>
        </w:tc>
        <w:tc>
          <w:tcPr>
            <w:tcW w:w="658"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2</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1.3%</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84 53.2%</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74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46.8%</w:t>
            </w:r>
          </w:p>
        </w:tc>
      </w:tr>
      <w:tr w:rsidR="00883E1C" w:rsidRPr="00883E1C" w:rsidTr="00E51121">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b/>
                <w:bCs/>
                <w:sz w:val="20"/>
                <w:szCs w:val="20"/>
                <w:lang w:bidi="ar-SA"/>
              </w:rPr>
            </w:pPr>
            <w:r w:rsidRPr="00883E1C">
              <w:rPr>
                <w:rFonts w:ascii="Times New Roman" w:hAnsi="Times New Roman"/>
                <w:b/>
                <w:bCs/>
                <w:sz w:val="20"/>
                <w:szCs w:val="20"/>
                <w:lang w:bidi="ar-SA"/>
              </w:rPr>
              <w:t>Dec 31 2006</w:t>
            </w:r>
          </w:p>
        </w:tc>
        <w:tc>
          <w:tcPr>
            <w:tcW w:w="99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73</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118</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191</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10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5.2%</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69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36.1%</w:t>
            </w:r>
          </w:p>
        </w:tc>
        <w:tc>
          <w:tcPr>
            <w:tcW w:w="872"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2</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w:t>
            </w:r>
          </w:p>
        </w:tc>
        <w:tc>
          <w:tcPr>
            <w:tcW w:w="658"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1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.5%</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82 42.9%</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109 57.1%</w:t>
            </w:r>
          </w:p>
        </w:tc>
      </w:tr>
      <w:tr w:rsidR="00F229E1" w:rsidRPr="00883E1C" w:rsidTr="00E51121">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b/>
                <w:sz w:val="20"/>
                <w:szCs w:val="20"/>
                <w:lang w:bidi="ar-SA"/>
              </w:rPr>
            </w:pPr>
            <w:r w:rsidRPr="00883E1C">
              <w:rPr>
                <w:rFonts w:ascii="Times New Roman" w:hAnsi="Times New Roman"/>
                <w:b/>
                <w:sz w:val="20"/>
                <w:szCs w:val="20"/>
                <w:lang w:bidi="ar-SA"/>
              </w:rPr>
              <w:t>Dec 31 2007</w:t>
            </w:r>
            <w:r w:rsidRPr="00883E1C">
              <w:rPr>
                <w:rFonts w:ascii="Times New Roman" w:hAnsi="Times New Roman"/>
                <w:b/>
                <w:sz w:val="20"/>
                <w:szCs w:val="20"/>
                <w:vertAlign w:val="superscript"/>
                <w:lang w:bidi="ar-SA"/>
              </w:rPr>
              <w:endnoteReference w:id="4"/>
            </w:r>
          </w:p>
        </w:tc>
        <w:tc>
          <w:tcPr>
            <w:tcW w:w="99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106</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70</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176</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12</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6.8%</w:t>
            </w:r>
          </w:p>
        </w:tc>
        <w:tc>
          <w:tcPr>
            <w:tcW w:w="90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59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33.5%</w:t>
            </w:r>
          </w:p>
        </w:tc>
        <w:tc>
          <w:tcPr>
            <w:tcW w:w="872"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c>
          <w:tcPr>
            <w:tcW w:w="658"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71 40.3%</w:t>
            </w:r>
          </w:p>
        </w:tc>
        <w:tc>
          <w:tcPr>
            <w:tcW w:w="810" w:type="dxa"/>
            <w:tcBorders>
              <w:top w:val="nil"/>
              <w:left w:val="nil"/>
              <w:bottom w:val="single" w:sz="4" w:space="0" w:color="auto"/>
              <w:right w:val="single" w:sz="4" w:space="0" w:color="auto"/>
            </w:tcBorders>
            <w:shd w:val="clear" w:color="auto" w:fill="auto"/>
            <w:noWrap/>
            <w:hideMark/>
          </w:tcPr>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 xml:space="preserve">97 </w:t>
            </w:r>
          </w:p>
          <w:p w:rsidR="00F229E1" w:rsidRPr="00883E1C" w:rsidRDefault="00F229E1" w:rsidP="00F229E1">
            <w:pPr>
              <w:spacing w:after="0" w:line="240" w:lineRule="auto"/>
              <w:rPr>
                <w:rFonts w:ascii="Times New Roman" w:hAnsi="Times New Roman"/>
                <w:sz w:val="20"/>
                <w:szCs w:val="20"/>
                <w:lang w:bidi="ar-SA"/>
              </w:rPr>
            </w:pPr>
            <w:r w:rsidRPr="00883E1C">
              <w:rPr>
                <w:rFonts w:ascii="Times New Roman" w:hAnsi="Times New Roman"/>
                <w:sz w:val="20"/>
                <w:szCs w:val="20"/>
                <w:lang w:bidi="ar-SA"/>
              </w:rPr>
              <w:t>55.1%</w:t>
            </w:r>
          </w:p>
        </w:tc>
      </w:tr>
    </w:tbl>
    <w:p w:rsidR="00F229E1" w:rsidRPr="00883E1C" w:rsidRDefault="00F229E1" w:rsidP="00F229E1">
      <w:pPr>
        <w:spacing w:after="0"/>
        <w:ind w:firstLine="720"/>
        <w:rPr>
          <w:rFonts w:ascii="Times New Roman" w:hAnsi="Times New Roman"/>
          <w:lang w:val="en-AU"/>
        </w:rPr>
      </w:pPr>
    </w:p>
    <w:p w:rsidR="00F229E1" w:rsidRPr="00883E1C" w:rsidRDefault="00F229E1" w:rsidP="00F229E1">
      <w:pPr>
        <w:widowControl/>
        <w:ind w:firstLine="720"/>
        <w:rPr>
          <w:rFonts w:ascii="Times New Roman" w:hAnsi="Times New Roman"/>
          <w:sz w:val="24"/>
          <w:szCs w:val="24"/>
          <w:lang w:val="en-AU"/>
        </w:rPr>
      </w:pPr>
      <w:r w:rsidRPr="00883E1C">
        <w:rPr>
          <w:rFonts w:ascii="Times New Roman" w:hAnsi="Times New Roman"/>
          <w:sz w:val="24"/>
          <w:szCs w:val="24"/>
          <w:lang w:val="en-AU"/>
        </w:rPr>
        <w:t>Once a complaint reaches Prosecution, it faces further hurdles (see Brockman, 2004: 73). At the Prosecution stage, the IDA Enforcement Counsel will consider the recommendations made by the Investigation unit and decide how to proceed with them. As shown in</w:t>
      </w:r>
      <w:r w:rsidR="00E51121" w:rsidRPr="00883E1C">
        <w:rPr>
          <w:rFonts w:ascii="Times New Roman" w:hAnsi="Times New Roman"/>
          <w:sz w:val="24"/>
          <w:szCs w:val="24"/>
          <w:lang w:val="en-AU"/>
        </w:rPr>
        <w:t xml:space="preserve"> Table 1-6</w:t>
      </w:r>
      <w:r w:rsidRPr="00883E1C">
        <w:rPr>
          <w:rFonts w:ascii="Times New Roman" w:hAnsi="Times New Roman"/>
          <w:sz w:val="24"/>
          <w:szCs w:val="24"/>
          <w:lang w:val="en-AU"/>
        </w:rPr>
        <w:t xml:space="preserve">, Enforcement Counsel continued to “funnel out” investors’ complaints by closing a significant number of complaints at the Prosecution stage without further action.  Enforcement Counsel was at its busiest in 2002, when they closed 188 (63.7%) of the cases. However, the number of complaints closed decreased significantly to 71 (40.3 %) in 2007. As was seen in the Case Assessment and Investigation stages, Enforcement Counsel continued with the trend to dispose of complaints informally. </w:t>
      </w:r>
    </w:p>
    <w:p w:rsidR="00F229E1" w:rsidRPr="00883E1C" w:rsidRDefault="00E51121" w:rsidP="00F229E1">
      <w:pPr>
        <w:widowControl/>
        <w:ind w:firstLine="720"/>
        <w:rPr>
          <w:rFonts w:ascii="Times New Roman" w:hAnsi="Times New Roman"/>
          <w:sz w:val="24"/>
          <w:szCs w:val="24"/>
        </w:rPr>
      </w:pPr>
      <w:r w:rsidRPr="00883E1C">
        <w:rPr>
          <w:rFonts w:ascii="Times New Roman" w:hAnsi="Times New Roman"/>
          <w:sz w:val="24"/>
          <w:szCs w:val="24"/>
          <w:lang w:val="en-AU"/>
        </w:rPr>
        <w:t>Table 1-7</w:t>
      </w:r>
      <w:r w:rsidR="00F229E1" w:rsidRPr="00883E1C">
        <w:rPr>
          <w:rFonts w:ascii="Times New Roman" w:hAnsi="Times New Roman"/>
          <w:sz w:val="24"/>
          <w:szCs w:val="24"/>
          <w:lang w:val="en-AU"/>
        </w:rPr>
        <w:t xml:space="preserve"> shows the types of complaints that were referred to Prosecution. While unsuitable investments were one of the top four complaints dealt with at both the Case </w:t>
      </w:r>
      <w:r w:rsidR="00F229E1" w:rsidRPr="00883E1C">
        <w:rPr>
          <w:rFonts w:ascii="Times New Roman" w:hAnsi="Times New Roman"/>
          <w:sz w:val="24"/>
          <w:szCs w:val="24"/>
          <w:lang w:val="en-AU"/>
        </w:rPr>
        <w:lastRenderedPageBreak/>
        <w:t xml:space="preserve">Assessment and Investigation stages, it was noticeably missing as one of the top four complaints that made their way to Prosecution.  A few reasons have been put forth for this outcome. It is noted that unsuitable investments </w:t>
      </w:r>
      <w:r w:rsidR="00F229E1" w:rsidRPr="00883E1C">
        <w:rPr>
          <w:rFonts w:ascii="Times New Roman" w:hAnsi="Times New Roman"/>
          <w:sz w:val="24"/>
          <w:szCs w:val="24"/>
        </w:rPr>
        <w:t xml:space="preserve">can be measured in shades of grey. In other words, there may not </w:t>
      </w:r>
      <w:r w:rsidR="00EC1F27" w:rsidRPr="00883E1C">
        <w:rPr>
          <w:rFonts w:ascii="Times New Roman" w:hAnsi="Times New Roman"/>
          <w:sz w:val="24"/>
          <w:szCs w:val="24"/>
        </w:rPr>
        <w:t xml:space="preserve">have </w:t>
      </w:r>
      <w:r w:rsidR="00F229E1" w:rsidRPr="00883E1C">
        <w:rPr>
          <w:rFonts w:ascii="Times New Roman" w:hAnsi="Times New Roman"/>
          <w:sz w:val="24"/>
          <w:szCs w:val="24"/>
        </w:rPr>
        <w:t>be</w:t>
      </w:r>
      <w:r w:rsidR="00EC1F27" w:rsidRPr="00883E1C">
        <w:rPr>
          <w:rFonts w:ascii="Times New Roman" w:hAnsi="Times New Roman"/>
          <w:sz w:val="24"/>
          <w:szCs w:val="24"/>
        </w:rPr>
        <w:t>en</w:t>
      </w:r>
      <w:r w:rsidR="00F229E1" w:rsidRPr="00883E1C">
        <w:rPr>
          <w:rFonts w:ascii="Times New Roman" w:hAnsi="Times New Roman"/>
          <w:sz w:val="24"/>
          <w:szCs w:val="24"/>
        </w:rPr>
        <w:t xml:space="preserve"> the necessary clear and cogent evidence that would </w:t>
      </w:r>
      <w:r w:rsidR="00EC1F27" w:rsidRPr="00883E1C">
        <w:rPr>
          <w:rFonts w:ascii="Times New Roman" w:hAnsi="Times New Roman"/>
          <w:sz w:val="24"/>
          <w:szCs w:val="24"/>
        </w:rPr>
        <w:t xml:space="preserve">have </w:t>
      </w:r>
      <w:r w:rsidR="00F229E1" w:rsidRPr="00883E1C">
        <w:rPr>
          <w:rFonts w:ascii="Times New Roman" w:hAnsi="Times New Roman"/>
          <w:sz w:val="24"/>
          <w:szCs w:val="24"/>
        </w:rPr>
        <w:t>result</w:t>
      </w:r>
      <w:r w:rsidR="00EC1F27" w:rsidRPr="00883E1C">
        <w:rPr>
          <w:rFonts w:ascii="Times New Roman" w:hAnsi="Times New Roman"/>
          <w:sz w:val="24"/>
          <w:szCs w:val="24"/>
        </w:rPr>
        <w:t>ed</w:t>
      </w:r>
      <w:r w:rsidR="00F229E1" w:rsidRPr="00883E1C">
        <w:rPr>
          <w:rFonts w:ascii="Times New Roman" w:hAnsi="Times New Roman"/>
          <w:sz w:val="24"/>
          <w:szCs w:val="24"/>
        </w:rPr>
        <w:t xml:space="preserve"> in a hearing </w:t>
      </w:r>
      <w:r w:rsidR="00AB560D" w:rsidRPr="00883E1C">
        <w:rPr>
          <w:rFonts w:ascii="Times New Roman" w:hAnsi="Times New Roman"/>
          <w:sz w:val="24"/>
          <w:szCs w:val="24"/>
        </w:rPr>
        <w:t xml:space="preserve">that was </w:t>
      </w:r>
      <w:r w:rsidR="00F229E1" w:rsidRPr="00883E1C">
        <w:rPr>
          <w:rFonts w:ascii="Times New Roman" w:hAnsi="Times New Roman"/>
          <w:sz w:val="24"/>
          <w:szCs w:val="24"/>
        </w:rPr>
        <w:t>likely to be successful. The result</w:t>
      </w:r>
      <w:r w:rsidR="00AB560D" w:rsidRPr="00883E1C">
        <w:rPr>
          <w:rFonts w:ascii="Times New Roman" w:hAnsi="Times New Roman"/>
          <w:sz w:val="24"/>
          <w:szCs w:val="24"/>
        </w:rPr>
        <w:t>s</w:t>
      </w:r>
      <w:r w:rsidR="00F229E1" w:rsidRPr="00883E1C">
        <w:rPr>
          <w:rFonts w:ascii="Times New Roman" w:hAnsi="Times New Roman"/>
          <w:sz w:val="24"/>
          <w:szCs w:val="24"/>
        </w:rPr>
        <w:t xml:space="preserve"> </w:t>
      </w:r>
      <w:r w:rsidR="00AB560D" w:rsidRPr="00883E1C">
        <w:rPr>
          <w:rFonts w:ascii="Times New Roman" w:hAnsi="Times New Roman"/>
          <w:sz w:val="24"/>
          <w:szCs w:val="24"/>
        </w:rPr>
        <w:t>were</w:t>
      </w:r>
      <w:r w:rsidR="00F229E1" w:rsidRPr="00883E1C">
        <w:rPr>
          <w:rFonts w:ascii="Times New Roman" w:hAnsi="Times New Roman"/>
          <w:sz w:val="24"/>
          <w:szCs w:val="24"/>
        </w:rPr>
        <w:t xml:space="preserve"> that the matters may </w:t>
      </w:r>
      <w:r w:rsidR="00EC1F27" w:rsidRPr="00883E1C">
        <w:rPr>
          <w:rFonts w:ascii="Times New Roman" w:hAnsi="Times New Roman"/>
          <w:sz w:val="24"/>
          <w:szCs w:val="24"/>
        </w:rPr>
        <w:t xml:space="preserve">have </w:t>
      </w:r>
      <w:r w:rsidR="00F229E1" w:rsidRPr="00883E1C">
        <w:rPr>
          <w:rFonts w:ascii="Times New Roman" w:hAnsi="Times New Roman"/>
          <w:sz w:val="24"/>
          <w:szCs w:val="24"/>
        </w:rPr>
        <w:t>be</w:t>
      </w:r>
      <w:r w:rsidR="00EC1F27" w:rsidRPr="00883E1C">
        <w:rPr>
          <w:rFonts w:ascii="Times New Roman" w:hAnsi="Times New Roman"/>
          <w:sz w:val="24"/>
          <w:szCs w:val="24"/>
        </w:rPr>
        <w:t>en</w:t>
      </w:r>
      <w:r w:rsidR="00F229E1" w:rsidRPr="00883E1C">
        <w:rPr>
          <w:rFonts w:ascii="Times New Roman" w:hAnsi="Times New Roman"/>
          <w:sz w:val="24"/>
          <w:szCs w:val="24"/>
        </w:rPr>
        <w:t xml:space="preserve"> resolved through informal resolution or closed with no action (Condon and Puri: 2006: 33). In other circumstances, the complaint</w:t>
      </w:r>
      <w:r w:rsidR="00AB560D" w:rsidRPr="00883E1C">
        <w:rPr>
          <w:rFonts w:ascii="Times New Roman" w:hAnsi="Times New Roman"/>
          <w:sz w:val="24"/>
          <w:szCs w:val="24"/>
        </w:rPr>
        <w:t>s</w:t>
      </w:r>
      <w:r w:rsidR="00F229E1" w:rsidRPr="00883E1C">
        <w:rPr>
          <w:rFonts w:ascii="Times New Roman" w:hAnsi="Times New Roman"/>
          <w:sz w:val="24"/>
          <w:szCs w:val="24"/>
        </w:rPr>
        <w:t xml:space="preserve"> can cover a wide range of related issues and may not </w:t>
      </w:r>
      <w:r w:rsidR="00AB560D" w:rsidRPr="00883E1C">
        <w:rPr>
          <w:rFonts w:ascii="Times New Roman" w:hAnsi="Times New Roman"/>
          <w:sz w:val="24"/>
          <w:szCs w:val="24"/>
        </w:rPr>
        <w:t xml:space="preserve">have </w:t>
      </w:r>
      <w:r w:rsidR="00F229E1" w:rsidRPr="00883E1C">
        <w:rPr>
          <w:rFonts w:ascii="Times New Roman" w:hAnsi="Times New Roman"/>
          <w:sz w:val="24"/>
          <w:szCs w:val="24"/>
        </w:rPr>
        <w:t>be</w:t>
      </w:r>
      <w:r w:rsidR="00AB560D" w:rsidRPr="00883E1C">
        <w:rPr>
          <w:rFonts w:ascii="Times New Roman" w:hAnsi="Times New Roman"/>
          <w:sz w:val="24"/>
          <w:szCs w:val="24"/>
        </w:rPr>
        <w:t>en</w:t>
      </w:r>
      <w:r w:rsidR="00F229E1" w:rsidRPr="00883E1C">
        <w:rPr>
          <w:rFonts w:ascii="Times New Roman" w:hAnsi="Times New Roman"/>
          <w:sz w:val="24"/>
          <w:szCs w:val="24"/>
        </w:rPr>
        <w:t xml:space="preserve"> related to suitability issue</w:t>
      </w:r>
      <w:r w:rsidR="00AB560D" w:rsidRPr="00883E1C">
        <w:rPr>
          <w:rFonts w:ascii="Times New Roman" w:hAnsi="Times New Roman"/>
          <w:sz w:val="24"/>
          <w:szCs w:val="24"/>
        </w:rPr>
        <w:t>s</w:t>
      </w:r>
      <w:r w:rsidR="00F229E1" w:rsidRPr="00883E1C">
        <w:rPr>
          <w:rFonts w:ascii="Times New Roman" w:hAnsi="Times New Roman"/>
          <w:sz w:val="24"/>
          <w:szCs w:val="24"/>
        </w:rPr>
        <w:t xml:space="preserve"> at all. These issues range from “poor advice, a poor or unsuitable product, or just a ‘complaint of convenience’ as the complainant did not know how else to describe the complaint” (Black, 2006: 43). In other scenarios, “enforcement counsel may review a number of allegations that have been investigated and use discretion as to which complaints to proceed with and which files to close” (Condon and Puri: 2006: 33).  There </w:t>
      </w:r>
      <w:r w:rsidR="00AB560D" w:rsidRPr="00883E1C">
        <w:rPr>
          <w:rFonts w:ascii="Times New Roman" w:hAnsi="Times New Roman"/>
          <w:sz w:val="24"/>
          <w:szCs w:val="24"/>
        </w:rPr>
        <w:t>were</w:t>
      </w:r>
      <w:r w:rsidR="00F229E1" w:rsidRPr="00883E1C">
        <w:rPr>
          <w:rFonts w:ascii="Times New Roman" w:hAnsi="Times New Roman"/>
          <w:sz w:val="24"/>
          <w:szCs w:val="24"/>
        </w:rPr>
        <w:t xml:space="preserve"> also instances where the</w:t>
      </w:r>
    </w:p>
    <w:p w:rsidR="00F229E1" w:rsidRPr="00883E1C" w:rsidRDefault="00F229E1" w:rsidP="00F229E1">
      <w:pPr>
        <w:widowControl/>
        <w:spacing w:after="0" w:line="240" w:lineRule="auto"/>
        <w:ind w:left="284" w:right="284"/>
        <w:rPr>
          <w:rFonts w:ascii="Times New Roman" w:hAnsi="Times New Roman"/>
          <w:sz w:val="24"/>
          <w:szCs w:val="24"/>
        </w:rPr>
      </w:pPr>
      <w:r w:rsidRPr="00883E1C">
        <w:rPr>
          <w:rFonts w:ascii="Times New Roman" w:hAnsi="Times New Roman"/>
          <w:sz w:val="24"/>
          <w:szCs w:val="24"/>
        </w:rPr>
        <w:t xml:space="preserve">decisions about prosecuting are effectively made for the regulator. This occurs when clients withdraw their complaints or refuse to attend as witnesses.  Case law suggests that in the absence of a client witness it is very difficult to prove a case of suitability. Where witnesses are compensated, the monetary incentive for them to provide assistance in a regulatory hearing disappears, and in many of those circumstances the regulator is unable to proceed with the prosecution (p. 33). </w:t>
      </w:r>
    </w:p>
    <w:p w:rsidR="00F229E1" w:rsidRPr="00883E1C" w:rsidRDefault="00F229E1" w:rsidP="00F229E1">
      <w:pPr>
        <w:widowControl/>
        <w:spacing w:after="0" w:line="240" w:lineRule="auto"/>
        <w:ind w:left="284" w:right="284"/>
        <w:rPr>
          <w:rFonts w:ascii="Times New Roman" w:hAnsi="Times New Roman"/>
          <w:sz w:val="24"/>
          <w:szCs w:val="24"/>
        </w:rPr>
      </w:pPr>
    </w:p>
    <w:p w:rsidR="00F229E1" w:rsidRPr="00883E1C" w:rsidRDefault="00F229E1" w:rsidP="00F229E1">
      <w:pPr>
        <w:widowControl/>
        <w:rPr>
          <w:rFonts w:ascii="Times New Roman" w:hAnsi="Times New Roman"/>
          <w:sz w:val="24"/>
          <w:szCs w:val="24"/>
          <w:lang w:val="en-AU"/>
        </w:rPr>
      </w:pPr>
      <w:r w:rsidRPr="00883E1C">
        <w:rPr>
          <w:rFonts w:ascii="Times New Roman" w:hAnsi="Times New Roman"/>
          <w:sz w:val="24"/>
          <w:szCs w:val="24"/>
          <w:lang w:val="en-AU"/>
        </w:rPr>
        <w:t xml:space="preserve">All of the above are possible explanations as to why complaints related to unsuitable investments are disposed of before they reach the Prosecution stage of the IDA's enforcement process. </w:t>
      </w:r>
    </w:p>
    <w:p w:rsidR="00F04C73" w:rsidRDefault="00F04C73" w:rsidP="00F229E1">
      <w:pPr>
        <w:tabs>
          <w:tab w:val="left" w:pos="720"/>
        </w:tabs>
        <w:autoSpaceDE w:val="0"/>
        <w:autoSpaceDN w:val="0"/>
        <w:adjustRightInd w:val="0"/>
        <w:spacing w:line="240" w:lineRule="auto"/>
        <w:rPr>
          <w:rFonts w:ascii="Times New Roman" w:hAnsi="Times New Roman"/>
          <w:b/>
          <w:sz w:val="24"/>
          <w:szCs w:val="24"/>
        </w:rPr>
      </w:pPr>
      <w:bookmarkStart w:id="90" w:name="_Toc329241709"/>
    </w:p>
    <w:p w:rsidR="00F04C73" w:rsidRDefault="00F04C73" w:rsidP="00F229E1">
      <w:pPr>
        <w:tabs>
          <w:tab w:val="left" w:pos="720"/>
        </w:tabs>
        <w:autoSpaceDE w:val="0"/>
        <w:autoSpaceDN w:val="0"/>
        <w:adjustRightInd w:val="0"/>
        <w:spacing w:line="240" w:lineRule="auto"/>
        <w:rPr>
          <w:rFonts w:ascii="Times New Roman" w:hAnsi="Times New Roman"/>
          <w:b/>
          <w:sz w:val="24"/>
          <w:szCs w:val="24"/>
        </w:rPr>
      </w:pPr>
    </w:p>
    <w:p w:rsidR="00F04C73" w:rsidRDefault="00F04C73" w:rsidP="00F229E1">
      <w:pPr>
        <w:tabs>
          <w:tab w:val="left" w:pos="720"/>
        </w:tabs>
        <w:autoSpaceDE w:val="0"/>
        <w:autoSpaceDN w:val="0"/>
        <w:adjustRightInd w:val="0"/>
        <w:spacing w:line="240" w:lineRule="auto"/>
        <w:rPr>
          <w:rFonts w:ascii="Times New Roman" w:hAnsi="Times New Roman"/>
          <w:b/>
          <w:sz w:val="24"/>
          <w:szCs w:val="24"/>
        </w:rPr>
      </w:pPr>
    </w:p>
    <w:p w:rsidR="00F04C73" w:rsidRDefault="00F04C73" w:rsidP="00F229E1">
      <w:pPr>
        <w:tabs>
          <w:tab w:val="left" w:pos="720"/>
        </w:tabs>
        <w:autoSpaceDE w:val="0"/>
        <w:autoSpaceDN w:val="0"/>
        <w:adjustRightInd w:val="0"/>
        <w:spacing w:line="240" w:lineRule="auto"/>
        <w:rPr>
          <w:rFonts w:ascii="Times New Roman" w:hAnsi="Times New Roman"/>
          <w:b/>
          <w:sz w:val="24"/>
          <w:szCs w:val="24"/>
        </w:rPr>
      </w:pPr>
    </w:p>
    <w:p w:rsidR="00F229E1" w:rsidRPr="00883E1C" w:rsidRDefault="00F229E1" w:rsidP="00F229E1">
      <w:pPr>
        <w:tabs>
          <w:tab w:val="left" w:pos="720"/>
        </w:tabs>
        <w:autoSpaceDE w:val="0"/>
        <w:autoSpaceDN w:val="0"/>
        <w:adjustRightInd w:val="0"/>
        <w:spacing w:line="240" w:lineRule="auto"/>
        <w:rPr>
          <w:rFonts w:ascii="Times New Roman" w:hAnsi="Times New Roman"/>
          <w:bCs/>
          <w:sz w:val="24"/>
          <w:szCs w:val="24"/>
        </w:rPr>
      </w:pPr>
      <w:r w:rsidRPr="00883E1C">
        <w:rPr>
          <w:rFonts w:ascii="Times New Roman" w:hAnsi="Times New Roman"/>
          <w:b/>
          <w:sz w:val="24"/>
          <w:szCs w:val="24"/>
        </w:rPr>
        <w:lastRenderedPageBreak/>
        <w:t>Table 1</w:t>
      </w:r>
      <w:r w:rsidRPr="00883E1C">
        <w:rPr>
          <w:rFonts w:ascii="Times New Roman" w:hAnsi="Times New Roman"/>
          <w:b/>
          <w:sz w:val="24"/>
          <w:szCs w:val="24"/>
        </w:rPr>
        <w:noBreakHyphen/>
      </w:r>
      <w:r w:rsidR="00E51121" w:rsidRPr="00883E1C">
        <w:rPr>
          <w:rFonts w:ascii="Times New Roman" w:hAnsi="Times New Roman"/>
          <w:b/>
          <w:sz w:val="24"/>
          <w:szCs w:val="24"/>
        </w:rPr>
        <w:t>7</w:t>
      </w:r>
      <w:r w:rsidRPr="00883E1C">
        <w:rPr>
          <w:rFonts w:ascii="Times New Roman" w:hAnsi="Times New Roman"/>
          <w:b/>
          <w:sz w:val="24"/>
          <w:szCs w:val="24"/>
        </w:rPr>
        <w:tab/>
      </w:r>
      <w:r w:rsidRPr="00883E1C">
        <w:rPr>
          <w:rFonts w:ascii="Times New Roman" w:hAnsi="Times New Roman"/>
          <w:b/>
          <w:bCs/>
          <w:sz w:val="24"/>
          <w:szCs w:val="24"/>
        </w:rPr>
        <w:t>Top Four Issues Referred to Prosecution from 2003-2007 by Hearing Panels</w:t>
      </w:r>
      <w:bookmarkEnd w:id="90"/>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677"/>
        <w:gridCol w:w="1962"/>
        <w:gridCol w:w="2272"/>
        <w:gridCol w:w="1978"/>
      </w:tblGrid>
      <w:tr w:rsidR="00883E1C" w:rsidRPr="00883E1C" w:rsidTr="00E51121">
        <w:trPr>
          <w:trHeight w:val="300"/>
        </w:trPr>
        <w:tc>
          <w:tcPr>
            <w:tcW w:w="724" w:type="dxa"/>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Year</w:t>
            </w:r>
          </w:p>
        </w:tc>
        <w:tc>
          <w:tcPr>
            <w:tcW w:w="1616" w:type="dxa"/>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1</w:t>
            </w:r>
          </w:p>
        </w:tc>
        <w:tc>
          <w:tcPr>
            <w:tcW w:w="1890" w:type="dxa"/>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w:t>
            </w:r>
          </w:p>
        </w:tc>
        <w:tc>
          <w:tcPr>
            <w:tcW w:w="1980" w:type="dxa"/>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3</w:t>
            </w:r>
          </w:p>
        </w:tc>
        <w:tc>
          <w:tcPr>
            <w:tcW w:w="1906" w:type="dxa"/>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4</w:t>
            </w:r>
          </w:p>
        </w:tc>
      </w:tr>
      <w:tr w:rsidR="00883E1C" w:rsidRPr="00883E1C" w:rsidTr="00E51121">
        <w:trPr>
          <w:trHeight w:val="300"/>
        </w:trPr>
        <w:tc>
          <w:tcPr>
            <w:tcW w:w="724" w:type="dxa"/>
            <w:shd w:val="clear" w:color="auto" w:fill="auto"/>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2003</w:t>
            </w:r>
          </w:p>
        </w:tc>
        <w:tc>
          <w:tcPr>
            <w:tcW w:w="161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c>
          <w:tcPr>
            <w:tcW w:w="189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198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Falsification/forgery</w:t>
            </w:r>
          </w:p>
        </w:tc>
        <w:tc>
          <w:tcPr>
            <w:tcW w:w="190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Capital deficiencies</w:t>
            </w:r>
          </w:p>
        </w:tc>
      </w:tr>
      <w:tr w:rsidR="00883E1C" w:rsidRPr="00883E1C" w:rsidTr="00E51121">
        <w:trPr>
          <w:trHeight w:val="300"/>
        </w:trPr>
        <w:tc>
          <w:tcPr>
            <w:tcW w:w="724" w:type="dxa"/>
            <w:shd w:val="clear" w:color="auto" w:fill="auto"/>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2004</w:t>
            </w:r>
          </w:p>
        </w:tc>
        <w:tc>
          <w:tcPr>
            <w:tcW w:w="161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c>
          <w:tcPr>
            <w:tcW w:w="189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198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Falsification/forgery</w:t>
            </w:r>
          </w:p>
        </w:tc>
        <w:tc>
          <w:tcPr>
            <w:tcW w:w="190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 </w:t>
            </w:r>
          </w:p>
        </w:tc>
      </w:tr>
      <w:tr w:rsidR="00883E1C" w:rsidRPr="00883E1C" w:rsidTr="00E51121">
        <w:trPr>
          <w:trHeight w:val="300"/>
        </w:trPr>
        <w:tc>
          <w:tcPr>
            <w:tcW w:w="724" w:type="dxa"/>
            <w:shd w:val="clear" w:color="auto" w:fill="auto"/>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2005</w:t>
            </w:r>
          </w:p>
        </w:tc>
        <w:tc>
          <w:tcPr>
            <w:tcW w:w="161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189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c>
          <w:tcPr>
            <w:tcW w:w="198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Capital deficiency</w:t>
            </w:r>
          </w:p>
        </w:tc>
        <w:tc>
          <w:tcPr>
            <w:tcW w:w="190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Inappropriate personal financial dealings</w:t>
            </w:r>
          </w:p>
        </w:tc>
      </w:tr>
      <w:tr w:rsidR="00883E1C" w:rsidRPr="00883E1C" w:rsidTr="00E51121">
        <w:trPr>
          <w:trHeight w:val="300"/>
        </w:trPr>
        <w:tc>
          <w:tcPr>
            <w:tcW w:w="724" w:type="dxa"/>
            <w:shd w:val="clear" w:color="auto" w:fill="auto"/>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2006</w:t>
            </w:r>
          </w:p>
        </w:tc>
        <w:tc>
          <w:tcPr>
            <w:tcW w:w="161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189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Capital deficiencies</w:t>
            </w:r>
          </w:p>
        </w:tc>
        <w:tc>
          <w:tcPr>
            <w:tcW w:w="198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Falsification/forgery</w:t>
            </w:r>
          </w:p>
        </w:tc>
        <w:tc>
          <w:tcPr>
            <w:tcW w:w="190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r>
      <w:tr w:rsidR="00883E1C" w:rsidRPr="00883E1C" w:rsidTr="00E51121">
        <w:trPr>
          <w:trHeight w:val="300"/>
        </w:trPr>
        <w:tc>
          <w:tcPr>
            <w:tcW w:w="724" w:type="dxa"/>
            <w:shd w:val="clear" w:color="auto" w:fill="auto"/>
            <w:noWrap/>
            <w:hideMark/>
          </w:tcPr>
          <w:p w:rsidR="00F229E1" w:rsidRPr="00883E1C" w:rsidRDefault="00F229E1" w:rsidP="00F229E1">
            <w:pPr>
              <w:spacing w:after="0" w:line="240" w:lineRule="auto"/>
              <w:rPr>
                <w:rFonts w:ascii="Times New Roman" w:hAnsi="Times New Roman"/>
                <w:b/>
                <w:sz w:val="24"/>
                <w:szCs w:val="24"/>
              </w:rPr>
            </w:pPr>
            <w:r w:rsidRPr="00883E1C">
              <w:rPr>
                <w:rFonts w:ascii="Times New Roman" w:hAnsi="Times New Roman"/>
                <w:b/>
                <w:sz w:val="24"/>
                <w:szCs w:val="24"/>
              </w:rPr>
              <w:t>2007</w:t>
            </w:r>
          </w:p>
        </w:tc>
        <w:tc>
          <w:tcPr>
            <w:tcW w:w="161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Theft and fraudulent activities</w:t>
            </w:r>
          </w:p>
        </w:tc>
        <w:tc>
          <w:tcPr>
            <w:tcW w:w="189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Supervision</w:t>
            </w:r>
          </w:p>
        </w:tc>
        <w:tc>
          <w:tcPr>
            <w:tcW w:w="1980"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Capital deficiency and Manipulation and wash trading</w:t>
            </w:r>
          </w:p>
        </w:tc>
        <w:tc>
          <w:tcPr>
            <w:tcW w:w="1906" w:type="dxa"/>
            <w:shd w:val="clear" w:color="auto" w:fill="auto"/>
            <w:noWrap/>
            <w:hideMark/>
          </w:tcPr>
          <w:p w:rsidR="00F229E1" w:rsidRPr="00883E1C" w:rsidRDefault="00F229E1" w:rsidP="00F229E1">
            <w:pPr>
              <w:spacing w:after="0" w:line="240" w:lineRule="auto"/>
              <w:rPr>
                <w:rFonts w:ascii="Times New Roman" w:hAnsi="Times New Roman"/>
                <w:sz w:val="24"/>
                <w:szCs w:val="24"/>
              </w:rPr>
            </w:pPr>
            <w:r w:rsidRPr="00883E1C">
              <w:rPr>
                <w:rFonts w:ascii="Times New Roman" w:hAnsi="Times New Roman"/>
                <w:sz w:val="24"/>
                <w:szCs w:val="24"/>
              </w:rPr>
              <w:t>Unauthorized and discretionary trading</w:t>
            </w:r>
          </w:p>
        </w:tc>
      </w:tr>
    </w:tbl>
    <w:p w:rsidR="006822C4" w:rsidRPr="00883E1C" w:rsidRDefault="006822C4" w:rsidP="006822C4">
      <w:pPr>
        <w:pStyle w:val="NormalIndent"/>
        <w:rPr>
          <w:rFonts w:ascii="Times New Roman" w:hAnsi="Times New Roman"/>
          <w:lang w:val="en-AU"/>
        </w:rPr>
      </w:pPr>
      <w:r w:rsidRPr="00883E1C">
        <w:rPr>
          <w:rFonts w:ascii="Times New Roman" w:hAnsi="Times New Roman"/>
          <w:lang w:val="en-AU"/>
        </w:rPr>
        <w:t xml:space="preserve">. </w:t>
      </w:r>
    </w:p>
    <w:p w:rsidR="00DC056C" w:rsidRPr="00883E1C" w:rsidRDefault="006822C4" w:rsidP="006822C4">
      <w:pPr>
        <w:pStyle w:val="NormalIndent"/>
        <w:rPr>
          <w:rFonts w:ascii="Times New Roman" w:hAnsi="Times New Roman"/>
          <w:sz w:val="24"/>
          <w:szCs w:val="24"/>
          <w:lang w:val="en-AU"/>
        </w:rPr>
      </w:pPr>
      <w:r w:rsidRPr="00883E1C">
        <w:rPr>
          <w:rFonts w:ascii="Times New Roman" w:hAnsi="Times New Roman"/>
          <w:sz w:val="24"/>
          <w:szCs w:val="24"/>
          <w:lang w:val="en-AU"/>
        </w:rPr>
        <w:t>On the other hand, the most common types of disciplinary actions relate to brokers who conduct discretionary and/or unauthorized trades. Canadian securities law specifically prohibits investment brokers from exercising discretion in their clients’ account. A broker must have specific order</w:t>
      </w:r>
      <w:r w:rsidR="00AB560D" w:rsidRPr="00883E1C">
        <w:rPr>
          <w:rFonts w:ascii="Times New Roman" w:hAnsi="Times New Roman"/>
          <w:sz w:val="24"/>
          <w:szCs w:val="24"/>
          <w:lang w:val="en-AU"/>
        </w:rPr>
        <w:t>s</w:t>
      </w:r>
      <w:r w:rsidRPr="00883E1C">
        <w:rPr>
          <w:rFonts w:ascii="Times New Roman" w:hAnsi="Times New Roman"/>
          <w:sz w:val="24"/>
          <w:szCs w:val="24"/>
          <w:lang w:val="en-AU"/>
        </w:rPr>
        <w:t xml:space="preserve"> from his or her client to buy a specific security at a specific point in time (Baines, 2012: para. 26). Brokers break this rule simply as a matter of convenience:</w:t>
      </w:r>
      <w:r w:rsidR="00DC056C" w:rsidRPr="00883E1C">
        <w:rPr>
          <w:rFonts w:ascii="Times New Roman" w:hAnsi="Times New Roman"/>
          <w:sz w:val="24"/>
          <w:szCs w:val="24"/>
          <w:lang w:val="en-AU"/>
        </w:rPr>
        <w:t xml:space="preserve"> </w:t>
      </w:r>
    </w:p>
    <w:p w:rsidR="00DC056C" w:rsidRPr="00883E1C" w:rsidRDefault="008A0373" w:rsidP="00DC056C">
      <w:pPr>
        <w:pStyle w:val="NormalIndent"/>
        <w:spacing w:line="240" w:lineRule="auto"/>
        <w:ind w:left="284" w:right="284" w:firstLine="0"/>
        <w:rPr>
          <w:rFonts w:ascii="Times New Roman" w:hAnsi="Times New Roman"/>
          <w:sz w:val="24"/>
          <w:szCs w:val="24"/>
          <w:lang w:val="en-AU"/>
        </w:rPr>
      </w:pPr>
      <w:r w:rsidRPr="00883E1C">
        <w:rPr>
          <w:rFonts w:ascii="Times New Roman" w:hAnsi="Times New Roman"/>
          <w:sz w:val="24"/>
          <w:szCs w:val="24"/>
          <w:lang w:val="en-AU"/>
        </w:rPr>
        <w:t>The</w:t>
      </w:r>
      <w:r w:rsidR="006822C4" w:rsidRPr="00883E1C">
        <w:rPr>
          <w:rFonts w:ascii="Times New Roman" w:hAnsi="Times New Roman"/>
          <w:sz w:val="24"/>
          <w:szCs w:val="24"/>
          <w:lang w:val="en-AU"/>
        </w:rPr>
        <w:t xml:space="preserve"> broker has approval in principle from the client and, on that basis, he makes the trade. While that is still a breach, it is not as serious as unauthorized trading, where the broker doesn’t have any ag</w:t>
      </w:r>
      <w:r w:rsidR="00DC056C" w:rsidRPr="00883E1C">
        <w:rPr>
          <w:rFonts w:ascii="Times New Roman" w:hAnsi="Times New Roman"/>
          <w:sz w:val="24"/>
          <w:szCs w:val="24"/>
          <w:lang w:val="en-AU"/>
        </w:rPr>
        <w:t xml:space="preserve">reement with the client at all </w:t>
      </w:r>
      <w:r w:rsidR="006822C4" w:rsidRPr="00883E1C">
        <w:rPr>
          <w:rFonts w:ascii="Times New Roman" w:hAnsi="Times New Roman"/>
          <w:sz w:val="24"/>
          <w:szCs w:val="24"/>
          <w:lang w:val="en-AU"/>
        </w:rPr>
        <w:t xml:space="preserve">(para. 27). </w:t>
      </w:r>
    </w:p>
    <w:p w:rsidR="006822C4" w:rsidRPr="00883E1C" w:rsidRDefault="00710719" w:rsidP="00DC056C">
      <w:pPr>
        <w:pStyle w:val="NormalIndent"/>
        <w:ind w:firstLine="0"/>
        <w:rPr>
          <w:rFonts w:ascii="Times New Roman" w:hAnsi="Times New Roman"/>
          <w:sz w:val="24"/>
          <w:szCs w:val="24"/>
        </w:rPr>
      </w:pPr>
      <w:r w:rsidRPr="00883E1C">
        <w:rPr>
          <w:rFonts w:ascii="Times New Roman" w:hAnsi="Times New Roman"/>
          <w:sz w:val="24"/>
          <w:szCs w:val="24"/>
          <w:lang w:val="en-AU"/>
        </w:rPr>
        <w:t>Warren Funt, IIROC’s vice-president of Western Canada</w:t>
      </w:r>
      <w:r w:rsidR="00AB560D" w:rsidRPr="00883E1C">
        <w:rPr>
          <w:rFonts w:ascii="Times New Roman" w:hAnsi="Times New Roman"/>
          <w:sz w:val="24"/>
          <w:szCs w:val="24"/>
          <w:lang w:val="en-AU"/>
        </w:rPr>
        <w:t>,</w:t>
      </w:r>
      <w:r w:rsidRPr="00883E1C">
        <w:rPr>
          <w:rFonts w:ascii="Times New Roman" w:hAnsi="Times New Roman"/>
          <w:sz w:val="24"/>
          <w:szCs w:val="24"/>
          <w:lang w:val="en-AU"/>
        </w:rPr>
        <w:t xml:space="preserve"> </w:t>
      </w:r>
      <w:r w:rsidR="006822C4" w:rsidRPr="00883E1C">
        <w:rPr>
          <w:rFonts w:ascii="Times New Roman" w:hAnsi="Times New Roman"/>
          <w:sz w:val="24"/>
          <w:szCs w:val="24"/>
          <w:lang w:val="en-AU"/>
        </w:rPr>
        <w:t>identified some of the reasons why this might be the case:</w:t>
      </w:r>
    </w:p>
    <w:p w:rsidR="006822C4" w:rsidRPr="00883E1C" w:rsidRDefault="006822C4" w:rsidP="006822C4">
      <w:pPr>
        <w:autoSpaceDE w:val="0"/>
        <w:autoSpaceDN w:val="0"/>
        <w:adjustRightInd w:val="0"/>
        <w:spacing w:after="0" w:line="240" w:lineRule="auto"/>
        <w:ind w:left="284" w:right="284"/>
        <w:rPr>
          <w:rFonts w:ascii="Times New Roman" w:hAnsi="Times New Roman"/>
          <w:sz w:val="24"/>
          <w:szCs w:val="24"/>
        </w:rPr>
      </w:pPr>
      <w:r w:rsidRPr="00883E1C">
        <w:rPr>
          <w:rFonts w:ascii="Times New Roman" w:hAnsi="Times New Roman"/>
          <w:sz w:val="24"/>
          <w:szCs w:val="24"/>
        </w:rPr>
        <w:t xml:space="preserve">The first is monetary: the broker simply wants the commissions. The second is ‘just plain laziness.’ The broker can’t be bothered getting trained and registered as a portfolio manager, which would allow him to make trading decisions on behalf of his clients. The third reason is that some brokers really believe they are acting in the best interests of their </w:t>
      </w:r>
      <w:r w:rsidRPr="00883E1C">
        <w:rPr>
          <w:rFonts w:ascii="Times New Roman" w:hAnsi="Times New Roman"/>
          <w:sz w:val="24"/>
          <w:szCs w:val="24"/>
        </w:rPr>
        <w:lastRenderedPageBreak/>
        <w:t>clients. Funt says that, even if their intent is good, they are taking a huge risk, because if something goes wrong, the client can come back at them (Baines, 2012: para. 29-32).</w:t>
      </w:r>
    </w:p>
    <w:p w:rsidR="006822C4" w:rsidRPr="00883E1C" w:rsidRDefault="006822C4" w:rsidP="006822C4">
      <w:pPr>
        <w:autoSpaceDE w:val="0"/>
        <w:autoSpaceDN w:val="0"/>
        <w:adjustRightInd w:val="0"/>
        <w:spacing w:after="0" w:line="240" w:lineRule="auto"/>
        <w:ind w:left="284" w:right="284"/>
        <w:rPr>
          <w:rFonts w:ascii="Times New Roman" w:hAnsi="Times New Roman"/>
          <w:sz w:val="24"/>
          <w:szCs w:val="24"/>
        </w:rPr>
      </w:pPr>
    </w:p>
    <w:p w:rsidR="006822C4" w:rsidRPr="00883E1C" w:rsidRDefault="006822C4" w:rsidP="006822C4">
      <w:pPr>
        <w:rPr>
          <w:rFonts w:ascii="Times New Roman" w:hAnsi="Times New Roman"/>
          <w:sz w:val="24"/>
          <w:szCs w:val="24"/>
        </w:rPr>
      </w:pPr>
      <w:r w:rsidRPr="00883E1C">
        <w:rPr>
          <w:rFonts w:ascii="Times New Roman" w:hAnsi="Times New Roman"/>
          <w:sz w:val="24"/>
          <w:szCs w:val="24"/>
        </w:rPr>
        <w:t>Irrespective of the broker’s good intention, sales or purchase</w:t>
      </w:r>
      <w:r w:rsidR="00AB560D" w:rsidRPr="00883E1C">
        <w:rPr>
          <w:rFonts w:ascii="Times New Roman" w:hAnsi="Times New Roman"/>
          <w:sz w:val="24"/>
          <w:szCs w:val="24"/>
        </w:rPr>
        <w:t>s</w:t>
      </w:r>
      <w:r w:rsidRPr="00883E1C">
        <w:rPr>
          <w:rFonts w:ascii="Times New Roman" w:hAnsi="Times New Roman"/>
          <w:sz w:val="24"/>
          <w:szCs w:val="24"/>
        </w:rPr>
        <w:t xml:space="preserve"> of securities without the client’s prior knowledge</w:t>
      </w:r>
      <w:r w:rsidR="00AB560D" w:rsidRPr="00883E1C">
        <w:rPr>
          <w:rFonts w:ascii="Times New Roman" w:hAnsi="Times New Roman"/>
          <w:sz w:val="24"/>
          <w:szCs w:val="24"/>
        </w:rPr>
        <w:t>,</w:t>
      </w:r>
      <w:r w:rsidRPr="00883E1C">
        <w:rPr>
          <w:rFonts w:ascii="Times New Roman" w:hAnsi="Times New Roman"/>
          <w:sz w:val="24"/>
          <w:szCs w:val="24"/>
        </w:rPr>
        <w:t xml:space="preserve"> goes against the just and equitable principle of trade. </w:t>
      </w:r>
    </w:p>
    <w:p w:rsidR="006822C4" w:rsidRPr="00883E1C" w:rsidRDefault="006822C4" w:rsidP="006822C4">
      <w:pPr>
        <w:ind w:firstLine="720"/>
        <w:rPr>
          <w:rFonts w:ascii="Times New Roman" w:hAnsi="Times New Roman"/>
          <w:sz w:val="24"/>
          <w:szCs w:val="24"/>
        </w:rPr>
      </w:pPr>
      <w:r w:rsidRPr="00883E1C">
        <w:rPr>
          <w:rFonts w:ascii="Times New Roman" w:hAnsi="Times New Roman"/>
          <w:sz w:val="24"/>
          <w:szCs w:val="24"/>
        </w:rPr>
        <w:t>Managing the outcome</w:t>
      </w:r>
      <w:r w:rsidR="00AB560D" w:rsidRPr="00883E1C">
        <w:rPr>
          <w:rFonts w:ascii="Times New Roman" w:hAnsi="Times New Roman"/>
          <w:sz w:val="24"/>
          <w:szCs w:val="24"/>
        </w:rPr>
        <w:t>s</w:t>
      </w:r>
      <w:r w:rsidRPr="00883E1C">
        <w:rPr>
          <w:rFonts w:ascii="Times New Roman" w:hAnsi="Times New Roman"/>
          <w:sz w:val="24"/>
          <w:szCs w:val="24"/>
        </w:rPr>
        <w:t xml:space="preserve"> of these actions by the myriad of actors and agents involved in stock transactions is not always in black and white. Statutory regulations “have offered important supports for those individuals who seek to invest their money in the market” (Reichman, 1991: 284). As noted above, these cases can be hard to police because it is not always clear whether “someone is a victim of a fraud o</w:t>
      </w:r>
      <w:r w:rsidR="008A0373" w:rsidRPr="00883E1C">
        <w:rPr>
          <w:rFonts w:ascii="Times New Roman" w:hAnsi="Times New Roman"/>
          <w:sz w:val="24"/>
          <w:szCs w:val="24"/>
        </w:rPr>
        <w:t>r a reckless investor” (Gray &amp;</w:t>
      </w:r>
      <w:r w:rsidRPr="00883E1C">
        <w:rPr>
          <w:rFonts w:ascii="Times New Roman" w:hAnsi="Times New Roman"/>
          <w:sz w:val="24"/>
          <w:szCs w:val="24"/>
        </w:rPr>
        <w:t xml:space="preserve"> McFarland, 2013: para. 6).  In many ways then, market regulation can provide the context where at least theoretically, all investors can calculate the odds of investing in the market; but, as is evident from the discussion so far, regulation is not always compatible with investors’ actions (Reichm</w:t>
      </w:r>
      <w:r w:rsidR="00F6653C" w:rsidRPr="00883E1C">
        <w:rPr>
          <w:rFonts w:ascii="Times New Roman" w:hAnsi="Times New Roman"/>
          <w:sz w:val="24"/>
          <w:szCs w:val="24"/>
        </w:rPr>
        <w:t>an, 1991: 284; Braithwaite, 2013</w:t>
      </w:r>
      <w:r w:rsidRPr="00883E1C">
        <w:rPr>
          <w:rFonts w:ascii="Times New Roman" w:hAnsi="Times New Roman"/>
          <w:sz w:val="24"/>
          <w:szCs w:val="24"/>
        </w:rPr>
        <w:t>: 2). With this in mind, I now proceed to examine the “funnel away” aspect of the SRO’s misconduct funnel.</w:t>
      </w:r>
    </w:p>
    <w:p w:rsidR="001F4256" w:rsidRPr="00883E1C" w:rsidRDefault="001B393A" w:rsidP="001F4256">
      <w:pPr>
        <w:rPr>
          <w:rFonts w:ascii="Times New Roman" w:hAnsi="Times New Roman"/>
          <w:b/>
          <w:i/>
          <w:sz w:val="24"/>
          <w:szCs w:val="24"/>
        </w:rPr>
      </w:pPr>
      <w:r w:rsidRPr="00883E1C">
        <w:rPr>
          <w:rFonts w:ascii="Times New Roman" w:hAnsi="Times New Roman"/>
          <w:b/>
          <w:i/>
          <w:sz w:val="24"/>
          <w:szCs w:val="24"/>
        </w:rPr>
        <w:t xml:space="preserve">5.3. </w:t>
      </w:r>
      <w:r w:rsidR="001F4256" w:rsidRPr="00883E1C">
        <w:rPr>
          <w:rFonts w:ascii="Times New Roman" w:hAnsi="Times New Roman"/>
          <w:b/>
          <w:i/>
          <w:sz w:val="24"/>
          <w:szCs w:val="24"/>
        </w:rPr>
        <w:t>The Funnel Process: Funnel Away</w:t>
      </w:r>
    </w:p>
    <w:p w:rsidR="001F4256" w:rsidRPr="00883E1C" w:rsidRDefault="001F4256" w:rsidP="001F4256">
      <w:pPr>
        <w:ind w:firstLine="720"/>
        <w:rPr>
          <w:rFonts w:ascii="Times New Roman" w:hAnsi="Times New Roman"/>
          <w:sz w:val="24"/>
          <w:szCs w:val="24"/>
        </w:rPr>
      </w:pPr>
      <w:r w:rsidRPr="00883E1C">
        <w:rPr>
          <w:rFonts w:ascii="Times New Roman" w:hAnsi="Times New Roman"/>
          <w:sz w:val="24"/>
          <w:szCs w:val="24"/>
        </w:rPr>
        <w:t>Continuin</w:t>
      </w:r>
      <w:r w:rsidR="003A05ED" w:rsidRPr="00883E1C">
        <w:rPr>
          <w:rFonts w:ascii="Times New Roman" w:hAnsi="Times New Roman"/>
          <w:sz w:val="24"/>
          <w:szCs w:val="24"/>
        </w:rPr>
        <w:t>g on with the funnel metaphor, the “funnel away”</w:t>
      </w:r>
      <w:r w:rsidRPr="00883E1C">
        <w:rPr>
          <w:rFonts w:ascii="Times New Roman" w:hAnsi="Times New Roman"/>
          <w:sz w:val="24"/>
          <w:szCs w:val="24"/>
        </w:rPr>
        <w:t xml:space="preserve"> </w:t>
      </w:r>
      <w:r w:rsidR="0085781C" w:rsidRPr="00883E1C">
        <w:rPr>
          <w:rFonts w:ascii="Times New Roman" w:hAnsi="Times New Roman"/>
          <w:sz w:val="24"/>
          <w:szCs w:val="24"/>
        </w:rPr>
        <w:t>aspect of</w:t>
      </w:r>
      <w:r w:rsidR="005D2C9D" w:rsidRPr="00883E1C">
        <w:rPr>
          <w:rFonts w:ascii="Times New Roman" w:hAnsi="Times New Roman"/>
          <w:sz w:val="24"/>
          <w:szCs w:val="24"/>
        </w:rPr>
        <w:t xml:space="preserve"> the regulatory funnel </w:t>
      </w:r>
      <w:r w:rsidRPr="00883E1C">
        <w:rPr>
          <w:rFonts w:ascii="Times New Roman" w:hAnsi="Times New Roman"/>
          <w:sz w:val="24"/>
          <w:szCs w:val="24"/>
        </w:rPr>
        <w:t xml:space="preserve">is concerned with whether </w:t>
      </w:r>
      <w:r w:rsidR="003A05ED" w:rsidRPr="00883E1C">
        <w:rPr>
          <w:rFonts w:ascii="Times New Roman" w:hAnsi="Times New Roman"/>
          <w:sz w:val="24"/>
          <w:szCs w:val="24"/>
        </w:rPr>
        <w:t>SROs</w:t>
      </w:r>
      <w:r w:rsidRPr="00883E1C">
        <w:rPr>
          <w:rFonts w:ascii="Times New Roman" w:hAnsi="Times New Roman"/>
          <w:sz w:val="24"/>
          <w:szCs w:val="24"/>
        </w:rPr>
        <w:t xml:space="preserve"> deflect cases away from the </w:t>
      </w:r>
      <w:r w:rsidR="007055FD" w:rsidRPr="00883E1C">
        <w:rPr>
          <w:rFonts w:ascii="Times New Roman" w:hAnsi="Times New Roman"/>
          <w:sz w:val="24"/>
          <w:szCs w:val="24"/>
        </w:rPr>
        <w:t>CJS</w:t>
      </w:r>
      <w:r w:rsidRPr="00883E1C">
        <w:rPr>
          <w:rFonts w:ascii="Times New Roman" w:hAnsi="Times New Roman"/>
          <w:sz w:val="24"/>
          <w:szCs w:val="24"/>
        </w:rPr>
        <w:t xml:space="preserve"> in order to protect its members (Brockman &amp; McEwen, 1990: 27). Under this assertion, it is expected that the IDA may not refer cases involving fraud, misappropriation of funds, and forgery to the </w:t>
      </w:r>
      <w:r w:rsidR="007055FD" w:rsidRPr="00883E1C">
        <w:rPr>
          <w:rFonts w:ascii="Times New Roman" w:hAnsi="Times New Roman"/>
          <w:sz w:val="24"/>
          <w:szCs w:val="24"/>
        </w:rPr>
        <w:t>CJS</w:t>
      </w:r>
      <w:r w:rsidRPr="00883E1C">
        <w:rPr>
          <w:rFonts w:ascii="Times New Roman" w:hAnsi="Times New Roman"/>
          <w:sz w:val="24"/>
          <w:szCs w:val="24"/>
        </w:rPr>
        <w:t xml:space="preserve"> for investigation. Given that some of the cases with evidence of criminality may be difficult to prove in the </w:t>
      </w:r>
      <w:r w:rsidR="007055FD" w:rsidRPr="00883E1C">
        <w:rPr>
          <w:rFonts w:ascii="Times New Roman" w:hAnsi="Times New Roman"/>
          <w:sz w:val="24"/>
          <w:szCs w:val="24"/>
        </w:rPr>
        <w:t>CJS</w:t>
      </w:r>
      <w:r w:rsidRPr="00883E1C">
        <w:rPr>
          <w:rFonts w:ascii="Times New Roman" w:hAnsi="Times New Roman"/>
          <w:sz w:val="24"/>
          <w:szCs w:val="24"/>
        </w:rPr>
        <w:t xml:space="preserve">, the IDA might be justified in dealing with them internally. That said, the purpose of the “funnel away” aspect of the IDA’s enforcement process is to identify the types of cases with “evidence of criminal activity” that could have justifiably been referred to the </w:t>
      </w:r>
      <w:r w:rsidR="007055FD" w:rsidRPr="00883E1C">
        <w:rPr>
          <w:rFonts w:ascii="Times New Roman" w:hAnsi="Times New Roman"/>
          <w:sz w:val="24"/>
          <w:szCs w:val="24"/>
        </w:rPr>
        <w:t xml:space="preserve">CJS </w:t>
      </w:r>
      <w:r w:rsidRPr="00883E1C">
        <w:rPr>
          <w:rFonts w:ascii="Times New Roman" w:hAnsi="Times New Roman"/>
          <w:sz w:val="24"/>
          <w:szCs w:val="24"/>
        </w:rPr>
        <w:t xml:space="preserve">(see IIROC, </w:t>
      </w:r>
      <w:r w:rsidR="00425EFA" w:rsidRPr="00883E1C">
        <w:rPr>
          <w:rFonts w:ascii="Times New Roman" w:hAnsi="Times New Roman"/>
          <w:sz w:val="24"/>
          <w:szCs w:val="24"/>
        </w:rPr>
        <w:lastRenderedPageBreak/>
        <w:t>2008</w:t>
      </w:r>
      <w:r w:rsidRPr="00883E1C">
        <w:rPr>
          <w:rFonts w:ascii="Times New Roman" w:hAnsi="Times New Roman"/>
          <w:sz w:val="24"/>
          <w:szCs w:val="24"/>
        </w:rPr>
        <w:t>: 1). This is not to say that these individuals would have been necessarily convicted of a criminal offence if charged, but it may have helped to identify some of the types of misconduct that have “element[s] of criminal” activities attached to them (IDA, 2006: 12</w:t>
      </w:r>
      <w:r w:rsidR="0085781C" w:rsidRPr="00883E1C">
        <w:rPr>
          <w:rFonts w:ascii="Times New Roman" w:hAnsi="Times New Roman"/>
          <w:sz w:val="24"/>
          <w:szCs w:val="24"/>
        </w:rPr>
        <w:t>)</w:t>
      </w:r>
      <w:r w:rsidRPr="00883E1C">
        <w:rPr>
          <w:rFonts w:ascii="Times New Roman" w:hAnsi="Times New Roman"/>
          <w:sz w:val="24"/>
          <w:szCs w:val="24"/>
        </w:rPr>
        <w:t xml:space="preserve">.  </w:t>
      </w:r>
    </w:p>
    <w:p w:rsidR="001F4256" w:rsidRPr="00883E1C" w:rsidRDefault="00E51121" w:rsidP="001B393A">
      <w:pPr>
        <w:spacing w:after="0" w:line="240" w:lineRule="auto"/>
        <w:rPr>
          <w:rFonts w:ascii="Times New Roman" w:hAnsi="Times New Roman"/>
          <w:b/>
          <w:sz w:val="24"/>
          <w:szCs w:val="24"/>
        </w:rPr>
      </w:pPr>
      <w:r w:rsidRPr="00883E1C">
        <w:rPr>
          <w:rFonts w:ascii="Times New Roman" w:hAnsi="Times New Roman"/>
          <w:b/>
          <w:sz w:val="24"/>
          <w:szCs w:val="24"/>
        </w:rPr>
        <w:t>Table 1-8</w:t>
      </w:r>
      <w:r w:rsidR="001F4256" w:rsidRPr="00883E1C">
        <w:rPr>
          <w:rFonts w:ascii="Times New Roman" w:hAnsi="Times New Roman"/>
          <w:b/>
          <w:sz w:val="24"/>
          <w:szCs w:val="24"/>
        </w:rPr>
        <w:tab/>
        <w:t xml:space="preserve">Quasi-Criminal Cases </w:t>
      </w:r>
      <w:r w:rsidR="00883E1C" w:rsidRPr="00883E1C">
        <w:rPr>
          <w:rFonts w:ascii="Times New Roman" w:hAnsi="Times New Roman"/>
          <w:b/>
          <w:sz w:val="24"/>
          <w:szCs w:val="24"/>
        </w:rPr>
        <w:t>Funneled</w:t>
      </w:r>
      <w:r w:rsidR="001F4256" w:rsidRPr="00883E1C">
        <w:rPr>
          <w:rFonts w:ascii="Times New Roman" w:hAnsi="Times New Roman"/>
          <w:b/>
          <w:sz w:val="24"/>
          <w:szCs w:val="24"/>
        </w:rPr>
        <w:t xml:space="preserve"> Away by the IDA</w:t>
      </w:r>
    </w:p>
    <w:tbl>
      <w:tblPr>
        <w:tblW w:w="8640" w:type="dxa"/>
        <w:tblInd w:w="96" w:type="dxa"/>
        <w:tblLook w:val="04A0" w:firstRow="1" w:lastRow="0" w:firstColumn="1" w:lastColumn="0" w:noHBand="0" w:noVBand="1"/>
      </w:tblPr>
      <w:tblGrid>
        <w:gridCol w:w="2033"/>
        <w:gridCol w:w="2164"/>
        <w:gridCol w:w="1654"/>
        <w:gridCol w:w="1751"/>
        <w:gridCol w:w="1038"/>
      </w:tblGrid>
      <w:tr w:rsidR="00883E1C" w:rsidRPr="00883E1C" w:rsidTr="004F7A6B">
        <w:trPr>
          <w:trHeight w:val="300"/>
        </w:trPr>
        <w:tc>
          <w:tcPr>
            <w:tcW w:w="2033" w:type="dxa"/>
            <w:tcBorders>
              <w:top w:val="nil"/>
              <w:left w:val="nil"/>
              <w:bottom w:val="nil"/>
              <w:right w:val="nil"/>
            </w:tcBorders>
            <w:shd w:val="clear" w:color="auto" w:fill="auto"/>
            <w:noWrap/>
            <w:vAlign w:val="center"/>
            <w:hideMark/>
          </w:tcPr>
          <w:p w:rsidR="001F4256" w:rsidRPr="00883E1C" w:rsidRDefault="001F4256" w:rsidP="001B393A">
            <w:pPr>
              <w:spacing w:after="0" w:line="240" w:lineRule="auto"/>
              <w:jc w:val="center"/>
              <w:rPr>
                <w:rFonts w:ascii="Times New Roman" w:hAnsi="Times New Roman"/>
                <w:b/>
                <w:bCs/>
                <w:sz w:val="24"/>
                <w:szCs w:val="24"/>
              </w:rPr>
            </w:pPr>
          </w:p>
        </w:tc>
        <w:tc>
          <w:tcPr>
            <w:tcW w:w="2164" w:type="dxa"/>
            <w:tcBorders>
              <w:top w:val="nil"/>
              <w:left w:val="nil"/>
              <w:bottom w:val="nil"/>
              <w:right w:val="nil"/>
            </w:tcBorders>
            <w:shd w:val="clear" w:color="auto" w:fill="auto"/>
            <w:noWrap/>
            <w:vAlign w:val="center"/>
            <w:hideMark/>
          </w:tcPr>
          <w:p w:rsidR="001F4256" w:rsidRPr="00883E1C" w:rsidRDefault="001F4256" w:rsidP="001B393A">
            <w:pPr>
              <w:spacing w:after="0" w:line="240" w:lineRule="auto"/>
              <w:jc w:val="center"/>
              <w:rPr>
                <w:rFonts w:ascii="Times New Roman" w:hAnsi="Times New Roman"/>
                <w:b/>
                <w:bCs/>
                <w:sz w:val="24"/>
                <w:szCs w:val="24"/>
              </w:rPr>
            </w:pPr>
          </w:p>
        </w:tc>
        <w:tc>
          <w:tcPr>
            <w:tcW w:w="1654" w:type="dxa"/>
            <w:tcBorders>
              <w:top w:val="nil"/>
              <w:left w:val="nil"/>
              <w:bottom w:val="nil"/>
              <w:right w:val="nil"/>
            </w:tcBorders>
            <w:shd w:val="clear" w:color="auto" w:fill="auto"/>
            <w:noWrap/>
            <w:hideMark/>
          </w:tcPr>
          <w:p w:rsidR="001F4256" w:rsidRPr="00883E1C" w:rsidRDefault="001F4256" w:rsidP="001B393A">
            <w:pPr>
              <w:spacing w:after="0" w:line="240" w:lineRule="auto"/>
              <w:jc w:val="right"/>
              <w:rPr>
                <w:rFonts w:ascii="Times New Roman" w:hAnsi="Times New Roman"/>
                <w:sz w:val="24"/>
                <w:szCs w:val="24"/>
              </w:rPr>
            </w:pPr>
          </w:p>
        </w:tc>
        <w:tc>
          <w:tcPr>
            <w:tcW w:w="1751" w:type="dxa"/>
            <w:tcBorders>
              <w:top w:val="nil"/>
              <w:left w:val="nil"/>
              <w:bottom w:val="nil"/>
              <w:right w:val="nil"/>
            </w:tcBorders>
            <w:shd w:val="clear" w:color="auto" w:fill="auto"/>
            <w:noWrap/>
            <w:hideMark/>
          </w:tcPr>
          <w:p w:rsidR="001F4256" w:rsidRPr="00883E1C" w:rsidRDefault="001F4256" w:rsidP="001B393A">
            <w:pPr>
              <w:spacing w:after="0" w:line="240" w:lineRule="auto"/>
              <w:jc w:val="right"/>
              <w:rPr>
                <w:rFonts w:ascii="Times New Roman" w:hAnsi="Times New Roman"/>
                <w:sz w:val="24"/>
                <w:szCs w:val="24"/>
              </w:rPr>
            </w:pPr>
          </w:p>
        </w:tc>
        <w:tc>
          <w:tcPr>
            <w:tcW w:w="1038" w:type="dxa"/>
            <w:tcBorders>
              <w:top w:val="nil"/>
              <w:left w:val="nil"/>
              <w:bottom w:val="nil"/>
              <w:right w:val="nil"/>
            </w:tcBorders>
            <w:shd w:val="clear" w:color="auto" w:fill="auto"/>
            <w:noWrap/>
            <w:hideMark/>
          </w:tcPr>
          <w:p w:rsidR="001F4256" w:rsidRPr="00883E1C" w:rsidRDefault="001F4256" w:rsidP="001B393A">
            <w:pPr>
              <w:spacing w:after="0" w:line="240" w:lineRule="auto"/>
              <w:jc w:val="right"/>
              <w:rPr>
                <w:rFonts w:ascii="Times New Roman" w:hAnsi="Times New Roman"/>
                <w:sz w:val="24"/>
                <w:szCs w:val="24"/>
              </w:rPr>
            </w:pPr>
          </w:p>
        </w:tc>
      </w:tr>
      <w:tr w:rsidR="00883E1C" w:rsidRPr="00883E1C" w:rsidTr="004F7A6B">
        <w:trPr>
          <w:trHeight w:val="300"/>
        </w:trPr>
        <w:tc>
          <w:tcPr>
            <w:tcW w:w="8640" w:type="dxa"/>
            <w:gridSpan w:val="5"/>
            <w:tcBorders>
              <w:top w:val="single" w:sz="4" w:space="0" w:color="auto"/>
              <w:left w:val="single" w:sz="4" w:space="0" w:color="auto"/>
              <w:bottom w:val="single" w:sz="4" w:space="0" w:color="auto"/>
              <w:right w:val="nil"/>
            </w:tcBorders>
            <w:shd w:val="clear" w:color="auto" w:fill="auto"/>
            <w:vAlign w:val="center"/>
            <w:hideMark/>
          </w:tcPr>
          <w:p w:rsidR="001F4256" w:rsidRPr="00883E1C" w:rsidRDefault="001F4256" w:rsidP="004F7A6B">
            <w:pPr>
              <w:spacing w:after="0" w:line="240" w:lineRule="auto"/>
              <w:jc w:val="center"/>
              <w:rPr>
                <w:rFonts w:ascii="Times New Roman" w:hAnsi="Times New Roman"/>
                <w:b/>
                <w:bCs/>
                <w:sz w:val="24"/>
                <w:szCs w:val="24"/>
              </w:rPr>
            </w:pPr>
            <w:r w:rsidRPr="00883E1C">
              <w:rPr>
                <w:rFonts w:ascii="Times New Roman" w:hAnsi="Times New Roman"/>
                <w:b/>
                <w:bCs/>
                <w:sz w:val="24"/>
                <w:szCs w:val="24"/>
              </w:rPr>
              <w:t xml:space="preserve">Cases </w:t>
            </w:r>
            <w:r w:rsidR="00883E1C" w:rsidRPr="00883E1C">
              <w:rPr>
                <w:rFonts w:ascii="Times New Roman" w:hAnsi="Times New Roman"/>
                <w:b/>
                <w:bCs/>
                <w:sz w:val="24"/>
                <w:szCs w:val="24"/>
              </w:rPr>
              <w:t>Funneled</w:t>
            </w:r>
            <w:r w:rsidRPr="00883E1C">
              <w:rPr>
                <w:rFonts w:ascii="Times New Roman" w:hAnsi="Times New Roman"/>
                <w:b/>
                <w:bCs/>
                <w:sz w:val="24"/>
                <w:szCs w:val="24"/>
              </w:rPr>
              <w:t xml:space="preserve"> Away from</w:t>
            </w:r>
          </w:p>
          <w:p w:rsidR="001F4256" w:rsidRPr="00883E1C" w:rsidRDefault="001F4256" w:rsidP="004F7A6B">
            <w:pPr>
              <w:spacing w:after="0" w:line="240" w:lineRule="auto"/>
              <w:jc w:val="center"/>
              <w:rPr>
                <w:rFonts w:ascii="Times New Roman" w:hAnsi="Times New Roman"/>
                <w:b/>
                <w:bCs/>
                <w:sz w:val="24"/>
                <w:szCs w:val="24"/>
              </w:rPr>
            </w:pPr>
            <w:r w:rsidRPr="00883E1C">
              <w:rPr>
                <w:rFonts w:ascii="Times New Roman" w:hAnsi="Times New Roman"/>
                <w:b/>
                <w:bCs/>
                <w:sz w:val="24"/>
                <w:szCs w:val="24"/>
              </w:rPr>
              <w:t>2002-2007</w:t>
            </w:r>
          </w:p>
        </w:tc>
      </w:tr>
      <w:tr w:rsidR="00883E1C" w:rsidRPr="00883E1C" w:rsidTr="004F7A6B">
        <w:trPr>
          <w:trHeight w:val="300"/>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1F4256" w:rsidRPr="00883E1C" w:rsidRDefault="001F4256" w:rsidP="004F7A6B">
            <w:pPr>
              <w:spacing w:after="0" w:line="240" w:lineRule="auto"/>
              <w:jc w:val="center"/>
              <w:rPr>
                <w:rFonts w:ascii="Times New Roman" w:hAnsi="Times New Roman"/>
                <w:b/>
                <w:bCs/>
                <w:sz w:val="24"/>
                <w:szCs w:val="24"/>
              </w:rPr>
            </w:pPr>
            <w:r w:rsidRPr="00883E1C">
              <w:rPr>
                <w:rFonts w:ascii="Times New Roman" w:hAnsi="Times New Roman"/>
                <w:b/>
                <w:bCs/>
                <w:sz w:val="24"/>
                <w:szCs w:val="24"/>
              </w:rPr>
              <w:t> </w:t>
            </w:r>
          </w:p>
        </w:tc>
        <w:tc>
          <w:tcPr>
            <w:tcW w:w="2164" w:type="dxa"/>
            <w:tcBorders>
              <w:top w:val="nil"/>
              <w:left w:val="nil"/>
              <w:bottom w:val="single" w:sz="4" w:space="0" w:color="auto"/>
              <w:right w:val="single" w:sz="4" w:space="0" w:color="auto"/>
            </w:tcBorders>
            <w:shd w:val="clear" w:color="auto" w:fill="auto"/>
            <w:noWrap/>
            <w:vAlign w:val="center"/>
            <w:hideMark/>
          </w:tcPr>
          <w:p w:rsidR="001F4256" w:rsidRPr="00883E1C" w:rsidRDefault="001F4256" w:rsidP="004F7A6B">
            <w:pPr>
              <w:spacing w:after="0" w:line="240" w:lineRule="auto"/>
              <w:jc w:val="center"/>
              <w:rPr>
                <w:rFonts w:ascii="Times New Roman" w:hAnsi="Times New Roman"/>
                <w:b/>
                <w:bCs/>
                <w:sz w:val="24"/>
                <w:szCs w:val="24"/>
              </w:rPr>
            </w:pPr>
            <w:r w:rsidRPr="00883E1C">
              <w:rPr>
                <w:rFonts w:ascii="Times New Roman" w:hAnsi="Times New Roman"/>
                <w:b/>
                <w:bCs/>
                <w:sz w:val="24"/>
                <w:szCs w:val="24"/>
              </w:rPr>
              <w:t> </w:t>
            </w:r>
          </w:p>
        </w:tc>
        <w:tc>
          <w:tcPr>
            <w:tcW w:w="3405" w:type="dxa"/>
            <w:gridSpan w:val="2"/>
            <w:tcBorders>
              <w:top w:val="single" w:sz="4" w:space="0" w:color="auto"/>
              <w:left w:val="nil"/>
              <w:bottom w:val="single" w:sz="4" w:space="0" w:color="auto"/>
              <w:right w:val="single" w:sz="4" w:space="0" w:color="auto"/>
            </w:tcBorders>
            <w:shd w:val="clear" w:color="auto" w:fill="auto"/>
            <w:vAlign w:val="bottom"/>
            <w:hideMark/>
          </w:tcPr>
          <w:p w:rsidR="001F4256" w:rsidRPr="00883E1C" w:rsidRDefault="001F4256" w:rsidP="004F7A6B">
            <w:pPr>
              <w:spacing w:after="0" w:line="240" w:lineRule="auto"/>
              <w:jc w:val="center"/>
              <w:rPr>
                <w:rFonts w:ascii="Times New Roman" w:hAnsi="Times New Roman"/>
                <w:b/>
                <w:sz w:val="24"/>
                <w:szCs w:val="24"/>
              </w:rPr>
            </w:pPr>
            <w:r w:rsidRPr="00883E1C">
              <w:rPr>
                <w:rFonts w:ascii="Times New Roman" w:hAnsi="Times New Roman"/>
                <w:b/>
                <w:sz w:val="24"/>
                <w:szCs w:val="24"/>
              </w:rPr>
              <w:t>Type of Hearing</w:t>
            </w:r>
          </w:p>
        </w:tc>
        <w:tc>
          <w:tcPr>
            <w:tcW w:w="1038" w:type="dxa"/>
            <w:vMerge w:val="restart"/>
            <w:tcBorders>
              <w:top w:val="nil"/>
              <w:left w:val="single" w:sz="4" w:space="0" w:color="auto"/>
              <w:bottom w:val="single" w:sz="4" w:space="0" w:color="auto"/>
              <w:right w:val="single" w:sz="4" w:space="0" w:color="auto"/>
            </w:tcBorders>
            <w:shd w:val="clear" w:color="auto" w:fill="auto"/>
            <w:vAlign w:val="bottom"/>
            <w:hideMark/>
          </w:tcPr>
          <w:p w:rsidR="001F4256" w:rsidRPr="00883E1C" w:rsidRDefault="001F4256" w:rsidP="004F7A6B">
            <w:pPr>
              <w:spacing w:after="0" w:line="240" w:lineRule="auto"/>
              <w:jc w:val="center"/>
              <w:rPr>
                <w:rFonts w:ascii="Times New Roman" w:hAnsi="Times New Roman"/>
                <w:sz w:val="24"/>
                <w:szCs w:val="24"/>
              </w:rPr>
            </w:pPr>
            <w:r w:rsidRPr="00883E1C">
              <w:rPr>
                <w:rFonts w:ascii="Times New Roman" w:hAnsi="Times New Roman"/>
                <w:sz w:val="24"/>
                <w:szCs w:val="24"/>
              </w:rPr>
              <w:t>Total</w:t>
            </w:r>
          </w:p>
        </w:tc>
      </w:tr>
      <w:tr w:rsidR="00883E1C" w:rsidRPr="00883E1C" w:rsidTr="004F7A6B">
        <w:trPr>
          <w:trHeight w:val="300"/>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1F4256" w:rsidRPr="00883E1C" w:rsidRDefault="001F4256" w:rsidP="004F7A6B">
            <w:pPr>
              <w:spacing w:after="0" w:line="240" w:lineRule="auto"/>
              <w:jc w:val="center"/>
              <w:rPr>
                <w:rFonts w:ascii="Times New Roman" w:hAnsi="Times New Roman"/>
                <w:b/>
                <w:bCs/>
                <w:sz w:val="24"/>
                <w:szCs w:val="24"/>
              </w:rPr>
            </w:pPr>
            <w:r w:rsidRPr="00883E1C">
              <w:rPr>
                <w:rFonts w:ascii="Times New Roman" w:hAnsi="Times New Roman"/>
                <w:b/>
                <w:bCs/>
                <w:sz w:val="24"/>
                <w:szCs w:val="24"/>
              </w:rPr>
              <w:t> </w:t>
            </w:r>
          </w:p>
        </w:tc>
        <w:tc>
          <w:tcPr>
            <w:tcW w:w="2164" w:type="dxa"/>
            <w:tcBorders>
              <w:top w:val="nil"/>
              <w:left w:val="nil"/>
              <w:bottom w:val="single" w:sz="4" w:space="0" w:color="auto"/>
              <w:right w:val="single" w:sz="4" w:space="0" w:color="auto"/>
            </w:tcBorders>
            <w:shd w:val="clear" w:color="auto" w:fill="auto"/>
            <w:noWrap/>
            <w:vAlign w:val="center"/>
            <w:hideMark/>
          </w:tcPr>
          <w:p w:rsidR="001F4256" w:rsidRPr="00883E1C" w:rsidRDefault="001F4256" w:rsidP="004F7A6B">
            <w:pPr>
              <w:spacing w:after="0" w:line="240" w:lineRule="auto"/>
              <w:jc w:val="center"/>
              <w:rPr>
                <w:rFonts w:ascii="Times New Roman" w:hAnsi="Times New Roman"/>
                <w:b/>
                <w:bCs/>
                <w:sz w:val="24"/>
                <w:szCs w:val="24"/>
              </w:rPr>
            </w:pPr>
            <w:r w:rsidRPr="00883E1C">
              <w:rPr>
                <w:rFonts w:ascii="Times New Roman" w:hAnsi="Times New Roman"/>
                <w:b/>
                <w:bCs/>
                <w:sz w:val="24"/>
                <w:szCs w:val="24"/>
              </w:rPr>
              <w:t> </w:t>
            </w:r>
          </w:p>
        </w:tc>
        <w:tc>
          <w:tcPr>
            <w:tcW w:w="1654" w:type="dxa"/>
            <w:tcBorders>
              <w:top w:val="nil"/>
              <w:left w:val="nil"/>
              <w:bottom w:val="single" w:sz="4" w:space="0" w:color="auto"/>
              <w:right w:val="single" w:sz="4" w:space="0" w:color="auto"/>
            </w:tcBorders>
            <w:shd w:val="clear" w:color="auto" w:fill="auto"/>
            <w:vAlign w:val="bottom"/>
            <w:hideMark/>
          </w:tcPr>
          <w:p w:rsidR="001F4256" w:rsidRPr="00883E1C" w:rsidRDefault="001F4256" w:rsidP="004F7A6B">
            <w:pPr>
              <w:spacing w:after="0" w:line="240" w:lineRule="auto"/>
              <w:jc w:val="center"/>
              <w:rPr>
                <w:rFonts w:ascii="Times New Roman" w:hAnsi="Times New Roman"/>
                <w:sz w:val="24"/>
                <w:szCs w:val="24"/>
              </w:rPr>
            </w:pPr>
            <w:r w:rsidRPr="00883E1C">
              <w:rPr>
                <w:rFonts w:ascii="Times New Roman" w:hAnsi="Times New Roman"/>
                <w:sz w:val="24"/>
                <w:szCs w:val="24"/>
              </w:rPr>
              <w:t>Settlement</w:t>
            </w:r>
          </w:p>
        </w:tc>
        <w:tc>
          <w:tcPr>
            <w:tcW w:w="1751" w:type="dxa"/>
            <w:tcBorders>
              <w:top w:val="nil"/>
              <w:left w:val="nil"/>
              <w:bottom w:val="single" w:sz="4" w:space="0" w:color="auto"/>
              <w:right w:val="single" w:sz="4" w:space="0" w:color="auto"/>
            </w:tcBorders>
            <w:shd w:val="clear" w:color="auto" w:fill="auto"/>
            <w:vAlign w:val="bottom"/>
            <w:hideMark/>
          </w:tcPr>
          <w:p w:rsidR="001F4256" w:rsidRPr="00883E1C" w:rsidRDefault="001F4256" w:rsidP="004F7A6B">
            <w:pPr>
              <w:spacing w:after="0" w:line="240" w:lineRule="auto"/>
              <w:jc w:val="center"/>
              <w:rPr>
                <w:rFonts w:ascii="Times New Roman" w:hAnsi="Times New Roman"/>
                <w:sz w:val="24"/>
                <w:szCs w:val="24"/>
              </w:rPr>
            </w:pPr>
            <w:r w:rsidRPr="00883E1C">
              <w:rPr>
                <w:rFonts w:ascii="Times New Roman" w:hAnsi="Times New Roman"/>
                <w:sz w:val="24"/>
                <w:szCs w:val="24"/>
              </w:rPr>
              <w:t>Contested</w:t>
            </w:r>
          </w:p>
        </w:tc>
        <w:tc>
          <w:tcPr>
            <w:tcW w:w="1038" w:type="dxa"/>
            <w:vMerge/>
            <w:tcBorders>
              <w:top w:val="nil"/>
              <w:left w:val="single" w:sz="4" w:space="0" w:color="auto"/>
              <w:bottom w:val="single" w:sz="4" w:space="0" w:color="auto"/>
              <w:right w:val="single" w:sz="4" w:space="0" w:color="auto"/>
            </w:tcBorders>
            <w:vAlign w:val="center"/>
            <w:hideMark/>
          </w:tcPr>
          <w:p w:rsidR="001F4256" w:rsidRPr="00883E1C" w:rsidRDefault="001F4256" w:rsidP="004F7A6B">
            <w:pPr>
              <w:spacing w:after="0" w:line="240" w:lineRule="auto"/>
              <w:rPr>
                <w:rFonts w:ascii="Times New Roman" w:hAnsi="Times New Roman"/>
                <w:sz w:val="24"/>
                <w:szCs w:val="24"/>
              </w:rPr>
            </w:pPr>
          </w:p>
        </w:tc>
      </w:tr>
      <w:tr w:rsidR="00883E1C" w:rsidRPr="00883E1C" w:rsidTr="004F7A6B">
        <w:trPr>
          <w:trHeight w:val="300"/>
        </w:trPr>
        <w:tc>
          <w:tcPr>
            <w:tcW w:w="2033" w:type="dxa"/>
            <w:vMerge w:val="restart"/>
            <w:tcBorders>
              <w:top w:val="nil"/>
              <w:left w:val="single" w:sz="4" w:space="0" w:color="auto"/>
              <w:bottom w:val="single" w:sz="4" w:space="0" w:color="auto"/>
              <w:right w:val="single" w:sz="4" w:space="0" w:color="auto"/>
            </w:tcBorders>
            <w:shd w:val="clear" w:color="auto" w:fill="auto"/>
            <w:hideMark/>
          </w:tcPr>
          <w:p w:rsidR="001F4256" w:rsidRPr="00883E1C" w:rsidRDefault="001F4256" w:rsidP="004F7A6B">
            <w:pPr>
              <w:spacing w:after="0" w:line="240" w:lineRule="auto"/>
              <w:rPr>
                <w:rFonts w:ascii="Times New Roman" w:hAnsi="Times New Roman"/>
                <w:b/>
                <w:sz w:val="24"/>
                <w:szCs w:val="24"/>
              </w:rPr>
            </w:pPr>
            <w:r w:rsidRPr="00883E1C">
              <w:rPr>
                <w:rFonts w:ascii="Times New Roman" w:hAnsi="Times New Roman"/>
                <w:b/>
                <w:sz w:val="24"/>
                <w:szCs w:val="24"/>
              </w:rPr>
              <w:t>Quasi- Criminal Offences</w:t>
            </w:r>
          </w:p>
        </w:tc>
        <w:tc>
          <w:tcPr>
            <w:tcW w:w="2164" w:type="dxa"/>
            <w:tcBorders>
              <w:top w:val="nil"/>
              <w:left w:val="nil"/>
              <w:bottom w:val="single" w:sz="4" w:space="0" w:color="auto"/>
              <w:right w:val="single" w:sz="4" w:space="0" w:color="auto"/>
            </w:tcBorders>
            <w:shd w:val="clear" w:color="auto" w:fill="auto"/>
            <w:hideMark/>
          </w:tcPr>
          <w:p w:rsidR="001F4256" w:rsidRPr="00883E1C" w:rsidRDefault="001F4256" w:rsidP="004F7A6B">
            <w:pPr>
              <w:spacing w:after="0" w:line="240" w:lineRule="auto"/>
              <w:rPr>
                <w:rFonts w:ascii="Times New Roman" w:hAnsi="Times New Roman"/>
                <w:sz w:val="24"/>
                <w:szCs w:val="24"/>
              </w:rPr>
            </w:pPr>
            <w:r w:rsidRPr="00883E1C">
              <w:rPr>
                <w:rFonts w:ascii="Times New Roman" w:hAnsi="Times New Roman"/>
                <w:sz w:val="24"/>
                <w:szCs w:val="24"/>
              </w:rPr>
              <w:t>Fraud</w:t>
            </w:r>
          </w:p>
        </w:tc>
        <w:tc>
          <w:tcPr>
            <w:tcW w:w="1654"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3</w:t>
            </w:r>
          </w:p>
        </w:tc>
        <w:tc>
          <w:tcPr>
            <w:tcW w:w="1751"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12</w:t>
            </w:r>
          </w:p>
        </w:tc>
        <w:tc>
          <w:tcPr>
            <w:tcW w:w="1038"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15</w:t>
            </w:r>
          </w:p>
        </w:tc>
      </w:tr>
      <w:tr w:rsidR="00883E1C" w:rsidRPr="00883E1C" w:rsidTr="004F7A6B">
        <w:trPr>
          <w:trHeight w:val="300"/>
        </w:trPr>
        <w:tc>
          <w:tcPr>
            <w:tcW w:w="2033" w:type="dxa"/>
            <w:vMerge/>
            <w:tcBorders>
              <w:top w:val="nil"/>
              <w:left w:val="single" w:sz="4" w:space="0" w:color="auto"/>
              <w:bottom w:val="single" w:sz="4" w:space="0" w:color="auto"/>
              <w:right w:val="single" w:sz="4" w:space="0" w:color="auto"/>
            </w:tcBorders>
            <w:vAlign w:val="center"/>
            <w:hideMark/>
          </w:tcPr>
          <w:p w:rsidR="001F4256" w:rsidRPr="00883E1C" w:rsidRDefault="001F4256" w:rsidP="004F7A6B">
            <w:pPr>
              <w:spacing w:after="0" w:line="240" w:lineRule="auto"/>
              <w:rPr>
                <w:rFonts w:ascii="Times New Roman" w:hAnsi="Times New Roman"/>
                <w:sz w:val="24"/>
                <w:szCs w:val="24"/>
              </w:rPr>
            </w:pPr>
          </w:p>
        </w:tc>
        <w:tc>
          <w:tcPr>
            <w:tcW w:w="2164" w:type="dxa"/>
            <w:tcBorders>
              <w:top w:val="nil"/>
              <w:left w:val="nil"/>
              <w:bottom w:val="single" w:sz="4" w:space="0" w:color="auto"/>
              <w:right w:val="single" w:sz="4" w:space="0" w:color="auto"/>
            </w:tcBorders>
            <w:shd w:val="clear" w:color="auto" w:fill="auto"/>
            <w:hideMark/>
          </w:tcPr>
          <w:p w:rsidR="001F4256" w:rsidRPr="00883E1C" w:rsidRDefault="001F4256" w:rsidP="004F7A6B">
            <w:pPr>
              <w:spacing w:after="0" w:line="240" w:lineRule="auto"/>
              <w:rPr>
                <w:rFonts w:ascii="Times New Roman" w:hAnsi="Times New Roman"/>
                <w:sz w:val="24"/>
                <w:szCs w:val="24"/>
              </w:rPr>
            </w:pPr>
            <w:r w:rsidRPr="00883E1C">
              <w:rPr>
                <w:rFonts w:ascii="Times New Roman" w:hAnsi="Times New Roman"/>
                <w:sz w:val="24"/>
                <w:szCs w:val="24"/>
              </w:rPr>
              <w:t>Forgery</w:t>
            </w:r>
          </w:p>
        </w:tc>
        <w:tc>
          <w:tcPr>
            <w:tcW w:w="1654"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15</w:t>
            </w:r>
          </w:p>
        </w:tc>
        <w:tc>
          <w:tcPr>
            <w:tcW w:w="1751"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22</w:t>
            </w:r>
          </w:p>
        </w:tc>
        <w:tc>
          <w:tcPr>
            <w:tcW w:w="1038"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37</w:t>
            </w:r>
          </w:p>
        </w:tc>
      </w:tr>
      <w:tr w:rsidR="00883E1C" w:rsidRPr="00883E1C" w:rsidTr="004F7A6B">
        <w:trPr>
          <w:trHeight w:val="300"/>
        </w:trPr>
        <w:tc>
          <w:tcPr>
            <w:tcW w:w="2033" w:type="dxa"/>
            <w:vMerge/>
            <w:tcBorders>
              <w:top w:val="nil"/>
              <w:left w:val="single" w:sz="4" w:space="0" w:color="auto"/>
              <w:bottom w:val="single" w:sz="4" w:space="0" w:color="auto"/>
              <w:right w:val="single" w:sz="4" w:space="0" w:color="auto"/>
            </w:tcBorders>
            <w:vAlign w:val="center"/>
            <w:hideMark/>
          </w:tcPr>
          <w:p w:rsidR="001F4256" w:rsidRPr="00883E1C" w:rsidRDefault="001F4256" w:rsidP="004F7A6B">
            <w:pPr>
              <w:spacing w:after="0" w:line="240" w:lineRule="auto"/>
              <w:rPr>
                <w:rFonts w:ascii="Times New Roman" w:hAnsi="Times New Roman"/>
                <w:sz w:val="24"/>
                <w:szCs w:val="24"/>
              </w:rPr>
            </w:pPr>
          </w:p>
        </w:tc>
        <w:tc>
          <w:tcPr>
            <w:tcW w:w="2164" w:type="dxa"/>
            <w:tcBorders>
              <w:top w:val="nil"/>
              <w:left w:val="nil"/>
              <w:bottom w:val="single" w:sz="4" w:space="0" w:color="auto"/>
              <w:right w:val="single" w:sz="4" w:space="0" w:color="auto"/>
            </w:tcBorders>
            <w:shd w:val="clear" w:color="auto" w:fill="auto"/>
            <w:hideMark/>
          </w:tcPr>
          <w:p w:rsidR="001F4256" w:rsidRPr="00883E1C" w:rsidRDefault="001F4256" w:rsidP="004F7A6B">
            <w:pPr>
              <w:spacing w:after="0" w:line="240" w:lineRule="auto"/>
              <w:rPr>
                <w:rFonts w:ascii="Times New Roman" w:hAnsi="Times New Roman"/>
                <w:sz w:val="24"/>
                <w:szCs w:val="24"/>
              </w:rPr>
            </w:pPr>
            <w:r w:rsidRPr="00883E1C">
              <w:rPr>
                <w:rFonts w:ascii="Times New Roman" w:hAnsi="Times New Roman"/>
                <w:sz w:val="24"/>
                <w:szCs w:val="24"/>
              </w:rPr>
              <w:t>False Endorsement</w:t>
            </w:r>
          </w:p>
        </w:tc>
        <w:tc>
          <w:tcPr>
            <w:tcW w:w="1654"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3</w:t>
            </w:r>
          </w:p>
        </w:tc>
        <w:tc>
          <w:tcPr>
            <w:tcW w:w="1751"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0</w:t>
            </w:r>
          </w:p>
        </w:tc>
        <w:tc>
          <w:tcPr>
            <w:tcW w:w="1038"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3</w:t>
            </w:r>
          </w:p>
        </w:tc>
      </w:tr>
      <w:tr w:rsidR="00883E1C" w:rsidRPr="00883E1C" w:rsidTr="004F7A6B">
        <w:trPr>
          <w:trHeight w:val="300"/>
        </w:trPr>
        <w:tc>
          <w:tcPr>
            <w:tcW w:w="2033" w:type="dxa"/>
            <w:vMerge/>
            <w:tcBorders>
              <w:top w:val="nil"/>
              <w:left w:val="single" w:sz="4" w:space="0" w:color="auto"/>
              <w:bottom w:val="single" w:sz="4" w:space="0" w:color="auto"/>
              <w:right w:val="single" w:sz="4" w:space="0" w:color="auto"/>
            </w:tcBorders>
            <w:vAlign w:val="center"/>
            <w:hideMark/>
          </w:tcPr>
          <w:p w:rsidR="001F4256" w:rsidRPr="00883E1C" w:rsidRDefault="001F4256" w:rsidP="004F7A6B">
            <w:pPr>
              <w:spacing w:after="0" w:line="240" w:lineRule="auto"/>
              <w:rPr>
                <w:rFonts w:ascii="Times New Roman" w:hAnsi="Times New Roman"/>
                <w:sz w:val="24"/>
                <w:szCs w:val="24"/>
              </w:rPr>
            </w:pPr>
          </w:p>
        </w:tc>
        <w:tc>
          <w:tcPr>
            <w:tcW w:w="2164" w:type="dxa"/>
            <w:tcBorders>
              <w:top w:val="nil"/>
              <w:left w:val="nil"/>
              <w:bottom w:val="single" w:sz="4" w:space="0" w:color="auto"/>
              <w:right w:val="single" w:sz="4" w:space="0" w:color="auto"/>
            </w:tcBorders>
            <w:shd w:val="clear" w:color="auto" w:fill="auto"/>
            <w:hideMark/>
          </w:tcPr>
          <w:p w:rsidR="001F4256" w:rsidRPr="00883E1C" w:rsidRDefault="001F4256" w:rsidP="004F7A6B">
            <w:pPr>
              <w:spacing w:after="0" w:line="240" w:lineRule="auto"/>
              <w:rPr>
                <w:rFonts w:ascii="Times New Roman" w:hAnsi="Times New Roman"/>
                <w:sz w:val="24"/>
                <w:szCs w:val="24"/>
              </w:rPr>
            </w:pPr>
            <w:r w:rsidRPr="00883E1C">
              <w:rPr>
                <w:rFonts w:ascii="Times New Roman" w:hAnsi="Times New Roman"/>
                <w:sz w:val="24"/>
                <w:szCs w:val="24"/>
              </w:rPr>
              <w:t>Misappropriation of Funds</w:t>
            </w:r>
          </w:p>
        </w:tc>
        <w:tc>
          <w:tcPr>
            <w:tcW w:w="1654"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8</w:t>
            </w:r>
          </w:p>
        </w:tc>
        <w:tc>
          <w:tcPr>
            <w:tcW w:w="1751"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18</w:t>
            </w:r>
          </w:p>
        </w:tc>
        <w:tc>
          <w:tcPr>
            <w:tcW w:w="1038"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26</w:t>
            </w:r>
          </w:p>
        </w:tc>
      </w:tr>
      <w:tr w:rsidR="00883E1C" w:rsidRPr="00883E1C" w:rsidTr="004F7A6B">
        <w:trPr>
          <w:trHeight w:val="300"/>
        </w:trPr>
        <w:tc>
          <w:tcPr>
            <w:tcW w:w="2033" w:type="dxa"/>
            <w:vMerge/>
            <w:tcBorders>
              <w:top w:val="nil"/>
              <w:left w:val="single" w:sz="4" w:space="0" w:color="auto"/>
              <w:bottom w:val="single" w:sz="4" w:space="0" w:color="auto"/>
              <w:right w:val="single" w:sz="4" w:space="0" w:color="auto"/>
            </w:tcBorders>
            <w:vAlign w:val="center"/>
            <w:hideMark/>
          </w:tcPr>
          <w:p w:rsidR="001F4256" w:rsidRPr="00883E1C" w:rsidRDefault="001F4256" w:rsidP="004F7A6B">
            <w:pPr>
              <w:spacing w:after="0" w:line="240" w:lineRule="auto"/>
              <w:rPr>
                <w:rFonts w:ascii="Times New Roman" w:hAnsi="Times New Roman"/>
                <w:sz w:val="24"/>
                <w:szCs w:val="24"/>
              </w:rPr>
            </w:pPr>
          </w:p>
        </w:tc>
        <w:tc>
          <w:tcPr>
            <w:tcW w:w="2164" w:type="dxa"/>
            <w:tcBorders>
              <w:top w:val="nil"/>
              <w:left w:val="nil"/>
              <w:bottom w:val="single" w:sz="4" w:space="0" w:color="auto"/>
              <w:right w:val="single" w:sz="4" w:space="0" w:color="auto"/>
            </w:tcBorders>
            <w:shd w:val="clear" w:color="auto" w:fill="auto"/>
            <w:hideMark/>
          </w:tcPr>
          <w:p w:rsidR="001F4256" w:rsidRPr="00883E1C" w:rsidRDefault="001F4256" w:rsidP="004F7A6B">
            <w:pPr>
              <w:spacing w:after="0" w:line="240" w:lineRule="auto"/>
              <w:rPr>
                <w:rFonts w:ascii="Times New Roman" w:hAnsi="Times New Roman"/>
                <w:sz w:val="24"/>
                <w:szCs w:val="24"/>
              </w:rPr>
            </w:pPr>
            <w:r w:rsidRPr="00883E1C">
              <w:rPr>
                <w:rFonts w:ascii="Times New Roman" w:hAnsi="Times New Roman"/>
                <w:sz w:val="24"/>
                <w:szCs w:val="24"/>
              </w:rPr>
              <w:t>Securities Act Breach</w:t>
            </w:r>
          </w:p>
        </w:tc>
        <w:tc>
          <w:tcPr>
            <w:tcW w:w="1654"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13</w:t>
            </w:r>
          </w:p>
        </w:tc>
        <w:tc>
          <w:tcPr>
            <w:tcW w:w="1751"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8</w:t>
            </w:r>
          </w:p>
        </w:tc>
        <w:tc>
          <w:tcPr>
            <w:tcW w:w="1038"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21</w:t>
            </w:r>
          </w:p>
        </w:tc>
      </w:tr>
      <w:tr w:rsidR="00883E1C" w:rsidRPr="00883E1C" w:rsidTr="004F7A6B">
        <w:trPr>
          <w:trHeight w:val="300"/>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F4256" w:rsidRPr="00883E1C" w:rsidRDefault="001F4256" w:rsidP="004F7A6B">
            <w:pPr>
              <w:spacing w:after="0" w:line="240" w:lineRule="auto"/>
              <w:jc w:val="center"/>
              <w:rPr>
                <w:rFonts w:ascii="Times New Roman" w:hAnsi="Times New Roman"/>
                <w:b/>
                <w:bCs/>
                <w:sz w:val="24"/>
                <w:szCs w:val="24"/>
              </w:rPr>
            </w:pPr>
            <w:r w:rsidRPr="00883E1C">
              <w:rPr>
                <w:rFonts w:ascii="Times New Roman" w:hAnsi="Times New Roman"/>
                <w:b/>
                <w:bCs/>
                <w:sz w:val="24"/>
                <w:szCs w:val="24"/>
              </w:rPr>
              <w:t>Total number of cases</w:t>
            </w:r>
          </w:p>
        </w:tc>
        <w:tc>
          <w:tcPr>
            <w:tcW w:w="1654"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28</w:t>
            </w:r>
          </w:p>
        </w:tc>
        <w:tc>
          <w:tcPr>
            <w:tcW w:w="1751"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29</w:t>
            </w:r>
          </w:p>
        </w:tc>
        <w:tc>
          <w:tcPr>
            <w:tcW w:w="1038"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57</w:t>
            </w:r>
          </w:p>
        </w:tc>
      </w:tr>
      <w:tr w:rsidR="001F4256" w:rsidRPr="00883E1C" w:rsidTr="004F7A6B">
        <w:trPr>
          <w:trHeight w:val="300"/>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256" w:rsidRPr="00883E1C" w:rsidRDefault="001F4256" w:rsidP="004F7A6B">
            <w:pPr>
              <w:spacing w:after="0" w:line="240" w:lineRule="auto"/>
              <w:jc w:val="center"/>
              <w:rPr>
                <w:rFonts w:ascii="Times New Roman" w:hAnsi="Times New Roman"/>
                <w:b/>
                <w:bCs/>
                <w:sz w:val="24"/>
                <w:szCs w:val="24"/>
              </w:rPr>
            </w:pPr>
            <w:r w:rsidRPr="00883E1C">
              <w:rPr>
                <w:rFonts w:ascii="Times New Roman" w:hAnsi="Times New Roman"/>
                <w:b/>
                <w:bCs/>
                <w:sz w:val="24"/>
                <w:szCs w:val="24"/>
              </w:rPr>
              <w:t>Total percent of cases</w:t>
            </w:r>
          </w:p>
        </w:tc>
        <w:tc>
          <w:tcPr>
            <w:tcW w:w="1654"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49%</w:t>
            </w:r>
          </w:p>
        </w:tc>
        <w:tc>
          <w:tcPr>
            <w:tcW w:w="1751"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51%</w:t>
            </w:r>
          </w:p>
        </w:tc>
        <w:tc>
          <w:tcPr>
            <w:tcW w:w="1038" w:type="dxa"/>
            <w:tcBorders>
              <w:top w:val="nil"/>
              <w:left w:val="nil"/>
              <w:bottom w:val="single" w:sz="4" w:space="0" w:color="auto"/>
              <w:right w:val="single" w:sz="4" w:space="0" w:color="auto"/>
            </w:tcBorders>
            <w:shd w:val="clear" w:color="auto" w:fill="auto"/>
            <w:noWrap/>
            <w:hideMark/>
          </w:tcPr>
          <w:p w:rsidR="001F4256" w:rsidRPr="00883E1C" w:rsidRDefault="001F4256" w:rsidP="004F7A6B">
            <w:pPr>
              <w:spacing w:after="0" w:line="240" w:lineRule="auto"/>
              <w:jc w:val="right"/>
              <w:rPr>
                <w:rFonts w:ascii="Times New Roman" w:hAnsi="Times New Roman"/>
              </w:rPr>
            </w:pPr>
            <w:r w:rsidRPr="00883E1C">
              <w:rPr>
                <w:rFonts w:ascii="Times New Roman" w:hAnsi="Times New Roman"/>
              </w:rPr>
              <w:t>100%</w:t>
            </w:r>
          </w:p>
        </w:tc>
      </w:tr>
    </w:tbl>
    <w:p w:rsidR="00E26E43" w:rsidRPr="00883E1C" w:rsidRDefault="00E26E43" w:rsidP="001F4256">
      <w:pPr>
        <w:ind w:firstLine="720"/>
        <w:rPr>
          <w:rFonts w:ascii="Times New Roman" w:hAnsi="Times New Roman"/>
          <w:sz w:val="24"/>
          <w:szCs w:val="24"/>
        </w:rPr>
      </w:pPr>
    </w:p>
    <w:p w:rsidR="001F4256" w:rsidRPr="00883E1C" w:rsidRDefault="00E51121" w:rsidP="001F4256">
      <w:pPr>
        <w:ind w:firstLine="720"/>
        <w:rPr>
          <w:rFonts w:ascii="Times New Roman" w:hAnsi="Times New Roman"/>
          <w:sz w:val="24"/>
          <w:szCs w:val="24"/>
        </w:rPr>
      </w:pPr>
      <w:r w:rsidRPr="00883E1C">
        <w:rPr>
          <w:rFonts w:ascii="Times New Roman" w:hAnsi="Times New Roman"/>
          <w:sz w:val="24"/>
          <w:szCs w:val="24"/>
        </w:rPr>
        <w:t>Table 1-8</w:t>
      </w:r>
      <w:r w:rsidR="00E26E43" w:rsidRPr="00883E1C">
        <w:rPr>
          <w:rFonts w:ascii="Times New Roman" w:hAnsi="Times New Roman"/>
          <w:sz w:val="24"/>
          <w:szCs w:val="24"/>
        </w:rPr>
        <w:t xml:space="preserve"> </w:t>
      </w:r>
      <w:r w:rsidR="001F4256" w:rsidRPr="00883E1C">
        <w:rPr>
          <w:rFonts w:ascii="Times New Roman" w:hAnsi="Times New Roman"/>
          <w:sz w:val="24"/>
          <w:szCs w:val="24"/>
        </w:rPr>
        <w:t>shows the cases that were "</w:t>
      </w:r>
      <w:r w:rsidR="008A0373" w:rsidRPr="00883E1C">
        <w:rPr>
          <w:rFonts w:ascii="Times New Roman" w:hAnsi="Times New Roman"/>
          <w:sz w:val="24"/>
          <w:szCs w:val="24"/>
        </w:rPr>
        <w:t>funneled</w:t>
      </w:r>
      <w:r w:rsidR="001F4256" w:rsidRPr="00883E1C">
        <w:rPr>
          <w:rFonts w:ascii="Times New Roman" w:hAnsi="Times New Roman"/>
          <w:sz w:val="24"/>
          <w:szCs w:val="24"/>
        </w:rPr>
        <w:t xml:space="preserve"> away" from the </w:t>
      </w:r>
      <w:r w:rsidR="007055FD" w:rsidRPr="00883E1C">
        <w:rPr>
          <w:rFonts w:ascii="Times New Roman" w:hAnsi="Times New Roman"/>
          <w:sz w:val="24"/>
          <w:szCs w:val="24"/>
        </w:rPr>
        <w:t>CJS</w:t>
      </w:r>
      <w:r w:rsidR="001F4256" w:rsidRPr="00883E1C">
        <w:rPr>
          <w:rFonts w:ascii="Times New Roman" w:hAnsi="Times New Roman"/>
          <w:sz w:val="24"/>
          <w:szCs w:val="24"/>
        </w:rPr>
        <w:t xml:space="preserve"> by the IDA. From 2002-2007, there were 57 individual offender’s cases that dealt with quasi-criminal offences. Of these, 28 (49%) were disposed of via settlement agreements and 29 (51%) through contested hearings. The fact that close to half of the quasi-criminal cases was disposed of via settlement agreements is in itself an issue of concern. One would have thought that these cases would have been referred to the </w:t>
      </w:r>
      <w:r w:rsidR="006B56BA" w:rsidRPr="00883E1C">
        <w:rPr>
          <w:rFonts w:ascii="Times New Roman" w:hAnsi="Times New Roman"/>
          <w:sz w:val="24"/>
          <w:szCs w:val="24"/>
        </w:rPr>
        <w:t>CJS</w:t>
      </w:r>
      <w:r w:rsidR="001F4256" w:rsidRPr="00883E1C">
        <w:rPr>
          <w:rFonts w:ascii="Times New Roman" w:hAnsi="Times New Roman"/>
          <w:sz w:val="24"/>
          <w:szCs w:val="24"/>
        </w:rPr>
        <w:t xml:space="preserve"> or alternatively, because of the alleged seriousness of the offences, they would have at least been sent to a conteste</w:t>
      </w:r>
      <w:r w:rsidR="006B56BA" w:rsidRPr="00883E1C">
        <w:rPr>
          <w:rFonts w:ascii="Times New Roman" w:hAnsi="Times New Roman"/>
          <w:sz w:val="24"/>
          <w:szCs w:val="24"/>
        </w:rPr>
        <w:t>d hearing to be heard by an IDA’</w:t>
      </w:r>
      <w:r w:rsidR="001F4256" w:rsidRPr="00883E1C">
        <w:rPr>
          <w:rFonts w:ascii="Times New Roman" w:hAnsi="Times New Roman"/>
          <w:sz w:val="24"/>
          <w:szCs w:val="24"/>
        </w:rPr>
        <w:t xml:space="preserve">s hearing panel. On the surface, it may seem as if the IDA does not have an adequate basis to decide </w:t>
      </w:r>
      <w:r w:rsidR="00770394" w:rsidRPr="00883E1C">
        <w:rPr>
          <w:rFonts w:ascii="Times New Roman" w:hAnsi="Times New Roman"/>
          <w:sz w:val="24"/>
          <w:szCs w:val="24"/>
        </w:rPr>
        <w:t xml:space="preserve">how to deal </w:t>
      </w:r>
      <w:r w:rsidR="00514FBE" w:rsidRPr="00883E1C">
        <w:rPr>
          <w:rFonts w:ascii="Times New Roman" w:hAnsi="Times New Roman"/>
          <w:sz w:val="24"/>
          <w:szCs w:val="24"/>
        </w:rPr>
        <w:t>with quasi</w:t>
      </w:r>
      <w:r w:rsidR="001F4256" w:rsidRPr="00883E1C">
        <w:rPr>
          <w:rFonts w:ascii="Times New Roman" w:hAnsi="Times New Roman"/>
          <w:sz w:val="24"/>
          <w:szCs w:val="24"/>
        </w:rPr>
        <w:t>-criminal cases</w:t>
      </w:r>
      <w:r w:rsidR="00770394" w:rsidRPr="00883E1C">
        <w:rPr>
          <w:rFonts w:ascii="Times New Roman" w:hAnsi="Times New Roman"/>
          <w:sz w:val="24"/>
          <w:szCs w:val="24"/>
        </w:rPr>
        <w:t>.</w:t>
      </w:r>
      <w:r w:rsidR="001F4256" w:rsidRPr="00883E1C">
        <w:rPr>
          <w:rFonts w:ascii="Times New Roman" w:hAnsi="Times New Roman"/>
          <w:sz w:val="24"/>
          <w:szCs w:val="24"/>
        </w:rPr>
        <w:t xml:space="preserve"> However, there may be other compelling reasons why the IDA might facilitate settlement agreements with respondents. As one IDA regulator pointed out, the evidentiary requirements might be difficult to establish in a hearing: </w:t>
      </w:r>
    </w:p>
    <w:p w:rsidR="001F4256" w:rsidRPr="00883E1C" w:rsidRDefault="001F4256" w:rsidP="00F04C73">
      <w:pPr>
        <w:spacing w:after="0" w:line="240" w:lineRule="auto"/>
        <w:ind w:left="284" w:right="284"/>
        <w:rPr>
          <w:rFonts w:ascii="Times New Roman" w:hAnsi="Times New Roman"/>
          <w:sz w:val="24"/>
          <w:szCs w:val="24"/>
        </w:rPr>
      </w:pPr>
      <w:r w:rsidRPr="00883E1C">
        <w:rPr>
          <w:rFonts w:ascii="Times New Roman" w:hAnsi="Times New Roman"/>
          <w:sz w:val="24"/>
          <w:szCs w:val="24"/>
        </w:rPr>
        <w:lastRenderedPageBreak/>
        <w:t xml:space="preserve">We may agree that the investor’s been harmed. We may agree that something was wrong. But can we prove it? If we can’t prove it, then we can’t go to a hearing. Or, if we do go to a hearing and the panel is not convinced, then that’s as far as we can go (IDA interviewee # 5, as cited in Williams, 2012: 133). </w:t>
      </w:r>
    </w:p>
    <w:p w:rsidR="00F04C73" w:rsidRDefault="00F04C73" w:rsidP="00F04C73">
      <w:pPr>
        <w:spacing w:after="0"/>
        <w:rPr>
          <w:rFonts w:ascii="Times New Roman" w:hAnsi="Times New Roman"/>
          <w:sz w:val="24"/>
          <w:szCs w:val="24"/>
        </w:rPr>
      </w:pPr>
    </w:p>
    <w:p w:rsidR="001F4256" w:rsidRPr="00883E1C" w:rsidRDefault="001F4256" w:rsidP="00F04C73">
      <w:pPr>
        <w:spacing w:after="0"/>
        <w:rPr>
          <w:rFonts w:ascii="Times New Roman" w:hAnsi="Times New Roman"/>
          <w:sz w:val="24"/>
          <w:szCs w:val="24"/>
        </w:rPr>
      </w:pPr>
      <w:r w:rsidRPr="00883E1C">
        <w:rPr>
          <w:rFonts w:ascii="Times New Roman" w:hAnsi="Times New Roman"/>
          <w:sz w:val="24"/>
          <w:szCs w:val="24"/>
        </w:rPr>
        <w:t xml:space="preserve">There are also other instances where high powered attorneys seek to obtain an advantage for their clients on procedural rather than substantive grounds. According to one senior regulator, </w:t>
      </w:r>
    </w:p>
    <w:p w:rsidR="001F4256" w:rsidRPr="00883E1C" w:rsidRDefault="001F4256" w:rsidP="00971C75">
      <w:pPr>
        <w:spacing w:after="0" w:line="240" w:lineRule="auto"/>
        <w:ind w:left="284" w:right="284"/>
        <w:rPr>
          <w:rFonts w:ascii="Times New Roman" w:hAnsi="Times New Roman"/>
          <w:sz w:val="24"/>
          <w:szCs w:val="24"/>
        </w:rPr>
      </w:pPr>
      <w:r w:rsidRPr="00883E1C">
        <w:rPr>
          <w:rFonts w:ascii="Times New Roman" w:hAnsi="Times New Roman"/>
          <w:sz w:val="24"/>
          <w:szCs w:val="24"/>
        </w:rPr>
        <w:t xml:space="preserve">[a] big challenge for all of us has been the criminalization of securities law. In the old days when there were administrative proceedings you didn’t get people hiring [high profile lawyers] to represent them. You do today because there’s a lot at stake. And that tends to bring in a complexity in the process because they of course want to introduce procedural practice that exist in the criminal courts but aren’t really supposed to apply in an administrative context (IDA interviewee # 6, as cited in Williams, 2012: 150). </w:t>
      </w:r>
    </w:p>
    <w:p w:rsidR="006F3948" w:rsidRPr="00883E1C" w:rsidRDefault="006F3948" w:rsidP="00971C75">
      <w:pPr>
        <w:spacing w:after="0" w:line="240" w:lineRule="auto"/>
        <w:ind w:left="284" w:right="284"/>
        <w:rPr>
          <w:rFonts w:ascii="Times New Roman" w:hAnsi="Times New Roman"/>
          <w:sz w:val="24"/>
          <w:szCs w:val="24"/>
        </w:rPr>
      </w:pPr>
    </w:p>
    <w:p w:rsidR="003147D0" w:rsidRPr="00883E1C" w:rsidRDefault="001F4256" w:rsidP="00827FD2">
      <w:pPr>
        <w:spacing w:after="0"/>
        <w:rPr>
          <w:rFonts w:ascii="Times New Roman" w:hAnsi="Times New Roman"/>
          <w:b/>
          <w:sz w:val="24"/>
          <w:szCs w:val="24"/>
        </w:rPr>
      </w:pPr>
      <w:r w:rsidRPr="00883E1C">
        <w:rPr>
          <w:rFonts w:ascii="Times New Roman" w:hAnsi="Times New Roman"/>
          <w:sz w:val="24"/>
          <w:szCs w:val="24"/>
        </w:rPr>
        <w:t>Together, these processes have come to represent a significant drag on the disciplinary process and combined to explain the significant proportion of settlement agreements entered into with the respondents.</w:t>
      </w:r>
      <w:r w:rsidR="003147D0" w:rsidRPr="00883E1C">
        <w:rPr>
          <w:rFonts w:ascii="Times New Roman" w:hAnsi="Times New Roman"/>
          <w:sz w:val="24"/>
          <w:szCs w:val="24"/>
        </w:rPr>
        <w:t xml:space="preserve"> That said, it is possible that some of these cases were dealt with as quasi-criminal offences by the provincial courts, but there was no indication in the cases examined that quasi-criminal prosecution was pursued by Crown counsel.  </w:t>
      </w:r>
    </w:p>
    <w:p w:rsidR="00473CC1" w:rsidRPr="00883E1C" w:rsidRDefault="001B393A" w:rsidP="00047F46">
      <w:pPr>
        <w:pStyle w:val="Heading3"/>
        <w:spacing w:before="0" w:after="0"/>
        <w:rPr>
          <w:rFonts w:ascii="Times New Roman" w:hAnsi="Times New Roman"/>
          <w:b w:val="0"/>
          <w:sz w:val="24"/>
        </w:rPr>
      </w:pPr>
      <w:r w:rsidRPr="00883E1C">
        <w:rPr>
          <w:rFonts w:ascii="Times New Roman" w:hAnsi="Times New Roman"/>
          <w:b w:val="0"/>
          <w:sz w:val="24"/>
        </w:rPr>
        <w:t xml:space="preserve">5.4. </w:t>
      </w:r>
      <w:r w:rsidR="00473CC1" w:rsidRPr="00883E1C">
        <w:rPr>
          <w:rFonts w:ascii="Times New Roman" w:hAnsi="Times New Roman"/>
          <w:b w:val="0"/>
          <w:sz w:val="24"/>
        </w:rPr>
        <w:t>Imposition of Penalties</w:t>
      </w:r>
      <w:bookmarkEnd w:id="51"/>
      <w:bookmarkEnd w:id="52"/>
    </w:p>
    <w:p w:rsidR="00473CC1" w:rsidRPr="00883E1C" w:rsidRDefault="00473CC1" w:rsidP="00047F46">
      <w:pPr>
        <w:pStyle w:val="Caption"/>
        <w:spacing w:after="0"/>
        <w:rPr>
          <w:rFonts w:ascii="Times New Roman" w:hAnsi="Times New Roman"/>
          <w:b w:val="0"/>
          <w:sz w:val="24"/>
        </w:rPr>
      </w:pPr>
      <w:bookmarkStart w:id="91" w:name="_Toc329241710"/>
      <w:r w:rsidRPr="00883E1C">
        <w:rPr>
          <w:rFonts w:ascii="Times New Roman" w:hAnsi="Times New Roman"/>
          <w:sz w:val="24"/>
        </w:rPr>
        <w:t>Table 1</w:t>
      </w:r>
      <w:r w:rsidRPr="00883E1C">
        <w:rPr>
          <w:rFonts w:ascii="Times New Roman" w:hAnsi="Times New Roman"/>
          <w:sz w:val="24"/>
        </w:rPr>
        <w:noBreakHyphen/>
      </w:r>
      <w:r w:rsidR="00E51121" w:rsidRPr="00883E1C">
        <w:rPr>
          <w:rFonts w:ascii="Times New Roman" w:hAnsi="Times New Roman"/>
          <w:sz w:val="24"/>
        </w:rPr>
        <w:t>9</w:t>
      </w:r>
      <w:r w:rsidRPr="00883E1C">
        <w:rPr>
          <w:rFonts w:ascii="Times New Roman" w:hAnsi="Times New Roman"/>
          <w:sz w:val="24"/>
        </w:rPr>
        <w:tab/>
        <w:t>Penalties Assessed on Individual Offenders by Hearing Panels</w:t>
      </w:r>
      <w:bookmarkEnd w:id="91"/>
      <w:r w:rsidRPr="00883E1C">
        <w:rPr>
          <w:rFonts w:ascii="Times New Roman" w:hAnsi="Times New Roman"/>
          <w:sz w:val="24"/>
        </w:rPr>
        <w:t xml:space="preserve"> </w:t>
      </w:r>
      <w:r w:rsidRPr="00883E1C">
        <w:rPr>
          <w:rFonts w:ascii="Times New Roman" w:hAnsi="Times New Roman"/>
          <w:b w:val="0"/>
          <w:sz w:val="24"/>
        </w:rPr>
        <w:t xml:space="preserve"> </w:t>
      </w:r>
    </w:p>
    <w:tbl>
      <w:tblPr>
        <w:tblW w:w="9381" w:type="dxa"/>
        <w:tblInd w:w="108" w:type="dxa"/>
        <w:tblLook w:val="04A0" w:firstRow="1" w:lastRow="0" w:firstColumn="1" w:lastColumn="0" w:noHBand="0" w:noVBand="1"/>
      </w:tblPr>
      <w:tblGrid>
        <w:gridCol w:w="1463"/>
        <w:gridCol w:w="1117"/>
        <w:gridCol w:w="1117"/>
        <w:gridCol w:w="1117"/>
        <w:gridCol w:w="1117"/>
        <w:gridCol w:w="1117"/>
        <w:gridCol w:w="1117"/>
        <w:gridCol w:w="1217"/>
      </w:tblGrid>
      <w:tr w:rsidR="00883E1C" w:rsidRPr="00883E1C" w:rsidTr="00124EE0">
        <w:trPr>
          <w:trHeight w:val="300"/>
        </w:trPr>
        <w:tc>
          <w:tcPr>
            <w:tcW w:w="8164" w:type="dxa"/>
            <w:gridSpan w:val="7"/>
            <w:tcBorders>
              <w:top w:val="single" w:sz="4" w:space="0" w:color="auto"/>
              <w:left w:val="single" w:sz="4" w:space="0" w:color="auto"/>
              <w:bottom w:val="single" w:sz="4" w:space="0" w:color="auto"/>
              <w:right w:val="nil"/>
            </w:tcBorders>
            <w:shd w:val="clear" w:color="auto" w:fill="auto"/>
            <w:noWrap/>
            <w:hideMark/>
          </w:tcPr>
          <w:p w:rsidR="00473CC1" w:rsidRPr="00883E1C" w:rsidRDefault="00473CC1" w:rsidP="00D36097">
            <w:pPr>
              <w:spacing w:after="0" w:line="240" w:lineRule="auto"/>
              <w:jc w:val="center"/>
              <w:rPr>
                <w:rFonts w:ascii="Times New Roman" w:hAnsi="Times New Roman"/>
                <w:b/>
                <w:bCs/>
                <w:sz w:val="24"/>
                <w:szCs w:val="24"/>
              </w:rPr>
            </w:pPr>
            <w:r w:rsidRPr="00883E1C">
              <w:rPr>
                <w:rFonts w:ascii="Times New Roman" w:hAnsi="Times New Roman"/>
                <w:b/>
                <w:bCs/>
                <w:sz w:val="24"/>
                <w:szCs w:val="24"/>
              </w:rPr>
              <w:t>Individuals</w:t>
            </w:r>
          </w:p>
        </w:tc>
        <w:tc>
          <w:tcPr>
            <w:tcW w:w="1217" w:type="dxa"/>
            <w:tcBorders>
              <w:top w:val="single" w:sz="4" w:space="0" w:color="auto"/>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4"/>
                <w:szCs w:val="24"/>
              </w:rPr>
            </w:pPr>
            <w:r w:rsidRPr="00883E1C">
              <w:rPr>
                <w:rFonts w:ascii="Times New Roman" w:hAnsi="Times New Roman"/>
                <w:sz w:val="24"/>
                <w:szCs w:val="24"/>
              </w:rPr>
              <w:t> </w:t>
            </w:r>
          </w:p>
        </w:tc>
      </w:tr>
      <w:tr w:rsidR="00883E1C" w:rsidRPr="00883E1C" w:rsidTr="00124EE0">
        <w:trPr>
          <w:trHeight w:val="300"/>
        </w:trPr>
        <w:tc>
          <w:tcPr>
            <w:tcW w:w="1462" w:type="dxa"/>
            <w:tcBorders>
              <w:top w:val="nil"/>
              <w:left w:val="single" w:sz="4" w:space="0" w:color="auto"/>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4"/>
                <w:szCs w:val="24"/>
              </w:rPr>
            </w:pPr>
            <w:r w:rsidRPr="00883E1C">
              <w:rPr>
                <w:rFonts w:ascii="Times New Roman" w:hAnsi="Times New Roman"/>
                <w:sz w:val="24"/>
                <w:szCs w:val="24"/>
              </w:rPr>
              <w:t>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b/>
                <w:bCs/>
                <w:sz w:val="24"/>
                <w:szCs w:val="24"/>
              </w:rPr>
            </w:pPr>
            <w:r w:rsidRPr="00883E1C">
              <w:rPr>
                <w:rFonts w:ascii="Times New Roman" w:hAnsi="Times New Roman"/>
                <w:b/>
                <w:bCs/>
                <w:sz w:val="24"/>
                <w:szCs w:val="24"/>
              </w:rPr>
              <w:t>2002</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b/>
                <w:bCs/>
                <w:sz w:val="24"/>
                <w:szCs w:val="24"/>
              </w:rPr>
            </w:pPr>
            <w:r w:rsidRPr="00883E1C">
              <w:rPr>
                <w:rFonts w:ascii="Times New Roman" w:hAnsi="Times New Roman"/>
                <w:b/>
                <w:bCs/>
                <w:sz w:val="24"/>
                <w:szCs w:val="24"/>
              </w:rPr>
              <w:t>2003</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b/>
                <w:bCs/>
                <w:sz w:val="24"/>
                <w:szCs w:val="24"/>
              </w:rPr>
            </w:pPr>
            <w:r w:rsidRPr="00883E1C">
              <w:rPr>
                <w:rFonts w:ascii="Times New Roman" w:hAnsi="Times New Roman"/>
                <w:b/>
                <w:bCs/>
                <w:sz w:val="24"/>
                <w:szCs w:val="24"/>
              </w:rPr>
              <w:t>2004</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b/>
                <w:bCs/>
                <w:sz w:val="24"/>
                <w:szCs w:val="24"/>
              </w:rPr>
            </w:pPr>
            <w:r w:rsidRPr="00883E1C">
              <w:rPr>
                <w:rFonts w:ascii="Times New Roman" w:hAnsi="Times New Roman"/>
                <w:b/>
                <w:bCs/>
                <w:sz w:val="24"/>
                <w:szCs w:val="24"/>
              </w:rPr>
              <w:t>2005</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b/>
                <w:bCs/>
                <w:sz w:val="24"/>
                <w:szCs w:val="24"/>
              </w:rPr>
            </w:pPr>
            <w:r w:rsidRPr="00883E1C">
              <w:rPr>
                <w:rFonts w:ascii="Times New Roman" w:hAnsi="Times New Roman"/>
                <w:b/>
                <w:bCs/>
                <w:sz w:val="24"/>
                <w:szCs w:val="24"/>
              </w:rPr>
              <w:t>2006</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b/>
                <w:bCs/>
                <w:sz w:val="24"/>
                <w:szCs w:val="24"/>
              </w:rPr>
            </w:pPr>
            <w:r w:rsidRPr="00883E1C">
              <w:rPr>
                <w:rFonts w:ascii="Times New Roman" w:hAnsi="Times New Roman"/>
                <w:b/>
                <w:bCs/>
                <w:sz w:val="24"/>
                <w:szCs w:val="24"/>
              </w:rPr>
              <w:t>2007</w:t>
            </w:r>
          </w:p>
        </w:tc>
        <w:tc>
          <w:tcPr>
            <w:tcW w:w="12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b/>
                <w:bCs/>
                <w:sz w:val="24"/>
                <w:szCs w:val="24"/>
              </w:rPr>
            </w:pPr>
            <w:r w:rsidRPr="00883E1C">
              <w:rPr>
                <w:rFonts w:ascii="Times New Roman" w:hAnsi="Times New Roman"/>
                <w:b/>
                <w:bCs/>
                <w:sz w:val="24"/>
                <w:szCs w:val="24"/>
              </w:rPr>
              <w:t>Total</w:t>
            </w:r>
          </w:p>
        </w:tc>
      </w:tr>
      <w:tr w:rsidR="00883E1C" w:rsidRPr="00883E1C" w:rsidTr="00124EE0">
        <w:trPr>
          <w:trHeight w:val="300"/>
        </w:trPr>
        <w:tc>
          <w:tcPr>
            <w:tcW w:w="1462" w:type="dxa"/>
            <w:tcBorders>
              <w:top w:val="nil"/>
              <w:left w:val="single" w:sz="4" w:space="0" w:color="auto"/>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Fines</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$2,292,000</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$2,401,250</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$4,147,000</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$2,142,500</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$3,092,500</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$1,817,712</w:t>
            </w:r>
          </w:p>
        </w:tc>
        <w:tc>
          <w:tcPr>
            <w:tcW w:w="12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$15,892,962</w:t>
            </w:r>
          </w:p>
        </w:tc>
      </w:tr>
      <w:tr w:rsidR="00883E1C" w:rsidRPr="00883E1C" w:rsidTr="00124EE0">
        <w:trPr>
          <w:trHeight w:val="300"/>
        </w:trPr>
        <w:tc>
          <w:tcPr>
            <w:tcW w:w="1462" w:type="dxa"/>
            <w:tcBorders>
              <w:top w:val="nil"/>
              <w:left w:val="single" w:sz="4" w:space="0" w:color="auto"/>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Costs</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$323,400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$531,035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$773,015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$392,797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$490,744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$478,718 </w:t>
            </w:r>
          </w:p>
        </w:tc>
        <w:tc>
          <w:tcPr>
            <w:tcW w:w="12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$2,989,709 </w:t>
            </w:r>
          </w:p>
        </w:tc>
      </w:tr>
      <w:tr w:rsidR="00883E1C" w:rsidRPr="00883E1C" w:rsidTr="00124EE0">
        <w:trPr>
          <w:trHeight w:val="300"/>
        </w:trPr>
        <w:tc>
          <w:tcPr>
            <w:tcW w:w="1462" w:type="dxa"/>
            <w:tcBorders>
              <w:top w:val="nil"/>
              <w:left w:val="single" w:sz="4" w:space="0" w:color="auto"/>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Disgorgement</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$34,740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$312,996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$573,881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$653,862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$507,055 </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 xml:space="preserve">$133,669 </w:t>
            </w:r>
          </w:p>
        </w:tc>
        <w:tc>
          <w:tcPr>
            <w:tcW w:w="12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$2,216,203</w:t>
            </w:r>
          </w:p>
        </w:tc>
      </w:tr>
      <w:tr w:rsidR="00883E1C" w:rsidRPr="00883E1C" w:rsidTr="00124EE0">
        <w:trPr>
          <w:trHeight w:val="300"/>
        </w:trPr>
        <w:tc>
          <w:tcPr>
            <w:tcW w:w="1462" w:type="dxa"/>
            <w:tcBorders>
              <w:top w:val="nil"/>
              <w:left w:val="single" w:sz="4" w:space="0" w:color="auto"/>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Total Decisions</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46</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41</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64</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42</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32</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42</w:t>
            </w:r>
          </w:p>
        </w:tc>
        <w:tc>
          <w:tcPr>
            <w:tcW w:w="12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267</w:t>
            </w:r>
          </w:p>
        </w:tc>
      </w:tr>
      <w:tr w:rsidR="00883E1C" w:rsidRPr="00883E1C" w:rsidTr="00124EE0">
        <w:trPr>
          <w:trHeight w:val="300"/>
        </w:trPr>
        <w:tc>
          <w:tcPr>
            <w:tcW w:w="1462" w:type="dxa"/>
            <w:tcBorders>
              <w:top w:val="nil"/>
              <w:left w:val="single" w:sz="4" w:space="0" w:color="auto"/>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Warning Letters</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76</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27</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19</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8</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22</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8</w:t>
            </w:r>
          </w:p>
        </w:tc>
        <w:tc>
          <w:tcPr>
            <w:tcW w:w="12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160</w:t>
            </w:r>
          </w:p>
        </w:tc>
      </w:tr>
      <w:tr w:rsidR="00883E1C" w:rsidRPr="00883E1C" w:rsidTr="00124EE0">
        <w:trPr>
          <w:trHeight w:val="300"/>
        </w:trPr>
        <w:tc>
          <w:tcPr>
            <w:tcW w:w="1462" w:type="dxa"/>
            <w:tcBorders>
              <w:top w:val="nil"/>
              <w:left w:val="single" w:sz="4" w:space="0" w:color="auto"/>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Suspensions</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10</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2</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7</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11</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14</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15</w:t>
            </w:r>
          </w:p>
        </w:tc>
        <w:tc>
          <w:tcPr>
            <w:tcW w:w="12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59</w:t>
            </w:r>
          </w:p>
        </w:tc>
      </w:tr>
      <w:tr w:rsidR="00883E1C" w:rsidRPr="00883E1C" w:rsidTr="00124EE0">
        <w:trPr>
          <w:trHeight w:val="300"/>
        </w:trPr>
        <w:tc>
          <w:tcPr>
            <w:tcW w:w="1462" w:type="dxa"/>
            <w:tcBorders>
              <w:top w:val="nil"/>
              <w:left w:val="single" w:sz="4" w:space="0" w:color="auto"/>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Conditions</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25</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19</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37</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30</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28</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26</w:t>
            </w:r>
          </w:p>
        </w:tc>
        <w:tc>
          <w:tcPr>
            <w:tcW w:w="12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165</w:t>
            </w:r>
          </w:p>
        </w:tc>
      </w:tr>
      <w:tr w:rsidR="00473CC1" w:rsidRPr="00883E1C" w:rsidTr="00124EE0">
        <w:trPr>
          <w:trHeight w:val="300"/>
        </w:trPr>
        <w:tc>
          <w:tcPr>
            <w:tcW w:w="1462" w:type="dxa"/>
            <w:tcBorders>
              <w:top w:val="nil"/>
              <w:left w:val="single" w:sz="4" w:space="0" w:color="auto"/>
              <w:bottom w:val="single" w:sz="4" w:space="0" w:color="auto"/>
              <w:right w:val="single" w:sz="4" w:space="0" w:color="auto"/>
            </w:tcBorders>
            <w:shd w:val="clear" w:color="auto" w:fill="auto"/>
            <w:noWrap/>
            <w:hideMark/>
          </w:tcPr>
          <w:p w:rsidR="00473CC1" w:rsidRPr="00883E1C" w:rsidRDefault="00473CC1" w:rsidP="005F1998">
            <w:pPr>
              <w:spacing w:after="0" w:line="240" w:lineRule="auto"/>
              <w:rPr>
                <w:rFonts w:ascii="Times New Roman" w:hAnsi="Times New Roman"/>
              </w:rPr>
            </w:pPr>
            <w:r w:rsidRPr="00883E1C">
              <w:rPr>
                <w:rFonts w:ascii="Times New Roman" w:hAnsi="Times New Roman"/>
              </w:rPr>
              <w:t>Permanent Bars</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6</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9</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17</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14</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9</w:t>
            </w:r>
          </w:p>
        </w:tc>
        <w:tc>
          <w:tcPr>
            <w:tcW w:w="11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9</w:t>
            </w:r>
          </w:p>
        </w:tc>
        <w:tc>
          <w:tcPr>
            <w:tcW w:w="1217" w:type="dxa"/>
            <w:tcBorders>
              <w:top w:val="nil"/>
              <w:left w:val="nil"/>
              <w:bottom w:val="single" w:sz="4" w:space="0" w:color="auto"/>
              <w:right w:val="single" w:sz="4" w:space="0" w:color="auto"/>
            </w:tcBorders>
            <w:shd w:val="clear" w:color="auto" w:fill="auto"/>
            <w:noWrap/>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64</w:t>
            </w:r>
          </w:p>
        </w:tc>
      </w:tr>
    </w:tbl>
    <w:p w:rsidR="00473CC1" w:rsidRPr="00883E1C" w:rsidRDefault="00473CC1" w:rsidP="00F11B61">
      <w:pPr>
        <w:spacing w:after="0" w:line="240" w:lineRule="auto"/>
        <w:rPr>
          <w:rFonts w:ascii="Times New Roman" w:hAnsi="Times New Roman"/>
          <w:b/>
          <w:sz w:val="24"/>
          <w:szCs w:val="24"/>
        </w:rPr>
      </w:pPr>
    </w:p>
    <w:p w:rsidR="00473CC1" w:rsidRPr="00883E1C" w:rsidRDefault="00E51121" w:rsidP="00F11B61">
      <w:pPr>
        <w:pStyle w:val="NormalIndent"/>
        <w:rPr>
          <w:rFonts w:ascii="Times New Roman" w:hAnsi="Times New Roman"/>
          <w:sz w:val="24"/>
          <w:szCs w:val="24"/>
        </w:rPr>
      </w:pPr>
      <w:r w:rsidRPr="00883E1C">
        <w:rPr>
          <w:rFonts w:ascii="Times New Roman" w:hAnsi="Times New Roman"/>
          <w:sz w:val="24"/>
          <w:szCs w:val="24"/>
        </w:rPr>
        <w:lastRenderedPageBreak/>
        <w:t>Table 1-9</w:t>
      </w:r>
      <w:r w:rsidR="00473CC1" w:rsidRPr="00883E1C">
        <w:rPr>
          <w:rFonts w:ascii="Times New Roman" w:hAnsi="Times New Roman"/>
          <w:sz w:val="24"/>
          <w:szCs w:val="24"/>
        </w:rPr>
        <w:t xml:space="preserve"> shows the total decisions completed by the IDA’s discipli</w:t>
      </w:r>
      <w:r w:rsidR="00423EFF" w:rsidRPr="00883E1C">
        <w:rPr>
          <w:rFonts w:ascii="Times New Roman" w:hAnsi="Times New Roman"/>
          <w:sz w:val="24"/>
          <w:szCs w:val="24"/>
        </w:rPr>
        <w:t>nary committee for the period from</w:t>
      </w:r>
      <w:r w:rsidR="00473CC1" w:rsidRPr="00883E1C">
        <w:rPr>
          <w:rFonts w:ascii="Times New Roman" w:hAnsi="Times New Roman"/>
          <w:sz w:val="24"/>
          <w:szCs w:val="24"/>
        </w:rPr>
        <w:t xml:space="preserve"> 2002 to 2007. Judging from the number of cases completed, the IDA continued to informally process complaints before they reached a hearing panel.  On average, only about 45 cases per year made their way to a disciplinary hearing between 2002 and 2007. This is a striking contrast to the number of complaints that were initially processed by the Case Assessment Group </w:t>
      </w:r>
      <w:r w:rsidR="00423EFF" w:rsidRPr="00883E1C">
        <w:rPr>
          <w:rFonts w:ascii="Times New Roman" w:hAnsi="Times New Roman"/>
          <w:sz w:val="24"/>
          <w:szCs w:val="24"/>
        </w:rPr>
        <w:t>in Table 1-3 above.</w:t>
      </w:r>
    </w:p>
    <w:p w:rsidR="005F1998" w:rsidRPr="00883E1C" w:rsidRDefault="00E51121" w:rsidP="00F11B61">
      <w:pPr>
        <w:pStyle w:val="NormalIndent"/>
        <w:rPr>
          <w:rFonts w:ascii="Times New Roman" w:hAnsi="Times New Roman"/>
          <w:sz w:val="24"/>
          <w:szCs w:val="24"/>
        </w:rPr>
      </w:pPr>
      <w:r w:rsidRPr="00883E1C">
        <w:rPr>
          <w:rFonts w:ascii="Times New Roman" w:hAnsi="Times New Roman"/>
          <w:sz w:val="24"/>
          <w:szCs w:val="24"/>
        </w:rPr>
        <w:t>Table 1-9</w:t>
      </w:r>
      <w:r w:rsidR="00473CC1" w:rsidRPr="00883E1C">
        <w:rPr>
          <w:rFonts w:ascii="Times New Roman" w:hAnsi="Times New Roman"/>
          <w:sz w:val="24"/>
          <w:szCs w:val="24"/>
        </w:rPr>
        <w:t xml:space="preserve"> also sh</w:t>
      </w:r>
      <w:r w:rsidR="00F54B06" w:rsidRPr="00883E1C">
        <w:rPr>
          <w:rFonts w:ascii="Times New Roman" w:hAnsi="Times New Roman"/>
          <w:sz w:val="24"/>
          <w:szCs w:val="24"/>
        </w:rPr>
        <w:t>ows the penalties imposed</w:t>
      </w:r>
      <w:r w:rsidR="00473CC1" w:rsidRPr="00883E1C">
        <w:rPr>
          <w:rFonts w:ascii="Times New Roman" w:hAnsi="Times New Roman"/>
          <w:sz w:val="24"/>
          <w:szCs w:val="24"/>
        </w:rPr>
        <w:t xml:space="preserve"> by the IDA’s hearing panels from 2002-2007. With the exception of 2004 and 2006, when the total fines imposed were $4,147,000 and $3,092,500 respectively, the total fines imposed for the other years never exceeded $2.5 million.  In addition </w:t>
      </w:r>
      <w:r w:rsidR="00DA6306" w:rsidRPr="00883E1C">
        <w:rPr>
          <w:rFonts w:ascii="Times New Roman" w:hAnsi="Times New Roman"/>
          <w:sz w:val="24"/>
          <w:szCs w:val="24"/>
        </w:rPr>
        <w:t>to fines</w:t>
      </w:r>
      <w:r w:rsidR="00473CC1" w:rsidRPr="00883E1C">
        <w:rPr>
          <w:rFonts w:ascii="Times New Roman" w:hAnsi="Times New Roman"/>
          <w:sz w:val="24"/>
          <w:szCs w:val="24"/>
        </w:rPr>
        <w:t>, warning letters and terms and conditions were the most frequent penalties imposed, followed by permanent bans from the Association and a period of suspension from working in the industry. Of these, a permanent ban is considered to be</w:t>
      </w:r>
      <w:r w:rsidR="00F6653C" w:rsidRPr="00883E1C">
        <w:rPr>
          <w:rFonts w:ascii="Times New Roman" w:hAnsi="Times New Roman"/>
          <w:sz w:val="24"/>
          <w:szCs w:val="24"/>
        </w:rPr>
        <w:t xml:space="preserve"> the most severe (see IDA, 2006</w:t>
      </w:r>
      <w:r w:rsidR="00473CC1" w:rsidRPr="00883E1C">
        <w:rPr>
          <w:rFonts w:ascii="Times New Roman" w:hAnsi="Times New Roman"/>
          <w:sz w:val="24"/>
          <w:szCs w:val="24"/>
        </w:rPr>
        <w:t xml:space="preserve">: 12). </w:t>
      </w:r>
      <w:r w:rsidR="005F1998" w:rsidRPr="00883E1C">
        <w:rPr>
          <w:rFonts w:ascii="Times New Roman" w:hAnsi="Times New Roman"/>
          <w:sz w:val="24"/>
          <w:szCs w:val="24"/>
        </w:rPr>
        <w:t xml:space="preserve">A permanent bar is usually reserved </w:t>
      </w:r>
      <w:r w:rsidR="00710719" w:rsidRPr="00883E1C">
        <w:rPr>
          <w:rFonts w:ascii="Times New Roman" w:hAnsi="Times New Roman"/>
          <w:sz w:val="24"/>
          <w:szCs w:val="24"/>
        </w:rPr>
        <w:t>for cases</w:t>
      </w:r>
      <w:r w:rsidR="005F1998" w:rsidRPr="00883E1C">
        <w:rPr>
          <w:rFonts w:ascii="Times New Roman" w:hAnsi="Times New Roman"/>
          <w:sz w:val="24"/>
          <w:szCs w:val="24"/>
        </w:rPr>
        <w:t xml:space="preserve"> where </w:t>
      </w:r>
    </w:p>
    <w:p w:rsidR="005F1998" w:rsidRPr="00883E1C" w:rsidRDefault="005F1998" w:rsidP="005F1998">
      <w:pPr>
        <w:pStyle w:val="NormalIndent"/>
        <w:spacing w:line="240" w:lineRule="auto"/>
        <w:ind w:left="284" w:right="284" w:firstLine="0"/>
        <w:rPr>
          <w:rFonts w:ascii="Times New Roman" w:hAnsi="Times New Roman"/>
          <w:sz w:val="24"/>
          <w:szCs w:val="24"/>
        </w:rPr>
      </w:pPr>
      <w:r w:rsidRPr="00883E1C">
        <w:rPr>
          <w:rFonts w:ascii="Times New Roman" w:hAnsi="Times New Roman"/>
          <w:sz w:val="24"/>
          <w:szCs w:val="24"/>
        </w:rPr>
        <w:t>the public itself has been abused; where it is clear that a respondent’s conduct is indicative of a resistance to governance; the misconduct has an element of criminal or quasi-criminal activity; or there is reason to believe that the respondent could not be trusted to act in an honest and fair manner in all their dealings with the public, their clients, and the securities</w:t>
      </w:r>
      <w:r w:rsidR="00F6653C" w:rsidRPr="00883E1C">
        <w:rPr>
          <w:rFonts w:ascii="Times New Roman" w:hAnsi="Times New Roman"/>
          <w:sz w:val="24"/>
          <w:szCs w:val="24"/>
        </w:rPr>
        <w:t xml:space="preserve"> industry as a whole (IDA, 2006</w:t>
      </w:r>
      <w:r w:rsidRPr="00883E1C">
        <w:rPr>
          <w:rFonts w:ascii="Times New Roman" w:hAnsi="Times New Roman"/>
          <w:sz w:val="24"/>
          <w:szCs w:val="24"/>
        </w:rPr>
        <w:t>: 12</w:t>
      </w:r>
      <w:r w:rsidR="00B45D43" w:rsidRPr="00883E1C">
        <w:rPr>
          <w:rFonts w:ascii="Times New Roman" w:hAnsi="Times New Roman"/>
          <w:sz w:val="24"/>
          <w:szCs w:val="24"/>
        </w:rPr>
        <w:t>).</w:t>
      </w:r>
    </w:p>
    <w:p w:rsidR="00473CC1" w:rsidRPr="00883E1C" w:rsidRDefault="005F1998" w:rsidP="005F1998">
      <w:pPr>
        <w:pStyle w:val="NormalIndent"/>
        <w:ind w:firstLine="0"/>
        <w:rPr>
          <w:rFonts w:ascii="Times New Roman" w:hAnsi="Times New Roman"/>
          <w:sz w:val="24"/>
          <w:szCs w:val="24"/>
        </w:rPr>
      </w:pPr>
      <w:r w:rsidRPr="00883E1C">
        <w:rPr>
          <w:rFonts w:ascii="Times New Roman" w:hAnsi="Times New Roman"/>
          <w:sz w:val="24"/>
          <w:szCs w:val="24"/>
        </w:rPr>
        <w:t xml:space="preserve"> W</w:t>
      </w:r>
      <w:r w:rsidR="00473CC1" w:rsidRPr="00883E1C">
        <w:rPr>
          <w:rFonts w:ascii="Times New Roman" w:hAnsi="Times New Roman"/>
          <w:sz w:val="24"/>
          <w:szCs w:val="24"/>
        </w:rPr>
        <w:t>hile a permanent ban can be seen as a deterrent, and that the IDA succeeded in getting rid of the individual from the industry, only 64 (or roughly 6 permanent bans per year) were imposed over the six year period.</w:t>
      </w:r>
    </w:p>
    <w:p w:rsidR="001B393A" w:rsidRPr="00883E1C" w:rsidRDefault="001B393A" w:rsidP="005F1998">
      <w:pPr>
        <w:pStyle w:val="NormalIndent"/>
        <w:ind w:firstLine="0"/>
        <w:rPr>
          <w:rFonts w:ascii="Times New Roman" w:hAnsi="Times New Roman"/>
          <w:sz w:val="24"/>
          <w:szCs w:val="24"/>
        </w:rPr>
      </w:pPr>
    </w:p>
    <w:p w:rsidR="001B393A" w:rsidRPr="00883E1C" w:rsidRDefault="001B393A" w:rsidP="005F1998">
      <w:pPr>
        <w:pStyle w:val="NormalIndent"/>
        <w:ind w:firstLine="0"/>
        <w:rPr>
          <w:rFonts w:ascii="Times New Roman" w:hAnsi="Times New Roman"/>
          <w:sz w:val="24"/>
          <w:szCs w:val="24"/>
        </w:rPr>
      </w:pPr>
    </w:p>
    <w:p w:rsidR="00473CC1" w:rsidRPr="00883E1C" w:rsidRDefault="00473CC1" w:rsidP="00752F7F">
      <w:pPr>
        <w:pStyle w:val="Caption"/>
        <w:keepNext/>
        <w:spacing w:after="0"/>
        <w:rPr>
          <w:rFonts w:ascii="Times New Roman" w:hAnsi="Times New Roman"/>
          <w:sz w:val="24"/>
        </w:rPr>
      </w:pPr>
      <w:bookmarkStart w:id="92" w:name="_Toc329241711"/>
      <w:r w:rsidRPr="00883E1C">
        <w:rPr>
          <w:rFonts w:ascii="Times New Roman" w:hAnsi="Times New Roman"/>
          <w:sz w:val="24"/>
        </w:rPr>
        <w:lastRenderedPageBreak/>
        <w:t>Table 1</w:t>
      </w:r>
      <w:r w:rsidRPr="00883E1C">
        <w:rPr>
          <w:rFonts w:ascii="Times New Roman" w:hAnsi="Times New Roman"/>
          <w:sz w:val="24"/>
        </w:rPr>
        <w:noBreakHyphen/>
      </w:r>
      <w:r w:rsidR="00E51121" w:rsidRPr="00883E1C">
        <w:rPr>
          <w:rFonts w:ascii="Times New Roman" w:hAnsi="Times New Roman"/>
          <w:sz w:val="24"/>
        </w:rPr>
        <w:t>10</w:t>
      </w:r>
      <w:r w:rsidRPr="00883E1C">
        <w:rPr>
          <w:rFonts w:ascii="Times New Roman" w:hAnsi="Times New Roman"/>
          <w:sz w:val="24"/>
        </w:rPr>
        <w:tab/>
        <w:t>Penalties Assessed on Member Firms</w:t>
      </w:r>
      <w:bookmarkEnd w:id="92"/>
    </w:p>
    <w:tbl>
      <w:tblPr>
        <w:tblpPr w:leftFromText="180" w:rightFromText="180" w:vertAnchor="text" w:horzAnchor="margin" w:tblpX="108" w:tblpY="172"/>
        <w:tblW w:w="9406" w:type="dxa"/>
        <w:tblLook w:val="04A0" w:firstRow="1" w:lastRow="0" w:firstColumn="1" w:lastColumn="0" w:noHBand="0" w:noVBand="1"/>
      </w:tblPr>
      <w:tblGrid>
        <w:gridCol w:w="1463"/>
        <w:gridCol w:w="1117"/>
        <w:gridCol w:w="967"/>
        <w:gridCol w:w="1217"/>
        <w:gridCol w:w="1117"/>
        <w:gridCol w:w="1117"/>
        <w:gridCol w:w="1117"/>
        <w:gridCol w:w="1292"/>
      </w:tblGrid>
      <w:tr w:rsidR="00883E1C" w:rsidRPr="00883E1C" w:rsidTr="00124EE0">
        <w:trPr>
          <w:cantSplit/>
          <w:trHeight w:val="300"/>
          <w:tblHeader/>
        </w:trPr>
        <w:tc>
          <w:tcPr>
            <w:tcW w:w="811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3CC1" w:rsidRPr="00883E1C" w:rsidRDefault="00473CC1" w:rsidP="00D36097">
            <w:pPr>
              <w:keepNext/>
              <w:spacing w:after="0" w:line="240" w:lineRule="auto"/>
              <w:jc w:val="center"/>
              <w:rPr>
                <w:rFonts w:ascii="Times New Roman" w:hAnsi="Times New Roman"/>
                <w:b/>
                <w:bCs/>
                <w:sz w:val="24"/>
                <w:szCs w:val="24"/>
              </w:rPr>
            </w:pPr>
            <w:r w:rsidRPr="00883E1C">
              <w:rPr>
                <w:rFonts w:ascii="Times New Roman" w:hAnsi="Times New Roman"/>
                <w:b/>
                <w:bCs/>
                <w:sz w:val="24"/>
                <w:szCs w:val="24"/>
              </w:rPr>
              <w:t>Firms</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4"/>
                <w:szCs w:val="24"/>
              </w:rPr>
            </w:pPr>
            <w:r w:rsidRPr="00883E1C">
              <w:rPr>
                <w:rFonts w:ascii="Times New Roman" w:hAnsi="Times New Roman"/>
                <w:sz w:val="24"/>
                <w:szCs w:val="24"/>
              </w:rPr>
              <w:t> </w:t>
            </w:r>
          </w:p>
        </w:tc>
      </w:tr>
      <w:tr w:rsidR="00883E1C" w:rsidRPr="00883E1C" w:rsidTr="00124EE0">
        <w:trPr>
          <w:cantSplit/>
          <w:trHeight w:val="300"/>
          <w:tblHeader/>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jc w:val="center"/>
              <w:rPr>
                <w:rFonts w:ascii="Times New Roman" w:hAnsi="Times New Roman"/>
                <w:b/>
                <w:bCs/>
                <w:sz w:val="24"/>
                <w:szCs w:val="24"/>
              </w:rPr>
            </w:pPr>
            <w:r w:rsidRPr="00883E1C">
              <w:rPr>
                <w:rFonts w:ascii="Times New Roman" w:hAnsi="Times New Roman"/>
                <w:b/>
                <w:bCs/>
                <w:sz w:val="24"/>
                <w:szCs w:val="24"/>
              </w:rPr>
              <w:t> </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jc w:val="center"/>
              <w:rPr>
                <w:rFonts w:ascii="Times New Roman" w:hAnsi="Times New Roman"/>
                <w:b/>
                <w:bCs/>
                <w:sz w:val="24"/>
                <w:szCs w:val="24"/>
              </w:rPr>
            </w:pPr>
            <w:r w:rsidRPr="00883E1C">
              <w:rPr>
                <w:rFonts w:ascii="Times New Roman" w:hAnsi="Times New Roman"/>
                <w:b/>
                <w:bCs/>
                <w:sz w:val="24"/>
                <w:szCs w:val="24"/>
              </w:rPr>
              <w:t>2002</w:t>
            </w:r>
          </w:p>
        </w:tc>
        <w:tc>
          <w:tcPr>
            <w:tcW w:w="96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jc w:val="center"/>
              <w:rPr>
                <w:rFonts w:ascii="Times New Roman" w:hAnsi="Times New Roman"/>
                <w:b/>
                <w:bCs/>
                <w:sz w:val="24"/>
                <w:szCs w:val="24"/>
              </w:rPr>
            </w:pPr>
            <w:r w:rsidRPr="00883E1C">
              <w:rPr>
                <w:rFonts w:ascii="Times New Roman" w:hAnsi="Times New Roman"/>
                <w:b/>
                <w:bCs/>
                <w:sz w:val="24"/>
                <w:szCs w:val="24"/>
              </w:rPr>
              <w:t>2003</w:t>
            </w:r>
          </w:p>
        </w:tc>
        <w:tc>
          <w:tcPr>
            <w:tcW w:w="12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jc w:val="center"/>
              <w:rPr>
                <w:rFonts w:ascii="Times New Roman" w:hAnsi="Times New Roman"/>
                <w:b/>
                <w:bCs/>
                <w:sz w:val="24"/>
                <w:szCs w:val="24"/>
              </w:rPr>
            </w:pPr>
            <w:r w:rsidRPr="00883E1C">
              <w:rPr>
                <w:rFonts w:ascii="Times New Roman" w:hAnsi="Times New Roman"/>
                <w:b/>
                <w:bCs/>
                <w:sz w:val="24"/>
                <w:szCs w:val="24"/>
              </w:rPr>
              <w:t>2004</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jc w:val="center"/>
              <w:rPr>
                <w:rFonts w:ascii="Times New Roman" w:hAnsi="Times New Roman"/>
                <w:b/>
                <w:bCs/>
                <w:sz w:val="24"/>
                <w:szCs w:val="24"/>
              </w:rPr>
            </w:pPr>
            <w:r w:rsidRPr="00883E1C">
              <w:rPr>
                <w:rFonts w:ascii="Times New Roman" w:hAnsi="Times New Roman"/>
                <w:b/>
                <w:bCs/>
                <w:sz w:val="24"/>
                <w:szCs w:val="24"/>
              </w:rPr>
              <w:t>2005</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jc w:val="center"/>
              <w:rPr>
                <w:rFonts w:ascii="Times New Roman" w:hAnsi="Times New Roman"/>
                <w:b/>
                <w:bCs/>
                <w:sz w:val="24"/>
                <w:szCs w:val="24"/>
              </w:rPr>
            </w:pPr>
            <w:r w:rsidRPr="00883E1C">
              <w:rPr>
                <w:rFonts w:ascii="Times New Roman" w:hAnsi="Times New Roman"/>
                <w:b/>
                <w:bCs/>
                <w:sz w:val="24"/>
                <w:szCs w:val="24"/>
              </w:rPr>
              <w:t>2006</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jc w:val="center"/>
              <w:rPr>
                <w:rFonts w:ascii="Times New Roman" w:hAnsi="Times New Roman"/>
                <w:b/>
                <w:bCs/>
                <w:sz w:val="24"/>
                <w:szCs w:val="24"/>
              </w:rPr>
            </w:pPr>
            <w:r w:rsidRPr="00883E1C">
              <w:rPr>
                <w:rFonts w:ascii="Times New Roman" w:hAnsi="Times New Roman"/>
                <w:b/>
                <w:bCs/>
                <w:sz w:val="24"/>
                <w:szCs w:val="24"/>
              </w:rPr>
              <w:t>2007</w:t>
            </w:r>
          </w:p>
        </w:tc>
        <w:tc>
          <w:tcPr>
            <w:tcW w:w="129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jc w:val="center"/>
              <w:rPr>
                <w:rFonts w:ascii="Times New Roman" w:hAnsi="Times New Roman"/>
                <w:b/>
                <w:bCs/>
                <w:sz w:val="24"/>
                <w:szCs w:val="24"/>
              </w:rPr>
            </w:pPr>
            <w:r w:rsidRPr="00883E1C">
              <w:rPr>
                <w:rFonts w:ascii="Times New Roman" w:hAnsi="Times New Roman"/>
                <w:b/>
                <w:bCs/>
                <w:sz w:val="24"/>
                <w:szCs w:val="24"/>
              </w:rPr>
              <w:t>Total</w:t>
            </w:r>
          </w:p>
        </w:tc>
      </w:tr>
      <w:tr w:rsidR="00883E1C" w:rsidRPr="00883E1C" w:rsidTr="00124EE0">
        <w:trPr>
          <w:cantSplit/>
          <w:trHeight w:val="30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rPr>
            </w:pPr>
            <w:r w:rsidRPr="00883E1C">
              <w:rPr>
                <w:rFonts w:ascii="Times New Roman" w:hAnsi="Times New Roman"/>
              </w:rPr>
              <w:t>Fines</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$4,110,000</w:t>
            </w:r>
          </w:p>
        </w:tc>
        <w:tc>
          <w:tcPr>
            <w:tcW w:w="96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$191,654</w:t>
            </w:r>
          </w:p>
        </w:tc>
        <w:tc>
          <w:tcPr>
            <w:tcW w:w="12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$20,583,577</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$1,046,596</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$1,930,651</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$1,045,000</w:t>
            </w:r>
          </w:p>
        </w:tc>
        <w:tc>
          <w:tcPr>
            <w:tcW w:w="129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$28,907,478</w:t>
            </w:r>
          </w:p>
        </w:tc>
      </w:tr>
      <w:tr w:rsidR="00883E1C" w:rsidRPr="00883E1C" w:rsidTr="00124EE0">
        <w:trPr>
          <w:cantSplit/>
          <w:trHeight w:val="30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rPr>
            </w:pPr>
            <w:r w:rsidRPr="00883E1C">
              <w:rPr>
                <w:rFonts w:ascii="Times New Roman" w:hAnsi="Times New Roman"/>
              </w:rPr>
              <w:t>Costs</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$337,675</w:t>
            </w:r>
          </w:p>
        </w:tc>
        <w:tc>
          <w:tcPr>
            <w:tcW w:w="96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$73,535</w:t>
            </w:r>
          </w:p>
        </w:tc>
        <w:tc>
          <w:tcPr>
            <w:tcW w:w="12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$280,069</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$227,000</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$98,241</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$85,000</w:t>
            </w:r>
          </w:p>
        </w:tc>
        <w:tc>
          <w:tcPr>
            <w:tcW w:w="129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keepNext/>
              <w:spacing w:after="0" w:line="240" w:lineRule="auto"/>
              <w:rPr>
                <w:rFonts w:ascii="Times New Roman" w:hAnsi="Times New Roman"/>
                <w:sz w:val="20"/>
                <w:szCs w:val="20"/>
              </w:rPr>
            </w:pPr>
            <w:r w:rsidRPr="00883E1C">
              <w:rPr>
                <w:rFonts w:ascii="Times New Roman" w:hAnsi="Times New Roman"/>
                <w:sz w:val="20"/>
                <w:szCs w:val="20"/>
              </w:rPr>
              <w:t>$1,101,520</w:t>
            </w:r>
          </w:p>
        </w:tc>
      </w:tr>
      <w:tr w:rsidR="00883E1C" w:rsidRPr="00883E1C" w:rsidTr="00124EE0">
        <w:trPr>
          <w:cantSplit/>
          <w:trHeight w:val="30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Disgorgement</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0</w:t>
            </w:r>
          </w:p>
        </w:tc>
        <w:tc>
          <w:tcPr>
            <w:tcW w:w="96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0</w:t>
            </w:r>
          </w:p>
        </w:tc>
        <w:tc>
          <w:tcPr>
            <w:tcW w:w="12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$20,978,577</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$506,596</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0</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20"/>
                <w:szCs w:val="20"/>
              </w:rPr>
            </w:pPr>
            <w:r w:rsidRPr="00883E1C">
              <w:rPr>
                <w:rFonts w:ascii="Times New Roman" w:hAnsi="Times New Roman"/>
                <w:sz w:val="20"/>
                <w:szCs w:val="20"/>
              </w:rPr>
              <w:t>0</w:t>
            </w:r>
          </w:p>
        </w:tc>
        <w:tc>
          <w:tcPr>
            <w:tcW w:w="129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sz w:val="18"/>
                <w:szCs w:val="18"/>
              </w:rPr>
            </w:pPr>
            <w:r w:rsidRPr="00883E1C">
              <w:rPr>
                <w:rFonts w:ascii="Times New Roman" w:hAnsi="Times New Roman"/>
                <w:sz w:val="18"/>
                <w:szCs w:val="18"/>
              </w:rPr>
              <w:t>$  21,485,173</w:t>
            </w:r>
          </w:p>
        </w:tc>
      </w:tr>
      <w:tr w:rsidR="00883E1C" w:rsidRPr="00883E1C" w:rsidTr="00124EE0">
        <w:trPr>
          <w:cantSplit/>
          <w:trHeight w:val="30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Total Decisions</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6</w:t>
            </w:r>
          </w:p>
        </w:tc>
        <w:tc>
          <w:tcPr>
            <w:tcW w:w="96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6</w:t>
            </w:r>
          </w:p>
        </w:tc>
        <w:tc>
          <w:tcPr>
            <w:tcW w:w="12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10</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13</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11</w:t>
            </w:r>
          </w:p>
        </w:tc>
        <w:tc>
          <w:tcPr>
            <w:tcW w:w="1117"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6</w:t>
            </w:r>
          </w:p>
        </w:tc>
        <w:tc>
          <w:tcPr>
            <w:tcW w:w="1292" w:type="dxa"/>
            <w:tcBorders>
              <w:top w:val="nil"/>
              <w:left w:val="nil"/>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52</w:t>
            </w:r>
          </w:p>
        </w:tc>
      </w:tr>
      <w:tr w:rsidR="00883E1C" w:rsidRPr="00883E1C" w:rsidTr="00124EE0">
        <w:trPr>
          <w:cantSplit/>
          <w:trHeight w:val="30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473CC1" w:rsidRPr="00883E1C" w:rsidRDefault="00473CC1" w:rsidP="00D36097">
            <w:pPr>
              <w:spacing w:after="0" w:line="240" w:lineRule="auto"/>
              <w:rPr>
                <w:rFonts w:ascii="Times New Roman" w:hAnsi="Times New Roman"/>
              </w:rPr>
            </w:pPr>
            <w:r w:rsidRPr="00883E1C">
              <w:rPr>
                <w:rFonts w:ascii="Times New Roman" w:hAnsi="Times New Roman"/>
              </w:rPr>
              <w:t>Permanent</w:t>
            </w:r>
          </w:p>
          <w:p w:rsidR="00F11B61" w:rsidRPr="00883E1C" w:rsidRDefault="00F11B61" w:rsidP="0062611D">
            <w:pPr>
              <w:spacing w:after="0" w:line="240" w:lineRule="auto"/>
              <w:rPr>
                <w:rFonts w:ascii="Times New Roman" w:hAnsi="Times New Roman"/>
              </w:rPr>
            </w:pPr>
            <w:bookmarkStart w:id="93" w:name="_Toc271724851"/>
            <w:bookmarkStart w:id="94" w:name="_Toc271727050"/>
            <w:bookmarkStart w:id="95" w:name="_Toc271727216"/>
            <w:bookmarkStart w:id="96" w:name="_Toc271727418"/>
            <w:bookmarkStart w:id="97" w:name="_Toc271733412"/>
            <w:bookmarkStart w:id="98" w:name="_Toc275444274"/>
            <w:bookmarkStart w:id="99" w:name="_Toc297720354"/>
            <w:bookmarkStart w:id="100" w:name="_Toc300859223"/>
            <w:r w:rsidRPr="00883E1C">
              <w:rPr>
                <w:rFonts w:ascii="Times New Roman" w:hAnsi="Times New Roman"/>
              </w:rPr>
              <w:t>Suspensions</w:t>
            </w:r>
            <w:r w:rsidR="0062611D">
              <w:rPr>
                <w:rStyle w:val="EndnoteReference"/>
                <w:rFonts w:ascii="Times New Roman" w:hAnsi="Times New Roman"/>
              </w:rPr>
              <w:endnoteReference w:id="5"/>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2</w:t>
            </w:r>
          </w:p>
        </w:tc>
        <w:tc>
          <w:tcPr>
            <w:tcW w:w="96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0</w:t>
            </w:r>
          </w:p>
        </w:tc>
        <w:tc>
          <w:tcPr>
            <w:tcW w:w="12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0</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2</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0</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1</w:t>
            </w:r>
          </w:p>
        </w:tc>
        <w:tc>
          <w:tcPr>
            <w:tcW w:w="1292"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5</w:t>
            </w:r>
          </w:p>
        </w:tc>
      </w:tr>
      <w:tr w:rsidR="00883E1C" w:rsidRPr="00883E1C" w:rsidTr="00124EE0">
        <w:trPr>
          <w:cantSplit/>
          <w:trHeight w:val="30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Terminations</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2</w:t>
            </w:r>
          </w:p>
        </w:tc>
        <w:tc>
          <w:tcPr>
            <w:tcW w:w="96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0</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0</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3</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0</w:t>
            </w:r>
          </w:p>
        </w:tc>
        <w:tc>
          <w:tcPr>
            <w:tcW w:w="1292"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6</w:t>
            </w:r>
          </w:p>
        </w:tc>
      </w:tr>
      <w:tr w:rsidR="00883E1C" w:rsidRPr="00883E1C" w:rsidTr="00124EE0">
        <w:trPr>
          <w:cantSplit/>
          <w:trHeight w:val="30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Warning Letters</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16</w:t>
            </w:r>
          </w:p>
        </w:tc>
        <w:tc>
          <w:tcPr>
            <w:tcW w:w="96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13</w:t>
            </w:r>
          </w:p>
        </w:tc>
        <w:tc>
          <w:tcPr>
            <w:tcW w:w="12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5</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8</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11</w:t>
            </w:r>
          </w:p>
        </w:tc>
        <w:tc>
          <w:tcPr>
            <w:tcW w:w="1117"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4</w:t>
            </w:r>
          </w:p>
        </w:tc>
        <w:tc>
          <w:tcPr>
            <w:tcW w:w="1292" w:type="dxa"/>
            <w:tcBorders>
              <w:top w:val="nil"/>
              <w:left w:val="nil"/>
              <w:bottom w:val="single" w:sz="4" w:space="0" w:color="auto"/>
              <w:right w:val="single" w:sz="4" w:space="0" w:color="auto"/>
            </w:tcBorders>
            <w:shd w:val="clear" w:color="auto" w:fill="auto"/>
            <w:noWrap/>
            <w:vAlign w:val="bottom"/>
            <w:hideMark/>
          </w:tcPr>
          <w:p w:rsidR="00F11B61" w:rsidRPr="00883E1C" w:rsidRDefault="00F11B61" w:rsidP="00D36097">
            <w:pPr>
              <w:spacing w:after="0" w:line="240" w:lineRule="auto"/>
              <w:rPr>
                <w:rFonts w:ascii="Times New Roman" w:hAnsi="Times New Roman"/>
              </w:rPr>
            </w:pPr>
            <w:r w:rsidRPr="00883E1C">
              <w:rPr>
                <w:rFonts w:ascii="Times New Roman" w:hAnsi="Times New Roman"/>
              </w:rPr>
              <w:t>57</w:t>
            </w:r>
          </w:p>
        </w:tc>
      </w:tr>
    </w:tbl>
    <w:p w:rsidR="00F11B61" w:rsidRPr="00883E1C" w:rsidRDefault="00F11B61" w:rsidP="00F11B61">
      <w:pPr>
        <w:spacing w:after="0" w:line="240" w:lineRule="auto"/>
        <w:rPr>
          <w:rFonts w:ascii="Times New Roman" w:hAnsi="Times New Roman"/>
          <w:b/>
          <w:sz w:val="24"/>
          <w:szCs w:val="24"/>
        </w:rPr>
      </w:pPr>
    </w:p>
    <w:p w:rsidR="004E3926" w:rsidRPr="00883E1C" w:rsidRDefault="00E51121" w:rsidP="00F11B61">
      <w:pPr>
        <w:pStyle w:val="NormalIndent"/>
        <w:rPr>
          <w:rFonts w:ascii="Times New Roman" w:hAnsi="Times New Roman"/>
          <w:sz w:val="24"/>
          <w:szCs w:val="24"/>
        </w:rPr>
      </w:pPr>
      <w:r w:rsidRPr="00883E1C">
        <w:rPr>
          <w:rFonts w:ascii="Times New Roman" w:hAnsi="Times New Roman"/>
          <w:sz w:val="24"/>
          <w:szCs w:val="24"/>
        </w:rPr>
        <w:t>Table 1-10</w:t>
      </w:r>
      <w:r w:rsidR="00971C75" w:rsidRPr="00883E1C">
        <w:rPr>
          <w:rFonts w:ascii="Times New Roman" w:hAnsi="Times New Roman"/>
          <w:sz w:val="24"/>
          <w:szCs w:val="24"/>
        </w:rPr>
        <w:t xml:space="preserve"> shows the penalties imposed on Member firms. </w:t>
      </w:r>
      <w:r w:rsidR="00F11B61" w:rsidRPr="00883E1C">
        <w:rPr>
          <w:rFonts w:ascii="Times New Roman" w:hAnsi="Times New Roman"/>
          <w:sz w:val="24"/>
          <w:szCs w:val="24"/>
        </w:rPr>
        <w:t xml:space="preserve"> </w:t>
      </w:r>
      <w:r w:rsidR="006718B6" w:rsidRPr="00883E1C">
        <w:rPr>
          <w:rFonts w:ascii="Times New Roman" w:hAnsi="Times New Roman"/>
          <w:sz w:val="24"/>
          <w:szCs w:val="24"/>
        </w:rPr>
        <w:t>On average, there were roughly nine</w:t>
      </w:r>
      <w:r w:rsidR="00244836" w:rsidRPr="00883E1C">
        <w:rPr>
          <w:rFonts w:ascii="Times New Roman" w:hAnsi="Times New Roman"/>
          <w:sz w:val="24"/>
          <w:szCs w:val="24"/>
        </w:rPr>
        <w:t xml:space="preserve"> Member f</w:t>
      </w:r>
      <w:r w:rsidR="00F11B61" w:rsidRPr="00883E1C">
        <w:rPr>
          <w:rFonts w:ascii="Times New Roman" w:hAnsi="Times New Roman"/>
          <w:sz w:val="24"/>
          <w:szCs w:val="24"/>
        </w:rPr>
        <w:t>irm</w:t>
      </w:r>
      <w:r w:rsidR="00ED470A" w:rsidRPr="00883E1C">
        <w:rPr>
          <w:rFonts w:ascii="Times New Roman" w:hAnsi="Times New Roman"/>
          <w:sz w:val="24"/>
          <w:szCs w:val="24"/>
        </w:rPr>
        <w:t>s</w:t>
      </w:r>
      <w:r w:rsidR="00F11B61" w:rsidRPr="00883E1C">
        <w:rPr>
          <w:rFonts w:ascii="Times New Roman" w:hAnsi="Times New Roman"/>
          <w:sz w:val="24"/>
          <w:szCs w:val="24"/>
        </w:rPr>
        <w:t xml:space="preserve"> disciplined per year. </w:t>
      </w:r>
      <w:r w:rsidR="004E3926" w:rsidRPr="00883E1C">
        <w:rPr>
          <w:rFonts w:ascii="Times New Roman" w:hAnsi="Times New Roman"/>
          <w:sz w:val="24"/>
          <w:szCs w:val="24"/>
        </w:rPr>
        <w:t>The total fines levied on Member firms were at its highest in 2004, amounting to</w:t>
      </w:r>
      <w:r w:rsidR="00F11B61" w:rsidRPr="00883E1C">
        <w:rPr>
          <w:rFonts w:ascii="Times New Roman" w:hAnsi="Times New Roman"/>
          <w:sz w:val="24"/>
          <w:szCs w:val="24"/>
        </w:rPr>
        <w:t xml:space="preserve"> $20,583,577. With the exception of 2002, the total fines imposed on Member firms did not exceed $2 million dollars for any other year. Even though the number of Member firm cases heard in 2004 was one more than the average, the disparity in fines over the six year period is partly due to the number of firms that were fined for market-timing offences in that year, for which harsher fines were imposed.</w:t>
      </w:r>
      <w:r w:rsidR="004E3926" w:rsidRPr="00883E1C">
        <w:rPr>
          <w:rFonts w:ascii="Times New Roman" w:hAnsi="Times New Roman"/>
          <w:sz w:val="24"/>
          <w:szCs w:val="24"/>
        </w:rPr>
        <w:t xml:space="preserve"> </w:t>
      </w:r>
      <w:r w:rsidR="00FF1F94" w:rsidRPr="00883E1C">
        <w:rPr>
          <w:rFonts w:ascii="Times New Roman" w:hAnsi="Times New Roman"/>
          <w:sz w:val="24"/>
          <w:szCs w:val="24"/>
        </w:rPr>
        <w:t xml:space="preserve">One possible reason for the </w:t>
      </w:r>
      <w:r w:rsidR="004E3926" w:rsidRPr="00883E1C">
        <w:rPr>
          <w:rFonts w:ascii="Times New Roman" w:hAnsi="Times New Roman"/>
          <w:sz w:val="24"/>
          <w:szCs w:val="24"/>
        </w:rPr>
        <w:t xml:space="preserve">linear relationship between total fines and disgorgement imposed </w:t>
      </w:r>
      <w:r w:rsidR="00024CFF" w:rsidRPr="00883E1C">
        <w:rPr>
          <w:rFonts w:ascii="Times New Roman" w:hAnsi="Times New Roman"/>
          <w:sz w:val="24"/>
          <w:szCs w:val="24"/>
        </w:rPr>
        <w:t xml:space="preserve">for </w:t>
      </w:r>
      <w:r w:rsidR="00B45D43" w:rsidRPr="00883E1C">
        <w:rPr>
          <w:rFonts w:ascii="Times New Roman" w:hAnsi="Times New Roman"/>
          <w:sz w:val="24"/>
          <w:szCs w:val="24"/>
        </w:rPr>
        <w:t>2004</w:t>
      </w:r>
      <w:r w:rsidR="00FA71ED" w:rsidRPr="00883E1C">
        <w:rPr>
          <w:rFonts w:ascii="Times New Roman" w:hAnsi="Times New Roman"/>
          <w:sz w:val="24"/>
          <w:szCs w:val="24"/>
        </w:rPr>
        <w:t xml:space="preserve"> is </w:t>
      </w:r>
      <w:r w:rsidR="00024CFF" w:rsidRPr="00883E1C">
        <w:rPr>
          <w:rFonts w:ascii="Times New Roman" w:hAnsi="Times New Roman"/>
          <w:sz w:val="24"/>
          <w:szCs w:val="24"/>
        </w:rPr>
        <w:t>that</w:t>
      </w:r>
      <w:r w:rsidR="00FA71ED" w:rsidRPr="00883E1C">
        <w:rPr>
          <w:rFonts w:ascii="Times New Roman" w:hAnsi="Times New Roman"/>
          <w:sz w:val="24"/>
          <w:szCs w:val="24"/>
        </w:rPr>
        <w:t xml:space="preserve"> Member firms had to </w:t>
      </w:r>
      <w:r w:rsidR="004E3926" w:rsidRPr="00883E1C">
        <w:rPr>
          <w:rFonts w:ascii="Times New Roman" w:hAnsi="Times New Roman"/>
          <w:sz w:val="24"/>
          <w:szCs w:val="24"/>
        </w:rPr>
        <w:t xml:space="preserve">disgorge the commissions </w:t>
      </w:r>
      <w:r w:rsidR="008C4BD9" w:rsidRPr="00883E1C">
        <w:rPr>
          <w:rFonts w:ascii="Times New Roman" w:hAnsi="Times New Roman"/>
          <w:sz w:val="24"/>
          <w:szCs w:val="24"/>
        </w:rPr>
        <w:t>earned from th</w:t>
      </w:r>
      <w:r w:rsidR="00FA7A10" w:rsidRPr="00883E1C">
        <w:rPr>
          <w:rFonts w:ascii="Times New Roman" w:hAnsi="Times New Roman"/>
          <w:sz w:val="24"/>
          <w:szCs w:val="24"/>
        </w:rPr>
        <w:t>e</w:t>
      </w:r>
      <w:r w:rsidR="008C4BD9" w:rsidRPr="00883E1C">
        <w:rPr>
          <w:rFonts w:ascii="Times New Roman" w:hAnsi="Times New Roman"/>
          <w:sz w:val="24"/>
          <w:szCs w:val="24"/>
        </w:rPr>
        <w:t xml:space="preserve"> market-timing offences. </w:t>
      </w:r>
    </w:p>
    <w:p w:rsidR="00F11B61" w:rsidRPr="00883E1C" w:rsidRDefault="00F11B61" w:rsidP="00A45001">
      <w:pPr>
        <w:pStyle w:val="NormalIndent"/>
        <w:rPr>
          <w:rFonts w:ascii="Times New Roman" w:hAnsi="Times New Roman"/>
          <w:sz w:val="24"/>
          <w:szCs w:val="24"/>
        </w:rPr>
      </w:pPr>
      <w:r w:rsidRPr="00883E1C">
        <w:rPr>
          <w:rFonts w:ascii="Times New Roman" w:hAnsi="Times New Roman"/>
          <w:sz w:val="24"/>
          <w:szCs w:val="24"/>
        </w:rPr>
        <w:t>Of the non-monetary penalties, warning letters were the most frequent sanctions imposed. From 2002 to 2007, the IDA’s hearing panels handed out 57 warning letters. On the other hand, only 5 firms received permanent suspensions and 6 were terminated.  A termination or a permanent ban on a Member firm is a serious penalty and is u</w:t>
      </w:r>
      <w:r w:rsidR="00A45001" w:rsidRPr="00883E1C">
        <w:rPr>
          <w:rFonts w:ascii="Times New Roman" w:hAnsi="Times New Roman"/>
          <w:sz w:val="24"/>
          <w:szCs w:val="24"/>
        </w:rPr>
        <w:t xml:space="preserve">sually reserved for the more serious transgressions. </w:t>
      </w:r>
      <w:r w:rsidRPr="00883E1C">
        <w:rPr>
          <w:rFonts w:ascii="Times New Roman" w:hAnsi="Times New Roman"/>
          <w:sz w:val="24"/>
          <w:szCs w:val="24"/>
        </w:rPr>
        <w:t xml:space="preserve">How </w:t>
      </w:r>
      <w:r w:rsidR="00ED470A" w:rsidRPr="00883E1C">
        <w:rPr>
          <w:rFonts w:ascii="Times New Roman" w:hAnsi="Times New Roman"/>
          <w:sz w:val="24"/>
          <w:szCs w:val="24"/>
        </w:rPr>
        <w:t>can</w:t>
      </w:r>
      <w:r w:rsidRPr="00883E1C">
        <w:rPr>
          <w:rFonts w:ascii="Times New Roman" w:hAnsi="Times New Roman"/>
          <w:sz w:val="24"/>
          <w:szCs w:val="24"/>
        </w:rPr>
        <w:t xml:space="preserve"> these findings</w:t>
      </w:r>
      <w:r w:rsidR="00ED470A" w:rsidRPr="00883E1C">
        <w:rPr>
          <w:rFonts w:ascii="Times New Roman" w:hAnsi="Times New Roman"/>
          <w:sz w:val="24"/>
          <w:szCs w:val="24"/>
        </w:rPr>
        <w:t xml:space="preserve"> be interpreted</w:t>
      </w:r>
      <w:r w:rsidRPr="00883E1C">
        <w:rPr>
          <w:rFonts w:ascii="Times New Roman" w:hAnsi="Times New Roman"/>
          <w:sz w:val="24"/>
          <w:szCs w:val="24"/>
        </w:rPr>
        <w:t xml:space="preserve">? </w:t>
      </w:r>
      <w:r w:rsidR="00ED470A" w:rsidRPr="00883E1C">
        <w:rPr>
          <w:rFonts w:ascii="Times New Roman" w:hAnsi="Times New Roman"/>
          <w:sz w:val="24"/>
          <w:szCs w:val="24"/>
        </w:rPr>
        <w:t>Are we</w:t>
      </w:r>
      <w:r w:rsidR="00EF34E9" w:rsidRPr="00883E1C">
        <w:rPr>
          <w:rFonts w:ascii="Times New Roman" w:hAnsi="Times New Roman"/>
          <w:sz w:val="24"/>
          <w:szCs w:val="24"/>
        </w:rPr>
        <w:t xml:space="preserve"> </w:t>
      </w:r>
      <w:r w:rsidRPr="00883E1C">
        <w:rPr>
          <w:rFonts w:ascii="Times New Roman" w:hAnsi="Times New Roman"/>
          <w:sz w:val="24"/>
          <w:szCs w:val="24"/>
        </w:rPr>
        <w:t xml:space="preserve">supposed to believe that only 6 firms were involved in cases that deserved termination notices? Given that a considerable number of the complaints opened by the Case Assessment Group had criminal or quasi-criminal </w:t>
      </w:r>
      <w:r w:rsidRPr="00883E1C">
        <w:rPr>
          <w:rFonts w:ascii="Times New Roman" w:hAnsi="Times New Roman"/>
          <w:sz w:val="24"/>
          <w:szCs w:val="24"/>
        </w:rPr>
        <w:lastRenderedPageBreak/>
        <w:t>element to them, it is difficult to comprehend why only 6 firms were terminated.  Or is it that the IDA will only go after its Members who violate rules that warrants insignificant penalties such as warning letters? Whatever the reason, there was a litany of scandals involving brokerage firms in Canada within the last 10 years, and the fact that only 6 of them were terminated between 2002 and 2007 indicates that the IDA is reluctant to get tough with Member</w:t>
      </w:r>
      <w:r w:rsidR="00ED470A" w:rsidRPr="00883E1C">
        <w:rPr>
          <w:rFonts w:ascii="Times New Roman" w:hAnsi="Times New Roman"/>
          <w:sz w:val="24"/>
          <w:szCs w:val="24"/>
        </w:rPr>
        <w:t xml:space="preserve"> firm</w:t>
      </w:r>
      <w:r w:rsidRPr="00883E1C">
        <w:rPr>
          <w:rFonts w:ascii="Times New Roman" w:hAnsi="Times New Roman"/>
          <w:sz w:val="24"/>
          <w:szCs w:val="24"/>
        </w:rPr>
        <w:t xml:space="preserve">s.   </w:t>
      </w:r>
    </w:p>
    <w:bookmarkEnd w:id="93"/>
    <w:bookmarkEnd w:id="94"/>
    <w:bookmarkEnd w:id="95"/>
    <w:bookmarkEnd w:id="96"/>
    <w:bookmarkEnd w:id="97"/>
    <w:bookmarkEnd w:id="98"/>
    <w:bookmarkEnd w:id="99"/>
    <w:bookmarkEnd w:id="100"/>
    <w:p w:rsidR="008A4411" w:rsidRPr="00883E1C" w:rsidRDefault="001B393A" w:rsidP="007E0FFA">
      <w:pPr>
        <w:spacing w:after="0"/>
        <w:rPr>
          <w:rFonts w:ascii="Times New Roman" w:hAnsi="Times New Roman"/>
          <w:b/>
          <w:sz w:val="28"/>
          <w:szCs w:val="28"/>
        </w:rPr>
      </w:pPr>
      <w:r w:rsidRPr="00883E1C">
        <w:rPr>
          <w:rFonts w:ascii="Times New Roman" w:hAnsi="Times New Roman"/>
          <w:b/>
          <w:sz w:val="28"/>
          <w:szCs w:val="28"/>
        </w:rPr>
        <w:t xml:space="preserve">6. </w:t>
      </w:r>
      <w:r w:rsidR="002C7FF4" w:rsidRPr="00883E1C">
        <w:rPr>
          <w:rFonts w:ascii="Times New Roman" w:hAnsi="Times New Roman"/>
          <w:b/>
          <w:sz w:val="28"/>
          <w:szCs w:val="28"/>
        </w:rPr>
        <w:t xml:space="preserve">Discussion and </w:t>
      </w:r>
      <w:r w:rsidR="00DF3DCE" w:rsidRPr="00883E1C">
        <w:rPr>
          <w:rFonts w:ascii="Times New Roman" w:hAnsi="Times New Roman"/>
          <w:b/>
          <w:sz w:val="28"/>
          <w:szCs w:val="28"/>
        </w:rPr>
        <w:t>C</w:t>
      </w:r>
      <w:r w:rsidR="004D16AE" w:rsidRPr="00883E1C">
        <w:rPr>
          <w:rFonts w:ascii="Times New Roman" w:hAnsi="Times New Roman"/>
          <w:b/>
          <w:sz w:val="28"/>
          <w:szCs w:val="28"/>
        </w:rPr>
        <w:t>onclusion</w:t>
      </w:r>
    </w:p>
    <w:p w:rsidR="00006268" w:rsidRPr="00883E1C" w:rsidRDefault="001B393A" w:rsidP="007E0FFA">
      <w:pPr>
        <w:spacing w:after="0"/>
        <w:rPr>
          <w:rFonts w:ascii="Times New Roman" w:hAnsi="Times New Roman"/>
          <w:i/>
          <w:sz w:val="24"/>
          <w:szCs w:val="24"/>
        </w:rPr>
      </w:pPr>
      <w:r w:rsidRPr="00883E1C">
        <w:rPr>
          <w:rFonts w:ascii="Times New Roman" w:hAnsi="Times New Roman"/>
          <w:i/>
          <w:sz w:val="24"/>
          <w:szCs w:val="24"/>
        </w:rPr>
        <w:t xml:space="preserve">6.1. </w:t>
      </w:r>
      <w:r w:rsidR="00006268" w:rsidRPr="00883E1C">
        <w:rPr>
          <w:rFonts w:ascii="Times New Roman" w:hAnsi="Times New Roman"/>
          <w:i/>
          <w:sz w:val="24"/>
          <w:szCs w:val="24"/>
        </w:rPr>
        <w:t>The Funnel Metaphor Revisited</w:t>
      </w:r>
    </w:p>
    <w:p w:rsidR="004D16AE" w:rsidRPr="00883E1C" w:rsidRDefault="00362066" w:rsidP="007E0FFA">
      <w:pPr>
        <w:pStyle w:val="NormalIndent"/>
        <w:spacing w:after="0"/>
        <w:rPr>
          <w:rFonts w:ascii="Times New Roman" w:hAnsi="Times New Roman"/>
          <w:sz w:val="24"/>
          <w:szCs w:val="24"/>
        </w:rPr>
      </w:pPr>
      <w:r w:rsidRPr="00883E1C">
        <w:rPr>
          <w:rFonts w:ascii="Times New Roman" w:hAnsi="Times New Roman"/>
          <w:sz w:val="24"/>
          <w:szCs w:val="24"/>
        </w:rPr>
        <w:t xml:space="preserve">This </w:t>
      </w:r>
      <w:r w:rsidR="000F4BE0" w:rsidRPr="00883E1C">
        <w:rPr>
          <w:rFonts w:ascii="Times New Roman" w:hAnsi="Times New Roman"/>
          <w:sz w:val="24"/>
          <w:szCs w:val="24"/>
        </w:rPr>
        <w:t>study</w:t>
      </w:r>
      <w:r w:rsidRPr="00883E1C">
        <w:rPr>
          <w:rFonts w:ascii="Times New Roman" w:hAnsi="Times New Roman"/>
          <w:sz w:val="24"/>
          <w:szCs w:val="24"/>
        </w:rPr>
        <w:t xml:space="preserve"> look</w:t>
      </w:r>
      <w:r w:rsidR="000F4BE0" w:rsidRPr="00883E1C">
        <w:rPr>
          <w:rFonts w:ascii="Times New Roman" w:hAnsi="Times New Roman"/>
          <w:sz w:val="24"/>
          <w:szCs w:val="24"/>
        </w:rPr>
        <w:t>ed</w:t>
      </w:r>
      <w:r w:rsidRPr="00883E1C">
        <w:rPr>
          <w:rFonts w:ascii="Times New Roman" w:hAnsi="Times New Roman"/>
          <w:sz w:val="24"/>
          <w:szCs w:val="24"/>
        </w:rPr>
        <w:t xml:space="preserve"> at the enforcement of complaints by the IDA and </w:t>
      </w:r>
      <w:r w:rsidR="004D16AE" w:rsidRPr="00883E1C">
        <w:rPr>
          <w:rFonts w:ascii="Times New Roman" w:hAnsi="Times New Roman"/>
          <w:sz w:val="24"/>
          <w:szCs w:val="24"/>
        </w:rPr>
        <w:t>utilized data from the IDA’s Enforcement</w:t>
      </w:r>
      <w:r w:rsidR="00FF1F94" w:rsidRPr="00883E1C">
        <w:rPr>
          <w:rFonts w:ascii="Times New Roman" w:hAnsi="Times New Roman"/>
          <w:sz w:val="24"/>
          <w:szCs w:val="24"/>
        </w:rPr>
        <w:t xml:space="preserve"> Annual</w:t>
      </w:r>
      <w:r w:rsidR="004D16AE" w:rsidRPr="00883E1C">
        <w:rPr>
          <w:rFonts w:ascii="Times New Roman" w:hAnsi="Times New Roman"/>
          <w:sz w:val="24"/>
          <w:szCs w:val="24"/>
        </w:rPr>
        <w:t xml:space="preserve"> Reports</w:t>
      </w:r>
      <w:r w:rsidRPr="00883E1C">
        <w:rPr>
          <w:rFonts w:ascii="Times New Roman" w:hAnsi="Times New Roman"/>
          <w:sz w:val="24"/>
          <w:szCs w:val="24"/>
        </w:rPr>
        <w:t xml:space="preserve"> and tribunal cases. The </w:t>
      </w:r>
      <w:r w:rsidR="004D16AE" w:rsidRPr="00883E1C">
        <w:rPr>
          <w:rFonts w:ascii="Times New Roman" w:hAnsi="Times New Roman"/>
          <w:sz w:val="24"/>
          <w:szCs w:val="24"/>
        </w:rPr>
        <w:t xml:space="preserve">data allowed me to employ the </w:t>
      </w:r>
      <w:r w:rsidR="00FF1F94" w:rsidRPr="00883E1C">
        <w:rPr>
          <w:rFonts w:ascii="Times New Roman" w:hAnsi="Times New Roman"/>
          <w:sz w:val="24"/>
          <w:szCs w:val="24"/>
        </w:rPr>
        <w:t xml:space="preserve">regulatory funnel </w:t>
      </w:r>
      <w:r w:rsidR="004D16AE" w:rsidRPr="00883E1C">
        <w:rPr>
          <w:rFonts w:ascii="Times New Roman" w:hAnsi="Times New Roman"/>
          <w:sz w:val="24"/>
          <w:szCs w:val="24"/>
        </w:rPr>
        <w:t xml:space="preserve">to examine the processing </w:t>
      </w:r>
      <w:r w:rsidR="00077B08" w:rsidRPr="00883E1C">
        <w:rPr>
          <w:rFonts w:ascii="Times New Roman" w:hAnsi="Times New Roman"/>
          <w:sz w:val="24"/>
          <w:szCs w:val="24"/>
        </w:rPr>
        <w:t>of complaints</w:t>
      </w:r>
      <w:r w:rsidR="004D16AE" w:rsidRPr="00883E1C">
        <w:rPr>
          <w:rFonts w:ascii="Times New Roman" w:hAnsi="Times New Roman"/>
          <w:sz w:val="24"/>
          <w:szCs w:val="24"/>
        </w:rPr>
        <w:t xml:space="preserve"> from </w:t>
      </w:r>
      <w:r w:rsidR="00163F52" w:rsidRPr="00883E1C">
        <w:rPr>
          <w:rFonts w:ascii="Times New Roman" w:hAnsi="Times New Roman"/>
          <w:sz w:val="24"/>
          <w:szCs w:val="24"/>
        </w:rPr>
        <w:t xml:space="preserve">initial </w:t>
      </w:r>
      <w:r w:rsidR="00822822" w:rsidRPr="00883E1C">
        <w:rPr>
          <w:rFonts w:ascii="Times New Roman" w:hAnsi="Times New Roman"/>
          <w:sz w:val="24"/>
          <w:szCs w:val="24"/>
        </w:rPr>
        <w:t>screening to</w:t>
      </w:r>
      <w:r w:rsidR="004D16AE" w:rsidRPr="00883E1C">
        <w:rPr>
          <w:rFonts w:ascii="Times New Roman" w:hAnsi="Times New Roman"/>
          <w:sz w:val="24"/>
          <w:szCs w:val="24"/>
        </w:rPr>
        <w:t xml:space="preserve"> final dispositions</w:t>
      </w:r>
      <w:r w:rsidR="00822822" w:rsidRPr="00883E1C">
        <w:rPr>
          <w:rFonts w:ascii="Times New Roman" w:hAnsi="Times New Roman"/>
          <w:sz w:val="24"/>
          <w:szCs w:val="24"/>
        </w:rPr>
        <w:t xml:space="preserve"> in the IDA’</w:t>
      </w:r>
      <w:r w:rsidR="006604F9" w:rsidRPr="00883E1C">
        <w:rPr>
          <w:rFonts w:ascii="Times New Roman" w:hAnsi="Times New Roman"/>
          <w:sz w:val="24"/>
          <w:szCs w:val="24"/>
        </w:rPr>
        <w:t>s disciplinary system</w:t>
      </w:r>
      <w:r w:rsidR="004D16AE" w:rsidRPr="00883E1C">
        <w:rPr>
          <w:rFonts w:ascii="Times New Roman" w:hAnsi="Times New Roman"/>
          <w:sz w:val="24"/>
          <w:szCs w:val="24"/>
        </w:rPr>
        <w:t xml:space="preserve">.  </w:t>
      </w:r>
      <w:r w:rsidR="0059334C" w:rsidRPr="00883E1C">
        <w:rPr>
          <w:rFonts w:ascii="Times New Roman" w:hAnsi="Times New Roman"/>
          <w:sz w:val="24"/>
          <w:szCs w:val="24"/>
        </w:rPr>
        <w:t xml:space="preserve"> </w:t>
      </w:r>
      <w:r w:rsidR="004D16AE" w:rsidRPr="00883E1C">
        <w:rPr>
          <w:rFonts w:ascii="Times New Roman" w:hAnsi="Times New Roman"/>
          <w:sz w:val="24"/>
          <w:szCs w:val="24"/>
        </w:rPr>
        <w:t>The argument that SROs “funnel in” more complaints than the state</w:t>
      </w:r>
      <w:r w:rsidR="00ED470A" w:rsidRPr="00883E1C">
        <w:rPr>
          <w:rFonts w:ascii="Times New Roman" w:hAnsi="Times New Roman"/>
          <w:sz w:val="24"/>
          <w:szCs w:val="24"/>
        </w:rPr>
        <w:t xml:space="preserve"> could deal with</w:t>
      </w:r>
      <w:r w:rsidR="004D16AE" w:rsidRPr="00883E1C">
        <w:rPr>
          <w:rFonts w:ascii="Times New Roman" w:hAnsi="Times New Roman"/>
          <w:sz w:val="24"/>
          <w:szCs w:val="24"/>
        </w:rPr>
        <w:t xml:space="preserve"> cannot be ascertained because there is no basis upon which to compare this assertion.  What is known, however, is that with the addition of ComSet, the IDA was able to better position itself to scrutinize a wider variety of complaints, than it would have done otherwise. In reviewing these complaints, the IDA achieved greater inspectorial depth because the Case Assessment Group was able to look at more infractions with the existence of ComSet. The fact that the IDA looked at complaints that the state would not be interested in, is likely proof that the IDA does </w:t>
      </w:r>
      <w:r w:rsidR="00971C75" w:rsidRPr="00883E1C">
        <w:rPr>
          <w:rFonts w:ascii="Times New Roman" w:hAnsi="Times New Roman"/>
          <w:sz w:val="24"/>
          <w:szCs w:val="24"/>
        </w:rPr>
        <w:t>“</w:t>
      </w:r>
      <w:r w:rsidR="004D16AE" w:rsidRPr="00883E1C">
        <w:rPr>
          <w:rFonts w:ascii="Times New Roman" w:hAnsi="Times New Roman"/>
          <w:sz w:val="24"/>
          <w:szCs w:val="24"/>
        </w:rPr>
        <w:t>funnel in</w:t>
      </w:r>
      <w:r w:rsidR="00971C75" w:rsidRPr="00883E1C">
        <w:rPr>
          <w:rFonts w:ascii="Times New Roman" w:hAnsi="Times New Roman"/>
          <w:sz w:val="24"/>
          <w:szCs w:val="24"/>
        </w:rPr>
        <w:t>”</w:t>
      </w:r>
      <w:r w:rsidR="004D16AE" w:rsidRPr="00883E1C">
        <w:rPr>
          <w:rFonts w:ascii="Times New Roman" w:hAnsi="Times New Roman"/>
          <w:sz w:val="24"/>
          <w:szCs w:val="24"/>
        </w:rPr>
        <w:t xml:space="preserve"> </w:t>
      </w:r>
      <w:r w:rsidR="00971C75" w:rsidRPr="00883E1C">
        <w:rPr>
          <w:rFonts w:ascii="Times New Roman" w:hAnsi="Times New Roman"/>
          <w:sz w:val="24"/>
          <w:szCs w:val="24"/>
        </w:rPr>
        <w:t xml:space="preserve">more </w:t>
      </w:r>
      <w:r w:rsidR="004D16AE" w:rsidRPr="00883E1C">
        <w:rPr>
          <w:rFonts w:ascii="Times New Roman" w:hAnsi="Times New Roman"/>
          <w:sz w:val="24"/>
          <w:szCs w:val="24"/>
        </w:rPr>
        <w:t xml:space="preserve">complaints. ComSet also allowed the IDA to streamline the reporting process and made it easier for Members to report complaints.  </w:t>
      </w:r>
      <w:r w:rsidR="004D16AE" w:rsidRPr="00883E1C">
        <w:rPr>
          <w:rFonts w:ascii="Times New Roman" w:hAnsi="Times New Roman"/>
          <w:bCs/>
          <w:sz w:val="24"/>
          <w:szCs w:val="24"/>
        </w:rPr>
        <w:t xml:space="preserve">The existence of </w:t>
      </w:r>
      <w:r w:rsidR="004D16AE" w:rsidRPr="00883E1C">
        <w:rPr>
          <w:rFonts w:ascii="Times New Roman" w:hAnsi="Times New Roman"/>
          <w:sz w:val="24"/>
          <w:szCs w:val="24"/>
        </w:rPr>
        <w:t xml:space="preserve">another avenue for investors to report their complaints is therefore significant. </w:t>
      </w:r>
    </w:p>
    <w:p w:rsidR="004D16AE" w:rsidRPr="00883E1C" w:rsidRDefault="004D16AE" w:rsidP="004D16AE">
      <w:pPr>
        <w:pStyle w:val="NormalIndent"/>
        <w:rPr>
          <w:rFonts w:ascii="Times New Roman" w:hAnsi="Times New Roman"/>
          <w:sz w:val="24"/>
          <w:szCs w:val="24"/>
        </w:rPr>
      </w:pPr>
      <w:r w:rsidRPr="00883E1C">
        <w:rPr>
          <w:rFonts w:ascii="Times New Roman" w:hAnsi="Times New Roman"/>
          <w:sz w:val="24"/>
          <w:szCs w:val="24"/>
        </w:rPr>
        <w:t>The “</w:t>
      </w:r>
      <w:r w:rsidR="008978C9" w:rsidRPr="00883E1C">
        <w:rPr>
          <w:rFonts w:ascii="Times New Roman" w:hAnsi="Times New Roman"/>
          <w:sz w:val="24"/>
          <w:szCs w:val="24"/>
        </w:rPr>
        <w:t>funneling</w:t>
      </w:r>
      <w:r w:rsidRPr="00883E1C">
        <w:rPr>
          <w:rFonts w:ascii="Times New Roman" w:hAnsi="Times New Roman"/>
          <w:sz w:val="24"/>
          <w:szCs w:val="24"/>
        </w:rPr>
        <w:t xml:space="preserve"> out” of complaints at the Investigation and Prosecution </w:t>
      </w:r>
      <w:r w:rsidR="00077B08" w:rsidRPr="00883E1C">
        <w:rPr>
          <w:rFonts w:ascii="Times New Roman" w:hAnsi="Times New Roman"/>
          <w:sz w:val="24"/>
          <w:szCs w:val="24"/>
        </w:rPr>
        <w:t xml:space="preserve">stages implies that the IDA is </w:t>
      </w:r>
      <w:r w:rsidRPr="00883E1C">
        <w:rPr>
          <w:rFonts w:ascii="Times New Roman" w:hAnsi="Times New Roman"/>
          <w:sz w:val="24"/>
          <w:szCs w:val="24"/>
        </w:rPr>
        <w:t>ine</w:t>
      </w:r>
      <w:r w:rsidR="00077B08" w:rsidRPr="00883E1C">
        <w:rPr>
          <w:rFonts w:ascii="Times New Roman" w:hAnsi="Times New Roman"/>
          <w:sz w:val="24"/>
          <w:szCs w:val="24"/>
        </w:rPr>
        <w:t xml:space="preserve">ffective in controlling </w:t>
      </w:r>
      <w:r w:rsidR="00F44551" w:rsidRPr="00883E1C">
        <w:rPr>
          <w:rFonts w:ascii="Times New Roman" w:hAnsi="Times New Roman"/>
          <w:sz w:val="24"/>
          <w:szCs w:val="24"/>
        </w:rPr>
        <w:t>wayward registrants</w:t>
      </w:r>
      <w:r w:rsidR="00077B08" w:rsidRPr="00883E1C">
        <w:rPr>
          <w:rFonts w:ascii="Times New Roman" w:hAnsi="Times New Roman"/>
          <w:sz w:val="24"/>
          <w:szCs w:val="24"/>
        </w:rPr>
        <w:t>.</w:t>
      </w:r>
      <w:r w:rsidRPr="00883E1C">
        <w:rPr>
          <w:rFonts w:ascii="Times New Roman" w:hAnsi="Times New Roman"/>
          <w:sz w:val="24"/>
          <w:szCs w:val="24"/>
        </w:rPr>
        <w:t xml:space="preserve"> The criticism that SROs are too lenient </w:t>
      </w:r>
      <w:r w:rsidRPr="00883E1C">
        <w:rPr>
          <w:rFonts w:ascii="Times New Roman" w:hAnsi="Times New Roman"/>
          <w:sz w:val="24"/>
          <w:szCs w:val="24"/>
        </w:rPr>
        <w:lastRenderedPageBreak/>
        <w:t xml:space="preserve">on their members and that they “funnel out” complaints from the system, was evident in the Investigation and Prosecution stages in the IDA’s enforcement process. The number of complaints opened shrank significantly as they made their way from Case Assessment through to Investigation and Prosecution. The disposition of cases at the Investigation and Prosecution stages only allows for written reprimands - a penalty that is nothing more than a regulatory wrist slap.  As such, the claim made by SROs that they set and impose higher standards than state regulators, is not substantiated in the IDA’s case. </w:t>
      </w:r>
      <w:r w:rsidR="003E1ACA" w:rsidRPr="00883E1C">
        <w:rPr>
          <w:rFonts w:ascii="Times New Roman" w:hAnsi="Times New Roman"/>
          <w:sz w:val="24"/>
          <w:szCs w:val="24"/>
        </w:rPr>
        <w:t>The appearance of lenient enforcement</w:t>
      </w:r>
      <w:r w:rsidRPr="00883E1C">
        <w:rPr>
          <w:rFonts w:ascii="Times New Roman" w:hAnsi="Times New Roman"/>
          <w:sz w:val="24"/>
          <w:szCs w:val="24"/>
        </w:rPr>
        <w:t xml:space="preserve"> sends the wrong message to investors and investment professionals, and implies that the Association does not take these matters seriously. </w:t>
      </w:r>
    </w:p>
    <w:p w:rsidR="001A7A32" w:rsidRPr="00883E1C" w:rsidRDefault="00AD5A18" w:rsidP="001A7A32">
      <w:pPr>
        <w:pStyle w:val="NormalIndent"/>
        <w:rPr>
          <w:rFonts w:ascii="Times New Roman" w:hAnsi="Times New Roman"/>
          <w:sz w:val="24"/>
          <w:szCs w:val="24"/>
        </w:rPr>
      </w:pPr>
      <w:r w:rsidRPr="00883E1C">
        <w:rPr>
          <w:rFonts w:ascii="Times New Roman" w:hAnsi="Times New Roman"/>
          <w:sz w:val="24"/>
          <w:szCs w:val="24"/>
        </w:rPr>
        <w:t>T</w:t>
      </w:r>
      <w:r w:rsidR="004D16AE" w:rsidRPr="00883E1C">
        <w:rPr>
          <w:rFonts w:ascii="Times New Roman" w:hAnsi="Times New Roman"/>
          <w:sz w:val="24"/>
          <w:szCs w:val="24"/>
        </w:rPr>
        <w:t xml:space="preserve">here is also support for the claim that SROs’ function to deflect complaints with criminal elements away from the </w:t>
      </w:r>
      <w:r w:rsidR="007055FD" w:rsidRPr="00883E1C">
        <w:rPr>
          <w:rFonts w:ascii="Times New Roman" w:hAnsi="Times New Roman"/>
          <w:sz w:val="24"/>
          <w:szCs w:val="24"/>
        </w:rPr>
        <w:t>CJS</w:t>
      </w:r>
      <w:r w:rsidR="004D16AE" w:rsidRPr="00883E1C">
        <w:rPr>
          <w:rFonts w:ascii="Times New Roman" w:hAnsi="Times New Roman"/>
          <w:sz w:val="24"/>
          <w:szCs w:val="24"/>
        </w:rPr>
        <w:t>. As shown in this study, the findings from the cases that made their way to a</w:t>
      </w:r>
      <w:r w:rsidR="008C3EB1" w:rsidRPr="00883E1C">
        <w:rPr>
          <w:rFonts w:ascii="Times New Roman" w:hAnsi="Times New Roman"/>
          <w:sz w:val="24"/>
          <w:szCs w:val="24"/>
        </w:rPr>
        <w:t>n IDA</w:t>
      </w:r>
      <w:r w:rsidR="004D16AE" w:rsidRPr="00883E1C">
        <w:rPr>
          <w:rFonts w:ascii="Times New Roman" w:hAnsi="Times New Roman"/>
          <w:sz w:val="24"/>
          <w:szCs w:val="24"/>
        </w:rPr>
        <w:t xml:space="preserve"> hearing illustrated that the IDA was likely deflecting complaints with criminal elements away from the </w:t>
      </w:r>
      <w:r w:rsidR="007055FD" w:rsidRPr="00883E1C">
        <w:rPr>
          <w:rFonts w:ascii="Times New Roman" w:hAnsi="Times New Roman"/>
          <w:sz w:val="24"/>
          <w:szCs w:val="24"/>
        </w:rPr>
        <w:t>CJS</w:t>
      </w:r>
      <w:r w:rsidR="004D16AE" w:rsidRPr="00883E1C">
        <w:rPr>
          <w:rFonts w:ascii="Times New Roman" w:hAnsi="Times New Roman"/>
          <w:sz w:val="24"/>
          <w:szCs w:val="24"/>
        </w:rPr>
        <w:t xml:space="preserve">. Perhaps this is because the IDA was more interested in protecting its members, rather than fulfilling its legislative mandate to serve the public interest. This inherent conflict </w:t>
      </w:r>
      <w:r w:rsidR="006D2677" w:rsidRPr="00883E1C">
        <w:rPr>
          <w:rFonts w:ascii="Times New Roman" w:hAnsi="Times New Roman"/>
          <w:sz w:val="24"/>
          <w:szCs w:val="24"/>
        </w:rPr>
        <w:t>-</w:t>
      </w:r>
      <w:r w:rsidR="004D16AE" w:rsidRPr="00883E1C">
        <w:rPr>
          <w:rFonts w:ascii="Times New Roman" w:hAnsi="Times New Roman"/>
          <w:sz w:val="24"/>
          <w:szCs w:val="24"/>
        </w:rPr>
        <w:t>of</w:t>
      </w:r>
      <w:r w:rsidR="006D2677" w:rsidRPr="00883E1C">
        <w:rPr>
          <w:rFonts w:ascii="Times New Roman" w:hAnsi="Times New Roman"/>
          <w:sz w:val="24"/>
          <w:szCs w:val="24"/>
        </w:rPr>
        <w:t>-</w:t>
      </w:r>
      <w:r w:rsidR="004D16AE" w:rsidRPr="00883E1C">
        <w:rPr>
          <w:rFonts w:ascii="Times New Roman" w:hAnsi="Times New Roman"/>
          <w:sz w:val="24"/>
          <w:szCs w:val="24"/>
        </w:rPr>
        <w:t xml:space="preserve"> interest raises questions on the effectiveness of SROs to be a part of the investors’ safety net in the securities industry</w:t>
      </w:r>
      <w:r w:rsidR="007835CA" w:rsidRPr="00883E1C">
        <w:rPr>
          <w:rFonts w:ascii="Times New Roman" w:hAnsi="Times New Roman"/>
          <w:sz w:val="24"/>
          <w:szCs w:val="24"/>
        </w:rPr>
        <w:t xml:space="preserve"> (Dorn, 2011)</w:t>
      </w:r>
      <w:r w:rsidR="004D16AE" w:rsidRPr="00883E1C">
        <w:rPr>
          <w:rFonts w:ascii="Times New Roman" w:hAnsi="Times New Roman"/>
          <w:sz w:val="24"/>
          <w:szCs w:val="24"/>
        </w:rPr>
        <w:t xml:space="preserve">. Some scholars even expressed concerns over whether SROs are working for the benefit of their members or serving the public interest as they so often claim to be </w:t>
      </w:r>
      <w:r w:rsidR="0019110F" w:rsidRPr="00883E1C">
        <w:rPr>
          <w:rFonts w:ascii="Times New Roman" w:hAnsi="Times New Roman"/>
          <w:sz w:val="24"/>
          <w:szCs w:val="24"/>
        </w:rPr>
        <w:t>(</w:t>
      </w:r>
      <w:r w:rsidR="00F44551" w:rsidRPr="00883E1C">
        <w:rPr>
          <w:rFonts w:ascii="Times New Roman" w:hAnsi="Times New Roman"/>
          <w:sz w:val="24"/>
          <w:szCs w:val="24"/>
        </w:rPr>
        <w:t>Brockman, 2004; Condon, 2008</w:t>
      </w:r>
      <w:r w:rsidR="00305682" w:rsidRPr="00883E1C">
        <w:rPr>
          <w:rFonts w:ascii="Times New Roman" w:hAnsi="Times New Roman"/>
          <w:sz w:val="24"/>
          <w:szCs w:val="24"/>
        </w:rPr>
        <w:t>)</w:t>
      </w:r>
      <w:r w:rsidR="004D16AE" w:rsidRPr="00883E1C">
        <w:rPr>
          <w:rFonts w:ascii="Times New Roman" w:hAnsi="Times New Roman"/>
          <w:sz w:val="24"/>
          <w:szCs w:val="24"/>
        </w:rPr>
        <w:t xml:space="preserve">. </w:t>
      </w:r>
      <w:r w:rsidR="00F44551" w:rsidRPr="00883E1C">
        <w:rPr>
          <w:rFonts w:ascii="Times New Roman" w:hAnsi="Times New Roman"/>
          <w:sz w:val="24"/>
          <w:szCs w:val="24"/>
        </w:rPr>
        <w:t>A</w:t>
      </w:r>
      <w:r w:rsidR="004D16AE" w:rsidRPr="00883E1C">
        <w:rPr>
          <w:rFonts w:ascii="Times New Roman" w:hAnsi="Times New Roman"/>
          <w:sz w:val="24"/>
          <w:szCs w:val="24"/>
        </w:rPr>
        <w:t>n SRO that is supposed to be in charge of safeguarding the investing public</w:t>
      </w:r>
      <w:r w:rsidR="00551889" w:rsidRPr="00883E1C">
        <w:rPr>
          <w:rFonts w:ascii="Times New Roman" w:hAnsi="Times New Roman"/>
          <w:sz w:val="24"/>
          <w:szCs w:val="24"/>
        </w:rPr>
        <w:t>, but</w:t>
      </w:r>
      <w:r w:rsidR="004D16AE" w:rsidRPr="00883E1C">
        <w:rPr>
          <w:rFonts w:ascii="Times New Roman" w:hAnsi="Times New Roman"/>
          <w:sz w:val="24"/>
          <w:szCs w:val="24"/>
        </w:rPr>
        <w:t xml:space="preserve"> at the same time, deflects investors’ complaints away from the </w:t>
      </w:r>
      <w:r w:rsidR="007055FD" w:rsidRPr="00883E1C">
        <w:rPr>
          <w:rFonts w:ascii="Times New Roman" w:hAnsi="Times New Roman"/>
          <w:sz w:val="24"/>
          <w:szCs w:val="24"/>
        </w:rPr>
        <w:t>CJS</w:t>
      </w:r>
      <w:r w:rsidR="004D16AE" w:rsidRPr="00883E1C">
        <w:rPr>
          <w:rFonts w:ascii="Times New Roman" w:hAnsi="Times New Roman"/>
          <w:sz w:val="24"/>
          <w:szCs w:val="24"/>
        </w:rPr>
        <w:t>, is tantamount to putting</w:t>
      </w:r>
      <w:r w:rsidR="00C94066" w:rsidRPr="00883E1C">
        <w:rPr>
          <w:rFonts w:ascii="Times New Roman" w:hAnsi="Times New Roman"/>
          <w:sz w:val="24"/>
          <w:szCs w:val="24"/>
        </w:rPr>
        <w:t xml:space="preserve"> a fox to guard a henhouse</w:t>
      </w:r>
      <w:r w:rsidR="004D16AE" w:rsidRPr="00883E1C">
        <w:rPr>
          <w:rFonts w:ascii="Times New Roman" w:hAnsi="Times New Roman"/>
          <w:sz w:val="24"/>
          <w:szCs w:val="24"/>
        </w:rPr>
        <w:t>.</w:t>
      </w:r>
      <w:r w:rsidR="000548FE" w:rsidRPr="00883E1C">
        <w:rPr>
          <w:rFonts w:ascii="Times New Roman" w:hAnsi="Times New Roman"/>
          <w:sz w:val="24"/>
          <w:szCs w:val="24"/>
        </w:rPr>
        <w:t xml:space="preserve"> </w:t>
      </w:r>
    </w:p>
    <w:p w:rsidR="00A02806" w:rsidRDefault="00A02806" w:rsidP="001A7A32">
      <w:pPr>
        <w:pStyle w:val="NormalIndent"/>
        <w:rPr>
          <w:rFonts w:ascii="Times New Roman" w:hAnsi="Times New Roman"/>
          <w:sz w:val="24"/>
          <w:szCs w:val="24"/>
        </w:rPr>
      </w:pPr>
    </w:p>
    <w:p w:rsidR="0062611D" w:rsidRPr="00883E1C" w:rsidRDefault="0062611D" w:rsidP="001A7A32">
      <w:pPr>
        <w:pStyle w:val="NormalIndent"/>
        <w:rPr>
          <w:rFonts w:ascii="Times New Roman" w:hAnsi="Times New Roman"/>
          <w:sz w:val="24"/>
          <w:szCs w:val="24"/>
        </w:rPr>
      </w:pPr>
    </w:p>
    <w:p w:rsidR="00B17258" w:rsidRPr="00883E1C" w:rsidRDefault="001B393A" w:rsidP="006B4DCA">
      <w:pPr>
        <w:pStyle w:val="NormalIndent"/>
        <w:ind w:firstLine="0"/>
        <w:rPr>
          <w:rFonts w:ascii="Times New Roman" w:hAnsi="Times New Roman"/>
          <w:i/>
          <w:sz w:val="24"/>
          <w:szCs w:val="24"/>
        </w:rPr>
      </w:pPr>
      <w:r w:rsidRPr="00883E1C">
        <w:rPr>
          <w:rFonts w:ascii="Times New Roman" w:hAnsi="Times New Roman"/>
          <w:i/>
          <w:sz w:val="24"/>
          <w:szCs w:val="24"/>
        </w:rPr>
        <w:lastRenderedPageBreak/>
        <w:t xml:space="preserve">6.2. </w:t>
      </w:r>
      <w:r w:rsidR="00321ADB" w:rsidRPr="00883E1C">
        <w:rPr>
          <w:rFonts w:ascii="Times New Roman" w:hAnsi="Times New Roman"/>
          <w:i/>
          <w:sz w:val="24"/>
          <w:szCs w:val="24"/>
        </w:rPr>
        <w:t>Broader C</w:t>
      </w:r>
      <w:r w:rsidR="006B4DCA" w:rsidRPr="00883E1C">
        <w:rPr>
          <w:rFonts w:ascii="Times New Roman" w:hAnsi="Times New Roman"/>
          <w:i/>
          <w:sz w:val="24"/>
          <w:szCs w:val="24"/>
        </w:rPr>
        <w:t xml:space="preserve">ontribution </w:t>
      </w:r>
      <w:r w:rsidR="00FC33E5" w:rsidRPr="00883E1C">
        <w:rPr>
          <w:rFonts w:ascii="Times New Roman" w:hAnsi="Times New Roman"/>
          <w:i/>
          <w:sz w:val="24"/>
          <w:szCs w:val="24"/>
        </w:rPr>
        <w:t>to the E</w:t>
      </w:r>
      <w:r w:rsidR="006B4DCA" w:rsidRPr="00883E1C">
        <w:rPr>
          <w:rFonts w:ascii="Times New Roman" w:hAnsi="Times New Roman"/>
          <w:i/>
          <w:sz w:val="24"/>
          <w:szCs w:val="24"/>
        </w:rPr>
        <w:t xml:space="preserve">xisting </w:t>
      </w:r>
      <w:r w:rsidR="00FC33E5" w:rsidRPr="00883E1C">
        <w:rPr>
          <w:rFonts w:ascii="Times New Roman" w:hAnsi="Times New Roman"/>
          <w:i/>
          <w:sz w:val="24"/>
          <w:szCs w:val="24"/>
        </w:rPr>
        <w:t>Research L</w:t>
      </w:r>
      <w:r w:rsidR="006B4DCA" w:rsidRPr="00883E1C">
        <w:rPr>
          <w:rFonts w:ascii="Times New Roman" w:hAnsi="Times New Roman"/>
          <w:i/>
          <w:sz w:val="24"/>
          <w:szCs w:val="24"/>
        </w:rPr>
        <w:t>iterature</w:t>
      </w:r>
    </w:p>
    <w:p w:rsidR="00C562A2" w:rsidRPr="00883E1C" w:rsidRDefault="009643D5" w:rsidP="00274605">
      <w:pPr>
        <w:pStyle w:val="NormalIndent"/>
        <w:spacing w:after="0"/>
        <w:rPr>
          <w:rFonts w:ascii="Times New Roman" w:hAnsi="Times New Roman"/>
          <w:sz w:val="24"/>
          <w:szCs w:val="24"/>
        </w:rPr>
      </w:pPr>
      <w:r w:rsidRPr="00883E1C">
        <w:rPr>
          <w:rFonts w:ascii="Times New Roman" w:hAnsi="Times New Roman"/>
          <w:sz w:val="24"/>
          <w:szCs w:val="24"/>
        </w:rPr>
        <w:t>In</w:t>
      </w:r>
      <w:r w:rsidR="00FC33E5" w:rsidRPr="00883E1C">
        <w:rPr>
          <w:rFonts w:ascii="Times New Roman" w:hAnsi="Times New Roman"/>
          <w:sz w:val="24"/>
          <w:szCs w:val="24"/>
        </w:rPr>
        <w:t xml:space="preserve"> the beginning, I mentioned that the present study makes two </w:t>
      </w:r>
      <w:r w:rsidR="00AF6B49" w:rsidRPr="00883E1C">
        <w:rPr>
          <w:rFonts w:ascii="Times New Roman" w:hAnsi="Times New Roman"/>
          <w:sz w:val="24"/>
          <w:szCs w:val="24"/>
        </w:rPr>
        <w:t>significant contributions</w:t>
      </w:r>
      <w:r w:rsidR="00FC33E5" w:rsidRPr="00883E1C">
        <w:rPr>
          <w:rFonts w:ascii="Times New Roman" w:hAnsi="Times New Roman"/>
          <w:sz w:val="24"/>
          <w:szCs w:val="24"/>
        </w:rPr>
        <w:t xml:space="preserve"> to the </w:t>
      </w:r>
      <w:r w:rsidR="00AF6B49" w:rsidRPr="00883E1C">
        <w:rPr>
          <w:rFonts w:ascii="Times New Roman" w:hAnsi="Times New Roman"/>
          <w:sz w:val="24"/>
          <w:szCs w:val="24"/>
        </w:rPr>
        <w:t xml:space="preserve">research </w:t>
      </w:r>
      <w:r w:rsidR="00FC33E5" w:rsidRPr="00883E1C">
        <w:rPr>
          <w:rFonts w:ascii="Times New Roman" w:hAnsi="Times New Roman"/>
          <w:sz w:val="24"/>
          <w:szCs w:val="24"/>
        </w:rPr>
        <w:t>literature</w:t>
      </w:r>
      <w:r w:rsidR="00544A1D" w:rsidRPr="00883E1C">
        <w:rPr>
          <w:rFonts w:ascii="Times New Roman" w:hAnsi="Times New Roman"/>
          <w:sz w:val="24"/>
          <w:szCs w:val="24"/>
        </w:rPr>
        <w:t xml:space="preserve"> on securities regulation</w:t>
      </w:r>
      <w:r w:rsidR="00FC33E5" w:rsidRPr="00883E1C">
        <w:rPr>
          <w:rFonts w:ascii="Times New Roman" w:hAnsi="Times New Roman"/>
          <w:sz w:val="24"/>
          <w:szCs w:val="24"/>
        </w:rPr>
        <w:t xml:space="preserve">. </w:t>
      </w:r>
      <w:r w:rsidR="00544A1D" w:rsidRPr="00883E1C">
        <w:rPr>
          <w:rFonts w:ascii="Times New Roman" w:hAnsi="Times New Roman"/>
          <w:sz w:val="24"/>
          <w:szCs w:val="24"/>
        </w:rPr>
        <w:t>First, SROs</w:t>
      </w:r>
      <w:r w:rsidR="00A1344A" w:rsidRPr="00883E1C">
        <w:rPr>
          <w:rFonts w:ascii="Times New Roman" w:hAnsi="Times New Roman"/>
          <w:sz w:val="24"/>
          <w:szCs w:val="24"/>
        </w:rPr>
        <w:t>’</w:t>
      </w:r>
      <w:r w:rsidR="00544A1D" w:rsidRPr="00883E1C">
        <w:rPr>
          <w:rFonts w:ascii="Times New Roman" w:hAnsi="Times New Roman"/>
          <w:sz w:val="24"/>
          <w:szCs w:val="24"/>
        </w:rPr>
        <w:t xml:space="preserve"> inability to deal with the more serious securities fraud cases is symptomatic of a larger industry wide problem – that is, they are not equipped and therefore unable to tackle these cases. </w:t>
      </w:r>
      <w:r w:rsidR="003F654A" w:rsidRPr="00883E1C">
        <w:rPr>
          <w:rFonts w:ascii="Times New Roman" w:hAnsi="Times New Roman"/>
          <w:sz w:val="24"/>
          <w:szCs w:val="24"/>
        </w:rPr>
        <w:t xml:space="preserve">Before excoriating the IDA for this handicap, it is important to pause and consider the fundamental reasons for this systematic failure. </w:t>
      </w:r>
      <w:r w:rsidR="002F5063" w:rsidRPr="00883E1C">
        <w:rPr>
          <w:rFonts w:ascii="Times New Roman" w:hAnsi="Times New Roman"/>
          <w:sz w:val="24"/>
          <w:szCs w:val="24"/>
        </w:rPr>
        <w:t>W</w:t>
      </w:r>
      <w:r w:rsidR="00E92C57" w:rsidRPr="00883E1C">
        <w:rPr>
          <w:rFonts w:ascii="Times New Roman" w:hAnsi="Times New Roman"/>
          <w:sz w:val="24"/>
          <w:szCs w:val="24"/>
        </w:rPr>
        <w:t xml:space="preserve">ith respect to the question of referrals to the police, it is entirely possible that the IDA did refer these cases to the police (or referred very similar cases in the past) but </w:t>
      </w:r>
      <w:r w:rsidR="00C562A2" w:rsidRPr="00883E1C">
        <w:rPr>
          <w:rFonts w:ascii="Times New Roman" w:hAnsi="Times New Roman"/>
          <w:sz w:val="24"/>
          <w:szCs w:val="24"/>
        </w:rPr>
        <w:t>was</w:t>
      </w:r>
      <w:r w:rsidR="00E92C57" w:rsidRPr="00883E1C">
        <w:rPr>
          <w:rFonts w:ascii="Times New Roman" w:hAnsi="Times New Roman"/>
          <w:sz w:val="24"/>
          <w:szCs w:val="24"/>
        </w:rPr>
        <w:t xml:space="preserve"> rebuffed. Indeed, there is evidence to suggest that</w:t>
      </w:r>
      <w:r w:rsidR="00F44551" w:rsidRPr="00883E1C">
        <w:rPr>
          <w:rFonts w:ascii="Times New Roman" w:hAnsi="Times New Roman"/>
          <w:sz w:val="24"/>
          <w:szCs w:val="24"/>
        </w:rPr>
        <w:t xml:space="preserve"> the police in general and the Integrated Market Enforcement Team (I</w:t>
      </w:r>
      <w:r w:rsidR="00C562A2" w:rsidRPr="00883E1C">
        <w:rPr>
          <w:rFonts w:ascii="Times New Roman" w:hAnsi="Times New Roman"/>
          <w:sz w:val="24"/>
          <w:szCs w:val="24"/>
        </w:rPr>
        <w:t>MET</w:t>
      </w:r>
      <w:r w:rsidR="00F44551" w:rsidRPr="00883E1C">
        <w:rPr>
          <w:rFonts w:ascii="Times New Roman" w:hAnsi="Times New Roman"/>
          <w:sz w:val="24"/>
          <w:szCs w:val="24"/>
        </w:rPr>
        <w:t>)</w:t>
      </w:r>
      <w:r w:rsidR="00E92C57" w:rsidRPr="00883E1C">
        <w:rPr>
          <w:rFonts w:ascii="Times New Roman" w:hAnsi="Times New Roman"/>
          <w:sz w:val="24"/>
          <w:szCs w:val="24"/>
        </w:rPr>
        <w:t xml:space="preserve"> in particular</w:t>
      </w:r>
      <w:r w:rsidR="003B457C" w:rsidRPr="00883E1C">
        <w:rPr>
          <w:rFonts w:ascii="Times New Roman" w:hAnsi="Times New Roman"/>
          <w:sz w:val="24"/>
          <w:szCs w:val="24"/>
        </w:rPr>
        <w:t>,</w:t>
      </w:r>
      <w:r w:rsidR="00E92C57" w:rsidRPr="00883E1C">
        <w:rPr>
          <w:rFonts w:ascii="Times New Roman" w:hAnsi="Times New Roman"/>
          <w:sz w:val="24"/>
          <w:szCs w:val="24"/>
        </w:rPr>
        <w:t xml:space="preserve"> are not at all interested in taking on smaller cases from the SROs </w:t>
      </w:r>
      <w:r w:rsidR="007E0FFA" w:rsidRPr="00883E1C">
        <w:rPr>
          <w:rFonts w:ascii="Times New Roman" w:hAnsi="Times New Roman"/>
          <w:sz w:val="24"/>
          <w:szCs w:val="24"/>
        </w:rPr>
        <w:t>and securities commissions (</w:t>
      </w:r>
      <w:r w:rsidR="002F5063" w:rsidRPr="00883E1C">
        <w:rPr>
          <w:rFonts w:ascii="Times New Roman" w:hAnsi="Times New Roman"/>
          <w:sz w:val="24"/>
          <w:szCs w:val="24"/>
        </w:rPr>
        <w:t xml:space="preserve">Snider, 2009; </w:t>
      </w:r>
      <w:r w:rsidR="00E92C57" w:rsidRPr="00883E1C">
        <w:rPr>
          <w:rFonts w:ascii="Times New Roman" w:hAnsi="Times New Roman"/>
          <w:sz w:val="24"/>
          <w:szCs w:val="24"/>
        </w:rPr>
        <w:t>Williams, 2012) – exactly the kinds of cases that are ending up a</w:t>
      </w:r>
      <w:r w:rsidR="002F5063" w:rsidRPr="00883E1C">
        <w:rPr>
          <w:rFonts w:ascii="Times New Roman" w:hAnsi="Times New Roman"/>
          <w:sz w:val="24"/>
          <w:szCs w:val="24"/>
        </w:rPr>
        <w:t>t the bottom of the IDA</w:t>
      </w:r>
      <w:r w:rsidR="008C520C" w:rsidRPr="00883E1C">
        <w:rPr>
          <w:rFonts w:ascii="Times New Roman" w:hAnsi="Times New Roman"/>
          <w:sz w:val="24"/>
          <w:szCs w:val="24"/>
        </w:rPr>
        <w:t>’s misconduct</w:t>
      </w:r>
      <w:r w:rsidR="002F5063" w:rsidRPr="00883E1C">
        <w:rPr>
          <w:rFonts w:ascii="Times New Roman" w:hAnsi="Times New Roman"/>
          <w:sz w:val="24"/>
          <w:szCs w:val="24"/>
        </w:rPr>
        <w:t xml:space="preserve"> funnel.</w:t>
      </w:r>
      <w:r w:rsidR="00734C15" w:rsidRPr="00883E1C">
        <w:rPr>
          <w:rFonts w:ascii="Times New Roman" w:hAnsi="Times New Roman"/>
          <w:sz w:val="24"/>
          <w:szCs w:val="24"/>
        </w:rPr>
        <w:t xml:space="preserve"> </w:t>
      </w:r>
      <w:r w:rsidR="00A63378" w:rsidRPr="00883E1C">
        <w:rPr>
          <w:rFonts w:ascii="Times New Roman" w:hAnsi="Times New Roman"/>
          <w:sz w:val="24"/>
          <w:szCs w:val="24"/>
        </w:rPr>
        <w:t xml:space="preserve">As one securities fraud lawyer noted, </w:t>
      </w:r>
    </w:p>
    <w:p w:rsidR="00C562A2" w:rsidRPr="00883E1C" w:rsidRDefault="00DB1D08" w:rsidP="00C562A2">
      <w:pPr>
        <w:pStyle w:val="NormalIndent"/>
        <w:spacing w:after="0" w:line="240" w:lineRule="auto"/>
        <w:ind w:left="284" w:right="284" w:firstLine="0"/>
        <w:rPr>
          <w:rFonts w:ascii="Times New Roman" w:hAnsi="Times New Roman"/>
          <w:sz w:val="24"/>
          <w:szCs w:val="24"/>
        </w:rPr>
      </w:pPr>
      <w:r w:rsidRPr="00883E1C">
        <w:rPr>
          <w:rFonts w:ascii="Times New Roman" w:hAnsi="Times New Roman"/>
          <w:sz w:val="24"/>
          <w:szCs w:val="24"/>
        </w:rPr>
        <w:t>“</w:t>
      </w:r>
      <w:r w:rsidR="00A63378" w:rsidRPr="00883E1C">
        <w:rPr>
          <w:rFonts w:ascii="Times New Roman" w:hAnsi="Times New Roman"/>
          <w:sz w:val="24"/>
          <w:szCs w:val="24"/>
        </w:rPr>
        <w:t>o</w:t>
      </w:r>
      <w:r w:rsidR="00B4737B" w:rsidRPr="00883E1C">
        <w:rPr>
          <w:rFonts w:ascii="Times New Roman" w:hAnsi="Times New Roman"/>
          <w:sz w:val="24"/>
          <w:szCs w:val="24"/>
        </w:rPr>
        <w:t xml:space="preserve">ne of the most common complaints directed by regulators towards IMET is their unwillingness to take on smaller files with clear criminal overtones: ‘IMET don’t touch anything unless it involves multi-millions of dollars whereas </w:t>
      </w:r>
      <w:r w:rsidR="00593FDA" w:rsidRPr="00883E1C">
        <w:rPr>
          <w:rFonts w:ascii="Times New Roman" w:hAnsi="Times New Roman"/>
          <w:sz w:val="24"/>
          <w:szCs w:val="24"/>
        </w:rPr>
        <w:t xml:space="preserve">the </w:t>
      </w:r>
      <w:r w:rsidR="00B4737B" w:rsidRPr="00883E1C">
        <w:rPr>
          <w:rFonts w:ascii="Times New Roman" w:hAnsi="Times New Roman"/>
          <w:sz w:val="24"/>
          <w:szCs w:val="24"/>
        </w:rPr>
        <w:t>small frauds, they don’</w:t>
      </w:r>
      <w:r w:rsidR="00D64A3C" w:rsidRPr="00883E1C">
        <w:rPr>
          <w:rFonts w:ascii="Times New Roman" w:hAnsi="Times New Roman"/>
          <w:sz w:val="24"/>
          <w:szCs w:val="24"/>
        </w:rPr>
        <w:t>t have time for’” (Lawyer #6: 7,</w:t>
      </w:r>
      <w:r w:rsidR="00B4737B" w:rsidRPr="00883E1C">
        <w:rPr>
          <w:rFonts w:ascii="Times New Roman" w:hAnsi="Times New Roman"/>
          <w:sz w:val="24"/>
          <w:szCs w:val="24"/>
        </w:rPr>
        <w:t xml:space="preserve"> a</w:t>
      </w:r>
      <w:r w:rsidR="00566877" w:rsidRPr="00883E1C">
        <w:rPr>
          <w:rFonts w:ascii="Times New Roman" w:hAnsi="Times New Roman"/>
          <w:sz w:val="24"/>
          <w:szCs w:val="24"/>
        </w:rPr>
        <w:t xml:space="preserve">s cited in Williams, 2012: 72). </w:t>
      </w:r>
    </w:p>
    <w:p w:rsidR="00C562A2" w:rsidRPr="00883E1C" w:rsidRDefault="00C562A2" w:rsidP="00C562A2">
      <w:pPr>
        <w:pStyle w:val="NormalIndent"/>
        <w:spacing w:after="0"/>
        <w:ind w:firstLine="0"/>
        <w:rPr>
          <w:rFonts w:ascii="Times New Roman" w:hAnsi="Times New Roman"/>
          <w:sz w:val="24"/>
          <w:szCs w:val="24"/>
        </w:rPr>
      </w:pPr>
    </w:p>
    <w:p w:rsidR="00274605" w:rsidRPr="00883E1C" w:rsidRDefault="00566877" w:rsidP="00C562A2">
      <w:pPr>
        <w:pStyle w:val="NormalIndent"/>
        <w:spacing w:after="0"/>
        <w:ind w:firstLine="0"/>
        <w:rPr>
          <w:rFonts w:ascii="Times New Roman" w:hAnsi="Times New Roman"/>
          <w:sz w:val="24"/>
          <w:szCs w:val="24"/>
        </w:rPr>
      </w:pPr>
      <w:r w:rsidRPr="00883E1C">
        <w:rPr>
          <w:rFonts w:ascii="Times New Roman" w:hAnsi="Times New Roman"/>
          <w:sz w:val="24"/>
          <w:szCs w:val="24"/>
        </w:rPr>
        <w:t xml:space="preserve">With case flow depending on the strategic interest of IMET, the IDA may have very well come to the </w:t>
      </w:r>
      <w:r w:rsidR="000051E0" w:rsidRPr="00883E1C">
        <w:rPr>
          <w:rFonts w:ascii="Times New Roman" w:hAnsi="Times New Roman"/>
          <w:sz w:val="24"/>
          <w:szCs w:val="24"/>
        </w:rPr>
        <w:t>conclusion that</w:t>
      </w:r>
      <w:r w:rsidRPr="00883E1C">
        <w:rPr>
          <w:rFonts w:ascii="Times New Roman" w:hAnsi="Times New Roman"/>
          <w:sz w:val="24"/>
          <w:szCs w:val="24"/>
        </w:rPr>
        <w:t xml:space="preserve"> the complaints, while containing criminal elements, were not egregious enough to justify sending them to IMET.  </w:t>
      </w:r>
    </w:p>
    <w:p w:rsidR="008C520C" w:rsidRPr="00883E1C" w:rsidRDefault="008C520C" w:rsidP="00274605">
      <w:pPr>
        <w:pStyle w:val="NormalIndent"/>
        <w:spacing w:after="0"/>
        <w:rPr>
          <w:rFonts w:ascii="Times New Roman" w:hAnsi="Times New Roman"/>
          <w:sz w:val="24"/>
          <w:szCs w:val="24"/>
        </w:rPr>
      </w:pPr>
      <w:r w:rsidRPr="00883E1C">
        <w:rPr>
          <w:rFonts w:ascii="Times New Roman" w:hAnsi="Times New Roman"/>
          <w:sz w:val="24"/>
          <w:szCs w:val="24"/>
        </w:rPr>
        <w:t>IMET’s failure to look at cases with criminal overtones could be because of their lack of expertise to investigate and prosecute securities offences</w:t>
      </w:r>
      <w:r w:rsidR="000051E0" w:rsidRPr="00883E1C">
        <w:rPr>
          <w:rFonts w:ascii="Times New Roman" w:hAnsi="Times New Roman"/>
          <w:sz w:val="24"/>
          <w:szCs w:val="24"/>
        </w:rPr>
        <w:t xml:space="preserve"> in general</w:t>
      </w:r>
      <w:r w:rsidRPr="00883E1C">
        <w:rPr>
          <w:rFonts w:ascii="Times New Roman" w:hAnsi="Times New Roman"/>
          <w:sz w:val="24"/>
          <w:szCs w:val="24"/>
        </w:rPr>
        <w:t xml:space="preserve">. In the blunt assessment of a senior securities lawyer: </w:t>
      </w:r>
    </w:p>
    <w:p w:rsidR="008C520C" w:rsidRPr="00883E1C" w:rsidRDefault="008C520C" w:rsidP="008C520C">
      <w:pPr>
        <w:pStyle w:val="NormalIndent"/>
        <w:spacing w:after="0" w:line="240" w:lineRule="auto"/>
        <w:rPr>
          <w:rFonts w:ascii="Times New Roman" w:hAnsi="Times New Roman"/>
          <w:sz w:val="24"/>
          <w:szCs w:val="24"/>
        </w:rPr>
      </w:pPr>
    </w:p>
    <w:p w:rsidR="008C520C" w:rsidRPr="00883E1C" w:rsidRDefault="008C520C" w:rsidP="008C520C">
      <w:pPr>
        <w:pStyle w:val="NormalIndent"/>
        <w:spacing w:after="0" w:line="240" w:lineRule="auto"/>
        <w:ind w:left="284" w:right="284" w:firstLine="0"/>
        <w:rPr>
          <w:rFonts w:ascii="Times New Roman" w:hAnsi="Times New Roman"/>
          <w:sz w:val="24"/>
          <w:szCs w:val="24"/>
        </w:rPr>
      </w:pPr>
      <w:r w:rsidRPr="00883E1C">
        <w:rPr>
          <w:rFonts w:ascii="Times New Roman" w:hAnsi="Times New Roman"/>
          <w:sz w:val="24"/>
          <w:szCs w:val="24"/>
        </w:rPr>
        <w:lastRenderedPageBreak/>
        <w:t xml:space="preserve">Unless things have improved remarkably, and it sounds like they’ve gotten worse, in my day the RCMP couldn’t do anything. They were police officers who had no sophisticated understanding of financial markets. I don’t want the securities commission to investigate murder. I don’t want the RCMP at the same time to investigate insider trading. Most of the RCMP that were involved had a long history as police officers with very limited knowledge of the market. They were often given six week courses or six month courses in accounting and law and expect them to become experts. It’s a joke (Lawyer #22: 4: as cited in </w:t>
      </w:r>
      <w:r w:rsidR="00964392" w:rsidRPr="00883E1C">
        <w:rPr>
          <w:rFonts w:ascii="Times New Roman" w:hAnsi="Times New Roman"/>
          <w:sz w:val="24"/>
          <w:szCs w:val="24"/>
        </w:rPr>
        <w:t>Williams</w:t>
      </w:r>
      <w:r w:rsidRPr="00883E1C">
        <w:rPr>
          <w:rFonts w:ascii="Times New Roman" w:hAnsi="Times New Roman"/>
          <w:sz w:val="24"/>
          <w:szCs w:val="24"/>
        </w:rPr>
        <w:t>, 2012: 90).</w:t>
      </w:r>
    </w:p>
    <w:p w:rsidR="008C520C" w:rsidRPr="00883E1C" w:rsidRDefault="008C520C" w:rsidP="00734C15">
      <w:pPr>
        <w:pStyle w:val="NormalIndent"/>
        <w:spacing w:after="0" w:line="240" w:lineRule="auto"/>
        <w:rPr>
          <w:rFonts w:ascii="Times New Roman" w:hAnsi="Times New Roman"/>
          <w:sz w:val="24"/>
          <w:szCs w:val="24"/>
        </w:rPr>
      </w:pPr>
      <w:r w:rsidRPr="00883E1C">
        <w:rPr>
          <w:rFonts w:ascii="Times New Roman" w:hAnsi="Times New Roman"/>
          <w:sz w:val="24"/>
          <w:szCs w:val="24"/>
        </w:rPr>
        <w:t xml:space="preserve"> </w:t>
      </w:r>
    </w:p>
    <w:p w:rsidR="00A031D2" w:rsidRPr="00883E1C" w:rsidRDefault="00A031D2" w:rsidP="00A031D2">
      <w:pPr>
        <w:pStyle w:val="NormalIndent"/>
        <w:spacing w:after="0" w:line="240" w:lineRule="auto"/>
        <w:ind w:firstLine="0"/>
        <w:rPr>
          <w:rFonts w:ascii="Times New Roman" w:hAnsi="Times New Roman"/>
          <w:sz w:val="24"/>
          <w:szCs w:val="24"/>
        </w:rPr>
      </w:pPr>
      <w:r w:rsidRPr="00883E1C">
        <w:rPr>
          <w:rFonts w:ascii="Times New Roman" w:hAnsi="Times New Roman"/>
          <w:sz w:val="24"/>
          <w:szCs w:val="24"/>
        </w:rPr>
        <w:t>Meanwhile, IMET’s officers struggle to find non-structural explanations for their failures:</w:t>
      </w:r>
    </w:p>
    <w:p w:rsidR="00A031D2" w:rsidRPr="00883E1C" w:rsidRDefault="00A031D2" w:rsidP="00A031D2">
      <w:pPr>
        <w:pStyle w:val="NormalIndent"/>
        <w:spacing w:after="0" w:line="240" w:lineRule="auto"/>
        <w:ind w:firstLine="0"/>
        <w:rPr>
          <w:rFonts w:ascii="Times New Roman" w:hAnsi="Times New Roman"/>
          <w:sz w:val="24"/>
          <w:szCs w:val="24"/>
        </w:rPr>
      </w:pPr>
    </w:p>
    <w:p w:rsidR="008C520C" w:rsidRPr="00883E1C" w:rsidRDefault="00973F53" w:rsidP="00A031D2">
      <w:pPr>
        <w:pStyle w:val="NormalIndent"/>
        <w:spacing w:after="0" w:line="240" w:lineRule="auto"/>
        <w:ind w:left="284" w:right="284" w:firstLine="0"/>
        <w:rPr>
          <w:rFonts w:ascii="Times New Roman" w:hAnsi="Times New Roman"/>
          <w:sz w:val="24"/>
          <w:szCs w:val="24"/>
        </w:rPr>
      </w:pPr>
      <w:r w:rsidRPr="00883E1C">
        <w:rPr>
          <w:rFonts w:ascii="Times New Roman" w:hAnsi="Times New Roman"/>
          <w:sz w:val="24"/>
          <w:szCs w:val="24"/>
        </w:rPr>
        <w:t>‘</w:t>
      </w:r>
      <w:r w:rsidR="00A031D2" w:rsidRPr="00883E1C">
        <w:rPr>
          <w:rFonts w:ascii="Times New Roman" w:hAnsi="Times New Roman"/>
          <w:sz w:val="24"/>
          <w:szCs w:val="24"/>
        </w:rPr>
        <w:t>The mandate [was] set extremely high</w:t>
      </w:r>
      <w:r w:rsidR="00E039BB" w:rsidRPr="00883E1C">
        <w:rPr>
          <w:rFonts w:ascii="Times New Roman" w:hAnsi="Times New Roman"/>
          <w:sz w:val="24"/>
          <w:szCs w:val="24"/>
        </w:rPr>
        <w:t>…</w:t>
      </w:r>
      <w:r w:rsidRPr="00883E1C">
        <w:rPr>
          <w:rFonts w:ascii="Times New Roman" w:hAnsi="Times New Roman"/>
          <w:sz w:val="24"/>
          <w:szCs w:val="24"/>
        </w:rPr>
        <w:t>’ ‘</w:t>
      </w:r>
      <w:r w:rsidR="00A031D2" w:rsidRPr="00883E1C">
        <w:rPr>
          <w:rFonts w:ascii="Times New Roman" w:hAnsi="Times New Roman"/>
          <w:sz w:val="24"/>
          <w:szCs w:val="24"/>
        </w:rPr>
        <w:t>It is now interpreted as [meaning that] every file has to affect the economy. This is a very high bar’ … ‘We’re being held to account beca</w:t>
      </w:r>
      <w:r w:rsidRPr="00883E1C">
        <w:rPr>
          <w:rFonts w:ascii="Times New Roman" w:hAnsi="Times New Roman"/>
          <w:sz w:val="24"/>
          <w:szCs w:val="24"/>
        </w:rPr>
        <w:t>use timelines were announced.’…’</w:t>
      </w:r>
      <w:r w:rsidR="00A031D2" w:rsidRPr="00883E1C">
        <w:rPr>
          <w:rFonts w:ascii="Times New Roman" w:hAnsi="Times New Roman"/>
          <w:sz w:val="24"/>
          <w:szCs w:val="24"/>
        </w:rPr>
        <w:t xml:space="preserve">We need to </w:t>
      </w:r>
      <w:r w:rsidRPr="00883E1C">
        <w:rPr>
          <w:rFonts w:ascii="Times New Roman" w:hAnsi="Times New Roman"/>
          <w:sz w:val="24"/>
          <w:szCs w:val="24"/>
        </w:rPr>
        <w:t>deliver fast on a few big cases’</w:t>
      </w:r>
      <w:r w:rsidR="00A031D2" w:rsidRPr="00883E1C">
        <w:rPr>
          <w:rFonts w:ascii="Times New Roman" w:hAnsi="Times New Roman"/>
          <w:sz w:val="24"/>
          <w:szCs w:val="24"/>
        </w:rPr>
        <w:t xml:space="preserve"> …‘I think there should be … a National Securities Act – that would make [stock market fraud] a federal statute. This would giv</w:t>
      </w:r>
      <w:r w:rsidRPr="00883E1C">
        <w:rPr>
          <w:rFonts w:ascii="Times New Roman" w:hAnsi="Times New Roman"/>
          <w:sz w:val="24"/>
          <w:szCs w:val="24"/>
        </w:rPr>
        <w:t>e the RCMP a mandate to enforce’</w:t>
      </w:r>
      <w:r w:rsidR="00A031D2" w:rsidRPr="00883E1C">
        <w:rPr>
          <w:rFonts w:ascii="Times New Roman" w:hAnsi="Times New Roman"/>
          <w:sz w:val="24"/>
          <w:szCs w:val="24"/>
        </w:rPr>
        <w:t xml:space="preserve"> (Interviewees responses </w:t>
      </w:r>
      <w:r w:rsidR="00D64A3C" w:rsidRPr="00883E1C">
        <w:rPr>
          <w:rFonts w:ascii="Times New Roman" w:hAnsi="Times New Roman"/>
          <w:sz w:val="24"/>
          <w:szCs w:val="24"/>
        </w:rPr>
        <w:t xml:space="preserve">to </w:t>
      </w:r>
      <w:r w:rsidR="00A031D2" w:rsidRPr="00883E1C">
        <w:rPr>
          <w:rFonts w:ascii="Times New Roman" w:hAnsi="Times New Roman"/>
          <w:sz w:val="24"/>
          <w:szCs w:val="24"/>
        </w:rPr>
        <w:t xml:space="preserve">Snider, 2009: </w:t>
      </w:r>
      <w:r w:rsidR="00E94453" w:rsidRPr="00883E1C">
        <w:rPr>
          <w:rFonts w:ascii="Times New Roman" w:hAnsi="Times New Roman"/>
          <w:sz w:val="24"/>
          <w:szCs w:val="24"/>
        </w:rPr>
        <w:t>190-191).</w:t>
      </w:r>
    </w:p>
    <w:p w:rsidR="00A031D2" w:rsidRPr="00883E1C" w:rsidRDefault="00A031D2" w:rsidP="00734C15">
      <w:pPr>
        <w:pStyle w:val="NormalIndent"/>
        <w:spacing w:after="0" w:line="240" w:lineRule="auto"/>
        <w:ind w:firstLine="0"/>
        <w:rPr>
          <w:rFonts w:ascii="Times New Roman" w:hAnsi="Times New Roman"/>
          <w:sz w:val="24"/>
          <w:szCs w:val="24"/>
        </w:rPr>
      </w:pPr>
    </w:p>
    <w:p w:rsidR="00A031D2" w:rsidRPr="00883E1C" w:rsidRDefault="00A031D2" w:rsidP="00734C15">
      <w:pPr>
        <w:pStyle w:val="NormalIndent"/>
        <w:spacing w:after="0" w:line="240" w:lineRule="auto"/>
        <w:ind w:firstLine="0"/>
        <w:rPr>
          <w:rFonts w:ascii="Times New Roman" w:hAnsi="Times New Roman"/>
          <w:sz w:val="24"/>
          <w:szCs w:val="24"/>
        </w:rPr>
      </w:pPr>
    </w:p>
    <w:p w:rsidR="00274605" w:rsidRPr="00883E1C" w:rsidRDefault="00CC6C3F" w:rsidP="00274605">
      <w:pPr>
        <w:pStyle w:val="NormalIndent"/>
        <w:spacing w:after="0"/>
        <w:ind w:firstLine="0"/>
        <w:rPr>
          <w:rFonts w:ascii="Times New Roman" w:hAnsi="Times New Roman"/>
          <w:sz w:val="24"/>
          <w:szCs w:val="24"/>
        </w:rPr>
      </w:pPr>
      <w:r w:rsidRPr="00883E1C">
        <w:rPr>
          <w:rFonts w:ascii="Times New Roman" w:hAnsi="Times New Roman"/>
          <w:sz w:val="24"/>
          <w:szCs w:val="24"/>
        </w:rPr>
        <w:t xml:space="preserve">IMET's lax enforcement of </w:t>
      </w:r>
      <w:r w:rsidRPr="00883E1C">
        <w:rPr>
          <w:rFonts w:ascii="Times New Roman" w:hAnsi="Times New Roman"/>
          <w:i/>
          <w:sz w:val="24"/>
          <w:szCs w:val="24"/>
        </w:rPr>
        <w:t>Criminal Code</w:t>
      </w:r>
      <w:r w:rsidRPr="00883E1C">
        <w:rPr>
          <w:rFonts w:ascii="Times New Roman" w:hAnsi="Times New Roman"/>
          <w:sz w:val="24"/>
          <w:szCs w:val="24"/>
        </w:rPr>
        <w:t xml:space="preserve"> violations means that the burden to investigate and prosecute these complaints falls on the securities regulators. </w:t>
      </w:r>
    </w:p>
    <w:p w:rsidR="00DB68A8" w:rsidRPr="00883E1C" w:rsidRDefault="002130B5" w:rsidP="00AD0C00">
      <w:pPr>
        <w:pStyle w:val="NormalIndent"/>
        <w:spacing w:after="0"/>
        <w:rPr>
          <w:rFonts w:ascii="Times New Roman" w:hAnsi="Times New Roman"/>
          <w:sz w:val="24"/>
          <w:szCs w:val="24"/>
        </w:rPr>
      </w:pPr>
      <w:r w:rsidRPr="00883E1C">
        <w:rPr>
          <w:rFonts w:ascii="Times New Roman" w:hAnsi="Times New Roman"/>
          <w:sz w:val="24"/>
          <w:szCs w:val="24"/>
        </w:rPr>
        <w:t>T</w:t>
      </w:r>
      <w:r w:rsidR="00F431ED" w:rsidRPr="00883E1C">
        <w:rPr>
          <w:rFonts w:ascii="Times New Roman" w:hAnsi="Times New Roman"/>
          <w:sz w:val="24"/>
          <w:szCs w:val="24"/>
        </w:rPr>
        <w:t xml:space="preserve">he </w:t>
      </w:r>
      <w:r w:rsidR="00593FDA" w:rsidRPr="00883E1C">
        <w:rPr>
          <w:rFonts w:ascii="Times New Roman" w:hAnsi="Times New Roman"/>
          <w:sz w:val="24"/>
          <w:szCs w:val="24"/>
        </w:rPr>
        <w:t>implication so far in the analysis is</w:t>
      </w:r>
      <w:r w:rsidR="00F431ED" w:rsidRPr="00883E1C">
        <w:rPr>
          <w:rFonts w:ascii="Times New Roman" w:hAnsi="Times New Roman"/>
          <w:sz w:val="24"/>
          <w:szCs w:val="24"/>
        </w:rPr>
        <w:t xml:space="preserve"> that, w</w:t>
      </w:r>
      <w:r w:rsidR="00123E0C" w:rsidRPr="00883E1C">
        <w:rPr>
          <w:rFonts w:ascii="Times New Roman" w:hAnsi="Times New Roman"/>
          <w:sz w:val="24"/>
          <w:szCs w:val="24"/>
        </w:rPr>
        <w:t>ere the IDA to</w:t>
      </w:r>
      <w:r w:rsidR="00593FDA" w:rsidRPr="00883E1C">
        <w:rPr>
          <w:rFonts w:ascii="Times New Roman" w:hAnsi="Times New Roman"/>
          <w:sz w:val="24"/>
          <w:szCs w:val="24"/>
        </w:rPr>
        <w:t xml:space="preserve"> refer more cases to </w:t>
      </w:r>
      <w:r w:rsidR="001B5124" w:rsidRPr="00883E1C">
        <w:rPr>
          <w:rFonts w:ascii="Times New Roman" w:hAnsi="Times New Roman"/>
          <w:sz w:val="24"/>
          <w:szCs w:val="24"/>
        </w:rPr>
        <w:t>IMET to investigate and p</w:t>
      </w:r>
      <w:r w:rsidR="00593FDA" w:rsidRPr="00883E1C">
        <w:rPr>
          <w:rFonts w:ascii="Times New Roman" w:hAnsi="Times New Roman"/>
          <w:sz w:val="24"/>
          <w:szCs w:val="24"/>
        </w:rPr>
        <w:t>rose</w:t>
      </w:r>
      <w:r w:rsidR="001B5124" w:rsidRPr="00883E1C">
        <w:rPr>
          <w:rFonts w:ascii="Times New Roman" w:hAnsi="Times New Roman"/>
          <w:sz w:val="24"/>
          <w:szCs w:val="24"/>
        </w:rPr>
        <w:t>cute,</w:t>
      </w:r>
      <w:r w:rsidR="00167147" w:rsidRPr="00883E1C">
        <w:rPr>
          <w:rFonts w:ascii="Times New Roman" w:hAnsi="Times New Roman"/>
          <w:sz w:val="24"/>
          <w:szCs w:val="24"/>
        </w:rPr>
        <w:t xml:space="preserve"> and assuming </w:t>
      </w:r>
      <w:r w:rsidR="006F5A6A" w:rsidRPr="00883E1C">
        <w:rPr>
          <w:rFonts w:ascii="Times New Roman" w:hAnsi="Times New Roman"/>
          <w:sz w:val="24"/>
          <w:szCs w:val="24"/>
        </w:rPr>
        <w:t xml:space="preserve">that </w:t>
      </w:r>
      <w:r w:rsidR="00167147" w:rsidRPr="00883E1C">
        <w:rPr>
          <w:rFonts w:ascii="Times New Roman" w:hAnsi="Times New Roman"/>
          <w:sz w:val="24"/>
          <w:szCs w:val="24"/>
        </w:rPr>
        <w:t>IMET take</w:t>
      </w:r>
      <w:r w:rsidR="006F5A6A" w:rsidRPr="00883E1C">
        <w:rPr>
          <w:rFonts w:ascii="Times New Roman" w:hAnsi="Times New Roman"/>
          <w:sz w:val="24"/>
          <w:szCs w:val="24"/>
        </w:rPr>
        <w:t>s</w:t>
      </w:r>
      <w:r w:rsidR="00167147" w:rsidRPr="00883E1C">
        <w:rPr>
          <w:rFonts w:ascii="Times New Roman" w:hAnsi="Times New Roman"/>
          <w:sz w:val="24"/>
          <w:szCs w:val="24"/>
        </w:rPr>
        <w:t xml:space="preserve"> on these cases, </w:t>
      </w:r>
      <w:r w:rsidR="001B5124" w:rsidRPr="00883E1C">
        <w:rPr>
          <w:rFonts w:ascii="Times New Roman" w:hAnsi="Times New Roman"/>
          <w:sz w:val="24"/>
          <w:szCs w:val="24"/>
        </w:rPr>
        <w:t xml:space="preserve"> </w:t>
      </w:r>
      <w:r w:rsidR="000F676A" w:rsidRPr="00883E1C">
        <w:rPr>
          <w:rFonts w:ascii="Times New Roman" w:hAnsi="Times New Roman"/>
          <w:sz w:val="24"/>
          <w:szCs w:val="24"/>
        </w:rPr>
        <w:t xml:space="preserve">it </w:t>
      </w:r>
      <w:r w:rsidR="001B5124" w:rsidRPr="00883E1C">
        <w:rPr>
          <w:rFonts w:ascii="Times New Roman" w:hAnsi="Times New Roman"/>
          <w:sz w:val="24"/>
          <w:szCs w:val="24"/>
        </w:rPr>
        <w:t>w</w:t>
      </w:r>
      <w:r w:rsidR="003B457C" w:rsidRPr="00883E1C">
        <w:rPr>
          <w:rFonts w:ascii="Times New Roman" w:hAnsi="Times New Roman"/>
          <w:sz w:val="24"/>
          <w:szCs w:val="24"/>
        </w:rPr>
        <w:t>ould</w:t>
      </w:r>
      <w:r w:rsidR="001B5124" w:rsidRPr="00883E1C">
        <w:rPr>
          <w:rFonts w:ascii="Times New Roman" w:hAnsi="Times New Roman"/>
          <w:sz w:val="24"/>
          <w:szCs w:val="24"/>
        </w:rPr>
        <w:t xml:space="preserve"> </w:t>
      </w:r>
      <w:r w:rsidR="00593FDA" w:rsidRPr="00883E1C">
        <w:rPr>
          <w:rFonts w:ascii="Times New Roman" w:hAnsi="Times New Roman"/>
          <w:sz w:val="24"/>
          <w:szCs w:val="24"/>
        </w:rPr>
        <w:t xml:space="preserve">lead to the IDA being a more </w:t>
      </w:r>
      <w:r w:rsidR="00123E0C" w:rsidRPr="00883E1C">
        <w:rPr>
          <w:rFonts w:ascii="Times New Roman" w:hAnsi="Times New Roman"/>
          <w:sz w:val="24"/>
          <w:szCs w:val="24"/>
        </w:rPr>
        <w:t xml:space="preserve">effective regulator. However, this overlooks the specific nature and characteristics of these cases and their significance from a larger regulatory perspective. Specifically, it should not be surprising that the offenses that end up at the </w:t>
      </w:r>
      <w:r w:rsidR="00F431ED" w:rsidRPr="00883E1C">
        <w:rPr>
          <w:rFonts w:ascii="Times New Roman" w:hAnsi="Times New Roman"/>
          <w:sz w:val="24"/>
          <w:szCs w:val="24"/>
        </w:rPr>
        <w:t>bottom of the misconduct</w:t>
      </w:r>
      <w:r w:rsidR="00123E0C" w:rsidRPr="00883E1C">
        <w:rPr>
          <w:rFonts w:ascii="Times New Roman" w:hAnsi="Times New Roman"/>
          <w:sz w:val="24"/>
          <w:szCs w:val="24"/>
        </w:rPr>
        <w:t xml:space="preserve"> funnel involve fraud, forgery, and misappropriation of funds</w:t>
      </w:r>
      <w:r w:rsidR="003B457C" w:rsidRPr="00883E1C">
        <w:rPr>
          <w:rFonts w:ascii="Times New Roman" w:hAnsi="Times New Roman"/>
          <w:sz w:val="24"/>
          <w:szCs w:val="24"/>
        </w:rPr>
        <w:t>,</w:t>
      </w:r>
      <w:r w:rsidR="00123E0C" w:rsidRPr="00883E1C">
        <w:rPr>
          <w:rFonts w:ascii="Times New Roman" w:hAnsi="Times New Roman"/>
          <w:sz w:val="24"/>
          <w:szCs w:val="24"/>
        </w:rPr>
        <w:t xml:space="preserve"> as these are the most egregious forms of misconduct and they have a negative impact not only on the client</w:t>
      </w:r>
      <w:r w:rsidR="00F431ED" w:rsidRPr="00883E1C">
        <w:rPr>
          <w:rFonts w:ascii="Times New Roman" w:hAnsi="Times New Roman"/>
          <w:sz w:val="24"/>
          <w:szCs w:val="24"/>
        </w:rPr>
        <w:t>,</w:t>
      </w:r>
      <w:r w:rsidR="00123E0C" w:rsidRPr="00883E1C">
        <w:rPr>
          <w:rFonts w:ascii="Times New Roman" w:hAnsi="Times New Roman"/>
          <w:sz w:val="24"/>
          <w:szCs w:val="24"/>
        </w:rPr>
        <w:t xml:space="preserve"> but also and more importantly</w:t>
      </w:r>
      <w:r w:rsidR="003B457C" w:rsidRPr="00883E1C">
        <w:rPr>
          <w:rFonts w:ascii="Times New Roman" w:hAnsi="Times New Roman"/>
          <w:sz w:val="24"/>
          <w:szCs w:val="24"/>
        </w:rPr>
        <w:t>,</w:t>
      </w:r>
      <w:r w:rsidR="00123E0C" w:rsidRPr="00883E1C">
        <w:rPr>
          <w:rFonts w:ascii="Times New Roman" w:hAnsi="Times New Roman"/>
          <w:sz w:val="24"/>
          <w:szCs w:val="24"/>
        </w:rPr>
        <w:t xml:space="preserve"> on their employer</w:t>
      </w:r>
      <w:r w:rsidR="006F5A6A" w:rsidRPr="00883E1C">
        <w:rPr>
          <w:rFonts w:ascii="Times New Roman" w:hAnsi="Times New Roman"/>
          <w:sz w:val="24"/>
          <w:szCs w:val="24"/>
        </w:rPr>
        <w:t xml:space="preserve"> and the markets</w:t>
      </w:r>
      <w:r w:rsidR="00FE168C" w:rsidRPr="00883E1C">
        <w:rPr>
          <w:rFonts w:ascii="Times New Roman" w:hAnsi="Times New Roman"/>
          <w:sz w:val="24"/>
          <w:szCs w:val="24"/>
        </w:rPr>
        <w:t xml:space="preserve"> (Barnes, 2011: 187-188)</w:t>
      </w:r>
      <w:r w:rsidR="00305682" w:rsidRPr="00883E1C">
        <w:rPr>
          <w:rFonts w:ascii="Times New Roman" w:hAnsi="Times New Roman"/>
          <w:sz w:val="24"/>
          <w:szCs w:val="24"/>
        </w:rPr>
        <w:t xml:space="preserve">. </w:t>
      </w:r>
      <w:r w:rsidR="00123E0C" w:rsidRPr="00883E1C">
        <w:rPr>
          <w:rFonts w:ascii="Times New Roman" w:hAnsi="Times New Roman"/>
          <w:sz w:val="24"/>
          <w:szCs w:val="24"/>
        </w:rPr>
        <w:t>In addition, it is likely that most of these cases involve advisors at the margins of the industry who have received warnings in the past but continued to engage in misconduct. And yet, the fact that these are the most egregious cases does not mean that they are the most significant from a regulatory perspective</w:t>
      </w:r>
      <w:r w:rsidR="00305682" w:rsidRPr="00883E1C">
        <w:rPr>
          <w:rFonts w:ascii="Times New Roman" w:hAnsi="Times New Roman"/>
          <w:sz w:val="24"/>
          <w:szCs w:val="24"/>
        </w:rPr>
        <w:t xml:space="preserve"> (see Barnes, 2011: 181-185)</w:t>
      </w:r>
      <w:r w:rsidR="00123E0C" w:rsidRPr="00883E1C">
        <w:rPr>
          <w:rFonts w:ascii="Times New Roman" w:hAnsi="Times New Roman"/>
          <w:sz w:val="24"/>
          <w:szCs w:val="24"/>
        </w:rPr>
        <w:t xml:space="preserve">. Indeed, it is likely that the harm to investors associated </w:t>
      </w:r>
      <w:r w:rsidR="00123E0C" w:rsidRPr="00883E1C">
        <w:rPr>
          <w:rFonts w:ascii="Times New Roman" w:hAnsi="Times New Roman"/>
          <w:sz w:val="24"/>
          <w:szCs w:val="24"/>
        </w:rPr>
        <w:lastRenderedPageBreak/>
        <w:t>with these forms of fairl</w:t>
      </w:r>
      <w:r w:rsidR="00F431ED" w:rsidRPr="00883E1C">
        <w:rPr>
          <w:rFonts w:ascii="Times New Roman" w:hAnsi="Times New Roman"/>
          <w:sz w:val="24"/>
          <w:szCs w:val="24"/>
        </w:rPr>
        <w:t>y conventional criminal activities</w:t>
      </w:r>
      <w:r w:rsidR="00123E0C" w:rsidRPr="00883E1C">
        <w:rPr>
          <w:rFonts w:ascii="Times New Roman" w:hAnsi="Times New Roman"/>
          <w:sz w:val="24"/>
          <w:szCs w:val="24"/>
        </w:rPr>
        <w:t xml:space="preserve"> are dwarfed by the much larger problem of unsuitable investment advice as well as unauthorized and discretionary trading</w:t>
      </w:r>
      <w:r w:rsidR="00F47F13" w:rsidRPr="00883E1C">
        <w:rPr>
          <w:rFonts w:ascii="Times New Roman" w:hAnsi="Times New Roman"/>
          <w:sz w:val="24"/>
          <w:szCs w:val="24"/>
        </w:rPr>
        <w:t xml:space="preserve"> </w:t>
      </w:r>
      <w:r w:rsidR="001B5124" w:rsidRPr="00883E1C">
        <w:rPr>
          <w:rFonts w:ascii="Times New Roman" w:hAnsi="Times New Roman"/>
          <w:sz w:val="24"/>
          <w:szCs w:val="24"/>
        </w:rPr>
        <w:t>articulated earlier</w:t>
      </w:r>
      <w:r w:rsidR="00123E0C" w:rsidRPr="00883E1C">
        <w:rPr>
          <w:rFonts w:ascii="Times New Roman" w:hAnsi="Times New Roman"/>
          <w:sz w:val="24"/>
          <w:szCs w:val="24"/>
        </w:rPr>
        <w:t xml:space="preserve">. </w:t>
      </w:r>
      <w:r w:rsidR="00F431ED" w:rsidRPr="00883E1C">
        <w:rPr>
          <w:rFonts w:ascii="Times New Roman" w:hAnsi="Times New Roman"/>
          <w:sz w:val="24"/>
          <w:szCs w:val="24"/>
        </w:rPr>
        <w:t>T</w:t>
      </w:r>
      <w:r w:rsidR="00123E0C" w:rsidRPr="00883E1C">
        <w:rPr>
          <w:rFonts w:ascii="Times New Roman" w:hAnsi="Times New Roman"/>
          <w:sz w:val="24"/>
          <w:szCs w:val="24"/>
        </w:rPr>
        <w:t>hese cases often involve legal ambiguities and grey areas that make them less suitable to formal disciplinary action</w:t>
      </w:r>
      <w:r w:rsidR="00AD0C00" w:rsidRPr="00883E1C">
        <w:rPr>
          <w:rFonts w:ascii="Times New Roman" w:hAnsi="Times New Roman"/>
          <w:sz w:val="24"/>
          <w:szCs w:val="24"/>
        </w:rPr>
        <w:t xml:space="preserve">. </w:t>
      </w:r>
      <w:r w:rsidR="00123E0C" w:rsidRPr="00883E1C">
        <w:rPr>
          <w:rFonts w:ascii="Times New Roman" w:hAnsi="Times New Roman"/>
          <w:sz w:val="24"/>
          <w:szCs w:val="24"/>
        </w:rPr>
        <w:t>Following from this, the more accurate and meaningful conclusion would thus be that the IDA is ineffective because it is unable to handle these more serious and systemic industry problems,</w:t>
      </w:r>
      <w:r w:rsidR="001B5124" w:rsidRPr="00883E1C">
        <w:rPr>
          <w:rFonts w:ascii="Times New Roman" w:hAnsi="Times New Roman"/>
          <w:sz w:val="24"/>
          <w:szCs w:val="24"/>
        </w:rPr>
        <w:t xml:space="preserve"> and not necessarily </w:t>
      </w:r>
      <w:r w:rsidR="00123E0C" w:rsidRPr="00883E1C">
        <w:rPr>
          <w:rFonts w:ascii="Times New Roman" w:hAnsi="Times New Roman"/>
          <w:sz w:val="24"/>
          <w:szCs w:val="24"/>
        </w:rPr>
        <w:t>its failure to pass overtly criminal cases over to the police.</w:t>
      </w:r>
    </w:p>
    <w:p w:rsidR="00E008DD" w:rsidRPr="00883E1C" w:rsidRDefault="00BF0DE5" w:rsidP="000548FE">
      <w:pPr>
        <w:pStyle w:val="NormalIndent"/>
        <w:rPr>
          <w:rFonts w:ascii="Times New Roman" w:hAnsi="Times New Roman"/>
          <w:sz w:val="24"/>
          <w:szCs w:val="24"/>
        </w:rPr>
      </w:pPr>
      <w:r w:rsidRPr="00883E1C">
        <w:rPr>
          <w:rFonts w:ascii="Times New Roman" w:hAnsi="Times New Roman"/>
          <w:sz w:val="24"/>
          <w:szCs w:val="24"/>
        </w:rPr>
        <w:t xml:space="preserve">The second </w:t>
      </w:r>
      <w:r w:rsidR="00D32520" w:rsidRPr="00883E1C">
        <w:rPr>
          <w:rFonts w:ascii="Times New Roman" w:hAnsi="Times New Roman"/>
          <w:sz w:val="24"/>
          <w:szCs w:val="24"/>
        </w:rPr>
        <w:t xml:space="preserve">signification </w:t>
      </w:r>
      <w:r w:rsidRPr="00883E1C">
        <w:rPr>
          <w:rFonts w:ascii="Times New Roman" w:hAnsi="Times New Roman"/>
          <w:sz w:val="24"/>
          <w:szCs w:val="24"/>
        </w:rPr>
        <w:t xml:space="preserve">contribution </w:t>
      </w:r>
      <w:r w:rsidR="00274F30" w:rsidRPr="00883E1C">
        <w:rPr>
          <w:rFonts w:ascii="Times New Roman" w:hAnsi="Times New Roman"/>
          <w:sz w:val="24"/>
          <w:szCs w:val="24"/>
        </w:rPr>
        <w:t xml:space="preserve">to the literature </w:t>
      </w:r>
      <w:r w:rsidRPr="00883E1C">
        <w:rPr>
          <w:rFonts w:ascii="Times New Roman" w:hAnsi="Times New Roman"/>
          <w:sz w:val="24"/>
          <w:szCs w:val="24"/>
        </w:rPr>
        <w:t xml:space="preserve">has to do with the overarching point of tension between the SROs’ mandate to </w:t>
      </w:r>
      <w:r w:rsidR="00E008DD" w:rsidRPr="00883E1C">
        <w:rPr>
          <w:rFonts w:ascii="Times New Roman" w:hAnsi="Times New Roman"/>
          <w:sz w:val="24"/>
          <w:szCs w:val="24"/>
        </w:rPr>
        <w:t>protect its members, while at the same time b</w:t>
      </w:r>
      <w:r w:rsidRPr="00883E1C">
        <w:rPr>
          <w:rFonts w:ascii="Times New Roman" w:hAnsi="Times New Roman"/>
          <w:sz w:val="24"/>
          <w:szCs w:val="24"/>
        </w:rPr>
        <w:t>olster investors’ confidence and market integrity through active enforcement</w:t>
      </w:r>
      <w:r w:rsidR="00E008DD" w:rsidRPr="00883E1C">
        <w:rPr>
          <w:rFonts w:ascii="Times New Roman" w:hAnsi="Times New Roman"/>
          <w:sz w:val="24"/>
          <w:szCs w:val="24"/>
        </w:rPr>
        <w:t xml:space="preserve">. The need to strike </w:t>
      </w:r>
      <w:r w:rsidR="00A569A2" w:rsidRPr="00883E1C">
        <w:rPr>
          <w:rFonts w:ascii="Times New Roman" w:hAnsi="Times New Roman"/>
          <w:sz w:val="24"/>
          <w:szCs w:val="24"/>
        </w:rPr>
        <w:t xml:space="preserve">the right balance between safe and competitively regulated </w:t>
      </w:r>
      <w:r w:rsidR="00E008DD" w:rsidRPr="00883E1C">
        <w:rPr>
          <w:rFonts w:ascii="Times New Roman" w:hAnsi="Times New Roman"/>
          <w:sz w:val="24"/>
          <w:szCs w:val="24"/>
        </w:rPr>
        <w:t xml:space="preserve">markets and efficiency in financial </w:t>
      </w:r>
      <w:r w:rsidR="00CA62AF" w:rsidRPr="00883E1C">
        <w:rPr>
          <w:rFonts w:ascii="Times New Roman" w:hAnsi="Times New Roman"/>
          <w:sz w:val="24"/>
          <w:szCs w:val="24"/>
        </w:rPr>
        <w:t>transactions</w:t>
      </w:r>
      <w:r w:rsidR="00E008DD" w:rsidRPr="00883E1C">
        <w:rPr>
          <w:rFonts w:ascii="Times New Roman" w:hAnsi="Times New Roman"/>
          <w:sz w:val="24"/>
          <w:szCs w:val="24"/>
        </w:rPr>
        <w:t xml:space="preserve"> has long been recognized as a core feature of financial market</w:t>
      </w:r>
      <w:r w:rsidR="00C94066" w:rsidRPr="00883E1C">
        <w:rPr>
          <w:rFonts w:ascii="Times New Roman" w:hAnsi="Times New Roman"/>
          <w:sz w:val="24"/>
          <w:szCs w:val="24"/>
        </w:rPr>
        <w:t xml:space="preserve"> regulation (see Reichman, 1991)</w:t>
      </w:r>
      <w:r w:rsidR="00274F30" w:rsidRPr="00883E1C">
        <w:rPr>
          <w:rFonts w:ascii="Times New Roman" w:hAnsi="Times New Roman"/>
          <w:sz w:val="24"/>
          <w:szCs w:val="24"/>
        </w:rPr>
        <w:t>.</w:t>
      </w:r>
      <w:r w:rsidR="00064993" w:rsidRPr="00883E1C">
        <w:rPr>
          <w:rFonts w:ascii="Times New Roman" w:hAnsi="Times New Roman"/>
          <w:sz w:val="24"/>
          <w:szCs w:val="24"/>
        </w:rPr>
        <w:t xml:space="preserve"> But as the following reveals, it is a double-edge</w:t>
      </w:r>
      <w:r w:rsidR="003B457C" w:rsidRPr="00883E1C">
        <w:rPr>
          <w:rFonts w:ascii="Times New Roman" w:hAnsi="Times New Roman"/>
          <w:sz w:val="24"/>
          <w:szCs w:val="24"/>
        </w:rPr>
        <w:t>d</w:t>
      </w:r>
      <w:r w:rsidR="00064993" w:rsidRPr="00883E1C">
        <w:rPr>
          <w:rFonts w:ascii="Times New Roman" w:hAnsi="Times New Roman"/>
          <w:sz w:val="24"/>
          <w:szCs w:val="24"/>
        </w:rPr>
        <w:t xml:space="preserve"> sword:</w:t>
      </w:r>
    </w:p>
    <w:p w:rsidR="00064993" w:rsidRPr="00883E1C" w:rsidRDefault="00064993" w:rsidP="00064993">
      <w:pPr>
        <w:pStyle w:val="NormalIndent"/>
        <w:spacing w:after="0" w:line="240" w:lineRule="auto"/>
        <w:ind w:left="284" w:right="284" w:firstLine="0"/>
        <w:rPr>
          <w:rFonts w:ascii="Times New Roman" w:hAnsi="Times New Roman"/>
          <w:sz w:val="24"/>
          <w:szCs w:val="24"/>
        </w:rPr>
      </w:pPr>
      <w:r w:rsidRPr="00883E1C">
        <w:rPr>
          <w:rFonts w:ascii="Times New Roman" w:hAnsi="Times New Roman"/>
          <w:sz w:val="24"/>
          <w:szCs w:val="24"/>
        </w:rPr>
        <w:t>You have this very difficult balance between doing an active regulatory job, which means ferreting out the proverbial bad guy and making sure the public is protected from him, and at the same time not creating what may be construed as an unnecessary chill in the marketplace or in some way discouraging the investment of capital in [the] markets. So that’s one of the conundrums that the [SROs] face and it’s a difficult one. And that’s why you’ll see in some regimes there’s no enforcement at all</w:t>
      </w:r>
      <w:r w:rsidR="008C0126" w:rsidRPr="00883E1C">
        <w:rPr>
          <w:rFonts w:ascii="Times New Roman" w:hAnsi="Times New Roman"/>
          <w:sz w:val="24"/>
          <w:szCs w:val="24"/>
        </w:rPr>
        <w:t>…</w:t>
      </w:r>
      <w:r w:rsidR="006F5A6A" w:rsidRPr="00883E1C">
        <w:rPr>
          <w:rFonts w:ascii="Times New Roman" w:hAnsi="Times New Roman"/>
          <w:sz w:val="24"/>
          <w:szCs w:val="24"/>
        </w:rPr>
        <w:t xml:space="preserve"> (Former OSC #2: 4</w:t>
      </w:r>
      <w:r w:rsidR="00F66EB2" w:rsidRPr="00883E1C">
        <w:rPr>
          <w:rFonts w:ascii="Times New Roman" w:hAnsi="Times New Roman"/>
          <w:sz w:val="24"/>
          <w:szCs w:val="24"/>
        </w:rPr>
        <w:t>, as</w:t>
      </w:r>
      <w:r w:rsidRPr="00883E1C">
        <w:rPr>
          <w:rFonts w:ascii="Times New Roman" w:hAnsi="Times New Roman"/>
          <w:sz w:val="24"/>
          <w:szCs w:val="24"/>
        </w:rPr>
        <w:t xml:space="preserve"> cited in </w:t>
      </w:r>
      <w:r w:rsidR="006F5A6A" w:rsidRPr="00883E1C">
        <w:rPr>
          <w:rFonts w:ascii="Times New Roman" w:hAnsi="Times New Roman"/>
          <w:sz w:val="24"/>
          <w:szCs w:val="24"/>
        </w:rPr>
        <w:t>Williams</w:t>
      </w:r>
      <w:r w:rsidRPr="00883E1C">
        <w:rPr>
          <w:rFonts w:ascii="Times New Roman" w:hAnsi="Times New Roman"/>
          <w:sz w:val="24"/>
          <w:szCs w:val="24"/>
        </w:rPr>
        <w:t>, 2012: 48).</w:t>
      </w:r>
    </w:p>
    <w:p w:rsidR="00064993" w:rsidRPr="00883E1C" w:rsidRDefault="00064993" w:rsidP="00064993">
      <w:pPr>
        <w:pStyle w:val="NormalIndent"/>
        <w:spacing w:after="0" w:line="240" w:lineRule="auto"/>
        <w:ind w:left="284" w:right="284" w:firstLine="0"/>
        <w:rPr>
          <w:rFonts w:ascii="Times New Roman" w:hAnsi="Times New Roman"/>
          <w:sz w:val="24"/>
          <w:szCs w:val="24"/>
        </w:rPr>
      </w:pPr>
    </w:p>
    <w:p w:rsidR="00064993" w:rsidRPr="00883E1C" w:rsidRDefault="00064993" w:rsidP="00064993">
      <w:pPr>
        <w:pStyle w:val="NormalIndent"/>
        <w:spacing w:after="0" w:line="240" w:lineRule="auto"/>
        <w:ind w:left="284" w:right="284" w:firstLine="0"/>
        <w:rPr>
          <w:rFonts w:ascii="Times New Roman" w:hAnsi="Times New Roman"/>
          <w:sz w:val="24"/>
          <w:szCs w:val="24"/>
        </w:rPr>
      </w:pPr>
    </w:p>
    <w:p w:rsidR="00092A24" w:rsidRPr="00883E1C" w:rsidRDefault="001536A4" w:rsidP="00092A24">
      <w:pPr>
        <w:pStyle w:val="NormalIndent"/>
        <w:spacing w:after="0"/>
        <w:ind w:firstLine="0"/>
        <w:rPr>
          <w:rFonts w:ascii="Times New Roman" w:hAnsi="Times New Roman"/>
          <w:sz w:val="24"/>
          <w:szCs w:val="24"/>
        </w:rPr>
      </w:pPr>
      <w:r w:rsidRPr="00883E1C">
        <w:rPr>
          <w:rFonts w:ascii="Times New Roman" w:hAnsi="Times New Roman"/>
          <w:sz w:val="24"/>
          <w:szCs w:val="24"/>
        </w:rPr>
        <w:t>To</w:t>
      </w:r>
      <w:r w:rsidR="000808A2" w:rsidRPr="00883E1C">
        <w:rPr>
          <w:rFonts w:ascii="Times New Roman" w:hAnsi="Times New Roman"/>
          <w:sz w:val="24"/>
          <w:szCs w:val="24"/>
        </w:rPr>
        <w:t xml:space="preserve"> manage the appearance of active enforcement, </w:t>
      </w:r>
      <w:r w:rsidRPr="00883E1C">
        <w:rPr>
          <w:rFonts w:ascii="Times New Roman" w:hAnsi="Times New Roman"/>
          <w:sz w:val="24"/>
          <w:szCs w:val="24"/>
        </w:rPr>
        <w:t xml:space="preserve">many SROs have turned to symbolic management. </w:t>
      </w:r>
      <w:r w:rsidR="000E6808" w:rsidRPr="00883E1C">
        <w:rPr>
          <w:rFonts w:ascii="Times New Roman" w:hAnsi="Times New Roman"/>
          <w:sz w:val="24"/>
          <w:szCs w:val="24"/>
        </w:rPr>
        <w:t xml:space="preserve">Symbolic management was advanced by Manning (1997) in his work on police agencies and the response to their mandates. </w:t>
      </w:r>
      <w:r w:rsidR="004C372B" w:rsidRPr="00883E1C">
        <w:rPr>
          <w:rFonts w:ascii="Times New Roman" w:hAnsi="Times New Roman"/>
          <w:sz w:val="24"/>
          <w:szCs w:val="24"/>
        </w:rPr>
        <w:t>According to Manning, police forces present a well-crafted image of effective enforcement largely for the media and public consumption, notwithstanding their inability to enforce the law in practice (p</w:t>
      </w:r>
      <w:r w:rsidR="00F6653C" w:rsidRPr="00883E1C">
        <w:rPr>
          <w:rFonts w:ascii="Times New Roman" w:hAnsi="Times New Roman"/>
          <w:sz w:val="24"/>
          <w:szCs w:val="24"/>
        </w:rPr>
        <w:t>p</w:t>
      </w:r>
      <w:r w:rsidR="004C372B" w:rsidRPr="00883E1C">
        <w:rPr>
          <w:rFonts w:ascii="Times New Roman" w:hAnsi="Times New Roman"/>
          <w:sz w:val="24"/>
          <w:szCs w:val="24"/>
        </w:rPr>
        <w:t xml:space="preserve">. 19-22). </w:t>
      </w:r>
      <w:r w:rsidR="000A6A38" w:rsidRPr="00883E1C">
        <w:rPr>
          <w:rFonts w:ascii="Times New Roman" w:hAnsi="Times New Roman"/>
          <w:sz w:val="24"/>
          <w:szCs w:val="24"/>
        </w:rPr>
        <w:t xml:space="preserve">To make a statement of </w:t>
      </w:r>
      <w:r w:rsidR="00003DA6" w:rsidRPr="00883E1C">
        <w:rPr>
          <w:rFonts w:ascii="Times New Roman" w:hAnsi="Times New Roman"/>
          <w:sz w:val="24"/>
          <w:szCs w:val="24"/>
        </w:rPr>
        <w:t>active</w:t>
      </w:r>
      <w:r w:rsidR="000A6A38" w:rsidRPr="00883E1C">
        <w:rPr>
          <w:rFonts w:ascii="Times New Roman" w:hAnsi="Times New Roman"/>
          <w:sz w:val="24"/>
          <w:szCs w:val="24"/>
        </w:rPr>
        <w:t xml:space="preserve"> enforcement, the </w:t>
      </w:r>
      <w:r w:rsidR="004C372B" w:rsidRPr="00883E1C">
        <w:rPr>
          <w:rFonts w:ascii="Times New Roman" w:hAnsi="Times New Roman"/>
          <w:sz w:val="24"/>
          <w:szCs w:val="24"/>
        </w:rPr>
        <w:t>police</w:t>
      </w:r>
      <w:r w:rsidR="000A6A38" w:rsidRPr="00883E1C">
        <w:rPr>
          <w:rFonts w:ascii="Times New Roman" w:hAnsi="Times New Roman"/>
          <w:sz w:val="24"/>
          <w:szCs w:val="24"/>
        </w:rPr>
        <w:t xml:space="preserve"> will go after a </w:t>
      </w:r>
      <w:r w:rsidR="004C372B" w:rsidRPr="00883E1C">
        <w:rPr>
          <w:rFonts w:ascii="Times New Roman" w:hAnsi="Times New Roman"/>
          <w:sz w:val="24"/>
          <w:szCs w:val="24"/>
        </w:rPr>
        <w:t xml:space="preserve">small </w:t>
      </w:r>
      <w:r w:rsidR="00151F44" w:rsidRPr="00883E1C">
        <w:rPr>
          <w:rFonts w:ascii="Times New Roman" w:hAnsi="Times New Roman"/>
          <w:sz w:val="24"/>
          <w:szCs w:val="24"/>
        </w:rPr>
        <w:t>time</w:t>
      </w:r>
      <w:r w:rsidR="004C372B" w:rsidRPr="00883E1C">
        <w:rPr>
          <w:rFonts w:ascii="Times New Roman" w:hAnsi="Times New Roman"/>
          <w:sz w:val="24"/>
          <w:szCs w:val="24"/>
        </w:rPr>
        <w:t xml:space="preserve"> con-artist,</w:t>
      </w:r>
      <w:r w:rsidR="000A6A38" w:rsidRPr="00883E1C">
        <w:rPr>
          <w:rFonts w:ascii="Times New Roman" w:hAnsi="Times New Roman"/>
          <w:sz w:val="24"/>
          <w:szCs w:val="24"/>
        </w:rPr>
        <w:t xml:space="preserve"> </w:t>
      </w:r>
      <w:r w:rsidR="0076557D" w:rsidRPr="00883E1C">
        <w:rPr>
          <w:rFonts w:ascii="Times New Roman" w:hAnsi="Times New Roman"/>
          <w:sz w:val="24"/>
          <w:szCs w:val="24"/>
        </w:rPr>
        <w:t>with an active media audience</w:t>
      </w:r>
      <w:r w:rsidR="00BC0B18" w:rsidRPr="00883E1C">
        <w:rPr>
          <w:rFonts w:ascii="Times New Roman" w:hAnsi="Times New Roman"/>
          <w:sz w:val="24"/>
          <w:szCs w:val="24"/>
        </w:rPr>
        <w:t xml:space="preserve"> </w:t>
      </w:r>
      <w:r w:rsidR="00BC0B18" w:rsidRPr="00883E1C">
        <w:rPr>
          <w:rFonts w:ascii="Times New Roman" w:hAnsi="Times New Roman"/>
          <w:sz w:val="24"/>
          <w:szCs w:val="24"/>
        </w:rPr>
        <w:lastRenderedPageBreak/>
        <w:t>present</w:t>
      </w:r>
      <w:r w:rsidR="0076557D" w:rsidRPr="00883E1C">
        <w:rPr>
          <w:rFonts w:ascii="Times New Roman" w:hAnsi="Times New Roman"/>
          <w:sz w:val="24"/>
          <w:szCs w:val="24"/>
        </w:rPr>
        <w:t xml:space="preserve"> to convey a power</w:t>
      </w:r>
      <w:r w:rsidR="00003DA6" w:rsidRPr="00883E1C">
        <w:rPr>
          <w:rFonts w:ascii="Times New Roman" w:hAnsi="Times New Roman"/>
          <w:sz w:val="24"/>
          <w:szCs w:val="24"/>
        </w:rPr>
        <w:t>ful</w:t>
      </w:r>
      <w:r w:rsidR="0076557D" w:rsidRPr="00883E1C">
        <w:rPr>
          <w:rFonts w:ascii="Times New Roman" w:hAnsi="Times New Roman"/>
          <w:sz w:val="24"/>
          <w:szCs w:val="24"/>
        </w:rPr>
        <w:t xml:space="preserve"> message of enforcement activity. This is all done despite the fact that the </w:t>
      </w:r>
      <w:r w:rsidR="00151F44" w:rsidRPr="00883E1C">
        <w:rPr>
          <w:rFonts w:ascii="Times New Roman" w:hAnsi="Times New Roman"/>
          <w:sz w:val="24"/>
          <w:szCs w:val="24"/>
        </w:rPr>
        <w:t>con-artist is</w:t>
      </w:r>
      <w:r w:rsidR="00003DA6" w:rsidRPr="00883E1C">
        <w:rPr>
          <w:rFonts w:ascii="Times New Roman" w:hAnsi="Times New Roman"/>
          <w:sz w:val="24"/>
          <w:szCs w:val="24"/>
        </w:rPr>
        <w:t xml:space="preserve"> usually a</w:t>
      </w:r>
      <w:r w:rsidR="0076557D" w:rsidRPr="00883E1C">
        <w:rPr>
          <w:rFonts w:ascii="Times New Roman" w:hAnsi="Times New Roman"/>
          <w:sz w:val="24"/>
          <w:szCs w:val="24"/>
        </w:rPr>
        <w:t xml:space="preserve"> small player in </w:t>
      </w:r>
      <w:r w:rsidR="00AA1E9B" w:rsidRPr="00883E1C">
        <w:rPr>
          <w:rFonts w:ascii="Times New Roman" w:hAnsi="Times New Roman"/>
          <w:sz w:val="24"/>
          <w:szCs w:val="24"/>
        </w:rPr>
        <w:t xml:space="preserve">the </w:t>
      </w:r>
      <w:r w:rsidR="00A96EAF" w:rsidRPr="00883E1C">
        <w:rPr>
          <w:rFonts w:ascii="Times New Roman" w:hAnsi="Times New Roman"/>
          <w:sz w:val="24"/>
          <w:szCs w:val="24"/>
        </w:rPr>
        <w:t xml:space="preserve">larger </w:t>
      </w:r>
      <w:r w:rsidR="00151F44" w:rsidRPr="00883E1C">
        <w:rPr>
          <w:rFonts w:ascii="Times New Roman" w:hAnsi="Times New Roman"/>
          <w:sz w:val="24"/>
          <w:szCs w:val="24"/>
        </w:rPr>
        <w:t>criminal network</w:t>
      </w:r>
      <w:r w:rsidR="0076557D" w:rsidRPr="00883E1C">
        <w:rPr>
          <w:rFonts w:ascii="Times New Roman" w:hAnsi="Times New Roman"/>
          <w:sz w:val="24"/>
          <w:szCs w:val="24"/>
        </w:rPr>
        <w:t xml:space="preserve"> and will do very little to deter other </w:t>
      </w:r>
      <w:r w:rsidR="00151F44" w:rsidRPr="00883E1C">
        <w:rPr>
          <w:rFonts w:ascii="Times New Roman" w:hAnsi="Times New Roman"/>
          <w:sz w:val="24"/>
          <w:szCs w:val="24"/>
        </w:rPr>
        <w:t xml:space="preserve">criminals </w:t>
      </w:r>
      <w:r w:rsidR="00003DA6" w:rsidRPr="00883E1C">
        <w:rPr>
          <w:rFonts w:ascii="Times New Roman" w:hAnsi="Times New Roman"/>
          <w:sz w:val="24"/>
          <w:szCs w:val="24"/>
        </w:rPr>
        <w:t>from</w:t>
      </w:r>
      <w:r w:rsidR="0076557D" w:rsidRPr="00883E1C">
        <w:rPr>
          <w:rFonts w:ascii="Times New Roman" w:hAnsi="Times New Roman"/>
          <w:sz w:val="24"/>
          <w:szCs w:val="24"/>
        </w:rPr>
        <w:t xml:space="preserve"> circumvent</w:t>
      </w:r>
      <w:r w:rsidR="00003DA6" w:rsidRPr="00883E1C">
        <w:rPr>
          <w:rFonts w:ascii="Times New Roman" w:hAnsi="Times New Roman"/>
          <w:sz w:val="24"/>
          <w:szCs w:val="24"/>
        </w:rPr>
        <w:t>ing</w:t>
      </w:r>
      <w:r w:rsidR="0076557D" w:rsidRPr="00883E1C">
        <w:rPr>
          <w:rFonts w:ascii="Times New Roman" w:hAnsi="Times New Roman"/>
          <w:sz w:val="24"/>
          <w:szCs w:val="24"/>
        </w:rPr>
        <w:t xml:space="preserve"> </w:t>
      </w:r>
      <w:r w:rsidR="00003DA6" w:rsidRPr="00883E1C">
        <w:rPr>
          <w:rFonts w:ascii="Times New Roman" w:hAnsi="Times New Roman"/>
          <w:sz w:val="24"/>
          <w:szCs w:val="24"/>
        </w:rPr>
        <w:t>the</w:t>
      </w:r>
      <w:r w:rsidR="0076557D" w:rsidRPr="00883E1C">
        <w:rPr>
          <w:rFonts w:ascii="Times New Roman" w:hAnsi="Times New Roman"/>
          <w:sz w:val="24"/>
          <w:szCs w:val="24"/>
        </w:rPr>
        <w:t xml:space="preserve"> </w:t>
      </w:r>
      <w:r w:rsidR="00151F44" w:rsidRPr="00883E1C">
        <w:rPr>
          <w:rFonts w:ascii="Times New Roman" w:hAnsi="Times New Roman"/>
          <w:sz w:val="24"/>
          <w:szCs w:val="24"/>
        </w:rPr>
        <w:t>laws.</w:t>
      </w:r>
      <w:r w:rsidR="0076557D" w:rsidRPr="00883E1C">
        <w:rPr>
          <w:rFonts w:ascii="Times New Roman" w:hAnsi="Times New Roman"/>
          <w:sz w:val="24"/>
          <w:szCs w:val="24"/>
        </w:rPr>
        <w:t xml:space="preserve"> </w:t>
      </w:r>
      <w:r w:rsidR="00003DA6" w:rsidRPr="00883E1C">
        <w:rPr>
          <w:rFonts w:ascii="Times New Roman" w:hAnsi="Times New Roman"/>
          <w:sz w:val="24"/>
          <w:szCs w:val="24"/>
        </w:rPr>
        <w:t>Th</w:t>
      </w:r>
      <w:r w:rsidR="00AA1E9B" w:rsidRPr="00883E1C">
        <w:rPr>
          <w:rFonts w:ascii="Times New Roman" w:hAnsi="Times New Roman"/>
          <w:sz w:val="24"/>
          <w:szCs w:val="24"/>
        </w:rPr>
        <w:t>e</w:t>
      </w:r>
      <w:r w:rsidR="00003DA6" w:rsidRPr="00883E1C">
        <w:rPr>
          <w:rFonts w:ascii="Times New Roman" w:hAnsi="Times New Roman"/>
          <w:sz w:val="24"/>
          <w:szCs w:val="24"/>
        </w:rPr>
        <w:t xml:space="preserve"> </w:t>
      </w:r>
      <w:r w:rsidR="00AA1E9B" w:rsidRPr="00883E1C">
        <w:rPr>
          <w:rFonts w:ascii="Times New Roman" w:hAnsi="Times New Roman"/>
          <w:sz w:val="24"/>
          <w:szCs w:val="24"/>
        </w:rPr>
        <w:t>result is</w:t>
      </w:r>
      <w:r w:rsidR="00BC0B18" w:rsidRPr="00883E1C">
        <w:rPr>
          <w:rFonts w:ascii="Times New Roman" w:hAnsi="Times New Roman"/>
          <w:sz w:val="24"/>
          <w:szCs w:val="24"/>
        </w:rPr>
        <w:t xml:space="preserve"> detachment between the </w:t>
      </w:r>
      <w:r w:rsidR="00003DA6" w:rsidRPr="00883E1C">
        <w:rPr>
          <w:rFonts w:ascii="Times New Roman" w:hAnsi="Times New Roman"/>
          <w:sz w:val="24"/>
          <w:szCs w:val="24"/>
        </w:rPr>
        <w:t xml:space="preserve">symbolic </w:t>
      </w:r>
      <w:r w:rsidR="00BC0B18" w:rsidRPr="00883E1C">
        <w:rPr>
          <w:rFonts w:ascii="Times New Roman" w:hAnsi="Times New Roman"/>
          <w:sz w:val="24"/>
          <w:szCs w:val="24"/>
        </w:rPr>
        <w:t xml:space="preserve">face of the </w:t>
      </w:r>
      <w:r w:rsidR="00151F44" w:rsidRPr="00883E1C">
        <w:rPr>
          <w:rFonts w:ascii="Times New Roman" w:hAnsi="Times New Roman"/>
          <w:sz w:val="24"/>
          <w:szCs w:val="24"/>
        </w:rPr>
        <w:t xml:space="preserve">police </w:t>
      </w:r>
      <w:r w:rsidR="00F17339" w:rsidRPr="00883E1C">
        <w:rPr>
          <w:rFonts w:ascii="Times New Roman" w:hAnsi="Times New Roman"/>
          <w:sz w:val="24"/>
          <w:szCs w:val="24"/>
        </w:rPr>
        <w:t>and effective</w:t>
      </w:r>
      <w:r w:rsidR="00151F44" w:rsidRPr="00883E1C">
        <w:rPr>
          <w:rFonts w:ascii="Times New Roman" w:hAnsi="Times New Roman"/>
          <w:sz w:val="24"/>
          <w:szCs w:val="24"/>
        </w:rPr>
        <w:t xml:space="preserve"> policing</w:t>
      </w:r>
      <w:r w:rsidR="00E01804" w:rsidRPr="00883E1C">
        <w:rPr>
          <w:rFonts w:ascii="Times New Roman" w:hAnsi="Times New Roman"/>
          <w:sz w:val="24"/>
          <w:szCs w:val="24"/>
        </w:rPr>
        <w:t>.</w:t>
      </w:r>
      <w:r w:rsidR="00092A24" w:rsidRPr="00883E1C">
        <w:rPr>
          <w:rFonts w:ascii="Times New Roman" w:hAnsi="Times New Roman"/>
          <w:sz w:val="24"/>
          <w:szCs w:val="24"/>
        </w:rPr>
        <w:t xml:space="preserve"> </w:t>
      </w:r>
    </w:p>
    <w:p w:rsidR="00B4556F" w:rsidRPr="00883E1C" w:rsidRDefault="00F17339" w:rsidP="00092A24">
      <w:pPr>
        <w:pStyle w:val="NormalIndent"/>
        <w:spacing w:after="0"/>
        <w:ind w:firstLine="0"/>
        <w:rPr>
          <w:rFonts w:ascii="Times New Roman" w:hAnsi="Times New Roman"/>
          <w:sz w:val="24"/>
          <w:szCs w:val="24"/>
        </w:rPr>
      </w:pPr>
      <w:r w:rsidRPr="00883E1C">
        <w:rPr>
          <w:rFonts w:ascii="Times New Roman" w:hAnsi="Times New Roman"/>
          <w:sz w:val="24"/>
          <w:szCs w:val="24"/>
        </w:rPr>
        <w:tab/>
        <w:t xml:space="preserve">The notion of symbolic management is </w:t>
      </w:r>
      <w:r w:rsidR="00061CBC" w:rsidRPr="00883E1C">
        <w:rPr>
          <w:rFonts w:ascii="Times New Roman" w:hAnsi="Times New Roman"/>
          <w:sz w:val="24"/>
          <w:szCs w:val="24"/>
        </w:rPr>
        <w:t xml:space="preserve">relevant to SROs’ </w:t>
      </w:r>
      <w:r w:rsidR="00C12E16" w:rsidRPr="00883E1C">
        <w:rPr>
          <w:rFonts w:ascii="Times New Roman" w:hAnsi="Times New Roman"/>
          <w:sz w:val="24"/>
          <w:szCs w:val="24"/>
        </w:rPr>
        <w:t>policing of the market</w:t>
      </w:r>
      <w:r w:rsidR="009260CF" w:rsidRPr="00883E1C">
        <w:rPr>
          <w:rFonts w:ascii="Times New Roman" w:hAnsi="Times New Roman"/>
          <w:sz w:val="24"/>
          <w:szCs w:val="24"/>
        </w:rPr>
        <w:t>,</w:t>
      </w:r>
      <w:r w:rsidR="00C12E16" w:rsidRPr="00883E1C">
        <w:rPr>
          <w:rFonts w:ascii="Times New Roman" w:hAnsi="Times New Roman"/>
          <w:sz w:val="24"/>
          <w:szCs w:val="24"/>
        </w:rPr>
        <w:t xml:space="preserve"> </w:t>
      </w:r>
      <w:r w:rsidR="0033547B" w:rsidRPr="00883E1C">
        <w:rPr>
          <w:rFonts w:ascii="Times New Roman" w:hAnsi="Times New Roman"/>
          <w:sz w:val="24"/>
          <w:szCs w:val="24"/>
        </w:rPr>
        <w:t>as they go about managing their</w:t>
      </w:r>
      <w:r w:rsidRPr="00883E1C">
        <w:rPr>
          <w:rFonts w:ascii="Times New Roman" w:hAnsi="Times New Roman"/>
          <w:sz w:val="24"/>
          <w:szCs w:val="24"/>
        </w:rPr>
        <w:t xml:space="preserve"> enforcement mandate. </w:t>
      </w:r>
      <w:r w:rsidR="00C12E16" w:rsidRPr="00883E1C">
        <w:rPr>
          <w:rFonts w:ascii="Times New Roman" w:hAnsi="Times New Roman"/>
          <w:sz w:val="24"/>
          <w:szCs w:val="24"/>
        </w:rPr>
        <w:t xml:space="preserve">In particular, </w:t>
      </w:r>
      <w:r w:rsidR="0033547B" w:rsidRPr="00883E1C">
        <w:rPr>
          <w:rFonts w:ascii="Times New Roman" w:hAnsi="Times New Roman"/>
          <w:sz w:val="24"/>
          <w:szCs w:val="24"/>
        </w:rPr>
        <w:t xml:space="preserve">symbolic </w:t>
      </w:r>
      <w:r w:rsidR="00A77E54" w:rsidRPr="00883E1C">
        <w:rPr>
          <w:rFonts w:ascii="Times New Roman" w:hAnsi="Times New Roman"/>
          <w:sz w:val="24"/>
          <w:szCs w:val="24"/>
        </w:rPr>
        <w:t>management highlights</w:t>
      </w:r>
      <w:r w:rsidR="00C12E16" w:rsidRPr="00883E1C">
        <w:rPr>
          <w:rFonts w:ascii="Times New Roman" w:hAnsi="Times New Roman"/>
          <w:sz w:val="24"/>
          <w:szCs w:val="24"/>
        </w:rPr>
        <w:t xml:space="preserve"> the concerns of managing the public face of the agency,</w:t>
      </w:r>
      <w:r w:rsidR="00061CBC" w:rsidRPr="00883E1C">
        <w:rPr>
          <w:rFonts w:ascii="Times New Roman" w:hAnsi="Times New Roman"/>
          <w:sz w:val="24"/>
          <w:szCs w:val="24"/>
        </w:rPr>
        <w:t xml:space="preserve"> a</w:t>
      </w:r>
      <w:r w:rsidR="00C12E16" w:rsidRPr="00883E1C">
        <w:rPr>
          <w:rFonts w:ascii="Times New Roman" w:hAnsi="Times New Roman"/>
          <w:sz w:val="24"/>
          <w:szCs w:val="24"/>
        </w:rPr>
        <w:t xml:space="preserve"> </w:t>
      </w:r>
      <w:r w:rsidR="00061CBC" w:rsidRPr="00883E1C">
        <w:rPr>
          <w:rFonts w:ascii="Times New Roman" w:hAnsi="Times New Roman"/>
          <w:sz w:val="24"/>
          <w:szCs w:val="24"/>
        </w:rPr>
        <w:t>phenomenon that is</w:t>
      </w:r>
      <w:r w:rsidR="00C12E16" w:rsidRPr="00883E1C">
        <w:rPr>
          <w:rFonts w:ascii="Times New Roman" w:hAnsi="Times New Roman"/>
          <w:sz w:val="24"/>
          <w:szCs w:val="24"/>
        </w:rPr>
        <w:t xml:space="preserve"> not far off from the minds of </w:t>
      </w:r>
      <w:r w:rsidR="00321ADB" w:rsidRPr="00883E1C">
        <w:rPr>
          <w:rFonts w:ascii="Times New Roman" w:hAnsi="Times New Roman"/>
          <w:sz w:val="24"/>
          <w:szCs w:val="24"/>
        </w:rPr>
        <w:t xml:space="preserve">the </w:t>
      </w:r>
      <w:r w:rsidR="00061CBC" w:rsidRPr="00883E1C">
        <w:rPr>
          <w:rFonts w:ascii="Times New Roman" w:hAnsi="Times New Roman"/>
          <w:sz w:val="24"/>
          <w:szCs w:val="24"/>
        </w:rPr>
        <w:t xml:space="preserve">SROs’ </w:t>
      </w:r>
      <w:r w:rsidR="00C12E16" w:rsidRPr="00883E1C">
        <w:rPr>
          <w:rFonts w:ascii="Times New Roman" w:hAnsi="Times New Roman"/>
          <w:sz w:val="24"/>
          <w:szCs w:val="24"/>
        </w:rPr>
        <w:t>enforcement staff (</w:t>
      </w:r>
      <w:r w:rsidR="00321ADB" w:rsidRPr="00883E1C">
        <w:rPr>
          <w:rFonts w:ascii="Times New Roman" w:hAnsi="Times New Roman"/>
          <w:sz w:val="24"/>
          <w:szCs w:val="24"/>
        </w:rPr>
        <w:t xml:space="preserve">see </w:t>
      </w:r>
      <w:r w:rsidR="00C12E16" w:rsidRPr="00883E1C">
        <w:rPr>
          <w:rFonts w:ascii="Times New Roman" w:hAnsi="Times New Roman"/>
          <w:sz w:val="24"/>
          <w:szCs w:val="24"/>
        </w:rPr>
        <w:t xml:space="preserve">Williams, 2012: 49). </w:t>
      </w:r>
      <w:r w:rsidR="00377F89" w:rsidRPr="00883E1C">
        <w:rPr>
          <w:rFonts w:ascii="Times New Roman" w:hAnsi="Times New Roman"/>
          <w:sz w:val="24"/>
          <w:szCs w:val="24"/>
        </w:rPr>
        <w:t>Evidence of symbolic</w:t>
      </w:r>
      <w:r w:rsidR="002C41A1" w:rsidRPr="00883E1C">
        <w:rPr>
          <w:rFonts w:ascii="Times New Roman" w:hAnsi="Times New Roman"/>
          <w:sz w:val="24"/>
          <w:szCs w:val="24"/>
        </w:rPr>
        <w:t xml:space="preserve"> management was</w:t>
      </w:r>
      <w:r w:rsidR="00716ABB" w:rsidRPr="00883E1C">
        <w:rPr>
          <w:rFonts w:ascii="Times New Roman" w:hAnsi="Times New Roman"/>
          <w:sz w:val="24"/>
          <w:szCs w:val="24"/>
        </w:rPr>
        <w:t xml:space="preserve"> captured </w:t>
      </w:r>
      <w:r w:rsidR="00727308" w:rsidRPr="00883E1C">
        <w:rPr>
          <w:rFonts w:ascii="Times New Roman" w:hAnsi="Times New Roman"/>
          <w:sz w:val="24"/>
          <w:szCs w:val="24"/>
        </w:rPr>
        <w:t xml:space="preserve">in the IDA’s statistics going back to </w:t>
      </w:r>
      <w:r w:rsidR="009260CF" w:rsidRPr="00883E1C">
        <w:rPr>
          <w:rFonts w:ascii="Times New Roman" w:hAnsi="Times New Roman"/>
          <w:sz w:val="24"/>
          <w:szCs w:val="24"/>
        </w:rPr>
        <w:t xml:space="preserve">the year </w:t>
      </w:r>
      <w:r w:rsidR="00727308" w:rsidRPr="00883E1C">
        <w:rPr>
          <w:rFonts w:ascii="Times New Roman" w:hAnsi="Times New Roman"/>
          <w:sz w:val="24"/>
          <w:szCs w:val="24"/>
        </w:rPr>
        <w:t xml:space="preserve">2000. </w:t>
      </w:r>
      <w:r w:rsidR="007D0CDF" w:rsidRPr="00883E1C">
        <w:rPr>
          <w:rFonts w:ascii="Times New Roman" w:hAnsi="Times New Roman"/>
          <w:sz w:val="24"/>
          <w:szCs w:val="24"/>
        </w:rPr>
        <w:t xml:space="preserve"> </w:t>
      </w:r>
      <w:r w:rsidR="00377F89" w:rsidRPr="00883E1C">
        <w:rPr>
          <w:rFonts w:ascii="Times New Roman" w:hAnsi="Times New Roman"/>
          <w:sz w:val="24"/>
          <w:szCs w:val="24"/>
        </w:rPr>
        <w:t>There were</w:t>
      </w:r>
      <w:r w:rsidR="007D0CDF" w:rsidRPr="00883E1C">
        <w:rPr>
          <w:rFonts w:ascii="Times New Roman" w:hAnsi="Times New Roman"/>
          <w:sz w:val="24"/>
          <w:szCs w:val="24"/>
        </w:rPr>
        <w:t xml:space="preserve"> approximately </w:t>
      </w:r>
      <w:r w:rsidR="00377F89" w:rsidRPr="00883E1C">
        <w:rPr>
          <w:rFonts w:ascii="Times New Roman" w:hAnsi="Times New Roman"/>
          <w:sz w:val="24"/>
          <w:szCs w:val="24"/>
        </w:rPr>
        <w:t>57 disciplinary</w:t>
      </w:r>
      <w:r w:rsidR="007D0CDF" w:rsidRPr="00883E1C">
        <w:rPr>
          <w:rFonts w:ascii="Times New Roman" w:hAnsi="Times New Roman"/>
          <w:sz w:val="24"/>
          <w:szCs w:val="24"/>
        </w:rPr>
        <w:t xml:space="preserve"> proceedings from </w:t>
      </w:r>
      <w:r w:rsidR="009260CF" w:rsidRPr="00883E1C">
        <w:rPr>
          <w:rFonts w:ascii="Times New Roman" w:hAnsi="Times New Roman"/>
          <w:sz w:val="24"/>
          <w:szCs w:val="24"/>
        </w:rPr>
        <w:t xml:space="preserve">the year </w:t>
      </w:r>
      <w:r w:rsidR="007D0CDF" w:rsidRPr="00883E1C">
        <w:rPr>
          <w:rFonts w:ascii="Times New Roman" w:hAnsi="Times New Roman"/>
          <w:sz w:val="24"/>
          <w:szCs w:val="24"/>
        </w:rPr>
        <w:t>2000 to June of 2008</w:t>
      </w:r>
      <w:r w:rsidR="009260CF" w:rsidRPr="00883E1C">
        <w:rPr>
          <w:rFonts w:ascii="Times New Roman" w:hAnsi="Times New Roman"/>
          <w:sz w:val="24"/>
          <w:szCs w:val="24"/>
        </w:rPr>
        <w:t>,</w:t>
      </w:r>
      <w:r w:rsidR="007D0CDF" w:rsidRPr="00883E1C">
        <w:rPr>
          <w:rFonts w:ascii="Times New Roman" w:hAnsi="Times New Roman"/>
          <w:sz w:val="24"/>
          <w:szCs w:val="24"/>
        </w:rPr>
        <w:t xml:space="preserve"> involving IDA’s registered Member firms. Of these 5 (or about 9%) applied to the top five banks. </w:t>
      </w:r>
      <w:r w:rsidR="00377F89" w:rsidRPr="00883E1C">
        <w:rPr>
          <w:rFonts w:ascii="Times New Roman" w:hAnsi="Times New Roman"/>
          <w:sz w:val="24"/>
          <w:szCs w:val="24"/>
        </w:rPr>
        <w:t xml:space="preserve"> </w:t>
      </w:r>
      <w:r w:rsidR="00C7126E" w:rsidRPr="00883E1C">
        <w:rPr>
          <w:rFonts w:ascii="Times New Roman" w:hAnsi="Times New Roman"/>
          <w:sz w:val="24"/>
          <w:szCs w:val="24"/>
        </w:rPr>
        <w:t>How can one comprehend these numbers when about 90% to 95% of the financial transactions in Canada flow through the top five banks, while at the same time about 91% of t</w:t>
      </w:r>
      <w:r w:rsidR="002C41A1" w:rsidRPr="00883E1C">
        <w:rPr>
          <w:rFonts w:ascii="Times New Roman" w:hAnsi="Times New Roman"/>
          <w:sz w:val="24"/>
          <w:szCs w:val="24"/>
        </w:rPr>
        <w:t>he IDA’s disciplinary actions did</w:t>
      </w:r>
      <w:r w:rsidR="00C7126E" w:rsidRPr="00883E1C">
        <w:rPr>
          <w:rFonts w:ascii="Times New Roman" w:hAnsi="Times New Roman"/>
          <w:sz w:val="24"/>
          <w:szCs w:val="24"/>
        </w:rPr>
        <w:t xml:space="preserve"> not involve these banks? Does this mean that the IDA </w:t>
      </w:r>
      <w:r w:rsidR="002C41A1" w:rsidRPr="00883E1C">
        <w:rPr>
          <w:rFonts w:ascii="Times New Roman" w:hAnsi="Times New Roman"/>
          <w:sz w:val="24"/>
          <w:szCs w:val="24"/>
        </w:rPr>
        <w:t>was</w:t>
      </w:r>
      <w:r w:rsidR="00C7126E" w:rsidRPr="00883E1C">
        <w:rPr>
          <w:rFonts w:ascii="Times New Roman" w:hAnsi="Times New Roman"/>
          <w:sz w:val="24"/>
          <w:szCs w:val="24"/>
        </w:rPr>
        <w:t xml:space="preserve"> cap</w:t>
      </w:r>
      <w:r w:rsidR="002C41A1" w:rsidRPr="00883E1C">
        <w:rPr>
          <w:rFonts w:ascii="Times New Roman" w:hAnsi="Times New Roman"/>
          <w:sz w:val="24"/>
          <w:szCs w:val="24"/>
        </w:rPr>
        <w:t>tured by the five banks (who were</w:t>
      </w:r>
      <w:r w:rsidR="00C7126E" w:rsidRPr="00883E1C">
        <w:rPr>
          <w:rFonts w:ascii="Times New Roman" w:hAnsi="Times New Roman"/>
          <w:sz w:val="24"/>
          <w:szCs w:val="24"/>
        </w:rPr>
        <w:t xml:space="preserve"> its </w:t>
      </w:r>
      <w:r w:rsidR="002C41A1" w:rsidRPr="00883E1C">
        <w:rPr>
          <w:rFonts w:ascii="Times New Roman" w:hAnsi="Times New Roman"/>
          <w:sz w:val="24"/>
          <w:szCs w:val="24"/>
        </w:rPr>
        <w:t>sponsors)</w:t>
      </w:r>
      <w:r w:rsidR="009260CF" w:rsidRPr="00883E1C">
        <w:rPr>
          <w:rFonts w:ascii="Times New Roman" w:hAnsi="Times New Roman"/>
          <w:sz w:val="24"/>
          <w:szCs w:val="24"/>
        </w:rPr>
        <w:t>,</w:t>
      </w:r>
      <w:r w:rsidR="002C41A1" w:rsidRPr="00883E1C">
        <w:rPr>
          <w:rFonts w:ascii="Times New Roman" w:hAnsi="Times New Roman"/>
          <w:sz w:val="24"/>
          <w:szCs w:val="24"/>
        </w:rPr>
        <w:t xml:space="preserve"> or that the banks were</w:t>
      </w:r>
      <w:r w:rsidR="00C7126E" w:rsidRPr="00883E1C">
        <w:rPr>
          <w:rFonts w:ascii="Times New Roman" w:hAnsi="Times New Roman"/>
          <w:sz w:val="24"/>
          <w:szCs w:val="24"/>
        </w:rPr>
        <w:t xml:space="preserve"> more honest tha</w:t>
      </w:r>
      <w:r w:rsidR="009260CF" w:rsidRPr="00883E1C">
        <w:rPr>
          <w:rFonts w:ascii="Times New Roman" w:hAnsi="Times New Roman"/>
          <w:sz w:val="24"/>
          <w:szCs w:val="24"/>
        </w:rPr>
        <w:t>n</w:t>
      </w:r>
      <w:r w:rsidR="00C7126E" w:rsidRPr="00883E1C">
        <w:rPr>
          <w:rFonts w:ascii="Times New Roman" w:hAnsi="Times New Roman"/>
          <w:sz w:val="24"/>
          <w:szCs w:val="24"/>
        </w:rPr>
        <w:t xml:space="preserve"> the small brokerage firms that form</w:t>
      </w:r>
      <w:r w:rsidR="009260CF" w:rsidRPr="00883E1C">
        <w:rPr>
          <w:rFonts w:ascii="Times New Roman" w:hAnsi="Times New Roman"/>
          <w:sz w:val="24"/>
          <w:szCs w:val="24"/>
        </w:rPr>
        <w:t>ed</w:t>
      </w:r>
      <w:r w:rsidR="00C7126E" w:rsidRPr="00883E1C">
        <w:rPr>
          <w:rFonts w:ascii="Times New Roman" w:hAnsi="Times New Roman"/>
          <w:sz w:val="24"/>
          <w:szCs w:val="24"/>
        </w:rPr>
        <w:t xml:space="preserve"> the majority of the disciplinary proceedings?  If the disciplinary actions were in the 90% range for banks, it would have indicated a direct correlation. On the contrary, what the number</w:t>
      </w:r>
      <w:r w:rsidR="009260CF" w:rsidRPr="00883E1C">
        <w:rPr>
          <w:rFonts w:ascii="Times New Roman" w:hAnsi="Times New Roman"/>
          <w:sz w:val="24"/>
          <w:szCs w:val="24"/>
        </w:rPr>
        <w:t>s</w:t>
      </w:r>
      <w:r w:rsidR="00C7126E" w:rsidRPr="00883E1C">
        <w:rPr>
          <w:rFonts w:ascii="Times New Roman" w:hAnsi="Times New Roman"/>
          <w:sz w:val="24"/>
          <w:szCs w:val="24"/>
        </w:rPr>
        <w:t xml:space="preserve"> seem</w:t>
      </w:r>
      <w:r w:rsidR="009260CF" w:rsidRPr="00883E1C">
        <w:rPr>
          <w:rFonts w:ascii="Times New Roman" w:hAnsi="Times New Roman"/>
          <w:sz w:val="24"/>
          <w:szCs w:val="24"/>
        </w:rPr>
        <w:t>ed</w:t>
      </w:r>
      <w:r w:rsidR="00C7126E" w:rsidRPr="00883E1C">
        <w:rPr>
          <w:rFonts w:ascii="Times New Roman" w:hAnsi="Times New Roman"/>
          <w:sz w:val="24"/>
          <w:szCs w:val="24"/>
        </w:rPr>
        <w:t xml:space="preserve"> to indicate </w:t>
      </w:r>
      <w:r w:rsidR="009260CF" w:rsidRPr="00883E1C">
        <w:rPr>
          <w:rFonts w:ascii="Times New Roman" w:hAnsi="Times New Roman"/>
          <w:sz w:val="24"/>
          <w:szCs w:val="24"/>
        </w:rPr>
        <w:t>was</w:t>
      </w:r>
      <w:r w:rsidR="00C7126E" w:rsidRPr="00883E1C">
        <w:rPr>
          <w:rFonts w:ascii="Times New Roman" w:hAnsi="Times New Roman"/>
          <w:sz w:val="24"/>
          <w:szCs w:val="24"/>
        </w:rPr>
        <w:t xml:space="preserve"> that the </w:t>
      </w:r>
      <w:r w:rsidR="00194289" w:rsidRPr="00883E1C">
        <w:rPr>
          <w:rFonts w:ascii="Times New Roman" w:hAnsi="Times New Roman"/>
          <w:sz w:val="24"/>
          <w:szCs w:val="24"/>
        </w:rPr>
        <w:t xml:space="preserve">IDA rarely </w:t>
      </w:r>
      <w:r w:rsidR="009260CF" w:rsidRPr="00883E1C">
        <w:rPr>
          <w:rFonts w:ascii="Times New Roman" w:hAnsi="Times New Roman"/>
          <w:sz w:val="24"/>
          <w:szCs w:val="24"/>
        </w:rPr>
        <w:t>went</w:t>
      </w:r>
      <w:r w:rsidR="00194289" w:rsidRPr="00883E1C">
        <w:rPr>
          <w:rFonts w:ascii="Times New Roman" w:hAnsi="Times New Roman"/>
          <w:sz w:val="24"/>
          <w:szCs w:val="24"/>
        </w:rPr>
        <w:t xml:space="preserve"> after the big fish (i.e., top banks)</w:t>
      </w:r>
      <w:r w:rsidR="00C7126E" w:rsidRPr="00883E1C">
        <w:rPr>
          <w:rFonts w:ascii="Times New Roman" w:hAnsi="Times New Roman"/>
          <w:sz w:val="24"/>
          <w:szCs w:val="24"/>
        </w:rPr>
        <w:t xml:space="preserve">, and </w:t>
      </w:r>
      <w:r w:rsidR="009260CF" w:rsidRPr="00883E1C">
        <w:rPr>
          <w:rFonts w:ascii="Times New Roman" w:hAnsi="Times New Roman"/>
          <w:sz w:val="24"/>
          <w:szCs w:val="24"/>
        </w:rPr>
        <w:t>did</w:t>
      </w:r>
      <w:r w:rsidR="00C7126E" w:rsidRPr="00883E1C">
        <w:rPr>
          <w:rFonts w:ascii="Times New Roman" w:hAnsi="Times New Roman"/>
          <w:sz w:val="24"/>
          <w:szCs w:val="24"/>
        </w:rPr>
        <w:t xml:space="preserve"> go after the </w:t>
      </w:r>
      <w:r w:rsidR="00534A62" w:rsidRPr="00883E1C">
        <w:rPr>
          <w:rFonts w:ascii="Times New Roman" w:hAnsi="Times New Roman"/>
          <w:sz w:val="24"/>
          <w:szCs w:val="24"/>
        </w:rPr>
        <w:t>small brokerage firms to make a statement o</w:t>
      </w:r>
      <w:r w:rsidR="00B4556F" w:rsidRPr="00883E1C">
        <w:rPr>
          <w:rFonts w:ascii="Times New Roman" w:hAnsi="Times New Roman"/>
          <w:sz w:val="24"/>
          <w:szCs w:val="24"/>
        </w:rPr>
        <w:t>f active enforcement. Alternatively, it could very well be that the IDA was unable to dis</w:t>
      </w:r>
      <w:r w:rsidR="00377F89" w:rsidRPr="00883E1C">
        <w:rPr>
          <w:rFonts w:ascii="Times New Roman" w:hAnsi="Times New Roman"/>
          <w:sz w:val="24"/>
          <w:szCs w:val="24"/>
        </w:rPr>
        <w:t xml:space="preserve">cipline its top Dealer members because </w:t>
      </w:r>
      <w:r w:rsidR="00F6653C" w:rsidRPr="00883E1C">
        <w:rPr>
          <w:rFonts w:ascii="Times New Roman" w:hAnsi="Times New Roman"/>
          <w:sz w:val="24"/>
          <w:szCs w:val="24"/>
        </w:rPr>
        <w:t>of inherent</w:t>
      </w:r>
      <w:r w:rsidR="008978C9" w:rsidRPr="00883E1C">
        <w:rPr>
          <w:rFonts w:ascii="Times New Roman" w:hAnsi="Times New Roman"/>
          <w:sz w:val="24"/>
          <w:szCs w:val="24"/>
        </w:rPr>
        <w:t xml:space="preserve"> </w:t>
      </w:r>
      <w:r w:rsidR="00377F89" w:rsidRPr="00883E1C">
        <w:rPr>
          <w:rFonts w:ascii="Times New Roman" w:hAnsi="Times New Roman"/>
          <w:sz w:val="24"/>
          <w:szCs w:val="24"/>
        </w:rPr>
        <w:t xml:space="preserve">conflict-of-interest issues. </w:t>
      </w:r>
    </w:p>
    <w:p w:rsidR="00001405" w:rsidRPr="00883E1C" w:rsidRDefault="00C377C7" w:rsidP="00B4556F">
      <w:pPr>
        <w:pStyle w:val="NormalIndent"/>
        <w:spacing w:after="0"/>
        <w:rPr>
          <w:rFonts w:ascii="Times New Roman" w:hAnsi="Times New Roman"/>
          <w:sz w:val="24"/>
          <w:szCs w:val="24"/>
        </w:rPr>
      </w:pPr>
      <w:r w:rsidRPr="00883E1C">
        <w:rPr>
          <w:rFonts w:ascii="Times New Roman" w:hAnsi="Times New Roman"/>
          <w:sz w:val="24"/>
          <w:szCs w:val="24"/>
        </w:rPr>
        <w:t>The IDA ha</w:t>
      </w:r>
      <w:r w:rsidR="00124575" w:rsidRPr="00883E1C">
        <w:rPr>
          <w:rFonts w:ascii="Times New Roman" w:hAnsi="Times New Roman"/>
          <w:sz w:val="24"/>
          <w:szCs w:val="24"/>
        </w:rPr>
        <w:t>s</w:t>
      </w:r>
      <w:r w:rsidRPr="00883E1C">
        <w:rPr>
          <w:rFonts w:ascii="Times New Roman" w:hAnsi="Times New Roman"/>
          <w:sz w:val="24"/>
          <w:szCs w:val="24"/>
        </w:rPr>
        <w:t xml:space="preserve"> responde</w:t>
      </w:r>
      <w:r w:rsidR="00B4556F" w:rsidRPr="00883E1C">
        <w:rPr>
          <w:rFonts w:ascii="Times New Roman" w:hAnsi="Times New Roman"/>
          <w:sz w:val="24"/>
          <w:szCs w:val="24"/>
        </w:rPr>
        <w:t>d to the impetus to manage its</w:t>
      </w:r>
      <w:r w:rsidRPr="00883E1C">
        <w:rPr>
          <w:rFonts w:ascii="Times New Roman" w:hAnsi="Times New Roman"/>
          <w:sz w:val="24"/>
          <w:szCs w:val="24"/>
        </w:rPr>
        <w:t xml:space="preserve"> appearance</w:t>
      </w:r>
      <w:r w:rsidR="00B4556F" w:rsidRPr="00883E1C">
        <w:rPr>
          <w:rFonts w:ascii="Times New Roman" w:hAnsi="Times New Roman"/>
          <w:sz w:val="24"/>
          <w:szCs w:val="24"/>
        </w:rPr>
        <w:t xml:space="preserve"> of effective </w:t>
      </w:r>
      <w:r w:rsidR="002C41A1" w:rsidRPr="00883E1C">
        <w:rPr>
          <w:rFonts w:ascii="Times New Roman" w:hAnsi="Times New Roman"/>
          <w:sz w:val="24"/>
          <w:szCs w:val="24"/>
        </w:rPr>
        <w:t>enforcement and</w:t>
      </w:r>
      <w:r w:rsidRPr="00883E1C">
        <w:rPr>
          <w:rFonts w:ascii="Times New Roman" w:hAnsi="Times New Roman"/>
          <w:sz w:val="24"/>
          <w:szCs w:val="24"/>
        </w:rPr>
        <w:t xml:space="preserve"> ward off government intervention in a variety of ways. </w:t>
      </w:r>
      <w:r w:rsidR="00A80937" w:rsidRPr="00883E1C">
        <w:rPr>
          <w:rFonts w:ascii="Times New Roman" w:hAnsi="Times New Roman"/>
          <w:sz w:val="24"/>
          <w:szCs w:val="24"/>
        </w:rPr>
        <w:t xml:space="preserve">The obvious one is of course to build </w:t>
      </w:r>
      <w:r w:rsidR="00A80937" w:rsidRPr="00883E1C">
        <w:rPr>
          <w:rFonts w:ascii="Times New Roman" w:hAnsi="Times New Roman"/>
          <w:sz w:val="24"/>
          <w:szCs w:val="24"/>
        </w:rPr>
        <w:lastRenderedPageBreak/>
        <w:t xml:space="preserve">a strong relationship with the media. A case in point is the interview </w:t>
      </w:r>
      <w:r w:rsidR="0053395A" w:rsidRPr="00883E1C">
        <w:rPr>
          <w:rFonts w:ascii="Times New Roman" w:hAnsi="Times New Roman"/>
          <w:sz w:val="24"/>
          <w:szCs w:val="24"/>
        </w:rPr>
        <w:t xml:space="preserve">conducted </w:t>
      </w:r>
      <w:r w:rsidR="00A80937" w:rsidRPr="00883E1C">
        <w:rPr>
          <w:rFonts w:ascii="Times New Roman" w:hAnsi="Times New Roman"/>
          <w:sz w:val="24"/>
          <w:szCs w:val="24"/>
        </w:rPr>
        <w:t xml:space="preserve">by </w:t>
      </w:r>
      <w:r w:rsidR="008C350A" w:rsidRPr="00883E1C">
        <w:rPr>
          <w:rFonts w:ascii="Times New Roman" w:hAnsi="Times New Roman"/>
          <w:i/>
          <w:sz w:val="24"/>
          <w:szCs w:val="24"/>
        </w:rPr>
        <w:t>Vancouver Sun’s</w:t>
      </w:r>
      <w:r w:rsidR="008C350A" w:rsidRPr="00883E1C">
        <w:rPr>
          <w:rFonts w:ascii="Times New Roman" w:hAnsi="Times New Roman"/>
          <w:sz w:val="24"/>
          <w:szCs w:val="24"/>
        </w:rPr>
        <w:t xml:space="preserve"> columnist, </w:t>
      </w:r>
      <w:r w:rsidR="00A80937" w:rsidRPr="00883E1C">
        <w:rPr>
          <w:rFonts w:ascii="Times New Roman" w:hAnsi="Times New Roman"/>
          <w:sz w:val="24"/>
          <w:szCs w:val="24"/>
        </w:rPr>
        <w:t xml:space="preserve">David Baines with </w:t>
      </w:r>
      <w:r w:rsidR="00710719" w:rsidRPr="00883E1C">
        <w:rPr>
          <w:rFonts w:ascii="Times New Roman" w:hAnsi="Times New Roman"/>
          <w:sz w:val="24"/>
          <w:szCs w:val="24"/>
        </w:rPr>
        <w:t xml:space="preserve">Funt </w:t>
      </w:r>
      <w:r w:rsidR="00CF292B" w:rsidRPr="00883E1C">
        <w:rPr>
          <w:rFonts w:ascii="Times New Roman" w:hAnsi="Times New Roman"/>
          <w:sz w:val="24"/>
          <w:szCs w:val="24"/>
        </w:rPr>
        <w:t>in</w:t>
      </w:r>
      <w:r w:rsidR="00053380" w:rsidRPr="00883E1C">
        <w:rPr>
          <w:rFonts w:ascii="Times New Roman" w:hAnsi="Times New Roman"/>
          <w:sz w:val="24"/>
          <w:szCs w:val="24"/>
        </w:rPr>
        <w:t xml:space="preserve"> which </w:t>
      </w:r>
      <w:r w:rsidR="00567C1B" w:rsidRPr="00883E1C">
        <w:rPr>
          <w:rFonts w:ascii="Times New Roman" w:hAnsi="Times New Roman"/>
          <w:sz w:val="24"/>
          <w:szCs w:val="24"/>
        </w:rPr>
        <w:t xml:space="preserve">notable </w:t>
      </w:r>
      <w:r w:rsidR="00053380" w:rsidRPr="00883E1C">
        <w:rPr>
          <w:rFonts w:ascii="Times New Roman" w:hAnsi="Times New Roman"/>
          <w:sz w:val="24"/>
          <w:szCs w:val="24"/>
        </w:rPr>
        <w:t>successes were</w:t>
      </w:r>
      <w:r w:rsidR="0053395A" w:rsidRPr="00883E1C">
        <w:rPr>
          <w:rFonts w:ascii="Times New Roman" w:hAnsi="Times New Roman"/>
          <w:sz w:val="24"/>
          <w:szCs w:val="24"/>
        </w:rPr>
        <w:t xml:space="preserve"> highlighted and new initi</w:t>
      </w:r>
      <w:r w:rsidR="00017433" w:rsidRPr="00883E1C">
        <w:rPr>
          <w:rFonts w:ascii="Times New Roman" w:hAnsi="Times New Roman"/>
          <w:sz w:val="24"/>
          <w:szCs w:val="24"/>
        </w:rPr>
        <w:t>ati</w:t>
      </w:r>
      <w:r w:rsidR="00567C1B" w:rsidRPr="00883E1C">
        <w:rPr>
          <w:rFonts w:ascii="Times New Roman" w:hAnsi="Times New Roman"/>
          <w:sz w:val="24"/>
          <w:szCs w:val="24"/>
        </w:rPr>
        <w:t>ves were</w:t>
      </w:r>
      <w:r w:rsidR="0053395A" w:rsidRPr="00883E1C">
        <w:rPr>
          <w:rFonts w:ascii="Times New Roman" w:hAnsi="Times New Roman"/>
          <w:sz w:val="24"/>
          <w:szCs w:val="24"/>
        </w:rPr>
        <w:t xml:space="preserve"> </w:t>
      </w:r>
      <w:r w:rsidR="0033547B" w:rsidRPr="00883E1C">
        <w:rPr>
          <w:rFonts w:ascii="Times New Roman" w:hAnsi="Times New Roman"/>
          <w:sz w:val="24"/>
          <w:szCs w:val="24"/>
        </w:rPr>
        <w:t>discussed (</w:t>
      </w:r>
      <w:r w:rsidR="00CF292B" w:rsidRPr="00883E1C">
        <w:rPr>
          <w:rFonts w:ascii="Times New Roman" w:hAnsi="Times New Roman"/>
          <w:sz w:val="24"/>
          <w:szCs w:val="24"/>
        </w:rPr>
        <w:t xml:space="preserve">see </w:t>
      </w:r>
      <w:r w:rsidR="00A80937" w:rsidRPr="00883E1C">
        <w:rPr>
          <w:rFonts w:ascii="Times New Roman" w:hAnsi="Times New Roman"/>
          <w:sz w:val="24"/>
          <w:szCs w:val="24"/>
        </w:rPr>
        <w:t xml:space="preserve">Baines, 2012). </w:t>
      </w:r>
      <w:r w:rsidR="00567C1B" w:rsidRPr="00883E1C">
        <w:rPr>
          <w:rFonts w:ascii="Times New Roman" w:hAnsi="Times New Roman"/>
          <w:sz w:val="24"/>
          <w:szCs w:val="24"/>
        </w:rPr>
        <w:t>Perhaps more important are the commissioned and annual reports</w:t>
      </w:r>
      <w:r w:rsidR="006F5A6A" w:rsidRPr="00883E1C">
        <w:rPr>
          <w:rFonts w:ascii="Times New Roman" w:hAnsi="Times New Roman"/>
          <w:sz w:val="24"/>
          <w:szCs w:val="24"/>
        </w:rPr>
        <w:t>,</w:t>
      </w:r>
      <w:r w:rsidR="00567C1B" w:rsidRPr="00883E1C">
        <w:rPr>
          <w:rFonts w:ascii="Times New Roman" w:hAnsi="Times New Roman"/>
          <w:sz w:val="24"/>
          <w:szCs w:val="24"/>
        </w:rPr>
        <w:t xml:space="preserve"> w</w:t>
      </w:r>
      <w:r w:rsidR="00124575" w:rsidRPr="00883E1C">
        <w:rPr>
          <w:rFonts w:ascii="Times New Roman" w:hAnsi="Times New Roman"/>
          <w:sz w:val="24"/>
          <w:szCs w:val="24"/>
        </w:rPr>
        <w:t>hich</w:t>
      </w:r>
      <w:r w:rsidR="00567C1B" w:rsidRPr="00883E1C">
        <w:rPr>
          <w:rFonts w:ascii="Times New Roman" w:hAnsi="Times New Roman"/>
          <w:sz w:val="24"/>
          <w:szCs w:val="24"/>
        </w:rPr>
        <w:t xml:space="preserve"> cast the SROs’ enforcement activities in a favourable light and tout them as strong enforcer of market malfeasance. Senior management personnel then used these reports in major conferences </w:t>
      </w:r>
      <w:r w:rsidR="007670F2" w:rsidRPr="00883E1C">
        <w:rPr>
          <w:rFonts w:ascii="Times New Roman" w:hAnsi="Times New Roman"/>
          <w:sz w:val="24"/>
          <w:szCs w:val="24"/>
        </w:rPr>
        <w:t xml:space="preserve">to </w:t>
      </w:r>
      <w:r w:rsidR="00567C1B" w:rsidRPr="00883E1C">
        <w:rPr>
          <w:rFonts w:ascii="Times New Roman" w:hAnsi="Times New Roman"/>
          <w:sz w:val="24"/>
          <w:szCs w:val="24"/>
        </w:rPr>
        <w:t>outline the threats currently facing the markets and the steps they have taken to counter those threats (Williams, 2012: 50</w:t>
      </w:r>
      <w:r w:rsidR="00F1194A" w:rsidRPr="00883E1C">
        <w:rPr>
          <w:rFonts w:ascii="Times New Roman" w:hAnsi="Times New Roman"/>
          <w:sz w:val="24"/>
          <w:szCs w:val="24"/>
        </w:rPr>
        <w:t>; Jenah, 2013: 13</w:t>
      </w:r>
      <w:r w:rsidR="00567C1B" w:rsidRPr="00883E1C">
        <w:rPr>
          <w:rFonts w:ascii="Times New Roman" w:hAnsi="Times New Roman"/>
          <w:sz w:val="24"/>
          <w:szCs w:val="24"/>
        </w:rPr>
        <w:t xml:space="preserve">). </w:t>
      </w:r>
      <w:r w:rsidR="00ED04F2" w:rsidRPr="00883E1C">
        <w:rPr>
          <w:rFonts w:ascii="Times New Roman" w:hAnsi="Times New Roman"/>
          <w:sz w:val="24"/>
          <w:szCs w:val="24"/>
        </w:rPr>
        <w:t>These speeches intended to cast the organization in a favourable light</w:t>
      </w:r>
      <w:r w:rsidR="00CF292B" w:rsidRPr="00883E1C">
        <w:rPr>
          <w:rFonts w:ascii="Times New Roman" w:hAnsi="Times New Roman"/>
          <w:sz w:val="24"/>
          <w:szCs w:val="24"/>
        </w:rPr>
        <w:t xml:space="preserve">, </w:t>
      </w:r>
      <w:r w:rsidR="00ED04F2" w:rsidRPr="00883E1C">
        <w:rPr>
          <w:rFonts w:ascii="Times New Roman" w:hAnsi="Times New Roman"/>
          <w:sz w:val="24"/>
          <w:szCs w:val="24"/>
        </w:rPr>
        <w:t>mask</w:t>
      </w:r>
      <w:r w:rsidR="00CF292B" w:rsidRPr="00883E1C">
        <w:rPr>
          <w:rFonts w:ascii="Times New Roman" w:hAnsi="Times New Roman"/>
          <w:sz w:val="24"/>
          <w:szCs w:val="24"/>
        </w:rPr>
        <w:t>ed</w:t>
      </w:r>
      <w:r w:rsidR="00ED04F2" w:rsidRPr="00883E1C">
        <w:rPr>
          <w:rFonts w:ascii="Times New Roman" w:hAnsi="Times New Roman"/>
          <w:sz w:val="24"/>
          <w:szCs w:val="24"/>
        </w:rPr>
        <w:t xml:space="preserve"> the institutional problems faced by SROs to </w:t>
      </w:r>
      <w:r w:rsidR="004D7458" w:rsidRPr="00883E1C">
        <w:rPr>
          <w:rFonts w:ascii="Times New Roman" w:hAnsi="Times New Roman"/>
          <w:sz w:val="24"/>
          <w:szCs w:val="24"/>
        </w:rPr>
        <w:t xml:space="preserve">protect the integrity of the market and </w:t>
      </w:r>
      <w:r w:rsidR="00197C25" w:rsidRPr="00883E1C">
        <w:rPr>
          <w:rFonts w:ascii="Times New Roman" w:hAnsi="Times New Roman"/>
          <w:sz w:val="24"/>
          <w:szCs w:val="24"/>
        </w:rPr>
        <w:t xml:space="preserve">simultaneously </w:t>
      </w:r>
      <w:r w:rsidR="00ED04F2" w:rsidRPr="00883E1C">
        <w:rPr>
          <w:rFonts w:ascii="Times New Roman" w:hAnsi="Times New Roman"/>
          <w:sz w:val="24"/>
          <w:szCs w:val="24"/>
        </w:rPr>
        <w:t xml:space="preserve">regulate in the public interest. </w:t>
      </w:r>
    </w:p>
    <w:p w:rsidR="00332188" w:rsidRPr="00883E1C" w:rsidRDefault="001B393A" w:rsidP="002A674C">
      <w:pPr>
        <w:pStyle w:val="3BodyFlushLeft"/>
        <w:rPr>
          <w:rFonts w:ascii="Times New Roman" w:hAnsi="Times New Roman"/>
          <w:i/>
          <w:sz w:val="24"/>
          <w:szCs w:val="24"/>
        </w:rPr>
      </w:pPr>
      <w:r w:rsidRPr="00883E1C">
        <w:rPr>
          <w:rFonts w:ascii="Times New Roman" w:hAnsi="Times New Roman"/>
          <w:i/>
          <w:sz w:val="24"/>
          <w:szCs w:val="24"/>
        </w:rPr>
        <w:t xml:space="preserve">6.3. </w:t>
      </w:r>
      <w:r w:rsidR="00F73276" w:rsidRPr="00883E1C">
        <w:rPr>
          <w:rFonts w:ascii="Times New Roman" w:hAnsi="Times New Roman"/>
          <w:i/>
          <w:sz w:val="24"/>
          <w:szCs w:val="24"/>
        </w:rPr>
        <w:t>Self-Regulation and</w:t>
      </w:r>
      <w:r w:rsidR="00332188" w:rsidRPr="00883E1C">
        <w:rPr>
          <w:rFonts w:ascii="Times New Roman" w:hAnsi="Times New Roman"/>
          <w:i/>
          <w:sz w:val="24"/>
          <w:szCs w:val="24"/>
        </w:rPr>
        <w:t xml:space="preserve"> Global Financial Regulation</w:t>
      </w:r>
    </w:p>
    <w:p w:rsidR="00F01EF5" w:rsidRPr="00883E1C" w:rsidRDefault="00DA2F8E" w:rsidP="00092A24">
      <w:pPr>
        <w:ind w:firstLine="720"/>
        <w:rPr>
          <w:rFonts w:ascii="Times New Roman" w:hAnsi="Times New Roman"/>
          <w:sz w:val="24"/>
          <w:szCs w:val="24"/>
        </w:rPr>
      </w:pPr>
      <w:r w:rsidRPr="00883E1C">
        <w:rPr>
          <w:rFonts w:ascii="Times New Roman" w:hAnsi="Times New Roman"/>
          <w:sz w:val="24"/>
          <w:szCs w:val="24"/>
        </w:rPr>
        <w:t xml:space="preserve">The findings presented in this paper have implications for self-regulation in global finance. If one is to measure the effectiveness of </w:t>
      </w:r>
      <w:r w:rsidR="001F0C95" w:rsidRPr="00883E1C">
        <w:rPr>
          <w:rFonts w:ascii="Times New Roman" w:hAnsi="Times New Roman"/>
          <w:sz w:val="24"/>
          <w:szCs w:val="24"/>
        </w:rPr>
        <w:t>self-regulation</w:t>
      </w:r>
      <w:r w:rsidRPr="00883E1C">
        <w:rPr>
          <w:rFonts w:ascii="Times New Roman" w:hAnsi="Times New Roman"/>
          <w:sz w:val="24"/>
          <w:szCs w:val="24"/>
        </w:rPr>
        <w:t xml:space="preserve"> in Canadian finance by using the proportion of fines and non-monetary sanctions imposed on market participants </w:t>
      </w:r>
      <w:r w:rsidR="009F6F59" w:rsidRPr="00883E1C">
        <w:rPr>
          <w:rFonts w:ascii="Times New Roman" w:hAnsi="Times New Roman"/>
          <w:sz w:val="24"/>
          <w:szCs w:val="24"/>
        </w:rPr>
        <w:t xml:space="preserve">as a yardstick of effective regulation, then </w:t>
      </w:r>
      <w:r w:rsidRPr="00883E1C">
        <w:rPr>
          <w:rFonts w:ascii="Times New Roman" w:hAnsi="Times New Roman"/>
          <w:sz w:val="24"/>
          <w:szCs w:val="24"/>
        </w:rPr>
        <w:t xml:space="preserve">it is evident that self-regulation is not working. </w:t>
      </w:r>
      <w:r w:rsidR="00F32C3B" w:rsidRPr="00883E1C">
        <w:rPr>
          <w:rFonts w:ascii="Times New Roman" w:hAnsi="Times New Roman"/>
          <w:sz w:val="24"/>
          <w:szCs w:val="24"/>
        </w:rPr>
        <w:t xml:space="preserve">The securities markets are changing rapidly and the increasing complexity of financial products and practices are having an effect on </w:t>
      </w:r>
      <w:r w:rsidR="004E14B5" w:rsidRPr="00883E1C">
        <w:rPr>
          <w:rFonts w:ascii="Times New Roman" w:hAnsi="Times New Roman"/>
          <w:sz w:val="24"/>
          <w:szCs w:val="24"/>
        </w:rPr>
        <w:t xml:space="preserve">the </w:t>
      </w:r>
      <w:r w:rsidR="00F32C3B" w:rsidRPr="00883E1C">
        <w:rPr>
          <w:rFonts w:ascii="Times New Roman" w:hAnsi="Times New Roman"/>
          <w:sz w:val="24"/>
          <w:szCs w:val="24"/>
        </w:rPr>
        <w:t>SROs’ ability to regulate in the public interest (CFA, 201</w:t>
      </w:r>
      <w:r w:rsidR="0065230B" w:rsidRPr="00883E1C">
        <w:rPr>
          <w:rFonts w:ascii="Times New Roman" w:hAnsi="Times New Roman"/>
          <w:sz w:val="24"/>
          <w:szCs w:val="24"/>
        </w:rPr>
        <w:t>3</w:t>
      </w:r>
      <w:r w:rsidR="00F32C3B" w:rsidRPr="00883E1C">
        <w:rPr>
          <w:rFonts w:ascii="Times New Roman" w:hAnsi="Times New Roman"/>
          <w:sz w:val="24"/>
          <w:szCs w:val="24"/>
        </w:rPr>
        <w:t xml:space="preserve">: 3). </w:t>
      </w:r>
      <w:r w:rsidR="0046778F" w:rsidRPr="00883E1C">
        <w:rPr>
          <w:rFonts w:ascii="Times New Roman" w:hAnsi="Times New Roman"/>
          <w:sz w:val="24"/>
          <w:szCs w:val="24"/>
        </w:rPr>
        <w:t>Part of this changing infra</w:t>
      </w:r>
      <w:r w:rsidR="00677188" w:rsidRPr="00883E1C">
        <w:rPr>
          <w:rFonts w:ascii="Times New Roman" w:hAnsi="Times New Roman"/>
          <w:sz w:val="24"/>
          <w:szCs w:val="24"/>
        </w:rPr>
        <w:t>stru</w:t>
      </w:r>
      <w:r w:rsidR="0046778F" w:rsidRPr="00883E1C">
        <w:rPr>
          <w:rFonts w:ascii="Times New Roman" w:hAnsi="Times New Roman"/>
          <w:sz w:val="24"/>
          <w:szCs w:val="24"/>
        </w:rPr>
        <w:t xml:space="preserve">cture relates to </w:t>
      </w:r>
      <w:r w:rsidR="00677188" w:rsidRPr="00883E1C">
        <w:rPr>
          <w:rFonts w:ascii="Times New Roman" w:hAnsi="Times New Roman"/>
          <w:sz w:val="24"/>
          <w:szCs w:val="24"/>
        </w:rPr>
        <w:t>the advancement</w:t>
      </w:r>
      <w:r w:rsidR="00B820D0" w:rsidRPr="00883E1C">
        <w:rPr>
          <w:rFonts w:ascii="Times New Roman" w:hAnsi="Times New Roman"/>
          <w:sz w:val="24"/>
          <w:szCs w:val="24"/>
        </w:rPr>
        <w:t xml:space="preserve"> of technology</w:t>
      </w:r>
      <w:r w:rsidR="00677188" w:rsidRPr="00883E1C">
        <w:rPr>
          <w:rFonts w:ascii="Times New Roman" w:hAnsi="Times New Roman"/>
          <w:sz w:val="24"/>
          <w:szCs w:val="24"/>
        </w:rPr>
        <w:t>, which has</w:t>
      </w:r>
      <w:r w:rsidR="00B820D0" w:rsidRPr="00883E1C">
        <w:rPr>
          <w:rFonts w:ascii="Times New Roman" w:hAnsi="Times New Roman"/>
          <w:sz w:val="24"/>
          <w:szCs w:val="24"/>
        </w:rPr>
        <w:t xml:space="preserve"> caused the securities markets to become more electronic (CFA, 2007: 3). The ac</w:t>
      </w:r>
      <w:r w:rsidR="00677188" w:rsidRPr="00883E1C">
        <w:rPr>
          <w:rFonts w:ascii="Times New Roman" w:hAnsi="Times New Roman"/>
          <w:sz w:val="24"/>
          <w:szCs w:val="24"/>
        </w:rPr>
        <w:t xml:space="preserve">cess to high-speed </w:t>
      </w:r>
      <w:r w:rsidR="00B820D0" w:rsidRPr="00883E1C">
        <w:rPr>
          <w:rFonts w:ascii="Times New Roman" w:hAnsi="Times New Roman"/>
          <w:sz w:val="24"/>
          <w:szCs w:val="24"/>
        </w:rPr>
        <w:t>internet has transformed the availability of</w:t>
      </w:r>
      <w:r w:rsidR="00677188" w:rsidRPr="00883E1C">
        <w:rPr>
          <w:rFonts w:ascii="Times New Roman" w:hAnsi="Times New Roman"/>
          <w:sz w:val="24"/>
          <w:szCs w:val="24"/>
        </w:rPr>
        <w:t xml:space="preserve"> and nature of financial products sold in the markets. This coupled with the low-cost global transfer of</w:t>
      </w:r>
      <w:r w:rsidR="000B1245" w:rsidRPr="00883E1C">
        <w:rPr>
          <w:rFonts w:ascii="Times New Roman" w:hAnsi="Times New Roman"/>
          <w:sz w:val="24"/>
          <w:szCs w:val="24"/>
        </w:rPr>
        <w:t xml:space="preserve"> complex financial</w:t>
      </w:r>
      <w:r w:rsidR="00677188" w:rsidRPr="00883E1C">
        <w:rPr>
          <w:rFonts w:ascii="Times New Roman" w:hAnsi="Times New Roman"/>
          <w:sz w:val="24"/>
          <w:szCs w:val="24"/>
        </w:rPr>
        <w:t xml:space="preserve"> instruments</w:t>
      </w:r>
      <w:r w:rsidR="00C2686B" w:rsidRPr="00883E1C">
        <w:rPr>
          <w:rFonts w:ascii="Times New Roman" w:hAnsi="Times New Roman"/>
          <w:sz w:val="24"/>
          <w:szCs w:val="24"/>
        </w:rPr>
        <w:t>,</w:t>
      </w:r>
      <w:r w:rsidR="00677188" w:rsidRPr="00883E1C">
        <w:rPr>
          <w:rFonts w:ascii="Times New Roman" w:hAnsi="Times New Roman"/>
          <w:sz w:val="24"/>
          <w:szCs w:val="24"/>
        </w:rPr>
        <w:t xml:space="preserve"> ha</w:t>
      </w:r>
      <w:r w:rsidR="00C2686B" w:rsidRPr="00883E1C">
        <w:rPr>
          <w:rFonts w:ascii="Times New Roman" w:hAnsi="Times New Roman"/>
          <w:sz w:val="24"/>
          <w:szCs w:val="24"/>
        </w:rPr>
        <w:t>s</w:t>
      </w:r>
      <w:r w:rsidR="00677188" w:rsidRPr="00883E1C">
        <w:rPr>
          <w:rFonts w:ascii="Times New Roman" w:hAnsi="Times New Roman"/>
          <w:sz w:val="24"/>
          <w:szCs w:val="24"/>
        </w:rPr>
        <w:t xml:space="preserve"> brought about changes that are straining the capacity of </w:t>
      </w:r>
      <w:r w:rsidR="000B1245" w:rsidRPr="00883E1C">
        <w:rPr>
          <w:rFonts w:ascii="Times New Roman" w:hAnsi="Times New Roman"/>
          <w:sz w:val="24"/>
          <w:szCs w:val="24"/>
        </w:rPr>
        <w:t xml:space="preserve">SROs to </w:t>
      </w:r>
      <w:r w:rsidR="00561720" w:rsidRPr="00883E1C">
        <w:rPr>
          <w:rFonts w:ascii="Times New Roman" w:hAnsi="Times New Roman"/>
          <w:sz w:val="24"/>
          <w:szCs w:val="24"/>
        </w:rPr>
        <w:t>regulate these products in sophisticated and well-integrated securities market</w:t>
      </w:r>
      <w:r w:rsidR="00C2686B" w:rsidRPr="00883E1C">
        <w:rPr>
          <w:rFonts w:ascii="Times New Roman" w:hAnsi="Times New Roman"/>
          <w:sz w:val="24"/>
          <w:szCs w:val="24"/>
        </w:rPr>
        <w:t>s</w:t>
      </w:r>
      <w:r w:rsidR="00561720" w:rsidRPr="00883E1C">
        <w:rPr>
          <w:rFonts w:ascii="Times New Roman" w:hAnsi="Times New Roman"/>
          <w:sz w:val="24"/>
          <w:szCs w:val="24"/>
        </w:rPr>
        <w:t xml:space="preserve"> </w:t>
      </w:r>
      <w:r w:rsidR="00677188" w:rsidRPr="00883E1C">
        <w:rPr>
          <w:rFonts w:ascii="Times New Roman" w:hAnsi="Times New Roman"/>
          <w:sz w:val="24"/>
          <w:szCs w:val="24"/>
        </w:rPr>
        <w:t xml:space="preserve"> (</w:t>
      </w:r>
      <w:r w:rsidR="00415845" w:rsidRPr="00883E1C">
        <w:rPr>
          <w:rFonts w:ascii="Times New Roman" w:hAnsi="Times New Roman"/>
          <w:sz w:val="24"/>
          <w:szCs w:val="24"/>
        </w:rPr>
        <w:t xml:space="preserve">Williams, 2012, 2013). </w:t>
      </w:r>
    </w:p>
    <w:p w:rsidR="00092A24" w:rsidRPr="00883E1C" w:rsidRDefault="00F01EF5" w:rsidP="00092A24">
      <w:pPr>
        <w:ind w:firstLine="720"/>
        <w:rPr>
          <w:rFonts w:ascii="Times New Roman" w:hAnsi="Times New Roman"/>
          <w:sz w:val="24"/>
          <w:szCs w:val="24"/>
        </w:rPr>
      </w:pPr>
      <w:r w:rsidRPr="00883E1C">
        <w:rPr>
          <w:rFonts w:ascii="Times New Roman" w:hAnsi="Times New Roman"/>
          <w:sz w:val="24"/>
          <w:szCs w:val="24"/>
        </w:rPr>
        <w:t>One of the financial</w:t>
      </w:r>
      <w:r w:rsidR="00415845" w:rsidRPr="00883E1C">
        <w:rPr>
          <w:rFonts w:ascii="Times New Roman" w:hAnsi="Times New Roman"/>
          <w:sz w:val="24"/>
          <w:szCs w:val="24"/>
        </w:rPr>
        <w:t xml:space="preserve"> instruments </w:t>
      </w:r>
      <w:r w:rsidRPr="00883E1C">
        <w:rPr>
          <w:rFonts w:ascii="Times New Roman" w:hAnsi="Times New Roman"/>
          <w:sz w:val="24"/>
          <w:szCs w:val="24"/>
        </w:rPr>
        <w:t>that caused strain</w:t>
      </w:r>
      <w:r w:rsidR="00415845" w:rsidRPr="00883E1C">
        <w:rPr>
          <w:rFonts w:ascii="Times New Roman" w:hAnsi="Times New Roman"/>
          <w:sz w:val="24"/>
          <w:szCs w:val="24"/>
        </w:rPr>
        <w:t xml:space="preserve"> on self-regulation to regulate </w:t>
      </w:r>
      <w:r w:rsidR="00AB4F43" w:rsidRPr="00883E1C">
        <w:rPr>
          <w:rFonts w:ascii="Times New Roman" w:hAnsi="Times New Roman"/>
          <w:sz w:val="24"/>
          <w:szCs w:val="24"/>
        </w:rPr>
        <w:lastRenderedPageBreak/>
        <w:t>effectively</w:t>
      </w:r>
      <w:r w:rsidR="00415845" w:rsidRPr="00883E1C">
        <w:rPr>
          <w:rFonts w:ascii="Times New Roman" w:hAnsi="Times New Roman"/>
          <w:sz w:val="24"/>
          <w:szCs w:val="24"/>
        </w:rPr>
        <w:t xml:space="preserve"> is asset-back</w:t>
      </w:r>
      <w:r w:rsidR="00520FC7" w:rsidRPr="00883E1C">
        <w:rPr>
          <w:rFonts w:ascii="Times New Roman" w:hAnsi="Times New Roman"/>
          <w:sz w:val="24"/>
          <w:szCs w:val="24"/>
        </w:rPr>
        <w:t>ed</w:t>
      </w:r>
      <w:r w:rsidR="00415845" w:rsidRPr="00883E1C">
        <w:rPr>
          <w:rFonts w:ascii="Times New Roman" w:hAnsi="Times New Roman"/>
          <w:sz w:val="24"/>
          <w:szCs w:val="24"/>
        </w:rPr>
        <w:t xml:space="preserve"> commercial paper</w:t>
      </w:r>
      <w:r w:rsidR="00AB4F43" w:rsidRPr="00883E1C">
        <w:rPr>
          <w:rFonts w:ascii="Times New Roman" w:hAnsi="Times New Roman"/>
          <w:sz w:val="24"/>
          <w:szCs w:val="24"/>
        </w:rPr>
        <w:t>s</w:t>
      </w:r>
      <w:r w:rsidR="00415845" w:rsidRPr="00883E1C">
        <w:rPr>
          <w:rFonts w:ascii="Times New Roman" w:hAnsi="Times New Roman"/>
          <w:sz w:val="24"/>
          <w:szCs w:val="24"/>
        </w:rPr>
        <w:t xml:space="preserve"> (ABCP</w:t>
      </w:r>
      <w:r w:rsidR="00AB4F43" w:rsidRPr="00883E1C">
        <w:rPr>
          <w:rFonts w:ascii="Times New Roman" w:hAnsi="Times New Roman"/>
          <w:sz w:val="24"/>
          <w:szCs w:val="24"/>
        </w:rPr>
        <w:t>s</w:t>
      </w:r>
      <w:r w:rsidR="00415845" w:rsidRPr="00883E1C">
        <w:rPr>
          <w:rFonts w:ascii="Times New Roman" w:hAnsi="Times New Roman"/>
          <w:sz w:val="24"/>
          <w:szCs w:val="24"/>
        </w:rPr>
        <w:t xml:space="preserve">). Indeed, Canada’s </w:t>
      </w:r>
      <w:r w:rsidR="00AB4F43" w:rsidRPr="00883E1C">
        <w:rPr>
          <w:rFonts w:ascii="Times New Roman" w:hAnsi="Times New Roman"/>
          <w:sz w:val="24"/>
          <w:szCs w:val="24"/>
        </w:rPr>
        <w:t>ABCPs’ crisis</w:t>
      </w:r>
      <w:r w:rsidR="00415845" w:rsidRPr="00883E1C">
        <w:rPr>
          <w:rFonts w:ascii="Times New Roman" w:hAnsi="Times New Roman"/>
          <w:sz w:val="24"/>
          <w:szCs w:val="24"/>
        </w:rPr>
        <w:t xml:space="preserve"> in the period leading up to the global financial meltdown</w:t>
      </w:r>
      <w:r w:rsidR="00520FC7" w:rsidRPr="00883E1C">
        <w:rPr>
          <w:rFonts w:ascii="Times New Roman" w:hAnsi="Times New Roman"/>
          <w:sz w:val="24"/>
          <w:szCs w:val="24"/>
        </w:rPr>
        <w:t>,</w:t>
      </w:r>
      <w:r w:rsidR="00415845" w:rsidRPr="00883E1C">
        <w:rPr>
          <w:rFonts w:ascii="Times New Roman" w:hAnsi="Times New Roman"/>
          <w:sz w:val="24"/>
          <w:szCs w:val="24"/>
        </w:rPr>
        <w:t xml:space="preserve"> mirrored the practices in the U.S. sub-prime mortgage fiasco, the events surrounding</w:t>
      </w:r>
      <w:r w:rsidR="001F0C95" w:rsidRPr="00883E1C">
        <w:rPr>
          <w:rFonts w:ascii="Times New Roman" w:hAnsi="Times New Roman"/>
          <w:sz w:val="24"/>
          <w:szCs w:val="24"/>
        </w:rPr>
        <w:t xml:space="preserve"> the credit risk</w:t>
      </w:r>
      <w:r w:rsidRPr="00883E1C">
        <w:rPr>
          <w:rFonts w:ascii="Times New Roman" w:hAnsi="Times New Roman"/>
          <w:sz w:val="24"/>
          <w:szCs w:val="24"/>
        </w:rPr>
        <w:t>s</w:t>
      </w:r>
      <w:r w:rsidR="001F0C95" w:rsidRPr="00883E1C">
        <w:rPr>
          <w:rFonts w:ascii="Times New Roman" w:hAnsi="Times New Roman"/>
          <w:sz w:val="24"/>
          <w:szCs w:val="24"/>
        </w:rPr>
        <w:t xml:space="preserve"> associated </w:t>
      </w:r>
      <w:r w:rsidR="00B42FDC" w:rsidRPr="00883E1C">
        <w:rPr>
          <w:rFonts w:ascii="Times New Roman" w:hAnsi="Times New Roman"/>
          <w:sz w:val="24"/>
          <w:szCs w:val="24"/>
        </w:rPr>
        <w:t>with Northern</w:t>
      </w:r>
      <w:r w:rsidR="00415845" w:rsidRPr="00883E1C">
        <w:rPr>
          <w:rFonts w:ascii="Times New Roman" w:hAnsi="Times New Roman"/>
          <w:sz w:val="24"/>
          <w:szCs w:val="24"/>
        </w:rPr>
        <w:t xml:space="preserve"> Rock in the U.K.</w:t>
      </w:r>
      <w:r w:rsidR="00520FC7" w:rsidRPr="00883E1C">
        <w:rPr>
          <w:rFonts w:ascii="Times New Roman" w:hAnsi="Times New Roman"/>
          <w:sz w:val="24"/>
          <w:szCs w:val="24"/>
        </w:rPr>
        <w:t>,</w:t>
      </w:r>
      <w:r w:rsidR="00415845" w:rsidRPr="00883E1C">
        <w:rPr>
          <w:rFonts w:ascii="Times New Roman" w:hAnsi="Times New Roman"/>
          <w:sz w:val="24"/>
          <w:szCs w:val="24"/>
        </w:rPr>
        <w:t xml:space="preserve"> and the collapse of the Royal Bank of Scotland – also in the UK. Regulators – both SROs and of the state -- wiped the</w:t>
      </w:r>
      <w:r w:rsidR="00520FC7" w:rsidRPr="00883E1C">
        <w:rPr>
          <w:rFonts w:ascii="Times New Roman" w:hAnsi="Times New Roman"/>
          <w:sz w:val="24"/>
          <w:szCs w:val="24"/>
        </w:rPr>
        <w:t>ir</w:t>
      </w:r>
      <w:r w:rsidR="00415845" w:rsidRPr="00883E1C">
        <w:rPr>
          <w:rFonts w:ascii="Times New Roman" w:hAnsi="Times New Roman"/>
          <w:sz w:val="24"/>
          <w:szCs w:val="24"/>
        </w:rPr>
        <w:t xml:space="preserve"> hands of these issues</w:t>
      </w:r>
      <w:r w:rsidR="00520FC7" w:rsidRPr="00883E1C">
        <w:rPr>
          <w:rFonts w:ascii="Times New Roman" w:hAnsi="Times New Roman"/>
          <w:sz w:val="24"/>
          <w:szCs w:val="24"/>
        </w:rPr>
        <w:t>,</w:t>
      </w:r>
      <w:r w:rsidR="00415845" w:rsidRPr="00883E1C">
        <w:rPr>
          <w:rFonts w:ascii="Times New Roman" w:hAnsi="Times New Roman"/>
          <w:sz w:val="24"/>
          <w:szCs w:val="24"/>
        </w:rPr>
        <w:t xml:space="preserve"> until it was too late.</w:t>
      </w:r>
      <w:r w:rsidR="00AB4F43" w:rsidRPr="00883E1C">
        <w:rPr>
          <w:rFonts w:ascii="Times New Roman" w:hAnsi="Times New Roman"/>
          <w:sz w:val="24"/>
          <w:szCs w:val="24"/>
        </w:rPr>
        <w:t xml:space="preserve"> In Canada, the ABCP</w:t>
      </w:r>
      <w:r w:rsidRPr="00883E1C">
        <w:rPr>
          <w:rFonts w:ascii="Times New Roman" w:hAnsi="Times New Roman"/>
          <w:sz w:val="24"/>
          <w:szCs w:val="24"/>
        </w:rPr>
        <w:t xml:space="preserve">s were packaged as securities and sold off to investors by investment firms. In the U.S., the sale of sub-prime derivatives was blamed on a mixture of self-regulation and the dispersion of market regulation across various financial intermediaries. In the U.K., the high risk lending and the balkanization of the European market resulted in a sovereign debt crisis that sent shock waves in the Eurozone. </w:t>
      </w:r>
      <w:r w:rsidR="00415845" w:rsidRPr="00883E1C">
        <w:rPr>
          <w:rFonts w:ascii="Times New Roman" w:hAnsi="Times New Roman"/>
          <w:sz w:val="24"/>
          <w:szCs w:val="24"/>
        </w:rPr>
        <w:t xml:space="preserve"> All national oversight authorities, by allowing the sale of sub-prime assets globally, were clearly shirking. They all relied on self-regulation</w:t>
      </w:r>
      <w:r w:rsidR="00A02806" w:rsidRPr="00883E1C">
        <w:rPr>
          <w:rFonts w:ascii="Times New Roman" w:hAnsi="Times New Roman"/>
          <w:sz w:val="24"/>
          <w:szCs w:val="24"/>
        </w:rPr>
        <w:t xml:space="preserve"> where the</w:t>
      </w:r>
      <w:r w:rsidR="00AB4F43" w:rsidRPr="00883E1C">
        <w:rPr>
          <w:rFonts w:ascii="Times New Roman" w:hAnsi="Times New Roman"/>
          <w:sz w:val="24"/>
          <w:szCs w:val="24"/>
        </w:rPr>
        <w:t xml:space="preserve"> governance mechanisms</w:t>
      </w:r>
      <w:r w:rsidR="00A02806" w:rsidRPr="00883E1C">
        <w:rPr>
          <w:rFonts w:ascii="Times New Roman" w:hAnsi="Times New Roman"/>
          <w:sz w:val="24"/>
          <w:szCs w:val="24"/>
        </w:rPr>
        <w:t xml:space="preserve"> were</w:t>
      </w:r>
      <w:r w:rsidR="00561720" w:rsidRPr="00883E1C">
        <w:rPr>
          <w:rFonts w:ascii="Times New Roman" w:hAnsi="Times New Roman"/>
          <w:sz w:val="24"/>
          <w:szCs w:val="24"/>
        </w:rPr>
        <w:t xml:space="preserve"> still reflective of older market structures, and have yet to build and staff their operations with the expertise needed to monitor complex financial instruments (CFA, 2007, 201</w:t>
      </w:r>
      <w:r w:rsidR="0065230B" w:rsidRPr="00883E1C">
        <w:rPr>
          <w:rFonts w:ascii="Times New Roman" w:hAnsi="Times New Roman"/>
          <w:sz w:val="24"/>
          <w:szCs w:val="24"/>
        </w:rPr>
        <w:t>3</w:t>
      </w:r>
      <w:r w:rsidR="00BE5CEF" w:rsidRPr="00883E1C">
        <w:rPr>
          <w:rFonts w:ascii="Times New Roman" w:hAnsi="Times New Roman"/>
          <w:sz w:val="24"/>
          <w:szCs w:val="24"/>
        </w:rPr>
        <w:t xml:space="preserve">; Semmler  &amp; Young, 2010;  </w:t>
      </w:r>
      <w:r w:rsidR="00561720" w:rsidRPr="00883E1C">
        <w:rPr>
          <w:rFonts w:ascii="Times New Roman" w:hAnsi="Times New Roman"/>
          <w:sz w:val="24"/>
          <w:szCs w:val="24"/>
        </w:rPr>
        <w:t xml:space="preserve">Williams, 2013). </w:t>
      </w:r>
    </w:p>
    <w:p w:rsidR="00C72B5D" w:rsidRPr="00883E1C" w:rsidRDefault="000D63B9" w:rsidP="00092A24">
      <w:pPr>
        <w:ind w:firstLine="720"/>
        <w:rPr>
          <w:rFonts w:ascii="Times New Roman" w:hAnsi="Times New Roman"/>
          <w:sz w:val="24"/>
          <w:szCs w:val="24"/>
        </w:rPr>
      </w:pPr>
      <w:r w:rsidRPr="00883E1C">
        <w:rPr>
          <w:rFonts w:ascii="Times New Roman" w:hAnsi="Times New Roman"/>
          <w:sz w:val="24"/>
          <w:szCs w:val="24"/>
        </w:rPr>
        <w:t>Canada’s financial sector has long been subjected to a fragmented regime</w:t>
      </w:r>
      <w:r w:rsidR="00520FC7" w:rsidRPr="00883E1C">
        <w:rPr>
          <w:rFonts w:ascii="Times New Roman" w:hAnsi="Times New Roman"/>
          <w:sz w:val="24"/>
          <w:szCs w:val="24"/>
        </w:rPr>
        <w:t>,</w:t>
      </w:r>
      <w:r w:rsidRPr="00883E1C">
        <w:rPr>
          <w:rFonts w:ascii="Times New Roman" w:hAnsi="Times New Roman"/>
          <w:sz w:val="24"/>
          <w:szCs w:val="24"/>
        </w:rPr>
        <w:t xml:space="preserve"> in part due to the fractured relationship between the provincial securities regulators, </w:t>
      </w:r>
      <w:r w:rsidR="002A6EBF" w:rsidRPr="00883E1C">
        <w:rPr>
          <w:rFonts w:ascii="Times New Roman" w:hAnsi="Times New Roman"/>
          <w:sz w:val="24"/>
          <w:szCs w:val="24"/>
        </w:rPr>
        <w:t xml:space="preserve">the </w:t>
      </w:r>
      <w:r w:rsidRPr="00883E1C">
        <w:rPr>
          <w:rFonts w:ascii="Times New Roman" w:hAnsi="Times New Roman"/>
          <w:sz w:val="24"/>
          <w:szCs w:val="24"/>
        </w:rPr>
        <w:t>SROs, and</w:t>
      </w:r>
      <w:r w:rsidR="002A6EBF" w:rsidRPr="00883E1C">
        <w:rPr>
          <w:rFonts w:ascii="Times New Roman" w:hAnsi="Times New Roman"/>
          <w:sz w:val="24"/>
          <w:szCs w:val="24"/>
        </w:rPr>
        <w:t xml:space="preserve"> the </w:t>
      </w:r>
      <w:r w:rsidR="00B81E40" w:rsidRPr="00883E1C">
        <w:rPr>
          <w:rFonts w:ascii="Times New Roman" w:hAnsi="Times New Roman"/>
          <w:sz w:val="24"/>
          <w:szCs w:val="24"/>
        </w:rPr>
        <w:t>police (</w:t>
      </w:r>
      <w:r w:rsidR="00AD082D" w:rsidRPr="00883E1C">
        <w:rPr>
          <w:rFonts w:ascii="Times New Roman" w:hAnsi="Times New Roman"/>
          <w:sz w:val="24"/>
          <w:szCs w:val="24"/>
        </w:rPr>
        <w:t>Bhattacharya, 2006)</w:t>
      </w:r>
      <w:r w:rsidR="006A7AE3" w:rsidRPr="00883E1C">
        <w:rPr>
          <w:rFonts w:ascii="Times New Roman" w:hAnsi="Times New Roman"/>
          <w:sz w:val="24"/>
          <w:szCs w:val="24"/>
        </w:rPr>
        <w:t xml:space="preserve">. </w:t>
      </w:r>
      <w:r w:rsidR="00BB32BE" w:rsidRPr="00883E1C">
        <w:rPr>
          <w:rFonts w:ascii="Times New Roman" w:hAnsi="Times New Roman"/>
          <w:sz w:val="24"/>
          <w:szCs w:val="24"/>
        </w:rPr>
        <w:t>In countries such as the U.S. and the U.K.</w:t>
      </w:r>
      <w:r w:rsidR="00520FC7" w:rsidRPr="00883E1C">
        <w:rPr>
          <w:rFonts w:ascii="Times New Roman" w:hAnsi="Times New Roman"/>
          <w:sz w:val="24"/>
          <w:szCs w:val="24"/>
        </w:rPr>
        <w:t>,</w:t>
      </w:r>
      <w:r w:rsidR="00BB32BE" w:rsidRPr="00883E1C">
        <w:rPr>
          <w:rFonts w:ascii="Times New Roman" w:hAnsi="Times New Roman"/>
          <w:sz w:val="24"/>
          <w:szCs w:val="24"/>
        </w:rPr>
        <w:t xml:space="preserve"> market </w:t>
      </w:r>
      <w:r w:rsidR="002A6EBF" w:rsidRPr="00883E1C">
        <w:rPr>
          <w:rFonts w:ascii="Times New Roman" w:hAnsi="Times New Roman"/>
          <w:sz w:val="24"/>
          <w:szCs w:val="24"/>
        </w:rPr>
        <w:t>participants’</w:t>
      </w:r>
      <w:r w:rsidR="00BB32BE" w:rsidRPr="00883E1C">
        <w:rPr>
          <w:rFonts w:ascii="Times New Roman" w:hAnsi="Times New Roman"/>
          <w:sz w:val="24"/>
          <w:szCs w:val="24"/>
        </w:rPr>
        <w:t xml:space="preserve"> report to a central body as in the Securities and Exchange Commission (SEC) and the Financial Conduct Authority (FCA). </w:t>
      </w:r>
      <w:r w:rsidR="002A6EBF" w:rsidRPr="00883E1C">
        <w:rPr>
          <w:rFonts w:ascii="Times New Roman" w:hAnsi="Times New Roman"/>
          <w:sz w:val="24"/>
          <w:szCs w:val="24"/>
        </w:rPr>
        <w:t xml:space="preserve">In Canada however, financial firms such as brokerage houses, </w:t>
      </w:r>
      <w:r w:rsidR="00520FC7" w:rsidRPr="00883E1C">
        <w:rPr>
          <w:rFonts w:ascii="Times New Roman" w:hAnsi="Times New Roman"/>
          <w:sz w:val="24"/>
          <w:szCs w:val="24"/>
        </w:rPr>
        <w:t xml:space="preserve">as well as </w:t>
      </w:r>
      <w:r w:rsidR="002A6EBF" w:rsidRPr="00883E1C">
        <w:rPr>
          <w:rFonts w:ascii="Times New Roman" w:hAnsi="Times New Roman"/>
          <w:sz w:val="24"/>
          <w:szCs w:val="24"/>
        </w:rPr>
        <w:t xml:space="preserve">dealer members who trade in the exempt </w:t>
      </w:r>
      <w:r w:rsidR="00B81E40" w:rsidRPr="00883E1C">
        <w:rPr>
          <w:rFonts w:ascii="Times New Roman" w:hAnsi="Times New Roman"/>
          <w:sz w:val="24"/>
          <w:szCs w:val="24"/>
        </w:rPr>
        <w:t>markets</w:t>
      </w:r>
      <w:r w:rsidR="002A6EBF" w:rsidRPr="00883E1C">
        <w:rPr>
          <w:rFonts w:ascii="Times New Roman" w:hAnsi="Times New Roman"/>
          <w:sz w:val="24"/>
          <w:szCs w:val="24"/>
        </w:rPr>
        <w:t xml:space="preserve"> and their employees</w:t>
      </w:r>
      <w:r w:rsidR="00520FC7" w:rsidRPr="00883E1C">
        <w:rPr>
          <w:rFonts w:ascii="Times New Roman" w:hAnsi="Times New Roman"/>
          <w:sz w:val="24"/>
          <w:szCs w:val="24"/>
        </w:rPr>
        <w:t>,</w:t>
      </w:r>
      <w:r w:rsidR="002A6EBF" w:rsidRPr="00883E1C">
        <w:rPr>
          <w:rFonts w:ascii="Times New Roman" w:hAnsi="Times New Roman"/>
          <w:sz w:val="24"/>
          <w:szCs w:val="24"/>
        </w:rPr>
        <w:t xml:space="preserve"> must report to the SROs and the provincial securities commissions, both of whom have overlapping jurisdiction</w:t>
      </w:r>
      <w:r w:rsidR="00520FC7" w:rsidRPr="00883E1C">
        <w:rPr>
          <w:rFonts w:ascii="Times New Roman" w:hAnsi="Times New Roman"/>
          <w:sz w:val="24"/>
          <w:szCs w:val="24"/>
        </w:rPr>
        <w:t>s</w:t>
      </w:r>
      <w:r w:rsidR="002A6EBF" w:rsidRPr="00883E1C">
        <w:rPr>
          <w:rFonts w:ascii="Times New Roman" w:hAnsi="Times New Roman"/>
          <w:sz w:val="24"/>
          <w:szCs w:val="24"/>
        </w:rPr>
        <w:t xml:space="preserve"> over these market </w:t>
      </w:r>
      <w:r w:rsidR="00B81E40" w:rsidRPr="00883E1C">
        <w:rPr>
          <w:rFonts w:ascii="Times New Roman" w:hAnsi="Times New Roman"/>
          <w:sz w:val="24"/>
          <w:szCs w:val="24"/>
        </w:rPr>
        <w:t>players (</w:t>
      </w:r>
      <w:r w:rsidR="002A6EBF" w:rsidRPr="00883E1C">
        <w:rPr>
          <w:rFonts w:ascii="Times New Roman" w:hAnsi="Times New Roman"/>
          <w:sz w:val="24"/>
          <w:szCs w:val="24"/>
        </w:rPr>
        <w:t xml:space="preserve">Williams, 2012). </w:t>
      </w:r>
      <w:r w:rsidR="00CF5AF1" w:rsidRPr="00883E1C">
        <w:rPr>
          <w:rFonts w:ascii="Times New Roman" w:hAnsi="Times New Roman"/>
          <w:sz w:val="24"/>
          <w:szCs w:val="24"/>
        </w:rPr>
        <w:t>This overlap</w:t>
      </w:r>
      <w:r w:rsidR="00B81E40" w:rsidRPr="00883E1C">
        <w:rPr>
          <w:rFonts w:ascii="Times New Roman" w:hAnsi="Times New Roman"/>
          <w:sz w:val="24"/>
          <w:szCs w:val="24"/>
        </w:rPr>
        <w:t xml:space="preserve"> decreases the efficiency of Canadian regulators to police market participants, and opens the door for regulatory arbitrage. </w:t>
      </w:r>
      <w:r w:rsidR="00CF5AF1" w:rsidRPr="00883E1C">
        <w:rPr>
          <w:rFonts w:ascii="Times New Roman" w:hAnsi="Times New Roman"/>
          <w:sz w:val="24"/>
          <w:szCs w:val="24"/>
        </w:rPr>
        <w:t xml:space="preserve">The lack of transparency </w:t>
      </w:r>
      <w:r w:rsidR="00CF5AF1" w:rsidRPr="00883E1C">
        <w:rPr>
          <w:rFonts w:ascii="Times New Roman" w:hAnsi="Times New Roman"/>
          <w:sz w:val="24"/>
          <w:szCs w:val="24"/>
        </w:rPr>
        <w:lastRenderedPageBreak/>
        <w:t xml:space="preserve">as to who bears the ultimate responsibility of regulatory oversight over market players is also experienced in the </w:t>
      </w:r>
      <w:r w:rsidR="00F73276" w:rsidRPr="00883E1C">
        <w:rPr>
          <w:rFonts w:ascii="Times New Roman" w:hAnsi="Times New Roman"/>
          <w:sz w:val="24"/>
          <w:szCs w:val="24"/>
        </w:rPr>
        <w:t>far East</w:t>
      </w:r>
      <w:r w:rsidR="00CF5AF1" w:rsidRPr="00883E1C">
        <w:rPr>
          <w:rFonts w:ascii="Times New Roman" w:hAnsi="Times New Roman"/>
          <w:sz w:val="24"/>
          <w:szCs w:val="24"/>
        </w:rPr>
        <w:t xml:space="preserve">. </w:t>
      </w:r>
      <w:r w:rsidR="00B81E40" w:rsidRPr="00883E1C">
        <w:rPr>
          <w:rFonts w:ascii="Times New Roman" w:hAnsi="Times New Roman"/>
          <w:sz w:val="24"/>
          <w:szCs w:val="24"/>
        </w:rPr>
        <w:t xml:space="preserve">Hong Kong </w:t>
      </w:r>
      <w:r w:rsidR="00CF5AF1" w:rsidRPr="00883E1C">
        <w:rPr>
          <w:rFonts w:ascii="Times New Roman" w:hAnsi="Times New Roman"/>
          <w:sz w:val="24"/>
          <w:szCs w:val="24"/>
        </w:rPr>
        <w:t>for example</w:t>
      </w:r>
      <w:r w:rsidR="00520FC7" w:rsidRPr="00883E1C">
        <w:rPr>
          <w:rFonts w:ascii="Times New Roman" w:hAnsi="Times New Roman"/>
          <w:sz w:val="24"/>
          <w:szCs w:val="24"/>
        </w:rPr>
        <w:t>,</w:t>
      </w:r>
      <w:r w:rsidR="00CF5AF1" w:rsidRPr="00883E1C">
        <w:rPr>
          <w:rFonts w:ascii="Times New Roman" w:hAnsi="Times New Roman"/>
          <w:sz w:val="24"/>
          <w:szCs w:val="24"/>
        </w:rPr>
        <w:t xml:space="preserve"> </w:t>
      </w:r>
      <w:r w:rsidR="00B81E40" w:rsidRPr="00883E1C">
        <w:rPr>
          <w:rFonts w:ascii="Times New Roman" w:hAnsi="Times New Roman"/>
          <w:sz w:val="24"/>
          <w:szCs w:val="24"/>
        </w:rPr>
        <w:t xml:space="preserve">has a three tier system of financial market regulation where various regulatory bodies </w:t>
      </w:r>
      <w:r w:rsidR="00520FC7" w:rsidRPr="00883E1C">
        <w:rPr>
          <w:rFonts w:ascii="Times New Roman" w:hAnsi="Times New Roman"/>
          <w:sz w:val="24"/>
          <w:szCs w:val="24"/>
        </w:rPr>
        <w:t>are</w:t>
      </w:r>
      <w:r w:rsidR="00B81E40" w:rsidRPr="00883E1C">
        <w:rPr>
          <w:rFonts w:ascii="Times New Roman" w:hAnsi="Times New Roman"/>
          <w:sz w:val="24"/>
          <w:szCs w:val="24"/>
        </w:rPr>
        <w:t xml:space="preserve"> responsible for translating policies into regulation, supervision of financial services business, and supervising the activities of their members. The development of these </w:t>
      </w:r>
      <w:r w:rsidR="00B81E40" w:rsidRPr="00883E1C">
        <w:rPr>
          <w:rFonts w:ascii="Times New Roman" w:hAnsi="Times New Roman"/>
          <w:i/>
          <w:sz w:val="24"/>
          <w:szCs w:val="24"/>
        </w:rPr>
        <w:t>ad hoc</w:t>
      </w:r>
      <w:r w:rsidR="00B81E40" w:rsidRPr="00883E1C">
        <w:rPr>
          <w:rFonts w:ascii="Times New Roman" w:hAnsi="Times New Roman"/>
          <w:sz w:val="24"/>
          <w:szCs w:val="24"/>
        </w:rPr>
        <w:t xml:space="preserve"> regulatory agencies led commentators to characterize Hong Kong’s financial system as “fragmented” (Pan, 2009: 48).  Hong Kong’s “confusing matrix of sectoral laws and agencies with many gaps and inconsistencies” was seen as not being </w:t>
      </w:r>
      <w:r w:rsidR="00CF5AF1" w:rsidRPr="00883E1C">
        <w:rPr>
          <w:rFonts w:ascii="Times New Roman" w:hAnsi="Times New Roman"/>
          <w:sz w:val="24"/>
          <w:szCs w:val="24"/>
        </w:rPr>
        <w:t xml:space="preserve">readily </w:t>
      </w:r>
      <w:r w:rsidR="00B81E40" w:rsidRPr="00883E1C">
        <w:rPr>
          <w:rFonts w:ascii="Times New Roman" w:hAnsi="Times New Roman"/>
          <w:sz w:val="24"/>
          <w:szCs w:val="24"/>
        </w:rPr>
        <w:t xml:space="preserve">suited to deal with the </w:t>
      </w:r>
      <w:r w:rsidR="00CF5AF1" w:rsidRPr="00883E1C">
        <w:rPr>
          <w:rFonts w:ascii="Times New Roman" w:hAnsi="Times New Roman"/>
          <w:sz w:val="24"/>
          <w:szCs w:val="24"/>
        </w:rPr>
        <w:t>GFC</w:t>
      </w:r>
      <w:r w:rsidR="00B81E40" w:rsidRPr="00883E1C">
        <w:rPr>
          <w:rFonts w:ascii="Times New Roman" w:hAnsi="Times New Roman"/>
          <w:sz w:val="24"/>
          <w:szCs w:val="24"/>
        </w:rPr>
        <w:t xml:space="preserve"> (Arner, Hsu, &amp; Da Roza, 2010: 45).  </w:t>
      </w:r>
      <w:r w:rsidR="00F73276" w:rsidRPr="00883E1C">
        <w:rPr>
          <w:rFonts w:ascii="Times New Roman" w:hAnsi="Times New Roman"/>
          <w:sz w:val="24"/>
          <w:szCs w:val="24"/>
        </w:rPr>
        <w:t xml:space="preserve">Fractured and fragmented, these </w:t>
      </w:r>
      <w:r w:rsidR="006A7AE3" w:rsidRPr="00883E1C">
        <w:rPr>
          <w:rFonts w:ascii="Times New Roman" w:hAnsi="Times New Roman"/>
          <w:sz w:val="24"/>
          <w:szCs w:val="24"/>
        </w:rPr>
        <w:t>maze</w:t>
      </w:r>
      <w:r w:rsidR="00F73276" w:rsidRPr="00883E1C">
        <w:rPr>
          <w:rFonts w:ascii="Times New Roman" w:hAnsi="Times New Roman"/>
          <w:sz w:val="24"/>
          <w:szCs w:val="24"/>
        </w:rPr>
        <w:t>s</w:t>
      </w:r>
      <w:r w:rsidR="006A7AE3" w:rsidRPr="00883E1C">
        <w:rPr>
          <w:rFonts w:ascii="Times New Roman" w:hAnsi="Times New Roman"/>
          <w:sz w:val="24"/>
          <w:szCs w:val="24"/>
        </w:rPr>
        <w:t xml:space="preserve"> of regulatory miasma</w:t>
      </w:r>
      <w:r w:rsidR="000E0BDE" w:rsidRPr="00883E1C">
        <w:rPr>
          <w:rFonts w:ascii="Times New Roman" w:hAnsi="Times New Roman"/>
          <w:sz w:val="24"/>
          <w:szCs w:val="24"/>
        </w:rPr>
        <w:t>s</w:t>
      </w:r>
      <w:r w:rsidR="00F73276" w:rsidRPr="00883E1C">
        <w:rPr>
          <w:rFonts w:ascii="Times New Roman" w:hAnsi="Times New Roman"/>
          <w:sz w:val="24"/>
          <w:szCs w:val="24"/>
        </w:rPr>
        <w:t xml:space="preserve"> allow regulators to short change the public and conceal criminal code violations when the</w:t>
      </w:r>
      <w:r w:rsidR="00520FC7" w:rsidRPr="00883E1C">
        <w:rPr>
          <w:rFonts w:ascii="Times New Roman" w:hAnsi="Times New Roman"/>
          <w:sz w:val="24"/>
          <w:szCs w:val="24"/>
        </w:rPr>
        <w:t>y</w:t>
      </w:r>
      <w:r w:rsidR="00F73276" w:rsidRPr="00883E1C">
        <w:rPr>
          <w:rFonts w:ascii="Times New Roman" w:hAnsi="Times New Roman"/>
          <w:sz w:val="24"/>
          <w:szCs w:val="24"/>
        </w:rPr>
        <w:t xml:space="preserve"> occurred. </w:t>
      </w:r>
      <w:r w:rsidR="001C00D8" w:rsidRPr="00883E1C">
        <w:rPr>
          <w:rFonts w:ascii="Times New Roman" w:hAnsi="Times New Roman"/>
          <w:sz w:val="24"/>
          <w:szCs w:val="24"/>
        </w:rPr>
        <w:t xml:space="preserve">The fragmentation of financial regulation is a major stumbling block for </w:t>
      </w:r>
      <w:r w:rsidR="002C41A1" w:rsidRPr="00883E1C">
        <w:rPr>
          <w:rFonts w:ascii="Times New Roman" w:hAnsi="Times New Roman"/>
          <w:sz w:val="24"/>
          <w:szCs w:val="24"/>
        </w:rPr>
        <w:t>investors’</w:t>
      </w:r>
      <w:r w:rsidR="001C00D8" w:rsidRPr="00883E1C">
        <w:rPr>
          <w:rFonts w:ascii="Times New Roman" w:hAnsi="Times New Roman"/>
          <w:sz w:val="24"/>
          <w:szCs w:val="24"/>
        </w:rPr>
        <w:t xml:space="preserve"> protection, </w:t>
      </w:r>
      <w:r w:rsidR="002C41A1" w:rsidRPr="00883E1C">
        <w:rPr>
          <w:rFonts w:ascii="Times New Roman" w:hAnsi="Times New Roman"/>
          <w:sz w:val="24"/>
          <w:szCs w:val="24"/>
        </w:rPr>
        <w:t>and the U.K.</w:t>
      </w:r>
      <w:r w:rsidR="001C00D8" w:rsidRPr="00883E1C">
        <w:rPr>
          <w:rFonts w:ascii="Times New Roman" w:hAnsi="Times New Roman"/>
          <w:sz w:val="24"/>
          <w:szCs w:val="24"/>
        </w:rPr>
        <w:t xml:space="preserve"> and the U.S. </w:t>
      </w:r>
      <w:r w:rsidR="002C41A1" w:rsidRPr="00883E1C">
        <w:rPr>
          <w:rFonts w:ascii="Times New Roman" w:hAnsi="Times New Roman"/>
          <w:sz w:val="24"/>
          <w:szCs w:val="24"/>
        </w:rPr>
        <w:t>(with their centralized model)</w:t>
      </w:r>
      <w:r w:rsidR="00520FC7" w:rsidRPr="00883E1C">
        <w:rPr>
          <w:rFonts w:ascii="Times New Roman" w:hAnsi="Times New Roman"/>
          <w:sz w:val="24"/>
          <w:szCs w:val="24"/>
        </w:rPr>
        <w:t>,</w:t>
      </w:r>
      <w:r w:rsidR="002C41A1" w:rsidRPr="00883E1C">
        <w:rPr>
          <w:rFonts w:ascii="Times New Roman" w:hAnsi="Times New Roman"/>
          <w:sz w:val="24"/>
          <w:szCs w:val="24"/>
        </w:rPr>
        <w:t xml:space="preserve"> </w:t>
      </w:r>
      <w:r w:rsidR="001C00D8" w:rsidRPr="00883E1C">
        <w:rPr>
          <w:rFonts w:ascii="Times New Roman" w:hAnsi="Times New Roman"/>
          <w:sz w:val="24"/>
          <w:szCs w:val="24"/>
        </w:rPr>
        <w:t>should all be aware of this having been home to some of the major financial scandal</w:t>
      </w:r>
      <w:r w:rsidR="00520FC7" w:rsidRPr="00883E1C">
        <w:rPr>
          <w:rFonts w:ascii="Times New Roman" w:hAnsi="Times New Roman"/>
          <w:sz w:val="24"/>
          <w:szCs w:val="24"/>
        </w:rPr>
        <w:t>s</w:t>
      </w:r>
      <w:r w:rsidR="001C00D8" w:rsidRPr="00883E1C">
        <w:rPr>
          <w:rFonts w:ascii="Times New Roman" w:hAnsi="Times New Roman"/>
          <w:sz w:val="24"/>
          <w:szCs w:val="24"/>
        </w:rPr>
        <w:t xml:space="preserve"> in the recent past. </w:t>
      </w:r>
    </w:p>
    <w:p w:rsidR="00EA6CB8" w:rsidRPr="00883E1C" w:rsidRDefault="001B393A" w:rsidP="001F0C95">
      <w:pPr>
        <w:rPr>
          <w:rFonts w:ascii="Times New Roman" w:hAnsi="Times New Roman"/>
          <w:i/>
          <w:sz w:val="24"/>
          <w:szCs w:val="24"/>
        </w:rPr>
      </w:pPr>
      <w:r w:rsidRPr="00883E1C">
        <w:rPr>
          <w:rFonts w:ascii="Times New Roman" w:hAnsi="Times New Roman"/>
          <w:i/>
          <w:sz w:val="24"/>
          <w:szCs w:val="24"/>
        </w:rPr>
        <w:t xml:space="preserve">6.4. </w:t>
      </w:r>
      <w:r w:rsidR="00F66EB2" w:rsidRPr="00883E1C">
        <w:rPr>
          <w:rFonts w:ascii="Times New Roman" w:hAnsi="Times New Roman"/>
          <w:i/>
          <w:sz w:val="24"/>
          <w:szCs w:val="24"/>
        </w:rPr>
        <w:t>What’s Next?</w:t>
      </w:r>
      <w:r w:rsidR="002A674C" w:rsidRPr="00883E1C">
        <w:rPr>
          <w:rFonts w:ascii="Times New Roman" w:hAnsi="Times New Roman"/>
          <w:i/>
          <w:sz w:val="24"/>
          <w:szCs w:val="24"/>
        </w:rPr>
        <w:tab/>
      </w:r>
    </w:p>
    <w:p w:rsidR="00717D76" w:rsidRPr="00883E1C" w:rsidRDefault="002A674C" w:rsidP="00717D76">
      <w:pPr>
        <w:pStyle w:val="3BodyFlushLeft"/>
        <w:ind w:firstLine="720"/>
        <w:rPr>
          <w:rFonts w:ascii="Times New Roman" w:hAnsi="Times New Roman"/>
          <w:sz w:val="24"/>
          <w:szCs w:val="24"/>
        </w:rPr>
      </w:pPr>
      <w:r w:rsidRPr="00883E1C">
        <w:rPr>
          <w:rFonts w:ascii="Times New Roman" w:hAnsi="Times New Roman"/>
          <w:sz w:val="24"/>
          <w:szCs w:val="24"/>
        </w:rPr>
        <w:t>The results from this study should prompt researchers and regulators with greater acce</w:t>
      </w:r>
      <w:r w:rsidR="006F5A6A" w:rsidRPr="00883E1C">
        <w:rPr>
          <w:rFonts w:ascii="Times New Roman" w:hAnsi="Times New Roman"/>
          <w:sz w:val="24"/>
          <w:szCs w:val="24"/>
        </w:rPr>
        <w:t>ss to resources and information</w:t>
      </w:r>
      <w:r w:rsidRPr="00883E1C">
        <w:rPr>
          <w:rFonts w:ascii="Times New Roman" w:hAnsi="Times New Roman"/>
          <w:sz w:val="24"/>
          <w:szCs w:val="24"/>
        </w:rPr>
        <w:t xml:space="preserve"> to conduct furthe</w:t>
      </w:r>
      <w:r w:rsidR="00610413" w:rsidRPr="00883E1C">
        <w:rPr>
          <w:rFonts w:ascii="Times New Roman" w:hAnsi="Times New Roman"/>
          <w:sz w:val="24"/>
          <w:szCs w:val="24"/>
        </w:rPr>
        <w:t>r</w:t>
      </w:r>
      <w:r w:rsidR="00BE197F" w:rsidRPr="00883E1C">
        <w:rPr>
          <w:rFonts w:ascii="Times New Roman" w:hAnsi="Times New Roman"/>
          <w:sz w:val="24"/>
          <w:szCs w:val="24"/>
        </w:rPr>
        <w:t xml:space="preserve"> cross-disciplinary </w:t>
      </w:r>
      <w:r w:rsidR="00717D76" w:rsidRPr="00883E1C">
        <w:rPr>
          <w:rFonts w:ascii="Times New Roman" w:hAnsi="Times New Roman"/>
          <w:sz w:val="24"/>
          <w:szCs w:val="24"/>
        </w:rPr>
        <w:t>research on</w:t>
      </w:r>
      <w:r w:rsidR="00135E2C" w:rsidRPr="00883E1C">
        <w:rPr>
          <w:rFonts w:ascii="Times New Roman" w:hAnsi="Times New Roman"/>
          <w:sz w:val="24"/>
          <w:szCs w:val="24"/>
        </w:rPr>
        <w:t xml:space="preserve"> securities regulation. </w:t>
      </w:r>
      <w:r w:rsidR="00BA3D19" w:rsidRPr="00883E1C">
        <w:rPr>
          <w:rFonts w:ascii="Times New Roman" w:hAnsi="Times New Roman"/>
          <w:sz w:val="24"/>
          <w:szCs w:val="24"/>
        </w:rPr>
        <w:t>C</w:t>
      </w:r>
      <w:r w:rsidR="00135E2C" w:rsidRPr="00883E1C">
        <w:rPr>
          <w:rFonts w:ascii="Times New Roman" w:hAnsi="Times New Roman"/>
          <w:sz w:val="24"/>
          <w:szCs w:val="24"/>
        </w:rPr>
        <w:t>ases such as “Enron, WorldCom and Vivendi Universal do not appear in neatly labeled packages—addressed to ‘sociology’, ‘finance’, or ‘economics’. Rather, they are phenomenological misfits, requiring a radical conceptual reconfiguration in order to be adequately appropriated” (</w:t>
      </w:r>
      <w:r w:rsidR="00BA3D19" w:rsidRPr="00883E1C">
        <w:rPr>
          <w:rFonts w:ascii="Times New Roman" w:hAnsi="Times New Roman"/>
          <w:sz w:val="24"/>
          <w:szCs w:val="24"/>
        </w:rPr>
        <w:t xml:space="preserve">Tinker and Carter, </w:t>
      </w:r>
      <w:r w:rsidR="00135E2C" w:rsidRPr="00883E1C">
        <w:rPr>
          <w:rFonts w:ascii="Times New Roman" w:hAnsi="Times New Roman"/>
          <w:sz w:val="24"/>
          <w:szCs w:val="24"/>
        </w:rPr>
        <w:t xml:space="preserve">2003: 577). Future research </w:t>
      </w:r>
      <w:r w:rsidR="00D962B1" w:rsidRPr="00883E1C">
        <w:rPr>
          <w:rFonts w:ascii="Times New Roman" w:hAnsi="Times New Roman"/>
          <w:sz w:val="24"/>
          <w:szCs w:val="24"/>
        </w:rPr>
        <w:t>on market regulation</w:t>
      </w:r>
      <w:r w:rsidR="00A844B8" w:rsidRPr="00883E1C">
        <w:rPr>
          <w:rFonts w:ascii="Times New Roman" w:hAnsi="Times New Roman"/>
          <w:sz w:val="24"/>
          <w:szCs w:val="24"/>
        </w:rPr>
        <w:t xml:space="preserve"> and their intermediaries</w:t>
      </w:r>
      <w:r w:rsidR="00D962B1" w:rsidRPr="00883E1C">
        <w:rPr>
          <w:rFonts w:ascii="Times New Roman" w:hAnsi="Times New Roman"/>
          <w:sz w:val="24"/>
          <w:szCs w:val="24"/>
        </w:rPr>
        <w:t xml:space="preserve"> </w:t>
      </w:r>
      <w:r w:rsidR="00135E2C" w:rsidRPr="00883E1C">
        <w:rPr>
          <w:rFonts w:ascii="Times New Roman" w:hAnsi="Times New Roman"/>
          <w:sz w:val="24"/>
          <w:szCs w:val="24"/>
        </w:rPr>
        <w:t xml:space="preserve">should take stock of this </w:t>
      </w:r>
      <w:r w:rsidR="008F1620" w:rsidRPr="00883E1C">
        <w:rPr>
          <w:rFonts w:ascii="Times New Roman" w:hAnsi="Times New Roman"/>
          <w:sz w:val="24"/>
          <w:szCs w:val="24"/>
        </w:rPr>
        <w:t xml:space="preserve">complexity </w:t>
      </w:r>
      <w:r w:rsidR="00D962B1" w:rsidRPr="00883E1C">
        <w:rPr>
          <w:rFonts w:ascii="Times New Roman" w:hAnsi="Times New Roman"/>
          <w:sz w:val="24"/>
          <w:szCs w:val="24"/>
        </w:rPr>
        <w:t>and encourage further dialogue between</w:t>
      </w:r>
      <w:r w:rsidR="00CF292B" w:rsidRPr="00883E1C">
        <w:rPr>
          <w:rFonts w:ascii="Times New Roman" w:hAnsi="Times New Roman"/>
          <w:sz w:val="24"/>
          <w:szCs w:val="24"/>
        </w:rPr>
        <w:t xml:space="preserve"> white-collar criminology, sociology</w:t>
      </w:r>
      <w:r w:rsidR="00BA211A" w:rsidRPr="00883E1C">
        <w:rPr>
          <w:rFonts w:ascii="Times New Roman" w:hAnsi="Times New Roman"/>
          <w:sz w:val="24"/>
          <w:szCs w:val="24"/>
        </w:rPr>
        <w:t>, finance</w:t>
      </w:r>
      <w:r w:rsidR="00CF292B" w:rsidRPr="00883E1C">
        <w:rPr>
          <w:rFonts w:ascii="Times New Roman" w:hAnsi="Times New Roman"/>
          <w:sz w:val="24"/>
          <w:szCs w:val="24"/>
        </w:rPr>
        <w:t xml:space="preserve"> and accounting </w:t>
      </w:r>
      <w:r w:rsidR="00CD3740" w:rsidRPr="00883E1C">
        <w:rPr>
          <w:rFonts w:ascii="Times New Roman" w:hAnsi="Times New Roman"/>
          <w:sz w:val="24"/>
          <w:szCs w:val="24"/>
        </w:rPr>
        <w:t>–</w:t>
      </w:r>
      <w:r w:rsidR="00D962B1" w:rsidRPr="00883E1C">
        <w:rPr>
          <w:rFonts w:ascii="Times New Roman" w:hAnsi="Times New Roman"/>
          <w:sz w:val="24"/>
          <w:szCs w:val="24"/>
        </w:rPr>
        <w:t xml:space="preserve"> disciplines that are critical to an integrated analysis </w:t>
      </w:r>
      <w:r w:rsidR="003A20A5" w:rsidRPr="00883E1C">
        <w:rPr>
          <w:rFonts w:ascii="Times New Roman" w:hAnsi="Times New Roman"/>
          <w:sz w:val="24"/>
          <w:szCs w:val="24"/>
        </w:rPr>
        <w:t>of market</w:t>
      </w:r>
      <w:r w:rsidR="00A844B8" w:rsidRPr="00883E1C">
        <w:rPr>
          <w:rFonts w:ascii="Times New Roman" w:hAnsi="Times New Roman"/>
          <w:sz w:val="24"/>
          <w:szCs w:val="24"/>
        </w:rPr>
        <w:t xml:space="preserve"> </w:t>
      </w:r>
      <w:r w:rsidR="00D962B1" w:rsidRPr="00883E1C">
        <w:rPr>
          <w:rFonts w:ascii="Times New Roman" w:hAnsi="Times New Roman"/>
          <w:sz w:val="24"/>
          <w:szCs w:val="24"/>
        </w:rPr>
        <w:t>governance</w:t>
      </w:r>
      <w:r w:rsidR="009F4F69" w:rsidRPr="00883E1C">
        <w:rPr>
          <w:rFonts w:ascii="Times New Roman" w:hAnsi="Times New Roman"/>
          <w:sz w:val="24"/>
          <w:szCs w:val="24"/>
        </w:rPr>
        <w:t>.</w:t>
      </w:r>
      <w:r w:rsidR="00A844B8" w:rsidRPr="00883E1C">
        <w:rPr>
          <w:rFonts w:ascii="Times New Roman" w:hAnsi="Times New Roman"/>
          <w:sz w:val="24"/>
          <w:szCs w:val="24"/>
        </w:rPr>
        <w:t xml:space="preserve"> </w:t>
      </w:r>
      <w:r w:rsidRPr="00883E1C">
        <w:rPr>
          <w:rFonts w:ascii="Times New Roman" w:hAnsi="Times New Roman"/>
          <w:sz w:val="24"/>
          <w:szCs w:val="24"/>
        </w:rPr>
        <w:t xml:space="preserve"> </w:t>
      </w:r>
      <w:r w:rsidR="003A20A5" w:rsidRPr="00883E1C">
        <w:rPr>
          <w:rFonts w:ascii="Times New Roman" w:hAnsi="Times New Roman"/>
          <w:sz w:val="24"/>
          <w:szCs w:val="24"/>
        </w:rPr>
        <w:t xml:space="preserve">Such a study must be cognizant of the </w:t>
      </w:r>
      <w:r w:rsidR="003A20A5" w:rsidRPr="00883E1C">
        <w:rPr>
          <w:rFonts w:ascii="Times New Roman" w:hAnsi="Times New Roman"/>
          <w:sz w:val="24"/>
          <w:szCs w:val="24"/>
        </w:rPr>
        <w:lastRenderedPageBreak/>
        <w:t>tension</w:t>
      </w:r>
      <w:r w:rsidR="00124575" w:rsidRPr="00883E1C">
        <w:rPr>
          <w:rFonts w:ascii="Times New Roman" w:hAnsi="Times New Roman"/>
          <w:sz w:val="24"/>
          <w:szCs w:val="24"/>
        </w:rPr>
        <w:t>s</w:t>
      </w:r>
      <w:r w:rsidR="003A20A5" w:rsidRPr="00883E1C">
        <w:rPr>
          <w:rFonts w:ascii="Times New Roman" w:hAnsi="Times New Roman"/>
          <w:sz w:val="24"/>
          <w:szCs w:val="24"/>
        </w:rPr>
        <w:t xml:space="preserve"> that arise from</w:t>
      </w:r>
      <w:r w:rsidR="009F4F69" w:rsidRPr="00883E1C">
        <w:rPr>
          <w:rFonts w:ascii="Times New Roman" w:hAnsi="Times New Roman"/>
          <w:sz w:val="24"/>
          <w:szCs w:val="24"/>
        </w:rPr>
        <w:t xml:space="preserve"> pursuing</w:t>
      </w:r>
      <w:r w:rsidR="003A20A5" w:rsidRPr="00883E1C">
        <w:rPr>
          <w:rFonts w:ascii="Times New Roman" w:hAnsi="Times New Roman"/>
          <w:sz w:val="24"/>
          <w:szCs w:val="24"/>
        </w:rPr>
        <w:t xml:space="preserve"> cross-disciplinary research and mine the possibilities that </w:t>
      </w:r>
      <w:r w:rsidR="009F4F69" w:rsidRPr="00883E1C">
        <w:rPr>
          <w:rFonts w:ascii="Times New Roman" w:hAnsi="Times New Roman"/>
          <w:sz w:val="24"/>
          <w:szCs w:val="24"/>
        </w:rPr>
        <w:t xml:space="preserve">a </w:t>
      </w:r>
      <w:r w:rsidR="002F75B2" w:rsidRPr="00883E1C">
        <w:rPr>
          <w:rFonts w:ascii="Times New Roman" w:hAnsi="Times New Roman"/>
          <w:sz w:val="24"/>
          <w:szCs w:val="24"/>
        </w:rPr>
        <w:t xml:space="preserve">significant </w:t>
      </w:r>
      <w:r w:rsidR="009F4F69" w:rsidRPr="00883E1C">
        <w:rPr>
          <w:rFonts w:ascii="Times New Roman" w:hAnsi="Times New Roman"/>
          <w:sz w:val="24"/>
          <w:szCs w:val="24"/>
        </w:rPr>
        <w:t>body</w:t>
      </w:r>
      <w:r w:rsidR="002F75B2" w:rsidRPr="00883E1C">
        <w:rPr>
          <w:rFonts w:ascii="Times New Roman" w:hAnsi="Times New Roman"/>
          <w:sz w:val="24"/>
          <w:szCs w:val="24"/>
        </w:rPr>
        <w:t xml:space="preserve"> of knowledge may</w:t>
      </w:r>
      <w:r w:rsidR="009F4F69" w:rsidRPr="00883E1C">
        <w:rPr>
          <w:rFonts w:ascii="Times New Roman" w:hAnsi="Times New Roman"/>
          <w:sz w:val="24"/>
          <w:szCs w:val="24"/>
        </w:rPr>
        <w:t xml:space="preserve"> arise</w:t>
      </w:r>
      <w:r w:rsidR="00BA3D19" w:rsidRPr="00883E1C">
        <w:rPr>
          <w:rFonts w:ascii="Times New Roman" w:hAnsi="Times New Roman"/>
          <w:sz w:val="24"/>
          <w:szCs w:val="24"/>
        </w:rPr>
        <w:t xml:space="preserve"> and </w:t>
      </w:r>
      <w:r w:rsidR="002F75B2" w:rsidRPr="00883E1C">
        <w:rPr>
          <w:rFonts w:ascii="Times New Roman" w:hAnsi="Times New Roman"/>
          <w:sz w:val="24"/>
          <w:szCs w:val="24"/>
        </w:rPr>
        <w:t xml:space="preserve">reveal new insights to </w:t>
      </w:r>
      <w:r w:rsidR="009F4F69" w:rsidRPr="00883E1C">
        <w:rPr>
          <w:rFonts w:ascii="Times New Roman" w:hAnsi="Times New Roman"/>
          <w:sz w:val="24"/>
          <w:szCs w:val="24"/>
        </w:rPr>
        <w:t xml:space="preserve">market regulation. </w:t>
      </w:r>
      <w:r w:rsidR="00717D76" w:rsidRPr="00883E1C">
        <w:rPr>
          <w:rFonts w:ascii="Times New Roman" w:hAnsi="Times New Roman"/>
          <w:sz w:val="24"/>
          <w:szCs w:val="24"/>
        </w:rPr>
        <w:t>As a starting point, researchers can join hands and engage in a cross-disciplinary study that will examine whether IIROC with its increased enforcement budget and new image</w:t>
      </w:r>
      <w:r w:rsidR="00124575" w:rsidRPr="00883E1C">
        <w:rPr>
          <w:rFonts w:ascii="Times New Roman" w:hAnsi="Times New Roman"/>
          <w:sz w:val="24"/>
          <w:szCs w:val="24"/>
        </w:rPr>
        <w:t>,</w:t>
      </w:r>
      <w:r w:rsidR="00717D76" w:rsidRPr="00883E1C">
        <w:rPr>
          <w:rFonts w:ascii="Times New Roman" w:hAnsi="Times New Roman"/>
          <w:sz w:val="24"/>
          <w:szCs w:val="24"/>
        </w:rPr>
        <w:t xml:space="preserve"> is holding market participant</w:t>
      </w:r>
      <w:r w:rsidR="00124575" w:rsidRPr="00883E1C">
        <w:rPr>
          <w:rFonts w:ascii="Times New Roman" w:hAnsi="Times New Roman"/>
          <w:sz w:val="24"/>
          <w:szCs w:val="24"/>
        </w:rPr>
        <w:t>s</w:t>
      </w:r>
      <w:r w:rsidR="00717D76" w:rsidRPr="00883E1C">
        <w:rPr>
          <w:rFonts w:ascii="Times New Roman" w:hAnsi="Times New Roman"/>
          <w:sz w:val="24"/>
          <w:szCs w:val="24"/>
        </w:rPr>
        <w:t xml:space="preserve"> accountable to law and ethical standards. It may be that the personnel who were part of the IDA are still heavily involved with IIROC’s operations.  Does this new body with its independence and higher enforcement budgets make investors safer in Canada?</w:t>
      </w: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b/>
          <w:sz w:val="24"/>
          <w:szCs w:val="24"/>
        </w:rPr>
      </w:pPr>
    </w:p>
    <w:p w:rsidR="00A02806" w:rsidRPr="00883E1C" w:rsidRDefault="00A02806" w:rsidP="00A02806">
      <w:pPr>
        <w:pStyle w:val="EndnoteText"/>
        <w:ind w:left="567" w:hanging="567"/>
        <w:jc w:val="center"/>
        <w:rPr>
          <w:rFonts w:ascii="Times New Roman" w:hAnsi="Times New Roman"/>
          <w:sz w:val="24"/>
          <w:szCs w:val="24"/>
        </w:rPr>
      </w:pPr>
      <w:r w:rsidRPr="00883E1C">
        <w:rPr>
          <w:rFonts w:ascii="Times New Roman" w:hAnsi="Times New Roman"/>
          <w:b/>
          <w:sz w:val="24"/>
          <w:szCs w:val="24"/>
        </w:rPr>
        <w:lastRenderedPageBreak/>
        <w:t>References</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Arner, D., B. Hsu, and A Da Roza. 2010. Financial Regulation in Hong Kong: Time for a Change. </w:t>
      </w:r>
      <w:r w:rsidRPr="00883E1C">
        <w:rPr>
          <w:rFonts w:ascii="Times New Roman" w:hAnsi="Times New Roman"/>
          <w:iCs/>
          <w:sz w:val="24"/>
          <w:szCs w:val="24"/>
        </w:rPr>
        <w:t>Asian Journal of Comparative Law</w:t>
      </w:r>
      <w:r w:rsidRPr="00883E1C">
        <w:rPr>
          <w:rFonts w:ascii="Times New Roman" w:hAnsi="Times New Roman"/>
          <w:sz w:val="24"/>
          <w:szCs w:val="24"/>
        </w:rPr>
        <w:t>, 5, 1: 1-47.</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Baines, D., 2012. Regulator keeps investment industry honest.  Available at: </w:t>
      </w:r>
      <w:hyperlink r:id="rId10" w:history="1">
        <w:r w:rsidRPr="00883E1C">
          <w:rPr>
            <w:rStyle w:val="Hyperlink"/>
            <w:rFonts w:ascii="Times New Roman" w:hAnsi="Times New Roman" w:cs="Times New Roman"/>
            <w:sz w:val="24"/>
            <w:szCs w:val="24"/>
            <w:lang w:val="en-US" w:eastAsia="en-US" w:bidi="en-US"/>
          </w:rPr>
          <w:t>http://www.vancouversun.com/business/Baines+Regulator+keeps+investment+industry+honest/6896800/story.html</w:t>
        </w:r>
      </w:hyperlink>
      <w:r w:rsidRPr="00883E1C">
        <w:rPr>
          <w:rFonts w:ascii="Times New Roman" w:hAnsi="Times New Roman"/>
          <w:sz w:val="24"/>
          <w:szCs w:val="24"/>
        </w:rPr>
        <w:t>. (accessed 24 October, 2013).</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widowControl/>
        <w:autoSpaceDE w:val="0"/>
        <w:autoSpaceDN w:val="0"/>
        <w:adjustRightInd w:val="0"/>
        <w:spacing w:after="0" w:line="240" w:lineRule="auto"/>
        <w:ind w:left="567" w:hanging="567"/>
        <w:rPr>
          <w:rFonts w:ascii="Times New Roman" w:hAnsi="Times New Roman"/>
          <w:sz w:val="24"/>
          <w:szCs w:val="24"/>
        </w:rPr>
      </w:pPr>
      <w:r w:rsidRPr="00883E1C">
        <w:rPr>
          <w:rFonts w:ascii="Times New Roman" w:hAnsi="Times New Roman"/>
          <w:sz w:val="24"/>
          <w:szCs w:val="24"/>
        </w:rPr>
        <w:t xml:space="preserve">Barnes, P., 2011. </w:t>
      </w:r>
      <w:r w:rsidRPr="00883E1C">
        <w:rPr>
          <w:rFonts w:ascii="Times New Roman" w:eastAsiaTheme="minorHAnsi" w:hAnsi="Times New Roman"/>
          <w:sz w:val="24"/>
          <w:szCs w:val="24"/>
          <w:lang w:val="en-GB" w:bidi="ar-SA"/>
        </w:rPr>
        <w:t xml:space="preserve">Insider dealing and market abuse: The UK’s record on enforcement. </w:t>
      </w:r>
      <w:r w:rsidRPr="00883E1C">
        <w:rPr>
          <w:rFonts w:ascii="Times New Roman" w:hAnsi="Times New Roman"/>
          <w:sz w:val="24"/>
          <w:szCs w:val="24"/>
        </w:rPr>
        <w:t xml:space="preserve">Journal of Law, Crime and Justice </w:t>
      </w:r>
      <w:r w:rsidRPr="00883E1C">
        <w:rPr>
          <w:rFonts w:ascii="Times New Roman" w:eastAsiaTheme="minorHAnsi" w:hAnsi="Times New Roman"/>
          <w:sz w:val="24"/>
          <w:szCs w:val="24"/>
          <w:lang w:val="en-GB" w:bidi="ar-SA"/>
        </w:rPr>
        <w:t>39, 174-189.</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Bhattacharya, U., 2006. Enforcement and its Impact on Cost of Equity and Liquidity of the Market. Available at SSRN: http://ssrn.com/abstract=952698</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Black , J.1996.,  Constitutionalising Self-Regulation.  Modern Law Review 59 (1), 24 – 55.</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Black, J. 2006.</w:t>
      </w:r>
      <w:r w:rsidRPr="00883E1C">
        <w:rPr>
          <w:rFonts w:ascii="Times New Roman" w:hAnsi="Times New Roman"/>
          <w:b/>
          <w:sz w:val="24"/>
          <w:szCs w:val="24"/>
        </w:rPr>
        <w:t xml:space="preserve"> </w:t>
      </w:r>
      <w:hyperlink r:id="rId11" w:history="1">
        <w:r w:rsidRPr="00883E1C">
          <w:rPr>
            <w:rStyle w:val="Strong"/>
            <w:rFonts w:ascii="Times New Roman" w:hAnsi="Times New Roman"/>
            <w:b w:val="0"/>
            <w:sz w:val="24"/>
            <w:szCs w:val="24"/>
          </w:rPr>
          <w:t>Involving consumers in securities regulation</w:t>
        </w:r>
      </w:hyperlink>
      <w:r w:rsidRPr="00883E1C">
        <w:rPr>
          <w:rStyle w:val="Strong"/>
          <w:rFonts w:ascii="Times New Roman" w:hAnsi="Times New Roman"/>
          <w:b w:val="0"/>
          <w:sz w:val="24"/>
          <w:szCs w:val="24"/>
        </w:rPr>
        <w:t xml:space="preserve">. </w:t>
      </w:r>
      <w:r w:rsidRPr="00883E1C">
        <w:rPr>
          <w:rFonts w:ascii="Times New Roman" w:hAnsi="Times New Roman"/>
          <w:sz w:val="24"/>
          <w:szCs w:val="24"/>
        </w:rPr>
        <w:t xml:space="preserve"> Taskforce to Modernize Securities Regulation in Canada, London, UK. Available at: </w:t>
      </w:r>
      <w:hyperlink r:id="rId12" w:history="1">
        <w:r w:rsidRPr="00883E1C">
          <w:rPr>
            <w:rStyle w:val="Hyperlink"/>
            <w:rFonts w:ascii="Times New Roman" w:hAnsi="Times New Roman" w:cs="Times New Roman"/>
            <w:sz w:val="24"/>
            <w:szCs w:val="24"/>
            <w:lang w:val="en-US" w:eastAsia="en-US" w:bidi="en-US"/>
          </w:rPr>
          <w:t>http://www.lse.ac.uk/collections/law/staff%20publications%20full%20text/black/Involving%20Consumers%20in%20Securities%20Regulation%20-%20Taskforce%20report.pdf</w:t>
        </w:r>
      </w:hyperlink>
      <w:r w:rsidRPr="00883E1C">
        <w:rPr>
          <w:rFonts w:ascii="Times New Roman" w:hAnsi="Times New Roman"/>
          <w:sz w:val="24"/>
          <w:szCs w:val="24"/>
        </w:rPr>
        <w:t xml:space="preserve"> (Retrieved 10 November, 2014).</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Braithwaite, J., 1993. Responsive Regulation in Australia. In Regulation and Australia's Future, ed. Peter Grabosky and John Braithwaite, 67-79.  Canberra: Australian Institute of Criminology.</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Braithwaite, J., 1993. Responsive Regulation in Australia. In Grabosky, P., Braithwaite, J (EDS.), Regulation and Australia's Future. Australian Institute of Criminology, Canberra. </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Braithwaite, J., 2005. Markets in vice, markets in virtue. Oxford: Oxford </w:t>
      </w:r>
      <w:r w:rsidRPr="00883E1C">
        <w:rPr>
          <w:rFonts w:ascii="Times New Roman" w:hAnsi="Times New Roman"/>
          <w:sz w:val="24"/>
          <w:szCs w:val="24"/>
        </w:rPr>
        <w:tab/>
        <w:t>University Press.</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Braithwaite, 2013,. Flipping markets to virtue with qui tam and restorative justice. Accounting, </w:t>
      </w:r>
      <w:r w:rsidRPr="00883E1C">
        <w:rPr>
          <w:rFonts w:ascii="Times New Roman" w:hAnsi="Times New Roman"/>
          <w:sz w:val="24"/>
          <w:szCs w:val="24"/>
        </w:rPr>
        <w:tab/>
        <w:t>Organization, and Society, 38(6-7): 458-468.</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Brockman, J., 1998.  Fortunate enough to Obtain and Keep the Title of Profession: Self-regulating Organizations and the Enforcement of Professional Monopolies Canadian Public Administration 41 (4), 587-621.</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Brockman, J., 2004. An Update on Self-Regulation in the Legal Profession (1989-2000): Funnel In and Funnel Out, Canadian Journal of Law and Society 19 (1), 55-84.</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Brockman, J., McEwen, C.,  1990.  Self-Regulation in the Legal Profession: Funnel In, Funnel Out, or Funnel Away? Canadian Journal of Law and Society  5,1-46. </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Canadian Foundation for Advancement of Investor Rights (FAIR Canada) (2011) A Report on a Decade of Financial Scandals.  Available at: http://faircanada.ca/wp-content/uploads/2011/01/Financial-scandals-paper-SW-711-pm_Final-0222.pdf . (accessed 08 February 2010).</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Chartered Financial Analyst (CFA) Institute., 2007. Self-Regulation in today’s Securities Market: Outdated System or System in Progress?  Available at: </w:t>
      </w:r>
      <w:hyperlink r:id="rId13" w:history="1">
        <w:r w:rsidRPr="00883E1C">
          <w:rPr>
            <w:rStyle w:val="Hyperlink"/>
            <w:rFonts w:ascii="Times New Roman" w:hAnsi="Times New Roman" w:cs="Times New Roman"/>
            <w:sz w:val="24"/>
            <w:szCs w:val="24"/>
            <w:lang w:val="en-US" w:eastAsia="en-US" w:bidi="en-US"/>
          </w:rPr>
          <w:t>http://www.cfapubs.org/doi/pdf/10.2469/ccb.v2007.n7.4819</w:t>
        </w:r>
      </w:hyperlink>
      <w:r w:rsidRPr="00883E1C">
        <w:rPr>
          <w:rFonts w:ascii="Times New Roman" w:hAnsi="Times New Roman"/>
          <w:sz w:val="24"/>
          <w:szCs w:val="24"/>
        </w:rPr>
        <w:t xml:space="preserve"> (accessed 13 October, 2013).</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Chartered Financial Analyst (CFA) Institute , 2013. Self-regulation in the Securities Markets: Transitions and New Possibilities. Available at: http://www.cfapubs.org/doi/pdf/10.2469/ccb.v2013.n11.1  (accessed 02 October, 2014.</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Condon, M., 2008. Technologies of Risk? Regulating Online Investing in Canada, Law &amp; Policy 26 (3-4), 411-437.</w:t>
      </w:r>
    </w:p>
    <w:p w:rsidR="00A02806" w:rsidRPr="00883E1C" w:rsidRDefault="00A02806" w:rsidP="00A02806">
      <w:pPr>
        <w:pStyle w:val="EndnoteText"/>
        <w:ind w:left="567" w:hanging="567"/>
        <w:rPr>
          <w:rStyle w:val="Hyperlink"/>
          <w:rFonts w:ascii="Times New Roman" w:hAnsi="Times New Roman" w:cs="Times New Roman"/>
          <w:sz w:val="24"/>
          <w:szCs w:val="24"/>
          <w:lang w:val="en-US" w:eastAsia="en-US" w:bidi="en-US"/>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Condon, M.,  Puri, P. 2006. The Role of Compliance in Securities Regulatory Enforcement. Paper Commissioned by the Task Force to Modernize Securities Legislation (TFMSL) in Canada. Available at: </w:t>
      </w:r>
      <w:hyperlink r:id="rId14" w:history="1">
        <w:r w:rsidRPr="00883E1C">
          <w:rPr>
            <w:rStyle w:val="Hyperlink"/>
            <w:rFonts w:ascii="Times New Roman" w:hAnsi="Times New Roman" w:cs="Times New Roman"/>
            <w:sz w:val="24"/>
            <w:szCs w:val="24"/>
            <w:lang w:val="en-US" w:eastAsia="en-US" w:bidi="en-US"/>
          </w:rPr>
          <w:t>http://www.tfmsl.ca/docs/v6%281%29%20condonpuri.pdf</w:t>
        </w:r>
      </w:hyperlink>
      <w:r w:rsidRPr="00883E1C">
        <w:rPr>
          <w:rFonts w:ascii="Times New Roman" w:hAnsi="Times New Roman"/>
          <w:sz w:val="24"/>
          <w:szCs w:val="24"/>
        </w:rPr>
        <w:t xml:space="preserve"> (accessed 11 November, 2014).</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Credit Suisse.2012. , Self-regulation Blamed for Global Financial Crisis: Regulatory Experts. Available at </w:t>
      </w:r>
      <w:hyperlink r:id="rId15" w:history="1">
        <w:r w:rsidRPr="00883E1C">
          <w:rPr>
            <w:rStyle w:val="Hyperlink"/>
            <w:rFonts w:ascii="Times New Roman" w:hAnsi="Times New Roman" w:cs="Times New Roman"/>
            <w:sz w:val="24"/>
            <w:szCs w:val="24"/>
            <w:lang w:val="en-US" w:eastAsia="en-US" w:bidi="en-US"/>
          </w:rPr>
          <w:t>https://www.credit-suisse.com/conferences/aic/2009/en/reporter/day2/day2_3.jsp</w:t>
        </w:r>
      </w:hyperlink>
      <w:r w:rsidRPr="00883E1C">
        <w:rPr>
          <w:rFonts w:ascii="Times New Roman" w:hAnsi="Times New Roman"/>
          <w:sz w:val="24"/>
          <w:szCs w:val="24"/>
        </w:rPr>
        <w:t xml:space="preserve"> (accessed 12 December, 2012). </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autoSpaceDE w:val="0"/>
        <w:autoSpaceDN w:val="0"/>
        <w:adjustRightInd w:val="0"/>
        <w:spacing w:after="0" w:line="240" w:lineRule="auto"/>
        <w:ind w:left="567" w:hanging="567"/>
        <w:rPr>
          <w:rFonts w:ascii="Times New Roman" w:hAnsi="Times New Roman"/>
          <w:sz w:val="24"/>
          <w:szCs w:val="24"/>
        </w:rPr>
      </w:pPr>
      <w:r w:rsidRPr="00883E1C">
        <w:rPr>
          <w:rFonts w:ascii="Times New Roman" w:hAnsi="Times New Roman"/>
          <w:sz w:val="24"/>
          <w:szCs w:val="24"/>
        </w:rPr>
        <w:t xml:space="preserve">Dorn, N. 2011., Reconstructing ‘conflict of interest’ in financial markets: Private management, public challenges, future prospects. International Journal of Law, Crime and Justice 39, 161-173. </w:t>
      </w:r>
    </w:p>
    <w:p w:rsidR="00A02806" w:rsidRPr="00883E1C" w:rsidRDefault="00A02806" w:rsidP="00A02806">
      <w:pPr>
        <w:autoSpaceDE w:val="0"/>
        <w:autoSpaceDN w:val="0"/>
        <w:adjustRightInd w:val="0"/>
        <w:spacing w:after="0" w:line="240" w:lineRule="auto"/>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Engobo E., Ako, R., Okonmah, R., Obokoh, L., 2009., Corporations, CSR and Self-Regulation: What Lessons from the Global Financial Crisis?  German Law Journal 11(2), 230-259.</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Gray, J.,  McFarland, J.  2013. Crime without punishment: Canada’s investment fraud problem.  Available at: </w:t>
      </w:r>
      <w:hyperlink r:id="rId16" w:history="1">
        <w:r w:rsidRPr="00883E1C">
          <w:rPr>
            <w:rStyle w:val="Hyperlink"/>
            <w:rFonts w:ascii="Times New Roman" w:hAnsi="Times New Roman" w:cs="Times New Roman"/>
            <w:sz w:val="24"/>
            <w:szCs w:val="24"/>
            <w:lang w:val="en-US" w:eastAsia="en-US" w:bidi="en-US"/>
          </w:rPr>
          <w:t>http://www.theglobeandmail.com/report-on-business/crime-and-no-punishment-canadas-investment-fraud-problem/article13938792/?page=3</w:t>
        </w:r>
      </w:hyperlink>
      <w:r w:rsidRPr="00883E1C">
        <w:rPr>
          <w:rFonts w:ascii="Times New Roman" w:hAnsi="Times New Roman"/>
          <w:sz w:val="24"/>
          <w:szCs w:val="24"/>
        </w:rPr>
        <w:t xml:space="preserve"> (accessed 20 October, 2014).</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Gunningham, N., (1997). Negotiated Non-Compliance: A Case Study of Regulatory Failure, Law and Policy, 9(1):69-95.</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Gunningham, N., Rees, J., 1997. Industry Self-Regulation: An Institutional Perspective  Law &amp; Policy 19(4), 363–414.</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lastRenderedPageBreak/>
        <w:t xml:space="preserve">Hawkins, K., 2002. Law as a Last Resort: Prosecution Decision-Making in a Regulatory Agency. Oxford: Oxford University Press. </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Hockin Panel (Thomas Hockin, Chair)  (2009).  Draft Securities Act. Available at: </w:t>
      </w:r>
      <w:hyperlink r:id="rId17" w:history="1">
        <w:r w:rsidRPr="00883E1C">
          <w:rPr>
            <w:rStyle w:val="Hyperlink"/>
            <w:rFonts w:ascii="Times New Roman" w:hAnsi="Times New Roman" w:cs="Times New Roman"/>
            <w:sz w:val="24"/>
            <w:szCs w:val="24"/>
            <w:lang w:val="en-US" w:eastAsia="en-US" w:bidi="en-US"/>
          </w:rPr>
          <w:t>http://www.expertpanel.ca/eng/documents/CAC_SBS_2009-01-07.pdf</w:t>
        </w:r>
      </w:hyperlink>
      <w:r w:rsidRPr="00883E1C">
        <w:rPr>
          <w:rFonts w:ascii="Times New Roman" w:hAnsi="Times New Roman"/>
          <w:sz w:val="24"/>
          <w:szCs w:val="24"/>
        </w:rPr>
        <w:t xml:space="preserve"> (accessed 17 November, 2013).</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Investment Dealer Association. 2006.  Disciplinary Sanctions Guidelines.  Available at: </w:t>
      </w:r>
      <w:hyperlink r:id="rId18" w:history="1">
        <w:r w:rsidRPr="00883E1C">
          <w:rPr>
            <w:rStyle w:val="Hyperlink"/>
            <w:rFonts w:ascii="Times New Roman" w:hAnsi="Times New Roman" w:cs="Times New Roman"/>
            <w:sz w:val="24"/>
            <w:szCs w:val="24"/>
            <w:lang w:val="en-US" w:eastAsia="en-US" w:bidi="en-US"/>
          </w:rPr>
          <w:t>http://www.iiroc.ca/English</w:t>
        </w:r>
      </w:hyperlink>
      <w:r w:rsidRPr="00883E1C">
        <w:rPr>
          <w:rFonts w:ascii="Times New Roman" w:hAnsi="Times New Roman"/>
          <w:sz w:val="24"/>
          <w:szCs w:val="24"/>
        </w:rPr>
        <w:t xml:space="preserve"> (accessed 15 March, 2013).</w:t>
      </w: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 </w:t>
      </w: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Investment Dealer Association., 2008. Member Regulation Enforcement Annual Report 2007. Available at: </w:t>
      </w:r>
      <w:hyperlink r:id="rId19" w:history="1">
        <w:r w:rsidRPr="00883E1C">
          <w:rPr>
            <w:rStyle w:val="Hyperlink"/>
            <w:rFonts w:ascii="Times New Roman" w:hAnsi="Times New Roman" w:cs="Times New Roman"/>
            <w:sz w:val="24"/>
            <w:szCs w:val="24"/>
            <w:lang w:val="en-US" w:eastAsia="en-US" w:bidi="en-US"/>
          </w:rPr>
          <w:t>http://docs.iiroc.ca/DisplayDocument.aspx?DocumentID=7C72EE3E241C43779BF9D0B02563CABB&amp;Language=en</w:t>
        </w:r>
      </w:hyperlink>
      <w:r w:rsidRPr="00883E1C">
        <w:rPr>
          <w:rFonts w:ascii="Times New Roman" w:hAnsi="Times New Roman"/>
          <w:sz w:val="24"/>
          <w:szCs w:val="24"/>
        </w:rPr>
        <w:t xml:space="preserve"> (accessed 23 May, 2013).</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Investment Industry Regulatory Organization of Canada. 2008.  Guide for Subjects of an Investigation. Available at: </w:t>
      </w:r>
      <w:hyperlink r:id="rId20" w:history="1">
        <w:r w:rsidRPr="00883E1C">
          <w:rPr>
            <w:rStyle w:val="Hyperlink"/>
            <w:rFonts w:ascii="Times New Roman" w:hAnsi="Times New Roman" w:cs="Times New Roman"/>
            <w:sz w:val="24"/>
            <w:szCs w:val="24"/>
            <w:lang w:val="en-US" w:eastAsia="en-US" w:bidi="en-US"/>
          </w:rPr>
          <w:t>http://www.iiroc.ca/English/Enforcement/Investigations/Documents/GuideSubjectsInvestigation_en.pdf</w:t>
        </w:r>
      </w:hyperlink>
      <w:r w:rsidRPr="00883E1C">
        <w:rPr>
          <w:rFonts w:ascii="Times New Roman" w:hAnsi="Times New Roman"/>
          <w:sz w:val="24"/>
          <w:szCs w:val="24"/>
        </w:rPr>
        <w:t xml:space="preserve"> (accessed 14 September, 2013). </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Jenah, S., 2013. Regulating in Challenging Times. Available at: http://www.iiroc.ca/Documents/2013/0d00c680-fe33-4a11-8f2e-dc167b42719a_en.pdf.</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Labaton. S., 2008. S.E.C. Concedes Oversight Flaws Fueled Collapse. Available at: </w:t>
      </w:r>
    </w:p>
    <w:p w:rsidR="00A02806" w:rsidRPr="00883E1C" w:rsidRDefault="00A9044F" w:rsidP="00A02806">
      <w:pPr>
        <w:pStyle w:val="EndnoteText"/>
        <w:ind w:left="567"/>
        <w:rPr>
          <w:rFonts w:ascii="Times New Roman" w:hAnsi="Times New Roman"/>
          <w:sz w:val="24"/>
          <w:szCs w:val="24"/>
        </w:rPr>
      </w:pPr>
      <w:hyperlink r:id="rId21" w:history="1">
        <w:r w:rsidR="00A02806" w:rsidRPr="00883E1C">
          <w:rPr>
            <w:rStyle w:val="Hyperlink"/>
            <w:rFonts w:ascii="Times New Roman" w:hAnsi="Times New Roman" w:cs="Times New Roman"/>
            <w:sz w:val="24"/>
            <w:szCs w:val="24"/>
            <w:lang w:val="en-US" w:eastAsia="en-US" w:bidi="en-US"/>
          </w:rPr>
          <w:t>http://www.nytimes.com/2008/09/27/business/27sec.html</w:t>
        </w:r>
      </w:hyperlink>
      <w:r w:rsidR="00A02806" w:rsidRPr="00883E1C">
        <w:rPr>
          <w:rFonts w:ascii="Times New Roman" w:hAnsi="Times New Roman"/>
          <w:sz w:val="24"/>
          <w:szCs w:val="24"/>
        </w:rPr>
        <w:t xml:space="preserve"> (accessed 10 June, 2013).</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Lokanan, M. E. 2014. The Investment Dealers Association of Canada’s enforcement record: Are penalties grossly inadequate? Journal of Financial Regulation and Compliance, 22(3):.235 – 251.</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Manning, P., 1997.  Police Work: The Social Organization of Policing. Boston:  MIT Press: Boston.</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McCaffrey, D., Hart, D.,1998. Wall Street Polices Itself: How Securities Firms Manage the Legal Hazards of Competitive Pressures.  New York: Oxford University Press.</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Pan, Eric. 2009. Structural Reform of Financial Regulation: The Case of Canada. Cardozo Legal Studies Research Paper No. 250. Available at SSRN: http://ssrn.com/abstract=1333385</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Rees, J., 1988. Reforming the Workplace: A Study of Self-Regulation in Occupational Safety. Univ. of Pennsylvania Press, Philadelphia.</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Reichman, N.1991. Regulating Risky Business: Dilemmas in Security Regulation. Law and Policy, 13, 4: 263:95.</w:t>
      </w:r>
    </w:p>
    <w:p w:rsidR="00A02806" w:rsidRPr="00883E1C" w:rsidRDefault="00A02806" w:rsidP="00A02806">
      <w:pPr>
        <w:pStyle w:val="EndnoteText"/>
        <w:tabs>
          <w:tab w:val="left" w:pos="2838"/>
        </w:tabs>
        <w:ind w:left="567" w:hanging="567"/>
        <w:rPr>
          <w:rFonts w:ascii="Times New Roman" w:hAnsi="Times New Roman"/>
          <w:sz w:val="24"/>
          <w:szCs w:val="24"/>
        </w:rPr>
      </w:pPr>
      <w:r w:rsidRPr="00883E1C">
        <w:rPr>
          <w:rFonts w:ascii="Times New Roman" w:hAnsi="Times New Roman"/>
          <w:sz w:val="24"/>
          <w:szCs w:val="24"/>
        </w:rPr>
        <w:tab/>
      </w:r>
      <w:r w:rsidRPr="00883E1C">
        <w:rPr>
          <w:rFonts w:ascii="Times New Roman" w:hAnsi="Times New Roman"/>
          <w:sz w:val="24"/>
          <w:szCs w:val="24"/>
        </w:rPr>
        <w:tab/>
      </w: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 xml:space="preserve">Semmler, W., &amp; Young, B. (2010). Lost in Temptation of Risk: Financial Market Liberalization, </w:t>
      </w:r>
      <w:r w:rsidRPr="00883E1C">
        <w:rPr>
          <w:rFonts w:ascii="Times New Roman" w:hAnsi="Times New Roman"/>
          <w:sz w:val="24"/>
          <w:szCs w:val="24"/>
        </w:rPr>
        <w:lastRenderedPageBreak/>
        <w:t>Financial Market Meltdown and Regulatory Reforms. Comparative European Politics, 8, 327-353.</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Sinclair, D., 1997.  Self-Regulation versus Command and Control? Beyond False Dichotomies. Law &amp; Policy  19(4), 529-559.</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Snider, L., 2009. Accommodating Power: the `Common Sense' of Regulators. Social and Legal Studies 18(2), 179-197.</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Tinker, T., Chris C., 2003. Spectres of accounting: Contradictions or conflicts of interest. Organization,  Organization 10 (3), 577-582.</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Williams, J., 2012. Policing the Markets: Inside the Black Box of Securities Enforcement. London: Taylor &amp; Francis Ltd.</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ind w:left="567" w:hanging="567"/>
        <w:rPr>
          <w:rFonts w:ascii="Times New Roman" w:hAnsi="Times New Roman"/>
          <w:sz w:val="24"/>
          <w:szCs w:val="24"/>
        </w:rPr>
      </w:pPr>
      <w:r w:rsidRPr="00883E1C">
        <w:rPr>
          <w:rFonts w:ascii="Times New Roman" w:hAnsi="Times New Roman"/>
          <w:sz w:val="24"/>
          <w:szCs w:val="24"/>
        </w:rPr>
        <w:t>Williams, J., 2013.. Regulatory technologies, risky subjects, and financial boundaries: Governing ‘fraud’ in the financial markets. Accounting, Organization and Society 38(6-7): 544-558.</w:t>
      </w:r>
    </w:p>
    <w:p w:rsidR="00A02806" w:rsidRPr="00883E1C" w:rsidRDefault="00A02806" w:rsidP="00A02806">
      <w:pPr>
        <w:pStyle w:val="EndnoteText"/>
        <w:ind w:left="567" w:hanging="567"/>
        <w:rPr>
          <w:rFonts w:ascii="Times New Roman" w:hAnsi="Times New Roman"/>
          <w:sz w:val="24"/>
          <w:szCs w:val="24"/>
        </w:rPr>
      </w:pPr>
    </w:p>
    <w:p w:rsidR="00A02806" w:rsidRPr="00883E1C" w:rsidRDefault="00A02806" w:rsidP="00A02806">
      <w:pPr>
        <w:pStyle w:val="EndnoteText"/>
        <w:rPr>
          <w:rFonts w:ascii="Times New Roman" w:hAnsi="Times New Roman"/>
          <w:sz w:val="24"/>
          <w:szCs w:val="24"/>
        </w:rPr>
      </w:pPr>
    </w:p>
    <w:p w:rsidR="00A02806" w:rsidRPr="00883E1C" w:rsidRDefault="00A02806" w:rsidP="00A02806">
      <w:pPr>
        <w:pStyle w:val="EndnoteText"/>
        <w:rPr>
          <w:rFonts w:ascii="Times New Roman" w:hAnsi="Times New Roman"/>
          <w:sz w:val="24"/>
          <w:szCs w:val="24"/>
        </w:rPr>
      </w:pPr>
    </w:p>
    <w:p w:rsidR="00A02806" w:rsidRPr="00883E1C" w:rsidRDefault="00A02806" w:rsidP="00A02806">
      <w:pPr>
        <w:rPr>
          <w:rFonts w:ascii="Times New Roman" w:hAnsi="Times New Roman"/>
        </w:rPr>
      </w:pPr>
    </w:p>
    <w:p w:rsidR="00A02806" w:rsidRPr="00883E1C" w:rsidRDefault="00A02806" w:rsidP="00A02806">
      <w:pPr>
        <w:rPr>
          <w:rFonts w:ascii="Times New Roman" w:hAnsi="Times New Roman"/>
          <w:sz w:val="24"/>
          <w:szCs w:val="24"/>
        </w:rPr>
      </w:pPr>
    </w:p>
    <w:p w:rsidR="00A02806" w:rsidRPr="00883E1C" w:rsidRDefault="00A02806" w:rsidP="00A02806">
      <w:pPr>
        <w:rPr>
          <w:rFonts w:ascii="Times New Roman" w:hAnsi="Times New Roman"/>
          <w:sz w:val="24"/>
          <w:szCs w:val="24"/>
        </w:rPr>
      </w:pPr>
    </w:p>
    <w:p w:rsidR="00A02806" w:rsidRPr="00883E1C" w:rsidRDefault="00A02806" w:rsidP="00A02806">
      <w:pPr>
        <w:rPr>
          <w:rFonts w:ascii="Times New Roman" w:hAnsi="Times New Roman"/>
          <w:sz w:val="24"/>
          <w:szCs w:val="24"/>
        </w:rPr>
      </w:pPr>
    </w:p>
    <w:p w:rsidR="00A02806" w:rsidRPr="00883E1C" w:rsidRDefault="00A02806" w:rsidP="00A02806"/>
    <w:p w:rsidR="007F658C" w:rsidRDefault="007F658C" w:rsidP="007F658C">
      <w:pPr>
        <w:rPr>
          <w:rFonts w:ascii="Times New Roman" w:hAnsi="Times New Roman"/>
          <w:sz w:val="24"/>
          <w:szCs w:val="24"/>
        </w:rPr>
      </w:pPr>
    </w:p>
    <w:p w:rsidR="0062611D" w:rsidRPr="00883E1C" w:rsidRDefault="0062611D" w:rsidP="007F658C">
      <w:pPr>
        <w:rPr>
          <w:rFonts w:ascii="Times New Roman" w:hAnsi="Times New Roman"/>
          <w:sz w:val="24"/>
          <w:szCs w:val="24"/>
        </w:rPr>
      </w:pPr>
    </w:p>
    <w:p w:rsidR="00B65F56" w:rsidRPr="00883E1C" w:rsidRDefault="00B65F56" w:rsidP="00E26072">
      <w:pPr>
        <w:pStyle w:val="EndnoteText"/>
        <w:ind w:left="567" w:hanging="567"/>
        <w:jc w:val="center"/>
        <w:rPr>
          <w:rFonts w:ascii="Times New Roman" w:hAnsi="Times New Roman"/>
          <w:b/>
          <w:sz w:val="24"/>
          <w:szCs w:val="24"/>
        </w:rPr>
      </w:pPr>
    </w:p>
    <w:p w:rsidR="00B65F56" w:rsidRPr="00883E1C" w:rsidRDefault="00B65F56" w:rsidP="00E26072">
      <w:pPr>
        <w:pStyle w:val="EndnoteText"/>
        <w:ind w:left="567" w:hanging="567"/>
        <w:jc w:val="center"/>
        <w:rPr>
          <w:rFonts w:ascii="Times New Roman" w:hAnsi="Times New Roman"/>
          <w:b/>
          <w:sz w:val="24"/>
          <w:szCs w:val="24"/>
        </w:rPr>
      </w:pPr>
    </w:p>
    <w:p w:rsidR="00B65F56" w:rsidRPr="00883E1C" w:rsidRDefault="00B65F56" w:rsidP="00E26072">
      <w:pPr>
        <w:pStyle w:val="EndnoteText"/>
        <w:ind w:left="567" w:hanging="567"/>
        <w:jc w:val="center"/>
        <w:rPr>
          <w:rFonts w:ascii="Times New Roman" w:hAnsi="Times New Roman"/>
          <w:b/>
          <w:sz w:val="24"/>
          <w:szCs w:val="24"/>
        </w:rPr>
      </w:pPr>
    </w:p>
    <w:p w:rsidR="00BA3D19" w:rsidRPr="00883E1C" w:rsidRDefault="00BA3D19" w:rsidP="00E26072">
      <w:pPr>
        <w:pStyle w:val="EndnoteText"/>
        <w:ind w:left="567" w:hanging="567"/>
        <w:jc w:val="center"/>
        <w:rPr>
          <w:rFonts w:ascii="Times New Roman" w:hAnsi="Times New Roman"/>
          <w:b/>
          <w:sz w:val="24"/>
          <w:szCs w:val="24"/>
        </w:rPr>
      </w:pPr>
    </w:p>
    <w:p w:rsidR="00551889" w:rsidRPr="00883E1C" w:rsidRDefault="00551889" w:rsidP="00E26072">
      <w:pPr>
        <w:pStyle w:val="EndnoteText"/>
        <w:ind w:left="567" w:hanging="567"/>
        <w:jc w:val="center"/>
        <w:rPr>
          <w:rFonts w:ascii="Times New Roman" w:hAnsi="Times New Roman"/>
          <w:b/>
          <w:sz w:val="24"/>
          <w:szCs w:val="24"/>
        </w:rPr>
      </w:pPr>
    </w:p>
    <w:p w:rsidR="00551889" w:rsidRPr="00883E1C" w:rsidRDefault="00551889" w:rsidP="00E26072">
      <w:pPr>
        <w:pStyle w:val="EndnoteText"/>
        <w:ind w:left="567" w:hanging="567"/>
        <w:jc w:val="center"/>
        <w:rPr>
          <w:rFonts w:ascii="Times New Roman" w:hAnsi="Times New Roman"/>
          <w:b/>
          <w:sz w:val="24"/>
          <w:szCs w:val="24"/>
        </w:rPr>
      </w:pPr>
    </w:p>
    <w:p w:rsidR="00551889" w:rsidRPr="00883E1C" w:rsidRDefault="00551889" w:rsidP="00E26072">
      <w:pPr>
        <w:pStyle w:val="EndnoteText"/>
        <w:ind w:left="567" w:hanging="567"/>
        <w:jc w:val="center"/>
        <w:rPr>
          <w:rFonts w:ascii="Times New Roman" w:hAnsi="Times New Roman"/>
          <w:b/>
          <w:sz w:val="24"/>
          <w:szCs w:val="24"/>
        </w:rPr>
      </w:pPr>
    </w:p>
    <w:p w:rsidR="00551889" w:rsidRPr="00883E1C" w:rsidRDefault="00551889" w:rsidP="00E26072">
      <w:pPr>
        <w:pStyle w:val="EndnoteText"/>
        <w:ind w:left="567" w:hanging="567"/>
        <w:jc w:val="center"/>
        <w:rPr>
          <w:rFonts w:ascii="Times New Roman" w:hAnsi="Times New Roman"/>
          <w:b/>
          <w:sz w:val="24"/>
          <w:szCs w:val="24"/>
        </w:rPr>
      </w:pPr>
    </w:p>
    <w:p w:rsidR="00092A24" w:rsidRPr="00883E1C" w:rsidRDefault="009D14D1" w:rsidP="00E26072">
      <w:pPr>
        <w:pStyle w:val="EndnoteText"/>
        <w:ind w:left="567" w:hanging="567"/>
        <w:jc w:val="center"/>
        <w:rPr>
          <w:rFonts w:ascii="Times New Roman" w:hAnsi="Times New Roman"/>
          <w:b/>
          <w:sz w:val="24"/>
          <w:szCs w:val="24"/>
        </w:rPr>
      </w:pPr>
      <w:r>
        <w:rPr>
          <w:rFonts w:ascii="Times New Roman" w:hAnsi="Times New Roman"/>
          <w:b/>
          <w:sz w:val="24"/>
          <w:szCs w:val="24"/>
        </w:rPr>
        <w:t xml:space="preserve"> </w:t>
      </w:r>
    </w:p>
    <w:sectPr w:rsidR="00092A24" w:rsidRPr="00883E1C" w:rsidSect="008A4411">
      <w:footerReference w:type="default" r:id="rId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4F" w:rsidRDefault="00A9044F" w:rsidP="00F11B61">
      <w:pPr>
        <w:spacing w:after="0" w:line="240" w:lineRule="auto"/>
      </w:pPr>
      <w:r>
        <w:separator/>
      </w:r>
    </w:p>
  </w:endnote>
  <w:endnote w:type="continuationSeparator" w:id="0">
    <w:p w:rsidR="00A9044F" w:rsidRDefault="00A9044F" w:rsidP="00F11B61">
      <w:pPr>
        <w:spacing w:after="0" w:line="240" w:lineRule="auto"/>
      </w:pPr>
      <w:r>
        <w:continuationSeparator/>
      </w:r>
    </w:p>
  </w:endnote>
  <w:endnote w:id="1">
    <w:p w:rsidR="00883E1C" w:rsidRPr="0062611D" w:rsidRDefault="00883E1C" w:rsidP="009F1BB0">
      <w:pPr>
        <w:spacing w:after="0" w:line="240" w:lineRule="auto"/>
        <w:rPr>
          <w:rFonts w:ascii="Times New Roman" w:hAnsi="Times New Roman"/>
          <w:sz w:val="24"/>
          <w:szCs w:val="24"/>
        </w:rPr>
      </w:pPr>
      <w:r w:rsidRPr="0062611D">
        <w:rPr>
          <w:rStyle w:val="EndnoteReference"/>
          <w:rFonts w:ascii="Times New Roman" w:hAnsi="Times New Roman"/>
          <w:sz w:val="24"/>
          <w:szCs w:val="24"/>
        </w:rPr>
        <w:endnoteRef/>
      </w:r>
      <w:r w:rsidRPr="0062611D">
        <w:rPr>
          <w:rFonts w:ascii="Times New Roman" w:hAnsi="Times New Roman"/>
          <w:sz w:val="24"/>
          <w:szCs w:val="24"/>
        </w:rPr>
        <w:t xml:space="preserve"> In 2008</w:t>
      </w:r>
      <w:r w:rsidR="00F04C73" w:rsidRPr="0062611D">
        <w:rPr>
          <w:rFonts w:ascii="Times New Roman" w:hAnsi="Times New Roman"/>
          <w:sz w:val="24"/>
          <w:szCs w:val="24"/>
        </w:rPr>
        <w:t>,</w:t>
      </w:r>
      <w:r w:rsidRPr="0062611D">
        <w:rPr>
          <w:rFonts w:ascii="Times New Roman" w:hAnsi="Times New Roman"/>
          <w:sz w:val="24"/>
          <w:szCs w:val="24"/>
        </w:rPr>
        <w:t xml:space="preserve"> the IDA (the SRO responsible for regulating investment and brokerage firms in Canada) and Market Regulation Services Inc. (“RS”- the SRO responsible for regulating the marketplace), merged </w:t>
      </w:r>
      <w:r w:rsidR="00F04C73" w:rsidRPr="0062611D">
        <w:rPr>
          <w:rFonts w:ascii="Times New Roman" w:hAnsi="Times New Roman"/>
          <w:sz w:val="24"/>
          <w:szCs w:val="24"/>
        </w:rPr>
        <w:t>t</w:t>
      </w:r>
      <w:r w:rsidRPr="0062611D">
        <w:rPr>
          <w:rFonts w:ascii="Times New Roman" w:hAnsi="Times New Roman"/>
          <w:sz w:val="24"/>
          <w:szCs w:val="24"/>
        </w:rPr>
        <w:t xml:space="preserve">o </w:t>
      </w:r>
      <w:r w:rsidR="00F04C73" w:rsidRPr="0062611D">
        <w:rPr>
          <w:rFonts w:ascii="Times New Roman" w:hAnsi="Times New Roman"/>
          <w:sz w:val="24"/>
          <w:szCs w:val="24"/>
        </w:rPr>
        <w:t>create the</w:t>
      </w:r>
      <w:r w:rsidRPr="0062611D">
        <w:rPr>
          <w:rFonts w:ascii="Times New Roman" w:hAnsi="Times New Roman"/>
          <w:sz w:val="24"/>
          <w:szCs w:val="24"/>
        </w:rPr>
        <w:t xml:space="preserve"> Investment Industry Regulatory Organization of Canada (IIROC).</w:t>
      </w:r>
    </w:p>
  </w:endnote>
  <w:endnote w:id="2">
    <w:p w:rsidR="00F04C73" w:rsidRPr="0062611D" w:rsidRDefault="00F04C73" w:rsidP="00F04C73">
      <w:pPr>
        <w:pStyle w:val="NormalIndent"/>
        <w:spacing w:after="0" w:line="240" w:lineRule="auto"/>
        <w:ind w:firstLine="0"/>
        <w:rPr>
          <w:rFonts w:ascii="Times New Roman" w:hAnsi="Times New Roman"/>
          <w:sz w:val="24"/>
          <w:szCs w:val="24"/>
          <w:lang w:val="en-GB"/>
        </w:rPr>
      </w:pPr>
      <w:r w:rsidRPr="0062611D">
        <w:rPr>
          <w:rStyle w:val="EndnoteReference"/>
          <w:rFonts w:ascii="Times New Roman" w:hAnsi="Times New Roman"/>
          <w:sz w:val="24"/>
          <w:szCs w:val="24"/>
        </w:rPr>
        <w:endnoteRef/>
      </w:r>
      <w:r w:rsidRPr="0062611D">
        <w:rPr>
          <w:rFonts w:ascii="Times New Roman" w:hAnsi="Times New Roman"/>
          <w:sz w:val="24"/>
          <w:szCs w:val="24"/>
        </w:rPr>
        <w:t xml:space="preserve"> The IDA’s Complaints and Settlement Reporting System (ComSet) is a database maintained by IIROC that requires Member firms to report investors’ complaints and disciplinary actions taken against registrants.  </w:t>
      </w:r>
    </w:p>
  </w:endnote>
  <w:endnote w:id="3">
    <w:p w:rsidR="00883E1C" w:rsidRPr="0062611D" w:rsidRDefault="00883E1C" w:rsidP="00F229E1">
      <w:pPr>
        <w:pStyle w:val="EndnoteText"/>
        <w:rPr>
          <w:rFonts w:ascii="Times New Roman" w:hAnsi="Times New Roman"/>
          <w:sz w:val="24"/>
          <w:szCs w:val="24"/>
          <w:lang w:val="en-CA"/>
        </w:rPr>
      </w:pPr>
      <w:r w:rsidRPr="0062611D">
        <w:rPr>
          <w:rStyle w:val="EndnoteReference"/>
          <w:rFonts w:ascii="Times New Roman" w:hAnsi="Times New Roman"/>
          <w:sz w:val="24"/>
          <w:szCs w:val="24"/>
        </w:rPr>
        <w:endnoteRef/>
      </w:r>
      <w:r w:rsidRPr="0062611D">
        <w:rPr>
          <w:rFonts w:ascii="Times New Roman" w:hAnsi="Times New Roman"/>
          <w:sz w:val="24"/>
          <w:szCs w:val="24"/>
          <w:lang w:val="en-CA"/>
        </w:rPr>
        <w:t xml:space="preserve"> In interpreting these findings, it is important to point out that some of the files that were closed in a particular year were in fact open in the previous year. </w:t>
      </w:r>
    </w:p>
  </w:endnote>
  <w:endnote w:id="4">
    <w:p w:rsidR="00883E1C" w:rsidRPr="0062611D" w:rsidRDefault="00883E1C" w:rsidP="00F229E1">
      <w:pPr>
        <w:pStyle w:val="EndnoteText"/>
        <w:rPr>
          <w:rFonts w:ascii="Times New Roman" w:hAnsi="Times New Roman"/>
          <w:sz w:val="24"/>
          <w:szCs w:val="24"/>
        </w:rPr>
      </w:pPr>
      <w:r w:rsidRPr="0062611D">
        <w:rPr>
          <w:rStyle w:val="EndnoteReference"/>
          <w:rFonts w:ascii="Times New Roman" w:hAnsi="Times New Roman"/>
          <w:sz w:val="24"/>
          <w:szCs w:val="24"/>
        </w:rPr>
        <w:endnoteRef/>
      </w:r>
      <w:r w:rsidRPr="0062611D">
        <w:rPr>
          <w:rFonts w:ascii="Times New Roman" w:hAnsi="Times New Roman"/>
          <w:sz w:val="24"/>
          <w:szCs w:val="24"/>
        </w:rPr>
        <w:t xml:space="preserve"> The number of cases stayed and/or dismissed for 2007 was not recorded in the IDA’s 2007 annual report. One can only assume that for various reasons, the IDA chooses not to record these because the number of cases left open at the end of 2007 should have been calculated as follows: (176-71 = 105 instead of 97). </w:t>
      </w:r>
    </w:p>
  </w:endnote>
  <w:endnote w:id="5">
    <w:p w:rsidR="0062611D" w:rsidRPr="0062611D" w:rsidRDefault="0062611D" w:rsidP="0062611D">
      <w:pPr>
        <w:pStyle w:val="FootnoteText"/>
        <w:rPr>
          <w:rFonts w:ascii="Times New Roman" w:hAnsi="Times New Roman"/>
          <w:sz w:val="24"/>
          <w:szCs w:val="24"/>
          <w:lang w:val="en-GB"/>
        </w:rPr>
      </w:pPr>
      <w:r w:rsidRPr="0062611D">
        <w:rPr>
          <w:rStyle w:val="EndnoteReference"/>
          <w:rFonts w:ascii="Times New Roman" w:hAnsi="Times New Roman"/>
          <w:sz w:val="24"/>
          <w:szCs w:val="24"/>
        </w:rPr>
        <w:endnoteRef/>
      </w:r>
      <w:r w:rsidRPr="0062611D">
        <w:rPr>
          <w:rFonts w:ascii="Times New Roman" w:hAnsi="Times New Roman"/>
          <w:sz w:val="24"/>
          <w:szCs w:val="24"/>
        </w:rPr>
        <w:t xml:space="preserve"> A </w:t>
      </w:r>
      <w:r w:rsidRPr="0062611D">
        <w:rPr>
          <w:rFonts w:ascii="Times New Roman" w:hAnsi="Times New Roman"/>
          <w:sz w:val="24"/>
          <w:szCs w:val="24"/>
          <w:lang w:bidi="ar-SA"/>
        </w:rPr>
        <w:t xml:space="preserve">permanent suspension will end up in a termination or a winding up of the firm. Firms that wind up are </w:t>
      </w:r>
      <w:r w:rsidRPr="0062611D">
        <w:rPr>
          <w:rFonts w:ascii="Times New Roman" w:hAnsi="Times New Roman"/>
          <w:sz w:val="24"/>
          <w:szCs w:val="24"/>
        </w:rPr>
        <w:t>voluntarily released from the membership - expulsions are non-voluntary.</w:t>
      </w:r>
    </w:p>
    <w:p w:rsidR="0062611D" w:rsidRPr="0062611D" w:rsidRDefault="0062611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Next Pro Bold">
    <w:altName w:val="Frutiger Next Pro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1233"/>
      <w:docPartObj>
        <w:docPartGallery w:val="Page Numbers (Bottom of Page)"/>
        <w:docPartUnique/>
      </w:docPartObj>
    </w:sdtPr>
    <w:sdtEndPr/>
    <w:sdtContent>
      <w:p w:rsidR="00883E1C" w:rsidRDefault="00883E1C">
        <w:pPr>
          <w:pStyle w:val="Footer"/>
        </w:pPr>
        <w:r>
          <w:fldChar w:fldCharType="begin"/>
        </w:r>
        <w:r>
          <w:instrText xml:space="preserve"> PAGE   \* MERGEFORMAT </w:instrText>
        </w:r>
        <w:r>
          <w:fldChar w:fldCharType="separate"/>
        </w:r>
        <w:r w:rsidR="00915863">
          <w:rPr>
            <w:noProof/>
          </w:rPr>
          <w:t>1</w:t>
        </w:r>
        <w:r>
          <w:rPr>
            <w:noProof/>
          </w:rPr>
          <w:fldChar w:fldCharType="end"/>
        </w:r>
      </w:p>
    </w:sdtContent>
  </w:sdt>
  <w:p w:rsidR="00883E1C" w:rsidRDefault="00883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4F" w:rsidRDefault="00A9044F" w:rsidP="00F11B61">
      <w:pPr>
        <w:spacing w:after="0" w:line="240" w:lineRule="auto"/>
      </w:pPr>
      <w:r>
        <w:separator/>
      </w:r>
    </w:p>
  </w:footnote>
  <w:footnote w:type="continuationSeparator" w:id="0">
    <w:p w:rsidR="00A9044F" w:rsidRDefault="00A9044F" w:rsidP="00F11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48806A"/>
    <w:lvl w:ilvl="0">
      <w:start w:val="1"/>
      <w:numFmt w:val="decimal"/>
      <w:lvlText w:val="%1."/>
      <w:lvlJc w:val="left"/>
      <w:pPr>
        <w:tabs>
          <w:tab w:val="num" w:pos="1800"/>
        </w:tabs>
        <w:ind w:left="1800" w:hanging="360"/>
      </w:pPr>
    </w:lvl>
  </w:abstractNum>
  <w:abstractNum w:abstractNumId="1">
    <w:nsid w:val="FFFFFF7D"/>
    <w:multiLevelType w:val="singleLevel"/>
    <w:tmpl w:val="E5464C98"/>
    <w:lvl w:ilvl="0">
      <w:start w:val="1"/>
      <w:numFmt w:val="decimal"/>
      <w:lvlText w:val="%1."/>
      <w:lvlJc w:val="left"/>
      <w:pPr>
        <w:tabs>
          <w:tab w:val="num" w:pos="1440"/>
        </w:tabs>
        <w:ind w:left="1440" w:hanging="360"/>
      </w:pPr>
    </w:lvl>
  </w:abstractNum>
  <w:abstractNum w:abstractNumId="2">
    <w:nsid w:val="FFFFFF7E"/>
    <w:multiLevelType w:val="singleLevel"/>
    <w:tmpl w:val="9C444E08"/>
    <w:lvl w:ilvl="0">
      <w:start w:val="1"/>
      <w:numFmt w:val="decimal"/>
      <w:lvlText w:val="%1."/>
      <w:lvlJc w:val="left"/>
      <w:pPr>
        <w:tabs>
          <w:tab w:val="num" w:pos="1080"/>
        </w:tabs>
        <w:ind w:left="1080" w:hanging="360"/>
      </w:pPr>
    </w:lvl>
  </w:abstractNum>
  <w:abstractNum w:abstractNumId="3">
    <w:nsid w:val="FFFFFF7F"/>
    <w:multiLevelType w:val="singleLevel"/>
    <w:tmpl w:val="87C87310"/>
    <w:lvl w:ilvl="0">
      <w:start w:val="1"/>
      <w:numFmt w:val="decimal"/>
      <w:lvlText w:val="%1."/>
      <w:lvlJc w:val="left"/>
      <w:pPr>
        <w:tabs>
          <w:tab w:val="num" w:pos="720"/>
        </w:tabs>
        <w:ind w:left="720" w:hanging="360"/>
      </w:pPr>
    </w:lvl>
  </w:abstractNum>
  <w:abstractNum w:abstractNumId="4">
    <w:nsid w:val="FFFFFF80"/>
    <w:multiLevelType w:val="singleLevel"/>
    <w:tmpl w:val="209671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6E52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FE9F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545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FCB18A"/>
    <w:lvl w:ilvl="0">
      <w:start w:val="1"/>
      <w:numFmt w:val="decimal"/>
      <w:lvlText w:val="%1."/>
      <w:lvlJc w:val="left"/>
      <w:pPr>
        <w:tabs>
          <w:tab w:val="num" w:pos="360"/>
        </w:tabs>
        <w:ind w:left="360" w:hanging="360"/>
      </w:pPr>
    </w:lvl>
  </w:abstractNum>
  <w:abstractNum w:abstractNumId="9">
    <w:nsid w:val="FFFFFF89"/>
    <w:multiLevelType w:val="singleLevel"/>
    <w:tmpl w:val="32460CE2"/>
    <w:lvl w:ilvl="0">
      <w:start w:val="1"/>
      <w:numFmt w:val="bullet"/>
      <w:lvlText w:val=""/>
      <w:lvlJc w:val="left"/>
      <w:pPr>
        <w:tabs>
          <w:tab w:val="num" w:pos="360"/>
        </w:tabs>
        <w:ind w:left="360" w:hanging="360"/>
      </w:pPr>
      <w:rPr>
        <w:rFonts w:ascii="Symbol" w:hAnsi="Symbol" w:hint="default"/>
      </w:rPr>
    </w:lvl>
  </w:abstractNum>
  <w:abstractNum w:abstractNumId="10">
    <w:nsid w:val="12B445DC"/>
    <w:multiLevelType w:val="hybridMultilevel"/>
    <w:tmpl w:val="16728234"/>
    <w:lvl w:ilvl="0" w:tplc="6A7EEE0C">
      <w:start w:val="1"/>
      <w:numFmt w:val="bullet"/>
      <w:pStyle w:val="2AbstractKeywords"/>
      <w:lvlText w:val="•"/>
      <w:lvlJc w:val="left"/>
      <w:pPr>
        <w:ind w:left="720" w:hanging="360"/>
      </w:pPr>
      <w:rPr>
        <w:rFonts w:ascii="Arial Narrow" w:hAnsi="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D22149"/>
    <w:multiLevelType w:val="hybridMultilevel"/>
    <w:tmpl w:val="709C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02D8D"/>
    <w:multiLevelType w:val="hybridMultilevel"/>
    <w:tmpl w:val="FB2C9392"/>
    <w:lvl w:ilvl="0" w:tplc="B9429500">
      <w:start w:val="1"/>
      <w:numFmt w:val="bullet"/>
      <w:pStyle w:val="6AppendTableHeadCenter"/>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0357F3"/>
    <w:multiLevelType w:val="hybridMultilevel"/>
    <w:tmpl w:val="427E5A44"/>
    <w:lvl w:ilvl="0" w:tplc="51BAAAF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DF767C"/>
    <w:multiLevelType w:val="multilevel"/>
    <w:tmpl w:val="67DCBBBE"/>
    <w:lvl w:ilvl="0">
      <w:start w:val="1"/>
      <w:numFmt w:val="bullet"/>
      <w:lvlText w:val=""/>
      <w:lvlJc w:val="left"/>
      <w:pPr>
        <w:tabs>
          <w:tab w:val="num" w:pos="1003"/>
        </w:tabs>
        <w:ind w:left="1003" w:hanging="360"/>
      </w:pPr>
      <w:rPr>
        <w:rFonts w:ascii="Symbol" w:hAnsi="Symbol" w:hint="default"/>
        <w:sz w:val="20"/>
      </w:rPr>
    </w:lvl>
    <w:lvl w:ilvl="1" w:tentative="1">
      <w:start w:val="1"/>
      <w:numFmt w:val="bullet"/>
      <w:lvlText w:val="o"/>
      <w:lvlJc w:val="left"/>
      <w:pPr>
        <w:tabs>
          <w:tab w:val="num" w:pos="1723"/>
        </w:tabs>
        <w:ind w:left="1723" w:hanging="360"/>
      </w:pPr>
      <w:rPr>
        <w:rFonts w:ascii="Courier New" w:hAnsi="Courier New" w:hint="default"/>
        <w:sz w:val="20"/>
      </w:rPr>
    </w:lvl>
    <w:lvl w:ilvl="2" w:tentative="1">
      <w:start w:val="1"/>
      <w:numFmt w:val="bullet"/>
      <w:lvlText w:val=""/>
      <w:lvlJc w:val="left"/>
      <w:pPr>
        <w:tabs>
          <w:tab w:val="num" w:pos="2443"/>
        </w:tabs>
        <w:ind w:left="2443" w:hanging="360"/>
      </w:pPr>
      <w:rPr>
        <w:rFonts w:ascii="Wingdings" w:hAnsi="Wingdings" w:hint="default"/>
        <w:sz w:val="20"/>
      </w:rPr>
    </w:lvl>
    <w:lvl w:ilvl="3" w:tentative="1">
      <w:start w:val="1"/>
      <w:numFmt w:val="bullet"/>
      <w:lvlText w:val=""/>
      <w:lvlJc w:val="left"/>
      <w:pPr>
        <w:tabs>
          <w:tab w:val="num" w:pos="3163"/>
        </w:tabs>
        <w:ind w:left="3163" w:hanging="360"/>
      </w:pPr>
      <w:rPr>
        <w:rFonts w:ascii="Wingdings" w:hAnsi="Wingdings" w:hint="default"/>
        <w:sz w:val="20"/>
      </w:rPr>
    </w:lvl>
    <w:lvl w:ilvl="4" w:tentative="1">
      <w:start w:val="1"/>
      <w:numFmt w:val="bullet"/>
      <w:lvlText w:val=""/>
      <w:lvlJc w:val="left"/>
      <w:pPr>
        <w:tabs>
          <w:tab w:val="num" w:pos="3883"/>
        </w:tabs>
        <w:ind w:left="3883" w:hanging="360"/>
      </w:pPr>
      <w:rPr>
        <w:rFonts w:ascii="Wingdings" w:hAnsi="Wingdings" w:hint="default"/>
        <w:sz w:val="20"/>
      </w:rPr>
    </w:lvl>
    <w:lvl w:ilvl="5" w:tentative="1">
      <w:start w:val="1"/>
      <w:numFmt w:val="bullet"/>
      <w:lvlText w:val=""/>
      <w:lvlJc w:val="left"/>
      <w:pPr>
        <w:tabs>
          <w:tab w:val="num" w:pos="4603"/>
        </w:tabs>
        <w:ind w:left="4603" w:hanging="360"/>
      </w:pPr>
      <w:rPr>
        <w:rFonts w:ascii="Wingdings" w:hAnsi="Wingdings" w:hint="default"/>
        <w:sz w:val="20"/>
      </w:rPr>
    </w:lvl>
    <w:lvl w:ilvl="6" w:tentative="1">
      <w:start w:val="1"/>
      <w:numFmt w:val="bullet"/>
      <w:lvlText w:val=""/>
      <w:lvlJc w:val="left"/>
      <w:pPr>
        <w:tabs>
          <w:tab w:val="num" w:pos="5323"/>
        </w:tabs>
        <w:ind w:left="5323" w:hanging="360"/>
      </w:pPr>
      <w:rPr>
        <w:rFonts w:ascii="Wingdings" w:hAnsi="Wingdings" w:hint="default"/>
        <w:sz w:val="20"/>
      </w:rPr>
    </w:lvl>
    <w:lvl w:ilvl="7" w:tentative="1">
      <w:start w:val="1"/>
      <w:numFmt w:val="bullet"/>
      <w:lvlText w:val=""/>
      <w:lvlJc w:val="left"/>
      <w:pPr>
        <w:tabs>
          <w:tab w:val="num" w:pos="6043"/>
        </w:tabs>
        <w:ind w:left="6043" w:hanging="360"/>
      </w:pPr>
      <w:rPr>
        <w:rFonts w:ascii="Wingdings" w:hAnsi="Wingdings" w:hint="default"/>
        <w:sz w:val="20"/>
      </w:rPr>
    </w:lvl>
    <w:lvl w:ilvl="8" w:tentative="1">
      <w:start w:val="1"/>
      <w:numFmt w:val="bullet"/>
      <w:lvlText w:val=""/>
      <w:lvlJc w:val="left"/>
      <w:pPr>
        <w:tabs>
          <w:tab w:val="num" w:pos="6763"/>
        </w:tabs>
        <w:ind w:left="6763" w:hanging="360"/>
      </w:pPr>
      <w:rPr>
        <w:rFonts w:ascii="Wingdings" w:hAnsi="Wingdings" w:hint="default"/>
        <w:sz w:val="20"/>
      </w:rPr>
    </w:lvl>
  </w:abstractNum>
  <w:abstractNum w:abstractNumId="15">
    <w:nsid w:val="36533C3F"/>
    <w:multiLevelType w:val="hybridMultilevel"/>
    <w:tmpl w:val="14E27416"/>
    <w:lvl w:ilvl="0" w:tplc="C9EC1D84">
      <w:start w:val="1"/>
      <w:numFmt w:val="bullet"/>
      <w:lvlText w:val="◦"/>
      <w:lvlJc w:val="left"/>
      <w:pPr>
        <w:tabs>
          <w:tab w:val="num" w:pos="720"/>
        </w:tabs>
        <w:ind w:left="720" w:hanging="360"/>
      </w:pPr>
      <w:rPr>
        <w:rFonts w:ascii="Verdana" w:hAnsi="Verdana" w:hint="default"/>
      </w:rPr>
    </w:lvl>
    <w:lvl w:ilvl="1" w:tplc="C762974A">
      <w:start w:val="1"/>
      <w:numFmt w:val="bullet"/>
      <w:lvlText w:val="◦"/>
      <w:lvlJc w:val="left"/>
      <w:pPr>
        <w:tabs>
          <w:tab w:val="num" w:pos="1440"/>
        </w:tabs>
        <w:ind w:left="1440" w:hanging="360"/>
      </w:pPr>
      <w:rPr>
        <w:rFonts w:ascii="Verdana" w:hAnsi="Verdana" w:hint="default"/>
      </w:rPr>
    </w:lvl>
    <w:lvl w:ilvl="2" w:tplc="6804C7B8" w:tentative="1">
      <w:start w:val="1"/>
      <w:numFmt w:val="bullet"/>
      <w:lvlText w:val="◦"/>
      <w:lvlJc w:val="left"/>
      <w:pPr>
        <w:tabs>
          <w:tab w:val="num" w:pos="2160"/>
        </w:tabs>
        <w:ind w:left="2160" w:hanging="360"/>
      </w:pPr>
      <w:rPr>
        <w:rFonts w:ascii="Verdana" w:hAnsi="Verdana" w:hint="default"/>
      </w:rPr>
    </w:lvl>
    <w:lvl w:ilvl="3" w:tplc="7F1826DC" w:tentative="1">
      <w:start w:val="1"/>
      <w:numFmt w:val="bullet"/>
      <w:lvlText w:val="◦"/>
      <w:lvlJc w:val="left"/>
      <w:pPr>
        <w:tabs>
          <w:tab w:val="num" w:pos="2880"/>
        </w:tabs>
        <w:ind w:left="2880" w:hanging="360"/>
      </w:pPr>
      <w:rPr>
        <w:rFonts w:ascii="Verdana" w:hAnsi="Verdana" w:hint="default"/>
      </w:rPr>
    </w:lvl>
    <w:lvl w:ilvl="4" w:tplc="10A84F3E" w:tentative="1">
      <w:start w:val="1"/>
      <w:numFmt w:val="bullet"/>
      <w:lvlText w:val="◦"/>
      <w:lvlJc w:val="left"/>
      <w:pPr>
        <w:tabs>
          <w:tab w:val="num" w:pos="3600"/>
        </w:tabs>
        <w:ind w:left="3600" w:hanging="360"/>
      </w:pPr>
      <w:rPr>
        <w:rFonts w:ascii="Verdana" w:hAnsi="Verdana" w:hint="default"/>
      </w:rPr>
    </w:lvl>
    <w:lvl w:ilvl="5" w:tplc="93A81C54" w:tentative="1">
      <w:start w:val="1"/>
      <w:numFmt w:val="bullet"/>
      <w:lvlText w:val="◦"/>
      <w:lvlJc w:val="left"/>
      <w:pPr>
        <w:tabs>
          <w:tab w:val="num" w:pos="4320"/>
        </w:tabs>
        <w:ind w:left="4320" w:hanging="360"/>
      </w:pPr>
      <w:rPr>
        <w:rFonts w:ascii="Verdana" w:hAnsi="Verdana" w:hint="default"/>
      </w:rPr>
    </w:lvl>
    <w:lvl w:ilvl="6" w:tplc="084CACEE" w:tentative="1">
      <w:start w:val="1"/>
      <w:numFmt w:val="bullet"/>
      <w:lvlText w:val="◦"/>
      <w:lvlJc w:val="left"/>
      <w:pPr>
        <w:tabs>
          <w:tab w:val="num" w:pos="5040"/>
        </w:tabs>
        <w:ind w:left="5040" w:hanging="360"/>
      </w:pPr>
      <w:rPr>
        <w:rFonts w:ascii="Verdana" w:hAnsi="Verdana" w:hint="default"/>
      </w:rPr>
    </w:lvl>
    <w:lvl w:ilvl="7" w:tplc="91B8E604" w:tentative="1">
      <w:start w:val="1"/>
      <w:numFmt w:val="bullet"/>
      <w:lvlText w:val="◦"/>
      <w:lvlJc w:val="left"/>
      <w:pPr>
        <w:tabs>
          <w:tab w:val="num" w:pos="5760"/>
        </w:tabs>
        <w:ind w:left="5760" w:hanging="360"/>
      </w:pPr>
      <w:rPr>
        <w:rFonts w:ascii="Verdana" w:hAnsi="Verdana" w:hint="default"/>
      </w:rPr>
    </w:lvl>
    <w:lvl w:ilvl="8" w:tplc="C0DE859E" w:tentative="1">
      <w:start w:val="1"/>
      <w:numFmt w:val="bullet"/>
      <w:lvlText w:val="◦"/>
      <w:lvlJc w:val="left"/>
      <w:pPr>
        <w:tabs>
          <w:tab w:val="num" w:pos="6480"/>
        </w:tabs>
        <w:ind w:left="6480" w:hanging="360"/>
      </w:pPr>
      <w:rPr>
        <w:rFonts w:ascii="Verdana" w:hAnsi="Verdana" w:hint="default"/>
      </w:rPr>
    </w:lvl>
  </w:abstractNum>
  <w:abstractNum w:abstractNumId="16">
    <w:nsid w:val="3D7E522B"/>
    <w:multiLevelType w:val="hybridMultilevel"/>
    <w:tmpl w:val="0ACCA502"/>
    <w:lvl w:ilvl="0" w:tplc="04090001">
      <w:start w:val="1"/>
      <w:numFmt w:val="bullet"/>
      <w:pStyle w:val="6AppendQuestion"/>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FC7B99"/>
    <w:multiLevelType w:val="hybridMultilevel"/>
    <w:tmpl w:val="EE84E5AE"/>
    <w:lvl w:ilvl="0" w:tplc="743A65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A6E23CB"/>
    <w:multiLevelType w:val="hybridMultilevel"/>
    <w:tmpl w:val="7154FC06"/>
    <w:lvl w:ilvl="0" w:tplc="77B84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073940"/>
    <w:multiLevelType w:val="hybridMultilevel"/>
    <w:tmpl w:val="C4C2B792"/>
    <w:lvl w:ilvl="0" w:tplc="EC56442C">
      <w:start w:val="1"/>
      <w:numFmt w:val="decimal"/>
      <w:pStyle w:val="Heading1"/>
      <w:lvlText w:val="Chapter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E3332C7"/>
    <w:multiLevelType w:val="hybridMultilevel"/>
    <w:tmpl w:val="86A4B86E"/>
    <w:lvl w:ilvl="0" w:tplc="09DCA7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B01A3"/>
    <w:multiLevelType w:val="hybridMultilevel"/>
    <w:tmpl w:val="E48A1600"/>
    <w:lvl w:ilvl="0" w:tplc="84A88964">
      <w:start w:val="1"/>
      <w:numFmt w:val="decimal"/>
      <w:lvlText w:val="%1."/>
      <w:lvlJc w:val="left"/>
      <w:pPr>
        <w:ind w:left="117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8B619B5"/>
    <w:multiLevelType w:val="hybridMultilevel"/>
    <w:tmpl w:val="58EEF9D6"/>
    <w:lvl w:ilvl="0" w:tplc="0F5EC840">
      <w:numFmt w:val="bullet"/>
      <w:pStyle w:val="3BodyBulletMultipleParas"/>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A1A2AA4"/>
    <w:multiLevelType w:val="singleLevel"/>
    <w:tmpl w:val="ADE6E3E4"/>
    <w:lvl w:ilvl="0">
      <w:start w:val="1"/>
      <w:numFmt w:val="bullet"/>
      <w:pStyle w:val="BulletpointEmerald"/>
      <w:lvlText w:val=""/>
      <w:lvlJc w:val="left"/>
      <w:pPr>
        <w:tabs>
          <w:tab w:val="num" w:pos="360"/>
        </w:tabs>
        <w:ind w:left="360" w:hanging="360"/>
      </w:pPr>
      <w:rPr>
        <w:rFonts w:ascii="Symbol" w:hAnsi="Symbol" w:hint="default"/>
        <w:sz w:val="16"/>
      </w:rPr>
    </w:lvl>
  </w:abstractNum>
  <w:num w:numId="1">
    <w:abstractNumId w:val="22"/>
  </w:num>
  <w:num w:numId="2">
    <w:abstractNumId w:val="16"/>
  </w:num>
  <w:num w:numId="3">
    <w:abstractNumId w:val="12"/>
  </w:num>
  <w:num w:numId="4">
    <w:abstractNumId w:val="10"/>
  </w:num>
  <w:num w:numId="5">
    <w:abstractNumId w:val="13"/>
  </w:num>
  <w:num w:numId="6">
    <w:abstractNumId w:val="21"/>
  </w:num>
  <w:num w:numId="7">
    <w:abstractNumId w:val="20"/>
  </w:num>
  <w:num w:numId="8">
    <w:abstractNumId w:val="17"/>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lvlOverride w:ilvl="0">
      <w:startOverride w:val="1"/>
    </w:lvlOverride>
  </w:num>
  <w:num w:numId="21">
    <w:abstractNumId w:val="15"/>
  </w:num>
  <w:num w:numId="22">
    <w:abstractNumId w:val="11"/>
  </w:num>
  <w:num w:numId="23">
    <w:abstractNumId w:val="14"/>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61"/>
    <w:rsid w:val="0000039A"/>
    <w:rsid w:val="00001405"/>
    <w:rsid w:val="000038DD"/>
    <w:rsid w:val="00003DA6"/>
    <w:rsid w:val="00004798"/>
    <w:rsid w:val="000051E0"/>
    <w:rsid w:val="00006268"/>
    <w:rsid w:val="00010A44"/>
    <w:rsid w:val="00012AC3"/>
    <w:rsid w:val="000132F9"/>
    <w:rsid w:val="00013C58"/>
    <w:rsid w:val="00014243"/>
    <w:rsid w:val="00014247"/>
    <w:rsid w:val="00017433"/>
    <w:rsid w:val="000212DC"/>
    <w:rsid w:val="0002156C"/>
    <w:rsid w:val="00021D36"/>
    <w:rsid w:val="00022797"/>
    <w:rsid w:val="00024CFF"/>
    <w:rsid w:val="00026840"/>
    <w:rsid w:val="00027C46"/>
    <w:rsid w:val="0003122F"/>
    <w:rsid w:val="0003348F"/>
    <w:rsid w:val="00033536"/>
    <w:rsid w:val="0003650E"/>
    <w:rsid w:val="0003651E"/>
    <w:rsid w:val="00036714"/>
    <w:rsid w:val="00040278"/>
    <w:rsid w:val="00041261"/>
    <w:rsid w:val="000434D5"/>
    <w:rsid w:val="00044866"/>
    <w:rsid w:val="000461F6"/>
    <w:rsid w:val="00047F46"/>
    <w:rsid w:val="000528E2"/>
    <w:rsid w:val="00052D48"/>
    <w:rsid w:val="00053380"/>
    <w:rsid w:val="00054704"/>
    <w:rsid w:val="000548FE"/>
    <w:rsid w:val="000569C0"/>
    <w:rsid w:val="00061CBC"/>
    <w:rsid w:val="00063372"/>
    <w:rsid w:val="00063E56"/>
    <w:rsid w:val="00063F71"/>
    <w:rsid w:val="00064993"/>
    <w:rsid w:val="000702EC"/>
    <w:rsid w:val="00070E3E"/>
    <w:rsid w:val="00071F0D"/>
    <w:rsid w:val="0007250F"/>
    <w:rsid w:val="0007367E"/>
    <w:rsid w:val="000766B8"/>
    <w:rsid w:val="00077B08"/>
    <w:rsid w:val="000808A2"/>
    <w:rsid w:val="000809BC"/>
    <w:rsid w:val="00081C69"/>
    <w:rsid w:val="00082E8D"/>
    <w:rsid w:val="00083E90"/>
    <w:rsid w:val="00084C6C"/>
    <w:rsid w:val="00084DBE"/>
    <w:rsid w:val="00085812"/>
    <w:rsid w:val="00090670"/>
    <w:rsid w:val="0009128C"/>
    <w:rsid w:val="00092786"/>
    <w:rsid w:val="00092A24"/>
    <w:rsid w:val="0009465D"/>
    <w:rsid w:val="0009656F"/>
    <w:rsid w:val="00096651"/>
    <w:rsid w:val="000968A1"/>
    <w:rsid w:val="00097C6B"/>
    <w:rsid w:val="000A0804"/>
    <w:rsid w:val="000A0D9D"/>
    <w:rsid w:val="000A15BB"/>
    <w:rsid w:val="000A49DC"/>
    <w:rsid w:val="000A5C94"/>
    <w:rsid w:val="000A6A38"/>
    <w:rsid w:val="000A6F80"/>
    <w:rsid w:val="000B06E3"/>
    <w:rsid w:val="000B1245"/>
    <w:rsid w:val="000B3700"/>
    <w:rsid w:val="000B51F3"/>
    <w:rsid w:val="000B6F30"/>
    <w:rsid w:val="000C1FD3"/>
    <w:rsid w:val="000C64EB"/>
    <w:rsid w:val="000C64EF"/>
    <w:rsid w:val="000D1CC3"/>
    <w:rsid w:val="000D592B"/>
    <w:rsid w:val="000D5B80"/>
    <w:rsid w:val="000D60E4"/>
    <w:rsid w:val="000D63B9"/>
    <w:rsid w:val="000D6D2E"/>
    <w:rsid w:val="000D6D8B"/>
    <w:rsid w:val="000D758A"/>
    <w:rsid w:val="000D7B97"/>
    <w:rsid w:val="000D7DA3"/>
    <w:rsid w:val="000E0BDE"/>
    <w:rsid w:val="000E1095"/>
    <w:rsid w:val="000E190B"/>
    <w:rsid w:val="000E361E"/>
    <w:rsid w:val="000E36FB"/>
    <w:rsid w:val="000E6808"/>
    <w:rsid w:val="000F02C1"/>
    <w:rsid w:val="000F191E"/>
    <w:rsid w:val="000F1E86"/>
    <w:rsid w:val="000F250C"/>
    <w:rsid w:val="000F30B9"/>
    <w:rsid w:val="000F3D19"/>
    <w:rsid w:val="000F422B"/>
    <w:rsid w:val="000F4A07"/>
    <w:rsid w:val="000F4BE0"/>
    <w:rsid w:val="000F676A"/>
    <w:rsid w:val="000F7A8E"/>
    <w:rsid w:val="00100BF2"/>
    <w:rsid w:val="00103942"/>
    <w:rsid w:val="00105081"/>
    <w:rsid w:val="00105D38"/>
    <w:rsid w:val="00106FC5"/>
    <w:rsid w:val="00107015"/>
    <w:rsid w:val="0011081A"/>
    <w:rsid w:val="00110EE7"/>
    <w:rsid w:val="00112B64"/>
    <w:rsid w:val="00115920"/>
    <w:rsid w:val="00117AA8"/>
    <w:rsid w:val="00117DEE"/>
    <w:rsid w:val="00120A6C"/>
    <w:rsid w:val="001214DA"/>
    <w:rsid w:val="00123E0C"/>
    <w:rsid w:val="00124575"/>
    <w:rsid w:val="00124EE0"/>
    <w:rsid w:val="001254C4"/>
    <w:rsid w:val="00126DBE"/>
    <w:rsid w:val="00130E74"/>
    <w:rsid w:val="00132BDF"/>
    <w:rsid w:val="0013306A"/>
    <w:rsid w:val="00133616"/>
    <w:rsid w:val="001347E5"/>
    <w:rsid w:val="00134E84"/>
    <w:rsid w:val="00135040"/>
    <w:rsid w:val="00135E08"/>
    <w:rsid w:val="00135E2C"/>
    <w:rsid w:val="00140AA6"/>
    <w:rsid w:val="00140B71"/>
    <w:rsid w:val="00141706"/>
    <w:rsid w:val="001421FF"/>
    <w:rsid w:val="00143333"/>
    <w:rsid w:val="00143CDE"/>
    <w:rsid w:val="0014420A"/>
    <w:rsid w:val="00144984"/>
    <w:rsid w:val="0014652E"/>
    <w:rsid w:val="00150FDA"/>
    <w:rsid w:val="00151F44"/>
    <w:rsid w:val="0015219B"/>
    <w:rsid w:val="0015272A"/>
    <w:rsid w:val="00152798"/>
    <w:rsid w:val="001536A4"/>
    <w:rsid w:val="00163F52"/>
    <w:rsid w:val="0016444F"/>
    <w:rsid w:val="001644C5"/>
    <w:rsid w:val="001646DE"/>
    <w:rsid w:val="001663B2"/>
    <w:rsid w:val="00167147"/>
    <w:rsid w:val="0017042A"/>
    <w:rsid w:val="0017240B"/>
    <w:rsid w:val="00173AA9"/>
    <w:rsid w:val="0017414F"/>
    <w:rsid w:val="001757BF"/>
    <w:rsid w:val="0017635B"/>
    <w:rsid w:val="00190668"/>
    <w:rsid w:val="0019110F"/>
    <w:rsid w:val="00191746"/>
    <w:rsid w:val="00192669"/>
    <w:rsid w:val="0019353F"/>
    <w:rsid w:val="001936B4"/>
    <w:rsid w:val="00194289"/>
    <w:rsid w:val="00195EB2"/>
    <w:rsid w:val="00197C25"/>
    <w:rsid w:val="001A0046"/>
    <w:rsid w:val="001A269B"/>
    <w:rsid w:val="001A4E54"/>
    <w:rsid w:val="001A75F7"/>
    <w:rsid w:val="001A7A32"/>
    <w:rsid w:val="001A7A62"/>
    <w:rsid w:val="001B102D"/>
    <w:rsid w:val="001B1BB8"/>
    <w:rsid w:val="001B2BB1"/>
    <w:rsid w:val="001B393A"/>
    <w:rsid w:val="001B5030"/>
    <w:rsid w:val="001B5124"/>
    <w:rsid w:val="001B57ED"/>
    <w:rsid w:val="001B707F"/>
    <w:rsid w:val="001C00D8"/>
    <w:rsid w:val="001C1195"/>
    <w:rsid w:val="001C2518"/>
    <w:rsid w:val="001C2836"/>
    <w:rsid w:val="001C37AC"/>
    <w:rsid w:val="001C4C9C"/>
    <w:rsid w:val="001C7BA3"/>
    <w:rsid w:val="001D3EAA"/>
    <w:rsid w:val="001D47E8"/>
    <w:rsid w:val="001D48BA"/>
    <w:rsid w:val="001D501A"/>
    <w:rsid w:val="001D53AD"/>
    <w:rsid w:val="001D62AA"/>
    <w:rsid w:val="001E06E2"/>
    <w:rsid w:val="001E1171"/>
    <w:rsid w:val="001E41DD"/>
    <w:rsid w:val="001E46A5"/>
    <w:rsid w:val="001E565A"/>
    <w:rsid w:val="001E6D4D"/>
    <w:rsid w:val="001F014B"/>
    <w:rsid w:val="001F0246"/>
    <w:rsid w:val="001F0C95"/>
    <w:rsid w:val="001F0FCF"/>
    <w:rsid w:val="001F3F20"/>
    <w:rsid w:val="001F4256"/>
    <w:rsid w:val="001F437B"/>
    <w:rsid w:val="001F542A"/>
    <w:rsid w:val="00200AF7"/>
    <w:rsid w:val="002023A4"/>
    <w:rsid w:val="0020776A"/>
    <w:rsid w:val="00211CAE"/>
    <w:rsid w:val="00212411"/>
    <w:rsid w:val="002130B5"/>
    <w:rsid w:val="002235FA"/>
    <w:rsid w:val="002244F8"/>
    <w:rsid w:val="0022585D"/>
    <w:rsid w:val="00236258"/>
    <w:rsid w:val="00241756"/>
    <w:rsid w:val="00241C80"/>
    <w:rsid w:val="00243186"/>
    <w:rsid w:val="00243C2B"/>
    <w:rsid w:val="00244836"/>
    <w:rsid w:val="002454D6"/>
    <w:rsid w:val="00245B06"/>
    <w:rsid w:val="002465A7"/>
    <w:rsid w:val="002512DC"/>
    <w:rsid w:val="002543F4"/>
    <w:rsid w:val="0025720D"/>
    <w:rsid w:val="002577C4"/>
    <w:rsid w:val="002578A7"/>
    <w:rsid w:val="00261860"/>
    <w:rsid w:val="00261AAE"/>
    <w:rsid w:val="00261D0C"/>
    <w:rsid w:val="002638D2"/>
    <w:rsid w:val="002641B6"/>
    <w:rsid w:val="00264C62"/>
    <w:rsid w:val="002655C8"/>
    <w:rsid w:val="00266645"/>
    <w:rsid w:val="00267705"/>
    <w:rsid w:val="002679E9"/>
    <w:rsid w:val="00267A86"/>
    <w:rsid w:val="0027046A"/>
    <w:rsid w:val="00274605"/>
    <w:rsid w:val="00274F30"/>
    <w:rsid w:val="0027528F"/>
    <w:rsid w:val="002754B3"/>
    <w:rsid w:val="00276C70"/>
    <w:rsid w:val="00277583"/>
    <w:rsid w:val="00277BC0"/>
    <w:rsid w:val="00284437"/>
    <w:rsid w:val="002857B1"/>
    <w:rsid w:val="0028664D"/>
    <w:rsid w:val="0028774A"/>
    <w:rsid w:val="00295BE4"/>
    <w:rsid w:val="00295E54"/>
    <w:rsid w:val="002970A3"/>
    <w:rsid w:val="00297C2F"/>
    <w:rsid w:val="00297CB6"/>
    <w:rsid w:val="00297D33"/>
    <w:rsid w:val="002A0615"/>
    <w:rsid w:val="002A25A3"/>
    <w:rsid w:val="002A674C"/>
    <w:rsid w:val="002A6E01"/>
    <w:rsid w:val="002A6EBF"/>
    <w:rsid w:val="002A79C1"/>
    <w:rsid w:val="002B0D1C"/>
    <w:rsid w:val="002B374F"/>
    <w:rsid w:val="002B526E"/>
    <w:rsid w:val="002B5CB1"/>
    <w:rsid w:val="002B5DA7"/>
    <w:rsid w:val="002B7334"/>
    <w:rsid w:val="002B750C"/>
    <w:rsid w:val="002C0B65"/>
    <w:rsid w:val="002C1004"/>
    <w:rsid w:val="002C2285"/>
    <w:rsid w:val="002C2FF8"/>
    <w:rsid w:val="002C41A1"/>
    <w:rsid w:val="002C7FF4"/>
    <w:rsid w:val="002D45E5"/>
    <w:rsid w:val="002D68A5"/>
    <w:rsid w:val="002E0679"/>
    <w:rsid w:val="002E2BE2"/>
    <w:rsid w:val="002E44A9"/>
    <w:rsid w:val="002E6749"/>
    <w:rsid w:val="002E70C9"/>
    <w:rsid w:val="002F179D"/>
    <w:rsid w:val="002F257B"/>
    <w:rsid w:val="002F2735"/>
    <w:rsid w:val="002F4265"/>
    <w:rsid w:val="002F43FC"/>
    <w:rsid w:val="002F4705"/>
    <w:rsid w:val="002F5063"/>
    <w:rsid w:val="002F58B0"/>
    <w:rsid w:val="002F75B2"/>
    <w:rsid w:val="00300D26"/>
    <w:rsid w:val="00303A7B"/>
    <w:rsid w:val="00305682"/>
    <w:rsid w:val="00305F36"/>
    <w:rsid w:val="00306F75"/>
    <w:rsid w:val="0030737D"/>
    <w:rsid w:val="00310198"/>
    <w:rsid w:val="00310339"/>
    <w:rsid w:val="00310626"/>
    <w:rsid w:val="003135B9"/>
    <w:rsid w:val="003147D0"/>
    <w:rsid w:val="00314971"/>
    <w:rsid w:val="00315932"/>
    <w:rsid w:val="00315A42"/>
    <w:rsid w:val="0031739F"/>
    <w:rsid w:val="00317A88"/>
    <w:rsid w:val="003209D1"/>
    <w:rsid w:val="00321ADB"/>
    <w:rsid w:val="00327D6B"/>
    <w:rsid w:val="00330F1F"/>
    <w:rsid w:val="00331B33"/>
    <w:rsid w:val="00332188"/>
    <w:rsid w:val="00332E38"/>
    <w:rsid w:val="0033355E"/>
    <w:rsid w:val="0033457F"/>
    <w:rsid w:val="003348D0"/>
    <w:rsid w:val="0033547B"/>
    <w:rsid w:val="00336A85"/>
    <w:rsid w:val="00337885"/>
    <w:rsid w:val="0034056A"/>
    <w:rsid w:val="00341D63"/>
    <w:rsid w:val="00345C81"/>
    <w:rsid w:val="003472E8"/>
    <w:rsid w:val="00350592"/>
    <w:rsid w:val="00352D44"/>
    <w:rsid w:val="00355F61"/>
    <w:rsid w:val="003577CD"/>
    <w:rsid w:val="00361137"/>
    <w:rsid w:val="0036157D"/>
    <w:rsid w:val="00362066"/>
    <w:rsid w:val="00363128"/>
    <w:rsid w:val="003631C4"/>
    <w:rsid w:val="003665FA"/>
    <w:rsid w:val="00366760"/>
    <w:rsid w:val="00370B25"/>
    <w:rsid w:val="003712FE"/>
    <w:rsid w:val="003718F1"/>
    <w:rsid w:val="00375277"/>
    <w:rsid w:val="00377194"/>
    <w:rsid w:val="00377F89"/>
    <w:rsid w:val="0038007D"/>
    <w:rsid w:val="00380793"/>
    <w:rsid w:val="00380F94"/>
    <w:rsid w:val="00383766"/>
    <w:rsid w:val="0038395C"/>
    <w:rsid w:val="0038531C"/>
    <w:rsid w:val="00385DF2"/>
    <w:rsid w:val="00385E74"/>
    <w:rsid w:val="00387460"/>
    <w:rsid w:val="00391199"/>
    <w:rsid w:val="00391251"/>
    <w:rsid w:val="00393C71"/>
    <w:rsid w:val="00394AE0"/>
    <w:rsid w:val="00397A42"/>
    <w:rsid w:val="003A005E"/>
    <w:rsid w:val="003A05ED"/>
    <w:rsid w:val="003A0C61"/>
    <w:rsid w:val="003A0DAE"/>
    <w:rsid w:val="003A13C3"/>
    <w:rsid w:val="003A20A5"/>
    <w:rsid w:val="003A2610"/>
    <w:rsid w:val="003A2E87"/>
    <w:rsid w:val="003A371F"/>
    <w:rsid w:val="003A4AF3"/>
    <w:rsid w:val="003A504F"/>
    <w:rsid w:val="003A729F"/>
    <w:rsid w:val="003A784B"/>
    <w:rsid w:val="003A7B7D"/>
    <w:rsid w:val="003B03B8"/>
    <w:rsid w:val="003B0589"/>
    <w:rsid w:val="003B1E7D"/>
    <w:rsid w:val="003B28A3"/>
    <w:rsid w:val="003B2C00"/>
    <w:rsid w:val="003B405B"/>
    <w:rsid w:val="003B447D"/>
    <w:rsid w:val="003B452B"/>
    <w:rsid w:val="003B457C"/>
    <w:rsid w:val="003B6119"/>
    <w:rsid w:val="003B7337"/>
    <w:rsid w:val="003C0E86"/>
    <w:rsid w:val="003C1AB0"/>
    <w:rsid w:val="003C3418"/>
    <w:rsid w:val="003C4DC6"/>
    <w:rsid w:val="003C4F8B"/>
    <w:rsid w:val="003D0E83"/>
    <w:rsid w:val="003D3593"/>
    <w:rsid w:val="003D50C0"/>
    <w:rsid w:val="003D53D6"/>
    <w:rsid w:val="003D7D42"/>
    <w:rsid w:val="003E0D54"/>
    <w:rsid w:val="003E1ACA"/>
    <w:rsid w:val="003E2755"/>
    <w:rsid w:val="003E616A"/>
    <w:rsid w:val="003F1BF0"/>
    <w:rsid w:val="003F643D"/>
    <w:rsid w:val="003F654A"/>
    <w:rsid w:val="003F738C"/>
    <w:rsid w:val="003F7E0F"/>
    <w:rsid w:val="00401544"/>
    <w:rsid w:val="00402C80"/>
    <w:rsid w:val="00402C99"/>
    <w:rsid w:val="004035D4"/>
    <w:rsid w:val="00405245"/>
    <w:rsid w:val="004061B7"/>
    <w:rsid w:val="004130EF"/>
    <w:rsid w:val="004145B8"/>
    <w:rsid w:val="00414605"/>
    <w:rsid w:val="00414ED4"/>
    <w:rsid w:val="00415845"/>
    <w:rsid w:val="004215E2"/>
    <w:rsid w:val="0042161D"/>
    <w:rsid w:val="00421831"/>
    <w:rsid w:val="00423EFF"/>
    <w:rsid w:val="004245CF"/>
    <w:rsid w:val="00425A5A"/>
    <w:rsid w:val="00425EFA"/>
    <w:rsid w:val="00430209"/>
    <w:rsid w:val="004362EC"/>
    <w:rsid w:val="00440D20"/>
    <w:rsid w:val="00443B04"/>
    <w:rsid w:val="00443F94"/>
    <w:rsid w:val="0044544C"/>
    <w:rsid w:val="00446617"/>
    <w:rsid w:val="00450E78"/>
    <w:rsid w:val="00453A63"/>
    <w:rsid w:val="00454BFD"/>
    <w:rsid w:val="0045537C"/>
    <w:rsid w:val="00456A9E"/>
    <w:rsid w:val="0045787C"/>
    <w:rsid w:val="00460B45"/>
    <w:rsid w:val="004634B4"/>
    <w:rsid w:val="00465C6D"/>
    <w:rsid w:val="0046778F"/>
    <w:rsid w:val="00467926"/>
    <w:rsid w:val="00467AC6"/>
    <w:rsid w:val="00467C07"/>
    <w:rsid w:val="00470C08"/>
    <w:rsid w:val="004713A6"/>
    <w:rsid w:val="0047142A"/>
    <w:rsid w:val="00473B63"/>
    <w:rsid w:val="00473CC1"/>
    <w:rsid w:val="00474DCD"/>
    <w:rsid w:val="00476196"/>
    <w:rsid w:val="00482470"/>
    <w:rsid w:val="00487D97"/>
    <w:rsid w:val="004908D2"/>
    <w:rsid w:val="004942A3"/>
    <w:rsid w:val="0049614A"/>
    <w:rsid w:val="0049638D"/>
    <w:rsid w:val="00496A97"/>
    <w:rsid w:val="0049782D"/>
    <w:rsid w:val="004A1079"/>
    <w:rsid w:val="004A2864"/>
    <w:rsid w:val="004A2901"/>
    <w:rsid w:val="004A326B"/>
    <w:rsid w:val="004A40E1"/>
    <w:rsid w:val="004A47A3"/>
    <w:rsid w:val="004A4968"/>
    <w:rsid w:val="004A6087"/>
    <w:rsid w:val="004A6814"/>
    <w:rsid w:val="004A7A57"/>
    <w:rsid w:val="004B02C7"/>
    <w:rsid w:val="004B229E"/>
    <w:rsid w:val="004B4667"/>
    <w:rsid w:val="004B4D4D"/>
    <w:rsid w:val="004B5F2E"/>
    <w:rsid w:val="004C372B"/>
    <w:rsid w:val="004C56F5"/>
    <w:rsid w:val="004D0771"/>
    <w:rsid w:val="004D16AE"/>
    <w:rsid w:val="004D3433"/>
    <w:rsid w:val="004D6EBA"/>
    <w:rsid w:val="004D7458"/>
    <w:rsid w:val="004D7768"/>
    <w:rsid w:val="004D7B89"/>
    <w:rsid w:val="004E14B5"/>
    <w:rsid w:val="004E3926"/>
    <w:rsid w:val="004E5834"/>
    <w:rsid w:val="004F1419"/>
    <w:rsid w:val="004F146C"/>
    <w:rsid w:val="004F278B"/>
    <w:rsid w:val="004F2BAF"/>
    <w:rsid w:val="004F369E"/>
    <w:rsid w:val="004F6840"/>
    <w:rsid w:val="004F7A6B"/>
    <w:rsid w:val="005027C4"/>
    <w:rsid w:val="00502981"/>
    <w:rsid w:val="00502C0E"/>
    <w:rsid w:val="00504B46"/>
    <w:rsid w:val="005068E3"/>
    <w:rsid w:val="00507183"/>
    <w:rsid w:val="00507D26"/>
    <w:rsid w:val="00511D83"/>
    <w:rsid w:val="00512AE9"/>
    <w:rsid w:val="0051433D"/>
    <w:rsid w:val="00514FBE"/>
    <w:rsid w:val="00516982"/>
    <w:rsid w:val="0052072A"/>
    <w:rsid w:val="00520FC7"/>
    <w:rsid w:val="00523458"/>
    <w:rsid w:val="0052668A"/>
    <w:rsid w:val="005301DA"/>
    <w:rsid w:val="00530CE8"/>
    <w:rsid w:val="0053305C"/>
    <w:rsid w:val="0053395A"/>
    <w:rsid w:val="00533DE0"/>
    <w:rsid w:val="00534A62"/>
    <w:rsid w:val="00543CC6"/>
    <w:rsid w:val="005444D4"/>
    <w:rsid w:val="005445A5"/>
    <w:rsid w:val="00544A1D"/>
    <w:rsid w:val="005466C0"/>
    <w:rsid w:val="00546B01"/>
    <w:rsid w:val="00551889"/>
    <w:rsid w:val="00551A1D"/>
    <w:rsid w:val="005555F5"/>
    <w:rsid w:val="00556784"/>
    <w:rsid w:val="005570E2"/>
    <w:rsid w:val="00560743"/>
    <w:rsid w:val="0056079B"/>
    <w:rsid w:val="00561720"/>
    <w:rsid w:val="00561C64"/>
    <w:rsid w:val="00566877"/>
    <w:rsid w:val="00566966"/>
    <w:rsid w:val="0056733D"/>
    <w:rsid w:val="00567C1B"/>
    <w:rsid w:val="0057058F"/>
    <w:rsid w:val="00570D6B"/>
    <w:rsid w:val="00571FC5"/>
    <w:rsid w:val="0057552F"/>
    <w:rsid w:val="005760F0"/>
    <w:rsid w:val="00576F77"/>
    <w:rsid w:val="0057781B"/>
    <w:rsid w:val="005832A8"/>
    <w:rsid w:val="005856AF"/>
    <w:rsid w:val="00593052"/>
    <w:rsid w:val="0059334C"/>
    <w:rsid w:val="00593FDA"/>
    <w:rsid w:val="00594020"/>
    <w:rsid w:val="0059429A"/>
    <w:rsid w:val="00594961"/>
    <w:rsid w:val="00596807"/>
    <w:rsid w:val="005972B8"/>
    <w:rsid w:val="005A1378"/>
    <w:rsid w:val="005A58E6"/>
    <w:rsid w:val="005A5D57"/>
    <w:rsid w:val="005B1425"/>
    <w:rsid w:val="005B3471"/>
    <w:rsid w:val="005B3499"/>
    <w:rsid w:val="005B3F2E"/>
    <w:rsid w:val="005B412E"/>
    <w:rsid w:val="005C155E"/>
    <w:rsid w:val="005C28FE"/>
    <w:rsid w:val="005C6D32"/>
    <w:rsid w:val="005D21A5"/>
    <w:rsid w:val="005D2C9D"/>
    <w:rsid w:val="005D2D2A"/>
    <w:rsid w:val="005D3C12"/>
    <w:rsid w:val="005D4E2A"/>
    <w:rsid w:val="005D5D0A"/>
    <w:rsid w:val="005D624F"/>
    <w:rsid w:val="005D66D1"/>
    <w:rsid w:val="005D6D84"/>
    <w:rsid w:val="005D7569"/>
    <w:rsid w:val="005E2A19"/>
    <w:rsid w:val="005E3057"/>
    <w:rsid w:val="005E5BB4"/>
    <w:rsid w:val="005E6C5F"/>
    <w:rsid w:val="005E6F9E"/>
    <w:rsid w:val="005E7A05"/>
    <w:rsid w:val="005F12F3"/>
    <w:rsid w:val="005F1998"/>
    <w:rsid w:val="005F31FD"/>
    <w:rsid w:val="005F4193"/>
    <w:rsid w:val="005F5415"/>
    <w:rsid w:val="00602585"/>
    <w:rsid w:val="00604FEC"/>
    <w:rsid w:val="00605B77"/>
    <w:rsid w:val="0060689D"/>
    <w:rsid w:val="00606E35"/>
    <w:rsid w:val="00607E87"/>
    <w:rsid w:val="006103D7"/>
    <w:rsid w:val="00610413"/>
    <w:rsid w:val="0061352F"/>
    <w:rsid w:val="0061521D"/>
    <w:rsid w:val="00615A73"/>
    <w:rsid w:val="00620F9B"/>
    <w:rsid w:val="00621442"/>
    <w:rsid w:val="0062334D"/>
    <w:rsid w:val="00624FBA"/>
    <w:rsid w:val="00625065"/>
    <w:rsid w:val="0062611D"/>
    <w:rsid w:val="0062681B"/>
    <w:rsid w:val="00626851"/>
    <w:rsid w:val="006313A0"/>
    <w:rsid w:val="006316F7"/>
    <w:rsid w:val="006322B2"/>
    <w:rsid w:val="0063250C"/>
    <w:rsid w:val="00632E6C"/>
    <w:rsid w:val="00633105"/>
    <w:rsid w:val="00634657"/>
    <w:rsid w:val="006363DC"/>
    <w:rsid w:val="00636EB4"/>
    <w:rsid w:val="00644F9F"/>
    <w:rsid w:val="006463BC"/>
    <w:rsid w:val="00647E43"/>
    <w:rsid w:val="006505D7"/>
    <w:rsid w:val="00650A05"/>
    <w:rsid w:val="0065230B"/>
    <w:rsid w:val="0065342A"/>
    <w:rsid w:val="00654E3D"/>
    <w:rsid w:val="006559DD"/>
    <w:rsid w:val="00656539"/>
    <w:rsid w:val="00657789"/>
    <w:rsid w:val="006600C8"/>
    <w:rsid w:val="006604F9"/>
    <w:rsid w:val="006625F8"/>
    <w:rsid w:val="00662A7B"/>
    <w:rsid w:val="0066387D"/>
    <w:rsid w:val="00666C51"/>
    <w:rsid w:val="00667495"/>
    <w:rsid w:val="00667F8F"/>
    <w:rsid w:val="00670BA3"/>
    <w:rsid w:val="006718B6"/>
    <w:rsid w:val="00671D42"/>
    <w:rsid w:val="00672B04"/>
    <w:rsid w:val="00673791"/>
    <w:rsid w:val="00676CA3"/>
    <w:rsid w:val="00677188"/>
    <w:rsid w:val="00681D83"/>
    <w:rsid w:val="006822C4"/>
    <w:rsid w:val="00682866"/>
    <w:rsid w:val="0068667B"/>
    <w:rsid w:val="00687562"/>
    <w:rsid w:val="00693A15"/>
    <w:rsid w:val="006971F7"/>
    <w:rsid w:val="006A0EE8"/>
    <w:rsid w:val="006A1AFD"/>
    <w:rsid w:val="006A2418"/>
    <w:rsid w:val="006A33B9"/>
    <w:rsid w:val="006A35A3"/>
    <w:rsid w:val="006A78F1"/>
    <w:rsid w:val="006A7AE3"/>
    <w:rsid w:val="006B079C"/>
    <w:rsid w:val="006B1004"/>
    <w:rsid w:val="006B1340"/>
    <w:rsid w:val="006B2175"/>
    <w:rsid w:val="006B3BE3"/>
    <w:rsid w:val="006B4DCA"/>
    <w:rsid w:val="006B56BA"/>
    <w:rsid w:val="006C2746"/>
    <w:rsid w:val="006C37A3"/>
    <w:rsid w:val="006C486C"/>
    <w:rsid w:val="006C4A58"/>
    <w:rsid w:val="006C4CE8"/>
    <w:rsid w:val="006C70F8"/>
    <w:rsid w:val="006D0821"/>
    <w:rsid w:val="006D14B2"/>
    <w:rsid w:val="006D1E6B"/>
    <w:rsid w:val="006D2677"/>
    <w:rsid w:val="006D4050"/>
    <w:rsid w:val="006D463B"/>
    <w:rsid w:val="006D618A"/>
    <w:rsid w:val="006E0A98"/>
    <w:rsid w:val="006E22F5"/>
    <w:rsid w:val="006E6366"/>
    <w:rsid w:val="006E63F2"/>
    <w:rsid w:val="006F0359"/>
    <w:rsid w:val="006F22E7"/>
    <w:rsid w:val="006F2379"/>
    <w:rsid w:val="006F3948"/>
    <w:rsid w:val="006F4D44"/>
    <w:rsid w:val="006F5A6A"/>
    <w:rsid w:val="006F6066"/>
    <w:rsid w:val="00700855"/>
    <w:rsid w:val="0070424F"/>
    <w:rsid w:val="007055FD"/>
    <w:rsid w:val="00707135"/>
    <w:rsid w:val="0070791C"/>
    <w:rsid w:val="0070799A"/>
    <w:rsid w:val="007079F0"/>
    <w:rsid w:val="00710719"/>
    <w:rsid w:val="0071101D"/>
    <w:rsid w:val="007120A5"/>
    <w:rsid w:val="00712593"/>
    <w:rsid w:val="00712EF7"/>
    <w:rsid w:val="00714EA5"/>
    <w:rsid w:val="00716820"/>
    <w:rsid w:val="00716ABB"/>
    <w:rsid w:val="00716D84"/>
    <w:rsid w:val="00717685"/>
    <w:rsid w:val="00717C1B"/>
    <w:rsid w:val="00717D76"/>
    <w:rsid w:val="00722719"/>
    <w:rsid w:val="007237B8"/>
    <w:rsid w:val="00727308"/>
    <w:rsid w:val="007301BC"/>
    <w:rsid w:val="0073364A"/>
    <w:rsid w:val="0073366B"/>
    <w:rsid w:val="00734C15"/>
    <w:rsid w:val="0073737E"/>
    <w:rsid w:val="007374E0"/>
    <w:rsid w:val="00737B0C"/>
    <w:rsid w:val="0074044C"/>
    <w:rsid w:val="00740C4C"/>
    <w:rsid w:val="00741A85"/>
    <w:rsid w:val="007420DA"/>
    <w:rsid w:val="00747E15"/>
    <w:rsid w:val="00750013"/>
    <w:rsid w:val="00752DF3"/>
    <w:rsid w:val="00752F7F"/>
    <w:rsid w:val="007536F5"/>
    <w:rsid w:val="0075441B"/>
    <w:rsid w:val="007552F8"/>
    <w:rsid w:val="007611F4"/>
    <w:rsid w:val="00761824"/>
    <w:rsid w:val="007624C4"/>
    <w:rsid w:val="00763D3E"/>
    <w:rsid w:val="00763D57"/>
    <w:rsid w:val="007642EA"/>
    <w:rsid w:val="00764A56"/>
    <w:rsid w:val="00764CE8"/>
    <w:rsid w:val="0076557D"/>
    <w:rsid w:val="00765E75"/>
    <w:rsid w:val="007670F2"/>
    <w:rsid w:val="00767567"/>
    <w:rsid w:val="00770394"/>
    <w:rsid w:val="007711B3"/>
    <w:rsid w:val="007711FF"/>
    <w:rsid w:val="00771BBF"/>
    <w:rsid w:val="007737DB"/>
    <w:rsid w:val="00774188"/>
    <w:rsid w:val="00776F33"/>
    <w:rsid w:val="00780453"/>
    <w:rsid w:val="0078128E"/>
    <w:rsid w:val="00781332"/>
    <w:rsid w:val="007835CA"/>
    <w:rsid w:val="007848F6"/>
    <w:rsid w:val="00784C66"/>
    <w:rsid w:val="007932A3"/>
    <w:rsid w:val="007954A6"/>
    <w:rsid w:val="0079568F"/>
    <w:rsid w:val="00795E45"/>
    <w:rsid w:val="00797332"/>
    <w:rsid w:val="007A0604"/>
    <w:rsid w:val="007A2B78"/>
    <w:rsid w:val="007A462A"/>
    <w:rsid w:val="007A5F7B"/>
    <w:rsid w:val="007A68CC"/>
    <w:rsid w:val="007A69B6"/>
    <w:rsid w:val="007B0A01"/>
    <w:rsid w:val="007B4356"/>
    <w:rsid w:val="007B592E"/>
    <w:rsid w:val="007C01EB"/>
    <w:rsid w:val="007C10EC"/>
    <w:rsid w:val="007C6324"/>
    <w:rsid w:val="007D0CDF"/>
    <w:rsid w:val="007D216F"/>
    <w:rsid w:val="007D2855"/>
    <w:rsid w:val="007D3C57"/>
    <w:rsid w:val="007D4C6D"/>
    <w:rsid w:val="007D6C47"/>
    <w:rsid w:val="007D7371"/>
    <w:rsid w:val="007E0790"/>
    <w:rsid w:val="007E094C"/>
    <w:rsid w:val="007E0FFA"/>
    <w:rsid w:val="007E2F25"/>
    <w:rsid w:val="007E377B"/>
    <w:rsid w:val="007E37F1"/>
    <w:rsid w:val="007E4EEB"/>
    <w:rsid w:val="007E54E4"/>
    <w:rsid w:val="007E5AFB"/>
    <w:rsid w:val="007E76BD"/>
    <w:rsid w:val="007F0BA6"/>
    <w:rsid w:val="007F0BCC"/>
    <w:rsid w:val="007F2F27"/>
    <w:rsid w:val="007F658C"/>
    <w:rsid w:val="007F6859"/>
    <w:rsid w:val="00800469"/>
    <w:rsid w:val="00803AF0"/>
    <w:rsid w:val="00803E92"/>
    <w:rsid w:val="008051E0"/>
    <w:rsid w:val="008054DF"/>
    <w:rsid w:val="008056F4"/>
    <w:rsid w:val="00806844"/>
    <w:rsid w:val="008112E3"/>
    <w:rsid w:val="0081315B"/>
    <w:rsid w:val="00822822"/>
    <w:rsid w:val="00822A31"/>
    <w:rsid w:val="00823CA6"/>
    <w:rsid w:val="0082591F"/>
    <w:rsid w:val="00826619"/>
    <w:rsid w:val="00827645"/>
    <w:rsid w:val="00827FD2"/>
    <w:rsid w:val="00831402"/>
    <w:rsid w:val="0083172E"/>
    <w:rsid w:val="00834060"/>
    <w:rsid w:val="00835581"/>
    <w:rsid w:val="00842C4E"/>
    <w:rsid w:val="00842D3B"/>
    <w:rsid w:val="00844E6C"/>
    <w:rsid w:val="0084522E"/>
    <w:rsid w:val="00845430"/>
    <w:rsid w:val="00847E91"/>
    <w:rsid w:val="00850F85"/>
    <w:rsid w:val="008523FF"/>
    <w:rsid w:val="00852771"/>
    <w:rsid w:val="00852AA2"/>
    <w:rsid w:val="008530FD"/>
    <w:rsid w:val="008538C7"/>
    <w:rsid w:val="00853E2B"/>
    <w:rsid w:val="00854428"/>
    <w:rsid w:val="00855B26"/>
    <w:rsid w:val="0085781C"/>
    <w:rsid w:val="008604C8"/>
    <w:rsid w:val="008606F7"/>
    <w:rsid w:val="008606F9"/>
    <w:rsid w:val="0086093B"/>
    <w:rsid w:val="008629DC"/>
    <w:rsid w:val="008629F1"/>
    <w:rsid w:val="008642A0"/>
    <w:rsid w:val="0086483D"/>
    <w:rsid w:val="00866213"/>
    <w:rsid w:val="00867446"/>
    <w:rsid w:val="008675F0"/>
    <w:rsid w:val="00874C26"/>
    <w:rsid w:val="0087610E"/>
    <w:rsid w:val="008772C6"/>
    <w:rsid w:val="0088181D"/>
    <w:rsid w:val="0088210C"/>
    <w:rsid w:val="008828A1"/>
    <w:rsid w:val="00883E1C"/>
    <w:rsid w:val="00884388"/>
    <w:rsid w:val="008909BB"/>
    <w:rsid w:val="008915F0"/>
    <w:rsid w:val="00895A9B"/>
    <w:rsid w:val="00896CEC"/>
    <w:rsid w:val="008978C9"/>
    <w:rsid w:val="008A0373"/>
    <w:rsid w:val="008A439E"/>
    <w:rsid w:val="008A4411"/>
    <w:rsid w:val="008A720A"/>
    <w:rsid w:val="008A7DBF"/>
    <w:rsid w:val="008B140F"/>
    <w:rsid w:val="008B1ADB"/>
    <w:rsid w:val="008B1E82"/>
    <w:rsid w:val="008B76EE"/>
    <w:rsid w:val="008C0126"/>
    <w:rsid w:val="008C10CE"/>
    <w:rsid w:val="008C128E"/>
    <w:rsid w:val="008C13BB"/>
    <w:rsid w:val="008C1EEA"/>
    <w:rsid w:val="008C2398"/>
    <w:rsid w:val="008C350A"/>
    <w:rsid w:val="008C3EB1"/>
    <w:rsid w:val="008C4BD9"/>
    <w:rsid w:val="008C520C"/>
    <w:rsid w:val="008C57E9"/>
    <w:rsid w:val="008C6C0F"/>
    <w:rsid w:val="008C6C86"/>
    <w:rsid w:val="008C73F1"/>
    <w:rsid w:val="008C7B34"/>
    <w:rsid w:val="008C7CED"/>
    <w:rsid w:val="008C7F1F"/>
    <w:rsid w:val="008D035A"/>
    <w:rsid w:val="008D16AC"/>
    <w:rsid w:val="008D4B20"/>
    <w:rsid w:val="008E4B40"/>
    <w:rsid w:val="008E7F99"/>
    <w:rsid w:val="008F1620"/>
    <w:rsid w:val="008F3522"/>
    <w:rsid w:val="008F4F31"/>
    <w:rsid w:val="008F6127"/>
    <w:rsid w:val="008F65C3"/>
    <w:rsid w:val="008F7C61"/>
    <w:rsid w:val="00903F5F"/>
    <w:rsid w:val="009058A0"/>
    <w:rsid w:val="00906016"/>
    <w:rsid w:val="009065D1"/>
    <w:rsid w:val="00906747"/>
    <w:rsid w:val="009100D3"/>
    <w:rsid w:val="009115BA"/>
    <w:rsid w:val="00912179"/>
    <w:rsid w:val="00914A3D"/>
    <w:rsid w:val="0091529D"/>
    <w:rsid w:val="00915863"/>
    <w:rsid w:val="009163CB"/>
    <w:rsid w:val="00916BD4"/>
    <w:rsid w:val="00917E05"/>
    <w:rsid w:val="00920182"/>
    <w:rsid w:val="00920214"/>
    <w:rsid w:val="00921558"/>
    <w:rsid w:val="00922602"/>
    <w:rsid w:val="00923DC6"/>
    <w:rsid w:val="00924632"/>
    <w:rsid w:val="009260CF"/>
    <w:rsid w:val="009261B1"/>
    <w:rsid w:val="009266EF"/>
    <w:rsid w:val="00932B15"/>
    <w:rsid w:val="009333E3"/>
    <w:rsid w:val="00933F9F"/>
    <w:rsid w:val="0093488C"/>
    <w:rsid w:val="009352B9"/>
    <w:rsid w:val="00941424"/>
    <w:rsid w:val="00941869"/>
    <w:rsid w:val="00941B91"/>
    <w:rsid w:val="00941D34"/>
    <w:rsid w:val="0094381C"/>
    <w:rsid w:val="009442D1"/>
    <w:rsid w:val="0094431A"/>
    <w:rsid w:val="00950290"/>
    <w:rsid w:val="00951A88"/>
    <w:rsid w:val="00952E1A"/>
    <w:rsid w:val="00955297"/>
    <w:rsid w:val="00955872"/>
    <w:rsid w:val="0095677A"/>
    <w:rsid w:val="00964392"/>
    <w:rsid w:val="009643D5"/>
    <w:rsid w:val="00967737"/>
    <w:rsid w:val="009678F0"/>
    <w:rsid w:val="00970248"/>
    <w:rsid w:val="009704C0"/>
    <w:rsid w:val="00971A37"/>
    <w:rsid w:val="00971C75"/>
    <w:rsid w:val="00971CDB"/>
    <w:rsid w:val="009725A0"/>
    <w:rsid w:val="009728D8"/>
    <w:rsid w:val="00972D47"/>
    <w:rsid w:val="00973F53"/>
    <w:rsid w:val="00980E84"/>
    <w:rsid w:val="00981412"/>
    <w:rsid w:val="00981FC7"/>
    <w:rsid w:val="00983B50"/>
    <w:rsid w:val="0098694A"/>
    <w:rsid w:val="00987422"/>
    <w:rsid w:val="00987646"/>
    <w:rsid w:val="00990B4B"/>
    <w:rsid w:val="0099101B"/>
    <w:rsid w:val="00991E37"/>
    <w:rsid w:val="00992D40"/>
    <w:rsid w:val="0099304B"/>
    <w:rsid w:val="00993D5A"/>
    <w:rsid w:val="009946F8"/>
    <w:rsid w:val="009A0BEC"/>
    <w:rsid w:val="009A0CF5"/>
    <w:rsid w:val="009A22B9"/>
    <w:rsid w:val="009A3036"/>
    <w:rsid w:val="009A4B4F"/>
    <w:rsid w:val="009A7C67"/>
    <w:rsid w:val="009B0FD6"/>
    <w:rsid w:val="009B1008"/>
    <w:rsid w:val="009B119D"/>
    <w:rsid w:val="009B1603"/>
    <w:rsid w:val="009B39D6"/>
    <w:rsid w:val="009B4A7F"/>
    <w:rsid w:val="009B4CBF"/>
    <w:rsid w:val="009B58FE"/>
    <w:rsid w:val="009C3B54"/>
    <w:rsid w:val="009C60C0"/>
    <w:rsid w:val="009D14D1"/>
    <w:rsid w:val="009D2EE5"/>
    <w:rsid w:val="009D4AA5"/>
    <w:rsid w:val="009D4AE6"/>
    <w:rsid w:val="009D63EF"/>
    <w:rsid w:val="009D7183"/>
    <w:rsid w:val="009D7C72"/>
    <w:rsid w:val="009E05F1"/>
    <w:rsid w:val="009E0AEC"/>
    <w:rsid w:val="009E394D"/>
    <w:rsid w:val="009E77CB"/>
    <w:rsid w:val="009F1866"/>
    <w:rsid w:val="009F1BB0"/>
    <w:rsid w:val="009F4F69"/>
    <w:rsid w:val="009F6F59"/>
    <w:rsid w:val="009F7DFA"/>
    <w:rsid w:val="00A00C2F"/>
    <w:rsid w:val="00A025B8"/>
    <w:rsid w:val="00A02806"/>
    <w:rsid w:val="00A031D2"/>
    <w:rsid w:val="00A05AB8"/>
    <w:rsid w:val="00A06784"/>
    <w:rsid w:val="00A076D2"/>
    <w:rsid w:val="00A11122"/>
    <w:rsid w:val="00A116E3"/>
    <w:rsid w:val="00A1344A"/>
    <w:rsid w:val="00A13E6C"/>
    <w:rsid w:val="00A14314"/>
    <w:rsid w:val="00A22A8F"/>
    <w:rsid w:val="00A2634D"/>
    <w:rsid w:val="00A26AD9"/>
    <w:rsid w:val="00A26CD5"/>
    <w:rsid w:val="00A3138B"/>
    <w:rsid w:val="00A322B2"/>
    <w:rsid w:val="00A35AD0"/>
    <w:rsid w:val="00A35E9B"/>
    <w:rsid w:val="00A36E38"/>
    <w:rsid w:val="00A41FD6"/>
    <w:rsid w:val="00A44969"/>
    <w:rsid w:val="00A45001"/>
    <w:rsid w:val="00A4656C"/>
    <w:rsid w:val="00A526F0"/>
    <w:rsid w:val="00A52A15"/>
    <w:rsid w:val="00A52A8C"/>
    <w:rsid w:val="00A53256"/>
    <w:rsid w:val="00A54211"/>
    <w:rsid w:val="00A54356"/>
    <w:rsid w:val="00A55415"/>
    <w:rsid w:val="00A5635D"/>
    <w:rsid w:val="00A569A2"/>
    <w:rsid w:val="00A57E01"/>
    <w:rsid w:val="00A63378"/>
    <w:rsid w:val="00A64B73"/>
    <w:rsid w:val="00A6582A"/>
    <w:rsid w:val="00A70F9E"/>
    <w:rsid w:val="00A7105D"/>
    <w:rsid w:val="00A720BD"/>
    <w:rsid w:val="00A73D79"/>
    <w:rsid w:val="00A76B43"/>
    <w:rsid w:val="00A77575"/>
    <w:rsid w:val="00A778B3"/>
    <w:rsid w:val="00A77E54"/>
    <w:rsid w:val="00A80937"/>
    <w:rsid w:val="00A82D7A"/>
    <w:rsid w:val="00A844B8"/>
    <w:rsid w:val="00A849E5"/>
    <w:rsid w:val="00A90072"/>
    <w:rsid w:val="00A9044F"/>
    <w:rsid w:val="00A917B1"/>
    <w:rsid w:val="00A928F6"/>
    <w:rsid w:val="00A92C23"/>
    <w:rsid w:val="00A93926"/>
    <w:rsid w:val="00A93F0F"/>
    <w:rsid w:val="00A948BD"/>
    <w:rsid w:val="00A96EAF"/>
    <w:rsid w:val="00A974BA"/>
    <w:rsid w:val="00A97664"/>
    <w:rsid w:val="00A9789A"/>
    <w:rsid w:val="00AA1E9B"/>
    <w:rsid w:val="00AA1ECF"/>
    <w:rsid w:val="00AA218F"/>
    <w:rsid w:val="00AA2577"/>
    <w:rsid w:val="00AA32B5"/>
    <w:rsid w:val="00AA4E57"/>
    <w:rsid w:val="00AA528A"/>
    <w:rsid w:val="00AA5909"/>
    <w:rsid w:val="00AA59A6"/>
    <w:rsid w:val="00AA6E3D"/>
    <w:rsid w:val="00AA7009"/>
    <w:rsid w:val="00AB13D8"/>
    <w:rsid w:val="00AB4D45"/>
    <w:rsid w:val="00AB4F43"/>
    <w:rsid w:val="00AB560D"/>
    <w:rsid w:val="00AB7FAF"/>
    <w:rsid w:val="00AC01CD"/>
    <w:rsid w:val="00AC1CF0"/>
    <w:rsid w:val="00AC2AFE"/>
    <w:rsid w:val="00AC2D8C"/>
    <w:rsid w:val="00AC44E2"/>
    <w:rsid w:val="00AC474E"/>
    <w:rsid w:val="00AC487D"/>
    <w:rsid w:val="00AC5B8A"/>
    <w:rsid w:val="00AC5BE4"/>
    <w:rsid w:val="00AD03BE"/>
    <w:rsid w:val="00AD03E6"/>
    <w:rsid w:val="00AD082D"/>
    <w:rsid w:val="00AD0C00"/>
    <w:rsid w:val="00AD1B07"/>
    <w:rsid w:val="00AD58B6"/>
    <w:rsid w:val="00AD5A18"/>
    <w:rsid w:val="00AD5D38"/>
    <w:rsid w:val="00AD645A"/>
    <w:rsid w:val="00AD6BFB"/>
    <w:rsid w:val="00AE07D4"/>
    <w:rsid w:val="00AE23A2"/>
    <w:rsid w:val="00AE2552"/>
    <w:rsid w:val="00AE2B94"/>
    <w:rsid w:val="00AE476C"/>
    <w:rsid w:val="00AE6232"/>
    <w:rsid w:val="00AE7670"/>
    <w:rsid w:val="00AE7FC2"/>
    <w:rsid w:val="00AF1DB5"/>
    <w:rsid w:val="00AF21BB"/>
    <w:rsid w:val="00AF2AD4"/>
    <w:rsid w:val="00AF2B75"/>
    <w:rsid w:val="00AF54A2"/>
    <w:rsid w:val="00AF5F22"/>
    <w:rsid w:val="00AF5FC6"/>
    <w:rsid w:val="00AF6B12"/>
    <w:rsid w:val="00AF6B49"/>
    <w:rsid w:val="00B0125C"/>
    <w:rsid w:val="00B0306A"/>
    <w:rsid w:val="00B058AC"/>
    <w:rsid w:val="00B10AE4"/>
    <w:rsid w:val="00B15868"/>
    <w:rsid w:val="00B17258"/>
    <w:rsid w:val="00B216B2"/>
    <w:rsid w:val="00B223C2"/>
    <w:rsid w:val="00B2396F"/>
    <w:rsid w:val="00B26B97"/>
    <w:rsid w:val="00B27000"/>
    <w:rsid w:val="00B271A8"/>
    <w:rsid w:val="00B2747B"/>
    <w:rsid w:val="00B30C83"/>
    <w:rsid w:val="00B3286A"/>
    <w:rsid w:val="00B33B5B"/>
    <w:rsid w:val="00B36E61"/>
    <w:rsid w:val="00B41F0F"/>
    <w:rsid w:val="00B42FDC"/>
    <w:rsid w:val="00B43190"/>
    <w:rsid w:val="00B4556F"/>
    <w:rsid w:val="00B45D43"/>
    <w:rsid w:val="00B4737B"/>
    <w:rsid w:val="00B4739D"/>
    <w:rsid w:val="00B47CB4"/>
    <w:rsid w:val="00B50B99"/>
    <w:rsid w:val="00B53236"/>
    <w:rsid w:val="00B562F1"/>
    <w:rsid w:val="00B56A36"/>
    <w:rsid w:val="00B62B2D"/>
    <w:rsid w:val="00B6512D"/>
    <w:rsid w:val="00B65F56"/>
    <w:rsid w:val="00B666FD"/>
    <w:rsid w:val="00B716AA"/>
    <w:rsid w:val="00B72D04"/>
    <w:rsid w:val="00B736CB"/>
    <w:rsid w:val="00B75CD3"/>
    <w:rsid w:val="00B767AE"/>
    <w:rsid w:val="00B770B5"/>
    <w:rsid w:val="00B77C30"/>
    <w:rsid w:val="00B80160"/>
    <w:rsid w:val="00B81E40"/>
    <w:rsid w:val="00B820D0"/>
    <w:rsid w:val="00B8239B"/>
    <w:rsid w:val="00B835CC"/>
    <w:rsid w:val="00B867E2"/>
    <w:rsid w:val="00B87FC4"/>
    <w:rsid w:val="00B90DE2"/>
    <w:rsid w:val="00B91B34"/>
    <w:rsid w:val="00B9218A"/>
    <w:rsid w:val="00B924FD"/>
    <w:rsid w:val="00B93D36"/>
    <w:rsid w:val="00BA211A"/>
    <w:rsid w:val="00BA380F"/>
    <w:rsid w:val="00BA3D19"/>
    <w:rsid w:val="00BA3E18"/>
    <w:rsid w:val="00BB325D"/>
    <w:rsid w:val="00BB32BE"/>
    <w:rsid w:val="00BB4E71"/>
    <w:rsid w:val="00BB5C28"/>
    <w:rsid w:val="00BB627A"/>
    <w:rsid w:val="00BC0B18"/>
    <w:rsid w:val="00BC1877"/>
    <w:rsid w:val="00BC67C0"/>
    <w:rsid w:val="00BC774C"/>
    <w:rsid w:val="00BC77A6"/>
    <w:rsid w:val="00BD0E03"/>
    <w:rsid w:val="00BD365F"/>
    <w:rsid w:val="00BD4291"/>
    <w:rsid w:val="00BD64D0"/>
    <w:rsid w:val="00BD6CEB"/>
    <w:rsid w:val="00BE197F"/>
    <w:rsid w:val="00BE1B0E"/>
    <w:rsid w:val="00BE28DF"/>
    <w:rsid w:val="00BE38DE"/>
    <w:rsid w:val="00BE3B58"/>
    <w:rsid w:val="00BE5CEF"/>
    <w:rsid w:val="00BE68A2"/>
    <w:rsid w:val="00BE76E3"/>
    <w:rsid w:val="00BE7746"/>
    <w:rsid w:val="00BF0DE5"/>
    <w:rsid w:val="00BF2CBD"/>
    <w:rsid w:val="00BF3351"/>
    <w:rsid w:val="00BF420A"/>
    <w:rsid w:val="00BF4AD9"/>
    <w:rsid w:val="00BF53F5"/>
    <w:rsid w:val="00BF607E"/>
    <w:rsid w:val="00BF67E2"/>
    <w:rsid w:val="00BF6E0B"/>
    <w:rsid w:val="00C00748"/>
    <w:rsid w:val="00C02D33"/>
    <w:rsid w:val="00C039AC"/>
    <w:rsid w:val="00C0440F"/>
    <w:rsid w:val="00C04C2E"/>
    <w:rsid w:val="00C0581A"/>
    <w:rsid w:val="00C06269"/>
    <w:rsid w:val="00C107CA"/>
    <w:rsid w:val="00C10835"/>
    <w:rsid w:val="00C12E16"/>
    <w:rsid w:val="00C145E6"/>
    <w:rsid w:val="00C16BFF"/>
    <w:rsid w:val="00C172BD"/>
    <w:rsid w:val="00C2012D"/>
    <w:rsid w:val="00C20367"/>
    <w:rsid w:val="00C22491"/>
    <w:rsid w:val="00C248C2"/>
    <w:rsid w:val="00C257CE"/>
    <w:rsid w:val="00C2686B"/>
    <w:rsid w:val="00C26C84"/>
    <w:rsid w:val="00C27081"/>
    <w:rsid w:val="00C27499"/>
    <w:rsid w:val="00C27BC0"/>
    <w:rsid w:val="00C30C84"/>
    <w:rsid w:val="00C31E25"/>
    <w:rsid w:val="00C329E2"/>
    <w:rsid w:val="00C32AD2"/>
    <w:rsid w:val="00C373EF"/>
    <w:rsid w:val="00C377C7"/>
    <w:rsid w:val="00C400C4"/>
    <w:rsid w:val="00C4020F"/>
    <w:rsid w:val="00C447C5"/>
    <w:rsid w:val="00C44CF3"/>
    <w:rsid w:val="00C474C5"/>
    <w:rsid w:val="00C47571"/>
    <w:rsid w:val="00C53CD0"/>
    <w:rsid w:val="00C56160"/>
    <w:rsid w:val="00C562A2"/>
    <w:rsid w:val="00C574AB"/>
    <w:rsid w:val="00C5782A"/>
    <w:rsid w:val="00C604FA"/>
    <w:rsid w:val="00C6143B"/>
    <w:rsid w:val="00C61F28"/>
    <w:rsid w:val="00C62F96"/>
    <w:rsid w:val="00C64E40"/>
    <w:rsid w:val="00C66723"/>
    <w:rsid w:val="00C66AFD"/>
    <w:rsid w:val="00C67C64"/>
    <w:rsid w:val="00C700B6"/>
    <w:rsid w:val="00C7126E"/>
    <w:rsid w:val="00C72B5D"/>
    <w:rsid w:val="00C779DA"/>
    <w:rsid w:val="00C8087D"/>
    <w:rsid w:val="00C8187D"/>
    <w:rsid w:val="00C81CB3"/>
    <w:rsid w:val="00C824B9"/>
    <w:rsid w:val="00C828DA"/>
    <w:rsid w:val="00C829BF"/>
    <w:rsid w:val="00C834B4"/>
    <w:rsid w:val="00C83DD2"/>
    <w:rsid w:val="00C87385"/>
    <w:rsid w:val="00C878B4"/>
    <w:rsid w:val="00C87EF1"/>
    <w:rsid w:val="00C908C5"/>
    <w:rsid w:val="00C915EE"/>
    <w:rsid w:val="00C93B51"/>
    <w:rsid w:val="00C93D87"/>
    <w:rsid w:val="00C94066"/>
    <w:rsid w:val="00C94514"/>
    <w:rsid w:val="00C9474A"/>
    <w:rsid w:val="00C94C16"/>
    <w:rsid w:val="00C96908"/>
    <w:rsid w:val="00C9734A"/>
    <w:rsid w:val="00CA0DFA"/>
    <w:rsid w:val="00CA5093"/>
    <w:rsid w:val="00CA5232"/>
    <w:rsid w:val="00CA62AF"/>
    <w:rsid w:val="00CB0246"/>
    <w:rsid w:val="00CB0C5C"/>
    <w:rsid w:val="00CB20F5"/>
    <w:rsid w:val="00CB5399"/>
    <w:rsid w:val="00CB7684"/>
    <w:rsid w:val="00CC6309"/>
    <w:rsid w:val="00CC6C3F"/>
    <w:rsid w:val="00CD1C16"/>
    <w:rsid w:val="00CD238E"/>
    <w:rsid w:val="00CD3740"/>
    <w:rsid w:val="00CD46E1"/>
    <w:rsid w:val="00CD5381"/>
    <w:rsid w:val="00CD5C92"/>
    <w:rsid w:val="00CD7C04"/>
    <w:rsid w:val="00CE05CE"/>
    <w:rsid w:val="00CE0EDD"/>
    <w:rsid w:val="00CE24A0"/>
    <w:rsid w:val="00CE2571"/>
    <w:rsid w:val="00CE302A"/>
    <w:rsid w:val="00CE34A5"/>
    <w:rsid w:val="00CE3CC3"/>
    <w:rsid w:val="00CF292B"/>
    <w:rsid w:val="00CF2AB7"/>
    <w:rsid w:val="00CF47B9"/>
    <w:rsid w:val="00CF5A60"/>
    <w:rsid w:val="00CF5AF1"/>
    <w:rsid w:val="00CF5D6E"/>
    <w:rsid w:val="00CF7652"/>
    <w:rsid w:val="00CF7CC4"/>
    <w:rsid w:val="00CF7CDA"/>
    <w:rsid w:val="00D003DE"/>
    <w:rsid w:val="00D0276D"/>
    <w:rsid w:val="00D02903"/>
    <w:rsid w:val="00D03451"/>
    <w:rsid w:val="00D06A8C"/>
    <w:rsid w:val="00D1145E"/>
    <w:rsid w:val="00D13760"/>
    <w:rsid w:val="00D149A1"/>
    <w:rsid w:val="00D14BC6"/>
    <w:rsid w:val="00D17498"/>
    <w:rsid w:val="00D22B4E"/>
    <w:rsid w:val="00D22F56"/>
    <w:rsid w:val="00D23BF1"/>
    <w:rsid w:val="00D24CA2"/>
    <w:rsid w:val="00D255A5"/>
    <w:rsid w:val="00D2569B"/>
    <w:rsid w:val="00D26879"/>
    <w:rsid w:val="00D3049C"/>
    <w:rsid w:val="00D30EEB"/>
    <w:rsid w:val="00D32520"/>
    <w:rsid w:val="00D329AF"/>
    <w:rsid w:val="00D33C00"/>
    <w:rsid w:val="00D34B4A"/>
    <w:rsid w:val="00D3525B"/>
    <w:rsid w:val="00D36097"/>
    <w:rsid w:val="00D3720D"/>
    <w:rsid w:val="00D37FFE"/>
    <w:rsid w:val="00D41153"/>
    <w:rsid w:val="00D41414"/>
    <w:rsid w:val="00D42BDE"/>
    <w:rsid w:val="00D455B5"/>
    <w:rsid w:val="00D4600B"/>
    <w:rsid w:val="00D46307"/>
    <w:rsid w:val="00D46C55"/>
    <w:rsid w:val="00D46F05"/>
    <w:rsid w:val="00D47C27"/>
    <w:rsid w:val="00D509E4"/>
    <w:rsid w:val="00D5347E"/>
    <w:rsid w:val="00D5427E"/>
    <w:rsid w:val="00D54462"/>
    <w:rsid w:val="00D55010"/>
    <w:rsid w:val="00D56C5A"/>
    <w:rsid w:val="00D57F23"/>
    <w:rsid w:val="00D6034B"/>
    <w:rsid w:val="00D63966"/>
    <w:rsid w:val="00D63E05"/>
    <w:rsid w:val="00D64A3C"/>
    <w:rsid w:val="00D65B17"/>
    <w:rsid w:val="00D67120"/>
    <w:rsid w:val="00D67897"/>
    <w:rsid w:val="00D7064E"/>
    <w:rsid w:val="00D70AAF"/>
    <w:rsid w:val="00D71271"/>
    <w:rsid w:val="00D72FE1"/>
    <w:rsid w:val="00D751B0"/>
    <w:rsid w:val="00D7552C"/>
    <w:rsid w:val="00D763B0"/>
    <w:rsid w:val="00D77DD0"/>
    <w:rsid w:val="00D81367"/>
    <w:rsid w:val="00D850ED"/>
    <w:rsid w:val="00D86643"/>
    <w:rsid w:val="00D86BE6"/>
    <w:rsid w:val="00D9218B"/>
    <w:rsid w:val="00D962B1"/>
    <w:rsid w:val="00D966D2"/>
    <w:rsid w:val="00DA2F8E"/>
    <w:rsid w:val="00DA3CFA"/>
    <w:rsid w:val="00DA3ED4"/>
    <w:rsid w:val="00DA3FC7"/>
    <w:rsid w:val="00DA6306"/>
    <w:rsid w:val="00DA7D97"/>
    <w:rsid w:val="00DB0D17"/>
    <w:rsid w:val="00DB1348"/>
    <w:rsid w:val="00DB1D08"/>
    <w:rsid w:val="00DB3600"/>
    <w:rsid w:val="00DB68A8"/>
    <w:rsid w:val="00DC056C"/>
    <w:rsid w:val="00DC1B85"/>
    <w:rsid w:val="00DC36BD"/>
    <w:rsid w:val="00DC38D2"/>
    <w:rsid w:val="00DC38ED"/>
    <w:rsid w:val="00DC3F34"/>
    <w:rsid w:val="00DC42CB"/>
    <w:rsid w:val="00DC6728"/>
    <w:rsid w:val="00DD1526"/>
    <w:rsid w:val="00DD1D42"/>
    <w:rsid w:val="00DD301E"/>
    <w:rsid w:val="00DD4A36"/>
    <w:rsid w:val="00DD628F"/>
    <w:rsid w:val="00DD671B"/>
    <w:rsid w:val="00DD69A7"/>
    <w:rsid w:val="00DE2F81"/>
    <w:rsid w:val="00DE32C1"/>
    <w:rsid w:val="00DE64E0"/>
    <w:rsid w:val="00DE6AA4"/>
    <w:rsid w:val="00DE769C"/>
    <w:rsid w:val="00DE7ECE"/>
    <w:rsid w:val="00DF3DCE"/>
    <w:rsid w:val="00DF41D4"/>
    <w:rsid w:val="00DF5DD6"/>
    <w:rsid w:val="00DF65F1"/>
    <w:rsid w:val="00DF7DA4"/>
    <w:rsid w:val="00E0035B"/>
    <w:rsid w:val="00E008DD"/>
    <w:rsid w:val="00E01804"/>
    <w:rsid w:val="00E01E2D"/>
    <w:rsid w:val="00E0279F"/>
    <w:rsid w:val="00E039BB"/>
    <w:rsid w:val="00E068EA"/>
    <w:rsid w:val="00E06B79"/>
    <w:rsid w:val="00E07E7D"/>
    <w:rsid w:val="00E10EEF"/>
    <w:rsid w:val="00E12875"/>
    <w:rsid w:val="00E14969"/>
    <w:rsid w:val="00E24492"/>
    <w:rsid w:val="00E250E7"/>
    <w:rsid w:val="00E254E6"/>
    <w:rsid w:val="00E26072"/>
    <w:rsid w:val="00E26E43"/>
    <w:rsid w:val="00E27342"/>
    <w:rsid w:val="00E278E8"/>
    <w:rsid w:val="00E33171"/>
    <w:rsid w:val="00E339C0"/>
    <w:rsid w:val="00E3740A"/>
    <w:rsid w:val="00E37EEC"/>
    <w:rsid w:val="00E424DC"/>
    <w:rsid w:val="00E43CD5"/>
    <w:rsid w:val="00E45711"/>
    <w:rsid w:val="00E46E6C"/>
    <w:rsid w:val="00E47176"/>
    <w:rsid w:val="00E50E7D"/>
    <w:rsid w:val="00E51121"/>
    <w:rsid w:val="00E51717"/>
    <w:rsid w:val="00E52CF5"/>
    <w:rsid w:val="00E5341C"/>
    <w:rsid w:val="00E53EB5"/>
    <w:rsid w:val="00E54391"/>
    <w:rsid w:val="00E5463E"/>
    <w:rsid w:val="00E54F2C"/>
    <w:rsid w:val="00E612B8"/>
    <w:rsid w:val="00E613D8"/>
    <w:rsid w:val="00E624B1"/>
    <w:rsid w:val="00E638F3"/>
    <w:rsid w:val="00E63CC0"/>
    <w:rsid w:val="00E64071"/>
    <w:rsid w:val="00E64E7E"/>
    <w:rsid w:val="00E65644"/>
    <w:rsid w:val="00E6699B"/>
    <w:rsid w:val="00E671F3"/>
    <w:rsid w:val="00E67447"/>
    <w:rsid w:val="00E674BA"/>
    <w:rsid w:val="00E6776D"/>
    <w:rsid w:val="00E67CA0"/>
    <w:rsid w:val="00E71D5F"/>
    <w:rsid w:val="00E72876"/>
    <w:rsid w:val="00E76B91"/>
    <w:rsid w:val="00E77394"/>
    <w:rsid w:val="00E81ABD"/>
    <w:rsid w:val="00E823CB"/>
    <w:rsid w:val="00E8398B"/>
    <w:rsid w:val="00E84DA7"/>
    <w:rsid w:val="00E85885"/>
    <w:rsid w:val="00E86FEA"/>
    <w:rsid w:val="00E87292"/>
    <w:rsid w:val="00E9091D"/>
    <w:rsid w:val="00E91180"/>
    <w:rsid w:val="00E92C57"/>
    <w:rsid w:val="00E9318D"/>
    <w:rsid w:val="00E93991"/>
    <w:rsid w:val="00E94453"/>
    <w:rsid w:val="00E95E2D"/>
    <w:rsid w:val="00E96333"/>
    <w:rsid w:val="00EA1B2A"/>
    <w:rsid w:val="00EA2C18"/>
    <w:rsid w:val="00EA3633"/>
    <w:rsid w:val="00EA52F8"/>
    <w:rsid w:val="00EA6CB8"/>
    <w:rsid w:val="00EB3247"/>
    <w:rsid w:val="00EB3D0D"/>
    <w:rsid w:val="00EC0CAF"/>
    <w:rsid w:val="00EC0E89"/>
    <w:rsid w:val="00EC14F4"/>
    <w:rsid w:val="00EC1F27"/>
    <w:rsid w:val="00EC35E0"/>
    <w:rsid w:val="00EC6A7B"/>
    <w:rsid w:val="00ED04F2"/>
    <w:rsid w:val="00ED283F"/>
    <w:rsid w:val="00ED470A"/>
    <w:rsid w:val="00ED5119"/>
    <w:rsid w:val="00EE10B6"/>
    <w:rsid w:val="00EE6ACE"/>
    <w:rsid w:val="00EE70B3"/>
    <w:rsid w:val="00EE77A2"/>
    <w:rsid w:val="00EE77BA"/>
    <w:rsid w:val="00EF07BA"/>
    <w:rsid w:val="00EF2E73"/>
    <w:rsid w:val="00EF34E9"/>
    <w:rsid w:val="00EF432F"/>
    <w:rsid w:val="00EF4AC8"/>
    <w:rsid w:val="00EF799C"/>
    <w:rsid w:val="00F00B91"/>
    <w:rsid w:val="00F0180D"/>
    <w:rsid w:val="00F01EF5"/>
    <w:rsid w:val="00F04C73"/>
    <w:rsid w:val="00F07EEB"/>
    <w:rsid w:val="00F1192F"/>
    <w:rsid w:val="00F1194A"/>
    <w:rsid w:val="00F11B61"/>
    <w:rsid w:val="00F12FF0"/>
    <w:rsid w:val="00F14EB2"/>
    <w:rsid w:val="00F15C65"/>
    <w:rsid w:val="00F15CE1"/>
    <w:rsid w:val="00F1668C"/>
    <w:rsid w:val="00F17339"/>
    <w:rsid w:val="00F17423"/>
    <w:rsid w:val="00F17D42"/>
    <w:rsid w:val="00F17D81"/>
    <w:rsid w:val="00F20217"/>
    <w:rsid w:val="00F21027"/>
    <w:rsid w:val="00F22847"/>
    <w:rsid w:val="00F229E1"/>
    <w:rsid w:val="00F2694C"/>
    <w:rsid w:val="00F30EB1"/>
    <w:rsid w:val="00F311CE"/>
    <w:rsid w:val="00F314F6"/>
    <w:rsid w:val="00F32C3B"/>
    <w:rsid w:val="00F32F4B"/>
    <w:rsid w:val="00F3311F"/>
    <w:rsid w:val="00F33898"/>
    <w:rsid w:val="00F35A98"/>
    <w:rsid w:val="00F35E35"/>
    <w:rsid w:val="00F4011C"/>
    <w:rsid w:val="00F42169"/>
    <w:rsid w:val="00F42E94"/>
    <w:rsid w:val="00F431ED"/>
    <w:rsid w:val="00F44551"/>
    <w:rsid w:val="00F45BDE"/>
    <w:rsid w:val="00F4698D"/>
    <w:rsid w:val="00F46AC2"/>
    <w:rsid w:val="00F46DC0"/>
    <w:rsid w:val="00F46E51"/>
    <w:rsid w:val="00F47F13"/>
    <w:rsid w:val="00F513CB"/>
    <w:rsid w:val="00F515CD"/>
    <w:rsid w:val="00F53E13"/>
    <w:rsid w:val="00F54B06"/>
    <w:rsid w:val="00F56096"/>
    <w:rsid w:val="00F57089"/>
    <w:rsid w:val="00F60FC7"/>
    <w:rsid w:val="00F623BB"/>
    <w:rsid w:val="00F65FAA"/>
    <w:rsid w:val="00F6653C"/>
    <w:rsid w:val="00F66EB2"/>
    <w:rsid w:val="00F70C6E"/>
    <w:rsid w:val="00F73276"/>
    <w:rsid w:val="00F733E7"/>
    <w:rsid w:val="00F7671E"/>
    <w:rsid w:val="00F768D3"/>
    <w:rsid w:val="00F7718B"/>
    <w:rsid w:val="00F77353"/>
    <w:rsid w:val="00F821A8"/>
    <w:rsid w:val="00F8276A"/>
    <w:rsid w:val="00F830DC"/>
    <w:rsid w:val="00F8338F"/>
    <w:rsid w:val="00F839E3"/>
    <w:rsid w:val="00F84FA6"/>
    <w:rsid w:val="00F86184"/>
    <w:rsid w:val="00F90A38"/>
    <w:rsid w:val="00F90FFB"/>
    <w:rsid w:val="00F92329"/>
    <w:rsid w:val="00F93164"/>
    <w:rsid w:val="00F94E46"/>
    <w:rsid w:val="00F9793A"/>
    <w:rsid w:val="00FA054F"/>
    <w:rsid w:val="00FA20D5"/>
    <w:rsid w:val="00FA2C8D"/>
    <w:rsid w:val="00FA41F1"/>
    <w:rsid w:val="00FA4572"/>
    <w:rsid w:val="00FA4700"/>
    <w:rsid w:val="00FA47ED"/>
    <w:rsid w:val="00FA5728"/>
    <w:rsid w:val="00FA6F16"/>
    <w:rsid w:val="00FA71ED"/>
    <w:rsid w:val="00FA7A10"/>
    <w:rsid w:val="00FB09A3"/>
    <w:rsid w:val="00FB116A"/>
    <w:rsid w:val="00FB1460"/>
    <w:rsid w:val="00FB264F"/>
    <w:rsid w:val="00FB29AD"/>
    <w:rsid w:val="00FB31DF"/>
    <w:rsid w:val="00FB4AEA"/>
    <w:rsid w:val="00FB61FB"/>
    <w:rsid w:val="00FB6E9F"/>
    <w:rsid w:val="00FB7C81"/>
    <w:rsid w:val="00FC0B51"/>
    <w:rsid w:val="00FC218C"/>
    <w:rsid w:val="00FC33E5"/>
    <w:rsid w:val="00FC4E10"/>
    <w:rsid w:val="00FC6054"/>
    <w:rsid w:val="00FD0196"/>
    <w:rsid w:val="00FD0BCA"/>
    <w:rsid w:val="00FD0D01"/>
    <w:rsid w:val="00FD3067"/>
    <w:rsid w:val="00FD3E5B"/>
    <w:rsid w:val="00FD50FD"/>
    <w:rsid w:val="00FD64FD"/>
    <w:rsid w:val="00FD73F7"/>
    <w:rsid w:val="00FE0ECB"/>
    <w:rsid w:val="00FE0F65"/>
    <w:rsid w:val="00FE168C"/>
    <w:rsid w:val="00FE2F2A"/>
    <w:rsid w:val="00FE301A"/>
    <w:rsid w:val="00FE5448"/>
    <w:rsid w:val="00FE54A5"/>
    <w:rsid w:val="00FE54D2"/>
    <w:rsid w:val="00FE6E72"/>
    <w:rsid w:val="00FE7690"/>
    <w:rsid w:val="00FF0946"/>
    <w:rsid w:val="00FF0E75"/>
    <w:rsid w:val="00FF1994"/>
    <w:rsid w:val="00FF1F94"/>
    <w:rsid w:val="00FF2482"/>
    <w:rsid w:val="00FF49D4"/>
    <w:rsid w:val="00FF4B96"/>
    <w:rsid w:val="00FF6901"/>
    <w:rsid w:val="00FF6CCE"/>
    <w:rsid w:val="00FF749B"/>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61"/>
    <w:pPr>
      <w:widowControl w:val="0"/>
      <w:spacing w:after="240" w:line="480" w:lineRule="auto"/>
    </w:pPr>
    <w:rPr>
      <w:rFonts w:ascii="Arial" w:eastAsia="Times New Roman" w:hAnsi="Arial" w:cs="Times New Roman"/>
      <w:lang w:bidi="en-US"/>
    </w:rPr>
  </w:style>
  <w:style w:type="paragraph" w:styleId="Heading1">
    <w:name w:val="heading 1"/>
    <w:basedOn w:val="Normal"/>
    <w:next w:val="Normal"/>
    <w:link w:val="Heading1Char"/>
    <w:qFormat/>
    <w:rsid w:val="00F11B61"/>
    <w:pPr>
      <w:keepNext/>
      <w:keepLines/>
      <w:pageBreakBefore/>
      <w:numPr>
        <w:numId w:val="9"/>
      </w:numPr>
      <w:spacing w:after="360" w:line="240" w:lineRule="auto"/>
      <w:outlineLvl w:val="0"/>
    </w:pPr>
    <w:rPr>
      <w:b/>
      <w:bCs/>
      <w:sz w:val="36"/>
      <w:szCs w:val="36"/>
    </w:rPr>
  </w:style>
  <w:style w:type="paragraph" w:styleId="Heading2">
    <w:name w:val="heading 2"/>
    <w:basedOn w:val="Normal"/>
    <w:next w:val="Normal"/>
    <w:link w:val="Heading2Char"/>
    <w:unhideWhenUsed/>
    <w:qFormat/>
    <w:rsid w:val="00F11B61"/>
    <w:pPr>
      <w:keepNext/>
      <w:keepLines/>
      <w:spacing w:before="200" w:after="360" w:line="240" w:lineRule="auto"/>
      <w:outlineLvl w:val="1"/>
    </w:pPr>
    <w:rPr>
      <w:b/>
      <w:bCs/>
      <w:sz w:val="28"/>
      <w:szCs w:val="24"/>
    </w:rPr>
  </w:style>
  <w:style w:type="paragraph" w:styleId="Heading3">
    <w:name w:val="heading 3"/>
    <w:basedOn w:val="Normal"/>
    <w:next w:val="Normal"/>
    <w:link w:val="Heading3Char"/>
    <w:unhideWhenUsed/>
    <w:qFormat/>
    <w:rsid w:val="00F11B61"/>
    <w:pPr>
      <w:keepNext/>
      <w:keepLines/>
      <w:spacing w:before="200"/>
      <w:outlineLvl w:val="2"/>
    </w:pPr>
    <w:rPr>
      <w:b/>
      <w:bCs/>
      <w:i/>
      <w:sz w:val="26"/>
      <w:szCs w:val="24"/>
    </w:rPr>
  </w:style>
  <w:style w:type="paragraph" w:styleId="Heading4">
    <w:name w:val="heading 4"/>
    <w:basedOn w:val="Heading3"/>
    <w:next w:val="Normal"/>
    <w:link w:val="Heading4Char"/>
    <w:unhideWhenUsed/>
    <w:qFormat/>
    <w:rsid w:val="00F11B61"/>
    <w:pPr>
      <w:outlineLvl w:val="3"/>
    </w:pPr>
    <w:rPr>
      <w:rFonts w:ascii="Times New Roman" w:hAnsi="Times New Roman"/>
      <w:i w:val="0"/>
      <w:sz w:val="24"/>
    </w:rPr>
  </w:style>
  <w:style w:type="paragraph" w:styleId="Heading5">
    <w:name w:val="heading 5"/>
    <w:basedOn w:val="Normal"/>
    <w:next w:val="Normal"/>
    <w:link w:val="Heading5Char"/>
    <w:unhideWhenUsed/>
    <w:qFormat/>
    <w:rsid w:val="00F11B61"/>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unhideWhenUsed/>
    <w:qFormat/>
    <w:rsid w:val="00F11B61"/>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unhideWhenUsed/>
    <w:qFormat/>
    <w:rsid w:val="00F11B61"/>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unhideWhenUsed/>
    <w:qFormat/>
    <w:rsid w:val="00F11B61"/>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unhideWhenUsed/>
    <w:qFormat/>
    <w:rsid w:val="00F11B61"/>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B61"/>
    <w:rPr>
      <w:rFonts w:ascii="Arial" w:eastAsia="Times New Roman" w:hAnsi="Arial" w:cs="Times New Roman"/>
      <w:b/>
      <w:bCs/>
      <w:sz w:val="36"/>
      <w:szCs w:val="36"/>
      <w:lang w:bidi="en-US"/>
    </w:rPr>
  </w:style>
  <w:style w:type="character" w:customStyle="1" w:styleId="Heading2Char">
    <w:name w:val="Heading 2 Char"/>
    <w:basedOn w:val="DefaultParagraphFont"/>
    <w:link w:val="Heading2"/>
    <w:rsid w:val="00F11B61"/>
    <w:rPr>
      <w:rFonts w:ascii="Arial" w:eastAsia="Times New Roman" w:hAnsi="Arial" w:cs="Times New Roman"/>
      <w:b/>
      <w:bCs/>
      <w:sz w:val="28"/>
      <w:szCs w:val="24"/>
      <w:lang w:bidi="en-US"/>
    </w:rPr>
  </w:style>
  <w:style w:type="character" w:customStyle="1" w:styleId="Heading3Char">
    <w:name w:val="Heading 3 Char"/>
    <w:basedOn w:val="DefaultParagraphFont"/>
    <w:link w:val="Heading3"/>
    <w:rsid w:val="00F11B61"/>
    <w:rPr>
      <w:rFonts w:ascii="Arial" w:eastAsia="Times New Roman" w:hAnsi="Arial" w:cs="Times New Roman"/>
      <w:b/>
      <w:bCs/>
      <w:i/>
      <w:sz w:val="26"/>
      <w:szCs w:val="24"/>
      <w:lang w:bidi="en-US"/>
    </w:rPr>
  </w:style>
  <w:style w:type="character" w:customStyle="1" w:styleId="Heading4Char">
    <w:name w:val="Heading 4 Char"/>
    <w:basedOn w:val="DefaultParagraphFont"/>
    <w:link w:val="Heading4"/>
    <w:rsid w:val="00F11B61"/>
    <w:rPr>
      <w:rFonts w:ascii="Times New Roman" w:eastAsia="Times New Roman" w:hAnsi="Times New Roman" w:cs="Times New Roman"/>
      <w:b/>
      <w:bCs/>
      <w:sz w:val="24"/>
      <w:szCs w:val="24"/>
      <w:lang w:bidi="en-US"/>
    </w:rPr>
  </w:style>
  <w:style w:type="character" w:customStyle="1" w:styleId="Heading5Char">
    <w:name w:val="Heading 5 Char"/>
    <w:basedOn w:val="DefaultParagraphFont"/>
    <w:link w:val="Heading5"/>
    <w:rsid w:val="00F11B61"/>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F11B61"/>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F11B61"/>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F11B6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11B61"/>
    <w:rPr>
      <w:rFonts w:ascii="Cambria" w:eastAsia="Times New Roman" w:hAnsi="Cambria" w:cs="Times New Roman"/>
      <w:i/>
      <w:iCs/>
      <w:color w:val="404040"/>
      <w:sz w:val="20"/>
      <w:szCs w:val="20"/>
    </w:rPr>
  </w:style>
  <w:style w:type="paragraph" w:customStyle="1" w:styleId="3BodyQuoteSingleOrLast">
    <w:name w:val="3_Body_Quote_SingleOrLast"/>
    <w:basedOn w:val="Normal"/>
    <w:uiPriority w:val="99"/>
    <w:rsid w:val="00F11B61"/>
    <w:pPr>
      <w:widowControl/>
      <w:tabs>
        <w:tab w:val="left" w:pos="1080"/>
        <w:tab w:val="right" w:pos="7920"/>
      </w:tabs>
      <w:spacing w:after="480" w:line="240" w:lineRule="auto"/>
      <w:ind w:left="720" w:right="720"/>
    </w:pPr>
  </w:style>
  <w:style w:type="paragraph" w:customStyle="1" w:styleId="3BodyQuoteMultipleParas">
    <w:name w:val="3_Body_Quote_MultipleParas"/>
    <w:basedOn w:val="3BodyQuoteSingleOrLast"/>
    <w:uiPriority w:val="99"/>
    <w:rsid w:val="00F11B61"/>
    <w:pPr>
      <w:spacing w:after="0"/>
    </w:pPr>
  </w:style>
  <w:style w:type="paragraph" w:customStyle="1" w:styleId="3BodyNumbered-ManualMultipleParas">
    <w:name w:val="3_Body_Numbered-Manual_MultipleParas"/>
    <w:basedOn w:val="3BodyNumbered-ManualSingleOrLast"/>
    <w:rsid w:val="00F11B61"/>
    <w:pPr>
      <w:spacing w:after="120"/>
    </w:pPr>
  </w:style>
  <w:style w:type="paragraph" w:customStyle="1" w:styleId="3BodyNumbered-ManualSingleOrLast">
    <w:name w:val="3_Body_Numbered-Manual_SingleOrLast"/>
    <w:basedOn w:val="Normal"/>
    <w:uiPriority w:val="99"/>
    <w:rsid w:val="00F11B61"/>
    <w:pPr>
      <w:tabs>
        <w:tab w:val="left" w:pos="1080"/>
        <w:tab w:val="right" w:pos="7920"/>
      </w:tabs>
      <w:spacing w:before="120" w:after="360" w:line="240" w:lineRule="auto"/>
      <w:ind w:left="1080" w:right="720" w:hanging="360"/>
    </w:pPr>
  </w:style>
  <w:style w:type="paragraph" w:customStyle="1" w:styleId="3BodyBulletMultipleParas">
    <w:name w:val="3_Body_Bullet_MultipleParas"/>
    <w:basedOn w:val="3BodyQuoteMultipleParas"/>
    <w:uiPriority w:val="99"/>
    <w:rsid w:val="00F11B61"/>
    <w:pPr>
      <w:numPr>
        <w:numId w:val="1"/>
      </w:numPr>
      <w:tabs>
        <w:tab w:val="clear" w:pos="1080"/>
        <w:tab w:val="clear" w:pos="7920"/>
        <w:tab w:val="left" w:pos="990"/>
        <w:tab w:val="right" w:pos="8640"/>
      </w:tabs>
      <w:spacing w:before="120"/>
      <w:ind w:left="990" w:right="0" w:hanging="270"/>
    </w:pPr>
  </w:style>
  <w:style w:type="paragraph" w:customStyle="1" w:styleId="3BodyBulletSingleOrLast">
    <w:name w:val="3_Body_Bullet_SingleOrLast"/>
    <w:basedOn w:val="3BodyBulletMultipleParas"/>
    <w:uiPriority w:val="99"/>
    <w:rsid w:val="00F11B61"/>
    <w:pPr>
      <w:spacing w:after="360"/>
      <w:ind w:left="994" w:hanging="274"/>
    </w:pPr>
  </w:style>
  <w:style w:type="paragraph" w:customStyle="1" w:styleId="7CaptionManualNumbersaboveTables">
    <w:name w:val="7_CaptionManualNumbers_aboveTables"/>
    <w:basedOn w:val="Heading9"/>
    <w:next w:val="Normal"/>
    <w:uiPriority w:val="99"/>
    <w:rsid w:val="00F11B61"/>
    <w:pPr>
      <w:spacing w:before="240" w:after="120" w:line="240" w:lineRule="auto"/>
      <w:ind w:left="1440" w:hanging="1440"/>
    </w:pPr>
    <w:rPr>
      <w:rFonts w:eastAsia="MS Gothic"/>
      <w:b/>
      <w:color w:val="auto"/>
      <w:lang w:val="en-CA"/>
    </w:rPr>
  </w:style>
  <w:style w:type="paragraph" w:customStyle="1" w:styleId="3BodyQuoteSubjectstoChangeFontALL">
    <w:name w:val="3_Body_QuoteSubjects_toChangeFont_ALL"/>
    <w:basedOn w:val="3BodyQuoteSingleOrLast"/>
    <w:rsid w:val="00F11B61"/>
    <w:pPr>
      <w:spacing w:before="120" w:after="360"/>
    </w:pPr>
    <w:rPr>
      <w:rFonts w:ascii="Verdana" w:hAnsi="Verdana"/>
      <w:sz w:val="20"/>
      <w:szCs w:val="20"/>
    </w:rPr>
  </w:style>
  <w:style w:type="paragraph" w:customStyle="1" w:styleId="3BodyQuoteSubjects1SingleOrLast">
    <w:name w:val="3_Body_QuoteSubjects1_SingleOrLast"/>
    <w:basedOn w:val="3BodyQuoteSubjectstoChangeFontALL"/>
    <w:rsid w:val="00F11B61"/>
  </w:style>
  <w:style w:type="paragraph" w:customStyle="1" w:styleId="8Heading1ArticlesEssaysParts">
    <w:name w:val="8_Heading 1_ArticlesEssaysParts"/>
    <w:basedOn w:val="Heading1"/>
    <w:rsid w:val="00F11B61"/>
    <w:pPr>
      <w:keepNext w:val="0"/>
      <w:numPr>
        <w:numId w:val="0"/>
      </w:numPr>
      <w:spacing w:before="5280" w:after="5040" w:line="360" w:lineRule="auto"/>
      <w:jc w:val="center"/>
    </w:pPr>
  </w:style>
  <w:style w:type="paragraph" w:customStyle="1" w:styleId="8Heading2PageBreakBefore">
    <w:name w:val="8_Heading 2_PageBreakBefore"/>
    <w:basedOn w:val="Heading2"/>
    <w:rsid w:val="00F11B61"/>
    <w:pPr>
      <w:pageBreakBefore/>
    </w:pPr>
  </w:style>
  <w:style w:type="paragraph" w:styleId="BalloonText">
    <w:name w:val="Balloon Text"/>
    <w:basedOn w:val="Normal"/>
    <w:link w:val="BalloonTextChar"/>
    <w:uiPriority w:val="99"/>
    <w:semiHidden/>
    <w:rsid w:val="00F11B61"/>
    <w:pPr>
      <w:spacing w:after="0" w:line="240" w:lineRule="auto"/>
    </w:pPr>
    <w:rPr>
      <w:rFonts w:ascii="Tahoma" w:hAnsi="Tahoma"/>
      <w:sz w:val="16"/>
      <w:szCs w:val="16"/>
      <w:lang w:bidi="ar-SA"/>
    </w:rPr>
  </w:style>
  <w:style w:type="character" w:customStyle="1" w:styleId="BalloonTextChar">
    <w:name w:val="Balloon Text Char"/>
    <w:basedOn w:val="DefaultParagraphFont"/>
    <w:link w:val="BalloonText"/>
    <w:uiPriority w:val="99"/>
    <w:semiHidden/>
    <w:rsid w:val="00F11B61"/>
    <w:rPr>
      <w:rFonts w:ascii="Tahoma" w:eastAsia="Times New Roman" w:hAnsi="Tahoma" w:cs="Times New Roman"/>
      <w:sz w:val="16"/>
      <w:szCs w:val="16"/>
    </w:rPr>
  </w:style>
  <w:style w:type="character" w:styleId="Hyperlink">
    <w:name w:val="Hyperlink"/>
    <w:uiPriority w:val="99"/>
    <w:rsid w:val="00F11B61"/>
    <w:rPr>
      <w:rFonts w:eastAsia="Times New Roman" w:cs="Arial"/>
      <w:lang w:val="en-CA" w:eastAsia="en-CA" w:bidi="ar-SA"/>
    </w:rPr>
  </w:style>
  <w:style w:type="paragraph" w:styleId="TableofFigures">
    <w:name w:val="table of figures"/>
    <w:basedOn w:val="Normal"/>
    <w:next w:val="Normal"/>
    <w:uiPriority w:val="99"/>
    <w:rsid w:val="00F11B61"/>
    <w:pPr>
      <w:keepLines/>
      <w:tabs>
        <w:tab w:val="left" w:pos="1260"/>
        <w:tab w:val="right" w:leader="dot" w:pos="8640"/>
      </w:tabs>
      <w:spacing w:before="120" w:after="120" w:line="240" w:lineRule="auto"/>
      <w:ind w:left="1267" w:right="720" w:hanging="1267"/>
    </w:pPr>
    <w:rPr>
      <w:noProof/>
      <w:lang w:val="en-CA" w:eastAsia="en-CA" w:bidi="ar-SA"/>
    </w:rPr>
  </w:style>
  <w:style w:type="paragraph" w:customStyle="1" w:styleId="Heading1Appendices">
    <w:name w:val="Heading 1_Appendices"/>
    <w:basedOn w:val="Heading1"/>
    <w:next w:val="Heading1Appendixes"/>
    <w:uiPriority w:val="99"/>
    <w:rsid w:val="00F11B61"/>
    <w:pPr>
      <w:numPr>
        <w:numId w:val="0"/>
      </w:numPr>
      <w:spacing w:before="6120"/>
      <w:jc w:val="right"/>
    </w:pPr>
  </w:style>
  <w:style w:type="paragraph" w:customStyle="1" w:styleId="Heading1Appendixes">
    <w:name w:val="Heading 1_Appendix(es)"/>
    <w:basedOn w:val="Heading2"/>
    <w:next w:val="6AppendNormal"/>
    <w:uiPriority w:val="99"/>
    <w:rsid w:val="00F11B61"/>
    <w:pPr>
      <w:pageBreakBefore/>
      <w:spacing w:after="240"/>
    </w:pPr>
  </w:style>
  <w:style w:type="paragraph" w:customStyle="1" w:styleId="6AppendNormal">
    <w:name w:val="6_Append_Normal"/>
    <w:basedOn w:val="Normal"/>
    <w:uiPriority w:val="99"/>
    <w:rsid w:val="00F11B61"/>
    <w:pPr>
      <w:tabs>
        <w:tab w:val="left" w:pos="1440"/>
        <w:tab w:val="right" w:pos="8640"/>
      </w:tabs>
      <w:suppressAutoHyphens/>
      <w:spacing w:before="120" w:after="120" w:line="240" w:lineRule="auto"/>
    </w:pPr>
    <w:rPr>
      <w:sz w:val="20"/>
      <w:szCs w:val="20"/>
    </w:rPr>
  </w:style>
  <w:style w:type="paragraph" w:customStyle="1" w:styleId="7TableRowHeadLeft">
    <w:name w:val="7_TableRow_HeadLeft"/>
    <w:basedOn w:val="7TableRowNormal"/>
    <w:rsid w:val="00F11B61"/>
    <w:rPr>
      <w:b/>
    </w:rPr>
  </w:style>
  <w:style w:type="paragraph" w:customStyle="1" w:styleId="7TableRowNormal">
    <w:name w:val="7_TableRow_Normal"/>
    <w:basedOn w:val="Normal"/>
    <w:uiPriority w:val="99"/>
    <w:rsid w:val="00F11B61"/>
    <w:pPr>
      <w:suppressAutoHyphens/>
      <w:spacing w:before="60" w:after="60" w:line="240" w:lineRule="auto"/>
    </w:pPr>
    <w:rPr>
      <w:rFonts w:ascii="Arial Narrow" w:hAnsi="Arial Narrow"/>
    </w:rPr>
  </w:style>
  <w:style w:type="paragraph" w:customStyle="1" w:styleId="7TableRowHeadCentre">
    <w:name w:val="7_TableRow_HeadCentre"/>
    <w:basedOn w:val="7TableRowHeadLeft"/>
    <w:rsid w:val="00F11B61"/>
    <w:pPr>
      <w:jc w:val="center"/>
    </w:pPr>
  </w:style>
  <w:style w:type="paragraph" w:customStyle="1" w:styleId="7TableRowCentre">
    <w:name w:val="7_TableRow_Centre"/>
    <w:basedOn w:val="7TableRowNormal"/>
    <w:rsid w:val="00F11B61"/>
    <w:pPr>
      <w:jc w:val="center"/>
    </w:pPr>
  </w:style>
  <w:style w:type="paragraph" w:customStyle="1" w:styleId="7TableRowHangingIndent">
    <w:name w:val="7_TableRow_HangingIndent"/>
    <w:basedOn w:val="7TableRowNormal"/>
    <w:rsid w:val="00F11B61"/>
    <w:pPr>
      <w:ind w:left="90" w:hanging="90"/>
    </w:pPr>
  </w:style>
  <w:style w:type="paragraph" w:customStyle="1" w:styleId="2AcknowNormal">
    <w:name w:val="2_Acknow_Normal"/>
    <w:basedOn w:val="2AbstractNormal"/>
    <w:uiPriority w:val="99"/>
    <w:rsid w:val="00F11B61"/>
  </w:style>
  <w:style w:type="paragraph" w:customStyle="1" w:styleId="2AbstractNormal">
    <w:name w:val="2_Abstract_Normal"/>
    <w:basedOn w:val="Normal"/>
    <w:uiPriority w:val="99"/>
    <w:rsid w:val="00F11B61"/>
    <w:pPr>
      <w:suppressAutoHyphens/>
      <w:spacing w:after="360"/>
    </w:pPr>
  </w:style>
  <w:style w:type="paragraph" w:styleId="TOC2">
    <w:name w:val="toc 2"/>
    <w:basedOn w:val="Normal"/>
    <w:next w:val="Normal"/>
    <w:uiPriority w:val="39"/>
    <w:rsid w:val="00F11B61"/>
    <w:pPr>
      <w:keepLines/>
      <w:tabs>
        <w:tab w:val="right" w:leader="dot" w:pos="8640"/>
      </w:tabs>
      <w:spacing w:after="0" w:line="240" w:lineRule="auto"/>
      <w:ind w:left="547" w:right="720" w:hanging="547"/>
    </w:pPr>
    <w:rPr>
      <w:noProof/>
    </w:rPr>
  </w:style>
  <w:style w:type="paragraph" w:styleId="TOC1">
    <w:name w:val="toc 1"/>
    <w:basedOn w:val="Normal"/>
    <w:next w:val="Normal"/>
    <w:uiPriority w:val="39"/>
    <w:rsid w:val="00F11B61"/>
    <w:pPr>
      <w:keepNext/>
      <w:keepLines/>
      <w:tabs>
        <w:tab w:val="left" w:pos="1310"/>
        <w:tab w:val="right" w:leader="dot" w:pos="8640"/>
      </w:tabs>
      <w:spacing w:before="360" w:after="0" w:line="240" w:lineRule="auto"/>
      <w:ind w:left="1440" w:right="720" w:hanging="1440"/>
    </w:pPr>
    <w:rPr>
      <w:b/>
      <w:noProof/>
    </w:rPr>
  </w:style>
  <w:style w:type="paragraph" w:customStyle="1" w:styleId="7FigureImagenoNoteOrCaptionAfter">
    <w:name w:val="7_FigureImage_noNoteOrCaptionAfter"/>
    <w:basedOn w:val="Normal"/>
    <w:uiPriority w:val="99"/>
    <w:rsid w:val="00F11B61"/>
    <w:pPr>
      <w:spacing w:after="720" w:line="240" w:lineRule="auto"/>
      <w:jc w:val="center"/>
    </w:pPr>
  </w:style>
  <w:style w:type="paragraph" w:customStyle="1" w:styleId="7FigureNote">
    <w:name w:val="7_FigureNote"/>
    <w:basedOn w:val="Normal"/>
    <w:uiPriority w:val="99"/>
    <w:rsid w:val="00F11B61"/>
    <w:pPr>
      <w:keepLines/>
      <w:tabs>
        <w:tab w:val="left" w:pos="1080"/>
        <w:tab w:val="left" w:pos="1440"/>
        <w:tab w:val="left" w:pos="1800"/>
        <w:tab w:val="left" w:pos="2160"/>
        <w:tab w:val="left" w:pos="2610"/>
        <w:tab w:val="left" w:pos="2970"/>
        <w:tab w:val="left" w:pos="3870"/>
      </w:tabs>
      <w:suppressAutoHyphens/>
      <w:spacing w:before="120" w:after="480" w:line="240" w:lineRule="auto"/>
      <w:ind w:left="720" w:hanging="720"/>
    </w:pPr>
    <w:rPr>
      <w:iCs/>
      <w:sz w:val="20"/>
      <w:szCs w:val="18"/>
    </w:rPr>
  </w:style>
  <w:style w:type="paragraph" w:customStyle="1" w:styleId="7FigureImagewithNoteOrCaptionAfter">
    <w:name w:val="7_FigureImage_withNoteOrCaptionAfter"/>
    <w:basedOn w:val="7FigureImagenoNoteOrCaptionAfter"/>
    <w:uiPriority w:val="99"/>
    <w:rsid w:val="00F11B61"/>
    <w:pPr>
      <w:keepNext/>
      <w:keepLines/>
      <w:spacing w:after="120"/>
    </w:pPr>
  </w:style>
  <w:style w:type="paragraph" w:customStyle="1" w:styleId="7CaptionManualNumbersaboveFiguresImages">
    <w:name w:val="7_CaptionManualNumbers_aboveFiguresImages"/>
    <w:basedOn w:val="7CaptionManualNumbersaboveTables"/>
    <w:next w:val="7FigureImagenoNoteOrCaptionAfter"/>
    <w:uiPriority w:val="99"/>
    <w:rsid w:val="00F11B61"/>
  </w:style>
  <w:style w:type="paragraph" w:styleId="TOC3">
    <w:name w:val="toc 3"/>
    <w:basedOn w:val="Normal"/>
    <w:next w:val="Normal"/>
    <w:uiPriority w:val="39"/>
    <w:rsid w:val="00F11B61"/>
    <w:pPr>
      <w:keepLines/>
      <w:tabs>
        <w:tab w:val="left" w:pos="1080"/>
        <w:tab w:val="right" w:leader="dot" w:pos="8640"/>
      </w:tabs>
      <w:spacing w:after="0" w:line="240" w:lineRule="auto"/>
      <w:ind w:left="1080" w:right="720" w:hanging="533"/>
    </w:pPr>
    <w:rPr>
      <w:noProof/>
    </w:rPr>
  </w:style>
  <w:style w:type="paragraph" w:customStyle="1" w:styleId="3BodyLettered-ManualMultiple">
    <w:name w:val="3_Body_Lettered-Manual_Multiple"/>
    <w:basedOn w:val="Normal"/>
    <w:rsid w:val="00F11B61"/>
    <w:pPr>
      <w:tabs>
        <w:tab w:val="left" w:pos="990"/>
        <w:tab w:val="right" w:pos="7920"/>
      </w:tabs>
      <w:spacing w:before="120" w:after="0" w:line="240" w:lineRule="auto"/>
      <w:ind w:left="1440" w:right="720" w:hanging="270"/>
    </w:pPr>
  </w:style>
  <w:style w:type="paragraph" w:customStyle="1" w:styleId="7TableRowIndent">
    <w:name w:val="7_TableRow_Indent"/>
    <w:basedOn w:val="7TableRowNormal"/>
    <w:rsid w:val="00F11B61"/>
    <w:pPr>
      <w:ind w:left="90"/>
    </w:pPr>
  </w:style>
  <w:style w:type="paragraph" w:styleId="BodyText">
    <w:name w:val="Body Text"/>
    <w:basedOn w:val="Normal"/>
    <w:link w:val="BodyTextChar"/>
    <w:uiPriority w:val="99"/>
    <w:semiHidden/>
    <w:rsid w:val="00F11B61"/>
    <w:pPr>
      <w:spacing w:after="120"/>
    </w:pPr>
    <w:rPr>
      <w:sz w:val="20"/>
      <w:szCs w:val="20"/>
      <w:lang w:bidi="ar-SA"/>
    </w:rPr>
  </w:style>
  <w:style w:type="character" w:customStyle="1" w:styleId="BodyTextChar">
    <w:name w:val="Body Text Char"/>
    <w:basedOn w:val="DefaultParagraphFont"/>
    <w:link w:val="BodyText"/>
    <w:uiPriority w:val="99"/>
    <w:semiHidden/>
    <w:rsid w:val="00F11B61"/>
    <w:rPr>
      <w:rFonts w:ascii="Arial" w:eastAsia="Times New Roman" w:hAnsi="Arial" w:cs="Times New Roman"/>
      <w:sz w:val="20"/>
      <w:szCs w:val="20"/>
    </w:rPr>
  </w:style>
  <w:style w:type="paragraph" w:customStyle="1" w:styleId="6AppendNormalSpecialInstructions">
    <w:name w:val="6_Append_Normal_SpecialInstructions"/>
    <w:basedOn w:val="Normal"/>
    <w:uiPriority w:val="99"/>
    <w:rsid w:val="00F11B61"/>
    <w:pPr>
      <w:suppressAutoHyphens/>
      <w:spacing w:before="120" w:after="120" w:line="240" w:lineRule="auto"/>
      <w:ind w:left="270"/>
    </w:pPr>
    <w:rPr>
      <w:i/>
      <w:sz w:val="20"/>
      <w:szCs w:val="20"/>
    </w:rPr>
  </w:style>
  <w:style w:type="paragraph" w:customStyle="1" w:styleId="6AppendQuestion">
    <w:name w:val="6_Append_Question"/>
    <w:basedOn w:val="6AppendNormal"/>
    <w:uiPriority w:val="99"/>
    <w:rsid w:val="00F11B61"/>
    <w:pPr>
      <w:numPr>
        <w:numId w:val="2"/>
      </w:numPr>
      <w:tabs>
        <w:tab w:val="clear" w:pos="720"/>
      </w:tabs>
      <w:ind w:left="317" w:hanging="317"/>
    </w:pPr>
  </w:style>
  <w:style w:type="paragraph" w:customStyle="1" w:styleId="Bullet">
    <w:name w:val="Bullet"/>
    <w:basedOn w:val="Normal"/>
    <w:uiPriority w:val="99"/>
    <w:rsid w:val="00F11B61"/>
    <w:pPr>
      <w:tabs>
        <w:tab w:val="num" w:pos="720"/>
        <w:tab w:val="left" w:pos="1080"/>
        <w:tab w:val="left" w:pos="1440"/>
        <w:tab w:val="right" w:pos="7920"/>
      </w:tabs>
      <w:spacing w:before="120" w:after="120" w:line="240" w:lineRule="auto"/>
      <w:ind w:left="1080" w:right="720" w:hanging="360"/>
    </w:pPr>
    <w:rPr>
      <w:noProof/>
    </w:rPr>
  </w:style>
  <w:style w:type="table" w:styleId="TableGrid">
    <w:name w:val="Table Grid"/>
    <w:basedOn w:val="TableNormal"/>
    <w:uiPriority w:val="59"/>
    <w:rsid w:val="00F11B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RefsAppendices">
    <w:name w:val="ToC_Refs+Appendices"/>
    <w:basedOn w:val="TOC1"/>
    <w:uiPriority w:val="99"/>
    <w:rsid w:val="00F11B61"/>
    <w:pPr>
      <w:tabs>
        <w:tab w:val="clear" w:pos="1310"/>
        <w:tab w:val="left" w:pos="720"/>
      </w:tabs>
      <w:ind w:left="720" w:hanging="720"/>
    </w:pPr>
  </w:style>
  <w:style w:type="paragraph" w:customStyle="1" w:styleId="Heading2Appendixes">
    <w:name w:val="Heading 2_Appendix(es)"/>
    <w:basedOn w:val="Heading6"/>
    <w:uiPriority w:val="99"/>
    <w:rsid w:val="00F11B61"/>
    <w:pPr>
      <w:suppressAutoHyphens/>
      <w:spacing w:before="360" w:after="120" w:line="240" w:lineRule="auto"/>
      <w:jc w:val="center"/>
    </w:pPr>
    <w:rPr>
      <w:rFonts w:ascii="Arial" w:hAnsi="Arial"/>
      <w:b/>
      <w:i w:val="0"/>
      <w:iCs w:val="0"/>
      <w:color w:val="auto"/>
    </w:rPr>
  </w:style>
  <w:style w:type="paragraph" w:customStyle="1" w:styleId="Heading3Appendixes">
    <w:name w:val="Heading 3_Appendix(es)"/>
    <w:basedOn w:val="Heading2Appendixes"/>
    <w:uiPriority w:val="99"/>
    <w:rsid w:val="00F11B61"/>
    <w:pPr>
      <w:ind w:left="274" w:hanging="274"/>
      <w:jc w:val="left"/>
    </w:pPr>
  </w:style>
  <w:style w:type="paragraph" w:customStyle="1" w:styleId="Heading4Appendixes">
    <w:name w:val="Heading 4_Appendix(es)"/>
    <w:basedOn w:val="Heading3Appendixes"/>
    <w:uiPriority w:val="99"/>
    <w:rsid w:val="00F11B61"/>
    <w:pPr>
      <w:spacing w:before="240" w:after="0"/>
    </w:pPr>
    <w:rPr>
      <w:i/>
    </w:rPr>
  </w:style>
  <w:style w:type="paragraph" w:customStyle="1" w:styleId="6AppendImages">
    <w:name w:val="6_Append_Images"/>
    <w:basedOn w:val="6AppendNormal"/>
    <w:uiPriority w:val="99"/>
    <w:rsid w:val="00F11B61"/>
    <w:pPr>
      <w:spacing w:after="0"/>
      <w:jc w:val="center"/>
    </w:pPr>
  </w:style>
  <w:style w:type="paragraph" w:customStyle="1" w:styleId="6AppendTableTitle">
    <w:name w:val="6_Append_TableTitle"/>
    <w:basedOn w:val="6AppendTableRowNormal"/>
    <w:rsid w:val="00F11B61"/>
    <w:pPr>
      <w:ind w:left="1440" w:hanging="1440"/>
    </w:pPr>
    <w:rPr>
      <w:rFonts w:ascii="Arial" w:hAnsi="Arial"/>
      <w:b/>
    </w:rPr>
  </w:style>
  <w:style w:type="paragraph" w:customStyle="1" w:styleId="6AppendTableRowNormal">
    <w:name w:val="6_Append_TableRow_Normal"/>
    <w:basedOn w:val="6AppendNormal"/>
    <w:rsid w:val="00F11B61"/>
    <w:pPr>
      <w:spacing w:before="20" w:after="20"/>
    </w:pPr>
    <w:rPr>
      <w:rFonts w:ascii="Arial Narrow" w:hAnsi="Arial Narrow"/>
      <w:noProof/>
      <w:sz w:val="22"/>
      <w:szCs w:val="22"/>
    </w:rPr>
  </w:style>
  <w:style w:type="paragraph" w:customStyle="1" w:styleId="7TableRowFlushRight">
    <w:name w:val="7_TableRow_FlushRight"/>
    <w:basedOn w:val="7TableRowNormal"/>
    <w:rsid w:val="00F11B61"/>
    <w:pPr>
      <w:jc w:val="right"/>
    </w:pPr>
  </w:style>
  <w:style w:type="paragraph" w:styleId="Title">
    <w:name w:val="Title"/>
    <w:basedOn w:val="Normal"/>
    <w:next w:val="Normal"/>
    <w:link w:val="TitleChar"/>
    <w:uiPriority w:val="10"/>
    <w:qFormat/>
    <w:rsid w:val="00F11B61"/>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basedOn w:val="DefaultParagraphFont"/>
    <w:link w:val="Title"/>
    <w:uiPriority w:val="10"/>
    <w:rsid w:val="00F11B61"/>
    <w:rPr>
      <w:rFonts w:ascii="Cambria" w:eastAsia="Times New Roman" w:hAnsi="Cambria" w:cs="Times New Roman"/>
      <w:color w:val="17365D"/>
      <w:spacing w:val="5"/>
      <w:kern w:val="28"/>
      <w:sz w:val="52"/>
      <w:szCs w:val="52"/>
    </w:rPr>
  </w:style>
  <w:style w:type="paragraph" w:customStyle="1" w:styleId="1TPTitle">
    <w:name w:val="1_TP_Title"/>
    <w:basedOn w:val="Title"/>
    <w:uiPriority w:val="99"/>
    <w:rsid w:val="00F11B61"/>
    <w:pPr>
      <w:pBdr>
        <w:bottom w:val="none" w:sz="0" w:space="0" w:color="auto"/>
      </w:pBdr>
      <w:spacing w:after="0" w:line="360" w:lineRule="auto"/>
      <w:contextualSpacing w:val="0"/>
      <w:jc w:val="center"/>
    </w:pPr>
    <w:rPr>
      <w:rFonts w:ascii="Arial" w:hAnsi="Arial" w:cs="Arial"/>
      <w:b/>
      <w:color w:val="auto"/>
      <w:sz w:val="36"/>
      <w:szCs w:val="36"/>
    </w:rPr>
  </w:style>
  <w:style w:type="paragraph" w:customStyle="1" w:styleId="1TPNormal">
    <w:name w:val="1_TP_Normal"/>
    <w:basedOn w:val="Normal"/>
    <w:uiPriority w:val="99"/>
    <w:rsid w:val="00F11B61"/>
    <w:pPr>
      <w:jc w:val="center"/>
    </w:pPr>
  </w:style>
  <w:style w:type="paragraph" w:customStyle="1" w:styleId="1TPbyName">
    <w:name w:val="1_TP_byName"/>
    <w:basedOn w:val="Normal"/>
    <w:uiPriority w:val="99"/>
    <w:rsid w:val="00F11B61"/>
    <w:pPr>
      <w:suppressAutoHyphens/>
      <w:spacing w:before="480" w:after="0"/>
      <w:jc w:val="center"/>
    </w:pPr>
    <w:rPr>
      <w:b/>
      <w:sz w:val="28"/>
    </w:rPr>
  </w:style>
  <w:style w:type="paragraph" w:customStyle="1" w:styleId="1TPDisThesisSubmitted">
    <w:name w:val="1_TP_Dis/ThesisSubmitted"/>
    <w:basedOn w:val="Normal"/>
    <w:uiPriority w:val="99"/>
    <w:rsid w:val="00F11B61"/>
    <w:pPr>
      <w:suppressAutoHyphens/>
      <w:spacing w:before="720" w:after="360"/>
      <w:jc w:val="center"/>
    </w:pPr>
    <w:rPr>
      <w:smallCaps/>
      <w:szCs w:val="24"/>
    </w:rPr>
  </w:style>
  <w:style w:type="paragraph" w:customStyle="1" w:styleId="1TPintheDeptFaculty">
    <w:name w:val="1_TP_intheDeptFaculty"/>
    <w:basedOn w:val="Normal"/>
    <w:uiPriority w:val="99"/>
    <w:rsid w:val="00F11B61"/>
    <w:pPr>
      <w:suppressAutoHyphens/>
      <w:spacing w:before="720"/>
      <w:jc w:val="center"/>
    </w:pPr>
    <w:rPr>
      <w:sz w:val="24"/>
      <w:szCs w:val="24"/>
    </w:rPr>
  </w:style>
  <w:style w:type="paragraph" w:customStyle="1" w:styleId="1TPcopyright">
    <w:name w:val="1_TP_copyright"/>
    <w:basedOn w:val="Normal"/>
    <w:uiPriority w:val="99"/>
    <w:rsid w:val="00F11B61"/>
    <w:pPr>
      <w:suppressAutoHyphens/>
      <w:spacing w:before="600" w:after="600"/>
      <w:jc w:val="center"/>
    </w:pPr>
    <w:rPr>
      <w:b/>
      <w:sz w:val="28"/>
      <w:szCs w:val="28"/>
    </w:rPr>
  </w:style>
  <w:style w:type="paragraph" w:customStyle="1" w:styleId="1TPDegrees">
    <w:name w:val="1_TP_Degrees"/>
    <w:basedOn w:val="1TPbyName"/>
    <w:uiPriority w:val="99"/>
    <w:rsid w:val="00F11B61"/>
    <w:pPr>
      <w:spacing w:before="0" w:after="480" w:line="240" w:lineRule="auto"/>
    </w:pPr>
    <w:rPr>
      <w:b w:val="0"/>
      <w:sz w:val="24"/>
      <w:szCs w:val="24"/>
    </w:rPr>
  </w:style>
  <w:style w:type="paragraph" w:customStyle="1" w:styleId="1TPallRightsReserved">
    <w:name w:val="1_TP_allRightsReserved"/>
    <w:basedOn w:val="Normal"/>
    <w:uiPriority w:val="99"/>
    <w:rsid w:val="00F11B61"/>
    <w:pPr>
      <w:suppressAutoHyphens/>
      <w:spacing w:before="480" w:after="0" w:line="240" w:lineRule="auto"/>
      <w:ind w:left="720" w:right="720"/>
      <w:jc w:val="center"/>
    </w:pPr>
  </w:style>
  <w:style w:type="paragraph" w:customStyle="1" w:styleId="Heading1Preliminary">
    <w:name w:val="Heading 1_Preliminary"/>
    <w:basedOn w:val="Heading2"/>
    <w:next w:val="Normal"/>
    <w:uiPriority w:val="99"/>
    <w:rsid w:val="00F11B61"/>
    <w:pPr>
      <w:pageBreakBefore/>
      <w:spacing w:before="360"/>
    </w:pPr>
    <w:rPr>
      <w:sz w:val="32"/>
    </w:rPr>
  </w:style>
  <w:style w:type="paragraph" w:customStyle="1" w:styleId="2ApprovRightColCommittee">
    <w:name w:val="2_Approv_RightCol_Committee"/>
    <w:basedOn w:val="Normal"/>
    <w:uiPriority w:val="99"/>
    <w:rsid w:val="00F11B61"/>
    <w:pPr>
      <w:suppressAutoHyphens/>
      <w:spacing w:before="20" w:after="560" w:line="240" w:lineRule="auto"/>
    </w:pPr>
  </w:style>
  <w:style w:type="paragraph" w:customStyle="1" w:styleId="2ApprovLeftColDate">
    <w:name w:val="2_Approv_LeftCol_Date"/>
    <w:basedOn w:val="Normal"/>
    <w:uiPriority w:val="99"/>
    <w:rsid w:val="00F11B61"/>
    <w:pPr>
      <w:tabs>
        <w:tab w:val="right" w:pos="144"/>
        <w:tab w:val="left" w:pos="1440"/>
      </w:tabs>
      <w:suppressAutoHyphens/>
      <w:spacing w:after="0" w:line="240" w:lineRule="auto"/>
    </w:pPr>
    <w:rPr>
      <w:b/>
    </w:rPr>
  </w:style>
  <w:style w:type="paragraph" w:customStyle="1" w:styleId="2ApprovRightColChair">
    <w:name w:val="2_Approv_RightCol_Chair"/>
    <w:basedOn w:val="2ApprovRightColCommittee"/>
    <w:uiPriority w:val="99"/>
    <w:rsid w:val="00F11B61"/>
    <w:pPr>
      <w:spacing w:before="0"/>
    </w:pPr>
  </w:style>
  <w:style w:type="paragraph" w:customStyle="1" w:styleId="2ApprovRightColThesisTitle">
    <w:name w:val="2_Approv_RightCol_ThesisTitle"/>
    <w:basedOn w:val="Normal"/>
    <w:uiPriority w:val="99"/>
    <w:rsid w:val="00F11B61"/>
    <w:pPr>
      <w:suppressAutoHyphens/>
      <w:spacing w:line="240" w:lineRule="auto"/>
    </w:pPr>
    <w:rPr>
      <w:b/>
      <w:bCs/>
      <w:i/>
      <w:iCs/>
      <w:szCs w:val="32"/>
    </w:rPr>
  </w:style>
  <w:style w:type="paragraph" w:customStyle="1" w:styleId="2ApprovRightColNameDegree">
    <w:name w:val="2_Approv_RightCol_Name+Degree"/>
    <w:basedOn w:val="Normal"/>
    <w:uiPriority w:val="99"/>
    <w:rsid w:val="00F11B61"/>
    <w:pPr>
      <w:suppressAutoHyphens/>
      <w:spacing w:after="80" w:line="240" w:lineRule="auto"/>
      <w:ind w:hanging="14"/>
    </w:pPr>
    <w:rPr>
      <w:b/>
    </w:rPr>
  </w:style>
  <w:style w:type="paragraph" w:customStyle="1" w:styleId="ToCAppendixes">
    <w:name w:val="ToC_Appendix(es)"/>
    <w:basedOn w:val="TOC2"/>
    <w:uiPriority w:val="99"/>
    <w:rsid w:val="00F11B61"/>
    <w:pPr>
      <w:ind w:left="1260" w:hanging="1260"/>
    </w:pPr>
  </w:style>
  <w:style w:type="paragraph" w:customStyle="1" w:styleId="2DedicationNormal">
    <w:name w:val="2_Dedication_Normal"/>
    <w:basedOn w:val="Normal"/>
    <w:uiPriority w:val="99"/>
    <w:rsid w:val="00F11B61"/>
    <w:pPr>
      <w:suppressAutoHyphens/>
    </w:pPr>
  </w:style>
  <w:style w:type="paragraph" w:customStyle="1" w:styleId="Heading1DedicationInvisible">
    <w:name w:val="Heading 1_Dedication_Invisible"/>
    <w:basedOn w:val="Heading1Preliminary"/>
    <w:uiPriority w:val="99"/>
    <w:rsid w:val="00F11B61"/>
    <w:rPr>
      <w:color w:val="FFFFFF"/>
    </w:rPr>
  </w:style>
  <w:style w:type="paragraph" w:customStyle="1" w:styleId="Heading1ListsnoPageBreakBefore">
    <w:name w:val="Heading 1_Lists_noPageBreakBefore"/>
    <w:basedOn w:val="Heading1Preliminary"/>
    <w:next w:val="Normal"/>
    <w:uiPriority w:val="99"/>
    <w:rsid w:val="00F11B61"/>
    <w:pPr>
      <w:pageBreakBefore w:val="0"/>
      <w:spacing w:before="960"/>
    </w:pPr>
  </w:style>
  <w:style w:type="paragraph" w:customStyle="1" w:styleId="2DedicationCentre">
    <w:name w:val="2_Dedication_Centre"/>
    <w:basedOn w:val="2DedicationNormal"/>
    <w:uiPriority w:val="99"/>
    <w:rsid w:val="00F11B61"/>
    <w:pPr>
      <w:spacing w:before="3840"/>
      <w:ind w:left="720" w:right="720"/>
      <w:jc w:val="center"/>
    </w:pPr>
    <w:rPr>
      <w:rFonts w:ascii="Lucida Calligraphy" w:hAnsi="Lucida Calligraphy"/>
      <w:sz w:val="28"/>
      <w:szCs w:val="28"/>
    </w:rPr>
  </w:style>
  <w:style w:type="paragraph" w:customStyle="1" w:styleId="2ApprovLeftColHeadings">
    <w:name w:val="2_Approv_LeftCol_Headings"/>
    <w:basedOn w:val="2ApprovRightColNameDegree"/>
    <w:uiPriority w:val="99"/>
    <w:rsid w:val="00F11B61"/>
  </w:style>
  <w:style w:type="paragraph" w:customStyle="1" w:styleId="2ApprovLeftColChair">
    <w:name w:val="2_Approv_LeftCol_Chair"/>
    <w:basedOn w:val="2ApprovRightColChair"/>
    <w:uiPriority w:val="99"/>
    <w:rsid w:val="00F11B61"/>
    <w:pPr>
      <w:jc w:val="right"/>
    </w:pPr>
    <w:rPr>
      <w:b/>
    </w:rPr>
  </w:style>
  <w:style w:type="paragraph" w:customStyle="1" w:styleId="2ApprovRightColDate">
    <w:name w:val="2_Approv_RightCol_Date"/>
    <w:basedOn w:val="2ApprovLeftColDate"/>
    <w:uiPriority w:val="99"/>
    <w:rsid w:val="00F11B61"/>
    <w:rPr>
      <w:b w:val="0"/>
    </w:rPr>
  </w:style>
  <w:style w:type="paragraph" w:customStyle="1" w:styleId="3BodyFlushLeft">
    <w:name w:val="3_Body_FlushLeft"/>
    <w:basedOn w:val="Normal"/>
    <w:next w:val="Normal"/>
    <w:uiPriority w:val="99"/>
    <w:rsid w:val="00F11B61"/>
    <w:pPr>
      <w:widowControl/>
    </w:pPr>
  </w:style>
  <w:style w:type="paragraph" w:styleId="ListContinue">
    <w:name w:val="List Continue"/>
    <w:basedOn w:val="Normal"/>
    <w:uiPriority w:val="99"/>
    <w:rsid w:val="00F11B61"/>
    <w:pPr>
      <w:spacing w:after="120"/>
      <w:ind w:left="360"/>
    </w:pPr>
  </w:style>
  <w:style w:type="paragraph" w:customStyle="1" w:styleId="Heading1References">
    <w:name w:val="Heading 1_References"/>
    <w:basedOn w:val="Heading1"/>
    <w:next w:val="Normal"/>
    <w:qFormat/>
    <w:rsid w:val="00F11B61"/>
    <w:rPr>
      <w:rFonts w:ascii="Times New Roman" w:hAnsi="Times New Roman"/>
    </w:rPr>
  </w:style>
  <w:style w:type="paragraph" w:styleId="TOC4">
    <w:name w:val="toc 4"/>
    <w:basedOn w:val="Normal"/>
    <w:next w:val="Normal"/>
    <w:uiPriority w:val="39"/>
    <w:unhideWhenUsed/>
    <w:rsid w:val="00F11B61"/>
    <w:pPr>
      <w:keepLines/>
      <w:tabs>
        <w:tab w:val="right" w:leader="dot" w:pos="8640"/>
      </w:tabs>
      <w:spacing w:after="0" w:line="240" w:lineRule="auto"/>
      <w:ind w:left="1620" w:right="634" w:hanging="540"/>
    </w:pPr>
    <w:rPr>
      <w:noProof/>
    </w:rPr>
  </w:style>
  <w:style w:type="paragraph" w:styleId="TOC5">
    <w:name w:val="toc 5"/>
    <w:basedOn w:val="Normal"/>
    <w:next w:val="Normal"/>
    <w:uiPriority w:val="39"/>
    <w:unhideWhenUsed/>
    <w:rsid w:val="00F11B61"/>
    <w:pPr>
      <w:keepLines/>
      <w:tabs>
        <w:tab w:val="right" w:leader="dot" w:pos="8640"/>
      </w:tabs>
      <w:spacing w:after="0" w:line="240" w:lineRule="auto"/>
      <w:ind w:left="2160" w:right="720" w:hanging="540"/>
    </w:pPr>
    <w:rPr>
      <w:noProof/>
    </w:rPr>
  </w:style>
  <w:style w:type="paragraph" w:styleId="FootnoteText">
    <w:name w:val="footnote text"/>
    <w:basedOn w:val="Normal"/>
    <w:link w:val="FootnoteTextChar"/>
    <w:uiPriority w:val="99"/>
    <w:semiHidden/>
    <w:rsid w:val="00F11B61"/>
    <w:pPr>
      <w:autoSpaceDE w:val="0"/>
      <w:autoSpaceDN w:val="0"/>
      <w:adjustRightInd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B61"/>
    <w:rPr>
      <w:rFonts w:ascii="Arial" w:eastAsia="Times New Roman" w:hAnsi="Arial" w:cs="Times New Roman"/>
      <w:sz w:val="20"/>
      <w:szCs w:val="20"/>
      <w:lang w:bidi="en-US"/>
    </w:rPr>
  </w:style>
  <w:style w:type="character" w:styleId="FootnoteReference">
    <w:name w:val="footnote reference"/>
    <w:uiPriority w:val="99"/>
    <w:semiHidden/>
    <w:rsid w:val="00F11B61"/>
    <w:rPr>
      <w:vertAlign w:val="superscript"/>
    </w:rPr>
  </w:style>
  <w:style w:type="paragraph" w:customStyle="1" w:styleId="6AppendTableHeadLeft">
    <w:name w:val="6_Append_TableHeadLeft"/>
    <w:basedOn w:val="6AppendNormal"/>
    <w:rsid w:val="00F11B61"/>
    <w:pPr>
      <w:spacing w:before="60" w:after="60"/>
    </w:pPr>
    <w:rPr>
      <w:b/>
      <w:noProof/>
      <w:sz w:val="22"/>
      <w:szCs w:val="22"/>
    </w:rPr>
  </w:style>
  <w:style w:type="paragraph" w:customStyle="1" w:styleId="6AppendTableHeadCenter">
    <w:name w:val="6_Append_TableHeadCenter"/>
    <w:basedOn w:val="6AppendTableHeadLeft"/>
    <w:rsid w:val="00F11B61"/>
    <w:pPr>
      <w:numPr>
        <w:numId w:val="3"/>
      </w:numPr>
      <w:ind w:left="0" w:firstLine="0"/>
      <w:jc w:val="center"/>
    </w:pPr>
  </w:style>
  <w:style w:type="paragraph" w:customStyle="1" w:styleId="6AppendTableBullet">
    <w:name w:val="6_Append_TableBullet"/>
    <w:basedOn w:val="6AppendTableRowNormal"/>
    <w:rsid w:val="00F11B61"/>
    <w:pPr>
      <w:tabs>
        <w:tab w:val="clear" w:pos="1440"/>
        <w:tab w:val="left" w:pos="241"/>
      </w:tabs>
      <w:ind w:left="245" w:hanging="187"/>
    </w:pPr>
    <w:rPr>
      <w:rFonts w:ascii="Arial" w:hAnsi="Arial"/>
      <w:sz w:val="20"/>
      <w:szCs w:val="20"/>
    </w:rPr>
  </w:style>
  <w:style w:type="paragraph" w:styleId="Header">
    <w:name w:val="header"/>
    <w:basedOn w:val="Normal"/>
    <w:link w:val="HeaderChar"/>
    <w:uiPriority w:val="99"/>
    <w:unhideWhenUsed/>
    <w:rsid w:val="00F11B61"/>
    <w:pPr>
      <w:tabs>
        <w:tab w:val="center" w:pos="4320"/>
        <w:tab w:val="right" w:pos="8640"/>
      </w:tabs>
      <w:spacing w:after="360" w:line="240" w:lineRule="auto"/>
    </w:pPr>
    <w:rPr>
      <w:lang w:bidi="ar-SA"/>
    </w:rPr>
  </w:style>
  <w:style w:type="character" w:customStyle="1" w:styleId="HeaderChar">
    <w:name w:val="Header Char"/>
    <w:basedOn w:val="DefaultParagraphFont"/>
    <w:link w:val="Header"/>
    <w:uiPriority w:val="99"/>
    <w:rsid w:val="00F11B61"/>
    <w:rPr>
      <w:rFonts w:ascii="Arial" w:eastAsia="Times New Roman" w:hAnsi="Arial" w:cs="Times New Roman"/>
    </w:rPr>
  </w:style>
  <w:style w:type="paragraph" w:styleId="Footer">
    <w:name w:val="footer"/>
    <w:basedOn w:val="Normal"/>
    <w:link w:val="FooterChar"/>
    <w:uiPriority w:val="99"/>
    <w:unhideWhenUsed/>
    <w:rsid w:val="00F11B61"/>
    <w:pPr>
      <w:tabs>
        <w:tab w:val="center" w:pos="4680"/>
        <w:tab w:val="right" w:pos="9360"/>
      </w:tabs>
      <w:spacing w:after="0" w:line="240" w:lineRule="auto"/>
      <w:jc w:val="center"/>
    </w:pPr>
    <w:rPr>
      <w:lang w:bidi="ar-SA"/>
    </w:rPr>
  </w:style>
  <w:style w:type="character" w:customStyle="1" w:styleId="FooterChar">
    <w:name w:val="Footer Char"/>
    <w:basedOn w:val="DefaultParagraphFont"/>
    <w:link w:val="Footer"/>
    <w:uiPriority w:val="99"/>
    <w:rsid w:val="00F11B61"/>
    <w:rPr>
      <w:rFonts w:ascii="Arial" w:eastAsia="Times New Roman" w:hAnsi="Arial" w:cs="Times New Roman"/>
    </w:rPr>
  </w:style>
  <w:style w:type="paragraph" w:styleId="TOC6">
    <w:name w:val="toc 6"/>
    <w:basedOn w:val="Normal"/>
    <w:next w:val="Normal"/>
    <w:autoRedefine/>
    <w:uiPriority w:val="39"/>
    <w:unhideWhenUsed/>
    <w:rsid w:val="00F11B61"/>
    <w:pPr>
      <w:spacing w:after="100" w:line="276" w:lineRule="auto"/>
      <w:ind w:left="1100"/>
    </w:pPr>
    <w:rPr>
      <w:rFonts w:ascii="Calibri" w:hAnsi="Calibri"/>
      <w:lang w:eastAsia="en-CA"/>
    </w:rPr>
  </w:style>
  <w:style w:type="paragraph" w:styleId="TOC7">
    <w:name w:val="toc 7"/>
    <w:basedOn w:val="Normal"/>
    <w:next w:val="Normal"/>
    <w:autoRedefine/>
    <w:uiPriority w:val="39"/>
    <w:unhideWhenUsed/>
    <w:rsid w:val="00F11B61"/>
    <w:pPr>
      <w:spacing w:after="100" w:line="276" w:lineRule="auto"/>
      <w:ind w:left="1320"/>
    </w:pPr>
    <w:rPr>
      <w:rFonts w:ascii="Calibri" w:hAnsi="Calibri"/>
      <w:lang w:eastAsia="en-CA"/>
    </w:rPr>
  </w:style>
  <w:style w:type="paragraph" w:styleId="TOC8">
    <w:name w:val="toc 8"/>
    <w:basedOn w:val="Normal"/>
    <w:next w:val="Normal"/>
    <w:autoRedefine/>
    <w:uiPriority w:val="39"/>
    <w:unhideWhenUsed/>
    <w:rsid w:val="00F11B61"/>
    <w:pPr>
      <w:spacing w:after="100" w:line="276" w:lineRule="auto"/>
      <w:ind w:left="1540"/>
    </w:pPr>
    <w:rPr>
      <w:rFonts w:ascii="Calibri" w:hAnsi="Calibri"/>
      <w:lang w:eastAsia="en-CA"/>
    </w:rPr>
  </w:style>
  <w:style w:type="paragraph" w:styleId="TOC9">
    <w:name w:val="toc 9"/>
    <w:basedOn w:val="Normal"/>
    <w:next w:val="Normal"/>
    <w:autoRedefine/>
    <w:uiPriority w:val="39"/>
    <w:unhideWhenUsed/>
    <w:rsid w:val="00F11B61"/>
    <w:pPr>
      <w:spacing w:after="100" w:line="276" w:lineRule="auto"/>
      <w:ind w:left="1760"/>
    </w:pPr>
    <w:rPr>
      <w:rFonts w:ascii="Calibri" w:hAnsi="Calibri"/>
      <w:lang w:eastAsia="en-CA"/>
    </w:rPr>
  </w:style>
  <w:style w:type="paragraph" w:customStyle="1" w:styleId="2ApprovCommittee-LAST">
    <w:name w:val="2_Approv_Committee-LAST"/>
    <w:basedOn w:val="2ApprovRightColCommittee"/>
    <w:qFormat/>
    <w:rsid w:val="00F11B61"/>
    <w:pPr>
      <w:spacing w:after="240"/>
    </w:pPr>
  </w:style>
  <w:style w:type="paragraph" w:customStyle="1" w:styleId="2AbstractKeywords">
    <w:name w:val="2_Abstract_Keywords"/>
    <w:basedOn w:val="2AbstractNormal"/>
    <w:qFormat/>
    <w:rsid w:val="00F11B61"/>
    <w:pPr>
      <w:numPr>
        <w:numId w:val="4"/>
      </w:numPr>
      <w:tabs>
        <w:tab w:val="left" w:pos="1440"/>
      </w:tabs>
      <w:spacing w:after="120" w:line="240" w:lineRule="auto"/>
      <w:ind w:left="1440" w:hanging="1440"/>
    </w:pPr>
  </w:style>
  <w:style w:type="paragraph" w:customStyle="1" w:styleId="7TableRowBullet">
    <w:name w:val="7_TableRow_Bullet"/>
    <w:basedOn w:val="7TableRowNormal"/>
    <w:rsid w:val="00F11B61"/>
    <w:pPr>
      <w:ind w:left="270" w:hanging="180"/>
    </w:pPr>
  </w:style>
  <w:style w:type="paragraph" w:customStyle="1" w:styleId="2ListOfAcronymsTableRow">
    <w:name w:val="2_ListOfAcronyms_TableRow"/>
    <w:basedOn w:val="Normal"/>
    <w:qFormat/>
    <w:rsid w:val="00F11B61"/>
    <w:pPr>
      <w:keepLines/>
      <w:suppressAutoHyphens/>
      <w:spacing w:before="60" w:after="60" w:line="240" w:lineRule="auto"/>
    </w:pPr>
  </w:style>
  <w:style w:type="paragraph" w:styleId="NormalWeb">
    <w:name w:val="Normal (Web)"/>
    <w:basedOn w:val="Normal"/>
    <w:uiPriority w:val="99"/>
    <w:unhideWhenUsed/>
    <w:rsid w:val="00F11B61"/>
    <w:pPr>
      <w:spacing w:before="100" w:beforeAutospacing="1" w:after="100" w:afterAutospacing="1" w:line="240" w:lineRule="auto"/>
    </w:pPr>
    <w:rPr>
      <w:rFonts w:ascii="Times New Roman" w:eastAsia="MS Mincho" w:hAnsi="Times New Roman"/>
      <w:sz w:val="24"/>
      <w:szCs w:val="24"/>
      <w:lang w:eastAsia="ja-JP"/>
    </w:rPr>
  </w:style>
  <w:style w:type="paragraph" w:customStyle="1" w:styleId="7TableNoteNormalFlushLeft">
    <w:name w:val="7_TableNote_Normal_FlushLeft"/>
    <w:basedOn w:val="7TableRowNormal"/>
    <w:rsid w:val="00F11B61"/>
    <w:pPr>
      <w:spacing w:after="360"/>
    </w:pPr>
  </w:style>
  <w:style w:type="paragraph" w:customStyle="1" w:styleId="7TableNoteHangingIndent">
    <w:name w:val="7_TableNote_HangingIndent"/>
    <w:basedOn w:val="7TableNoteNormalFlushLeft"/>
    <w:rsid w:val="00F11B61"/>
    <w:pPr>
      <w:ind w:left="720" w:hanging="720"/>
    </w:pPr>
  </w:style>
  <w:style w:type="paragraph" w:customStyle="1" w:styleId="7TableNoteFootnote-Lettered">
    <w:name w:val="7_TableNote_Footnote-Lettered"/>
    <w:basedOn w:val="7TableNoteHangingIndent"/>
    <w:rsid w:val="00F11B61"/>
    <w:pPr>
      <w:ind w:left="270" w:hanging="270"/>
    </w:pPr>
  </w:style>
  <w:style w:type="character" w:customStyle="1" w:styleId="pages">
    <w:name w:val="pages"/>
    <w:rsid w:val="00F11B61"/>
  </w:style>
  <w:style w:type="character" w:customStyle="1" w:styleId="medium-font">
    <w:name w:val="medium-font"/>
    <w:rsid w:val="00F11B61"/>
  </w:style>
  <w:style w:type="character" w:styleId="Strong">
    <w:name w:val="Strong"/>
    <w:uiPriority w:val="22"/>
    <w:qFormat/>
    <w:rsid w:val="00F11B61"/>
    <w:rPr>
      <w:b/>
      <w:bCs/>
    </w:rPr>
  </w:style>
  <w:style w:type="paragraph" w:customStyle="1" w:styleId="DocTitle">
    <w:name w:val="Doc Title"/>
    <w:basedOn w:val="Normal"/>
    <w:next w:val="Normal"/>
    <w:rsid w:val="00F11B61"/>
    <w:pPr>
      <w:keepLines/>
      <w:spacing w:after="662" w:line="378" w:lineRule="exact"/>
      <w:jc w:val="center"/>
    </w:pPr>
    <w:rPr>
      <w:b/>
      <w:bCs/>
      <w:sz w:val="32"/>
      <w:szCs w:val="32"/>
    </w:rPr>
  </w:style>
  <w:style w:type="paragraph" w:customStyle="1" w:styleId="1TPTitleExtEssaysand">
    <w:name w:val="1_TP_TitleExtEssays_&quot;and&quot;"/>
    <w:basedOn w:val="1TPTitle"/>
    <w:rsid w:val="00F11B61"/>
    <w:rPr>
      <w:b w:val="0"/>
      <w:sz w:val="24"/>
      <w:szCs w:val="24"/>
    </w:rPr>
  </w:style>
  <w:style w:type="paragraph" w:customStyle="1" w:styleId="ToC1EssayTitles">
    <w:name w:val="ToC 1_EssayTitles"/>
    <w:basedOn w:val="TOC1"/>
    <w:rsid w:val="00F11B61"/>
    <w:pPr>
      <w:tabs>
        <w:tab w:val="left" w:pos="1440"/>
      </w:tabs>
      <w:spacing w:before="480"/>
      <w:ind w:left="0" w:firstLine="0"/>
    </w:pPr>
    <w:rPr>
      <w:sz w:val="28"/>
      <w:szCs w:val="28"/>
    </w:rPr>
  </w:style>
  <w:style w:type="character" w:styleId="FollowedHyperlink">
    <w:name w:val="FollowedHyperlink"/>
    <w:basedOn w:val="DefaultParagraphFont"/>
    <w:uiPriority w:val="99"/>
    <w:unhideWhenUsed/>
    <w:rsid w:val="00F11B61"/>
  </w:style>
  <w:style w:type="paragraph" w:customStyle="1" w:styleId="5ReferencesNormal">
    <w:name w:val="5_References_Normal"/>
    <w:basedOn w:val="Bibliography"/>
    <w:uiPriority w:val="99"/>
    <w:rsid w:val="00F11B61"/>
    <w:rPr>
      <w:rFonts w:ascii="Arial" w:hAnsi="Arial" w:cs="Arial"/>
    </w:rPr>
  </w:style>
  <w:style w:type="paragraph" w:styleId="Bibliography">
    <w:name w:val="Bibliography"/>
    <w:basedOn w:val="Normal"/>
    <w:next w:val="Normal"/>
    <w:uiPriority w:val="37"/>
    <w:unhideWhenUsed/>
    <w:rsid w:val="00F11B61"/>
    <w:pPr>
      <w:keepLines/>
      <w:spacing w:line="240" w:lineRule="auto"/>
      <w:ind w:left="720" w:hanging="720"/>
    </w:pPr>
    <w:rPr>
      <w:rFonts w:ascii="Times New Roman" w:hAnsi="Times New Roman"/>
    </w:rPr>
  </w:style>
  <w:style w:type="paragraph" w:customStyle="1" w:styleId="7TableRowDecimal8col">
    <w:name w:val="7_TableRow_Decimal_8col"/>
    <w:basedOn w:val="7TableRowNormal"/>
    <w:rsid w:val="00F11B61"/>
    <w:pPr>
      <w:tabs>
        <w:tab w:val="decimal" w:pos="331"/>
      </w:tabs>
    </w:pPr>
  </w:style>
  <w:style w:type="paragraph" w:styleId="Caption">
    <w:name w:val="caption"/>
    <w:basedOn w:val="Normal"/>
    <w:next w:val="Normal"/>
    <w:uiPriority w:val="35"/>
    <w:unhideWhenUsed/>
    <w:qFormat/>
    <w:rsid w:val="00F11B61"/>
    <w:pPr>
      <w:tabs>
        <w:tab w:val="left" w:pos="720"/>
      </w:tabs>
      <w:autoSpaceDE w:val="0"/>
      <w:autoSpaceDN w:val="0"/>
      <w:adjustRightInd w:val="0"/>
      <w:spacing w:line="240" w:lineRule="auto"/>
    </w:pPr>
    <w:rPr>
      <w:b/>
      <w:szCs w:val="24"/>
    </w:rPr>
  </w:style>
  <w:style w:type="paragraph" w:customStyle="1" w:styleId="7CaptionAutoNumberbelowFiguresincludesNote">
    <w:name w:val="7_CaptionAutoNumber_belowFigures_includesNote"/>
    <w:basedOn w:val="Caption"/>
    <w:next w:val="Normal"/>
    <w:rsid w:val="00F11B61"/>
    <w:pPr>
      <w:tabs>
        <w:tab w:val="left" w:pos="0"/>
      </w:tabs>
      <w:suppressAutoHyphens/>
      <w:spacing w:before="120" w:after="600"/>
    </w:pPr>
    <w:rPr>
      <w:b w:val="0"/>
      <w:i/>
    </w:rPr>
  </w:style>
  <w:style w:type="paragraph" w:customStyle="1" w:styleId="7CaptionAutoNumberaboveTablesFiguresImages">
    <w:name w:val="7_CaptionAutoNumber_aboveTablesFiguresImages"/>
    <w:basedOn w:val="Caption"/>
    <w:rsid w:val="00F11B61"/>
  </w:style>
  <w:style w:type="paragraph" w:styleId="NormalIndent">
    <w:name w:val="Normal Indent"/>
    <w:basedOn w:val="Normal"/>
    <w:uiPriority w:val="99"/>
    <w:unhideWhenUsed/>
    <w:rsid w:val="00F11B61"/>
    <w:pPr>
      <w:widowControl/>
      <w:ind w:firstLine="720"/>
    </w:pPr>
  </w:style>
  <w:style w:type="paragraph" w:customStyle="1" w:styleId="7CaptionAutoNumberbelowFiguresImageswithNoteAfter">
    <w:name w:val="7_CaptionAutoNumber_belowFiguresImages_withNoteAfter"/>
    <w:basedOn w:val="Caption"/>
    <w:rsid w:val="00F11B61"/>
    <w:pPr>
      <w:spacing w:after="0"/>
    </w:pPr>
  </w:style>
  <w:style w:type="paragraph" w:customStyle="1" w:styleId="7EquationCentred">
    <w:name w:val="7_Equation_Centred"/>
    <w:basedOn w:val="Normal"/>
    <w:rsid w:val="00F11B61"/>
    <w:pPr>
      <w:jc w:val="center"/>
    </w:pPr>
  </w:style>
  <w:style w:type="paragraph" w:customStyle="1" w:styleId="7EquationLeftTabRight">
    <w:name w:val="7_Equation_LeftTabRight"/>
    <w:basedOn w:val="7EquationCentred"/>
    <w:rsid w:val="00F11B61"/>
    <w:pPr>
      <w:tabs>
        <w:tab w:val="right" w:pos="8640"/>
      </w:tabs>
      <w:ind w:left="1440"/>
      <w:jc w:val="left"/>
    </w:pPr>
  </w:style>
  <w:style w:type="paragraph" w:customStyle="1" w:styleId="zparaNBImportant">
    <w:name w:val="z_para_NB. Important"/>
    <w:basedOn w:val="Normal"/>
    <w:rsid w:val="00F11B61"/>
    <w:pPr>
      <w:pBdr>
        <w:top w:val="single" w:sz="4" w:space="1" w:color="auto"/>
        <w:left w:val="single" w:sz="4" w:space="4" w:color="auto"/>
        <w:bottom w:val="single" w:sz="4" w:space="1" w:color="auto"/>
        <w:right w:val="single" w:sz="4" w:space="4" w:color="auto"/>
      </w:pBdr>
      <w:shd w:val="clear" w:color="auto" w:fill="F2DBDB"/>
      <w:spacing w:line="240" w:lineRule="auto"/>
      <w:ind w:left="720" w:right="720"/>
      <w:jc w:val="center"/>
    </w:pPr>
    <w:rPr>
      <w:i/>
    </w:rPr>
  </w:style>
  <w:style w:type="paragraph" w:customStyle="1" w:styleId="Heading2References">
    <w:name w:val="Heading 2_References"/>
    <w:basedOn w:val="Heading2"/>
    <w:rsid w:val="00F11B61"/>
    <w:pPr>
      <w:spacing w:before="480" w:after="120"/>
    </w:pPr>
    <w:rPr>
      <w:sz w:val="24"/>
    </w:rPr>
  </w:style>
  <w:style w:type="paragraph" w:customStyle="1" w:styleId="3BodyQuoteSubjects1MultipleParas">
    <w:name w:val="3_Body_QuoteSubjects1_MultipleParas"/>
    <w:basedOn w:val="3BodyQuoteSubjects1SingleOrLast"/>
    <w:rsid w:val="00F11B61"/>
    <w:pPr>
      <w:spacing w:after="120"/>
    </w:pPr>
  </w:style>
  <w:style w:type="paragraph" w:customStyle="1" w:styleId="3BodyQuoteSubjects2HangingSingleOrLast">
    <w:name w:val="3_Body_QuoteSubjects2_HangingSingleOrLast"/>
    <w:basedOn w:val="3BodyQuoteSubjectstoChangeFontALL"/>
    <w:rsid w:val="00F11B61"/>
    <w:pPr>
      <w:ind w:left="1800" w:hanging="1080"/>
    </w:pPr>
  </w:style>
  <w:style w:type="paragraph" w:customStyle="1" w:styleId="3BodyQuoteSubjects2HangingMultipleParas">
    <w:name w:val="3_Body_QuoteSubjects2_HangingMultipleParas"/>
    <w:basedOn w:val="3BodyQuoteSubjects2HangingSingleOrLast"/>
    <w:rsid w:val="00F11B61"/>
    <w:pPr>
      <w:spacing w:after="120"/>
    </w:pPr>
  </w:style>
  <w:style w:type="paragraph" w:styleId="DocumentMap">
    <w:name w:val="Document Map"/>
    <w:basedOn w:val="Normal"/>
    <w:link w:val="DocumentMapChar"/>
    <w:uiPriority w:val="99"/>
    <w:unhideWhenUsed/>
    <w:rsid w:val="00F11B61"/>
    <w:rPr>
      <w:rFonts w:ascii="Calibri" w:hAnsi="Calibri"/>
      <w:sz w:val="20"/>
      <w:szCs w:val="20"/>
      <w:lang w:eastAsia="en-CA"/>
    </w:rPr>
  </w:style>
  <w:style w:type="character" w:customStyle="1" w:styleId="DocumentMapChar">
    <w:name w:val="Document Map Char"/>
    <w:basedOn w:val="DefaultParagraphFont"/>
    <w:link w:val="DocumentMap"/>
    <w:uiPriority w:val="99"/>
    <w:rsid w:val="00F11B61"/>
    <w:rPr>
      <w:rFonts w:ascii="Calibri" w:eastAsia="Times New Roman" w:hAnsi="Calibri" w:cs="Times New Roman"/>
      <w:sz w:val="20"/>
      <w:szCs w:val="20"/>
      <w:lang w:eastAsia="en-CA" w:bidi="en-US"/>
    </w:rPr>
  </w:style>
  <w:style w:type="paragraph" w:customStyle="1" w:styleId="9PlaysCharacterList">
    <w:name w:val="9_Plays_CharacterList"/>
    <w:basedOn w:val="Normal"/>
    <w:rsid w:val="00F11B61"/>
    <w:pPr>
      <w:spacing w:line="240" w:lineRule="auto"/>
      <w:ind w:left="1440" w:hanging="1440"/>
    </w:pPr>
    <w:rPr>
      <w:szCs w:val="24"/>
    </w:rPr>
  </w:style>
  <w:style w:type="paragraph" w:customStyle="1" w:styleId="9PlayScriptDialogueHangingIndent">
    <w:name w:val="9_Play_ScriptDialogue_HangingIndent"/>
    <w:basedOn w:val="Normal"/>
    <w:rsid w:val="00F11B61"/>
    <w:pPr>
      <w:keepLines/>
      <w:autoSpaceDE w:val="0"/>
      <w:autoSpaceDN w:val="0"/>
      <w:adjustRightInd w:val="0"/>
      <w:spacing w:before="120" w:after="120" w:line="240" w:lineRule="auto"/>
      <w:ind w:left="1440" w:hanging="1440"/>
    </w:pPr>
  </w:style>
  <w:style w:type="paragraph" w:customStyle="1" w:styleId="9PlaysStageDirections">
    <w:name w:val="9_Plays_StageDirections"/>
    <w:basedOn w:val="Normal"/>
    <w:rsid w:val="00F11B61"/>
    <w:pPr>
      <w:spacing w:line="240" w:lineRule="auto"/>
      <w:outlineLvl w:val="0"/>
    </w:pPr>
    <w:rPr>
      <w:i/>
      <w:iCs/>
    </w:rPr>
  </w:style>
  <w:style w:type="paragraph" w:customStyle="1" w:styleId="9PlaysIntroduction">
    <w:name w:val="9_Plays_Introduction"/>
    <w:basedOn w:val="Normal"/>
    <w:rsid w:val="00F11B61"/>
    <w:pPr>
      <w:spacing w:line="240" w:lineRule="auto"/>
    </w:pPr>
    <w:rPr>
      <w:szCs w:val="24"/>
    </w:rPr>
  </w:style>
  <w:style w:type="paragraph" w:customStyle="1" w:styleId="9PlaysStageDirectionInterjection">
    <w:name w:val="9_Plays_StageDirection_Interjection"/>
    <w:basedOn w:val="9PlaysStageDirections"/>
    <w:rsid w:val="00F11B61"/>
    <w:pPr>
      <w:ind w:left="1440"/>
    </w:pPr>
  </w:style>
  <w:style w:type="paragraph" w:customStyle="1" w:styleId="9PlaysTheEnd">
    <w:name w:val="9_Plays_TheEnd"/>
    <w:basedOn w:val="9PlaysIntroduction"/>
    <w:rsid w:val="00F11B61"/>
    <w:pPr>
      <w:jc w:val="center"/>
    </w:pPr>
  </w:style>
  <w:style w:type="paragraph" w:customStyle="1" w:styleId="3BodySingleSpaced">
    <w:name w:val="3_Body_SingleSpaced"/>
    <w:basedOn w:val="3BodyFlushLeft"/>
    <w:rsid w:val="00F11B61"/>
  </w:style>
  <w:style w:type="paragraph" w:customStyle="1" w:styleId="znon-numberedTemplateOnly">
    <w:name w:val="z_non-numberedTemplateOnly"/>
    <w:basedOn w:val="Normal"/>
    <w:rsid w:val="00F11B61"/>
    <w:pPr>
      <w:pBdr>
        <w:top w:val="single" w:sz="4" w:space="1" w:color="auto"/>
        <w:left w:val="single" w:sz="4" w:space="4" w:color="auto"/>
        <w:bottom w:val="single" w:sz="4" w:space="1" w:color="auto"/>
        <w:right w:val="single" w:sz="4" w:space="4" w:color="auto"/>
      </w:pBdr>
      <w:spacing w:line="240" w:lineRule="auto"/>
      <w:ind w:left="720"/>
    </w:pPr>
  </w:style>
  <w:style w:type="paragraph" w:customStyle="1" w:styleId="7CaptionManualNumbersbelowFigureswithNoteAfter">
    <w:name w:val="7_CaptionManualNumbers_belowFigures_withNoteAfter"/>
    <w:basedOn w:val="7CaptionManualNumbersaboveFiguresImages"/>
    <w:rsid w:val="00F11B61"/>
  </w:style>
  <w:style w:type="paragraph" w:customStyle="1" w:styleId="7TableRowDecimal6col">
    <w:name w:val="7_TableRow_Decimal_6col"/>
    <w:basedOn w:val="7TableRowNormal"/>
    <w:rsid w:val="00F11B61"/>
    <w:pPr>
      <w:tabs>
        <w:tab w:val="decimal" w:pos="483"/>
      </w:tabs>
    </w:pPr>
  </w:style>
  <w:style w:type="paragraph" w:customStyle="1" w:styleId="7TableRowDecimal7decimals">
    <w:name w:val="7_TableRow_Decimal_7decimals"/>
    <w:basedOn w:val="7TableRowNormal"/>
    <w:rsid w:val="00F11B61"/>
    <w:pPr>
      <w:tabs>
        <w:tab w:val="decimal" w:pos="154"/>
      </w:tabs>
    </w:pPr>
  </w:style>
  <w:style w:type="paragraph" w:customStyle="1" w:styleId="zParaInsertSomethingHere">
    <w:name w:val="z_Para_InsertSomethingHere"/>
    <w:basedOn w:val="Normal"/>
    <w:rsid w:val="00F11B61"/>
    <w:pPr>
      <w:jc w:val="center"/>
    </w:pPr>
    <w:rPr>
      <w:color w:val="E36C0A"/>
    </w:rPr>
  </w:style>
  <w:style w:type="character" w:customStyle="1" w:styleId="ZCharacKeyboardCommands">
    <w:name w:val="Z_Charac_KeyboardCommands"/>
    <w:uiPriority w:val="1"/>
    <w:rsid w:val="00F11B61"/>
    <w:rPr>
      <w:color w:val="0070C0"/>
    </w:rPr>
  </w:style>
  <w:style w:type="character" w:customStyle="1" w:styleId="zCharacStylesRed">
    <w:name w:val="z_Charac_Styles(Red)"/>
    <w:uiPriority w:val="1"/>
    <w:rsid w:val="00F11B61"/>
    <w:rPr>
      <w:color w:val="FF0000"/>
    </w:rPr>
  </w:style>
  <w:style w:type="character" w:customStyle="1" w:styleId="zCharacMenuInstructionsGreen">
    <w:name w:val="z_Charac_MenuInstructions(Green)"/>
    <w:uiPriority w:val="1"/>
    <w:rsid w:val="00F11B61"/>
    <w:rPr>
      <w:color w:val="008000"/>
    </w:rPr>
  </w:style>
  <w:style w:type="character" w:customStyle="1" w:styleId="zCharacButtons">
    <w:name w:val="z_Charac_Buttons"/>
    <w:uiPriority w:val="1"/>
    <w:rsid w:val="00F11B61"/>
    <w:rPr>
      <w:color w:val="5D2884"/>
    </w:rPr>
  </w:style>
  <w:style w:type="paragraph" w:customStyle="1" w:styleId="7CaptionAutoNumberbelowFiguresImagesnoNoteAfter">
    <w:name w:val="7_CaptionAutoNumber_belowFiguresImages_noNoteAfter"/>
    <w:basedOn w:val="7CaptionAutoNumberbelowFiguresImageswithNoteAfter"/>
    <w:rsid w:val="00F11B61"/>
    <w:pPr>
      <w:spacing w:after="360"/>
    </w:pPr>
  </w:style>
  <w:style w:type="character" w:styleId="HTMLTypewriter">
    <w:name w:val="HTML Typewriter"/>
    <w:rsid w:val="00F11B61"/>
    <w:rPr>
      <w:rFonts w:ascii="Courier New" w:eastAsia="Times New Roman" w:hAnsi="Courier New" w:cs="Courier New"/>
      <w:sz w:val="20"/>
      <w:szCs w:val="20"/>
    </w:rPr>
  </w:style>
  <w:style w:type="character" w:styleId="Emphasis">
    <w:name w:val="Emphasis"/>
    <w:uiPriority w:val="20"/>
    <w:qFormat/>
    <w:rsid w:val="00F11B61"/>
    <w:rPr>
      <w:i/>
      <w:iCs/>
    </w:rPr>
  </w:style>
  <w:style w:type="paragraph" w:customStyle="1" w:styleId="Default">
    <w:name w:val="Default"/>
    <w:rsid w:val="00F11B61"/>
    <w:pPr>
      <w:autoSpaceDE w:val="0"/>
      <w:autoSpaceDN w:val="0"/>
      <w:adjustRightInd w:val="0"/>
    </w:pPr>
    <w:rPr>
      <w:rFonts w:ascii="Times New Roman" w:eastAsia="Times New Roman" w:hAnsi="Times New Roman" w:cs="Times New Roman"/>
      <w:color w:val="000000"/>
      <w:sz w:val="24"/>
      <w:szCs w:val="24"/>
    </w:rPr>
  </w:style>
  <w:style w:type="character" w:customStyle="1" w:styleId="A0">
    <w:name w:val="A0"/>
    <w:uiPriority w:val="99"/>
    <w:rsid w:val="00F11B61"/>
    <w:rPr>
      <w:rFonts w:cs="Frutiger Next Pro Bold"/>
      <w:b/>
      <w:bCs/>
      <w:color w:val="000000"/>
      <w:sz w:val="46"/>
      <w:szCs w:val="46"/>
    </w:rPr>
  </w:style>
  <w:style w:type="character" w:customStyle="1" w:styleId="pagetitlemain">
    <w:name w:val="pagetitlemain"/>
    <w:basedOn w:val="DefaultParagraphFont"/>
    <w:rsid w:val="00F11B61"/>
  </w:style>
  <w:style w:type="character" w:customStyle="1" w:styleId="italic">
    <w:name w:val="italic"/>
    <w:basedOn w:val="DefaultParagraphFont"/>
    <w:rsid w:val="00F11B61"/>
  </w:style>
  <w:style w:type="character" w:customStyle="1" w:styleId="yshortcuts">
    <w:name w:val="yshortcuts"/>
    <w:basedOn w:val="DefaultParagraphFont"/>
    <w:rsid w:val="00F11B61"/>
  </w:style>
  <w:style w:type="character" w:customStyle="1" w:styleId="st">
    <w:name w:val="st"/>
    <w:basedOn w:val="DefaultParagraphFont"/>
    <w:rsid w:val="00F11B61"/>
  </w:style>
  <w:style w:type="character" w:customStyle="1" w:styleId="submitted">
    <w:name w:val="submitted"/>
    <w:basedOn w:val="DefaultParagraphFont"/>
    <w:rsid w:val="00F11B61"/>
  </w:style>
  <w:style w:type="paragraph" w:styleId="ListParagraph">
    <w:name w:val="List Paragraph"/>
    <w:basedOn w:val="Normal"/>
    <w:uiPriority w:val="34"/>
    <w:qFormat/>
    <w:rsid w:val="00F11B61"/>
    <w:pPr>
      <w:ind w:left="720"/>
      <w:contextualSpacing/>
    </w:pPr>
  </w:style>
  <w:style w:type="character" w:customStyle="1" w:styleId="bold">
    <w:name w:val="bold"/>
    <w:basedOn w:val="DefaultParagraphFont"/>
    <w:rsid w:val="00F11B61"/>
  </w:style>
  <w:style w:type="character" w:customStyle="1" w:styleId="verdana">
    <w:name w:val="verdana"/>
    <w:basedOn w:val="DefaultParagraphFont"/>
    <w:rsid w:val="00F11B61"/>
  </w:style>
  <w:style w:type="paragraph" w:customStyle="1" w:styleId="loose">
    <w:name w:val="loose"/>
    <w:basedOn w:val="Normal"/>
    <w:rsid w:val="00F11B61"/>
    <w:pPr>
      <w:spacing w:before="100" w:beforeAutospacing="1" w:after="100" w:afterAutospacing="1" w:line="240" w:lineRule="auto"/>
    </w:pPr>
    <w:rPr>
      <w:rFonts w:ascii="Times New Roman" w:hAnsi="Times New Roman"/>
      <w:sz w:val="24"/>
      <w:szCs w:val="24"/>
    </w:rPr>
  </w:style>
  <w:style w:type="character" w:customStyle="1" w:styleId="ssl2">
    <w:name w:val="ss_l2"/>
    <w:basedOn w:val="DefaultParagraphFont"/>
    <w:rsid w:val="00F11B61"/>
  </w:style>
  <w:style w:type="character" w:customStyle="1" w:styleId="hit">
    <w:name w:val="hit"/>
    <w:basedOn w:val="DefaultParagraphFont"/>
    <w:rsid w:val="00F11B61"/>
  </w:style>
  <w:style w:type="character" w:customStyle="1" w:styleId="postbody">
    <w:name w:val="postbody"/>
    <w:basedOn w:val="DefaultParagraphFont"/>
    <w:rsid w:val="00F11B61"/>
  </w:style>
  <w:style w:type="character" w:customStyle="1" w:styleId="hps">
    <w:name w:val="hps"/>
    <w:basedOn w:val="DefaultParagraphFont"/>
    <w:rsid w:val="00F11B61"/>
  </w:style>
  <w:style w:type="numbering" w:customStyle="1" w:styleId="NoList1">
    <w:name w:val="No List1"/>
    <w:next w:val="NoList"/>
    <w:uiPriority w:val="99"/>
    <w:semiHidden/>
    <w:unhideWhenUsed/>
    <w:rsid w:val="00F11B61"/>
  </w:style>
  <w:style w:type="paragraph" w:styleId="Subtitle">
    <w:name w:val="Subtitle"/>
    <w:basedOn w:val="Normal"/>
    <w:next w:val="Normal"/>
    <w:link w:val="SubtitleChar"/>
    <w:uiPriority w:val="11"/>
    <w:qFormat/>
    <w:rsid w:val="00F11B61"/>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F11B61"/>
    <w:rPr>
      <w:rFonts w:ascii="Cambria" w:eastAsia="Times New Roman" w:hAnsi="Cambria" w:cs="Times New Roman"/>
      <w:i/>
      <w:iCs/>
      <w:color w:val="4F81BD"/>
      <w:spacing w:val="15"/>
      <w:sz w:val="24"/>
      <w:szCs w:val="24"/>
    </w:rPr>
  </w:style>
  <w:style w:type="character" w:styleId="SubtleEmphasis">
    <w:name w:val="Subtle Emphasis"/>
    <w:uiPriority w:val="19"/>
    <w:qFormat/>
    <w:rsid w:val="00F11B61"/>
    <w:rPr>
      <w:i/>
      <w:iCs/>
      <w:color w:val="808080"/>
    </w:rPr>
  </w:style>
  <w:style w:type="paragraph" w:styleId="TOCHeading">
    <w:name w:val="TOC Heading"/>
    <w:basedOn w:val="Heading1"/>
    <w:next w:val="Normal"/>
    <w:uiPriority w:val="39"/>
    <w:unhideWhenUsed/>
    <w:qFormat/>
    <w:rsid w:val="00F11B61"/>
    <w:pPr>
      <w:outlineLvl w:val="9"/>
    </w:pPr>
  </w:style>
  <w:style w:type="paragraph" w:customStyle="1" w:styleId="xl63">
    <w:name w:val="xl63"/>
    <w:basedOn w:val="Normal"/>
    <w:rsid w:val="00F11B61"/>
    <w:pPr>
      <w:pBdr>
        <w:top w:val="single" w:sz="4" w:space="0" w:color="auto"/>
        <w:left w:val="single" w:sz="4" w:space="0" w:color="auto"/>
        <w:right w:val="single" w:sz="8" w:space="0" w:color="000000"/>
      </w:pBdr>
      <w:spacing w:before="100" w:beforeAutospacing="1" w:after="100" w:afterAutospacing="1" w:line="240" w:lineRule="auto"/>
    </w:pPr>
    <w:rPr>
      <w:b/>
      <w:bCs/>
      <w:sz w:val="24"/>
      <w:szCs w:val="24"/>
    </w:rPr>
  </w:style>
  <w:style w:type="paragraph" w:customStyle="1" w:styleId="xl64">
    <w:name w:val="xl64"/>
    <w:basedOn w:val="Normal"/>
    <w:rsid w:val="00F11B61"/>
    <w:pPr>
      <w:pBdr>
        <w:top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65">
    <w:name w:val="xl65"/>
    <w:basedOn w:val="Normal"/>
    <w:rsid w:val="00F11B6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66">
    <w:name w:val="xl66"/>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Normal"/>
    <w:rsid w:val="00F11B61"/>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68">
    <w:name w:val="xl68"/>
    <w:basedOn w:val="Normal"/>
    <w:rsid w:val="00F11B61"/>
    <w:pPr>
      <w:pBdr>
        <w:top w:val="single" w:sz="4" w:space="0" w:color="auto"/>
        <w:right w:val="single" w:sz="8"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0">
    <w:name w:val="xl70"/>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76">
    <w:name w:val="xl76"/>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7">
    <w:name w:val="xl77"/>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8">
    <w:name w:val="xl78"/>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9">
    <w:name w:val="xl79"/>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80">
    <w:name w:val="xl80"/>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1">
    <w:name w:val="xl81"/>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82">
    <w:name w:val="xl82"/>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83">
    <w:name w:val="xl83"/>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4">
    <w:name w:val="xl84"/>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210A0D"/>
      <w:sz w:val="24"/>
      <w:szCs w:val="24"/>
    </w:rPr>
  </w:style>
  <w:style w:type="paragraph" w:customStyle="1" w:styleId="xl85">
    <w:name w:val="xl85"/>
    <w:basedOn w:val="Normal"/>
    <w:rsid w:val="00F11B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Normal"/>
    <w:rsid w:val="00F11B61"/>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7">
    <w:name w:val="xl87"/>
    <w:basedOn w:val="Normal"/>
    <w:rsid w:val="00F11B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8">
    <w:name w:val="xl88"/>
    <w:basedOn w:val="Normal"/>
    <w:rsid w:val="00F11B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Normal"/>
    <w:rsid w:val="00F11B61"/>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Normal"/>
    <w:rsid w:val="00F11B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92">
    <w:name w:val="xl92"/>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numbering" w:customStyle="1" w:styleId="NoList2">
    <w:name w:val="No List2"/>
    <w:next w:val="NoList"/>
    <w:uiPriority w:val="99"/>
    <w:semiHidden/>
    <w:unhideWhenUsed/>
    <w:rsid w:val="00F11B61"/>
  </w:style>
  <w:style w:type="character" w:customStyle="1" w:styleId="medium-normal">
    <w:name w:val="medium-normal"/>
    <w:basedOn w:val="DefaultParagraphFont"/>
    <w:rsid w:val="00F11B61"/>
  </w:style>
  <w:style w:type="character" w:customStyle="1" w:styleId="headlinearticle">
    <w:name w:val="headlinearticle"/>
    <w:basedOn w:val="DefaultParagraphFont"/>
    <w:rsid w:val="00F11B61"/>
  </w:style>
  <w:style w:type="character" w:customStyle="1" w:styleId="ref-vol">
    <w:name w:val="ref-vol"/>
    <w:basedOn w:val="DefaultParagraphFont"/>
    <w:rsid w:val="00F11B61"/>
  </w:style>
  <w:style w:type="character" w:customStyle="1" w:styleId="Title1">
    <w:name w:val="Title1"/>
    <w:basedOn w:val="DefaultParagraphFont"/>
    <w:rsid w:val="00F11B61"/>
  </w:style>
  <w:style w:type="character" w:customStyle="1" w:styleId="object">
    <w:name w:val="object"/>
    <w:basedOn w:val="DefaultParagraphFont"/>
    <w:rsid w:val="00F11B61"/>
  </w:style>
  <w:style w:type="character" w:customStyle="1" w:styleId="searchword">
    <w:name w:val="searchword"/>
    <w:basedOn w:val="DefaultParagraphFont"/>
    <w:rsid w:val="00F11B61"/>
  </w:style>
  <w:style w:type="character" w:customStyle="1" w:styleId="speech-title">
    <w:name w:val="speech-title"/>
    <w:basedOn w:val="DefaultParagraphFont"/>
    <w:rsid w:val="00F11B61"/>
  </w:style>
  <w:style w:type="character" w:customStyle="1" w:styleId="apra-rtestyle-header3">
    <w:name w:val="apra-rtestyle-header3"/>
    <w:basedOn w:val="DefaultParagraphFont"/>
    <w:rsid w:val="00F11B61"/>
  </w:style>
  <w:style w:type="paragraph" w:styleId="NoSpacing">
    <w:name w:val="No Spacing"/>
    <w:uiPriority w:val="1"/>
    <w:qFormat/>
    <w:rsid w:val="00F11B61"/>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F11B61"/>
    <w:rPr>
      <w:rFonts w:ascii="Calibri" w:hAnsi="Calibri"/>
      <w:i/>
      <w:iCs/>
      <w:color w:val="000000"/>
      <w:sz w:val="20"/>
      <w:szCs w:val="20"/>
      <w:lang w:bidi="ar-SA"/>
    </w:rPr>
  </w:style>
  <w:style w:type="character" w:customStyle="1" w:styleId="QuoteChar">
    <w:name w:val="Quote Char"/>
    <w:basedOn w:val="DefaultParagraphFont"/>
    <w:link w:val="Quote"/>
    <w:uiPriority w:val="29"/>
    <w:rsid w:val="00F11B61"/>
    <w:rPr>
      <w:rFonts w:ascii="Calibri" w:eastAsia="Times New Roman" w:hAnsi="Calibri" w:cs="Times New Roman"/>
      <w:i/>
      <w:iCs/>
      <w:color w:val="000000"/>
      <w:sz w:val="20"/>
      <w:szCs w:val="20"/>
    </w:rPr>
  </w:style>
  <w:style w:type="paragraph" w:styleId="IntenseQuote">
    <w:name w:val="Intense Quote"/>
    <w:basedOn w:val="Normal"/>
    <w:next w:val="Normal"/>
    <w:link w:val="IntenseQuoteChar"/>
    <w:uiPriority w:val="30"/>
    <w:qFormat/>
    <w:rsid w:val="00F11B61"/>
    <w:pPr>
      <w:pBdr>
        <w:bottom w:val="single" w:sz="4" w:space="4" w:color="4F81BD"/>
      </w:pBdr>
      <w:spacing w:before="200" w:after="280"/>
      <w:ind w:left="936" w:right="936"/>
    </w:pPr>
    <w:rPr>
      <w:rFonts w:ascii="Calibri" w:hAnsi="Calibri"/>
      <w:b/>
      <w:bCs/>
      <w:i/>
      <w:iCs/>
      <w:color w:val="4F81BD"/>
      <w:sz w:val="20"/>
      <w:szCs w:val="20"/>
      <w:lang w:bidi="ar-SA"/>
    </w:rPr>
  </w:style>
  <w:style w:type="character" w:customStyle="1" w:styleId="IntenseQuoteChar">
    <w:name w:val="Intense Quote Char"/>
    <w:basedOn w:val="DefaultParagraphFont"/>
    <w:link w:val="IntenseQuote"/>
    <w:uiPriority w:val="30"/>
    <w:rsid w:val="00F11B61"/>
    <w:rPr>
      <w:rFonts w:ascii="Calibri" w:eastAsia="Times New Roman" w:hAnsi="Calibri" w:cs="Times New Roman"/>
      <w:b/>
      <w:bCs/>
      <w:i/>
      <w:iCs/>
      <w:color w:val="4F81BD"/>
      <w:sz w:val="20"/>
      <w:szCs w:val="20"/>
    </w:rPr>
  </w:style>
  <w:style w:type="character" w:styleId="IntenseEmphasis">
    <w:name w:val="Intense Emphasis"/>
    <w:uiPriority w:val="21"/>
    <w:qFormat/>
    <w:rsid w:val="00F11B61"/>
    <w:rPr>
      <w:b/>
      <w:bCs/>
      <w:i/>
      <w:iCs/>
      <w:color w:val="4F81BD"/>
    </w:rPr>
  </w:style>
  <w:style w:type="character" w:styleId="SubtleReference">
    <w:name w:val="Subtle Reference"/>
    <w:uiPriority w:val="31"/>
    <w:qFormat/>
    <w:rsid w:val="00F11B61"/>
    <w:rPr>
      <w:smallCaps/>
      <w:color w:val="C0504D"/>
      <w:u w:val="single"/>
    </w:rPr>
  </w:style>
  <w:style w:type="character" w:styleId="IntenseReference">
    <w:name w:val="Intense Reference"/>
    <w:uiPriority w:val="32"/>
    <w:qFormat/>
    <w:rsid w:val="00F11B61"/>
    <w:rPr>
      <w:b/>
      <w:bCs/>
      <w:smallCaps/>
      <w:color w:val="C0504D"/>
      <w:spacing w:val="5"/>
      <w:u w:val="single"/>
    </w:rPr>
  </w:style>
  <w:style w:type="character" w:styleId="BookTitle">
    <w:name w:val="Book Title"/>
    <w:uiPriority w:val="33"/>
    <w:qFormat/>
    <w:rsid w:val="00F11B61"/>
    <w:rPr>
      <w:b/>
      <w:bCs/>
      <w:smallCaps/>
      <w:spacing w:val="5"/>
    </w:rPr>
  </w:style>
  <w:style w:type="character" w:customStyle="1" w:styleId="neutralcitation">
    <w:name w:val="neutralcitation"/>
    <w:basedOn w:val="DefaultParagraphFont"/>
    <w:rsid w:val="00F11B61"/>
  </w:style>
  <w:style w:type="paragraph" w:styleId="BlockText">
    <w:name w:val="Block Text"/>
    <w:basedOn w:val="Normal"/>
    <w:uiPriority w:val="99"/>
    <w:unhideWhenUsed/>
    <w:rsid w:val="00F11B61"/>
    <w:pPr>
      <w:spacing w:line="240" w:lineRule="auto"/>
      <w:ind w:left="720" w:right="720"/>
    </w:pPr>
    <w:rPr>
      <w:rFonts w:ascii="Times New Roman" w:hAnsi="Times New Roman"/>
      <w:sz w:val="24"/>
      <w:szCs w:val="24"/>
    </w:rPr>
  </w:style>
  <w:style w:type="character" w:styleId="CommentReference">
    <w:name w:val="annotation reference"/>
    <w:uiPriority w:val="99"/>
    <w:unhideWhenUsed/>
    <w:rsid w:val="00F11B61"/>
    <w:rPr>
      <w:sz w:val="16"/>
      <w:szCs w:val="16"/>
    </w:rPr>
  </w:style>
  <w:style w:type="paragraph" w:styleId="CommentText">
    <w:name w:val="annotation text"/>
    <w:basedOn w:val="Normal"/>
    <w:link w:val="CommentTextChar"/>
    <w:uiPriority w:val="99"/>
    <w:semiHidden/>
    <w:unhideWhenUsed/>
    <w:rsid w:val="00F11B61"/>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11B6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11B61"/>
    <w:rPr>
      <w:b/>
      <w:bCs/>
    </w:rPr>
  </w:style>
  <w:style w:type="character" w:customStyle="1" w:styleId="CommentSubjectChar">
    <w:name w:val="Comment Subject Char"/>
    <w:basedOn w:val="CommentTextChar"/>
    <w:link w:val="CommentSubject"/>
    <w:uiPriority w:val="99"/>
    <w:semiHidden/>
    <w:rsid w:val="00F11B61"/>
    <w:rPr>
      <w:rFonts w:ascii="Times New Roman" w:eastAsia="Times New Roman" w:hAnsi="Times New Roman" w:cs="Times New Roman"/>
      <w:b/>
      <w:bCs/>
      <w:sz w:val="20"/>
      <w:szCs w:val="20"/>
      <w:lang w:bidi="en-US"/>
    </w:rPr>
  </w:style>
  <w:style w:type="paragraph" w:styleId="NoteHeading">
    <w:name w:val="Note Heading"/>
    <w:basedOn w:val="Normal"/>
    <w:next w:val="Normal"/>
    <w:link w:val="NoteHeadingChar"/>
    <w:uiPriority w:val="99"/>
    <w:unhideWhenUsed/>
    <w:rsid w:val="00F11B61"/>
  </w:style>
  <w:style w:type="character" w:customStyle="1" w:styleId="NoteHeadingChar">
    <w:name w:val="Note Heading Char"/>
    <w:basedOn w:val="DefaultParagraphFont"/>
    <w:link w:val="NoteHeading"/>
    <w:uiPriority w:val="99"/>
    <w:rsid w:val="00F11B61"/>
    <w:rPr>
      <w:rFonts w:ascii="Arial" w:eastAsia="Times New Roman" w:hAnsi="Arial" w:cs="Times New Roman"/>
      <w:lang w:bidi="en-US"/>
    </w:rPr>
  </w:style>
  <w:style w:type="character" w:customStyle="1" w:styleId="searchtermshighlighted">
    <w:name w:val="searchtermshighlighted"/>
    <w:basedOn w:val="DefaultParagraphFont"/>
    <w:rsid w:val="00D4600B"/>
  </w:style>
  <w:style w:type="paragraph" w:styleId="EndnoteText">
    <w:name w:val="endnote text"/>
    <w:basedOn w:val="Normal"/>
    <w:link w:val="EndnoteTextChar"/>
    <w:uiPriority w:val="99"/>
    <w:unhideWhenUsed/>
    <w:rsid w:val="00473CC1"/>
    <w:pPr>
      <w:spacing w:after="0" w:line="240" w:lineRule="auto"/>
    </w:pPr>
    <w:rPr>
      <w:sz w:val="20"/>
      <w:szCs w:val="20"/>
    </w:rPr>
  </w:style>
  <w:style w:type="character" w:customStyle="1" w:styleId="EndnoteTextChar">
    <w:name w:val="Endnote Text Char"/>
    <w:basedOn w:val="DefaultParagraphFont"/>
    <w:link w:val="EndnoteText"/>
    <w:uiPriority w:val="99"/>
    <w:rsid w:val="00473CC1"/>
    <w:rPr>
      <w:rFonts w:ascii="Arial" w:eastAsia="Times New Roman" w:hAnsi="Arial" w:cs="Times New Roman"/>
      <w:sz w:val="20"/>
      <w:szCs w:val="20"/>
      <w:lang w:bidi="en-US"/>
    </w:rPr>
  </w:style>
  <w:style w:type="character" w:styleId="EndnoteReference">
    <w:name w:val="endnote reference"/>
    <w:basedOn w:val="DefaultParagraphFont"/>
    <w:uiPriority w:val="99"/>
    <w:semiHidden/>
    <w:unhideWhenUsed/>
    <w:rsid w:val="00473CC1"/>
    <w:rPr>
      <w:vertAlign w:val="superscript"/>
    </w:rPr>
  </w:style>
  <w:style w:type="paragraph" w:customStyle="1" w:styleId="BulletpointEmerald">
    <w:name w:val="Bullet point – Emerald"/>
    <w:basedOn w:val="Normal"/>
    <w:rsid w:val="00DF41D4"/>
    <w:pPr>
      <w:keepLines/>
      <w:widowControl/>
      <w:numPr>
        <w:numId w:val="24"/>
      </w:numPr>
      <w:tabs>
        <w:tab w:val="num" w:pos="227"/>
      </w:tabs>
      <w:spacing w:before="100" w:after="0" w:line="240" w:lineRule="auto"/>
      <w:ind w:left="227" w:hanging="227"/>
    </w:pPr>
    <w:rPr>
      <w:color w:val="000000"/>
      <w:sz w:val="18"/>
      <w:szCs w:val="20"/>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61"/>
    <w:pPr>
      <w:widowControl w:val="0"/>
      <w:spacing w:after="240" w:line="480" w:lineRule="auto"/>
    </w:pPr>
    <w:rPr>
      <w:rFonts w:ascii="Arial" w:eastAsia="Times New Roman" w:hAnsi="Arial" w:cs="Times New Roman"/>
      <w:lang w:bidi="en-US"/>
    </w:rPr>
  </w:style>
  <w:style w:type="paragraph" w:styleId="Heading1">
    <w:name w:val="heading 1"/>
    <w:basedOn w:val="Normal"/>
    <w:next w:val="Normal"/>
    <w:link w:val="Heading1Char"/>
    <w:qFormat/>
    <w:rsid w:val="00F11B61"/>
    <w:pPr>
      <w:keepNext/>
      <w:keepLines/>
      <w:pageBreakBefore/>
      <w:numPr>
        <w:numId w:val="9"/>
      </w:numPr>
      <w:spacing w:after="360" w:line="240" w:lineRule="auto"/>
      <w:outlineLvl w:val="0"/>
    </w:pPr>
    <w:rPr>
      <w:b/>
      <w:bCs/>
      <w:sz w:val="36"/>
      <w:szCs w:val="36"/>
    </w:rPr>
  </w:style>
  <w:style w:type="paragraph" w:styleId="Heading2">
    <w:name w:val="heading 2"/>
    <w:basedOn w:val="Normal"/>
    <w:next w:val="Normal"/>
    <w:link w:val="Heading2Char"/>
    <w:unhideWhenUsed/>
    <w:qFormat/>
    <w:rsid w:val="00F11B61"/>
    <w:pPr>
      <w:keepNext/>
      <w:keepLines/>
      <w:spacing w:before="200" w:after="360" w:line="240" w:lineRule="auto"/>
      <w:outlineLvl w:val="1"/>
    </w:pPr>
    <w:rPr>
      <w:b/>
      <w:bCs/>
      <w:sz w:val="28"/>
      <w:szCs w:val="24"/>
    </w:rPr>
  </w:style>
  <w:style w:type="paragraph" w:styleId="Heading3">
    <w:name w:val="heading 3"/>
    <w:basedOn w:val="Normal"/>
    <w:next w:val="Normal"/>
    <w:link w:val="Heading3Char"/>
    <w:unhideWhenUsed/>
    <w:qFormat/>
    <w:rsid w:val="00F11B61"/>
    <w:pPr>
      <w:keepNext/>
      <w:keepLines/>
      <w:spacing w:before="200"/>
      <w:outlineLvl w:val="2"/>
    </w:pPr>
    <w:rPr>
      <w:b/>
      <w:bCs/>
      <w:i/>
      <w:sz w:val="26"/>
      <w:szCs w:val="24"/>
    </w:rPr>
  </w:style>
  <w:style w:type="paragraph" w:styleId="Heading4">
    <w:name w:val="heading 4"/>
    <w:basedOn w:val="Heading3"/>
    <w:next w:val="Normal"/>
    <w:link w:val="Heading4Char"/>
    <w:unhideWhenUsed/>
    <w:qFormat/>
    <w:rsid w:val="00F11B61"/>
    <w:pPr>
      <w:outlineLvl w:val="3"/>
    </w:pPr>
    <w:rPr>
      <w:rFonts w:ascii="Times New Roman" w:hAnsi="Times New Roman"/>
      <w:i w:val="0"/>
      <w:sz w:val="24"/>
    </w:rPr>
  </w:style>
  <w:style w:type="paragraph" w:styleId="Heading5">
    <w:name w:val="heading 5"/>
    <w:basedOn w:val="Normal"/>
    <w:next w:val="Normal"/>
    <w:link w:val="Heading5Char"/>
    <w:unhideWhenUsed/>
    <w:qFormat/>
    <w:rsid w:val="00F11B61"/>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unhideWhenUsed/>
    <w:qFormat/>
    <w:rsid w:val="00F11B61"/>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unhideWhenUsed/>
    <w:qFormat/>
    <w:rsid w:val="00F11B61"/>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unhideWhenUsed/>
    <w:qFormat/>
    <w:rsid w:val="00F11B61"/>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unhideWhenUsed/>
    <w:qFormat/>
    <w:rsid w:val="00F11B61"/>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B61"/>
    <w:rPr>
      <w:rFonts w:ascii="Arial" w:eastAsia="Times New Roman" w:hAnsi="Arial" w:cs="Times New Roman"/>
      <w:b/>
      <w:bCs/>
      <w:sz w:val="36"/>
      <w:szCs w:val="36"/>
      <w:lang w:bidi="en-US"/>
    </w:rPr>
  </w:style>
  <w:style w:type="character" w:customStyle="1" w:styleId="Heading2Char">
    <w:name w:val="Heading 2 Char"/>
    <w:basedOn w:val="DefaultParagraphFont"/>
    <w:link w:val="Heading2"/>
    <w:rsid w:val="00F11B61"/>
    <w:rPr>
      <w:rFonts w:ascii="Arial" w:eastAsia="Times New Roman" w:hAnsi="Arial" w:cs="Times New Roman"/>
      <w:b/>
      <w:bCs/>
      <w:sz w:val="28"/>
      <w:szCs w:val="24"/>
      <w:lang w:bidi="en-US"/>
    </w:rPr>
  </w:style>
  <w:style w:type="character" w:customStyle="1" w:styleId="Heading3Char">
    <w:name w:val="Heading 3 Char"/>
    <w:basedOn w:val="DefaultParagraphFont"/>
    <w:link w:val="Heading3"/>
    <w:rsid w:val="00F11B61"/>
    <w:rPr>
      <w:rFonts w:ascii="Arial" w:eastAsia="Times New Roman" w:hAnsi="Arial" w:cs="Times New Roman"/>
      <w:b/>
      <w:bCs/>
      <w:i/>
      <w:sz w:val="26"/>
      <w:szCs w:val="24"/>
      <w:lang w:bidi="en-US"/>
    </w:rPr>
  </w:style>
  <w:style w:type="character" w:customStyle="1" w:styleId="Heading4Char">
    <w:name w:val="Heading 4 Char"/>
    <w:basedOn w:val="DefaultParagraphFont"/>
    <w:link w:val="Heading4"/>
    <w:rsid w:val="00F11B61"/>
    <w:rPr>
      <w:rFonts w:ascii="Times New Roman" w:eastAsia="Times New Roman" w:hAnsi="Times New Roman" w:cs="Times New Roman"/>
      <w:b/>
      <w:bCs/>
      <w:sz w:val="24"/>
      <w:szCs w:val="24"/>
      <w:lang w:bidi="en-US"/>
    </w:rPr>
  </w:style>
  <w:style w:type="character" w:customStyle="1" w:styleId="Heading5Char">
    <w:name w:val="Heading 5 Char"/>
    <w:basedOn w:val="DefaultParagraphFont"/>
    <w:link w:val="Heading5"/>
    <w:rsid w:val="00F11B61"/>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F11B61"/>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F11B61"/>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F11B6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11B61"/>
    <w:rPr>
      <w:rFonts w:ascii="Cambria" w:eastAsia="Times New Roman" w:hAnsi="Cambria" w:cs="Times New Roman"/>
      <w:i/>
      <w:iCs/>
      <w:color w:val="404040"/>
      <w:sz w:val="20"/>
      <w:szCs w:val="20"/>
    </w:rPr>
  </w:style>
  <w:style w:type="paragraph" w:customStyle="1" w:styleId="3BodyQuoteSingleOrLast">
    <w:name w:val="3_Body_Quote_SingleOrLast"/>
    <w:basedOn w:val="Normal"/>
    <w:uiPriority w:val="99"/>
    <w:rsid w:val="00F11B61"/>
    <w:pPr>
      <w:widowControl/>
      <w:tabs>
        <w:tab w:val="left" w:pos="1080"/>
        <w:tab w:val="right" w:pos="7920"/>
      </w:tabs>
      <w:spacing w:after="480" w:line="240" w:lineRule="auto"/>
      <w:ind w:left="720" w:right="720"/>
    </w:pPr>
  </w:style>
  <w:style w:type="paragraph" w:customStyle="1" w:styleId="3BodyQuoteMultipleParas">
    <w:name w:val="3_Body_Quote_MultipleParas"/>
    <w:basedOn w:val="3BodyQuoteSingleOrLast"/>
    <w:uiPriority w:val="99"/>
    <w:rsid w:val="00F11B61"/>
    <w:pPr>
      <w:spacing w:after="0"/>
    </w:pPr>
  </w:style>
  <w:style w:type="paragraph" w:customStyle="1" w:styleId="3BodyNumbered-ManualMultipleParas">
    <w:name w:val="3_Body_Numbered-Manual_MultipleParas"/>
    <w:basedOn w:val="3BodyNumbered-ManualSingleOrLast"/>
    <w:rsid w:val="00F11B61"/>
    <w:pPr>
      <w:spacing w:after="120"/>
    </w:pPr>
  </w:style>
  <w:style w:type="paragraph" w:customStyle="1" w:styleId="3BodyNumbered-ManualSingleOrLast">
    <w:name w:val="3_Body_Numbered-Manual_SingleOrLast"/>
    <w:basedOn w:val="Normal"/>
    <w:uiPriority w:val="99"/>
    <w:rsid w:val="00F11B61"/>
    <w:pPr>
      <w:tabs>
        <w:tab w:val="left" w:pos="1080"/>
        <w:tab w:val="right" w:pos="7920"/>
      </w:tabs>
      <w:spacing w:before="120" w:after="360" w:line="240" w:lineRule="auto"/>
      <w:ind w:left="1080" w:right="720" w:hanging="360"/>
    </w:pPr>
  </w:style>
  <w:style w:type="paragraph" w:customStyle="1" w:styleId="3BodyBulletMultipleParas">
    <w:name w:val="3_Body_Bullet_MultipleParas"/>
    <w:basedOn w:val="3BodyQuoteMultipleParas"/>
    <w:uiPriority w:val="99"/>
    <w:rsid w:val="00F11B61"/>
    <w:pPr>
      <w:numPr>
        <w:numId w:val="1"/>
      </w:numPr>
      <w:tabs>
        <w:tab w:val="clear" w:pos="1080"/>
        <w:tab w:val="clear" w:pos="7920"/>
        <w:tab w:val="left" w:pos="990"/>
        <w:tab w:val="right" w:pos="8640"/>
      </w:tabs>
      <w:spacing w:before="120"/>
      <w:ind w:left="990" w:right="0" w:hanging="270"/>
    </w:pPr>
  </w:style>
  <w:style w:type="paragraph" w:customStyle="1" w:styleId="3BodyBulletSingleOrLast">
    <w:name w:val="3_Body_Bullet_SingleOrLast"/>
    <w:basedOn w:val="3BodyBulletMultipleParas"/>
    <w:uiPriority w:val="99"/>
    <w:rsid w:val="00F11B61"/>
    <w:pPr>
      <w:spacing w:after="360"/>
      <w:ind w:left="994" w:hanging="274"/>
    </w:pPr>
  </w:style>
  <w:style w:type="paragraph" w:customStyle="1" w:styleId="7CaptionManualNumbersaboveTables">
    <w:name w:val="7_CaptionManualNumbers_aboveTables"/>
    <w:basedOn w:val="Heading9"/>
    <w:next w:val="Normal"/>
    <w:uiPriority w:val="99"/>
    <w:rsid w:val="00F11B61"/>
    <w:pPr>
      <w:spacing w:before="240" w:after="120" w:line="240" w:lineRule="auto"/>
      <w:ind w:left="1440" w:hanging="1440"/>
    </w:pPr>
    <w:rPr>
      <w:rFonts w:eastAsia="MS Gothic"/>
      <w:b/>
      <w:color w:val="auto"/>
      <w:lang w:val="en-CA"/>
    </w:rPr>
  </w:style>
  <w:style w:type="paragraph" w:customStyle="1" w:styleId="3BodyQuoteSubjectstoChangeFontALL">
    <w:name w:val="3_Body_QuoteSubjects_toChangeFont_ALL"/>
    <w:basedOn w:val="3BodyQuoteSingleOrLast"/>
    <w:rsid w:val="00F11B61"/>
    <w:pPr>
      <w:spacing w:before="120" w:after="360"/>
    </w:pPr>
    <w:rPr>
      <w:rFonts w:ascii="Verdana" w:hAnsi="Verdana"/>
      <w:sz w:val="20"/>
      <w:szCs w:val="20"/>
    </w:rPr>
  </w:style>
  <w:style w:type="paragraph" w:customStyle="1" w:styleId="3BodyQuoteSubjects1SingleOrLast">
    <w:name w:val="3_Body_QuoteSubjects1_SingleOrLast"/>
    <w:basedOn w:val="3BodyQuoteSubjectstoChangeFontALL"/>
    <w:rsid w:val="00F11B61"/>
  </w:style>
  <w:style w:type="paragraph" w:customStyle="1" w:styleId="8Heading1ArticlesEssaysParts">
    <w:name w:val="8_Heading 1_ArticlesEssaysParts"/>
    <w:basedOn w:val="Heading1"/>
    <w:rsid w:val="00F11B61"/>
    <w:pPr>
      <w:keepNext w:val="0"/>
      <w:numPr>
        <w:numId w:val="0"/>
      </w:numPr>
      <w:spacing w:before="5280" w:after="5040" w:line="360" w:lineRule="auto"/>
      <w:jc w:val="center"/>
    </w:pPr>
  </w:style>
  <w:style w:type="paragraph" w:customStyle="1" w:styleId="8Heading2PageBreakBefore">
    <w:name w:val="8_Heading 2_PageBreakBefore"/>
    <w:basedOn w:val="Heading2"/>
    <w:rsid w:val="00F11B61"/>
    <w:pPr>
      <w:pageBreakBefore/>
    </w:pPr>
  </w:style>
  <w:style w:type="paragraph" w:styleId="BalloonText">
    <w:name w:val="Balloon Text"/>
    <w:basedOn w:val="Normal"/>
    <w:link w:val="BalloonTextChar"/>
    <w:uiPriority w:val="99"/>
    <w:semiHidden/>
    <w:rsid w:val="00F11B61"/>
    <w:pPr>
      <w:spacing w:after="0" w:line="240" w:lineRule="auto"/>
    </w:pPr>
    <w:rPr>
      <w:rFonts w:ascii="Tahoma" w:hAnsi="Tahoma"/>
      <w:sz w:val="16"/>
      <w:szCs w:val="16"/>
      <w:lang w:bidi="ar-SA"/>
    </w:rPr>
  </w:style>
  <w:style w:type="character" w:customStyle="1" w:styleId="BalloonTextChar">
    <w:name w:val="Balloon Text Char"/>
    <w:basedOn w:val="DefaultParagraphFont"/>
    <w:link w:val="BalloonText"/>
    <w:uiPriority w:val="99"/>
    <w:semiHidden/>
    <w:rsid w:val="00F11B61"/>
    <w:rPr>
      <w:rFonts w:ascii="Tahoma" w:eastAsia="Times New Roman" w:hAnsi="Tahoma" w:cs="Times New Roman"/>
      <w:sz w:val="16"/>
      <w:szCs w:val="16"/>
    </w:rPr>
  </w:style>
  <w:style w:type="character" w:styleId="Hyperlink">
    <w:name w:val="Hyperlink"/>
    <w:uiPriority w:val="99"/>
    <w:rsid w:val="00F11B61"/>
    <w:rPr>
      <w:rFonts w:eastAsia="Times New Roman" w:cs="Arial"/>
      <w:lang w:val="en-CA" w:eastAsia="en-CA" w:bidi="ar-SA"/>
    </w:rPr>
  </w:style>
  <w:style w:type="paragraph" w:styleId="TableofFigures">
    <w:name w:val="table of figures"/>
    <w:basedOn w:val="Normal"/>
    <w:next w:val="Normal"/>
    <w:uiPriority w:val="99"/>
    <w:rsid w:val="00F11B61"/>
    <w:pPr>
      <w:keepLines/>
      <w:tabs>
        <w:tab w:val="left" w:pos="1260"/>
        <w:tab w:val="right" w:leader="dot" w:pos="8640"/>
      </w:tabs>
      <w:spacing w:before="120" w:after="120" w:line="240" w:lineRule="auto"/>
      <w:ind w:left="1267" w:right="720" w:hanging="1267"/>
    </w:pPr>
    <w:rPr>
      <w:noProof/>
      <w:lang w:val="en-CA" w:eastAsia="en-CA" w:bidi="ar-SA"/>
    </w:rPr>
  </w:style>
  <w:style w:type="paragraph" w:customStyle="1" w:styleId="Heading1Appendices">
    <w:name w:val="Heading 1_Appendices"/>
    <w:basedOn w:val="Heading1"/>
    <w:next w:val="Heading1Appendixes"/>
    <w:uiPriority w:val="99"/>
    <w:rsid w:val="00F11B61"/>
    <w:pPr>
      <w:numPr>
        <w:numId w:val="0"/>
      </w:numPr>
      <w:spacing w:before="6120"/>
      <w:jc w:val="right"/>
    </w:pPr>
  </w:style>
  <w:style w:type="paragraph" w:customStyle="1" w:styleId="Heading1Appendixes">
    <w:name w:val="Heading 1_Appendix(es)"/>
    <w:basedOn w:val="Heading2"/>
    <w:next w:val="6AppendNormal"/>
    <w:uiPriority w:val="99"/>
    <w:rsid w:val="00F11B61"/>
    <w:pPr>
      <w:pageBreakBefore/>
      <w:spacing w:after="240"/>
    </w:pPr>
  </w:style>
  <w:style w:type="paragraph" w:customStyle="1" w:styleId="6AppendNormal">
    <w:name w:val="6_Append_Normal"/>
    <w:basedOn w:val="Normal"/>
    <w:uiPriority w:val="99"/>
    <w:rsid w:val="00F11B61"/>
    <w:pPr>
      <w:tabs>
        <w:tab w:val="left" w:pos="1440"/>
        <w:tab w:val="right" w:pos="8640"/>
      </w:tabs>
      <w:suppressAutoHyphens/>
      <w:spacing w:before="120" w:after="120" w:line="240" w:lineRule="auto"/>
    </w:pPr>
    <w:rPr>
      <w:sz w:val="20"/>
      <w:szCs w:val="20"/>
    </w:rPr>
  </w:style>
  <w:style w:type="paragraph" w:customStyle="1" w:styleId="7TableRowHeadLeft">
    <w:name w:val="7_TableRow_HeadLeft"/>
    <w:basedOn w:val="7TableRowNormal"/>
    <w:rsid w:val="00F11B61"/>
    <w:rPr>
      <w:b/>
    </w:rPr>
  </w:style>
  <w:style w:type="paragraph" w:customStyle="1" w:styleId="7TableRowNormal">
    <w:name w:val="7_TableRow_Normal"/>
    <w:basedOn w:val="Normal"/>
    <w:uiPriority w:val="99"/>
    <w:rsid w:val="00F11B61"/>
    <w:pPr>
      <w:suppressAutoHyphens/>
      <w:spacing w:before="60" w:after="60" w:line="240" w:lineRule="auto"/>
    </w:pPr>
    <w:rPr>
      <w:rFonts w:ascii="Arial Narrow" w:hAnsi="Arial Narrow"/>
    </w:rPr>
  </w:style>
  <w:style w:type="paragraph" w:customStyle="1" w:styleId="7TableRowHeadCentre">
    <w:name w:val="7_TableRow_HeadCentre"/>
    <w:basedOn w:val="7TableRowHeadLeft"/>
    <w:rsid w:val="00F11B61"/>
    <w:pPr>
      <w:jc w:val="center"/>
    </w:pPr>
  </w:style>
  <w:style w:type="paragraph" w:customStyle="1" w:styleId="7TableRowCentre">
    <w:name w:val="7_TableRow_Centre"/>
    <w:basedOn w:val="7TableRowNormal"/>
    <w:rsid w:val="00F11B61"/>
    <w:pPr>
      <w:jc w:val="center"/>
    </w:pPr>
  </w:style>
  <w:style w:type="paragraph" w:customStyle="1" w:styleId="7TableRowHangingIndent">
    <w:name w:val="7_TableRow_HangingIndent"/>
    <w:basedOn w:val="7TableRowNormal"/>
    <w:rsid w:val="00F11B61"/>
    <w:pPr>
      <w:ind w:left="90" w:hanging="90"/>
    </w:pPr>
  </w:style>
  <w:style w:type="paragraph" w:customStyle="1" w:styleId="2AcknowNormal">
    <w:name w:val="2_Acknow_Normal"/>
    <w:basedOn w:val="2AbstractNormal"/>
    <w:uiPriority w:val="99"/>
    <w:rsid w:val="00F11B61"/>
  </w:style>
  <w:style w:type="paragraph" w:customStyle="1" w:styleId="2AbstractNormal">
    <w:name w:val="2_Abstract_Normal"/>
    <w:basedOn w:val="Normal"/>
    <w:uiPriority w:val="99"/>
    <w:rsid w:val="00F11B61"/>
    <w:pPr>
      <w:suppressAutoHyphens/>
      <w:spacing w:after="360"/>
    </w:pPr>
  </w:style>
  <w:style w:type="paragraph" w:styleId="TOC2">
    <w:name w:val="toc 2"/>
    <w:basedOn w:val="Normal"/>
    <w:next w:val="Normal"/>
    <w:uiPriority w:val="39"/>
    <w:rsid w:val="00F11B61"/>
    <w:pPr>
      <w:keepLines/>
      <w:tabs>
        <w:tab w:val="right" w:leader="dot" w:pos="8640"/>
      </w:tabs>
      <w:spacing w:after="0" w:line="240" w:lineRule="auto"/>
      <w:ind w:left="547" w:right="720" w:hanging="547"/>
    </w:pPr>
    <w:rPr>
      <w:noProof/>
    </w:rPr>
  </w:style>
  <w:style w:type="paragraph" w:styleId="TOC1">
    <w:name w:val="toc 1"/>
    <w:basedOn w:val="Normal"/>
    <w:next w:val="Normal"/>
    <w:uiPriority w:val="39"/>
    <w:rsid w:val="00F11B61"/>
    <w:pPr>
      <w:keepNext/>
      <w:keepLines/>
      <w:tabs>
        <w:tab w:val="left" w:pos="1310"/>
        <w:tab w:val="right" w:leader="dot" w:pos="8640"/>
      </w:tabs>
      <w:spacing w:before="360" w:after="0" w:line="240" w:lineRule="auto"/>
      <w:ind w:left="1440" w:right="720" w:hanging="1440"/>
    </w:pPr>
    <w:rPr>
      <w:b/>
      <w:noProof/>
    </w:rPr>
  </w:style>
  <w:style w:type="paragraph" w:customStyle="1" w:styleId="7FigureImagenoNoteOrCaptionAfter">
    <w:name w:val="7_FigureImage_noNoteOrCaptionAfter"/>
    <w:basedOn w:val="Normal"/>
    <w:uiPriority w:val="99"/>
    <w:rsid w:val="00F11B61"/>
    <w:pPr>
      <w:spacing w:after="720" w:line="240" w:lineRule="auto"/>
      <w:jc w:val="center"/>
    </w:pPr>
  </w:style>
  <w:style w:type="paragraph" w:customStyle="1" w:styleId="7FigureNote">
    <w:name w:val="7_FigureNote"/>
    <w:basedOn w:val="Normal"/>
    <w:uiPriority w:val="99"/>
    <w:rsid w:val="00F11B61"/>
    <w:pPr>
      <w:keepLines/>
      <w:tabs>
        <w:tab w:val="left" w:pos="1080"/>
        <w:tab w:val="left" w:pos="1440"/>
        <w:tab w:val="left" w:pos="1800"/>
        <w:tab w:val="left" w:pos="2160"/>
        <w:tab w:val="left" w:pos="2610"/>
        <w:tab w:val="left" w:pos="2970"/>
        <w:tab w:val="left" w:pos="3870"/>
      </w:tabs>
      <w:suppressAutoHyphens/>
      <w:spacing w:before="120" w:after="480" w:line="240" w:lineRule="auto"/>
      <w:ind w:left="720" w:hanging="720"/>
    </w:pPr>
    <w:rPr>
      <w:iCs/>
      <w:sz w:val="20"/>
      <w:szCs w:val="18"/>
    </w:rPr>
  </w:style>
  <w:style w:type="paragraph" w:customStyle="1" w:styleId="7FigureImagewithNoteOrCaptionAfter">
    <w:name w:val="7_FigureImage_withNoteOrCaptionAfter"/>
    <w:basedOn w:val="7FigureImagenoNoteOrCaptionAfter"/>
    <w:uiPriority w:val="99"/>
    <w:rsid w:val="00F11B61"/>
    <w:pPr>
      <w:keepNext/>
      <w:keepLines/>
      <w:spacing w:after="120"/>
    </w:pPr>
  </w:style>
  <w:style w:type="paragraph" w:customStyle="1" w:styleId="7CaptionManualNumbersaboveFiguresImages">
    <w:name w:val="7_CaptionManualNumbers_aboveFiguresImages"/>
    <w:basedOn w:val="7CaptionManualNumbersaboveTables"/>
    <w:next w:val="7FigureImagenoNoteOrCaptionAfter"/>
    <w:uiPriority w:val="99"/>
    <w:rsid w:val="00F11B61"/>
  </w:style>
  <w:style w:type="paragraph" w:styleId="TOC3">
    <w:name w:val="toc 3"/>
    <w:basedOn w:val="Normal"/>
    <w:next w:val="Normal"/>
    <w:uiPriority w:val="39"/>
    <w:rsid w:val="00F11B61"/>
    <w:pPr>
      <w:keepLines/>
      <w:tabs>
        <w:tab w:val="left" w:pos="1080"/>
        <w:tab w:val="right" w:leader="dot" w:pos="8640"/>
      </w:tabs>
      <w:spacing w:after="0" w:line="240" w:lineRule="auto"/>
      <w:ind w:left="1080" w:right="720" w:hanging="533"/>
    </w:pPr>
    <w:rPr>
      <w:noProof/>
    </w:rPr>
  </w:style>
  <w:style w:type="paragraph" w:customStyle="1" w:styleId="3BodyLettered-ManualMultiple">
    <w:name w:val="3_Body_Lettered-Manual_Multiple"/>
    <w:basedOn w:val="Normal"/>
    <w:rsid w:val="00F11B61"/>
    <w:pPr>
      <w:tabs>
        <w:tab w:val="left" w:pos="990"/>
        <w:tab w:val="right" w:pos="7920"/>
      </w:tabs>
      <w:spacing w:before="120" w:after="0" w:line="240" w:lineRule="auto"/>
      <w:ind w:left="1440" w:right="720" w:hanging="270"/>
    </w:pPr>
  </w:style>
  <w:style w:type="paragraph" w:customStyle="1" w:styleId="7TableRowIndent">
    <w:name w:val="7_TableRow_Indent"/>
    <w:basedOn w:val="7TableRowNormal"/>
    <w:rsid w:val="00F11B61"/>
    <w:pPr>
      <w:ind w:left="90"/>
    </w:pPr>
  </w:style>
  <w:style w:type="paragraph" w:styleId="BodyText">
    <w:name w:val="Body Text"/>
    <w:basedOn w:val="Normal"/>
    <w:link w:val="BodyTextChar"/>
    <w:uiPriority w:val="99"/>
    <w:semiHidden/>
    <w:rsid w:val="00F11B61"/>
    <w:pPr>
      <w:spacing w:after="120"/>
    </w:pPr>
    <w:rPr>
      <w:sz w:val="20"/>
      <w:szCs w:val="20"/>
      <w:lang w:bidi="ar-SA"/>
    </w:rPr>
  </w:style>
  <w:style w:type="character" w:customStyle="1" w:styleId="BodyTextChar">
    <w:name w:val="Body Text Char"/>
    <w:basedOn w:val="DefaultParagraphFont"/>
    <w:link w:val="BodyText"/>
    <w:uiPriority w:val="99"/>
    <w:semiHidden/>
    <w:rsid w:val="00F11B61"/>
    <w:rPr>
      <w:rFonts w:ascii="Arial" w:eastAsia="Times New Roman" w:hAnsi="Arial" w:cs="Times New Roman"/>
      <w:sz w:val="20"/>
      <w:szCs w:val="20"/>
    </w:rPr>
  </w:style>
  <w:style w:type="paragraph" w:customStyle="1" w:styleId="6AppendNormalSpecialInstructions">
    <w:name w:val="6_Append_Normal_SpecialInstructions"/>
    <w:basedOn w:val="Normal"/>
    <w:uiPriority w:val="99"/>
    <w:rsid w:val="00F11B61"/>
    <w:pPr>
      <w:suppressAutoHyphens/>
      <w:spacing w:before="120" w:after="120" w:line="240" w:lineRule="auto"/>
      <w:ind w:left="270"/>
    </w:pPr>
    <w:rPr>
      <w:i/>
      <w:sz w:val="20"/>
      <w:szCs w:val="20"/>
    </w:rPr>
  </w:style>
  <w:style w:type="paragraph" w:customStyle="1" w:styleId="6AppendQuestion">
    <w:name w:val="6_Append_Question"/>
    <w:basedOn w:val="6AppendNormal"/>
    <w:uiPriority w:val="99"/>
    <w:rsid w:val="00F11B61"/>
    <w:pPr>
      <w:numPr>
        <w:numId w:val="2"/>
      </w:numPr>
      <w:tabs>
        <w:tab w:val="clear" w:pos="720"/>
      </w:tabs>
      <w:ind w:left="317" w:hanging="317"/>
    </w:pPr>
  </w:style>
  <w:style w:type="paragraph" w:customStyle="1" w:styleId="Bullet">
    <w:name w:val="Bullet"/>
    <w:basedOn w:val="Normal"/>
    <w:uiPriority w:val="99"/>
    <w:rsid w:val="00F11B61"/>
    <w:pPr>
      <w:tabs>
        <w:tab w:val="num" w:pos="720"/>
        <w:tab w:val="left" w:pos="1080"/>
        <w:tab w:val="left" w:pos="1440"/>
        <w:tab w:val="right" w:pos="7920"/>
      </w:tabs>
      <w:spacing w:before="120" w:after="120" w:line="240" w:lineRule="auto"/>
      <w:ind w:left="1080" w:right="720" w:hanging="360"/>
    </w:pPr>
    <w:rPr>
      <w:noProof/>
    </w:rPr>
  </w:style>
  <w:style w:type="table" w:styleId="TableGrid">
    <w:name w:val="Table Grid"/>
    <w:basedOn w:val="TableNormal"/>
    <w:uiPriority w:val="59"/>
    <w:rsid w:val="00F11B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RefsAppendices">
    <w:name w:val="ToC_Refs+Appendices"/>
    <w:basedOn w:val="TOC1"/>
    <w:uiPriority w:val="99"/>
    <w:rsid w:val="00F11B61"/>
    <w:pPr>
      <w:tabs>
        <w:tab w:val="clear" w:pos="1310"/>
        <w:tab w:val="left" w:pos="720"/>
      </w:tabs>
      <w:ind w:left="720" w:hanging="720"/>
    </w:pPr>
  </w:style>
  <w:style w:type="paragraph" w:customStyle="1" w:styleId="Heading2Appendixes">
    <w:name w:val="Heading 2_Appendix(es)"/>
    <w:basedOn w:val="Heading6"/>
    <w:uiPriority w:val="99"/>
    <w:rsid w:val="00F11B61"/>
    <w:pPr>
      <w:suppressAutoHyphens/>
      <w:spacing w:before="360" w:after="120" w:line="240" w:lineRule="auto"/>
      <w:jc w:val="center"/>
    </w:pPr>
    <w:rPr>
      <w:rFonts w:ascii="Arial" w:hAnsi="Arial"/>
      <w:b/>
      <w:i w:val="0"/>
      <w:iCs w:val="0"/>
      <w:color w:val="auto"/>
    </w:rPr>
  </w:style>
  <w:style w:type="paragraph" w:customStyle="1" w:styleId="Heading3Appendixes">
    <w:name w:val="Heading 3_Appendix(es)"/>
    <w:basedOn w:val="Heading2Appendixes"/>
    <w:uiPriority w:val="99"/>
    <w:rsid w:val="00F11B61"/>
    <w:pPr>
      <w:ind w:left="274" w:hanging="274"/>
      <w:jc w:val="left"/>
    </w:pPr>
  </w:style>
  <w:style w:type="paragraph" w:customStyle="1" w:styleId="Heading4Appendixes">
    <w:name w:val="Heading 4_Appendix(es)"/>
    <w:basedOn w:val="Heading3Appendixes"/>
    <w:uiPriority w:val="99"/>
    <w:rsid w:val="00F11B61"/>
    <w:pPr>
      <w:spacing w:before="240" w:after="0"/>
    </w:pPr>
    <w:rPr>
      <w:i/>
    </w:rPr>
  </w:style>
  <w:style w:type="paragraph" w:customStyle="1" w:styleId="6AppendImages">
    <w:name w:val="6_Append_Images"/>
    <w:basedOn w:val="6AppendNormal"/>
    <w:uiPriority w:val="99"/>
    <w:rsid w:val="00F11B61"/>
    <w:pPr>
      <w:spacing w:after="0"/>
      <w:jc w:val="center"/>
    </w:pPr>
  </w:style>
  <w:style w:type="paragraph" w:customStyle="1" w:styleId="6AppendTableTitle">
    <w:name w:val="6_Append_TableTitle"/>
    <w:basedOn w:val="6AppendTableRowNormal"/>
    <w:rsid w:val="00F11B61"/>
    <w:pPr>
      <w:ind w:left="1440" w:hanging="1440"/>
    </w:pPr>
    <w:rPr>
      <w:rFonts w:ascii="Arial" w:hAnsi="Arial"/>
      <w:b/>
    </w:rPr>
  </w:style>
  <w:style w:type="paragraph" w:customStyle="1" w:styleId="6AppendTableRowNormal">
    <w:name w:val="6_Append_TableRow_Normal"/>
    <w:basedOn w:val="6AppendNormal"/>
    <w:rsid w:val="00F11B61"/>
    <w:pPr>
      <w:spacing w:before="20" w:after="20"/>
    </w:pPr>
    <w:rPr>
      <w:rFonts w:ascii="Arial Narrow" w:hAnsi="Arial Narrow"/>
      <w:noProof/>
      <w:sz w:val="22"/>
      <w:szCs w:val="22"/>
    </w:rPr>
  </w:style>
  <w:style w:type="paragraph" w:customStyle="1" w:styleId="7TableRowFlushRight">
    <w:name w:val="7_TableRow_FlushRight"/>
    <w:basedOn w:val="7TableRowNormal"/>
    <w:rsid w:val="00F11B61"/>
    <w:pPr>
      <w:jc w:val="right"/>
    </w:pPr>
  </w:style>
  <w:style w:type="paragraph" w:styleId="Title">
    <w:name w:val="Title"/>
    <w:basedOn w:val="Normal"/>
    <w:next w:val="Normal"/>
    <w:link w:val="TitleChar"/>
    <w:uiPriority w:val="10"/>
    <w:qFormat/>
    <w:rsid w:val="00F11B61"/>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basedOn w:val="DefaultParagraphFont"/>
    <w:link w:val="Title"/>
    <w:uiPriority w:val="10"/>
    <w:rsid w:val="00F11B61"/>
    <w:rPr>
      <w:rFonts w:ascii="Cambria" w:eastAsia="Times New Roman" w:hAnsi="Cambria" w:cs="Times New Roman"/>
      <w:color w:val="17365D"/>
      <w:spacing w:val="5"/>
      <w:kern w:val="28"/>
      <w:sz w:val="52"/>
      <w:szCs w:val="52"/>
    </w:rPr>
  </w:style>
  <w:style w:type="paragraph" w:customStyle="1" w:styleId="1TPTitle">
    <w:name w:val="1_TP_Title"/>
    <w:basedOn w:val="Title"/>
    <w:uiPriority w:val="99"/>
    <w:rsid w:val="00F11B61"/>
    <w:pPr>
      <w:pBdr>
        <w:bottom w:val="none" w:sz="0" w:space="0" w:color="auto"/>
      </w:pBdr>
      <w:spacing w:after="0" w:line="360" w:lineRule="auto"/>
      <w:contextualSpacing w:val="0"/>
      <w:jc w:val="center"/>
    </w:pPr>
    <w:rPr>
      <w:rFonts w:ascii="Arial" w:hAnsi="Arial" w:cs="Arial"/>
      <w:b/>
      <w:color w:val="auto"/>
      <w:sz w:val="36"/>
      <w:szCs w:val="36"/>
    </w:rPr>
  </w:style>
  <w:style w:type="paragraph" w:customStyle="1" w:styleId="1TPNormal">
    <w:name w:val="1_TP_Normal"/>
    <w:basedOn w:val="Normal"/>
    <w:uiPriority w:val="99"/>
    <w:rsid w:val="00F11B61"/>
    <w:pPr>
      <w:jc w:val="center"/>
    </w:pPr>
  </w:style>
  <w:style w:type="paragraph" w:customStyle="1" w:styleId="1TPbyName">
    <w:name w:val="1_TP_byName"/>
    <w:basedOn w:val="Normal"/>
    <w:uiPriority w:val="99"/>
    <w:rsid w:val="00F11B61"/>
    <w:pPr>
      <w:suppressAutoHyphens/>
      <w:spacing w:before="480" w:after="0"/>
      <w:jc w:val="center"/>
    </w:pPr>
    <w:rPr>
      <w:b/>
      <w:sz w:val="28"/>
    </w:rPr>
  </w:style>
  <w:style w:type="paragraph" w:customStyle="1" w:styleId="1TPDisThesisSubmitted">
    <w:name w:val="1_TP_Dis/ThesisSubmitted"/>
    <w:basedOn w:val="Normal"/>
    <w:uiPriority w:val="99"/>
    <w:rsid w:val="00F11B61"/>
    <w:pPr>
      <w:suppressAutoHyphens/>
      <w:spacing w:before="720" w:after="360"/>
      <w:jc w:val="center"/>
    </w:pPr>
    <w:rPr>
      <w:smallCaps/>
      <w:szCs w:val="24"/>
    </w:rPr>
  </w:style>
  <w:style w:type="paragraph" w:customStyle="1" w:styleId="1TPintheDeptFaculty">
    <w:name w:val="1_TP_intheDeptFaculty"/>
    <w:basedOn w:val="Normal"/>
    <w:uiPriority w:val="99"/>
    <w:rsid w:val="00F11B61"/>
    <w:pPr>
      <w:suppressAutoHyphens/>
      <w:spacing w:before="720"/>
      <w:jc w:val="center"/>
    </w:pPr>
    <w:rPr>
      <w:sz w:val="24"/>
      <w:szCs w:val="24"/>
    </w:rPr>
  </w:style>
  <w:style w:type="paragraph" w:customStyle="1" w:styleId="1TPcopyright">
    <w:name w:val="1_TP_copyright"/>
    <w:basedOn w:val="Normal"/>
    <w:uiPriority w:val="99"/>
    <w:rsid w:val="00F11B61"/>
    <w:pPr>
      <w:suppressAutoHyphens/>
      <w:spacing w:before="600" w:after="600"/>
      <w:jc w:val="center"/>
    </w:pPr>
    <w:rPr>
      <w:b/>
      <w:sz w:val="28"/>
      <w:szCs w:val="28"/>
    </w:rPr>
  </w:style>
  <w:style w:type="paragraph" w:customStyle="1" w:styleId="1TPDegrees">
    <w:name w:val="1_TP_Degrees"/>
    <w:basedOn w:val="1TPbyName"/>
    <w:uiPriority w:val="99"/>
    <w:rsid w:val="00F11B61"/>
    <w:pPr>
      <w:spacing w:before="0" w:after="480" w:line="240" w:lineRule="auto"/>
    </w:pPr>
    <w:rPr>
      <w:b w:val="0"/>
      <w:sz w:val="24"/>
      <w:szCs w:val="24"/>
    </w:rPr>
  </w:style>
  <w:style w:type="paragraph" w:customStyle="1" w:styleId="1TPallRightsReserved">
    <w:name w:val="1_TP_allRightsReserved"/>
    <w:basedOn w:val="Normal"/>
    <w:uiPriority w:val="99"/>
    <w:rsid w:val="00F11B61"/>
    <w:pPr>
      <w:suppressAutoHyphens/>
      <w:spacing w:before="480" w:after="0" w:line="240" w:lineRule="auto"/>
      <w:ind w:left="720" w:right="720"/>
      <w:jc w:val="center"/>
    </w:pPr>
  </w:style>
  <w:style w:type="paragraph" w:customStyle="1" w:styleId="Heading1Preliminary">
    <w:name w:val="Heading 1_Preliminary"/>
    <w:basedOn w:val="Heading2"/>
    <w:next w:val="Normal"/>
    <w:uiPriority w:val="99"/>
    <w:rsid w:val="00F11B61"/>
    <w:pPr>
      <w:pageBreakBefore/>
      <w:spacing w:before="360"/>
    </w:pPr>
    <w:rPr>
      <w:sz w:val="32"/>
    </w:rPr>
  </w:style>
  <w:style w:type="paragraph" w:customStyle="1" w:styleId="2ApprovRightColCommittee">
    <w:name w:val="2_Approv_RightCol_Committee"/>
    <w:basedOn w:val="Normal"/>
    <w:uiPriority w:val="99"/>
    <w:rsid w:val="00F11B61"/>
    <w:pPr>
      <w:suppressAutoHyphens/>
      <w:spacing w:before="20" w:after="560" w:line="240" w:lineRule="auto"/>
    </w:pPr>
  </w:style>
  <w:style w:type="paragraph" w:customStyle="1" w:styleId="2ApprovLeftColDate">
    <w:name w:val="2_Approv_LeftCol_Date"/>
    <w:basedOn w:val="Normal"/>
    <w:uiPriority w:val="99"/>
    <w:rsid w:val="00F11B61"/>
    <w:pPr>
      <w:tabs>
        <w:tab w:val="right" w:pos="144"/>
        <w:tab w:val="left" w:pos="1440"/>
      </w:tabs>
      <w:suppressAutoHyphens/>
      <w:spacing w:after="0" w:line="240" w:lineRule="auto"/>
    </w:pPr>
    <w:rPr>
      <w:b/>
    </w:rPr>
  </w:style>
  <w:style w:type="paragraph" w:customStyle="1" w:styleId="2ApprovRightColChair">
    <w:name w:val="2_Approv_RightCol_Chair"/>
    <w:basedOn w:val="2ApprovRightColCommittee"/>
    <w:uiPriority w:val="99"/>
    <w:rsid w:val="00F11B61"/>
    <w:pPr>
      <w:spacing w:before="0"/>
    </w:pPr>
  </w:style>
  <w:style w:type="paragraph" w:customStyle="1" w:styleId="2ApprovRightColThesisTitle">
    <w:name w:val="2_Approv_RightCol_ThesisTitle"/>
    <w:basedOn w:val="Normal"/>
    <w:uiPriority w:val="99"/>
    <w:rsid w:val="00F11B61"/>
    <w:pPr>
      <w:suppressAutoHyphens/>
      <w:spacing w:line="240" w:lineRule="auto"/>
    </w:pPr>
    <w:rPr>
      <w:b/>
      <w:bCs/>
      <w:i/>
      <w:iCs/>
      <w:szCs w:val="32"/>
    </w:rPr>
  </w:style>
  <w:style w:type="paragraph" w:customStyle="1" w:styleId="2ApprovRightColNameDegree">
    <w:name w:val="2_Approv_RightCol_Name+Degree"/>
    <w:basedOn w:val="Normal"/>
    <w:uiPriority w:val="99"/>
    <w:rsid w:val="00F11B61"/>
    <w:pPr>
      <w:suppressAutoHyphens/>
      <w:spacing w:after="80" w:line="240" w:lineRule="auto"/>
      <w:ind w:hanging="14"/>
    </w:pPr>
    <w:rPr>
      <w:b/>
    </w:rPr>
  </w:style>
  <w:style w:type="paragraph" w:customStyle="1" w:styleId="ToCAppendixes">
    <w:name w:val="ToC_Appendix(es)"/>
    <w:basedOn w:val="TOC2"/>
    <w:uiPriority w:val="99"/>
    <w:rsid w:val="00F11B61"/>
    <w:pPr>
      <w:ind w:left="1260" w:hanging="1260"/>
    </w:pPr>
  </w:style>
  <w:style w:type="paragraph" w:customStyle="1" w:styleId="2DedicationNormal">
    <w:name w:val="2_Dedication_Normal"/>
    <w:basedOn w:val="Normal"/>
    <w:uiPriority w:val="99"/>
    <w:rsid w:val="00F11B61"/>
    <w:pPr>
      <w:suppressAutoHyphens/>
    </w:pPr>
  </w:style>
  <w:style w:type="paragraph" w:customStyle="1" w:styleId="Heading1DedicationInvisible">
    <w:name w:val="Heading 1_Dedication_Invisible"/>
    <w:basedOn w:val="Heading1Preliminary"/>
    <w:uiPriority w:val="99"/>
    <w:rsid w:val="00F11B61"/>
    <w:rPr>
      <w:color w:val="FFFFFF"/>
    </w:rPr>
  </w:style>
  <w:style w:type="paragraph" w:customStyle="1" w:styleId="Heading1ListsnoPageBreakBefore">
    <w:name w:val="Heading 1_Lists_noPageBreakBefore"/>
    <w:basedOn w:val="Heading1Preliminary"/>
    <w:next w:val="Normal"/>
    <w:uiPriority w:val="99"/>
    <w:rsid w:val="00F11B61"/>
    <w:pPr>
      <w:pageBreakBefore w:val="0"/>
      <w:spacing w:before="960"/>
    </w:pPr>
  </w:style>
  <w:style w:type="paragraph" w:customStyle="1" w:styleId="2DedicationCentre">
    <w:name w:val="2_Dedication_Centre"/>
    <w:basedOn w:val="2DedicationNormal"/>
    <w:uiPriority w:val="99"/>
    <w:rsid w:val="00F11B61"/>
    <w:pPr>
      <w:spacing w:before="3840"/>
      <w:ind w:left="720" w:right="720"/>
      <w:jc w:val="center"/>
    </w:pPr>
    <w:rPr>
      <w:rFonts w:ascii="Lucida Calligraphy" w:hAnsi="Lucida Calligraphy"/>
      <w:sz w:val="28"/>
      <w:szCs w:val="28"/>
    </w:rPr>
  </w:style>
  <w:style w:type="paragraph" w:customStyle="1" w:styleId="2ApprovLeftColHeadings">
    <w:name w:val="2_Approv_LeftCol_Headings"/>
    <w:basedOn w:val="2ApprovRightColNameDegree"/>
    <w:uiPriority w:val="99"/>
    <w:rsid w:val="00F11B61"/>
  </w:style>
  <w:style w:type="paragraph" w:customStyle="1" w:styleId="2ApprovLeftColChair">
    <w:name w:val="2_Approv_LeftCol_Chair"/>
    <w:basedOn w:val="2ApprovRightColChair"/>
    <w:uiPriority w:val="99"/>
    <w:rsid w:val="00F11B61"/>
    <w:pPr>
      <w:jc w:val="right"/>
    </w:pPr>
    <w:rPr>
      <w:b/>
    </w:rPr>
  </w:style>
  <w:style w:type="paragraph" w:customStyle="1" w:styleId="2ApprovRightColDate">
    <w:name w:val="2_Approv_RightCol_Date"/>
    <w:basedOn w:val="2ApprovLeftColDate"/>
    <w:uiPriority w:val="99"/>
    <w:rsid w:val="00F11B61"/>
    <w:rPr>
      <w:b w:val="0"/>
    </w:rPr>
  </w:style>
  <w:style w:type="paragraph" w:customStyle="1" w:styleId="3BodyFlushLeft">
    <w:name w:val="3_Body_FlushLeft"/>
    <w:basedOn w:val="Normal"/>
    <w:next w:val="Normal"/>
    <w:uiPriority w:val="99"/>
    <w:rsid w:val="00F11B61"/>
    <w:pPr>
      <w:widowControl/>
    </w:pPr>
  </w:style>
  <w:style w:type="paragraph" w:styleId="ListContinue">
    <w:name w:val="List Continue"/>
    <w:basedOn w:val="Normal"/>
    <w:uiPriority w:val="99"/>
    <w:rsid w:val="00F11B61"/>
    <w:pPr>
      <w:spacing w:after="120"/>
      <w:ind w:left="360"/>
    </w:pPr>
  </w:style>
  <w:style w:type="paragraph" w:customStyle="1" w:styleId="Heading1References">
    <w:name w:val="Heading 1_References"/>
    <w:basedOn w:val="Heading1"/>
    <w:next w:val="Normal"/>
    <w:qFormat/>
    <w:rsid w:val="00F11B61"/>
    <w:rPr>
      <w:rFonts w:ascii="Times New Roman" w:hAnsi="Times New Roman"/>
    </w:rPr>
  </w:style>
  <w:style w:type="paragraph" w:styleId="TOC4">
    <w:name w:val="toc 4"/>
    <w:basedOn w:val="Normal"/>
    <w:next w:val="Normal"/>
    <w:uiPriority w:val="39"/>
    <w:unhideWhenUsed/>
    <w:rsid w:val="00F11B61"/>
    <w:pPr>
      <w:keepLines/>
      <w:tabs>
        <w:tab w:val="right" w:leader="dot" w:pos="8640"/>
      </w:tabs>
      <w:spacing w:after="0" w:line="240" w:lineRule="auto"/>
      <w:ind w:left="1620" w:right="634" w:hanging="540"/>
    </w:pPr>
    <w:rPr>
      <w:noProof/>
    </w:rPr>
  </w:style>
  <w:style w:type="paragraph" w:styleId="TOC5">
    <w:name w:val="toc 5"/>
    <w:basedOn w:val="Normal"/>
    <w:next w:val="Normal"/>
    <w:uiPriority w:val="39"/>
    <w:unhideWhenUsed/>
    <w:rsid w:val="00F11B61"/>
    <w:pPr>
      <w:keepLines/>
      <w:tabs>
        <w:tab w:val="right" w:leader="dot" w:pos="8640"/>
      </w:tabs>
      <w:spacing w:after="0" w:line="240" w:lineRule="auto"/>
      <w:ind w:left="2160" w:right="720" w:hanging="540"/>
    </w:pPr>
    <w:rPr>
      <w:noProof/>
    </w:rPr>
  </w:style>
  <w:style w:type="paragraph" w:styleId="FootnoteText">
    <w:name w:val="footnote text"/>
    <w:basedOn w:val="Normal"/>
    <w:link w:val="FootnoteTextChar"/>
    <w:uiPriority w:val="99"/>
    <w:semiHidden/>
    <w:rsid w:val="00F11B61"/>
    <w:pPr>
      <w:autoSpaceDE w:val="0"/>
      <w:autoSpaceDN w:val="0"/>
      <w:adjustRightInd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B61"/>
    <w:rPr>
      <w:rFonts w:ascii="Arial" w:eastAsia="Times New Roman" w:hAnsi="Arial" w:cs="Times New Roman"/>
      <w:sz w:val="20"/>
      <w:szCs w:val="20"/>
      <w:lang w:bidi="en-US"/>
    </w:rPr>
  </w:style>
  <w:style w:type="character" w:styleId="FootnoteReference">
    <w:name w:val="footnote reference"/>
    <w:uiPriority w:val="99"/>
    <w:semiHidden/>
    <w:rsid w:val="00F11B61"/>
    <w:rPr>
      <w:vertAlign w:val="superscript"/>
    </w:rPr>
  </w:style>
  <w:style w:type="paragraph" w:customStyle="1" w:styleId="6AppendTableHeadLeft">
    <w:name w:val="6_Append_TableHeadLeft"/>
    <w:basedOn w:val="6AppendNormal"/>
    <w:rsid w:val="00F11B61"/>
    <w:pPr>
      <w:spacing w:before="60" w:after="60"/>
    </w:pPr>
    <w:rPr>
      <w:b/>
      <w:noProof/>
      <w:sz w:val="22"/>
      <w:szCs w:val="22"/>
    </w:rPr>
  </w:style>
  <w:style w:type="paragraph" w:customStyle="1" w:styleId="6AppendTableHeadCenter">
    <w:name w:val="6_Append_TableHeadCenter"/>
    <w:basedOn w:val="6AppendTableHeadLeft"/>
    <w:rsid w:val="00F11B61"/>
    <w:pPr>
      <w:numPr>
        <w:numId w:val="3"/>
      </w:numPr>
      <w:ind w:left="0" w:firstLine="0"/>
      <w:jc w:val="center"/>
    </w:pPr>
  </w:style>
  <w:style w:type="paragraph" w:customStyle="1" w:styleId="6AppendTableBullet">
    <w:name w:val="6_Append_TableBullet"/>
    <w:basedOn w:val="6AppendTableRowNormal"/>
    <w:rsid w:val="00F11B61"/>
    <w:pPr>
      <w:tabs>
        <w:tab w:val="clear" w:pos="1440"/>
        <w:tab w:val="left" w:pos="241"/>
      </w:tabs>
      <w:ind w:left="245" w:hanging="187"/>
    </w:pPr>
    <w:rPr>
      <w:rFonts w:ascii="Arial" w:hAnsi="Arial"/>
      <w:sz w:val="20"/>
      <w:szCs w:val="20"/>
    </w:rPr>
  </w:style>
  <w:style w:type="paragraph" w:styleId="Header">
    <w:name w:val="header"/>
    <w:basedOn w:val="Normal"/>
    <w:link w:val="HeaderChar"/>
    <w:uiPriority w:val="99"/>
    <w:unhideWhenUsed/>
    <w:rsid w:val="00F11B61"/>
    <w:pPr>
      <w:tabs>
        <w:tab w:val="center" w:pos="4320"/>
        <w:tab w:val="right" w:pos="8640"/>
      </w:tabs>
      <w:spacing w:after="360" w:line="240" w:lineRule="auto"/>
    </w:pPr>
    <w:rPr>
      <w:lang w:bidi="ar-SA"/>
    </w:rPr>
  </w:style>
  <w:style w:type="character" w:customStyle="1" w:styleId="HeaderChar">
    <w:name w:val="Header Char"/>
    <w:basedOn w:val="DefaultParagraphFont"/>
    <w:link w:val="Header"/>
    <w:uiPriority w:val="99"/>
    <w:rsid w:val="00F11B61"/>
    <w:rPr>
      <w:rFonts w:ascii="Arial" w:eastAsia="Times New Roman" w:hAnsi="Arial" w:cs="Times New Roman"/>
    </w:rPr>
  </w:style>
  <w:style w:type="paragraph" w:styleId="Footer">
    <w:name w:val="footer"/>
    <w:basedOn w:val="Normal"/>
    <w:link w:val="FooterChar"/>
    <w:uiPriority w:val="99"/>
    <w:unhideWhenUsed/>
    <w:rsid w:val="00F11B61"/>
    <w:pPr>
      <w:tabs>
        <w:tab w:val="center" w:pos="4680"/>
        <w:tab w:val="right" w:pos="9360"/>
      </w:tabs>
      <w:spacing w:after="0" w:line="240" w:lineRule="auto"/>
      <w:jc w:val="center"/>
    </w:pPr>
    <w:rPr>
      <w:lang w:bidi="ar-SA"/>
    </w:rPr>
  </w:style>
  <w:style w:type="character" w:customStyle="1" w:styleId="FooterChar">
    <w:name w:val="Footer Char"/>
    <w:basedOn w:val="DefaultParagraphFont"/>
    <w:link w:val="Footer"/>
    <w:uiPriority w:val="99"/>
    <w:rsid w:val="00F11B61"/>
    <w:rPr>
      <w:rFonts w:ascii="Arial" w:eastAsia="Times New Roman" w:hAnsi="Arial" w:cs="Times New Roman"/>
    </w:rPr>
  </w:style>
  <w:style w:type="paragraph" w:styleId="TOC6">
    <w:name w:val="toc 6"/>
    <w:basedOn w:val="Normal"/>
    <w:next w:val="Normal"/>
    <w:autoRedefine/>
    <w:uiPriority w:val="39"/>
    <w:unhideWhenUsed/>
    <w:rsid w:val="00F11B61"/>
    <w:pPr>
      <w:spacing w:after="100" w:line="276" w:lineRule="auto"/>
      <w:ind w:left="1100"/>
    </w:pPr>
    <w:rPr>
      <w:rFonts w:ascii="Calibri" w:hAnsi="Calibri"/>
      <w:lang w:eastAsia="en-CA"/>
    </w:rPr>
  </w:style>
  <w:style w:type="paragraph" w:styleId="TOC7">
    <w:name w:val="toc 7"/>
    <w:basedOn w:val="Normal"/>
    <w:next w:val="Normal"/>
    <w:autoRedefine/>
    <w:uiPriority w:val="39"/>
    <w:unhideWhenUsed/>
    <w:rsid w:val="00F11B61"/>
    <w:pPr>
      <w:spacing w:after="100" w:line="276" w:lineRule="auto"/>
      <w:ind w:left="1320"/>
    </w:pPr>
    <w:rPr>
      <w:rFonts w:ascii="Calibri" w:hAnsi="Calibri"/>
      <w:lang w:eastAsia="en-CA"/>
    </w:rPr>
  </w:style>
  <w:style w:type="paragraph" w:styleId="TOC8">
    <w:name w:val="toc 8"/>
    <w:basedOn w:val="Normal"/>
    <w:next w:val="Normal"/>
    <w:autoRedefine/>
    <w:uiPriority w:val="39"/>
    <w:unhideWhenUsed/>
    <w:rsid w:val="00F11B61"/>
    <w:pPr>
      <w:spacing w:after="100" w:line="276" w:lineRule="auto"/>
      <w:ind w:left="1540"/>
    </w:pPr>
    <w:rPr>
      <w:rFonts w:ascii="Calibri" w:hAnsi="Calibri"/>
      <w:lang w:eastAsia="en-CA"/>
    </w:rPr>
  </w:style>
  <w:style w:type="paragraph" w:styleId="TOC9">
    <w:name w:val="toc 9"/>
    <w:basedOn w:val="Normal"/>
    <w:next w:val="Normal"/>
    <w:autoRedefine/>
    <w:uiPriority w:val="39"/>
    <w:unhideWhenUsed/>
    <w:rsid w:val="00F11B61"/>
    <w:pPr>
      <w:spacing w:after="100" w:line="276" w:lineRule="auto"/>
      <w:ind w:left="1760"/>
    </w:pPr>
    <w:rPr>
      <w:rFonts w:ascii="Calibri" w:hAnsi="Calibri"/>
      <w:lang w:eastAsia="en-CA"/>
    </w:rPr>
  </w:style>
  <w:style w:type="paragraph" w:customStyle="1" w:styleId="2ApprovCommittee-LAST">
    <w:name w:val="2_Approv_Committee-LAST"/>
    <w:basedOn w:val="2ApprovRightColCommittee"/>
    <w:qFormat/>
    <w:rsid w:val="00F11B61"/>
    <w:pPr>
      <w:spacing w:after="240"/>
    </w:pPr>
  </w:style>
  <w:style w:type="paragraph" w:customStyle="1" w:styleId="2AbstractKeywords">
    <w:name w:val="2_Abstract_Keywords"/>
    <w:basedOn w:val="2AbstractNormal"/>
    <w:qFormat/>
    <w:rsid w:val="00F11B61"/>
    <w:pPr>
      <w:numPr>
        <w:numId w:val="4"/>
      </w:numPr>
      <w:tabs>
        <w:tab w:val="left" w:pos="1440"/>
      </w:tabs>
      <w:spacing w:after="120" w:line="240" w:lineRule="auto"/>
      <w:ind w:left="1440" w:hanging="1440"/>
    </w:pPr>
  </w:style>
  <w:style w:type="paragraph" w:customStyle="1" w:styleId="7TableRowBullet">
    <w:name w:val="7_TableRow_Bullet"/>
    <w:basedOn w:val="7TableRowNormal"/>
    <w:rsid w:val="00F11B61"/>
    <w:pPr>
      <w:ind w:left="270" w:hanging="180"/>
    </w:pPr>
  </w:style>
  <w:style w:type="paragraph" w:customStyle="1" w:styleId="2ListOfAcronymsTableRow">
    <w:name w:val="2_ListOfAcronyms_TableRow"/>
    <w:basedOn w:val="Normal"/>
    <w:qFormat/>
    <w:rsid w:val="00F11B61"/>
    <w:pPr>
      <w:keepLines/>
      <w:suppressAutoHyphens/>
      <w:spacing w:before="60" w:after="60" w:line="240" w:lineRule="auto"/>
    </w:pPr>
  </w:style>
  <w:style w:type="paragraph" w:styleId="NormalWeb">
    <w:name w:val="Normal (Web)"/>
    <w:basedOn w:val="Normal"/>
    <w:uiPriority w:val="99"/>
    <w:unhideWhenUsed/>
    <w:rsid w:val="00F11B61"/>
    <w:pPr>
      <w:spacing w:before="100" w:beforeAutospacing="1" w:after="100" w:afterAutospacing="1" w:line="240" w:lineRule="auto"/>
    </w:pPr>
    <w:rPr>
      <w:rFonts w:ascii="Times New Roman" w:eastAsia="MS Mincho" w:hAnsi="Times New Roman"/>
      <w:sz w:val="24"/>
      <w:szCs w:val="24"/>
      <w:lang w:eastAsia="ja-JP"/>
    </w:rPr>
  </w:style>
  <w:style w:type="paragraph" w:customStyle="1" w:styleId="7TableNoteNormalFlushLeft">
    <w:name w:val="7_TableNote_Normal_FlushLeft"/>
    <w:basedOn w:val="7TableRowNormal"/>
    <w:rsid w:val="00F11B61"/>
    <w:pPr>
      <w:spacing w:after="360"/>
    </w:pPr>
  </w:style>
  <w:style w:type="paragraph" w:customStyle="1" w:styleId="7TableNoteHangingIndent">
    <w:name w:val="7_TableNote_HangingIndent"/>
    <w:basedOn w:val="7TableNoteNormalFlushLeft"/>
    <w:rsid w:val="00F11B61"/>
    <w:pPr>
      <w:ind w:left="720" w:hanging="720"/>
    </w:pPr>
  </w:style>
  <w:style w:type="paragraph" w:customStyle="1" w:styleId="7TableNoteFootnote-Lettered">
    <w:name w:val="7_TableNote_Footnote-Lettered"/>
    <w:basedOn w:val="7TableNoteHangingIndent"/>
    <w:rsid w:val="00F11B61"/>
    <w:pPr>
      <w:ind w:left="270" w:hanging="270"/>
    </w:pPr>
  </w:style>
  <w:style w:type="character" w:customStyle="1" w:styleId="pages">
    <w:name w:val="pages"/>
    <w:rsid w:val="00F11B61"/>
  </w:style>
  <w:style w:type="character" w:customStyle="1" w:styleId="medium-font">
    <w:name w:val="medium-font"/>
    <w:rsid w:val="00F11B61"/>
  </w:style>
  <w:style w:type="character" w:styleId="Strong">
    <w:name w:val="Strong"/>
    <w:uiPriority w:val="22"/>
    <w:qFormat/>
    <w:rsid w:val="00F11B61"/>
    <w:rPr>
      <w:b/>
      <w:bCs/>
    </w:rPr>
  </w:style>
  <w:style w:type="paragraph" w:customStyle="1" w:styleId="DocTitle">
    <w:name w:val="Doc Title"/>
    <w:basedOn w:val="Normal"/>
    <w:next w:val="Normal"/>
    <w:rsid w:val="00F11B61"/>
    <w:pPr>
      <w:keepLines/>
      <w:spacing w:after="662" w:line="378" w:lineRule="exact"/>
      <w:jc w:val="center"/>
    </w:pPr>
    <w:rPr>
      <w:b/>
      <w:bCs/>
      <w:sz w:val="32"/>
      <w:szCs w:val="32"/>
    </w:rPr>
  </w:style>
  <w:style w:type="paragraph" w:customStyle="1" w:styleId="1TPTitleExtEssaysand">
    <w:name w:val="1_TP_TitleExtEssays_&quot;and&quot;"/>
    <w:basedOn w:val="1TPTitle"/>
    <w:rsid w:val="00F11B61"/>
    <w:rPr>
      <w:b w:val="0"/>
      <w:sz w:val="24"/>
      <w:szCs w:val="24"/>
    </w:rPr>
  </w:style>
  <w:style w:type="paragraph" w:customStyle="1" w:styleId="ToC1EssayTitles">
    <w:name w:val="ToC 1_EssayTitles"/>
    <w:basedOn w:val="TOC1"/>
    <w:rsid w:val="00F11B61"/>
    <w:pPr>
      <w:tabs>
        <w:tab w:val="left" w:pos="1440"/>
      </w:tabs>
      <w:spacing w:before="480"/>
      <w:ind w:left="0" w:firstLine="0"/>
    </w:pPr>
    <w:rPr>
      <w:sz w:val="28"/>
      <w:szCs w:val="28"/>
    </w:rPr>
  </w:style>
  <w:style w:type="character" w:styleId="FollowedHyperlink">
    <w:name w:val="FollowedHyperlink"/>
    <w:basedOn w:val="DefaultParagraphFont"/>
    <w:uiPriority w:val="99"/>
    <w:unhideWhenUsed/>
    <w:rsid w:val="00F11B61"/>
  </w:style>
  <w:style w:type="paragraph" w:customStyle="1" w:styleId="5ReferencesNormal">
    <w:name w:val="5_References_Normal"/>
    <w:basedOn w:val="Bibliography"/>
    <w:uiPriority w:val="99"/>
    <w:rsid w:val="00F11B61"/>
    <w:rPr>
      <w:rFonts w:ascii="Arial" w:hAnsi="Arial" w:cs="Arial"/>
    </w:rPr>
  </w:style>
  <w:style w:type="paragraph" w:styleId="Bibliography">
    <w:name w:val="Bibliography"/>
    <w:basedOn w:val="Normal"/>
    <w:next w:val="Normal"/>
    <w:uiPriority w:val="37"/>
    <w:unhideWhenUsed/>
    <w:rsid w:val="00F11B61"/>
    <w:pPr>
      <w:keepLines/>
      <w:spacing w:line="240" w:lineRule="auto"/>
      <w:ind w:left="720" w:hanging="720"/>
    </w:pPr>
    <w:rPr>
      <w:rFonts w:ascii="Times New Roman" w:hAnsi="Times New Roman"/>
    </w:rPr>
  </w:style>
  <w:style w:type="paragraph" w:customStyle="1" w:styleId="7TableRowDecimal8col">
    <w:name w:val="7_TableRow_Decimal_8col"/>
    <w:basedOn w:val="7TableRowNormal"/>
    <w:rsid w:val="00F11B61"/>
    <w:pPr>
      <w:tabs>
        <w:tab w:val="decimal" w:pos="331"/>
      </w:tabs>
    </w:pPr>
  </w:style>
  <w:style w:type="paragraph" w:styleId="Caption">
    <w:name w:val="caption"/>
    <w:basedOn w:val="Normal"/>
    <w:next w:val="Normal"/>
    <w:uiPriority w:val="35"/>
    <w:unhideWhenUsed/>
    <w:qFormat/>
    <w:rsid w:val="00F11B61"/>
    <w:pPr>
      <w:tabs>
        <w:tab w:val="left" w:pos="720"/>
      </w:tabs>
      <w:autoSpaceDE w:val="0"/>
      <w:autoSpaceDN w:val="0"/>
      <w:adjustRightInd w:val="0"/>
      <w:spacing w:line="240" w:lineRule="auto"/>
    </w:pPr>
    <w:rPr>
      <w:b/>
      <w:szCs w:val="24"/>
    </w:rPr>
  </w:style>
  <w:style w:type="paragraph" w:customStyle="1" w:styleId="7CaptionAutoNumberbelowFiguresincludesNote">
    <w:name w:val="7_CaptionAutoNumber_belowFigures_includesNote"/>
    <w:basedOn w:val="Caption"/>
    <w:next w:val="Normal"/>
    <w:rsid w:val="00F11B61"/>
    <w:pPr>
      <w:tabs>
        <w:tab w:val="left" w:pos="0"/>
      </w:tabs>
      <w:suppressAutoHyphens/>
      <w:spacing w:before="120" w:after="600"/>
    </w:pPr>
    <w:rPr>
      <w:b w:val="0"/>
      <w:i/>
    </w:rPr>
  </w:style>
  <w:style w:type="paragraph" w:customStyle="1" w:styleId="7CaptionAutoNumberaboveTablesFiguresImages">
    <w:name w:val="7_CaptionAutoNumber_aboveTablesFiguresImages"/>
    <w:basedOn w:val="Caption"/>
    <w:rsid w:val="00F11B61"/>
  </w:style>
  <w:style w:type="paragraph" w:styleId="NormalIndent">
    <w:name w:val="Normal Indent"/>
    <w:basedOn w:val="Normal"/>
    <w:uiPriority w:val="99"/>
    <w:unhideWhenUsed/>
    <w:rsid w:val="00F11B61"/>
    <w:pPr>
      <w:widowControl/>
      <w:ind w:firstLine="720"/>
    </w:pPr>
  </w:style>
  <w:style w:type="paragraph" w:customStyle="1" w:styleId="7CaptionAutoNumberbelowFiguresImageswithNoteAfter">
    <w:name w:val="7_CaptionAutoNumber_belowFiguresImages_withNoteAfter"/>
    <w:basedOn w:val="Caption"/>
    <w:rsid w:val="00F11B61"/>
    <w:pPr>
      <w:spacing w:after="0"/>
    </w:pPr>
  </w:style>
  <w:style w:type="paragraph" w:customStyle="1" w:styleId="7EquationCentred">
    <w:name w:val="7_Equation_Centred"/>
    <w:basedOn w:val="Normal"/>
    <w:rsid w:val="00F11B61"/>
    <w:pPr>
      <w:jc w:val="center"/>
    </w:pPr>
  </w:style>
  <w:style w:type="paragraph" w:customStyle="1" w:styleId="7EquationLeftTabRight">
    <w:name w:val="7_Equation_LeftTabRight"/>
    <w:basedOn w:val="7EquationCentred"/>
    <w:rsid w:val="00F11B61"/>
    <w:pPr>
      <w:tabs>
        <w:tab w:val="right" w:pos="8640"/>
      </w:tabs>
      <w:ind w:left="1440"/>
      <w:jc w:val="left"/>
    </w:pPr>
  </w:style>
  <w:style w:type="paragraph" w:customStyle="1" w:styleId="zparaNBImportant">
    <w:name w:val="z_para_NB. Important"/>
    <w:basedOn w:val="Normal"/>
    <w:rsid w:val="00F11B61"/>
    <w:pPr>
      <w:pBdr>
        <w:top w:val="single" w:sz="4" w:space="1" w:color="auto"/>
        <w:left w:val="single" w:sz="4" w:space="4" w:color="auto"/>
        <w:bottom w:val="single" w:sz="4" w:space="1" w:color="auto"/>
        <w:right w:val="single" w:sz="4" w:space="4" w:color="auto"/>
      </w:pBdr>
      <w:shd w:val="clear" w:color="auto" w:fill="F2DBDB"/>
      <w:spacing w:line="240" w:lineRule="auto"/>
      <w:ind w:left="720" w:right="720"/>
      <w:jc w:val="center"/>
    </w:pPr>
    <w:rPr>
      <w:i/>
    </w:rPr>
  </w:style>
  <w:style w:type="paragraph" w:customStyle="1" w:styleId="Heading2References">
    <w:name w:val="Heading 2_References"/>
    <w:basedOn w:val="Heading2"/>
    <w:rsid w:val="00F11B61"/>
    <w:pPr>
      <w:spacing w:before="480" w:after="120"/>
    </w:pPr>
    <w:rPr>
      <w:sz w:val="24"/>
    </w:rPr>
  </w:style>
  <w:style w:type="paragraph" w:customStyle="1" w:styleId="3BodyQuoteSubjects1MultipleParas">
    <w:name w:val="3_Body_QuoteSubjects1_MultipleParas"/>
    <w:basedOn w:val="3BodyQuoteSubjects1SingleOrLast"/>
    <w:rsid w:val="00F11B61"/>
    <w:pPr>
      <w:spacing w:after="120"/>
    </w:pPr>
  </w:style>
  <w:style w:type="paragraph" w:customStyle="1" w:styleId="3BodyQuoteSubjects2HangingSingleOrLast">
    <w:name w:val="3_Body_QuoteSubjects2_HangingSingleOrLast"/>
    <w:basedOn w:val="3BodyQuoteSubjectstoChangeFontALL"/>
    <w:rsid w:val="00F11B61"/>
    <w:pPr>
      <w:ind w:left="1800" w:hanging="1080"/>
    </w:pPr>
  </w:style>
  <w:style w:type="paragraph" w:customStyle="1" w:styleId="3BodyQuoteSubjects2HangingMultipleParas">
    <w:name w:val="3_Body_QuoteSubjects2_HangingMultipleParas"/>
    <w:basedOn w:val="3BodyQuoteSubjects2HangingSingleOrLast"/>
    <w:rsid w:val="00F11B61"/>
    <w:pPr>
      <w:spacing w:after="120"/>
    </w:pPr>
  </w:style>
  <w:style w:type="paragraph" w:styleId="DocumentMap">
    <w:name w:val="Document Map"/>
    <w:basedOn w:val="Normal"/>
    <w:link w:val="DocumentMapChar"/>
    <w:uiPriority w:val="99"/>
    <w:unhideWhenUsed/>
    <w:rsid w:val="00F11B61"/>
    <w:rPr>
      <w:rFonts w:ascii="Calibri" w:hAnsi="Calibri"/>
      <w:sz w:val="20"/>
      <w:szCs w:val="20"/>
      <w:lang w:eastAsia="en-CA"/>
    </w:rPr>
  </w:style>
  <w:style w:type="character" w:customStyle="1" w:styleId="DocumentMapChar">
    <w:name w:val="Document Map Char"/>
    <w:basedOn w:val="DefaultParagraphFont"/>
    <w:link w:val="DocumentMap"/>
    <w:uiPriority w:val="99"/>
    <w:rsid w:val="00F11B61"/>
    <w:rPr>
      <w:rFonts w:ascii="Calibri" w:eastAsia="Times New Roman" w:hAnsi="Calibri" w:cs="Times New Roman"/>
      <w:sz w:val="20"/>
      <w:szCs w:val="20"/>
      <w:lang w:eastAsia="en-CA" w:bidi="en-US"/>
    </w:rPr>
  </w:style>
  <w:style w:type="paragraph" w:customStyle="1" w:styleId="9PlaysCharacterList">
    <w:name w:val="9_Plays_CharacterList"/>
    <w:basedOn w:val="Normal"/>
    <w:rsid w:val="00F11B61"/>
    <w:pPr>
      <w:spacing w:line="240" w:lineRule="auto"/>
      <w:ind w:left="1440" w:hanging="1440"/>
    </w:pPr>
    <w:rPr>
      <w:szCs w:val="24"/>
    </w:rPr>
  </w:style>
  <w:style w:type="paragraph" w:customStyle="1" w:styleId="9PlayScriptDialogueHangingIndent">
    <w:name w:val="9_Play_ScriptDialogue_HangingIndent"/>
    <w:basedOn w:val="Normal"/>
    <w:rsid w:val="00F11B61"/>
    <w:pPr>
      <w:keepLines/>
      <w:autoSpaceDE w:val="0"/>
      <w:autoSpaceDN w:val="0"/>
      <w:adjustRightInd w:val="0"/>
      <w:spacing w:before="120" w:after="120" w:line="240" w:lineRule="auto"/>
      <w:ind w:left="1440" w:hanging="1440"/>
    </w:pPr>
  </w:style>
  <w:style w:type="paragraph" w:customStyle="1" w:styleId="9PlaysStageDirections">
    <w:name w:val="9_Plays_StageDirections"/>
    <w:basedOn w:val="Normal"/>
    <w:rsid w:val="00F11B61"/>
    <w:pPr>
      <w:spacing w:line="240" w:lineRule="auto"/>
      <w:outlineLvl w:val="0"/>
    </w:pPr>
    <w:rPr>
      <w:i/>
      <w:iCs/>
    </w:rPr>
  </w:style>
  <w:style w:type="paragraph" w:customStyle="1" w:styleId="9PlaysIntroduction">
    <w:name w:val="9_Plays_Introduction"/>
    <w:basedOn w:val="Normal"/>
    <w:rsid w:val="00F11B61"/>
    <w:pPr>
      <w:spacing w:line="240" w:lineRule="auto"/>
    </w:pPr>
    <w:rPr>
      <w:szCs w:val="24"/>
    </w:rPr>
  </w:style>
  <w:style w:type="paragraph" w:customStyle="1" w:styleId="9PlaysStageDirectionInterjection">
    <w:name w:val="9_Plays_StageDirection_Interjection"/>
    <w:basedOn w:val="9PlaysStageDirections"/>
    <w:rsid w:val="00F11B61"/>
    <w:pPr>
      <w:ind w:left="1440"/>
    </w:pPr>
  </w:style>
  <w:style w:type="paragraph" w:customStyle="1" w:styleId="9PlaysTheEnd">
    <w:name w:val="9_Plays_TheEnd"/>
    <w:basedOn w:val="9PlaysIntroduction"/>
    <w:rsid w:val="00F11B61"/>
    <w:pPr>
      <w:jc w:val="center"/>
    </w:pPr>
  </w:style>
  <w:style w:type="paragraph" w:customStyle="1" w:styleId="3BodySingleSpaced">
    <w:name w:val="3_Body_SingleSpaced"/>
    <w:basedOn w:val="3BodyFlushLeft"/>
    <w:rsid w:val="00F11B61"/>
  </w:style>
  <w:style w:type="paragraph" w:customStyle="1" w:styleId="znon-numberedTemplateOnly">
    <w:name w:val="z_non-numberedTemplateOnly"/>
    <w:basedOn w:val="Normal"/>
    <w:rsid w:val="00F11B61"/>
    <w:pPr>
      <w:pBdr>
        <w:top w:val="single" w:sz="4" w:space="1" w:color="auto"/>
        <w:left w:val="single" w:sz="4" w:space="4" w:color="auto"/>
        <w:bottom w:val="single" w:sz="4" w:space="1" w:color="auto"/>
        <w:right w:val="single" w:sz="4" w:space="4" w:color="auto"/>
      </w:pBdr>
      <w:spacing w:line="240" w:lineRule="auto"/>
      <w:ind w:left="720"/>
    </w:pPr>
  </w:style>
  <w:style w:type="paragraph" w:customStyle="1" w:styleId="7CaptionManualNumbersbelowFigureswithNoteAfter">
    <w:name w:val="7_CaptionManualNumbers_belowFigures_withNoteAfter"/>
    <w:basedOn w:val="7CaptionManualNumbersaboveFiguresImages"/>
    <w:rsid w:val="00F11B61"/>
  </w:style>
  <w:style w:type="paragraph" w:customStyle="1" w:styleId="7TableRowDecimal6col">
    <w:name w:val="7_TableRow_Decimal_6col"/>
    <w:basedOn w:val="7TableRowNormal"/>
    <w:rsid w:val="00F11B61"/>
    <w:pPr>
      <w:tabs>
        <w:tab w:val="decimal" w:pos="483"/>
      </w:tabs>
    </w:pPr>
  </w:style>
  <w:style w:type="paragraph" w:customStyle="1" w:styleId="7TableRowDecimal7decimals">
    <w:name w:val="7_TableRow_Decimal_7decimals"/>
    <w:basedOn w:val="7TableRowNormal"/>
    <w:rsid w:val="00F11B61"/>
    <w:pPr>
      <w:tabs>
        <w:tab w:val="decimal" w:pos="154"/>
      </w:tabs>
    </w:pPr>
  </w:style>
  <w:style w:type="paragraph" w:customStyle="1" w:styleId="zParaInsertSomethingHere">
    <w:name w:val="z_Para_InsertSomethingHere"/>
    <w:basedOn w:val="Normal"/>
    <w:rsid w:val="00F11B61"/>
    <w:pPr>
      <w:jc w:val="center"/>
    </w:pPr>
    <w:rPr>
      <w:color w:val="E36C0A"/>
    </w:rPr>
  </w:style>
  <w:style w:type="character" w:customStyle="1" w:styleId="ZCharacKeyboardCommands">
    <w:name w:val="Z_Charac_KeyboardCommands"/>
    <w:uiPriority w:val="1"/>
    <w:rsid w:val="00F11B61"/>
    <w:rPr>
      <w:color w:val="0070C0"/>
    </w:rPr>
  </w:style>
  <w:style w:type="character" w:customStyle="1" w:styleId="zCharacStylesRed">
    <w:name w:val="z_Charac_Styles(Red)"/>
    <w:uiPriority w:val="1"/>
    <w:rsid w:val="00F11B61"/>
    <w:rPr>
      <w:color w:val="FF0000"/>
    </w:rPr>
  </w:style>
  <w:style w:type="character" w:customStyle="1" w:styleId="zCharacMenuInstructionsGreen">
    <w:name w:val="z_Charac_MenuInstructions(Green)"/>
    <w:uiPriority w:val="1"/>
    <w:rsid w:val="00F11B61"/>
    <w:rPr>
      <w:color w:val="008000"/>
    </w:rPr>
  </w:style>
  <w:style w:type="character" w:customStyle="1" w:styleId="zCharacButtons">
    <w:name w:val="z_Charac_Buttons"/>
    <w:uiPriority w:val="1"/>
    <w:rsid w:val="00F11B61"/>
    <w:rPr>
      <w:color w:val="5D2884"/>
    </w:rPr>
  </w:style>
  <w:style w:type="paragraph" w:customStyle="1" w:styleId="7CaptionAutoNumberbelowFiguresImagesnoNoteAfter">
    <w:name w:val="7_CaptionAutoNumber_belowFiguresImages_noNoteAfter"/>
    <w:basedOn w:val="7CaptionAutoNumberbelowFiguresImageswithNoteAfter"/>
    <w:rsid w:val="00F11B61"/>
    <w:pPr>
      <w:spacing w:after="360"/>
    </w:pPr>
  </w:style>
  <w:style w:type="character" w:styleId="HTMLTypewriter">
    <w:name w:val="HTML Typewriter"/>
    <w:rsid w:val="00F11B61"/>
    <w:rPr>
      <w:rFonts w:ascii="Courier New" w:eastAsia="Times New Roman" w:hAnsi="Courier New" w:cs="Courier New"/>
      <w:sz w:val="20"/>
      <w:szCs w:val="20"/>
    </w:rPr>
  </w:style>
  <w:style w:type="character" w:styleId="Emphasis">
    <w:name w:val="Emphasis"/>
    <w:uiPriority w:val="20"/>
    <w:qFormat/>
    <w:rsid w:val="00F11B61"/>
    <w:rPr>
      <w:i/>
      <w:iCs/>
    </w:rPr>
  </w:style>
  <w:style w:type="paragraph" w:customStyle="1" w:styleId="Default">
    <w:name w:val="Default"/>
    <w:rsid w:val="00F11B61"/>
    <w:pPr>
      <w:autoSpaceDE w:val="0"/>
      <w:autoSpaceDN w:val="0"/>
      <w:adjustRightInd w:val="0"/>
    </w:pPr>
    <w:rPr>
      <w:rFonts w:ascii="Times New Roman" w:eastAsia="Times New Roman" w:hAnsi="Times New Roman" w:cs="Times New Roman"/>
      <w:color w:val="000000"/>
      <w:sz w:val="24"/>
      <w:szCs w:val="24"/>
    </w:rPr>
  </w:style>
  <w:style w:type="character" w:customStyle="1" w:styleId="A0">
    <w:name w:val="A0"/>
    <w:uiPriority w:val="99"/>
    <w:rsid w:val="00F11B61"/>
    <w:rPr>
      <w:rFonts w:cs="Frutiger Next Pro Bold"/>
      <w:b/>
      <w:bCs/>
      <w:color w:val="000000"/>
      <w:sz w:val="46"/>
      <w:szCs w:val="46"/>
    </w:rPr>
  </w:style>
  <w:style w:type="character" w:customStyle="1" w:styleId="pagetitlemain">
    <w:name w:val="pagetitlemain"/>
    <w:basedOn w:val="DefaultParagraphFont"/>
    <w:rsid w:val="00F11B61"/>
  </w:style>
  <w:style w:type="character" w:customStyle="1" w:styleId="italic">
    <w:name w:val="italic"/>
    <w:basedOn w:val="DefaultParagraphFont"/>
    <w:rsid w:val="00F11B61"/>
  </w:style>
  <w:style w:type="character" w:customStyle="1" w:styleId="yshortcuts">
    <w:name w:val="yshortcuts"/>
    <w:basedOn w:val="DefaultParagraphFont"/>
    <w:rsid w:val="00F11B61"/>
  </w:style>
  <w:style w:type="character" w:customStyle="1" w:styleId="st">
    <w:name w:val="st"/>
    <w:basedOn w:val="DefaultParagraphFont"/>
    <w:rsid w:val="00F11B61"/>
  </w:style>
  <w:style w:type="character" w:customStyle="1" w:styleId="submitted">
    <w:name w:val="submitted"/>
    <w:basedOn w:val="DefaultParagraphFont"/>
    <w:rsid w:val="00F11B61"/>
  </w:style>
  <w:style w:type="paragraph" w:styleId="ListParagraph">
    <w:name w:val="List Paragraph"/>
    <w:basedOn w:val="Normal"/>
    <w:uiPriority w:val="34"/>
    <w:qFormat/>
    <w:rsid w:val="00F11B61"/>
    <w:pPr>
      <w:ind w:left="720"/>
      <w:contextualSpacing/>
    </w:pPr>
  </w:style>
  <w:style w:type="character" w:customStyle="1" w:styleId="bold">
    <w:name w:val="bold"/>
    <w:basedOn w:val="DefaultParagraphFont"/>
    <w:rsid w:val="00F11B61"/>
  </w:style>
  <w:style w:type="character" w:customStyle="1" w:styleId="verdana">
    <w:name w:val="verdana"/>
    <w:basedOn w:val="DefaultParagraphFont"/>
    <w:rsid w:val="00F11B61"/>
  </w:style>
  <w:style w:type="paragraph" w:customStyle="1" w:styleId="loose">
    <w:name w:val="loose"/>
    <w:basedOn w:val="Normal"/>
    <w:rsid w:val="00F11B61"/>
    <w:pPr>
      <w:spacing w:before="100" w:beforeAutospacing="1" w:after="100" w:afterAutospacing="1" w:line="240" w:lineRule="auto"/>
    </w:pPr>
    <w:rPr>
      <w:rFonts w:ascii="Times New Roman" w:hAnsi="Times New Roman"/>
      <w:sz w:val="24"/>
      <w:szCs w:val="24"/>
    </w:rPr>
  </w:style>
  <w:style w:type="character" w:customStyle="1" w:styleId="ssl2">
    <w:name w:val="ss_l2"/>
    <w:basedOn w:val="DefaultParagraphFont"/>
    <w:rsid w:val="00F11B61"/>
  </w:style>
  <w:style w:type="character" w:customStyle="1" w:styleId="hit">
    <w:name w:val="hit"/>
    <w:basedOn w:val="DefaultParagraphFont"/>
    <w:rsid w:val="00F11B61"/>
  </w:style>
  <w:style w:type="character" w:customStyle="1" w:styleId="postbody">
    <w:name w:val="postbody"/>
    <w:basedOn w:val="DefaultParagraphFont"/>
    <w:rsid w:val="00F11B61"/>
  </w:style>
  <w:style w:type="character" w:customStyle="1" w:styleId="hps">
    <w:name w:val="hps"/>
    <w:basedOn w:val="DefaultParagraphFont"/>
    <w:rsid w:val="00F11B61"/>
  </w:style>
  <w:style w:type="numbering" w:customStyle="1" w:styleId="NoList1">
    <w:name w:val="No List1"/>
    <w:next w:val="NoList"/>
    <w:uiPriority w:val="99"/>
    <w:semiHidden/>
    <w:unhideWhenUsed/>
    <w:rsid w:val="00F11B61"/>
  </w:style>
  <w:style w:type="paragraph" w:styleId="Subtitle">
    <w:name w:val="Subtitle"/>
    <w:basedOn w:val="Normal"/>
    <w:next w:val="Normal"/>
    <w:link w:val="SubtitleChar"/>
    <w:uiPriority w:val="11"/>
    <w:qFormat/>
    <w:rsid w:val="00F11B61"/>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F11B61"/>
    <w:rPr>
      <w:rFonts w:ascii="Cambria" w:eastAsia="Times New Roman" w:hAnsi="Cambria" w:cs="Times New Roman"/>
      <w:i/>
      <w:iCs/>
      <w:color w:val="4F81BD"/>
      <w:spacing w:val="15"/>
      <w:sz w:val="24"/>
      <w:szCs w:val="24"/>
    </w:rPr>
  </w:style>
  <w:style w:type="character" w:styleId="SubtleEmphasis">
    <w:name w:val="Subtle Emphasis"/>
    <w:uiPriority w:val="19"/>
    <w:qFormat/>
    <w:rsid w:val="00F11B61"/>
    <w:rPr>
      <w:i/>
      <w:iCs/>
      <w:color w:val="808080"/>
    </w:rPr>
  </w:style>
  <w:style w:type="paragraph" w:styleId="TOCHeading">
    <w:name w:val="TOC Heading"/>
    <w:basedOn w:val="Heading1"/>
    <w:next w:val="Normal"/>
    <w:uiPriority w:val="39"/>
    <w:unhideWhenUsed/>
    <w:qFormat/>
    <w:rsid w:val="00F11B61"/>
    <w:pPr>
      <w:outlineLvl w:val="9"/>
    </w:pPr>
  </w:style>
  <w:style w:type="paragraph" w:customStyle="1" w:styleId="xl63">
    <w:name w:val="xl63"/>
    <w:basedOn w:val="Normal"/>
    <w:rsid w:val="00F11B61"/>
    <w:pPr>
      <w:pBdr>
        <w:top w:val="single" w:sz="4" w:space="0" w:color="auto"/>
        <w:left w:val="single" w:sz="4" w:space="0" w:color="auto"/>
        <w:right w:val="single" w:sz="8" w:space="0" w:color="000000"/>
      </w:pBdr>
      <w:spacing w:before="100" w:beforeAutospacing="1" w:after="100" w:afterAutospacing="1" w:line="240" w:lineRule="auto"/>
    </w:pPr>
    <w:rPr>
      <w:b/>
      <w:bCs/>
      <w:sz w:val="24"/>
      <w:szCs w:val="24"/>
    </w:rPr>
  </w:style>
  <w:style w:type="paragraph" w:customStyle="1" w:styleId="xl64">
    <w:name w:val="xl64"/>
    <w:basedOn w:val="Normal"/>
    <w:rsid w:val="00F11B61"/>
    <w:pPr>
      <w:pBdr>
        <w:top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65">
    <w:name w:val="xl65"/>
    <w:basedOn w:val="Normal"/>
    <w:rsid w:val="00F11B6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66">
    <w:name w:val="xl66"/>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Normal"/>
    <w:rsid w:val="00F11B61"/>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68">
    <w:name w:val="xl68"/>
    <w:basedOn w:val="Normal"/>
    <w:rsid w:val="00F11B61"/>
    <w:pPr>
      <w:pBdr>
        <w:top w:val="single" w:sz="4" w:space="0" w:color="auto"/>
        <w:right w:val="single" w:sz="8"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0">
    <w:name w:val="xl70"/>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76">
    <w:name w:val="xl76"/>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7">
    <w:name w:val="xl77"/>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8">
    <w:name w:val="xl78"/>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9">
    <w:name w:val="xl79"/>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80">
    <w:name w:val="xl80"/>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1">
    <w:name w:val="xl81"/>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82">
    <w:name w:val="xl82"/>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83">
    <w:name w:val="xl83"/>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4">
    <w:name w:val="xl84"/>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210A0D"/>
      <w:sz w:val="24"/>
      <w:szCs w:val="24"/>
    </w:rPr>
  </w:style>
  <w:style w:type="paragraph" w:customStyle="1" w:styleId="xl85">
    <w:name w:val="xl85"/>
    <w:basedOn w:val="Normal"/>
    <w:rsid w:val="00F11B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Normal"/>
    <w:rsid w:val="00F11B61"/>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7">
    <w:name w:val="xl87"/>
    <w:basedOn w:val="Normal"/>
    <w:rsid w:val="00F11B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8">
    <w:name w:val="xl88"/>
    <w:basedOn w:val="Normal"/>
    <w:rsid w:val="00F11B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Normal"/>
    <w:rsid w:val="00F11B61"/>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Normal"/>
    <w:rsid w:val="00F11B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92">
    <w:name w:val="xl92"/>
    <w:basedOn w:val="Normal"/>
    <w:rsid w:val="00F11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numbering" w:customStyle="1" w:styleId="NoList2">
    <w:name w:val="No List2"/>
    <w:next w:val="NoList"/>
    <w:uiPriority w:val="99"/>
    <w:semiHidden/>
    <w:unhideWhenUsed/>
    <w:rsid w:val="00F11B61"/>
  </w:style>
  <w:style w:type="character" w:customStyle="1" w:styleId="medium-normal">
    <w:name w:val="medium-normal"/>
    <w:basedOn w:val="DefaultParagraphFont"/>
    <w:rsid w:val="00F11B61"/>
  </w:style>
  <w:style w:type="character" w:customStyle="1" w:styleId="headlinearticle">
    <w:name w:val="headlinearticle"/>
    <w:basedOn w:val="DefaultParagraphFont"/>
    <w:rsid w:val="00F11B61"/>
  </w:style>
  <w:style w:type="character" w:customStyle="1" w:styleId="ref-vol">
    <w:name w:val="ref-vol"/>
    <w:basedOn w:val="DefaultParagraphFont"/>
    <w:rsid w:val="00F11B61"/>
  </w:style>
  <w:style w:type="character" w:customStyle="1" w:styleId="Title1">
    <w:name w:val="Title1"/>
    <w:basedOn w:val="DefaultParagraphFont"/>
    <w:rsid w:val="00F11B61"/>
  </w:style>
  <w:style w:type="character" w:customStyle="1" w:styleId="object">
    <w:name w:val="object"/>
    <w:basedOn w:val="DefaultParagraphFont"/>
    <w:rsid w:val="00F11B61"/>
  </w:style>
  <w:style w:type="character" w:customStyle="1" w:styleId="searchword">
    <w:name w:val="searchword"/>
    <w:basedOn w:val="DefaultParagraphFont"/>
    <w:rsid w:val="00F11B61"/>
  </w:style>
  <w:style w:type="character" w:customStyle="1" w:styleId="speech-title">
    <w:name w:val="speech-title"/>
    <w:basedOn w:val="DefaultParagraphFont"/>
    <w:rsid w:val="00F11B61"/>
  </w:style>
  <w:style w:type="character" w:customStyle="1" w:styleId="apra-rtestyle-header3">
    <w:name w:val="apra-rtestyle-header3"/>
    <w:basedOn w:val="DefaultParagraphFont"/>
    <w:rsid w:val="00F11B61"/>
  </w:style>
  <w:style w:type="paragraph" w:styleId="NoSpacing">
    <w:name w:val="No Spacing"/>
    <w:uiPriority w:val="1"/>
    <w:qFormat/>
    <w:rsid w:val="00F11B61"/>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F11B61"/>
    <w:rPr>
      <w:rFonts w:ascii="Calibri" w:hAnsi="Calibri"/>
      <w:i/>
      <w:iCs/>
      <w:color w:val="000000"/>
      <w:sz w:val="20"/>
      <w:szCs w:val="20"/>
      <w:lang w:bidi="ar-SA"/>
    </w:rPr>
  </w:style>
  <w:style w:type="character" w:customStyle="1" w:styleId="QuoteChar">
    <w:name w:val="Quote Char"/>
    <w:basedOn w:val="DefaultParagraphFont"/>
    <w:link w:val="Quote"/>
    <w:uiPriority w:val="29"/>
    <w:rsid w:val="00F11B61"/>
    <w:rPr>
      <w:rFonts w:ascii="Calibri" w:eastAsia="Times New Roman" w:hAnsi="Calibri" w:cs="Times New Roman"/>
      <w:i/>
      <w:iCs/>
      <w:color w:val="000000"/>
      <w:sz w:val="20"/>
      <w:szCs w:val="20"/>
    </w:rPr>
  </w:style>
  <w:style w:type="paragraph" w:styleId="IntenseQuote">
    <w:name w:val="Intense Quote"/>
    <w:basedOn w:val="Normal"/>
    <w:next w:val="Normal"/>
    <w:link w:val="IntenseQuoteChar"/>
    <w:uiPriority w:val="30"/>
    <w:qFormat/>
    <w:rsid w:val="00F11B61"/>
    <w:pPr>
      <w:pBdr>
        <w:bottom w:val="single" w:sz="4" w:space="4" w:color="4F81BD"/>
      </w:pBdr>
      <w:spacing w:before="200" w:after="280"/>
      <w:ind w:left="936" w:right="936"/>
    </w:pPr>
    <w:rPr>
      <w:rFonts w:ascii="Calibri" w:hAnsi="Calibri"/>
      <w:b/>
      <w:bCs/>
      <w:i/>
      <w:iCs/>
      <w:color w:val="4F81BD"/>
      <w:sz w:val="20"/>
      <w:szCs w:val="20"/>
      <w:lang w:bidi="ar-SA"/>
    </w:rPr>
  </w:style>
  <w:style w:type="character" w:customStyle="1" w:styleId="IntenseQuoteChar">
    <w:name w:val="Intense Quote Char"/>
    <w:basedOn w:val="DefaultParagraphFont"/>
    <w:link w:val="IntenseQuote"/>
    <w:uiPriority w:val="30"/>
    <w:rsid w:val="00F11B61"/>
    <w:rPr>
      <w:rFonts w:ascii="Calibri" w:eastAsia="Times New Roman" w:hAnsi="Calibri" w:cs="Times New Roman"/>
      <w:b/>
      <w:bCs/>
      <w:i/>
      <w:iCs/>
      <w:color w:val="4F81BD"/>
      <w:sz w:val="20"/>
      <w:szCs w:val="20"/>
    </w:rPr>
  </w:style>
  <w:style w:type="character" w:styleId="IntenseEmphasis">
    <w:name w:val="Intense Emphasis"/>
    <w:uiPriority w:val="21"/>
    <w:qFormat/>
    <w:rsid w:val="00F11B61"/>
    <w:rPr>
      <w:b/>
      <w:bCs/>
      <w:i/>
      <w:iCs/>
      <w:color w:val="4F81BD"/>
    </w:rPr>
  </w:style>
  <w:style w:type="character" w:styleId="SubtleReference">
    <w:name w:val="Subtle Reference"/>
    <w:uiPriority w:val="31"/>
    <w:qFormat/>
    <w:rsid w:val="00F11B61"/>
    <w:rPr>
      <w:smallCaps/>
      <w:color w:val="C0504D"/>
      <w:u w:val="single"/>
    </w:rPr>
  </w:style>
  <w:style w:type="character" w:styleId="IntenseReference">
    <w:name w:val="Intense Reference"/>
    <w:uiPriority w:val="32"/>
    <w:qFormat/>
    <w:rsid w:val="00F11B61"/>
    <w:rPr>
      <w:b/>
      <w:bCs/>
      <w:smallCaps/>
      <w:color w:val="C0504D"/>
      <w:spacing w:val="5"/>
      <w:u w:val="single"/>
    </w:rPr>
  </w:style>
  <w:style w:type="character" w:styleId="BookTitle">
    <w:name w:val="Book Title"/>
    <w:uiPriority w:val="33"/>
    <w:qFormat/>
    <w:rsid w:val="00F11B61"/>
    <w:rPr>
      <w:b/>
      <w:bCs/>
      <w:smallCaps/>
      <w:spacing w:val="5"/>
    </w:rPr>
  </w:style>
  <w:style w:type="character" w:customStyle="1" w:styleId="neutralcitation">
    <w:name w:val="neutralcitation"/>
    <w:basedOn w:val="DefaultParagraphFont"/>
    <w:rsid w:val="00F11B61"/>
  </w:style>
  <w:style w:type="paragraph" w:styleId="BlockText">
    <w:name w:val="Block Text"/>
    <w:basedOn w:val="Normal"/>
    <w:uiPriority w:val="99"/>
    <w:unhideWhenUsed/>
    <w:rsid w:val="00F11B61"/>
    <w:pPr>
      <w:spacing w:line="240" w:lineRule="auto"/>
      <w:ind w:left="720" w:right="720"/>
    </w:pPr>
    <w:rPr>
      <w:rFonts w:ascii="Times New Roman" w:hAnsi="Times New Roman"/>
      <w:sz w:val="24"/>
      <w:szCs w:val="24"/>
    </w:rPr>
  </w:style>
  <w:style w:type="character" w:styleId="CommentReference">
    <w:name w:val="annotation reference"/>
    <w:uiPriority w:val="99"/>
    <w:unhideWhenUsed/>
    <w:rsid w:val="00F11B61"/>
    <w:rPr>
      <w:sz w:val="16"/>
      <w:szCs w:val="16"/>
    </w:rPr>
  </w:style>
  <w:style w:type="paragraph" w:styleId="CommentText">
    <w:name w:val="annotation text"/>
    <w:basedOn w:val="Normal"/>
    <w:link w:val="CommentTextChar"/>
    <w:uiPriority w:val="99"/>
    <w:semiHidden/>
    <w:unhideWhenUsed/>
    <w:rsid w:val="00F11B61"/>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11B6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11B61"/>
    <w:rPr>
      <w:b/>
      <w:bCs/>
    </w:rPr>
  </w:style>
  <w:style w:type="character" w:customStyle="1" w:styleId="CommentSubjectChar">
    <w:name w:val="Comment Subject Char"/>
    <w:basedOn w:val="CommentTextChar"/>
    <w:link w:val="CommentSubject"/>
    <w:uiPriority w:val="99"/>
    <w:semiHidden/>
    <w:rsid w:val="00F11B61"/>
    <w:rPr>
      <w:rFonts w:ascii="Times New Roman" w:eastAsia="Times New Roman" w:hAnsi="Times New Roman" w:cs="Times New Roman"/>
      <w:b/>
      <w:bCs/>
      <w:sz w:val="20"/>
      <w:szCs w:val="20"/>
      <w:lang w:bidi="en-US"/>
    </w:rPr>
  </w:style>
  <w:style w:type="paragraph" w:styleId="NoteHeading">
    <w:name w:val="Note Heading"/>
    <w:basedOn w:val="Normal"/>
    <w:next w:val="Normal"/>
    <w:link w:val="NoteHeadingChar"/>
    <w:uiPriority w:val="99"/>
    <w:unhideWhenUsed/>
    <w:rsid w:val="00F11B61"/>
  </w:style>
  <w:style w:type="character" w:customStyle="1" w:styleId="NoteHeadingChar">
    <w:name w:val="Note Heading Char"/>
    <w:basedOn w:val="DefaultParagraphFont"/>
    <w:link w:val="NoteHeading"/>
    <w:uiPriority w:val="99"/>
    <w:rsid w:val="00F11B61"/>
    <w:rPr>
      <w:rFonts w:ascii="Arial" w:eastAsia="Times New Roman" w:hAnsi="Arial" w:cs="Times New Roman"/>
      <w:lang w:bidi="en-US"/>
    </w:rPr>
  </w:style>
  <w:style w:type="character" w:customStyle="1" w:styleId="searchtermshighlighted">
    <w:name w:val="searchtermshighlighted"/>
    <w:basedOn w:val="DefaultParagraphFont"/>
    <w:rsid w:val="00D4600B"/>
  </w:style>
  <w:style w:type="paragraph" w:styleId="EndnoteText">
    <w:name w:val="endnote text"/>
    <w:basedOn w:val="Normal"/>
    <w:link w:val="EndnoteTextChar"/>
    <w:uiPriority w:val="99"/>
    <w:unhideWhenUsed/>
    <w:rsid w:val="00473CC1"/>
    <w:pPr>
      <w:spacing w:after="0" w:line="240" w:lineRule="auto"/>
    </w:pPr>
    <w:rPr>
      <w:sz w:val="20"/>
      <w:szCs w:val="20"/>
    </w:rPr>
  </w:style>
  <w:style w:type="character" w:customStyle="1" w:styleId="EndnoteTextChar">
    <w:name w:val="Endnote Text Char"/>
    <w:basedOn w:val="DefaultParagraphFont"/>
    <w:link w:val="EndnoteText"/>
    <w:uiPriority w:val="99"/>
    <w:rsid w:val="00473CC1"/>
    <w:rPr>
      <w:rFonts w:ascii="Arial" w:eastAsia="Times New Roman" w:hAnsi="Arial" w:cs="Times New Roman"/>
      <w:sz w:val="20"/>
      <w:szCs w:val="20"/>
      <w:lang w:bidi="en-US"/>
    </w:rPr>
  </w:style>
  <w:style w:type="character" w:styleId="EndnoteReference">
    <w:name w:val="endnote reference"/>
    <w:basedOn w:val="DefaultParagraphFont"/>
    <w:uiPriority w:val="99"/>
    <w:semiHidden/>
    <w:unhideWhenUsed/>
    <w:rsid w:val="00473CC1"/>
    <w:rPr>
      <w:vertAlign w:val="superscript"/>
    </w:rPr>
  </w:style>
  <w:style w:type="paragraph" w:customStyle="1" w:styleId="BulletpointEmerald">
    <w:name w:val="Bullet point – Emerald"/>
    <w:basedOn w:val="Normal"/>
    <w:rsid w:val="00DF41D4"/>
    <w:pPr>
      <w:keepLines/>
      <w:widowControl/>
      <w:numPr>
        <w:numId w:val="24"/>
      </w:numPr>
      <w:tabs>
        <w:tab w:val="num" w:pos="227"/>
      </w:tabs>
      <w:spacing w:before="100" w:after="0" w:line="240" w:lineRule="auto"/>
      <w:ind w:left="227" w:hanging="227"/>
    </w:pPr>
    <w:rPr>
      <w:color w:val="000000"/>
      <w:sz w:val="18"/>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729">
      <w:bodyDiv w:val="1"/>
      <w:marLeft w:val="0"/>
      <w:marRight w:val="0"/>
      <w:marTop w:val="0"/>
      <w:marBottom w:val="0"/>
      <w:divBdr>
        <w:top w:val="none" w:sz="0" w:space="0" w:color="auto"/>
        <w:left w:val="none" w:sz="0" w:space="0" w:color="auto"/>
        <w:bottom w:val="none" w:sz="0" w:space="0" w:color="auto"/>
        <w:right w:val="none" w:sz="0" w:space="0" w:color="auto"/>
      </w:divBdr>
    </w:div>
    <w:div w:id="1132599388">
      <w:bodyDiv w:val="1"/>
      <w:marLeft w:val="0"/>
      <w:marRight w:val="0"/>
      <w:marTop w:val="0"/>
      <w:marBottom w:val="0"/>
      <w:divBdr>
        <w:top w:val="none" w:sz="0" w:space="0" w:color="auto"/>
        <w:left w:val="none" w:sz="0" w:space="0" w:color="auto"/>
        <w:bottom w:val="none" w:sz="0" w:space="0" w:color="auto"/>
        <w:right w:val="none" w:sz="0" w:space="0" w:color="auto"/>
      </w:divBdr>
    </w:div>
    <w:div w:id="1614095245">
      <w:bodyDiv w:val="1"/>
      <w:marLeft w:val="0"/>
      <w:marRight w:val="0"/>
      <w:marTop w:val="0"/>
      <w:marBottom w:val="0"/>
      <w:divBdr>
        <w:top w:val="none" w:sz="0" w:space="0" w:color="auto"/>
        <w:left w:val="none" w:sz="0" w:space="0" w:color="auto"/>
        <w:bottom w:val="none" w:sz="0" w:space="0" w:color="auto"/>
        <w:right w:val="none" w:sz="0" w:space="0" w:color="auto"/>
      </w:divBdr>
    </w:div>
    <w:div w:id="2139374330">
      <w:bodyDiv w:val="1"/>
      <w:marLeft w:val="0"/>
      <w:marRight w:val="0"/>
      <w:marTop w:val="0"/>
      <w:marBottom w:val="0"/>
      <w:divBdr>
        <w:top w:val="none" w:sz="0" w:space="0" w:color="auto"/>
        <w:left w:val="none" w:sz="0" w:space="0" w:color="auto"/>
        <w:bottom w:val="none" w:sz="0" w:space="0" w:color="auto"/>
        <w:right w:val="none" w:sz="0" w:space="0" w:color="auto"/>
      </w:divBdr>
      <w:divsChild>
        <w:div w:id="892037142">
          <w:marLeft w:val="979"/>
          <w:marRight w:val="0"/>
          <w:marTop w:val="65"/>
          <w:marBottom w:val="0"/>
          <w:divBdr>
            <w:top w:val="none" w:sz="0" w:space="0" w:color="auto"/>
            <w:left w:val="none" w:sz="0" w:space="0" w:color="auto"/>
            <w:bottom w:val="none" w:sz="0" w:space="0" w:color="auto"/>
            <w:right w:val="none" w:sz="0" w:space="0" w:color="auto"/>
          </w:divBdr>
        </w:div>
        <w:div w:id="124977724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apubs.org/doi/pdf/10.2469/ccb.v2007.n7.4819" TargetMode="External"/><Relationship Id="rId18" Type="http://schemas.openxmlformats.org/officeDocument/2006/relationships/hyperlink" Target="http://www.iiroc.ca/English" TargetMode="External"/><Relationship Id="rId3" Type="http://schemas.openxmlformats.org/officeDocument/2006/relationships/styles" Target="styles.xml"/><Relationship Id="rId21" Type="http://schemas.openxmlformats.org/officeDocument/2006/relationships/hyperlink" Target="http://www.nytimes.com/2008/09/27/business/27sec.html" TargetMode="External"/><Relationship Id="rId7" Type="http://schemas.openxmlformats.org/officeDocument/2006/relationships/footnotes" Target="footnotes.xml"/><Relationship Id="rId12" Type="http://schemas.openxmlformats.org/officeDocument/2006/relationships/hyperlink" Target="http://www.lse.ac.uk/collections/law/staff%20publications%20full%20text/black/Involving%20Consumers%20in%20Securities%20Regulation%20-%20Taskforce%20report.pdf" TargetMode="External"/><Relationship Id="rId17" Type="http://schemas.openxmlformats.org/officeDocument/2006/relationships/hyperlink" Target="http://www.expertpanel.ca/eng/documents/CAC_SBS_2009-01-07.pdf" TargetMode="External"/><Relationship Id="rId2" Type="http://schemas.openxmlformats.org/officeDocument/2006/relationships/numbering" Target="numbering.xml"/><Relationship Id="rId16" Type="http://schemas.openxmlformats.org/officeDocument/2006/relationships/hyperlink" Target="http://www.theglobeandmail.com/report-on-business/crime-and-no-punishment-canadas-investment-fraud-problem/article13938792/?page=3" TargetMode="External"/><Relationship Id="rId20" Type="http://schemas.openxmlformats.org/officeDocument/2006/relationships/hyperlink" Target="http://www.iiroc.ca/English/Enforcement/Investigations/Documents/GuideSubjectsInvestigation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lse.ac.uk/2311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redit-suisse.com/conferences/aic/2009/en/reporter/day2/day2_3.jsp" TargetMode="External"/><Relationship Id="rId23" Type="http://schemas.openxmlformats.org/officeDocument/2006/relationships/fontTable" Target="fontTable.xml"/><Relationship Id="rId10" Type="http://schemas.openxmlformats.org/officeDocument/2006/relationships/hyperlink" Target="http://www.vancouversun.com/business/Baines+Regulator+keeps+investment+industry+honest/6896800/story.html" TargetMode="External"/><Relationship Id="rId19" Type="http://schemas.openxmlformats.org/officeDocument/2006/relationships/hyperlink" Target="http://docs.iiroc.ca/DisplayDocument.aspx?DocumentID=7C72EE3E241C43779BF9D0B02563CABB&amp;Languag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fmsl.ca/docs/v6%281%29%20condonpuri.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5"/>
        </a:lnRef>
        <a:fillRef idx="1">
          <a:schemeClr val="lt1"/>
        </a:fillRef>
        <a:effectRef idx="0">
          <a:schemeClr val="accent5"/>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B7A35-DB53-4EB1-9A25-C582ADE4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13187</Words>
  <Characters>70688</Characters>
  <Application>Microsoft Office Word</Application>
  <DocSecurity>0</DocSecurity>
  <Lines>2280</Lines>
  <Paragraphs>1352</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82523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2015-01-13T11:37:00Z</dcterms:created>
  <dcterms:modified xsi:type="dcterms:W3CDTF">2015-01-13T11:37:00Z</dcterms:modified>
</cp:coreProperties>
</file>