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45" w:rsidRDefault="00647145" w:rsidP="00647145">
      <w:pPr>
        <w:spacing w:after="120"/>
        <w:jc w:val="center"/>
        <w:rPr>
          <w:rFonts w:ascii="Arial" w:hAnsi="Arial" w:cs="Arial"/>
          <w:b/>
          <w:sz w:val="28"/>
          <w:szCs w:val="28"/>
          <w:lang w:val="en-US"/>
        </w:rPr>
      </w:pPr>
      <w:bookmarkStart w:id="0" w:name="_GoBack"/>
      <w:bookmarkEnd w:id="0"/>
    </w:p>
    <w:p w:rsidR="00647145" w:rsidRDefault="00647145" w:rsidP="00647145">
      <w:pPr>
        <w:spacing w:line="360" w:lineRule="auto"/>
        <w:jc w:val="center"/>
        <w:rPr>
          <w:rFonts w:ascii="Arial" w:hAnsi="Arial" w:cs="Arial"/>
          <w:b/>
          <w:sz w:val="28"/>
          <w:szCs w:val="28"/>
          <w:lang w:val="en-US"/>
        </w:rPr>
      </w:pPr>
    </w:p>
    <w:p w:rsidR="00647145" w:rsidRDefault="00647145" w:rsidP="00647145">
      <w:pPr>
        <w:spacing w:line="360" w:lineRule="auto"/>
        <w:jc w:val="center"/>
        <w:rPr>
          <w:rFonts w:ascii="Arial" w:hAnsi="Arial" w:cs="Arial"/>
          <w:b/>
          <w:sz w:val="28"/>
          <w:szCs w:val="28"/>
          <w:lang w:val="en-US"/>
        </w:rPr>
      </w:pPr>
    </w:p>
    <w:p w:rsidR="00647145" w:rsidRPr="00A51255" w:rsidRDefault="00647145" w:rsidP="00647145">
      <w:pPr>
        <w:spacing w:line="360" w:lineRule="auto"/>
        <w:jc w:val="center"/>
        <w:rPr>
          <w:rFonts w:ascii="Arial" w:hAnsi="Arial" w:cs="Arial"/>
          <w:b/>
          <w:sz w:val="28"/>
          <w:szCs w:val="28"/>
          <w:lang w:val="en-US"/>
        </w:rPr>
      </w:pPr>
      <w:r w:rsidRPr="00A51255">
        <w:rPr>
          <w:rFonts w:ascii="Arial" w:hAnsi="Arial" w:cs="Arial"/>
          <w:b/>
          <w:sz w:val="28"/>
          <w:szCs w:val="28"/>
          <w:lang w:val="en-US"/>
        </w:rPr>
        <w:t xml:space="preserve">Public Information Arrival and Investor Reaction </w:t>
      </w:r>
    </w:p>
    <w:p w:rsidR="00647145" w:rsidRPr="00A51255" w:rsidRDefault="00647145" w:rsidP="00647145">
      <w:pPr>
        <w:spacing w:line="360" w:lineRule="auto"/>
        <w:jc w:val="center"/>
        <w:rPr>
          <w:rFonts w:ascii="Arial" w:hAnsi="Arial" w:cs="Arial"/>
          <w:b/>
          <w:sz w:val="28"/>
          <w:szCs w:val="28"/>
          <w:lang w:val="en-US"/>
        </w:rPr>
      </w:pPr>
      <w:r w:rsidRPr="00A51255">
        <w:rPr>
          <w:rFonts w:ascii="Arial" w:hAnsi="Arial" w:cs="Arial"/>
          <w:b/>
          <w:sz w:val="28"/>
          <w:szCs w:val="28"/>
          <w:lang w:val="en-US"/>
        </w:rPr>
        <w:t xml:space="preserve">During a Period of Institutional Change: </w:t>
      </w:r>
    </w:p>
    <w:p w:rsidR="00647145" w:rsidRPr="00A51255" w:rsidRDefault="00647145" w:rsidP="00647145">
      <w:pPr>
        <w:spacing w:line="360" w:lineRule="auto"/>
        <w:jc w:val="center"/>
        <w:rPr>
          <w:rFonts w:ascii="Arial" w:hAnsi="Arial" w:cs="Arial"/>
          <w:b/>
          <w:sz w:val="28"/>
          <w:szCs w:val="28"/>
          <w:lang w:val="en-US"/>
        </w:rPr>
      </w:pPr>
      <w:r w:rsidRPr="00A51255">
        <w:rPr>
          <w:rFonts w:ascii="Arial" w:hAnsi="Arial" w:cs="Arial"/>
          <w:b/>
          <w:sz w:val="28"/>
          <w:szCs w:val="28"/>
          <w:lang w:val="en-US"/>
        </w:rPr>
        <w:t>An Episode of Early Years of a Newly Independent Central Bank</w:t>
      </w:r>
    </w:p>
    <w:p w:rsidR="00647145" w:rsidRDefault="00647145" w:rsidP="00647145">
      <w:pPr>
        <w:spacing w:after="120"/>
        <w:jc w:val="center"/>
        <w:rPr>
          <w:lang w:val="en-US"/>
        </w:rPr>
      </w:pPr>
    </w:p>
    <w:p w:rsidR="00647145" w:rsidRPr="00647145" w:rsidRDefault="00647145" w:rsidP="00647145">
      <w:pPr>
        <w:spacing w:after="120"/>
        <w:jc w:val="center"/>
        <w:rPr>
          <w:rFonts w:ascii="Arial" w:hAnsi="Arial" w:cs="Arial"/>
          <w:lang w:val="en-US"/>
        </w:rPr>
      </w:pPr>
    </w:p>
    <w:p w:rsidR="00647145" w:rsidRPr="00647145" w:rsidRDefault="00647145" w:rsidP="00647145">
      <w:pPr>
        <w:spacing w:after="120"/>
        <w:jc w:val="center"/>
        <w:rPr>
          <w:rFonts w:ascii="Arial" w:hAnsi="Arial" w:cs="Arial"/>
          <w:b/>
          <w:lang w:val="en-US"/>
        </w:rPr>
      </w:pPr>
    </w:p>
    <w:p w:rsidR="00647145" w:rsidRPr="00647145" w:rsidRDefault="00A91464" w:rsidP="00647145">
      <w:pPr>
        <w:spacing w:after="120"/>
        <w:jc w:val="center"/>
        <w:rPr>
          <w:rFonts w:ascii="Arial" w:hAnsi="Arial" w:cs="Arial"/>
          <w:b/>
          <w:lang w:val="en-US"/>
        </w:rPr>
      </w:pPr>
      <w:r>
        <w:rPr>
          <w:rFonts w:ascii="Arial" w:hAnsi="Arial" w:cs="Arial"/>
          <w:b/>
          <w:lang w:val="en-US"/>
        </w:rPr>
        <w:t>Janusz Brzeszczyński</w:t>
      </w:r>
      <w:r w:rsidR="00647145" w:rsidRPr="00647145">
        <w:rPr>
          <w:rFonts w:ascii="Arial" w:hAnsi="Arial" w:cs="Arial"/>
          <w:b/>
          <w:lang w:val="en-US"/>
        </w:rPr>
        <w:t xml:space="preserve"> *</w:t>
      </w:r>
    </w:p>
    <w:p w:rsidR="00647145" w:rsidRPr="00604D86" w:rsidRDefault="00647145" w:rsidP="00647145">
      <w:pPr>
        <w:spacing w:after="120"/>
        <w:jc w:val="center"/>
        <w:rPr>
          <w:rFonts w:ascii="Arial" w:hAnsi="Arial" w:cs="Arial"/>
          <w:sz w:val="20"/>
          <w:szCs w:val="20"/>
          <w:lang w:val="en-US"/>
        </w:rPr>
      </w:pPr>
      <w:r w:rsidRPr="00604D86">
        <w:rPr>
          <w:rFonts w:ascii="Arial" w:hAnsi="Arial" w:cs="Arial"/>
          <w:sz w:val="20"/>
          <w:szCs w:val="20"/>
          <w:lang w:val="en-US"/>
        </w:rPr>
        <w:t>Newcastle Business School (NBS), Northumbria University, Newcastle upon Tyne, United Kingdom</w:t>
      </w:r>
    </w:p>
    <w:p w:rsidR="00647145" w:rsidRPr="00647145" w:rsidRDefault="00647145" w:rsidP="00647145">
      <w:pPr>
        <w:spacing w:after="120"/>
        <w:jc w:val="center"/>
        <w:rPr>
          <w:rFonts w:ascii="Arial" w:hAnsi="Arial" w:cs="Arial"/>
          <w:lang w:val="en-US"/>
        </w:rPr>
      </w:pPr>
    </w:p>
    <w:p w:rsidR="00647145" w:rsidRPr="00647145" w:rsidRDefault="00A91464" w:rsidP="00647145">
      <w:pPr>
        <w:spacing w:after="120"/>
        <w:jc w:val="center"/>
        <w:rPr>
          <w:rFonts w:ascii="Arial" w:hAnsi="Arial" w:cs="Arial"/>
          <w:b/>
          <w:lang w:val="en-US"/>
        </w:rPr>
      </w:pPr>
      <w:r>
        <w:rPr>
          <w:rFonts w:ascii="Arial" w:hAnsi="Arial" w:cs="Arial"/>
          <w:b/>
          <w:lang w:val="en-US"/>
        </w:rPr>
        <w:t>Ali M. Kutan</w:t>
      </w:r>
    </w:p>
    <w:p w:rsidR="00647145" w:rsidRPr="00604D86" w:rsidRDefault="00647145" w:rsidP="00647145">
      <w:pPr>
        <w:spacing w:after="120"/>
        <w:jc w:val="center"/>
        <w:rPr>
          <w:rFonts w:ascii="Arial" w:hAnsi="Arial" w:cs="Arial"/>
          <w:sz w:val="20"/>
          <w:szCs w:val="20"/>
          <w:lang w:val="en-US"/>
        </w:rPr>
      </w:pPr>
      <w:r w:rsidRPr="00604D86">
        <w:rPr>
          <w:rFonts w:ascii="Arial" w:hAnsi="Arial" w:cs="Arial"/>
          <w:sz w:val="20"/>
          <w:szCs w:val="20"/>
          <w:lang w:val="en-US"/>
        </w:rPr>
        <w:t>Southern Illinois University Edwardsville, Edwardsville, IL, USA</w:t>
      </w:r>
    </w:p>
    <w:p w:rsidR="00647145" w:rsidRPr="00647145" w:rsidRDefault="00647145" w:rsidP="00647145">
      <w:pPr>
        <w:spacing w:after="120"/>
        <w:jc w:val="center"/>
        <w:rPr>
          <w:rFonts w:ascii="Arial" w:hAnsi="Arial" w:cs="Arial"/>
          <w:lang w:val="en-US"/>
        </w:rPr>
      </w:pPr>
    </w:p>
    <w:p w:rsidR="00647145" w:rsidRPr="00647145" w:rsidRDefault="00647145" w:rsidP="00647145">
      <w:pPr>
        <w:spacing w:after="120"/>
        <w:jc w:val="center"/>
        <w:rPr>
          <w:rFonts w:ascii="Arial" w:hAnsi="Arial" w:cs="Arial"/>
          <w:lang w:val="en-US"/>
        </w:rPr>
      </w:pPr>
    </w:p>
    <w:p w:rsidR="00647145" w:rsidRPr="00647145" w:rsidRDefault="00647145" w:rsidP="00647145">
      <w:pPr>
        <w:spacing w:after="120"/>
        <w:jc w:val="center"/>
        <w:rPr>
          <w:rFonts w:ascii="Arial" w:hAnsi="Arial" w:cs="Arial"/>
          <w:lang w:val="en-US"/>
        </w:rPr>
      </w:pPr>
    </w:p>
    <w:p w:rsidR="00647145" w:rsidRPr="00647145" w:rsidRDefault="00647145" w:rsidP="00647145">
      <w:pPr>
        <w:spacing w:after="120"/>
        <w:jc w:val="center"/>
        <w:rPr>
          <w:rFonts w:ascii="Arial" w:hAnsi="Arial" w:cs="Arial"/>
          <w:lang w:val="en-US"/>
        </w:rPr>
      </w:pPr>
    </w:p>
    <w:p w:rsidR="00647145" w:rsidRPr="00480747" w:rsidRDefault="00480747" w:rsidP="00647145">
      <w:pPr>
        <w:spacing w:after="120"/>
        <w:jc w:val="center"/>
        <w:rPr>
          <w:rFonts w:ascii="Arial" w:hAnsi="Arial" w:cs="Arial"/>
          <w:i/>
          <w:u w:val="single"/>
          <w:lang w:val="en-US"/>
        </w:rPr>
      </w:pPr>
      <w:r w:rsidRPr="00480747">
        <w:rPr>
          <w:rFonts w:ascii="Arial" w:hAnsi="Arial" w:cs="Arial"/>
          <w:i/>
          <w:u w:val="single"/>
          <w:lang w:val="en-US"/>
        </w:rPr>
        <w:t>July 2014</w:t>
      </w:r>
    </w:p>
    <w:p w:rsidR="00647145" w:rsidRPr="00647145" w:rsidRDefault="00647145" w:rsidP="00647145">
      <w:pPr>
        <w:spacing w:after="120"/>
        <w:jc w:val="center"/>
        <w:rPr>
          <w:rFonts w:ascii="Arial" w:hAnsi="Arial" w:cs="Arial"/>
          <w:lang w:val="en-US"/>
        </w:rPr>
      </w:pPr>
    </w:p>
    <w:p w:rsidR="00647145" w:rsidRPr="00647145" w:rsidRDefault="00647145" w:rsidP="00647145">
      <w:pPr>
        <w:spacing w:after="120"/>
        <w:jc w:val="center"/>
        <w:rPr>
          <w:rFonts w:ascii="Arial" w:hAnsi="Arial" w:cs="Arial"/>
          <w:lang w:val="en-US"/>
        </w:rPr>
      </w:pPr>
    </w:p>
    <w:p w:rsidR="00647145" w:rsidRPr="00647145" w:rsidRDefault="00647145" w:rsidP="00647145">
      <w:pPr>
        <w:spacing w:after="120"/>
        <w:jc w:val="center"/>
        <w:rPr>
          <w:rFonts w:ascii="Arial" w:hAnsi="Arial" w:cs="Arial"/>
          <w:lang w:val="en-US"/>
        </w:rPr>
      </w:pPr>
    </w:p>
    <w:p w:rsidR="00647145" w:rsidRPr="00647145" w:rsidRDefault="00647145" w:rsidP="00647145">
      <w:pPr>
        <w:spacing w:after="120"/>
        <w:jc w:val="center"/>
        <w:rPr>
          <w:rFonts w:ascii="Arial" w:hAnsi="Arial" w:cs="Arial"/>
          <w:lang w:val="en-US"/>
        </w:rPr>
      </w:pPr>
    </w:p>
    <w:p w:rsidR="00647145" w:rsidRPr="00647145" w:rsidRDefault="00647145" w:rsidP="00647145">
      <w:pPr>
        <w:spacing w:after="120"/>
        <w:jc w:val="center"/>
        <w:rPr>
          <w:rFonts w:ascii="Arial" w:hAnsi="Arial" w:cs="Arial"/>
          <w:lang w:val="en-US"/>
        </w:rPr>
      </w:pPr>
    </w:p>
    <w:p w:rsidR="00647145" w:rsidRPr="00647145" w:rsidRDefault="00647145" w:rsidP="00647145">
      <w:pPr>
        <w:spacing w:after="120"/>
        <w:jc w:val="center"/>
        <w:rPr>
          <w:rFonts w:ascii="Arial" w:hAnsi="Arial" w:cs="Arial"/>
          <w:lang w:val="en-US"/>
        </w:rPr>
      </w:pPr>
    </w:p>
    <w:p w:rsidR="00647145" w:rsidRPr="00647145" w:rsidRDefault="00647145" w:rsidP="00647145">
      <w:pPr>
        <w:spacing w:after="120"/>
        <w:jc w:val="center"/>
        <w:rPr>
          <w:rFonts w:ascii="Arial" w:hAnsi="Arial" w:cs="Arial"/>
          <w:lang w:val="en-US"/>
        </w:rPr>
      </w:pPr>
    </w:p>
    <w:p w:rsidR="00647145" w:rsidRPr="00647145" w:rsidRDefault="00647145" w:rsidP="00647145">
      <w:pPr>
        <w:spacing w:after="120"/>
        <w:jc w:val="center"/>
        <w:rPr>
          <w:rFonts w:ascii="Arial" w:hAnsi="Arial" w:cs="Arial"/>
          <w:lang w:val="en-US"/>
        </w:rPr>
      </w:pPr>
    </w:p>
    <w:p w:rsidR="00647145" w:rsidRPr="00647145" w:rsidRDefault="00647145" w:rsidP="00647145">
      <w:pPr>
        <w:spacing w:after="120"/>
        <w:jc w:val="center"/>
        <w:rPr>
          <w:rFonts w:ascii="Arial" w:hAnsi="Arial" w:cs="Arial"/>
          <w:lang w:val="en-US"/>
        </w:rPr>
      </w:pPr>
    </w:p>
    <w:p w:rsidR="00647145" w:rsidRPr="00647145" w:rsidRDefault="00647145" w:rsidP="00647145">
      <w:pPr>
        <w:spacing w:after="120"/>
        <w:jc w:val="center"/>
        <w:rPr>
          <w:rFonts w:ascii="Arial" w:hAnsi="Arial" w:cs="Arial"/>
          <w:lang w:val="en-US"/>
        </w:rPr>
      </w:pPr>
    </w:p>
    <w:p w:rsidR="00647145" w:rsidRDefault="00647145" w:rsidP="00647145">
      <w:pPr>
        <w:jc w:val="center"/>
        <w:rPr>
          <w:rFonts w:ascii="Arial" w:hAnsi="Arial" w:cs="Arial"/>
          <w:lang w:val="en-US"/>
        </w:rPr>
      </w:pPr>
    </w:p>
    <w:p w:rsidR="0070122F" w:rsidRPr="00647145" w:rsidRDefault="0070122F" w:rsidP="00647145">
      <w:pPr>
        <w:jc w:val="center"/>
        <w:rPr>
          <w:rFonts w:ascii="Arial" w:hAnsi="Arial" w:cs="Arial"/>
          <w:lang w:val="en-US"/>
        </w:rPr>
      </w:pPr>
    </w:p>
    <w:p w:rsidR="00647145" w:rsidRPr="00183848" w:rsidRDefault="00647145" w:rsidP="00463B87">
      <w:pPr>
        <w:ind w:firstLine="708"/>
        <w:jc w:val="both"/>
        <w:rPr>
          <w:rFonts w:ascii="Arial" w:hAnsi="Arial" w:cs="Arial"/>
          <w:sz w:val="20"/>
          <w:szCs w:val="20"/>
          <w:lang w:val="en-US"/>
        </w:rPr>
      </w:pPr>
    </w:p>
    <w:p w:rsidR="00647145" w:rsidRPr="00183848" w:rsidRDefault="00647145" w:rsidP="00463B87">
      <w:pPr>
        <w:jc w:val="both"/>
        <w:rPr>
          <w:rFonts w:ascii="Arial" w:hAnsi="Arial" w:cs="Arial"/>
          <w:sz w:val="20"/>
          <w:szCs w:val="20"/>
          <w:lang w:val="en-US"/>
        </w:rPr>
      </w:pPr>
      <w:r w:rsidRPr="00183848">
        <w:rPr>
          <w:rFonts w:ascii="Arial" w:hAnsi="Arial" w:cs="Arial"/>
          <w:sz w:val="20"/>
          <w:szCs w:val="20"/>
          <w:lang w:val="en-US"/>
        </w:rPr>
        <w:t xml:space="preserve">* Corresponding author: Department of Accounting and Financial Management, Newcastle Business School (NBS), Northumbria University, City Campus East, Newcastle upon Tyne, NE1 8ST. E-mail: </w:t>
      </w:r>
      <w:hyperlink r:id="rId9" w:history="1">
        <w:r w:rsidRPr="00183848">
          <w:rPr>
            <w:rStyle w:val="Hyperlink"/>
            <w:rFonts w:ascii="Arial" w:hAnsi="Arial" w:cs="Arial"/>
            <w:sz w:val="20"/>
            <w:szCs w:val="20"/>
            <w:lang w:val="en-US"/>
          </w:rPr>
          <w:t>janusz.brzeszczynski@northumbria.ac.uk</w:t>
        </w:r>
      </w:hyperlink>
      <w:r w:rsidRPr="00183848">
        <w:rPr>
          <w:rFonts w:ascii="Arial" w:hAnsi="Arial" w:cs="Arial"/>
          <w:sz w:val="20"/>
          <w:szCs w:val="20"/>
          <w:lang w:val="en-US"/>
        </w:rPr>
        <w:t>, Phone: + 44 191 243 7491.</w:t>
      </w:r>
    </w:p>
    <w:p w:rsidR="00647145" w:rsidRDefault="00647145">
      <w:pPr>
        <w:rPr>
          <w:lang w:val="en-US"/>
        </w:rPr>
      </w:pPr>
      <w:r>
        <w:rPr>
          <w:lang w:val="en-US"/>
        </w:rPr>
        <w:br w:type="page"/>
      </w:r>
    </w:p>
    <w:p w:rsidR="00647145" w:rsidRDefault="00647145" w:rsidP="00647145">
      <w:pPr>
        <w:jc w:val="both"/>
        <w:rPr>
          <w:lang w:val="en-US"/>
        </w:rPr>
      </w:pPr>
    </w:p>
    <w:p w:rsidR="00647145" w:rsidRDefault="00647145" w:rsidP="00647145">
      <w:pPr>
        <w:jc w:val="both"/>
        <w:rPr>
          <w:lang w:val="en-US"/>
        </w:rPr>
      </w:pPr>
    </w:p>
    <w:p w:rsidR="00647145" w:rsidRDefault="00647145">
      <w:pPr>
        <w:rPr>
          <w:rFonts w:ascii="Arial" w:hAnsi="Arial" w:cs="Arial"/>
          <w:b/>
          <w:sz w:val="28"/>
          <w:szCs w:val="28"/>
          <w:lang w:val="en-US"/>
        </w:rPr>
      </w:pPr>
    </w:p>
    <w:p w:rsidR="00647145" w:rsidRDefault="00647145">
      <w:pPr>
        <w:rPr>
          <w:rFonts w:ascii="Arial" w:hAnsi="Arial" w:cs="Arial"/>
          <w:b/>
          <w:sz w:val="28"/>
          <w:szCs w:val="28"/>
          <w:lang w:val="en-US"/>
        </w:rPr>
      </w:pPr>
    </w:p>
    <w:p w:rsidR="00647145" w:rsidRDefault="00647145" w:rsidP="001660DB">
      <w:pPr>
        <w:spacing w:line="360" w:lineRule="auto"/>
        <w:jc w:val="center"/>
        <w:rPr>
          <w:rFonts w:ascii="Arial" w:hAnsi="Arial" w:cs="Arial"/>
          <w:b/>
          <w:sz w:val="28"/>
          <w:szCs w:val="28"/>
          <w:lang w:val="en-US"/>
        </w:rPr>
      </w:pPr>
    </w:p>
    <w:p w:rsidR="001660DB" w:rsidRPr="00A51255" w:rsidRDefault="001660DB" w:rsidP="001660DB">
      <w:pPr>
        <w:spacing w:line="360" w:lineRule="auto"/>
        <w:jc w:val="center"/>
        <w:rPr>
          <w:rFonts w:ascii="Arial" w:hAnsi="Arial" w:cs="Arial"/>
          <w:b/>
          <w:sz w:val="28"/>
          <w:szCs w:val="28"/>
          <w:lang w:val="en-US"/>
        </w:rPr>
      </w:pPr>
      <w:r w:rsidRPr="00A51255">
        <w:rPr>
          <w:rFonts w:ascii="Arial" w:hAnsi="Arial" w:cs="Arial"/>
          <w:b/>
          <w:sz w:val="28"/>
          <w:szCs w:val="28"/>
          <w:lang w:val="en-US"/>
        </w:rPr>
        <w:t xml:space="preserve">Public Information Arrival and Investor Reaction </w:t>
      </w:r>
    </w:p>
    <w:p w:rsidR="001660DB" w:rsidRPr="00A51255" w:rsidRDefault="001660DB" w:rsidP="001660DB">
      <w:pPr>
        <w:spacing w:line="360" w:lineRule="auto"/>
        <w:jc w:val="center"/>
        <w:rPr>
          <w:rFonts w:ascii="Arial" w:hAnsi="Arial" w:cs="Arial"/>
          <w:b/>
          <w:sz w:val="28"/>
          <w:szCs w:val="28"/>
          <w:lang w:val="en-US"/>
        </w:rPr>
      </w:pPr>
      <w:r w:rsidRPr="00A51255">
        <w:rPr>
          <w:rFonts w:ascii="Arial" w:hAnsi="Arial" w:cs="Arial"/>
          <w:b/>
          <w:sz w:val="28"/>
          <w:szCs w:val="28"/>
          <w:lang w:val="en-US"/>
        </w:rPr>
        <w:t xml:space="preserve">During a Period of Institutional Change: </w:t>
      </w:r>
    </w:p>
    <w:p w:rsidR="001660DB" w:rsidRPr="00A51255" w:rsidRDefault="001660DB" w:rsidP="001660DB">
      <w:pPr>
        <w:spacing w:line="360" w:lineRule="auto"/>
        <w:jc w:val="center"/>
        <w:rPr>
          <w:rFonts w:ascii="Arial" w:hAnsi="Arial" w:cs="Arial"/>
          <w:b/>
          <w:sz w:val="28"/>
          <w:szCs w:val="28"/>
          <w:lang w:val="en-US"/>
        </w:rPr>
      </w:pPr>
      <w:r w:rsidRPr="00A51255">
        <w:rPr>
          <w:rFonts w:ascii="Arial" w:hAnsi="Arial" w:cs="Arial"/>
          <w:b/>
          <w:sz w:val="28"/>
          <w:szCs w:val="28"/>
          <w:lang w:val="en-US"/>
        </w:rPr>
        <w:t>An Episode of Early Years of a Newly Independent Central Bank</w:t>
      </w:r>
    </w:p>
    <w:p w:rsidR="001660DB" w:rsidRPr="00A51255" w:rsidRDefault="001660DB" w:rsidP="001660DB">
      <w:pPr>
        <w:jc w:val="both"/>
        <w:rPr>
          <w:rFonts w:ascii="Arial" w:hAnsi="Arial" w:cs="Arial"/>
          <w:lang w:val="en-US"/>
        </w:rPr>
      </w:pPr>
    </w:p>
    <w:p w:rsidR="00157C21" w:rsidRPr="00A51255" w:rsidRDefault="00157C21" w:rsidP="00BC6785">
      <w:pPr>
        <w:spacing w:line="360" w:lineRule="auto"/>
        <w:jc w:val="both"/>
        <w:rPr>
          <w:rFonts w:ascii="Arial" w:hAnsi="Arial" w:cs="Arial"/>
          <w:sz w:val="22"/>
          <w:szCs w:val="22"/>
          <w:lang w:val="en-US"/>
        </w:rPr>
      </w:pPr>
    </w:p>
    <w:p w:rsidR="00777157" w:rsidRDefault="00777157" w:rsidP="00647145">
      <w:pPr>
        <w:spacing w:line="480" w:lineRule="auto"/>
        <w:rPr>
          <w:rFonts w:ascii="Arial" w:hAnsi="Arial"/>
          <w:b/>
          <w:lang w:val="en-US"/>
        </w:rPr>
      </w:pPr>
    </w:p>
    <w:p w:rsidR="00647145" w:rsidRDefault="00647145" w:rsidP="00647145">
      <w:pPr>
        <w:spacing w:line="480" w:lineRule="auto"/>
        <w:rPr>
          <w:rFonts w:ascii="Arial" w:hAnsi="Arial"/>
          <w:b/>
          <w:lang w:val="en-US"/>
        </w:rPr>
      </w:pPr>
    </w:p>
    <w:p w:rsidR="001660DB" w:rsidRPr="004E2A68" w:rsidRDefault="001660DB" w:rsidP="001660DB">
      <w:pPr>
        <w:spacing w:line="480" w:lineRule="auto"/>
        <w:jc w:val="center"/>
        <w:rPr>
          <w:rFonts w:ascii="Arial" w:hAnsi="Arial" w:cs="Arial"/>
          <w:sz w:val="22"/>
          <w:szCs w:val="22"/>
          <w:u w:val="single"/>
          <w:lang w:val="en-US"/>
        </w:rPr>
      </w:pPr>
      <w:r w:rsidRPr="004E2A68">
        <w:rPr>
          <w:rFonts w:ascii="Arial" w:hAnsi="Arial"/>
          <w:b/>
          <w:u w:val="single"/>
          <w:lang w:val="en-US"/>
        </w:rPr>
        <w:t>ABSTRACT</w:t>
      </w:r>
      <w:r w:rsidR="004E2A68" w:rsidRPr="004E2A68">
        <w:rPr>
          <w:rFonts w:ascii="Arial" w:hAnsi="Arial"/>
          <w:b/>
          <w:u w:val="single"/>
          <w:lang w:val="en-US"/>
        </w:rPr>
        <w:t>:</w:t>
      </w:r>
    </w:p>
    <w:p w:rsidR="001660DB" w:rsidRPr="00A51255" w:rsidRDefault="001660DB" w:rsidP="00647145">
      <w:pPr>
        <w:ind w:firstLine="708"/>
        <w:jc w:val="both"/>
        <w:rPr>
          <w:rFonts w:ascii="Arial" w:hAnsi="Arial"/>
          <w:bCs/>
          <w:sz w:val="22"/>
          <w:szCs w:val="22"/>
          <w:lang w:val="en-US"/>
        </w:rPr>
      </w:pPr>
      <w:r w:rsidRPr="00A51255">
        <w:rPr>
          <w:rFonts w:ascii="Arial" w:hAnsi="Arial" w:cs="Arial"/>
          <w:sz w:val="22"/>
          <w:szCs w:val="22"/>
          <w:lang w:val="en-US"/>
        </w:rPr>
        <w:t xml:space="preserve">Employing unique data derived directly from </w:t>
      </w:r>
      <w:r w:rsidR="00B303BD">
        <w:rPr>
          <w:rFonts w:ascii="Arial" w:hAnsi="Arial" w:cs="Arial"/>
          <w:sz w:val="22"/>
          <w:szCs w:val="22"/>
          <w:lang w:val="en-US"/>
        </w:rPr>
        <w:t xml:space="preserve">the </w:t>
      </w:r>
      <w:r w:rsidRPr="00A51255">
        <w:rPr>
          <w:rFonts w:ascii="Arial" w:hAnsi="Arial" w:cs="Arial"/>
          <w:sz w:val="22"/>
          <w:szCs w:val="22"/>
          <w:lang w:val="en-US"/>
        </w:rPr>
        <w:t xml:space="preserve">Reuters electronic brokerage platform for currency trading, this paper investigates the reaction of investors to central bank announcements on </w:t>
      </w:r>
      <w:r w:rsidR="00B303BD">
        <w:rPr>
          <w:rFonts w:ascii="Arial" w:hAnsi="Arial" w:cs="Arial"/>
          <w:sz w:val="22"/>
          <w:szCs w:val="22"/>
          <w:lang w:val="en-US"/>
        </w:rPr>
        <w:t xml:space="preserve">the </w:t>
      </w:r>
      <w:r w:rsidRPr="00A51255">
        <w:rPr>
          <w:rFonts w:ascii="Arial" w:hAnsi="Arial" w:cs="Arial"/>
          <w:sz w:val="22"/>
          <w:szCs w:val="22"/>
          <w:lang w:val="en-US"/>
        </w:rPr>
        <w:t>foreign exchange market in Poland</w:t>
      </w:r>
      <w:r w:rsidR="00995E48" w:rsidRPr="00A51255">
        <w:rPr>
          <w:rFonts w:ascii="Arial" w:hAnsi="Arial" w:cs="Arial"/>
          <w:sz w:val="22"/>
          <w:szCs w:val="22"/>
          <w:lang w:val="en-US"/>
        </w:rPr>
        <w:t xml:space="preserve"> in </w:t>
      </w:r>
      <w:r w:rsidR="00B303BD">
        <w:rPr>
          <w:rFonts w:ascii="Arial" w:hAnsi="Arial" w:cs="Arial"/>
          <w:sz w:val="22"/>
          <w:szCs w:val="22"/>
          <w:lang w:val="en-US"/>
        </w:rPr>
        <w:t xml:space="preserve">the </w:t>
      </w:r>
      <w:r w:rsidR="00995E48" w:rsidRPr="00A51255">
        <w:rPr>
          <w:rFonts w:ascii="Arial" w:hAnsi="Arial" w:cs="Arial"/>
          <w:sz w:val="22"/>
          <w:szCs w:val="22"/>
          <w:lang w:val="en-US"/>
        </w:rPr>
        <w:t>years 2000</w:t>
      </w:r>
      <w:r w:rsidRPr="00A51255">
        <w:rPr>
          <w:rFonts w:ascii="Arial" w:hAnsi="Arial" w:cs="Arial"/>
          <w:sz w:val="22"/>
          <w:szCs w:val="22"/>
          <w:lang w:val="en-US"/>
        </w:rPr>
        <w:t xml:space="preserve">-2003. Our sample period captures a time during which the National Bank of Poland (NBP) </w:t>
      </w:r>
      <w:r w:rsidR="00431E8F" w:rsidRPr="00A51255">
        <w:rPr>
          <w:rFonts w:ascii="Arial" w:hAnsi="Arial" w:cs="Arial"/>
          <w:sz w:val="22"/>
          <w:szCs w:val="22"/>
          <w:lang w:val="en-US"/>
        </w:rPr>
        <w:t xml:space="preserve">gained independence and </w:t>
      </w:r>
      <w:r w:rsidR="00264D33" w:rsidRPr="00A51255">
        <w:rPr>
          <w:rFonts w:ascii="Arial" w:hAnsi="Arial" w:cs="Arial"/>
          <w:sz w:val="22"/>
          <w:szCs w:val="22"/>
          <w:lang w:val="en-US"/>
        </w:rPr>
        <w:t xml:space="preserve">it </w:t>
      </w:r>
      <w:r w:rsidRPr="00A51255">
        <w:rPr>
          <w:rFonts w:ascii="Arial" w:hAnsi="Arial" w:cs="Arial"/>
          <w:sz w:val="22"/>
          <w:szCs w:val="22"/>
          <w:lang w:val="en-US"/>
        </w:rPr>
        <w:t>was transforming institutionally and switching to a new monetary policy regime</w:t>
      </w:r>
      <w:r w:rsidR="00B303BD">
        <w:rPr>
          <w:rFonts w:ascii="Arial" w:hAnsi="Arial" w:cs="Arial"/>
          <w:sz w:val="22"/>
          <w:szCs w:val="22"/>
          <w:lang w:val="en-US"/>
        </w:rPr>
        <w:t>;</w:t>
      </w:r>
      <w:r w:rsidRPr="00A51255">
        <w:rPr>
          <w:rFonts w:ascii="Arial" w:hAnsi="Arial" w:cs="Arial"/>
          <w:sz w:val="22"/>
          <w:szCs w:val="22"/>
          <w:lang w:val="en-US"/>
        </w:rPr>
        <w:t xml:space="preserve"> namely inflation targeting. Evidence indicates that central bank communication </w:t>
      </w:r>
      <w:r w:rsidR="00C75389" w:rsidRPr="00A51255">
        <w:rPr>
          <w:rFonts w:ascii="Arial" w:hAnsi="Arial" w:cs="Arial"/>
          <w:sz w:val="22"/>
          <w:szCs w:val="22"/>
          <w:lang w:val="en-US"/>
        </w:rPr>
        <w:t xml:space="preserve">helped </w:t>
      </w:r>
      <w:r w:rsidRPr="00A51255">
        <w:rPr>
          <w:rFonts w:ascii="Arial" w:hAnsi="Arial" w:cs="Arial"/>
          <w:sz w:val="22"/>
          <w:szCs w:val="22"/>
          <w:lang w:val="en-US"/>
        </w:rPr>
        <w:t xml:space="preserve">reduce </w:t>
      </w:r>
      <w:r w:rsidR="00C75389" w:rsidRPr="00A51255">
        <w:rPr>
          <w:rFonts w:ascii="Arial" w:hAnsi="Arial" w:cs="Arial"/>
          <w:sz w:val="22"/>
          <w:szCs w:val="22"/>
          <w:lang w:val="en-US"/>
        </w:rPr>
        <w:t xml:space="preserve">foreign exchange </w:t>
      </w:r>
      <w:r w:rsidRPr="00A51255">
        <w:rPr>
          <w:rFonts w:ascii="Arial" w:hAnsi="Arial" w:cs="Arial"/>
          <w:sz w:val="22"/>
          <w:szCs w:val="22"/>
          <w:lang w:val="en-US"/>
        </w:rPr>
        <w:t>market uncertainty, measured by the conditional variance of foreign exchange returns, and increase</w:t>
      </w:r>
      <w:r w:rsidR="00C75389" w:rsidRPr="00A51255">
        <w:rPr>
          <w:rFonts w:ascii="Arial" w:hAnsi="Arial" w:cs="Arial"/>
          <w:sz w:val="22"/>
          <w:szCs w:val="22"/>
          <w:lang w:val="en-US"/>
        </w:rPr>
        <w:t>d</w:t>
      </w:r>
      <w:r w:rsidRPr="00A51255">
        <w:rPr>
          <w:rFonts w:ascii="Arial" w:hAnsi="Arial" w:cs="Arial"/>
          <w:sz w:val="22"/>
          <w:szCs w:val="22"/>
          <w:lang w:val="en-US"/>
        </w:rPr>
        <w:t xml:space="preserve"> trading volume.</w:t>
      </w:r>
      <w:r w:rsidR="00F500CD">
        <w:rPr>
          <w:rFonts w:ascii="Arial" w:hAnsi="Arial" w:cs="Arial"/>
          <w:sz w:val="22"/>
          <w:szCs w:val="22"/>
          <w:lang w:val="en-US"/>
        </w:rPr>
        <w:t xml:space="preserve"> </w:t>
      </w:r>
      <w:r w:rsidRPr="00A51255">
        <w:rPr>
          <w:rFonts w:ascii="Arial" w:hAnsi="Arial" w:cs="Arial"/>
          <w:sz w:val="22"/>
          <w:szCs w:val="22"/>
          <w:lang w:val="en-US"/>
        </w:rPr>
        <w:t xml:space="preserve">The findings suggest that in newly emerging economies with major </w:t>
      </w:r>
      <w:r w:rsidRPr="00A51255">
        <w:rPr>
          <w:rFonts w:ascii="Arial" w:hAnsi="Arial"/>
          <w:bCs/>
          <w:sz w:val="22"/>
          <w:szCs w:val="22"/>
          <w:lang w:val="en-US"/>
        </w:rPr>
        <w:t>institutional changes</w:t>
      </w:r>
      <w:r w:rsidR="00B303BD">
        <w:rPr>
          <w:rFonts w:ascii="Arial" w:hAnsi="Arial"/>
          <w:bCs/>
          <w:sz w:val="22"/>
          <w:szCs w:val="22"/>
          <w:lang w:val="en-US"/>
        </w:rPr>
        <w:t>,</w:t>
      </w:r>
      <w:r w:rsidRPr="00A51255">
        <w:rPr>
          <w:rFonts w:ascii="Arial" w:hAnsi="Arial" w:cs="Arial"/>
          <w:sz w:val="22"/>
          <w:szCs w:val="22"/>
          <w:lang w:val="en-US"/>
        </w:rPr>
        <w:t xml:space="preserve"> investors may react significantly to central bank communication</w:t>
      </w:r>
      <w:r w:rsidR="00B303BD">
        <w:rPr>
          <w:rFonts w:ascii="Arial" w:hAnsi="Arial" w:cs="Arial"/>
          <w:sz w:val="22"/>
          <w:szCs w:val="22"/>
          <w:lang w:val="en-US"/>
        </w:rPr>
        <w:t>,</w:t>
      </w:r>
      <w:r w:rsidRPr="00A51255">
        <w:rPr>
          <w:rFonts w:ascii="Arial" w:hAnsi="Arial" w:cs="Arial"/>
          <w:sz w:val="22"/>
          <w:szCs w:val="22"/>
          <w:lang w:val="en-US"/>
        </w:rPr>
        <w:t xml:space="preserve"> </w:t>
      </w:r>
      <w:r w:rsidRPr="00A51255">
        <w:rPr>
          <w:rFonts w:ascii="Arial" w:hAnsi="Arial"/>
          <w:bCs/>
          <w:sz w:val="22"/>
          <w:szCs w:val="22"/>
          <w:lang w:val="en-US"/>
        </w:rPr>
        <w:t xml:space="preserve">and central banks can hence play an important role in market development during an institutional change. </w:t>
      </w:r>
      <w:r w:rsidRPr="00A51255">
        <w:rPr>
          <w:rFonts w:ascii="Arial" w:hAnsi="Arial" w:cs="Arial"/>
          <w:sz w:val="22"/>
          <w:szCs w:val="22"/>
          <w:lang w:val="en-US"/>
        </w:rPr>
        <w:t>Our results also have broader implications for the applicability of micro-structure models in newly emerging economies</w:t>
      </w:r>
      <w:r w:rsidRPr="00A51255">
        <w:rPr>
          <w:rFonts w:ascii="Arial" w:hAnsi="Arial"/>
          <w:bCs/>
          <w:sz w:val="22"/>
          <w:szCs w:val="22"/>
          <w:lang w:val="en-US"/>
        </w:rPr>
        <w:t>.</w:t>
      </w:r>
    </w:p>
    <w:p w:rsidR="001660DB" w:rsidRPr="00A51255" w:rsidRDefault="001660DB" w:rsidP="00BC6785">
      <w:pPr>
        <w:spacing w:line="360" w:lineRule="auto"/>
        <w:jc w:val="both"/>
        <w:rPr>
          <w:rFonts w:ascii="Arial" w:hAnsi="Arial" w:cs="Arial"/>
          <w:sz w:val="22"/>
          <w:szCs w:val="22"/>
          <w:lang w:val="en-US"/>
        </w:rPr>
      </w:pPr>
    </w:p>
    <w:p w:rsidR="00777157" w:rsidRDefault="00777157" w:rsidP="001660DB">
      <w:pPr>
        <w:jc w:val="both"/>
        <w:rPr>
          <w:rFonts w:ascii="Arial" w:hAnsi="Arial" w:cs="Arial"/>
          <w:b/>
          <w:sz w:val="22"/>
          <w:szCs w:val="22"/>
          <w:lang w:val="en-US"/>
        </w:rPr>
      </w:pPr>
    </w:p>
    <w:p w:rsidR="00647145" w:rsidRDefault="00647145" w:rsidP="001660DB">
      <w:pPr>
        <w:jc w:val="both"/>
        <w:rPr>
          <w:rFonts w:ascii="Arial" w:hAnsi="Arial" w:cs="Arial"/>
          <w:b/>
          <w:sz w:val="22"/>
          <w:szCs w:val="22"/>
          <w:lang w:val="en-US"/>
        </w:rPr>
      </w:pPr>
    </w:p>
    <w:p w:rsidR="00647145" w:rsidRDefault="00647145" w:rsidP="001660DB">
      <w:pPr>
        <w:jc w:val="both"/>
        <w:rPr>
          <w:rFonts w:ascii="Arial" w:hAnsi="Arial" w:cs="Arial"/>
          <w:b/>
          <w:sz w:val="22"/>
          <w:szCs w:val="22"/>
          <w:lang w:val="en-US"/>
        </w:rPr>
      </w:pPr>
    </w:p>
    <w:p w:rsidR="001660DB" w:rsidRDefault="001660DB" w:rsidP="001660DB">
      <w:pPr>
        <w:jc w:val="both"/>
        <w:rPr>
          <w:rFonts w:ascii="Arial" w:hAnsi="Arial" w:cs="Arial"/>
          <w:sz w:val="22"/>
          <w:szCs w:val="22"/>
          <w:lang w:val="en-US"/>
        </w:rPr>
      </w:pPr>
      <w:r w:rsidRPr="00A51255">
        <w:rPr>
          <w:rFonts w:ascii="Arial" w:hAnsi="Arial" w:cs="Arial"/>
          <w:b/>
          <w:sz w:val="22"/>
          <w:szCs w:val="22"/>
          <w:lang w:val="en-US"/>
        </w:rPr>
        <w:t>Keywords:</w:t>
      </w:r>
      <w:r w:rsidRPr="00A51255">
        <w:rPr>
          <w:rFonts w:ascii="Arial" w:hAnsi="Arial" w:cs="Arial"/>
          <w:sz w:val="22"/>
          <w:szCs w:val="22"/>
          <w:lang w:val="en-US"/>
        </w:rPr>
        <w:t xml:space="preserve"> institutional change, foreign exchange market, central bank, macroeconomic announcements, investor reaction, trading volume and volatility</w:t>
      </w:r>
    </w:p>
    <w:p w:rsidR="00647145" w:rsidRDefault="00647145" w:rsidP="001660DB">
      <w:pPr>
        <w:jc w:val="both"/>
        <w:rPr>
          <w:rFonts w:ascii="Arial" w:hAnsi="Arial" w:cs="Arial"/>
          <w:sz w:val="22"/>
          <w:szCs w:val="22"/>
          <w:lang w:val="en-US"/>
        </w:rPr>
      </w:pPr>
    </w:p>
    <w:p w:rsidR="00647145" w:rsidRPr="00A51255" w:rsidRDefault="00647145" w:rsidP="001660DB">
      <w:pPr>
        <w:jc w:val="both"/>
        <w:rPr>
          <w:rFonts w:ascii="Arial" w:hAnsi="Arial" w:cs="Arial"/>
          <w:sz w:val="22"/>
          <w:szCs w:val="22"/>
          <w:lang w:val="en-US"/>
        </w:rPr>
      </w:pPr>
    </w:p>
    <w:p w:rsidR="001660DB" w:rsidRPr="00A51255" w:rsidRDefault="001660DB" w:rsidP="001660DB">
      <w:pPr>
        <w:jc w:val="both"/>
        <w:rPr>
          <w:rFonts w:ascii="Arial" w:hAnsi="Arial" w:cs="Arial"/>
          <w:sz w:val="22"/>
          <w:szCs w:val="22"/>
          <w:lang w:val="en-US"/>
        </w:rPr>
      </w:pPr>
    </w:p>
    <w:p w:rsidR="009118C6" w:rsidRDefault="001660DB" w:rsidP="001660DB">
      <w:pPr>
        <w:spacing w:line="360" w:lineRule="auto"/>
        <w:rPr>
          <w:rFonts w:ascii="Arial" w:hAnsi="Arial" w:cs="Arial"/>
          <w:b/>
          <w:sz w:val="22"/>
          <w:szCs w:val="22"/>
          <w:lang w:val="en-US"/>
        </w:rPr>
      </w:pPr>
      <w:r w:rsidRPr="00A51255">
        <w:rPr>
          <w:rFonts w:ascii="Arial" w:hAnsi="Arial" w:cs="Arial"/>
          <w:b/>
          <w:sz w:val="22"/>
          <w:szCs w:val="22"/>
          <w:lang w:val="en-US"/>
        </w:rPr>
        <w:t>JEL classification:</w:t>
      </w:r>
      <w:r w:rsidR="006726A6" w:rsidRPr="00A51255">
        <w:rPr>
          <w:rFonts w:ascii="Arial" w:hAnsi="Arial" w:cs="Arial"/>
          <w:b/>
          <w:sz w:val="22"/>
          <w:szCs w:val="22"/>
          <w:lang w:val="en-US"/>
        </w:rPr>
        <w:t xml:space="preserve"> E5, F3, G1, O2, P3</w:t>
      </w:r>
      <w:r w:rsidRPr="00A51255">
        <w:rPr>
          <w:rFonts w:ascii="Arial" w:hAnsi="Arial" w:cs="Arial"/>
          <w:b/>
          <w:sz w:val="22"/>
          <w:szCs w:val="22"/>
          <w:lang w:val="en-US"/>
        </w:rPr>
        <w:br w:type="page"/>
      </w:r>
    </w:p>
    <w:p w:rsidR="004A2720" w:rsidRDefault="004A2720" w:rsidP="00474236">
      <w:pPr>
        <w:spacing w:line="360" w:lineRule="auto"/>
        <w:rPr>
          <w:rFonts w:ascii="Arial" w:hAnsi="Arial" w:cs="Arial"/>
          <w:b/>
          <w:sz w:val="22"/>
          <w:szCs w:val="22"/>
          <w:lang w:val="en-US"/>
        </w:rPr>
      </w:pPr>
    </w:p>
    <w:p w:rsidR="004A2720" w:rsidRDefault="004A2720" w:rsidP="00474236">
      <w:pPr>
        <w:spacing w:line="360" w:lineRule="auto"/>
        <w:rPr>
          <w:rFonts w:ascii="Arial" w:hAnsi="Arial" w:cs="Arial"/>
          <w:b/>
          <w:sz w:val="22"/>
          <w:szCs w:val="22"/>
          <w:lang w:val="en-US"/>
        </w:rPr>
      </w:pPr>
    </w:p>
    <w:p w:rsidR="004A2720" w:rsidRDefault="004A2720" w:rsidP="00474236">
      <w:pPr>
        <w:spacing w:line="360" w:lineRule="auto"/>
        <w:rPr>
          <w:rFonts w:ascii="Arial" w:hAnsi="Arial" w:cs="Arial"/>
          <w:b/>
          <w:sz w:val="22"/>
          <w:szCs w:val="22"/>
          <w:lang w:val="en-US"/>
        </w:rPr>
      </w:pPr>
    </w:p>
    <w:p w:rsidR="00B52F8C" w:rsidRDefault="00884CF0" w:rsidP="004A2720">
      <w:pPr>
        <w:spacing w:line="360" w:lineRule="auto"/>
        <w:ind w:firstLine="708"/>
        <w:rPr>
          <w:rFonts w:ascii="Arial" w:hAnsi="Arial" w:cs="Arial"/>
          <w:sz w:val="22"/>
          <w:szCs w:val="22"/>
          <w:lang w:val="en-US"/>
        </w:rPr>
      </w:pPr>
      <w:r w:rsidRPr="00A51255">
        <w:rPr>
          <w:rFonts w:ascii="Arial" w:hAnsi="Arial" w:cs="Arial"/>
          <w:b/>
          <w:sz w:val="22"/>
          <w:szCs w:val="22"/>
          <w:lang w:val="en-US"/>
        </w:rPr>
        <w:t>1</w:t>
      </w:r>
      <w:r w:rsidR="00315F48" w:rsidRPr="00A51255">
        <w:rPr>
          <w:rFonts w:ascii="Arial" w:hAnsi="Arial" w:cs="Arial"/>
          <w:b/>
          <w:sz w:val="22"/>
          <w:szCs w:val="22"/>
          <w:lang w:val="en-US"/>
        </w:rPr>
        <w:t>.</w:t>
      </w:r>
      <w:r w:rsidRPr="00A51255">
        <w:rPr>
          <w:rFonts w:ascii="Arial" w:hAnsi="Arial" w:cs="Arial"/>
          <w:sz w:val="22"/>
          <w:szCs w:val="22"/>
          <w:lang w:val="en-US"/>
        </w:rPr>
        <w:t xml:space="preserve"> </w:t>
      </w:r>
      <w:r w:rsidR="00525DFC" w:rsidRPr="00A51255">
        <w:rPr>
          <w:rFonts w:ascii="Arial" w:hAnsi="Arial" w:cs="Arial"/>
          <w:b/>
          <w:lang w:val="en-US"/>
        </w:rPr>
        <w:t>Introduction</w:t>
      </w:r>
    </w:p>
    <w:p w:rsidR="00474236" w:rsidRPr="00474236" w:rsidRDefault="00474236" w:rsidP="00474236">
      <w:pPr>
        <w:spacing w:line="360" w:lineRule="auto"/>
        <w:rPr>
          <w:rFonts w:ascii="Arial" w:hAnsi="Arial" w:cs="Arial"/>
          <w:sz w:val="22"/>
          <w:szCs w:val="22"/>
          <w:lang w:val="en-US"/>
        </w:rPr>
      </w:pPr>
    </w:p>
    <w:p w:rsidR="00B93538" w:rsidRPr="00A51255" w:rsidRDefault="00636567" w:rsidP="00644927">
      <w:pPr>
        <w:spacing w:line="480" w:lineRule="auto"/>
        <w:jc w:val="both"/>
        <w:rPr>
          <w:rFonts w:ascii="Arial" w:hAnsi="Arial"/>
          <w:lang w:val="en-US"/>
        </w:rPr>
      </w:pPr>
      <w:r w:rsidRPr="00A51255">
        <w:rPr>
          <w:rFonts w:ascii="Arial" w:hAnsi="Arial"/>
          <w:lang w:val="en-US"/>
        </w:rPr>
        <w:tab/>
      </w:r>
      <w:r w:rsidR="00912E0E">
        <w:rPr>
          <w:rFonts w:ascii="Arial" w:hAnsi="Arial"/>
          <w:lang w:val="en-US"/>
        </w:rPr>
        <w:t xml:space="preserve">Starting from the </w:t>
      </w:r>
      <w:r w:rsidR="00525DFC" w:rsidRPr="00A51255">
        <w:rPr>
          <w:rFonts w:ascii="Arial" w:hAnsi="Arial"/>
          <w:lang w:val="en-US"/>
        </w:rPr>
        <w:t xml:space="preserve">early 1990s, many Central and Eastern European (CEE) countries have implemented major economic and financial reforms, </w:t>
      </w:r>
      <w:r w:rsidR="00D80D27" w:rsidRPr="00A51255">
        <w:rPr>
          <w:rFonts w:ascii="Arial" w:hAnsi="Arial"/>
          <w:lang w:val="en-US"/>
        </w:rPr>
        <w:t xml:space="preserve">including </w:t>
      </w:r>
      <w:r w:rsidR="001429CB" w:rsidRPr="00A51255">
        <w:rPr>
          <w:rFonts w:ascii="Arial" w:hAnsi="Arial"/>
          <w:lang w:val="en-US"/>
        </w:rPr>
        <w:t xml:space="preserve">the </w:t>
      </w:r>
      <w:r w:rsidR="00D80D27" w:rsidRPr="00A51255">
        <w:rPr>
          <w:rFonts w:ascii="Arial" w:hAnsi="Arial"/>
          <w:lang w:val="en-US"/>
        </w:rPr>
        <w:t xml:space="preserve">establishment of </w:t>
      </w:r>
      <w:r w:rsidR="00134FEC" w:rsidRPr="00A51255">
        <w:rPr>
          <w:rFonts w:ascii="Arial" w:hAnsi="Arial"/>
          <w:lang w:val="en-US"/>
        </w:rPr>
        <w:t xml:space="preserve">an </w:t>
      </w:r>
      <w:r w:rsidR="00D80D27" w:rsidRPr="00A51255">
        <w:rPr>
          <w:rFonts w:ascii="Arial" w:hAnsi="Arial"/>
          <w:lang w:val="en-US"/>
        </w:rPr>
        <w:t>independent central</w:t>
      </w:r>
      <w:r w:rsidR="001429CB" w:rsidRPr="00A51255">
        <w:rPr>
          <w:rFonts w:ascii="Arial" w:hAnsi="Arial"/>
          <w:lang w:val="en-US"/>
        </w:rPr>
        <w:t xml:space="preserve"> bank,</w:t>
      </w:r>
      <w:r w:rsidR="00D80D27" w:rsidRPr="00A51255">
        <w:rPr>
          <w:rFonts w:ascii="Arial" w:hAnsi="Arial"/>
          <w:lang w:val="en-US"/>
        </w:rPr>
        <w:t xml:space="preserve"> </w:t>
      </w:r>
      <w:r w:rsidR="00525DFC" w:rsidRPr="00A51255">
        <w:rPr>
          <w:rFonts w:ascii="Arial" w:hAnsi="Arial"/>
          <w:lang w:val="en-US"/>
        </w:rPr>
        <w:t xml:space="preserve">resulting in the emergence of new financial instruments and significant financial market development. </w:t>
      </w:r>
      <w:r w:rsidR="00B303BD">
        <w:rPr>
          <w:rFonts w:ascii="Arial" w:hAnsi="Arial"/>
          <w:lang w:val="en-US"/>
        </w:rPr>
        <w:t>S</w:t>
      </w:r>
      <w:r w:rsidR="00B303BD" w:rsidRPr="00A51255">
        <w:rPr>
          <w:rFonts w:ascii="Arial" w:hAnsi="Arial"/>
          <w:lang w:val="en-US"/>
        </w:rPr>
        <w:t>ince 2004</w:t>
      </w:r>
      <w:r w:rsidR="00B303BD">
        <w:rPr>
          <w:rFonts w:ascii="Arial" w:hAnsi="Arial"/>
          <w:lang w:val="en-US"/>
        </w:rPr>
        <w:t>,</w:t>
      </w:r>
      <w:r w:rsidR="00B303BD" w:rsidRPr="00A51255">
        <w:rPr>
          <w:rFonts w:ascii="Arial" w:hAnsi="Arial"/>
          <w:lang w:val="en-US"/>
        </w:rPr>
        <w:t xml:space="preserve"> </w:t>
      </w:r>
      <w:r w:rsidR="00B303BD">
        <w:rPr>
          <w:rFonts w:ascii="Arial" w:hAnsi="Arial"/>
          <w:lang w:val="en-US"/>
        </w:rPr>
        <w:t>m</w:t>
      </w:r>
      <w:r w:rsidR="00525DFC" w:rsidRPr="00A51255">
        <w:rPr>
          <w:rFonts w:ascii="Arial" w:hAnsi="Arial"/>
          <w:lang w:val="en-US"/>
        </w:rPr>
        <w:t xml:space="preserve">ost of these countries </w:t>
      </w:r>
      <w:r w:rsidR="001429CB" w:rsidRPr="00A51255">
        <w:rPr>
          <w:rFonts w:ascii="Arial" w:hAnsi="Arial"/>
          <w:lang w:val="en-US"/>
        </w:rPr>
        <w:t xml:space="preserve">have now </w:t>
      </w:r>
      <w:r w:rsidR="00525DFC" w:rsidRPr="00A51255">
        <w:rPr>
          <w:rFonts w:ascii="Arial" w:hAnsi="Arial"/>
          <w:lang w:val="en-US"/>
        </w:rPr>
        <w:t xml:space="preserve">joined the European Union </w:t>
      </w:r>
      <w:r w:rsidR="00F17795" w:rsidRPr="00A51255">
        <w:rPr>
          <w:rFonts w:ascii="Arial" w:hAnsi="Arial"/>
          <w:lang w:val="en-US"/>
        </w:rPr>
        <w:t>(EU)</w:t>
      </w:r>
      <w:r w:rsidR="00B303BD">
        <w:rPr>
          <w:rFonts w:ascii="Arial" w:hAnsi="Arial"/>
          <w:lang w:val="en-US"/>
        </w:rPr>
        <w:t>,</w:t>
      </w:r>
      <w:r w:rsidR="00F17795" w:rsidRPr="00A51255">
        <w:rPr>
          <w:rFonts w:ascii="Arial" w:hAnsi="Arial"/>
          <w:lang w:val="en-US"/>
        </w:rPr>
        <w:t xml:space="preserve"> </w:t>
      </w:r>
      <w:r w:rsidR="00525DFC" w:rsidRPr="00A51255">
        <w:rPr>
          <w:rFonts w:ascii="Arial" w:hAnsi="Arial"/>
          <w:lang w:val="en-US"/>
        </w:rPr>
        <w:t>and some of the</w:t>
      </w:r>
      <w:r w:rsidR="00936BF2">
        <w:rPr>
          <w:rFonts w:ascii="Arial" w:hAnsi="Arial"/>
          <w:lang w:val="en-US"/>
        </w:rPr>
        <w:t>m</w:t>
      </w:r>
      <w:r w:rsidR="00640E12" w:rsidRPr="00A51255">
        <w:rPr>
          <w:rFonts w:ascii="Arial" w:hAnsi="Arial"/>
          <w:lang w:val="en-US"/>
        </w:rPr>
        <w:t xml:space="preserve"> </w:t>
      </w:r>
      <w:r w:rsidR="00B93538" w:rsidRPr="00A51255">
        <w:rPr>
          <w:rFonts w:ascii="Arial" w:hAnsi="Arial"/>
          <w:lang w:val="en-US"/>
        </w:rPr>
        <w:t xml:space="preserve">are </w:t>
      </w:r>
      <w:r w:rsidR="009376B9">
        <w:rPr>
          <w:rFonts w:ascii="Arial" w:hAnsi="Arial"/>
          <w:lang w:val="en-US"/>
        </w:rPr>
        <w:t>also</w:t>
      </w:r>
      <w:r w:rsidR="00640E12" w:rsidRPr="00A51255">
        <w:rPr>
          <w:rFonts w:ascii="Arial" w:hAnsi="Arial"/>
          <w:lang w:val="en-US"/>
        </w:rPr>
        <w:t xml:space="preserve"> </w:t>
      </w:r>
      <w:r w:rsidR="00525DFC" w:rsidRPr="00A51255">
        <w:rPr>
          <w:rFonts w:ascii="Arial" w:hAnsi="Arial"/>
          <w:lang w:val="en-US"/>
        </w:rPr>
        <w:t xml:space="preserve">included in the </w:t>
      </w:r>
      <w:r w:rsidR="00674FA0">
        <w:rPr>
          <w:rFonts w:ascii="Arial" w:hAnsi="Arial"/>
          <w:lang w:val="en-US"/>
        </w:rPr>
        <w:t>Eurozone</w:t>
      </w:r>
      <w:r w:rsidR="00525DFC" w:rsidRPr="00A51255">
        <w:rPr>
          <w:rFonts w:ascii="Arial" w:hAnsi="Arial"/>
          <w:lang w:val="en-US"/>
        </w:rPr>
        <w:t xml:space="preserve">. </w:t>
      </w:r>
      <w:r w:rsidR="00875A8F" w:rsidRPr="00A51255">
        <w:rPr>
          <w:rFonts w:ascii="Arial" w:hAnsi="Arial"/>
          <w:lang w:val="en-US"/>
        </w:rPr>
        <w:t>However, d</w:t>
      </w:r>
      <w:r w:rsidR="00525DFC" w:rsidRPr="00A51255">
        <w:rPr>
          <w:rFonts w:ascii="Arial" w:hAnsi="Arial"/>
          <w:lang w:val="en-US"/>
        </w:rPr>
        <w:t xml:space="preserve">espite significant reforms </w:t>
      </w:r>
      <w:r w:rsidR="00B303BD">
        <w:rPr>
          <w:rFonts w:ascii="Arial" w:hAnsi="Arial"/>
          <w:lang w:val="en-US"/>
        </w:rPr>
        <w:t xml:space="preserve">having been </w:t>
      </w:r>
      <w:r w:rsidR="00525DFC" w:rsidRPr="00A51255">
        <w:rPr>
          <w:rFonts w:ascii="Arial" w:hAnsi="Arial"/>
          <w:lang w:val="en-US"/>
        </w:rPr>
        <w:t xml:space="preserve">implemented, only a few empirical studies </w:t>
      </w:r>
      <w:r w:rsidR="00B303BD">
        <w:rPr>
          <w:rFonts w:ascii="Arial" w:hAnsi="Arial"/>
          <w:lang w:val="en-US"/>
        </w:rPr>
        <w:t xml:space="preserve">have </w:t>
      </w:r>
      <w:r w:rsidR="00525DFC" w:rsidRPr="00A51255">
        <w:rPr>
          <w:rFonts w:ascii="Arial" w:hAnsi="Arial"/>
          <w:lang w:val="en-US"/>
        </w:rPr>
        <w:t>examine</w:t>
      </w:r>
      <w:r w:rsidR="00B303BD">
        <w:rPr>
          <w:rFonts w:ascii="Arial" w:hAnsi="Arial"/>
          <w:lang w:val="en-US"/>
        </w:rPr>
        <w:t>d</w:t>
      </w:r>
      <w:r w:rsidR="00525DFC" w:rsidRPr="00A51255">
        <w:rPr>
          <w:rFonts w:ascii="Arial" w:hAnsi="Arial"/>
          <w:lang w:val="en-US"/>
        </w:rPr>
        <w:t xml:space="preserve"> the developments in the financial markets of the new EU countries. In this paper, we focus on the Polish </w:t>
      </w:r>
      <w:r w:rsidR="00DC4ADC" w:rsidRPr="00A51255">
        <w:rPr>
          <w:rFonts w:ascii="Arial" w:hAnsi="Arial"/>
          <w:lang w:val="en-US"/>
        </w:rPr>
        <w:t xml:space="preserve">foreign exchange </w:t>
      </w:r>
      <w:r w:rsidR="00525DFC" w:rsidRPr="00A51255">
        <w:rPr>
          <w:rFonts w:ascii="Arial" w:hAnsi="Arial"/>
          <w:lang w:val="en-US"/>
        </w:rPr>
        <w:t>market</w:t>
      </w:r>
      <w:r w:rsidR="007F0F49" w:rsidRPr="00A51255">
        <w:rPr>
          <w:rFonts w:ascii="Arial" w:hAnsi="Arial"/>
          <w:lang w:val="en-US"/>
        </w:rPr>
        <w:t xml:space="preserve"> </w:t>
      </w:r>
      <w:r w:rsidR="00BF274A" w:rsidRPr="00A51255">
        <w:rPr>
          <w:rFonts w:ascii="Arial" w:hAnsi="Arial"/>
          <w:lang w:val="en-US"/>
        </w:rPr>
        <w:t xml:space="preserve">returns and trading volume </w:t>
      </w:r>
      <w:r w:rsidRPr="00A51255">
        <w:rPr>
          <w:rFonts w:ascii="Arial" w:hAnsi="Arial"/>
          <w:lang w:val="en-US"/>
        </w:rPr>
        <w:t>and provide</w:t>
      </w:r>
      <w:r w:rsidR="00525DFC" w:rsidRPr="00A51255">
        <w:rPr>
          <w:rFonts w:ascii="Arial" w:hAnsi="Arial"/>
          <w:lang w:val="en-US"/>
        </w:rPr>
        <w:t xml:space="preserve"> evidence on </w:t>
      </w:r>
      <w:r w:rsidR="007E50C1" w:rsidRPr="00A51255">
        <w:rPr>
          <w:rFonts w:ascii="Arial" w:hAnsi="Arial"/>
          <w:lang w:val="en-US"/>
        </w:rPr>
        <w:t xml:space="preserve">how </w:t>
      </w:r>
      <w:r w:rsidR="00C83EB9" w:rsidRPr="00A51255">
        <w:rPr>
          <w:rFonts w:ascii="Arial" w:hAnsi="Arial"/>
          <w:lang w:val="en-US"/>
        </w:rPr>
        <w:t xml:space="preserve">foreign exchange market </w:t>
      </w:r>
      <w:r w:rsidR="007E50C1" w:rsidRPr="00A51255">
        <w:rPr>
          <w:rFonts w:ascii="Arial" w:hAnsi="Arial"/>
          <w:lang w:val="en-US"/>
        </w:rPr>
        <w:t xml:space="preserve">investors react to </w:t>
      </w:r>
      <w:r w:rsidR="00FA63F8" w:rsidRPr="00A51255">
        <w:rPr>
          <w:rFonts w:ascii="Arial" w:hAnsi="Arial" w:cs="Arial"/>
          <w:lang w:val="en-US"/>
        </w:rPr>
        <w:t xml:space="preserve">public information arrival, measured by </w:t>
      </w:r>
      <w:r w:rsidR="00525DFC" w:rsidRPr="00A51255">
        <w:rPr>
          <w:rFonts w:ascii="Arial" w:hAnsi="Arial"/>
          <w:lang w:val="en-US"/>
        </w:rPr>
        <w:t xml:space="preserve">central bank announcements. </w:t>
      </w:r>
    </w:p>
    <w:p w:rsidR="001429CB" w:rsidRPr="00A51255" w:rsidRDefault="00B93538" w:rsidP="00B93538">
      <w:pPr>
        <w:spacing w:line="480" w:lineRule="auto"/>
        <w:ind w:firstLine="708"/>
        <w:jc w:val="both"/>
        <w:rPr>
          <w:rFonts w:ascii="Arial" w:hAnsi="Arial"/>
          <w:lang w:val="en-US"/>
        </w:rPr>
      </w:pPr>
      <w:r w:rsidRPr="00A51255">
        <w:rPr>
          <w:rFonts w:ascii="Arial" w:hAnsi="Arial"/>
          <w:lang w:val="en-US"/>
        </w:rPr>
        <w:t xml:space="preserve">We employ both a </w:t>
      </w:r>
      <w:r w:rsidR="00640E12" w:rsidRPr="00A51255">
        <w:rPr>
          <w:rFonts w:ascii="Arial" w:hAnsi="Arial"/>
          <w:lang w:val="en-US"/>
        </w:rPr>
        <w:t>unique</w:t>
      </w:r>
      <w:r w:rsidR="001429CB" w:rsidRPr="00A51255">
        <w:rPr>
          <w:rFonts w:ascii="Arial" w:hAnsi="Arial"/>
          <w:lang w:val="en-US"/>
        </w:rPr>
        <w:t xml:space="preserve"> data set</w:t>
      </w:r>
      <w:r w:rsidR="00D06F83" w:rsidRPr="00A51255">
        <w:rPr>
          <w:rFonts w:ascii="Arial" w:hAnsi="Arial"/>
          <w:lang w:val="en-US"/>
        </w:rPr>
        <w:t xml:space="preserve">, which includes the foreign exchange </w:t>
      </w:r>
      <w:r w:rsidR="00012282" w:rsidRPr="00A51255">
        <w:rPr>
          <w:rFonts w:ascii="Arial" w:hAnsi="Arial"/>
          <w:lang w:val="en-US"/>
        </w:rPr>
        <w:t xml:space="preserve">market </w:t>
      </w:r>
      <w:r w:rsidR="007048A9" w:rsidRPr="00A51255">
        <w:rPr>
          <w:rFonts w:ascii="Arial" w:hAnsi="Arial"/>
          <w:lang w:val="en-US"/>
        </w:rPr>
        <w:t xml:space="preserve">returns and </w:t>
      </w:r>
      <w:r w:rsidR="00D06F83" w:rsidRPr="00A51255">
        <w:rPr>
          <w:rFonts w:ascii="Arial" w:hAnsi="Arial"/>
          <w:lang w:val="en-US"/>
        </w:rPr>
        <w:t>volume of trade,</w:t>
      </w:r>
      <w:r w:rsidR="001429CB" w:rsidRPr="00A51255">
        <w:rPr>
          <w:rFonts w:ascii="Arial" w:hAnsi="Arial"/>
          <w:lang w:val="en-US"/>
        </w:rPr>
        <w:t xml:space="preserve"> and </w:t>
      </w:r>
      <w:r w:rsidRPr="00A51255">
        <w:rPr>
          <w:rFonts w:ascii="Arial" w:hAnsi="Arial"/>
          <w:lang w:val="en-US"/>
        </w:rPr>
        <w:t xml:space="preserve">a </w:t>
      </w:r>
      <w:r w:rsidR="001429CB" w:rsidRPr="00A51255">
        <w:rPr>
          <w:rFonts w:ascii="Arial" w:hAnsi="Arial"/>
          <w:lang w:val="en-US"/>
        </w:rPr>
        <w:t>sample period</w:t>
      </w:r>
      <w:r w:rsidR="005D4689" w:rsidRPr="00A51255">
        <w:rPr>
          <w:rFonts w:ascii="Arial" w:hAnsi="Arial"/>
          <w:lang w:val="en-US"/>
        </w:rPr>
        <w:t xml:space="preserve"> (2000</w:t>
      </w:r>
      <w:r w:rsidR="001429CB" w:rsidRPr="00A51255">
        <w:rPr>
          <w:rFonts w:ascii="Arial" w:hAnsi="Arial"/>
          <w:lang w:val="en-US"/>
        </w:rPr>
        <w:t xml:space="preserve">-2003) </w:t>
      </w:r>
      <w:r w:rsidRPr="00A51255">
        <w:rPr>
          <w:rFonts w:ascii="Arial" w:hAnsi="Arial"/>
          <w:lang w:val="en-US"/>
        </w:rPr>
        <w:t xml:space="preserve">that </w:t>
      </w:r>
      <w:r w:rsidR="001429CB" w:rsidRPr="00A51255">
        <w:rPr>
          <w:rFonts w:ascii="Arial" w:hAnsi="Arial"/>
          <w:lang w:val="en-US"/>
        </w:rPr>
        <w:t>allow</w:t>
      </w:r>
      <w:r w:rsidR="007048A9" w:rsidRPr="00A51255">
        <w:rPr>
          <w:rFonts w:ascii="Arial" w:hAnsi="Arial"/>
          <w:lang w:val="en-US"/>
        </w:rPr>
        <w:t>s</w:t>
      </w:r>
      <w:r w:rsidR="001429CB" w:rsidRPr="00A51255">
        <w:rPr>
          <w:rFonts w:ascii="Arial" w:hAnsi="Arial"/>
          <w:lang w:val="en-US"/>
        </w:rPr>
        <w:t xml:space="preserve"> us to capture the </w:t>
      </w:r>
      <w:r w:rsidR="00BF274A" w:rsidRPr="00A51255">
        <w:rPr>
          <w:rFonts w:ascii="Arial" w:hAnsi="Arial"/>
          <w:lang w:val="en-US"/>
        </w:rPr>
        <w:t xml:space="preserve">reaction of investors to </w:t>
      </w:r>
      <w:r w:rsidR="001429CB" w:rsidRPr="00A51255">
        <w:rPr>
          <w:rFonts w:ascii="Arial" w:hAnsi="Arial"/>
          <w:lang w:val="en-US"/>
        </w:rPr>
        <w:t xml:space="preserve">communications of a freshly instituted Monetary Policy Council (MPC) and a </w:t>
      </w:r>
      <w:r w:rsidR="00C61DA1" w:rsidRPr="00A51255">
        <w:rPr>
          <w:rFonts w:ascii="Arial" w:hAnsi="Arial"/>
          <w:lang w:val="en-US"/>
        </w:rPr>
        <w:t>transforming new</w:t>
      </w:r>
      <w:r w:rsidR="00640E12" w:rsidRPr="00A51255">
        <w:rPr>
          <w:rFonts w:ascii="Arial" w:hAnsi="Arial"/>
          <w:lang w:val="en-US"/>
        </w:rPr>
        <w:t xml:space="preserve"> independent </w:t>
      </w:r>
      <w:r w:rsidR="001429CB" w:rsidRPr="00A51255">
        <w:rPr>
          <w:rFonts w:ascii="Arial" w:hAnsi="Arial"/>
          <w:lang w:val="en-US"/>
        </w:rPr>
        <w:t xml:space="preserve">central bank. </w:t>
      </w:r>
      <w:r w:rsidR="00C61DA1" w:rsidRPr="00A51255">
        <w:rPr>
          <w:rFonts w:ascii="Arial" w:hAnsi="Arial"/>
          <w:lang w:val="en-US"/>
        </w:rPr>
        <w:t xml:space="preserve">During our sample period, the National Bank of Poland </w:t>
      </w:r>
      <w:r w:rsidR="0059048A" w:rsidRPr="00A51255">
        <w:rPr>
          <w:rFonts w:ascii="Arial" w:hAnsi="Arial"/>
          <w:lang w:val="en-US"/>
        </w:rPr>
        <w:t xml:space="preserve">(NBP) </w:t>
      </w:r>
      <w:r w:rsidR="00C61DA1" w:rsidRPr="00A51255">
        <w:rPr>
          <w:rFonts w:ascii="Arial" w:hAnsi="Arial"/>
          <w:lang w:val="en-US"/>
        </w:rPr>
        <w:t>had emphasized transparency as a key component of their monetary policy</w:t>
      </w:r>
      <w:r w:rsidRPr="00A51255">
        <w:rPr>
          <w:rFonts w:ascii="Arial" w:hAnsi="Arial"/>
          <w:lang w:val="en-US"/>
        </w:rPr>
        <w:t>making</w:t>
      </w:r>
      <w:r w:rsidR="00C61DA1" w:rsidRPr="00A51255">
        <w:rPr>
          <w:rFonts w:ascii="Arial" w:hAnsi="Arial"/>
          <w:lang w:val="en-US"/>
        </w:rPr>
        <w:t xml:space="preserve">. </w:t>
      </w:r>
      <w:r w:rsidR="001429CB" w:rsidRPr="00A51255">
        <w:rPr>
          <w:rFonts w:ascii="Arial" w:hAnsi="Arial"/>
          <w:lang w:val="en-US"/>
        </w:rPr>
        <w:t xml:space="preserve">Hence, our findings shed some light on the question of how a newly established institution implementing significant policy changes (namely, inflation targeting regime) </w:t>
      </w:r>
      <w:r w:rsidRPr="00A51255">
        <w:rPr>
          <w:rFonts w:ascii="Arial" w:hAnsi="Arial"/>
          <w:lang w:val="en-US"/>
        </w:rPr>
        <w:t xml:space="preserve">along with </w:t>
      </w:r>
      <w:r w:rsidR="001429CB" w:rsidRPr="00A51255">
        <w:rPr>
          <w:rFonts w:ascii="Arial" w:hAnsi="Arial"/>
          <w:lang w:val="en-US"/>
        </w:rPr>
        <w:t xml:space="preserve">a new institutional structure </w:t>
      </w:r>
      <w:r w:rsidR="00640E12" w:rsidRPr="00A51255">
        <w:rPr>
          <w:rFonts w:ascii="Arial" w:hAnsi="Arial"/>
          <w:lang w:val="en-US"/>
        </w:rPr>
        <w:t>(</w:t>
      </w:r>
      <w:r w:rsidR="008E4676">
        <w:rPr>
          <w:rFonts w:ascii="Arial" w:hAnsi="Arial"/>
          <w:lang w:val="en-US"/>
        </w:rPr>
        <w:t>i.e.</w:t>
      </w:r>
      <w:r w:rsidRPr="00A51255">
        <w:rPr>
          <w:rFonts w:ascii="Arial" w:hAnsi="Arial"/>
          <w:lang w:val="en-US"/>
        </w:rPr>
        <w:t xml:space="preserve"> </w:t>
      </w:r>
      <w:r w:rsidR="00640E12" w:rsidRPr="00A51255">
        <w:rPr>
          <w:rFonts w:ascii="Arial" w:hAnsi="Arial"/>
          <w:lang w:val="en-US"/>
        </w:rPr>
        <w:t xml:space="preserve">a new independent central bank and the introduction of the </w:t>
      </w:r>
      <w:r w:rsidR="001429CB" w:rsidRPr="00A51255">
        <w:rPr>
          <w:rFonts w:ascii="Arial" w:hAnsi="Arial"/>
          <w:lang w:val="en-US"/>
        </w:rPr>
        <w:t xml:space="preserve">MPC) in an emerging market economy affects investor </w:t>
      </w:r>
      <w:r w:rsidR="00BF274A" w:rsidRPr="00A51255">
        <w:rPr>
          <w:rFonts w:ascii="Arial" w:hAnsi="Arial"/>
          <w:lang w:val="en-US"/>
        </w:rPr>
        <w:t>behavior</w:t>
      </w:r>
      <w:r w:rsidR="001429CB" w:rsidRPr="00A51255">
        <w:rPr>
          <w:rFonts w:ascii="Arial" w:hAnsi="Arial"/>
          <w:lang w:val="en-US"/>
        </w:rPr>
        <w:t xml:space="preserve">. </w:t>
      </w:r>
      <w:r w:rsidRPr="00A51255">
        <w:rPr>
          <w:rFonts w:ascii="Arial" w:hAnsi="Arial"/>
          <w:lang w:val="en-US"/>
        </w:rPr>
        <w:t xml:space="preserve">In this paper, we are interested </w:t>
      </w:r>
      <w:r w:rsidR="003C3FCC" w:rsidRPr="00A51255">
        <w:rPr>
          <w:rFonts w:ascii="Arial" w:hAnsi="Arial"/>
          <w:lang w:val="en-US"/>
        </w:rPr>
        <w:t xml:space="preserve">in both </w:t>
      </w:r>
      <w:r w:rsidR="00B303BD">
        <w:rPr>
          <w:rFonts w:ascii="Arial" w:hAnsi="Arial"/>
          <w:lang w:val="en-US"/>
        </w:rPr>
        <w:t xml:space="preserve">the </w:t>
      </w:r>
      <w:r w:rsidR="003C3FCC" w:rsidRPr="00A51255">
        <w:rPr>
          <w:rFonts w:ascii="Arial" w:hAnsi="Arial"/>
          <w:lang w:val="en-US"/>
        </w:rPr>
        <w:t xml:space="preserve">wealth and </w:t>
      </w:r>
      <w:r w:rsidRPr="00A51255">
        <w:rPr>
          <w:rFonts w:ascii="Arial" w:hAnsi="Arial"/>
          <w:lang w:val="en-US"/>
        </w:rPr>
        <w:t xml:space="preserve">uncertainty (i.e. risk) effects of central bank announcements during a period of major institutional change. As the independent central banks in the CEE countries are relatively new, one of their key objectives is to provide a transparent central communication mechanism </w:t>
      </w:r>
      <w:r w:rsidR="00B303BD">
        <w:rPr>
          <w:rFonts w:ascii="Arial" w:hAnsi="Arial"/>
          <w:lang w:val="en-US"/>
        </w:rPr>
        <w:t>intended to</w:t>
      </w:r>
      <w:r w:rsidRPr="00A51255">
        <w:rPr>
          <w:rFonts w:ascii="Arial" w:hAnsi="Arial"/>
          <w:lang w:val="en-US"/>
        </w:rPr>
        <w:t xml:space="preserve"> reduce uncertainty in financial </w:t>
      </w:r>
      <w:r w:rsidRPr="00A51255">
        <w:rPr>
          <w:rFonts w:ascii="Arial" w:hAnsi="Arial"/>
          <w:lang w:val="en-US"/>
        </w:rPr>
        <w:lastRenderedPageBreak/>
        <w:t>markets.</w:t>
      </w:r>
      <w:r w:rsidR="00685E28" w:rsidRPr="00A51255">
        <w:rPr>
          <w:rFonts w:ascii="Arial" w:hAnsi="Arial" w:cs="Arial"/>
          <w:lang w:val="en-US"/>
        </w:rPr>
        <w:t xml:space="preserve"> Our paper is similar in sp</w:t>
      </w:r>
      <w:r w:rsidR="00B303BD">
        <w:rPr>
          <w:rFonts w:ascii="Arial" w:hAnsi="Arial" w:cs="Arial"/>
          <w:lang w:val="en-US"/>
        </w:rPr>
        <w:t>i</w:t>
      </w:r>
      <w:r w:rsidR="00685E28" w:rsidRPr="00A51255">
        <w:rPr>
          <w:rFonts w:ascii="Arial" w:hAnsi="Arial" w:cs="Arial"/>
          <w:lang w:val="en-US"/>
        </w:rPr>
        <w:t xml:space="preserve">rit to </w:t>
      </w:r>
      <w:r w:rsidR="00C2537E" w:rsidRPr="00A51255">
        <w:rPr>
          <w:rFonts w:ascii="Arial" w:hAnsi="Arial" w:cs="Arial"/>
          <w:lang w:val="en-US"/>
        </w:rPr>
        <w:t xml:space="preserve">the </w:t>
      </w:r>
      <w:r w:rsidR="00685E28" w:rsidRPr="00A51255">
        <w:rPr>
          <w:rFonts w:ascii="Arial" w:hAnsi="Arial" w:cs="Arial"/>
          <w:lang w:val="en-US"/>
        </w:rPr>
        <w:t>work by</w:t>
      </w:r>
      <w:r w:rsidR="00685E28" w:rsidRPr="00A51255">
        <w:rPr>
          <w:rFonts w:ascii="Arial" w:hAnsi="Arial" w:cs="Arial"/>
          <w:bCs/>
          <w:lang w:val="en-US"/>
        </w:rPr>
        <w:t xml:space="preserve"> Gómez, Melvin and Nardari </w:t>
      </w:r>
      <w:r w:rsidR="00D745DE" w:rsidRPr="00A51255">
        <w:rPr>
          <w:rFonts w:ascii="Arial" w:hAnsi="Arial" w:cs="Arial"/>
          <w:bCs/>
          <w:lang w:val="en-US"/>
        </w:rPr>
        <w:t>(2006)</w:t>
      </w:r>
      <w:r w:rsidR="00B303BD">
        <w:rPr>
          <w:rFonts w:ascii="Arial" w:hAnsi="Arial" w:cs="Arial"/>
          <w:bCs/>
          <w:lang w:val="en-US"/>
        </w:rPr>
        <w:t>,</w:t>
      </w:r>
      <w:r w:rsidR="00685E28" w:rsidRPr="00A51255">
        <w:rPr>
          <w:rFonts w:ascii="Arial" w:hAnsi="Arial" w:cs="Arial"/>
          <w:bCs/>
          <w:lang w:val="en-US"/>
        </w:rPr>
        <w:t xml:space="preserve"> who </w:t>
      </w:r>
      <w:r w:rsidR="00FE0865" w:rsidRPr="00A51255">
        <w:rPr>
          <w:rFonts w:ascii="Arial" w:hAnsi="Arial" w:cs="Arial"/>
          <w:bCs/>
          <w:lang w:val="en-US"/>
        </w:rPr>
        <w:t>investigated</w:t>
      </w:r>
      <w:r w:rsidR="00685E28" w:rsidRPr="00A51255">
        <w:rPr>
          <w:rFonts w:ascii="Arial" w:hAnsi="Arial" w:cs="Arial"/>
          <w:bCs/>
          <w:lang w:val="en-US"/>
        </w:rPr>
        <w:t xml:space="preserve"> the introduction of the new European Central Bank </w:t>
      </w:r>
      <w:r w:rsidR="009E021A" w:rsidRPr="00A51255">
        <w:rPr>
          <w:rFonts w:ascii="Arial" w:hAnsi="Arial" w:cs="Arial"/>
          <w:bCs/>
          <w:lang w:val="en-US"/>
        </w:rPr>
        <w:t xml:space="preserve">(ECB) </w:t>
      </w:r>
      <w:r w:rsidR="00685E28" w:rsidRPr="00A51255">
        <w:rPr>
          <w:rFonts w:ascii="Arial" w:hAnsi="Arial" w:cs="Arial"/>
          <w:bCs/>
          <w:lang w:val="en-US"/>
        </w:rPr>
        <w:t xml:space="preserve">and how </w:t>
      </w:r>
      <w:r w:rsidR="009E021A" w:rsidRPr="00A51255">
        <w:rPr>
          <w:rFonts w:ascii="Arial" w:hAnsi="Arial" w:cs="Arial"/>
          <w:bCs/>
          <w:lang w:val="en-US"/>
        </w:rPr>
        <w:t>ECB actions</w:t>
      </w:r>
      <w:r w:rsidR="00685E28" w:rsidRPr="00A51255">
        <w:rPr>
          <w:rFonts w:ascii="Arial" w:hAnsi="Arial" w:cs="Arial"/>
          <w:bCs/>
          <w:lang w:val="en-US"/>
        </w:rPr>
        <w:t xml:space="preserve"> </w:t>
      </w:r>
      <w:r w:rsidR="009E021A" w:rsidRPr="00A51255">
        <w:rPr>
          <w:rFonts w:ascii="Arial" w:hAnsi="Arial" w:cs="Arial"/>
          <w:bCs/>
          <w:lang w:val="en-US"/>
        </w:rPr>
        <w:t xml:space="preserve">had </w:t>
      </w:r>
      <w:r w:rsidR="00BF274A" w:rsidRPr="00A51255">
        <w:rPr>
          <w:rFonts w:ascii="Arial" w:hAnsi="Arial" w:cs="Arial"/>
          <w:bCs/>
          <w:lang w:val="en-US"/>
        </w:rPr>
        <w:t xml:space="preserve">affected investor reaction and </w:t>
      </w:r>
      <w:r w:rsidR="009E021A" w:rsidRPr="00A51255">
        <w:rPr>
          <w:rFonts w:ascii="Arial" w:hAnsi="Arial" w:cs="Arial"/>
          <w:bCs/>
          <w:lang w:val="en-US"/>
        </w:rPr>
        <w:t xml:space="preserve">hence </w:t>
      </w:r>
      <w:r w:rsidR="00BF274A" w:rsidRPr="00A51255">
        <w:rPr>
          <w:rFonts w:ascii="Arial" w:hAnsi="Arial" w:cs="Arial"/>
          <w:bCs/>
          <w:lang w:val="en-US"/>
        </w:rPr>
        <w:t>t</w:t>
      </w:r>
      <w:r w:rsidR="00685E28" w:rsidRPr="00A51255">
        <w:rPr>
          <w:rFonts w:ascii="Arial" w:hAnsi="Arial" w:cs="Arial"/>
          <w:bCs/>
          <w:lang w:val="en-US"/>
        </w:rPr>
        <w:t>he determin</w:t>
      </w:r>
      <w:r w:rsidR="007258DA" w:rsidRPr="00A51255">
        <w:rPr>
          <w:rFonts w:ascii="Arial" w:hAnsi="Arial" w:cs="Arial"/>
          <w:bCs/>
          <w:lang w:val="en-US"/>
        </w:rPr>
        <w:t>ation of the euro exchange rate.</w:t>
      </w:r>
    </w:p>
    <w:p w:rsidR="00525DFC" w:rsidRPr="00A51255" w:rsidRDefault="00525DFC" w:rsidP="00B93538">
      <w:pPr>
        <w:spacing w:line="480" w:lineRule="auto"/>
        <w:ind w:firstLine="708"/>
        <w:jc w:val="both"/>
        <w:rPr>
          <w:rFonts w:ascii="Arial" w:hAnsi="Arial" w:cs="Arial"/>
          <w:lang w:val="en-US"/>
        </w:rPr>
      </w:pPr>
      <w:r w:rsidRPr="00A51255">
        <w:rPr>
          <w:rFonts w:ascii="Arial" w:hAnsi="Arial"/>
          <w:lang w:val="en-US"/>
        </w:rPr>
        <w:t xml:space="preserve">Studying the Polish foreign exchange market is </w:t>
      </w:r>
      <w:r w:rsidR="00B303BD">
        <w:rPr>
          <w:rFonts w:ascii="Arial" w:hAnsi="Arial"/>
          <w:lang w:val="en-US"/>
        </w:rPr>
        <w:t xml:space="preserve">both </w:t>
      </w:r>
      <w:r w:rsidRPr="00A51255">
        <w:rPr>
          <w:rFonts w:ascii="Arial" w:hAnsi="Arial"/>
          <w:lang w:val="en-US"/>
        </w:rPr>
        <w:t xml:space="preserve">interesting and important for </w:t>
      </w:r>
      <w:r w:rsidR="00DC4ADC" w:rsidRPr="00A51255">
        <w:rPr>
          <w:rFonts w:ascii="Arial" w:hAnsi="Arial"/>
          <w:lang w:val="en-US"/>
        </w:rPr>
        <w:t xml:space="preserve">several </w:t>
      </w:r>
      <w:r w:rsidR="009A65B6" w:rsidRPr="00A51255">
        <w:rPr>
          <w:rFonts w:ascii="Arial" w:hAnsi="Arial"/>
          <w:lang w:val="en-US"/>
        </w:rPr>
        <w:t xml:space="preserve">other </w:t>
      </w:r>
      <w:r w:rsidRPr="00A51255">
        <w:rPr>
          <w:rFonts w:ascii="Arial" w:hAnsi="Arial"/>
          <w:lang w:val="en-US"/>
        </w:rPr>
        <w:t>reasons.</w:t>
      </w:r>
      <w:r w:rsidR="00B93538" w:rsidRPr="00A51255">
        <w:rPr>
          <w:rFonts w:ascii="Arial" w:hAnsi="Arial"/>
          <w:lang w:val="en-US"/>
        </w:rPr>
        <w:t xml:space="preserve"> </w:t>
      </w:r>
      <w:r w:rsidRPr="00A51255">
        <w:rPr>
          <w:rFonts w:ascii="Arial" w:hAnsi="Arial" w:cs="Arial"/>
          <w:lang w:val="en-US"/>
        </w:rPr>
        <w:t>First, there is scant evidence on the impact of public information arrival in newly emerging European financial markets. It is well known that public information arrival</w:t>
      </w:r>
      <w:r w:rsidR="007F0F49" w:rsidRPr="00A51255">
        <w:rPr>
          <w:rFonts w:ascii="Arial" w:hAnsi="Arial" w:cs="Arial"/>
          <w:lang w:val="en-US"/>
        </w:rPr>
        <w:t>, typically measured by the publicly released economic and financial data,</w:t>
      </w:r>
      <w:r w:rsidRPr="00A51255">
        <w:rPr>
          <w:rFonts w:ascii="Arial" w:hAnsi="Arial" w:cs="Arial"/>
          <w:lang w:val="en-US"/>
        </w:rPr>
        <w:t xml:space="preserve"> is a building block of many theoretical mode</w:t>
      </w:r>
      <w:r w:rsidR="00FA63F8" w:rsidRPr="00A51255">
        <w:rPr>
          <w:rFonts w:ascii="Arial" w:hAnsi="Arial" w:cs="Arial"/>
          <w:lang w:val="en-US"/>
        </w:rPr>
        <w:t>ls of asset price determination</w:t>
      </w:r>
      <w:r w:rsidRPr="00A51255">
        <w:rPr>
          <w:rFonts w:ascii="Arial" w:hAnsi="Arial" w:cs="Arial"/>
          <w:lang w:val="en-US"/>
        </w:rPr>
        <w:t>.</w:t>
      </w:r>
      <w:r w:rsidRPr="00A51255">
        <w:rPr>
          <w:rStyle w:val="FootnoteReference"/>
          <w:rFonts w:ascii="Arial" w:hAnsi="Arial" w:cs="Arial"/>
        </w:rPr>
        <w:footnoteReference w:id="1"/>
      </w:r>
      <w:r w:rsidRPr="00A51255">
        <w:rPr>
          <w:rFonts w:ascii="Arial" w:hAnsi="Arial" w:cs="Arial"/>
          <w:lang w:val="en-US"/>
        </w:rPr>
        <w:t xml:space="preserve"> Although the empirical evidence on linking public information to asset market behavior is still accumulating, the main focus has been </w:t>
      </w:r>
      <w:r w:rsidR="007F0F49" w:rsidRPr="00A51255">
        <w:rPr>
          <w:rFonts w:ascii="Arial" w:hAnsi="Arial" w:cs="Arial"/>
          <w:lang w:val="en-US"/>
        </w:rPr>
        <w:t xml:space="preserve">mostly </w:t>
      </w:r>
      <w:r w:rsidRPr="00A51255">
        <w:rPr>
          <w:rFonts w:ascii="Arial" w:hAnsi="Arial" w:cs="Arial"/>
          <w:lang w:val="en-US"/>
        </w:rPr>
        <w:t>on industrial countries.</w:t>
      </w:r>
      <w:r w:rsidRPr="00A51255">
        <w:rPr>
          <w:rStyle w:val="FootnoteReference"/>
          <w:rFonts w:ascii="Arial" w:hAnsi="Arial" w:cs="Arial"/>
        </w:rPr>
        <w:footnoteReference w:id="2"/>
      </w:r>
      <w:r w:rsidRPr="00A51255">
        <w:rPr>
          <w:rFonts w:ascii="Arial" w:hAnsi="Arial" w:cs="Arial"/>
          <w:lang w:val="en-US"/>
        </w:rPr>
        <w:t xml:space="preserve"> Previous studies that have tested the importance of public information in explaining variation in asset returns </w:t>
      </w:r>
      <w:r w:rsidR="008D34B0" w:rsidRPr="00A51255">
        <w:rPr>
          <w:rFonts w:ascii="Arial" w:hAnsi="Arial" w:cs="Arial"/>
          <w:lang w:val="en-US"/>
        </w:rPr>
        <w:t xml:space="preserve">in advanced markets </w:t>
      </w:r>
      <w:r w:rsidR="00ED2A2F" w:rsidRPr="00A51255">
        <w:rPr>
          <w:rFonts w:ascii="Arial" w:hAnsi="Arial" w:cs="Arial"/>
          <w:lang w:val="en-US"/>
        </w:rPr>
        <w:t>typically</w:t>
      </w:r>
      <w:r w:rsidR="008D34B0" w:rsidRPr="00A51255">
        <w:rPr>
          <w:rFonts w:ascii="Arial" w:hAnsi="Arial" w:cs="Arial"/>
          <w:lang w:val="en-US"/>
        </w:rPr>
        <w:t xml:space="preserve"> </w:t>
      </w:r>
      <w:r w:rsidRPr="00A51255">
        <w:rPr>
          <w:rFonts w:ascii="Arial" w:hAnsi="Arial" w:cs="Arial"/>
          <w:lang w:val="en-US"/>
        </w:rPr>
        <w:t>indicate mixed evidence.</w:t>
      </w:r>
      <w:r w:rsidRPr="00A51255">
        <w:rPr>
          <w:rStyle w:val="FootnoteReference"/>
          <w:rFonts w:ascii="Arial" w:hAnsi="Arial" w:cs="Arial"/>
        </w:rPr>
        <w:footnoteReference w:id="3"/>
      </w:r>
      <w:r w:rsidRPr="00A51255">
        <w:rPr>
          <w:rFonts w:ascii="Arial" w:hAnsi="Arial" w:cs="Arial"/>
          <w:lang w:val="en-US"/>
        </w:rPr>
        <w:t xml:space="preserve"> Thus, our paper providing further evidence on the importance of public information arrival in an emerging EU market, contained in central bank announcements in the Polish foreign exchange market, </w:t>
      </w:r>
      <w:r w:rsidR="00DC4ADC" w:rsidRPr="00A51255">
        <w:rPr>
          <w:rFonts w:ascii="Arial" w:hAnsi="Arial" w:cs="Arial"/>
          <w:lang w:val="en-US"/>
        </w:rPr>
        <w:t>contributes to</w:t>
      </w:r>
      <w:r w:rsidRPr="00A51255">
        <w:rPr>
          <w:rFonts w:ascii="Arial" w:hAnsi="Arial" w:cs="Arial"/>
          <w:lang w:val="en-US"/>
        </w:rPr>
        <w:t xml:space="preserve"> this line of literature.</w:t>
      </w:r>
      <w:r w:rsidR="00B93538" w:rsidRPr="00A51255">
        <w:rPr>
          <w:rFonts w:ascii="Arial" w:hAnsi="Arial" w:cs="Arial"/>
          <w:lang w:val="en-US"/>
        </w:rPr>
        <w:t xml:space="preserve"> To </w:t>
      </w:r>
      <w:r w:rsidR="00B303BD">
        <w:rPr>
          <w:rFonts w:ascii="Arial" w:hAnsi="Arial" w:cs="Arial"/>
          <w:lang w:val="en-US"/>
        </w:rPr>
        <w:t>the</w:t>
      </w:r>
      <w:r w:rsidR="00B93538" w:rsidRPr="00A51255">
        <w:rPr>
          <w:rFonts w:ascii="Arial" w:hAnsi="Arial" w:cs="Arial"/>
          <w:lang w:val="en-US"/>
        </w:rPr>
        <w:t xml:space="preserve"> best </w:t>
      </w:r>
      <w:r w:rsidR="00B303BD">
        <w:rPr>
          <w:rFonts w:ascii="Arial" w:hAnsi="Arial" w:cs="Arial"/>
          <w:lang w:val="en-US"/>
        </w:rPr>
        <w:t xml:space="preserve">of our </w:t>
      </w:r>
      <w:r w:rsidR="00B93538" w:rsidRPr="00A51255">
        <w:rPr>
          <w:rFonts w:ascii="Arial" w:hAnsi="Arial" w:cs="Arial"/>
          <w:lang w:val="en-US"/>
        </w:rPr>
        <w:t>knowledge, there is hardly any evidence on the significance of public information arrival in Poland.</w:t>
      </w:r>
      <w:r w:rsidR="00B93538" w:rsidRPr="00A51255">
        <w:rPr>
          <w:rStyle w:val="FootnoteReference"/>
          <w:rFonts w:ascii="Arial" w:hAnsi="Arial" w:cs="Arial"/>
          <w:lang w:val="en-US"/>
        </w:rPr>
        <w:footnoteReference w:id="4"/>
      </w:r>
    </w:p>
    <w:p w:rsidR="00490EA4" w:rsidRPr="00A51255" w:rsidRDefault="00525DFC">
      <w:pPr>
        <w:spacing w:line="480" w:lineRule="auto"/>
        <w:ind w:firstLine="708"/>
        <w:jc w:val="both"/>
        <w:rPr>
          <w:rFonts w:ascii="Arial" w:hAnsi="Arial"/>
          <w:lang w:val="en-US"/>
        </w:rPr>
      </w:pPr>
      <w:r w:rsidRPr="00A51255">
        <w:rPr>
          <w:rFonts w:ascii="Arial" w:hAnsi="Arial"/>
          <w:lang w:val="en-US"/>
        </w:rPr>
        <w:t>Second, the establishment of independent central banks in CEE countries is relatively new</w:t>
      </w:r>
      <w:r w:rsidR="00B303BD">
        <w:rPr>
          <w:rFonts w:ascii="Arial" w:hAnsi="Arial"/>
          <w:lang w:val="en-US"/>
        </w:rPr>
        <w:t>,</w:t>
      </w:r>
      <w:r w:rsidRPr="00A51255">
        <w:rPr>
          <w:rFonts w:ascii="Arial" w:hAnsi="Arial"/>
          <w:lang w:val="en-US"/>
        </w:rPr>
        <w:t xml:space="preserve"> and there is therefore not much </w:t>
      </w:r>
      <w:r w:rsidR="00ED2A2F" w:rsidRPr="00A51255">
        <w:rPr>
          <w:rFonts w:ascii="Arial" w:hAnsi="Arial"/>
          <w:lang w:val="en-US"/>
        </w:rPr>
        <w:t xml:space="preserve">accumulated evidence </w:t>
      </w:r>
      <w:r w:rsidR="00B303BD">
        <w:rPr>
          <w:rFonts w:ascii="Arial" w:hAnsi="Arial"/>
          <w:lang w:val="en-US"/>
        </w:rPr>
        <w:t xml:space="preserve">regarding </w:t>
      </w:r>
      <w:r w:rsidR="00ED2A2F" w:rsidRPr="00A51255">
        <w:rPr>
          <w:rFonts w:ascii="Arial" w:hAnsi="Arial"/>
          <w:lang w:val="en-US"/>
        </w:rPr>
        <w:t>whe</w:t>
      </w:r>
      <w:r w:rsidRPr="00A51255">
        <w:rPr>
          <w:rFonts w:ascii="Arial" w:hAnsi="Arial"/>
          <w:lang w:val="en-US"/>
        </w:rPr>
        <w:t xml:space="preserve">ther central bank announcements </w:t>
      </w:r>
      <w:r w:rsidR="00B93538" w:rsidRPr="00A51255">
        <w:rPr>
          <w:rFonts w:ascii="Arial" w:hAnsi="Arial"/>
          <w:lang w:val="en-US"/>
        </w:rPr>
        <w:t xml:space="preserve">in these economies </w:t>
      </w:r>
      <w:r w:rsidRPr="00A51255">
        <w:rPr>
          <w:rFonts w:ascii="Arial" w:hAnsi="Arial"/>
          <w:lang w:val="en-US"/>
        </w:rPr>
        <w:t xml:space="preserve">can create wealth effects </w:t>
      </w:r>
      <w:r w:rsidRPr="00A51255">
        <w:rPr>
          <w:rFonts w:ascii="Arial" w:hAnsi="Arial"/>
          <w:i/>
          <w:lang w:val="en-US"/>
        </w:rPr>
        <w:t>via</w:t>
      </w:r>
      <w:r w:rsidRPr="00A51255">
        <w:rPr>
          <w:rFonts w:ascii="Arial" w:hAnsi="Arial"/>
          <w:lang w:val="en-US"/>
        </w:rPr>
        <w:t xml:space="preserve"> movements in foreign exchange rates</w:t>
      </w:r>
      <w:r w:rsidR="008D34B0" w:rsidRPr="00A51255">
        <w:rPr>
          <w:rFonts w:ascii="Arial" w:hAnsi="Arial"/>
          <w:lang w:val="en-US"/>
        </w:rPr>
        <w:t xml:space="preserve"> </w:t>
      </w:r>
      <w:r w:rsidR="00490EA4" w:rsidRPr="00A51255">
        <w:rPr>
          <w:rFonts w:ascii="Arial" w:hAnsi="Arial"/>
          <w:lang w:val="en-US"/>
        </w:rPr>
        <w:t xml:space="preserve">and </w:t>
      </w:r>
      <w:r w:rsidR="007E3209">
        <w:rPr>
          <w:rFonts w:ascii="Arial" w:hAnsi="Arial"/>
          <w:lang w:val="en-US"/>
        </w:rPr>
        <w:t xml:space="preserve">if they can </w:t>
      </w:r>
      <w:r w:rsidR="009B0E02" w:rsidRPr="00A51255">
        <w:rPr>
          <w:rFonts w:ascii="Arial" w:hAnsi="Arial"/>
          <w:lang w:val="en-US"/>
        </w:rPr>
        <w:t xml:space="preserve">reduce </w:t>
      </w:r>
      <w:r w:rsidR="00DC4ADC" w:rsidRPr="00A51255">
        <w:rPr>
          <w:rFonts w:ascii="Arial" w:hAnsi="Arial"/>
          <w:lang w:val="en-US"/>
        </w:rPr>
        <w:t>market uncertainty</w:t>
      </w:r>
      <w:r w:rsidR="00153948" w:rsidRPr="00A51255">
        <w:rPr>
          <w:rFonts w:ascii="Arial" w:hAnsi="Arial"/>
          <w:lang w:val="en-US"/>
        </w:rPr>
        <w:t>.</w:t>
      </w:r>
      <w:r w:rsidR="00143BE2" w:rsidRPr="00A51255">
        <w:rPr>
          <w:rFonts w:ascii="Arial" w:hAnsi="Arial"/>
          <w:lang w:val="en-US"/>
        </w:rPr>
        <w:t xml:space="preserve"> </w:t>
      </w:r>
    </w:p>
    <w:p w:rsidR="00525DFC" w:rsidRPr="00A51255" w:rsidRDefault="00490EA4">
      <w:pPr>
        <w:spacing w:line="480" w:lineRule="auto"/>
        <w:ind w:firstLine="708"/>
        <w:jc w:val="both"/>
        <w:rPr>
          <w:rFonts w:ascii="Arial" w:hAnsi="Arial"/>
          <w:bCs/>
          <w:lang w:val="en-US"/>
        </w:rPr>
      </w:pPr>
      <w:r w:rsidRPr="00A51255">
        <w:rPr>
          <w:rFonts w:ascii="Arial" w:hAnsi="Arial"/>
          <w:lang w:val="en-US"/>
        </w:rPr>
        <w:lastRenderedPageBreak/>
        <w:t xml:space="preserve">Third, </w:t>
      </w:r>
      <w:r w:rsidR="008D34B0" w:rsidRPr="00A51255">
        <w:rPr>
          <w:rFonts w:ascii="Arial" w:hAnsi="Arial"/>
          <w:lang w:val="en-US"/>
        </w:rPr>
        <w:t xml:space="preserve">understanding the empirical link between </w:t>
      </w:r>
      <w:r w:rsidR="00525DFC" w:rsidRPr="00A51255">
        <w:rPr>
          <w:rFonts w:ascii="Arial" w:hAnsi="Arial"/>
          <w:lang w:val="en-US"/>
        </w:rPr>
        <w:t xml:space="preserve">monetary policy announcements, including those of money supply </w:t>
      </w:r>
      <w:r w:rsidR="008D34B0" w:rsidRPr="00A51255">
        <w:rPr>
          <w:rFonts w:ascii="Arial" w:hAnsi="Arial"/>
          <w:lang w:val="en-US"/>
        </w:rPr>
        <w:t>and exchange rate changes</w:t>
      </w:r>
      <w:r w:rsidR="005D551B" w:rsidRPr="00A51255">
        <w:rPr>
          <w:rFonts w:ascii="Arial" w:hAnsi="Arial"/>
          <w:lang w:val="en-US"/>
        </w:rPr>
        <w:t>,</w:t>
      </w:r>
      <w:r w:rsidR="008D34B0" w:rsidRPr="00A51255">
        <w:rPr>
          <w:rFonts w:ascii="Arial" w:hAnsi="Arial"/>
          <w:lang w:val="en-US"/>
        </w:rPr>
        <w:t xml:space="preserve"> </w:t>
      </w:r>
      <w:r w:rsidR="00525DFC" w:rsidRPr="00A51255">
        <w:rPr>
          <w:rFonts w:ascii="Arial" w:hAnsi="Arial"/>
          <w:lang w:val="en-US"/>
        </w:rPr>
        <w:t>help</w:t>
      </w:r>
      <w:r w:rsidR="005D551B" w:rsidRPr="00A51255">
        <w:rPr>
          <w:rFonts w:ascii="Arial" w:hAnsi="Arial"/>
          <w:lang w:val="en-US"/>
        </w:rPr>
        <w:t>s</w:t>
      </w:r>
      <w:r w:rsidR="00525DFC" w:rsidRPr="00A51255">
        <w:rPr>
          <w:rFonts w:ascii="Arial" w:hAnsi="Arial"/>
          <w:lang w:val="en-US"/>
        </w:rPr>
        <w:t xml:space="preserve"> better understand how monetary transmission mechanism works</w:t>
      </w:r>
      <w:r w:rsidR="002C711A" w:rsidRPr="00A51255">
        <w:rPr>
          <w:rFonts w:ascii="Arial" w:hAnsi="Arial"/>
          <w:lang w:val="en-US"/>
        </w:rPr>
        <w:t xml:space="preserve"> in emerging economies </w:t>
      </w:r>
      <w:r w:rsidR="009B0E02" w:rsidRPr="00A51255">
        <w:rPr>
          <w:rFonts w:ascii="Arial" w:hAnsi="Arial"/>
          <w:lang w:val="en-US"/>
        </w:rPr>
        <w:t xml:space="preserve">under </w:t>
      </w:r>
      <w:r w:rsidR="009A65B6" w:rsidRPr="00A51255">
        <w:rPr>
          <w:rFonts w:ascii="Arial" w:hAnsi="Arial"/>
          <w:lang w:val="en-US"/>
        </w:rPr>
        <w:t xml:space="preserve">significant </w:t>
      </w:r>
      <w:r w:rsidR="002C711A" w:rsidRPr="00A51255">
        <w:rPr>
          <w:rFonts w:ascii="Arial" w:hAnsi="Arial"/>
          <w:lang w:val="en-US"/>
        </w:rPr>
        <w:t>institutional changes</w:t>
      </w:r>
      <w:r w:rsidR="00525DFC" w:rsidRPr="00A51255">
        <w:rPr>
          <w:rFonts w:ascii="Arial" w:hAnsi="Arial"/>
          <w:lang w:val="en-US"/>
        </w:rPr>
        <w:t>. Although the Polish market is</w:t>
      </w:r>
      <w:r w:rsidR="00EF238E" w:rsidRPr="00A51255">
        <w:rPr>
          <w:rFonts w:ascii="Arial" w:hAnsi="Arial"/>
          <w:lang w:val="en-US"/>
        </w:rPr>
        <w:t xml:space="preserve"> </w:t>
      </w:r>
      <w:r w:rsidR="00525DFC" w:rsidRPr="00A51255">
        <w:rPr>
          <w:rFonts w:ascii="Arial" w:hAnsi="Arial"/>
          <w:lang w:val="en-US"/>
        </w:rPr>
        <w:t xml:space="preserve">relatively small, it is very dynamic </w:t>
      </w:r>
      <w:r w:rsidR="00636567" w:rsidRPr="00A51255">
        <w:rPr>
          <w:rFonts w:ascii="Arial" w:hAnsi="Arial"/>
          <w:lang w:val="en-US"/>
        </w:rPr>
        <w:t xml:space="preserve">and </w:t>
      </w:r>
      <w:r w:rsidR="00B303BD">
        <w:rPr>
          <w:rFonts w:ascii="Arial" w:hAnsi="Arial"/>
          <w:lang w:val="en-US"/>
        </w:rPr>
        <w:t xml:space="preserve">has </w:t>
      </w:r>
      <w:r w:rsidR="00636567" w:rsidRPr="00A51255">
        <w:rPr>
          <w:rFonts w:ascii="Arial" w:hAnsi="Arial"/>
          <w:lang w:val="en-US"/>
        </w:rPr>
        <w:t>grow</w:t>
      </w:r>
      <w:r w:rsidR="00B303BD">
        <w:rPr>
          <w:rFonts w:ascii="Arial" w:hAnsi="Arial"/>
          <w:lang w:val="en-US"/>
        </w:rPr>
        <w:t>n</w:t>
      </w:r>
      <w:r w:rsidR="00525DFC" w:rsidRPr="00A51255">
        <w:rPr>
          <w:rFonts w:ascii="Arial" w:hAnsi="Arial"/>
          <w:lang w:val="en-US"/>
        </w:rPr>
        <w:t xml:space="preserve"> rapidly. </w:t>
      </w:r>
      <w:r w:rsidR="00B7115F" w:rsidRPr="00A51255">
        <w:rPr>
          <w:rFonts w:ascii="Arial" w:hAnsi="Arial"/>
          <w:lang w:val="en-US"/>
        </w:rPr>
        <w:t>It is</w:t>
      </w:r>
      <w:r w:rsidR="002A3E74">
        <w:rPr>
          <w:rFonts w:ascii="Arial" w:hAnsi="Arial"/>
          <w:lang w:val="en-US"/>
        </w:rPr>
        <w:t xml:space="preserve"> </w:t>
      </w:r>
      <w:r w:rsidR="00B7115F" w:rsidRPr="00A51255">
        <w:rPr>
          <w:rFonts w:ascii="Arial" w:hAnsi="Arial"/>
          <w:lang w:val="en-US"/>
        </w:rPr>
        <w:t>by far the largest financial market and the biggest economy in the CEE region. It</w:t>
      </w:r>
      <w:r w:rsidR="00525DFC" w:rsidRPr="00A51255">
        <w:rPr>
          <w:rFonts w:ascii="Arial" w:hAnsi="Arial"/>
          <w:lang w:val="en-US"/>
        </w:rPr>
        <w:t xml:space="preserve"> is expected that such a transmission channel, if it exists, will play a much more important role in the near future as </w:t>
      </w:r>
      <w:r w:rsidR="002C711A" w:rsidRPr="00A51255">
        <w:rPr>
          <w:rFonts w:ascii="Arial" w:hAnsi="Arial"/>
          <w:lang w:val="en-US"/>
        </w:rPr>
        <w:t xml:space="preserve">the National Bank of Poland becomes </w:t>
      </w:r>
      <w:r w:rsidR="00C61DA1" w:rsidRPr="00A51255">
        <w:rPr>
          <w:rFonts w:ascii="Arial" w:hAnsi="Arial"/>
          <w:lang w:val="en-US"/>
        </w:rPr>
        <w:t xml:space="preserve">much </w:t>
      </w:r>
      <w:r w:rsidR="002C711A" w:rsidRPr="00A51255">
        <w:rPr>
          <w:rFonts w:ascii="Arial" w:hAnsi="Arial"/>
          <w:lang w:val="en-US"/>
        </w:rPr>
        <w:t>stronger institutionally</w:t>
      </w:r>
      <w:r w:rsidR="00B303BD">
        <w:rPr>
          <w:rFonts w:ascii="Arial" w:hAnsi="Arial"/>
          <w:lang w:val="en-US"/>
        </w:rPr>
        <w:t>,</w:t>
      </w:r>
      <w:r w:rsidR="00654663" w:rsidRPr="00A51255">
        <w:rPr>
          <w:rFonts w:ascii="Arial" w:hAnsi="Arial"/>
          <w:lang w:val="en-US"/>
        </w:rPr>
        <w:t xml:space="preserve"> and</w:t>
      </w:r>
      <w:r w:rsidR="002C711A" w:rsidRPr="00A51255">
        <w:rPr>
          <w:rFonts w:ascii="Arial" w:hAnsi="Arial"/>
          <w:lang w:val="en-US"/>
        </w:rPr>
        <w:t xml:space="preserve"> </w:t>
      </w:r>
      <w:r w:rsidR="00C61DA1" w:rsidRPr="00A51255">
        <w:rPr>
          <w:rFonts w:ascii="Arial" w:hAnsi="Arial"/>
          <w:lang w:val="en-US"/>
        </w:rPr>
        <w:t xml:space="preserve">as </w:t>
      </w:r>
      <w:r w:rsidR="00525DFC" w:rsidRPr="00A51255">
        <w:rPr>
          <w:rFonts w:ascii="Arial" w:hAnsi="Arial"/>
          <w:lang w:val="en-US"/>
        </w:rPr>
        <w:t xml:space="preserve">Poland becomes an important financial market in the region and prepares for </w:t>
      </w:r>
      <w:r w:rsidR="00674FA0">
        <w:rPr>
          <w:rFonts w:ascii="Arial" w:hAnsi="Arial"/>
          <w:lang w:val="en-US"/>
        </w:rPr>
        <w:t>Eurozone</w:t>
      </w:r>
      <w:r w:rsidR="00525DFC" w:rsidRPr="00A51255">
        <w:rPr>
          <w:rFonts w:ascii="Arial" w:hAnsi="Arial"/>
          <w:lang w:val="en-US"/>
        </w:rPr>
        <w:t xml:space="preserve"> membership. </w:t>
      </w:r>
      <w:r w:rsidR="00FA63F8" w:rsidRPr="00A51255">
        <w:rPr>
          <w:rFonts w:ascii="Arial" w:hAnsi="Arial"/>
          <w:bCs/>
          <w:lang w:val="en-US"/>
        </w:rPr>
        <w:t xml:space="preserve">If a significant empirical link </w:t>
      </w:r>
      <w:r w:rsidR="005755B0" w:rsidRPr="00A51255">
        <w:rPr>
          <w:rFonts w:ascii="Arial" w:hAnsi="Arial"/>
          <w:bCs/>
          <w:lang w:val="en-US"/>
        </w:rPr>
        <w:t xml:space="preserve">exists </w:t>
      </w:r>
      <w:r w:rsidR="00FA63F8" w:rsidRPr="00A51255">
        <w:rPr>
          <w:rFonts w:ascii="Arial" w:hAnsi="Arial"/>
          <w:bCs/>
          <w:lang w:val="en-US"/>
        </w:rPr>
        <w:t>between monetary policy announcements and foreign exchange market activity</w:t>
      </w:r>
      <w:r w:rsidR="005755B0" w:rsidRPr="00A51255">
        <w:rPr>
          <w:rFonts w:ascii="Arial" w:hAnsi="Arial"/>
          <w:bCs/>
          <w:lang w:val="en-US"/>
        </w:rPr>
        <w:t>, then e</w:t>
      </w:r>
      <w:r w:rsidR="00525DFC" w:rsidRPr="00A51255">
        <w:rPr>
          <w:rFonts w:ascii="Arial" w:hAnsi="Arial"/>
          <w:bCs/>
          <w:lang w:val="en-US"/>
        </w:rPr>
        <w:t xml:space="preserve">xchange rates could </w:t>
      </w:r>
      <w:r w:rsidR="00654663" w:rsidRPr="00A51255">
        <w:rPr>
          <w:rFonts w:ascii="Arial" w:hAnsi="Arial"/>
          <w:bCs/>
          <w:lang w:val="en-US"/>
        </w:rPr>
        <w:t>play a more important role</w:t>
      </w:r>
      <w:r w:rsidR="00525DFC" w:rsidRPr="00A51255">
        <w:rPr>
          <w:rFonts w:ascii="Arial" w:hAnsi="Arial"/>
          <w:bCs/>
          <w:lang w:val="en-US"/>
        </w:rPr>
        <w:t xml:space="preserve"> </w:t>
      </w:r>
      <w:r w:rsidR="00D558BC" w:rsidRPr="00A51255">
        <w:rPr>
          <w:rFonts w:ascii="Arial" w:hAnsi="Arial"/>
          <w:bCs/>
          <w:lang w:val="en-US"/>
        </w:rPr>
        <w:t xml:space="preserve">in </w:t>
      </w:r>
      <w:r w:rsidR="00525DFC" w:rsidRPr="00A51255">
        <w:rPr>
          <w:rFonts w:ascii="Arial" w:hAnsi="Arial"/>
          <w:bCs/>
          <w:lang w:val="en-US"/>
        </w:rPr>
        <w:t>monetary policy</w:t>
      </w:r>
      <w:r w:rsidR="005755B0" w:rsidRPr="00A51255">
        <w:rPr>
          <w:rFonts w:ascii="Arial" w:hAnsi="Arial"/>
          <w:bCs/>
          <w:lang w:val="en-US"/>
        </w:rPr>
        <w:t xml:space="preserve"> decisions or </w:t>
      </w:r>
      <w:r w:rsidR="00C61DA1" w:rsidRPr="00A51255">
        <w:rPr>
          <w:rFonts w:ascii="Arial" w:hAnsi="Arial"/>
          <w:bCs/>
          <w:lang w:val="en-US"/>
        </w:rPr>
        <w:t xml:space="preserve">policy </w:t>
      </w:r>
      <w:r w:rsidR="005755B0" w:rsidRPr="00A51255">
        <w:rPr>
          <w:rFonts w:ascii="Arial" w:hAnsi="Arial"/>
          <w:bCs/>
          <w:lang w:val="en-US"/>
        </w:rPr>
        <w:t>rules</w:t>
      </w:r>
      <w:r w:rsidR="00525DFC" w:rsidRPr="00A51255">
        <w:rPr>
          <w:rFonts w:ascii="Arial" w:hAnsi="Arial"/>
          <w:bCs/>
          <w:lang w:val="en-US"/>
        </w:rPr>
        <w:t>.</w:t>
      </w:r>
      <w:r w:rsidR="00525DFC" w:rsidRPr="00A51255">
        <w:rPr>
          <w:rFonts w:ascii="Arial" w:hAnsi="Arial"/>
          <w:lang w:val="en-US"/>
        </w:rPr>
        <w:t xml:space="preserve"> Hence, t</w:t>
      </w:r>
      <w:r w:rsidR="00525DFC" w:rsidRPr="00A51255">
        <w:rPr>
          <w:rFonts w:ascii="Arial" w:hAnsi="Arial"/>
          <w:bCs/>
          <w:lang w:val="en-US"/>
        </w:rPr>
        <w:t xml:space="preserve">his paper </w:t>
      </w:r>
      <w:r w:rsidR="00B303BD">
        <w:rPr>
          <w:rFonts w:ascii="Arial" w:hAnsi="Arial"/>
          <w:bCs/>
          <w:lang w:val="en-US"/>
        </w:rPr>
        <w:t xml:space="preserve">also </w:t>
      </w:r>
      <w:r w:rsidR="00525DFC" w:rsidRPr="00A51255">
        <w:rPr>
          <w:rFonts w:ascii="Arial" w:hAnsi="Arial"/>
          <w:bCs/>
          <w:lang w:val="en-US"/>
        </w:rPr>
        <w:t>contributes to the literature on the role of asset prices in the monetary transmission mechanism.</w:t>
      </w:r>
      <w:r w:rsidR="00525DFC" w:rsidRPr="00A51255">
        <w:rPr>
          <w:rStyle w:val="FootnoteReference"/>
          <w:rFonts w:ascii="Arial" w:hAnsi="Arial"/>
          <w:bCs/>
        </w:rPr>
        <w:footnoteReference w:id="5"/>
      </w:r>
    </w:p>
    <w:p w:rsidR="0056422A" w:rsidRPr="00E620A4" w:rsidRDefault="00474236" w:rsidP="0056422A">
      <w:pPr>
        <w:spacing w:line="480" w:lineRule="auto"/>
        <w:ind w:firstLine="708"/>
        <w:jc w:val="both"/>
        <w:rPr>
          <w:rFonts w:ascii="Arial" w:hAnsi="Arial"/>
          <w:szCs w:val="20"/>
          <w:lang w:val="en-US"/>
        </w:rPr>
      </w:pPr>
      <w:r w:rsidRPr="00E620A4">
        <w:rPr>
          <w:rFonts w:ascii="Arial" w:hAnsi="Arial"/>
          <w:szCs w:val="20"/>
          <w:lang w:val="en-US"/>
        </w:rPr>
        <w:t>Fourth</w:t>
      </w:r>
      <w:r w:rsidR="00FA63F8" w:rsidRPr="00E620A4">
        <w:rPr>
          <w:rFonts w:ascii="Arial" w:hAnsi="Arial"/>
          <w:szCs w:val="20"/>
          <w:lang w:val="en-US"/>
        </w:rPr>
        <w:t xml:space="preserve">, </w:t>
      </w:r>
      <w:r w:rsidR="009A65B6" w:rsidRPr="00E620A4">
        <w:rPr>
          <w:rFonts w:ascii="Arial" w:hAnsi="Arial"/>
          <w:szCs w:val="20"/>
          <w:lang w:val="en-US"/>
        </w:rPr>
        <w:t>investor reaction</w:t>
      </w:r>
      <w:r w:rsidR="00FA63F8" w:rsidRPr="00E620A4">
        <w:rPr>
          <w:rFonts w:ascii="Arial" w:hAnsi="Arial"/>
          <w:szCs w:val="20"/>
          <w:lang w:val="en-US"/>
        </w:rPr>
        <w:t xml:space="preserve"> in </w:t>
      </w:r>
      <w:r w:rsidR="005F4B6A" w:rsidRPr="00E620A4">
        <w:rPr>
          <w:rFonts w:ascii="Arial" w:hAnsi="Arial"/>
          <w:szCs w:val="20"/>
          <w:lang w:val="en-US"/>
        </w:rPr>
        <w:t>emerging markets</w:t>
      </w:r>
      <w:r w:rsidR="00FA63F8" w:rsidRPr="00E620A4">
        <w:rPr>
          <w:rFonts w:ascii="Arial" w:hAnsi="Arial"/>
          <w:szCs w:val="20"/>
          <w:lang w:val="en-US"/>
        </w:rPr>
        <w:t xml:space="preserve"> can be different </w:t>
      </w:r>
      <w:r w:rsidR="00B303BD">
        <w:rPr>
          <w:rFonts w:ascii="Arial" w:hAnsi="Arial"/>
          <w:szCs w:val="20"/>
          <w:lang w:val="en-US"/>
        </w:rPr>
        <w:t>from</w:t>
      </w:r>
      <w:r w:rsidR="00FA63F8" w:rsidRPr="00E620A4">
        <w:rPr>
          <w:rFonts w:ascii="Arial" w:hAnsi="Arial"/>
          <w:szCs w:val="20"/>
          <w:lang w:val="en-US"/>
        </w:rPr>
        <w:t xml:space="preserve"> that in other </w:t>
      </w:r>
      <w:r w:rsidR="005F4B6A" w:rsidRPr="00E620A4">
        <w:rPr>
          <w:rFonts w:ascii="Arial" w:hAnsi="Arial"/>
          <w:szCs w:val="20"/>
          <w:lang w:val="en-US"/>
        </w:rPr>
        <w:t>developed markets</w:t>
      </w:r>
      <w:r w:rsidR="00FA63F8" w:rsidRPr="00E620A4">
        <w:rPr>
          <w:rFonts w:ascii="Arial" w:hAnsi="Arial"/>
          <w:szCs w:val="20"/>
          <w:lang w:val="en-US"/>
        </w:rPr>
        <w:t xml:space="preserve"> due to different historical, cultural, and institutional factors that these countries have. In particular, investors may </w:t>
      </w:r>
      <w:r w:rsidR="009E3168" w:rsidRPr="00E620A4">
        <w:rPr>
          <w:rFonts w:ascii="Arial" w:hAnsi="Arial"/>
          <w:szCs w:val="20"/>
          <w:lang w:val="en-US"/>
        </w:rPr>
        <w:t xml:space="preserve">or may </w:t>
      </w:r>
      <w:r w:rsidR="00FA63F8" w:rsidRPr="00E620A4">
        <w:rPr>
          <w:rFonts w:ascii="Arial" w:hAnsi="Arial"/>
          <w:szCs w:val="20"/>
          <w:lang w:val="en-US"/>
        </w:rPr>
        <w:t xml:space="preserve">not react to “news” in a similar fashion </w:t>
      </w:r>
      <w:r w:rsidR="009E3168" w:rsidRPr="00E620A4">
        <w:rPr>
          <w:rFonts w:ascii="Arial" w:hAnsi="Arial"/>
          <w:szCs w:val="20"/>
          <w:lang w:val="en-US"/>
        </w:rPr>
        <w:t xml:space="preserve">as those in other </w:t>
      </w:r>
      <w:r w:rsidR="00DF5D87" w:rsidRPr="00E620A4">
        <w:rPr>
          <w:rFonts w:ascii="Arial" w:hAnsi="Arial"/>
          <w:szCs w:val="20"/>
          <w:lang w:val="en-US"/>
        </w:rPr>
        <w:t>developed</w:t>
      </w:r>
      <w:r w:rsidR="009E3168" w:rsidRPr="00E620A4">
        <w:rPr>
          <w:rFonts w:ascii="Arial" w:hAnsi="Arial"/>
          <w:szCs w:val="20"/>
          <w:lang w:val="en-US"/>
        </w:rPr>
        <w:t xml:space="preserve"> economies</w:t>
      </w:r>
      <w:r w:rsidR="00FA63F8" w:rsidRPr="00E620A4">
        <w:rPr>
          <w:rFonts w:ascii="Arial" w:hAnsi="Arial"/>
          <w:szCs w:val="20"/>
          <w:lang w:val="en-US"/>
        </w:rPr>
        <w:t xml:space="preserve"> do</w:t>
      </w:r>
      <w:r w:rsidR="0034302C" w:rsidRPr="00E620A4">
        <w:rPr>
          <w:rFonts w:ascii="Arial" w:hAnsi="Arial"/>
          <w:szCs w:val="20"/>
          <w:lang w:val="en-US"/>
        </w:rPr>
        <w:t>.</w:t>
      </w:r>
      <w:r w:rsidR="00DF5D87" w:rsidRPr="00E620A4">
        <w:rPr>
          <w:szCs w:val="20"/>
          <w:vertAlign w:val="superscript"/>
        </w:rPr>
        <w:footnoteReference w:id="6"/>
      </w:r>
      <w:r w:rsidR="009E3168" w:rsidRPr="00E620A4">
        <w:rPr>
          <w:rFonts w:ascii="Arial" w:hAnsi="Arial"/>
          <w:szCs w:val="20"/>
          <w:lang w:val="en-US"/>
        </w:rPr>
        <w:t xml:space="preserve"> </w:t>
      </w:r>
      <w:r w:rsidR="00E620A4">
        <w:rPr>
          <w:rFonts w:ascii="Arial" w:hAnsi="Arial"/>
          <w:szCs w:val="20"/>
          <w:lang w:val="en-US"/>
        </w:rPr>
        <w:t>O</w:t>
      </w:r>
      <w:r w:rsidR="001429CB" w:rsidRPr="00E620A4">
        <w:rPr>
          <w:rFonts w:ascii="Arial" w:hAnsi="Arial"/>
          <w:szCs w:val="20"/>
          <w:lang w:val="en-US"/>
        </w:rPr>
        <w:t>ur results also have implications for short-run investors</w:t>
      </w:r>
      <w:r w:rsidR="00373659">
        <w:rPr>
          <w:rFonts w:ascii="Arial" w:hAnsi="Arial"/>
          <w:szCs w:val="20"/>
          <w:lang w:val="en-US"/>
        </w:rPr>
        <w:t>,</w:t>
      </w:r>
      <w:r w:rsidR="001429CB" w:rsidRPr="00E620A4">
        <w:rPr>
          <w:rFonts w:ascii="Arial" w:hAnsi="Arial"/>
          <w:szCs w:val="20"/>
          <w:lang w:val="en-US"/>
        </w:rPr>
        <w:t xml:space="preserve"> </w:t>
      </w:r>
      <w:r w:rsidR="00B303BD">
        <w:rPr>
          <w:rFonts w:ascii="Arial" w:hAnsi="Arial"/>
          <w:szCs w:val="20"/>
          <w:lang w:val="en-US"/>
        </w:rPr>
        <w:t>such as</w:t>
      </w:r>
      <w:r w:rsidR="007111AD" w:rsidRPr="00E620A4">
        <w:rPr>
          <w:rFonts w:ascii="Arial" w:hAnsi="Arial"/>
          <w:szCs w:val="20"/>
          <w:lang w:val="en-US"/>
        </w:rPr>
        <w:t xml:space="preserve"> </w:t>
      </w:r>
      <w:r w:rsidR="009B0E02" w:rsidRPr="00E620A4">
        <w:rPr>
          <w:rFonts w:ascii="Arial" w:hAnsi="Arial"/>
          <w:szCs w:val="20"/>
          <w:lang w:val="en-US"/>
        </w:rPr>
        <w:t>speculators</w:t>
      </w:r>
      <w:r w:rsidR="00373659">
        <w:rPr>
          <w:rFonts w:ascii="Arial" w:hAnsi="Arial"/>
          <w:szCs w:val="20"/>
          <w:lang w:val="en-US"/>
        </w:rPr>
        <w:t>,</w:t>
      </w:r>
      <w:r w:rsidR="009B0E02" w:rsidRPr="00E620A4">
        <w:rPr>
          <w:rFonts w:ascii="Arial" w:hAnsi="Arial"/>
          <w:szCs w:val="20"/>
          <w:lang w:val="en-US"/>
        </w:rPr>
        <w:t xml:space="preserve"> </w:t>
      </w:r>
      <w:r w:rsidR="001429CB" w:rsidRPr="00E620A4">
        <w:rPr>
          <w:rFonts w:ascii="Arial" w:hAnsi="Arial"/>
          <w:szCs w:val="20"/>
          <w:lang w:val="en-US"/>
        </w:rPr>
        <w:t xml:space="preserve">as we provide </w:t>
      </w:r>
      <w:r w:rsidR="009B0E02" w:rsidRPr="00E620A4">
        <w:rPr>
          <w:rFonts w:ascii="Arial" w:hAnsi="Arial"/>
          <w:szCs w:val="20"/>
          <w:lang w:val="en-US"/>
        </w:rPr>
        <w:t xml:space="preserve">daily </w:t>
      </w:r>
      <w:r w:rsidR="001429CB" w:rsidRPr="00E620A4">
        <w:rPr>
          <w:rFonts w:ascii="Arial" w:hAnsi="Arial"/>
          <w:szCs w:val="20"/>
          <w:lang w:val="en-US"/>
        </w:rPr>
        <w:t xml:space="preserve">evidence </w:t>
      </w:r>
      <w:r w:rsidR="00B303BD">
        <w:rPr>
          <w:rFonts w:ascii="Arial" w:hAnsi="Arial"/>
          <w:szCs w:val="20"/>
          <w:lang w:val="en-US"/>
        </w:rPr>
        <w:t xml:space="preserve">regarding </w:t>
      </w:r>
      <w:r w:rsidR="001429CB" w:rsidRPr="00E620A4">
        <w:rPr>
          <w:rFonts w:ascii="Arial" w:hAnsi="Arial"/>
          <w:szCs w:val="20"/>
          <w:lang w:val="en-US"/>
        </w:rPr>
        <w:t xml:space="preserve">whether central bank communication creates significant changes in </w:t>
      </w:r>
      <w:r w:rsidR="007048A9" w:rsidRPr="00E620A4">
        <w:rPr>
          <w:rFonts w:ascii="Arial" w:hAnsi="Arial"/>
          <w:szCs w:val="20"/>
          <w:lang w:val="en-US"/>
        </w:rPr>
        <w:t xml:space="preserve">market returns </w:t>
      </w:r>
      <w:r w:rsidR="003C3FCC" w:rsidRPr="00E620A4">
        <w:rPr>
          <w:rFonts w:ascii="Arial" w:hAnsi="Arial"/>
          <w:szCs w:val="20"/>
          <w:lang w:val="en-US"/>
        </w:rPr>
        <w:t xml:space="preserve">affecting wealth </w:t>
      </w:r>
      <w:r w:rsidR="007048A9" w:rsidRPr="00E620A4">
        <w:rPr>
          <w:rFonts w:ascii="Arial" w:hAnsi="Arial"/>
          <w:szCs w:val="20"/>
          <w:lang w:val="en-US"/>
        </w:rPr>
        <w:t>and trading volume</w:t>
      </w:r>
      <w:r w:rsidR="00A33303" w:rsidRPr="00E620A4">
        <w:rPr>
          <w:rFonts w:ascii="Arial" w:hAnsi="Arial"/>
          <w:szCs w:val="20"/>
          <w:lang w:val="en-US"/>
        </w:rPr>
        <w:t>.</w:t>
      </w:r>
    </w:p>
    <w:p w:rsidR="00474236" w:rsidRPr="00A51255" w:rsidRDefault="00474236" w:rsidP="00474236">
      <w:pPr>
        <w:spacing w:line="480" w:lineRule="auto"/>
        <w:ind w:firstLine="708"/>
        <w:jc w:val="both"/>
        <w:rPr>
          <w:rFonts w:ascii="Arial" w:hAnsi="Arial" w:cs="Arial"/>
          <w:lang w:val="en-US"/>
        </w:rPr>
      </w:pPr>
      <w:r w:rsidRPr="003B4D95">
        <w:rPr>
          <w:rFonts w:ascii="Arial" w:hAnsi="Arial" w:cs="Arial"/>
          <w:lang w:val="en-US"/>
        </w:rPr>
        <w:t xml:space="preserve">Fifth, previous studies </w:t>
      </w:r>
      <w:r w:rsidR="005D1D7A" w:rsidRPr="003B4D95">
        <w:rPr>
          <w:rFonts w:ascii="Arial" w:hAnsi="Arial" w:cs="Arial"/>
          <w:lang w:val="en-US"/>
        </w:rPr>
        <w:t>(especially those using the data from the CEE countries) have focused mainly on stock markets</w:t>
      </w:r>
      <w:r w:rsidR="00B303BD">
        <w:rPr>
          <w:rFonts w:ascii="Arial" w:hAnsi="Arial" w:cs="Arial"/>
          <w:lang w:val="en-US"/>
        </w:rPr>
        <w:t>,</w:t>
      </w:r>
      <w:r w:rsidR="005D1D7A" w:rsidRPr="003B4D95">
        <w:rPr>
          <w:rFonts w:ascii="Arial" w:hAnsi="Arial" w:cs="Arial"/>
          <w:lang w:val="en-US"/>
        </w:rPr>
        <w:t xml:space="preserve"> </w:t>
      </w:r>
      <w:r w:rsidRPr="003B4D95">
        <w:rPr>
          <w:rFonts w:ascii="Arial" w:hAnsi="Arial" w:cs="Arial"/>
          <w:lang w:val="en-US"/>
        </w:rPr>
        <w:t>with hardly any evidence f</w:t>
      </w:r>
      <w:r w:rsidR="005D1D7A" w:rsidRPr="003B4D95">
        <w:rPr>
          <w:rFonts w:ascii="Arial" w:hAnsi="Arial" w:cs="Arial"/>
          <w:lang w:val="en-US"/>
        </w:rPr>
        <w:t xml:space="preserve">rom the foreign exchange </w:t>
      </w:r>
      <w:r w:rsidR="005D1D7A" w:rsidRPr="003B4D95">
        <w:rPr>
          <w:rFonts w:ascii="Arial" w:hAnsi="Arial" w:cs="Arial"/>
          <w:lang w:val="en-US"/>
        </w:rPr>
        <w:lastRenderedPageBreak/>
        <w:t>market</w:t>
      </w:r>
      <w:r w:rsidRPr="003B4D95">
        <w:rPr>
          <w:rFonts w:ascii="Arial" w:hAnsi="Arial"/>
          <w:szCs w:val="20"/>
          <w:lang w:val="en-US"/>
        </w:rPr>
        <w:t>.</w:t>
      </w:r>
      <w:r w:rsidRPr="003B4D95">
        <w:rPr>
          <w:rStyle w:val="FootnoteReference"/>
          <w:rFonts w:ascii="Arial" w:hAnsi="Arial"/>
          <w:szCs w:val="20"/>
          <w:lang w:val="en-US"/>
        </w:rPr>
        <w:footnoteReference w:id="7"/>
      </w:r>
      <w:r w:rsidRPr="003B4D95">
        <w:rPr>
          <w:rFonts w:ascii="Arial" w:hAnsi="Arial"/>
          <w:szCs w:val="20"/>
          <w:lang w:val="en-US"/>
        </w:rPr>
        <w:t xml:space="preserve"> </w:t>
      </w:r>
      <w:r w:rsidR="005D1D7A" w:rsidRPr="003B4D95">
        <w:rPr>
          <w:rFonts w:ascii="Arial" w:hAnsi="Arial"/>
          <w:szCs w:val="20"/>
          <w:lang w:val="en-US"/>
        </w:rPr>
        <w:t>Therefore</w:t>
      </w:r>
      <w:r w:rsidRPr="003B4D95">
        <w:rPr>
          <w:rFonts w:ascii="Arial" w:hAnsi="Arial" w:cs="Arial"/>
          <w:lang w:val="en-US"/>
        </w:rPr>
        <w:t>, we also fill the gap in the literature by providing new evidence on the impact of central bank announcements on foreign exchange market returns and volatility in Poland.</w:t>
      </w:r>
      <w:r w:rsidRPr="003B4D95">
        <w:rPr>
          <w:rStyle w:val="FootnoteReference"/>
          <w:rFonts w:ascii="Arial" w:hAnsi="Arial" w:cs="Arial"/>
          <w:lang w:val="en-US"/>
        </w:rPr>
        <w:footnoteReference w:id="8"/>
      </w:r>
    </w:p>
    <w:p w:rsidR="0056422A" w:rsidRPr="008373FF" w:rsidRDefault="005D1D7A" w:rsidP="0056422A">
      <w:pPr>
        <w:spacing w:line="480" w:lineRule="auto"/>
        <w:ind w:firstLine="708"/>
        <w:jc w:val="both"/>
        <w:rPr>
          <w:rFonts w:ascii="Arial" w:hAnsi="Arial"/>
          <w:szCs w:val="20"/>
          <w:lang w:val="en-US"/>
        </w:rPr>
      </w:pPr>
      <w:r w:rsidRPr="006C3C96">
        <w:rPr>
          <w:rFonts w:ascii="Arial" w:hAnsi="Arial"/>
          <w:szCs w:val="20"/>
          <w:lang w:val="en-US"/>
        </w:rPr>
        <w:t>The work that is closest</w:t>
      </w:r>
      <w:r w:rsidR="0056422A" w:rsidRPr="006C3C96">
        <w:rPr>
          <w:rFonts w:ascii="Arial" w:hAnsi="Arial"/>
          <w:szCs w:val="20"/>
          <w:lang w:val="en-US"/>
        </w:rPr>
        <w:t xml:space="preserve"> to ours is the</w:t>
      </w:r>
      <w:r w:rsidR="0056422A" w:rsidRPr="008373FF">
        <w:rPr>
          <w:rFonts w:ascii="Arial" w:hAnsi="Arial"/>
          <w:szCs w:val="20"/>
          <w:lang w:val="en-US"/>
        </w:rPr>
        <w:t xml:space="preserve"> undertaking by Serwa (2006) who provides evidence on the short-run reactions of the emerging financial market in Poland to domestic central bank monetary policy announcements, measured by changes in the official interest rate. </w:t>
      </w:r>
      <w:r w:rsidR="00D625B8">
        <w:rPr>
          <w:rFonts w:ascii="Arial" w:hAnsi="Arial"/>
          <w:szCs w:val="20"/>
          <w:lang w:val="en-US"/>
        </w:rPr>
        <w:t>F</w:t>
      </w:r>
      <w:r w:rsidR="00D625B8" w:rsidRPr="008373FF">
        <w:rPr>
          <w:rFonts w:ascii="Arial" w:hAnsi="Arial"/>
          <w:szCs w:val="20"/>
          <w:lang w:val="en-US"/>
        </w:rPr>
        <w:t xml:space="preserve">indings </w:t>
      </w:r>
      <w:r w:rsidR="00D625B8">
        <w:rPr>
          <w:rFonts w:ascii="Arial" w:hAnsi="Arial"/>
          <w:szCs w:val="20"/>
          <w:lang w:val="en-US"/>
        </w:rPr>
        <w:t xml:space="preserve">presented by </w:t>
      </w:r>
      <w:r w:rsidR="0056422A" w:rsidRPr="008373FF">
        <w:rPr>
          <w:rFonts w:ascii="Arial" w:hAnsi="Arial"/>
          <w:szCs w:val="20"/>
          <w:lang w:val="en-US"/>
        </w:rPr>
        <w:t xml:space="preserve">Serwa (2006) show that only the short-term interest rates respond significantly to the official interest changes but not the long-term interest rates, stock indices </w:t>
      </w:r>
      <w:r w:rsidR="004B64C8">
        <w:rPr>
          <w:rFonts w:ascii="Arial" w:hAnsi="Arial"/>
          <w:szCs w:val="20"/>
          <w:lang w:val="en-US"/>
        </w:rPr>
        <w:t>or</w:t>
      </w:r>
      <w:r w:rsidR="0056422A" w:rsidRPr="008373FF">
        <w:rPr>
          <w:rFonts w:ascii="Arial" w:hAnsi="Arial"/>
          <w:szCs w:val="20"/>
          <w:lang w:val="en-US"/>
        </w:rPr>
        <w:t xml:space="preserve"> foreign exchange rates. </w:t>
      </w:r>
      <w:r w:rsidR="00D625B8">
        <w:rPr>
          <w:rFonts w:ascii="Arial" w:hAnsi="Arial"/>
          <w:szCs w:val="20"/>
          <w:lang w:val="en-US"/>
        </w:rPr>
        <w:t xml:space="preserve">Serwa (2006) </w:t>
      </w:r>
      <w:r w:rsidR="0056422A" w:rsidRPr="008373FF">
        <w:rPr>
          <w:rFonts w:ascii="Arial" w:hAnsi="Arial"/>
          <w:szCs w:val="20"/>
          <w:lang w:val="en-US"/>
        </w:rPr>
        <w:t>concluded that the unexpected monetary policy changes have stronger influence on the money market than the nominal changes in the official interest rate on the days of the monetary policy announcements. Our paper is different from that work. While Serwa (2006) focuses on the official rate changes, we actually analyze a battery of announcements made by the Polish central bank, including those on monetary aggregates, and we do not cover official rate announcements. Most importantly, we employ a unique, proprietary, data set of foreign exchange market volume of trade that has not been used in the literature yet.</w:t>
      </w:r>
    </w:p>
    <w:p w:rsidR="00F12714" w:rsidRPr="008373FF" w:rsidRDefault="00195B27" w:rsidP="0056422A">
      <w:pPr>
        <w:spacing w:line="480" w:lineRule="auto"/>
        <w:ind w:firstLine="708"/>
        <w:jc w:val="both"/>
        <w:rPr>
          <w:rFonts w:ascii="Arial" w:hAnsi="Arial"/>
          <w:szCs w:val="20"/>
          <w:lang w:val="en-US"/>
        </w:rPr>
      </w:pPr>
      <w:r w:rsidRPr="008373FF">
        <w:rPr>
          <w:rFonts w:ascii="Arial" w:hAnsi="Arial"/>
          <w:szCs w:val="20"/>
          <w:lang w:val="en-US"/>
        </w:rPr>
        <w:t>In a</w:t>
      </w:r>
      <w:r w:rsidR="0071285D" w:rsidRPr="008373FF">
        <w:rPr>
          <w:rFonts w:ascii="Arial" w:hAnsi="Arial"/>
          <w:szCs w:val="20"/>
          <w:lang w:val="en-US"/>
        </w:rPr>
        <w:t>nother paper</w:t>
      </w:r>
      <w:r w:rsidRPr="008373FF">
        <w:rPr>
          <w:rFonts w:ascii="Arial" w:hAnsi="Arial"/>
          <w:szCs w:val="20"/>
          <w:lang w:val="en-US"/>
        </w:rPr>
        <w:t xml:space="preserve"> related </w:t>
      </w:r>
      <w:r w:rsidR="0071285D" w:rsidRPr="008373FF">
        <w:rPr>
          <w:rFonts w:ascii="Arial" w:hAnsi="Arial"/>
          <w:szCs w:val="20"/>
          <w:lang w:val="en-US"/>
        </w:rPr>
        <w:t>paper to ours,</w:t>
      </w:r>
      <w:r w:rsidRPr="008373FF">
        <w:rPr>
          <w:rFonts w:ascii="Arial" w:hAnsi="Arial"/>
          <w:szCs w:val="20"/>
          <w:lang w:val="en-US"/>
        </w:rPr>
        <w:t xml:space="preserve"> </w:t>
      </w:r>
      <w:r w:rsidR="002C711A" w:rsidRPr="008373FF">
        <w:rPr>
          <w:rFonts w:ascii="Arial" w:hAnsi="Arial"/>
          <w:szCs w:val="20"/>
          <w:lang w:val="en-US"/>
        </w:rPr>
        <w:t xml:space="preserve">Rozkrut et al. </w:t>
      </w:r>
      <w:r w:rsidR="00D745DE" w:rsidRPr="008373FF">
        <w:rPr>
          <w:rFonts w:ascii="Arial" w:hAnsi="Arial"/>
          <w:szCs w:val="20"/>
          <w:lang w:val="en-US"/>
        </w:rPr>
        <w:t>(2007)</w:t>
      </w:r>
      <w:r w:rsidR="002C711A" w:rsidRPr="008373FF">
        <w:rPr>
          <w:rFonts w:ascii="Arial" w:hAnsi="Arial"/>
          <w:szCs w:val="20"/>
          <w:lang w:val="en-US"/>
        </w:rPr>
        <w:t xml:space="preserve"> investigate</w:t>
      </w:r>
      <w:r w:rsidR="004B64C8">
        <w:rPr>
          <w:rFonts w:ascii="Arial" w:hAnsi="Arial"/>
          <w:szCs w:val="20"/>
          <w:lang w:val="en-US"/>
        </w:rPr>
        <w:t>d</w:t>
      </w:r>
      <w:r w:rsidR="002C711A" w:rsidRPr="008373FF">
        <w:rPr>
          <w:rFonts w:ascii="Arial" w:hAnsi="Arial"/>
          <w:szCs w:val="20"/>
          <w:lang w:val="en-US"/>
        </w:rPr>
        <w:t xml:space="preserve"> the impact of statements of the key policy makers related to future monetary policy decisions (verbal statements reported by major news agencies and official communiqués of the central banks) on the exchange rates in three CEE countries: </w:t>
      </w:r>
      <w:r w:rsidR="004B64C8">
        <w:rPr>
          <w:rFonts w:ascii="Arial" w:hAnsi="Arial"/>
          <w:szCs w:val="20"/>
          <w:lang w:val="en-US"/>
        </w:rPr>
        <w:t xml:space="preserve">the </w:t>
      </w:r>
      <w:r w:rsidR="002C711A" w:rsidRPr="008373FF">
        <w:rPr>
          <w:rFonts w:ascii="Arial" w:hAnsi="Arial"/>
          <w:szCs w:val="20"/>
          <w:lang w:val="en-US"/>
        </w:rPr>
        <w:t xml:space="preserve">Czech Republic, Hungary and Poland. </w:t>
      </w:r>
      <w:r w:rsidR="005C0811" w:rsidRPr="008373FF">
        <w:rPr>
          <w:rFonts w:ascii="Arial" w:hAnsi="Arial"/>
          <w:szCs w:val="20"/>
          <w:lang w:val="en-US"/>
        </w:rPr>
        <w:t>They found that the verbal comments of policy makers in the Czech Republic, Hungary, and Poland influence</w:t>
      </w:r>
      <w:r w:rsidR="004B64C8">
        <w:rPr>
          <w:rFonts w:ascii="Arial" w:hAnsi="Arial"/>
          <w:szCs w:val="20"/>
          <w:lang w:val="en-US"/>
        </w:rPr>
        <w:t>d</w:t>
      </w:r>
      <w:r w:rsidR="005C0811" w:rsidRPr="008373FF">
        <w:rPr>
          <w:rFonts w:ascii="Arial" w:hAnsi="Arial"/>
          <w:szCs w:val="20"/>
          <w:lang w:val="en-US"/>
        </w:rPr>
        <w:t xml:space="preserve"> behavior of </w:t>
      </w:r>
      <w:r w:rsidR="004B64C8">
        <w:rPr>
          <w:rFonts w:ascii="Arial" w:hAnsi="Arial"/>
          <w:szCs w:val="20"/>
          <w:lang w:val="en-US"/>
        </w:rPr>
        <w:t xml:space="preserve">the </w:t>
      </w:r>
      <w:r w:rsidR="005C0811" w:rsidRPr="008373FF">
        <w:rPr>
          <w:rFonts w:ascii="Arial" w:hAnsi="Arial"/>
          <w:szCs w:val="20"/>
          <w:lang w:val="en-US"/>
        </w:rPr>
        <w:t xml:space="preserve">currency market </w:t>
      </w:r>
      <w:r w:rsidR="004B64C8">
        <w:rPr>
          <w:rFonts w:ascii="Arial" w:hAnsi="Arial"/>
          <w:szCs w:val="20"/>
          <w:lang w:val="en-US"/>
        </w:rPr>
        <w:t>but that</w:t>
      </w:r>
      <w:r w:rsidR="005C0811" w:rsidRPr="008373FF">
        <w:rPr>
          <w:rFonts w:ascii="Arial" w:hAnsi="Arial"/>
          <w:szCs w:val="20"/>
          <w:lang w:val="en-US"/>
        </w:rPr>
        <w:t xml:space="preserve"> this effect differ</w:t>
      </w:r>
      <w:r w:rsidR="004B64C8">
        <w:rPr>
          <w:rFonts w:ascii="Arial" w:hAnsi="Arial"/>
          <w:szCs w:val="20"/>
          <w:lang w:val="en-US"/>
        </w:rPr>
        <w:t>ed</w:t>
      </w:r>
      <w:r w:rsidR="005C0811" w:rsidRPr="008373FF">
        <w:rPr>
          <w:rFonts w:ascii="Arial" w:hAnsi="Arial"/>
          <w:szCs w:val="20"/>
          <w:lang w:val="en-US"/>
        </w:rPr>
        <w:t xml:space="preserve"> </w:t>
      </w:r>
      <w:r w:rsidR="005C0811" w:rsidRPr="008373FF">
        <w:rPr>
          <w:rFonts w:ascii="Arial" w:hAnsi="Arial"/>
          <w:szCs w:val="20"/>
          <w:lang w:val="en-US"/>
        </w:rPr>
        <w:lastRenderedPageBreak/>
        <w:t xml:space="preserve">among the countries. </w:t>
      </w:r>
      <w:r w:rsidR="0071285D" w:rsidRPr="008373FF">
        <w:rPr>
          <w:rFonts w:ascii="Arial" w:hAnsi="Arial"/>
          <w:szCs w:val="20"/>
          <w:lang w:val="en-US"/>
        </w:rPr>
        <w:t xml:space="preserve">Our paper also differs from Rozkrut et al. </w:t>
      </w:r>
      <w:r w:rsidR="00D745DE" w:rsidRPr="008373FF">
        <w:rPr>
          <w:rFonts w:ascii="Arial" w:hAnsi="Arial"/>
          <w:szCs w:val="20"/>
          <w:lang w:val="en-US"/>
        </w:rPr>
        <w:t>(2007)</w:t>
      </w:r>
      <w:r w:rsidR="0071285D" w:rsidRPr="008373FF">
        <w:rPr>
          <w:rFonts w:ascii="Arial" w:hAnsi="Arial"/>
          <w:szCs w:val="20"/>
          <w:lang w:val="en-US"/>
        </w:rPr>
        <w:t xml:space="preserve">. They </w:t>
      </w:r>
      <w:r w:rsidR="00E26772" w:rsidRPr="008373FF">
        <w:rPr>
          <w:rFonts w:ascii="Arial" w:hAnsi="Arial"/>
          <w:szCs w:val="20"/>
          <w:lang w:val="en-US"/>
        </w:rPr>
        <w:t>examine</w:t>
      </w:r>
      <w:r w:rsidR="004B64C8">
        <w:rPr>
          <w:rFonts w:ascii="Arial" w:hAnsi="Arial"/>
          <w:szCs w:val="20"/>
          <w:lang w:val="en-US"/>
        </w:rPr>
        <w:t>d</w:t>
      </w:r>
      <w:r w:rsidR="00E26772" w:rsidRPr="008373FF">
        <w:rPr>
          <w:rFonts w:ascii="Arial" w:hAnsi="Arial"/>
          <w:szCs w:val="20"/>
          <w:lang w:val="en-US"/>
        </w:rPr>
        <w:t xml:space="preserve"> </w:t>
      </w:r>
      <w:r w:rsidR="0071285D" w:rsidRPr="008373FF">
        <w:rPr>
          <w:rFonts w:ascii="Arial" w:hAnsi="Arial"/>
          <w:szCs w:val="20"/>
          <w:lang w:val="en-US"/>
        </w:rPr>
        <w:t xml:space="preserve">verbal statements, while we </w:t>
      </w:r>
      <w:r w:rsidR="00E26772" w:rsidRPr="008373FF">
        <w:rPr>
          <w:rFonts w:ascii="Arial" w:hAnsi="Arial"/>
          <w:szCs w:val="20"/>
          <w:lang w:val="en-US"/>
        </w:rPr>
        <w:t>focus on</w:t>
      </w:r>
      <w:r w:rsidR="0071285D" w:rsidRPr="008373FF">
        <w:rPr>
          <w:rFonts w:ascii="Arial" w:hAnsi="Arial"/>
          <w:szCs w:val="20"/>
          <w:lang w:val="en-US"/>
        </w:rPr>
        <w:t xml:space="preserve"> MPC communication</w:t>
      </w:r>
      <w:r w:rsidR="00E26772" w:rsidRPr="008373FF">
        <w:rPr>
          <w:rFonts w:ascii="Arial" w:hAnsi="Arial"/>
          <w:szCs w:val="20"/>
          <w:lang w:val="en-US"/>
        </w:rPr>
        <w:t>s</w:t>
      </w:r>
      <w:r w:rsidR="0071285D" w:rsidRPr="008373FF">
        <w:rPr>
          <w:rFonts w:ascii="Arial" w:hAnsi="Arial"/>
          <w:szCs w:val="20"/>
          <w:lang w:val="en-US"/>
        </w:rPr>
        <w:t xml:space="preserve">. </w:t>
      </w:r>
      <w:r w:rsidR="00ED2243" w:rsidRPr="008373FF">
        <w:rPr>
          <w:rFonts w:ascii="Arial" w:hAnsi="Arial"/>
          <w:szCs w:val="20"/>
          <w:lang w:val="en-US"/>
        </w:rPr>
        <w:t>Again</w:t>
      </w:r>
      <w:r w:rsidR="009E021A" w:rsidRPr="008373FF">
        <w:rPr>
          <w:rFonts w:ascii="Arial" w:hAnsi="Arial"/>
          <w:szCs w:val="20"/>
          <w:lang w:val="en-US"/>
        </w:rPr>
        <w:t>, we use a proprietary data</w:t>
      </w:r>
      <w:r w:rsidR="00ED2243" w:rsidRPr="008373FF">
        <w:rPr>
          <w:rFonts w:ascii="Arial" w:hAnsi="Arial"/>
          <w:szCs w:val="20"/>
          <w:lang w:val="en-US"/>
        </w:rPr>
        <w:t xml:space="preserve"> set</w:t>
      </w:r>
      <w:r w:rsidR="00FD2EBE" w:rsidRPr="008373FF">
        <w:rPr>
          <w:rFonts w:ascii="Arial" w:hAnsi="Arial"/>
          <w:szCs w:val="20"/>
          <w:lang w:val="en-US"/>
        </w:rPr>
        <w:t xml:space="preserve"> </w:t>
      </w:r>
      <w:r w:rsidR="00713F6F" w:rsidRPr="008373FF">
        <w:rPr>
          <w:rFonts w:ascii="Arial" w:hAnsi="Arial"/>
          <w:szCs w:val="20"/>
          <w:lang w:val="en-US"/>
        </w:rPr>
        <w:t>on the PLN/USD volume of trade, which ha</w:t>
      </w:r>
      <w:r w:rsidR="004B64C8">
        <w:rPr>
          <w:rFonts w:ascii="Arial" w:hAnsi="Arial"/>
          <w:szCs w:val="20"/>
          <w:lang w:val="en-US"/>
        </w:rPr>
        <w:t>s</w:t>
      </w:r>
      <w:r w:rsidR="00713F6F" w:rsidRPr="008373FF">
        <w:rPr>
          <w:rFonts w:ascii="Arial" w:hAnsi="Arial"/>
          <w:szCs w:val="20"/>
          <w:lang w:val="en-US"/>
        </w:rPr>
        <w:t xml:space="preserve"> </w:t>
      </w:r>
      <w:r w:rsidR="00FD2EBE" w:rsidRPr="008373FF">
        <w:rPr>
          <w:rFonts w:ascii="Arial" w:hAnsi="Arial"/>
          <w:szCs w:val="20"/>
          <w:lang w:val="en-US"/>
        </w:rPr>
        <w:t xml:space="preserve">not </w:t>
      </w:r>
      <w:r w:rsidR="00713F6F" w:rsidRPr="008373FF">
        <w:rPr>
          <w:rFonts w:ascii="Arial" w:hAnsi="Arial"/>
          <w:szCs w:val="20"/>
          <w:lang w:val="en-US"/>
        </w:rPr>
        <w:t xml:space="preserve">been </w:t>
      </w:r>
      <w:r w:rsidR="00FD2EBE" w:rsidRPr="008373FF">
        <w:rPr>
          <w:rFonts w:ascii="Arial" w:hAnsi="Arial"/>
          <w:szCs w:val="20"/>
          <w:lang w:val="en-US"/>
        </w:rPr>
        <w:t>exploited in the existing literature before.</w:t>
      </w:r>
      <w:r w:rsidR="00A33303" w:rsidRPr="008373FF">
        <w:rPr>
          <w:rFonts w:ascii="Arial" w:hAnsi="Arial"/>
          <w:szCs w:val="20"/>
          <w:lang w:val="en-US"/>
        </w:rPr>
        <w:t xml:space="preserve"> </w:t>
      </w:r>
      <w:r w:rsidR="0071285D" w:rsidRPr="008373FF">
        <w:rPr>
          <w:rFonts w:ascii="Arial" w:hAnsi="Arial"/>
          <w:szCs w:val="20"/>
          <w:lang w:val="en-US"/>
        </w:rPr>
        <w:t>Overall, there are</w:t>
      </w:r>
      <w:r w:rsidR="002C711A" w:rsidRPr="008373FF">
        <w:rPr>
          <w:rFonts w:ascii="Arial" w:hAnsi="Arial"/>
          <w:szCs w:val="20"/>
          <w:lang w:val="en-US"/>
        </w:rPr>
        <w:t xml:space="preserve"> </w:t>
      </w:r>
      <w:r w:rsidR="004B64C8">
        <w:rPr>
          <w:rFonts w:ascii="Arial" w:hAnsi="Arial"/>
          <w:szCs w:val="20"/>
          <w:lang w:val="en-US"/>
        </w:rPr>
        <w:t xml:space="preserve">a </w:t>
      </w:r>
      <w:r w:rsidR="002C711A" w:rsidRPr="008373FF">
        <w:rPr>
          <w:rFonts w:ascii="Arial" w:hAnsi="Arial"/>
          <w:szCs w:val="20"/>
          <w:lang w:val="en-US"/>
        </w:rPr>
        <w:t xml:space="preserve">limited </w:t>
      </w:r>
      <w:r w:rsidR="004B64C8">
        <w:rPr>
          <w:rFonts w:ascii="Arial" w:hAnsi="Arial"/>
          <w:szCs w:val="20"/>
          <w:lang w:val="en-US"/>
        </w:rPr>
        <w:t xml:space="preserve">number of </w:t>
      </w:r>
      <w:r w:rsidR="002C711A" w:rsidRPr="008373FF">
        <w:rPr>
          <w:rFonts w:ascii="Arial" w:hAnsi="Arial"/>
          <w:szCs w:val="20"/>
          <w:lang w:val="en-US"/>
        </w:rPr>
        <w:t>studies on emerging markets</w:t>
      </w:r>
      <w:r w:rsidR="0071285D" w:rsidRPr="008373FF">
        <w:rPr>
          <w:rFonts w:ascii="Arial" w:hAnsi="Arial"/>
          <w:szCs w:val="20"/>
          <w:lang w:val="en-US"/>
        </w:rPr>
        <w:t>, especially on emerging EU markets,</w:t>
      </w:r>
      <w:r w:rsidR="002C711A" w:rsidRPr="008373FF">
        <w:rPr>
          <w:rFonts w:ascii="Arial" w:hAnsi="Arial"/>
          <w:szCs w:val="20"/>
          <w:lang w:val="en-US"/>
        </w:rPr>
        <w:t xml:space="preserve"> </w:t>
      </w:r>
      <w:r w:rsidR="0071285D" w:rsidRPr="008373FF">
        <w:rPr>
          <w:rFonts w:ascii="Arial" w:hAnsi="Arial"/>
          <w:szCs w:val="20"/>
          <w:lang w:val="en-US"/>
        </w:rPr>
        <w:t xml:space="preserve">and they </w:t>
      </w:r>
      <w:r w:rsidR="002C711A" w:rsidRPr="008373FF">
        <w:rPr>
          <w:rFonts w:ascii="Arial" w:hAnsi="Arial"/>
          <w:szCs w:val="20"/>
          <w:lang w:val="en-US"/>
        </w:rPr>
        <w:t>focus mainly only on stock market</w:t>
      </w:r>
      <w:r w:rsidR="00F12714" w:rsidRPr="008373FF">
        <w:rPr>
          <w:rFonts w:ascii="Arial" w:hAnsi="Arial"/>
          <w:szCs w:val="20"/>
          <w:lang w:val="en-US"/>
        </w:rPr>
        <w:t>s</w:t>
      </w:r>
      <w:r w:rsidR="002C711A" w:rsidRPr="008373FF">
        <w:rPr>
          <w:rFonts w:ascii="Arial" w:hAnsi="Arial"/>
          <w:szCs w:val="20"/>
          <w:lang w:val="en-US"/>
        </w:rPr>
        <w:t xml:space="preserve"> with only some evidence documenting the responses of other instruments, such as bonds, interest rates and currencies. </w:t>
      </w:r>
      <w:r w:rsidR="0071285D" w:rsidRPr="008373FF">
        <w:rPr>
          <w:rFonts w:ascii="Arial" w:hAnsi="Arial"/>
          <w:szCs w:val="20"/>
          <w:lang w:val="en-US"/>
        </w:rPr>
        <w:t xml:space="preserve">Most of these studies focus on financial market returns and do not examine findings for the trading volume. </w:t>
      </w:r>
      <w:r w:rsidR="002C711A" w:rsidRPr="008373FF">
        <w:rPr>
          <w:rFonts w:ascii="Arial" w:hAnsi="Arial"/>
          <w:szCs w:val="20"/>
          <w:lang w:val="en-US"/>
        </w:rPr>
        <w:t xml:space="preserve">Our paper provides results for the foreign exchange market using </w:t>
      </w:r>
      <w:r w:rsidR="0071285D" w:rsidRPr="008373FF">
        <w:rPr>
          <w:rFonts w:ascii="Arial" w:hAnsi="Arial"/>
          <w:szCs w:val="20"/>
          <w:lang w:val="en-US"/>
        </w:rPr>
        <w:t xml:space="preserve">not only </w:t>
      </w:r>
      <w:r w:rsidR="002C711A" w:rsidRPr="008373FF">
        <w:rPr>
          <w:rFonts w:ascii="Arial" w:hAnsi="Arial"/>
          <w:szCs w:val="20"/>
          <w:lang w:val="en-US"/>
        </w:rPr>
        <w:t>the exchange rate</w:t>
      </w:r>
      <w:r w:rsidR="0071285D" w:rsidRPr="008373FF">
        <w:rPr>
          <w:rFonts w:ascii="Arial" w:hAnsi="Arial"/>
          <w:szCs w:val="20"/>
          <w:lang w:val="en-US"/>
        </w:rPr>
        <w:t xml:space="preserve"> return</w:t>
      </w:r>
      <w:r w:rsidR="002C711A" w:rsidRPr="008373FF">
        <w:rPr>
          <w:rFonts w:ascii="Arial" w:hAnsi="Arial"/>
          <w:szCs w:val="20"/>
          <w:lang w:val="en-US"/>
        </w:rPr>
        <w:t xml:space="preserve">s </w:t>
      </w:r>
      <w:r w:rsidR="0071285D" w:rsidRPr="008373FF">
        <w:rPr>
          <w:rFonts w:ascii="Arial" w:hAnsi="Arial"/>
          <w:szCs w:val="20"/>
          <w:lang w:val="en-US"/>
        </w:rPr>
        <w:t>but also</w:t>
      </w:r>
      <w:r w:rsidR="002C711A" w:rsidRPr="008373FF">
        <w:rPr>
          <w:rFonts w:ascii="Arial" w:hAnsi="Arial"/>
          <w:szCs w:val="20"/>
          <w:lang w:val="en-US"/>
        </w:rPr>
        <w:t xml:space="preserve"> </w:t>
      </w:r>
      <w:r w:rsidR="004B64C8">
        <w:rPr>
          <w:rFonts w:ascii="Arial" w:hAnsi="Arial"/>
          <w:szCs w:val="20"/>
          <w:lang w:val="en-US"/>
        </w:rPr>
        <w:t xml:space="preserve">the </w:t>
      </w:r>
      <w:r w:rsidR="002C711A" w:rsidRPr="008373FF">
        <w:rPr>
          <w:rFonts w:ascii="Arial" w:hAnsi="Arial"/>
          <w:szCs w:val="20"/>
          <w:lang w:val="en-US"/>
        </w:rPr>
        <w:t>foreign exchange (FX) volume of trade</w:t>
      </w:r>
      <w:r w:rsidR="006B26D4" w:rsidRPr="008373FF">
        <w:rPr>
          <w:rFonts w:ascii="Arial" w:hAnsi="Arial"/>
          <w:szCs w:val="20"/>
          <w:lang w:val="en-US"/>
        </w:rPr>
        <w:t>.</w:t>
      </w:r>
    </w:p>
    <w:p w:rsidR="00496793" w:rsidRPr="00496793" w:rsidRDefault="00496793" w:rsidP="0056422A">
      <w:pPr>
        <w:pStyle w:val="FootnoteText"/>
        <w:spacing w:line="480" w:lineRule="auto"/>
        <w:ind w:firstLine="708"/>
        <w:jc w:val="both"/>
        <w:rPr>
          <w:rFonts w:ascii="Arial" w:hAnsi="Arial"/>
          <w:sz w:val="24"/>
          <w:lang w:val="en-US"/>
        </w:rPr>
      </w:pPr>
      <w:r w:rsidRPr="00F123DE">
        <w:rPr>
          <w:rFonts w:ascii="Arial" w:hAnsi="Arial"/>
          <w:sz w:val="24"/>
          <w:lang w:val="en-US"/>
        </w:rPr>
        <w:t>This paper is organized as follows</w:t>
      </w:r>
      <w:r w:rsidR="004B64C8">
        <w:rPr>
          <w:rFonts w:ascii="Arial" w:hAnsi="Arial"/>
          <w:sz w:val="24"/>
          <w:lang w:val="en-US"/>
        </w:rPr>
        <w:t>:</w:t>
      </w:r>
      <w:r w:rsidRPr="00F123DE">
        <w:rPr>
          <w:rFonts w:ascii="Arial" w:hAnsi="Arial"/>
          <w:sz w:val="24"/>
          <w:lang w:val="en-US"/>
        </w:rPr>
        <w:t xml:space="preserve"> Section 2 discusses the policy of t</w:t>
      </w:r>
      <w:r w:rsidR="001A7CC2">
        <w:rPr>
          <w:rFonts w:ascii="Arial" w:hAnsi="Arial"/>
          <w:sz w:val="24"/>
          <w:lang w:val="en-US"/>
        </w:rPr>
        <w:t>he National Bank of Poland,</w:t>
      </w:r>
      <w:r w:rsidR="005F212D">
        <w:rPr>
          <w:rFonts w:ascii="Arial" w:hAnsi="Arial"/>
          <w:sz w:val="24"/>
          <w:lang w:val="en-US"/>
        </w:rPr>
        <w:t xml:space="preserve"> the M</w:t>
      </w:r>
      <w:r w:rsidR="009E1DFE">
        <w:rPr>
          <w:rFonts w:ascii="Arial" w:hAnsi="Arial"/>
          <w:sz w:val="24"/>
          <w:lang w:val="en-US"/>
        </w:rPr>
        <w:t xml:space="preserve">onetary </w:t>
      </w:r>
      <w:r w:rsidR="005F212D">
        <w:rPr>
          <w:rFonts w:ascii="Arial" w:hAnsi="Arial"/>
          <w:sz w:val="24"/>
          <w:lang w:val="en-US"/>
        </w:rPr>
        <w:t>P</w:t>
      </w:r>
      <w:r w:rsidR="009E1DFE">
        <w:rPr>
          <w:rFonts w:ascii="Arial" w:hAnsi="Arial"/>
          <w:sz w:val="24"/>
          <w:lang w:val="en-US"/>
        </w:rPr>
        <w:t xml:space="preserve">olicy </w:t>
      </w:r>
      <w:r w:rsidR="005F212D">
        <w:rPr>
          <w:rFonts w:ascii="Arial" w:hAnsi="Arial"/>
          <w:sz w:val="24"/>
          <w:lang w:val="en-US"/>
        </w:rPr>
        <w:t>C</w:t>
      </w:r>
      <w:r w:rsidR="009E1DFE">
        <w:rPr>
          <w:rFonts w:ascii="Arial" w:hAnsi="Arial"/>
          <w:sz w:val="24"/>
          <w:lang w:val="en-US"/>
        </w:rPr>
        <w:t>ouncil</w:t>
      </w:r>
      <w:r w:rsidR="005F212D">
        <w:rPr>
          <w:rFonts w:ascii="Arial" w:hAnsi="Arial"/>
          <w:sz w:val="24"/>
          <w:lang w:val="en-US"/>
        </w:rPr>
        <w:t xml:space="preserve"> decisions</w:t>
      </w:r>
      <w:r w:rsidR="00ED4655">
        <w:rPr>
          <w:rFonts w:ascii="Arial" w:hAnsi="Arial"/>
          <w:sz w:val="24"/>
          <w:lang w:val="en-US"/>
        </w:rPr>
        <w:t>,</w:t>
      </w:r>
      <w:r w:rsidR="005F212D">
        <w:rPr>
          <w:rFonts w:ascii="Arial" w:hAnsi="Arial"/>
          <w:sz w:val="24"/>
          <w:lang w:val="en-US"/>
        </w:rPr>
        <w:t xml:space="preserve"> and </w:t>
      </w:r>
      <w:r w:rsidRPr="00F123DE">
        <w:rPr>
          <w:rFonts w:ascii="Arial" w:hAnsi="Arial"/>
          <w:sz w:val="24"/>
          <w:lang w:val="en-US"/>
        </w:rPr>
        <w:t>describes the MPC commun</w:t>
      </w:r>
      <w:r w:rsidRPr="00524123">
        <w:rPr>
          <w:rFonts w:ascii="Arial" w:hAnsi="Arial"/>
          <w:sz w:val="24"/>
          <w:lang w:val="en-US"/>
        </w:rPr>
        <w:t>ication policies durin</w:t>
      </w:r>
      <w:r w:rsidR="00BC1E14" w:rsidRPr="00524123">
        <w:rPr>
          <w:rFonts w:ascii="Arial" w:hAnsi="Arial"/>
          <w:sz w:val="24"/>
          <w:lang w:val="en-US"/>
        </w:rPr>
        <w:t>g our sample period (2000-2003)</w:t>
      </w:r>
      <w:r w:rsidRPr="00524123">
        <w:rPr>
          <w:rFonts w:ascii="Arial" w:hAnsi="Arial"/>
          <w:sz w:val="24"/>
          <w:lang w:val="en-US"/>
        </w:rPr>
        <w:t xml:space="preserve"> captu</w:t>
      </w:r>
      <w:r w:rsidR="00BC1E14" w:rsidRPr="00524123">
        <w:rPr>
          <w:rFonts w:ascii="Arial" w:hAnsi="Arial"/>
          <w:sz w:val="24"/>
          <w:lang w:val="en-US"/>
        </w:rPr>
        <w:t xml:space="preserve">ring the early years of the NBP. Section 3 explains </w:t>
      </w:r>
      <w:r w:rsidR="00ED4655">
        <w:rPr>
          <w:rFonts w:ascii="Arial" w:hAnsi="Arial"/>
          <w:sz w:val="24"/>
          <w:lang w:val="en-US"/>
        </w:rPr>
        <w:t xml:space="preserve">the </w:t>
      </w:r>
      <w:r w:rsidR="00BC1E14" w:rsidRPr="00524123">
        <w:rPr>
          <w:rFonts w:ascii="Arial" w:hAnsi="Arial"/>
          <w:sz w:val="24"/>
          <w:lang w:val="en-US"/>
        </w:rPr>
        <w:t xml:space="preserve">empirical </w:t>
      </w:r>
      <w:r w:rsidRPr="00524123">
        <w:rPr>
          <w:rFonts w:ascii="Arial" w:hAnsi="Arial"/>
          <w:sz w:val="24"/>
          <w:lang w:val="en-US"/>
        </w:rPr>
        <w:t>method</w:t>
      </w:r>
      <w:r w:rsidR="00F23169" w:rsidRPr="00524123">
        <w:rPr>
          <w:rFonts w:ascii="Arial" w:hAnsi="Arial"/>
          <w:sz w:val="24"/>
          <w:lang w:val="en-US"/>
        </w:rPr>
        <w:t xml:space="preserve">ology used, </w:t>
      </w:r>
      <w:r w:rsidR="00ED4655">
        <w:rPr>
          <w:rFonts w:ascii="Arial" w:hAnsi="Arial"/>
          <w:sz w:val="24"/>
          <w:lang w:val="en-US"/>
        </w:rPr>
        <w:t>and</w:t>
      </w:r>
      <w:r w:rsidR="00F23169" w:rsidRPr="00524123">
        <w:rPr>
          <w:rFonts w:ascii="Arial" w:hAnsi="Arial"/>
          <w:sz w:val="24"/>
          <w:lang w:val="en-US"/>
        </w:rPr>
        <w:t xml:space="preserve"> sections 4, 5, 6 and 7</w:t>
      </w:r>
      <w:r w:rsidRPr="00524123">
        <w:rPr>
          <w:rFonts w:ascii="Arial" w:hAnsi="Arial"/>
          <w:sz w:val="24"/>
          <w:lang w:val="en-US"/>
        </w:rPr>
        <w:t xml:space="preserve"> pre</w:t>
      </w:r>
      <w:r w:rsidR="005F212D" w:rsidRPr="00524123">
        <w:rPr>
          <w:rFonts w:ascii="Arial" w:hAnsi="Arial"/>
          <w:sz w:val="24"/>
          <w:lang w:val="en-US"/>
        </w:rPr>
        <w:t>sent and discuss the dataset,</w:t>
      </w:r>
      <w:r w:rsidRPr="00524123">
        <w:rPr>
          <w:rFonts w:ascii="Arial" w:hAnsi="Arial"/>
          <w:sz w:val="24"/>
          <w:lang w:val="en-US"/>
        </w:rPr>
        <w:t xml:space="preserve"> the empirical results</w:t>
      </w:r>
      <w:r w:rsidR="00ED4655">
        <w:rPr>
          <w:rFonts w:ascii="Arial" w:hAnsi="Arial"/>
          <w:sz w:val="24"/>
          <w:lang w:val="en-US"/>
        </w:rPr>
        <w:t>,</w:t>
      </w:r>
      <w:r w:rsidRPr="00524123">
        <w:rPr>
          <w:rFonts w:ascii="Arial" w:hAnsi="Arial"/>
          <w:sz w:val="24"/>
          <w:lang w:val="en-US"/>
        </w:rPr>
        <w:t xml:space="preserve"> </w:t>
      </w:r>
      <w:r w:rsidR="00EE404B" w:rsidRPr="00524123">
        <w:rPr>
          <w:rFonts w:ascii="Arial" w:hAnsi="Arial"/>
          <w:sz w:val="24"/>
          <w:lang w:val="en-US"/>
        </w:rPr>
        <w:t>robustness checks and</w:t>
      </w:r>
      <w:r w:rsidRPr="00524123">
        <w:rPr>
          <w:rFonts w:ascii="Arial" w:hAnsi="Arial"/>
          <w:sz w:val="24"/>
          <w:lang w:val="en-US"/>
        </w:rPr>
        <w:t xml:space="preserve"> </w:t>
      </w:r>
      <w:r w:rsidRPr="00820CB6">
        <w:rPr>
          <w:rFonts w:ascii="Arial" w:hAnsi="Arial"/>
          <w:sz w:val="24"/>
          <w:lang w:val="en-US"/>
        </w:rPr>
        <w:t>investment strategy</w:t>
      </w:r>
      <w:r w:rsidR="00474236" w:rsidRPr="00820CB6">
        <w:rPr>
          <w:rFonts w:ascii="Arial" w:hAnsi="Arial"/>
          <w:sz w:val="24"/>
          <w:lang w:val="en-US"/>
        </w:rPr>
        <w:t>, respectively</w:t>
      </w:r>
      <w:r w:rsidRPr="00820CB6">
        <w:rPr>
          <w:rFonts w:ascii="Arial" w:hAnsi="Arial"/>
          <w:sz w:val="24"/>
          <w:lang w:val="en-US"/>
        </w:rPr>
        <w:t xml:space="preserve">. </w:t>
      </w:r>
      <w:r w:rsidR="00ED4655">
        <w:rPr>
          <w:rFonts w:ascii="Arial" w:hAnsi="Arial"/>
          <w:sz w:val="24"/>
          <w:lang w:val="en-US"/>
        </w:rPr>
        <w:t>The l</w:t>
      </w:r>
      <w:r w:rsidRPr="00820CB6">
        <w:rPr>
          <w:rFonts w:ascii="Arial" w:hAnsi="Arial"/>
          <w:sz w:val="24"/>
          <w:lang w:val="en-US"/>
        </w:rPr>
        <w:t>ast</w:t>
      </w:r>
      <w:r w:rsidRPr="00524123">
        <w:rPr>
          <w:rFonts w:ascii="Arial" w:hAnsi="Arial"/>
          <w:sz w:val="24"/>
          <w:lang w:val="en-US"/>
        </w:rPr>
        <w:t xml:space="preserve"> section concludes the paper </w:t>
      </w:r>
      <w:r w:rsidR="00ED4655">
        <w:rPr>
          <w:rFonts w:ascii="Arial" w:hAnsi="Arial"/>
          <w:sz w:val="24"/>
          <w:lang w:val="en-US"/>
        </w:rPr>
        <w:t>and considers the</w:t>
      </w:r>
      <w:r w:rsidRPr="00524123">
        <w:rPr>
          <w:rFonts w:ascii="Arial" w:hAnsi="Arial"/>
          <w:sz w:val="24"/>
          <w:lang w:val="en-US"/>
        </w:rPr>
        <w:t xml:space="preserve"> policy implications of the findings.</w:t>
      </w:r>
      <w:r w:rsidRPr="00A51255">
        <w:rPr>
          <w:rFonts w:ascii="Arial" w:hAnsi="Arial" w:cs="Arial"/>
          <w:lang w:val="en-US"/>
        </w:rPr>
        <w:tab/>
      </w:r>
    </w:p>
    <w:p w:rsidR="00084ED0" w:rsidRPr="00A51255" w:rsidRDefault="00084ED0" w:rsidP="002C711A">
      <w:pPr>
        <w:tabs>
          <w:tab w:val="left" w:pos="0"/>
        </w:tabs>
        <w:spacing w:line="480" w:lineRule="auto"/>
        <w:jc w:val="both"/>
        <w:rPr>
          <w:rFonts w:ascii="Arial" w:hAnsi="Arial" w:cs="Arial"/>
          <w:lang w:val="en-US"/>
        </w:rPr>
      </w:pPr>
    </w:p>
    <w:p w:rsidR="00C567B8" w:rsidRPr="00474236" w:rsidRDefault="004A2720" w:rsidP="00474236">
      <w:pPr>
        <w:tabs>
          <w:tab w:val="left" w:pos="0"/>
        </w:tabs>
        <w:spacing w:line="480" w:lineRule="auto"/>
        <w:jc w:val="both"/>
        <w:rPr>
          <w:rFonts w:ascii="Arial" w:hAnsi="Arial" w:cs="Arial"/>
          <w:lang w:val="en-US"/>
        </w:rPr>
      </w:pPr>
      <w:r>
        <w:rPr>
          <w:rFonts w:ascii="Arial" w:hAnsi="Arial" w:cs="Arial"/>
          <w:b/>
          <w:lang w:val="en-US"/>
        </w:rPr>
        <w:tab/>
      </w:r>
      <w:r w:rsidR="00D21E62">
        <w:rPr>
          <w:rFonts w:ascii="Arial" w:hAnsi="Arial" w:cs="Arial"/>
          <w:b/>
          <w:lang w:val="en-US"/>
        </w:rPr>
        <w:t>2</w:t>
      </w:r>
      <w:r w:rsidR="00525DFC" w:rsidRPr="00A51255">
        <w:rPr>
          <w:rFonts w:ascii="Arial" w:hAnsi="Arial" w:cs="Arial"/>
          <w:b/>
          <w:lang w:val="en-US"/>
        </w:rPr>
        <w:t>. Central Bank Policy and Monetary Policy Council Decisions</w:t>
      </w:r>
      <w:r w:rsidR="009A65B6" w:rsidRPr="00A51255">
        <w:rPr>
          <w:rFonts w:ascii="Arial" w:hAnsi="Arial" w:cs="Arial"/>
          <w:b/>
          <w:lang w:val="en-US"/>
        </w:rPr>
        <w:t xml:space="preserve"> (1999-2003)</w:t>
      </w:r>
    </w:p>
    <w:p w:rsidR="00525DFC" w:rsidRPr="00A51255" w:rsidRDefault="00525DFC">
      <w:pPr>
        <w:ind w:left="360"/>
        <w:jc w:val="both"/>
        <w:rPr>
          <w:rFonts w:ascii="Arial" w:hAnsi="Arial" w:cs="Arial"/>
          <w:b/>
          <w:lang w:val="en-US"/>
        </w:rPr>
      </w:pPr>
    </w:p>
    <w:p w:rsidR="00302AAD" w:rsidRPr="00A51255" w:rsidRDefault="00302AAD" w:rsidP="00192414">
      <w:pPr>
        <w:spacing w:line="480" w:lineRule="auto"/>
        <w:ind w:firstLine="708"/>
        <w:jc w:val="both"/>
        <w:rPr>
          <w:rFonts w:ascii="Arial" w:hAnsi="Arial" w:cs="Arial"/>
          <w:lang w:val="en-US"/>
        </w:rPr>
      </w:pPr>
      <w:r w:rsidRPr="00A51255">
        <w:rPr>
          <w:rFonts w:ascii="Arial" w:hAnsi="Arial" w:cs="Arial"/>
          <w:lang w:val="en-US"/>
        </w:rPr>
        <w:t>The National Bank of Poland (NBP) bec</w:t>
      </w:r>
      <w:r w:rsidR="00E21B4E">
        <w:rPr>
          <w:rFonts w:ascii="Arial" w:hAnsi="Arial" w:cs="Arial"/>
          <w:lang w:val="en-US"/>
        </w:rPr>
        <w:t>a</w:t>
      </w:r>
      <w:r w:rsidRPr="00A51255">
        <w:rPr>
          <w:rFonts w:ascii="Arial" w:hAnsi="Arial" w:cs="Arial"/>
          <w:lang w:val="en-US"/>
        </w:rPr>
        <w:t xml:space="preserve">me independent in the </w:t>
      </w:r>
      <w:r w:rsidR="00E26772" w:rsidRPr="00A51255">
        <w:rPr>
          <w:rFonts w:ascii="Arial" w:hAnsi="Arial" w:cs="Arial"/>
          <w:lang w:val="en-US"/>
        </w:rPr>
        <w:t xml:space="preserve">early </w:t>
      </w:r>
      <w:r w:rsidRPr="00A51255">
        <w:rPr>
          <w:rFonts w:ascii="Arial" w:hAnsi="Arial" w:cs="Arial"/>
          <w:lang w:val="en-US"/>
        </w:rPr>
        <w:t xml:space="preserve">1990s </w:t>
      </w:r>
      <w:r w:rsidR="001A4FC3" w:rsidRPr="00A51255">
        <w:rPr>
          <w:rFonts w:ascii="Arial" w:hAnsi="Arial" w:cs="Arial"/>
          <w:lang w:val="en-US"/>
        </w:rPr>
        <w:t xml:space="preserve">as a result of </w:t>
      </w:r>
      <w:r w:rsidRPr="00A51255">
        <w:rPr>
          <w:rFonts w:ascii="Arial" w:hAnsi="Arial" w:cs="Arial"/>
          <w:lang w:val="en-US"/>
        </w:rPr>
        <w:t xml:space="preserve">political changes and economic reforms undertaken by the new Polish </w:t>
      </w:r>
      <w:r w:rsidR="00B51D1F" w:rsidRPr="00A51255">
        <w:rPr>
          <w:rFonts w:ascii="Arial" w:hAnsi="Arial" w:cs="Arial"/>
          <w:lang w:val="en-US"/>
        </w:rPr>
        <w:t xml:space="preserve">democratic </w:t>
      </w:r>
      <w:r w:rsidRPr="00A51255">
        <w:rPr>
          <w:rFonts w:ascii="Arial" w:hAnsi="Arial" w:cs="Arial"/>
          <w:lang w:val="en-US"/>
        </w:rPr>
        <w:t>governments</w:t>
      </w:r>
      <w:r w:rsidR="00073C06" w:rsidRPr="00A51255">
        <w:rPr>
          <w:rFonts w:ascii="Arial" w:hAnsi="Arial" w:cs="Arial"/>
          <w:lang w:val="en-US"/>
        </w:rPr>
        <w:t>,</w:t>
      </w:r>
      <w:r w:rsidRPr="00A51255">
        <w:rPr>
          <w:rFonts w:ascii="Arial" w:hAnsi="Arial" w:cs="Arial"/>
          <w:lang w:val="en-US"/>
        </w:rPr>
        <w:t xml:space="preserve"> which came to power when the centrally planned economy collapsed</w:t>
      </w:r>
      <w:r w:rsidR="00812A3B" w:rsidRPr="00A51255">
        <w:rPr>
          <w:rFonts w:ascii="Arial" w:hAnsi="Arial" w:cs="Arial"/>
          <w:lang w:val="en-US"/>
        </w:rPr>
        <w:t xml:space="preserve"> in 1989</w:t>
      </w:r>
      <w:r w:rsidRPr="00A51255">
        <w:rPr>
          <w:rFonts w:ascii="Arial" w:hAnsi="Arial" w:cs="Arial"/>
          <w:lang w:val="en-US"/>
        </w:rPr>
        <w:t>.</w:t>
      </w:r>
      <w:r w:rsidR="00192414" w:rsidRPr="00A51255">
        <w:rPr>
          <w:rFonts w:ascii="Arial" w:hAnsi="Arial" w:cs="Arial"/>
          <w:lang w:val="en-US"/>
        </w:rPr>
        <w:t xml:space="preserve"> </w:t>
      </w:r>
      <w:r w:rsidR="00A9416F" w:rsidRPr="00A51255">
        <w:rPr>
          <w:rFonts w:ascii="Arial" w:hAnsi="Arial" w:cs="Arial"/>
          <w:lang w:val="en-US"/>
        </w:rPr>
        <w:t>T</w:t>
      </w:r>
      <w:r w:rsidR="00D531F4" w:rsidRPr="00A51255">
        <w:rPr>
          <w:rFonts w:ascii="Arial" w:hAnsi="Arial" w:cs="Arial"/>
          <w:lang w:val="en-US"/>
        </w:rPr>
        <w:t>he Monetary Policy Council (MPC) was established in February 1998.</w:t>
      </w:r>
      <w:r w:rsidR="008A7858" w:rsidRPr="00A51255">
        <w:rPr>
          <w:rFonts w:ascii="Arial" w:hAnsi="Arial" w:cs="Arial"/>
          <w:lang w:val="en-US"/>
        </w:rPr>
        <w:t xml:space="preserve"> </w:t>
      </w:r>
      <w:r w:rsidR="00192414" w:rsidRPr="00A51255">
        <w:rPr>
          <w:rFonts w:ascii="Arial" w:hAnsi="Arial" w:cs="Arial"/>
          <w:lang w:val="en-US"/>
        </w:rPr>
        <w:t>The monetary policy of the NBP is in practice executed by the MPC</w:t>
      </w:r>
      <w:r w:rsidR="00A9416F" w:rsidRPr="00A51255">
        <w:rPr>
          <w:rFonts w:ascii="Arial" w:hAnsi="Arial" w:cs="Arial"/>
          <w:lang w:val="en-US"/>
        </w:rPr>
        <w:t>,</w:t>
      </w:r>
      <w:r w:rsidR="00D531F4" w:rsidRPr="00A51255">
        <w:rPr>
          <w:rFonts w:ascii="Arial" w:hAnsi="Arial" w:cs="Arial"/>
          <w:lang w:val="en-US"/>
        </w:rPr>
        <w:t xml:space="preserve"> </w:t>
      </w:r>
      <w:r w:rsidR="00C83EB9" w:rsidRPr="00A51255">
        <w:rPr>
          <w:rFonts w:ascii="Arial" w:hAnsi="Arial" w:cs="Arial"/>
          <w:lang w:val="en-US"/>
        </w:rPr>
        <w:t>which consists</w:t>
      </w:r>
      <w:r w:rsidR="00192414" w:rsidRPr="00A51255">
        <w:rPr>
          <w:rFonts w:ascii="Arial" w:hAnsi="Arial" w:cs="Arial"/>
          <w:lang w:val="en-US"/>
        </w:rPr>
        <w:t xml:space="preserve"> of the president of the central bank</w:t>
      </w:r>
      <w:r w:rsidR="00E21B4E">
        <w:rPr>
          <w:rFonts w:ascii="Arial" w:hAnsi="Arial" w:cs="Arial"/>
          <w:lang w:val="en-US"/>
        </w:rPr>
        <w:t>,</w:t>
      </w:r>
      <w:r w:rsidR="00192414" w:rsidRPr="00A51255">
        <w:rPr>
          <w:rFonts w:ascii="Arial" w:hAnsi="Arial" w:cs="Arial"/>
          <w:lang w:val="en-US"/>
        </w:rPr>
        <w:t xml:space="preserve"> who chairs the Council</w:t>
      </w:r>
      <w:r w:rsidR="00E21B4E">
        <w:rPr>
          <w:rFonts w:ascii="Arial" w:hAnsi="Arial" w:cs="Arial"/>
          <w:lang w:val="en-US"/>
        </w:rPr>
        <w:t>,</w:t>
      </w:r>
      <w:r w:rsidR="00192414" w:rsidRPr="00A51255">
        <w:rPr>
          <w:rFonts w:ascii="Arial" w:hAnsi="Arial" w:cs="Arial"/>
          <w:lang w:val="en-US"/>
        </w:rPr>
        <w:t xml:space="preserve"> plus nine members appointed by the President, the Senate and the Sejm (Parliament)</w:t>
      </w:r>
      <w:r w:rsidR="00192414" w:rsidRPr="00A51255">
        <w:rPr>
          <w:rFonts w:ascii="Tahoma" w:hAnsi="Tahoma" w:cs="Tahoma"/>
          <w:color w:val="2B4C3F"/>
          <w:sz w:val="17"/>
          <w:szCs w:val="17"/>
          <w:lang w:val="en-US"/>
        </w:rPr>
        <w:t xml:space="preserve">. </w:t>
      </w:r>
      <w:r w:rsidR="00D531F4" w:rsidRPr="00A51255">
        <w:rPr>
          <w:rFonts w:ascii="Tahoma" w:hAnsi="Tahoma" w:cs="Tahoma"/>
          <w:color w:val="2B4C3F"/>
          <w:sz w:val="17"/>
          <w:szCs w:val="17"/>
          <w:lang w:val="en-US"/>
        </w:rPr>
        <w:t xml:space="preserve"> </w:t>
      </w:r>
      <w:r w:rsidR="00C83EB9" w:rsidRPr="00A51255">
        <w:rPr>
          <w:rFonts w:ascii="Arial" w:hAnsi="Arial" w:cs="Arial"/>
          <w:lang w:val="en-US"/>
        </w:rPr>
        <w:t xml:space="preserve"> </w:t>
      </w:r>
    </w:p>
    <w:p w:rsidR="00525DFC" w:rsidRPr="00A51255" w:rsidRDefault="00D26D14" w:rsidP="0082259F">
      <w:pPr>
        <w:spacing w:line="480" w:lineRule="auto"/>
        <w:ind w:firstLine="708"/>
        <w:jc w:val="both"/>
        <w:rPr>
          <w:rFonts w:ascii="Arial" w:hAnsi="Arial" w:cs="Arial"/>
          <w:lang w:val="en-US"/>
        </w:rPr>
      </w:pPr>
      <w:r w:rsidRPr="00A51255">
        <w:rPr>
          <w:rFonts w:ascii="Arial" w:hAnsi="Arial"/>
          <w:lang w:val="en-US"/>
        </w:rPr>
        <w:lastRenderedPageBreak/>
        <w:t xml:space="preserve">In September 1998, the MPC announced its </w:t>
      </w:r>
      <w:r w:rsidRPr="00A51255">
        <w:rPr>
          <w:rFonts w:ascii="Arial" w:hAnsi="Arial"/>
          <w:i/>
          <w:lang w:val="en-US"/>
        </w:rPr>
        <w:t>“Medium-Term Strategy of Monetary Policy (1999-2003)”</w:t>
      </w:r>
      <w:r w:rsidRPr="00A51255">
        <w:rPr>
          <w:rFonts w:ascii="Arial" w:hAnsi="Arial"/>
          <w:lang w:val="en-US"/>
        </w:rPr>
        <w:t xml:space="preserve"> document, which introduced the Direct Inflation Target (DIT) and determined the medium-term monetary policy target, i.e. a consumer price growth rate reduction to below 4</w:t>
      </w:r>
      <w:r w:rsidR="00FA6FD1" w:rsidRPr="00A51255">
        <w:rPr>
          <w:rFonts w:ascii="Arial" w:hAnsi="Arial"/>
          <w:lang w:val="en-US"/>
        </w:rPr>
        <w:t>%</w:t>
      </w:r>
      <w:r w:rsidRPr="00A51255">
        <w:rPr>
          <w:rFonts w:ascii="Arial" w:hAnsi="Arial"/>
          <w:lang w:val="en-US"/>
        </w:rPr>
        <w:t xml:space="preserve"> in 2003.</w:t>
      </w:r>
      <w:r w:rsidRPr="00A51255">
        <w:rPr>
          <w:rStyle w:val="FootnoteReference"/>
          <w:rFonts w:ascii="Arial" w:hAnsi="Arial"/>
          <w:lang w:val="en-US"/>
        </w:rPr>
        <w:footnoteReference w:id="9"/>
      </w:r>
      <w:r w:rsidRPr="00A51255">
        <w:rPr>
          <w:rFonts w:ascii="Arial" w:hAnsi="Arial" w:cs="Arial"/>
          <w:lang w:val="en-US"/>
        </w:rPr>
        <w:t xml:space="preserve"> </w:t>
      </w:r>
      <w:r w:rsidR="00525DFC" w:rsidRPr="00A51255">
        <w:rPr>
          <w:rFonts w:ascii="Arial" w:hAnsi="Arial"/>
          <w:lang w:val="en-US"/>
        </w:rPr>
        <w:t>Since 1999</w:t>
      </w:r>
      <w:r w:rsidR="00E21B4E">
        <w:rPr>
          <w:rFonts w:ascii="Arial" w:hAnsi="Arial"/>
          <w:lang w:val="en-US"/>
        </w:rPr>
        <w:t>,</w:t>
      </w:r>
      <w:r w:rsidR="00525DFC" w:rsidRPr="00A51255">
        <w:rPr>
          <w:rFonts w:ascii="Arial" w:hAnsi="Arial"/>
          <w:lang w:val="en-US"/>
        </w:rPr>
        <w:t xml:space="preserve"> </w:t>
      </w:r>
      <w:r w:rsidR="00E21B4E">
        <w:rPr>
          <w:rFonts w:ascii="Arial" w:hAnsi="Arial"/>
          <w:lang w:val="en-US"/>
        </w:rPr>
        <w:t>a</w:t>
      </w:r>
      <w:r w:rsidR="00525DFC" w:rsidRPr="00A51255">
        <w:rPr>
          <w:rFonts w:ascii="Arial" w:hAnsi="Arial"/>
          <w:lang w:val="en-US"/>
        </w:rPr>
        <w:t xml:space="preserve"> Di</w:t>
      </w:r>
      <w:r w:rsidR="00FC17BC" w:rsidRPr="00A51255">
        <w:rPr>
          <w:rFonts w:ascii="Arial" w:hAnsi="Arial"/>
          <w:lang w:val="en-US"/>
        </w:rPr>
        <w:t xml:space="preserve">rect Inflation Target </w:t>
      </w:r>
      <w:r w:rsidR="00525DFC" w:rsidRPr="00A51255">
        <w:rPr>
          <w:rFonts w:ascii="Arial" w:hAnsi="Arial"/>
          <w:lang w:val="en-US"/>
        </w:rPr>
        <w:t>strategy has been utilized in the implementation of the NBP</w:t>
      </w:r>
      <w:r w:rsidR="00192414" w:rsidRPr="00A51255">
        <w:rPr>
          <w:rFonts w:ascii="Arial" w:hAnsi="Arial"/>
          <w:lang w:val="en-US"/>
        </w:rPr>
        <w:t xml:space="preserve"> </w:t>
      </w:r>
      <w:r w:rsidR="00525DFC" w:rsidRPr="00A51255">
        <w:rPr>
          <w:rFonts w:ascii="Arial" w:hAnsi="Arial"/>
          <w:lang w:val="en-US"/>
        </w:rPr>
        <w:t>monetary policy.</w:t>
      </w:r>
      <w:r w:rsidR="00525DFC" w:rsidRPr="00A51255">
        <w:rPr>
          <w:rStyle w:val="FootnoteReference"/>
          <w:rFonts w:ascii="Arial" w:hAnsi="Arial"/>
          <w:lang w:val="en-US"/>
        </w:rPr>
        <w:footnoteReference w:id="10"/>
      </w:r>
      <w:r w:rsidR="00525DFC" w:rsidRPr="00A51255">
        <w:rPr>
          <w:rFonts w:ascii="Arial" w:hAnsi="Arial"/>
          <w:lang w:val="en-US"/>
        </w:rPr>
        <w:t xml:space="preserve"> Within the framework of this strategy, the Monetary </w:t>
      </w:r>
      <w:r w:rsidR="00525DFC" w:rsidRPr="00A51255">
        <w:rPr>
          <w:rFonts w:ascii="Arial" w:hAnsi="Arial" w:cs="Arial"/>
          <w:lang w:val="en-US"/>
        </w:rPr>
        <w:t xml:space="preserve">Policy Council </w:t>
      </w:r>
      <w:r w:rsidR="00525DFC" w:rsidRPr="00A51255">
        <w:rPr>
          <w:rFonts w:ascii="Arial" w:hAnsi="Arial"/>
          <w:lang w:val="en-US"/>
        </w:rPr>
        <w:t xml:space="preserve">of the NBP defines the inflation target and then adjusts the NBP basic interest rates in order to maximize the probability of achieving </w:t>
      </w:r>
      <w:r w:rsidR="00E21B4E">
        <w:rPr>
          <w:rFonts w:ascii="Arial" w:hAnsi="Arial"/>
          <w:lang w:val="en-US"/>
        </w:rPr>
        <w:t>its</w:t>
      </w:r>
      <w:r w:rsidR="00525DFC" w:rsidRPr="00A51255">
        <w:rPr>
          <w:rFonts w:ascii="Arial" w:hAnsi="Arial"/>
          <w:lang w:val="en-US"/>
        </w:rPr>
        <w:t xml:space="preserve"> target. </w:t>
      </w:r>
      <w:r w:rsidR="00192414" w:rsidRPr="00A51255">
        <w:rPr>
          <w:rFonts w:ascii="Arial" w:hAnsi="Arial"/>
          <w:lang w:val="en-US"/>
        </w:rPr>
        <w:t xml:space="preserve">The </w:t>
      </w:r>
      <w:r w:rsidR="00525DFC" w:rsidRPr="00A51255">
        <w:rPr>
          <w:rFonts w:ascii="Arial" w:hAnsi="Arial" w:cs="Arial"/>
          <w:lang w:val="en-US"/>
        </w:rPr>
        <w:t xml:space="preserve">NBP stated also that under the </w:t>
      </w:r>
      <w:r w:rsidR="00636567" w:rsidRPr="00A51255">
        <w:rPr>
          <w:rFonts w:ascii="Arial" w:hAnsi="Arial" w:cs="Arial"/>
          <w:lang w:val="en-US"/>
        </w:rPr>
        <w:t xml:space="preserve">DIT </w:t>
      </w:r>
      <w:r w:rsidR="00525DFC" w:rsidRPr="00A51255">
        <w:rPr>
          <w:rFonts w:ascii="Arial" w:hAnsi="Arial" w:cs="Arial"/>
          <w:lang w:val="en-US"/>
        </w:rPr>
        <w:t xml:space="preserve">system, the efficient co-ordination of monetary, income and fiscal policies </w:t>
      </w:r>
      <w:r w:rsidR="00E21B4E">
        <w:rPr>
          <w:rFonts w:ascii="Arial" w:hAnsi="Arial" w:cs="Arial"/>
          <w:lang w:val="en-US"/>
        </w:rPr>
        <w:t>is</w:t>
      </w:r>
      <w:r w:rsidR="00525DFC" w:rsidRPr="00A51255">
        <w:rPr>
          <w:rFonts w:ascii="Arial" w:hAnsi="Arial" w:cs="Arial"/>
          <w:lang w:val="en-US"/>
        </w:rPr>
        <w:t xml:space="preserve"> particularly critical. A possible inconsistency between these policies could undermine the credibility of the planned pace of disinflation. Using fiscal policy instruments and administrative price and wage adjustments, it was believed that the government can exert a significant impact on inflation. Therefore, a consistency between the fiscal stance and the inflationary target used by NBP </w:t>
      </w:r>
      <w:r w:rsidR="00636567" w:rsidRPr="00A51255">
        <w:rPr>
          <w:rFonts w:ascii="Arial" w:hAnsi="Arial" w:cs="Arial"/>
          <w:lang w:val="en-US"/>
        </w:rPr>
        <w:t>would be</w:t>
      </w:r>
      <w:r w:rsidR="00525DFC" w:rsidRPr="00A51255">
        <w:rPr>
          <w:rFonts w:ascii="Arial" w:hAnsi="Arial" w:cs="Arial"/>
          <w:lang w:val="en-US"/>
        </w:rPr>
        <w:t xml:space="preserve"> the main criterion applied by the Council in the formulation of the opinion on the national budget. In order to foster the credibility of disinflation policy, the Council would make efforts</w:t>
      </w:r>
      <w:r w:rsidR="00E21B4E">
        <w:rPr>
          <w:rFonts w:ascii="Arial" w:hAnsi="Arial" w:cs="Arial"/>
          <w:lang w:val="en-US"/>
        </w:rPr>
        <w:t xml:space="preserve"> to</w:t>
      </w:r>
      <w:r w:rsidR="00525DFC" w:rsidRPr="00A51255">
        <w:rPr>
          <w:rFonts w:ascii="Arial" w:hAnsi="Arial" w:cs="Arial"/>
          <w:lang w:val="en-US"/>
        </w:rPr>
        <w:t xml:space="preserve"> ensur</w:t>
      </w:r>
      <w:r w:rsidR="00E21B4E">
        <w:rPr>
          <w:rFonts w:ascii="Arial" w:hAnsi="Arial" w:cs="Arial"/>
          <w:lang w:val="en-US"/>
        </w:rPr>
        <w:t>e</w:t>
      </w:r>
      <w:r w:rsidR="00525DFC" w:rsidRPr="00A51255">
        <w:rPr>
          <w:rFonts w:ascii="Arial" w:hAnsi="Arial" w:cs="Arial"/>
          <w:lang w:val="en-US"/>
        </w:rPr>
        <w:t xml:space="preserve"> greater consistency between the information policies of the government and the central bank</w:t>
      </w:r>
      <w:r w:rsidR="00A83840" w:rsidRPr="00A51255">
        <w:rPr>
          <w:rFonts w:ascii="Arial" w:hAnsi="Arial" w:cs="Arial"/>
          <w:lang w:val="en-US"/>
        </w:rPr>
        <w:t>.</w:t>
      </w:r>
      <w:r w:rsidR="00525DFC" w:rsidRPr="00A51255">
        <w:rPr>
          <w:rFonts w:ascii="Arial" w:hAnsi="Arial" w:cs="Arial"/>
          <w:lang w:val="en-US"/>
        </w:rPr>
        <w:t xml:space="preserve"> </w:t>
      </w:r>
    </w:p>
    <w:p w:rsidR="00525DFC" w:rsidRPr="00A51255" w:rsidRDefault="00E21B4E">
      <w:pPr>
        <w:spacing w:line="480" w:lineRule="auto"/>
        <w:ind w:firstLine="708"/>
        <w:jc w:val="both"/>
        <w:rPr>
          <w:rFonts w:ascii="Arial" w:hAnsi="Arial" w:cs="Arial"/>
          <w:lang w:val="en-US"/>
        </w:rPr>
      </w:pPr>
      <w:r>
        <w:rPr>
          <w:rFonts w:ascii="Arial" w:hAnsi="Arial" w:cs="Arial"/>
          <w:lang w:val="en-US"/>
        </w:rPr>
        <w:t xml:space="preserve">The </w:t>
      </w:r>
      <w:r w:rsidR="00525DFC" w:rsidRPr="00A51255">
        <w:rPr>
          <w:rFonts w:ascii="Arial" w:hAnsi="Arial" w:cs="Arial"/>
          <w:lang w:val="en-US"/>
        </w:rPr>
        <w:t>NBP also believed that the increasing sensitivity of the Polish economy to the developments in international financial markets require</w:t>
      </w:r>
      <w:r>
        <w:rPr>
          <w:rFonts w:ascii="Arial" w:hAnsi="Arial" w:cs="Arial"/>
          <w:lang w:val="en-US"/>
        </w:rPr>
        <w:t>d</w:t>
      </w:r>
      <w:r w:rsidR="00525DFC" w:rsidRPr="00A51255">
        <w:rPr>
          <w:rFonts w:ascii="Arial" w:hAnsi="Arial" w:cs="Arial"/>
          <w:lang w:val="en-US"/>
        </w:rPr>
        <w:t xml:space="preserve"> its stronger resilience, which, in turn, w</w:t>
      </w:r>
      <w:r>
        <w:rPr>
          <w:rFonts w:ascii="Arial" w:hAnsi="Arial" w:cs="Arial"/>
          <w:lang w:val="en-US"/>
        </w:rPr>
        <w:t>ould</w:t>
      </w:r>
      <w:r w:rsidR="00525DFC" w:rsidRPr="00A51255">
        <w:rPr>
          <w:rFonts w:ascii="Arial" w:hAnsi="Arial" w:cs="Arial"/>
          <w:lang w:val="en-US"/>
        </w:rPr>
        <w:t xml:space="preserve"> influence the effectiveness of monetary policy. It stated that as a result it w</w:t>
      </w:r>
      <w:r>
        <w:rPr>
          <w:rFonts w:ascii="Arial" w:hAnsi="Arial" w:cs="Arial"/>
          <w:lang w:val="en-US"/>
        </w:rPr>
        <w:t>ould</w:t>
      </w:r>
      <w:r w:rsidR="00525DFC" w:rsidRPr="00A51255">
        <w:rPr>
          <w:rFonts w:ascii="Arial" w:hAnsi="Arial" w:cs="Arial"/>
          <w:lang w:val="en-US"/>
        </w:rPr>
        <w:t xml:space="preserve"> be necessary to maintain sufficiently large foreign exchange reserves. These reserves </w:t>
      </w:r>
      <w:r w:rsidR="00525DFC" w:rsidRPr="00A51255">
        <w:rPr>
          <w:rFonts w:ascii="Arial" w:hAnsi="Arial" w:cs="Arial"/>
          <w:lang w:val="en-US"/>
        </w:rPr>
        <w:lastRenderedPageBreak/>
        <w:t>ought to stabilize the Polish zloty (PLN) exchange rate in the event of significant disturbances in the foreign exchange market</w:t>
      </w:r>
      <w:r>
        <w:rPr>
          <w:rFonts w:ascii="Arial" w:hAnsi="Arial" w:cs="Arial"/>
          <w:lang w:val="en-US"/>
        </w:rPr>
        <w:t>,</w:t>
      </w:r>
      <w:r w:rsidR="00525DFC" w:rsidRPr="00A51255">
        <w:rPr>
          <w:rFonts w:ascii="Arial" w:hAnsi="Arial" w:cs="Arial"/>
          <w:lang w:val="en-US"/>
        </w:rPr>
        <w:t xml:space="preserve"> and to facilitate the rapidly expanding convertibility of the zloty and the increased debt repayments anticipated in the near future (</w:t>
      </w:r>
      <w:r w:rsidR="00525DFC" w:rsidRPr="00A51255">
        <w:rPr>
          <w:rFonts w:ascii="Arial" w:hAnsi="Arial" w:cs="Arial"/>
          <w:i/>
          <w:lang w:val="en-US"/>
        </w:rPr>
        <w:t>Medium-Term Strategy of Monetary Policy</w:t>
      </w:r>
      <w:r w:rsidR="00525DFC" w:rsidRPr="002F5185">
        <w:rPr>
          <w:rFonts w:ascii="Arial" w:hAnsi="Arial" w:cs="Arial"/>
          <w:i/>
          <w:lang w:val="en-US"/>
        </w:rPr>
        <w:t xml:space="preserve"> </w:t>
      </w:r>
      <w:r w:rsidR="002F5185" w:rsidRPr="002F5185">
        <w:rPr>
          <w:rFonts w:ascii="Arial" w:hAnsi="Arial" w:cs="Arial"/>
          <w:i/>
          <w:lang w:val="en-US"/>
        </w:rPr>
        <w:t>(</w:t>
      </w:r>
      <w:r w:rsidR="00525DFC" w:rsidRPr="002F5185">
        <w:rPr>
          <w:rFonts w:ascii="Arial" w:hAnsi="Arial" w:cs="Arial"/>
          <w:i/>
          <w:lang w:val="en-US"/>
        </w:rPr>
        <w:t>1999-2003)</w:t>
      </w:r>
      <w:r w:rsidR="002F5185">
        <w:rPr>
          <w:rFonts w:ascii="Arial" w:hAnsi="Arial" w:cs="Arial"/>
          <w:lang w:val="en-US"/>
        </w:rPr>
        <w:t>)</w:t>
      </w:r>
      <w:r w:rsidR="00525DFC" w:rsidRPr="00A51255">
        <w:rPr>
          <w:rFonts w:ascii="Arial" w:hAnsi="Arial" w:cs="Arial"/>
          <w:lang w:val="en-US"/>
        </w:rPr>
        <w:t>.</w:t>
      </w:r>
    </w:p>
    <w:p w:rsidR="00525DFC" w:rsidRPr="00A51255" w:rsidRDefault="00525DFC">
      <w:pPr>
        <w:spacing w:line="480" w:lineRule="auto"/>
        <w:ind w:firstLine="708"/>
        <w:jc w:val="both"/>
        <w:rPr>
          <w:rFonts w:ascii="Arial" w:hAnsi="Arial" w:cs="Arial"/>
          <w:lang w:val="en-US"/>
        </w:rPr>
      </w:pPr>
      <w:r w:rsidRPr="00A51255">
        <w:rPr>
          <w:rFonts w:ascii="Arial" w:hAnsi="Arial" w:cs="Arial"/>
          <w:lang w:val="en-US"/>
        </w:rPr>
        <w:t xml:space="preserve">Since </w:t>
      </w:r>
      <w:r w:rsidR="003173E3" w:rsidRPr="00A51255">
        <w:rPr>
          <w:rFonts w:ascii="Arial" w:hAnsi="Arial" w:cs="Arial"/>
          <w:lang w:val="en-US"/>
        </w:rPr>
        <w:t xml:space="preserve">the year </w:t>
      </w:r>
      <w:r w:rsidRPr="00A51255">
        <w:rPr>
          <w:rFonts w:ascii="Arial" w:hAnsi="Arial" w:cs="Arial"/>
          <w:lang w:val="en-US"/>
        </w:rPr>
        <w:t>2000</w:t>
      </w:r>
      <w:r w:rsidR="00D335A1">
        <w:rPr>
          <w:rFonts w:ascii="Arial" w:hAnsi="Arial" w:cs="Arial"/>
          <w:lang w:val="en-US"/>
        </w:rPr>
        <w:t>,</w:t>
      </w:r>
      <w:r w:rsidRPr="00A51255">
        <w:rPr>
          <w:rFonts w:ascii="Arial" w:hAnsi="Arial" w:cs="Arial"/>
          <w:lang w:val="en-US"/>
        </w:rPr>
        <w:t xml:space="preserve"> the zloty exchange rate has been a floating exchange rate that is not subject to any restrictions. The central bank does not aim to set predetermined zloty exchange rates against other currencies. </w:t>
      </w:r>
      <w:r w:rsidR="00D335A1">
        <w:rPr>
          <w:rFonts w:ascii="Arial" w:hAnsi="Arial" w:cs="Arial"/>
          <w:lang w:val="en-US"/>
        </w:rPr>
        <w:t xml:space="preserve">Nevertheless, the </w:t>
      </w:r>
      <w:r w:rsidRPr="00A51255">
        <w:rPr>
          <w:rFonts w:ascii="Arial" w:hAnsi="Arial" w:cs="Arial"/>
          <w:lang w:val="en-US"/>
        </w:rPr>
        <w:t xml:space="preserve">NBP reserves the right to intervene if it deems this necessary in order to achieve the inflation target. It clearly states that foreign exchange interventions are a monetary policy instrument that may be used by the central bank. Exchange rate fluctuations exert a considerable impact on inflation, thus circumstances </w:t>
      </w:r>
      <w:r w:rsidR="00D335A1" w:rsidRPr="00A51255">
        <w:rPr>
          <w:rFonts w:ascii="Arial" w:hAnsi="Arial" w:cs="Arial"/>
          <w:lang w:val="en-US"/>
        </w:rPr>
        <w:t xml:space="preserve">may arise </w:t>
      </w:r>
      <w:r w:rsidRPr="00A51255">
        <w:rPr>
          <w:rFonts w:ascii="Arial" w:hAnsi="Arial" w:cs="Arial"/>
          <w:lang w:val="en-US"/>
        </w:rPr>
        <w:t xml:space="preserve">in which the MPC decides it is necessary to intervene in the foreign exchange market in order to stabilize inflation. Should Poland join ERM II, interventions in the foreign exchange market may also be used </w:t>
      </w:r>
      <w:r w:rsidR="00D335A1">
        <w:rPr>
          <w:rFonts w:ascii="Arial" w:hAnsi="Arial" w:cs="Arial"/>
          <w:lang w:val="en-US"/>
        </w:rPr>
        <w:t>to</w:t>
      </w:r>
      <w:r w:rsidRPr="00A51255">
        <w:rPr>
          <w:rFonts w:ascii="Arial" w:hAnsi="Arial" w:cs="Arial"/>
          <w:lang w:val="en-US"/>
        </w:rPr>
        <w:t xml:space="preserve"> stabiliz</w:t>
      </w:r>
      <w:r w:rsidR="00D335A1">
        <w:rPr>
          <w:rFonts w:ascii="Arial" w:hAnsi="Arial" w:cs="Arial"/>
          <w:lang w:val="en-US"/>
        </w:rPr>
        <w:t>e</w:t>
      </w:r>
      <w:r w:rsidRPr="00A51255">
        <w:rPr>
          <w:rFonts w:ascii="Arial" w:hAnsi="Arial" w:cs="Arial"/>
          <w:lang w:val="en-US"/>
        </w:rPr>
        <w:t xml:space="preserve"> the zloty exchange rate for the exchange rate stability criterion to be met (</w:t>
      </w:r>
      <w:r w:rsidRPr="00A51255">
        <w:rPr>
          <w:rFonts w:ascii="Arial" w:hAnsi="Arial" w:cs="Arial"/>
          <w:i/>
          <w:lang w:val="en-US"/>
        </w:rPr>
        <w:t>Monetary Policy Guidelines for 2009</w:t>
      </w:r>
      <w:r w:rsidR="00D8077F" w:rsidRPr="00A51255">
        <w:rPr>
          <w:rFonts w:ascii="Arial" w:hAnsi="Arial" w:cs="Arial"/>
          <w:lang w:val="en-US"/>
        </w:rPr>
        <w:t>)</w:t>
      </w:r>
      <w:r w:rsidRPr="00A51255">
        <w:rPr>
          <w:rFonts w:ascii="Arial" w:hAnsi="Arial" w:cs="Arial"/>
          <w:lang w:val="en-US"/>
        </w:rPr>
        <w:t>.</w:t>
      </w:r>
      <w:r w:rsidR="0015646C" w:rsidRPr="00A51255">
        <w:rPr>
          <w:rStyle w:val="FootnoteReference"/>
          <w:rFonts w:ascii="Arial" w:hAnsi="Arial" w:cs="Arial"/>
          <w:lang w:val="en-US"/>
        </w:rPr>
        <w:footnoteReference w:id="11"/>
      </w:r>
    </w:p>
    <w:p w:rsidR="00E26772" w:rsidRPr="00A51255" w:rsidRDefault="00E26772" w:rsidP="00E26772">
      <w:pPr>
        <w:spacing w:line="480" w:lineRule="auto"/>
        <w:ind w:firstLine="708"/>
        <w:jc w:val="both"/>
        <w:rPr>
          <w:rFonts w:ascii="Arial" w:hAnsi="Arial" w:cs="Arial"/>
          <w:lang w:val="en-US"/>
        </w:rPr>
      </w:pPr>
      <w:r w:rsidRPr="00A51255">
        <w:rPr>
          <w:rFonts w:ascii="Arial" w:hAnsi="Arial" w:cs="Arial"/>
          <w:lang w:val="en-US"/>
        </w:rPr>
        <w:t xml:space="preserve">Overall, </w:t>
      </w:r>
      <w:r w:rsidR="00D335A1">
        <w:rPr>
          <w:rFonts w:ascii="Arial" w:hAnsi="Arial" w:cs="Arial"/>
          <w:lang w:val="en-US"/>
        </w:rPr>
        <w:t xml:space="preserve">the </w:t>
      </w:r>
      <w:r w:rsidR="00525DFC" w:rsidRPr="00A51255">
        <w:rPr>
          <w:rFonts w:ascii="Arial" w:hAnsi="Arial" w:cs="Arial"/>
          <w:lang w:val="en-US"/>
        </w:rPr>
        <w:t xml:space="preserve">NBP believes that continued support for monetary policy </w:t>
      </w:r>
      <w:r w:rsidR="00D335A1">
        <w:rPr>
          <w:rFonts w:ascii="Arial" w:hAnsi="Arial" w:cs="Arial"/>
          <w:lang w:val="en-US"/>
        </w:rPr>
        <w:t xml:space="preserve">underpinned </w:t>
      </w:r>
      <w:r w:rsidR="00525DFC" w:rsidRPr="00A51255">
        <w:rPr>
          <w:rFonts w:ascii="Arial" w:hAnsi="Arial" w:cs="Arial"/>
          <w:lang w:val="en-US"/>
        </w:rPr>
        <w:t xml:space="preserve">by vigorous publicity is vital to reduce uncertainty and develop an understanding of the decisions made by the central bank among market participants. </w:t>
      </w:r>
      <w:r w:rsidR="00D335A1">
        <w:rPr>
          <w:rFonts w:ascii="Arial" w:hAnsi="Arial" w:cs="Arial"/>
          <w:lang w:val="en-US"/>
        </w:rPr>
        <w:t>Such publicity</w:t>
      </w:r>
      <w:r w:rsidR="00525DFC" w:rsidRPr="00A51255">
        <w:rPr>
          <w:rFonts w:ascii="Arial" w:hAnsi="Arial" w:cs="Arial"/>
          <w:lang w:val="en-US"/>
        </w:rPr>
        <w:t xml:space="preserve"> </w:t>
      </w:r>
      <w:r w:rsidR="00D335A1">
        <w:rPr>
          <w:rFonts w:ascii="Arial" w:hAnsi="Arial" w:cs="Arial"/>
          <w:lang w:val="en-US"/>
        </w:rPr>
        <w:t xml:space="preserve">is </w:t>
      </w:r>
      <w:r w:rsidR="00525DFC" w:rsidRPr="00A51255">
        <w:rPr>
          <w:rFonts w:ascii="Arial" w:hAnsi="Arial" w:cs="Arial"/>
          <w:lang w:val="en-US"/>
        </w:rPr>
        <w:t xml:space="preserve">also </w:t>
      </w:r>
      <w:r w:rsidR="00D335A1">
        <w:rPr>
          <w:rFonts w:ascii="Arial" w:hAnsi="Arial" w:cs="Arial"/>
          <w:lang w:val="en-US"/>
        </w:rPr>
        <w:t xml:space="preserve">believed to </w:t>
      </w:r>
      <w:r w:rsidR="00525DFC" w:rsidRPr="00A51255">
        <w:rPr>
          <w:rFonts w:ascii="Arial" w:hAnsi="Arial" w:cs="Arial"/>
          <w:lang w:val="en-US"/>
        </w:rPr>
        <w:t xml:space="preserve">enhance the transparency and credibility of monetary policy. </w:t>
      </w:r>
      <w:r w:rsidR="00D335A1">
        <w:rPr>
          <w:rFonts w:ascii="Arial" w:hAnsi="Arial" w:cs="Arial"/>
          <w:lang w:val="en-US"/>
        </w:rPr>
        <w:t xml:space="preserve">The </w:t>
      </w:r>
      <w:r w:rsidR="00525DFC" w:rsidRPr="00A51255">
        <w:rPr>
          <w:rFonts w:ascii="Arial" w:hAnsi="Arial" w:cs="Arial"/>
          <w:lang w:val="en-US"/>
        </w:rPr>
        <w:t xml:space="preserve">NBP aims at conducting an open attitude in its communication policy and believes that market </w:t>
      </w:r>
      <w:r w:rsidR="00525DFC" w:rsidRPr="00A51255">
        <w:rPr>
          <w:rFonts w:ascii="Arial" w:hAnsi="Arial" w:cs="Arial"/>
          <w:lang w:val="en-US"/>
        </w:rPr>
        <w:lastRenderedPageBreak/>
        <w:t xml:space="preserve">participants have relatively little difficulty in assessing its decisions in terms of the achievement of the monetary objectives set by the bank. Furthermore, </w:t>
      </w:r>
      <w:r w:rsidR="00667A97" w:rsidRPr="00A51255">
        <w:rPr>
          <w:rFonts w:ascii="Arial" w:hAnsi="Arial" w:cs="Arial"/>
          <w:lang w:val="en-US"/>
        </w:rPr>
        <w:t xml:space="preserve">the </w:t>
      </w:r>
      <w:r w:rsidR="00525DFC" w:rsidRPr="00A51255">
        <w:rPr>
          <w:rFonts w:ascii="Arial" w:hAnsi="Arial" w:cs="Arial"/>
          <w:lang w:val="en-US"/>
        </w:rPr>
        <w:t>NBP believes that active public relations policy contributes to increased responsibility and accountability of the central bank to market players for the monetary policy it conducts</w:t>
      </w:r>
      <w:r w:rsidR="00325684" w:rsidRPr="00A51255">
        <w:rPr>
          <w:rFonts w:ascii="Arial" w:hAnsi="Arial" w:cs="Arial"/>
          <w:lang w:val="en-US"/>
        </w:rPr>
        <w:t>.</w:t>
      </w:r>
      <w:r w:rsidR="00525DFC" w:rsidRPr="00A51255">
        <w:rPr>
          <w:rFonts w:ascii="Arial" w:hAnsi="Arial" w:cs="Arial"/>
          <w:lang w:val="en-US"/>
        </w:rPr>
        <w:t xml:space="preserve"> Key instruments employed in public communication include quarterly inflation reports published by the bank, information from the Council’s meetings, other mat</w:t>
      </w:r>
      <w:r w:rsidR="00E024DC">
        <w:rPr>
          <w:rFonts w:ascii="Arial" w:hAnsi="Arial" w:cs="Arial"/>
          <w:lang w:val="en-US"/>
        </w:rPr>
        <w:t>erials published on the NBP web</w:t>
      </w:r>
      <w:r w:rsidR="00525DFC" w:rsidRPr="00A51255">
        <w:rPr>
          <w:rFonts w:ascii="Arial" w:hAnsi="Arial" w:cs="Arial"/>
          <w:lang w:val="en-US"/>
        </w:rPr>
        <w:t>site, press conferences, public speeches as well as participation in seminars and scientific conferences (</w:t>
      </w:r>
      <w:r w:rsidR="00525DFC" w:rsidRPr="00A51255">
        <w:rPr>
          <w:rFonts w:ascii="Arial" w:hAnsi="Arial" w:cs="Arial"/>
          <w:i/>
          <w:lang w:val="en-US"/>
        </w:rPr>
        <w:t>Monetary Policy Strategy Beyond 2003</w:t>
      </w:r>
      <w:r w:rsidR="00FF51E7" w:rsidRPr="00A51255">
        <w:rPr>
          <w:rFonts w:ascii="Arial" w:hAnsi="Arial" w:cs="Arial"/>
          <w:lang w:val="en-US"/>
        </w:rPr>
        <w:t>)</w:t>
      </w:r>
      <w:r w:rsidR="00525DFC" w:rsidRPr="00A51255">
        <w:rPr>
          <w:rFonts w:ascii="Arial" w:hAnsi="Arial" w:cs="Arial"/>
          <w:lang w:val="en-US"/>
        </w:rPr>
        <w:t xml:space="preserve">. </w:t>
      </w:r>
    </w:p>
    <w:p w:rsidR="006874DD" w:rsidRPr="00A51255" w:rsidRDefault="006874DD" w:rsidP="00443419">
      <w:pPr>
        <w:spacing w:line="480" w:lineRule="auto"/>
        <w:jc w:val="both"/>
        <w:rPr>
          <w:rFonts w:ascii="Arial" w:hAnsi="Arial" w:cs="Arial"/>
          <w:lang w:val="en-US"/>
        </w:rPr>
      </w:pPr>
    </w:p>
    <w:p w:rsidR="0001577C" w:rsidRDefault="00D21E62" w:rsidP="004A2720">
      <w:pPr>
        <w:spacing w:line="480" w:lineRule="auto"/>
        <w:ind w:firstLine="708"/>
        <w:jc w:val="both"/>
        <w:rPr>
          <w:rFonts w:ascii="Arial" w:hAnsi="Arial" w:cs="Arial"/>
          <w:b/>
          <w:lang w:val="en-US"/>
        </w:rPr>
      </w:pPr>
      <w:r>
        <w:rPr>
          <w:rFonts w:ascii="Arial" w:hAnsi="Arial" w:cs="Arial"/>
          <w:b/>
          <w:lang w:val="en-US"/>
        </w:rPr>
        <w:t>3</w:t>
      </w:r>
      <w:r w:rsidR="00C87530" w:rsidRPr="00A51255">
        <w:rPr>
          <w:rFonts w:ascii="Arial" w:hAnsi="Arial" w:cs="Arial"/>
          <w:b/>
          <w:lang w:val="en-US"/>
        </w:rPr>
        <w:t xml:space="preserve">. </w:t>
      </w:r>
      <w:r w:rsidR="00355513">
        <w:rPr>
          <w:rFonts w:ascii="Arial" w:hAnsi="Arial" w:cs="Arial"/>
          <w:b/>
          <w:lang w:val="en-US"/>
        </w:rPr>
        <w:t xml:space="preserve"> </w:t>
      </w:r>
      <w:r w:rsidR="00525DFC" w:rsidRPr="00A51255">
        <w:rPr>
          <w:rFonts w:ascii="Arial" w:hAnsi="Arial" w:cs="Arial"/>
          <w:b/>
          <w:lang w:val="en-US"/>
        </w:rPr>
        <w:t xml:space="preserve">Methodological </w:t>
      </w:r>
      <w:r w:rsidR="00810961" w:rsidRPr="00A51255">
        <w:rPr>
          <w:rFonts w:ascii="Arial" w:hAnsi="Arial" w:cs="Arial"/>
          <w:b/>
          <w:lang w:val="en-US"/>
        </w:rPr>
        <w:t>Issues</w:t>
      </w:r>
    </w:p>
    <w:p w:rsidR="00E70C0B" w:rsidRPr="00474236" w:rsidRDefault="00E70C0B" w:rsidP="00443419">
      <w:pPr>
        <w:spacing w:line="480" w:lineRule="auto"/>
        <w:jc w:val="both"/>
        <w:rPr>
          <w:rFonts w:ascii="Arial" w:hAnsi="Arial" w:cs="Arial"/>
          <w:b/>
          <w:lang w:val="en-US"/>
        </w:rPr>
      </w:pPr>
    </w:p>
    <w:p w:rsidR="00745FA5" w:rsidRDefault="001E5FC6" w:rsidP="00DC15B2">
      <w:pPr>
        <w:spacing w:line="480" w:lineRule="auto"/>
        <w:ind w:firstLine="708"/>
        <w:jc w:val="both"/>
        <w:rPr>
          <w:rFonts w:ascii="Arial" w:hAnsi="Arial" w:cs="Arial"/>
          <w:lang w:val="en-US"/>
        </w:rPr>
      </w:pPr>
      <w:r w:rsidRPr="0001577C">
        <w:rPr>
          <w:rFonts w:ascii="Arial" w:hAnsi="Arial" w:cs="Arial"/>
          <w:lang w:val="en-US"/>
        </w:rPr>
        <w:t xml:space="preserve">In this section, we first </w:t>
      </w:r>
      <w:r w:rsidR="00C32E28" w:rsidRPr="0001577C">
        <w:rPr>
          <w:rFonts w:ascii="Arial" w:hAnsi="Arial" w:cs="Arial"/>
          <w:lang w:val="en-US"/>
        </w:rPr>
        <w:t xml:space="preserve">discuss </w:t>
      </w:r>
      <w:r w:rsidRPr="0001577C">
        <w:rPr>
          <w:rFonts w:ascii="Arial" w:hAnsi="Arial" w:cs="Arial"/>
          <w:lang w:val="en-US"/>
        </w:rPr>
        <w:t>model</w:t>
      </w:r>
      <w:r w:rsidR="00C32E28" w:rsidRPr="0001577C">
        <w:rPr>
          <w:rFonts w:ascii="Arial" w:hAnsi="Arial" w:cs="Arial"/>
          <w:lang w:val="en-US"/>
        </w:rPr>
        <w:t>ing of</w:t>
      </w:r>
      <w:r w:rsidRPr="0001577C">
        <w:rPr>
          <w:rFonts w:ascii="Arial" w:hAnsi="Arial" w:cs="Arial"/>
          <w:lang w:val="en-US"/>
        </w:rPr>
        <w:t xml:space="preserve"> the </w:t>
      </w:r>
      <w:r w:rsidR="00AE72EE" w:rsidRPr="0001577C">
        <w:rPr>
          <w:rFonts w:ascii="Arial" w:hAnsi="Arial" w:cs="Arial"/>
          <w:lang w:val="en-US"/>
        </w:rPr>
        <w:t xml:space="preserve">foreign exchange returns </w:t>
      </w:r>
      <w:r w:rsidRPr="0001577C">
        <w:rPr>
          <w:rFonts w:ascii="Arial" w:hAnsi="Arial" w:cs="Arial"/>
          <w:lang w:val="en-US"/>
        </w:rPr>
        <w:t>followed by the</w:t>
      </w:r>
      <w:r w:rsidR="00AE72EE" w:rsidRPr="0001577C">
        <w:rPr>
          <w:rFonts w:ascii="Arial" w:hAnsi="Arial" w:cs="Arial"/>
          <w:lang w:val="en-US"/>
        </w:rPr>
        <w:t xml:space="preserve"> trading volume</w:t>
      </w:r>
      <w:r w:rsidRPr="0001577C">
        <w:rPr>
          <w:rFonts w:ascii="Arial" w:hAnsi="Arial" w:cs="Arial"/>
          <w:lang w:val="en-US"/>
        </w:rPr>
        <w:t>. Because strong ARCH effects were detected in exchange rate returns and trading volume</w:t>
      </w:r>
      <w:r w:rsidR="009142BC" w:rsidRPr="0001577C">
        <w:rPr>
          <w:rFonts w:ascii="Arial" w:hAnsi="Arial" w:cs="Arial"/>
          <w:lang w:val="en-US"/>
        </w:rPr>
        <w:t xml:space="preserve"> models</w:t>
      </w:r>
      <w:r w:rsidR="00FA3CBD" w:rsidRPr="0001577C">
        <w:rPr>
          <w:rFonts w:ascii="Arial" w:hAnsi="Arial" w:cs="Arial"/>
          <w:lang w:val="en-US"/>
        </w:rPr>
        <w:t>, we utilize ARCH</w:t>
      </w:r>
      <w:r w:rsidRPr="0001577C">
        <w:rPr>
          <w:rFonts w:ascii="Arial" w:hAnsi="Arial" w:cs="Arial"/>
          <w:lang w:val="en-US"/>
        </w:rPr>
        <w:t xml:space="preserve"> </w:t>
      </w:r>
      <w:r w:rsidR="00FA3CBD" w:rsidRPr="0001577C">
        <w:rPr>
          <w:rFonts w:ascii="Arial" w:hAnsi="Arial" w:cs="Arial"/>
          <w:lang w:val="en-US"/>
        </w:rPr>
        <w:t xml:space="preserve">methodology </w:t>
      </w:r>
      <w:r w:rsidRPr="0001577C">
        <w:rPr>
          <w:rFonts w:ascii="Arial" w:hAnsi="Arial" w:cs="Arial"/>
          <w:lang w:val="en-US"/>
        </w:rPr>
        <w:t>in modeling both</w:t>
      </w:r>
      <w:r w:rsidR="00C85F76" w:rsidRPr="0001577C">
        <w:rPr>
          <w:rFonts w:ascii="Arial" w:hAnsi="Arial" w:cs="Arial"/>
          <w:lang w:val="en-US"/>
        </w:rPr>
        <w:t xml:space="preserve"> variables.</w:t>
      </w:r>
    </w:p>
    <w:p w:rsidR="004B2D3D" w:rsidRPr="00A51255" w:rsidRDefault="004B2D3D" w:rsidP="00DC15B2">
      <w:pPr>
        <w:spacing w:line="480" w:lineRule="auto"/>
        <w:ind w:firstLine="708"/>
        <w:jc w:val="both"/>
        <w:rPr>
          <w:rFonts w:ascii="Arial" w:hAnsi="Arial" w:cs="Arial"/>
          <w:lang w:val="en-US"/>
        </w:rPr>
      </w:pPr>
    </w:p>
    <w:p w:rsidR="001E5FC6" w:rsidRPr="00A51255" w:rsidRDefault="00D21E62" w:rsidP="0041596C">
      <w:pPr>
        <w:spacing w:line="480" w:lineRule="auto"/>
        <w:ind w:left="360" w:firstLine="348"/>
        <w:jc w:val="both"/>
        <w:rPr>
          <w:rFonts w:ascii="Arial" w:hAnsi="Arial" w:cs="Arial"/>
          <w:lang w:val="en-US"/>
        </w:rPr>
      </w:pPr>
      <w:r>
        <w:rPr>
          <w:rFonts w:ascii="Arial" w:hAnsi="Arial" w:cs="Arial"/>
          <w:b/>
          <w:lang w:val="en-US"/>
        </w:rPr>
        <w:t>3</w:t>
      </w:r>
      <w:r w:rsidR="00901AD4" w:rsidRPr="00A51255">
        <w:rPr>
          <w:rFonts w:ascii="Arial" w:hAnsi="Arial" w:cs="Arial"/>
          <w:b/>
          <w:lang w:val="en-US"/>
        </w:rPr>
        <w:t>.</w:t>
      </w:r>
      <w:r w:rsidR="00DC1EC4" w:rsidRPr="00A51255">
        <w:rPr>
          <w:rFonts w:ascii="Arial" w:hAnsi="Arial" w:cs="Arial"/>
          <w:b/>
          <w:lang w:val="en-US"/>
        </w:rPr>
        <w:t>1</w:t>
      </w:r>
      <w:r w:rsidR="00901AD4" w:rsidRPr="00A51255">
        <w:rPr>
          <w:rFonts w:ascii="Arial" w:hAnsi="Arial" w:cs="Arial"/>
          <w:b/>
          <w:lang w:val="en-US"/>
        </w:rPr>
        <w:t xml:space="preserve">. </w:t>
      </w:r>
      <w:r w:rsidR="00AE72EE" w:rsidRPr="00A51255">
        <w:rPr>
          <w:rFonts w:ascii="Arial" w:hAnsi="Arial" w:cs="Arial"/>
          <w:b/>
          <w:lang w:val="en-US"/>
        </w:rPr>
        <w:t>Foreign Exchange Returns and Volatility</w:t>
      </w:r>
    </w:p>
    <w:p w:rsidR="00A74EDB" w:rsidRDefault="00DC1EC4" w:rsidP="00CC307A">
      <w:pPr>
        <w:spacing w:line="480" w:lineRule="auto"/>
        <w:ind w:firstLine="708"/>
        <w:jc w:val="both"/>
        <w:rPr>
          <w:rFonts w:ascii="Arial" w:hAnsi="Arial" w:cs="Arial"/>
          <w:lang w:val="en-US"/>
        </w:rPr>
      </w:pPr>
      <w:r w:rsidRPr="00A51255">
        <w:rPr>
          <w:rFonts w:ascii="Arial" w:hAnsi="Arial" w:cs="Arial"/>
          <w:lang w:val="en-US"/>
        </w:rPr>
        <w:t xml:space="preserve">We propose </w:t>
      </w:r>
      <w:r w:rsidR="00FF664E" w:rsidRPr="00A51255">
        <w:rPr>
          <w:rFonts w:ascii="Arial" w:hAnsi="Arial" w:cs="Arial"/>
          <w:lang w:val="en-US"/>
        </w:rPr>
        <w:t>to estimate the following GARCH</w:t>
      </w:r>
      <w:r w:rsidR="00705F53">
        <w:rPr>
          <w:rFonts w:ascii="Arial" w:hAnsi="Arial" w:cs="Arial"/>
          <w:lang w:val="en-US"/>
        </w:rPr>
        <w:t>(1,1)</w:t>
      </w:r>
      <w:r w:rsidRPr="00A51255">
        <w:rPr>
          <w:rFonts w:ascii="Arial" w:hAnsi="Arial" w:cs="Arial"/>
          <w:lang w:val="en-US"/>
        </w:rPr>
        <w:t xml:space="preserve"> model of the </w:t>
      </w:r>
      <w:r w:rsidR="00AE72EE" w:rsidRPr="00A51255">
        <w:rPr>
          <w:rFonts w:ascii="Arial" w:hAnsi="Arial" w:cs="Arial"/>
          <w:lang w:val="en-US"/>
        </w:rPr>
        <w:t>PLN/USD exchange rate returns (</w:t>
      </w:r>
      <w:r w:rsidR="00C0328E" w:rsidRPr="00A51255">
        <w:rPr>
          <w:rFonts w:ascii="Arial" w:hAnsi="Arial" w:cs="Arial"/>
          <w:position w:val="-12"/>
          <w:lang w:val="en-US"/>
        </w:rPr>
        <w:object w:dxaOrig="8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20.55pt" o:ole="">
            <v:imagedata r:id="rId10" o:title=""/>
          </v:shape>
          <o:OLEObject Type="Embed" ProgID="Equation.3" ShapeID="_x0000_i1025" DrawAspect="Content" ObjectID="_1507543372" r:id="rId11"/>
        </w:object>
      </w:r>
      <w:r w:rsidR="00AE72EE" w:rsidRPr="00A51255">
        <w:rPr>
          <w:rFonts w:ascii="Arial" w:hAnsi="Arial" w:cs="Arial"/>
          <w:lang w:val="en-US"/>
        </w:rPr>
        <w:t xml:space="preserve">) </w:t>
      </w:r>
      <w:r w:rsidRPr="00A51255">
        <w:rPr>
          <w:rFonts w:ascii="Arial" w:hAnsi="Arial" w:cs="Arial"/>
          <w:lang w:val="en-US"/>
        </w:rPr>
        <w:t>with</w:t>
      </w:r>
      <w:r w:rsidR="00E958AB" w:rsidRPr="00A51255">
        <w:rPr>
          <w:rFonts w:ascii="Arial" w:hAnsi="Arial" w:cs="Arial"/>
          <w:lang w:val="en-US"/>
        </w:rPr>
        <w:t xml:space="preserve"> </w:t>
      </w:r>
      <w:r w:rsidR="009222B4" w:rsidRPr="00A51255">
        <w:rPr>
          <w:rFonts w:ascii="Arial" w:hAnsi="Arial" w:cs="Arial"/>
          <w:lang w:val="en-US"/>
        </w:rPr>
        <w:t xml:space="preserve">surprise </w:t>
      </w:r>
      <w:r w:rsidRPr="00A51255">
        <w:rPr>
          <w:rFonts w:ascii="Arial" w:hAnsi="Arial" w:cs="Arial"/>
          <w:lang w:val="en-US"/>
        </w:rPr>
        <w:t xml:space="preserve">announcement </w:t>
      </w:r>
      <w:r w:rsidR="0080117D" w:rsidRPr="00A51255">
        <w:rPr>
          <w:rFonts w:ascii="Arial" w:hAnsi="Arial" w:cs="Arial"/>
          <w:lang w:val="en-US"/>
        </w:rPr>
        <w:t>dummies</w:t>
      </w:r>
      <w:r w:rsidR="00E958AB" w:rsidRPr="00A51255">
        <w:rPr>
          <w:rFonts w:ascii="Arial" w:hAnsi="Arial" w:cs="Arial"/>
          <w:lang w:val="en-US"/>
        </w:rPr>
        <w:t xml:space="preserve"> </w:t>
      </w:r>
      <w:r w:rsidR="009222B4" w:rsidRPr="00A51255">
        <w:rPr>
          <w:rFonts w:ascii="Arial" w:hAnsi="Arial" w:cs="Arial"/>
          <w:lang w:val="en-US"/>
        </w:rPr>
        <w:t>for each variable</w:t>
      </w:r>
      <w:r w:rsidR="009F0E84" w:rsidRPr="00A51255">
        <w:rPr>
          <w:rFonts w:ascii="Arial" w:hAnsi="Arial" w:cs="Arial"/>
          <w:lang w:val="en-US"/>
        </w:rPr>
        <w:t xml:space="preserve"> in</w:t>
      </w:r>
      <w:r w:rsidR="009222B4" w:rsidRPr="00A51255">
        <w:rPr>
          <w:rFonts w:ascii="Arial" w:hAnsi="Arial" w:cs="Arial"/>
          <w:lang w:val="en-US"/>
        </w:rPr>
        <w:t xml:space="preserve"> </w:t>
      </w:r>
      <w:r w:rsidR="00810EBE">
        <w:rPr>
          <w:rFonts w:ascii="Arial" w:hAnsi="Arial" w:cs="Arial"/>
          <w:lang w:val="en-US"/>
        </w:rPr>
        <w:t xml:space="preserve">the </w:t>
      </w:r>
      <w:r w:rsidR="00A74EDB">
        <w:rPr>
          <w:rFonts w:ascii="Arial" w:hAnsi="Arial" w:cs="Arial"/>
          <w:lang w:val="en-US"/>
        </w:rPr>
        <w:t xml:space="preserve">mean and the </w:t>
      </w:r>
      <w:r w:rsidR="005475DE">
        <w:rPr>
          <w:rFonts w:ascii="Arial" w:hAnsi="Arial" w:cs="Arial"/>
          <w:lang w:val="en-US"/>
        </w:rPr>
        <w:t xml:space="preserve">conditional </w:t>
      </w:r>
      <w:r w:rsidR="00810EBE">
        <w:rPr>
          <w:rFonts w:ascii="Arial" w:hAnsi="Arial" w:cs="Arial"/>
          <w:lang w:val="en-US"/>
        </w:rPr>
        <w:t>variance</w:t>
      </w:r>
      <w:r w:rsidRPr="00A51255">
        <w:rPr>
          <w:rFonts w:ascii="Arial" w:hAnsi="Arial" w:cs="Arial"/>
          <w:lang w:val="en-US"/>
        </w:rPr>
        <w:t xml:space="preserve"> equation</w:t>
      </w:r>
      <w:r w:rsidR="00A74EDB">
        <w:rPr>
          <w:rFonts w:ascii="Arial" w:hAnsi="Arial" w:cs="Arial"/>
          <w:lang w:val="en-US"/>
        </w:rPr>
        <w:t>s</w:t>
      </w:r>
      <w:r w:rsidR="004532AA">
        <w:rPr>
          <w:rFonts w:ascii="Arial" w:hAnsi="Arial" w:cs="Arial"/>
          <w:lang w:val="en-US"/>
        </w:rPr>
        <w:t xml:space="preserve"> </w:t>
      </w:r>
      <w:r w:rsidR="004532AA">
        <w:rPr>
          <w:rFonts w:ascii="Arial" w:hAnsi="Arial" w:cs="Arial"/>
          <w:iCs/>
          <w:lang w:val="en-US"/>
        </w:rPr>
        <w:t>in order to</w:t>
      </w:r>
      <w:r w:rsidR="004532AA" w:rsidRPr="00A51255">
        <w:rPr>
          <w:rFonts w:ascii="Arial" w:hAnsi="Arial" w:cs="Arial"/>
          <w:iCs/>
          <w:lang w:val="en-US"/>
        </w:rPr>
        <w:t xml:space="preserve"> test whether the unexpected central bank announcements affect the </w:t>
      </w:r>
      <w:r w:rsidR="004532AA">
        <w:rPr>
          <w:rFonts w:ascii="Arial" w:hAnsi="Arial" w:cs="Arial"/>
          <w:iCs/>
          <w:lang w:val="en-US"/>
        </w:rPr>
        <w:t xml:space="preserve">mean </w:t>
      </w:r>
      <w:r w:rsidR="00AB6C70">
        <w:rPr>
          <w:rFonts w:ascii="Arial" w:hAnsi="Arial" w:cs="Arial"/>
          <w:iCs/>
          <w:lang w:val="en-US"/>
        </w:rPr>
        <w:t>a</w:t>
      </w:r>
      <w:r w:rsidR="004532AA">
        <w:rPr>
          <w:rFonts w:ascii="Arial" w:hAnsi="Arial" w:cs="Arial"/>
          <w:iCs/>
          <w:lang w:val="en-US"/>
        </w:rPr>
        <w:t>nd the variance of the foreign exchange rate</w:t>
      </w:r>
      <w:r w:rsidR="00525DFC" w:rsidRPr="00A51255">
        <w:rPr>
          <w:rFonts w:ascii="Arial" w:hAnsi="Arial" w:cs="Arial"/>
          <w:lang w:val="en-US"/>
        </w:rPr>
        <w:t>:</w:t>
      </w:r>
    </w:p>
    <w:p w:rsidR="00396DD8" w:rsidRDefault="00396DD8" w:rsidP="00CC307A">
      <w:pPr>
        <w:spacing w:line="480" w:lineRule="auto"/>
        <w:ind w:firstLine="708"/>
        <w:jc w:val="both"/>
        <w:rPr>
          <w:rFonts w:ascii="Arial" w:hAnsi="Arial" w:cs="Arial"/>
          <w:lang w:val="en-US"/>
        </w:rPr>
      </w:pPr>
    </w:p>
    <w:p w:rsidR="005475DE" w:rsidRPr="00A51255" w:rsidRDefault="00A74EDB" w:rsidP="00A74EDB">
      <w:pPr>
        <w:spacing w:line="480" w:lineRule="auto"/>
        <w:ind w:firstLine="708"/>
        <w:jc w:val="both"/>
        <w:rPr>
          <w:rFonts w:ascii="Arial" w:hAnsi="Arial" w:cs="Arial"/>
          <w:lang w:val="en-US"/>
        </w:rPr>
      </w:pPr>
      <w:r w:rsidRPr="00A51255">
        <w:rPr>
          <w:rFonts w:ascii="Arial" w:hAnsi="Arial" w:cs="Arial"/>
          <w:position w:val="-48"/>
          <w:lang w:val="en-US"/>
        </w:rPr>
        <w:object w:dxaOrig="5800" w:dyaOrig="1080">
          <v:shape id="_x0000_i1026" type="#_x0000_t75" style="width:306pt;height:57.85pt" o:ole="">
            <v:imagedata r:id="rId12" o:title=""/>
          </v:shape>
          <o:OLEObject Type="Embed" ProgID="Equation.3" ShapeID="_x0000_i1026" DrawAspect="Content" ObjectID="_1507543373" r:id="rId13"/>
        </w:object>
      </w:r>
      <w:r>
        <w:rPr>
          <w:rFonts w:ascii="Arial" w:hAnsi="Arial" w:cs="Arial"/>
          <w:lang w:val="en-US"/>
        </w:rPr>
        <w:tab/>
      </w:r>
      <w:r>
        <w:rPr>
          <w:rFonts w:ascii="Arial" w:hAnsi="Arial" w:cs="Arial"/>
          <w:lang w:val="en-US"/>
        </w:rPr>
        <w:tab/>
      </w:r>
      <w:r>
        <w:rPr>
          <w:rFonts w:ascii="Arial" w:hAnsi="Arial" w:cs="Arial"/>
          <w:lang w:val="en-US"/>
        </w:rPr>
        <w:tab/>
      </w:r>
      <w:r w:rsidR="00C65448">
        <w:rPr>
          <w:rFonts w:ascii="Arial" w:hAnsi="Arial" w:cs="Arial"/>
          <w:lang w:val="en-US"/>
        </w:rPr>
        <w:t>(</w:t>
      </w:r>
      <w:r w:rsidR="005475DE">
        <w:rPr>
          <w:rFonts w:ascii="Arial" w:hAnsi="Arial" w:cs="Arial"/>
          <w:lang w:val="en-US"/>
        </w:rPr>
        <w:t>1)</w:t>
      </w:r>
    </w:p>
    <w:p w:rsidR="005475DE" w:rsidRDefault="002B3D5D" w:rsidP="005475DE">
      <w:pPr>
        <w:spacing w:line="480" w:lineRule="auto"/>
        <w:ind w:firstLine="709"/>
        <w:rPr>
          <w:rFonts w:ascii="Arial" w:hAnsi="Arial" w:cs="Arial"/>
          <w:lang w:val="en-US"/>
        </w:rPr>
      </w:pPr>
      <w:r w:rsidRPr="009B50E4">
        <w:rPr>
          <w:rFonts w:ascii="Garamond" w:hAnsi="Garamond"/>
          <w:i/>
          <w:position w:val="-30"/>
          <w:lang w:val="de-DE"/>
        </w:rPr>
        <w:object w:dxaOrig="6460" w:dyaOrig="700">
          <v:shape id="_x0000_i1027" type="#_x0000_t75" style="width:353.55pt;height:39.85pt" o:ole="">
            <v:imagedata r:id="rId14" o:title=""/>
          </v:shape>
          <o:OLEObject Type="Embed" ProgID="Equation.3" ShapeID="_x0000_i1027" DrawAspect="Content" ObjectID="_1507543374" r:id="rId15"/>
        </w:object>
      </w:r>
      <w:r w:rsidR="005475DE" w:rsidRPr="00A51255">
        <w:rPr>
          <w:lang w:val="en-US"/>
        </w:rPr>
        <w:tab/>
      </w:r>
      <w:r w:rsidR="005475DE" w:rsidRPr="00A51255">
        <w:rPr>
          <w:lang w:val="en-US"/>
        </w:rPr>
        <w:tab/>
      </w:r>
      <w:r w:rsidR="00C65448">
        <w:rPr>
          <w:rFonts w:ascii="Arial" w:hAnsi="Arial" w:cs="Arial"/>
          <w:lang w:val="en-US"/>
        </w:rPr>
        <w:t>(</w:t>
      </w:r>
      <w:r w:rsidR="005475DE">
        <w:rPr>
          <w:rFonts w:ascii="Arial" w:hAnsi="Arial" w:cs="Arial"/>
          <w:lang w:val="en-US"/>
        </w:rPr>
        <w:t>2)</w:t>
      </w:r>
    </w:p>
    <w:p w:rsidR="00A305F9" w:rsidRDefault="00A305F9" w:rsidP="001573A3">
      <w:pPr>
        <w:spacing w:line="480" w:lineRule="auto"/>
        <w:rPr>
          <w:rFonts w:ascii="Arial" w:hAnsi="Arial" w:cs="Arial"/>
          <w:lang w:val="en-US"/>
        </w:rPr>
      </w:pPr>
    </w:p>
    <w:p w:rsidR="001573A3" w:rsidRPr="00A51255" w:rsidRDefault="001573A3" w:rsidP="001573A3">
      <w:pPr>
        <w:spacing w:line="480" w:lineRule="auto"/>
        <w:rPr>
          <w:rFonts w:ascii="Arial" w:hAnsi="Arial" w:cs="Arial"/>
          <w:lang w:val="en-US"/>
        </w:rPr>
      </w:pPr>
      <w:r w:rsidRPr="00A51255">
        <w:rPr>
          <w:rFonts w:ascii="Arial" w:hAnsi="Arial" w:cs="Arial"/>
          <w:lang w:val="en-US"/>
        </w:rPr>
        <w:lastRenderedPageBreak/>
        <w:t>where:</w:t>
      </w:r>
    </w:p>
    <w:p w:rsidR="001573A3" w:rsidRDefault="001573A3" w:rsidP="001573A3">
      <w:pPr>
        <w:spacing w:line="480" w:lineRule="auto"/>
        <w:jc w:val="both"/>
        <w:rPr>
          <w:rFonts w:ascii="Arial" w:hAnsi="Arial" w:cs="Arial"/>
          <w:lang w:val="en-US"/>
        </w:rPr>
      </w:pPr>
      <w:r w:rsidRPr="00A51255">
        <w:rPr>
          <w:rFonts w:ascii="Arial" w:hAnsi="Arial" w:cs="Arial"/>
          <w:position w:val="-12"/>
          <w:lang w:val="en-US"/>
        </w:rPr>
        <w:object w:dxaOrig="999" w:dyaOrig="360">
          <v:shape id="_x0000_i1028" type="#_x0000_t75" style="width:52.7pt;height:18pt" o:ole="">
            <v:imagedata r:id="rId16" o:title=""/>
          </v:shape>
          <o:OLEObject Type="Embed" ProgID="Equation.3" ShapeID="_x0000_i1028" DrawAspect="Content" ObjectID="_1507543375" r:id="rId17"/>
        </w:object>
      </w:r>
      <w:r w:rsidRPr="00A51255">
        <w:rPr>
          <w:rFonts w:ascii="Arial" w:hAnsi="Arial" w:cs="Arial"/>
          <w:lang w:val="en-US"/>
        </w:rPr>
        <w:t xml:space="preserve"> </w:t>
      </w:r>
      <w:r w:rsidR="007D20C2" w:rsidRPr="00A51255">
        <w:rPr>
          <w:rFonts w:ascii="Arial" w:hAnsi="Arial" w:cs="Arial"/>
          <w:lang w:val="en-US"/>
        </w:rPr>
        <w:t xml:space="preserve">- </w:t>
      </w:r>
      <w:r w:rsidRPr="00A51255">
        <w:rPr>
          <w:rFonts w:ascii="Arial" w:hAnsi="Arial" w:cs="Arial"/>
          <w:lang w:val="en-US"/>
        </w:rPr>
        <w:t>is the percentage change of trading volume</w:t>
      </w:r>
      <w:r w:rsidR="00A74EDB">
        <w:rPr>
          <w:rFonts w:ascii="Arial" w:hAnsi="Arial" w:cs="Arial"/>
          <w:lang w:val="en-US"/>
        </w:rPr>
        <w:t>,</w:t>
      </w:r>
    </w:p>
    <w:p w:rsidR="00A74EDB" w:rsidRPr="009B50E4" w:rsidRDefault="00A74EDB" w:rsidP="00A74EDB">
      <w:pPr>
        <w:spacing w:line="480" w:lineRule="auto"/>
        <w:jc w:val="both"/>
        <w:rPr>
          <w:rFonts w:ascii="Arial" w:hAnsi="Arial" w:cs="Arial"/>
          <w:vertAlign w:val="subscript"/>
          <w:lang w:val="en-US"/>
        </w:rPr>
      </w:pPr>
      <w:r w:rsidRPr="00A51255">
        <w:rPr>
          <w:rFonts w:ascii="Arial" w:hAnsi="Arial" w:cs="Arial"/>
          <w:position w:val="-12"/>
          <w:lang w:val="en-US"/>
        </w:rPr>
        <w:object w:dxaOrig="840" w:dyaOrig="380">
          <v:shape id="_x0000_i1029" type="#_x0000_t75" style="width:42.45pt;height:18pt" o:ole="">
            <v:imagedata r:id="rId18" o:title=""/>
          </v:shape>
          <o:OLEObject Type="Embed" ProgID="Equation.3" ShapeID="_x0000_i1029" DrawAspect="Content" ObjectID="_1507543376" r:id="rId19"/>
        </w:object>
      </w:r>
      <w:r w:rsidRPr="00A51255">
        <w:rPr>
          <w:rFonts w:ascii="Arial" w:hAnsi="Arial" w:cs="Arial"/>
          <w:lang w:val="en-US"/>
        </w:rPr>
        <w:t xml:space="preserve"> - is the return of the EUR/USD exchange rate,</w:t>
      </w:r>
    </w:p>
    <w:p w:rsidR="00A74EDB" w:rsidRPr="00A51255" w:rsidRDefault="00A74EDB" w:rsidP="00A74EDB">
      <w:pPr>
        <w:spacing w:line="480" w:lineRule="auto"/>
        <w:jc w:val="both"/>
        <w:rPr>
          <w:rFonts w:ascii="Arial" w:hAnsi="Arial" w:cs="Arial"/>
          <w:lang w:val="en-US"/>
        </w:rPr>
      </w:pPr>
      <w:r w:rsidRPr="00A51255">
        <w:rPr>
          <w:rFonts w:ascii="Arial" w:hAnsi="Arial" w:cs="Arial"/>
          <w:position w:val="-12"/>
          <w:lang w:val="en-US"/>
        </w:rPr>
        <w:object w:dxaOrig="1040" w:dyaOrig="360">
          <v:shape id="_x0000_i1030" type="#_x0000_t75" style="width:55.3pt;height:19.3pt" o:ole="">
            <v:imagedata r:id="rId20" o:title=""/>
          </v:shape>
          <o:OLEObject Type="Embed" ProgID="Equation.3" ShapeID="_x0000_i1030" DrawAspect="Content" ObjectID="_1507543377" r:id="rId21"/>
        </w:object>
      </w:r>
      <w:r w:rsidRPr="00A51255">
        <w:rPr>
          <w:rFonts w:ascii="Arial" w:hAnsi="Arial" w:cs="Arial"/>
          <w:lang w:val="en-US"/>
        </w:rPr>
        <w:t xml:space="preserve"> - is the interest rates differe</w:t>
      </w:r>
      <w:r>
        <w:rPr>
          <w:rFonts w:ascii="Arial" w:hAnsi="Arial" w:cs="Arial"/>
          <w:lang w:val="en-US"/>
        </w:rPr>
        <w:t xml:space="preserve">ntial between </w:t>
      </w:r>
      <w:r w:rsidR="00A96351">
        <w:rPr>
          <w:rFonts w:ascii="Arial" w:hAnsi="Arial" w:cs="Arial"/>
          <w:lang w:val="en-US"/>
        </w:rPr>
        <w:t xml:space="preserve">the </w:t>
      </w:r>
      <w:r>
        <w:rPr>
          <w:rFonts w:ascii="Arial" w:hAnsi="Arial" w:cs="Arial"/>
          <w:lang w:val="en-US"/>
        </w:rPr>
        <w:t>USA and Poland,</w:t>
      </w:r>
    </w:p>
    <w:p w:rsidR="00A74EDB" w:rsidRDefault="002E4D2F" w:rsidP="00A136D6">
      <w:pPr>
        <w:spacing w:line="480" w:lineRule="auto"/>
        <w:jc w:val="both"/>
        <w:rPr>
          <w:rFonts w:ascii="Arial" w:hAnsi="Arial" w:cs="Arial"/>
          <w:lang w:val="en-US"/>
        </w:rPr>
      </w:pPr>
      <w:r w:rsidRPr="00A51255">
        <w:rPr>
          <w:rFonts w:ascii="Arial" w:hAnsi="Arial" w:cs="Arial"/>
          <w:position w:val="-12"/>
          <w:lang w:val="en-US"/>
        </w:rPr>
        <w:object w:dxaOrig="720" w:dyaOrig="360">
          <v:shape id="_x0000_i1031" type="#_x0000_t75" style="width:38.55pt;height:18pt" o:ole="">
            <v:imagedata r:id="rId22" o:title=""/>
          </v:shape>
          <o:OLEObject Type="Embed" ProgID="Equation.3" ShapeID="_x0000_i1031" DrawAspect="Content" ObjectID="_1507543378" r:id="rId23"/>
        </w:object>
      </w:r>
      <w:r w:rsidR="00A74EDB" w:rsidRPr="00A51255">
        <w:rPr>
          <w:rFonts w:ascii="Arial" w:hAnsi="Arial" w:cs="Arial"/>
          <w:lang w:val="en-US"/>
        </w:rPr>
        <w:t xml:space="preserve"> </w:t>
      </w:r>
      <w:r>
        <w:rPr>
          <w:rFonts w:ascii="Arial" w:hAnsi="Arial" w:cs="Arial"/>
          <w:lang w:val="en-US"/>
        </w:rPr>
        <w:t xml:space="preserve">and </w:t>
      </w:r>
      <w:r w:rsidRPr="00A51255">
        <w:rPr>
          <w:rFonts w:ascii="Arial" w:hAnsi="Arial" w:cs="Arial"/>
          <w:position w:val="-14"/>
          <w:lang w:val="en-US"/>
        </w:rPr>
        <w:object w:dxaOrig="760" w:dyaOrig="380">
          <v:shape id="_x0000_i1032" type="#_x0000_t75" style="width:42.45pt;height:19.3pt" o:ole="">
            <v:imagedata r:id="rId24" o:title=""/>
          </v:shape>
          <o:OLEObject Type="Embed" ProgID="Equation.3" ShapeID="_x0000_i1032" DrawAspect="Content" ObjectID="_1507543379" r:id="rId25"/>
        </w:object>
      </w:r>
      <w:r>
        <w:rPr>
          <w:rFonts w:ascii="Arial" w:hAnsi="Arial" w:cs="Arial"/>
          <w:lang w:val="en-US"/>
        </w:rPr>
        <w:t xml:space="preserve"> - are the dummy variables with different strength</w:t>
      </w:r>
      <w:r w:rsidR="00CA27CF">
        <w:rPr>
          <w:rFonts w:ascii="Arial" w:hAnsi="Arial" w:cs="Arial"/>
          <w:lang w:val="en-US"/>
        </w:rPr>
        <w:t>s</w:t>
      </w:r>
      <w:r>
        <w:rPr>
          <w:rFonts w:ascii="Arial" w:hAnsi="Arial" w:cs="Arial"/>
          <w:lang w:val="en-US"/>
        </w:rPr>
        <w:t xml:space="preserve"> (strongly positive, positive, negative and strongly negative) for </w:t>
      </w:r>
      <w:r w:rsidR="00A74EDB" w:rsidRPr="00A51255">
        <w:rPr>
          <w:rFonts w:ascii="Arial" w:hAnsi="Arial" w:cs="Arial"/>
          <w:position w:val="-8"/>
          <w:lang w:val="en-US"/>
        </w:rPr>
        <w:object w:dxaOrig="880" w:dyaOrig="300">
          <v:shape id="_x0000_i1033" type="#_x0000_t75" style="width:50.15pt;height:16.7pt" o:ole="">
            <v:imagedata r:id="rId26" o:title=""/>
          </v:shape>
          <o:OLEObject Type="Embed" ProgID="Equation.3" ShapeID="_x0000_i1033" DrawAspect="Content" ObjectID="_1507543380" r:id="rId27"/>
        </w:object>
      </w:r>
      <w:r w:rsidR="00A74EDB">
        <w:rPr>
          <w:rFonts w:ascii="Arial" w:hAnsi="Arial" w:cs="Arial"/>
          <w:lang w:val="en-US"/>
        </w:rPr>
        <w:t xml:space="preserve"> and</w:t>
      </w:r>
      <w:r w:rsidRPr="00A51255">
        <w:rPr>
          <w:rFonts w:ascii="Arial" w:hAnsi="Arial" w:cs="Arial"/>
          <w:position w:val="-10"/>
          <w:lang w:val="en-US"/>
        </w:rPr>
        <w:object w:dxaOrig="940" w:dyaOrig="320">
          <v:shape id="_x0000_i1034" type="#_x0000_t75" style="width:54pt;height:16.7pt" o:ole="">
            <v:imagedata r:id="rId28" o:title=""/>
          </v:shape>
          <o:OLEObject Type="Embed" ProgID="Equation.3" ShapeID="_x0000_i1034" DrawAspect="Content" ObjectID="_1507543381" r:id="rId29"/>
        </w:object>
      </w:r>
      <w:r>
        <w:rPr>
          <w:rFonts w:ascii="Arial" w:hAnsi="Arial" w:cs="Arial"/>
          <w:lang w:val="en-US"/>
        </w:rPr>
        <w:t>, respectively,</w:t>
      </w:r>
      <w:r w:rsidR="00A74EDB" w:rsidRPr="00A51255">
        <w:rPr>
          <w:rFonts w:ascii="Arial" w:hAnsi="Arial" w:cs="Arial"/>
          <w:lang w:val="en-US"/>
        </w:rPr>
        <w:t xml:space="preserve"> for</w:t>
      </w:r>
      <w:r>
        <w:rPr>
          <w:rFonts w:ascii="Arial" w:hAnsi="Arial" w:cs="Arial"/>
          <w:lang w:val="en-US"/>
        </w:rPr>
        <w:t xml:space="preserve"> the </w:t>
      </w:r>
      <w:r w:rsidR="001B2CAE">
        <w:rPr>
          <w:rFonts w:ascii="Arial" w:hAnsi="Arial" w:cs="Arial"/>
          <w:lang w:val="en-US"/>
        </w:rPr>
        <w:t xml:space="preserve">NBP </w:t>
      </w:r>
      <w:r>
        <w:rPr>
          <w:rFonts w:ascii="Arial" w:hAnsi="Arial" w:cs="Arial"/>
          <w:lang w:val="en-US"/>
        </w:rPr>
        <w:t xml:space="preserve">announcements: </w:t>
      </w:r>
      <w:r w:rsidRPr="002E4D2F">
        <w:rPr>
          <w:rFonts w:ascii="Arial" w:hAnsi="Arial" w:cs="Arial"/>
          <w:position w:val="-10"/>
          <w:lang w:val="en-US"/>
        </w:rPr>
        <w:object w:dxaOrig="1840" w:dyaOrig="320">
          <v:shape id="_x0000_i1035" type="#_x0000_t75" style="width:97.7pt;height:16.7pt" o:ole="">
            <v:imagedata r:id="rId30" o:title=""/>
          </v:shape>
          <o:OLEObject Type="Embed" ProgID="Equation.3" ShapeID="_x0000_i1035" DrawAspect="Content" ObjectID="_1507543382" r:id="rId31"/>
        </w:object>
      </w:r>
      <w:r w:rsidR="00A136D6">
        <w:rPr>
          <w:rFonts w:ascii="Arial" w:hAnsi="Arial" w:cs="Arial"/>
          <w:lang w:val="en-US"/>
        </w:rPr>
        <w:t>,</w:t>
      </w:r>
    </w:p>
    <w:p w:rsidR="00A136D6" w:rsidRPr="00A136D6" w:rsidRDefault="002B3D5D" w:rsidP="00A136D6">
      <w:pPr>
        <w:spacing w:line="480" w:lineRule="auto"/>
        <w:jc w:val="both"/>
        <w:rPr>
          <w:rFonts w:ascii="Arial" w:hAnsi="Arial" w:cs="Arial"/>
          <w:lang w:val="en-US"/>
        </w:rPr>
      </w:pPr>
      <w:r w:rsidRPr="000E3558">
        <w:rPr>
          <w:rFonts w:ascii="Garamond" w:hAnsi="Garamond"/>
          <w:i/>
          <w:position w:val="-12"/>
          <w:lang w:val="de-DE"/>
        </w:rPr>
        <w:object w:dxaOrig="820" w:dyaOrig="380">
          <v:shape id="_x0000_i1036" type="#_x0000_t75" style="width:45pt;height:20.55pt" o:ole="">
            <v:imagedata r:id="rId32" o:title=""/>
          </v:shape>
          <o:OLEObject Type="Embed" ProgID="Equation.3" ShapeID="_x0000_i1036" DrawAspect="Content" ObjectID="_1507543383" r:id="rId33"/>
        </w:object>
      </w:r>
      <w:r w:rsidR="00A136D6" w:rsidRPr="00A136D6">
        <w:rPr>
          <w:rFonts w:ascii="Arial" w:hAnsi="Arial" w:cs="Arial"/>
          <w:lang w:val="en-US"/>
        </w:rPr>
        <w:t xml:space="preserve"> </w:t>
      </w:r>
      <w:r w:rsidR="00A136D6">
        <w:rPr>
          <w:rFonts w:ascii="Arial" w:hAnsi="Arial" w:cs="Arial"/>
          <w:lang w:val="en-US"/>
        </w:rPr>
        <w:t xml:space="preserve">- </w:t>
      </w:r>
      <w:r w:rsidR="00A136D6" w:rsidRPr="00A136D6">
        <w:rPr>
          <w:rFonts w:ascii="Arial" w:hAnsi="Arial" w:cs="Arial"/>
          <w:lang w:val="en-US"/>
        </w:rPr>
        <w:t xml:space="preserve">is the conditional variance of the returns </w:t>
      </w:r>
      <w:r w:rsidR="007923A7">
        <w:rPr>
          <w:rFonts w:ascii="Arial" w:hAnsi="Arial" w:cs="Arial"/>
          <w:lang w:val="en-US"/>
        </w:rPr>
        <w:t>(</w:t>
      </w:r>
      <w:r w:rsidR="00A136D6">
        <w:rPr>
          <w:rFonts w:ascii="Arial" w:hAnsi="Arial" w:cs="Arial"/>
          <w:lang w:val="en-US"/>
        </w:rPr>
        <w:t xml:space="preserve">and </w:t>
      </w:r>
      <w:r w:rsidRPr="000E3558">
        <w:rPr>
          <w:rFonts w:ascii="Garamond" w:hAnsi="Garamond"/>
          <w:i/>
          <w:position w:val="-12"/>
          <w:lang w:val="de-DE"/>
        </w:rPr>
        <w:object w:dxaOrig="820" w:dyaOrig="380">
          <v:shape id="_x0000_i1037" type="#_x0000_t75" style="width:45pt;height:20.55pt" o:ole="">
            <v:imagedata r:id="rId34" o:title=""/>
          </v:shape>
          <o:OLEObject Type="Embed" ProgID="Equation.3" ShapeID="_x0000_i1037" DrawAspect="Content" ObjectID="_1507543384" r:id="rId35"/>
        </w:object>
      </w:r>
      <w:r w:rsidR="00A136D6" w:rsidRPr="00A136D6">
        <w:rPr>
          <w:rFonts w:ascii="Arial" w:hAnsi="Arial" w:cs="Arial"/>
          <w:lang w:val="en-US"/>
        </w:rPr>
        <w:t xml:space="preserve"> measures the persi</w:t>
      </w:r>
      <w:r w:rsidR="00A136D6">
        <w:rPr>
          <w:rFonts w:ascii="Arial" w:hAnsi="Arial" w:cs="Arial"/>
          <w:lang w:val="en-US"/>
        </w:rPr>
        <w:t>stency in the variance equation</w:t>
      </w:r>
      <w:r w:rsidR="007923A7">
        <w:rPr>
          <w:rFonts w:ascii="Arial" w:hAnsi="Arial" w:cs="Arial"/>
          <w:lang w:val="en-US"/>
        </w:rPr>
        <w:t>)</w:t>
      </w:r>
      <w:r w:rsidR="00A136D6">
        <w:rPr>
          <w:rFonts w:ascii="Arial" w:hAnsi="Arial" w:cs="Arial"/>
          <w:lang w:val="en-US"/>
        </w:rPr>
        <w:t>,</w:t>
      </w:r>
    </w:p>
    <w:p w:rsidR="00A136D6" w:rsidRPr="00A136D6" w:rsidRDefault="00A136D6" w:rsidP="00A136D6">
      <w:pPr>
        <w:spacing w:line="480" w:lineRule="auto"/>
        <w:jc w:val="both"/>
        <w:rPr>
          <w:rFonts w:ascii="Arial" w:hAnsi="Arial" w:cs="Arial"/>
          <w:lang w:val="en-US"/>
        </w:rPr>
      </w:pPr>
      <w:r w:rsidRPr="00A136D6">
        <w:rPr>
          <w:rFonts w:ascii="Arial" w:hAnsi="Arial" w:cs="Arial"/>
          <w:position w:val="-12"/>
          <w:lang w:val="en-US"/>
        </w:rPr>
        <w:object w:dxaOrig="240" w:dyaOrig="360">
          <v:shape id="_x0000_i1038" type="#_x0000_t75" style="width:12.85pt;height:19.3pt" o:ole="">
            <v:imagedata r:id="rId36" o:title=""/>
          </v:shape>
          <o:OLEObject Type="Embed" ProgID="Equation.3" ShapeID="_x0000_i1038" DrawAspect="Content" ObjectID="_1507543385" r:id="rId37"/>
        </w:object>
      </w:r>
      <w:r w:rsidR="0040290B">
        <w:rPr>
          <w:rFonts w:ascii="Arial" w:hAnsi="Arial" w:cs="Arial"/>
          <w:lang w:val="en-US"/>
        </w:rPr>
        <w:t xml:space="preserve"> </w:t>
      </w:r>
      <w:r>
        <w:rPr>
          <w:rFonts w:ascii="Arial" w:hAnsi="Arial" w:cs="Arial"/>
          <w:lang w:val="en-US"/>
        </w:rPr>
        <w:t xml:space="preserve">- is </w:t>
      </w:r>
      <w:r w:rsidRPr="00A136D6">
        <w:rPr>
          <w:rFonts w:ascii="Arial" w:hAnsi="Arial" w:cs="Arial"/>
          <w:lang w:val="en-US"/>
        </w:rPr>
        <w:t>the surprise component of the variance equation.</w:t>
      </w:r>
    </w:p>
    <w:p w:rsidR="004532AA" w:rsidRPr="00A51255" w:rsidRDefault="004532AA" w:rsidP="00A136D6">
      <w:pPr>
        <w:spacing w:line="480" w:lineRule="auto"/>
        <w:ind w:firstLine="708"/>
        <w:jc w:val="both"/>
        <w:rPr>
          <w:rFonts w:ascii="Arial" w:hAnsi="Arial" w:cs="Arial"/>
          <w:lang w:val="en-US"/>
        </w:rPr>
      </w:pPr>
      <w:r w:rsidRPr="00A51255">
        <w:rPr>
          <w:rFonts w:ascii="Arial" w:hAnsi="Arial" w:cs="Arial"/>
          <w:lang w:val="en-US"/>
        </w:rPr>
        <w:t>During our sample period the euro was introduced</w:t>
      </w:r>
      <w:r w:rsidR="00CA27CF">
        <w:rPr>
          <w:rFonts w:ascii="Arial" w:hAnsi="Arial" w:cs="Arial"/>
          <w:lang w:val="en-US"/>
        </w:rPr>
        <w:t>,</w:t>
      </w:r>
      <w:r w:rsidRPr="00A51255">
        <w:rPr>
          <w:rFonts w:ascii="Arial" w:hAnsi="Arial" w:cs="Arial"/>
          <w:lang w:val="en-US"/>
        </w:rPr>
        <w:t xml:space="preserve"> and this new currency could have affected the foreign exchange market activity in Poland. In addition, interest rate changes could have influenced the movements </w:t>
      </w:r>
      <w:r w:rsidR="00CA27CF" w:rsidRPr="00A51255">
        <w:rPr>
          <w:rFonts w:ascii="Arial" w:hAnsi="Arial" w:cs="Arial"/>
          <w:lang w:val="en-US"/>
        </w:rPr>
        <w:t xml:space="preserve">and the volatility </w:t>
      </w:r>
      <w:r w:rsidRPr="00A51255">
        <w:rPr>
          <w:rFonts w:ascii="Arial" w:hAnsi="Arial" w:cs="Arial"/>
          <w:lang w:val="en-US"/>
        </w:rPr>
        <w:t>in the foreign exchange returns</w:t>
      </w:r>
      <w:r w:rsidR="00E479CD">
        <w:rPr>
          <w:rFonts w:ascii="Arial" w:hAnsi="Arial" w:cs="Arial"/>
          <w:lang w:val="en-US"/>
        </w:rPr>
        <w:t xml:space="preserve"> as well</w:t>
      </w:r>
      <w:r w:rsidR="00CE4D1B">
        <w:rPr>
          <w:rFonts w:ascii="Arial" w:hAnsi="Arial" w:cs="Arial"/>
          <w:lang w:val="en-US"/>
        </w:rPr>
        <w:t>.</w:t>
      </w:r>
      <w:r w:rsidRPr="00873F1E">
        <w:rPr>
          <w:rStyle w:val="FootnoteReference"/>
          <w:rFonts w:ascii="Arial" w:hAnsi="Arial" w:cs="Arial"/>
          <w:lang w:val="en-US"/>
        </w:rPr>
        <w:footnoteReference w:id="12"/>
      </w:r>
      <w:r w:rsidR="00CE4D1B">
        <w:rPr>
          <w:rFonts w:ascii="Arial" w:hAnsi="Arial" w:cs="Arial"/>
          <w:lang w:val="en-US"/>
        </w:rPr>
        <w:t xml:space="preserve"> </w:t>
      </w:r>
      <w:r w:rsidR="00A461BA">
        <w:rPr>
          <w:rFonts w:ascii="Arial" w:hAnsi="Arial" w:cs="Arial"/>
          <w:lang w:val="en-US"/>
        </w:rPr>
        <w:t xml:space="preserve">Therefore, the variables </w:t>
      </w:r>
      <w:r w:rsidR="00A461BA" w:rsidRPr="00A51255">
        <w:rPr>
          <w:rFonts w:ascii="Arial" w:hAnsi="Arial" w:cs="Arial"/>
          <w:lang w:val="en-US"/>
        </w:rPr>
        <w:t>(i) interest rate differentials between the USA and Poland</w:t>
      </w:r>
      <w:r w:rsidR="00A461BA" w:rsidRPr="00A51255">
        <w:rPr>
          <w:rStyle w:val="FootnoteReference"/>
          <w:rFonts w:ascii="Arial" w:hAnsi="Arial" w:cs="Arial"/>
          <w:lang w:val="en-US"/>
        </w:rPr>
        <w:footnoteReference w:id="13"/>
      </w:r>
      <w:r w:rsidR="00A461BA" w:rsidRPr="00A51255">
        <w:rPr>
          <w:rFonts w:ascii="Arial" w:hAnsi="Arial" w:cs="Arial"/>
          <w:lang w:val="en-US"/>
        </w:rPr>
        <w:t xml:space="preserve"> and (ii) return of the EUR/USD ex</w:t>
      </w:r>
      <w:r w:rsidR="00A461BA">
        <w:rPr>
          <w:rFonts w:ascii="Arial" w:hAnsi="Arial" w:cs="Arial"/>
          <w:lang w:val="en-US"/>
        </w:rPr>
        <w:t xml:space="preserve">change rate (US dollar - euro) are included </w:t>
      </w:r>
      <w:r w:rsidR="00A461BA" w:rsidRPr="00A51255">
        <w:rPr>
          <w:rFonts w:ascii="Arial" w:hAnsi="Arial" w:cs="Arial"/>
          <w:lang w:val="en-US"/>
        </w:rPr>
        <w:t xml:space="preserve">in the above model in the mean equation </w:t>
      </w:r>
      <w:r w:rsidR="00C65448">
        <w:rPr>
          <w:rFonts w:ascii="Arial" w:hAnsi="Arial" w:cs="Arial"/>
          <w:lang w:val="en-US"/>
        </w:rPr>
        <w:t>(</w:t>
      </w:r>
      <w:r w:rsidR="00A461BA">
        <w:rPr>
          <w:rFonts w:ascii="Arial" w:hAnsi="Arial" w:cs="Arial"/>
          <w:lang w:val="en-US"/>
        </w:rPr>
        <w:t>1)</w:t>
      </w:r>
      <w:r w:rsidR="00A461BA" w:rsidRPr="00A51255">
        <w:rPr>
          <w:rFonts w:ascii="Arial" w:hAnsi="Arial" w:cs="Arial"/>
          <w:lang w:val="en-US"/>
        </w:rPr>
        <w:t xml:space="preserve"> </w:t>
      </w:r>
      <w:r w:rsidR="00A461BA">
        <w:rPr>
          <w:rFonts w:ascii="Arial" w:hAnsi="Arial" w:cs="Arial"/>
          <w:lang w:val="en-US"/>
        </w:rPr>
        <w:t>as control variables.</w:t>
      </w:r>
    </w:p>
    <w:p w:rsidR="00E45B80" w:rsidRPr="00A51255" w:rsidRDefault="00BD6E88" w:rsidP="00E45B80">
      <w:pPr>
        <w:spacing w:line="480" w:lineRule="auto"/>
        <w:ind w:firstLine="708"/>
        <w:jc w:val="both"/>
        <w:rPr>
          <w:rFonts w:ascii="Arial" w:hAnsi="Arial" w:cs="Arial"/>
          <w:iCs/>
          <w:lang w:val="en-US"/>
        </w:rPr>
      </w:pPr>
      <w:r w:rsidRPr="00A51255">
        <w:rPr>
          <w:rFonts w:ascii="Arial" w:hAnsi="Arial" w:cs="Arial"/>
          <w:iCs/>
          <w:lang w:val="en-US"/>
        </w:rPr>
        <w:t>The lagged volume variable</w:t>
      </w:r>
      <w:r w:rsidR="00AE09A1">
        <w:rPr>
          <w:rFonts w:ascii="Arial" w:hAnsi="Arial" w:cs="Arial"/>
          <w:iCs/>
          <w:lang w:val="en-US"/>
        </w:rPr>
        <w:t xml:space="preserve"> </w:t>
      </w:r>
      <w:r w:rsidR="00AE09A1" w:rsidRPr="00A51255">
        <w:rPr>
          <w:position w:val="-12"/>
        </w:rPr>
        <w:object w:dxaOrig="1120" w:dyaOrig="360">
          <v:shape id="_x0000_i1039" type="#_x0000_t75" style="width:60.45pt;height:19.3pt" o:ole="">
            <v:imagedata r:id="rId38" o:title=""/>
          </v:shape>
          <o:OLEObject Type="Embed" ProgID="Equation.3" ShapeID="_x0000_i1039" DrawAspect="Content" ObjectID="_1507543386" r:id="rId39"/>
        </w:object>
      </w:r>
      <w:r w:rsidRPr="00A51255">
        <w:rPr>
          <w:lang w:val="en-US"/>
        </w:rPr>
        <w:t xml:space="preserve"> </w:t>
      </w:r>
      <w:r w:rsidRPr="00A51255">
        <w:rPr>
          <w:rFonts w:ascii="Arial" w:hAnsi="Arial" w:cs="Arial"/>
          <w:iCs/>
          <w:lang w:val="en-US"/>
        </w:rPr>
        <w:t xml:space="preserve">is introduced in the mean equation </w:t>
      </w:r>
      <w:r w:rsidR="00C65448">
        <w:rPr>
          <w:rFonts w:ascii="Arial" w:hAnsi="Arial" w:cs="Arial"/>
          <w:iCs/>
          <w:lang w:val="en-US"/>
        </w:rPr>
        <w:t>(</w:t>
      </w:r>
      <w:r w:rsidR="009B6680">
        <w:rPr>
          <w:rFonts w:ascii="Arial" w:hAnsi="Arial" w:cs="Arial"/>
          <w:iCs/>
          <w:lang w:val="en-US"/>
        </w:rPr>
        <w:t>1)</w:t>
      </w:r>
      <w:r w:rsidRPr="00A51255">
        <w:rPr>
          <w:rFonts w:ascii="Arial" w:hAnsi="Arial" w:cs="Arial"/>
          <w:iCs/>
          <w:lang w:val="en-US"/>
        </w:rPr>
        <w:t xml:space="preserve"> under the assumption that price and quantity in the foreign exchange market are determined jointly (so we do not assume independent random walks). </w:t>
      </w:r>
      <w:r w:rsidRPr="00A51255">
        <w:rPr>
          <w:rFonts w:ascii="Arial" w:hAnsi="Arial" w:cs="Arial"/>
          <w:lang w:val="en-US"/>
        </w:rPr>
        <w:t xml:space="preserve">In the </w:t>
      </w:r>
      <w:r w:rsidRPr="00A51255">
        <w:rPr>
          <w:rFonts w:ascii="Arial" w:hAnsi="Arial" w:cs="Arial"/>
          <w:iCs/>
          <w:lang w:val="en-US"/>
        </w:rPr>
        <w:t xml:space="preserve">conditional variance equation </w:t>
      </w:r>
      <w:r w:rsidR="00C65448">
        <w:rPr>
          <w:rFonts w:ascii="Arial" w:hAnsi="Arial" w:cs="Arial"/>
          <w:iCs/>
          <w:lang w:val="en-US"/>
        </w:rPr>
        <w:t>(</w:t>
      </w:r>
      <w:r w:rsidR="009B6680">
        <w:rPr>
          <w:rFonts w:ascii="Arial" w:hAnsi="Arial" w:cs="Arial"/>
          <w:iCs/>
          <w:lang w:val="en-US"/>
        </w:rPr>
        <w:t>2)</w:t>
      </w:r>
      <w:r w:rsidRPr="00A51255">
        <w:rPr>
          <w:rFonts w:ascii="Arial" w:hAnsi="Arial" w:cs="Arial"/>
          <w:iCs/>
          <w:lang w:val="en-US"/>
        </w:rPr>
        <w:t xml:space="preserve"> the l</w:t>
      </w:r>
      <w:r w:rsidR="006205E9" w:rsidRPr="00A51255">
        <w:rPr>
          <w:rFonts w:ascii="Arial" w:hAnsi="Arial" w:cs="Arial"/>
          <w:iCs/>
          <w:lang w:val="en-US"/>
        </w:rPr>
        <w:t>agged</w:t>
      </w:r>
      <w:r w:rsidR="00F0725F">
        <w:rPr>
          <w:rFonts w:ascii="Arial" w:hAnsi="Arial" w:cs="Arial"/>
          <w:iCs/>
          <w:lang w:val="en-US"/>
        </w:rPr>
        <w:t xml:space="preserve"> </w:t>
      </w:r>
      <w:r w:rsidR="00F0725F" w:rsidRPr="00A51255">
        <w:rPr>
          <w:position w:val="-12"/>
        </w:rPr>
        <w:object w:dxaOrig="1120" w:dyaOrig="360">
          <v:shape id="_x0000_i1040" type="#_x0000_t75" style="width:60.45pt;height:19.3pt" o:ole="">
            <v:imagedata r:id="rId38" o:title=""/>
          </v:shape>
          <o:OLEObject Type="Embed" ProgID="Equation.3" ShapeID="_x0000_i1040" DrawAspect="Content" ObjectID="_1507543387" r:id="rId40"/>
        </w:object>
      </w:r>
      <w:r w:rsidRPr="00A51255">
        <w:rPr>
          <w:rFonts w:ascii="Arial" w:hAnsi="Arial" w:cs="Arial"/>
          <w:iCs/>
          <w:lang w:val="en-US"/>
        </w:rPr>
        <w:t xml:space="preserve"> </w:t>
      </w:r>
      <w:r w:rsidRPr="00A51255">
        <w:rPr>
          <w:rFonts w:ascii="Arial" w:hAnsi="Arial" w:cs="Arial"/>
          <w:lang w:val="en-US"/>
        </w:rPr>
        <w:t>is used to</w:t>
      </w:r>
      <w:r w:rsidRPr="00A51255">
        <w:rPr>
          <w:rFonts w:ascii="Arial" w:hAnsi="Arial" w:cs="Arial"/>
          <w:iCs/>
          <w:lang w:val="en-US"/>
        </w:rPr>
        <w:t xml:space="preserve"> avoid any possible simultaneity bias, which could appear if it was omitted from the model. </w:t>
      </w:r>
    </w:p>
    <w:p w:rsidR="007923A7" w:rsidRDefault="005475DE" w:rsidP="005475DE">
      <w:pPr>
        <w:spacing w:line="480" w:lineRule="auto"/>
        <w:ind w:firstLine="708"/>
        <w:jc w:val="both"/>
        <w:rPr>
          <w:rFonts w:ascii="Arial" w:hAnsi="Arial" w:cs="Arial"/>
          <w:lang w:val="en-US"/>
        </w:rPr>
      </w:pPr>
      <w:r w:rsidRPr="00A51255">
        <w:rPr>
          <w:rFonts w:ascii="Arial" w:hAnsi="Arial" w:cs="Arial"/>
          <w:lang w:val="en-US"/>
        </w:rPr>
        <w:lastRenderedPageBreak/>
        <w:t>Figures 1, 2, 3 and 4 present the PLN/USD and EUR/USD exchange rate returns, levels of the PLN/USD and EUR/USD exchange rates and the US and Polish interest rates with their differentials, respectively.</w:t>
      </w:r>
    </w:p>
    <w:p w:rsidR="00EE59C3" w:rsidRDefault="00EE59C3" w:rsidP="005475DE">
      <w:pPr>
        <w:spacing w:line="480" w:lineRule="auto"/>
        <w:ind w:firstLine="708"/>
        <w:jc w:val="both"/>
        <w:rPr>
          <w:rFonts w:ascii="Arial" w:hAnsi="Arial" w:cs="Arial"/>
          <w:lang w:val="en-US"/>
        </w:rPr>
      </w:pPr>
    </w:p>
    <w:p w:rsidR="00CC307A" w:rsidRDefault="005475DE" w:rsidP="00EE59C3">
      <w:pPr>
        <w:spacing w:line="480" w:lineRule="auto"/>
        <w:jc w:val="center"/>
        <w:rPr>
          <w:rFonts w:ascii="Arial" w:hAnsi="Arial" w:cs="Arial"/>
          <w:i/>
          <w:lang w:val="en-US"/>
        </w:rPr>
      </w:pPr>
      <w:r w:rsidRPr="00A51255">
        <w:rPr>
          <w:rFonts w:ascii="Arial" w:hAnsi="Arial" w:cs="Arial"/>
          <w:i/>
          <w:lang w:val="en-US"/>
        </w:rPr>
        <w:t>[Figures 1, 2, 3 and 4 around here]</w:t>
      </w:r>
    </w:p>
    <w:p w:rsidR="00DE0030" w:rsidRDefault="00DE0030" w:rsidP="00546D07">
      <w:pPr>
        <w:spacing w:line="480" w:lineRule="auto"/>
        <w:jc w:val="center"/>
        <w:rPr>
          <w:rFonts w:ascii="Arial" w:hAnsi="Arial" w:cs="Arial"/>
          <w:i/>
          <w:lang w:val="en-US"/>
        </w:rPr>
      </w:pPr>
    </w:p>
    <w:p w:rsidR="00DC1EC4" w:rsidRPr="00A51255" w:rsidRDefault="00D21E62" w:rsidP="00756A0C">
      <w:pPr>
        <w:spacing w:line="480" w:lineRule="auto"/>
        <w:ind w:firstLine="708"/>
        <w:jc w:val="both"/>
        <w:rPr>
          <w:rFonts w:ascii="Arial" w:hAnsi="Arial" w:cs="Arial"/>
          <w:b/>
          <w:lang w:val="en-US"/>
        </w:rPr>
      </w:pPr>
      <w:r>
        <w:rPr>
          <w:rFonts w:ascii="Arial" w:hAnsi="Arial" w:cs="Arial"/>
          <w:b/>
          <w:lang w:val="en-US"/>
        </w:rPr>
        <w:t>3</w:t>
      </w:r>
      <w:r w:rsidR="00DC1EC4" w:rsidRPr="00A51255">
        <w:rPr>
          <w:rFonts w:ascii="Arial" w:hAnsi="Arial" w:cs="Arial"/>
          <w:b/>
          <w:lang w:val="en-US"/>
        </w:rPr>
        <w:t xml:space="preserve">.2. </w:t>
      </w:r>
      <w:r w:rsidR="00AE72EE" w:rsidRPr="00A51255">
        <w:rPr>
          <w:rFonts w:ascii="Arial" w:hAnsi="Arial" w:cs="Arial"/>
          <w:b/>
          <w:lang w:val="en-US"/>
        </w:rPr>
        <w:t xml:space="preserve">Foreign Exchange Volume of Trade and Volatility </w:t>
      </w:r>
    </w:p>
    <w:p w:rsidR="002C06CD" w:rsidRDefault="004655F4" w:rsidP="00DC1EC4">
      <w:pPr>
        <w:spacing w:line="480" w:lineRule="auto"/>
        <w:ind w:firstLine="708"/>
        <w:jc w:val="both"/>
        <w:rPr>
          <w:rFonts w:ascii="Arial" w:hAnsi="Arial" w:cs="Arial"/>
          <w:lang w:val="en-US"/>
        </w:rPr>
      </w:pPr>
      <w:r>
        <w:rPr>
          <w:rFonts w:ascii="Arial" w:hAnsi="Arial" w:cs="Arial"/>
          <w:lang w:val="en-US"/>
        </w:rPr>
        <w:t>Similarly, we employ</w:t>
      </w:r>
      <w:r w:rsidR="00FF664E" w:rsidRPr="00A51255">
        <w:rPr>
          <w:rFonts w:ascii="Arial" w:hAnsi="Arial" w:cs="Arial"/>
          <w:lang w:val="en-US"/>
        </w:rPr>
        <w:t xml:space="preserve"> </w:t>
      </w:r>
      <w:r w:rsidR="007426A3">
        <w:rPr>
          <w:rFonts w:ascii="Arial" w:hAnsi="Arial" w:cs="Arial"/>
          <w:lang w:val="en-US"/>
        </w:rPr>
        <w:t xml:space="preserve">a </w:t>
      </w:r>
      <w:r w:rsidR="00FF664E" w:rsidRPr="00A51255">
        <w:rPr>
          <w:rFonts w:ascii="Arial" w:hAnsi="Arial" w:cs="Arial"/>
          <w:lang w:val="en-US"/>
        </w:rPr>
        <w:t>GARCH</w:t>
      </w:r>
      <w:r w:rsidR="00EF6404">
        <w:rPr>
          <w:rFonts w:ascii="Arial" w:hAnsi="Arial" w:cs="Arial"/>
          <w:lang w:val="en-US"/>
        </w:rPr>
        <w:t>(1,1)</w:t>
      </w:r>
      <w:r w:rsidR="00DC1EC4" w:rsidRPr="00A51255">
        <w:rPr>
          <w:rFonts w:ascii="Arial" w:hAnsi="Arial" w:cs="Arial"/>
          <w:lang w:val="en-US"/>
        </w:rPr>
        <w:t xml:space="preserve"> model to estimate the impact of </w:t>
      </w:r>
      <w:r w:rsidR="009222B4" w:rsidRPr="00A51255">
        <w:rPr>
          <w:rFonts w:ascii="Arial" w:hAnsi="Arial" w:cs="Arial"/>
          <w:lang w:val="en-US"/>
        </w:rPr>
        <w:t xml:space="preserve">unexpected </w:t>
      </w:r>
      <w:r w:rsidR="00DC1EC4" w:rsidRPr="00A51255">
        <w:rPr>
          <w:rFonts w:ascii="Arial" w:hAnsi="Arial" w:cs="Arial"/>
          <w:lang w:val="en-US"/>
        </w:rPr>
        <w:t xml:space="preserve">central bank announcements on the </w:t>
      </w:r>
      <w:r w:rsidR="00AE72EE" w:rsidRPr="00A51255">
        <w:rPr>
          <w:rFonts w:ascii="Arial" w:hAnsi="Arial" w:cs="Arial"/>
          <w:lang w:val="en-US"/>
        </w:rPr>
        <w:t>PLN/USD volume of trade (</w:t>
      </w:r>
      <w:r w:rsidR="00AE72EE" w:rsidRPr="00A51255">
        <w:rPr>
          <w:rFonts w:ascii="Arial" w:hAnsi="Arial" w:cs="Arial"/>
          <w:position w:val="-12"/>
          <w:lang w:val="en-US"/>
        </w:rPr>
        <w:object w:dxaOrig="999" w:dyaOrig="360">
          <v:shape id="_x0000_i1041" type="#_x0000_t75" style="width:55.3pt;height:19.3pt" o:ole="">
            <v:imagedata r:id="rId41" o:title=""/>
          </v:shape>
          <o:OLEObject Type="Embed" ProgID="Equation.3" ShapeID="_x0000_i1041" DrawAspect="Content" ObjectID="_1507543388" r:id="rId42"/>
        </w:object>
      </w:r>
      <w:r w:rsidR="00AE72EE" w:rsidRPr="00A51255">
        <w:rPr>
          <w:lang w:val="en-US"/>
        </w:rPr>
        <w:t xml:space="preserve">) </w:t>
      </w:r>
      <w:r w:rsidR="00DC1EC4" w:rsidRPr="00A51255">
        <w:rPr>
          <w:rFonts w:ascii="Arial" w:hAnsi="Arial" w:cs="Arial"/>
          <w:lang w:val="en-US"/>
        </w:rPr>
        <w:t xml:space="preserve">with </w:t>
      </w:r>
      <w:r w:rsidR="009222B4" w:rsidRPr="00A51255">
        <w:rPr>
          <w:rFonts w:ascii="Arial" w:hAnsi="Arial" w:cs="Arial"/>
          <w:lang w:val="en-US"/>
        </w:rPr>
        <w:t xml:space="preserve">announcement </w:t>
      </w:r>
      <w:r w:rsidR="00786465" w:rsidRPr="00A51255">
        <w:rPr>
          <w:rFonts w:ascii="Arial" w:hAnsi="Arial" w:cs="Arial"/>
          <w:lang w:val="en-US"/>
        </w:rPr>
        <w:t xml:space="preserve">dummy </w:t>
      </w:r>
      <w:r w:rsidR="005125F8">
        <w:rPr>
          <w:rFonts w:ascii="Arial" w:hAnsi="Arial" w:cs="Arial"/>
          <w:lang w:val="en-US"/>
        </w:rPr>
        <w:t xml:space="preserve">variables in the </w:t>
      </w:r>
      <w:r w:rsidR="00B25E8C">
        <w:rPr>
          <w:rFonts w:ascii="Arial" w:hAnsi="Arial" w:cs="Arial"/>
          <w:lang w:val="en-US"/>
        </w:rPr>
        <w:t xml:space="preserve">mean and in the </w:t>
      </w:r>
      <w:r w:rsidR="005125F8">
        <w:rPr>
          <w:rFonts w:ascii="Arial" w:hAnsi="Arial" w:cs="Arial"/>
          <w:lang w:val="en-US"/>
        </w:rPr>
        <w:t>conditional variance</w:t>
      </w:r>
      <w:r w:rsidR="00DC1EC4" w:rsidRPr="00A51255">
        <w:rPr>
          <w:rFonts w:ascii="Arial" w:hAnsi="Arial" w:cs="Arial"/>
          <w:lang w:val="en-US"/>
        </w:rPr>
        <w:t xml:space="preserve"> equation</w:t>
      </w:r>
      <w:r w:rsidR="00B25E8C">
        <w:rPr>
          <w:rFonts w:ascii="Arial" w:hAnsi="Arial" w:cs="Arial"/>
          <w:lang w:val="en-US"/>
        </w:rPr>
        <w:t>s</w:t>
      </w:r>
      <w:r w:rsidR="00DC1EC4" w:rsidRPr="00A51255">
        <w:rPr>
          <w:rFonts w:ascii="Arial" w:hAnsi="Arial" w:cs="Arial"/>
          <w:lang w:val="en-US"/>
        </w:rPr>
        <w:t>:</w:t>
      </w:r>
    </w:p>
    <w:p w:rsidR="00A305F9" w:rsidRDefault="00A305F9" w:rsidP="00DC1EC4">
      <w:pPr>
        <w:spacing w:line="480" w:lineRule="auto"/>
        <w:ind w:firstLine="708"/>
        <w:jc w:val="both"/>
        <w:rPr>
          <w:rFonts w:ascii="Arial" w:hAnsi="Arial" w:cs="Arial"/>
          <w:lang w:val="en-US"/>
        </w:rPr>
      </w:pPr>
    </w:p>
    <w:p w:rsidR="005125F8" w:rsidRDefault="00E61F2C" w:rsidP="00167D78">
      <w:pPr>
        <w:spacing w:line="480" w:lineRule="auto"/>
        <w:ind w:firstLine="708"/>
        <w:jc w:val="both"/>
        <w:rPr>
          <w:rFonts w:ascii="Arial" w:hAnsi="Arial" w:cs="Arial"/>
          <w:lang w:val="en-US"/>
        </w:rPr>
      </w:pPr>
      <w:r w:rsidRPr="00A51255">
        <w:rPr>
          <w:rFonts w:ascii="Arial" w:hAnsi="Arial" w:cs="Arial"/>
          <w:position w:val="-28"/>
          <w:lang w:val="en-US"/>
        </w:rPr>
        <w:object w:dxaOrig="6440" w:dyaOrig="680">
          <v:shape id="_x0000_i1042" type="#_x0000_t75" style="width:340.7pt;height:38.55pt" o:ole="">
            <v:imagedata r:id="rId43" o:title=""/>
          </v:shape>
          <o:OLEObject Type="Embed" ProgID="Equation.3" ShapeID="_x0000_i1042" DrawAspect="Content" ObjectID="_1507543389" r:id="rId44"/>
        </w:object>
      </w:r>
      <w:r w:rsidR="00167D78">
        <w:rPr>
          <w:rFonts w:ascii="Arial" w:hAnsi="Arial" w:cs="Arial"/>
          <w:lang w:val="en-US"/>
        </w:rPr>
        <w:tab/>
      </w:r>
      <w:r w:rsidR="00167D78">
        <w:rPr>
          <w:rFonts w:ascii="Arial" w:hAnsi="Arial" w:cs="Arial"/>
          <w:lang w:val="en-US"/>
        </w:rPr>
        <w:tab/>
      </w:r>
      <w:r w:rsidR="00C65448">
        <w:rPr>
          <w:rFonts w:ascii="Arial" w:hAnsi="Arial" w:cs="Arial"/>
          <w:lang w:val="en-US"/>
        </w:rPr>
        <w:t>(</w:t>
      </w:r>
      <w:r w:rsidR="001F662D">
        <w:rPr>
          <w:rFonts w:ascii="Arial" w:hAnsi="Arial" w:cs="Arial"/>
          <w:lang w:val="en-US"/>
        </w:rPr>
        <w:t>3</w:t>
      </w:r>
      <w:r w:rsidR="005125F8">
        <w:rPr>
          <w:rFonts w:ascii="Arial" w:hAnsi="Arial" w:cs="Arial"/>
          <w:lang w:val="en-US"/>
        </w:rPr>
        <w:t>)</w:t>
      </w:r>
    </w:p>
    <w:p w:rsidR="006662B0" w:rsidRPr="00A51255" w:rsidRDefault="002B3D5D" w:rsidP="006662B0">
      <w:pPr>
        <w:spacing w:line="480" w:lineRule="auto"/>
        <w:ind w:left="708"/>
        <w:rPr>
          <w:rFonts w:ascii="Arial" w:hAnsi="Arial" w:cs="Arial"/>
          <w:lang w:val="en-US"/>
        </w:rPr>
      </w:pPr>
      <w:r w:rsidRPr="00EE59C3">
        <w:rPr>
          <w:position w:val="-30"/>
        </w:rPr>
        <w:object w:dxaOrig="5940" w:dyaOrig="700">
          <v:shape id="_x0000_i1043" type="#_x0000_t75" style="width:324pt;height:38.55pt" o:ole="">
            <v:imagedata r:id="rId45" o:title=""/>
          </v:shape>
          <o:OLEObject Type="Embed" ProgID="Equation.3" ShapeID="_x0000_i1043" DrawAspect="Content" ObjectID="_1507543390" r:id="rId46"/>
        </w:object>
      </w:r>
      <w:r w:rsidR="006662B0" w:rsidRPr="00A51255">
        <w:rPr>
          <w:lang w:val="en-US"/>
        </w:rPr>
        <w:t>.</w:t>
      </w:r>
      <w:r w:rsidR="006662B0" w:rsidRPr="00A51255">
        <w:rPr>
          <w:rFonts w:ascii="Arial" w:hAnsi="Arial" w:cs="Arial"/>
          <w:lang w:val="en-US"/>
        </w:rPr>
        <w:tab/>
      </w:r>
      <w:r w:rsidR="006662B0" w:rsidRPr="00A51255">
        <w:rPr>
          <w:rFonts w:ascii="Arial" w:hAnsi="Arial" w:cs="Arial"/>
          <w:lang w:val="en-US"/>
        </w:rPr>
        <w:tab/>
      </w:r>
      <w:r w:rsidR="006662B0">
        <w:rPr>
          <w:rFonts w:ascii="Arial" w:hAnsi="Arial" w:cs="Arial"/>
          <w:lang w:val="en-US"/>
        </w:rPr>
        <w:t>(4)</w:t>
      </w:r>
    </w:p>
    <w:p w:rsidR="00A305F9" w:rsidRDefault="00A305F9" w:rsidP="005125F8">
      <w:pPr>
        <w:spacing w:line="480" w:lineRule="auto"/>
        <w:jc w:val="both"/>
        <w:rPr>
          <w:rFonts w:ascii="Arial" w:hAnsi="Arial" w:cs="Arial"/>
          <w:lang w:val="en-US"/>
        </w:rPr>
      </w:pPr>
    </w:p>
    <w:p w:rsidR="002E4D2F" w:rsidRDefault="00A136D6" w:rsidP="002E4D2F">
      <w:pPr>
        <w:spacing w:line="480" w:lineRule="auto"/>
        <w:jc w:val="both"/>
        <w:rPr>
          <w:rFonts w:ascii="Arial" w:hAnsi="Arial" w:cs="Arial"/>
          <w:lang w:val="en-US"/>
        </w:rPr>
      </w:pPr>
      <w:r>
        <w:rPr>
          <w:rFonts w:ascii="Arial" w:hAnsi="Arial" w:cs="Arial"/>
          <w:lang w:val="en-US"/>
        </w:rPr>
        <w:t>w</w:t>
      </w:r>
      <w:r w:rsidR="002E4D2F">
        <w:rPr>
          <w:rFonts w:ascii="Arial" w:hAnsi="Arial" w:cs="Arial"/>
          <w:lang w:val="en-US"/>
        </w:rPr>
        <w:t>here</w:t>
      </w:r>
      <w:r>
        <w:rPr>
          <w:rFonts w:ascii="Arial" w:hAnsi="Arial" w:cs="Arial"/>
          <w:lang w:val="en-US"/>
        </w:rPr>
        <w:t xml:space="preserve"> </w:t>
      </w:r>
      <w:r w:rsidR="002B3D5D" w:rsidRPr="00B41EF9">
        <w:rPr>
          <w:rFonts w:ascii="Arial" w:hAnsi="Arial" w:cs="Arial"/>
          <w:position w:val="-12"/>
          <w:lang w:val="en-US"/>
        </w:rPr>
        <w:object w:dxaOrig="620" w:dyaOrig="380">
          <v:shape id="_x0000_i1044" type="#_x0000_t75" style="width:29.55pt;height:19.3pt" o:ole="">
            <v:imagedata r:id="rId47" o:title=""/>
          </v:shape>
          <o:OLEObject Type="Embed" ProgID="Equation.3" ShapeID="_x0000_i1044" DrawAspect="Content" ObjectID="_1507543391" r:id="rId48"/>
        </w:object>
      </w:r>
      <w:r w:rsidR="00441D08">
        <w:rPr>
          <w:rFonts w:ascii="Arial" w:hAnsi="Arial" w:cs="Arial"/>
          <w:lang w:val="en-US"/>
        </w:rPr>
        <w:t xml:space="preserve"> </w:t>
      </w:r>
      <w:r w:rsidRPr="00A136D6">
        <w:rPr>
          <w:rFonts w:ascii="Arial" w:hAnsi="Arial" w:cs="Arial"/>
          <w:lang w:val="en-US"/>
        </w:rPr>
        <w:t>is the conditional variance of the trading volume</w:t>
      </w:r>
      <w:r>
        <w:rPr>
          <w:rFonts w:ascii="Arial" w:hAnsi="Arial" w:cs="Arial"/>
          <w:lang w:val="en-US"/>
        </w:rPr>
        <w:t xml:space="preserve"> (and </w:t>
      </w:r>
      <w:r w:rsidR="002B3D5D" w:rsidRPr="00B41EF9">
        <w:rPr>
          <w:rFonts w:ascii="Garamond" w:hAnsi="Garamond"/>
          <w:i/>
          <w:position w:val="-12"/>
          <w:lang w:val="de-DE"/>
        </w:rPr>
        <w:object w:dxaOrig="620" w:dyaOrig="380">
          <v:shape id="_x0000_i1045" type="#_x0000_t75" style="width:33.45pt;height:20.55pt" o:ole="">
            <v:imagedata r:id="rId49" o:title=""/>
          </v:shape>
          <o:OLEObject Type="Embed" ProgID="Equation.3" ShapeID="_x0000_i1045" DrawAspect="Content" ObjectID="_1507543392" r:id="rId50"/>
        </w:object>
      </w:r>
      <w:r w:rsidRPr="00A136D6">
        <w:rPr>
          <w:rFonts w:ascii="Arial" w:hAnsi="Arial" w:cs="Arial"/>
          <w:lang w:val="en-US"/>
        </w:rPr>
        <w:t xml:space="preserve"> measures the persi</w:t>
      </w:r>
      <w:r>
        <w:rPr>
          <w:rFonts w:ascii="Arial" w:hAnsi="Arial" w:cs="Arial"/>
          <w:lang w:val="en-US"/>
        </w:rPr>
        <w:t xml:space="preserve">stency in the variance equation), and </w:t>
      </w:r>
      <w:r w:rsidR="002E4D2F">
        <w:rPr>
          <w:rFonts w:ascii="Arial" w:hAnsi="Arial" w:cs="Arial"/>
          <w:lang w:val="en-US"/>
        </w:rPr>
        <w:t xml:space="preserve">, as above, </w:t>
      </w:r>
      <w:r w:rsidR="002E4D2F" w:rsidRPr="00A51255">
        <w:rPr>
          <w:rFonts w:ascii="Arial" w:hAnsi="Arial" w:cs="Arial"/>
          <w:position w:val="-12"/>
          <w:lang w:val="en-US"/>
        </w:rPr>
        <w:object w:dxaOrig="720" w:dyaOrig="360">
          <v:shape id="_x0000_i1046" type="#_x0000_t75" style="width:38.55pt;height:18pt" o:ole="">
            <v:imagedata r:id="rId22" o:title=""/>
          </v:shape>
          <o:OLEObject Type="Embed" ProgID="Equation.3" ShapeID="_x0000_i1046" DrawAspect="Content" ObjectID="_1507543393" r:id="rId51"/>
        </w:object>
      </w:r>
      <w:r w:rsidR="002E4D2F" w:rsidRPr="00A51255">
        <w:rPr>
          <w:rFonts w:ascii="Arial" w:hAnsi="Arial" w:cs="Arial"/>
          <w:lang w:val="en-US"/>
        </w:rPr>
        <w:t xml:space="preserve"> </w:t>
      </w:r>
      <w:r w:rsidR="002E4D2F">
        <w:rPr>
          <w:rFonts w:ascii="Arial" w:hAnsi="Arial" w:cs="Arial"/>
          <w:lang w:val="en-US"/>
        </w:rPr>
        <w:t xml:space="preserve">and </w:t>
      </w:r>
      <w:r w:rsidR="00EF37B1" w:rsidRPr="00A51255">
        <w:rPr>
          <w:rFonts w:ascii="Arial" w:hAnsi="Arial" w:cs="Arial"/>
          <w:position w:val="-14"/>
          <w:lang w:val="en-US"/>
        </w:rPr>
        <w:object w:dxaOrig="740" w:dyaOrig="380">
          <v:shape id="_x0000_i1047" type="#_x0000_t75" style="width:41.15pt;height:19.3pt" o:ole="">
            <v:imagedata r:id="rId52" o:title=""/>
          </v:shape>
          <o:OLEObject Type="Embed" ProgID="Equation.3" ShapeID="_x0000_i1047" DrawAspect="Content" ObjectID="_1507543394" r:id="rId53"/>
        </w:object>
      </w:r>
      <w:r w:rsidR="002E4D2F">
        <w:rPr>
          <w:rFonts w:ascii="Arial" w:hAnsi="Arial" w:cs="Arial"/>
          <w:lang w:val="en-US"/>
        </w:rPr>
        <w:t xml:space="preserve"> are dummy variables with different strength</w:t>
      </w:r>
      <w:r w:rsidR="007426A3">
        <w:rPr>
          <w:rFonts w:ascii="Arial" w:hAnsi="Arial" w:cs="Arial"/>
          <w:lang w:val="en-US"/>
        </w:rPr>
        <w:t>s</w:t>
      </w:r>
      <w:r w:rsidR="002E4D2F">
        <w:rPr>
          <w:rFonts w:ascii="Arial" w:hAnsi="Arial" w:cs="Arial"/>
          <w:lang w:val="en-US"/>
        </w:rPr>
        <w:t xml:space="preserve"> (strongly positive, positive, negative and strongly negative) for </w:t>
      </w:r>
      <w:r w:rsidR="002E4D2F" w:rsidRPr="00A51255">
        <w:rPr>
          <w:rFonts w:ascii="Arial" w:hAnsi="Arial" w:cs="Arial"/>
          <w:position w:val="-8"/>
          <w:lang w:val="en-US"/>
        </w:rPr>
        <w:object w:dxaOrig="880" w:dyaOrig="300">
          <v:shape id="_x0000_i1048" type="#_x0000_t75" style="width:50.15pt;height:16.7pt" o:ole="">
            <v:imagedata r:id="rId26" o:title=""/>
          </v:shape>
          <o:OLEObject Type="Embed" ProgID="Equation.3" ShapeID="_x0000_i1048" DrawAspect="Content" ObjectID="_1507543395" r:id="rId54"/>
        </w:object>
      </w:r>
      <w:r w:rsidR="002E4D2F">
        <w:rPr>
          <w:rFonts w:ascii="Arial" w:hAnsi="Arial" w:cs="Arial"/>
          <w:lang w:val="en-US"/>
        </w:rPr>
        <w:t xml:space="preserve"> and</w:t>
      </w:r>
      <w:r w:rsidR="002E4D2F" w:rsidRPr="00A51255">
        <w:rPr>
          <w:rFonts w:ascii="Arial" w:hAnsi="Arial" w:cs="Arial"/>
          <w:position w:val="-10"/>
          <w:lang w:val="en-US"/>
        </w:rPr>
        <w:object w:dxaOrig="940" w:dyaOrig="320">
          <v:shape id="_x0000_i1049" type="#_x0000_t75" style="width:54pt;height:16.7pt" o:ole="">
            <v:imagedata r:id="rId28" o:title=""/>
          </v:shape>
          <o:OLEObject Type="Embed" ProgID="Equation.3" ShapeID="_x0000_i1049" DrawAspect="Content" ObjectID="_1507543396" r:id="rId55"/>
        </w:object>
      </w:r>
      <w:r w:rsidR="002E4D2F">
        <w:rPr>
          <w:rFonts w:ascii="Arial" w:hAnsi="Arial" w:cs="Arial"/>
          <w:lang w:val="en-US"/>
        </w:rPr>
        <w:t>, respectively,</w:t>
      </w:r>
      <w:r w:rsidR="002E4D2F" w:rsidRPr="00A51255">
        <w:rPr>
          <w:rFonts w:ascii="Arial" w:hAnsi="Arial" w:cs="Arial"/>
          <w:lang w:val="en-US"/>
        </w:rPr>
        <w:t xml:space="preserve"> for</w:t>
      </w:r>
      <w:r w:rsidR="00983489">
        <w:rPr>
          <w:rFonts w:ascii="Arial" w:hAnsi="Arial" w:cs="Arial"/>
          <w:lang w:val="en-US"/>
        </w:rPr>
        <w:t xml:space="preserve"> the announcements:</w:t>
      </w:r>
      <w:r w:rsidR="002E4D2F">
        <w:rPr>
          <w:rFonts w:ascii="Arial" w:hAnsi="Arial" w:cs="Arial"/>
          <w:lang w:val="en-US"/>
        </w:rPr>
        <w:t xml:space="preserve"> </w:t>
      </w:r>
      <w:r w:rsidR="002E4D2F" w:rsidRPr="002E4D2F">
        <w:rPr>
          <w:rFonts w:ascii="Arial" w:hAnsi="Arial" w:cs="Arial"/>
          <w:position w:val="-10"/>
          <w:lang w:val="en-US"/>
        </w:rPr>
        <w:object w:dxaOrig="1840" w:dyaOrig="320">
          <v:shape id="_x0000_i1050" type="#_x0000_t75" style="width:97.7pt;height:16.7pt" o:ole="">
            <v:imagedata r:id="rId30" o:title=""/>
          </v:shape>
          <o:OLEObject Type="Embed" ProgID="Equation.3" ShapeID="_x0000_i1050" DrawAspect="Content" ObjectID="_1507543397" r:id="rId56"/>
        </w:object>
      </w:r>
      <w:r w:rsidR="002E4D2F">
        <w:rPr>
          <w:rFonts w:ascii="Arial" w:hAnsi="Arial" w:cs="Arial"/>
          <w:lang w:val="en-US"/>
        </w:rPr>
        <w:t>.</w:t>
      </w:r>
    </w:p>
    <w:p w:rsidR="00167D78" w:rsidRDefault="002E4D2F" w:rsidP="002E4D2F">
      <w:pPr>
        <w:spacing w:line="480" w:lineRule="auto"/>
        <w:ind w:firstLine="708"/>
        <w:jc w:val="both"/>
        <w:rPr>
          <w:rFonts w:ascii="Arial" w:hAnsi="Arial" w:cs="Arial"/>
          <w:lang w:val="en-US"/>
        </w:rPr>
      </w:pPr>
      <w:r>
        <w:rPr>
          <w:rFonts w:ascii="Arial" w:hAnsi="Arial" w:cs="Arial"/>
          <w:lang w:val="en-US"/>
        </w:rPr>
        <w:t xml:space="preserve">The variable </w:t>
      </w:r>
      <w:r w:rsidR="00167D78" w:rsidRPr="00A51255">
        <w:rPr>
          <w:rFonts w:ascii="Arial" w:hAnsi="Arial" w:cs="Arial"/>
          <w:position w:val="-12"/>
          <w:lang w:val="en-US"/>
        </w:rPr>
        <w:object w:dxaOrig="840" w:dyaOrig="380">
          <v:shape id="_x0000_i1051" type="#_x0000_t75" style="width:45pt;height:20.55pt" o:ole="">
            <v:imagedata r:id="rId57" o:title=""/>
          </v:shape>
          <o:OLEObject Type="Embed" ProgID="Equation.3" ShapeID="_x0000_i1051" DrawAspect="Content" ObjectID="_1507543398" r:id="rId58"/>
        </w:object>
      </w:r>
      <w:r w:rsidR="00167D78" w:rsidRPr="00A51255">
        <w:rPr>
          <w:rFonts w:ascii="Arial" w:hAnsi="Arial" w:cs="Arial"/>
          <w:lang w:val="en-US"/>
        </w:rPr>
        <w:t xml:space="preserve"> is the variance </w:t>
      </w:r>
      <w:r w:rsidR="00167D78" w:rsidRPr="00A51255">
        <w:rPr>
          <w:rFonts w:ascii="Arial" w:hAnsi="Arial" w:cs="Arial"/>
          <w:position w:val="-12"/>
          <w:lang w:val="en-US"/>
        </w:rPr>
        <w:object w:dxaOrig="240" w:dyaOrig="360">
          <v:shape id="_x0000_i1052" type="#_x0000_t75" style="width:11.55pt;height:18pt" o:ole="">
            <v:imagedata r:id="rId59" o:title=""/>
          </v:shape>
          <o:OLEObject Type="Embed" ProgID="Equation.3" ShapeID="_x0000_i1052" DrawAspect="Content" ObjectID="_1507543399" r:id="rId60"/>
        </w:object>
      </w:r>
      <w:r w:rsidR="00167D78" w:rsidRPr="00A51255">
        <w:rPr>
          <w:rFonts w:ascii="Arial" w:hAnsi="Arial" w:cs="Arial"/>
          <w:lang w:val="en-US"/>
        </w:rPr>
        <w:t xml:space="preserve"> extracted from the PLN/USD exchange rate returns model </w:t>
      </w:r>
      <w:r w:rsidR="00C65448">
        <w:rPr>
          <w:rFonts w:ascii="Arial" w:hAnsi="Arial" w:cs="Arial"/>
          <w:lang w:val="en-US"/>
        </w:rPr>
        <w:t>(</w:t>
      </w:r>
      <w:r w:rsidR="00167D78">
        <w:rPr>
          <w:rFonts w:ascii="Arial" w:hAnsi="Arial" w:cs="Arial"/>
          <w:lang w:val="en-US"/>
        </w:rPr>
        <w:t>1)</w:t>
      </w:r>
      <w:r w:rsidR="00167D78" w:rsidRPr="00A51255">
        <w:rPr>
          <w:rFonts w:ascii="Arial" w:hAnsi="Arial" w:cs="Arial"/>
          <w:lang w:val="en-US"/>
        </w:rPr>
        <w:t xml:space="preserve"> - </w:t>
      </w:r>
      <w:r w:rsidR="00C65448">
        <w:rPr>
          <w:rFonts w:ascii="Arial" w:hAnsi="Arial" w:cs="Arial"/>
          <w:lang w:val="en-US"/>
        </w:rPr>
        <w:t>(</w:t>
      </w:r>
      <w:r w:rsidR="00167D78">
        <w:rPr>
          <w:rFonts w:ascii="Arial" w:hAnsi="Arial" w:cs="Arial"/>
          <w:lang w:val="en-US"/>
        </w:rPr>
        <w:t>2)</w:t>
      </w:r>
      <w:r w:rsidR="00167D78" w:rsidRPr="00A51255">
        <w:rPr>
          <w:rFonts w:ascii="Arial" w:hAnsi="Arial" w:cs="Arial"/>
          <w:lang w:val="en-US"/>
        </w:rPr>
        <w:t xml:space="preserve">, but in its cleanest and simplest form, i.e. without the </w:t>
      </w:r>
      <w:r w:rsidR="00167D78">
        <w:rPr>
          <w:rFonts w:ascii="Arial" w:hAnsi="Arial" w:cs="Arial"/>
          <w:lang w:val="en-US"/>
        </w:rPr>
        <w:t xml:space="preserve">NBP announcements </w:t>
      </w:r>
      <w:r w:rsidR="00167D78" w:rsidRPr="00A51255">
        <w:rPr>
          <w:rFonts w:ascii="Arial" w:hAnsi="Arial" w:cs="Arial"/>
          <w:lang w:val="en-US"/>
        </w:rPr>
        <w:t xml:space="preserve">dummies </w:t>
      </w:r>
      <w:r w:rsidR="007426A3">
        <w:rPr>
          <w:rFonts w:ascii="Arial" w:hAnsi="Arial" w:cs="Arial"/>
          <w:lang w:val="en-US"/>
        </w:rPr>
        <w:t>or</w:t>
      </w:r>
      <w:r w:rsidR="00167D78" w:rsidRPr="00A51255">
        <w:rPr>
          <w:rFonts w:ascii="Arial" w:hAnsi="Arial" w:cs="Arial"/>
          <w:lang w:val="en-US"/>
        </w:rPr>
        <w:t xml:space="preserve"> other variables in </w:t>
      </w:r>
      <w:r w:rsidR="00C65448">
        <w:rPr>
          <w:rFonts w:ascii="Arial" w:hAnsi="Arial" w:cs="Arial"/>
          <w:lang w:val="en-US"/>
        </w:rPr>
        <w:t>(</w:t>
      </w:r>
      <w:r w:rsidR="00167D78">
        <w:rPr>
          <w:rFonts w:ascii="Arial" w:hAnsi="Arial" w:cs="Arial"/>
          <w:lang w:val="en-US"/>
        </w:rPr>
        <w:t>1)</w:t>
      </w:r>
      <w:r w:rsidR="00167D78" w:rsidRPr="00A51255">
        <w:rPr>
          <w:rFonts w:ascii="Arial" w:hAnsi="Arial" w:cs="Arial"/>
          <w:lang w:val="en-US"/>
        </w:rPr>
        <w:t xml:space="preserve"> and </w:t>
      </w:r>
      <w:r w:rsidR="00C65448">
        <w:rPr>
          <w:rFonts w:ascii="Arial" w:hAnsi="Arial" w:cs="Arial"/>
          <w:lang w:val="en-US"/>
        </w:rPr>
        <w:t>(</w:t>
      </w:r>
      <w:r w:rsidR="00167D78">
        <w:rPr>
          <w:rFonts w:ascii="Arial" w:hAnsi="Arial" w:cs="Arial"/>
          <w:lang w:val="en-US"/>
        </w:rPr>
        <w:t xml:space="preserve">2), i.e. from </w:t>
      </w:r>
      <w:r w:rsidR="007426A3">
        <w:rPr>
          <w:rFonts w:ascii="Arial" w:hAnsi="Arial" w:cs="Arial"/>
          <w:lang w:val="en-US"/>
        </w:rPr>
        <w:t xml:space="preserve">a </w:t>
      </w:r>
      <w:r w:rsidR="00167D78">
        <w:rPr>
          <w:rFonts w:ascii="Arial" w:hAnsi="Arial" w:cs="Arial"/>
          <w:lang w:val="en-US"/>
        </w:rPr>
        <w:t>simple GARCH(1,1)</w:t>
      </w:r>
      <w:r w:rsidR="00167D78" w:rsidRPr="00A51255">
        <w:rPr>
          <w:rFonts w:ascii="Arial" w:hAnsi="Arial" w:cs="Arial"/>
          <w:lang w:val="en-US"/>
        </w:rPr>
        <w:t xml:space="preserve"> model:</w:t>
      </w:r>
    </w:p>
    <w:p w:rsidR="00A125F4" w:rsidRPr="00A51255" w:rsidRDefault="00A125F4" w:rsidP="00167D78">
      <w:pPr>
        <w:spacing w:line="480" w:lineRule="auto"/>
        <w:jc w:val="both"/>
        <w:rPr>
          <w:rFonts w:ascii="Arial" w:hAnsi="Arial" w:cs="Arial"/>
          <w:lang w:val="en-US"/>
        </w:rPr>
      </w:pPr>
    </w:p>
    <w:p w:rsidR="000B74E8" w:rsidRDefault="000B74E8" w:rsidP="00167D78">
      <w:pPr>
        <w:spacing w:line="480" w:lineRule="auto"/>
        <w:ind w:firstLine="708"/>
        <w:rPr>
          <w:rFonts w:ascii="Arial" w:hAnsi="Arial" w:cs="Arial"/>
          <w:lang w:val="en-US"/>
        </w:rPr>
      </w:pPr>
    </w:p>
    <w:p w:rsidR="00167D78" w:rsidRPr="00A51255" w:rsidRDefault="00167D78" w:rsidP="00167D78">
      <w:pPr>
        <w:spacing w:line="480" w:lineRule="auto"/>
        <w:ind w:firstLine="708"/>
        <w:rPr>
          <w:rFonts w:ascii="Arial" w:hAnsi="Arial" w:cs="Arial"/>
          <w:lang w:val="en-US"/>
        </w:rPr>
      </w:pPr>
      <w:r w:rsidRPr="00A51255">
        <w:rPr>
          <w:rFonts w:ascii="Arial" w:hAnsi="Arial" w:cs="Arial"/>
          <w:position w:val="-12"/>
          <w:lang w:val="en-US"/>
        </w:rPr>
        <w:object w:dxaOrig="1719" w:dyaOrig="380">
          <v:shape id="_x0000_i1053" type="#_x0000_t75" style="width:92.55pt;height:20.55pt" o:ole="">
            <v:imagedata r:id="rId61" o:title=""/>
          </v:shape>
          <o:OLEObject Type="Embed" ProgID="Equation.3" ShapeID="_x0000_i1053" DrawAspect="Content" ObjectID="_1507543400" r:id="rId62"/>
        </w:object>
      </w:r>
      <w:r w:rsidRPr="00A51255">
        <w:rPr>
          <w:rFonts w:ascii="Arial" w:hAnsi="Arial" w:cs="Arial"/>
          <w:lang w:val="en-US"/>
        </w:rPr>
        <w:tab/>
      </w:r>
      <w:r w:rsidRPr="00A51255">
        <w:rPr>
          <w:rFonts w:ascii="Arial" w:hAnsi="Arial" w:cs="Arial"/>
          <w:lang w:val="en-US"/>
        </w:rPr>
        <w:tab/>
      </w:r>
      <w:r w:rsidRPr="00A51255">
        <w:rPr>
          <w:rFonts w:ascii="Arial" w:hAnsi="Arial" w:cs="Arial"/>
          <w:lang w:val="en-US"/>
        </w:rPr>
        <w:tab/>
      </w:r>
      <w:r w:rsidRPr="00A51255">
        <w:rPr>
          <w:rFonts w:ascii="Arial" w:hAnsi="Arial" w:cs="Arial"/>
          <w:lang w:val="en-US"/>
        </w:rPr>
        <w:tab/>
      </w:r>
      <w:r w:rsidRPr="00A51255">
        <w:rPr>
          <w:rFonts w:ascii="Arial" w:hAnsi="Arial" w:cs="Arial"/>
          <w:lang w:val="en-US"/>
        </w:rPr>
        <w:tab/>
      </w:r>
      <w:r w:rsidRPr="00A51255">
        <w:rPr>
          <w:rFonts w:ascii="Arial" w:hAnsi="Arial" w:cs="Arial"/>
          <w:lang w:val="en-US"/>
        </w:rPr>
        <w:tab/>
      </w:r>
      <w:r w:rsidRPr="00A51255">
        <w:rPr>
          <w:rFonts w:ascii="Arial" w:hAnsi="Arial" w:cs="Arial"/>
          <w:lang w:val="en-US"/>
        </w:rPr>
        <w:tab/>
      </w:r>
      <w:r w:rsidRPr="00A51255">
        <w:rPr>
          <w:rFonts w:ascii="Arial" w:hAnsi="Arial" w:cs="Arial"/>
          <w:lang w:val="en-US"/>
        </w:rPr>
        <w:tab/>
      </w:r>
      <w:r w:rsidRPr="00A51255">
        <w:rPr>
          <w:rFonts w:ascii="Arial" w:hAnsi="Arial" w:cs="Arial"/>
          <w:lang w:val="en-US"/>
        </w:rPr>
        <w:tab/>
      </w:r>
      <w:r w:rsidR="00C65448">
        <w:rPr>
          <w:rFonts w:ascii="Arial" w:hAnsi="Arial" w:cs="Arial"/>
          <w:lang w:val="en-US"/>
        </w:rPr>
        <w:t>(</w:t>
      </w:r>
      <w:r>
        <w:rPr>
          <w:rFonts w:ascii="Arial" w:hAnsi="Arial" w:cs="Arial"/>
          <w:lang w:val="en-US"/>
        </w:rPr>
        <w:t>5)</w:t>
      </w:r>
    </w:p>
    <w:p w:rsidR="00167D78" w:rsidRDefault="002B3D5D" w:rsidP="00167D78">
      <w:pPr>
        <w:spacing w:line="480" w:lineRule="auto"/>
        <w:ind w:firstLine="708"/>
        <w:rPr>
          <w:rFonts w:ascii="Arial" w:hAnsi="Arial" w:cs="Arial"/>
          <w:lang w:val="en-US"/>
        </w:rPr>
      </w:pPr>
      <w:r w:rsidRPr="00040D22">
        <w:rPr>
          <w:rFonts w:ascii="Arial" w:hAnsi="Arial" w:cs="Arial"/>
          <w:i/>
          <w:position w:val="-12"/>
          <w:lang w:val="de-DE"/>
        </w:rPr>
        <w:object w:dxaOrig="3100" w:dyaOrig="380">
          <v:shape id="_x0000_i1054" type="#_x0000_t75" style="width:168.45pt;height:19.3pt" o:ole="">
            <v:imagedata r:id="rId63" o:title=""/>
          </v:shape>
          <o:OLEObject Type="Embed" ProgID="Equation.3" ShapeID="_x0000_i1054" DrawAspect="Content" ObjectID="_1507543401" r:id="rId64"/>
        </w:object>
      </w:r>
      <w:r w:rsidR="00167D78" w:rsidRPr="00A51255">
        <w:rPr>
          <w:rFonts w:ascii="Arial" w:hAnsi="Arial" w:cs="Arial"/>
          <w:i/>
          <w:lang w:val="en-US"/>
        </w:rPr>
        <w:t>.</w:t>
      </w:r>
      <w:r w:rsidR="00167D78" w:rsidRPr="00A51255">
        <w:rPr>
          <w:rFonts w:ascii="Arial" w:hAnsi="Arial" w:cs="Arial"/>
          <w:i/>
          <w:lang w:val="en-US"/>
        </w:rPr>
        <w:tab/>
      </w:r>
      <w:r w:rsidR="00167D78" w:rsidRPr="00A51255">
        <w:rPr>
          <w:rFonts w:ascii="Arial" w:hAnsi="Arial" w:cs="Arial"/>
          <w:i/>
          <w:lang w:val="en-US"/>
        </w:rPr>
        <w:tab/>
      </w:r>
      <w:r w:rsidR="00167D78" w:rsidRPr="00A51255">
        <w:rPr>
          <w:rFonts w:ascii="Arial" w:hAnsi="Arial" w:cs="Arial"/>
          <w:i/>
          <w:lang w:val="en-US"/>
        </w:rPr>
        <w:tab/>
      </w:r>
      <w:r w:rsidR="00167D78" w:rsidRPr="00A51255">
        <w:rPr>
          <w:rFonts w:ascii="Arial" w:hAnsi="Arial" w:cs="Arial"/>
          <w:i/>
          <w:lang w:val="en-US"/>
        </w:rPr>
        <w:tab/>
      </w:r>
      <w:r w:rsidR="00167D78" w:rsidRPr="00A51255">
        <w:rPr>
          <w:rFonts w:ascii="Arial" w:hAnsi="Arial" w:cs="Arial"/>
          <w:i/>
          <w:lang w:val="en-US"/>
        </w:rPr>
        <w:tab/>
      </w:r>
      <w:r w:rsidR="00167D78" w:rsidRPr="00A51255">
        <w:rPr>
          <w:rFonts w:ascii="Arial" w:hAnsi="Arial" w:cs="Arial"/>
          <w:i/>
          <w:lang w:val="en-US"/>
        </w:rPr>
        <w:tab/>
      </w:r>
      <w:r w:rsidR="00300440">
        <w:rPr>
          <w:rFonts w:ascii="Arial" w:hAnsi="Arial" w:cs="Arial"/>
          <w:i/>
          <w:lang w:val="en-US"/>
        </w:rPr>
        <w:tab/>
      </w:r>
      <w:r w:rsidR="00C65448">
        <w:rPr>
          <w:rFonts w:ascii="Arial" w:hAnsi="Arial" w:cs="Arial"/>
          <w:lang w:val="en-US"/>
        </w:rPr>
        <w:t>(</w:t>
      </w:r>
      <w:r w:rsidR="00167D78">
        <w:rPr>
          <w:rFonts w:ascii="Arial" w:hAnsi="Arial" w:cs="Arial"/>
          <w:lang w:val="en-US"/>
        </w:rPr>
        <w:t>6)</w:t>
      </w:r>
    </w:p>
    <w:p w:rsidR="006E0551" w:rsidRDefault="006E0551" w:rsidP="00B25E8C">
      <w:pPr>
        <w:spacing w:line="480" w:lineRule="auto"/>
        <w:ind w:firstLine="708"/>
        <w:jc w:val="both"/>
        <w:rPr>
          <w:rFonts w:ascii="Arial" w:hAnsi="Arial" w:cs="Arial"/>
          <w:lang w:val="en-US"/>
        </w:rPr>
      </w:pPr>
    </w:p>
    <w:p w:rsidR="00B25E8C" w:rsidRDefault="007426A3" w:rsidP="00B25E8C">
      <w:pPr>
        <w:spacing w:line="480" w:lineRule="auto"/>
        <w:ind w:firstLine="708"/>
        <w:jc w:val="both"/>
        <w:rPr>
          <w:rFonts w:ascii="Arial" w:hAnsi="Arial" w:cs="Arial"/>
          <w:lang w:val="en-US"/>
        </w:rPr>
      </w:pPr>
      <w:r>
        <w:rPr>
          <w:rFonts w:ascii="Arial" w:hAnsi="Arial" w:cs="Arial"/>
          <w:lang w:val="en-US"/>
        </w:rPr>
        <w:t xml:space="preserve">A </w:t>
      </w:r>
      <w:r w:rsidR="00C679DA" w:rsidRPr="00A51255">
        <w:rPr>
          <w:rFonts w:ascii="Arial" w:hAnsi="Arial" w:cs="Arial"/>
          <w:lang w:val="en-US"/>
        </w:rPr>
        <w:t xml:space="preserve">GARCH type model of the form </w:t>
      </w:r>
      <w:r w:rsidR="00C65448">
        <w:rPr>
          <w:rFonts w:ascii="Arial" w:hAnsi="Arial" w:cs="Arial"/>
          <w:lang w:val="en-US"/>
        </w:rPr>
        <w:t>(</w:t>
      </w:r>
      <w:r w:rsidR="002C3F98">
        <w:rPr>
          <w:rFonts w:ascii="Arial" w:hAnsi="Arial" w:cs="Arial"/>
          <w:lang w:val="en-US"/>
        </w:rPr>
        <w:t>1</w:t>
      </w:r>
      <w:r w:rsidR="006A4ECA">
        <w:rPr>
          <w:rFonts w:ascii="Arial" w:hAnsi="Arial" w:cs="Arial"/>
          <w:lang w:val="en-US"/>
        </w:rPr>
        <w:t xml:space="preserve">) - </w:t>
      </w:r>
      <w:r w:rsidR="00C65448">
        <w:rPr>
          <w:rFonts w:ascii="Arial" w:hAnsi="Arial" w:cs="Arial"/>
          <w:lang w:val="en-US"/>
        </w:rPr>
        <w:t>(</w:t>
      </w:r>
      <w:r w:rsidR="00CE70A2">
        <w:rPr>
          <w:rFonts w:ascii="Arial" w:hAnsi="Arial" w:cs="Arial"/>
          <w:lang w:val="en-US"/>
        </w:rPr>
        <w:t>2) or</w:t>
      </w:r>
      <w:r w:rsidR="002C3F98">
        <w:rPr>
          <w:rFonts w:ascii="Arial" w:hAnsi="Arial" w:cs="Arial"/>
          <w:lang w:val="en-US"/>
        </w:rPr>
        <w:t xml:space="preserve"> </w:t>
      </w:r>
      <w:r w:rsidR="00C65448">
        <w:rPr>
          <w:rFonts w:ascii="Arial" w:hAnsi="Arial" w:cs="Arial"/>
          <w:lang w:val="en-US"/>
        </w:rPr>
        <w:t>(</w:t>
      </w:r>
      <w:r w:rsidR="00167D78">
        <w:rPr>
          <w:rFonts w:ascii="Arial" w:hAnsi="Arial" w:cs="Arial"/>
          <w:lang w:val="en-US"/>
        </w:rPr>
        <w:t>5</w:t>
      </w:r>
      <w:r w:rsidR="006A4ECA">
        <w:rPr>
          <w:rFonts w:ascii="Arial" w:hAnsi="Arial" w:cs="Arial"/>
          <w:lang w:val="en-US"/>
        </w:rPr>
        <w:t xml:space="preserve">) - </w:t>
      </w:r>
      <w:r w:rsidR="00C65448">
        <w:rPr>
          <w:rFonts w:ascii="Arial" w:hAnsi="Arial" w:cs="Arial"/>
          <w:lang w:val="en-US"/>
        </w:rPr>
        <w:t>(</w:t>
      </w:r>
      <w:r w:rsidR="00167D78">
        <w:rPr>
          <w:rFonts w:ascii="Arial" w:hAnsi="Arial" w:cs="Arial"/>
          <w:lang w:val="en-US"/>
        </w:rPr>
        <w:t>6</w:t>
      </w:r>
      <w:r w:rsidR="009B6680">
        <w:rPr>
          <w:rFonts w:ascii="Arial" w:hAnsi="Arial" w:cs="Arial"/>
          <w:lang w:val="en-US"/>
        </w:rPr>
        <w:t>)</w:t>
      </w:r>
      <w:r w:rsidR="00C679DA" w:rsidRPr="00A51255">
        <w:rPr>
          <w:rFonts w:ascii="Arial" w:hAnsi="Arial" w:cs="Arial"/>
          <w:lang w:val="en-US"/>
        </w:rPr>
        <w:t xml:space="preserve"> provides useful information about the conditional variance of exchange rate returns </w:t>
      </w:r>
      <w:r w:rsidR="003769B4" w:rsidRPr="002B3D5D">
        <w:rPr>
          <w:rFonts w:ascii="Arial" w:hAnsi="Arial" w:cs="Arial"/>
          <w:position w:val="-12"/>
          <w:lang w:val="en-US"/>
        </w:rPr>
        <w:object w:dxaOrig="840" w:dyaOrig="380">
          <v:shape id="_x0000_i1055" type="#_x0000_t75" style="width:42.45pt;height:19.3pt" o:ole="">
            <v:imagedata r:id="rId65" o:title=""/>
          </v:shape>
          <o:OLEObject Type="Embed" ProgID="Equation.3" ShapeID="_x0000_i1055" DrawAspect="Content" ObjectID="_1507543402" r:id="rId66"/>
        </w:object>
      </w:r>
      <w:r w:rsidR="00C679DA" w:rsidRPr="00A51255">
        <w:rPr>
          <w:rFonts w:ascii="Arial" w:hAnsi="Arial" w:cs="Arial"/>
          <w:lang w:val="en-US"/>
        </w:rPr>
        <w:t xml:space="preserve"> (captured by equation</w:t>
      </w:r>
      <w:r w:rsidR="002C3F98">
        <w:rPr>
          <w:rFonts w:ascii="Arial" w:hAnsi="Arial" w:cs="Arial"/>
          <w:lang w:val="en-US"/>
        </w:rPr>
        <w:t>s</w:t>
      </w:r>
      <w:r w:rsidR="00C679DA" w:rsidRPr="00A51255">
        <w:rPr>
          <w:rFonts w:ascii="Arial" w:hAnsi="Arial" w:cs="Arial"/>
          <w:lang w:val="en-US"/>
        </w:rPr>
        <w:t xml:space="preserve"> </w:t>
      </w:r>
      <w:r w:rsidR="00C65448">
        <w:rPr>
          <w:rFonts w:ascii="Arial" w:hAnsi="Arial" w:cs="Arial"/>
          <w:lang w:val="en-US"/>
        </w:rPr>
        <w:t>(</w:t>
      </w:r>
      <w:r w:rsidR="009B6680">
        <w:rPr>
          <w:rFonts w:ascii="Arial" w:hAnsi="Arial" w:cs="Arial"/>
          <w:lang w:val="en-US"/>
        </w:rPr>
        <w:t>2)</w:t>
      </w:r>
      <w:r w:rsidR="00CE70A2">
        <w:rPr>
          <w:rFonts w:ascii="Arial" w:hAnsi="Arial" w:cs="Arial"/>
          <w:lang w:val="en-US"/>
        </w:rPr>
        <w:t xml:space="preserve"> and</w:t>
      </w:r>
      <w:r w:rsidR="002C3F98">
        <w:rPr>
          <w:rFonts w:ascii="Arial" w:hAnsi="Arial" w:cs="Arial"/>
          <w:lang w:val="en-US"/>
        </w:rPr>
        <w:t xml:space="preserve"> </w:t>
      </w:r>
      <w:r w:rsidR="00C65448">
        <w:rPr>
          <w:rFonts w:ascii="Arial" w:hAnsi="Arial" w:cs="Arial"/>
          <w:lang w:val="en-US"/>
        </w:rPr>
        <w:t>(</w:t>
      </w:r>
      <w:r w:rsidR="00856BA7">
        <w:rPr>
          <w:rFonts w:ascii="Arial" w:hAnsi="Arial" w:cs="Arial"/>
          <w:lang w:val="en-US"/>
        </w:rPr>
        <w:t>6</w:t>
      </w:r>
      <w:r w:rsidR="002C3F98">
        <w:rPr>
          <w:rFonts w:ascii="Arial" w:hAnsi="Arial" w:cs="Arial"/>
          <w:lang w:val="en-US"/>
        </w:rPr>
        <w:t>)</w:t>
      </w:r>
      <w:r w:rsidR="00C679DA" w:rsidRPr="00A51255">
        <w:rPr>
          <w:rFonts w:ascii="Arial" w:hAnsi="Arial" w:cs="Arial"/>
          <w:lang w:val="en-US"/>
        </w:rPr>
        <w:t>), which may be further exploited to investigate the impact of the PLN/USD exchange rate returns variance on the trading activit</w:t>
      </w:r>
      <w:r w:rsidR="00B80F3E">
        <w:rPr>
          <w:rFonts w:ascii="Arial" w:hAnsi="Arial" w:cs="Arial"/>
          <w:lang w:val="en-US"/>
        </w:rPr>
        <w:t>y</w:t>
      </w:r>
      <w:r w:rsidR="00C679DA" w:rsidRPr="00A51255">
        <w:rPr>
          <w:rFonts w:ascii="Arial" w:hAnsi="Arial" w:cs="Arial"/>
          <w:lang w:val="en-US"/>
        </w:rPr>
        <w:t>. We check this effect for the</w:t>
      </w:r>
      <w:r w:rsidR="00167D78">
        <w:rPr>
          <w:rFonts w:ascii="Arial" w:hAnsi="Arial" w:cs="Arial"/>
          <w:lang w:val="en-US"/>
        </w:rPr>
        <w:t xml:space="preserve"> volume of trade models using </w:t>
      </w:r>
      <w:r w:rsidR="00B25E8C">
        <w:rPr>
          <w:rFonts w:ascii="Arial" w:hAnsi="Arial" w:cs="Arial"/>
          <w:lang w:val="en-US"/>
        </w:rPr>
        <w:t>the</w:t>
      </w:r>
      <w:r w:rsidR="00167D78">
        <w:rPr>
          <w:rFonts w:ascii="Arial" w:hAnsi="Arial" w:cs="Arial"/>
          <w:lang w:val="en-US"/>
        </w:rPr>
        <w:t xml:space="preserve"> </w:t>
      </w:r>
      <w:r w:rsidR="00C679DA" w:rsidRPr="00A51255">
        <w:rPr>
          <w:rFonts w:ascii="Arial" w:hAnsi="Arial" w:cs="Arial"/>
          <w:lang w:val="en-US"/>
        </w:rPr>
        <w:t>model specification</w:t>
      </w:r>
      <w:r w:rsidR="00B25E8C">
        <w:rPr>
          <w:rFonts w:ascii="Arial" w:hAnsi="Arial" w:cs="Arial"/>
          <w:lang w:val="en-US"/>
        </w:rPr>
        <w:t xml:space="preserve"> expressed by</w:t>
      </w:r>
      <w:r w:rsidR="00B80F3E">
        <w:rPr>
          <w:rFonts w:ascii="Arial" w:hAnsi="Arial" w:cs="Arial"/>
          <w:lang w:val="en-US"/>
        </w:rPr>
        <w:t xml:space="preserve"> equations </w:t>
      </w:r>
      <w:r w:rsidR="00C65448">
        <w:rPr>
          <w:rFonts w:ascii="Arial" w:hAnsi="Arial" w:cs="Arial"/>
          <w:lang w:val="en-US"/>
        </w:rPr>
        <w:t>(</w:t>
      </w:r>
      <w:r w:rsidR="00B25E8C">
        <w:rPr>
          <w:rFonts w:ascii="Arial" w:hAnsi="Arial" w:cs="Arial"/>
          <w:lang w:val="en-US"/>
        </w:rPr>
        <w:t xml:space="preserve">3) – </w:t>
      </w:r>
      <w:r w:rsidR="00C65448">
        <w:rPr>
          <w:rFonts w:ascii="Arial" w:hAnsi="Arial" w:cs="Arial"/>
          <w:lang w:val="en-US"/>
        </w:rPr>
        <w:t>(</w:t>
      </w:r>
      <w:r w:rsidR="00B25E8C">
        <w:rPr>
          <w:rFonts w:ascii="Arial" w:hAnsi="Arial" w:cs="Arial"/>
          <w:lang w:val="en-US"/>
        </w:rPr>
        <w:t>4).</w:t>
      </w:r>
      <w:r w:rsidR="00856BA7">
        <w:rPr>
          <w:rFonts w:ascii="Arial" w:hAnsi="Arial" w:cs="Arial"/>
          <w:lang w:val="en-US"/>
        </w:rPr>
        <w:t xml:space="preserve"> </w:t>
      </w:r>
      <w:r w:rsidR="00B25E8C" w:rsidRPr="00A51255">
        <w:rPr>
          <w:rFonts w:ascii="Arial" w:hAnsi="Arial" w:cs="Arial"/>
          <w:lang w:val="en-US"/>
        </w:rPr>
        <w:t>The estimates</w:t>
      </w:r>
      <w:r w:rsidR="00856BA7">
        <w:rPr>
          <w:rFonts w:ascii="Arial" w:hAnsi="Arial" w:cs="Arial"/>
          <w:lang w:val="en-US"/>
        </w:rPr>
        <w:t xml:space="preserve"> of the parameter </w:t>
      </w:r>
      <w:r w:rsidR="00B80F3E" w:rsidRPr="00856BA7">
        <w:rPr>
          <w:rFonts w:ascii="Arial" w:hAnsi="Arial" w:cs="Arial"/>
          <w:position w:val="-10"/>
          <w:lang w:val="en-US"/>
        </w:rPr>
        <w:object w:dxaOrig="300" w:dyaOrig="340">
          <v:shape id="_x0000_i1056" type="#_x0000_t75" style="width:14.15pt;height:18pt" o:ole="">
            <v:imagedata r:id="rId67" o:title=""/>
          </v:shape>
          <o:OLEObject Type="Embed" ProgID="Equation.3" ShapeID="_x0000_i1056" DrawAspect="Content" ObjectID="_1507543403" r:id="rId68"/>
        </w:object>
      </w:r>
      <w:r w:rsidR="00856BA7">
        <w:rPr>
          <w:rFonts w:ascii="Arial" w:hAnsi="Arial" w:cs="Arial"/>
          <w:lang w:val="en-US"/>
        </w:rPr>
        <w:t xml:space="preserve"> associated with the</w:t>
      </w:r>
      <w:r w:rsidR="00B25E8C" w:rsidRPr="00A51255">
        <w:rPr>
          <w:rFonts w:ascii="Arial" w:hAnsi="Arial" w:cs="Arial"/>
          <w:lang w:val="en-US"/>
        </w:rPr>
        <w:t xml:space="preserve"> variable </w:t>
      </w:r>
      <w:r w:rsidR="00B25E8C" w:rsidRPr="00A51255">
        <w:rPr>
          <w:rFonts w:ascii="Arial" w:hAnsi="Arial" w:cs="Arial"/>
          <w:position w:val="-14"/>
          <w:lang w:val="en-US"/>
        </w:rPr>
        <w:object w:dxaOrig="1060" w:dyaOrig="460">
          <v:shape id="_x0000_i1057" type="#_x0000_t75" style="width:50.15pt;height:21.85pt" o:ole="">
            <v:imagedata r:id="rId69" o:title=""/>
          </v:shape>
          <o:OLEObject Type="Embed" ProgID="Equation.3" ShapeID="_x0000_i1057" DrawAspect="Content" ObjectID="_1507543404" r:id="rId70"/>
        </w:object>
      </w:r>
      <w:r w:rsidR="00B25E8C" w:rsidRPr="00A51255">
        <w:rPr>
          <w:rFonts w:ascii="Arial" w:hAnsi="Arial" w:cs="Arial"/>
          <w:lang w:val="en-US"/>
        </w:rPr>
        <w:t xml:space="preserve"> in equation</w:t>
      </w:r>
      <w:r w:rsidR="00B25E8C">
        <w:rPr>
          <w:rFonts w:ascii="Arial" w:hAnsi="Arial" w:cs="Arial"/>
          <w:lang w:val="en-US"/>
        </w:rPr>
        <w:t xml:space="preserve"> </w:t>
      </w:r>
      <w:r w:rsidR="00C65448">
        <w:rPr>
          <w:rFonts w:ascii="Arial" w:hAnsi="Arial" w:cs="Arial"/>
          <w:lang w:val="en-US"/>
        </w:rPr>
        <w:t>(</w:t>
      </w:r>
      <w:r w:rsidR="00B25E8C">
        <w:rPr>
          <w:rFonts w:ascii="Arial" w:hAnsi="Arial" w:cs="Arial"/>
          <w:lang w:val="en-US"/>
        </w:rPr>
        <w:t xml:space="preserve">3) </w:t>
      </w:r>
      <w:r w:rsidR="00B25E8C" w:rsidRPr="00A51255">
        <w:rPr>
          <w:rFonts w:ascii="Arial" w:hAnsi="Arial" w:cs="Arial"/>
          <w:lang w:val="en-US"/>
        </w:rPr>
        <w:t xml:space="preserve">allow us to </w:t>
      </w:r>
      <w:r w:rsidR="00572356">
        <w:rPr>
          <w:rFonts w:ascii="Arial" w:hAnsi="Arial" w:cs="Arial"/>
          <w:lang w:val="en-US"/>
        </w:rPr>
        <w:t>ascertain</w:t>
      </w:r>
      <w:r w:rsidR="00B80F3E">
        <w:rPr>
          <w:rFonts w:ascii="Arial" w:hAnsi="Arial" w:cs="Arial"/>
          <w:lang w:val="en-US"/>
        </w:rPr>
        <w:t xml:space="preserve"> whether </w:t>
      </w:r>
      <w:r w:rsidR="00B25E8C" w:rsidRPr="00A51255">
        <w:rPr>
          <w:rFonts w:ascii="Arial" w:hAnsi="Arial" w:cs="Arial"/>
          <w:lang w:val="en-US"/>
        </w:rPr>
        <w:t>the exchange rate volatility has an effect on the market activity</w:t>
      </w:r>
      <w:r w:rsidR="00B80F3E" w:rsidRPr="00A51255">
        <w:rPr>
          <w:rFonts w:ascii="Arial" w:hAnsi="Arial" w:cs="Arial"/>
          <w:lang w:val="en-US"/>
        </w:rPr>
        <w:t xml:space="preserve"> as measured by changes in the PLN/USD volume of trade</w:t>
      </w:r>
      <w:r w:rsidR="00B25E8C" w:rsidRPr="00A51255">
        <w:rPr>
          <w:rFonts w:ascii="Arial" w:hAnsi="Arial" w:cs="Arial"/>
          <w:lang w:val="en-US"/>
        </w:rPr>
        <w:t>.</w:t>
      </w:r>
    </w:p>
    <w:p w:rsidR="00B25E8C" w:rsidRPr="00A51255" w:rsidRDefault="00B25E8C" w:rsidP="00B25E8C">
      <w:pPr>
        <w:spacing w:line="480" w:lineRule="auto"/>
        <w:ind w:firstLine="708"/>
        <w:jc w:val="both"/>
        <w:rPr>
          <w:rFonts w:ascii="Arial" w:hAnsi="Arial" w:cs="Arial"/>
          <w:iCs/>
          <w:lang w:val="en-US"/>
        </w:rPr>
      </w:pPr>
      <w:r w:rsidRPr="00A51255">
        <w:rPr>
          <w:rFonts w:ascii="Arial" w:hAnsi="Arial" w:cs="Arial"/>
          <w:iCs/>
          <w:lang w:val="en-US"/>
        </w:rPr>
        <w:t xml:space="preserve">Similarly to the foreign exchange models discussed in the previous section, the lagged foreign exchange return variable </w:t>
      </w:r>
      <w:r w:rsidRPr="00A51255">
        <w:rPr>
          <w:rFonts w:ascii="Arial" w:hAnsi="Arial" w:cs="Arial"/>
          <w:position w:val="-12"/>
          <w:lang w:val="en-US"/>
        </w:rPr>
        <w:object w:dxaOrig="840" w:dyaOrig="380">
          <v:shape id="_x0000_i1058" type="#_x0000_t75" style="width:43.7pt;height:19.3pt" o:ole="">
            <v:imagedata r:id="rId71" o:title=""/>
          </v:shape>
          <o:OLEObject Type="Embed" ProgID="Equation.3" ShapeID="_x0000_i1058" DrawAspect="Content" ObjectID="_1507543405" r:id="rId72"/>
        </w:object>
      </w:r>
      <w:r w:rsidRPr="00A51255">
        <w:rPr>
          <w:lang w:val="en-US"/>
        </w:rPr>
        <w:t xml:space="preserve"> </w:t>
      </w:r>
      <w:r w:rsidRPr="00A51255">
        <w:rPr>
          <w:rFonts w:ascii="Arial" w:hAnsi="Arial" w:cs="Arial"/>
          <w:iCs/>
          <w:lang w:val="en-US"/>
        </w:rPr>
        <w:t xml:space="preserve">is introduced in the mean equation </w:t>
      </w:r>
      <w:r w:rsidR="00C65448">
        <w:rPr>
          <w:rFonts w:ascii="Arial" w:hAnsi="Arial" w:cs="Arial"/>
          <w:iCs/>
          <w:lang w:val="en-US"/>
        </w:rPr>
        <w:t>(</w:t>
      </w:r>
      <w:r>
        <w:rPr>
          <w:rFonts w:ascii="Arial" w:hAnsi="Arial" w:cs="Arial"/>
          <w:iCs/>
          <w:lang w:val="en-US"/>
        </w:rPr>
        <w:t>3)</w:t>
      </w:r>
      <w:r w:rsidRPr="00A51255">
        <w:rPr>
          <w:rFonts w:ascii="Arial" w:hAnsi="Arial" w:cs="Arial"/>
          <w:iCs/>
          <w:lang w:val="en-US"/>
        </w:rPr>
        <w:t xml:space="preserve"> following the same assumption that price and quantity in the foreign exchange market are determined jointly (so we do not assume independent random walks). </w:t>
      </w:r>
      <w:r w:rsidR="00C73EA0" w:rsidRPr="00A51255">
        <w:rPr>
          <w:rFonts w:ascii="Arial" w:hAnsi="Arial" w:cs="Arial"/>
          <w:lang w:val="en-US"/>
        </w:rPr>
        <w:t xml:space="preserve">In the </w:t>
      </w:r>
      <w:r w:rsidR="00C73EA0" w:rsidRPr="00A51255">
        <w:rPr>
          <w:rFonts w:ascii="Arial" w:hAnsi="Arial" w:cs="Arial"/>
          <w:iCs/>
          <w:lang w:val="en-US"/>
        </w:rPr>
        <w:t xml:space="preserve">conditional variance equation </w:t>
      </w:r>
      <w:r w:rsidR="00C65448">
        <w:rPr>
          <w:rFonts w:ascii="Arial" w:hAnsi="Arial" w:cs="Arial"/>
          <w:iCs/>
          <w:lang w:val="en-US"/>
        </w:rPr>
        <w:t>(</w:t>
      </w:r>
      <w:r w:rsidR="00C73EA0">
        <w:rPr>
          <w:rFonts w:ascii="Arial" w:hAnsi="Arial" w:cs="Arial"/>
          <w:iCs/>
          <w:lang w:val="en-US"/>
        </w:rPr>
        <w:t>4)</w:t>
      </w:r>
      <w:r w:rsidR="00C73EA0" w:rsidRPr="00A51255">
        <w:rPr>
          <w:rFonts w:ascii="Arial" w:hAnsi="Arial" w:cs="Arial"/>
          <w:iCs/>
          <w:lang w:val="en-US"/>
        </w:rPr>
        <w:t xml:space="preserve"> the lagged </w:t>
      </w:r>
      <w:r w:rsidR="00C73EA0" w:rsidRPr="00A51255">
        <w:rPr>
          <w:rFonts w:ascii="Arial" w:hAnsi="Arial" w:cs="Arial"/>
          <w:position w:val="-12"/>
          <w:lang w:val="en-US"/>
        </w:rPr>
        <w:object w:dxaOrig="840" w:dyaOrig="380">
          <v:shape id="_x0000_i1059" type="#_x0000_t75" style="width:43.7pt;height:19.3pt" o:ole="">
            <v:imagedata r:id="rId71" o:title=""/>
          </v:shape>
          <o:OLEObject Type="Embed" ProgID="Equation.3" ShapeID="_x0000_i1059" DrawAspect="Content" ObjectID="_1507543406" r:id="rId73"/>
        </w:object>
      </w:r>
      <w:r w:rsidR="00C73EA0" w:rsidRPr="00A51255">
        <w:rPr>
          <w:rFonts w:ascii="Arial" w:hAnsi="Arial" w:cs="Arial"/>
          <w:lang w:val="en-US"/>
        </w:rPr>
        <w:t xml:space="preserve"> is used to</w:t>
      </w:r>
      <w:r w:rsidR="00C73EA0" w:rsidRPr="00A51255">
        <w:rPr>
          <w:rFonts w:ascii="Arial" w:hAnsi="Arial" w:cs="Arial"/>
          <w:iCs/>
          <w:lang w:val="en-US"/>
        </w:rPr>
        <w:t xml:space="preserve"> avoid</w:t>
      </w:r>
      <w:r w:rsidR="00C73EA0">
        <w:rPr>
          <w:rFonts w:ascii="Arial" w:hAnsi="Arial" w:cs="Arial"/>
          <w:iCs/>
          <w:lang w:val="en-US"/>
        </w:rPr>
        <w:t xml:space="preserve"> any possible simultaneity bias</w:t>
      </w:r>
      <w:r w:rsidR="00C73EA0" w:rsidRPr="00A51255">
        <w:rPr>
          <w:rFonts w:ascii="Arial" w:hAnsi="Arial" w:cs="Arial"/>
          <w:iCs/>
          <w:lang w:val="en-US"/>
        </w:rPr>
        <w:t>.</w:t>
      </w:r>
    </w:p>
    <w:p w:rsidR="00AF03F7" w:rsidRPr="00A51255" w:rsidRDefault="00785033" w:rsidP="00785033">
      <w:pPr>
        <w:spacing w:line="480" w:lineRule="auto"/>
        <w:ind w:firstLine="708"/>
        <w:jc w:val="both"/>
        <w:rPr>
          <w:rFonts w:ascii="Arial" w:hAnsi="Arial" w:cs="Arial"/>
          <w:lang w:val="en-US"/>
        </w:rPr>
      </w:pPr>
      <w:r w:rsidRPr="00A51255">
        <w:rPr>
          <w:rFonts w:ascii="Arial" w:hAnsi="Arial" w:cs="Arial"/>
          <w:lang w:val="en-US"/>
        </w:rPr>
        <w:t xml:space="preserve">As </w:t>
      </w:r>
      <w:r w:rsidR="00B80F3E">
        <w:rPr>
          <w:rFonts w:ascii="Arial" w:hAnsi="Arial" w:cs="Arial"/>
          <w:lang w:val="en-US"/>
        </w:rPr>
        <w:t>previously</w:t>
      </w:r>
      <w:r w:rsidRPr="00A51255">
        <w:rPr>
          <w:rFonts w:ascii="Arial" w:hAnsi="Arial" w:cs="Arial"/>
          <w:lang w:val="en-US"/>
        </w:rPr>
        <w:t>, t</w:t>
      </w:r>
      <w:r w:rsidR="00AF03F7" w:rsidRPr="00A51255">
        <w:rPr>
          <w:rFonts w:ascii="Arial" w:hAnsi="Arial" w:cs="Arial"/>
          <w:lang w:val="en-US"/>
        </w:rPr>
        <w:t xml:space="preserve">he variable </w:t>
      </w:r>
      <w:r w:rsidR="00AF03F7" w:rsidRPr="00A51255">
        <w:rPr>
          <w:rFonts w:ascii="Arial" w:hAnsi="Arial" w:cs="Arial"/>
          <w:position w:val="-12"/>
          <w:lang w:val="en-US"/>
        </w:rPr>
        <w:object w:dxaOrig="999" w:dyaOrig="360">
          <v:shape id="_x0000_i1060" type="#_x0000_t75" style="width:55.3pt;height:19.3pt" o:ole="">
            <v:imagedata r:id="rId41" o:title=""/>
          </v:shape>
          <o:OLEObject Type="Embed" ProgID="Equation.3" ShapeID="_x0000_i1060" DrawAspect="Content" ObjectID="_1507543407" r:id="rId74"/>
        </w:object>
      </w:r>
      <w:r w:rsidR="00AF03F7" w:rsidRPr="00A51255">
        <w:rPr>
          <w:rFonts w:ascii="Arial" w:hAnsi="Arial" w:cs="Arial"/>
          <w:lang w:val="en-US"/>
        </w:rPr>
        <w:t xml:space="preserve"> is defined as </w:t>
      </w:r>
      <w:r w:rsidR="00572356">
        <w:rPr>
          <w:rFonts w:ascii="Arial" w:hAnsi="Arial" w:cs="Arial"/>
          <w:lang w:val="en-US"/>
        </w:rPr>
        <w:t xml:space="preserve">a </w:t>
      </w:r>
      <w:r w:rsidR="00AF03F7" w:rsidRPr="00A51255">
        <w:rPr>
          <w:rFonts w:ascii="Arial" w:hAnsi="Arial" w:cs="Arial"/>
          <w:lang w:val="en-US"/>
        </w:rPr>
        <w:t>daily percentage change of the PLN/USD foreign exchange volume of trade. The original trading volume data were extracted directly from Reuters electronic brokerage platform for currency trading.</w:t>
      </w:r>
    </w:p>
    <w:p w:rsidR="00B25E8C" w:rsidRPr="00A51255" w:rsidRDefault="00B25E8C" w:rsidP="00B25E8C">
      <w:pPr>
        <w:spacing w:line="480" w:lineRule="auto"/>
        <w:ind w:firstLine="708"/>
        <w:jc w:val="both"/>
        <w:rPr>
          <w:rFonts w:ascii="Arial" w:hAnsi="Arial" w:cs="Arial"/>
          <w:lang w:val="en-US"/>
        </w:rPr>
      </w:pPr>
      <w:r w:rsidRPr="00A51255">
        <w:rPr>
          <w:rFonts w:ascii="Arial" w:hAnsi="Arial" w:cs="Arial"/>
          <w:lang w:val="en-US"/>
        </w:rPr>
        <w:t>Figure 5 plots the volume of trade of the PLN/USD foreign exchange rate.</w:t>
      </w:r>
    </w:p>
    <w:p w:rsidR="00B25E8C" w:rsidRPr="00A51255" w:rsidRDefault="00B25E8C" w:rsidP="00B25E8C">
      <w:pPr>
        <w:spacing w:line="480" w:lineRule="auto"/>
        <w:ind w:firstLine="708"/>
        <w:jc w:val="both"/>
        <w:rPr>
          <w:rFonts w:ascii="Arial" w:hAnsi="Arial" w:cs="Arial"/>
          <w:lang w:val="en-US"/>
        </w:rPr>
      </w:pPr>
    </w:p>
    <w:p w:rsidR="002E4D2F" w:rsidRDefault="00B25E8C" w:rsidP="00CE4D1B">
      <w:pPr>
        <w:spacing w:line="480" w:lineRule="auto"/>
        <w:jc w:val="center"/>
        <w:rPr>
          <w:rFonts w:ascii="Arial" w:hAnsi="Arial" w:cs="Arial"/>
          <w:i/>
          <w:lang w:val="en-US"/>
        </w:rPr>
      </w:pPr>
      <w:r w:rsidRPr="00A51255">
        <w:rPr>
          <w:rFonts w:ascii="Arial" w:hAnsi="Arial" w:cs="Arial"/>
          <w:i/>
          <w:lang w:val="en-US"/>
        </w:rPr>
        <w:t>[Figure 5 around here]</w:t>
      </w:r>
    </w:p>
    <w:p w:rsidR="00A748C5" w:rsidRDefault="00300440" w:rsidP="00A748C5">
      <w:pPr>
        <w:rPr>
          <w:rFonts w:ascii="Arial" w:hAnsi="Arial" w:cs="Arial"/>
          <w:i/>
          <w:lang w:val="en-US"/>
        </w:rPr>
      </w:pPr>
      <w:r>
        <w:rPr>
          <w:rFonts w:ascii="Arial" w:hAnsi="Arial" w:cs="Arial"/>
          <w:i/>
          <w:lang w:val="en-US"/>
        </w:rPr>
        <w:br w:type="page"/>
      </w:r>
    </w:p>
    <w:p w:rsidR="00A748C5" w:rsidRDefault="00A748C5" w:rsidP="00A748C5">
      <w:pPr>
        <w:rPr>
          <w:rFonts w:ascii="Arial" w:hAnsi="Arial" w:cs="Arial"/>
          <w:i/>
          <w:lang w:val="en-US"/>
        </w:rPr>
      </w:pPr>
    </w:p>
    <w:p w:rsidR="00A748C5" w:rsidRDefault="00A748C5" w:rsidP="00A748C5">
      <w:pPr>
        <w:rPr>
          <w:rFonts w:ascii="Arial" w:hAnsi="Arial" w:cs="Arial"/>
          <w:i/>
          <w:lang w:val="en-US"/>
        </w:rPr>
      </w:pPr>
    </w:p>
    <w:p w:rsidR="00962DA7" w:rsidRDefault="00D21E62" w:rsidP="004A2720">
      <w:pPr>
        <w:ind w:firstLine="708"/>
        <w:rPr>
          <w:rFonts w:ascii="Arial" w:hAnsi="Arial" w:cs="Arial"/>
          <w:b/>
          <w:lang w:val="en-US"/>
        </w:rPr>
      </w:pPr>
      <w:r>
        <w:rPr>
          <w:rFonts w:ascii="Arial" w:hAnsi="Arial" w:cs="Arial"/>
          <w:b/>
          <w:lang w:val="en-US"/>
        </w:rPr>
        <w:t>4</w:t>
      </w:r>
      <w:r w:rsidR="00FA447C" w:rsidRPr="00A51255">
        <w:rPr>
          <w:rFonts w:ascii="Arial" w:hAnsi="Arial" w:cs="Arial"/>
          <w:b/>
          <w:lang w:val="en-US"/>
        </w:rPr>
        <w:t>. Empirical Results</w:t>
      </w:r>
    </w:p>
    <w:p w:rsidR="00E70C0B" w:rsidRPr="00A51255" w:rsidRDefault="00E70C0B" w:rsidP="00FE4560">
      <w:pPr>
        <w:spacing w:line="480" w:lineRule="auto"/>
        <w:jc w:val="both"/>
        <w:rPr>
          <w:rFonts w:ascii="Arial" w:hAnsi="Arial" w:cs="Arial"/>
          <w:b/>
          <w:lang w:val="en-US"/>
        </w:rPr>
      </w:pPr>
    </w:p>
    <w:p w:rsidR="000A683A" w:rsidRDefault="005433EF" w:rsidP="00D96001">
      <w:pPr>
        <w:spacing w:line="480" w:lineRule="auto"/>
        <w:ind w:firstLine="708"/>
        <w:jc w:val="both"/>
        <w:rPr>
          <w:rFonts w:ascii="Arial" w:hAnsi="Arial" w:cs="Arial"/>
          <w:lang w:val="en-US"/>
        </w:rPr>
      </w:pPr>
      <w:r w:rsidRPr="0034698F">
        <w:rPr>
          <w:rFonts w:ascii="Arial" w:hAnsi="Arial" w:cs="Arial"/>
          <w:lang w:val="en-US"/>
        </w:rPr>
        <w:t xml:space="preserve">In this section, we describe </w:t>
      </w:r>
      <w:r w:rsidR="004409FC" w:rsidRPr="0034698F">
        <w:rPr>
          <w:rFonts w:ascii="Arial" w:hAnsi="Arial" w:cs="Arial"/>
          <w:lang w:val="en-US"/>
        </w:rPr>
        <w:t xml:space="preserve">the </w:t>
      </w:r>
      <w:r w:rsidRPr="0034698F">
        <w:rPr>
          <w:rFonts w:ascii="Arial" w:hAnsi="Arial" w:cs="Arial"/>
          <w:lang w:val="en-US"/>
        </w:rPr>
        <w:t>data</w:t>
      </w:r>
      <w:r w:rsidR="004409FC" w:rsidRPr="0034698F">
        <w:rPr>
          <w:rFonts w:ascii="Arial" w:hAnsi="Arial" w:cs="Arial"/>
          <w:lang w:val="en-US"/>
        </w:rPr>
        <w:t>set</w:t>
      </w:r>
      <w:r w:rsidR="00F81AD8">
        <w:rPr>
          <w:rFonts w:ascii="Arial" w:hAnsi="Arial" w:cs="Arial"/>
          <w:lang w:val="en-US"/>
        </w:rPr>
        <w:t>, the</w:t>
      </w:r>
      <w:r w:rsidRPr="0034698F">
        <w:rPr>
          <w:rFonts w:ascii="Arial" w:hAnsi="Arial" w:cs="Arial"/>
          <w:lang w:val="en-US"/>
        </w:rPr>
        <w:t xml:space="preserve"> </w:t>
      </w:r>
      <w:r w:rsidR="004409FC" w:rsidRPr="0034698F">
        <w:rPr>
          <w:rFonts w:ascii="Arial" w:hAnsi="Arial" w:cs="Arial"/>
          <w:lang w:val="en-US"/>
        </w:rPr>
        <w:t>sample period</w:t>
      </w:r>
      <w:r w:rsidR="00572356">
        <w:rPr>
          <w:rFonts w:ascii="Arial" w:hAnsi="Arial" w:cs="Arial"/>
          <w:lang w:val="en-US"/>
        </w:rPr>
        <w:t>,</w:t>
      </w:r>
      <w:r w:rsidR="004409FC" w:rsidRPr="0034698F">
        <w:rPr>
          <w:rFonts w:ascii="Arial" w:hAnsi="Arial" w:cs="Arial"/>
          <w:lang w:val="en-US"/>
        </w:rPr>
        <w:t xml:space="preserve"> and</w:t>
      </w:r>
      <w:r w:rsidR="00857208">
        <w:rPr>
          <w:rFonts w:ascii="Arial" w:hAnsi="Arial" w:cs="Arial"/>
          <w:lang w:val="en-US"/>
        </w:rPr>
        <w:t xml:space="preserve"> </w:t>
      </w:r>
      <w:r w:rsidR="004409FC" w:rsidRPr="0034698F">
        <w:rPr>
          <w:rFonts w:ascii="Arial" w:hAnsi="Arial" w:cs="Arial"/>
          <w:lang w:val="en-US"/>
        </w:rPr>
        <w:t xml:space="preserve">present empirical </w:t>
      </w:r>
      <w:r w:rsidR="004409FC" w:rsidRPr="002C1F22">
        <w:rPr>
          <w:rFonts w:ascii="Arial" w:hAnsi="Arial" w:cs="Arial"/>
          <w:lang w:val="en-US"/>
        </w:rPr>
        <w:t>re</w:t>
      </w:r>
      <w:r w:rsidR="008A51BD" w:rsidRPr="002C1F22">
        <w:rPr>
          <w:rFonts w:ascii="Arial" w:hAnsi="Arial" w:cs="Arial"/>
          <w:lang w:val="en-US"/>
        </w:rPr>
        <w:t>sults. W</w:t>
      </w:r>
      <w:r w:rsidR="004409FC" w:rsidRPr="002C1F22">
        <w:rPr>
          <w:rFonts w:ascii="Arial" w:hAnsi="Arial" w:cs="Arial"/>
          <w:lang w:val="en-US"/>
        </w:rPr>
        <w:t>e first present estimates</w:t>
      </w:r>
      <w:r w:rsidR="004409FC" w:rsidRPr="0034698F">
        <w:rPr>
          <w:rFonts w:ascii="Arial" w:hAnsi="Arial" w:cs="Arial"/>
          <w:lang w:val="en-US"/>
        </w:rPr>
        <w:t xml:space="preserve"> for the </w:t>
      </w:r>
      <w:r w:rsidR="00A50EDF" w:rsidRPr="0034698F">
        <w:rPr>
          <w:rFonts w:ascii="Arial" w:hAnsi="Arial" w:cs="Arial"/>
          <w:lang w:val="en-US"/>
        </w:rPr>
        <w:t xml:space="preserve">mean equations followed by </w:t>
      </w:r>
      <w:r w:rsidR="004409FC" w:rsidRPr="0034698F">
        <w:rPr>
          <w:rFonts w:ascii="Arial" w:hAnsi="Arial" w:cs="Arial"/>
          <w:lang w:val="en-US"/>
        </w:rPr>
        <w:t>those of the</w:t>
      </w:r>
      <w:r w:rsidR="00A50EDF" w:rsidRPr="0034698F">
        <w:rPr>
          <w:rFonts w:ascii="Arial" w:hAnsi="Arial" w:cs="Arial"/>
          <w:lang w:val="en-US"/>
        </w:rPr>
        <w:t xml:space="preserve"> conditional variance equations.</w:t>
      </w:r>
      <w:r w:rsidR="002B2AB5">
        <w:rPr>
          <w:rFonts w:ascii="Arial" w:hAnsi="Arial" w:cs="Arial"/>
          <w:lang w:val="en-US"/>
        </w:rPr>
        <w:t xml:space="preserve"> </w:t>
      </w:r>
      <w:r w:rsidR="004409FC" w:rsidRPr="00D96001">
        <w:rPr>
          <w:rFonts w:ascii="Arial" w:hAnsi="Arial" w:cs="Arial"/>
          <w:lang w:val="en-US"/>
        </w:rPr>
        <w:t xml:space="preserve">We initially focus the discussion on money supply announcements followed by </w:t>
      </w:r>
      <w:r w:rsidR="00990459" w:rsidRPr="00D96001">
        <w:rPr>
          <w:rFonts w:ascii="Arial" w:hAnsi="Arial" w:cs="Arial"/>
          <w:lang w:val="en-US"/>
        </w:rPr>
        <w:t xml:space="preserve">a discussion of findings for </w:t>
      </w:r>
      <w:r w:rsidR="004409FC" w:rsidRPr="00D96001">
        <w:rPr>
          <w:rFonts w:ascii="Arial" w:hAnsi="Arial" w:cs="Arial"/>
          <w:lang w:val="en-US"/>
        </w:rPr>
        <w:t xml:space="preserve">the remaining </w:t>
      </w:r>
      <w:r w:rsidR="00D96001">
        <w:rPr>
          <w:rFonts w:ascii="Arial" w:hAnsi="Arial" w:cs="Arial"/>
          <w:lang w:val="en-US"/>
        </w:rPr>
        <w:t xml:space="preserve">three </w:t>
      </w:r>
      <w:r w:rsidR="004409FC" w:rsidRPr="00D96001">
        <w:rPr>
          <w:rFonts w:ascii="Arial" w:hAnsi="Arial" w:cs="Arial"/>
          <w:lang w:val="en-US"/>
        </w:rPr>
        <w:t>announcements</w:t>
      </w:r>
      <w:r w:rsidR="00D96001">
        <w:rPr>
          <w:rFonts w:ascii="Arial" w:hAnsi="Arial" w:cs="Arial"/>
          <w:lang w:val="en-US"/>
        </w:rPr>
        <w:t xml:space="preserve"> types</w:t>
      </w:r>
      <w:r w:rsidR="004409FC" w:rsidRPr="00D96001">
        <w:rPr>
          <w:rFonts w:ascii="Arial" w:hAnsi="Arial" w:cs="Arial"/>
          <w:lang w:val="en-US"/>
        </w:rPr>
        <w:t xml:space="preserve">. </w:t>
      </w:r>
    </w:p>
    <w:p w:rsidR="009B73D1" w:rsidRDefault="009B73D1" w:rsidP="000A683A">
      <w:pPr>
        <w:spacing w:line="480" w:lineRule="auto"/>
        <w:ind w:firstLine="708"/>
        <w:jc w:val="both"/>
        <w:rPr>
          <w:rFonts w:ascii="Arial" w:hAnsi="Arial" w:cs="Arial"/>
          <w:lang w:val="en-US"/>
        </w:rPr>
      </w:pPr>
    </w:p>
    <w:p w:rsidR="00B52F8C" w:rsidRPr="00A51255" w:rsidRDefault="00D21E62" w:rsidP="000A683A">
      <w:pPr>
        <w:spacing w:line="480" w:lineRule="auto"/>
        <w:ind w:firstLine="708"/>
        <w:jc w:val="both"/>
        <w:rPr>
          <w:rFonts w:ascii="Arial" w:hAnsi="Arial" w:cs="Arial"/>
          <w:lang w:val="en-US"/>
        </w:rPr>
      </w:pPr>
      <w:r>
        <w:rPr>
          <w:rFonts w:ascii="Arial" w:hAnsi="Arial" w:cs="Arial"/>
          <w:b/>
          <w:lang w:val="en-US"/>
        </w:rPr>
        <w:t>4</w:t>
      </w:r>
      <w:r w:rsidR="00B305A1" w:rsidRPr="00A51255">
        <w:rPr>
          <w:rFonts w:ascii="Arial" w:hAnsi="Arial" w:cs="Arial"/>
          <w:b/>
          <w:lang w:val="en-US"/>
        </w:rPr>
        <w:t>.</w:t>
      </w:r>
      <w:r w:rsidR="00FA447C" w:rsidRPr="00A51255">
        <w:rPr>
          <w:rFonts w:ascii="Arial" w:hAnsi="Arial" w:cs="Arial"/>
          <w:b/>
          <w:lang w:val="en-US"/>
        </w:rPr>
        <w:t>1. Data and Descriptive Statistics</w:t>
      </w:r>
    </w:p>
    <w:p w:rsidR="00135A25" w:rsidRPr="00550D1F" w:rsidRDefault="00135A25" w:rsidP="00135A25">
      <w:pPr>
        <w:spacing w:line="480" w:lineRule="auto"/>
        <w:ind w:firstLine="708"/>
        <w:jc w:val="both"/>
        <w:rPr>
          <w:rFonts w:ascii="Arial" w:hAnsi="Arial" w:cs="Arial"/>
          <w:lang w:val="en-US"/>
        </w:rPr>
      </w:pPr>
      <w:r w:rsidRPr="00550D1F">
        <w:rPr>
          <w:rFonts w:ascii="Arial" w:hAnsi="Arial" w:cs="Arial"/>
          <w:lang w:val="en-US"/>
        </w:rPr>
        <w:t xml:space="preserve">In this paper, we utilize the information about the announcements of the Council’s meetings during 1999-2003 obtained from the NBP. The Council typically </w:t>
      </w:r>
      <w:r w:rsidR="00572356">
        <w:rPr>
          <w:rFonts w:ascii="Arial" w:hAnsi="Arial" w:cs="Arial"/>
          <w:lang w:val="en-US"/>
        </w:rPr>
        <w:t xml:space="preserve">meets </w:t>
      </w:r>
      <w:r w:rsidRPr="00550D1F">
        <w:rPr>
          <w:rFonts w:ascii="Arial" w:hAnsi="Arial" w:cs="Arial"/>
          <w:lang w:val="en-US"/>
        </w:rPr>
        <w:t xml:space="preserve">twice a month and makes announcements </w:t>
      </w:r>
      <w:r w:rsidR="00572356">
        <w:rPr>
          <w:rFonts w:ascii="Arial" w:hAnsi="Arial" w:cs="Arial"/>
          <w:lang w:val="en-US"/>
        </w:rPr>
        <w:t>in a number of areas</w:t>
      </w:r>
      <w:r w:rsidR="00E046BE">
        <w:rPr>
          <w:rFonts w:ascii="Arial" w:hAnsi="Arial" w:cs="Arial"/>
          <w:lang w:val="en-US"/>
        </w:rPr>
        <w:t>, such as</w:t>
      </w:r>
      <w:r w:rsidRPr="00550D1F">
        <w:rPr>
          <w:rFonts w:ascii="Arial" w:hAnsi="Arial" w:cs="Arial"/>
          <w:lang w:val="en-US"/>
        </w:rPr>
        <w:t>: Money Supply (</w:t>
      </w:r>
      <w:r w:rsidRPr="00550D1F">
        <w:rPr>
          <w:i/>
          <w:lang w:val="en-US"/>
        </w:rPr>
        <w:t>MS</w:t>
      </w:r>
      <w:r w:rsidRPr="00550D1F">
        <w:rPr>
          <w:rFonts w:ascii="Arial" w:hAnsi="Arial" w:cs="Arial"/>
          <w:lang w:val="en-US"/>
        </w:rPr>
        <w:t>) and Reserve Money (</w:t>
      </w:r>
      <w:r w:rsidRPr="00550D1F">
        <w:rPr>
          <w:i/>
          <w:lang w:val="en-US"/>
        </w:rPr>
        <w:t>RM</w:t>
      </w:r>
      <w:r w:rsidRPr="00550D1F">
        <w:rPr>
          <w:rFonts w:ascii="Arial" w:hAnsi="Arial" w:cs="Arial"/>
          <w:lang w:val="en-US"/>
        </w:rPr>
        <w:t>), Balance of Payments (</w:t>
      </w:r>
      <w:r w:rsidRPr="00550D1F">
        <w:rPr>
          <w:i/>
          <w:lang w:val="en-US"/>
        </w:rPr>
        <w:t>BOP</w:t>
      </w:r>
      <w:r w:rsidRPr="00550D1F">
        <w:rPr>
          <w:rFonts w:ascii="Arial" w:hAnsi="Arial" w:cs="Arial"/>
          <w:lang w:val="en-US"/>
        </w:rPr>
        <w:t>), Official Reserves (</w:t>
      </w:r>
      <w:r w:rsidRPr="00550D1F">
        <w:rPr>
          <w:i/>
          <w:lang w:val="en-US"/>
        </w:rPr>
        <w:t>OFRES</w:t>
      </w:r>
      <w:r w:rsidRPr="00550D1F">
        <w:rPr>
          <w:rFonts w:ascii="Arial" w:hAnsi="Arial" w:cs="Arial"/>
          <w:lang w:val="en-US"/>
        </w:rPr>
        <w:t>), Liquid Assets and Liabilities in Foreign Currencies (</w:t>
      </w:r>
      <w:r w:rsidRPr="00550D1F">
        <w:rPr>
          <w:i/>
          <w:lang w:val="en-US"/>
        </w:rPr>
        <w:t>AL</w:t>
      </w:r>
      <w:r w:rsidRPr="00550D1F">
        <w:rPr>
          <w:rFonts w:ascii="Arial" w:hAnsi="Arial" w:cs="Arial"/>
          <w:lang w:val="en-US"/>
        </w:rPr>
        <w:t>), Foreign Debt (</w:t>
      </w:r>
      <w:r w:rsidRPr="00550D1F">
        <w:rPr>
          <w:i/>
          <w:lang w:val="en-US"/>
        </w:rPr>
        <w:t>FDEBT</w:t>
      </w:r>
      <w:r w:rsidRPr="00550D1F">
        <w:rPr>
          <w:rFonts w:ascii="Arial" w:hAnsi="Arial" w:cs="Arial"/>
          <w:lang w:val="en-US"/>
        </w:rPr>
        <w:t>) and International Investment Position (</w:t>
      </w:r>
      <w:r w:rsidRPr="00550D1F">
        <w:rPr>
          <w:i/>
          <w:lang w:val="en-US"/>
        </w:rPr>
        <w:t>IIP</w:t>
      </w:r>
      <w:r w:rsidRPr="00550D1F">
        <w:rPr>
          <w:rFonts w:ascii="Arial" w:hAnsi="Arial" w:cs="Arial"/>
          <w:lang w:val="en-US"/>
        </w:rPr>
        <w:t>)</w:t>
      </w:r>
      <w:r w:rsidR="00444E65" w:rsidRPr="00550D1F">
        <w:rPr>
          <w:rFonts w:ascii="Arial" w:hAnsi="Arial" w:cs="Arial"/>
          <w:lang w:val="en-US"/>
        </w:rPr>
        <w:t xml:space="preserve"> (See Table 1</w:t>
      </w:r>
      <w:r w:rsidR="002B3241" w:rsidRPr="00550D1F">
        <w:rPr>
          <w:rFonts w:ascii="Arial" w:hAnsi="Arial" w:cs="Arial"/>
          <w:lang w:val="en-US"/>
        </w:rPr>
        <w:t>a</w:t>
      </w:r>
      <w:r w:rsidR="00444E65" w:rsidRPr="00550D1F">
        <w:rPr>
          <w:rFonts w:ascii="Arial" w:hAnsi="Arial" w:cs="Arial"/>
          <w:lang w:val="en-US"/>
        </w:rPr>
        <w:t>)</w:t>
      </w:r>
      <w:r w:rsidRPr="00550D1F">
        <w:rPr>
          <w:rFonts w:ascii="Arial" w:hAnsi="Arial" w:cs="Arial"/>
          <w:lang w:val="en-US"/>
        </w:rPr>
        <w:t xml:space="preserve">. These announcements are data about </w:t>
      </w:r>
      <w:r w:rsidR="00572356">
        <w:rPr>
          <w:rFonts w:ascii="Arial" w:hAnsi="Arial" w:cs="Arial"/>
          <w:lang w:val="en-US"/>
        </w:rPr>
        <w:t xml:space="preserve">the </w:t>
      </w:r>
      <w:r w:rsidRPr="00550D1F">
        <w:rPr>
          <w:rFonts w:ascii="Arial" w:hAnsi="Arial" w:cs="Arial"/>
          <w:lang w:val="en-US"/>
        </w:rPr>
        <w:t xml:space="preserve">publication of actual new monetary figures (i.e. they are not targets or forecasts). Our analysis relies on the information, obtained directly from the Polish central bank, about </w:t>
      </w:r>
      <w:r w:rsidR="00572356">
        <w:rPr>
          <w:rFonts w:ascii="Arial" w:hAnsi="Arial" w:cs="Arial"/>
          <w:lang w:val="en-US"/>
        </w:rPr>
        <w:t>the</w:t>
      </w:r>
      <w:r w:rsidRPr="00550D1F">
        <w:rPr>
          <w:rFonts w:ascii="Arial" w:hAnsi="Arial" w:cs="Arial"/>
          <w:lang w:val="en-US"/>
        </w:rPr>
        <w:t xml:space="preserve"> exact time of the day when the announcements were made.</w:t>
      </w:r>
      <w:r w:rsidRPr="00550D1F">
        <w:rPr>
          <w:rStyle w:val="FootnoteReference"/>
          <w:rFonts w:ascii="Arial" w:hAnsi="Arial" w:cs="Arial"/>
          <w:lang w:val="en-US"/>
        </w:rPr>
        <w:footnoteReference w:id="14"/>
      </w:r>
      <w:r w:rsidRPr="00550D1F">
        <w:rPr>
          <w:rFonts w:ascii="Arial" w:hAnsi="Arial" w:cs="Arial"/>
          <w:lang w:val="en-US"/>
        </w:rPr>
        <w:t xml:space="preserve"> </w:t>
      </w:r>
    </w:p>
    <w:p w:rsidR="00135A25" w:rsidRPr="00550D1F" w:rsidRDefault="00135A25" w:rsidP="00135A25">
      <w:pPr>
        <w:spacing w:line="480" w:lineRule="auto"/>
        <w:ind w:firstLine="708"/>
        <w:jc w:val="both"/>
        <w:rPr>
          <w:rFonts w:ascii="Arial" w:hAnsi="Arial" w:cs="Arial"/>
          <w:lang w:val="en-US"/>
        </w:rPr>
      </w:pPr>
    </w:p>
    <w:p w:rsidR="00135A25" w:rsidRPr="00550D1F" w:rsidRDefault="00135A25" w:rsidP="00135A25">
      <w:pPr>
        <w:spacing w:line="480" w:lineRule="auto"/>
        <w:jc w:val="center"/>
        <w:rPr>
          <w:rFonts w:ascii="Arial" w:hAnsi="Arial" w:cs="Arial"/>
          <w:i/>
          <w:lang w:val="en-US"/>
        </w:rPr>
      </w:pPr>
      <w:r w:rsidRPr="00550D1F">
        <w:rPr>
          <w:rFonts w:ascii="Arial" w:hAnsi="Arial" w:cs="Arial"/>
          <w:i/>
          <w:lang w:val="en-US"/>
        </w:rPr>
        <w:t>[Table 1</w:t>
      </w:r>
      <w:r w:rsidR="002B3241" w:rsidRPr="00550D1F">
        <w:rPr>
          <w:rFonts w:ascii="Arial" w:hAnsi="Arial" w:cs="Arial"/>
          <w:i/>
          <w:lang w:val="en-US"/>
        </w:rPr>
        <w:t>a</w:t>
      </w:r>
      <w:r w:rsidRPr="00550D1F">
        <w:rPr>
          <w:rFonts w:ascii="Arial" w:hAnsi="Arial" w:cs="Arial"/>
          <w:i/>
          <w:lang w:val="en-US"/>
        </w:rPr>
        <w:t xml:space="preserve"> around here]</w:t>
      </w:r>
    </w:p>
    <w:p w:rsidR="00135A25" w:rsidRPr="00550D1F" w:rsidRDefault="00135A25" w:rsidP="00135A25">
      <w:pPr>
        <w:spacing w:line="480" w:lineRule="auto"/>
        <w:ind w:firstLine="708"/>
        <w:jc w:val="both"/>
        <w:rPr>
          <w:rFonts w:ascii="Arial" w:hAnsi="Arial" w:cs="Arial"/>
          <w:i/>
          <w:lang w:val="en-US"/>
        </w:rPr>
      </w:pPr>
    </w:p>
    <w:p w:rsidR="00135A25" w:rsidRPr="00550D1F" w:rsidRDefault="00135A25" w:rsidP="00135A25">
      <w:pPr>
        <w:spacing w:line="480" w:lineRule="auto"/>
        <w:ind w:firstLine="708"/>
        <w:jc w:val="both"/>
        <w:rPr>
          <w:rFonts w:ascii="Arial" w:hAnsi="Arial" w:cs="Arial"/>
          <w:lang w:val="en-US"/>
        </w:rPr>
      </w:pPr>
      <w:r w:rsidRPr="00550D1F">
        <w:rPr>
          <w:rFonts w:ascii="Arial" w:hAnsi="Arial" w:cs="Arial"/>
          <w:lang w:val="en-US"/>
        </w:rPr>
        <w:t>The announcements for Official Reserves and the Reserve Money were always made on the same day, so we used only one of the</w:t>
      </w:r>
      <w:r w:rsidR="00572356">
        <w:rPr>
          <w:rFonts w:ascii="Arial" w:hAnsi="Arial" w:cs="Arial"/>
          <w:lang w:val="en-US"/>
        </w:rPr>
        <w:t>se</w:t>
      </w:r>
      <w:r w:rsidRPr="00550D1F">
        <w:rPr>
          <w:rFonts w:ascii="Arial" w:hAnsi="Arial" w:cs="Arial"/>
          <w:lang w:val="en-US"/>
        </w:rPr>
        <w:t xml:space="preserve"> (</w:t>
      </w:r>
      <w:r w:rsidRPr="00550D1F">
        <w:rPr>
          <w:i/>
          <w:lang w:val="en-US"/>
        </w:rPr>
        <w:t>RM</w:t>
      </w:r>
      <w:r w:rsidRPr="00550D1F">
        <w:rPr>
          <w:rFonts w:ascii="Arial" w:hAnsi="Arial" w:cs="Arial"/>
          <w:lang w:val="en-US"/>
        </w:rPr>
        <w:t xml:space="preserve">) for both those types of news. The </w:t>
      </w:r>
      <w:r w:rsidRPr="00550D1F">
        <w:rPr>
          <w:i/>
          <w:lang w:val="en-US"/>
        </w:rPr>
        <w:t>IIP</w:t>
      </w:r>
      <w:r w:rsidRPr="00550D1F">
        <w:rPr>
          <w:rFonts w:ascii="Arial" w:hAnsi="Arial" w:cs="Arial"/>
          <w:lang w:val="en-US"/>
        </w:rPr>
        <w:t xml:space="preserve"> dummy had only one announcement in the analyzed period of time (and it was the last observation in the sample), so we removed it from our analysis. The publication of data </w:t>
      </w:r>
      <w:r w:rsidRPr="00550D1F">
        <w:rPr>
          <w:rFonts w:ascii="Arial" w:hAnsi="Arial" w:cs="Arial"/>
          <w:lang w:val="en-US"/>
        </w:rPr>
        <w:lastRenderedPageBreak/>
        <w:t>about Foreign Debt (</w:t>
      </w:r>
      <w:r w:rsidRPr="00550D1F">
        <w:rPr>
          <w:i/>
          <w:lang w:val="en-US"/>
        </w:rPr>
        <w:t>FDEBT</w:t>
      </w:r>
      <w:r w:rsidRPr="00550D1F">
        <w:rPr>
          <w:rFonts w:ascii="Arial" w:hAnsi="Arial" w:cs="Arial"/>
          <w:lang w:val="en-US"/>
        </w:rPr>
        <w:t>) began in the second quarter</w:t>
      </w:r>
      <w:r w:rsidR="00572356">
        <w:rPr>
          <w:rFonts w:ascii="Arial" w:hAnsi="Arial" w:cs="Arial"/>
          <w:lang w:val="en-US"/>
        </w:rPr>
        <w:t xml:space="preserve"> of</w:t>
      </w:r>
      <w:r w:rsidRPr="00550D1F">
        <w:rPr>
          <w:rFonts w:ascii="Arial" w:hAnsi="Arial" w:cs="Arial"/>
          <w:lang w:val="en-US"/>
        </w:rPr>
        <w:t xml:space="preserve"> 2002</w:t>
      </w:r>
      <w:r w:rsidR="00572356">
        <w:rPr>
          <w:rFonts w:ascii="Arial" w:hAnsi="Arial" w:cs="Arial"/>
          <w:lang w:val="en-US"/>
        </w:rPr>
        <w:t>,</w:t>
      </w:r>
      <w:r w:rsidRPr="00550D1F">
        <w:rPr>
          <w:rFonts w:ascii="Arial" w:hAnsi="Arial" w:cs="Arial"/>
          <w:lang w:val="en-US"/>
        </w:rPr>
        <w:t xml:space="preserve"> and contained only 5 observations in our whole sample period, so we did not use it in our analysis either. Regular announcements for the quarterly Balance of Payments started only after the end of our sample, so we did not consider this variable as our dummy, but we could use monthly Balance of Payments (</w:t>
      </w:r>
      <w:r w:rsidRPr="00550D1F">
        <w:rPr>
          <w:i/>
          <w:lang w:val="en-US"/>
        </w:rPr>
        <w:t>BOP</w:t>
      </w:r>
      <w:r w:rsidRPr="00550D1F">
        <w:rPr>
          <w:rFonts w:ascii="Arial" w:hAnsi="Arial" w:cs="Arial"/>
          <w:lang w:val="en-US"/>
        </w:rPr>
        <w:t xml:space="preserve">), which had been released on </w:t>
      </w:r>
      <w:r w:rsidR="00572356">
        <w:rPr>
          <w:rFonts w:ascii="Arial" w:hAnsi="Arial" w:cs="Arial"/>
          <w:lang w:val="en-US"/>
        </w:rPr>
        <w:t>a</w:t>
      </w:r>
      <w:r w:rsidRPr="00550D1F">
        <w:rPr>
          <w:rFonts w:ascii="Arial" w:hAnsi="Arial" w:cs="Arial"/>
          <w:lang w:val="en-US"/>
        </w:rPr>
        <w:t xml:space="preserve"> regular basis every month. All other data were based on very regular, monthly frequency, announcements in the investigated data sample. In total, our sample covers 150 individual announcements made by the Polish central bank NBP. Table 1</w:t>
      </w:r>
      <w:r w:rsidR="008D298F" w:rsidRPr="00550D1F">
        <w:rPr>
          <w:rFonts w:ascii="Arial" w:hAnsi="Arial" w:cs="Arial"/>
          <w:lang w:val="en-US"/>
        </w:rPr>
        <w:t>a</w:t>
      </w:r>
      <w:r w:rsidRPr="00550D1F">
        <w:rPr>
          <w:rFonts w:ascii="Arial" w:hAnsi="Arial" w:cs="Arial"/>
          <w:lang w:val="en-US"/>
        </w:rPr>
        <w:t xml:space="preserve"> provides a detailed summary of all the types of announcements used in this study.  </w:t>
      </w:r>
    </w:p>
    <w:p w:rsidR="00523657" w:rsidRPr="006C3C96" w:rsidRDefault="00135A25" w:rsidP="00913524">
      <w:pPr>
        <w:spacing w:line="480" w:lineRule="auto"/>
        <w:ind w:firstLine="708"/>
        <w:jc w:val="both"/>
        <w:rPr>
          <w:rFonts w:ascii="Arial" w:hAnsi="Arial" w:cs="Arial"/>
          <w:lang w:val="en-US"/>
        </w:rPr>
      </w:pPr>
      <w:r w:rsidRPr="00550D1F">
        <w:rPr>
          <w:rFonts w:ascii="Arial" w:hAnsi="Arial" w:cs="Arial"/>
          <w:lang w:val="en-US"/>
        </w:rPr>
        <w:t>It is well known that investors react to only new or surprise information. However, since no information about actual expectations regarding the NBP announcements figures for the period of our analysis is available (from, for example, surveys), we could not use any such data in this study to define the unexpected announcements.</w:t>
      </w:r>
      <w:r w:rsidRPr="00550D1F">
        <w:rPr>
          <w:rStyle w:val="FootnoteReference"/>
          <w:rFonts w:ascii="Arial" w:hAnsi="Arial" w:cs="Arial"/>
        </w:rPr>
        <w:footnoteReference w:id="15"/>
      </w:r>
      <w:r w:rsidR="00836C52">
        <w:rPr>
          <w:rFonts w:ascii="Arial" w:hAnsi="Arial" w:cs="Arial"/>
          <w:lang w:val="en-US"/>
        </w:rPr>
        <w:t xml:space="preserve"> Hence, we constructed </w:t>
      </w:r>
      <w:r w:rsidRPr="00550D1F">
        <w:rPr>
          <w:rFonts w:ascii="Arial" w:hAnsi="Arial" w:cs="Arial"/>
          <w:lang w:val="en-US"/>
        </w:rPr>
        <w:t>surprise annou</w:t>
      </w:r>
      <w:r w:rsidR="00836C52">
        <w:rPr>
          <w:rFonts w:ascii="Arial" w:hAnsi="Arial" w:cs="Arial"/>
          <w:lang w:val="en-US"/>
        </w:rPr>
        <w:t>ncements in this paper by determining</w:t>
      </w:r>
      <w:r w:rsidRPr="00550D1F">
        <w:rPr>
          <w:rFonts w:ascii="Arial" w:hAnsi="Arial" w:cs="Arial"/>
          <w:lang w:val="en-US"/>
        </w:rPr>
        <w:t xml:space="preserve"> the deviation of the actual announcements, in </w:t>
      </w:r>
      <w:r w:rsidR="000048ED">
        <w:rPr>
          <w:rFonts w:ascii="Arial" w:hAnsi="Arial" w:cs="Arial"/>
          <w:lang w:val="en-US"/>
        </w:rPr>
        <w:t xml:space="preserve">the </w:t>
      </w:r>
      <w:r w:rsidRPr="00550D1F">
        <w:rPr>
          <w:rFonts w:ascii="Arial" w:hAnsi="Arial" w:cs="Arial"/>
          <w:lang w:val="en-US"/>
        </w:rPr>
        <w:t xml:space="preserve">form of the new figures released by the NBP, from their respective moving averages (3-months moving average, based on the data from periods </w:t>
      </w:r>
      <w:r w:rsidRPr="00550D1F">
        <w:rPr>
          <w:i/>
          <w:lang w:val="en-US"/>
        </w:rPr>
        <w:t>t-2</w:t>
      </w:r>
      <w:r w:rsidRPr="00550D1F">
        <w:rPr>
          <w:rFonts w:ascii="Arial" w:hAnsi="Arial" w:cs="Arial"/>
          <w:lang w:val="en-US"/>
        </w:rPr>
        <w:t xml:space="preserve">, </w:t>
      </w:r>
      <w:r w:rsidRPr="00550D1F">
        <w:rPr>
          <w:i/>
          <w:lang w:val="en-US"/>
        </w:rPr>
        <w:t>t-1</w:t>
      </w:r>
      <w:r w:rsidRPr="00550D1F">
        <w:rPr>
          <w:rFonts w:ascii="Arial" w:hAnsi="Arial" w:cs="Arial"/>
          <w:lang w:val="en-US"/>
        </w:rPr>
        <w:t xml:space="preserve"> and </w:t>
      </w:r>
      <w:r w:rsidRPr="00550D1F">
        <w:rPr>
          <w:i/>
          <w:lang w:val="en-US"/>
        </w:rPr>
        <w:t>t</w:t>
      </w:r>
      <w:r w:rsidRPr="00550D1F">
        <w:rPr>
          <w:rFonts w:ascii="Arial" w:hAnsi="Arial" w:cs="Arial"/>
          <w:lang w:val="en-US"/>
        </w:rPr>
        <w:t xml:space="preserve">, for all monthly announcements, i.e. for </w:t>
      </w:r>
      <w:r w:rsidRPr="00550D1F">
        <w:rPr>
          <w:i/>
          <w:lang w:val="en-US"/>
        </w:rPr>
        <w:t>MS</w:t>
      </w:r>
      <w:r w:rsidRPr="00550D1F">
        <w:rPr>
          <w:rFonts w:ascii="Arial" w:hAnsi="Arial" w:cs="Arial"/>
          <w:lang w:val="en-US"/>
        </w:rPr>
        <w:t xml:space="preserve">, </w:t>
      </w:r>
      <w:r w:rsidRPr="00550D1F">
        <w:rPr>
          <w:i/>
          <w:lang w:val="en-US"/>
        </w:rPr>
        <w:t>RM</w:t>
      </w:r>
      <w:r w:rsidRPr="00550D1F">
        <w:rPr>
          <w:rFonts w:ascii="Arial" w:hAnsi="Arial" w:cs="Arial"/>
          <w:lang w:val="en-US"/>
        </w:rPr>
        <w:t xml:space="preserve">, </w:t>
      </w:r>
      <w:r w:rsidRPr="00550D1F">
        <w:rPr>
          <w:i/>
          <w:lang w:val="en-US"/>
        </w:rPr>
        <w:t>BOP</w:t>
      </w:r>
      <w:r w:rsidRPr="00550D1F">
        <w:rPr>
          <w:rFonts w:ascii="Arial" w:hAnsi="Arial" w:cs="Arial"/>
          <w:lang w:val="en-US"/>
        </w:rPr>
        <w:t xml:space="preserve"> and </w:t>
      </w:r>
      <w:r w:rsidRPr="00550D1F">
        <w:rPr>
          <w:i/>
          <w:lang w:val="en-US"/>
        </w:rPr>
        <w:t>AL</w:t>
      </w:r>
      <w:r w:rsidRPr="00550D1F">
        <w:rPr>
          <w:rFonts w:ascii="Arial" w:hAnsi="Arial" w:cs="Arial"/>
          <w:lang w:val="en-US"/>
        </w:rPr>
        <w:t>).</w:t>
      </w:r>
      <w:r w:rsidR="00836C52">
        <w:rPr>
          <w:rFonts w:ascii="Arial" w:hAnsi="Arial" w:cs="Arial"/>
          <w:lang w:val="en-US"/>
        </w:rPr>
        <w:t xml:space="preserve"> </w:t>
      </w:r>
      <w:r w:rsidR="00836C52" w:rsidRPr="00836C52">
        <w:rPr>
          <w:rFonts w:ascii="Arial" w:hAnsi="Arial" w:cs="Arial"/>
          <w:lang w:val="en-US"/>
        </w:rPr>
        <w:t>Using this data, in the next step we calculated the standard deviation (SD) of the announcements figures for e</w:t>
      </w:r>
      <w:r w:rsidR="000048ED">
        <w:rPr>
          <w:rFonts w:ascii="Arial" w:hAnsi="Arial" w:cs="Arial"/>
          <w:lang w:val="en-US"/>
        </w:rPr>
        <w:t>ach</w:t>
      </w:r>
      <w:r w:rsidR="00836C52" w:rsidRPr="00836C52">
        <w:rPr>
          <w:rFonts w:ascii="Arial" w:hAnsi="Arial" w:cs="Arial"/>
          <w:lang w:val="en-US"/>
        </w:rPr>
        <w:t xml:space="preserve"> variable and we divided these deviations by their SD, i.e. obtaining the proportions in their SDs. This allowed us to create a ranking of unexpected announcements from the highest positive to the highest negative pro</w:t>
      </w:r>
      <w:r w:rsidR="00836C52">
        <w:rPr>
          <w:rFonts w:ascii="Arial" w:hAnsi="Arial" w:cs="Arial"/>
          <w:lang w:val="en-US"/>
        </w:rPr>
        <w:t>portion</w:t>
      </w:r>
      <w:r w:rsidR="000048ED">
        <w:rPr>
          <w:rFonts w:ascii="Arial" w:hAnsi="Arial" w:cs="Arial"/>
          <w:lang w:val="en-US"/>
        </w:rPr>
        <w:t>,</w:t>
      </w:r>
      <w:r w:rsidR="00836C52">
        <w:rPr>
          <w:rFonts w:ascii="Arial" w:hAnsi="Arial" w:cs="Arial"/>
          <w:lang w:val="en-US"/>
        </w:rPr>
        <w:t xml:space="preserve"> and using their span we divided this data into five </w:t>
      </w:r>
      <w:r w:rsidR="00ED48F3">
        <w:rPr>
          <w:rFonts w:ascii="Arial" w:hAnsi="Arial" w:cs="Arial"/>
          <w:lang w:val="en-US"/>
        </w:rPr>
        <w:t>basket</w:t>
      </w:r>
      <w:r w:rsidR="00836C52">
        <w:rPr>
          <w:rFonts w:ascii="Arial" w:hAnsi="Arial" w:cs="Arial"/>
          <w:lang w:val="en-US"/>
        </w:rPr>
        <w:t xml:space="preserve">s. </w:t>
      </w:r>
      <w:r w:rsidR="000048ED">
        <w:rPr>
          <w:rFonts w:ascii="Arial" w:hAnsi="Arial" w:cs="Arial"/>
          <w:lang w:val="en-US"/>
        </w:rPr>
        <w:t>Through t</w:t>
      </w:r>
      <w:r w:rsidR="00836C52">
        <w:rPr>
          <w:rFonts w:ascii="Arial" w:hAnsi="Arial" w:cs="Arial"/>
          <w:lang w:val="en-US"/>
        </w:rPr>
        <w:t xml:space="preserve">his </w:t>
      </w:r>
      <w:r w:rsidR="000048ED">
        <w:rPr>
          <w:rFonts w:ascii="Arial" w:hAnsi="Arial" w:cs="Arial"/>
          <w:lang w:val="en-US"/>
        </w:rPr>
        <w:t>approach</w:t>
      </w:r>
      <w:r w:rsidR="00836C52">
        <w:rPr>
          <w:rFonts w:ascii="Arial" w:hAnsi="Arial" w:cs="Arial"/>
          <w:lang w:val="en-US"/>
        </w:rPr>
        <w:t xml:space="preserve"> we</w:t>
      </w:r>
      <w:r w:rsidR="00836C52" w:rsidRPr="00836C52">
        <w:rPr>
          <w:rFonts w:ascii="Arial" w:hAnsi="Arial" w:cs="Arial"/>
          <w:lang w:val="en-US"/>
        </w:rPr>
        <w:t xml:space="preserve"> obtained five groups of unexpected announcements: strongly </w:t>
      </w:r>
      <w:r w:rsidR="00836C52" w:rsidRPr="006C3C96">
        <w:rPr>
          <w:rFonts w:ascii="Arial" w:hAnsi="Arial" w:cs="Arial"/>
          <w:lang w:val="en-US"/>
        </w:rPr>
        <w:t>positive, positive, neutral, negative, and strongly negative.</w:t>
      </w:r>
      <w:r w:rsidRPr="006C3C96">
        <w:rPr>
          <w:rFonts w:ascii="Arial" w:hAnsi="Arial" w:cs="Arial"/>
          <w:lang w:val="en-US"/>
        </w:rPr>
        <w:t xml:space="preserve"> </w:t>
      </w:r>
    </w:p>
    <w:p w:rsidR="00E053AE" w:rsidRDefault="00663DF1" w:rsidP="00913524">
      <w:pPr>
        <w:spacing w:line="480" w:lineRule="auto"/>
        <w:ind w:firstLine="708"/>
        <w:jc w:val="both"/>
        <w:rPr>
          <w:rFonts w:ascii="Arial" w:hAnsi="Arial" w:cs="Arial"/>
          <w:lang w:val="en-US"/>
        </w:rPr>
      </w:pPr>
      <w:r w:rsidRPr="006C3C96">
        <w:rPr>
          <w:rFonts w:ascii="Arial" w:hAnsi="Arial" w:cs="Arial"/>
          <w:lang w:val="en-US"/>
        </w:rPr>
        <w:t xml:space="preserve">Figure 6 illustrates </w:t>
      </w:r>
      <w:r w:rsidR="000048ED">
        <w:rPr>
          <w:rFonts w:ascii="Arial" w:hAnsi="Arial" w:cs="Arial"/>
          <w:lang w:val="en-US"/>
        </w:rPr>
        <w:t xml:space="preserve">the </w:t>
      </w:r>
      <w:r w:rsidRPr="006C3C96">
        <w:rPr>
          <w:rFonts w:ascii="Arial" w:hAnsi="Arial" w:cs="Arial"/>
          <w:lang w:val="en-US"/>
        </w:rPr>
        <w:t xml:space="preserve">unexpected announcements as </w:t>
      </w:r>
      <w:r w:rsidR="000048ED">
        <w:rPr>
          <w:rFonts w:ascii="Arial" w:hAnsi="Arial" w:cs="Arial"/>
          <w:lang w:val="en-US"/>
        </w:rPr>
        <w:t xml:space="preserve">a </w:t>
      </w:r>
      <w:r w:rsidRPr="006C3C96">
        <w:rPr>
          <w:rFonts w:ascii="Arial" w:hAnsi="Arial" w:cs="Arial"/>
          <w:lang w:val="en-US"/>
        </w:rPr>
        <w:t xml:space="preserve">proportion of the deviation from their moving average in their standard deviation. For example, the first </w:t>
      </w:r>
      <w:r w:rsidR="000822D9" w:rsidRPr="006C3C96">
        <w:rPr>
          <w:rFonts w:ascii="Arial" w:hAnsi="Arial" w:cs="Arial"/>
          <w:lang w:val="en-US"/>
        </w:rPr>
        <w:t>reserve money</w:t>
      </w:r>
      <w:r w:rsidRPr="006C3C96">
        <w:rPr>
          <w:rFonts w:ascii="Arial" w:hAnsi="Arial" w:cs="Arial"/>
          <w:lang w:val="en-US"/>
        </w:rPr>
        <w:t xml:space="preserve"> </w:t>
      </w:r>
      <w:r w:rsidRPr="006C3C96">
        <w:rPr>
          <w:rFonts w:ascii="Arial" w:hAnsi="Arial" w:cs="Arial"/>
          <w:lang w:val="en-US"/>
        </w:rPr>
        <w:lastRenderedPageBreak/>
        <w:t>(</w:t>
      </w:r>
      <w:r w:rsidR="000822D9" w:rsidRPr="006C3C96">
        <w:rPr>
          <w:i/>
          <w:lang w:val="en-US"/>
        </w:rPr>
        <w:t>RM</w:t>
      </w:r>
      <w:r w:rsidRPr="006C3C96">
        <w:rPr>
          <w:rFonts w:ascii="Arial" w:hAnsi="Arial" w:cs="Arial"/>
          <w:lang w:val="en-US"/>
        </w:rPr>
        <w:t xml:space="preserve">) announcement </w:t>
      </w:r>
      <w:r w:rsidR="000822D9" w:rsidRPr="006C3C96">
        <w:rPr>
          <w:rFonts w:ascii="Arial" w:hAnsi="Arial" w:cs="Arial"/>
          <w:lang w:val="en-US"/>
        </w:rPr>
        <w:t xml:space="preserve">in Figure 6 </w:t>
      </w:r>
      <w:r w:rsidR="007C01C5" w:rsidRPr="006C3C96">
        <w:rPr>
          <w:rFonts w:ascii="Arial" w:hAnsi="Arial" w:cs="Arial"/>
          <w:lang w:val="en-US"/>
        </w:rPr>
        <w:t xml:space="preserve">in August 2000 </w:t>
      </w:r>
      <w:r w:rsidR="00295791" w:rsidRPr="006C3C96">
        <w:rPr>
          <w:rFonts w:ascii="Arial" w:hAnsi="Arial" w:cs="Arial"/>
          <w:lang w:val="en-US"/>
        </w:rPr>
        <w:t>was</w:t>
      </w:r>
      <w:r w:rsidR="00590435" w:rsidRPr="006C3C96">
        <w:rPr>
          <w:rFonts w:ascii="Arial" w:hAnsi="Arial" w:cs="Arial"/>
          <w:lang w:val="en-US"/>
        </w:rPr>
        <w:t xml:space="preserve"> </w:t>
      </w:r>
      <w:r w:rsidR="000822D9" w:rsidRPr="006C3C96">
        <w:rPr>
          <w:rFonts w:ascii="Arial" w:hAnsi="Arial" w:cs="Arial"/>
          <w:lang w:val="en-US"/>
        </w:rPr>
        <w:t>53,624.85 million PLN</w:t>
      </w:r>
      <w:r w:rsidRPr="006C3C96">
        <w:rPr>
          <w:rFonts w:ascii="Arial" w:hAnsi="Arial" w:cs="Arial"/>
          <w:lang w:val="en-US"/>
        </w:rPr>
        <w:t xml:space="preserve"> and the moving average </w:t>
      </w:r>
      <w:r w:rsidR="00571215" w:rsidRPr="006C3C96">
        <w:rPr>
          <w:rFonts w:ascii="Arial" w:hAnsi="Arial" w:cs="Arial"/>
          <w:lang w:val="en-US"/>
        </w:rPr>
        <w:t xml:space="preserve">then </w:t>
      </w:r>
      <w:r w:rsidRPr="006C3C96">
        <w:rPr>
          <w:rFonts w:ascii="Arial" w:hAnsi="Arial" w:cs="Arial"/>
          <w:lang w:val="en-US"/>
        </w:rPr>
        <w:t>was</w:t>
      </w:r>
      <w:r w:rsidR="000822D9" w:rsidRPr="006C3C96">
        <w:rPr>
          <w:rFonts w:ascii="Arial" w:hAnsi="Arial" w:cs="Arial"/>
          <w:lang w:val="en-US"/>
        </w:rPr>
        <w:t xml:space="preserve"> 51,039.47 million PLN</w:t>
      </w:r>
      <w:r w:rsidRPr="006C3C96">
        <w:rPr>
          <w:rFonts w:ascii="Arial" w:hAnsi="Arial" w:cs="Arial"/>
          <w:lang w:val="en-US"/>
        </w:rPr>
        <w:t xml:space="preserve">, so the </w:t>
      </w:r>
      <w:r w:rsidR="00E364BC" w:rsidRPr="006C3C96">
        <w:rPr>
          <w:rFonts w:ascii="Arial" w:hAnsi="Arial" w:cs="Arial"/>
          <w:lang w:val="en-US"/>
        </w:rPr>
        <w:t>deviation is</w:t>
      </w:r>
      <w:r w:rsidR="000822D9" w:rsidRPr="006C3C96">
        <w:rPr>
          <w:rFonts w:ascii="Arial" w:hAnsi="Arial" w:cs="Arial"/>
          <w:lang w:val="en-US"/>
        </w:rPr>
        <w:t xml:space="preserve"> +2,585.38 million PLN. </w:t>
      </w:r>
      <w:r w:rsidR="000048ED">
        <w:rPr>
          <w:rFonts w:ascii="Arial" w:hAnsi="Arial" w:cs="Arial"/>
          <w:lang w:val="en-US"/>
        </w:rPr>
        <w:t>The s</w:t>
      </w:r>
      <w:r w:rsidR="000822D9" w:rsidRPr="006C3C96">
        <w:rPr>
          <w:rFonts w:ascii="Arial" w:hAnsi="Arial" w:cs="Arial"/>
          <w:lang w:val="en-US"/>
        </w:rPr>
        <w:t xml:space="preserve">tandard deviation of </w:t>
      </w:r>
      <w:r w:rsidR="000822D9" w:rsidRPr="006C3C96">
        <w:rPr>
          <w:i/>
          <w:lang w:val="en-US"/>
        </w:rPr>
        <w:t>RM</w:t>
      </w:r>
      <w:r w:rsidR="000822D9" w:rsidRPr="006C3C96">
        <w:rPr>
          <w:rFonts w:ascii="Arial" w:hAnsi="Arial" w:cs="Arial"/>
          <w:lang w:val="en-US"/>
        </w:rPr>
        <w:t xml:space="preserve"> announcements was 6,128.25 million PLN, hence the </w:t>
      </w:r>
      <w:r w:rsidRPr="006C3C96">
        <w:rPr>
          <w:rFonts w:ascii="Arial" w:hAnsi="Arial" w:cs="Arial"/>
          <w:lang w:val="en-US"/>
        </w:rPr>
        <w:t xml:space="preserve">proportion </w:t>
      </w:r>
      <w:r w:rsidR="000822D9" w:rsidRPr="006C3C96">
        <w:rPr>
          <w:rFonts w:ascii="Arial" w:hAnsi="Arial" w:cs="Arial"/>
          <w:lang w:val="en-US"/>
        </w:rPr>
        <w:t xml:space="preserve">of this deviation (+2,585.38 million PLN) </w:t>
      </w:r>
      <w:r w:rsidRPr="006C3C96">
        <w:rPr>
          <w:rFonts w:ascii="Arial" w:hAnsi="Arial" w:cs="Arial"/>
          <w:lang w:val="en-US"/>
        </w:rPr>
        <w:t xml:space="preserve">was </w:t>
      </w:r>
      <w:r w:rsidR="000822D9" w:rsidRPr="006C3C96">
        <w:rPr>
          <w:rFonts w:ascii="Arial" w:hAnsi="Arial" w:cs="Arial"/>
          <w:lang w:val="en-US"/>
        </w:rPr>
        <w:t xml:space="preserve">0.42 </w:t>
      </w:r>
      <w:r w:rsidR="004A6F02">
        <w:rPr>
          <w:rFonts w:ascii="Arial" w:hAnsi="Arial" w:cs="Arial"/>
          <w:lang w:val="en-US"/>
        </w:rPr>
        <w:t xml:space="preserve">or 42% </w:t>
      </w:r>
      <w:r w:rsidR="000822D9" w:rsidRPr="006C3C96">
        <w:rPr>
          <w:rFonts w:ascii="Arial" w:hAnsi="Arial" w:cs="Arial"/>
          <w:lang w:val="en-US"/>
        </w:rPr>
        <w:t>(</w:t>
      </w:r>
      <w:r w:rsidR="00295791" w:rsidRPr="006C3C96">
        <w:rPr>
          <w:rFonts w:ascii="Arial" w:hAnsi="Arial" w:cs="Arial"/>
          <w:lang w:val="en-US"/>
        </w:rPr>
        <w:t xml:space="preserve">i.e. 2,585.38 / </w:t>
      </w:r>
      <w:r w:rsidR="000822D9" w:rsidRPr="006C3C96">
        <w:rPr>
          <w:rFonts w:ascii="Arial" w:hAnsi="Arial" w:cs="Arial"/>
          <w:lang w:val="en-US"/>
        </w:rPr>
        <w:t>6,128.25  = 0.42)</w:t>
      </w:r>
      <w:r w:rsidRPr="006C3C96">
        <w:rPr>
          <w:rFonts w:ascii="Arial" w:hAnsi="Arial" w:cs="Arial"/>
          <w:lang w:val="en-US"/>
        </w:rPr>
        <w:t>.</w:t>
      </w:r>
      <w:r>
        <w:rPr>
          <w:rFonts w:ascii="Arial" w:hAnsi="Arial" w:cs="Arial"/>
          <w:lang w:val="en-US"/>
        </w:rPr>
        <w:t xml:space="preserve"> </w:t>
      </w:r>
    </w:p>
    <w:p w:rsidR="00D84734" w:rsidRDefault="00D84734" w:rsidP="00CD317F">
      <w:pPr>
        <w:spacing w:line="480" w:lineRule="auto"/>
        <w:jc w:val="center"/>
        <w:rPr>
          <w:rFonts w:ascii="Arial" w:hAnsi="Arial" w:cs="Arial"/>
          <w:i/>
          <w:lang w:val="en-US"/>
        </w:rPr>
      </w:pPr>
    </w:p>
    <w:p w:rsidR="00CD317F" w:rsidRPr="00550D1F" w:rsidRDefault="00CD317F" w:rsidP="00CD317F">
      <w:pPr>
        <w:spacing w:line="480" w:lineRule="auto"/>
        <w:jc w:val="center"/>
        <w:rPr>
          <w:rFonts w:ascii="Arial" w:hAnsi="Arial" w:cs="Arial"/>
          <w:i/>
          <w:lang w:val="en-US"/>
        </w:rPr>
      </w:pPr>
      <w:r>
        <w:rPr>
          <w:rFonts w:ascii="Arial" w:hAnsi="Arial" w:cs="Arial"/>
          <w:i/>
          <w:lang w:val="en-US"/>
        </w:rPr>
        <w:t>[Figure 6</w:t>
      </w:r>
      <w:r w:rsidRPr="00550D1F">
        <w:rPr>
          <w:rFonts w:ascii="Arial" w:hAnsi="Arial" w:cs="Arial"/>
          <w:i/>
          <w:lang w:val="en-US"/>
        </w:rPr>
        <w:t xml:space="preserve"> around here]</w:t>
      </w:r>
    </w:p>
    <w:p w:rsidR="00CD317F" w:rsidRDefault="00CD317F" w:rsidP="00913524">
      <w:pPr>
        <w:spacing w:line="480" w:lineRule="auto"/>
        <w:ind w:firstLine="708"/>
        <w:jc w:val="both"/>
        <w:rPr>
          <w:rFonts w:ascii="Arial" w:hAnsi="Arial" w:cs="Arial"/>
          <w:lang w:val="en-US"/>
        </w:rPr>
      </w:pPr>
    </w:p>
    <w:p w:rsidR="00135A25" w:rsidRDefault="00135A25" w:rsidP="00913524">
      <w:pPr>
        <w:spacing w:line="480" w:lineRule="auto"/>
        <w:ind w:firstLine="708"/>
        <w:jc w:val="both"/>
        <w:rPr>
          <w:rFonts w:ascii="Arial" w:hAnsi="Arial" w:cs="Arial"/>
          <w:lang w:val="en-US"/>
        </w:rPr>
      </w:pPr>
      <w:r w:rsidRPr="00550D1F">
        <w:rPr>
          <w:rFonts w:ascii="Arial" w:hAnsi="Arial" w:cs="Arial"/>
          <w:lang w:val="en-US"/>
        </w:rPr>
        <w:t xml:space="preserve">This </w:t>
      </w:r>
      <w:r w:rsidR="00E053AE">
        <w:rPr>
          <w:rFonts w:ascii="Arial" w:hAnsi="Arial" w:cs="Arial"/>
          <w:lang w:val="en-US"/>
        </w:rPr>
        <w:t xml:space="preserve">procedure </w:t>
      </w:r>
      <w:r w:rsidRPr="00550D1F">
        <w:rPr>
          <w:rFonts w:ascii="Arial" w:hAnsi="Arial" w:cs="Arial"/>
          <w:lang w:val="en-US"/>
        </w:rPr>
        <w:t>allowed us to create 5 groups of unexpected announcements: strongly positive, positive, neutral, negative, and strongly negative. Consequently, we defined four (0, 1) dummies for: strongly positive, positive, negative and strongly negative unexpected announcements for all our NBP variables (</w:t>
      </w:r>
      <w:r w:rsidRPr="00550D1F">
        <w:rPr>
          <w:i/>
          <w:lang w:val="en-US"/>
        </w:rPr>
        <w:t>MS</w:t>
      </w:r>
      <w:r w:rsidRPr="00550D1F">
        <w:rPr>
          <w:rFonts w:ascii="Arial" w:hAnsi="Arial" w:cs="Arial"/>
          <w:lang w:val="en-US"/>
        </w:rPr>
        <w:t xml:space="preserve">, </w:t>
      </w:r>
      <w:r w:rsidRPr="00550D1F">
        <w:rPr>
          <w:i/>
          <w:lang w:val="en-US"/>
        </w:rPr>
        <w:t>RM</w:t>
      </w:r>
      <w:r w:rsidRPr="00550D1F">
        <w:rPr>
          <w:rFonts w:ascii="Arial" w:hAnsi="Arial" w:cs="Arial"/>
          <w:lang w:val="en-US"/>
        </w:rPr>
        <w:t xml:space="preserve">, </w:t>
      </w:r>
      <w:r w:rsidRPr="00550D1F">
        <w:rPr>
          <w:i/>
          <w:lang w:val="en-US"/>
        </w:rPr>
        <w:t>BOP</w:t>
      </w:r>
      <w:r w:rsidRPr="00550D1F">
        <w:rPr>
          <w:rFonts w:ascii="Arial" w:hAnsi="Arial" w:cs="Arial"/>
          <w:lang w:val="en-US"/>
        </w:rPr>
        <w:t xml:space="preserve"> and </w:t>
      </w:r>
      <w:r w:rsidRPr="00550D1F">
        <w:rPr>
          <w:i/>
          <w:lang w:val="en-US"/>
        </w:rPr>
        <w:t>AL</w:t>
      </w:r>
      <w:r w:rsidRPr="00550D1F">
        <w:rPr>
          <w:rFonts w:ascii="Arial" w:hAnsi="Arial" w:cs="Arial"/>
          <w:lang w:val="en-US"/>
        </w:rPr>
        <w:t>)</w:t>
      </w:r>
      <w:r w:rsidR="000048ED">
        <w:rPr>
          <w:rFonts w:ascii="Arial" w:hAnsi="Arial" w:cs="Arial"/>
          <w:lang w:val="en-US"/>
        </w:rPr>
        <w:t>, omitting</w:t>
      </w:r>
      <w:r w:rsidRPr="00550D1F">
        <w:rPr>
          <w:rFonts w:ascii="Arial" w:hAnsi="Arial" w:cs="Arial"/>
          <w:lang w:val="en-US"/>
        </w:rPr>
        <w:t xml:space="preserve"> the neutral case when the announced figures were in the middle quintile, so they did not differ from the moving average. We assume that investors’ interpretation of the deviations depends on how they perceive the changes in the new announcements. If the changes are viewed as “transitory” then they would expect that the central bank w</w:t>
      </w:r>
      <w:r w:rsidR="000048ED">
        <w:rPr>
          <w:rFonts w:ascii="Arial" w:hAnsi="Arial" w:cs="Arial"/>
          <w:lang w:val="en-US"/>
        </w:rPr>
        <w:t>ould</w:t>
      </w:r>
      <w:r w:rsidRPr="00550D1F">
        <w:rPr>
          <w:rFonts w:ascii="Arial" w:hAnsi="Arial" w:cs="Arial"/>
          <w:lang w:val="en-US"/>
        </w:rPr>
        <w:t xml:space="preserve"> revert back to the trend. If investors perceive the surprise changes as “permanent” then the anticipation is that there would </w:t>
      </w:r>
      <w:r w:rsidR="001351A6">
        <w:rPr>
          <w:rFonts w:ascii="Arial" w:hAnsi="Arial" w:cs="Arial"/>
          <w:lang w:val="en-US"/>
        </w:rPr>
        <w:t xml:space="preserve">be </w:t>
      </w:r>
      <w:r w:rsidRPr="00550D1F">
        <w:rPr>
          <w:rFonts w:ascii="Arial" w:hAnsi="Arial" w:cs="Arial"/>
          <w:lang w:val="en-US"/>
        </w:rPr>
        <w:t xml:space="preserve">no </w:t>
      </w:r>
      <w:r w:rsidR="000048ED">
        <w:rPr>
          <w:rFonts w:ascii="Arial" w:hAnsi="Arial" w:cs="Arial"/>
          <w:lang w:val="en-US"/>
        </w:rPr>
        <w:t>return</w:t>
      </w:r>
      <w:r w:rsidRPr="00550D1F">
        <w:rPr>
          <w:rFonts w:ascii="Arial" w:hAnsi="Arial" w:cs="Arial"/>
          <w:lang w:val="en-US"/>
        </w:rPr>
        <w:t xml:space="preserve"> to the trend. Out of all 150 NBP announcements in our study, 35 were of the greatest strength (strongly positive and strongly negative), 50 of the medium strength (positive and negative) and 65 were in the neutral band</w:t>
      </w:r>
      <w:r w:rsidRPr="008A51BD">
        <w:rPr>
          <w:rFonts w:ascii="Arial" w:hAnsi="Arial" w:cs="Arial"/>
          <w:lang w:val="en-US"/>
        </w:rPr>
        <w:t>.</w:t>
      </w:r>
      <w:r w:rsidR="009B486C" w:rsidRPr="008A51BD">
        <w:rPr>
          <w:rFonts w:ascii="Arial" w:hAnsi="Arial" w:cs="Arial"/>
          <w:lang w:val="en-US"/>
        </w:rPr>
        <w:t xml:space="preserve"> Table 1b presents the </w:t>
      </w:r>
      <w:r w:rsidR="008F6551" w:rsidRPr="006C3C96">
        <w:rPr>
          <w:rFonts w:ascii="Arial" w:hAnsi="Arial" w:cs="Arial"/>
          <w:lang w:val="en-US"/>
        </w:rPr>
        <w:t xml:space="preserve">exact numbers of the </w:t>
      </w:r>
      <w:r w:rsidR="009B486C" w:rsidRPr="006C3C96">
        <w:rPr>
          <w:rFonts w:ascii="Arial" w:hAnsi="Arial" w:cs="Arial"/>
          <w:lang w:val="en-US"/>
        </w:rPr>
        <w:t xml:space="preserve">NBP announcements with different </w:t>
      </w:r>
      <w:r w:rsidR="00F15D29" w:rsidRPr="006C3C96">
        <w:rPr>
          <w:rFonts w:ascii="Arial" w:hAnsi="Arial" w:cs="Arial"/>
          <w:lang w:val="en-US"/>
        </w:rPr>
        <w:t>strength</w:t>
      </w:r>
      <w:r w:rsidR="000048ED">
        <w:rPr>
          <w:rFonts w:ascii="Arial" w:hAnsi="Arial" w:cs="Arial"/>
          <w:lang w:val="en-US"/>
        </w:rPr>
        <w:t>s,</w:t>
      </w:r>
      <w:r w:rsidR="00F15D29" w:rsidRPr="006C3C96">
        <w:rPr>
          <w:rFonts w:ascii="Arial" w:hAnsi="Arial" w:cs="Arial"/>
          <w:lang w:val="en-US"/>
        </w:rPr>
        <w:t xml:space="preserve"> </w:t>
      </w:r>
      <w:r w:rsidR="009B486C" w:rsidRPr="006C3C96">
        <w:rPr>
          <w:rFonts w:ascii="Arial" w:hAnsi="Arial" w:cs="Arial"/>
          <w:lang w:val="en-US"/>
        </w:rPr>
        <w:t xml:space="preserve">based on </w:t>
      </w:r>
      <w:r w:rsidR="000048ED">
        <w:rPr>
          <w:rFonts w:ascii="Arial" w:hAnsi="Arial" w:cs="Arial"/>
          <w:lang w:val="en-US"/>
        </w:rPr>
        <w:t xml:space="preserve">their </w:t>
      </w:r>
      <w:r w:rsidR="009B486C" w:rsidRPr="006C3C96">
        <w:rPr>
          <w:rFonts w:ascii="Arial" w:hAnsi="Arial" w:cs="Arial"/>
          <w:lang w:val="en-US"/>
        </w:rPr>
        <w:t xml:space="preserve">division into </w:t>
      </w:r>
      <w:r w:rsidR="00ED48F3">
        <w:rPr>
          <w:rFonts w:ascii="Arial" w:hAnsi="Arial" w:cs="Arial"/>
          <w:lang w:val="en-US"/>
        </w:rPr>
        <w:t>basket</w:t>
      </w:r>
      <w:r w:rsidR="009B486C" w:rsidRPr="006C3C96">
        <w:rPr>
          <w:rFonts w:ascii="Arial" w:hAnsi="Arial" w:cs="Arial"/>
          <w:lang w:val="en-US"/>
        </w:rPr>
        <w:t xml:space="preserve">s according to </w:t>
      </w:r>
      <w:r w:rsidR="009056C5" w:rsidRPr="006C3C96">
        <w:rPr>
          <w:rFonts w:ascii="Arial" w:hAnsi="Arial" w:cs="Arial"/>
          <w:lang w:val="en-US"/>
        </w:rPr>
        <w:t xml:space="preserve">the magnitude of </w:t>
      </w:r>
      <w:r w:rsidR="009B486C" w:rsidRPr="006C3C96">
        <w:rPr>
          <w:rFonts w:ascii="Arial" w:hAnsi="Arial" w:cs="Arial"/>
          <w:lang w:val="en-US"/>
        </w:rPr>
        <w:t xml:space="preserve">their deviations from </w:t>
      </w:r>
      <w:r w:rsidR="009C5B73" w:rsidRPr="006C3C96">
        <w:rPr>
          <w:rFonts w:ascii="Arial" w:hAnsi="Arial" w:cs="Arial"/>
          <w:lang w:val="en-US"/>
        </w:rPr>
        <w:t xml:space="preserve">respective </w:t>
      </w:r>
      <w:r w:rsidR="009B486C" w:rsidRPr="006C3C96">
        <w:rPr>
          <w:rFonts w:ascii="Arial" w:hAnsi="Arial" w:cs="Arial"/>
          <w:lang w:val="en-US"/>
        </w:rPr>
        <w:t>moving average</w:t>
      </w:r>
      <w:r w:rsidR="0002004D" w:rsidRPr="006C3C96">
        <w:rPr>
          <w:rFonts w:ascii="Arial" w:hAnsi="Arial" w:cs="Arial"/>
          <w:lang w:val="en-US"/>
        </w:rPr>
        <w:t>s</w:t>
      </w:r>
      <w:r w:rsidR="009B486C" w:rsidRPr="006C3C96">
        <w:rPr>
          <w:rFonts w:ascii="Arial" w:hAnsi="Arial" w:cs="Arial"/>
          <w:lang w:val="en-US"/>
        </w:rPr>
        <w:t>.</w:t>
      </w:r>
      <w:r w:rsidR="00E053AE" w:rsidRPr="006C3C96">
        <w:rPr>
          <w:rFonts w:ascii="Arial" w:hAnsi="Arial" w:cs="Arial"/>
          <w:lang w:val="en-US"/>
        </w:rPr>
        <w:t xml:space="preserve"> In addition, Table A1 in the Appendix shows </w:t>
      </w:r>
      <w:r w:rsidR="000048ED">
        <w:rPr>
          <w:rFonts w:ascii="Arial" w:hAnsi="Arial" w:cs="Arial"/>
          <w:lang w:val="en-US"/>
        </w:rPr>
        <w:t xml:space="preserve">the </w:t>
      </w:r>
      <w:r w:rsidR="00E053AE" w:rsidRPr="006C3C96">
        <w:rPr>
          <w:rFonts w:ascii="Arial" w:hAnsi="Arial" w:cs="Arial"/>
          <w:lang w:val="en-US"/>
        </w:rPr>
        <w:t>exact ranking and precise division of unexpected announcements into</w:t>
      </w:r>
      <w:r w:rsidR="00952179">
        <w:rPr>
          <w:rFonts w:ascii="Arial" w:hAnsi="Arial" w:cs="Arial"/>
          <w:lang w:val="en-US"/>
        </w:rPr>
        <w:t xml:space="preserve"> all 5</w:t>
      </w:r>
      <w:r w:rsidR="00E053AE" w:rsidRPr="006C3C96">
        <w:rPr>
          <w:rFonts w:ascii="Arial" w:hAnsi="Arial" w:cs="Arial"/>
          <w:lang w:val="en-US"/>
        </w:rPr>
        <w:t xml:space="preserve"> </w:t>
      </w:r>
      <w:r w:rsidR="00ED48F3">
        <w:rPr>
          <w:rFonts w:ascii="Arial" w:hAnsi="Arial" w:cs="Arial"/>
          <w:lang w:val="en-US"/>
        </w:rPr>
        <w:t>basket</w:t>
      </w:r>
      <w:r w:rsidR="00E053AE" w:rsidRPr="006C3C96">
        <w:rPr>
          <w:rFonts w:ascii="Arial" w:hAnsi="Arial" w:cs="Arial"/>
          <w:lang w:val="en-US"/>
        </w:rPr>
        <w:t>s.</w:t>
      </w:r>
    </w:p>
    <w:p w:rsidR="00AD1397" w:rsidRDefault="00AD1397" w:rsidP="00913524">
      <w:pPr>
        <w:spacing w:line="480" w:lineRule="auto"/>
        <w:ind w:firstLine="708"/>
        <w:jc w:val="both"/>
        <w:rPr>
          <w:rFonts w:ascii="Arial" w:hAnsi="Arial" w:cs="Arial"/>
          <w:lang w:val="en-US"/>
        </w:rPr>
      </w:pPr>
    </w:p>
    <w:p w:rsidR="003B3DB2" w:rsidRPr="00550D1F" w:rsidRDefault="003B3DB2" w:rsidP="003B3DB2">
      <w:pPr>
        <w:spacing w:line="480" w:lineRule="auto"/>
        <w:jc w:val="center"/>
        <w:rPr>
          <w:rFonts w:ascii="Arial" w:hAnsi="Arial" w:cs="Arial"/>
          <w:i/>
          <w:lang w:val="en-US"/>
        </w:rPr>
      </w:pPr>
      <w:r w:rsidRPr="00550D1F">
        <w:rPr>
          <w:rFonts w:ascii="Arial" w:hAnsi="Arial" w:cs="Arial"/>
          <w:i/>
          <w:lang w:val="en-US"/>
        </w:rPr>
        <w:t>[Table 1</w:t>
      </w:r>
      <w:r>
        <w:rPr>
          <w:rFonts w:ascii="Arial" w:hAnsi="Arial" w:cs="Arial"/>
          <w:i/>
          <w:lang w:val="en-US"/>
        </w:rPr>
        <w:t>b</w:t>
      </w:r>
      <w:r w:rsidRPr="00550D1F">
        <w:rPr>
          <w:rFonts w:ascii="Arial" w:hAnsi="Arial" w:cs="Arial"/>
          <w:i/>
          <w:lang w:val="en-US"/>
        </w:rPr>
        <w:t xml:space="preserve"> around here]</w:t>
      </w:r>
    </w:p>
    <w:p w:rsidR="003B3DB2" w:rsidRDefault="003B3DB2" w:rsidP="00913524">
      <w:pPr>
        <w:spacing w:line="480" w:lineRule="auto"/>
        <w:ind w:firstLine="708"/>
        <w:jc w:val="both"/>
        <w:rPr>
          <w:rFonts w:ascii="Arial" w:hAnsi="Arial" w:cs="Arial"/>
          <w:lang w:val="en-US"/>
        </w:rPr>
      </w:pPr>
    </w:p>
    <w:p w:rsidR="00FA447C" w:rsidRPr="00A51255" w:rsidRDefault="00FA447C" w:rsidP="00913524">
      <w:pPr>
        <w:spacing w:line="480" w:lineRule="auto"/>
        <w:ind w:firstLine="708"/>
        <w:jc w:val="both"/>
        <w:rPr>
          <w:rFonts w:ascii="Arial" w:hAnsi="Arial" w:cs="Arial"/>
          <w:lang w:val="en-US"/>
        </w:rPr>
      </w:pPr>
      <w:r w:rsidRPr="00A51255">
        <w:rPr>
          <w:rFonts w:ascii="Arial" w:hAnsi="Arial" w:cs="Arial"/>
          <w:lang w:val="en-US"/>
        </w:rPr>
        <w:lastRenderedPageBreak/>
        <w:t>In this p</w:t>
      </w:r>
      <w:r w:rsidR="00282568" w:rsidRPr="00A51255">
        <w:rPr>
          <w:rFonts w:ascii="Arial" w:hAnsi="Arial" w:cs="Arial"/>
          <w:lang w:val="en-US"/>
        </w:rPr>
        <w:t xml:space="preserve">aper we </w:t>
      </w:r>
      <w:r w:rsidR="00135A25">
        <w:rPr>
          <w:rFonts w:ascii="Arial" w:hAnsi="Arial" w:cs="Arial"/>
          <w:lang w:val="en-US"/>
        </w:rPr>
        <w:t xml:space="preserve">also </w:t>
      </w:r>
      <w:r w:rsidR="00282568" w:rsidRPr="00A51255">
        <w:rPr>
          <w:rFonts w:ascii="Arial" w:hAnsi="Arial" w:cs="Arial"/>
          <w:lang w:val="en-US"/>
        </w:rPr>
        <w:t>employ a unique data set</w:t>
      </w:r>
      <w:r w:rsidRPr="00A51255">
        <w:rPr>
          <w:rFonts w:ascii="Arial" w:hAnsi="Arial" w:cs="Arial"/>
          <w:lang w:val="en-US"/>
        </w:rPr>
        <w:t xml:space="preserve">. The data about the PLN/USD (zloty-US dollar) exchange rates and the PLN/USD volume of trade were obtained directly from Reuters and were drawn from this data original source: i.e. from Reuters electronic brokerage platform for currency trading. The uniqueness of this dataset is related to the fact that the FX market volume data is not publicly available because it is </w:t>
      </w:r>
      <w:r w:rsidR="00763E53" w:rsidRPr="00A51255">
        <w:rPr>
          <w:rFonts w:ascii="Arial" w:hAnsi="Arial" w:cs="Arial"/>
          <w:lang w:val="en-US"/>
        </w:rPr>
        <w:t>proprietary</w:t>
      </w:r>
      <w:r w:rsidRPr="00A51255">
        <w:rPr>
          <w:rFonts w:ascii="Arial" w:hAnsi="Arial" w:cs="Arial"/>
          <w:lang w:val="en-US"/>
        </w:rPr>
        <w:t xml:space="preserve"> information of the companies that own and operate the currency trading platforms. Hence, it normally cannot be easily accessed and used for research. The information about the dates when the news was released by </w:t>
      </w:r>
      <w:r w:rsidR="00F11812" w:rsidRPr="00A51255">
        <w:rPr>
          <w:rFonts w:ascii="Arial" w:hAnsi="Arial" w:cs="Arial"/>
          <w:lang w:val="en-US"/>
        </w:rPr>
        <w:t>the NBP</w:t>
      </w:r>
      <w:r w:rsidRPr="00A51255">
        <w:rPr>
          <w:rFonts w:ascii="Arial" w:hAnsi="Arial" w:cs="Arial"/>
          <w:lang w:val="en-US"/>
        </w:rPr>
        <w:t xml:space="preserve"> was obtained direc</w:t>
      </w:r>
      <w:r w:rsidR="00EA0DE9" w:rsidRPr="00A51255">
        <w:rPr>
          <w:rFonts w:ascii="Arial" w:hAnsi="Arial" w:cs="Arial"/>
          <w:lang w:val="en-US"/>
        </w:rPr>
        <w:t>tly from the National Bank of Poland</w:t>
      </w:r>
      <w:r w:rsidRPr="00A51255">
        <w:rPr>
          <w:rFonts w:ascii="Arial" w:hAnsi="Arial" w:cs="Arial"/>
          <w:lang w:val="en-US"/>
        </w:rPr>
        <w:t>.</w:t>
      </w:r>
    </w:p>
    <w:p w:rsidR="00EB2891" w:rsidRPr="00A51255" w:rsidRDefault="00FA447C" w:rsidP="00EB2891">
      <w:pPr>
        <w:spacing w:line="480" w:lineRule="auto"/>
        <w:ind w:firstLine="709"/>
        <w:jc w:val="both"/>
        <w:rPr>
          <w:rFonts w:ascii="Arial" w:hAnsi="Arial" w:cs="Arial"/>
          <w:lang w:val="en-US"/>
        </w:rPr>
      </w:pPr>
      <w:r w:rsidRPr="00A51255">
        <w:rPr>
          <w:rFonts w:ascii="Arial" w:hAnsi="Arial" w:cs="Arial"/>
          <w:lang w:val="en-US"/>
        </w:rPr>
        <w:t xml:space="preserve">The data for exchange rates and volume of trade has </w:t>
      </w:r>
      <w:r w:rsidR="000048ED">
        <w:rPr>
          <w:rFonts w:ascii="Arial" w:hAnsi="Arial" w:cs="Arial"/>
          <w:lang w:val="en-US"/>
        </w:rPr>
        <w:t xml:space="preserve">a </w:t>
      </w:r>
      <w:r w:rsidRPr="00A51255">
        <w:rPr>
          <w:rFonts w:ascii="Arial" w:hAnsi="Arial" w:cs="Arial"/>
          <w:lang w:val="en-US"/>
        </w:rPr>
        <w:t xml:space="preserve">daily frequency. The volume data was available in the Reuters database </w:t>
      </w:r>
      <w:r w:rsidR="000048ED">
        <w:rPr>
          <w:rFonts w:ascii="Arial" w:hAnsi="Arial" w:cs="Arial"/>
          <w:lang w:val="en-US"/>
        </w:rPr>
        <w:t>in the form of</w:t>
      </w:r>
      <w:r w:rsidRPr="00A51255">
        <w:rPr>
          <w:rFonts w:ascii="Arial" w:hAnsi="Arial" w:cs="Arial"/>
          <w:lang w:val="en-US"/>
        </w:rPr>
        <w:t xml:space="preserve"> both the dollar value and as the number of trades. </w:t>
      </w:r>
      <w:r w:rsidR="009F774C" w:rsidRPr="00A51255">
        <w:rPr>
          <w:rFonts w:ascii="Arial" w:hAnsi="Arial" w:cs="Arial"/>
          <w:lang w:val="en-US"/>
        </w:rPr>
        <w:t xml:space="preserve">Following </w:t>
      </w:r>
      <w:r w:rsidRPr="00A51255">
        <w:rPr>
          <w:rFonts w:ascii="Arial" w:hAnsi="Arial" w:cs="Arial"/>
          <w:lang w:val="en-US"/>
        </w:rPr>
        <w:t xml:space="preserve">the study of </w:t>
      </w:r>
      <w:r w:rsidR="0033033D">
        <w:rPr>
          <w:rFonts w:ascii="Arial" w:hAnsi="Arial" w:cs="Arial"/>
          <w:lang w:val="en-US"/>
        </w:rPr>
        <w:t>Brzeszczyński</w:t>
      </w:r>
      <w:r w:rsidRPr="00A51255">
        <w:rPr>
          <w:rFonts w:ascii="Arial" w:hAnsi="Arial" w:cs="Arial"/>
          <w:lang w:val="en-US"/>
        </w:rPr>
        <w:t xml:space="preserve"> and Melvin </w:t>
      </w:r>
      <w:r w:rsidR="00B903A2" w:rsidRPr="00A51255">
        <w:rPr>
          <w:rFonts w:ascii="Arial" w:hAnsi="Arial" w:cs="Arial"/>
          <w:lang w:val="en-US"/>
        </w:rPr>
        <w:t>(2006)</w:t>
      </w:r>
      <w:r w:rsidR="009F774C" w:rsidRPr="00A51255">
        <w:rPr>
          <w:rFonts w:ascii="Arial" w:hAnsi="Arial" w:cs="Arial"/>
          <w:lang w:val="en-US"/>
        </w:rPr>
        <w:t>,</w:t>
      </w:r>
      <w:r w:rsidRPr="00A51255">
        <w:rPr>
          <w:rFonts w:ascii="Arial" w:hAnsi="Arial" w:cs="Arial"/>
          <w:lang w:val="en-US"/>
        </w:rPr>
        <w:t xml:space="preserve"> we have chosen the number of trades as an indicator of trading activity because it does not include the effect of exchange rate changes, which might result in </w:t>
      </w:r>
      <w:r w:rsidR="000048ED">
        <w:rPr>
          <w:rFonts w:ascii="Arial" w:hAnsi="Arial" w:cs="Arial"/>
          <w:lang w:val="en-US"/>
        </w:rPr>
        <w:t xml:space="preserve">a </w:t>
      </w:r>
      <w:r w:rsidRPr="00A51255">
        <w:rPr>
          <w:rFonts w:ascii="Arial" w:hAnsi="Arial" w:cs="Arial"/>
          <w:lang w:val="en-US"/>
        </w:rPr>
        <w:t>misleading characterization of trading intensity.</w:t>
      </w:r>
      <w:r w:rsidR="003C5C82" w:rsidRPr="00A51255">
        <w:rPr>
          <w:rFonts w:ascii="Arial" w:hAnsi="Arial" w:cs="Arial"/>
          <w:lang w:val="en-US"/>
        </w:rPr>
        <w:t xml:space="preserve"> Therefore, the number of trades is a better metric of market activity and we </w:t>
      </w:r>
      <w:r w:rsidR="009F774C" w:rsidRPr="00A51255">
        <w:rPr>
          <w:rFonts w:ascii="Arial" w:hAnsi="Arial" w:cs="Arial"/>
          <w:lang w:val="en-US"/>
        </w:rPr>
        <w:t>used t</w:t>
      </w:r>
      <w:r w:rsidR="003C5C82" w:rsidRPr="00A51255">
        <w:rPr>
          <w:rFonts w:ascii="Arial" w:hAnsi="Arial" w:cs="Arial"/>
          <w:lang w:val="en-US"/>
        </w:rPr>
        <w:t xml:space="preserve">he same definition as in </w:t>
      </w:r>
      <w:r w:rsidR="0033033D">
        <w:rPr>
          <w:rFonts w:ascii="Arial" w:hAnsi="Arial" w:cs="Arial"/>
          <w:lang w:val="en-US"/>
        </w:rPr>
        <w:t>Brzeszczyński</w:t>
      </w:r>
      <w:r w:rsidR="003C5C82" w:rsidRPr="00A51255">
        <w:rPr>
          <w:rFonts w:ascii="Arial" w:hAnsi="Arial" w:cs="Arial"/>
          <w:lang w:val="en-US"/>
        </w:rPr>
        <w:t xml:space="preserve"> and Melvin (2006) who </w:t>
      </w:r>
      <w:r w:rsidR="009F774C" w:rsidRPr="00A51255">
        <w:rPr>
          <w:rFonts w:ascii="Arial" w:hAnsi="Arial" w:cs="Arial"/>
          <w:lang w:val="en-US"/>
        </w:rPr>
        <w:t xml:space="preserve">applied </w:t>
      </w:r>
      <w:r w:rsidR="003C5C82" w:rsidRPr="00A51255">
        <w:rPr>
          <w:rFonts w:ascii="Arial" w:hAnsi="Arial" w:cs="Arial"/>
          <w:lang w:val="en-US"/>
        </w:rPr>
        <w:t>similar data</w:t>
      </w:r>
      <w:r w:rsidR="000048ED">
        <w:rPr>
          <w:rFonts w:ascii="Arial" w:hAnsi="Arial" w:cs="Arial"/>
          <w:lang w:val="en-US"/>
        </w:rPr>
        <w:t>,</w:t>
      </w:r>
      <w:r w:rsidR="003C5C82" w:rsidRPr="00A51255">
        <w:rPr>
          <w:rFonts w:ascii="Arial" w:hAnsi="Arial" w:cs="Arial"/>
          <w:lang w:val="en-US"/>
        </w:rPr>
        <w:t xml:space="preserve"> but for the EUR/USD volume of trade.</w:t>
      </w:r>
    </w:p>
    <w:p w:rsidR="00FA447C" w:rsidRPr="00A51255" w:rsidRDefault="00FA447C" w:rsidP="008A51BD">
      <w:pPr>
        <w:spacing w:line="480" w:lineRule="auto"/>
        <w:ind w:firstLine="709"/>
        <w:jc w:val="both"/>
        <w:rPr>
          <w:rFonts w:ascii="Arial" w:hAnsi="Arial" w:cs="Arial"/>
          <w:lang w:val="en-US"/>
        </w:rPr>
      </w:pPr>
      <w:r w:rsidRPr="00A51255">
        <w:rPr>
          <w:rFonts w:ascii="Arial" w:hAnsi="Arial" w:cs="Arial"/>
          <w:lang w:val="en-US"/>
        </w:rPr>
        <w:t>The Reuters database covers the period from 1 January 1999 to 7 October 2003.</w:t>
      </w:r>
      <w:r w:rsidR="009D0CE8" w:rsidRPr="00A51255">
        <w:rPr>
          <w:rStyle w:val="FootnoteReference"/>
          <w:rFonts w:ascii="Arial" w:hAnsi="Arial" w:cs="Arial"/>
          <w:lang w:val="en-US"/>
        </w:rPr>
        <w:footnoteReference w:id="16"/>
      </w:r>
      <w:r w:rsidR="006E27A7" w:rsidRPr="00A51255">
        <w:rPr>
          <w:rFonts w:ascii="Arial" w:hAnsi="Arial" w:cs="Arial"/>
          <w:lang w:val="en-US"/>
        </w:rPr>
        <w:t xml:space="preserve"> </w:t>
      </w:r>
      <w:r w:rsidRPr="004C1C6E">
        <w:rPr>
          <w:rFonts w:ascii="Arial" w:hAnsi="Arial" w:cs="Arial"/>
          <w:lang w:val="en-US"/>
        </w:rPr>
        <w:t>Our analysis concerns, however, the time</w:t>
      </w:r>
      <w:r w:rsidR="00FD21D3" w:rsidRPr="004C1C6E">
        <w:rPr>
          <w:rFonts w:ascii="Arial" w:hAnsi="Arial" w:cs="Arial"/>
          <w:lang w:val="en-US"/>
        </w:rPr>
        <w:t xml:space="preserve"> period</w:t>
      </w:r>
      <w:r w:rsidRPr="004C1C6E">
        <w:rPr>
          <w:rFonts w:ascii="Arial" w:hAnsi="Arial" w:cs="Arial"/>
          <w:lang w:val="en-US"/>
        </w:rPr>
        <w:t xml:space="preserve"> from August 2000, which </w:t>
      </w:r>
      <w:r w:rsidR="000048ED">
        <w:rPr>
          <w:rFonts w:ascii="Arial" w:hAnsi="Arial" w:cs="Arial"/>
          <w:lang w:val="en-US"/>
        </w:rPr>
        <w:t>wa</w:t>
      </w:r>
      <w:r w:rsidRPr="004C1C6E">
        <w:rPr>
          <w:rFonts w:ascii="Arial" w:hAnsi="Arial" w:cs="Arial"/>
          <w:lang w:val="en-US"/>
        </w:rPr>
        <w:t>s the first month</w:t>
      </w:r>
      <w:r w:rsidRPr="00A51255">
        <w:rPr>
          <w:rFonts w:ascii="Arial" w:hAnsi="Arial" w:cs="Arial"/>
          <w:lang w:val="en-US"/>
        </w:rPr>
        <w:t xml:space="preserve"> when regular announcements by the Polish central bank started</w:t>
      </w:r>
      <w:r w:rsidR="009D0CE8" w:rsidRPr="00A51255">
        <w:rPr>
          <w:rStyle w:val="FootnoteReference"/>
          <w:rFonts w:ascii="Arial" w:hAnsi="Arial" w:cs="Arial"/>
          <w:lang w:val="en-US"/>
        </w:rPr>
        <w:footnoteReference w:id="17"/>
      </w:r>
      <w:r w:rsidRPr="00A51255">
        <w:rPr>
          <w:rFonts w:ascii="Arial" w:hAnsi="Arial" w:cs="Arial"/>
          <w:lang w:val="en-US"/>
        </w:rPr>
        <w:t>, until the end of September 2003 (last full calendar month in the Reuters volume database)</w:t>
      </w:r>
      <w:r w:rsidR="000048ED">
        <w:rPr>
          <w:rFonts w:ascii="Arial" w:hAnsi="Arial" w:cs="Arial"/>
          <w:lang w:val="en-US"/>
        </w:rPr>
        <w:t>,</w:t>
      </w:r>
      <w:r w:rsidRPr="00A51255">
        <w:rPr>
          <w:rFonts w:ascii="Arial" w:hAnsi="Arial" w:cs="Arial"/>
          <w:lang w:val="en-US"/>
        </w:rPr>
        <w:t xml:space="preserve"> and contains a total of 792 daily observations (after filtering </w:t>
      </w:r>
      <w:r w:rsidR="00561D0F" w:rsidRPr="00A51255">
        <w:rPr>
          <w:rFonts w:ascii="Arial" w:hAnsi="Arial" w:cs="Arial"/>
          <w:lang w:val="en-US"/>
        </w:rPr>
        <w:t xml:space="preserve">out </w:t>
      </w:r>
      <w:r w:rsidRPr="00A51255">
        <w:rPr>
          <w:rFonts w:ascii="Arial" w:hAnsi="Arial" w:cs="Arial"/>
          <w:lang w:val="en-US"/>
        </w:rPr>
        <w:t>low volume days).</w:t>
      </w:r>
      <w:r w:rsidR="00884CF0" w:rsidRPr="00A51255">
        <w:rPr>
          <w:rFonts w:ascii="Arial" w:hAnsi="Arial" w:cs="Arial"/>
          <w:lang w:val="en-US"/>
        </w:rPr>
        <w:t xml:space="preserve"> Again</w:t>
      </w:r>
      <w:r w:rsidR="00C30D82" w:rsidRPr="00A51255">
        <w:rPr>
          <w:rFonts w:ascii="Arial" w:hAnsi="Arial" w:cs="Arial"/>
          <w:lang w:val="en-US"/>
        </w:rPr>
        <w:t>,</w:t>
      </w:r>
      <w:r w:rsidR="00884CF0" w:rsidRPr="00A51255">
        <w:rPr>
          <w:rFonts w:ascii="Arial" w:hAnsi="Arial" w:cs="Arial"/>
          <w:lang w:val="en-US"/>
        </w:rPr>
        <w:t xml:space="preserve"> this time period corresponds to a major institutional change</w:t>
      </w:r>
      <w:r w:rsidR="000048ED">
        <w:rPr>
          <w:rFonts w:ascii="Arial" w:hAnsi="Arial" w:cs="Arial"/>
          <w:lang w:val="en-US"/>
        </w:rPr>
        <w:t>,</w:t>
      </w:r>
      <w:r w:rsidR="00884CF0" w:rsidRPr="00A51255">
        <w:rPr>
          <w:rFonts w:ascii="Arial" w:hAnsi="Arial" w:cs="Arial"/>
          <w:lang w:val="en-US"/>
        </w:rPr>
        <w:t xml:space="preserve"> </w:t>
      </w:r>
      <w:r w:rsidR="00E65EA5" w:rsidRPr="00A51255">
        <w:rPr>
          <w:rFonts w:ascii="Arial" w:hAnsi="Arial" w:cs="Arial"/>
          <w:lang w:val="en-US"/>
        </w:rPr>
        <w:t xml:space="preserve">as </w:t>
      </w:r>
      <w:r w:rsidR="00884CF0" w:rsidRPr="00A51255">
        <w:rPr>
          <w:rFonts w:ascii="Arial" w:hAnsi="Arial" w:cs="Arial"/>
          <w:lang w:val="en-US"/>
        </w:rPr>
        <w:t xml:space="preserve">the </w:t>
      </w:r>
      <w:r w:rsidR="00E65EA5" w:rsidRPr="00A51255">
        <w:rPr>
          <w:rFonts w:ascii="Arial" w:hAnsi="Arial" w:cs="Arial"/>
          <w:lang w:val="en-US"/>
        </w:rPr>
        <w:t xml:space="preserve">Polish </w:t>
      </w:r>
      <w:r w:rsidR="00884CF0" w:rsidRPr="00A51255">
        <w:rPr>
          <w:rFonts w:ascii="Arial" w:hAnsi="Arial" w:cs="Arial"/>
          <w:lang w:val="en-US"/>
        </w:rPr>
        <w:t>central bank</w:t>
      </w:r>
      <w:r w:rsidR="00E65EA5" w:rsidRPr="00A51255">
        <w:rPr>
          <w:rFonts w:ascii="Arial" w:hAnsi="Arial" w:cs="Arial"/>
          <w:lang w:val="en-US"/>
        </w:rPr>
        <w:t xml:space="preserve"> was in the initial stages of its development as an institution in a market economy </w:t>
      </w:r>
      <w:r w:rsidR="00F11812" w:rsidRPr="00A51255">
        <w:rPr>
          <w:rFonts w:ascii="Arial" w:hAnsi="Arial" w:cs="Arial"/>
          <w:lang w:val="en-US"/>
        </w:rPr>
        <w:t>setting</w:t>
      </w:r>
      <w:r w:rsidR="000048ED">
        <w:rPr>
          <w:rFonts w:ascii="Arial" w:hAnsi="Arial" w:cs="Arial"/>
          <w:lang w:val="en-US"/>
        </w:rPr>
        <w:t>,</w:t>
      </w:r>
      <w:r w:rsidR="00F11812" w:rsidRPr="00A51255">
        <w:rPr>
          <w:rFonts w:ascii="Arial" w:hAnsi="Arial" w:cs="Arial"/>
          <w:lang w:val="en-US"/>
        </w:rPr>
        <w:t xml:space="preserve"> and</w:t>
      </w:r>
      <w:r w:rsidR="00E65EA5" w:rsidRPr="00A51255">
        <w:rPr>
          <w:rFonts w:ascii="Arial" w:hAnsi="Arial" w:cs="Arial"/>
          <w:lang w:val="en-US"/>
        </w:rPr>
        <w:t xml:space="preserve"> </w:t>
      </w:r>
      <w:r w:rsidR="000048ED">
        <w:rPr>
          <w:rFonts w:ascii="Arial" w:hAnsi="Arial" w:cs="Arial"/>
          <w:lang w:val="en-US"/>
        </w:rPr>
        <w:t xml:space="preserve">had </w:t>
      </w:r>
      <w:r w:rsidR="00E65EA5" w:rsidRPr="00A51255">
        <w:rPr>
          <w:rFonts w:ascii="Arial" w:hAnsi="Arial" w:cs="Arial"/>
          <w:lang w:val="en-US"/>
        </w:rPr>
        <w:t>just beg</w:t>
      </w:r>
      <w:r w:rsidR="000048ED">
        <w:rPr>
          <w:rFonts w:ascii="Arial" w:hAnsi="Arial" w:cs="Arial"/>
          <w:lang w:val="en-US"/>
        </w:rPr>
        <w:t>u</w:t>
      </w:r>
      <w:r w:rsidR="00E65EA5" w:rsidRPr="00A51255">
        <w:rPr>
          <w:rFonts w:ascii="Arial" w:hAnsi="Arial" w:cs="Arial"/>
          <w:lang w:val="en-US"/>
        </w:rPr>
        <w:t xml:space="preserve">n </w:t>
      </w:r>
      <w:r w:rsidR="00E65EA5" w:rsidRPr="00A51255">
        <w:rPr>
          <w:rFonts w:ascii="Arial" w:hAnsi="Arial" w:cs="Arial"/>
          <w:lang w:val="en-US"/>
        </w:rPr>
        <w:lastRenderedPageBreak/>
        <w:t xml:space="preserve">the initial implementation of </w:t>
      </w:r>
      <w:r w:rsidR="000048ED">
        <w:rPr>
          <w:rFonts w:ascii="Arial" w:hAnsi="Arial" w:cs="Arial"/>
          <w:lang w:val="en-US"/>
        </w:rPr>
        <w:t xml:space="preserve">an </w:t>
      </w:r>
      <w:r w:rsidR="00E65EA5" w:rsidRPr="00A51255">
        <w:rPr>
          <w:rFonts w:ascii="Arial" w:hAnsi="Arial" w:cs="Arial"/>
          <w:lang w:val="en-US"/>
        </w:rPr>
        <w:t>inflation targeting regime</w:t>
      </w:r>
      <w:r w:rsidR="00B34AD3" w:rsidRPr="00A51255">
        <w:rPr>
          <w:rFonts w:ascii="Arial" w:hAnsi="Arial" w:cs="Arial"/>
          <w:lang w:val="en-US"/>
        </w:rPr>
        <w:t>.</w:t>
      </w:r>
      <w:r w:rsidR="00E65EA5" w:rsidRPr="00A51255">
        <w:rPr>
          <w:rFonts w:ascii="Arial" w:hAnsi="Arial" w:cs="Arial"/>
          <w:lang w:val="en-US"/>
        </w:rPr>
        <w:t xml:space="preserve"> As a result, our findings allow</w:t>
      </w:r>
      <w:r w:rsidR="00884CF0" w:rsidRPr="00A51255">
        <w:rPr>
          <w:rFonts w:ascii="Arial" w:hAnsi="Arial" w:cs="Arial"/>
          <w:lang w:val="en-US"/>
        </w:rPr>
        <w:t xml:space="preserve"> us to capture </w:t>
      </w:r>
      <w:r w:rsidR="00E65EA5" w:rsidRPr="00A51255">
        <w:rPr>
          <w:rFonts w:ascii="Arial" w:hAnsi="Arial" w:cs="Arial"/>
          <w:lang w:val="en-US"/>
        </w:rPr>
        <w:t>the</w:t>
      </w:r>
      <w:r w:rsidR="00F11812" w:rsidRPr="00A51255">
        <w:rPr>
          <w:rFonts w:ascii="Arial" w:hAnsi="Arial" w:cs="Arial"/>
          <w:lang w:val="en-US"/>
        </w:rPr>
        <w:t xml:space="preserve"> reaction of market participants to central bank communication by</w:t>
      </w:r>
      <w:r w:rsidR="00E65EA5" w:rsidRPr="00A51255">
        <w:rPr>
          <w:rFonts w:ascii="Arial" w:hAnsi="Arial" w:cs="Arial"/>
          <w:lang w:val="en-US"/>
        </w:rPr>
        <w:t xml:space="preserve"> </w:t>
      </w:r>
      <w:r w:rsidR="00884CF0" w:rsidRPr="00A51255">
        <w:rPr>
          <w:rFonts w:ascii="Arial" w:hAnsi="Arial" w:cs="Arial"/>
          <w:lang w:val="en-US"/>
        </w:rPr>
        <w:t xml:space="preserve">a newly </w:t>
      </w:r>
      <w:r w:rsidR="00E65EA5" w:rsidRPr="00A51255">
        <w:rPr>
          <w:rFonts w:ascii="Arial" w:hAnsi="Arial" w:cs="Arial"/>
          <w:lang w:val="en-US"/>
        </w:rPr>
        <w:t>institutionalized central bank</w:t>
      </w:r>
      <w:r w:rsidR="00F11812" w:rsidRPr="00A51255">
        <w:rPr>
          <w:rFonts w:ascii="Arial" w:hAnsi="Arial" w:cs="Arial"/>
          <w:lang w:val="en-US"/>
        </w:rPr>
        <w:t xml:space="preserve"> and MPC</w:t>
      </w:r>
      <w:r w:rsidR="008E321E" w:rsidRPr="00A51255">
        <w:rPr>
          <w:rFonts w:ascii="Arial" w:hAnsi="Arial" w:cs="Arial"/>
          <w:lang w:val="en-US"/>
        </w:rPr>
        <w:t>,</w:t>
      </w:r>
      <w:r w:rsidR="00E65EA5" w:rsidRPr="00A51255">
        <w:rPr>
          <w:rFonts w:ascii="Arial" w:hAnsi="Arial" w:cs="Arial"/>
          <w:lang w:val="en-US"/>
        </w:rPr>
        <w:t xml:space="preserve"> </w:t>
      </w:r>
      <w:r w:rsidR="0072488B" w:rsidRPr="00A51255">
        <w:rPr>
          <w:rFonts w:ascii="Arial" w:hAnsi="Arial" w:cs="Arial"/>
          <w:lang w:val="en-US"/>
        </w:rPr>
        <w:t>wh</w:t>
      </w:r>
      <w:r w:rsidR="000048ED">
        <w:rPr>
          <w:rFonts w:ascii="Arial" w:hAnsi="Arial" w:cs="Arial"/>
          <w:lang w:val="en-US"/>
        </w:rPr>
        <w:t>ich was</w:t>
      </w:r>
      <w:r w:rsidR="0072488B" w:rsidRPr="00A51255">
        <w:rPr>
          <w:rFonts w:ascii="Arial" w:hAnsi="Arial" w:cs="Arial"/>
          <w:lang w:val="en-US"/>
        </w:rPr>
        <w:t xml:space="preserve">, </w:t>
      </w:r>
      <w:r w:rsidR="00F11812" w:rsidRPr="00A51255">
        <w:rPr>
          <w:rFonts w:ascii="Arial" w:hAnsi="Arial" w:cs="Arial"/>
          <w:lang w:val="en-US"/>
        </w:rPr>
        <w:t>at the same time</w:t>
      </w:r>
      <w:r w:rsidR="0072488B" w:rsidRPr="00A51255">
        <w:rPr>
          <w:rFonts w:ascii="Arial" w:hAnsi="Arial" w:cs="Arial"/>
          <w:lang w:val="en-US"/>
        </w:rPr>
        <w:t>,</w:t>
      </w:r>
      <w:r w:rsidR="00F11812" w:rsidRPr="00A51255">
        <w:rPr>
          <w:rFonts w:ascii="Arial" w:hAnsi="Arial" w:cs="Arial"/>
          <w:lang w:val="en-US"/>
        </w:rPr>
        <w:t xml:space="preserve"> </w:t>
      </w:r>
      <w:r w:rsidR="00B34AD3" w:rsidRPr="00A51255">
        <w:rPr>
          <w:rFonts w:ascii="Arial" w:hAnsi="Arial" w:cs="Arial"/>
          <w:lang w:val="en-US"/>
        </w:rPr>
        <w:t>switching to</w:t>
      </w:r>
      <w:r w:rsidR="00E65EA5" w:rsidRPr="00A51255">
        <w:rPr>
          <w:rFonts w:ascii="Arial" w:hAnsi="Arial" w:cs="Arial"/>
          <w:lang w:val="en-US"/>
        </w:rPr>
        <w:t xml:space="preserve"> a </w:t>
      </w:r>
      <w:r w:rsidR="00B34AD3" w:rsidRPr="00A51255">
        <w:rPr>
          <w:rFonts w:ascii="Arial" w:hAnsi="Arial" w:cs="Arial"/>
          <w:lang w:val="en-US"/>
        </w:rPr>
        <w:t xml:space="preserve">new </w:t>
      </w:r>
      <w:r w:rsidR="00E65EA5" w:rsidRPr="00A51255">
        <w:rPr>
          <w:rFonts w:ascii="Arial" w:hAnsi="Arial" w:cs="Arial"/>
          <w:lang w:val="en-US"/>
        </w:rPr>
        <w:t>monetary policy regime</w:t>
      </w:r>
      <w:r w:rsidR="000048ED">
        <w:rPr>
          <w:rFonts w:ascii="Arial" w:hAnsi="Arial" w:cs="Arial"/>
          <w:lang w:val="en-US"/>
        </w:rPr>
        <w:t>. This therefore</w:t>
      </w:r>
      <w:r w:rsidR="007E50C1" w:rsidRPr="00A51255">
        <w:rPr>
          <w:rFonts w:ascii="Arial" w:hAnsi="Arial" w:cs="Arial"/>
          <w:lang w:val="en-US"/>
        </w:rPr>
        <w:t xml:space="preserve"> provid</w:t>
      </w:r>
      <w:r w:rsidR="000048ED">
        <w:rPr>
          <w:rFonts w:ascii="Arial" w:hAnsi="Arial" w:cs="Arial"/>
          <w:lang w:val="en-US"/>
        </w:rPr>
        <w:t>es</w:t>
      </w:r>
      <w:r w:rsidR="007E50C1" w:rsidRPr="00A51255">
        <w:rPr>
          <w:rFonts w:ascii="Arial" w:hAnsi="Arial" w:cs="Arial"/>
          <w:lang w:val="en-US"/>
        </w:rPr>
        <w:t xml:space="preserve"> a unique laboratory to understand the behavior of traders </w:t>
      </w:r>
      <w:r w:rsidR="009A65B6" w:rsidRPr="00A51255">
        <w:rPr>
          <w:rFonts w:ascii="Arial" w:hAnsi="Arial" w:cs="Arial"/>
          <w:lang w:val="en-US"/>
        </w:rPr>
        <w:t xml:space="preserve">during </w:t>
      </w:r>
      <w:r w:rsidR="007E50C1" w:rsidRPr="00A51255">
        <w:rPr>
          <w:rFonts w:ascii="Arial" w:hAnsi="Arial" w:cs="Arial"/>
          <w:lang w:val="en-US"/>
        </w:rPr>
        <w:t xml:space="preserve">such an extraordinary </w:t>
      </w:r>
      <w:r w:rsidR="009A65B6" w:rsidRPr="00A51255">
        <w:rPr>
          <w:rFonts w:ascii="Arial" w:hAnsi="Arial" w:cs="Arial"/>
          <w:lang w:val="en-US"/>
        </w:rPr>
        <w:t xml:space="preserve">set of </w:t>
      </w:r>
      <w:r w:rsidR="007E50C1" w:rsidRPr="00A51255">
        <w:rPr>
          <w:rFonts w:ascii="Arial" w:hAnsi="Arial" w:cs="Arial"/>
          <w:lang w:val="en-US"/>
        </w:rPr>
        <w:t>events.</w:t>
      </w:r>
      <w:r w:rsidR="00884CF0" w:rsidRPr="00A51255">
        <w:rPr>
          <w:rFonts w:ascii="Arial" w:hAnsi="Arial" w:cs="Arial"/>
          <w:lang w:val="en-US"/>
        </w:rPr>
        <w:t xml:space="preserve"> </w:t>
      </w:r>
    </w:p>
    <w:p w:rsidR="00501BE5" w:rsidRPr="00A51255" w:rsidRDefault="00E65EA5" w:rsidP="00FA447C">
      <w:pPr>
        <w:spacing w:line="480" w:lineRule="auto"/>
        <w:ind w:firstLine="708"/>
        <w:jc w:val="both"/>
        <w:rPr>
          <w:rFonts w:ascii="Arial" w:hAnsi="Arial" w:cs="Arial"/>
          <w:lang w:val="en-US"/>
        </w:rPr>
      </w:pPr>
      <w:r w:rsidRPr="00A51255">
        <w:rPr>
          <w:rFonts w:ascii="Arial" w:hAnsi="Arial" w:cs="Arial"/>
          <w:lang w:val="en-US"/>
        </w:rPr>
        <w:t xml:space="preserve">Another important benefit of using this dataset is that </w:t>
      </w:r>
      <w:r w:rsidR="00A80035">
        <w:rPr>
          <w:rFonts w:ascii="Arial" w:hAnsi="Arial" w:cs="Arial"/>
          <w:lang w:val="en-US"/>
        </w:rPr>
        <w:t xml:space="preserve">the </w:t>
      </w:r>
      <w:r w:rsidRPr="00A51255">
        <w:rPr>
          <w:rFonts w:ascii="Arial" w:hAnsi="Arial" w:cs="Arial"/>
          <w:lang w:val="en-US"/>
        </w:rPr>
        <w:t xml:space="preserve">Reuters electronic brokerage platform has the highest market share in the global currency market trading among all other similar dealing systems. According to the information we received from the </w:t>
      </w:r>
      <w:r w:rsidR="00D148DE" w:rsidRPr="00A51255">
        <w:rPr>
          <w:rFonts w:ascii="Arial" w:hAnsi="Arial" w:cs="Arial"/>
          <w:lang w:val="en-US"/>
        </w:rPr>
        <w:t>officials</w:t>
      </w:r>
      <w:r w:rsidR="004F4F58" w:rsidRPr="00A51255">
        <w:rPr>
          <w:rFonts w:ascii="Arial" w:hAnsi="Arial" w:cs="Arial"/>
          <w:lang w:val="en-US"/>
        </w:rPr>
        <w:t xml:space="preserve"> at the </w:t>
      </w:r>
      <w:r w:rsidRPr="00A51255">
        <w:rPr>
          <w:rFonts w:ascii="Arial" w:hAnsi="Arial" w:cs="Arial"/>
          <w:lang w:val="en-US"/>
        </w:rPr>
        <w:t xml:space="preserve">National Bank of Poland </w:t>
      </w:r>
      <w:r w:rsidR="004F4F58" w:rsidRPr="00A51255">
        <w:rPr>
          <w:rFonts w:ascii="Arial" w:hAnsi="Arial" w:cs="Arial"/>
          <w:lang w:val="en-US"/>
        </w:rPr>
        <w:t xml:space="preserve">and </w:t>
      </w:r>
      <w:r w:rsidRPr="00A51255">
        <w:rPr>
          <w:rFonts w:ascii="Arial" w:hAnsi="Arial" w:cs="Arial"/>
          <w:lang w:val="en-US"/>
        </w:rPr>
        <w:t>Reuters in Warsaw</w:t>
      </w:r>
      <w:r w:rsidR="004F4F58" w:rsidRPr="00A51255">
        <w:rPr>
          <w:rFonts w:ascii="Arial" w:hAnsi="Arial" w:cs="Arial"/>
          <w:lang w:val="en-US"/>
        </w:rPr>
        <w:t xml:space="preserve"> who had access to data in the early 200</w:t>
      </w:r>
      <w:r w:rsidR="00D148DE" w:rsidRPr="00A51255">
        <w:rPr>
          <w:rFonts w:ascii="Arial" w:hAnsi="Arial" w:cs="Arial"/>
          <w:lang w:val="en-US"/>
        </w:rPr>
        <w:t>0</w:t>
      </w:r>
      <w:r w:rsidR="004F4F58" w:rsidRPr="00A51255">
        <w:rPr>
          <w:rFonts w:ascii="Arial" w:hAnsi="Arial" w:cs="Arial"/>
          <w:lang w:val="en-US"/>
        </w:rPr>
        <w:t xml:space="preserve">s, </w:t>
      </w:r>
      <w:r w:rsidRPr="00A51255">
        <w:rPr>
          <w:rFonts w:ascii="Arial" w:hAnsi="Arial" w:cs="Arial"/>
          <w:lang w:val="en-US"/>
        </w:rPr>
        <w:t xml:space="preserve">in the period of time analyzed in this paper </w:t>
      </w:r>
      <w:r w:rsidR="00D148DE" w:rsidRPr="00A51255">
        <w:rPr>
          <w:rFonts w:ascii="Arial" w:hAnsi="Arial" w:cs="Arial"/>
          <w:lang w:val="en-US"/>
        </w:rPr>
        <w:t>Reuters served over 90</w:t>
      </w:r>
      <w:r w:rsidR="00FA6FD1" w:rsidRPr="00A51255">
        <w:rPr>
          <w:rFonts w:ascii="Arial" w:hAnsi="Arial" w:cs="Arial"/>
          <w:lang w:val="en-US"/>
        </w:rPr>
        <w:t>%</w:t>
      </w:r>
      <w:r w:rsidR="00D148DE" w:rsidRPr="00A51255">
        <w:rPr>
          <w:rFonts w:ascii="Arial" w:hAnsi="Arial" w:cs="Arial"/>
          <w:lang w:val="en-US"/>
        </w:rPr>
        <w:t xml:space="preserve"> of transactions in the Polish zloty in the market in Poland and about 50</w:t>
      </w:r>
      <w:r w:rsidR="00FA6FD1" w:rsidRPr="00A51255">
        <w:rPr>
          <w:rFonts w:ascii="Arial" w:hAnsi="Arial" w:cs="Arial"/>
          <w:lang w:val="en-US"/>
        </w:rPr>
        <w:t>%</w:t>
      </w:r>
      <w:r w:rsidR="00D148DE" w:rsidRPr="00A51255">
        <w:rPr>
          <w:rFonts w:ascii="Arial" w:hAnsi="Arial" w:cs="Arial"/>
          <w:lang w:val="en-US"/>
        </w:rPr>
        <w:t xml:space="preserve"> in the zloty off-shore market.</w:t>
      </w:r>
    </w:p>
    <w:p w:rsidR="004D2267" w:rsidRPr="00A51255" w:rsidRDefault="00A80035" w:rsidP="00501BE5">
      <w:pPr>
        <w:spacing w:line="480" w:lineRule="auto"/>
        <w:ind w:firstLine="708"/>
        <w:jc w:val="both"/>
        <w:rPr>
          <w:rFonts w:ascii="Arial" w:hAnsi="Arial" w:cs="Arial"/>
          <w:lang w:val="en-US"/>
        </w:rPr>
      </w:pPr>
      <w:r>
        <w:rPr>
          <w:rFonts w:ascii="Arial" w:hAnsi="Arial" w:cs="Arial"/>
          <w:lang w:val="en-US"/>
        </w:rPr>
        <w:t>The r</w:t>
      </w:r>
      <w:r w:rsidR="00FA447C" w:rsidRPr="00A51255">
        <w:rPr>
          <w:rFonts w:ascii="Arial" w:hAnsi="Arial" w:cs="Arial"/>
          <w:lang w:val="en-US"/>
        </w:rPr>
        <w:t>aw data has been adjusted by removing the low volume days, such as holidays and Sundays (which contained accidental outliers).</w:t>
      </w:r>
      <w:r w:rsidR="009D0CE8" w:rsidRPr="00A51255">
        <w:rPr>
          <w:rStyle w:val="FootnoteReference"/>
          <w:rFonts w:ascii="Arial" w:hAnsi="Arial" w:cs="Arial"/>
          <w:lang w:val="en-US"/>
        </w:rPr>
        <w:footnoteReference w:id="18"/>
      </w:r>
      <w:r w:rsidR="00913524" w:rsidRPr="00A51255">
        <w:rPr>
          <w:rFonts w:ascii="Arial" w:hAnsi="Arial" w:cs="Arial"/>
          <w:lang w:val="en-US"/>
        </w:rPr>
        <w:t xml:space="preserve"> </w:t>
      </w:r>
      <w:r w:rsidR="00FA447C" w:rsidRPr="00A51255">
        <w:rPr>
          <w:rFonts w:ascii="Arial" w:hAnsi="Arial" w:cs="Arial"/>
          <w:lang w:val="en-US"/>
        </w:rPr>
        <w:t xml:space="preserve">The procedure for removing low volume days </w:t>
      </w:r>
      <w:r>
        <w:rPr>
          <w:rFonts w:ascii="Arial" w:hAnsi="Arial" w:cs="Arial"/>
          <w:lang w:val="en-US"/>
        </w:rPr>
        <w:t>is</w:t>
      </w:r>
      <w:r w:rsidR="00FA447C" w:rsidRPr="00A51255">
        <w:rPr>
          <w:rFonts w:ascii="Arial" w:hAnsi="Arial" w:cs="Arial"/>
          <w:lang w:val="en-US"/>
        </w:rPr>
        <w:t xml:space="preserve"> similar to the one applied in </w:t>
      </w:r>
      <w:r w:rsidR="0033033D">
        <w:rPr>
          <w:rFonts w:ascii="Arial" w:hAnsi="Arial" w:cs="Arial"/>
          <w:lang w:val="en-US"/>
        </w:rPr>
        <w:t>Brzeszczyński</w:t>
      </w:r>
      <w:r w:rsidR="00FA447C" w:rsidRPr="00A51255">
        <w:rPr>
          <w:rFonts w:ascii="Arial" w:hAnsi="Arial" w:cs="Arial"/>
          <w:lang w:val="en-US"/>
        </w:rPr>
        <w:t xml:space="preserve"> and Melvin </w:t>
      </w:r>
      <w:r w:rsidR="00B903A2" w:rsidRPr="00A51255">
        <w:rPr>
          <w:rFonts w:ascii="Arial" w:hAnsi="Arial" w:cs="Arial"/>
          <w:lang w:val="en-US"/>
        </w:rPr>
        <w:t>(2006)</w:t>
      </w:r>
      <w:r w:rsidR="00FA447C" w:rsidRPr="00A51255">
        <w:rPr>
          <w:rFonts w:ascii="Arial" w:hAnsi="Arial" w:cs="Arial"/>
          <w:lang w:val="en-US"/>
        </w:rPr>
        <w:t xml:space="preserve"> in the study about the EUR/USD volume of trade. </w:t>
      </w:r>
    </w:p>
    <w:p w:rsidR="0019702A" w:rsidRPr="00A51255" w:rsidRDefault="0019702A" w:rsidP="00501BE5">
      <w:pPr>
        <w:spacing w:line="480" w:lineRule="auto"/>
        <w:ind w:firstLine="708"/>
        <w:jc w:val="both"/>
        <w:rPr>
          <w:rFonts w:ascii="Arial" w:hAnsi="Arial" w:cs="Arial"/>
          <w:lang w:val="en-US"/>
        </w:rPr>
      </w:pPr>
    </w:p>
    <w:p w:rsidR="0019702A" w:rsidRPr="00A51255" w:rsidRDefault="0019702A" w:rsidP="0019702A">
      <w:pPr>
        <w:spacing w:line="480" w:lineRule="auto"/>
        <w:jc w:val="center"/>
        <w:rPr>
          <w:rFonts w:ascii="Arial" w:hAnsi="Arial" w:cs="Arial"/>
          <w:i/>
          <w:lang w:val="en-US"/>
        </w:rPr>
      </w:pPr>
      <w:r w:rsidRPr="00A51255">
        <w:rPr>
          <w:rFonts w:ascii="Arial" w:hAnsi="Arial" w:cs="Arial"/>
          <w:i/>
          <w:lang w:val="en-US"/>
        </w:rPr>
        <w:t>[Table 2 around here]</w:t>
      </w:r>
    </w:p>
    <w:p w:rsidR="0019702A" w:rsidRPr="00A51255" w:rsidRDefault="0019702A" w:rsidP="00501BE5">
      <w:pPr>
        <w:spacing w:line="480" w:lineRule="auto"/>
        <w:ind w:firstLine="708"/>
        <w:jc w:val="both"/>
        <w:rPr>
          <w:rFonts w:ascii="Arial" w:hAnsi="Arial" w:cs="Arial"/>
          <w:lang w:val="en-US"/>
        </w:rPr>
      </w:pPr>
    </w:p>
    <w:p w:rsidR="0001577C" w:rsidRDefault="00FA447C" w:rsidP="00FA447C">
      <w:pPr>
        <w:spacing w:line="480" w:lineRule="auto"/>
        <w:ind w:firstLine="708"/>
        <w:jc w:val="both"/>
        <w:rPr>
          <w:rFonts w:ascii="Arial" w:hAnsi="Arial" w:cs="Arial"/>
          <w:lang w:val="en-US"/>
        </w:rPr>
      </w:pPr>
      <w:r w:rsidRPr="00A51255">
        <w:rPr>
          <w:rFonts w:ascii="Arial" w:hAnsi="Arial" w:cs="Arial"/>
          <w:lang w:val="en-US"/>
        </w:rPr>
        <w:t xml:space="preserve">Table 2 provides descriptive statistics for both foreign exchange rate returns and trading volume. Returns are calculated </w:t>
      </w:r>
      <w:r w:rsidR="009A7A80" w:rsidRPr="00A51255">
        <w:rPr>
          <w:rFonts w:ascii="Arial" w:hAnsi="Arial" w:cs="Arial"/>
          <w:lang w:val="en-US"/>
        </w:rPr>
        <w:t xml:space="preserve">as holding period returns </w:t>
      </w:r>
      <w:r w:rsidRPr="00A51255">
        <w:rPr>
          <w:rFonts w:ascii="Arial" w:hAnsi="Arial" w:cs="Arial"/>
          <w:lang w:val="en-US"/>
        </w:rPr>
        <w:t xml:space="preserve">using the first opening price and last closing price on every day. </w:t>
      </w:r>
      <w:r w:rsidR="00A80035">
        <w:rPr>
          <w:rFonts w:ascii="Arial" w:hAnsi="Arial" w:cs="Arial"/>
          <w:lang w:val="en-US"/>
        </w:rPr>
        <w:t>With regard to</w:t>
      </w:r>
      <w:r w:rsidRPr="00A51255">
        <w:rPr>
          <w:rFonts w:ascii="Arial" w:hAnsi="Arial" w:cs="Arial"/>
          <w:lang w:val="en-US"/>
        </w:rPr>
        <w:t xml:space="preserve"> volume we used the percentage change of PLN/USD number of trades on every day. </w:t>
      </w:r>
      <w:r w:rsidR="0072488B" w:rsidRPr="00A51255">
        <w:rPr>
          <w:rFonts w:ascii="Arial" w:hAnsi="Arial" w:cs="Arial"/>
          <w:lang w:val="en-US"/>
        </w:rPr>
        <w:t>During our sample period, the daily foreign exchange rate returns ranged from -2.6</w:t>
      </w:r>
      <w:r w:rsidR="00FA6FD1" w:rsidRPr="00A51255">
        <w:rPr>
          <w:rFonts w:ascii="Arial" w:hAnsi="Arial" w:cs="Arial"/>
          <w:lang w:val="en-US"/>
        </w:rPr>
        <w:t>%</w:t>
      </w:r>
      <w:r w:rsidR="0072488B" w:rsidRPr="00A51255">
        <w:rPr>
          <w:rFonts w:ascii="Arial" w:hAnsi="Arial" w:cs="Arial"/>
          <w:lang w:val="en-US"/>
        </w:rPr>
        <w:t xml:space="preserve"> (minimum) </w:t>
      </w:r>
      <w:r w:rsidR="009F2337" w:rsidRPr="00A51255">
        <w:rPr>
          <w:rFonts w:ascii="Arial" w:hAnsi="Arial" w:cs="Arial"/>
          <w:lang w:val="en-US"/>
        </w:rPr>
        <w:t>to</w:t>
      </w:r>
      <w:r w:rsidR="0072488B" w:rsidRPr="00A51255">
        <w:rPr>
          <w:rFonts w:ascii="Arial" w:hAnsi="Arial" w:cs="Arial"/>
          <w:lang w:val="en-US"/>
        </w:rPr>
        <w:t xml:space="preserve"> 4.3</w:t>
      </w:r>
      <w:r w:rsidR="00FA6FD1" w:rsidRPr="00A51255">
        <w:rPr>
          <w:rFonts w:ascii="Arial" w:hAnsi="Arial" w:cs="Arial"/>
          <w:lang w:val="en-US"/>
        </w:rPr>
        <w:t>%</w:t>
      </w:r>
      <w:r w:rsidR="0072488B" w:rsidRPr="00A51255">
        <w:rPr>
          <w:rFonts w:ascii="Arial" w:hAnsi="Arial" w:cs="Arial"/>
          <w:lang w:val="en-US"/>
        </w:rPr>
        <w:t xml:space="preserve"> (maximum), while the </w:t>
      </w:r>
      <w:r w:rsidR="0072488B" w:rsidRPr="00A51255">
        <w:rPr>
          <w:rFonts w:ascii="Arial" w:hAnsi="Arial" w:cs="Arial"/>
          <w:lang w:val="en-US"/>
        </w:rPr>
        <w:lastRenderedPageBreak/>
        <w:t xml:space="preserve">trading volume changes were </w:t>
      </w:r>
      <w:r w:rsidR="009F2337" w:rsidRPr="00A51255">
        <w:rPr>
          <w:rFonts w:ascii="Arial" w:hAnsi="Arial" w:cs="Arial"/>
          <w:lang w:val="en-US"/>
        </w:rPr>
        <w:t>between -</w:t>
      </w:r>
      <w:r w:rsidR="0072488B" w:rsidRPr="00A51255">
        <w:rPr>
          <w:rFonts w:ascii="Arial" w:hAnsi="Arial" w:cs="Arial"/>
          <w:lang w:val="en-US"/>
        </w:rPr>
        <w:t>74</w:t>
      </w:r>
      <w:r w:rsidR="00FA6FD1" w:rsidRPr="00A51255">
        <w:rPr>
          <w:rFonts w:ascii="Arial" w:hAnsi="Arial" w:cs="Arial"/>
          <w:lang w:val="en-US"/>
        </w:rPr>
        <w:t>%</w:t>
      </w:r>
      <w:r w:rsidR="0072488B" w:rsidRPr="00A51255">
        <w:rPr>
          <w:rFonts w:ascii="Arial" w:hAnsi="Arial" w:cs="Arial"/>
          <w:lang w:val="en-US"/>
        </w:rPr>
        <w:t xml:space="preserve"> (minimum) and 268</w:t>
      </w:r>
      <w:r w:rsidR="00FA6FD1" w:rsidRPr="00A51255">
        <w:rPr>
          <w:rFonts w:ascii="Arial" w:hAnsi="Arial" w:cs="Arial"/>
          <w:lang w:val="en-US"/>
        </w:rPr>
        <w:t>%</w:t>
      </w:r>
      <w:r w:rsidR="0072488B" w:rsidRPr="00A51255">
        <w:rPr>
          <w:rFonts w:ascii="Arial" w:hAnsi="Arial" w:cs="Arial"/>
          <w:lang w:val="en-US"/>
        </w:rPr>
        <w:t xml:space="preserve"> (maximum). </w:t>
      </w:r>
      <w:r w:rsidRPr="00A51255">
        <w:rPr>
          <w:rFonts w:ascii="Arial" w:hAnsi="Arial" w:cs="Arial"/>
          <w:lang w:val="en-US"/>
        </w:rPr>
        <w:t xml:space="preserve">As expected, the trading volume is much more volatile than the exchange rate returns. </w:t>
      </w:r>
    </w:p>
    <w:p w:rsidR="003F7FF6" w:rsidRDefault="003F7FF6" w:rsidP="00E75032">
      <w:pPr>
        <w:spacing w:line="480" w:lineRule="auto"/>
        <w:ind w:firstLine="708"/>
        <w:rPr>
          <w:rFonts w:ascii="Arial" w:hAnsi="Arial" w:cs="Arial"/>
          <w:b/>
          <w:lang w:val="en-US"/>
        </w:rPr>
      </w:pPr>
    </w:p>
    <w:p w:rsidR="00D55E2F" w:rsidRPr="00A51255" w:rsidRDefault="00D21E62" w:rsidP="00E75032">
      <w:pPr>
        <w:spacing w:line="480" w:lineRule="auto"/>
        <w:ind w:firstLine="708"/>
        <w:rPr>
          <w:rFonts w:ascii="Arial" w:hAnsi="Arial" w:cs="Arial"/>
          <w:b/>
          <w:lang w:val="en-US"/>
        </w:rPr>
      </w:pPr>
      <w:r>
        <w:rPr>
          <w:rFonts w:ascii="Arial" w:hAnsi="Arial" w:cs="Arial"/>
          <w:b/>
          <w:lang w:val="en-US"/>
        </w:rPr>
        <w:t>4</w:t>
      </w:r>
      <w:r w:rsidR="00FA447C" w:rsidRPr="00A51255">
        <w:rPr>
          <w:rFonts w:ascii="Arial" w:hAnsi="Arial" w:cs="Arial"/>
          <w:b/>
          <w:lang w:val="en-US"/>
        </w:rPr>
        <w:t>.</w:t>
      </w:r>
      <w:r w:rsidR="0087591A" w:rsidRPr="00A51255">
        <w:rPr>
          <w:rFonts w:ascii="Arial" w:hAnsi="Arial" w:cs="Arial"/>
          <w:b/>
          <w:lang w:val="en-US"/>
        </w:rPr>
        <w:t>2</w:t>
      </w:r>
      <w:r w:rsidR="00525DFC" w:rsidRPr="00A51255">
        <w:rPr>
          <w:rFonts w:ascii="Arial" w:hAnsi="Arial" w:cs="Arial"/>
          <w:b/>
          <w:lang w:val="en-US"/>
        </w:rPr>
        <w:t xml:space="preserve">. Results for the </w:t>
      </w:r>
      <w:r w:rsidR="00066D38" w:rsidRPr="00A51255">
        <w:rPr>
          <w:rFonts w:ascii="Arial" w:hAnsi="Arial" w:cs="Arial"/>
          <w:b/>
          <w:lang w:val="en-US"/>
        </w:rPr>
        <w:t>Money Supply (</w:t>
      </w:r>
      <w:r w:rsidR="00066D38" w:rsidRPr="00A51255">
        <w:rPr>
          <w:b/>
          <w:i/>
          <w:lang w:val="en-US"/>
        </w:rPr>
        <w:t>MS</w:t>
      </w:r>
      <w:r w:rsidR="00194619" w:rsidRPr="00A51255">
        <w:rPr>
          <w:rFonts w:ascii="Arial" w:hAnsi="Arial" w:cs="Arial"/>
          <w:b/>
          <w:lang w:val="en-US"/>
        </w:rPr>
        <w:t>) A</w:t>
      </w:r>
      <w:r w:rsidR="00066D38" w:rsidRPr="00A51255">
        <w:rPr>
          <w:rFonts w:ascii="Arial" w:hAnsi="Arial" w:cs="Arial"/>
          <w:b/>
          <w:lang w:val="en-US"/>
        </w:rPr>
        <w:t>nnouncements</w:t>
      </w:r>
    </w:p>
    <w:p w:rsidR="00066D38" w:rsidRPr="00A51255" w:rsidRDefault="00066D38" w:rsidP="00842C65">
      <w:pPr>
        <w:spacing w:line="480" w:lineRule="auto"/>
        <w:ind w:firstLine="708"/>
        <w:jc w:val="both"/>
        <w:rPr>
          <w:rFonts w:ascii="Arial" w:hAnsi="Arial" w:cs="Arial"/>
          <w:lang w:val="en-US"/>
        </w:rPr>
      </w:pPr>
      <w:r w:rsidRPr="00A51255">
        <w:rPr>
          <w:rFonts w:ascii="Arial" w:hAnsi="Arial" w:cs="Arial"/>
          <w:lang w:val="en-US"/>
        </w:rPr>
        <w:t xml:space="preserve">We start </w:t>
      </w:r>
      <w:r w:rsidR="001B0274" w:rsidRPr="00A51255">
        <w:rPr>
          <w:rFonts w:ascii="Arial" w:hAnsi="Arial" w:cs="Arial"/>
          <w:lang w:val="en-US"/>
        </w:rPr>
        <w:t>with the discussion of an</w:t>
      </w:r>
      <w:r w:rsidR="00842C65" w:rsidRPr="00A51255">
        <w:rPr>
          <w:rFonts w:ascii="Arial" w:hAnsi="Arial" w:cs="Arial"/>
          <w:lang w:val="en-US"/>
        </w:rPr>
        <w:t xml:space="preserve"> </w:t>
      </w:r>
      <w:r w:rsidR="00377DD7" w:rsidRPr="00A51255">
        <w:rPr>
          <w:rFonts w:ascii="Arial" w:hAnsi="Arial" w:cs="Arial"/>
          <w:lang w:val="en-US"/>
        </w:rPr>
        <w:t xml:space="preserve">impact of the </w:t>
      </w:r>
      <w:r w:rsidR="00842C65" w:rsidRPr="00A51255">
        <w:rPr>
          <w:rFonts w:ascii="Arial" w:hAnsi="Arial" w:cs="Arial"/>
          <w:lang w:val="en-US"/>
        </w:rPr>
        <w:t xml:space="preserve">first type of </w:t>
      </w:r>
      <w:r w:rsidR="00C34085" w:rsidRPr="00A51255">
        <w:rPr>
          <w:rFonts w:ascii="Arial" w:hAnsi="Arial" w:cs="Arial"/>
          <w:lang w:val="en-US"/>
        </w:rPr>
        <w:t>the NBP announcement</w:t>
      </w:r>
      <w:r w:rsidR="00842C65" w:rsidRPr="00A51255">
        <w:rPr>
          <w:rFonts w:ascii="Arial" w:hAnsi="Arial" w:cs="Arial"/>
          <w:lang w:val="en-US"/>
        </w:rPr>
        <w:t xml:space="preserve">, </w:t>
      </w:r>
      <w:r w:rsidR="001B0274" w:rsidRPr="00A51255">
        <w:rPr>
          <w:rFonts w:ascii="Arial" w:hAnsi="Arial" w:cs="Arial"/>
          <w:lang w:val="en-US"/>
        </w:rPr>
        <w:t xml:space="preserve">i.e. </w:t>
      </w:r>
      <w:r w:rsidR="00842C65" w:rsidRPr="00A51255">
        <w:rPr>
          <w:rFonts w:ascii="Arial" w:hAnsi="Arial" w:cs="Arial"/>
          <w:lang w:val="en-US"/>
        </w:rPr>
        <w:t xml:space="preserve">the </w:t>
      </w:r>
      <w:r w:rsidR="003107E6" w:rsidRPr="00A51255">
        <w:rPr>
          <w:rFonts w:ascii="Arial" w:hAnsi="Arial" w:cs="Arial"/>
          <w:lang w:val="en-US"/>
        </w:rPr>
        <w:t>release of the</w:t>
      </w:r>
      <w:r w:rsidR="00C34085" w:rsidRPr="00A51255">
        <w:rPr>
          <w:rFonts w:ascii="Arial" w:hAnsi="Arial" w:cs="Arial"/>
          <w:lang w:val="en-US"/>
        </w:rPr>
        <w:t xml:space="preserve"> </w:t>
      </w:r>
      <w:r w:rsidR="00842C65" w:rsidRPr="00A51255">
        <w:rPr>
          <w:rFonts w:ascii="Arial" w:hAnsi="Arial" w:cs="Arial"/>
          <w:lang w:val="en-US"/>
        </w:rPr>
        <w:t>money supply (</w:t>
      </w:r>
      <w:r w:rsidR="00842C65" w:rsidRPr="00A51255">
        <w:rPr>
          <w:i/>
          <w:lang w:val="en-US"/>
        </w:rPr>
        <w:t>MS</w:t>
      </w:r>
      <w:r w:rsidR="00842C65" w:rsidRPr="00A51255">
        <w:rPr>
          <w:rFonts w:ascii="Arial" w:hAnsi="Arial" w:cs="Arial"/>
          <w:lang w:val="en-US"/>
        </w:rPr>
        <w:t xml:space="preserve">) </w:t>
      </w:r>
      <w:r w:rsidR="00C34085" w:rsidRPr="00A51255">
        <w:rPr>
          <w:rFonts w:ascii="Arial" w:hAnsi="Arial" w:cs="Arial"/>
          <w:lang w:val="en-US"/>
        </w:rPr>
        <w:t>figures,</w:t>
      </w:r>
      <w:r w:rsidR="007E462E" w:rsidRPr="00A51255">
        <w:rPr>
          <w:rFonts w:ascii="Arial" w:hAnsi="Arial" w:cs="Arial"/>
          <w:lang w:val="en-US"/>
        </w:rPr>
        <w:t xml:space="preserve"> which we focus on first</w:t>
      </w:r>
      <w:r w:rsidR="005874AA" w:rsidRPr="00A51255">
        <w:rPr>
          <w:rFonts w:ascii="Arial" w:hAnsi="Arial" w:cs="Arial"/>
          <w:lang w:val="en-US"/>
        </w:rPr>
        <w:t xml:space="preserve"> </w:t>
      </w:r>
      <w:r w:rsidR="007E462E" w:rsidRPr="00A51255">
        <w:rPr>
          <w:rFonts w:ascii="Arial" w:hAnsi="Arial" w:cs="Arial"/>
          <w:lang w:val="en-US"/>
        </w:rPr>
        <w:t xml:space="preserve">as an example of the monetary policy </w:t>
      </w:r>
      <w:r w:rsidR="001B0274" w:rsidRPr="00A51255">
        <w:rPr>
          <w:rFonts w:ascii="Arial" w:hAnsi="Arial" w:cs="Arial"/>
          <w:lang w:val="en-US"/>
        </w:rPr>
        <w:t>variable</w:t>
      </w:r>
      <w:r w:rsidR="007E462E" w:rsidRPr="00A51255">
        <w:rPr>
          <w:rFonts w:ascii="Arial" w:hAnsi="Arial" w:cs="Arial"/>
          <w:lang w:val="en-US"/>
        </w:rPr>
        <w:t xml:space="preserve"> that has been investigated in the literature for the longest time (see: Neely and Dey (2010)). S</w:t>
      </w:r>
      <w:r w:rsidR="00C34085" w:rsidRPr="00A51255">
        <w:rPr>
          <w:rFonts w:ascii="Arial" w:hAnsi="Arial" w:cs="Arial"/>
          <w:lang w:val="en-US"/>
        </w:rPr>
        <w:t>ubsequently</w:t>
      </w:r>
      <w:r w:rsidR="007E462E" w:rsidRPr="00A51255">
        <w:rPr>
          <w:rFonts w:ascii="Arial" w:hAnsi="Arial" w:cs="Arial"/>
          <w:lang w:val="en-US"/>
        </w:rPr>
        <w:t>,</w:t>
      </w:r>
      <w:r w:rsidR="00C34085" w:rsidRPr="00A51255">
        <w:rPr>
          <w:rFonts w:ascii="Arial" w:hAnsi="Arial" w:cs="Arial"/>
          <w:lang w:val="en-US"/>
        </w:rPr>
        <w:t xml:space="preserve"> </w:t>
      </w:r>
      <w:r w:rsidR="000B734C" w:rsidRPr="00A51255">
        <w:rPr>
          <w:rFonts w:ascii="Arial" w:hAnsi="Arial" w:cs="Arial"/>
          <w:lang w:val="en-US"/>
        </w:rPr>
        <w:t>in the next section</w:t>
      </w:r>
      <w:r w:rsidR="007E462E" w:rsidRPr="00A51255">
        <w:rPr>
          <w:rFonts w:ascii="Arial" w:hAnsi="Arial" w:cs="Arial"/>
          <w:lang w:val="en-US"/>
        </w:rPr>
        <w:t>,</w:t>
      </w:r>
      <w:r w:rsidR="000B734C" w:rsidRPr="00A51255">
        <w:rPr>
          <w:rFonts w:ascii="Arial" w:hAnsi="Arial" w:cs="Arial"/>
          <w:lang w:val="en-US"/>
        </w:rPr>
        <w:t xml:space="preserve"> </w:t>
      </w:r>
      <w:r w:rsidR="00C34085" w:rsidRPr="00A51255">
        <w:rPr>
          <w:rFonts w:ascii="Arial" w:hAnsi="Arial" w:cs="Arial"/>
          <w:lang w:val="en-US"/>
        </w:rPr>
        <w:t>we</w:t>
      </w:r>
      <w:r w:rsidR="00842C65" w:rsidRPr="00A51255">
        <w:rPr>
          <w:rFonts w:ascii="Arial" w:hAnsi="Arial" w:cs="Arial"/>
          <w:lang w:val="en-US"/>
        </w:rPr>
        <w:t xml:space="preserve"> discuss the </w:t>
      </w:r>
      <w:r w:rsidR="00C02253" w:rsidRPr="00A51255">
        <w:rPr>
          <w:rFonts w:ascii="Arial" w:hAnsi="Arial" w:cs="Arial"/>
          <w:lang w:val="en-US"/>
        </w:rPr>
        <w:t xml:space="preserve">results for the </w:t>
      </w:r>
      <w:r w:rsidR="00842C65" w:rsidRPr="00A51255">
        <w:rPr>
          <w:rFonts w:ascii="Arial" w:hAnsi="Arial" w:cs="Arial"/>
          <w:lang w:val="en-US"/>
        </w:rPr>
        <w:t xml:space="preserve">remaining three </w:t>
      </w:r>
      <w:r w:rsidR="007E462E" w:rsidRPr="00A51255">
        <w:rPr>
          <w:rFonts w:ascii="Arial" w:hAnsi="Arial" w:cs="Arial"/>
          <w:lang w:val="en-US"/>
        </w:rPr>
        <w:t xml:space="preserve">announcement </w:t>
      </w:r>
      <w:r w:rsidR="00842C65" w:rsidRPr="00A51255">
        <w:rPr>
          <w:rFonts w:ascii="Arial" w:hAnsi="Arial" w:cs="Arial"/>
          <w:lang w:val="en-US"/>
        </w:rPr>
        <w:t>dummies (</w:t>
      </w:r>
      <w:r w:rsidR="00842C65" w:rsidRPr="00A51255">
        <w:rPr>
          <w:i/>
          <w:lang w:val="en-US"/>
        </w:rPr>
        <w:t>RM</w:t>
      </w:r>
      <w:r w:rsidR="00842C65" w:rsidRPr="00A51255">
        <w:rPr>
          <w:rFonts w:ascii="Arial" w:hAnsi="Arial" w:cs="Arial"/>
          <w:lang w:val="en-US"/>
        </w:rPr>
        <w:t xml:space="preserve">, </w:t>
      </w:r>
      <w:r w:rsidR="00842C65" w:rsidRPr="00A51255">
        <w:rPr>
          <w:i/>
          <w:lang w:val="en-US"/>
        </w:rPr>
        <w:t>BOP</w:t>
      </w:r>
      <w:r w:rsidR="00842C65" w:rsidRPr="00A51255">
        <w:rPr>
          <w:rFonts w:ascii="Arial" w:hAnsi="Arial" w:cs="Arial"/>
          <w:lang w:val="en-US"/>
        </w:rPr>
        <w:t xml:space="preserve"> and </w:t>
      </w:r>
      <w:r w:rsidR="00842C65" w:rsidRPr="00A51255">
        <w:rPr>
          <w:i/>
          <w:lang w:val="en-US"/>
        </w:rPr>
        <w:t>AL</w:t>
      </w:r>
      <w:r w:rsidR="00842C65" w:rsidRPr="00A51255">
        <w:rPr>
          <w:rFonts w:ascii="Arial" w:hAnsi="Arial" w:cs="Arial"/>
          <w:lang w:val="en-US"/>
        </w:rPr>
        <w:t>).</w:t>
      </w:r>
    </w:p>
    <w:p w:rsidR="000D5D76" w:rsidRPr="00A51255" w:rsidRDefault="001C2D80" w:rsidP="00842C65">
      <w:pPr>
        <w:spacing w:line="480" w:lineRule="auto"/>
        <w:ind w:firstLine="708"/>
        <w:jc w:val="both"/>
        <w:rPr>
          <w:rFonts w:ascii="Arial" w:hAnsi="Arial" w:cs="Arial"/>
          <w:lang w:val="en-US"/>
        </w:rPr>
      </w:pPr>
      <w:r w:rsidRPr="00A51255">
        <w:rPr>
          <w:rFonts w:ascii="Arial" w:hAnsi="Arial" w:cs="Arial"/>
          <w:lang w:val="en-US"/>
        </w:rPr>
        <w:t>Early t</w:t>
      </w:r>
      <w:r w:rsidR="000D5D76" w:rsidRPr="00A51255">
        <w:rPr>
          <w:rFonts w:ascii="Arial" w:hAnsi="Arial" w:cs="Arial"/>
          <w:lang w:val="en-US"/>
        </w:rPr>
        <w:t xml:space="preserve">heoretical predictions about the reaction of </w:t>
      </w:r>
      <w:r w:rsidRPr="00A51255">
        <w:rPr>
          <w:rFonts w:ascii="Arial" w:hAnsi="Arial" w:cs="Arial"/>
          <w:lang w:val="en-US"/>
        </w:rPr>
        <w:t xml:space="preserve">the </w:t>
      </w:r>
      <w:r w:rsidR="000D5D76" w:rsidRPr="00A51255">
        <w:rPr>
          <w:rFonts w:ascii="Arial" w:hAnsi="Arial" w:cs="Arial"/>
          <w:lang w:val="en-US"/>
        </w:rPr>
        <w:t xml:space="preserve">foreign exchange rates in response to </w:t>
      </w:r>
      <w:r w:rsidRPr="00A51255">
        <w:rPr>
          <w:rFonts w:ascii="Arial" w:hAnsi="Arial" w:cs="Arial"/>
          <w:lang w:val="en-US"/>
        </w:rPr>
        <w:t xml:space="preserve">new </w:t>
      </w:r>
      <w:r w:rsidR="000D5D76" w:rsidRPr="00A51255">
        <w:rPr>
          <w:rFonts w:ascii="Arial" w:hAnsi="Arial" w:cs="Arial"/>
          <w:lang w:val="en-US"/>
        </w:rPr>
        <w:t xml:space="preserve">money supply </w:t>
      </w:r>
      <w:r w:rsidRPr="00A51255">
        <w:rPr>
          <w:rFonts w:ascii="Arial" w:hAnsi="Arial" w:cs="Arial"/>
          <w:lang w:val="en-US"/>
        </w:rPr>
        <w:t xml:space="preserve">data </w:t>
      </w:r>
      <w:r w:rsidR="000D5D76" w:rsidRPr="00A51255">
        <w:rPr>
          <w:rFonts w:ascii="Arial" w:hAnsi="Arial" w:cs="Arial"/>
          <w:lang w:val="en-US"/>
        </w:rPr>
        <w:t>c</w:t>
      </w:r>
      <w:r w:rsidR="00A51F09" w:rsidRPr="00A51255">
        <w:rPr>
          <w:rFonts w:ascii="Arial" w:hAnsi="Arial" w:cs="Arial"/>
          <w:lang w:val="en-US"/>
        </w:rPr>
        <w:t>learly indicate that when</w:t>
      </w:r>
      <w:r w:rsidR="000D5D76" w:rsidRPr="00A51255">
        <w:rPr>
          <w:rFonts w:ascii="Arial" w:hAnsi="Arial" w:cs="Arial"/>
          <w:lang w:val="en-US"/>
        </w:rPr>
        <w:t xml:space="preserve"> the </w:t>
      </w:r>
      <w:r w:rsidRPr="00A51255">
        <w:rPr>
          <w:rFonts w:ascii="Arial" w:hAnsi="Arial" w:cs="Arial"/>
          <w:lang w:val="en-US"/>
        </w:rPr>
        <w:t xml:space="preserve">announced </w:t>
      </w:r>
      <w:r w:rsidR="000D5D76" w:rsidRPr="00A51255">
        <w:rPr>
          <w:rFonts w:ascii="Arial" w:hAnsi="Arial" w:cs="Arial"/>
          <w:lang w:val="en-US"/>
        </w:rPr>
        <w:t>money supply</w:t>
      </w:r>
      <w:r w:rsidRPr="00A51255">
        <w:rPr>
          <w:rFonts w:ascii="Arial" w:hAnsi="Arial" w:cs="Arial"/>
          <w:lang w:val="en-US"/>
        </w:rPr>
        <w:t xml:space="preserve"> figures are</w:t>
      </w:r>
      <w:r w:rsidR="000D5D76" w:rsidRPr="00A51255">
        <w:rPr>
          <w:rFonts w:ascii="Arial" w:hAnsi="Arial" w:cs="Arial"/>
          <w:lang w:val="en-US"/>
        </w:rPr>
        <w:t xml:space="preserve"> greater than expected, the</w:t>
      </w:r>
      <w:r w:rsidR="00864ADE" w:rsidRPr="00A51255">
        <w:rPr>
          <w:rFonts w:ascii="Arial" w:hAnsi="Arial" w:cs="Arial"/>
          <w:lang w:val="en-US"/>
        </w:rPr>
        <w:t xml:space="preserve"> nominal</w:t>
      </w:r>
      <w:r w:rsidR="000D5D76" w:rsidRPr="00A51255">
        <w:rPr>
          <w:rFonts w:ascii="Arial" w:hAnsi="Arial" w:cs="Arial"/>
          <w:lang w:val="en-US"/>
        </w:rPr>
        <w:t xml:space="preserve"> interest rates </w:t>
      </w:r>
      <w:r w:rsidRPr="00A51255">
        <w:rPr>
          <w:rFonts w:ascii="Arial" w:hAnsi="Arial" w:cs="Arial"/>
          <w:lang w:val="en-US"/>
        </w:rPr>
        <w:t xml:space="preserve">should </w:t>
      </w:r>
      <w:r w:rsidR="000D5D76" w:rsidRPr="00A51255">
        <w:rPr>
          <w:rFonts w:ascii="Arial" w:hAnsi="Arial" w:cs="Arial"/>
          <w:lang w:val="en-US"/>
        </w:rPr>
        <w:t>rise and</w:t>
      </w:r>
      <w:r w:rsidR="00E73D6E" w:rsidRPr="00A51255">
        <w:rPr>
          <w:rFonts w:ascii="Arial" w:hAnsi="Arial" w:cs="Arial"/>
          <w:lang w:val="en-US"/>
        </w:rPr>
        <w:t xml:space="preserve"> the related flows of capital should lead to </w:t>
      </w:r>
      <w:r w:rsidR="00A80035">
        <w:rPr>
          <w:rFonts w:ascii="Arial" w:hAnsi="Arial" w:cs="Arial"/>
          <w:lang w:val="en-US"/>
        </w:rPr>
        <w:t>a</w:t>
      </w:r>
      <w:r w:rsidR="00E147C9" w:rsidRPr="00A51255">
        <w:rPr>
          <w:rFonts w:ascii="Arial" w:hAnsi="Arial" w:cs="Arial"/>
          <w:lang w:val="en-US"/>
        </w:rPr>
        <w:t xml:space="preserve"> </w:t>
      </w:r>
      <w:r w:rsidR="00E73D6E" w:rsidRPr="00A51255">
        <w:rPr>
          <w:rFonts w:ascii="Arial" w:hAnsi="Arial" w:cs="Arial"/>
          <w:lang w:val="en-US"/>
        </w:rPr>
        <w:t>depreciation of</w:t>
      </w:r>
      <w:r w:rsidR="004466CA" w:rsidRPr="00A51255">
        <w:rPr>
          <w:rFonts w:ascii="Arial" w:hAnsi="Arial" w:cs="Arial"/>
          <w:lang w:val="en-US"/>
        </w:rPr>
        <w:t xml:space="preserve"> </w:t>
      </w:r>
      <w:r w:rsidR="00A80035">
        <w:rPr>
          <w:rFonts w:ascii="Arial" w:hAnsi="Arial" w:cs="Arial"/>
          <w:lang w:val="en-US"/>
        </w:rPr>
        <w:t xml:space="preserve">the </w:t>
      </w:r>
      <w:r w:rsidR="004466CA" w:rsidRPr="00A51255">
        <w:rPr>
          <w:rFonts w:ascii="Arial" w:hAnsi="Arial" w:cs="Arial"/>
          <w:lang w:val="en-US"/>
        </w:rPr>
        <w:t>local currency</w:t>
      </w:r>
      <w:r w:rsidR="000D5D76" w:rsidRPr="00A51255">
        <w:rPr>
          <w:rFonts w:ascii="Arial" w:hAnsi="Arial" w:cs="Arial"/>
          <w:lang w:val="en-US"/>
        </w:rPr>
        <w:t xml:space="preserve"> (through the Fisher effect). Theoretical models </w:t>
      </w:r>
      <w:r w:rsidR="00712A78" w:rsidRPr="00A51255">
        <w:rPr>
          <w:rFonts w:ascii="Arial" w:hAnsi="Arial" w:cs="Arial"/>
          <w:lang w:val="en-US"/>
        </w:rPr>
        <w:t xml:space="preserve">describing this </w:t>
      </w:r>
      <w:r w:rsidR="00E147C9" w:rsidRPr="00A51255">
        <w:rPr>
          <w:rFonts w:ascii="Arial" w:hAnsi="Arial" w:cs="Arial"/>
          <w:lang w:val="en-US"/>
        </w:rPr>
        <w:t>mechanism</w:t>
      </w:r>
      <w:r w:rsidR="00712A78" w:rsidRPr="00A51255">
        <w:rPr>
          <w:rFonts w:ascii="Arial" w:hAnsi="Arial" w:cs="Arial"/>
          <w:lang w:val="en-US"/>
        </w:rPr>
        <w:t xml:space="preserve"> </w:t>
      </w:r>
      <w:r w:rsidRPr="00A51255">
        <w:rPr>
          <w:rFonts w:ascii="Arial" w:hAnsi="Arial" w:cs="Arial"/>
          <w:lang w:val="en-US"/>
        </w:rPr>
        <w:t xml:space="preserve">were </w:t>
      </w:r>
      <w:r w:rsidR="000D5D76" w:rsidRPr="00A51255">
        <w:rPr>
          <w:rFonts w:ascii="Arial" w:hAnsi="Arial" w:cs="Arial"/>
          <w:lang w:val="en-US"/>
        </w:rPr>
        <w:t>presented</w:t>
      </w:r>
      <w:r w:rsidR="00712A78" w:rsidRPr="00A51255">
        <w:rPr>
          <w:rFonts w:ascii="Arial" w:hAnsi="Arial" w:cs="Arial"/>
          <w:lang w:val="en-US"/>
        </w:rPr>
        <w:t xml:space="preserve"> in the 1970s </w:t>
      </w:r>
      <w:r w:rsidR="000D5D76" w:rsidRPr="00A51255">
        <w:rPr>
          <w:rFonts w:ascii="Arial" w:hAnsi="Arial" w:cs="Arial"/>
          <w:lang w:val="en-US"/>
        </w:rPr>
        <w:t xml:space="preserve">by </w:t>
      </w:r>
      <w:r w:rsidR="00712A78" w:rsidRPr="00A51255">
        <w:rPr>
          <w:rFonts w:ascii="Arial" w:hAnsi="Arial" w:cs="Arial"/>
          <w:lang w:val="en-US"/>
        </w:rPr>
        <w:t xml:space="preserve">Frenkel (1976), </w:t>
      </w:r>
      <w:r w:rsidR="000D5D76" w:rsidRPr="00A51255">
        <w:rPr>
          <w:rFonts w:ascii="Arial" w:hAnsi="Arial" w:cs="Arial"/>
          <w:lang w:val="en-US"/>
        </w:rPr>
        <w:t>Dornbus</w:t>
      </w:r>
      <w:r w:rsidR="00A05CF6" w:rsidRPr="00A51255">
        <w:rPr>
          <w:rFonts w:ascii="Arial" w:hAnsi="Arial" w:cs="Arial"/>
          <w:lang w:val="en-US"/>
        </w:rPr>
        <w:t>c</w:t>
      </w:r>
      <w:r w:rsidR="000D5D76" w:rsidRPr="00A51255">
        <w:rPr>
          <w:rFonts w:ascii="Arial" w:hAnsi="Arial" w:cs="Arial"/>
          <w:lang w:val="en-US"/>
        </w:rPr>
        <w:t>h</w:t>
      </w:r>
      <w:r w:rsidR="00712A78" w:rsidRPr="00A51255">
        <w:rPr>
          <w:rFonts w:ascii="Arial" w:hAnsi="Arial" w:cs="Arial"/>
          <w:lang w:val="en-US"/>
        </w:rPr>
        <w:t xml:space="preserve"> (1976) and Frankel (1979)</w:t>
      </w:r>
      <w:r w:rsidRPr="00A51255">
        <w:rPr>
          <w:rFonts w:ascii="Arial" w:hAnsi="Arial" w:cs="Arial"/>
          <w:lang w:val="en-US"/>
        </w:rPr>
        <w:t>, among others</w:t>
      </w:r>
      <w:r w:rsidR="00712A78" w:rsidRPr="00A51255">
        <w:rPr>
          <w:rFonts w:ascii="Arial" w:hAnsi="Arial" w:cs="Arial"/>
          <w:lang w:val="en-US"/>
        </w:rPr>
        <w:t xml:space="preserve">. Therefore, the theory suggests that positive and strongly positive NBP announcements should result in </w:t>
      </w:r>
      <w:r w:rsidR="00A80035">
        <w:rPr>
          <w:rFonts w:ascii="Arial" w:hAnsi="Arial" w:cs="Arial"/>
          <w:lang w:val="en-US"/>
        </w:rPr>
        <w:t xml:space="preserve">a </w:t>
      </w:r>
      <w:r w:rsidR="00712A78" w:rsidRPr="00A51255">
        <w:rPr>
          <w:rFonts w:ascii="Arial" w:hAnsi="Arial" w:cs="Arial"/>
          <w:lang w:val="en-US"/>
        </w:rPr>
        <w:t>depreciation of the Polish zloty and negative and strongly negative ones should lead to its appreciation.</w:t>
      </w:r>
    </w:p>
    <w:p w:rsidR="001C2D80" w:rsidRPr="00A51255" w:rsidRDefault="00B74A04" w:rsidP="001C2D80">
      <w:pPr>
        <w:spacing w:line="480" w:lineRule="auto"/>
        <w:ind w:firstLine="708"/>
        <w:jc w:val="both"/>
        <w:rPr>
          <w:rFonts w:ascii="Arial" w:hAnsi="Arial" w:cs="Arial"/>
          <w:lang w:val="en-US"/>
        </w:rPr>
      </w:pPr>
      <w:r w:rsidRPr="00A51255">
        <w:rPr>
          <w:rFonts w:ascii="Arial" w:hAnsi="Arial" w:cs="Arial"/>
          <w:lang w:val="en-US"/>
        </w:rPr>
        <w:t xml:space="preserve">However, </w:t>
      </w:r>
      <w:r w:rsidR="007F0B93" w:rsidRPr="00A51255">
        <w:rPr>
          <w:rFonts w:ascii="Arial" w:hAnsi="Arial" w:cs="Arial"/>
          <w:lang w:val="en-US"/>
        </w:rPr>
        <w:t>Engel and Fra</w:t>
      </w:r>
      <w:r w:rsidR="001C2D80" w:rsidRPr="00A51255">
        <w:rPr>
          <w:rFonts w:ascii="Arial" w:hAnsi="Arial" w:cs="Arial"/>
          <w:lang w:val="en-US"/>
        </w:rPr>
        <w:t xml:space="preserve">nkel (1984) found, using US market data, </w:t>
      </w:r>
      <w:r w:rsidR="007F0B93" w:rsidRPr="00A51255">
        <w:rPr>
          <w:rFonts w:ascii="Arial" w:hAnsi="Arial" w:cs="Arial"/>
          <w:lang w:val="en-US"/>
        </w:rPr>
        <w:t xml:space="preserve">that </w:t>
      </w:r>
      <w:r w:rsidR="001C2D80" w:rsidRPr="00A51255">
        <w:rPr>
          <w:rFonts w:ascii="Arial" w:hAnsi="Arial" w:cs="Arial"/>
          <w:lang w:val="en-US"/>
        </w:rPr>
        <w:t xml:space="preserve">when the US money supply figures announced </w:t>
      </w:r>
      <w:r w:rsidR="00A80035">
        <w:rPr>
          <w:rFonts w:ascii="Arial" w:hAnsi="Arial" w:cs="Arial"/>
          <w:lang w:val="en-US"/>
        </w:rPr>
        <w:t xml:space="preserve">were </w:t>
      </w:r>
      <w:r w:rsidR="001C2D80" w:rsidRPr="00A51255">
        <w:rPr>
          <w:rFonts w:ascii="Arial" w:hAnsi="Arial" w:cs="Arial"/>
          <w:lang w:val="en-US"/>
        </w:rPr>
        <w:t xml:space="preserve">greater than had been expected, the US dollar appreciated. They explain </w:t>
      </w:r>
      <w:r w:rsidR="00A80035">
        <w:rPr>
          <w:rFonts w:ascii="Arial" w:hAnsi="Arial" w:cs="Arial"/>
          <w:lang w:val="en-US"/>
        </w:rPr>
        <w:t>this phenomenon</w:t>
      </w:r>
      <w:r w:rsidR="001C2D80" w:rsidRPr="00A51255">
        <w:rPr>
          <w:rFonts w:ascii="Arial" w:hAnsi="Arial" w:cs="Arial"/>
          <w:lang w:val="en-US"/>
        </w:rPr>
        <w:t xml:space="preserve"> by proposing a hypothesis that the market perceives the change in the money stock as only a </w:t>
      </w:r>
      <w:r w:rsidR="001C2D80" w:rsidRPr="00A51255">
        <w:rPr>
          <w:rFonts w:ascii="Arial" w:hAnsi="Arial" w:cs="Arial"/>
          <w:i/>
          <w:lang w:val="en-US"/>
        </w:rPr>
        <w:t>“transitory fluctuation”</w:t>
      </w:r>
      <w:r w:rsidR="001C2D80" w:rsidRPr="00A51255">
        <w:rPr>
          <w:rFonts w:ascii="Arial" w:hAnsi="Arial" w:cs="Arial"/>
          <w:lang w:val="en-US"/>
        </w:rPr>
        <w:t xml:space="preserve"> which the Federal Reserve will reverse in the future. </w:t>
      </w:r>
      <w:r w:rsidR="00651CF6" w:rsidRPr="00A51255">
        <w:rPr>
          <w:rFonts w:ascii="Arial" w:hAnsi="Arial" w:cs="Arial"/>
          <w:lang w:val="en-US"/>
        </w:rPr>
        <w:t>Engel and Frankel (1984)</w:t>
      </w:r>
      <w:r w:rsidR="001C2D80" w:rsidRPr="00A51255">
        <w:rPr>
          <w:rFonts w:ascii="Arial" w:hAnsi="Arial" w:cs="Arial"/>
          <w:lang w:val="en-US"/>
        </w:rPr>
        <w:t xml:space="preserve"> argue that positive money supply shocks raise interest rates by creating expec</w:t>
      </w:r>
      <w:r w:rsidR="00D85E9C">
        <w:rPr>
          <w:rFonts w:ascii="Arial" w:hAnsi="Arial" w:cs="Arial"/>
          <w:lang w:val="en-US"/>
        </w:rPr>
        <w:t>tations that the Fed</w:t>
      </w:r>
      <w:r w:rsidR="001C2D80" w:rsidRPr="00A51255">
        <w:rPr>
          <w:rFonts w:ascii="Arial" w:hAnsi="Arial" w:cs="Arial"/>
          <w:lang w:val="en-US"/>
        </w:rPr>
        <w:t xml:space="preserve"> would reverse those positive shocks in the future </w:t>
      </w:r>
      <w:r w:rsidR="00A80035">
        <w:rPr>
          <w:rFonts w:ascii="Arial" w:hAnsi="Arial" w:cs="Arial"/>
          <w:lang w:val="en-US"/>
        </w:rPr>
        <w:t>through</w:t>
      </w:r>
      <w:r w:rsidR="001C2D80" w:rsidRPr="00A51255">
        <w:rPr>
          <w:rFonts w:ascii="Arial" w:hAnsi="Arial" w:cs="Arial"/>
          <w:lang w:val="en-US"/>
        </w:rPr>
        <w:t xml:space="preserve"> raising interest rates</w:t>
      </w:r>
      <w:r w:rsidR="00A80035">
        <w:rPr>
          <w:rFonts w:ascii="Arial" w:hAnsi="Arial" w:cs="Arial"/>
          <w:lang w:val="en-US"/>
        </w:rPr>
        <w:t>,</w:t>
      </w:r>
      <w:r w:rsidR="001C2D80" w:rsidRPr="00A51255">
        <w:rPr>
          <w:rFonts w:ascii="Arial" w:hAnsi="Arial" w:cs="Arial"/>
          <w:lang w:val="en-US"/>
        </w:rPr>
        <w:t xml:space="preserve"> and </w:t>
      </w:r>
      <w:r w:rsidR="00A80035">
        <w:rPr>
          <w:rFonts w:ascii="Arial" w:hAnsi="Arial" w:cs="Arial"/>
          <w:lang w:val="en-US"/>
        </w:rPr>
        <w:t xml:space="preserve">that </w:t>
      </w:r>
      <w:r w:rsidR="001C2D80" w:rsidRPr="00A51255">
        <w:rPr>
          <w:rFonts w:ascii="Arial" w:hAnsi="Arial" w:cs="Arial"/>
          <w:lang w:val="en-US"/>
        </w:rPr>
        <w:t xml:space="preserve">this </w:t>
      </w:r>
      <w:r w:rsidR="007A1DB1" w:rsidRPr="00A51255">
        <w:rPr>
          <w:rFonts w:ascii="Arial" w:hAnsi="Arial" w:cs="Arial"/>
          <w:lang w:val="en-US"/>
        </w:rPr>
        <w:t xml:space="preserve">is why this </w:t>
      </w:r>
      <w:r w:rsidR="001C2D80" w:rsidRPr="00A51255">
        <w:rPr>
          <w:rFonts w:ascii="Arial" w:hAnsi="Arial" w:cs="Arial"/>
          <w:lang w:val="en-US"/>
        </w:rPr>
        <w:lastRenderedPageBreak/>
        <w:t xml:space="preserve">mechanism </w:t>
      </w:r>
      <w:r w:rsidR="007A1DB1" w:rsidRPr="00A51255">
        <w:rPr>
          <w:rFonts w:ascii="Arial" w:hAnsi="Arial" w:cs="Arial"/>
          <w:lang w:val="en-US"/>
        </w:rPr>
        <w:t>causes</w:t>
      </w:r>
      <w:r w:rsidR="001C2D80" w:rsidRPr="00A51255">
        <w:rPr>
          <w:rFonts w:ascii="Arial" w:hAnsi="Arial" w:cs="Arial"/>
          <w:lang w:val="en-US"/>
        </w:rPr>
        <w:t xml:space="preserve"> such </w:t>
      </w:r>
      <w:r w:rsidR="00A80035">
        <w:rPr>
          <w:rFonts w:ascii="Arial" w:hAnsi="Arial" w:cs="Arial"/>
          <w:lang w:val="en-US"/>
        </w:rPr>
        <w:t xml:space="preserve">a </w:t>
      </w:r>
      <w:r w:rsidR="00651CF6" w:rsidRPr="00A51255">
        <w:rPr>
          <w:rFonts w:ascii="Arial" w:hAnsi="Arial" w:cs="Arial"/>
          <w:lang w:val="en-US"/>
        </w:rPr>
        <w:t xml:space="preserve">direction of the </w:t>
      </w:r>
      <w:r w:rsidR="001C2D80" w:rsidRPr="00A51255">
        <w:rPr>
          <w:rFonts w:ascii="Arial" w:hAnsi="Arial" w:cs="Arial"/>
          <w:lang w:val="en-US"/>
        </w:rPr>
        <w:t>foreign exchange rate reactions.</w:t>
      </w:r>
      <w:r w:rsidR="007A4BB5" w:rsidRPr="00A51255">
        <w:rPr>
          <w:rFonts w:ascii="Arial" w:hAnsi="Arial" w:cs="Arial"/>
          <w:lang w:val="en-US"/>
        </w:rPr>
        <w:t xml:space="preserve"> </w:t>
      </w:r>
      <w:r w:rsidR="00A80035">
        <w:rPr>
          <w:rFonts w:ascii="Arial" w:hAnsi="Arial" w:cs="Arial"/>
          <w:lang w:val="en-US"/>
        </w:rPr>
        <w:t>A s</w:t>
      </w:r>
      <w:r w:rsidR="007A4BB5" w:rsidRPr="00A51255">
        <w:rPr>
          <w:rFonts w:ascii="Arial" w:hAnsi="Arial" w:cs="Arial"/>
          <w:lang w:val="en-US"/>
        </w:rPr>
        <w:t>imilar explanation was proposed by Cornell (1982).</w:t>
      </w:r>
    </w:p>
    <w:p w:rsidR="005D113E" w:rsidRDefault="00B01024" w:rsidP="00B00DA0">
      <w:pPr>
        <w:spacing w:line="480" w:lineRule="auto"/>
        <w:ind w:firstLine="708"/>
        <w:jc w:val="both"/>
        <w:rPr>
          <w:rFonts w:ascii="Arial" w:hAnsi="Arial" w:cs="Arial"/>
          <w:lang w:val="en-US"/>
        </w:rPr>
      </w:pPr>
      <w:r w:rsidRPr="00A51255">
        <w:rPr>
          <w:rFonts w:ascii="Arial" w:hAnsi="Arial" w:cs="Arial"/>
          <w:lang w:val="en-US"/>
        </w:rPr>
        <w:t>Regarding the impact of announcements on volatility of the foreign exchange market, the theoretical predictions as well as evidence i</w:t>
      </w:r>
      <w:r w:rsidR="00096F74" w:rsidRPr="00A51255">
        <w:rPr>
          <w:rFonts w:ascii="Arial" w:hAnsi="Arial" w:cs="Arial"/>
          <w:lang w:val="en-US"/>
        </w:rPr>
        <w:t>n the available literature tend</w:t>
      </w:r>
      <w:r w:rsidRPr="00A51255">
        <w:rPr>
          <w:rFonts w:ascii="Arial" w:hAnsi="Arial" w:cs="Arial"/>
          <w:lang w:val="en-US"/>
        </w:rPr>
        <w:t xml:space="preserve"> to </w:t>
      </w:r>
      <w:r w:rsidR="008B78EC" w:rsidRPr="00A51255">
        <w:rPr>
          <w:rFonts w:ascii="Arial" w:hAnsi="Arial" w:cs="Arial"/>
          <w:lang w:val="en-US"/>
        </w:rPr>
        <w:t>indicate that</w:t>
      </w:r>
      <w:r w:rsidR="00E474A8" w:rsidRPr="00A51255">
        <w:rPr>
          <w:rFonts w:ascii="Arial" w:hAnsi="Arial" w:cs="Arial"/>
          <w:lang w:val="en-US"/>
        </w:rPr>
        <w:t>, as Neely (2011) notes,</w:t>
      </w:r>
      <w:r w:rsidR="008B78EC" w:rsidRPr="00A51255">
        <w:rPr>
          <w:rFonts w:ascii="Arial" w:hAnsi="Arial" w:cs="Arial"/>
          <w:lang w:val="en-US"/>
        </w:rPr>
        <w:t xml:space="preserve"> the most common theme is that </w:t>
      </w:r>
      <w:r w:rsidR="00A80035">
        <w:rPr>
          <w:rFonts w:ascii="Arial" w:hAnsi="Arial" w:cs="Arial"/>
          <w:lang w:val="en-US"/>
        </w:rPr>
        <w:t xml:space="preserve">the arrival of </w:t>
      </w:r>
      <w:r w:rsidR="008B78EC" w:rsidRPr="00A51255">
        <w:rPr>
          <w:rFonts w:ascii="Arial" w:hAnsi="Arial" w:cs="Arial"/>
          <w:lang w:val="en-US"/>
        </w:rPr>
        <w:t xml:space="preserve">information typically increases volatility. </w:t>
      </w:r>
      <w:r w:rsidR="004466CA" w:rsidRPr="00A51255">
        <w:rPr>
          <w:rFonts w:ascii="Arial" w:hAnsi="Arial" w:cs="Arial"/>
          <w:lang w:val="en-US"/>
        </w:rPr>
        <w:t>However, th</w:t>
      </w:r>
      <w:r w:rsidR="005271C2" w:rsidRPr="00A51255">
        <w:rPr>
          <w:rFonts w:ascii="Arial" w:hAnsi="Arial" w:cs="Arial"/>
          <w:lang w:val="en-US"/>
        </w:rPr>
        <w:t>is</w:t>
      </w:r>
      <w:r w:rsidR="008B78EC" w:rsidRPr="00A51255">
        <w:rPr>
          <w:rFonts w:ascii="Arial" w:hAnsi="Arial" w:cs="Arial"/>
          <w:lang w:val="en-US"/>
        </w:rPr>
        <w:t xml:space="preserve"> </w:t>
      </w:r>
      <w:r w:rsidR="005271C2" w:rsidRPr="00A51255">
        <w:rPr>
          <w:rFonts w:ascii="Arial" w:hAnsi="Arial" w:cs="Arial"/>
          <w:lang w:val="en-US"/>
        </w:rPr>
        <w:t>issue is more complex</w:t>
      </w:r>
      <w:r w:rsidR="009D3733">
        <w:rPr>
          <w:rFonts w:ascii="Arial" w:hAnsi="Arial" w:cs="Arial"/>
          <w:lang w:val="en-US"/>
        </w:rPr>
        <w:t xml:space="preserve"> in practice</w:t>
      </w:r>
      <w:r w:rsidR="00A80035">
        <w:rPr>
          <w:rFonts w:ascii="Arial" w:hAnsi="Arial" w:cs="Arial"/>
          <w:lang w:val="en-US"/>
        </w:rPr>
        <w:t>,</w:t>
      </w:r>
      <w:r w:rsidR="005271C2" w:rsidRPr="00A51255">
        <w:rPr>
          <w:rFonts w:ascii="Arial" w:hAnsi="Arial" w:cs="Arial"/>
          <w:lang w:val="en-US"/>
        </w:rPr>
        <w:t xml:space="preserve"> and the </w:t>
      </w:r>
      <w:r w:rsidR="008B78EC" w:rsidRPr="00A51255">
        <w:rPr>
          <w:rFonts w:ascii="Arial" w:hAnsi="Arial" w:cs="Arial"/>
          <w:lang w:val="en-US"/>
        </w:rPr>
        <w:t>reaction o</w:t>
      </w:r>
      <w:r w:rsidR="00E474A8" w:rsidRPr="00A51255">
        <w:rPr>
          <w:rFonts w:ascii="Arial" w:hAnsi="Arial" w:cs="Arial"/>
          <w:lang w:val="en-US"/>
        </w:rPr>
        <w:t>f</w:t>
      </w:r>
      <w:r w:rsidR="008B78EC" w:rsidRPr="00A51255">
        <w:rPr>
          <w:rFonts w:ascii="Arial" w:hAnsi="Arial" w:cs="Arial"/>
          <w:lang w:val="en-US"/>
        </w:rPr>
        <w:t xml:space="preserve"> the foreign exchange market </w:t>
      </w:r>
      <w:r w:rsidR="00AF2AB6" w:rsidRPr="00A51255">
        <w:rPr>
          <w:rFonts w:ascii="Arial" w:hAnsi="Arial" w:cs="Arial"/>
          <w:lang w:val="en-US"/>
        </w:rPr>
        <w:t>may depend</w:t>
      </w:r>
      <w:r w:rsidR="008B78EC" w:rsidRPr="00A51255">
        <w:rPr>
          <w:rFonts w:ascii="Arial" w:hAnsi="Arial" w:cs="Arial"/>
          <w:lang w:val="en-US"/>
        </w:rPr>
        <w:t xml:space="preserve"> on </w:t>
      </w:r>
      <w:r w:rsidR="00A80035">
        <w:rPr>
          <w:rFonts w:ascii="Arial" w:hAnsi="Arial" w:cs="Arial"/>
          <w:lang w:val="en-US"/>
        </w:rPr>
        <w:t xml:space="preserve">a number of factors: </w:t>
      </w:r>
      <w:r w:rsidR="008B78EC" w:rsidRPr="00A51255">
        <w:rPr>
          <w:rFonts w:ascii="Arial" w:hAnsi="Arial" w:cs="Arial"/>
          <w:lang w:val="en-US"/>
        </w:rPr>
        <w:t xml:space="preserve">the type of news, the </w:t>
      </w:r>
      <w:r w:rsidR="00E474A8" w:rsidRPr="00A51255">
        <w:rPr>
          <w:rFonts w:ascii="Arial" w:hAnsi="Arial" w:cs="Arial"/>
          <w:lang w:val="en-US"/>
        </w:rPr>
        <w:t xml:space="preserve">type of </w:t>
      </w:r>
      <w:r w:rsidR="008B78EC" w:rsidRPr="00A51255">
        <w:rPr>
          <w:rFonts w:ascii="Arial" w:hAnsi="Arial" w:cs="Arial"/>
          <w:lang w:val="en-US"/>
        </w:rPr>
        <w:t xml:space="preserve">institution </w:t>
      </w:r>
      <w:r w:rsidR="009A7C0F" w:rsidRPr="00A51255">
        <w:rPr>
          <w:rFonts w:ascii="Arial" w:hAnsi="Arial" w:cs="Arial"/>
          <w:lang w:val="en-US"/>
        </w:rPr>
        <w:t>releasing the information</w:t>
      </w:r>
      <w:r w:rsidR="002372A5">
        <w:rPr>
          <w:rFonts w:ascii="Arial" w:hAnsi="Arial" w:cs="Arial"/>
          <w:lang w:val="en-US"/>
        </w:rPr>
        <w:t>,</w:t>
      </w:r>
      <w:r w:rsidR="008B78EC" w:rsidRPr="00A51255">
        <w:rPr>
          <w:rFonts w:ascii="Arial" w:hAnsi="Arial" w:cs="Arial"/>
          <w:lang w:val="en-US"/>
        </w:rPr>
        <w:t xml:space="preserve"> as well </w:t>
      </w:r>
      <w:r w:rsidR="002372A5">
        <w:rPr>
          <w:rFonts w:ascii="Arial" w:hAnsi="Arial" w:cs="Arial"/>
          <w:lang w:val="en-US"/>
        </w:rPr>
        <w:t xml:space="preserve">as </w:t>
      </w:r>
      <w:r w:rsidR="008B78EC" w:rsidRPr="00A51255">
        <w:rPr>
          <w:rFonts w:ascii="Arial" w:hAnsi="Arial" w:cs="Arial"/>
          <w:lang w:val="en-US"/>
        </w:rPr>
        <w:t xml:space="preserve">the length of the time horizon during which </w:t>
      </w:r>
      <w:r w:rsidR="00713ABE" w:rsidRPr="00A51255">
        <w:rPr>
          <w:rFonts w:ascii="Arial" w:hAnsi="Arial" w:cs="Arial"/>
          <w:lang w:val="en-US"/>
        </w:rPr>
        <w:t xml:space="preserve">the </w:t>
      </w:r>
      <w:r w:rsidR="004466CA" w:rsidRPr="00A51255">
        <w:rPr>
          <w:rFonts w:ascii="Arial" w:hAnsi="Arial" w:cs="Arial"/>
          <w:lang w:val="en-US"/>
        </w:rPr>
        <w:t>effect on</w:t>
      </w:r>
      <w:r w:rsidR="00713ABE" w:rsidRPr="00A51255">
        <w:rPr>
          <w:rFonts w:ascii="Arial" w:hAnsi="Arial" w:cs="Arial"/>
          <w:lang w:val="en-US"/>
        </w:rPr>
        <w:t xml:space="preserve"> volatility is </w:t>
      </w:r>
      <w:r w:rsidR="00E474A8" w:rsidRPr="00A51255">
        <w:rPr>
          <w:rFonts w:ascii="Arial" w:hAnsi="Arial" w:cs="Arial"/>
          <w:lang w:val="en-US"/>
        </w:rPr>
        <w:t>measured</w:t>
      </w:r>
      <w:r w:rsidR="00713ABE" w:rsidRPr="00A51255">
        <w:rPr>
          <w:rFonts w:ascii="Arial" w:hAnsi="Arial" w:cs="Arial"/>
          <w:lang w:val="en-US"/>
        </w:rPr>
        <w:t xml:space="preserve">. The prevailing conclusion in the literature is that trading </w:t>
      </w:r>
      <w:r w:rsidR="005271C2" w:rsidRPr="00A51255">
        <w:rPr>
          <w:rFonts w:ascii="Arial" w:hAnsi="Arial" w:cs="Arial"/>
          <w:lang w:val="en-US"/>
        </w:rPr>
        <w:t xml:space="preserve">activity </w:t>
      </w:r>
      <w:r w:rsidR="00713ABE" w:rsidRPr="00A51255">
        <w:rPr>
          <w:rFonts w:ascii="Arial" w:hAnsi="Arial" w:cs="Arial"/>
          <w:lang w:val="en-US"/>
        </w:rPr>
        <w:t xml:space="preserve">and volatility typically increase </w:t>
      </w:r>
      <w:r w:rsidR="00E474A8" w:rsidRPr="00A51255">
        <w:rPr>
          <w:rFonts w:ascii="Arial" w:hAnsi="Arial" w:cs="Arial"/>
          <w:lang w:val="en-US"/>
        </w:rPr>
        <w:t xml:space="preserve">in </w:t>
      </w:r>
      <w:r w:rsidR="009B50E4" w:rsidRPr="00A51255">
        <w:rPr>
          <w:rFonts w:ascii="Arial" w:hAnsi="Arial" w:cs="Arial"/>
          <w:lang w:val="en-US"/>
        </w:rPr>
        <w:t>ultra-short</w:t>
      </w:r>
      <w:r w:rsidR="00E474A8" w:rsidRPr="00A51255">
        <w:rPr>
          <w:rFonts w:ascii="Arial" w:hAnsi="Arial" w:cs="Arial"/>
          <w:lang w:val="en-US"/>
        </w:rPr>
        <w:t xml:space="preserve"> period</w:t>
      </w:r>
      <w:r w:rsidR="004466CA" w:rsidRPr="00A51255">
        <w:rPr>
          <w:rFonts w:ascii="Arial" w:hAnsi="Arial" w:cs="Arial"/>
          <w:lang w:val="en-US"/>
        </w:rPr>
        <w:t>s</w:t>
      </w:r>
      <w:r w:rsidR="00E474A8" w:rsidRPr="00A51255">
        <w:rPr>
          <w:rFonts w:ascii="Arial" w:hAnsi="Arial" w:cs="Arial"/>
          <w:lang w:val="en-US"/>
        </w:rPr>
        <w:t xml:space="preserve">, i.e. </w:t>
      </w:r>
      <w:r w:rsidR="00713ABE" w:rsidRPr="00A51255">
        <w:rPr>
          <w:rFonts w:ascii="Arial" w:hAnsi="Arial" w:cs="Arial"/>
          <w:lang w:val="en-US"/>
        </w:rPr>
        <w:t xml:space="preserve">for about an hour after an announcement (see: Neely </w:t>
      </w:r>
      <w:r w:rsidR="00E474A8" w:rsidRPr="00A51255">
        <w:rPr>
          <w:rFonts w:ascii="Arial" w:hAnsi="Arial" w:cs="Arial"/>
          <w:lang w:val="en-US"/>
        </w:rPr>
        <w:t>(</w:t>
      </w:r>
      <w:r w:rsidR="00713ABE" w:rsidRPr="00A51255">
        <w:rPr>
          <w:rFonts w:ascii="Arial" w:hAnsi="Arial" w:cs="Arial"/>
          <w:lang w:val="en-US"/>
        </w:rPr>
        <w:t>2011</w:t>
      </w:r>
      <w:r w:rsidR="00E474A8" w:rsidRPr="00A51255">
        <w:rPr>
          <w:rFonts w:ascii="Arial" w:hAnsi="Arial" w:cs="Arial"/>
          <w:lang w:val="en-US"/>
        </w:rPr>
        <w:t>)</w:t>
      </w:r>
      <w:r w:rsidR="00713ABE" w:rsidRPr="00A51255">
        <w:rPr>
          <w:rFonts w:ascii="Arial" w:hAnsi="Arial" w:cs="Arial"/>
          <w:lang w:val="en-US"/>
        </w:rPr>
        <w:t xml:space="preserve">), while in this study we measure the effects of the NBP communication in periods longer than one day. </w:t>
      </w:r>
      <w:r w:rsidR="004413C2" w:rsidRPr="00A51255">
        <w:rPr>
          <w:rFonts w:ascii="Arial" w:hAnsi="Arial" w:cs="Arial"/>
          <w:lang w:val="en-US"/>
        </w:rPr>
        <w:t>Moreover, the findings in th</w:t>
      </w:r>
      <w:r w:rsidR="004466CA" w:rsidRPr="00A51255">
        <w:rPr>
          <w:rFonts w:ascii="Arial" w:hAnsi="Arial" w:cs="Arial"/>
          <w:lang w:val="en-US"/>
        </w:rPr>
        <w:t xml:space="preserve">is part of the </w:t>
      </w:r>
      <w:r w:rsidR="004413C2" w:rsidRPr="00A51255">
        <w:rPr>
          <w:rFonts w:ascii="Arial" w:hAnsi="Arial" w:cs="Arial"/>
          <w:lang w:val="en-US"/>
        </w:rPr>
        <w:t xml:space="preserve">literature that deals specifically with </w:t>
      </w:r>
      <w:r w:rsidR="005271C2" w:rsidRPr="00A51255">
        <w:rPr>
          <w:rFonts w:ascii="Arial" w:hAnsi="Arial" w:cs="Arial"/>
          <w:lang w:val="en-US"/>
        </w:rPr>
        <w:t xml:space="preserve">the </w:t>
      </w:r>
      <w:r w:rsidR="004413C2" w:rsidRPr="00A51255">
        <w:rPr>
          <w:rFonts w:ascii="Arial" w:hAnsi="Arial" w:cs="Arial"/>
          <w:lang w:val="en-US"/>
        </w:rPr>
        <w:t xml:space="preserve">announcements </w:t>
      </w:r>
      <w:r w:rsidR="004466CA" w:rsidRPr="00A51255">
        <w:rPr>
          <w:rFonts w:ascii="Arial" w:hAnsi="Arial" w:cs="Arial"/>
          <w:lang w:val="en-US"/>
        </w:rPr>
        <w:t xml:space="preserve">made by the central banks </w:t>
      </w:r>
      <w:r w:rsidR="004413C2" w:rsidRPr="00A51255">
        <w:rPr>
          <w:rFonts w:ascii="Arial" w:hAnsi="Arial" w:cs="Arial"/>
          <w:lang w:val="en-US"/>
        </w:rPr>
        <w:t xml:space="preserve">indicate that </w:t>
      </w:r>
      <w:r w:rsidR="004466CA" w:rsidRPr="00A51255">
        <w:rPr>
          <w:rFonts w:ascii="Arial" w:hAnsi="Arial" w:cs="Arial"/>
          <w:lang w:val="en-US"/>
        </w:rPr>
        <w:t xml:space="preserve">their </w:t>
      </w:r>
      <w:r w:rsidR="004413C2" w:rsidRPr="00A51255">
        <w:rPr>
          <w:rFonts w:ascii="Arial" w:hAnsi="Arial" w:cs="Arial"/>
          <w:lang w:val="en-US"/>
        </w:rPr>
        <w:t xml:space="preserve">actions may, in fact, reduce volatility by resolving uncertainty associated with the </w:t>
      </w:r>
      <w:r w:rsidR="005271C2" w:rsidRPr="00A51255">
        <w:rPr>
          <w:rFonts w:ascii="Arial" w:hAnsi="Arial" w:cs="Arial"/>
          <w:lang w:val="en-US"/>
        </w:rPr>
        <w:t>release of</w:t>
      </w:r>
      <w:r w:rsidR="004466CA" w:rsidRPr="00A51255">
        <w:rPr>
          <w:rFonts w:ascii="Arial" w:hAnsi="Arial" w:cs="Arial"/>
          <w:lang w:val="en-US"/>
        </w:rPr>
        <w:t xml:space="preserve"> </w:t>
      </w:r>
      <w:r w:rsidR="004413C2" w:rsidRPr="00A51255">
        <w:rPr>
          <w:rFonts w:ascii="Arial" w:hAnsi="Arial" w:cs="Arial"/>
          <w:lang w:val="en-US"/>
        </w:rPr>
        <w:t xml:space="preserve">news </w:t>
      </w:r>
      <w:r w:rsidR="00FE3FF0" w:rsidRPr="00A51255">
        <w:rPr>
          <w:rFonts w:ascii="Arial" w:hAnsi="Arial" w:cs="Arial"/>
          <w:lang w:val="en-US"/>
        </w:rPr>
        <w:t xml:space="preserve">or when </w:t>
      </w:r>
      <w:r w:rsidR="005271C2" w:rsidRPr="00A51255">
        <w:rPr>
          <w:rFonts w:ascii="Arial" w:hAnsi="Arial" w:cs="Arial"/>
          <w:lang w:val="en-US"/>
        </w:rPr>
        <w:t>their communication</w:t>
      </w:r>
      <w:r w:rsidR="00FE3FF0" w:rsidRPr="00A51255">
        <w:rPr>
          <w:rFonts w:ascii="Arial" w:hAnsi="Arial" w:cs="Arial"/>
          <w:lang w:val="en-US"/>
        </w:rPr>
        <w:t xml:space="preserve"> anchor</w:t>
      </w:r>
      <w:r w:rsidR="005271C2" w:rsidRPr="00A51255">
        <w:rPr>
          <w:rFonts w:ascii="Arial" w:hAnsi="Arial" w:cs="Arial"/>
          <w:lang w:val="en-US"/>
        </w:rPr>
        <w:t>s</w:t>
      </w:r>
      <w:r w:rsidR="00FE3FF0" w:rsidRPr="00A51255">
        <w:rPr>
          <w:rFonts w:ascii="Arial" w:hAnsi="Arial" w:cs="Arial"/>
          <w:lang w:val="en-US"/>
        </w:rPr>
        <w:t xml:space="preserve"> longer-term expectations of central banks</w:t>
      </w:r>
      <w:r w:rsidR="004466CA" w:rsidRPr="00A51255">
        <w:rPr>
          <w:rFonts w:ascii="Arial" w:hAnsi="Arial" w:cs="Arial"/>
          <w:lang w:val="en-US"/>
        </w:rPr>
        <w:t>’</w:t>
      </w:r>
      <w:r w:rsidR="00FE3FF0" w:rsidRPr="00A51255">
        <w:rPr>
          <w:rFonts w:ascii="Arial" w:hAnsi="Arial" w:cs="Arial"/>
          <w:lang w:val="en-US"/>
        </w:rPr>
        <w:t xml:space="preserve"> policies </w:t>
      </w:r>
      <w:r w:rsidR="004413C2" w:rsidRPr="00A51255">
        <w:rPr>
          <w:rFonts w:ascii="Arial" w:hAnsi="Arial" w:cs="Arial"/>
          <w:lang w:val="en-US"/>
        </w:rPr>
        <w:t>(</w:t>
      </w:r>
      <w:r w:rsidR="0056454C">
        <w:rPr>
          <w:rFonts w:ascii="Arial" w:hAnsi="Arial" w:cs="Arial"/>
          <w:lang w:val="en-US"/>
        </w:rPr>
        <w:t xml:space="preserve">see </w:t>
      </w:r>
      <w:r w:rsidR="004413C2" w:rsidRPr="00A51255">
        <w:rPr>
          <w:rFonts w:ascii="Arial" w:hAnsi="Arial" w:cs="Arial"/>
          <w:lang w:val="en-US"/>
        </w:rPr>
        <w:t xml:space="preserve">e.g. </w:t>
      </w:r>
      <w:r w:rsidR="002B7226" w:rsidRPr="00A51255">
        <w:rPr>
          <w:rFonts w:ascii="Arial" w:hAnsi="Arial" w:cs="Arial"/>
          <w:lang w:val="en-US"/>
        </w:rPr>
        <w:t>Sager and Taylor (2004)</w:t>
      </w:r>
      <w:r w:rsidR="004413C2" w:rsidRPr="00A51255">
        <w:rPr>
          <w:rFonts w:ascii="Arial" w:hAnsi="Arial" w:cs="Arial"/>
          <w:lang w:val="en-US"/>
        </w:rPr>
        <w:t xml:space="preserve">, </w:t>
      </w:r>
      <w:r w:rsidR="002B7226" w:rsidRPr="00A51255">
        <w:rPr>
          <w:rFonts w:ascii="Arial" w:hAnsi="Arial" w:cs="Arial"/>
          <w:lang w:val="en-US"/>
        </w:rPr>
        <w:t xml:space="preserve">Melvin </w:t>
      </w:r>
      <w:r w:rsidR="004B223F">
        <w:rPr>
          <w:rFonts w:ascii="Arial" w:hAnsi="Arial" w:cs="Arial"/>
          <w:lang w:val="en-US"/>
        </w:rPr>
        <w:t>et al</w:t>
      </w:r>
      <w:r w:rsidR="002B7226" w:rsidRPr="00A51255">
        <w:rPr>
          <w:rFonts w:ascii="Arial" w:hAnsi="Arial" w:cs="Arial"/>
          <w:lang w:val="en-US"/>
        </w:rPr>
        <w:t>. (20</w:t>
      </w:r>
      <w:r w:rsidR="00322B3A" w:rsidRPr="00A51255">
        <w:rPr>
          <w:rFonts w:ascii="Arial" w:hAnsi="Arial" w:cs="Arial"/>
          <w:lang w:val="en-US"/>
        </w:rPr>
        <w:t>10)</w:t>
      </w:r>
      <w:r w:rsidR="002B7226" w:rsidRPr="00A51255">
        <w:rPr>
          <w:rFonts w:ascii="Arial" w:hAnsi="Arial" w:cs="Arial"/>
          <w:lang w:val="en-US"/>
        </w:rPr>
        <w:t>,</w:t>
      </w:r>
      <w:r w:rsidR="009F1DC6" w:rsidRPr="00A51255">
        <w:rPr>
          <w:rFonts w:ascii="Arial" w:hAnsi="Arial" w:cs="Arial"/>
          <w:lang w:val="en-US"/>
        </w:rPr>
        <w:t xml:space="preserve"> Conrad and Lamla (2010)</w:t>
      </w:r>
      <w:r w:rsidR="002B7226" w:rsidRPr="00A51255">
        <w:rPr>
          <w:rFonts w:ascii="Arial" w:hAnsi="Arial" w:cs="Arial"/>
          <w:lang w:val="en-US"/>
        </w:rPr>
        <w:t xml:space="preserve"> and Hayo and Neuenkirch (2012)</w:t>
      </w:r>
      <w:r w:rsidR="009F1DC6" w:rsidRPr="00A51255">
        <w:rPr>
          <w:rFonts w:ascii="Arial" w:hAnsi="Arial" w:cs="Arial"/>
          <w:lang w:val="en-US"/>
        </w:rPr>
        <w:t>).</w:t>
      </w:r>
      <w:r w:rsidR="002B7226" w:rsidRPr="00A51255">
        <w:rPr>
          <w:rFonts w:ascii="Arial" w:hAnsi="Arial" w:cs="Arial"/>
          <w:lang w:val="en-US"/>
        </w:rPr>
        <w:t xml:space="preserve"> </w:t>
      </w:r>
    </w:p>
    <w:p w:rsidR="00C02253" w:rsidRDefault="00FA006F" w:rsidP="00B00DA0">
      <w:pPr>
        <w:spacing w:line="480" w:lineRule="auto"/>
        <w:ind w:firstLine="708"/>
        <w:jc w:val="both"/>
        <w:rPr>
          <w:rFonts w:ascii="Arial" w:hAnsi="Arial" w:cs="Arial"/>
          <w:lang w:val="en-US"/>
        </w:rPr>
      </w:pPr>
      <w:r w:rsidRPr="00C56103">
        <w:rPr>
          <w:rFonts w:ascii="Arial" w:hAnsi="Arial" w:cs="Arial"/>
          <w:lang w:val="en-US"/>
        </w:rPr>
        <w:t>In the remaining part of thi</w:t>
      </w:r>
      <w:r w:rsidR="00976D00" w:rsidRPr="00C56103">
        <w:rPr>
          <w:rFonts w:ascii="Arial" w:hAnsi="Arial" w:cs="Arial"/>
          <w:lang w:val="en-US"/>
        </w:rPr>
        <w:t>s section</w:t>
      </w:r>
      <w:r w:rsidRPr="00C56103">
        <w:rPr>
          <w:rFonts w:ascii="Arial" w:hAnsi="Arial" w:cs="Arial"/>
          <w:lang w:val="en-US"/>
        </w:rPr>
        <w:t xml:space="preserve">, we check, first, </w:t>
      </w:r>
      <w:r w:rsidR="007D03DC" w:rsidRPr="00C56103">
        <w:rPr>
          <w:rFonts w:ascii="Arial" w:hAnsi="Arial" w:cs="Arial"/>
          <w:lang w:val="en-US"/>
        </w:rPr>
        <w:t xml:space="preserve">if the </w:t>
      </w:r>
      <w:r w:rsidR="00E80573" w:rsidRPr="00C56103">
        <w:rPr>
          <w:rFonts w:ascii="Arial" w:hAnsi="Arial" w:cs="Arial"/>
          <w:lang w:val="en-US"/>
        </w:rPr>
        <w:t>unexpected news from the NBP had</w:t>
      </w:r>
      <w:r w:rsidR="007D03DC" w:rsidRPr="00C56103">
        <w:rPr>
          <w:rFonts w:ascii="Arial" w:hAnsi="Arial" w:cs="Arial"/>
          <w:lang w:val="en-US"/>
        </w:rPr>
        <w:t xml:space="preserve"> a </w:t>
      </w:r>
      <w:r w:rsidR="008A51BD" w:rsidRPr="00C56103">
        <w:rPr>
          <w:rFonts w:ascii="Arial" w:hAnsi="Arial" w:cs="Arial"/>
          <w:lang w:val="en-US"/>
        </w:rPr>
        <w:t xml:space="preserve">significant </w:t>
      </w:r>
      <w:r w:rsidR="007D03DC" w:rsidRPr="00C56103">
        <w:rPr>
          <w:rFonts w:ascii="Arial" w:hAnsi="Arial" w:cs="Arial"/>
          <w:lang w:val="en-US"/>
        </w:rPr>
        <w:t>effect on</w:t>
      </w:r>
      <w:r w:rsidR="00E80573" w:rsidRPr="00C56103">
        <w:rPr>
          <w:rFonts w:ascii="Arial" w:hAnsi="Arial" w:cs="Arial"/>
          <w:lang w:val="en-US"/>
        </w:rPr>
        <w:t xml:space="preserve"> the foreign-exchange market</w:t>
      </w:r>
      <w:r w:rsidR="00A80035">
        <w:rPr>
          <w:rFonts w:ascii="Arial" w:hAnsi="Arial" w:cs="Arial"/>
          <w:lang w:val="en-US"/>
        </w:rPr>
        <w:t>. We do this</w:t>
      </w:r>
      <w:r w:rsidR="00E80573" w:rsidRPr="00C56103">
        <w:rPr>
          <w:rFonts w:ascii="Arial" w:hAnsi="Arial" w:cs="Arial"/>
          <w:lang w:val="en-US"/>
        </w:rPr>
        <w:t xml:space="preserve"> by</w:t>
      </w:r>
      <w:r w:rsidR="007D03DC" w:rsidRPr="00C56103">
        <w:rPr>
          <w:rFonts w:ascii="Arial" w:hAnsi="Arial" w:cs="Arial"/>
          <w:lang w:val="en-US"/>
        </w:rPr>
        <w:t xml:space="preserve"> focus</w:t>
      </w:r>
      <w:r w:rsidR="00E80573" w:rsidRPr="00C56103">
        <w:rPr>
          <w:rFonts w:ascii="Arial" w:hAnsi="Arial" w:cs="Arial"/>
          <w:lang w:val="en-US"/>
        </w:rPr>
        <w:t>ing</w:t>
      </w:r>
      <w:r w:rsidR="007D03DC" w:rsidRPr="00C56103">
        <w:rPr>
          <w:rFonts w:ascii="Arial" w:hAnsi="Arial" w:cs="Arial"/>
          <w:lang w:val="en-US"/>
        </w:rPr>
        <w:t xml:space="preserve"> on the analysis of</w:t>
      </w:r>
      <w:r w:rsidR="00C870F1" w:rsidRPr="00C56103">
        <w:rPr>
          <w:rFonts w:ascii="Arial" w:hAnsi="Arial" w:cs="Arial"/>
          <w:lang w:val="en-US"/>
        </w:rPr>
        <w:t xml:space="preserve"> dummies’ estimates in the mean equation </w:t>
      </w:r>
      <w:r w:rsidRPr="00C56103">
        <w:rPr>
          <w:rFonts w:ascii="Arial" w:hAnsi="Arial" w:cs="Arial"/>
          <w:lang w:val="en-US"/>
        </w:rPr>
        <w:t>and, in</w:t>
      </w:r>
      <w:r w:rsidR="007D03DC" w:rsidRPr="00C56103">
        <w:rPr>
          <w:rFonts w:ascii="Arial" w:hAnsi="Arial" w:cs="Arial"/>
          <w:lang w:val="en-US"/>
        </w:rPr>
        <w:t xml:space="preserve"> the</w:t>
      </w:r>
      <w:r w:rsidRPr="00C56103">
        <w:rPr>
          <w:rFonts w:ascii="Arial" w:hAnsi="Arial" w:cs="Arial"/>
          <w:lang w:val="en-US"/>
        </w:rPr>
        <w:t xml:space="preserve"> second step, we investigate the</w:t>
      </w:r>
      <w:r w:rsidR="007D03DC" w:rsidRPr="00C56103">
        <w:rPr>
          <w:rFonts w:ascii="Arial" w:hAnsi="Arial" w:cs="Arial"/>
          <w:lang w:val="en-US"/>
        </w:rPr>
        <w:t xml:space="preserve"> effects in the </w:t>
      </w:r>
      <w:r w:rsidR="00C870F1" w:rsidRPr="00C56103">
        <w:rPr>
          <w:rFonts w:ascii="Arial" w:hAnsi="Arial" w:cs="Arial"/>
          <w:lang w:val="en-US"/>
        </w:rPr>
        <w:t xml:space="preserve">variance </w:t>
      </w:r>
      <w:r w:rsidR="007D03DC" w:rsidRPr="00C56103">
        <w:rPr>
          <w:rFonts w:ascii="Arial" w:hAnsi="Arial" w:cs="Arial"/>
          <w:lang w:val="en-US"/>
        </w:rPr>
        <w:t>equation</w:t>
      </w:r>
      <w:r w:rsidR="007D03DC" w:rsidRPr="00A51255">
        <w:rPr>
          <w:rFonts w:ascii="Arial" w:hAnsi="Arial" w:cs="Arial"/>
          <w:lang w:val="en-US"/>
        </w:rPr>
        <w:t>.</w:t>
      </w:r>
    </w:p>
    <w:p w:rsidR="004504F2" w:rsidRPr="004504F2" w:rsidRDefault="00BF37B1" w:rsidP="004504F2">
      <w:pPr>
        <w:spacing w:line="480" w:lineRule="auto"/>
        <w:ind w:firstLine="708"/>
        <w:jc w:val="both"/>
        <w:rPr>
          <w:lang w:val="en-US"/>
        </w:rPr>
      </w:pPr>
      <w:r>
        <w:rPr>
          <w:rFonts w:ascii="Arial" w:hAnsi="Arial" w:cs="Arial"/>
          <w:lang w:val="en-US"/>
        </w:rPr>
        <w:t>Table</w:t>
      </w:r>
      <w:r w:rsidR="00275FD1">
        <w:rPr>
          <w:rFonts w:ascii="Arial" w:hAnsi="Arial" w:cs="Arial"/>
          <w:lang w:val="en-US"/>
        </w:rPr>
        <w:t>s</w:t>
      </w:r>
      <w:r>
        <w:rPr>
          <w:rFonts w:ascii="Arial" w:hAnsi="Arial" w:cs="Arial"/>
          <w:lang w:val="en-US"/>
        </w:rPr>
        <w:t xml:space="preserve"> </w:t>
      </w:r>
      <w:r w:rsidR="00275FD1">
        <w:rPr>
          <w:rFonts w:ascii="Arial" w:hAnsi="Arial" w:cs="Arial"/>
          <w:lang w:val="en-US"/>
        </w:rPr>
        <w:t xml:space="preserve">3a and </w:t>
      </w:r>
      <w:r>
        <w:rPr>
          <w:rFonts w:ascii="Arial" w:hAnsi="Arial" w:cs="Arial"/>
          <w:lang w:val="en-US"/>
        </w:rPr>
        <w:t>3b</w:t>
      </w:r>
      <w:r w:rsidR="00275FD1">
        <w:rPr>
          <w:rFonts w:ascii="Arial" w:hAnsi="Arial" w:cs="Arial"/>
          <w:lang w:val="en-US"/>
        </w:rPr>
        <w:t xml:space="preserve"> report</w:t>
      </w:r>
      <w:r w:rsidR="00B86AF6" w:rsidRPr="00A51255">
        <w:rPr>
          <w:rFonts w:ascii="Arial" w:hAnsi="Arial" w:cs="Arial"/>
          <w:lang w:val="en-US"/>
        </w:rPr>
        <w:t xml:space="preserve"> the estimates from</w:t>
      </w:r>
      <w:r w:rsidR="00A475F3" w:rsidRPr="00A51255">
        <w:rPr>
          <w:rFonts w:ascii="Arial" w:hAnsi="Arial" w:cs="Arial"/>
          <w:lang w:val="en-US"/>
        </w:rPr>
        <w:t xml:space="preserve"> the GARCH model of</w:t>
      </w:r>
      <w:r w:rsidR="00EF71D0" w:rsidRPr="00A51255">
        <w:rPr>
          <w:rFonts w:ascii="Arial" w:hAnsi="Arial" w:cs="Arial"/>
          <w:lang w:val="en-US"/>
        </w:rPr>
        <w:t xml:space="preserve"> exchange rate returns where the dummy variables are included in the </w:t>
      </w:r>
      <w:r w:rsidR="009030F3">
        <w:rPr>
          <w:rFonts w:ascii="Arial" w:hAnsi="Arial" w:cs="Arial"/>
          <w:lang w:val="en-US"/>
        </w:rPr>
        <w:t xml:space="preserve">mean </w:t>
      </w:r>
      <w:r w:rsidR="00805960">
        <w:rPr>
          <w:rFonts w:ascii="Arial" w:hAnsi="Arial" w:cs="Arial"/>
          <w:lang w:val="en-US"/>
        </w:rPr>
        <w:t xml:space="preserve">and in the variance </w:t>
      </w:r>
      <w:r w:rsidR="009030F3">
        <w:rPr>
          <w:rFonts w:ascii="Arial" w:hAnsi="Arial" w:cs="Arial"/>
          <w:lang w:val="en-US"/>
        </w:rPr>
        <w:t>equation</w:t>
      </w:r>
      <w:r w:rsidR="00805960">
        <w:rPr>
          <w:rFonts w:ascii="Arial" w:hAnsi="Arial" w:cs="Arial"/>
          <w:lang w:val="en-US"/>
        </w:rPr>
        <w:t>s</w:t>
      </w:r>
      <w:r w:rsidR="00EF71D0" w:rsidRPr="00A51255">
        <w:rPr>
          <w:rFonts w:ascii="Arial" w:hAnsi="Arial" w:cs="Arial"/>
          <w:lang w:val="en-US"/>
        </w:rPr>
        <w:t xml:space="preserve"> (i.e. </w:t>
      </w:r>
      <w:r w:rsidR="00507C55" w:rsidRPr="00A51255">
        <w:rPr>
          <w:rFonts w:ascii="Arial" w:hAnsi="Arial" w:cs="Arial"/>
          <w:lang w:val="en-US"/>
        </w:rPr>
        <w:t xml:space="preserve">in </w:t>
      </w:r>
      <w:r w:rsidR="00EF71D0" w:rsidRPr="00A51255">
        <w:rPr>
          <w:rFonts w:ascii="Arial" w:hAnsi="Arial" w:cs="Arial"/>
          <w:lang w:val="en-US"/>
        </w:rPr>
        <w:t>equation</w:t>
      </w:r>
      <w:r w:rsidR="00805960">
        <w:rPr>
          <w:rFonts w:ascii="Arial" w:hAnsi="Arial" w:cs="Arial"/>
          <w:lang w:val="en-US"/>
        </w:rPr>
        <w:t>s</w:t>
      </w:r>
      <w:r w:rsidR="00EF71D0" w:rsidRPr="00A51255">
        <w:rPr>
          <w:rFonts w:ascii="Arial" w:hAnsi="Arial" w:cs="Arial"/>
          <w:lang w:val="en-US"/>
        </w:rPr>
        <w:t xml:space="preserve"> </w:t>
      </w:r>
      <w:r w:rsidR="009030F3">
        <w:rPr>
          <w:rFonts w:ascii="Arial" w:hAnsi="Arial" w:cs="Arial"/>
          <w:lang w:val="en-US"/>
        </w:rPr>
        <w:t>(1</w:t>
      </w:r>
      <w:r w:rsidR="00810221">
        <w:rPr>
          <w:rFonts w:ascii="Arial" w:hAnsi="Arial" w:cs="Arial"/>
          <w:lang w:val="en-US"/>
        </w:rPr>
        <w:t>)</w:t>
      </w:r>
      <w:r w:rsidR="00805960">
        <w:rPr>
          <w:rFonts w:ascii="Arial" w:hAnsi="Arial" w:cs="Arial"/>
          <w:lang w:val="en-US"/>
        </w:rPr>
        <w:t xml:space="preserve"> and (2)</w:t>
      </w:r>
      <w:r w:rsidR="00EF71D0" w:rsidRPr="00A51255">
        <w:rPr>
          <w:rFonts w:ascii="Arial" w:hAnsi="Arial" w:cs="Arial"/>
          <w:lang w:val="en-US"/>
        </w:rPr>
        <w:t>).</w:t>
      </w:r>
      <w:r w:rsidR="000C05D6" w:rsidRPr="00A51255">
        <w:rPr>
          <w:rStyle w:val="FootnoteReference"/>
          <w:rFonts w:ascii="Arial" w:hAnsi="Arial" w:cs="Arial"/>
          <w:lang w:val="en-US"/>
        </w:rPr>
        <w:footnoteReference w:id="19"/>
      </w:r>
      <w:r w:rsidR="004504F2" w:rsidRPr="004504F2">
        <w:rPr>
          <w:rFonts w:ascii="Arial" w:hAnsi="Arial" w:cs="Arial"/>
          <w:vertAlign w:val="superscript"/>
          <w:lang w:val="en-US"/>
        </w:rPr>
        <w:t>,</w:t>
      </w:r>
      <w:r w:rsidR="000C05D6" w:rsidRPr="00A51255">
        <w:rPr>
          <w:lang w:val="en-US"/>
        </w:rPr>
        <w:t xml:space="preserve"> </w:t>
      </w:r>
      <w:r w:rsidR="004504F2">
        <w:rPr>
          <w:rStyle w:val="FootnoteReference"/>
          <w:rFonts w:ascii="Arial" w:hAnsi="Arial" w:cs="Arial"/>
          <w:lang w:val="en-US"/>
        </w:rPr>
        <w:footnoteReference w:id="20"/>
      </w:r>
    </w:p>
    <w:p w:rsidR="00883636" w:rsidRPr="00A51255" w:rsidRDefault="00883636" w:rsidP="00883636">
      <w:pPr>
        <w:spacing w:line="480" w:lineRule="auto"/>
        <w:ind w:firstLine="708"/>
        <w:jc w:val="both"/>
        <w:rPr>
          <w:rFonts w:ascii="Arial" w:hAnsi="Arial" w:cs="Arial"/>
          <w:b/>
          <w:lang w:val="en-US"/>
        </w:rPr>
      </w:pPr>
      <w:r w:rsidRPr="00A51255">
        <w:rPr>
          <w:rFonts w:ascii="Arial" w:hAnsi="Arial" w:cs="Arial"/>
          <w:lang w:val="en-US"/>
        </w:rPr>
        <w:lastRenderedPageBreak/>
        <w:t xml:space="preserve">Because all announcements were always made in the late afternoon at 4:00 </w:t>
      </w:r>
      <w:r w:rsidRPr="000438B5">
        <w:rPr>
          <w:rFonts w:ascii="Arial" w:hAnsi="Arial" w:cs="Arial"/>
          <w:lang w:val="en-US"/>
        </w:rPr>
        <w:t xml:space="preserve">PM </w:t>
      </w:r>
      <w:r w:rsidR="00AF4A0C">
        <w:rPr>
          <w:rFonts w:ascii="Arial" w:hAnsi="Arial" w:cs="Arial"/>
          <w:lang w:val="en-US"/>
        </w:rPr>
        <w:t xml:space="preserve">in our sample period </w:t>
      </w:r>
      <w:r w:rsidRPr="000438B5">
        <w:rPr>
          <w:rFonts w:ascii="Arial" w:hAnsi="Arial" w:cs="Arial"/>
          <w:lang w:val="en-US"/>
        </w:rPr>
        <w:t>(see footnote 1</w:t>
      </w:r>
      <w:r w:rsidR="00A5014A">
        <w:rPr>
          <w:rFonts w:ascii="Arial" w:hAnsi="Arial" w:cs="Arial"/>
          <w:lang w:val="en-US"/>
        </w:rPr>
        <w:t>4</w:t>
      </w:r>
      <w:r w:rsidRPr="000438B5">
        <w:rPr>
          <w:rFonts w:ascii="Arial" w:hAnsi="Arial" w:cs="Arial"/>
          <w:lang w:val="en-US"/>
        </w:rPr>
        <w:t>),</w:t>
      </w:r>
      <w:r w:rsidRPr="00A51255">
        <w:rPr>
          <w:rFonts w:ascii="Arial" w:hAnsi="Arial" w:cs="Arial"/>
          <w:lang w:val="en-US"/>
        </w:rPr>
        <w:t xml:space="preserve"> all variants of the model were estimated with the NBP announcement dummies for day </w:t>
      </w:r>
      <w:r w:rsidRPr="00A51255">
        <w:rPr>
          <w:rFonts w:ascii="Arial" w:hAnsi="Arial" w:cs="Arial"/>
          <w:position w:val="-6"/>
          <w:lang w:val="en-US"/>
        </w:rPr>
        <w:object w:dxaOrig="139" w:dyaOrig="240">
          <v:shape id="_x0000_i1061" type="#_x0000_t75" style="width:7.7pt;height:12.85pt" o:ole="">
            <v:imagedata r:id="rId75" o:title=""/>
          </v:shape>
          <o:OLEObject Type="Embed" ProgID="Equation.3" ShapeID="_x0000_i1061" DrawAspect="Content" ObjectID="_1507543408" r:id="rId76"/>
        </w:object>
      </w:r>
      <w:r w:rsidRPr="00A51255">
        <w:rPr>
          <w:rFonts w:ascii="Arial" w:hAnsi="Arial" w:cs="Arial"/>
          <w:lang w:val="en-US"/>
        </w:rPr>
        <w:t xml:space="preserve"> (i.e. the announcement day) and the next day </w:t>
      </w:r>
      <w:r w:rsidRPr="00A51255">
        <w:rPr>
          <w:rFonts w:ascii="Arial" w:hAnsi="Arial" w:cs="Arial"/>
          <w:position w:val="-6"/>
          <w:lang w:val="en-US"/>
        </w:rPr>
        <w:object w:dxaOrig="139" w:dyaOrig="240">
          <v:shape id="_x0000_i1062" type="#_x0000_t75" style="width:7.7pt;height:12.85pt" o:ole="">
            <v:imagedata r:id="rId75" o:title=""/>
          </v:shape>
          <o:OLEObject Type="Embed" ProgID="Equation.3" ShapeID="_x0000_i1062" DrawAspect="Content" ObjectID="_1507543409" r:id="rId77"/>
        </w:object>
      </w:r>
      <w:r w:rsidRPr="00A51255">
        <w:rPr>
          <w:i/>
          <w:lang w:val="en-US"/>
        </w:rPr>
        <w:t>+1</w:t>
      </w:r>
      <w:r w:rsidRPr="00A51255">
        <w:rPr>
          <w:rFonts w:ascii="Arial" w:hAnsi="Arial" w:cs="Arial"/>
          <w:lang w:val="en-US"/>
        </w:rPr>
        <w:t xml:space="preserve"> to capture the possibility that some investors may have received the announcement the next day (or they may have reacted to it </w:t>
      </w:r>
      <w:r w:rsidR="00A80035">
        <w:rPr>
          <w:rFonts w:ascii="Arial" w:hAnsi="Arial" w:cs="Arial"/>
          <w:lang w:val="en-US"/>
        </w:rPr>
        <w:t>after</w:t>
      </w:r>
      <w:r w:rsidRPr="00A51255">
        <w:rPr>
          <w:rFonts w:ascii="Arial" w:hAnsi="Arial" w:cs="Arial"/>
          <w:lang w:val="en-US"/>
        </w:rPr>
        <w:t xml:space="preserve"> a delay). For space considerations we only report the estimates of the dummy variables and other key coefficients in this and all other tables. The detailed results are available from the authors.</w:t>
      </w:r>
    </w:p>
    <w:p w:rsidR="00316BB3" w:rsidRDefault="00A80035" w:rsidP="00F0432F">
      <w:pPr>
        <w:spacing w:line="480" w:lineRule="auto"/>
        <w:ind w:firstLine="708"/>
        <w:jc w:val="both"/>
        <w:rPr>
          <w:rFonts w:ascii="Arial" w:hAnsi="Arial" w:cs="Arial"/>
          <w:lang w:val="en-US"/>
        </w:rPr>
      </w:pPr>
      <w:r>
        <w:rPr>
          <w:rFonts w:ascii="Arial" w:hAnsi="Arial" w:cs="Arial"/>
          <w:lang w:val="en-US"/>
        </w:rPr>
        <w:t>The f</w:t>
      </w:r>
      <w:r w:rsidR="00FA2C74">
        <w:rPr>
          <w:rFonts w:ascii="Arial" w:hAnsi="Arial" w:cs="Arial"/>
          <w:lang w:val="en-US"/>
        </w:rPr>
        <w:t xml:space="preserve">irst panels in </w:t>
      </w:r>
      <w:r w:rsidR="00BF37B1">
        <w:rPr>
          <w:rFonts w:ascii="Arial" w:hAnsi="Arial" w:cs="Arial"/>
          <w:lang w:val="en-US"/>
        </w:rPr>
        <w:t>Table</w:t>
      </w:r>
      <w:r w:rsidR="003B7DAF">
        <w:rPr>
          <w:rFonts w:ascii="Arial" w:hAnsi="Arial" w:cs="Arial"/>
          <w:lang w:val="en-US"/>
        </w:rPr>
        <w:t>s</w:t>
      </w:r>
      <w:r w:rsidR="00BF37B1">
        <w:rPr>
          <w:rFonts w:ascii="Arial" w:hAnsi="Arial" w:cs="Arial"/>
          <w:lang w:val="en-US"/>
        </w:rPr>
        <w:t xml:space="preserve"> 3a</w:t>
      </w:r>
      <w:r w:rsidR="003B7DAF">
        <w:rPr>
          <w:rFonts w:ascii="Arial" w:hAnsi="Arial" w:cs="Arial"/>
          <w:lang w:val="en-US"/>
        </w:rPr>
        <w:t xml:space="preserve"> and 3b</w:t>
      </w:r>
      <w:r w:rsidR="006E2514" w:rsidRPr="00A51255">
        <w:rPr>
          <w:rFonts w:ascii="Arial" w:hAnsi="Arial" w:cs="Arial"/>
          <w:b/>
          <w:lang w:val="en-US"/>
        </w:rPr>
        <w:t xml:space="preserve"> </w:t>
      </w:r>
      <w:r w:rsidR="006E2514" w:rsidRPr="00A51255">
        <w:rPr>
          <w:rFonts w:ascii="Arial" w:hAnsi="Arial" w:cs="Arial"/>
          <w:lang w:val="en-US"/>
        </w:rPr>
        <w:t>present</w:t>
      </w:r>
      <w:r w:rsidR="006E2514" w:rsidRPr="00A51255">
        <w:rPr>
          <w:rFonts w:ascii="Arial" w:hAnsi="Arial" w:cs="Arial"/>
          <w:b/>
          <w:lang w:val="en-US"/>
        </w:rPr>
        <w:t xml:space="preserve"> </w:t>
      </w:r>
      <w:r w:rsidR="009945AE" w:rsidRPr="00A51255">
        <w:rPr>
          <w:rFonts w:ascii="Arial" w:hAnsi="Arial" w:cs="Arial"/>
          <w:lang w:val="en-US"/>
        </w:rPr>
        <w:t>the estimates for</w:t>
      </w:r>
      <w:r w:rsidR="00316BB3" w:rsidRPr="00A51255">
        <w:rPr>
          <w:rFonts w:ascii="Arial" w:hAnsi="Arial" w:cs="Arial"/>
          <w:lang w:val="en-US"/>
        </w:rPr>
        <w:t xml:space="preserve"> the surprise announcement dummy variables for the model of the PLN/USD exchange rate returns (i</w:t>
      </w:r>
      <w:r w:rsidR="00E91BCF" w:rsidRPr="00A51255">
        <w:rPr>
          <w:rFonts w:ascii="Arial" w:hAnsi="Arial" w:cs="Arial"/>
          <w:lang w:val="en-US"/>
        </w:rPr>
        <w:t xml:space="preserve">.e. </w:t>
      </w:r>
      <w:r w:rsidR="00446A2A" w:rsidRPr="00A51255">
        <w:rPr>
          <w:rFonts w:ascii="Arial" w:hAnsi="Arial" w:cs="Arial"/>
          <w:lang w:val="en-US"/>
        </w:rPr>
        <w:t xml:space="preserve">from </w:t>
      </w:r>
      <w:r w:rsidR="00E91BCF" w:rsidRPr="00A51255">
        <w:rPr>
          <w:rFonts w:ascii="Arial" w:hAnsi="Arial" w:cs="Arial"/>
          <w:lang w:val="en-US"/>
        </w:rPr>
        <w:t xml:space="preserve">equation </w:t>
      </w:r>
      <w:r w:rsidR="00BF11E0">
        <w:rPr>
          <w:rFonts w:ascii="Arial" w:hAnsi="Arial" w:cs="Arial"/>
          <w:lang w:val="en-US"/>
        </w:rPr>
        <w:t>(1</w:t>
      </w:r>
      <w:r w:rsidR="00D47509">
        <w:rPr>
          <w:rFonts w:ascii="Arial" w:hAnsi="Arial" w:cs="Arial"/>
          <w:lang w:val="en-US"/>
        </w:rPr>
        <w:t>)</w:t>
      </w:r>
      <w:r w:rsidR="00D47873">
        <w:rPr>
          <w:rFonts w:ascii="Arial" w:hAnsi="Arial" w:cs="Arial"/>
          <w:lang w:val="en-US"/>
        </w:rPr>
        <w:t>). A</w:t>
      </w:r>
      <w:r w:rsidR="00316BB3" w:rsidRPr="00A51255">
        <w:rPr>
          <w:rFonts w:ascii="Arial" w:hAnsi="Arial" w:cs="Arial"/>
          <w:lang w:val="en-US"/>
        </w:rPr>
        <w:t xml:space="preserve">ll variants of the model were estimated with the </w:t>
      </w:r>
      <w:r w:rsidR="0098408D" w:rsidRPr="00A51255">
        <w:rPr>
          <w:i/>
          <w:lang w:val="en-US"/>
        </w:rPr>
        <w:t>MS</w:t>
      </w:r>
      <w:r w:rsidR="00316BB3" w:rsidRPr="00A51255">
        <w:rPr>
          <w:rFonts w:ascii="Arial" w:hAnsi="Arial" w:cs="Arial"/>
          <w:lang w:val="en-US"/>
        </w:rPr>
        <w:t xml:space="preserve"> dumm</w:t>
      </w:r>
      <w:r w:rsidR="00655B17" w:rsidRPr="00A51255">
        <w:rPr>
          <w:rFonts w:ascii="Arial" w:hAnsi="Arial" w:cs="Arial"/>
          <w:lang w:val="en-US"/>
        </w:rPr>
        <w:t>y</w:t>
      </w:r>
      <w:r w:rsidR="00316BB3" w:rsidRPr="00A51255">
        <w:rPr>
          <w:rFonts w:ascii="Arial" w:hAnsi="Arial" w:cs="Arial"/>
          <w:lang w:val="en-US"/>
        </w:rPr>
        <w:t xml:space="preserve"> </w:t>
      </w:r>
      <w:r w:rsidR="005835AC" w:rsidRPr="00A51255">
        <w:rPr>
          <w:rFonts w:ascii="Arial" w:hAnsi="Arial" w:cs="Arial"/>
          <w:lang w:val="en-US"/>
        </w:rPr>
        <w:t xml:space="preserve">(and other dummies discussed in the next section) </w:t>
      </w:r>
      <w:r w:rsidR="00316BB3" w:rsidRPr="00A51255">
        <w:rPr>
          <w:rFonts w:ascii="Arial" w:hAnsi="Arial" w:cs="Arial"/>
          <w:lang w:val="en-US"/>
        </w:rPr>
        <w:t>for</w:t>
      </w:r>
      <w:r w:rsidR="00A02CC9" w:rsidRPr="00A51255">
        <w:rPr>
          <w:rFonts w:ascii="Arial" w:hAnsi="Arial" w:cs="Arial"/>
          <w:lang w:val="en-US"/>
        </w:rPr>
        <w:t xml:space="preserve"> days</w:t>
      </w:r>
      <w:r w:rsidR="00316BB3" w:rsidRPr="00A51255">
        <w:rPr>
          <w:rFonts w:ascii="Arial" w:hAnsi="Arial" w:cs="Arial"/>
          <w:lang w:val="en-US"/>
        </w:rPr>
        <w:t xml:space="preserve"> </w:t>
      </w:r>
      <w:r w:rsidR="00316BB3" w:rsidRPr="00A51255">
        <w:rPr>
          <w:rFonts w:ascii="Arial" w:hAnsi="Arial" w:cs="Arial"/>
          <w:position w:val="-6"/>
          <w:lang w:val="en-US"/>
        </w:rPr>
        <w:object w:dxaOrig="139" w:dyaOrig="240">
          <v:shape id="_x0000_i1063" type="#_x0000_t75" style="width:7.7pt;height:12.85pt" o:ole="">
            <v:imagedata r:id="rId75" o:title=""/>
          </v:shape>
          <o:OLEObject Type="Embed" ProgID="Equation.3" ShapeID="_x0000_i1063" DrawAspect="Content" ObjectID="_1507543410" r:id="rId78"/>
        </w:object>
      </w:r>
      <w:r w:rsidR="00316BB3" w:rsidRPr="00A51255">
        <w:rPr>
          <w:rFonts w:ascii="Arial" w:hAnsi="Arial" w:cs="Arial"/>
          <w:lang w:val="en-US"/>
        </w:rPr>
        <w:t xml:space="preserve"> and </w:t>
      </w:r>
      <w:r w:rsidR="00316BB3" w:rsidRPr="00A51255">
        <w:rPr>
          <w:rFonts w:ascii="Arial" w:hAnsi="Arial" w:cs="Arial"/>
          <w:position w:val="-6"/>
          <w:lang w:val="en-US"/>
        </w:rPr>
        <w:object w:dxaOrig="139" w:dyaOrig="240">
          <v:shape id="_x0000_i1064" type="#_x0000_t75" style="width:7.7pt;height:12.85pt" o:ole="">
            <v:imagedata r:id="rId75" o:title=""/>
          </v:shape>
          <o:OLEObject Type="Embed" ProgID="Equation.3" ShapeID="_x0000_i1064" DrawAspect="Content" ObjectID="_1507543411" r:id="rId79"/>
        </w:object>
      </w:r>
      <w:r w:rsidR="00316BB3" w:rsidRPr="00A51255">
        <w:rPr>
          <w:rFonts w:ascii="Arial" w:hAnsi="Arial" w:cs="Arial"/>
          <w:position w:val="-4"/>
          <w:lang w:val="en-US"/>
        </w:rPr>
        <w:object w:dxaOrig="360" w:dyaOrig="260">
          <v:shape id="_x0000_i1065" type="#_x0000_t75" style="width:19.3pt;height:14.15pt" o:ole="">
            <v:imagedata r:id="rId80" o:title=""/>
          </v:shape>
          <o:OLEObject Type="Embed" ProgID="Equation.3" ShapeID="_x0000_i1065" DrawAspect="Content" ObjectID="_1507543412" r:id="rId81"/>
        </w:object>
      </w:r>
      <w:r w:rsidR="00316BB3" w:rsidRPr="00A51255">
        <w:rPr>
          <w:rFonts w:ascii="Arial" w:hAnsi="Arial" w:cs="Arial"/>
          <w:lang w:val="en-US"/>
        </w:rPr>
        <w:t xml:space="preserve">. </w:t>
      </w:r>
    </w:p>
    <w:p w:rsidR="00AD4284" w:rsidRDefault="00AD4284" w:rsidP="00F0432F">
      <w:pPr>
        <w:spacing w:line="480" w:lineRule="auto"/>
        <w:ind w:firstLine="708"/>
        <w:jc w:val="both"/>
        <w:rPr>
          <w:rFonts w:ascii="Arial" w:hAnsi="Arial" w:cs="Arial"/>
          <w:lang w:val="en-US"/>
        </w:rPr>
      </w:pPr>
    </w:p>
    <w:p w:rsidR="00AD4284" w:rsidRPr="00A51255" w:rsidRDefault="00AD4284" w:rsidP="00AD4284">
      <w:pPr>
        <w:spacing w:line="480" w:lineRule="auto"/>
        <w:jc w:val="center"/>
        <w:rPr>
          <w:rFonts w:ascii="Arial" w:hAnsi="Arial" w:cs="Arial"/>
          <w:i/>
          <w:lang w:val="en-US"/>
        </w:rPr>
      </w:pPr>
      <w:r w:rsidRPr="00A51255">
        <w:rPr>
          <w:rFonts w:ascii="Arial" w:hAnsi="Arial" w:cs="Arial"/>
          <w:i/>
          <w:lang w:val="en-US"/>
        </w:rPr>
        <w:t>[</w:t>
      </w:r>
      <w:r>
        <w:rPr>
          <w:rFonts w:ascii="Arial" w:hAnsi="Arial" w:cs="Arial"/>
          <w:i/>
          <w:lang w:val="en-US"/>
        </w:rPr>
        <w:t>Tables 3a and 3b</w:t>
      </w:r>
      <w:r w:rsidRPr="00A51255">
        <w:rPr>
          <w:rFonts w:ascii="Arial" w:hAnsi="Arial" w:cs="Arial"/>
          <w:i/>
          <w:lang w:val="en-US"/>
        </w:rPr>
        <w:t xml:space="preserve"> around here]</w:t>
      </w:r>
    </w:p>
    <w:p w:rsidR="00AD4284" w:rsidRPr="00A51255" w:rsidRDefault="00AD4284" w:rsidP="00F0432F">
      <w:pPr>
        <w:spacing w:line="480" w:lineRule="auto"/>
        <w:ind w:firstLine="708"/>
        <w:jc w:val="both"/>
        <w:rPr>
          <w:rFonts w:ascii="Arial" w:hAnsi="Arial" w:cs="Arial"/>
          <w:b/>
          <w:lang w:val="en-US"/>
        </w:rPr>
      </w:pPr>
    </w:p>
    <w:p w:rsidR="008A51BD" w:rsidRDefault="00316BB3" w:rsidP="008A51BD">
      <w:pPr>
        <w:spacing w:line="480" w:lineRule="auto"/>
        <w:ind w:firstLine="708"/>
        <w:jc w:val="both"/>
        <w:rPr>
          <w:rFonts w:ascii="Arial" w:hAnsi="Arial" w:cs="Arial"/>
          <w:lang w:val="en-US"/>
        </w:rPr>
      </w:pPr>
      <w:r w:rsidRPr="00A51255">
        <w:rPr>
          <w:rFonts w:ascii="Arial" w:hAnsi="Arial" w:cs="Arial"/>
          <w:lang w:val="en-US"/>
        </w:rPr>
        <w:t>The results on the announcement date show that</w:t>
      </w:r>
      <w:r w:rsidR="004F4AD4">
        <w:rPr>
          <w:rFonts w:ascii="Arial" w:hAnsi="Arial" w:cs="Arial"/>
          <w:lang w:val="en-US"/>
        </w:rPr>
        <w:t xml:space="preserve"> a </w:t>
      </w:r>
      <w:r w:rsidR="00381278" w:rsidRPr="00A51255">
        <w:rPr>
          <w:rFonts w:ascii="Arial" w:hAnsi="Arial" w:cs="Arial"/>
          <w:lang w:val="en-US"/>
        </w:rPr>
        <w:t xml:space="preserve">strongly negative </w:t>
      </w:r>
      <w:r w:rsidR="00381278" w:rsidRPr="00A51255">
        <w:rPr>
          <w:i/>
          <w:lang w:val="en-US"/>
        </w:rPr>
        <w:t>MS</w:t>
      </w:r>
      <w:r w:rsidR="00381278" w:rsidRPr="00A51255">
        <w:rPr>
          <w:rFonts w:ascii="Arial" w:hAnsi="Arial" w:cs="Arial"/>
          <w:lang w:val="en-US"/>
        </w:rPr>
        <w:t xml:space="preserve"> announcement </w:t>
      </w:r>
      <w:r w:rsidR="00081C61" w:rsidRPr="00A51255">
        <w:rPr>
          <w:rFonts w:ascii="Arial" w:hAnsi="Arial" w:cs="Arial"/>
          <w:lang w:val="en-US"/>
        </w:rPr>
        <w:t>depreciated</w:t>
      </w:r>
      <w:r w:rsidRPr="00A51255">
        <w:rPr>
          <w:rFonts w:ascii="Arial" w:hAnsi="Arial" w:cs="Arial"/>
          <w:lang w:val="en-US"/>
        </w:rPr>
        <w:t xml:space="preserve"> the</w:t>
      </w:r>
      <w:r w:rsidR="00BF11E0">
        <w:rPr>
          <w:rFonts w:ascii="Arial" w:hAnsi="Arial" w:cs="Arial"/>
          <w:lang w:val="en-US"/>
        </w:rPr>
        <w:t xml:space="preserve"> domestic currency by about 0.20</w:t>
      </w:r>
      <w:r w:rsidR="00FA6FD1" w:rsidRPr="00A51255">
        <w:rPr>
          <w:rFonts w:ascii="Arial" w:hAnsi="Arial" w:cs="Arial"/>
          <w:lang w:val="en-US"/>
        </w:rPr>
        <w:t>%</w:t>
      </w:r>
      <w:r w:rsidRPr="00A51255">
        <w:rPr>
          <w:rFonts w:ascii="Arial" w:hAnsi="Arial" w:cs="Arial"/>
          <w:lang w:val="en-US"/>
        </w:rPr>
        <w:t xml:space="preserve"> against the US dollar</w:t>
      </w:r>
      <w:r w:rsidR="003367E8" w:rsidRPr="00A51255">
        <w:rPr>
          <w:rFonts w:ascii="Arial" w:hAnsi="Arial" w:cs="Arial"/>
          <w:lang w:val="en-US"/>
        </w:rPr>
        <w:t xml:space="preserve">. </w:t>
      </w:r>
      <w:r w:rsidR="00662C49" w:rsidRPr="00A51255">
        <w:rPr>
          <w:rFonts w:ascii="Arial" w:hAnsi="Arial" w:cs="Arial"/>
          <w:lang w:val="en-US"/>
        </w:rPr>
        <w:t>However, o</w:t>
      </w:r>
      <w:r w:rsidRPr="00A51255">
        <w:rPr>
          <w:rFonts w:ascii="Arial" w:hAnsi="Arial" w:cs="Arial"/>
          <w:lang w:val="en-US"/>
        </w:rPr>
        <w:t xml:space="preserve">n the next day, </w:t>
      </w:r>
      <w:r w:rsidR="004F4AD4">
        <w:rPr>
          <w:rFonts w:ascii="Arial" w:hAnsi="Arial" w:cs="Arial"/>
          <w:lang w:val="en-US"/>
        </w:rPr>
        <w:t xml:space="preserve">a </w:t>
      </w:r>
      <w:r w:rsidRPr="00A51255">
        <w:rPr>
          <w:rFonts w:ascii="Arial" w:hAnsi="Arial" w:cs="Arial"/>
          <w:lang w:val="en-US"/>
        </w:rPr>
        <w:t xml:space="preserve">strongly negative </w:t>
      </w:r>
      <w:r w:rsidR="003367E8" w:rsidRPr="00A51255">
        <w:rPr>
          <w:i/>
          <w:lang w:val="en-US"/>
        </w:rPr>
        <w:t>MS</w:t>
      </w:r>
      <w:r w:rsidR="003367E8" w:rsidRPr="00A51255">
        <w:rPr>
          <w:rFonts w:ascii="Arial" w:hAnsi="Arial" w:cs="Arial"/>
          <w:lang w:val="en-US"/>
        </w:rPr>
        <w:t xml:space="preserve"> announcement </w:t>
      </w:r>
      <w:r w:rsidR="00365C03" w:rsidRPr="00A51255">
        <w:rPr>
          <w:rFonts w:ascii="Arial" w:hAnsi="Arial" w:cs="Arial"/>
          <w:lang w:val="en-US"/>
        </w:rPr>
        <w:t>caus</w:t>
      </w:r>
      <w:r w:rsidR="003367E8" w:rsidRPr="00A51255">
        <w:rPr>
          <w:rFonts w:ascii="Arial" w:hAnsi="Arial" w:cs="Arial"/>
          <w:lang w:val="en-US"/>
        </w:rPr>
        <w:t xml:space="preserve">ed </w:t>
      </w:r>
      <w:r w:rsidR="00662C49" w:rsidRPr="00A51255">
        <w:rPr>
          <w:rFonts w:ascii="Arial" w:hAnsi="Arial" w:cs="Arial"/>
          <w:lang w:val="en-US"/>
        </w:rPr>
        <w:t>the</w:t>
      </w:r>
      <w:r w:rsidR="002161A1" w:rsidRPr="00A51255">
        <w:rPr>
          <w:rFonts w:ascii="Arial" w:hAnsi="Arial" w:cs="Arial"/>
          <w:lang w:val="en-US"/>
        </w:rPr>
        <w:t xml:space="preserve"> </w:t>
      </w:r>
      <w:r w:rsidR="00081C61" w:rsidRPr="00A51255">
        <w:rPr>
          <w:rFonts w:ascii="Arial" w:hAnsi="Arial" w:cs="Arial"/>
          <w:lang w:val="en-US"/>
        </w:rPr>
        <w:t>appreciation</w:t>
      </w:r>
      <w:r w:rsidR="002161A1" w:rsidRPr="00A51255">
        <w:rPr>
          <w:rFonts w:ascii="Arial" w:hAnsi="Arial" w:cs="Arial"/>
          <w:lang w:val="en-US"/>
        </w:rPr>
        <w:t xml:space="preserve"> </w:t>
      </w:r>
      <w:r w:rsidR="00313196" w:rsidRPr="00A51255">
        <w:rPr>
          <w:rFonts w:ascii="Arial" w:hAnsi="Arial" w:cs="Arial"/>
          <w:lang w:val="en-US"/>
        </w:rPr>
        <w:t xml:space="preserve">of the PLN/USD exchange rate </w:t>
      </w:r>
      <w:r w:rsidR="00365C03" w:rsidRPr="00A51255">
        <w:rPr>
          <w:rFonts w:ascii="Arial" w:hAnsi="Arial" w:cs="Arial"/>
          <w:lang w:val="en-US"/>
        </w:rPr>
        <w:t>by -1.</w:t>
      </w:r>
      <w:r w:rsidRPr="00A51255">
        <w:rPr>
          <w:rFonts w:ascii="Arial" w:hAnsi="Arial" w:cs="Arial"/>
          <w:lang w:val="en-US"/>
        </w:rPr>
        <w:t>0</w:t>
      </w:r>
      <w:r w:rsidR="00BF11E0">
        <w:rPr>
          <w:rFonts w:ascii="Arial" w:hAnsi="Arial" w:cs="Arial"/>
          <w:lang w:val="en-US"/>
        </w:rPr>
        <w:t>2</w:t>
      </w:r>
      <w:r w:rsidR="00FA6FD1" w:rsidRPr="00A51255">
        <w:rPr>
          <w:rFonts w:ascii="Arial" w:hAnsi="Arial" w:cs="Arial"/>
          <w:lang w:val="en-US"/>
        </w:rPr>
        <w:t>%</w:t>
      </w:r>
      <w:r w:rsidRPr="00A51255">
        <w:rPr>
          <w:rFonts w:ascii="Arial" w:hAnsi="Arial" w:cs="Arial"/>
          <w:lang w:val="en-US"/>
        </w:rPr>
        <w:t>.</w:t>
      </w:r>
      <w:r w:rsidR="00662C49" w:rsidRPr="00A51255">
        <w:rPr>
          <w:rFonts w:ascii="Arial" w:hAnsi="Arial" w:cs="Arial"/>
          <w:lang w:val="en-US"/>
        </w:rPr>
        <w:t xml:space="preserve"> </w:t>
      </w:r>
      <w:r w:rsidR="004F4AD4">
        <w:rPr>
          <w:rFonts w:ascii="Arial" w:hAnsi="Arial" w:cs="Arial"/>
          <w:lang w:val="en-US"/>
        </w:rPr>
        <w:t>The i</w:t>
      </w:r>
      <w:r w:rsidR="003367E8" w:rsidRPr="00A51255">
        <w:rPr>
          <w:rFonts w:ascii="Arial" w:hAnsi="Arial" w:cs="Arial"/>
          <w:lang w:val="en-US"/>
        </w:rPr>
        <w:t xml:space="preserve">nterest rate differential variable </w:t>
      </w:r>
      <w:r w:rsidR="004F4AD4">
        <w:rPr>
          <w:rFonts w:ascii="Arial" w:hAnsi="Arial" w:cs="Arial"/>
          <w:lang w:val="en-US"/>
        </w:rPr>
        <w:t>wa</w:t>
      </w:r>
      <w:r w:rsidR="003367E8" w:rsidRPr="00A51255">
        <w:rPr>
          <w:rFonts w:ascii="Arial" w:hAnsi="Arial" w:cs="Arial"/>
          <w:lang w:val="en-US"/>
        </w:rPr>
        <w:t xml:space="preserve">s not statistically significant either on day </w:t>
      </w:r>
      <w:r w:rsidR="003367E8" w:rsidRPr="00A51255">
        <w:rPr>
          <w:i/>
          <w:lang w:val="en-US"/>
        </w:rPr>
        <w:t>t</w:t>
      </w:r>
      <w:r w:rsidR="003367E8" w:rsidRPr="00A51255">
        <w:rPr>
          <w:rFonts w:ascii="Arial" w:hAnsi="Arial" w:cs="Arial"/>
          <w:lang w:val="en-US"/>
        </w:rPr>
        <w:t xml:space="preserve"> or day </w:t>
      </w:r>
      <w:r w:rsidR="003367E8" w:rsidRPr="00A51255">
        <w:rPr>
          <w:i/>
          <w:lang w:val="en-US"/>
        </w:rPr>
        <w:t>t+1</w:t>
      </w:r>
      <w:r w:rsidR="003367E8" w:rsidRPr="00A51255">
        <w:rPr>
          <w:rFonts w:ascii="Arial" w:hAnsi="Arial" w:cs="Arial"/>
          <w:lang w:val="en-US"/>
        </w:rPr>
        <w:t>, but there is strong evidence of significant E</w:t>
      </w:r>
      <w:r w:rsidR="00AC1A3D" w:rsidRPr="00A51255">
        <w:rPr>
          <w:rFonts w:ascii="Arial" w:hAnsi="Arial" w:cs="Arial"/>
          <w:lang w:val="en-US"/>
        </w:rPr>
        <w:t>UR/USD exchange rate returns on both days</w:t>
      </w:r>
      <w:r w:rsidR="00127FCE" w:rsidRPr="00A51255">
        <w:rPr>
          <w:rFonts w:ascii="Arial" w:hAnsi="Arial" w:cs="Arial"/>
          <w:lang w:val="en-US"/>
        </w:rPr>
        <w:t xml:space="preserve"> (at </w:t>
      </w:r>
      <w:r w:rsidR="002161A1" w:rsidRPr="00A51255">
        <w:rPr>
          <w:rFonts w:ascii="Arial" w:hAnsi="Arial" w:cs="Arial"/>
          <w:lang w:val="en-US"/>
        </w:rPr>
        <w:t xml:space="preserve">the </w:t>
      </w:r>
      <w:r w:rsidR="00127FCE" w:rsidRPr="00A51255">
        <w:rPr>
          <w:rFonts w:ascii="Arial" w:hAnsi="Arial" w:cs="Arial"/>
          <w:lang w:val="en-US"/>
        </w:rPr>
        <w:t>1% level)</w:t>
      </w:r>
      <w:r w:rsidR="00AC1A3D" w:rsidRPr="00A51255">
        <w:rPr>
          <w:rFonts w:ascii="Arial" w:hAnsi="Arial" w:cs="Arial"/>
          <w:lang w:val="en-US"/>
        </w:rPr>
        <w:t>.</w:t>
      </w:r>
      <w:r w:rsidR="00BF6FC9">
        <w:rPr>
          <w:rFonts w:ascii="Arial" w:hAnsi="Arial" w:cs="Arial"/>
          <w:lang w:val="en-US"/>
        </w:rPr>
        <w:t xml:space="preserve"> </w:t>
      </w:r>
    </w:p>
    <w:p w:rsidR="00081C61" w:rsidRPr="00A51255" w:rsidRDefault="00CB2B4B" w:rsidP="00081C61">
      <w:pPr>
        <w:spacing w:line="480" w:lineRule="auto"/>
        <w:ind w:firstLine="708"/>
        <w:jc w:val="both"/>
        <w:rPr>
          <w:rFonts w:ascii="Arial" w:hAnsi="Arial" w:cs="Arial"/>
          <w:lang w:val="en-US"/>
        </w:rPr>
      </w:pPr>
      <w:r w:rsidRPr="00A51255">
        <w:rPr>
          <w:rFonts w:ascii="Arial" w:hAnsi="Arial" w:cs="Arial"/>
          <w:lang w:val="en-US"/>
        </w:rPr>
        <w:lastRenderedPageBreak/>
        <w:t xml:space="preserve">The reaction of the PLN/USD exchange rate on days </w:t>
      </w:r>
      <w:r w:rsidRPr="00A51255">
        <w:rPr>
          <w:i/>
          <w:lang w:val="en-US"/>
        </w:rPr>
        <w:t>t</w:t>
      </w:r>
      <w:r w:rsidRPr="00A51255">
        <w:rPr>
          <w:rFonts w:ascii="Arial" w:hAnsi="Arial" w:cs="Arial"/>
          <w:lang w:val="en-US"/>
        </w:rPr>
        <w:t xml:space="preserve"> and </w:t>
      </w:r>
      <w:r w:rsidRPr="00A51255">
        <w:rPr>
          <w:i/>
          <w:lang w:val="en-US"/>
        </w:rPr>
        <w:t>t+1</w:t>
      </w:r>
      <w:r w:rsidRPr="00A51255">
        <w:rPr>
          <w:rFonts w:ascii="Arial" w:hAnsi="Arial" w:cs="Arial"/>
          <w:lang w:val="en-US"/>
        </w:rPr>
        <w:t xml:space="preserve"> seems to confirm both effects predicted by the theory and </w:t>
      </w:r>
      <w:r w:rsidR="00A55173" w:rsidRPr="00A51255">
        <w:rPr>
          <w:rFonts w:ascii="Arial" w:hAnsi="Arial" w:cs="Arial"/>
          <w:lang w:val="en-US"/>
        </w:rPr>
        <w:t xml:space="preserve">evidenced by </w:t>
      </w:r>
      <w:r w:rsidRPr="00A51255">
        <w:rPr>
          <w:rFonts w:ascii="Arial" w:hAnsi="Arial" w:cs="Arial"/>
          <w:lang w:val="en-US"/>
        </w:rPr>
        <w:t xml:space="preserve">other </w:t>
      </w:r>
      <w:r w:rsidR="00324CBA" w:rsidRPr="00A51255">
        <w:rPr>
          <w:rFonts w:ascii="Arial" w:hAnsi="Arial" w:cs="Arial"/>
          <w:lang w:val="en-US"/>
        </w:rPr>
        <w:t xml:space="preserve">available </w:t>
      </w:r>
      <w:r w:rsidRPr="00A51255">
        <w:rPr>
          <w:rFonts w:ascii="Arial" w:hAnsi="Arial" w:cs="Arial"/>
          <w:lang w:val="en-US"/>
        </w:rPr>
        <w:t xml:space="preserve">empirical findings discussed above. On day </w:t>
      </w:r>
      <w:r w:rsidRPr="00A51255">
        <w:rPr>
          <w:i/>
          <w:lang w:val="en-US"/>
        </w:rPr>
        <w:t>t</w:t>
      </w:r>
      <w:r w:rsidR="0066599C" w:rsidRPr="00A51255">
        <w:rPr>
          <w:rFonts w:ascii="Arial" w:hAnsi="Arial" w:cs="Arial"/>
          <w:lang w:val="en-US"/>
        </w:rPr>
        <w:t>, the positive sign of the</w:t>
      </w:r>
      <w:r w:rsidR="00081C61" w:rsidRPr="00A51255">
        <w:rPr>
          <w:rFonts w:ascii="Arial" w:hAnsi="Arial" w:cs="Arial"/>
          <w:lang w:val="en-US"/>
        </w:rPr>
        <w:t xml:space="preserve"> strongly negative</w:t>
      </w:r>
      <w:r w:rsidR="0066599C" w:rsidRPr="00A51255">
        <w:rPr>
          <w:rFonts w:ascii="Arial" w:hAnsi="Arial" w:cs="Arial"/>
          <w:lang w:val="en-US"/>
        </w:rPr>
        <w:t xml:space="preserve"> </w:t>
      </w:r>
      <w:r w:rsidR="0066599C" w:rsidRPr="00A51255">
        <w:rPr>
          <w:i/>
          <w:lang w:val="en-US"/>
        </w:rPr>
        <w:t>MS</w:t>
      </w:r>
      <w:r w:rsidR="0066599C" w:rsidRPr="00A51255">
        <w:rPr>
          <w:rFonts w:ascii="Arial" w:hAnsi="Arial" w:cs="Arial"/>
          <w:lang w:val="en-US"/>
        </w:rPr>
        <w:t xml:space="preserve"> dummy indicates that</w:t>
      </w:r>
      <w:r w:rsidRPr="00A51255">
        <w:rPr>
          <w:rFonts w:ascii="Arial" w:hAnsi="Arial" w:cs="Arial"/>
          <w:lang w:val="en-US"/>
        </w:rPr>
        <w:t xml:space="preserve"> </w:t>
      </w:r>
      <w:r w:rsidR="0066599C" w:rsidRPr="00A51255">
        <w:rPr>
          <w:rFonts w:ascii="Arial" w:hAnsi="Arial" w:cs="Arial"/>
          <w:lang w:val="en-US"/>
        </w:rPr>
        <w:t xml:space="preserve">the Polish zloty </w:t>
      </w:r>
      <w:r w:rsidR="00081C61" w:rsidRPr="00A51255">
        <w:rPr>
          <w:rFonts w:ascii="Arial" w:hAnsi="Arial" w:cs="Arial"/>
          <w:lang w:val="en-US"/>
        </w:rPr>
        <w:t xml:space="preserve">initially depreciated </w:t>
      </w:r>
      <w:r w:rsidR="00092983" w:rsidRPr="00A51255">
        <w:rPr>
          <w:rFonts w:ascii="Arial" w:hAnsi="Arial" w:cs="Arial"/>
          <w:lang w:val="en-US"/>
        </w:rPr>
        <w:t>in response to the strongly negative money supply announcements</w:t>
      </w:r>
      <w:r w:rsidR="00081C61" w:rsidRPr="00A51255">
        <w:rPr>
          <w:rFonts w:ascii="Arial" w:hAnsi="Arial" w:cs="Arial"/>
          <w:lang w:val="en-US"/>
        </w:rPr>
        <w:t>, so the foreign exchange rate reaction was in line with the classical theoretical predictions from the models of Frenkel (1976), Dornbusch (1976) and Frankel (1979) etc. However, t</w:t>
      </w:r>
      <w:r w:rsidRPr="00A51255">
        <w:rPr>
          <w:rFonts w:ascii="Arial" w:hAnsi="Arial" w:cs="Arial"/>
          <w:lang w:val="en-US"/>
        </w:rPr>
        <w:t xml:space="preserve">his </w:t>
      </w:r>
      <w:r w:rsidR="004A7DA1" w:rsidRPr="00A51255">
        <w:rPr>
          <w:rFonts w:ascii="Arial" w:hAnsi="Arial" w:cs="Arial"/>
          <w:lang w:val="en-US"/>
        </w:rPr>
        <w:t>effect was</w:t>
      </w:r>
      <w:r w:rsidR="00FD0D02" w:rsidRPr="00A51255">
        <w:rPr>
          <w:rFonts w:ascii="Arial" w:hAnsi="Arial" w:cs="Arial"/>
          <w:lang w:val="en-US"/>
        </w:rPr>
        <w:t xml:space="preserve"> reversed </w:t>
      </w:r>
      <w:r w:rsidR="007970A0" w:rsidRPr="00A51255">
        <w:rPr>
          <w:rFonts w:ascii="Arial" w:hAnsi="Arial" w:cs="Arial"/>
          <w:lang w:val="en-US"/>
        </w:rPr>
        <w:t xml:space="preserve">(with </w:t>
      </w:r>
      <w:r w:rsidR="001B620C" w:rsidRPr="00A51255">
        <w:rPr>
          <w:rFonts w:ascii="Arial" w:hAnsi="Arial" w:cs="Arial"/>
          <w:lang w:val="en-US"/>
        </w:rPr>
        <w:t xml:space="preserve">much </w:t>
      </w:r>
      <w:r w:rsidR="007970A0" w:rsidRPr="00A51255">
        <w:rPr>
          <w:rFonts w:ascii="Arial" w:hAnsi="Arial" w:cs="Arial"/>
          <w:lang w:val="en-US"/>
        </w:rPr>
        <w:t xml:space="preserve">greater strength) </w:t>
      </w:r>
      <w:r w:rsidR="00FD0D02" w:rsidRPr="00A51255">
        <w:rPr>
          <w:rFonts w:ascii="Arial" w:hAnsi="Arial" w:cs="Arial"/>
          <w:lang w:val="en-US"/>
        </w:rPr>
        <w:t xml:space="preserve">on day </w:t>
      </w:r>
      <w:r w:rsidR="00FD0D02" w:rsidRPr="00A51255">
        <w:rPr>
          <w:i/>
          <w:lang w:val="en-US"/>
        </w:rPr>
        <w:t>t+1</w:t>
      </w:r>
      <w:r w:rsidR="00295532" w:rsidRPr="00A51255">
        <w:rPr>
          <w:rFonts w:ascii="Arial" w:hAnsi="Arial" w:cs="Arial"/>
          <w:lang w:val="en-US"/>
        </w:rPr>
        <w:t xml:space="preserve"> and the foreign exchange rate reaction became </w:t>
      </w:r>
      <w:r w:rsidR="00081C61" w:rsidRPr="00A51255">
        <w:rPr>
          <w:rFonts w:ascii="Arial" w:hAnsi="Arial" w:cs="Arial"/>
          <w:lang w:val="en-US"/>
        </w:rPr>
        <w:t xml:space="preserve">consistent with the mechanism described by Engel and Frankel (1984) and with their hypothesis about the perception of the money supply data announced at </w:t>
      </w:r>
      <w:r w:rsidR="004F4AD4">
        <w:rPr>
          <w:rFonts w:ascii="Arial" w:hAnsi="Arial" w:cs="Arial"/>
          <w:lang w:val="en-US"/>
        </w:rPr>
        <w:t>a</w:t>
      </w:r>
      <w:r w:rsidR="00081C61" w:rsidRPr="00A51255">
        <w:rPr>
          <w:rFonts w:ascii="Arial" w:hAnsi="Arial" w:cs="Arial"/>
          <w:lang w:val="en-US"/>
        </w:rPr>
        <w:t xml:space="preserve"> level different from the one expected by market participants as a </w:t>
      </w:r>
      <w:r w:rsidR="00081C61" w:rsidRPr="00A51255">
        <w:rPr>
          <w:rFonts w:ascii="Arial" w:hAnsi="Arial" w:cs="Arial"/>
          <w:i/>
          <w:lang w:val="en-US"/>
        </w:rPr>
        <w:t>“transitory fluctuation”</w:t>
      </w:r>
      <w:r w:rsidR="00081C61" w:rsidRPr="00A51255">
        <w:rPr>
          <w:rFonts w:ascii="Arial" w:hAnsi="Arial" w:cs="Arial"/>
          <w:lang w:val="en-US"/>
        </w:rPr>
        <w:t>.</w:t>
      </w:r>
    </w:p>
    <w:p w:rsidR="00CB2B4B" w:rsidRDefault="00FD0D02" w:rsidP="00CB2B4B">
      <w:pPr>
        <w:spacing w:line="480" w:lineRule="auto"/>
        <w:ind w:firstLine="708"/>
        <w:jc w:val="both"/>
        <w:rPr>
          <w:rFonts w:ascii="Arial" w:hAnsi="Arial" w:cs="Arial"/>
          <w:lang w:val="en-US"/>
        </w:rPr>
      </w:pPr>
      <w:r w:rsidRPr="00A51255">
        <w:rPr>
          <w:rFonts w:ascii="Arial" w:hAnsi="Arial" w:cs="Arial"/>
          <w:lang w:val="en-US"/>
        </w:rPr>
        <w:t>Hence, it seems that</w:t>
      </w:r>
      <w:r w:rsidR="00324CBA" w:rsidRPr="00A51255">
        <w:rPr>
          <w:rFonts w:ascii="Arial" w:hAnsi="Arial" w:cs="Arial"/>
          <w:lang w:val="en-US"/>
        </w:rPr>
        <w:t xml:space="preserve"> on day </w:t>
      </w:r>
      <w:r w:rsidR="00324CBA" w:rsidRPr="00A51255">
        <w:rPr>
          <w:i/>
          <w:lang w:val="en-US"/>
        </w:rPr>
        <w:t>t</w:t>
      </w:r>
      <w:r w:rsidR="00324CBA" w:rsidRPr="00A51255">
        <w:rPr>
          <w:rFonts w:ascii="Arial" w:hAnsi="Arial" w:cs="Arial"/>
          <w:lang w:val="en-US"/>
        </w:rPr>
        <w:t xml:space="preserve"> the </w:t>
      </w:r>
      <w:r w:rsidRPr="00A51255">
        <w:rPr>
          <w:rFonts w:ascii="Arial" w:hAnsi="Arial" w:cs="Arial"/>
          <w:lang w:val="en-US"/>
        </w:rPr>
        <w:t xml:space="preserve">investors </w:t>
      </w:r>
      <w:r w:rsidR="00B07D36" w:rsidRPr="00A51255">
        <w:rPr>
          <w:rFonts w:ascii="Arial" w:hAnsi="Arial" w:cs="Arial"/>
          <w:lang w:val="en-US"/>
        </w:rPr>
        <w:t xml:space="preserve">reacted to the </w:t>
      </w:r>
      <w:r w:rsidR="00324CBA" w:rsidRPr="00A51255">
        <w:rPr>
          <w:rFonts w:ascii="Arial" w:hAnsi="Arial" w:cs="Arial"/>
          <w:lang w:val="en-US"/>
        </w:rPr>
        <w:t xml:space="preserve">NBP </w:t>
      </w:r>
      <w:r w:rsidRPr="00A51255">
        <w:rPr>
          <w:rFonts w:ascii="Arial" w:hAnsi="Arial" w:cs="Arial"/>
          <w:lang w:val="en-US"/>
        </w:rPr>
        <w:t>news about the mone</w:t>
      </w:r>
      <w:r w:rsidR="00324CBA" w:rsidRPr="00A51255">
        <w:rPr>
          <w:rFonts w:ascii="Arial" w:hAnsi="Arial" w:cs="Arial"/>
          <w:lang w:val="en-US"/>
        </w:rPr>
        <w:t>y supply</w:t>
      </w:r>
      <w:r w:rsidR="00A55173" w:rsidRPr="00A51255">
        <w:rPr>
          <w:rFonts w:ascii="Arial" w:hAnsi="Arial" w:cs="Arial"/>
          <w:lang w:val="en-US"/>
        </w:rPr>
        <w:t>, which</w:t>
      </w:r>
      <w:r w:rsidR="007970A0" w:rsidRPr="00A51255">
        <w:rPr>
          <w:rFonts w:ascii="Arial" w:hAnsi="Arial" w:cs="Arial"/>
          <w:lang w:val="en-US"/>
        </w:rPr>
        <w:t xml:space="preserve"> was announced </w:t>
      </w:r>
      <w:r w:rsidR="004F4AD4">
        <w:rPr>
          <w:rFonts w:ascii="Arial" w:hAnsi="Arial" w:cs="Arial"/>
          <w:lang w:val="en-US"/>
        </w:rPr>
        <w:t xml:space="preserve">at a </w:t>
      </w:r>
      <w:r w:rsidR="00F24E4C" w:rsidRPr="00A51255">
        <w:rPr>
          <w:rFonts w:ascii="Arial" w:hAnsi="Arial" w:cs="Arial"/>
          <w:lang w:val="en-US"/>
        </w:rPr>
        <w:t>substantially</w:t>
      </w:r>
      <w:r w:rsidR="007970A0" w:rsidRPr="00A51255">
        <w:rPr>
          <w:rFonts w:ascii="Arial" w:hAnsi="Arial" w:cs="Arial"/>
          <w:lang w:val="en-US"/>
        </w:rPr>
        <w:t xml:space="preserve"> </w:t>
      </w:r>
      <w:r w:rsidR="00324CBA" w:rsidRPr="00A51255">
        <w:rPr>
          <w:rFonts w:ascii="Arial" w:hAnsi="Arial" w:cs="Arial"/>
          <w:lang w:val="en-US"/>
        </w:rPr>
        <w:t xml:space="preserve">lower </w:t>
      </w:r>
      <w:r w:rsidR="004F4AD4">
        <w:rPr>
          <w:rFonts w:ascii="Arial" w:hAnsi="Arial" w:cs="Arial"/>
          <w:lang w:val="en-US"/>
        </w:rPr>
        <w:t xml:space="preserve">level </w:t>
      </w:r>
      <w:r w:rsidR="00324CBA" w:rsidRPr="00A51255">
        <w:rPr>
          <w:rFonts w:ascii="Arial" w:hAnsi="Arial" w:cs="Arial"/>
          <w:lang w:val="en-US"/>
        </w:rPr>
        <w:t>than</w:t>
      </w:r>
      <w:r w:rsidR="004F4AD4">
        <w:rPr>
          <w:rFonts w:ascii="Arial" w:hAnsi="Arial" w:cs="Arial"/>
          <w:lang w:val="en-US"/>
        </w:rPr>
        <w:t xml:space="preserve"> </w:t>
      </w:r>
      <w:r w:rsidR="007970A0" w:rsidRPr="00A51255">
        <w:rPr>
          <w:rFonts w:ascii="Arial" w:hAnsi="Arial" w:cs="Arial"/>
          <w:lang w:val="en-US"/>
        </w:rPr>
        <w:t>anticipated</w:t>
      </w:r>
      <w:r w:rsidR="00324CBA" w:rsidRPr="00A51255">
        <w:rPr>
          <w:rFonts w:ascii="Arial" w:hAnsi="Arial" w:cs="Arial"/>
          <w:lang w:val="en-US"/>
        </w:rPr>
        <w:t xml:space="preserve"> </w:t>
      </w:r>
      <w:r w:rsidR="00F26A6D" w:rsidRPr="00A51255">
        <w:rPr>
          <w:rFonts w:ascii="Arial" w:hAnsi="Arial" w:cs="Arial"/>
          <w:lang w:val="en-US"/>
        </w:rPr>
        <w:t>(the</w:t>
      </w:r>
      <w:r w:rsidR="007970A0" w:rsidRPr="00A51255">
        <w:rPr>
          <w:rFonts w:ascii="Arial" w:hAnsi="Arial" w:cs="Arial"/>
          <w:lang w:val="en-US"/>
        </w:rPr>
        <w:t xml:space="preserve"> </w:t>
      </w:r>
      <w:r w:rsidR="007970A0" w:rsidRPr="00A51255">
        <w:rPr>
          <w:i/>
          <w:lang w:val="en-US"/>
        </w:rPr>
        <w:t>MS</w:t>
      </w:r>
      <w:r w:rsidR="00F26A6D" w:rsidRPr="00A51255">
        <w:rPr>
          <w:rFonts w:ascii="Arial" w:hAnsi="Arial" w:cs="Arial"/>
          <w:lang w:val="en-US"/>
        </w:rPr>
        <w:t xml:space="preserve"> dummy</w:t>
      </w:r>
      <w:r w:rsidR="007970A0" w:rsidRPr="00A51255">
        <w:rPr>
          <w:rFonts w:ascii="Arial" w:hAnsi="Arial" w:cs="Arial"/>
          <w:lang w:val="en-US"/>
        </w:rPr>
        <w:t xml:space="preserve"> </w:t>
      </w:r>
      <w:r w:rsidR="009F3B25" w:rsidRPr="00A51255">
        <w:rPr>
          <w:rFonts w:ascii="Arial" w:hAnsi="Arial" w:cs="Arial"/>
          <w:lang w:val="en-US"/>
        </w:rPr>
        <w:t>which</w:t>
      </w:r>
      <w:r w:rsidR="00F26A6D" w:rsidRPr="00A51255">
        <w:rPr>
          <w:rFonts w:ascii="Arial" w:hAnsi="Arial" w:cs="Arial"/>
          <w:lang w:val="en-US"/>
        </w:rPr>
        <w:t xml:space="preserve"> is</w:t>
      </w:r>
      <w:r w:rsidR="00045831" w:rsidRPr="00A51255">
        <w:rPr>
          <w:rFonts w:ascii="Arial" w:hAnsi="Arial" w:cs="Arial"/>
          <w:lang w:val="en-US"/>
        </w:rPr>
        <w:t xml:space="preserve"> significant </w:t>
      </w:r>
      <w:r w:rsidR="00F26A6D" w:rsidRPr="00A51255">
        <w:rPr>
          <w:rFonts w:ascii="Arial" w:hAnsi="Arial" w:cs="Arial"/>
          <w:lang w:val="en-US"/>
        </w:rPr>
        <w:t>on day</w:t>
      </w:r>
      <w:r w:rsidR="007970A0" w:rsidRPr="00A51255">
        <w:rPr>
          <w:rFonts w:ascii="Arial" w:hAnsi="Arial" w:cs="Arial"/>
          <w:lang w:val="en-US"/>
        </w:rPr>
        <w:t xml:space="preserve"> </w:t>
      </w:r>
      <w:r w:rsidR="007970A0" w:rsidRPr="00A51255">
        <w:rPr>
          <w:i/>
          <w:lang w:val="en-US"/>
        </w:rPr>
        <w:t>t</w:t>
      </w:r>
      <w:r w:rsidR="00190A52" w:rsidRPr="00A51255">
        <w:rPr>
          <w:rFonts w:ascii="Arial" w:hAnsi="Arial" w:cs="Arial"/>
          <w:lang w:val="en-US"/>
        </w:rPr>
        <w:t xml:space="preserve">, </w:t>
      </w:r>
      <w:r w:rsidR="00F26A6D" w:rsidRPr="00A51255">
        <w:rPr>
          <w:rFonts w:ascii="Arial" w:hAnsi="Arial" w:cs="Arial"/>
          <w:lang w:val="en-US"/>
        </w:rPr>
        <w:t>as well as on day</w:t>
      </w:r>
      <w:r w:rsidR="007970A0" w:rsidRPr="00A51255">
        <w:rPr>
          <w:rFonts w:ascii="Arial" w:hAnsi="Arial" w:cs="Arial"/>
          <w:lang w:val="en-US"/>
        </w:rPr>
        <w:t xml:space="preserve"> </w:t>
      </w:r>
      <w:r w:rsidR="007970A0" w:rsidRPr="00A51255">
        <w:rPr>
          <w:i/>
          <w:lang w:val="en-US"/>
        </w:rPr>
        <w:t>t+1</w:t>
      </w:r>
      <w:r w:rsidR="00190A52" w:rsidRPr="00A51255">
        <w:rPr>
          <w:rFonts w:ascii="Arial" w:hAnsi="Arial" w:cs="Arial"/>
          <w:lang w:val="en-US"/>
        </w:rPr>
        <w:t xml:space="preserve">, </w:t>
      </w:r>
      <w:r w:rsidR="00F26A6D" w:rsidRPr="00A51255">
        <w:rPr>
          <w:rFonts w:ascii="Arial" w:hAnsi="Arial" w:cs="Arial"/>
          <w:lang w:val="en-US"/>
        </w:rPr>
        <w:t>is</w:t>
      </w:r>
      <w:r w:rsidR="007970A0" w:rsidRPr="00A51255">
        <w:rPr>
          <w:rFonts w:ascii="Arial" w:hAnsi="Arial" w:cs="Arial"/>
          <w:lang w:val="en-US"/>
        </w:rPr>
        <w:t xml:space="preserve"> of the greatest strength, i.e. strongly negative)</w:t>
      </w:r>
      <w:r w:rsidR="00B07D36" w:rsidRPr="00A51255">
        <w:rPr>
          <w:rFonts w:ascii="Arial" w:hAnsi="Arial" w:cs="Arial"/>
          <w:lang w:val="en-US"/>
        </w:rPr>
        <w:t xml:space="preserve">, </w:t>
      </w:r>
      <w:r w:rsidR="00324CBA" w:rsidRPr="00A51255">
        <w:rPr>
          <w:rFonts w:ascii="Arial" w:hAnsi="Arial" w:cs="Arial"/>
          <w:lang w:val="en-US"/>
        </w:rPr>
        <w:t xml:space="preserve">as </w:t>
      </w:r>
      <w:r w:rsidR="00B07D36" w:rsidRPr="00A51255">
        <w:rPr>
          <w:rFonts w:ascii="Arial" w:hAnsi="Arial" w:cs="Arial"/>
          <w:lang w:val="en-US"/>
        </w:rPr>
        <w:t xml:space="preserve">predicted by the </w:t>
      </w:r>
      <w:r w:rsidR="00BC5934" w:rsidRPr="00A51255">
        <w:rPr>
          <w:rFonts w:ascii="Arial" w:hAnsi="Arial" w:cs="Arial"/>
          <w:lang w:val="en-US"/>
        </w:rPr>
        <w:t xml:space="preserve">classical </w:t>
      </w:r>
      <w:r w:rsidR="00B07D36" w:rsidRPr="00A51255">
        <w:rPr>
          <w:rFonts w:ascii="Arial" w:hAnsi="Arial" w:cs="Arial"/>
          <w:lang w:val="en-US"/>
        </w:rPr>
        <w:t>economic theory</w:t>
      </w:r>
      <w:r w:rsidR="004F4AD4">
        <w:rPr>
          <w:rFonts w:ascii="Arial" w:hAnsi="Arial" w:cs="Arial"/>
          <w:lang w:val="en-US"/>
        </w:rPr>
        <w:t>.</w:t>
      </w:r>
      <w:r w:rsidR="00B07D36" w:rsidRPr="00A51255">
        <w:rPr>
          <w:rFonts w:ascii="Arial" w:hAnsi="Arial" w:cs="Arial"/>
          <w:lang w:val="en-US"/>
        </w:rPr>
        <w:t xml:space="preserve"> </w:t>
      </w:r>
      <w:r w:rsidR="004F4AD4">
        <w:rPr>
          <w:rFonts w:ascii="Arial" w:hAnsi="Arial" w:cs="Arial"/>
          <w:lang w:val="en-US"/>
        </w:rPr>
        <w:t>However,</w:t>
      </w:r>
      <w:r w:rsidR="007970A0" w:rsidRPr="00A51255">
        <w:rPr>
          <w:rFonts w:ascii="Arial" w:hAnsi="Arial" w:cs="Arial"/>
          <w:lang w:val="en-US"/>
        </w:rPr>
        <w:t xml:space="preserve"> they revised their </w:t>
      </w:r>
      <w:r w:rsidR="00B07D36" w:rsidRPr="00A51255">
        <w:rPr>
          <w:rFonts w:ascii="Arial" w:hAnsi="Arial" w:cs="Arial"/>
          <w:lang w:val="en-US"/>
        </w:rPr>
        <w:t xml:space="preserve">expectations consistently with the Engel-Frankel effect </w:t>
      </w:r>
      <w:r w:rsidR="00324CBA" w:rsidRPr="00A51255">
        <w:rPr>
          <w:rFonts w:ascii="Arial" w:hAnsi="Arial" w:cs="Arial"/>
          <w:lang w:val="en-US"/>
        </w:rPr>
        <w:t xml:space="preserve">subsequently on the next day </w:t>
      </w:r>
      <w:r w:rsidR="00324CBA" w:rsidRPr="00A51255">
        <w:rPr>
          <w:i/>
          <w:lang w:val="en-US"/>
        </w:rPr>
        <w:t>t+1</w:t>
      </w:r>
      <w:r w:rsidR="00BD0C82" w:rsidRPr="00BD0C82">
        <w:rPr>
          <w:rFonts w:ascii="Arial" w:hAnsi="Arial" w:cs="Arial"/>
          <w:lang w:val="en-US"/>
        </w:rPr>
        <w:t xml:space="preserve"> </w:t>
      </w:r>
      <w:r w:rsidR="00BD0C82" w:rsidRPr="00A51255">
        <w:rPr>
          <w:rFonts w:ascii="Arial" w:hAnsi="Arial" w:cs="Arial"/>
          <w:lang w:val="en-US"/>
        </w:rPr>
        <w:t>(perhaps interpreting the NBP news as the indication of a signal for possible change of the NBP monetary policy in the future)</w:t>
      </w:r>
      <w:r w:rsidR="00BD0C82">
        <w:rPr>
          <w:rFonts w:ascii="Arial" w:hAnsi="Arial" w:cs="Arial"/>
          <w:lang w:val="en-US"/>
        </w:rPr>
        <w:t>.</w:t>
      </w:r>
    </w:p>
    <w:p w:rsidR="00507989" w:rsidRDefault="00507989" w:rsidP="00507989">
      <w:pPr>
        <w:spacing w:line="480" w:lineRule="auto"/>
        <w:ind w:firstLine="708"/>
        <w:jc w:val="both"/>
        <w:rPr>
          <w:rFonts w:ascii="Arial" w:hAnsi="Arial" w:cs="Arial"/>
          <w:lang w:val="en-US"/>
        </w:rPr>
      </w:pPr>
      <w:r w:rsidRPr="00A51255">
        <w:rPr>
          <w:rFonts w:ascii="Arial" w:hAnsi="Arial" w:cs="Arial"/>
          <w:lang w:val="en-US"/>
        </w:rPr>
        <w:t xml:space="preserve">We also report </w:t>
      </w:r>
      <w:r w:rsidR="004F4AD4">
        <w:rPr>
          <w:rFonts w:ascii="Arial" w:hAnsi="Arial" w:cs="Arial"/>
          <w:lang w:val="en-US"/>
        </w:rPr>
        <w:t xml:space="preserve">the results of </w:t>
      </w:r>
      <w:r w:rsidRPr="00A51255">
        <w:rPr>
          <w:rFonts w:ascii="Arial" w:hAnsi="Arial" w:cs="Arial"/>
          <w:lang w:val="en-US"/>
        </w:rPr>
        <w:t xml:space="preserve">some diagnostic tests in </w:t>
      </w:r>
      <w:r>
        <w:rPr>
          <w:rFonts w:ascii="Arial" w:hAnsi="Arial" w:cs="Arial"/>
          <w:lang w:val="en-US"/>
        </w:rPr>
        <w:t>Tables 3a and 3b</w:t>
      </w:r>
      <w:r w:rsidRPr="00A51255">
        <w:rPr>
          <w:rFonts w:ascii="Arial" w:hAnsi="Arial" w:cs="Arial"/>
          <w:lang w:val="en-US"/>
        </w:rPr>
        <w:t xml:space="preserve"> (and in the consequent tables) for serial correlation and remaining ARCH effects in estimated models. The results in </w:t>
      </w:r>
      <w:r>
        <w:rPr>
          <w:rFonts w:ascii="Arial" w:hAnsi="Arial" w:cs="Arial"/>
          <w:lang w:val="en-US"/>
        </w:rPr>
        <w:t>Tables 3a and 3b</w:t>
      </w:r>
      <w:r w:rsidRPr="00A51255">
        <w:rPr>
          <w:rFonts w:ascii="Arial" w:hAnsi="Arial" w:cs="Arial"/>
          <w:lang w:val="en-US"/>
        </w:rPr>
        <w:t xml:space="preserve"> (and others) indicate that the models do not suffer from serial correlation and capture well all ARCH effects present in </w:t>
      </w:r>
      <w:r w:rsidR="004F4AD4">
        <w:rPr>
          <w:rFonts w:ascii="Arial" w:hAnsi="Arial" w:cs="Arial"/>
          <w:lang w:val="en-US"/>
        </w:rPr>
        <w:t xml:space="preserve">the </w:t>
      </w:r>
      <w:r w:rsidRPr="00A51255">
        <w:rPr>
          <w:rFonts w:ascii="Arial" w:hAnsi="Arial" w:cs="Arial"/>
          <w:lang w:val="en-US"/>
        </w:rPr>
        <w:t>data.</w:t>
      </w:r>
    </w:p>
    <w:p w:rsidR="00D13B58" w:rsidRDefault="00D47873" w:rsidP="001E3CE6">
      <w:pPr>
        <w:spacing w:line="480" w:lineRule="auto"/>
        <w:ind w:firstLine="708"/>
        <w:jc w:val="both"/>
        <w:rPr>
          <w:rFonts w:ascii="Arial" w:hAnsi="Arial" w:cs="Arial"/>
          <w:lang w:val="en-US"/>
        </w:rPr>
      </w:pPr>
      <w:r>
        <w:rPr>
          <w:rFonts w:ascii="Arial" w:hAnsi="Arial" w:cs="Arial"/>
          <w:lang w:val="en-US"/>
        </w:rPr>
        <w:t>Next</w:t>
      </w:r>
      <w:r w:rsidR="002161A1" w:rsidRPr="00A51255">
        <w:rPr>
          <w:rFonts w:ascii="Arial" w:hAnsi="Arial" w:cs="Arial"/>
          <w:lang w:val="en-US"/>
        </w:rPr>
        <w:t xml:space="preserve"> we focus on the impact of the money supply announcements on market activity measured by the changes in trading volume. </w:t>
      </w:r>
    </w:p>
    <w:p w:rsidR="001E3CE6" w:rsidRDefault="004F4AD4" w:rsidP="001E3CE6">
      <w:pPr>
        <w:spacing w:line="480" w:lineRule="auto"/>
        <w:ind w:firstLine="708"/>
        <w:jc w:val="both"/>
        <w:rPr>
          <w:i/>
          <w:lang w:val="en-US"/>
        </w:rPr>
      </w:pPr>
      <w:r>
        <w:rPr>
          <w:rFonts w:ascii="Arial" w:hAnsi="Arial" w:cs="Arial"/>
          <w:lang w:val="en-US"/>
        </w:rPr>
        <w:t>The f</w:t>
      </w:r>
      <w:r w:rsidR="00507989">
        <w:rPr>
          <w:rFonts w:ascii="Arial" w:hAnsi="Arial" w:cs="Arial"/>
          <w:lang w:val="en-US"/>
        </w:rPr>
        <w:t xml:space="preserve">irst panels in </w:t>
      </w:r>
      <w:r w:rsidR="00BF37B1">
        <w:rPr>
          <w:rFonts w:ascii="Arial" w:hAnsi="Arial" w:cs="Arial"/>
          <w:lang w:val="en-US"/>
        </w:rPr>
        <w:t>Table</w:t>
      </w:r>
      <w:r w:rsidR="00F7711F">
        <w:rPr>
          <w:rFonts w:ascii="Arial" w:hAnsi="Arial" w:cs="Arial"/>
          <w:lang w:val="en-US"/>
        </w:rPr>
        <w:t>s</w:t>
      </w:r>
      <w:r w:rsidR="00BF37B1">
        <w:rPr>
          <w:rFonts w:ascii="Arial" w:hAnsi="Arial" w:cs="Arial"/>
          <w:lang w:val="en-US"/>
        </w:rPr>
        <w:t xml:space="preserve"> 4a</w:t>
      </w:r>
      <w:r w:rsidR="00540702" w:rsidRPr="00A51255">
        <w:rPr>
          <w:rFonts w:ascii="Arial" w:hAnsi="Arial" w:cs="Arial"/>
          <w:b/>
          <w:lang w:val="en-US"/>
        </w:rPr>
        <w:t xml:space="preserve"> </w:t>
      </w:r>
      <w:r w:rsidR="00F7711F" w:rsidRPr="00F7711F">
        <w:rPr>
          <w:rFonts w:ascii="Arial" w:hAnsi="Arial" w:cs="Arial"/>
          <w:lang w:val="en-US"/>
        </w:rPr>
        <w:t>and 4b</w:t>
      </w:r>
      <w:r w:rsidR="00F7711F">
        <w:rPr>
          <w:rFonts w:ascii="Arial" w:hAnsi="Arial" w:cs="Arial"/>
          <w:b/>
          <w:lang w:val="en-US"/>
        </w:rPr>
        <w:t xml:space="preserve"> </w:t>
      </w:r>
      <w:r w:rsidR="00F850C0" w:rsidRPr="00A51255">
        <w:rPr>
          <w:rFonts w:ascii="Arial" w:hAnsi="Arial" w:cs="Arial"/>
          <w:lang w:val="en-US"/>
        </w:rPr>
        <w:t xml:space="preserve">present the estimates of the </w:t>
      </w:r>
      <w:r w:rsidR="00564FDF" w:rsidRPr="00A51255">
        <w:rPr>
          <w:rFonts w:ascii="Arial" w:hAnsi="Arial" w:cs="Arial"/>
          <w:lang w:val="en-US"/>
        </w:rPr>
        <w:t xml:space="preserve">unexpected announcement </w:t>
      </w:r>
      <w:r w:rsidR="00F850C0" w:rsidRPr="00A51255">
        <w:rPr>
          <w:rFonts w:ascii="Arial" w:hAnsi="Arial" w:cs="Arial"/>
          <w:lang w:val="en-US"/>
        </w:rPr>
        <w:t xml:space="preserve">variables for the model of the PLN/USD volume of trade percentage </w:t>
      </w:r>
      <w:r w:rsidR="00F850C0" w:rsidRPr="00A51255">
        <w:rPr>
          <w:rFonts w:ascii="Arial" w:hAnsi="Arial" w:cs="Arial"/>
          <w:lang w:val="en-US"/>
        </w:rPr>
        <w:lastRenderedPageBreak/>
        <w:t>changes (</w:t>
      </w:r>
      <w:r w:rsidR="00F850C0" w:rsidRPr="00A51255">
        <w:rPr>
          <w:rFonts w:ascii="Arial" w:hAnsi="Arial" w:cs="Arial"/>
          <w:position w:val="-12"/>
          <w:lang w:val="en-US"/>
        </w:rPr>
        <w:object w:dxaOrig="999" w:dyaOrig="360">
          <v:shape id="_x0000_i1066" type="#_x0000_t75" style="width:55.3pt;height:19.3pt" o:ole="">
            <v:imagedata r:id="rId41" o:title=""/>
          </v:shape>
          <o:OLEObject Type="Embed" ProgID="Equation.3" ShapeID="_x0000_i1066" DrawAspect="Content" ObjectID="_1507543413" r:id="rId82"/>
        </w:object>
      </w:r>
      <w:r w:rsidR="00F850C0" w:rsidRPr="00A51255">
        <w:rPr>
          <w:lang w:val="en-US"/>
        </w:rPr>
        <w:t>)</w:t>
      </w:r>
      <w:r w:rsidR="00150A38" w:rsidRPr="00A51255">
        <w:rPr>
          <w:lang w:val="en-US"/>
        </w:rPr>
        <w:t>,</w:t>
      </w:r>
      <w:r w:rsidR="00F850C0" w:rsidRPr="00A51255">
        <w:rPr>
          <w:lang w:val="en-US"/>
        </w:rPr>
        <w:t xml:space="preserve"> </w:t>
      </w:r>
      <w:r w:rsidR="00F850C0" w:rsidRPr="00A51255">
        <w:rPr>
          <w:rFonts w:ascii="Arial" w:hAnsi="Arial" w:cs="Arial"/>
          <w:lang w:val="en-US"/>
        </w:rPr>
        <w:t xml:space="preserve">i.e. </w:t>
      </w:r>
      <w:r w:rsidR="00150A38" w:rsidRPr="00A51255">
        <w:rPr>
          <w:rFonts w:ascii="Arial" w:hAnsi="Arial" w:cs="Arial"/>
          <w:lang w:val="en-US"/>
        </w:rPr>
        <w:t xml:space="preserve">the estimates from </w:t>
      </w:r>
      <w:r w:rsidR="00DB7D78" w:rsidRPr="00A51255">
        <w:rPr>
          <w:rFonts w:ascii="Arial" w:hAnsi="Arial" w:cs="Arial"/>
          <w:lang w:val="en-US"/>
        </w:rPr>
        <w:t>e</w:t>
      </w:r>
      <w:r w:rsidR="00F850C0" w:rsidRPr="00A51255">
        <w:rPr>
          <w:rFonts w:ascii="Arial" w:hAnsi="Arial" w:cs="Arial"/>
          <w:lang w:val="en-US"/>
        </w:rPr>
        <w:t xml:space="preserve">quation </w:t>
      </w:r>
      <w:r w:rsidR="00743680">
        <w:rPr>
          <w:rFonts w:ascii="Arial" w:hAnsi="Arial" w:cs="Arial"/>
          <w:lang w:val="en-US"/>
        </w:rPr>
        <w:t>(3</w:t>
      </w:r>
      <w:r w:rsidR="00F01E9E">
        <w:rPr>
          <w:rFonts w:ascii="Arial" w:hAnsi="Arial" w:cs="Arial"/>
          <w:lang w:val="en-US"/>
        </w:rPr>
        <w:t>)</w:t>
      </w:r>
      <w:r w:rsidR="00050A1F" w:rsidRPr="00A51255">
        <w:rPr>
          <w:lang w:val="en-US"/>
        </w:rPr>
        <w:t xml:space="preserve">. </w:t>
      </w:r>
      <w:r w:rsidR="001E3CE6" w:rsidRPr="00A51255">
        <w:rPr>
          <w:rFonts w:ascii="Arial" w:hAnsi="Arial" w:cs="Arial"/>
          <w:lang w:val="en-US"/>
        </w:rPr>
        <w:t xml:space="preserve">On the announcement date (day </w:t>
      </w:r>
      <w:r w:rsidR="001E3CE6" w:rsidRPr="00A51255">
        <w:rPr>
          <w:i/>
          <w:lang w:val="en-US"/>
        </w:rPr>
        <w:t>t</w:t>
      </w:r>
      <w:r w:rsidR="001E3CE6" w:rsidRPr="00A51255">
        <w:rPr>
          <w:rFonts w:ascii="Arial" w:hAnsi="Arial" w:cs="Arial"/>
          <w:lang w:val="en-US"/>
        </w:rPr>
        <w:t xml:space="preserve">), </w:t>
      </w:r>
      <w:r>
        <w:rPr>
          <w:rFonts w:ascii="Arial" w:hAnsi="Arial" w:cs="Arial"/>
          <w:lang w:val="en-US"/>
        </w:rPr>
        <w:t xml:space="preserve">a </w:t>
      </w:r>
      <w:r w:rsidR="001E3CE6" w:rsidRPr="00A51255">
        <w:rPr>
          <w:rFonts w:ascii="Arial" w:hAnsi="Arial" w:cs="Arial"/>
          <w:lang w:val="en-US"/>
        </w:rPr>
        <w:t xml:space="preserve">statistically significant result was found for the strongly positive money supply </w:t>
      </w:r>
      <w:r w:rsidR="001E3CE6" w:rsidRPr="00A51255">
        <w:rPr>
          <w:i/>
          <w:lang w:val="en-US"/>
        </w:rPr>
        <w:t>MS</w:t>
      </w:r>
      <w:r w:rsidR="001E3CE6" w:rsidRPr="00A51255">
        <w:rPr>
          <w:rFonts w:ascii="Arial" w:hAnsi="Arial" w:cs="Arial"/>
          <w:lang w:val="en-US"/>
        </w:rPr>
        <w:t xml:space="preserve"> dummy. Th</w:t>
      </w:r>
      <w:r>
        <w:rPr>
          <w:rFonts w:ascii="Arial" w:hAnsi="Arial" w:cs="Arial"/>
          <w:lang w:val="en-US"/>
        </w:rPr>
        <w:t>e</w:t>
      </w:r>
      <w:r w:rsidR="001E3CE6" w:rsidRPr="00A51255">
        <w:rPr>
          <w:rFonts w:ascii="Arial" w:hAnsi="Arial" w:cs="Arial"/>
          <w:lang w:val="en-US"/>
        </w:rPr>
        <w:t xml:space="preserve"> surprise strongly positive money supply</w:t>
      </w:r>
      <w:r w:rsidR="001E3CE6" w:rsidRPr="00A51255">
        <w:rPr>
          <w:i/>
          <w:lang w:val="en-US"/>
        </w:rPr>
        <w:t xml:space="preserve"> </w:t>
      </w:r>
      <w:r w:rsidR="001D7C70" w:rsidRPr="00A51255">
        <w:rPr>
          <w:rFonts w:ascii="Arial" w:hAnsi="Arial" w:cs="Arial"/>
          <w:lang w:val="en-US"/>
        </w:rPr>
        <w:t>news</w:t>
      </w:r>
      <w:r w:rsidR="001E3CE6" w:rsidRPr="00A51255">
        <w:rPr>
          <w:rFonts w:ascii="Arial" w:hAnsi="Arial" w:cs="Arial"/>
          <w:lang w:val="en-US"/>
        </w:rPr>
        <w:t xml:space="preserve"> incr</w:t>
      </w:r>
      <w:r w:rsidR="00743680">
        <w:rPr>
          <w:rFonts w:ascii="Arial" w:hAnsi="Arial" w:cs="Arial"/>
          <w:lang w:val="en-US"/>
        </w:rPr>
        <w:t>eased trading volume by about 18</w:t>
      </w:r>
      <w:r w:rsidR="00FA6FD1" w:rsidRPr="00A51255">
        <w:rPr>
          <w:rFonts w:ascii="Arial" w:hAnsi="Arial" w:cs="Arial"/>
          <w:lang w:val="en-US"/>
        </w:rPr>
        <w:t>%</w:t>
      </w:r>
      <w:r w:rsidR="00BF6FC9">
        <w:rPr>
          <w:rFonts w:ascii="Arial" w:hAnsi="Arial" w:cs="Arial"/>
          <w:lang w:val="en-US"/>
        </w:rPr>
        <w:t xml:space="preserve"> </w:t>
      </w:r>
      <w:r w:rsidR="00E45DC3" w:rsidRPr="008A51BD">
        <w:rPr>
          <w:rFonts w:ascii="Arial" w:hAnsi="Arial" w:cs="Arial"/>
          <w:lang w:val="en-US"/>
        </w:rPr>
        <w:t xml:space="preserve">This means </w:t>
      </w:r>
      <w:r w:rsidR="002C4262" w:rsidRPr="008A51BD">
        <w:rPr>
          <w:rFonts w:ascii="Arial" w:hAnsi="Arial" w:cs="Arial"/>
          <w:lang w:val="en-US"/>
        </w:rPr>
        <w:t xml:space="preserve">a </w:t>
      </w:r>
      <w:r w:rsidR="00E45DC3" w:rsidRPr="008A51BD">
        <w:rPr>
          <w:rFonts w:ascii="Arial" w:hAnsi="Arial" w:cs="Arial"/>
          <w:lang w:val="en-US"/>
        </w:rPr>
        <w:t xml:space="preserve">substantial reaction </w:t>
      </w:r>
      <w:r w:rsidR="002C4262" w:rsidRPr="008A51BD">
        <w:rPr>
          <w:rFonts w:ascii="Arial" w:hAnsi="Arial" w:cs="Arial"/>
          <w:lang w:val="en-US"/>
        </w:rPr>
        <w:t xml:space="preserve">in comparison </w:t>
      </w:r>
      <w:r w:rsidR="00E45DC3" w:rsidRPr="008A51BD">
        <w:rPr>
          <w:rFonts w:ascii="Arial" w:hAnsi="Arial" w:cs="Arial"/>
          <w:lang w:val="en-US"/>
        </w:rPr>
        <w:t>with the average (</w:t>
      </w:r>
      <w:r w:rsidR="00D25795" w:rsidRPr="008A51BD">
        <w:rPr>
          <w:rFonts w:ascii="Arial" w:hAnsi="Arial" w:cs="Arial"/>
          <w:lang w:val="en-US"/>
        </w:rPr>
        <w:t>mean</w:t>
      </w:r>
      <w:r w:rsidR="00E45DC3" w:rsidRPr="008A51BD">
        <w:rPr>
          <w:rFonts w:ascii="Arial" w:hAnsi="Arial" w:cs="Arial"/>
          <w:lang w:val="en-US"/>
        </w:rPr>
        <w:t xml:space="preserve">) daily percentage change of the trading volume </w:t>
      </w:r>
      <w:r w:rsidR="000A136C" w:rsidRPr="008A51BD">
        <w:rPr>
          <w:rFonts w:ascii="Arial" w:hAnsi="Arial" w:cs="Arial"/>
          <w:lang w:val="en-US"/>
        </w:rPr>
        <w:t xml:space="preserve">of 10.54% </w:t>
      </w:r>
      <w:r w:rsidR="00E45DC3" w:rsidRPr="008A51BD">
        <w:rPr>
          <w:rFonts w:ascii="Arial" w:hAnsi="Arial" w:cs="Arial"/>
          <w:lang w:val="en-US"/>
        </w:rPr>
        <w:t>(as reported in Table 2).</w:t>
      </w:r>
      <w:r w:rsidR="00E45DC3">
        <w:rPr>
          <w:rFonts w:ascii="Arial" w:hAnsi="Arial" w:cs="Arial"/>
          <w:lang w:val="en-US"/>
        </w:rPr>
        <w:t xml:space="preserve"> </w:t>
      </w:r>
      <w:r>
        <w:rPr>
          <w:rFonts w:ascii="Arial" w:hAnsi="Arial" w:cs="Arial"/>
          <w:lang w:val="en-US"/>
        </w:rPr>
        <w:t>A s</w:t>
      </w:r>
      <w:r w:rsidR="001E3CE6" w:rsidRPr="00A51255">
        <w:rPr>
          <w:rFonts w:ascii="Arial" w:hAnsi="Arial" w:cs="Arial"/>
          <w:lang w:val="en-US"/>
        </w:rPr>
        <w:t xml:space="preserve">tatistically significant </w:t>
      </w:r>
      <w:r w:rsidR="004D1F3F">
        <w:rPr>
          <w:rFonts w:ascii="Arial" w:hAnsi="Arial" w:cs="Arial"/>
          <w:lang w:val="en-US"/>
        </w:rPr>
        <w:t xml:space="preserve">and positive </w:t>
      </w:r>
      <w:r w:rsidR="001E3CE6" w:rsidRPr="00A51255">
        <w:rPr>
          <w:rFonts w:ascii="Arial" w:hAnsi="Arial" w:cs="Arial"/>
          <w:lang w:val="en-US"/>
        </w:rPr>
        <w:t>effect</w:t>
      </w:r>
      <w:r w:rsidR="004D1F3F">
        <w:rPr>
          <w:rFonts w:ascii="Arial" w:hAnsi="Arial" w:cs="Arial"/>
          <w:lang w:val="en-US"/>
        </w:rPr>
        <w:t xml:space="preserve"> for the money supply dummy</w:t>
      </w:r>
      <w:r w:rsidR="001E3CE6" w:rsidRPr="00A51255">
        <w:rPr>
          <w:rFonts w:ascii="Arial" w:hAnsi="Arial" w:cs="Arial"/>
          <w:lang w:val="en-US"/>
        </w:rPr>
        <w:t xml:space="preserve"> </w:t>
      </w:r>
      <w:r w:rsidR="004D1F3F">
        <w:rPr>
          <w:rFonts w:ascii="Arial" w:hAnsi="Arial" w:cs="Arial"/>
          <w:lang w:val="en-US"/>
        </w:rPr>
        <w:t>was</w:t>
      </w:r>
      <w:r w:rsidR="001E3CE6" w:rsidRPr="00A51255">
        <w:rPr>
          <w:rFonts w:ascii="Arial" w:hAnsi="Arial" w:cs="Arial"/>
          <w:lang w:val="en-US"/>
        </w:rPr>
        <w:t xml:space="preserve"> </w:t>
      </w:r>
      <w:r>
        <w:rPr>
          <w:rFonts w:ascii="Arial" w:hAnsi="Arial" w:cs="Arial"/>
          <w:lang w:val="en-US"/>
        </w:rPr>
        <w:t xml:space="preserve">also </w:t>
      </w:r>
      <w:r w:rsidR="001E3CE6" w:rsidRPr="00A51255">
        <w:rPr>
          <w:rFonts w:ascii="Arial" w:hAnsi="Arial" w:cs="Arial"/>
          <w:lang w:val="en-US"/>
        </w:rPr>
        <w:t>detected</w:t>
      </w:r>
      <w:r w:rsidR="004D1F3F">
        <w:rPr>
          <w:rFonts w:ascii="Arial" w:hAnsi="Arial" w:cs="Arial"/>
          <w:lang w:val="en-US"/>
        </w:rPr>
        <w:t xml:space="preserve"> for the strongly negative </w:t>
      </w:r>
      <w:r w:rsidR="004D1F3F" w:rsidRPr="00A51255">
        <w:rPr>
          <w:i/>
          <w:lang w:val="en-US"/>
        </w:rPr>
        <w:t>MS</w:t>
      </w:r>
      <w:r w:rsidR="004D1F3F" w:rsidRPr="00A51255">
        <w:rPr>
          <w:rFonts w:ascii="Arial" w:hAnsi="Arial" w:cs="Arial"/>
          <w:lang w:val="en-US"/>
        </w:rPr>
        <w:t xml:space="preserve"> dummy</w:t>
      </w:r>
      <w:r w:rsidR="004D1F3F">
        <w:rPr>
          <w:rFonts w:ascii="Arial" w:hAnsi="Arial" w:cs="Arial"/>
          <w:lang w:val="en-US"/>
        </w:rPr>
        <w:t xml:space="preserve"> on</w:t>
      </w:r>
      <w:r w:rsidR="004D1F3F" w:rsidRPr="00A51255">
        <w:rPr>
          <w:rFonts w:ascii="Arial" w:hAnsi="Arial" w:cs="Arial"/>
          <w:lang w:val="en-US"/>
        </w:rPr>
        <w:t xml:space="preserve"> day </w:t>
      </w:r>
      <w:r w:rsidR="004D1F3F" w:rsidRPr="00A51255">
        <w:rPr>
          <w:i/>
          <w:lang w:val="en-US"/>
        </w:rPr>
        <w:t>t+1</w:t>
      </w:r>
      <w:r w:rsidR="004D1F3F">
        <w:rPr>
          <w:i/>
          <w:lang w:val="en-US"/>
        </w:rPr>
        <w:t>.</w:t>
      </w:r>
    </w:p>
    <w:p w:rsidR="00D47873" w:rsidRDefault="00D47873" w:rsidP="001E3CE6">
      <w:pPr>
        <w:spacing w:line="480" w:lineRule="auto"/>
        <w:ind w:firstLine="708"/>
        <w:jc w:val="both"/>
        <w:rPr>
          <w:i/>
          <w:lang w:val="en-US"/>
        </w:rPr>
      </w:pPr>
    </w:p>
    <w:p w:rsidR="00D47873" w:rsidRPr="00A51255" w:rsidRDefault="00D47873" w:rsidP="00D47873">
      <w:pPr>
        <w:spacing w:line="480" w:lineRule="auto"/>
        <w:jc w:val="center"/>
        <w:rPr>
          <w:rFonts w:ascii="Arial" w:hAnsi="Arial" w:cs="Arial"/>
          <w:i/>
          <w:lang w:val="en-US"/>
        </w:rPr>
      </w:pPr>
      <w:r w:rsidRPr="00A51255">
        <w:rPr>
          <w:rFonts w:ascii="Arial" w:hAnsi="Arial" w:cs="Arial"/>
          <w:i/>
          <w:lang w:val="en-US"/>
        </w:rPr>
        <w:t>[</w:t>
      </w:r>
      <w:r>
        <w:rPr>
          <w:rFonts w:ascii="Arial" w:hAnsi="Arial" w:cs="Arial"/>
          <w:i/>
          <w:lang w:val="en-US"/>
        </w:rPr>
        <w:t>Tables 4a and 4b</w:t>
      </w:r>
      <w:r w:rsidRPr="00A51255">
        <w:rPr>
          <w:rFonts w:ascii="Arial" w:hAnsi="Arial" w:cs="Arial"/>
          <w:i/>
          <w:lang w:val="en-US"/>
        </w:rPr>
        <w:t xml:space="preserve"> around here]</w:t>
      </w:r>
    </w:p>
    <w:p w:rsidR="00D47873" w:rsidRPr="00A51255" w:rsidRDefault="00D47873" w:rsidP="001E3CE6">
      <w:pPr>
        <w:spacing w:line="480" w:lineRule="auto"/>
        <w:ind w:firstLine="708"/>
        <w:jc w:val="both"/>
        <w:rPr>
          <w:rFonts w:ascii="Arial" w:hAnsi="Arial" w:cs="Arial"/>
          <w:lang w:val="en-US"/>
        </w:rPr>
      </w:pPr>
    </w:p>
    <w:p w:rsidR="00850653" w:rsidRDefault="007C6081" w:rsidP="000D0032">
      <w:pPr>
        <w:spacing w:line="480" w:lineRule="auto"/>
        <w:ind w:firstLine="708"/>
        <w:jc w:val="both"/>
        <w:rPr>
          <w:rFonts w:ascii="Arial" w:hAnsi="Arial" w:cs="Arial"/>
          <w:color w:val="000000"/>
          <w:lang w:val="en-US"/>
        </w:rPr>
      </w:pPr>
      <w:r w:rsidRPr="00A51255">
        <w:rPr>
          <w:rFonts w:ascii="Arial" w:hAnsi="Arial" w:cs="Arial"/>
          <w:color w:val="000000"/>
          <w:lang w:val="en-US"/>
        </w:rPr>
        <w:t>T</w:t>
      </w:r>
      <w:r w:rsidR="00850653" w:rsidRPr="00A51255">
        <w:rPr>
          <w:rFonts w:ascii="Arial" w:hAnsi="Arial" w:cs="Arial"/>
          <w:color w:val="000000"/>
          <w:lang w:val="en-US"/>
        </w:rPr>
        <w:t>he GA</w:t>
      </w:r>
      <w:r w:rsidR="0053560B" w:rsidRPr="00A51255">
        <w:rPr>
          <w:rFonts w:ascii="Arial" w:hAnsi="Arial" w:cs="Arial"/>
          <w:color w:val="000000"/>
          <w:lang w:val="en-US"/>
        </w:rPr>
        <w:t>RCH-in-mean term</w:t>
      </w:r>
      <w:r w:rsidR="00850653" w:rsidRPr="00A51255">
        <w:rPr>
          <w:rFonts w:ascii="Arial" w:hAnsi="Arial" w:cs="Arial"/>
          <w:color w:val="000000"/>
          <w:lang w:val="en-US"/>
        </w:rPr>
        <w:t xml:space="preserve"> </w:t>
      </w:r>
      <w:r w:rsidRPr="00A51255">
        <w:rPr>
          <w:rFonts w:ascii="Arial" w:hAnsi="Arial" w:cs="Arial"/>
          <w:color w:val="000000"/>
          <w:lang w:val="en-US"/>
        </w:rPr>
        <w:t xml:space="preserve">is significant at </w:t>
      </w:r>
      <w:r w:rsidR="004C3F0F" w:rsidRPr="00A51255">
        <w:rPr>
          <w:rFonts w:ascii="Arial" w:hAnsi="Arial" w:cs="Arial"/>
          <w:color w:val="000000"/>
          <w:lang w:val="en-US"/>
        </w:rPr>
        <w:t xml:space="preserve">the </w:t>
      </w:r>
      <w:r w:rsidRPr="00A51255">
        <w:rPr>
          <w:rFonts w:ascii="Arial" w:hAnsi="Arial" w:cs="Arial"/>
          <w:color w:val="000000"/>
          <w:lang w:val="en-US"/>
        </w:rPr>
        <w:t>5%</w:t>
      </w:r>
      <w:r w:rsidR="00DE3A40">
        <w:rPr>
          <w:rFonts w:ascii="Arial" w:hAnsi="Arial" w:cs="Arial"/>
          <w:color w:val="000000"/>
          <w:lang w:val="en-US"/>
        </w:rPr>
        <w:t xml:space="preserve"> and 10%</w:t>
      </w:r>
      <w:r w:rsidRPr="00A51255">
        <w:rPr>
          <w:rFonts w:ascii="Arial" w:hAnsi="Arial" w:cs="Arial"/>
          <w:color w:val="000000"/>
          <w:lang w:val="en-US"/>
        </w:rPr>
        <w:t xml:space="preserve"> level</w:t>
      </w:r>
      <w:r w:rsidR="00DE3A40">
        <w:rPr>
          <w:rFonts w:ascii="Arial" w:hAnsi="Arial" w:cs="Arial"/>
          <w:color w:val="000000"/>
          <w:lang w:val="en-US"/>
        </w:rPr>
        <w:t>s</w:t>
      </w:r>
      <w:r w:rsidR="004F4AD4">
        <w:rPr>
          <w:rFonts w:ascii="Arial" w:hAnsi="Arial" w:cs="Arial"/>
          <w:color w:val="000000"/>
          <w:lang w:val="en-US"/>
        </w:rPr>
        <w:t>,</w:t>
      </w:r>
      <w:r w:rsidRPr="00A51255">
        <w:rPr>
          <w:rFonts w:ascii="Arial" w:hAnsi="Arial" w:cs="Arial"/>
          <w:color w:val="000000"/>
          <w:lang w:val="en-US"/>
        </w:rPr>
        <w:t xml:space="preserve"> and negative in </w:t>
      </w:r>
      <w:r w:rsidR="00462845" w:rsidRPr="00A51255">
        <w:rPr>
          <w:rFonts w:ascii="Arial" w:hAnsi="Arial" w:cs="Arial"/>
          <w:color w:val="000000"/>
          <w:lang w:val="en-US"/>
        </w:rPr>
        <w:t xml:space="preserve">the </w:t>
      </w:r>
      <w:r w:rsidRPr="00A51255">
        <w:rPr>
          <w:rFonts w:ascii="Arial" w:hAnsi="Arial" w:cs="Arial"/>
          <w:color w:val="000000"/>
          <w:lang w:val="en-US"/>
        </w:rPr>
        <w:t xml:space="preserve">models </w:t>
      </w:r>
      <w:r w:rsidR="00462845" w:rsidRPr="00A51255">
        <w:rPr>
          <w:rFonts w:ascii="Arial" w:hAnsi="Arial" w:cs="Arial"/>
          <w:color w:val="000000"/>
          <w:lang w:val="en-US"/>
        </w:rPr>
        <w:t xml:space="preserve">with the </w:t>
      </w:r>
      <w:r w:rsidR="00462845" w:rsidRPr="00A51255">
        <w:rPr>
          <w:i/>
          <w:color w:val="000000"/>
          <w:lang w:val="en-US"/>
        </w:rPr>
        <w:t>MS</w:t>
      </w:r>
      <w:r w:rsidR="00462845" w:rsidRPr="00A51255">
        <w:rPr>
          <w:rFonts w:ascii="Arial" w:hAnsi="Arial" w:cs="Arial"/>
          <w:color w:val="000000"/>
          <w:lang w:val="en-US"/>
        </w:rPr>
        <w:t xml:space="preserve"> dummies </w:t>
      </w:r>
      <w:r w:rsidR="0053560B" w:rsidRPr="00A51255">
        <w:rPr>
          <w:rFonts w:ascii="Arial" w:hAnsi="Arial" w:cs="Arial"/>
          <w:color w:val="000000"/>
          <w:lang w:val="en-US"/>
        </w:rPr>
        <w:t xml:space="preserve">on </w:t>
      </w:r>
      <w:r w:rsidRPr="00A51255">
        <w:rPr>
          <w:rFonts w:ascii="Arial" w:hAnsi="Arial" w:cs="Arial"/>
          <w:color w:val="000000"/>
          <w:lang w:val="en-US"/>
        </w:rPr>
        <w:t xml:space="preserve">both </w:t>
      </w:r>
      <w:r w:rsidR="0053560B" w:rsidRPr="00A51255">
        <w:rPr>
          <w:rFonts w:ascii="Arial" w:hAnsi="Arial" w:cs="Arial"/>
          <w:color w:val="000000"/>
          <w:lang w:val="en-US"/>
        </w:rPr>
        <w:t>day</w:t>
      </w:r>
      <w:r w:rsidRPr="00A51255">
        <w:rPr>
          <w:rFonts w:ascii="Arial" w:hAnsi="Arial" w:cs="Arial"/>
          <w:color w:val="000000"/>
          <w:lang w:val="en-US"/>
        </w:rPr>
        <w:t>s</w:t>
      </w:r>
      <w:r w:rsidR="0053560B" w:rsidRPr="00A51255">
        <w:rPr>
          <w:rFonts w:ascii="Arial" w:hAnsi="Arial" w:cs="Arial"/>
          <w:color w:val="000000"/>
          <w:lang w:val="en-US"/>
        </w:rPr>
        <w:t xml:space="preserve"> </w:t>
      </w:r>
      <w:r w:rsidR="0053560B" w:rsidRPr="00A51255">
        <w:rPr>
          <w:i/>
          <w:color w:val="000000"/>
          <w:lang w:val="en-US"/>
        </w:rPr>
        <w:t>t</w:t>
      </w:r>
      <w:r w:rsidR="0053560B" w:rsidRPr="00A51255">
        <w:rPr>
          <w:rFonts w:ascii="Arial" w:hAnsi="Arial" w:cs="Arial"/>
          <w:color w:val="000000"/>
          <w:lang w:val="en-US"/>
        </w:rPr>
        <w:t xml:space="preserve"> and day </w:t>
      </w:r>
      <w:r w:rsidR="0053560B" w:rsidRPr="00A51255">
        <w:rPr>
          <w:i/>
          <w:color w:val="000000"/>
          <w:lang w:val="en-US"/>
        </w:rPr>
        <w:t>t+1</w:t>
      </w:r>
      <w:r w:rsidR="00DE3A40">
        <w:rPr>
          <w:rFonts w:ascii="Arial" w:hAnsi="Arial" w:cs="Arial"/>
          <w:color w:val="000000"/>
          <w:lang w:val="en-US"/>
        </w:rPr>
        <w:t xml:space="preserve">, respectively, </w:t>
      </w:r>
      <w:r w:rsidRPr="00A51255">
        <w:rPr>
          <w:rFonts w:ascii="Arial" w:hAnsi="Arial" w:cs="Arial"/>
          <w:color w:val="000000"/>
          <w:lang w:val="en-US"/>
        </w:rPr>
        <w:t>showing</w:t>
      </w:r>
      <w:r w:rsidR="0053560B" w:rsidRPr="00A51255">
        <w:rPr>
          <w:rFonts w:ascii="Arial" w:hAnsi="Arial" w:cs="Arial"/>
          <w:color w:val="000000"/>
          <w:lang w:val="en-US"/>
        </w:rPr>
        <w:t xml:space="preserve"> </w:t>
      </w:r>
      <w:r w:rsidR="004C3F0F" w:rsidRPr="00A51255">
        <w:rPr>
          <w:rFonts w:ascii="Arial" w:hAnsi="Arial" w:cs="Arial"/>
          <w:color w:val="000000"/>
          <w:lang w:val="en-US"/>
        </w:rPr>
        <w:t xml:space="preserve">further </w:t>
      </w:r>
      <w:r w:rsidR="00850653" w:rsidRPr="00A51255">
        <w:rPr>
          <w:rFonts w:ascii="Arial" w:hAnsi="Arial" w:cs="Arial"/>
          <w:color w:val="000000"/>
          <w:lang w:val="en-US"/>
        </w:rPr>
        <w:t>evidence of calming effects</w:t>
      </w:r>
      <w:r w:rsidRPr="00A51255">
        <w:rPr>
          <w:rFonts w:ascii="Arial" w:hAnsi="Arial" w:cs="Arial"/>
          <w:color w:val="000000"/>
          <w:lang w:val="en-US"/>
        </w:rPr>
        <w:t xml:space="preserve"> of the exchange rate volatility on </w:t>
      </w:r>
      <w:r w:rsidR="00ED532D" w:rsidRPr="00A51255">
        <w:rPr>
          <w:rFonts w:ascii="Arial" w:hAnsi="Arial" w:cs="Arial"/>
          <w:color w:val="000000"/>
          <w:lang w:val="en-US"/>
        </w:rPr>
        <w:t xml:space="preserve">the </w:t>
      </w:r>
      <w:r w:rsidRPr="00A51255">
        <w:rPr>
          <w:rFonts w:ascii="Arial" w:hAnsi="Arial" w:cs="Arial"/>
          <w:color w:val="000000"/>
          <w:lang w:val="en-US"/>
        </w:rPr>
        <w:t>market activity.</w:t>
      </w:r>
    </w:p>
    <w:p w:rsidR="00AD4284" w:rsidRDefault="00AD4284" w:rsidP="00D47873">
      <w:pPr>
        <w:spacing w:line="480" w:lineRule="auto"/>
        <w:ind w:firstLine="708"/>
        <w:jc w:val="both"/>
        <w:rPr>
          <w:rFonts w:ascii="Arial" w:hAnsi="Arial" w:cs="Arial"/>
          <w:lang w:val="en-US"/>
        </w:rPr>
      </w:pPr>
      <w:r w:rsidRPr="00A51255">
        <w:rPr>
          <w:rFonts w:ascii="Arial" w:hAnsi="Arial" w:cs="Arial"/>
          <w:lang w:val="en-US"/>
        </w:rPr>
        <w:t>We now turn our attention to a</w:t>
      </w:r>
      <w:r>
        <w:rPr>
          <w:rFonts w:ascii="Arial" w:hAnsi="Arial" w:cs="Arial"/>
          <w:lang w:val="en-US"/>
        </w:rPr>
        <w:t>nalysis of results from the variance</w:t>
      </w:r>
      <w:r w:rsidRPr="00A51255">
        <w:rPr>
          <w:rFonts w:ascii="Arial" w:hAnsi="Arial" w:cs="Arial"/>
          <w:lang w:val="en-US"/>
        </w:rPr>
        <w:t xml:space="preserve"> equations of the foreign exchange returns and trading volume models. Analysis of estimates from the models with exchange rate returns and trading volume as the dependent variables allows us to further investigate the impact of NBP announcements on foreign exchange market activity.</w:t>
      </w:r>
      <w:r w:rsidR="004F4AD4">
        <w:rPr>
          <w:rFonts w:ascii="Arial" w:hAnsi="Arial" w:cs="Arial"/>
          <w:lang w:val="en-US"/>
        </w:rPr>
        <w:t xml:space="preserve"> </w:t>
      </w:r>
    </w:p>
    <w:p w:rsidR="00121FA0" w:rsidRDefault="00787201" w:rsidP="00121FA0">
      <w:pPr>
        <w:spacing w:line="480" w:lineRule="auto"/>
        <w:ind w:firstLine="708"/>
        <w:jc w:val="both"/>
        <w:rPr>
          <w:rFonts w:ascii="Arial" w:hAnsi="Arial" w:cs="Arial"/>
          <w:lang w:val="en-US"/>
        </w:rPr>
      </w:pPr>
      <w:r>
        <w:rPr>
          <w:rFonts w:ascii="Arial" w:hAnsi="Arial" w:cs="Arial"/>
          <w:lang w:val="en-US"/>
        </w:rPr>
        <w:t>The s</w:t>
      </w:r>
      <w:r w:rsidR="00F161A1">
        <w:rPr>
          <w:rFonts w:ascii="Arial" w:hAnsi="Arial" w:cs="Arial"/>
          <w:lang w:val="en-US"/>
        </w:rPr>
        <w:t xml:space="preserve">econd panels in </w:t>
      </w:r>
      <w:r w:rsidR="00121FA0">
        <w:rPr>
          <w:rFonts w:ascii="Arial" w:hAnsi="Arial" w:cs="Arial"/>
          <w:lang w:val="en-US"/>
        </w:rPr>
        <w:t>Tables 3a and 3b</w:t>
      </w:r>
      <w:r w:rsidR="00121FA0" w:rsidRPr="00A51255">
        <w:rPr>
          <w:rFonts w:ascii="Arial" w:hAnsi="Arial" w:cs="Arial"/>
          <w:b/>
          <w:lang w:val="en-US"/>
        </w:rPr>
        <w:t xml:space="preserve"> </w:t>
      </w:r>
      <w:r>
        <w:rPr>
          <w:rFonts w:ascii="Arial" w:hAnsi="Arial" w:cs="Arial"/>
          <w:lang w:val="en-US"/>
        </w:rPr>
        <w:t>show</w:t>
      </w:r>
      <w:r w:rsidR="00121FA0" w:rsidRPr="00A51255">
        <w:rPr>
          <w:rFonts w:ascii="Arial" w:hAnsi="Arial" w:cs="Arial"/>
          <w:lang w:val="en-US"/>
        </w:rPr>
        <w:t xml:space="preserve"> the estimates of the GARCH model for </w:t>
      </w:r>
      <w:r w:rsidR="00121FA0">
        <w:rPr>
          <w:rFonts w:ascii="Arial" w:hAnsi="Arial" w:cs="Arial"/>
          <w:lang w:val="en-US"/>
        </w:rPr>
        <w:t>exchange rate returns</w:t>
      </w:r>
      <w:r w:rsidR="00121FA0" w:rsidRPr="00A51255">
        <w:rPr>
          <w:rFonts w:ascii="Arial" w:hAnsi="Arial" w:cs="Arial"/>
          <w:lang w:val="en-US"/>
        </w:rPr>
        <w:t xml:space="preserve"> where the dummy variables are included in the conditional variance function (i.e. equation </w:t>
      </w:r>
      <w:r w:rsidR="009F3C54">
        <w:rPr>
          <w:rFonts w:ascii="Arial" w:hAnsi="Arial" w:cs="Arial"/>
          <w:lang w:val="en-US"/>
        </w:rPr>
        <w:t>(2</w:t>
      </w:r>
      <w:r w:rsidR="00121FA0">
        <w:rPr>
          <w:rFonts w:ascii="Arial" w:hAnsi="Arial" w:cs="Arial"/>
          <w:lang w:val="en-US"/>
        </w:rPr>
        <w:t>)</w:t>
      </w:r>
      <w:r w:rsidR="00121FA0" w:rsidRPr="00A51255">
        <w:rPr>
          <w:rFonts w:ascii="Arial" w:hAnsi="Arial" w:cs="Arial"/>
          <w:lang w:val="en-US"/>
        </w:rPr>
        <w:t>)</w:t>
      </w:r>
      <w:r w:rsidR="00121FA0" w:rsidRPr="00A51255">
        <w:rPr>
          <w:lang w:val="en-US"/>
        </w:rPr>
        <w:t>.</w:t>
      </w:r>
      <w:r w:rsidR="009F3C54">
        <w:rPr>
          <w:lang w:val="en-US"/>
        </w:rPr>
        <w:t xml:space="preserve"> </w:t>
      </w:r>
      <w:r w:rsidR="00121FA0" w:rsidRPr="00A51255">
        <w:rPr>
          <w:rFonts w:ascii="Arial" w:hAnsi="Arial" w:cs="Arial"/>
          <w:lang w:val="en-US"/>
        </w:rPr>
        <w:t xml:space="preserve">On the announcement date (day </w:t>
      </w:r>
      <w:r w:rsidR="00121FA0" w:rsidRPr="00A51255">
        <w:rPr>
          <w:i/>
          <w:lang w:val="en-US"/>
        </w:rPr>
        <w:t>t</w:t>
      </w:r>
      <w:r w:rsidR="00121FA0" w:rsidRPr="00A51255">
        <w:rPr>
          <w:rFonts w:ascii="Arial" w:hAnsi="Arial" w:cs="Arial"/>
          <w:lang w:val="en-US"/>
        </w:rPr>
        <w:t xml:space="preserve">), the estimates for all four </w:t>
      </w:r>
      <w:r w:rsidR="00121FA0" w:rsidRPr="00A51255">
        <w:rPr>
          <w:i/>
          <w:lang w:val="en-US"/>
        </w:rPr>
        <w:t>MS</w:t>
      </w:r>
      <w:r w:rsidR="00121FA0" w:rsidRPr="00A51255">
        <w:rPr>
          <w:rFonts w:ascii="Arial" w:hAnsi="Arial" w:cs="Arial"/>
          <w:lang w:val="en-US"/>
        </w:rPr>
        <w:t xml:space="preserve"> dummies with different strengths (strongly positive, positive, negative and strongly negative) are s</w:t>
      </w:r>
      <w:r w:rsidR="00121FA0">
        <w:rPr>
          <w:rFonts w:ascii="Arial" w:hAnsi="Arial" w:cs="Arial"/>
          <w:lang w:val="en-US"/>
        </w:rPr>
        <w:t>tatistically significant (all</w:t>
      </w:r>
      <w:r w:rsidR="00121FA0" w:rsidRPr="00A51255">
        <w:rPr>
          <w:rFonts w:ascii="Arial" w:hAnsi="Arial" w:cs="Arial"/>
          <w:lang w:val="en-US"/>
        </w:rPr>
        <w:t xml:space="preserve"> at the 1% significance level) and all have negative signs. The estimated parameters </w:t>
      </w:r>
      <w:r w:rsidR="00121FA0" w:rsidRPr="004020A7">
        <w:rPr>
          <w:rFonts w:ascii="Arial" w:hAnsi="Arial" w:cs="Arial"/>
          <w:lang w:val="en-US"/>
        </w:rPr>
        <w:t>range between -0.289206 and -0.519109</w:t>
      </w:r>
      <w:r w:rsidR="004020A7" w:rsidRPr="004020A7">
        <w:rPr>
          <w:rFonts w:ascii="Arial" w:hAnsi="Arial" w:cs="Arial"/>
          <w:lang w:val="en-US"/>
        </w:rPr>
        <w:t>.</w:t>
      </w:r>
      <w:r w:rsidR="00712FC7">
        <w:rPr>
          <w:rFonts w:ascii="Arial" w:hAnsi="Arial" w:cs="Arial"/>
          <w:lang w:val="en-US"/>
        </w:rPr>
        <w:t xml:space="preserve"> </w:t>
      </w:r>
      <w:r w:rsidR="00121FA0" w:rsidRPr="004020A7">
        <w:rPr>
          <w:rFonts w:ascii="Arial" w:hAnsi="Arial" w:cs="Arial"/>
          <w:lang w:val="en-US"/>
        </w:rPr>
        <w:t>This</w:t>
      </w:r>
      <w:r w:rsidR="00121FA0" w:rsidRPr="00A51255">
        <w:rPr>
          <w:rFonts w:ascii="Arial" w:hAnsi="Arial" w:cs="Arial"/>
          <w:lang w:val="en-US"/>
        </w:rPr>
        <w:t xml:space="preserve"> means that the release of new money supply data by the NBP had a significant calming impact on the conditional volatility (i.e. risk) of foreign exchange returns. On the </w:t>
      </w:r>
      <w:r>
        <w:rPr>
          <w:rFonts w:ascii="Arial" w:hAnsi="Arial" w:cs="Arial"/>
          <w:lang w:val="en-US"/>
        </w:rPr>
        <w:t>following</w:t>
      </w:r>
      <w:r w:rsidR="00121FA0" w:rsidRPr="00A51255">
        <w:rPr>
          <w:rFonts w:ascii="Arial" w:hAnsi="Arial" w:cs="Arial"/>
          <w:lang w:val="en-US"/>
        </w:rPr>
        <w:t xml:space="preserve"> day after the </w:t>
      </w:r>
      <w:r w:rsidR="00121FA0" w:rsidRPr="00A51255">
        <w:rPr>
          <w:rFonts w:ascii="Arial" w:hAnsi="Arial" w:cs="Arial"/>
          <w:lang w:val="en-US"/>
        </w:rPr>
        <w:lastRenderedPageBreak/>
        <w:t xml:space="preserve">NBP communication (day </w:t>
      </w:r>
      <w:r w:rsidR="00121FA0" w:rsidRPr="00A51255">
        <w:rPr>
          <w:i/>
          <w:lang w:val="en-US"/>
        </w:rPr>
        <w:t>t+1</w:t>
      </w:r>
      <w:r w:rsidR="00121FA0" w:rsidRPr="00A51255">
        <w:rPr>
          <w:rFonts w:ascii="Arial" w:hAnsi="Arial" w:cs="Arial"/>
          <w:lang w:val="en-US"/>
        </w:rPr>
        <w:t xml:space="preserve">), only one dummy for the </w:t>
      </w:r>
      <w:r w:rsidR="00121FA0" w:rsidRPr="00A51255">
        <w:rPr>
          <w:i/>
          <w:lang w:val="en-US"/>
        </w:rPr>
        <w:t>MS</w:t>
      </w:r>
      <w:r w:rsidR="00121FA0" w:rsidRPr="00A51255">
        <w:rPr>
          <w:rFonts w:ascii="Arial" w:hAnsi="Arial" w:cs="Arial"/>
          <w:lang w:val="en-US"/>
        </w:rPr>
        <w:t xml:space="preserve"> strongly negative announcement is significant but the sign of its estimate is consistently negative.</w:t>
      </w:r>
    </w:p>
    <w:p w:rsidR="00D47873" w:rsidRPr="00A51255" w:rsidRDefault="00787201" w:rsidP="00D47873">
      <w:pPr>
        <w:spacing w:line="480" w:lineRule="auto"/>
        <w:ind w:firstLine="708"/>
        <w:jc w:val="both"/>
        <w:rPr>
          <w:rFonts w:ascii="Arial" w:hAnsi="Arial" w:cs="Arial"/>
          <w:lang w:val="en-US"/>
        </w:rPr>
      </w:pPr>
      <w:r>
        <w:rPr>
          <w:rFonts w:ascii="Arial" w:hAnsi="Arial" w:cs="Arial"/>
          <w:lang w:val="en-US"/>
        </w:rPr>
        <w:t>The s</w:t>
      </w:r>
      <w:r w:rsidR="0050469A">
        <w:rPr>
          <w:rFonts w:ascii="Arial" w:hAnsi="Arial" w:cs="Arial"/>
          <w:lang w:val="en-US"/>
        </w:rPr>
        <w:t xml:space="preserve">econd panels in </w:t>
      </w:r>
      <w:r w:rsidR="00D47873">
        <w:rPr>
          <w:rFonts w:ascii="Arial" w:hAnsi="Arial" w:cs="Arial"/>
          <w:lang w:val="en-US"/>
        </w:rPr>
        <w:t>Tables 4a and 4b</w:t>
      </w:r>
      <w:r w:rsidR="00D47873" w:rsidRPr="00A51255">
        <w:rPr>
          <w:rFonts w:ascii="Arial" w:hAnsi="Arial" w:cs="Arial"/>
          <w:b/>
          <w:lang w:val="en-US"/>
        </w:rPr>
        <w:t xml:space="preserve"> </w:t>
      </w:r>
      <w:r w:rsidR="00D47873">
        <w:rPr>
          <w:rFonts w:ascii="Arial" w:hAnsi="Arial" w:cs="Arial"/>
          <w:lang w:val="en-US"/>
        </w:rPr>
        <w:t>report</w:t>
      </w:r>
      <w:r w:rsidR="00D47873" w:rsidRPr="00A51255">
        <w:rPr>
          <w:rFonts w:ascii="Arial" w:hAnsi="Arial" w:cs="Arial"/>
          <w:lang w:val="en-US"/>
        </w:rPr>
        <w:t xml:space="preserve"> the estimates of the GARCH model for </w:t>
      </w:r>
      <w:r>
        <w:rPr>
          <w:rFonts w:ascii="Arial" w:hAnsi="Arial" w:cs="Arial"/>
          <w:lang w:val="en-US"/>
        </w:rPr>
        <w:t xml:space="preserve">the </w:t>
      </w:r>
      <w:r w:rsidR="00D47873" w:rsidRPr="00A51255">
        <w:rPr>
          <w:rFonts w:ascii="Arial" w:hAnsi="Arial" w:cs="Arial"/>
          <w:lang w:val="en-US"/>
        </w:rPr>
        <w:t xml:space="preserve">volume of trade percentage changes where the dummy variables are included in the conditional variance function (i.e. equation </w:t>
      </w:r>
      <w:r w:rsidR="00D47873">
        <w:rPr>
          <w:rFonts w:ascii="Arial" w:hAnsi="Arial" w:cs="Arial"/>
          <w:lang w:val="en-US"/>
        </w:rPr>
        <w:t>(4)</w:t>
      </w:r>
      <w:r w:rsidR="00D47873" w:rsidRPr="00A51255">
        <w:rPr>
          <w:rFonts w:ascii="Arial" w:hAnsi="Arial" w:cs="Arial"/>
          <w:lang w:val="en-US"/>
        </w:rPr>
        <w:t>)</w:t>
      </w:r>
      <w:r w:rsidR="00D47873" w:rsidRPr="00A51255">
        <w:rPr>
          <w:lang w:val="en-US"/>
        </w:rPr>
        <w:t>.</w:t>
      </w:r>
      <w:r w:rsidR="00D47873" w:rsidRPr="00A51255">
        <w:rPr>
          <w:rFonts w:ascii="Arial" w:hAnsi="Arial" w:cs="Arial"/>
          <w:lang w:val="en-US"/>
        </w:rPr>
        <w:t xml:space="preserve"> On the day of the announcement, the </w:t>
      </w:r>
      <w:r w:rsidR="00D47873" w:rsidRPr="00A51255">
        <w:rPr>
          <w:i/>
          <w:lang w:val="en-US"/>
        </w:rPr>
        <w:t xml:space="preserve">MS </w:t>
      </w:r>
      <w:r w:rsidR="00D47873" w:rsidRPr="00A51255">
        <w:rPr>
          <w:rFonts w:ascii="Arial" w:hAnsi="Arial" w:cs="Arial"/>
          <w:lang w:val="en-US"/>
        </w:rPr>
        <w:t xml:space="preserve">dummy has a statistically significant effect on the volatility </w:t>
      </w:r>
      <w:r w:rsidR="00D47873" w:rsidRPr="004020A7">
        <w:rPr>
          <w:rFonts w:ascii="Arial" w:hAnsi="Arial" w:cs="Arial"/>
          <w:lang w:val="en-US"/>
        </w:rPr>
        <w:t>for strongly positive and positive surprises. In both th</w:t>
      </w:r>
      <w:r>
        <w:rPr>
          <w:rFonts w:ascii="Arial" w:hAnsi="Arial" w:cs="Arial"/>
          <w:lang w:val="en-US"/>
        </w:rPr>
        <w:t>e</w:t>
      </w:r>
      <w:r w:rsidR="00D47873" w:rsidRPr="004020A7">
        <w:rPr>
          <w:rFonts w:ascii="Arial" w:hAnsi="Arial" w:cs="Arial"/>
          <w:lang w:val="en-US"/>
        </w:rPr>
        <w:t xml:space="preserve">se cases the estimates are negative -1633.327 and -1009.098 for strongly positive and positive </w:t>
      </w:r>
      <w:r w:rsidR="00D47873" w:rsidRPr="004020A7">
        <w:rPr>
          <w:i/>
          <w:lang w:val="en-US"/>
        </w:rPr>
        <w:t>MS</w:t>
      </w:r>
      <w:r w:rsidR="00D47873" w:rsidRPr="004020A7">
        <w:rPr>
          <w:rFonts w:ascii="Arial" w:hAnsi="Arial" w:cs="Arial"/>
          <w:lang w:val="en-US"/>
        </w:rPr>
        <w:t xml:space="preserve"> dummies</w:t>
      </w:r>
      <w:r w:rsidR="002818F8">
        <w:rPr>
          <w:rFonts w:ascii="Arial" w:hAnsi="Arial" w:cs="Arial"/>
          <w:lang w:val="en-US"/>
        </w:rPr>
        <w:t>, respectively,</w:t>
      </w:r>
      <w:r w:rsidR="00D47873" w:rsidRPr="004020A7">
        <w:rPr>
          <w:rFonts w:ascii="Arial" w:hAnsi="Arial" w:cs="Arial"/>
          <w:lang w:val="en-US"/>
        </w:rPr>
        <w:t xml:space="preserve"> and they</w:t>
      </w:r>
      <w:r w:rsidR="00D47873" w:rsidRPr="00A51255">
        <w:rPr>
          <w:rFonts w:ascii="Arial" w:hAnsi="Arial" w:cs="Arial"/>
          <w:lang w:val="en-US"/>
        </w:rPr>
        <w:t xml:space="preserve"> are both significant at the 1% level. Similarly to the results from </w:t>
      </w:r>
      <w:r w:rsidR="00D47873">
        <w:rPr>
          <w:rFonts w:ascii="Arial" w:hAnsi="Arial" w:cs="Arial"/>
          <w:lang w:val="en-US"/>
        </w:rPr>
        <w:t>Tables 3a and 3b</w:t>
      </w:r>
      <w:r w:rsidR="00D47873" w:rsidRPr="00A51255">
        <w:rPr>
          <w:rFonts w:ascii="Arial" w:hAnsi="Arial" w:cs="Arial"/>
          <w:lang w:val="en-US"/>
        </w:rPr>
        <w:t xml:space="preserve"> regarding the impact of the money supply announcements on foreign exchange rate volatility, this finding again suggests the existence of calming effects. On the </w:t>
      </w:r>
      <w:r>
        <w:rPr>
          <w:rFonts w:ascii="Arial" w:hAnsi="Arial" w:cs="Arial"/>
          <w:lang w:val="en-US"/>
        </w:rPr>
        <w:t>subsequent</w:t>
      </w:r>
      <w:r w:rsidR="00D47873" w:rsidRPr="00A51255">
        <w:rPr>
          <w:rFonts w:ascii="Arial" w:hAnsi="Arial" w:cs="Arial"/>
          <w:lang w:val="en-US"/>
        </w:rPr>
        <w:t xml:space="preserve"> day, the same negative effect is </w:t>
      </w:r>
      <w:r>
        <w:rPr>
          <w:rFonts w:ascii="Arial" w:hAnsi="Arial" w:cs="Arial"/>
          <w:lang w:val="en-US"/>
        </w:rPr>
        <w:t xml:space="preserve">also </w:t>
      </w:r>
      <w:r w:rsidR="00D47873" w:rsidRPr="00A51255">
        <w:rPr>
          <w:rFonts w:ascii="Arial" w:hAnsi="Arial" w:cs="Arial"/>
          <w:lang w:val="en-US"/>
        </w:rPr>
        <w:t xml:space="preserve">present in </w:t>
      </w:r>
      <w:r>
        <w:rPr>
          <w:rFonts w:ascii="Arial" w:hAnsi="Arial" w:cs="Arial"/>
          <w:lang w:val="en-US"/>
        </w:rPr>
        <w:t xml:space="preserve">the </w:t>
      </w:r>
      <w:r w:rsidR="00D47873" w:rsidRPr="00A51255">
        <w:rPr>
          <w:rFonts w:ascii="Arial" w:hAnsi="Arial" w:cs="Arial"/>
          <w:lang w:val="en-US"/>
        </w:rPr>
        <w:t xml:space="preserve">case of the strongly negative surprise. The estimate equals </w:t>
      </w:r>
      <w:r w:rsidR="00D47873" w:rsidRPr="00E67CB2">
        <w:rPr>
          <w:rFonts w:ascii="Arial" w:hAnsi="Arial" w:cs="Arial"/>
          <w:lang w:val="en-US"/>
        </w:rPr>
        <w:t>-1529.441</w:t>
      </w:r>
      <w:r w:rsidR="00D47873" w:rsidRPr="00A51255">
        <w:rPr>
          <w:rFonts w:ascii="Arial" w:hAnsi="Arial" w:cs="Arial"/>
          <w:lang w:val="en-US"/>
        </w:rPr>
        <w:t xml:space="preserve"> and it is significant at the 1% level.</w:t>
      </w:r>
    </w:p>
    <w:p w:rsidR="00D47873" w:rsidRPr="004020A7" w:rsidRDefault="00D47873" w:rsidP="00D47873">
      <w:pPr>
        <w:spacing w:line="480" w:lineRule="auto"/>
        <w:ind w:firstLine="708"/>
        <w:jc w:val="both"/>
        <w:rPr>
          <w:rFonts w:ascii="Arial" w:hAnsi="Arial" w:cs="Arial"/>
          <w:color w:val="000000"/>
          <w:lang w:val="en-US"/>
        </w:rPr>
      </w:pPr>
      <w:r w:rsidRPr="00A51255">
        <w:rPr>
          <w:rFonts w:ascii="Arial" w:hAnsi="Arial" w:cs="Arial"/>
          <w:color w:val="000000"/>
          <w:lang w:val="en-US"/>
        </w:rPr>
        <w:t xml:space="preserve">The results in </w:t>
      </w:r>
      <w:r>
        <w:rPr>
          <w:rFonts w:ascii="Arial" w:hAnsi="Arial" w:cs="Arial"/>
          <w:color w:val="000000"/>
          <w:lang w:val="en-US"/>
        </w:rPr>
        <w:t>Tables 4a and 4b</w:t>
      </w:r>
      <w:r w:rsidRPr="00A51255">
        <w:rPr>
          <w:rFonts w:ascii="Arial" w:hAnsi="Arial" w:cs="Arial"/>
          <w:color w:val="000000"/>
          <w:lang w:val="en-US"/>
        </w:rPr>
        <w:t xml:space="preserve"> also </w:t>
      </w:r>
      <w:r w:rsidR="00787201">
        <w:rPr>
          <w:rFonts w:ascii="Arial" w:hAnsi="Arial" w:cs="Arial"/>
          <w:color w:val="000000"/>
          <w:lang w:val="en-US"/>
        </w:rPr>
        <w:t>show</w:t>
      </w:r>
      <w:r w:rsidRPr="00A51255">
        <w:rPr>
          <w:rFonts w:ascii="Arial" w:hAnsi="Arial" w:cs="Arial"/>
          <w:color w:val="000000"/>
          <w:lang w:val="en-US"/>
        </w:rPr>
        <w:t xml:space="preserve"> the significance of the GARCH-in-mean term. The estimate of the GARCH-in-mean parameter for both days </w:t>
      </w:r>
      <w:r w:rsidRPr="00A51255">
        <w:rPr>
          <w:i/>
          <w:color w:val="000000"/>
          <w:lang w:val="en-US"/>
        </w:rPr>
        <w:t>t</w:t>
      </w:r>
      <w:r w:rsidRPr="00A51255">
        <w:rPr>
          <w:rFonts w:ascii="Arial" w:hAnsi="Arial" w:cs="Arial"/>
          <w:color w:val="000000"/>
          <w:lang w:val="en-US"/>
        </w:rPr>
        <w:t xml:space="preserve"> and </w:t>
      </w:r>
      <w:r w:rsidRPr="00A51255">
        <w:rPr>
          <w:i/>
          <w:color w:val="000000"/>
          <w:lang w:val="en-US"/>
        </w:rPr>
        <w:t>t+1</w:t>
      </w:r>
      <w:r w:rsidRPr="00A51255">
        <w:rPr>
          <w:rFonts w:ascii="Arial" w:hAnsi="Arial" w:cs="Arial"/>
          <w:color w:val="000000"/>
          <w:lang w:val="en-US"/>
        </w:rPr>
        <w:t xml:space="preserve"> is negative and statistically significant </w:t>
      </w:r>
      <w:r>
        <w:rPr>
          <w:rFonts w:ascii="Arial" w:hAnsi="Arial" w:cs="Arial"/>
          <w:color w:val="000000"/>
          <w:lang w:val="en-US"/>
        </w:rPr>
        <w:t>(at 5% and 1</w:t>
      </w:r>
      <w:r w:rsidRPr="00A51255">
        <w:rPr>
          <w:rFonts w:ascii="Arial" w:hAnsi="Arial" w:cs="Arial"/>
          <w:color w:val="000000"/>
          <w:lang w:val="en-US"/>
        </w:rPr>
        <w:t>% level</w:t>
      </w:r>
      <w:r>
        <w:rPr>
          <w:rFonts w:ascii="Arial" w:hAnsi="Arial" w:cs="Arial"/>
          <w:color w:val="000000"/>
          <w:lang w:val="en-US"/>
        </w:rPr>
        <w:t>, respectively)</w:t>
      </w:r>
      <w:r w:rsidRPr="00A51255">
        <w:rPr>
          <w:rFonts w:ascii="Arial" w:hAnsi="Arial" w:cs="Arial"/>
          <w:color w:val="000000"/>
          <w:lang w:val="en-US"/>
        </w:rPr>
        <w:t xml:space="preserve">. For day </w:t>
      </w:r>
      <w:r w:rsidRPr="00A51255">
        <w:rPr>
          <w:i/>
          <w:color w:val="000000"/>
          <w:lang w:val="en-US"/>
        </w:rPr>
        <w:t>t</w:t>
      </w:r>
      <w:r w:rsidRPr="00A51255">
        <w:rPr>
          <w:rFonts w:ascii="Arial" w:hAnsi="Arial" w:cs="Arial"/>
          <w:color w:val="000000"/>
          <w:lang w:val="en-US"/>
        </w:rPr>
        <w:t xml:space="preserve">, a 1% increase in the </w:t>
      </w:r>
      <w:r w:rsidRPr="00A51255">
        <w:rPr>
          <w:rFonts w:ascii="Arial" w:hAnsi="Arial" w:cs="Arial"/>
          <w:i/>
          <w:color w:val="000000"/>
          <w:lang w:val="en-US"/>
        </w:rPr>
        <w:t>standard deviation</w:t>
      </w:r>
      <w:r w:rsidRPr="00A51255">
        <w:rPr>
          <w:rFonts w:ascii="Arial" w:hAnsi="Arial" w:cs="Arial"/>
          <w:color w:val="000000"/>
          <w:lang w:val="en-US"/>
        </w:rPr>
        <w:t xml:space="preserve"> of the foreign exchange returns brings</w:t>
      </w:r>
      <w:r w:rsidR="00787201">
        <w:rPr>
          <w:rFonts w:ascii="Arial" w:hAnsi="Arial" w:cs="Arial"/>
          <w:color w:val="000000"/>
          <w:lang w:val="en-US"/>
        </w:rPr>
        <w:t xml:space="preserve"> a</w:t>
      </w:r>
      <w:r w:rsidRPr="00A51255">
        <w:rPr>
          <w:rFonts w:ascii="Arial" w:hAnsi="Arial" w:cs="Arial"/>
          <w:color w:val="000000"/>
          <w:lang w:val="en-US"/>
        </w:rPr>
        <w:t xml:space="preserve"> </w:t>
      </w:r>
      <w:r w:rsidRPr="00FC5CA9">
        <w:rPr>
          <w:rFonts w:ascii="Arial" w:hAnsi="Arial" w:cs="Arial"/>
          <w:color w:val="000000"/>
          <w:lang w:val="en-US"/>
        </w:rPr>
        <w:t>-19.7</w:t>
      </w:r>
      <w:r>
        <w:rPr>
          <w:rFonts w:ascii="Arial" w:hAnsi="Arial" w:cs="Arial"/>
          <w:color w:val="000000"/>
          <w:lang w:val="en-US"/>
        </w:rPr>
        <w:t>1</w:t>
      </w:r>
      <w:r w:rsidRPr="00A51255">
        <w:rPr>
          <w:rFonts w:ascii="Arial" w:hAnsi="Arial" w:cs="Arial"/>
          <w:color w:val="000000"/>
          <w:lang w:val="en-US"/>
        </w:rPr>
        <w:t xml:space="preserve">% decline in the trading volume and </w:t>
      </w:r>
      <w:r w:rsidR="00787201">
        <w:rPr>
          <w:rFonts w:ascii="Arial" w:hAnsi="Arial" w:cs="Arial"/>
          <w:color w:val="000000"/>
          <w:lang w:val="en-US"/>
        </w:rPr>
        <w:t xml:space="preserve">a </w:t>
      </w:r>
      <w:r>
        <w:rPr>
          <w:rFonts w:ascii="Arial" w:hAnsi="Arial" w:cs="Arial"/>
          <w:lang w:val="en-US"/>
        </w:rPr>
        <w:t>-18.35</w:t>
      </w:r>
      <w:r w:rsidRPr="00A51255">
        <w:rPr>
          <w:rFonts w:ascii="Arial" w:hAnsi="Arial" w:cs="Arial"/>
          <w:lang w:val="en-US"/>
        </w:rPr>
        <w:t xml:space="preserve">% decline on day </w:t>
      </w:r>
      <w:r w:rsidRPr="00A51255">
        <w:rPr>
          <w:i/>
          <w:lang w:val="en-US"/>
        </w:rPr>
        <w:t>t+1</w:t>
      </w:r>
      <w:r w:rsidRPr="004020A7">
        <w:rPr>
          <w:rFonts w:ascii="Arial" w:hAnsi="Arial" w:cs="Arial"/>
          <w:lang w:val="en-US"/>
        </w:rPr>
        <w:t xml:space="preserve">.  </w:t>
      </w:r>
      <w:r w:rsidR="009734C0" w:rsidRPr="004020A7">
        <w:rPr>
          <w:rFonts w:ascii="Arial" w:hAnsi="Arial" w:cs="Arial"/>
          <w:lang w:val="en-US"/>
        </w:rPr>
        <w:t>A</w:t>
      </w:r>
      <w:r w:rsidR="00A65B23" w:rsidRPr="004020A7">
        <w:rPr>
          <w:rFonts w:ascii="Arial" w:hAnsi="Arial" w:cs="Arial"/>
          <w:lang w:val="en-US"/>
        </w:rPr>
        <w:t>n inc</w:t>
      </w:r>
      <w:r w:rsidR="009734C0" w:rsidRPr="004020A7">
        <w:rPr>
          <w:rFonts w:ascii="Arial" w:hAnsi="Arial" w:cs="Arial"/>
          <w:lang w:val="en-US"/>
        </w:rPr>
        <w:t xml:space="preserve">rease in the standard deviation </w:t>
      </w:r>
      <w:r w:rsidR="00A65B23" w:rsidRPr="004020A7">
        <w:rPr>
          <w:rFonts w:ascii="Arial" w:hAnsi="Arial" w:cs="Arial"/>
          <w:lang w:val="en-US"/>
        </w:rPr>
        <w:t xml:space="preserve">of the foreign exchange </w:t>
      </w:r>
      <w:r w:rsidR="009734C0" w:rsidRPr="004020A7">
        <w:rPr>
          <w:rFonts w:ascii="Arial" w:hAnsi="Arial" w:cs="Arial"/>
          <w:lang w:val="en-US"/>
        </w:rPr>
        <w:t xml:space="preserve">rate </w:t>
      </w:r>
      <w:r w:rsidR="00A65B23" w:rsidRPr="004020A7">
        <w:rPr>
          <w:rFonts w:ascii="Arial" w:hAnsi="Arial" w:cs="Arial"/>
          <w:lang w:val="en-US"/>
        </w:rPr>
        <w:t xml:space="preserve">returns means </w:t>
      </w:r>
      <w:r w:rsidR="00787201">
        <w:rPr>
          <w:rFonts w:ascii="Arial" w:hAnsi="Arial" w:cs="Arial"/>
          <w:lang w:val="en-US"/>
        </w:rPr>
        <w:t xml:space="preserve">a </w:t>
      </w:r>
      <w:r w:rsidR="00A65B23" w:rsidRPr="004020A7">
        <w:rPr>
          <w:rFonts w:ascii="Arial" w:hAnsi="Arial" w:cs="Arial"/>
          <w:lang w:val="en-US"/>
        </w:rPr>
        <w:t xml:space="preserve">higher risk and this effect </w:t>
      </w:r>
      <w:r w:rsidR="009734C0" w:rsidRPr="004020A7">
        <w:rPr>
          <w:rFonts w:ascii="Arial" w:hAnsi="Arial" w:cs="Arial"/>
          <w:lang w:val="en-US"/>
        </w:rPr>
        <w:t>is associated with a decline in</w:t>
      </w:r>
      <w:r w:rsidR="00A65B23" w:rsidRPr="004020A7">
        <w:rPr>
          <w:rFonts w:ascii="Arial" w:hAnsi="Arial" w:cs="Arial"/>
          <w:lang w:val="en-US"/>
        </w:rPr>
        <w:t xml:space="preserve"> the trading volume. </w:t>
      </w:r>
      <w:r w:rsidR="009734C0" w:rsidRPr="004020A7">
        <w:rPr>
          <w:rFonts w:ascii="Arial" w:hAnsi="Arial" w:cs="Arial"/>
          <w:lang w:val="en-US"/>
        </w:rPr>
        <w:t>The estimated reduction of</w:t>
      </w:r>
      <w:r w:rsidR="00A65B23" w:rsidRPr="004020A7">
        <w:rPr>
          <w:rFonts w:ascii="Arial" w:hAnsi="Arial" w:cs="Arial"/>
          <w:lang w:val="en-US"/>
        </w:rPr>
        <w:t xml:space="preserve"> volume is substantial relative to the average (mean) daily percentage changes of </w:t>
      </w:r>
      <w:r w:rsidR="00AD2418" w:rsidRPr="004020A7">
        <w:rPr>
          <w:rFonts w:ascii="Arial" w:hAnsi="Arial" w:cs="Arial"/>
          <w:lang w:val="en-US"/>
        </w:rPr>
        <w:t xml:space="preserve">the </w:t>
      </w:r>
      <w:r w:rsidR="00A65B23" w:rsidRPr="004020A7">
        <w:rPr>
          <w:rFonts w:ascii="Arial" w:hAnsi="Arial" w:cs="Arial"/>
          <w:lang w:val="en-US"/>
        </w:rPr>
        <w:t xml:space="preserve">volume </w:t>
      </w:r>
      <w:r w:rsidR="00AD2418" w:rsidRPr="004020A7">
        <w:rPr>
          <w:rFonts w:ascii="Arial" w:hAnsi="Arial" w:cs="Arial"/>
          <w:lang w:val="en-US"/>
        </w:rPr>
        <w:t xml:space="preserve">of trade </w:t>
      </w:r>
      <w:r w:rsidR="006C71F9" w:rsidRPr="004020A7">
        <w:rPr>
          <w:rFonts w:ascii="Arial" w:hAnsi="Arial" w:cs="Arial"/>
          <w:lang w:val="en-US"/>
        </w:rPr>
        <w:t xml:space="preserve">(reported </w:t>
      </w:r>
      <w:r w:rsidR="00A65B23" w:rsidRPr="004020A7">
        <w:rPr>
          <w:rFonts w:ascii="Arial" w:hAnsi="Arial" w:cs="Arial"/>
          <w:lang w:val="en-US"/>
        </w:rPr>
        <w:t>at the 10.54% level</w:t>
      </w:r>
      <w:r w:rsidR="006C71F9" w:rsidRPr="004020A7">
        <w:rPr>
          <w:rFonts w:ascii="Arial" w:hAnsi="Arial" w:cs="Arial"/>
          <w:lang w:val="en-US"/>
        </w:rPr>
        <w:t xml:space="preserve"> in </w:t>
      </w:r>
      <w:r w:rsidR="00A65B23" w:rsidRPr="004020A7">
        <w:rPr>
          <w:rFonts w:ascii="Arial" w:hAnsi="Arial" w:cs="Arial"/>
          <w:lang w:val="en-US"/>
        </w:rPr>
        <w:t>Table 2).</w:t>
      </w:r>
    </w:p>
    <w:p w:rsidR="00D44695" w:rsidRDefault="00D47873" w:rsidP="00D47873">
      <w:pPr>
        <w:spacing w:line="480" w:lineRule="auto"/>
        <w:ind w:firstLine="708"/>
        <w:jc w:val="both"/>
        <w:rPr>
          <w:rFonts w:ascii="Arial" w:hAnsi="Arial" w:cs="Arial"/>
          <w:lang w:val="en-US"/>
        </w:rPr>
      </w:pPr>
      <w:r w:rsidRPr="00A51255">
        <w:rPr>
          <w:rFonts w:ascii="Arial" w:hAnsi="Arial" w:cs="Arial"/>
          <w:lang w:val="en-US"/>
        </w:rPr>
        <w:t xml:space="preserve">Overall, </w:t>
      </w:r>
      <w:r w:rsidR="00794682">
        <w:rPr>
          <w:rFonts w:ascii="Arial" w:hAnsi="Arial" w:cs="Arial"/>
          <w:lang w:val="en-US"/>
        </w:rPr>
        <w:t xml:space="preserve">the </w:t>
      </w:r>
      <w:r w:rsidR="00D13B58">
        <w:rPr>
          <w:rFonts w:ascii="Arial" w:hAnsi="Arial" w:cs="Arial"/>
          <w:lang w:val="en-US"/>
        </w:rPr>
        <w:t xml:space="preserve">results </w:t>
      </w:r>
      <w:r w:rsidRPr="00A51255">
        <w:rPr>
          <w:rFonts w:ascii="Arial" w:hAnsi="Arial" w:cs="Arial"/>
          <w:lang w:val="en-US"/>
        </w:rPr>
        <w:t>in Tables 3</w:t>
      </w:r>
      <w:r>
        <w:rPr>
          <w:rFonts w:ascii="Arial" w:hAnsi="Arial" w:cs="Arial"/>
          <w:lang w:val="en-US"/>
        </w:rPr>
        <w:t>a-3b</w:t>
      </w:r>
      <w:r w:rsidRPr="00A51255">
        <w:rPr>
          <w:rFonts w:ascii="Arial" w:hAnsi="Arial" w:cs="Arial"/>
          <w:lang w:val="en-US"/>
        </w:rPr>
        <w:t xml:space="preserve"> and </w:t>
      </w:r>
      <w:r>
        <w:rPr>
          <w:rFonts w:ascii="Arial" w:hAnsi="Arial" w:cs="Arial"/>
          <w:lang w:val="en-US"/>
        </w:rPr>
        <w:t xml:space="preserve">Tables </w:t>
      </w:r>
      <w:r w:rsidRPr="00A51255">
        <w:rPr>
          <w:rFonts w:ascii="Arial" w:hAnsi="Arial" w:cs="Arial"/>
          <w:lang w:val="en-US"/>
        </w:rPr>
        <w:t>4</w:t>
      </w:r>
      <w:r>
        <w:rPr>
          <w:rFonts w:ascii="Arial" w:hAnsi="Arial" w:cs="Arial"/>
          <w:lang w:val="en-US"/>
        </w:rPr>
        <w:t>a-4b</w:t>
      </w:r>
      <w:r w:rsidR="00E4475E">
        <w:rPr>
          <w:rFonts w:ascii="Arial" w:hAnsi="Arial" w:cs="Arial"/>
          <w:lang w:val="en-US"/>
        </w:rPr>
        <w:t xml:space="preserve"> show</w:t>
      </w:r>
      <w:r w:rsidRPr="00A51255">
        <w:rPr>
          <w:rFonts w:ascii="Arial" w:hAnsi="Arial" w:cs="Arial"/>
          <w:lang w:val="en-US"/>
        </w:rPr>
        <w:t xml:space="preserve"> that the conditional volatility of foreign exchange returns and trading volume declines when the NBP announcements about new money supply figures </w:t>
      </w:r>
      <w:r w:rsidR="00794682">
        <w:rPr>
          <w:rFonts w:ascii="Arial" w:hAnsi="Arial" w:cs="Arial"/>
          <w:lang w:val="en-US"/>
        </w:rPr>
        <w:t>we</w:t>
      </w:r>
      <w:r w:rsidRPr="00A51255">
        <w:rPr>
          <w:rFonts w:ascii="Arial" w:hAnsi="Arial" w:cs="Arial"/>
          <w:lang w:val="en-US"/>
        </w:rPr>
        <w:t xml:space="preserve">re revealed, which may be </w:t>
      </w:r>
      <w:r w:rsidR="00794682">
        <w:rPr>
          <w:rFonts w:ascii="Arial" w:hAnsi="Arial" w:cs="Arial"/>
          <w:lang w:val="en-US"/>
        </w:rPr>
        <w:t>explained by the fact that in these situations</w:t>
      </w:r>
      <w:r w:rsidRPr="00A51255">
        <w:rPr>
          <w:rFonts w:ascii="Arial" w:hAnsi="Arial" w:cs="Arial"/>
          <w:lang w:val="en-US"/>
        </w:rPr>
        <w:t xml:space="preserve"> investors face </w:t>
      </w:r>
      <w:r w:rsidRPr="006E1299">
        <w:rPr>
          <w:rFonts w:ascii="Arial" w:hAnsi="Arial" w:cs="Arial"/>
          <w:lang w:val="en-US"/>
        </w:rPr>
        <w:t>less uncertainty or lower risk. This</w:t>
      </w:r>
      <w:r w:rsidRPr="00A51255">
        <w:rPr>
          <w:rFonts w:ascii="Arial" w:hAnsi="Arial" w:cs="Arial"/>
          <w:lang w:val="en-US"/>
        </w:rPr>
        <w:t xml:space="preserve"> </w:t>
      </w:r>
      <w:r w:rsidRPr="00A51255">
        <w:rPr>
          <w:rFonts w:ascii="Arial" w:hAnsi="Arial" w:cs="Arial"/>
          <w:lang w:val="en-US"/>
        </w:rPr>
        <w:lastRenderedPageBreak/>
        <w:t>evidence is consistent with the findings from the models of the v</w:t>
      </w:r>
      <w:r w:rsidR="00E4475E">
        <w:rPr>
          <w:rFonts w:ascii="Arial" w:hAnsi="Arial" w:cs="Arial"/>
          <w:lang w:val="en-US"/>
        </w:rPr>
        <w:t>olume of trade</w:t>
      </w:r>
      <w:r w:rsidRPr="00A51255">
        <w:rPr>
          <w:rFonts w:ascii="Arial" w:hAnsi="Arial" w:cs="Arial"/>
          <w:lang w:val="en-US"/>
        </w:rPr>
        <w:t xml:space="preserve"> that </w:t>
      </w:r>
      <w:r w:rsidR="00E4475E">
        <w:rPr>
          <w:rFonts w:ascii="Arial" w:hAnsi="Arial" w:cs="Arial"/>
          <w:lang w:val="en-US"/>
        </w:rPr>
        <w:t xml:space="preserve">market activity (i.e. </w:t>
      </w:r>
      <w:r w:rsidRPr="00A51255">
        <w:rPr>
          <w:rFonts w:ascii="Arial" w:hAnsi="Arial" w:cs="Arial"/>
          <w:lang w:val="en-US"/>
        </w:rPr>
        <w:t>trading volume</w:t>
      </w:r>
      <w:r w:rsidR="00E4475E">
        <w:rPr>
          <w:rFonts w:ascii="Arial" w:hAnsi="Arial" w:cs="Arial"/>
          <w:lang w:val="en-US"/>
        </w:rPr>
        <w:t>)</w:t>
      </w:r>
      <w:r w:rsidRPr="00A51255">
        <w:rPr>
          <w:rFonts w:ascii="Arial" w:hAnsi="Arial" w:cs="Arial"/>
          <w:lang w:val="en-US"/>
        </w:rPr>
        <w:t xml:space="preserve"> </w:t>
      </w:r>
      <w:r w:rsidR="00E4475E">
        <w:rPr>
          <w:rFonts w:ascii="Arial" w:hAnsi="Arial" w:cs="Arial"/>
          <w:lang w:val="en-US"/>
        </w:rPr>
        <w:t xml:space="preserve">increases </w:t>
      </w:r>
      <w:r w:rsidRPr="00A51255">
        <w:rPr>
          <w:rFonts w:ascii="Arial" w:hAnsi="Arial" w:cs="Arial"/>
          <w:lang w:val="en-US"/>
        </w:rPr>
        <w:t xml:space="preserve">on the day of the NBP communications, </w:t>
      </w:r>
      <w:r w:rsidR="00794682">
        <w:rPr>
          <w:rFonts w:ascii="Arial" w:hAnsi="Arial" w:cs="Arial"/>
          <w:lang w:val="en-US"/>
        </w:rPr>
        <w:t xml:space="preserve">most </w:t>
      </w:r>
      <w:r w:rsidRPr="00A51255">
        <w:rPr>
          <w:rFonts w:ascii="Arial" w:hAnsi="Arial" w:cs="Arial"/>
          <w:lang w:val="en-US"/>
        </w:rPr>
        <w:t>likely due to a decline in foreign exchange market uncertainty (i.e. volatility or risk) because of central bank communication. This issue is further examined empirically in this section below and in the next section.</w:t>
      </w:r>
    </w:p>
    <w:p w:rsidR="00D44695" w:rsidRDefault="00D44695" w:rsidP="00D47873">
      <w:pPr>
        <w:spacing w:line="480" w:lineRule="auto"/>
        <w:ind w:firstLine="708"/>
        <w:jc w:val="both"/>
        <w:rPr>
          <w:rFonts w:ascii="Arial" w:hAnsi="Arial" w:cs="Arial"/>
          <w:lang w:val="en-US"/>
        </w:rPr>
      </w:pPr>
    </w:p>
    <w:p w:rsidR="00D44695" w:rsidRPr="00A51255" w:rsidRDefault="00D44695" w:rsidP="00D44695">
      <w:pPr>
        <w:spacing w:line="480" w:lineRule="auto"/>
        <w:jc w:val="center"/>
        <w:rPr>
          <w:rFonts w:ascii="Arial" w:hAnsi="Arial" w:cs="Arial"/>
          <w:i/>
          <w:lang w:val="en-US"/>
        </w:rPr>
      </w:pPr>
      <w:r w:rsidRPr="00A51255">
        <w:rPr>
          <w:rFonts w:ascii="Arial" w:hAnsi="Arial" w:cs="Arial"/>
          <w:i/>
          <w:lang w:val="en-US"/>
        </w:rPr>
        <w:t>[</w:t>
      </w:r>
      <w:r>
        <w:rPr>
          <w:rFonts w:ascii="Arial" w:hAnsi="Arial" w:cs="Arial"/>
          <w:i/>
          <w:lang w:val="en-US"/>
        </w:rPr>
        <w:t>Tables 5 and 6</w:t>
      </w:r>
      <w:r w:rsidRPr="00A51255">
        <w:rPr>
          <w:rFonts w:ascii="Arial" w:hAnsi="Arial" w:cs="Arial"/>
          <w:i/>
          <w:lang w:val="en-US"/>
        </w:rPr>
        <w:t xml:space="preserve"> around here]</w:t>
      </w:r>
    </w:p>
    <w:p w:rsidR="00D47873" w:rsidRPr="00A51255" w:rsidRDefault="00D47873" w:rsidP="00D47873">
      <w:pPr>
        <w:spacing w:line="480" w:lineRule="auto"/>
        <w:ind w:firstLine="708"/>
        <w:jc w:val="both"/>
        <w:rPr>
          <w:rFonts w:ascii="Arial" w:hAnsi="Arial" w:cs="Arial"/>
          <w:b/>
          <w:bCs/>
          <w:color w:val="000000"/>
          <w:sz w:val="20"/>
          <w:szCs w:val="20"/>
          <w:lang w:val="en-US"/>
        </w:rPr>
      </w:pPr>
      <w:r w:rsidRPr="00A51255">
        <w:rPr>
          <w:rFonts w:ascii="Arial" w:hAnsi="Arial" w:cs="Arial"/>
          <w:b/>
          <w:bCs/>
          <w:vanish/>
          <w:color w:val="000000"/>
          <w:sz w:val="20"/>
          <w:szCs w:val="20"/>
          <w:lang w:val="en-US"/>
        </w:rPr>
        <w:t xml:space="preserve"> ar </w:t>
      </w:r>
    </w:p>
    <w:p w:rsidR="00495707" w:rsidRDefault="00D47873" w:rsidP="008A2D91">
      <w:pPr>
        <w:spacing w:line="480" w:lineRule="auto"/>
        <w:jc w:val="both"/>
        <w:rPr>
          <w:rFonts w:ascii="Arial" w:hAnsi="Arial" w:cs="Arial"/>
          <w:color w:val="000000"/>
          <w:lang w:val="en-US"/>
        </w:rPr>
      </w:pPr>
      <w:r w:rsidRPr="00A51255">
        <w:rPr>
          <w:rFonts w:ascii="Arial" w:hAnsi="Arial" w:cs="Arial"/>
          <w:i/>
          <w:lang w:val="en-US"/>
        </w:rPr>
        <w:tab/>
      </w:r>
      <w:r w:rsidR="00495707">
        <w:rPr>
          <w:rFonts w:ascii="Arial" w:hAnsi="Arial" w:cs="Arial"/>
          <w:color w:val="000000"/>
          <w:lang w:val="en-US"/>
        </w:rPr>
        <w:t xml:space="preserve">Finally, we report for comparison the estimates for neutral unexpected announcements introduced in all of the above </w:t>
      </w:r>
      <w:r w:rsidR="00DE7B9D">
        <w:rPr>
          <w:rFonts w:ascii="Arial" w:hAnsi="Arial" w:cs="Arial"/>
          <w:color w:val="000000"/>
          <w:lang w:val="en-US"/>
        </w:rPr>
        <w:t>models. The results are presented</w:t>
      </w:r>
      <w:r w:rsidR="00DC5DAA">
        <w:rPr>
          <w:rFonts w:ascii="Arial" w:hAnsi="Arial" w:cs="Arial"/>
          <w:color w:val="000000"/>
          <w:lang w:val="en-US"/>
        </w:rPr>
        <w:t xml:space="preserve"> in</w:t>
      </w:r>
      <w:r w:rsidR="00495707">
        <w:rPr>
          <w:rFonts w:ascii="Arial" w:hAnsi="Arial" w:cs="Arial"/>
          <w:color w:val="000000"/>
          <w:lang w:val="en-US"/>
        </w:rPr>
        <w:t xml:space="preserve"> </w:t>
      </w:r>
      <w:r w:rsidR="00DC5DAA">
        <w:rPr>
          <w:rFonts w:ascii="Arial" w:hAnsi="Arial" w:cs="Arial"/>
          <w:color w:val="000000"/>
          <w:lang w:val="en-US"/>
        </w:rPr>
        <w:t>Tables 5 and 6</w:t>
      </w:r>
      <w:r w:rsidR="00495707">
        <w:rPr>
          <w:rFonts w:ascii="Arial" w:hAnsi="Arial" w:cs="Arial"/>
          <w:color w:val="000000"/>
          <w:lang w:val="en-US"/>
        </w:rPr>
        <w:t xml:space="preserve">. </w:t>
      </w:r>
      <w:r w:rsidR="00495707" w:rsidRPr="004020A7">
        <w:rPr>
          <w:rFonts w:ascii="Arial" w:hAnsi="Arial" w:cs="Arial"/>
          <w:color w:val="000000"/>
          <w:lang w:val="en-US"/>
        </w:rPr>
        <w:t xml:space="preserve">They show that all estimates of all </w:t>
      </w:r>
      <w:r w:rsidR="004C5722" w:rsidRPr="004020A7">
        <w:rPr>
          <w:rFonts w:ascii="Arial" w:hAnsi="Arial" w:cs="Arial"/>
          <w:color w:val="000000"/>
          <w:lang w:val="en-US"/>
        </w:rPr>
        <w:t xml:space="preserve">neutral </w:t>
      </w:r>
      <w:r w:rsidR="00495707" w:rsidRPr="004020A7">
        <w:rPr>
          <w:rFonts w:ascii="Arial" w:hAnsi="Arial" w:cs="Arial"/>
          <w:color w:val="000000"/>
          <w:lang w:val="en-US"/>
        </w:rPr>
        <w:t xml:space="preserve">dummies </w:t>
      </w:r>
      <w:r w:rsidR="00794682">
        <w:rPr>
          <w:rFonts w:ascii="Arial" w:hAnsi="Arial" w:cs="Arial"/>
          <w:color w:val="000000"/>
          <w:lang w:val="en-US"/>
        </w:rPr>
        <w:t>we</w:t>
      </w:r>
      <w:r w:rsidR="00495707" w:rsidRPr="004020A7">
        <w:rPr>
          <w:rFonts w:ascii="Arial" w:hAnsi="Arial" w:cs="Arial"/>
          <w:color w:val="000000"/>
          <w:lang w:val="en-US"/>
        </w:rPr>
        <w:t>re never statistically s</w:t>
      </w:r>
      <w:r w:rsidR="00DE7B9D" w:rsidRPr="004020A7">
        <w:rPr>
          <w:rFonts w:ascii="Arial" w:hAnsi="Arial" w:cs="Arial"/>
          <w:color w:val="000000"/>
          <w:lang w:val="en-US"/>
        </w:rPr>
        <w:t>ignificant in any of the models</w:t>
      </w:r>
      <w:r w:rsidR="00BD2FEE" w:rsidRPr="004020A7">
        <w:rPr>
          <w:rFonts w:ascii="Arial" w:hAnsi="Arial" w:cs="Arial"/>
          <w:color w:val="000000"/>
          <w:lang w:val="en-US"/>
        </w:rPr>
        <w:t xml:space="preserve">. </w:t>
      </w:r>
      <w:r w:rsidR="008A2D91" w:rsidRPr="004020A7">
        <w:rPr>
          <w:rFonts w:ascii="Arial" w:hAnsi="Arial" w:cs="Arial"/>
          <w:color w:val="000000"/>
          <w:lang w:val="en-US"/>
        </w:rPr>
        <w:t xml:space="preserve">This </w:t>
      </w:r>
      <w:r w:rsidR="00BD2FEE" w:rsidRPr="004020A7">
        <w:rPr>
          <w:rFonts w:ascii="Arial" w:hAnsi="Arial" w:cs="Arial"/>
          <w:color w:val="000000"/>
          <w:lang w:val="en-US"/>
        </w:rPr>
        <w:t xml:space="preserve">finding </w:t>
      </w:r>
      <w:r w:rsidR="008A2D91" w:rsidRPr="004020A7">
        <w:rPr>
          <w:rFonts w:ascii="Arial" w:hAnsi="Arial" w:cs="Arial"/>
          <w:color w:val="000000"/>
          <w:lang w:val="en-US"/>
        </w:rPr>
        <w:t xml:space="preserve">means that the negative signs of the dummies from Tables 3a-3b and 4a-4b capture not only the effects relative to the excluded group (i.e. </w:t>
      </w:r>
      <w:r w:rsidR="00145149" w:rsidRPr="004020A7">
        <w:rPr>
          <w:rFonts w:ascii="Arial" w:hAnsi="Arial" w:cs="Arial"/>
          <w:color w:val="000000"/>
          <w:lang w:val="en-US"/>
        </w:rPr>
        <w:t xml:space="preserve">relative to </w:t>
      </w:r>
      <w:r w:rsidR="008A2D91" w:rsidRPr="004020A7">
        <w:rPr>
          <w:rFonts w:ascii="Arial" w:hAnsi="Arial" w:cs="Arial"/>
          <w:color w:val="000000"/>
          <w:lang w:val="en-US"/>
        </w:rPr>
        <w:t>the announcements</w:t>
      </w:r>
      <w:r w:rsidR="00145149" w:rsidRPr="004020A7">
        <w:rPr>
          <w:rFonts w:ascii="Arial" w:hAnsi="Arial" w:cs="Arial"/>
          <w:color w:val="000000"/>
          <w:lang w:val="en-US"/>
        </w:rPr>
        <w:t xml:space="preserve"> from</w:t>
      </w:r>
      <w:r w:rsidR="008A2D91" w:rsidRPr="004020A7">
        <w:rPr>
          <w:rFonts w:ascii="Arial" w:hAnsi="Arial" w:cs="Arial"/>
          <w:color w:val="000000"/>
          <w:lang w:val="en-US"/>
        </w:rPr>
        <w:t xml:space="preserve"> the middle </w:t>
      </w:r>
      <w:r w:rsidR="00ED48F3">
        <w:rPr>
          <w:rFonts w:ascii="Arial" w:hAnsi="Arial" w:cs="Arial"/>
          <w:color w:val="000000"/>
          <w:lang w:val="en-US"/>
        </w:rPr>
        <w:t>basket</w:t>
      </w:r>
      <w:r w:rsidR="008A2D91" w:rsidRPr="004020A7">
        <w:rPr>
          <w:rFonts w:ascii="Arial" w:hAnsi="Arial" w:cs="Arial"/>
          <w:color w:val="000000"/>
          <w:lang w:val="en-US"/>
        </w:rPr>
        <w:t xml:space="preserve"> </w:t>
      </w:r>
      <w:r w:rsidR="00145149" w:rsidRPr="004020A7">
        <w:rPr>
          <w:rFonts w:ascii="Arial" w:hAnsi="Arial" w:cs="Arial"/>
          <w:color w:val="000000"/>
          <w:lang w:val="en-US"/>
        </w:rPr>
        <w:t xml:space="preserve">which </w:t>
      </w:r>
      <w:r w:rsidR="008A2D91" w:rsidRPr="004020A7">
        <w:rPr>
          <w:rFonts w:ascii="Arial" w:hAnsi="Arial" w:cs="Arial"/>
          <w:color w:val="000000"/>
          <w:lang w:val="en-US"/>
        </w:rPr>
        <w:t xml:space="preserve">are described as </w:t>
      </w:r>
      <w:r w:rsidR="006E1299" w:rsidRPr="004020A7">
        <w:rPr>
          <w:rFonts w:ascii="Arial" w:hAnsi="Arial" w:cs="Arial"/>
          <w:color w:val="000000"/>
          <w:lang w:val="en-US"/>
        </w:rPr>
        <w:t xml:space="preserve">having neutral </w:t>
      </w:r>
      <w:r w:rsidR="008A2D91" w:rsidRPr="004020A7">
        <w:rPr>
          <w:rFonts w:ascii="Arial" w:hAnsi="Arial" w:cs="Arial"/>
          <w:color w:val="000000"/>
          <w:lang w:val="en-US"/>
        </w:rPr>
        <w:t>effects)</w:t>
      </w:r>
      <w:r w:rsidR="004C5722" w:rsidRPr="004020A7">
        <w:rPr>
          <w:rFonts w:ascii="Arial" w:hAnsi="Arial" w:cs="Arial"/>
          <w:color w:val="000000"/>
          <w:lang w:val="en-US"/>
        </w:rPr>
        <w:t>.</w:t>
      </w:r>
      <w:r w:rsidR="009707B6">
        <w:rPr>
          <w:rStyle w:val="FootnoteReference"/>
          <w:rFonts w:ascii="Arial" w:hAnsi="Arial" w:cs="Arial"/>
          <w:color w:val="000000"/>
          <w:lang w:val="en-US"/>
        </w:rPr>
        <w:footnoteReference w:id="21"/>
      </w:r>
      <w:r w:rsidR="004C5722" w:rsidRPr="004020A7">
        <w:rPr>
          <w:rFonts w:ascii="Arial" w:hAnsi="Arial" w:cs="Arial"/>
          <w:color w:val="000000"/>
          <w:lang w:val="en-US"/>
        </w:rPr>
        <w:t xml:space="preserve"> For example, the negative estimates of dummies in the variance equations can be interpreted as evidence that they reduce volatility not only with respect to the excluded neutral announcements </w:t>
      </w:r>
      <w:r w:rsidR="008A2D91" w:rsidRPr="004020A7">
        <w:rPr>
          <w:rFonts w:ascii="Arial" w:hAnsi="Arial" w:cs="Arial"/>
          <w:color w:val="000000"/>
          <w:lang w:val="en-US"/>
        </w:rPr>
        <w:t xml:space="preserve">but </w:t>
      </w:r>
      <w:r w:rsidR="007A0747" w:rsidRPr="004020A7">
        <w:rPr>
          <w:rFonts w:ascii="Arial" w:hAnsi="Arial" w:cs="Arial"/>
          <w:color w:val="000000"/>
          <w:lang w:val="en-US"/>
        </w:rPr>
        <w:t xml:space="preserve">that </w:t>
      </w:r>
      <w:r w:rsidR="00BD2FEE" w:rsidRPr="004020A7">
        <w:rPr>
          <w:rFonts w:ascii="Arial" w:hAnsi="Arial" w:cs="Arial"/>
          <w:color w:val="000000"/>
          <w:lang w:val="en-US"/>
        </w:rPr>
        <w:t>they also reduc</w:t>
      </w:r>
      <w:r w:rsidR="00145149" w:rsidRPr="004020A7">
        <w:rPr>
          <w:rFonts w:ascii="Arial" w:hAnsi="Arial" w:cs="Arial"/>
          <w:color w:val="000000"/>
          <w:lang w:val="en-US"/>
        </w:rPr>
        <w:t>e</w:t>
      </w:r>
      <w:r w:rsidR="00BD2FEE" w:rsidRPr="004020A7">
        <w:rPr>
          <w:rFonts w:ascii="Arial" w:hAnsi="Arial" w:cs="Arial"/>
          <w:color w:val="000000"/>
          <w:lang w:val="en-US"/>
        </w:rPr>
        <w:t xml:space="preserve"> volatility in absolute terms</w:t>
      </w:r>
      <w:r w:rsidR="008A2D91" w:rsidRPr="004020A7">
        <w:rPr>
          <w:rFonts w:ascii="Arial" w:hAnsi="Arial" w:cs="Arial"/>
          <w:color w:val="000000"/>
          <w:lang w:val="en-US"/>
        </w:rPr>
        <w:t>.</w:t>
      </w:r>
    </w:p>
    <w:p w:rsidR="00850117" w:rsidRDefault="00850117" w:rsidP="00A84C1F">
      <w:pPr>
        <w:spacing w:line="480" w:lineRule="auto"/>
        <w:ind w:firstLine="708"/>
        <w:jc w:val="both"/>
        <w:rPr>
          <w:rFonts w:ascii="Arial" w:hAnsi="Arial" w:cs="Arial"/>
          <w:b/>
          <w:lang w:val="en-US"/>
        </w:rPr>
      </w:pPr>
    </w:p>
    <w:p w:rsidR="0087591A" w:rsidRPr="00A51255" w:rsidRDefault="00D21E62" w:rsidP="00A84C1F">
      <w:pPr>
        <w:spacing w:line="480" w:lineRule="auto"/>
        <w:ind w:firstLine="708"/>
        <w:jc w:val="both"/>
        <w:rPr>
          <w:rFonts w:ascii="Arial" w:hAnsi="Arial" w:cs="Arial"/>
          <w:b/>
          <w:lang w:val="en-US"/>
        </w:rPr>
      </w:pPr>
      <w:r>
        <w:rPr>
          <w:rFonts w:ascii="Arial" w:hAnsi="Arial" w:cs="Arial"/>
          <w:b/>
          <w:lang w:val="en-US"/>
        </w:rPr>
        <w:t>4</w:t>
      </w:r>
      <w:r w:rsidR="00FB4B64" w:rsidRPr="00A51255">
        <w:rPr>
          <w:rFonts w:ascii="Arial" w:hAnsi="Arial" w:cs="Arial"/>
          <w:b/>
          <w:lang w:val="en-US"/>
        </w:rPr>
        <w:t>.3</w:t>
      </w:r>
      <w:r w:rsidR="0087591A" w:rsidRPr="00A51255">
        <w:rPr>
          <w:rFonts w:ascii="Arial" w:hAnsi="Arial" w:cs="Arial"/>
          <w:b/>
          <w:lang w:val="en-US"/>
        </w:rPr>
        <w:t>. Results for</w:t>
      </w:r>
      <w:r w:rsidR="00194619" w:rsidRPr="00A51255">
        <w:rPr>
          <w:rFonts w:ascii="Arial" w:hAnsi="Arial" w:cs="Arial"/>
          <w:b/>
          <w:lang w:val="en-US"/>
        </w:rPr>
        <w:t xml:space="preserve"> Other Announcements</w:t>
      </w:r>
      <w:r w:rsidR="00316BB3" w:rsidRPr="00A51255">
        <w:rPr>
          <w:rFonts w:ascii="Arial" w:hAnsi="Arial" w:cs="Arial"/>
          <w:b/>
          <w:lang w:val="en-US"/>
        </w:rPr>
        <w:t xml:space="preserve"> (</w:t>
      </w:r>
      <w:r w:rsidR="00316BB3" w:rsidRPr="00A51255">
        <w:rPr>
          <w:b/>
          <w:i/>
          <w:lang w:val="en-US"/>
        </w:rPr>
        <w:t>RM</w:t>
      </w:r>
      <w:r w:rsidR="00316BB3" w:rsidRPr="00A51255">
        <w:rPr>
          <w:rFonts w:ascii="Arial" w:hAnsi="Arial" w:cs="Arial"/>
          <w:b/>
          <w:lang w:val="en-US"/>
        </w:rPr>
        <w:t xml:space="preserve">, </w:t>
      </w:r>
      <w:r w:rsidR="00316BB3" w:rsidRPr="00A51255">
        <w:rPr>
          <w:b/>
          <w:i/>
          <w:lang w:val="en-US"/>
        </w:rPr>
        <w:t>BOP</w:t>
      </w:r>
      <w:r w:rsidR="00316BB3" w:rsidRPr="00A51255">
        <w:rPr>
          <w:rFonts w:ascii="Arial" w:hAnsi="Arial" w:cs="Arial"/>
          <w:b/>
          <w:lang w:val="en-US"/>
        </w:rPr>
        <w:t xml:space="preserve"> and </w:t>
      </w:r>
      <w:r w:rsidR="00316BB3" w:rsidRPr="00A51255">
        <w:rPr>
          <w:b/>
          <w:i/>
          <w:lang w:val="en-US"/>
        </w:rPr>
        <w:t>AL</w:t>
      </w:r>
      <w:r w:rsidR="00316BB3" w:rsidRPr="00A51255">
        <w:rPr>
          <w:rFonts w:ascii="Arial" w:hAnsi="Arial" w:cs="Arial"/>
          <w:b/>
          <w:lang w:val="en-US"/>
        </w:rPr>
        <w:t>)</w:t>
      </w:r>
    </w:p>
    <w:p w:rsidR="00CB5C68" w:rsidRDefault="00207352" w:rsidP="00CB5C68">
      <w:pPr>
        <w:spacing w:line="480" w:lineRule="auto"/>
        <w:ind w:firstLine="708"/>
        <w:jc w:val="both"/>
        <w:rPr>
          <w:rFonts w:ascii="Arial" w:hAnsi="Arial" w:cs="Arial"/>
          <w:lang w:val="en-US"/>
        </w:rPr>
      </w:pPr>
      <w:r w:rsidRPr="00A51255">
        <w:rPr>
          <w:rFonts w:ascii="Arial" w:hAnsi="Arial" w:cs="Arial"/>
          <w:lang w:val="en-US"/>
        </w:rPr>
        <w:t>In this section, we discuss the estimation results for the remaining three announcement dummies: reserve money (</w:t>
      </w:r>
      <w:r w:rsidRPr="00A51255">
        <w:rPr>
          <w:i/>
          <w:lang w:val="en-US"/>
        </w:rPr>
        <w:t>RM</w:t>
      </w:r>
      <w:r w:rsidRPr="00A51255">
        <w:rPr>
          <w:rFonts w:ascii="Arial" w:hAnsi="Arial" w:cs="Arial"/>
          <w:lang w:val="en-US"/>
        </w:rPr>
        <w:t xml:space="preserve">), </w:t>
      </w:r>
      <w:r w:rsidR="00FE5FD5" w:rsidRPr="00A51255">
        <w:rPr>
          <w:rFonts w:ascii="Arial" w:hAnsi="Arial" w:cs="Arial"/>
          <w:lang w:val="en-US"/>
        </w:rPr>
        <w:t xml:space="preserve">balance of payments </w:t>
      </w:r>
      <w:r w:rsidRPr="00A51255">
        <w:rPr>
          <w:rFonts w:ascii="Arial" w:hAnsi="Arial" w:cs="Arial"/>
          <w:lang w:val="en-US"/>
        </w:rPr>
        <w:t>(</w:t>
      </w:r>
      <w:r w:rsidRPr="00A51255">
        <w:rPr>
          <w:i/>
          <w:lang w:val="en-US"/>
        </w:rPr>
        <w:t>BOP</w:t>
      </w:r>
      <w:r w:rsidRPr="00A51255">
        <w:rPr>
          <w:rFonts w:ascii="Arial" w:hAnsi="Arial" w:cs="Arial"/>
          <w:lang w:val="en-US"/>
        </w:rPr>
        <w:t>) and</w:t>
      </w:r>
      <w:r w:rsidR="00FE5FD5" w:rsidRPr="00A51255">
        <w:rPr>
          <w:rFonts w:ascii="Arial" w:hAnsi="Arial" w:cs="Arial"/>
          <w:lang w:val="en-US"/>
        </w:rPr>
        <w:t xml:space="preserve"> liquid assets and liabilities in foreign currencies</w:t>
      </w:r>
      <w:r w:rsidRPr="00A51255">
        <w:rPr>
          <w:rFonts w:ascii="Arial" w:hAnsi="Arial" w:cs="Arial"/>
          <w:lang w:val="en-US"/>
        </w:rPr>
        <w:t xml:space="preserve"> (</w:t>
      </w:r>
      <w:r w:rsidRPr="00A51255">
        <w:rPr>
          <w:i/>
          <w:lang w:val="en-US"/>
        </w:rPr>
        <w:t>AL</w:t>
      </w:r>
      <w:r w:rsidRPr="00A51255">
        <w:rPr>
          <w:rFonts w:ascii="Arial" w:hAnsi="Arial" w:cs="Arial"/>
          <w:lang w:val="en-US"/>
        </w:rPr>
        <w:t>)</w:t>
      </w:r>
      <w:r w:rsidR="00FE5FD5" w:rsidRPr="00A51255">
        <w:rPr>
          <w:rFonts w:ascii="Arial" w:hAnsi="Arial" w:cs="Arial"/>
          <w:lang w:val="en-US"/>
        </w:rPr>
        <w:t>.</w:t>
      </w:r>
    </w:p>
    <w:p w:rsidR="006F01E5" w:rsidRPr="00CB5C68" w:rsidRDefault="00794682" w:rsidP="00CB5C68">
      <w:pPr>
        <w:spacing w:line="480" w:lineRule="auto"/>
        <w:ind w:firstLine="708"/>
        <w:jc w:val="both"/>
        <w:rPr>
          <w:rFonts w:ascii="Arial" w:hAnsi="Arial" w:cs="Arial"/>
          <w:lang w:val="en-US"/>
        </w:rPr>
      </w:pPr>
      <w:r>
        <w:rPr>
          <w:rFonts w:ascii="Arial" w:hAnsi="Arial" w:cs="Arial"/>
          <w:lang w:val="en-US"/>
        </w:rPr>
        <w:t>The f</w:t>
      </w:r>
      <w:r w:rsidR="006F01E5">
        <w:rPr>
          <w:rFonts w:ascii="Arial" w:hAnsi="Arial" w:cs="Arial"/>
          <w:lang w:val="en-US"/>
        </w:rPr>
        <w:t>irst panels in Tables 3a</w:t>
      </w:r>
      <w:r w:rsidR="006F01E5" w:rsidRPr="00A51255">
        <w:rPr>
          <w:rFonts w:ascii="Arial" w:hAnsi="Arial" w:cs="Arial"/>
          <w:lang w:val="en-US"/>
        </w:rPr>
        <w:t xml:space="preserve"> </w:t>
      </w:r>
      <w:r w:rsidR="006F01E5">
        <w:rPr>
          <w:rFonts w:ascii="Arial" w:hAnsi="Arial" w:cs="Arial"/>
          <w:lang w:val="en-US"/>
        </w:rPr>
        <w:t xml:space="preserve">and 3b </w:t>
      </w:r>
      <w:r w:rsidR="006F01E5" w:rsidRPr="00A51255">
        <w:rPr>
          <w:rFonts w:ascii="Arial" w:hAnsi="Arial" w:cs="Arial"/>
          <w:lang w:val="en-US"/>
        </w:rPr>
        <w:t>present</w:t>
      </w:r>
      <w:r w:rsidR="006F01E5" w:rsidRPr="00A51255">
        <w:rPr>
          <w:rFonts w:ascii="Arial" w:hAnsi="Arial" w:cs="Arial"/>
          <w:b/>
          <w:lang w:val="en-US"/>
        </w:rPr>
        <w:t xml:space="preserve"> </w:t>
      </w:r>
      <w:r w:rsidR="006F01E5" w:rsidRPr="00A51255">
        <w:rPr>
          <w:rFonts w:ascii="Arial" w:hAnsi="Arial" w:cs="Arial"/>
          <w:lang w:val="en-US"/>
        </w:rPr>
        <w:t xml:space="preserve">the estimates of the surprise announcement dummy variables </w:t>
      </w:r>
      <w:r w:rsidR="008C3064">
        <w:rPr>
          <w:rFonts w:ascii="Arial" w:hAnsi="Arial" w:cs="Arial"/>
          <w:lang w:val="en-US"/>
        </w:rPr>
        <w:t>in the mean equations from</w:t>
      </w:r>
      <w:r w:rsidR="006F01E5">
        <w:rPr>
          <w:rFonts w:ascii="Arial" w:hAnsi="Arial" w:cs="Arial"/>
          <w:lang w:val="en-US"/>
        </w:rPr>
        <w:t xml:space="preserve"> </w:t>
      </w:r>
      <w:r w:rsidR="006F01E5" w:rsidRPr="00A51255">
        <w:rPr>
          <w:rFonts w:ascii="Arial" w:hAnsi="Arial" w:cs="Arial"/>
          <w:lang w:val="en-US"/>
        </w:rPr>
        <w:t>the model of th</w:t>
      </w:r>
      <w:r w:rsidR="008C3064">
        <w:rPr>
          <w:rFonts w:ascii="Arial" w:hAnsi="Arial" w:cs="Arial"/>
          <w:lang w:val="en-US"/>
        </w:rPr>
        <w:t xml:space="preserve">e PLN/USD </w:t>
      </w:r>
      <w:r w:rsidR="008C3064">
        <w:rPr>
          <w:rFonts w:ascii="Arial" w:hAnsi="Arial" w:cs="Arial"/>
          <w:lang w:val="en-US"/>
        </w:rPr>
        <w:lastRenderedPageBreak/>
        <w:t xml:space="preserve">exchange rate returns, </w:t>
      </w:r>
      <w:r w:rsidR="008C3064" w:rsidRPr="00A51255">
        <w:rPr>
          <w:rFonts w:ascii="Arial" w:hAnsi="Arial" w:cs="Arial"/>
          <w:lang w:val="en-US"/>
        </w:rPr>
        <w:t xml:space="preserve">i.e. the estimates from equation </w:t>
      </w:r>
      <w:r w:rsidR="008C3064">
        <w:rPr>
          <w:rFonts w:ascii="Arial" w:hAnsi="Arial" w:cs="Arial"/>
          <w:lang w:val="en-US"/>
        </w:rPr>
        <w:t>(1)</w:t>
      </w:r>
      <w:r w:rsidR="008C3064" w:rsidRPr="00A51255">
        <w:rPr>
          <w:lang w:val="en-US"/>
        </w:rPr>
        <w:t xml:space="preserve">. </w:t>
      </w:r>
      <w:r w:rsidR="006F01E5" w:rsidRPr="00A51255">
        <w:rPr>
          <w:rFonts w:ascii="Arial" w:hAnsi="Arial" w:cs="Arial"/>
          <w:lang w:val="en-US"/>
        </w:rPr>
        <w:t xml:space="preserve"> As previously, all variants of the model were estimated with all the NBP dummies for </w:t>
      </w:r>
      <w:r w:rsidR="006F01E5" w:rsidRPr="00A51255">
        <w:rPr>
          <w:rFonts w:ascii="Arial" w:hAnsi="Arial" w:cs="Arial"/>
          <w:position w:val="-6"/>
          <w:lang w:val="en-US"/>
        </w:rPr>
        <w:object w:dxaOrig="139" w:dyaOrig="240">
          <v:shape id="_x0000_i1067" type="#_x0000_t75" style="width:7.7pt;height:12.85pt" o:ole="">
            <v:imagedata r:id="rId75" o:title=""/>
          </v:shape>
          <o:OLEObject Type="Embed" ProgID="Equation.3" ShapeID="_x0000_i1067" DrawAspect="Content" ObjectID="_1507543414" r:id="rId83"/>
        </w:object>
      </w:r>
      <w:r w:rsidR="006F01E5" w:rsidRPr="00A51255">
        <w:rPr>
          <w:rFonts w:ascii="Arial" w:hAnsi="Arial" w:cs="Arial"/>
          <w:lang w:val="en-US"/>
        </w:rPr>
        <w:t xml:space="preserve"> and for </w:t>
      </w:r>
      <w:r w:rsidR="006F01E5" w:rsidRPr="00A51255">
        <w:rPr>
          <w:rFonts w:ascii="Arial" w:hAnsi="Arial" w:cs="Arial"/>
          <w:position w:val="-6"/>
          <w:lang w:val="en-US"/>
        </w:rPr>
        <w:object w:dxaOrig="139" w:dyaOrig="240">
          <v:shape id="_x0000_i1068" type="#_x0000_t75" style="width:7.7pt;height:12.85pt" o:ole="">
            <v:imagedata r:id="rId75" o:title=""/>
          </v:shape>
          <o:OLEObject Type="Embed" ProgID="Equation.3" ShapeID="_x0000_i1068" DrawAspect="Content" ObjectID="_1507543415" r:id="rId84"/>
        </w:object>
      </w:r>
      <w:r w:rsidR="006F01E5" w:rsidRPr="00A51255">
        <w:rPr>
          <w:rFonts w:ascii="Arial" w:hAnsi="Arial" w:cs="Arial"/>
          <w:position w:val="-4"/>
          <w:lang w:val="en-US"/>
        </w:rPr>
        <w:object w:dxaOrig="360" w:dyaOrig="260">
          <v:shape id="_x0000_i1069" type="#_x0000_t75" style="width:19.3pt;height:14.15pt" o:ole="">
            <v:imagedata r:id="rId80" o:title=""/>
          </v:shape>
          <o:OLEObject Type="Embed" ProgID="Equation.3" ShapeID="_x0000_i1069" DrawAspect="Content" ObjectID="_1507543416" r:id="rId85"/>
        </w:object>
      </w:r>
      <w:r w:rsidR="006F01E5" w:rsidRPr="00A51255">
        <w:rPr>
          <w:rFonts w:ascii="Arial" w:hAnsi="Arial" w:cs="Arial"/>
          <w:lang w:val="en-US"/>
        </w:rPr>
        <w:t xml:space="preserve">. </w:t>
      </w:r>
    </w:p>
    <w:p w:rsidR="006F01E5" w:rsidRDefault="006F01E5" w:rsidP="006F01E5">
      <w:pPr>
        <w:spacing w:line="480" w:lineRule="auto"/>
        <w:ind w:firstLine="708"/>
        <w:jc w:val="both"/>
        <w:rPr>
          <w:rFonts w:ascii="Arial" w:hAnsi="Arial" w:cs="Arial"/>
          <w:lang w:val="en-US"/>
        </w:rPr>
      </w:pPr>
      <w:r w:rsidRPr="00A51255">
        <w:rPr>
          <w:rFonts w:ascii="Arial" w:hAnsi="Arial" w:cs="Arial"/>
          <w:lang w:val="en-US"/>
        </w:rPr>
        <w:t xml:space="preserve">The results on </w:t>
      </w:r>
      <w:r w:rsidR="00794682">
        <w:rPr>
          <w:rFonts w:ascii="Arial" w:hAnsi="Arial" w:cs="Arial"/>
          <w:lang w:val="en-US"/>
        </w:rPr>
        <w:t xml:space="preserve">the </w:t>
      </w:r>
      <w:r w:rsidRPr="00A51255">
        <w:rPr>
          <w:rFonts w:ascii="Arial" w:hAnsi="Arial" w:cs="Arial"/>
          <w:lang w:val="en-US"/>
        </w:rPr>
        <w:t xml:space="preserve">announcement date for the remaining three dummies show that strongly positive </w:t>
      </w:r>
      <w:r w:rsidRPr="00A51255">
        <w:rPr>
          <w:i/>
          <w:lang w:val="en-US"/>
        </w:rPr>
        <w:t>RM</w:t>
      </w:r>
      <w:r w:rsidRPr="00A51255">
        <w:rPr>
          <w:rFonts w:ascii="Arial" w:hAnsi="Arial" w:cs="Arial"/>
          <w:lang w:val="en-US"/>
        </w:rPr>
        <w:t xml:space="preserve"> and</w:t>
      </w:r>
      <w:r>
        <w:rPr>
          <w:rFonts w:ascii="Arial" w:hAnsi="Arial" w:cs="Arial"/>
          <w:lang w:val="en-US"/>
        </w:rPr>
        <w:t xml:space="preserve"> negative</w:t>
      </w:r>
      <w:r w:rsidRPr="00A51255">
        <w:rPr>
          <w:rFonts w:ascii="Arial" w:hAnsi="Arial" w:cs="Arial"/>
          <w:lang w:val="en-US"/>
        </w:rPr>
        <w:t xml:space="preserve"> </w:t>
      </w:r>
      <w:r w:rsidRPr="00A51255">
        <w:rPr>
          <w:i/>
          <w:lang w:val="en-US"/>
        </w:rPr>
        <w:t>AL</w:t>
      </w:r>
      <w:r w:rsidRPr="00A51255">
        <w:rPr>
          <w:rFonts w:ascii="Arial" w:hAnsi="Arial" w:cs="Arial"/>
          <w:lang w:val="en-US"/>
        </w:rPr>
        <w:t xml:space="preserve"> announcements </w:t>
      </w:r>
      <w:r>
        <w:rPr>
          <w:rFonts w:ascii="Arial" w:hAnsi="Arial" w:cs="Arial"/>
          <w:lang w:val="en-US"/>
        </w:rPr>
        <w:t xml:space="preserve">both </w:t>
      </w:r>
      <w:r w:rsidRPr="00A51255">
        <w:rPr>
          <w:rFonts w:ascii="Arial" w:hAnsi="Arial" w:cs="Arial"/>
          <w:lang w:val="en-US"/>
        </w:rPr>
        <w:t>depreciated the</w:t>
      </w:r>
      <w:r>
        <w:rPr>
          <w:rFonts w:ascii="Arial" w:hAnsi="Arial" w:cs="Arial"/>
          <w:lang w:val="en-US"/>
        </w:rPr>
        <w:t xml:space="preserve"> domestic currency by about 0.60</w:t>
      </w:r>
      <w:r w:rsidRPr="00A51255">
        <w:rPr>
          <w:rFonts w:ascii="Arial" w:hAnsi="Arial" w:cs="Arial"/>
          <w:lang w:val="en-US"/>
        </w:rPr>
        <w:t>%</w:t>
      </w:r>
      <w:r>
        <w:rPr>
          <w:rFonts w:ascii="Arial" w:hAnsi="Arial" w:cs="Arial"/>
          <w:lang w:val="en-US"/>
        </w:rPr>
        <w:t xml:space="preserve"> </w:t>
      </w:r>
      <w:r w:rsidRPr="00A51255">
        <w:rPr>
          <w:rFonts w:ascii="Arial" w:hAnsi="Arial" w:cs="Arial"/>
          <w:lang w:val="en-US"/>
        </w:rPr>
        <w:t>aga</w:t>
      </w:r>
      <w:r>
        <w:rPr>
          <w:rFonts w:ascii="Arial" w:hAnsi="Arial" w:cs="Arial"/>
          <w:lang w:val="en-US"/>
        </w:rPr>
        <w:t>inst the US dollar</w:t>
      </w:r>
      <w:r w:rsidR="00794682">
        <w:rPr>
          <w:rFonts w:ascii="Arial" w:hAnsi="Arial" w:cs="Arial"/>
          <w:lang w:val="en-US"/>
        </w:rPr>
        <w:t>,</w:t>
      </w:r>
      <w:r w:rsidRPr="00A51255">
        <w:rPr>
          <w:rFonts w:ascii="Arial" w:hAnsi="Arial" w:cs="Arial"/>
          <w:lang w:val="en-US"/>
        </w:rPr>
        <w:t xml:space="preserve"> while the strongly negative </w:t>
      </w:r>
      <w:r w:rsidRPr="00A51255">
        <w:rPr>
          <w:i/>
          <w:lang w:val="en-US"/>
        </w:rPr>
        <w:t>RM</w:t>
      </w:r>
      <w:r w:rsidR="008C3064">
        <w:rPr>
          <w:rFonts w:ascii="Arial" w:hAnsi="Arial" w:cs="Arial"/>
          <w:lang w:val="en-US"/>
        </w:rPr>
        <w:t xml:space="preserve"> </w:t>
      </w:r>
      <w:r>
        <w:rPr>
          <w:rFonts w:ascii="Arial" w:hAnsi="Arial" w:cs="Arial"/>
          <w:lang w:val="en-US"/>
        </w:rPr>
        <w:t>and positive</w:t>
      </w:r>
      <w:r w:rsidR="00945C4C">
        <w:rPr>
          <w:rFonts w:ascii="Arial" w:hAnsi="Arial" w:cs="Arial"/>
          <w:lang w:val="en-US"/>
        </w:rPr>
        <w:t xml:space="preserve"> </w:t>
      </w:r>
      <w:r w:rsidR="008C3064" w:rsidRPr="008C3064">
        <w:rPr>
          <w:i/>
          <w:lang w:val="en-US"/>
        </w:rPr>
        <w:t>BOP</w:t>
      </w:r>
      <w:r w:rsidR="008C3064">
        <w:rPr>
          <w:rFonts w:ascii="Arial" w:hAnsi="Arial" w:cs="Arial"/>
          <w:lang w:val="en-US"/>
        </w:rPr>
        <w:t xml:space="preserve"> and </w:t>
      </w:r>
      <w:r w:rsidRPr="007A507B">
        <w:rPr>
          <w:i/>
          <w:lang w:val="en-US"/>
        </w:rPr>
        <w:t>AL</w:t>
      </w:r>
      <w:r>
        <w:rPr>
          <w:rFonts w:ascii="Arial" w:hAnsi="Arial" w:cs="Arial"/>
          <w:lang w:val="en-US"/>
        </w:rPr>
        <w:t xml:space="preserve"> </w:t>
      </w:r>
      <w:r w:rsidRPr="00A51255">
        <w:rPr>
          <w:rFonts w:ascii="Arial" w:hAnsi="Arial" w:cs="Arial"/>
          <w:lang w:val="en-US"/>
        </w:rPr>
        <w:t>announcement</w:t>
      </w:r>
      <w:r>
        <w:rPr>
          <w:rFonts w:ascii="Arial" w:hAnsi="Arial" w:cs="Arial"/>
          <w:lang w:val="en-US"/>
        </w:rPr>
        <w:t>s</w:t>
      </w:r>
      <w:r w:rsidRPr="00A51255">
        <w:rPr>
          <w:rFonts w:ascii="Arial" w:hAnsi="Arial" w:cs="Arial"/>
          <w:lang w:val="en-US"/>
        </w:rPr>
        <w:t xml:space="preserve"> </w:t>
      </w:r>
      <w:r>
        <w:rPr>
          <w:rFonts w:ascii="Arial" w:hAnsi="Arial" w:cs="Arial"/>
          <w:lang w:val="en-US"/>
        </w:rPr>
        <w:t>have</w:t>
      </w:r>
      <w:r w:rsidRPr="00A51255">
        <w:rPr>
          <w:rFonts w:ascii="Arial" w:hAnsi="Arial" w:cs="Arial"/>
          <w:lang w:val="en-US"/>
        </w:rPr>
        <w:t xml:space="preserve"> had the opposite impact on PLN/USD returns and caused appreciation</w:t>
      </w:r>
      <w:r>
        <w:rPr>
          <w:rFonts w:ascii="Arial" w:hAnsi="Arial" w:cs="Arial"/>
          <w:lang w:val="en-US"/>
        </w:rPr>
        <w:t xml:space="preserve"> by -0.45</w:t>
      </w:r>
      <w:r w:rsidRPr="00A51255">
        <w:rPr>
          <w:rFonts w:ascii="Arial" w:hAnsi="Arial" w:cs="Arial"/>
          <w:lang w:val="en-US"/>
        </w:rPr>
        <w:t>%</w:t>
      </w:r>
      <w:r w:rsidR="008C3064">
        <w:rPr>
          <w:rFonts w:ascii="Arial" w:hAnsi="Arial" w:cs="Arial"/>
          <w:lang w:val="en-US"/>
        </w:rPr>
        <w:t>, -0.35%</w:t>
      </w:r>
      <w:r>
        <w:rPr>
          <w:rFonts w:ascii="Arial" w:hAnsi="Arial" w:cs="Arial"/>
          <w:lang w:val="en-US"/>
        </w:rPr>
        <w:t xml:space="preserve"> and -0.43%, respectively</w:t>
      </w:r>
      <w:r w:rsidRPr="00A51255">
        <w:rPr>
          <w:rFonts w:ascii="Arial" w:hAnsi="Arial" w:cs="Arial"/>
          <w:lang w:val="en-US"/>
        </w:rPr>
        <w:t xml:space="preserve">. </w:t>
      </w:r>
    </w:p>
    <w:p w:rsidR="006F01E5" w:rsidRPr="00A51255" w:rsidRDefault="006F01E5" w:rsidP="006F01E5">
      <w:pPr>
        <w:spacing w:line="480" w:lineRule="auto"/>
        <w:ind w:firstLine="708"/>
        <w:jc w:val="both"/>
        <w:rPr>
          <w:rFonts w:ascii="Arial" w:hAnsi="Arial" w:cs="Arial"/>
          <w:lang w:val="en-US"/>
        </w:rPr>
      </w:pPr>
      <w:r w:rsidRPr="00A51255">
        <w:rPr>
          <w:rFonts w:ascii="Arial" w:hAnsi="Arial" w:cs="Arial"/>
          <w:lang w:val="en-US"/>
        </w:rPr>
        <w:t>On the next day</w:t>
      </w:r>
      <w:r w:rsidR="00EF0970">
        <w:rPr>
          <w:rFonts w:ascii="Arial" w:hAnsi="Arial" w:cs="Arial"/>
          <w:lang w:val="en-US"/>
        </w:rPr>
        <w:t xml:space="preserve"> after </w:t>
      </w:r>
      <w:r w:rsidRPr="00A51255">
        <w:rPr>
          <w:rFonts w:ascii="Arial" w:hAnsi="Arial" w:cs="Arial"/>
          <w:lang w:val="en-US"/>
        </w:rPr>
        <w:t xml:space="preserve">the announcement, a strongly positive </w:t>
      </w:r>
      <w:r w:rsidRPr="00A51255">
        <w:rPr>
          <w:i/>
          <w:lang w:val="en-US"/>
        </w:rPr>
        <w:t>AL</w:t>
      </w:r>
      <w:r w:rsidRPr="00A51255">
        <w:rPr>
          <w:rFonts w:ascii="Arial" w:hAnsi="Arial" w:cs="Arial"/>
          <w:lang w:val="en-US"/>
        </w:rPr>
        <w:t xml:space="preserve"> announcement further depreciated</w:t>
      </w:r>
      <w:r>
        <w:rPr>
          <w:rFonts w:ascii="Arial" w:hAnsi="Arial" w:cs="Arial"/>
          <w:lang w:val="en-US"/>
        </w:rPr>
        <w:t xml:space="preserve"> PLN by about 0.87</w:t>
      </w:r>
      <w:r w:rsidRPr="00A51255">
        <w:rPr>
          <w:rFonts w:ascii="Arial" w:hAnsi="Arial" w:cs="Arial"/>
          <w:lang w:val="en-US"/>
        </w:rPr>
        <w:t xml:space="preserve">% against the US dollar and a strongly negative </w:t>
      </w:r>
      <w:r w:rsidRPr="00A51255">
        <w:rPr>
          <w:i/>
          <w:lang w:val="en-US"/>
        </w:rPr>
        <w:t>RM</w:t>
      </w:r>
      <w:r w:rsidRPr="00A51255">
        <w:rPr>
          <w:rFonts w:ascii="Arial" w:hAnsi="Arial" w:cs="Arial"/>
          <w:lang w:val="en-US"/>
        </w:rPr>
        <w:t xml:space="preserve"> announcement appreciated</w:t>
      </w:r>
      <w:r>
        <w:rPr>
          <w:rFonts w:ascii="Arial" w:hAnsi="Arial" w:cs="Arial"/>
          <w:lang w:val="en-US"/>
        </w:rPr>
        <w:t xml:space="preserve"> it by about </w:t>
      </w:r>
      <w:r w:rsidRPr="00A51255">
        <w:rPr>
          <w:rFonts w:ascii="Arial" w:hAnsi="Arial" w:cs="Arial"/>
          <w:lang w:val="en-US"/>
        </w:rPr>
        <w:t>-0.4</w:t>
      </w:r>
      <w:r>
        <w:rPr>
          <w:rFonts w:ascii="Arial" w:hAnsi="Arial" w:cs="Arial"/>
          <w:lang w:val="en-US"/>
        </w:rPr>
        <w:t>6</w:t>
      </w:r>
      <w:r w:rsidRPr="00A51255">
        <w:rPr>
          <w:rFonts w:ascii="Arial" w:hAnsi="Arial" w:cs="Arial"/>
          <w:lang w:val="en-US"/>
        </w:rPr>
        <w:t>%. The results for day</w:t>
      </w:r>
      <w:r>
        <w:rPr>
          <w:rFonts w:ascii="Arial" w:hAnsi="Arial" w:cs="Arial"/>
          <w:lang w:val="en-US"/>
        </w:rPr>
        <w:t xml:space="preserve">s </w:t>
      </w:r>
      <w:r w:rsidRPr="00D17A26">
        <w:rPr>
          <w:i/>
          <w:lang w:val="en-US"/>
        </w:rPr>
        <w:t>t</w:t>
      </w:r>
      <w:r>
        <w:rPr>
          <w:rFonts w:ascii="Arial" w:hAnsi="Arial" w:cs="Arial"/>
          <w:lang w:val="en-US"/>
        </w:rPr>
        <w:t xml:space="preserve"> and</w:t>
      </w:r>
      <w:r w:rsidRPr="00A51255">
        <w:rPr>
          <w:rFonts w:ascii="Arial" w:hAnsi="Arial" w:cs="Arial"/>
          <w:lang w:val="en-US"/>
        </w:rPr>
        <w:t xml:space="preserve"> </w:t>
      </w:r>
      <w:r w:rsidRPr="00A51255">
        <w:rPr>
          <w:i/>
          <w:lang w:val="en-US"/>
        </w:rPr>
        <w:t>t+1</w:t>
      </w:r>
      <w:r w:rsidRPr="00A51255">
        <w:rPr>
          <w:rFonts w:ascii="Arial" w:hAnsi="Arial" w:cs="Arial"/>
          <w:lang w:val="en-US"/>
        </w:rPr>
        <w:t xml:space="preserve"> reveal that all announcements ha</w:t>
      </w:r>
      <w:r w:rsidR="00794682">
        <w:rPr>
          <w:rFonts w:ascii="Arial" w:hAnsi="Arial" w:cs="Arial"/>
          <w:lang w:val="en-US"/>
        </w:rPr>
        <w:t>d</w:t>
      </w:r>
      <w:r w:rsidRPr="00A51255">
        <w:rPr>
          <w:rFonts w:ascii="Arial" w:hAnsi="Arial" w:cs="Arial"/>
          <w:lang w:val="en-US"/>
        </w:rPr>
        <w:t xml:space="preserve"> a significant impact on the mean values of foreign</w:t>
      </w:r>
      <w:r>
        <w:rPr>
          <w:rFonts w:ascii="Arial" w:hAnsi="Arial" w:cs="Arial"/>
          <w:lang w:val="en-US"/>
        </w:rPr>
        <w:t xml:space="preserve"> exchange returns </w:t>
      </w:r>
      <w:r w:rsidRPr="00A51255">
        <w:rPr>
          <w:rFonts w:ascii="Arial" w:hAnsi="Arial" w:cs="Arial"/>
          <w:lang w:val="en-US"/>
        </w:rPr>
        <w:t>with a dominance of stronger surprises.</w:t>
      </w:r>
    </w:p>
    <w:p w:rsidR="006F01E5" w:rsidRPr="00A51255" w:rsidRDefault="006F01E5" w:rsidP="006F01E5">
      <w:pPr>
        <w:spacing w:line="480" w:lineRule="auto"/>
        <w:ind w:firstLine="708"/>
        <w:jc w:val="both"/>
        <w:rPr>
          <w:rFonts w:ascii="Arial" w:hAnsi="Arial" w:cs="Arial"/>
          <w:b/>
          <w:color w:val="000000"/>
          <w:lang w:val="en-US"/>
        </w:rPr>
      </w:pPr>
      <w:r w:rsidRPr="00110DD8">
        <w:rPr>
          <w:rFonts w:ascii="Arial" w:hAnsi="Arial" w:cs="Arial"/>
          <w:lang w:val="en-US"/>
        </w:rPr>
        <w:t xml:space="preserve">The results from equation (1) reported in Tables 3a and 3b </w:t>
      </w:r>
      <w:r w:rsidR="00794682">
        <w:rPr>
          <w:rFonts w:ascii="Arial" w:hAnsi="Arial" w:cs="Arial"/>
          <w:lang w:val="en-US"/>
        </w:rPr>
        <w:t xml:space="preserve">also </w:t>
      </w:r>
      <w:r w:rsidRPr="00110DD8">
        <w:rPr>
          <w:rFonts w:ascii="Arial" w:hAnsi="Arial" w:cs="Arial"/>
          <w:lang w:val="en-US"/>
        </w:rPr>
        <w:t xml:space="preserve">demonstrate the </w:t>
      </w:r>
      <w:r w:rsidRPr="00110DD8">
        <w:rPr>
          <w:rFonts w:ascii="Arial" w:hAnsi="Arial" w:cs="Arial"/>
          <w:color w:val="000000"/>
          <w:lang w:val="en-US"/>
        </w:rPr>
        <w:t xml:space="preserve">importance of the EUR/USD </w:t>
      </w:r>
      <w:r w:rsidR="004020A7" w:rsidRPr="00110DD8">
        <w:rPr>
          <w:rFonts w:ascii="Arial" w:hAnsi="Arial" w:cs="Arial"/>
          <w:color w:val="000000"/>
          <w:lang w:val="en-US"/>
        </w:rPr>
        <w:t xml:space="preserve">exchange rate movements </w:t>
      </w:r>
      <w:r w:rsidRPr="00110DD8">
        <w:rPr>
          <w:rFonts w:ascii="Arial" w:hAnsi="Arial" w:cs="Arial"/>
          <w:color w:val="000000"/>
          <w:lang w:val="en-US"/>
        </w:rPr>
        <w:t>for the PLN/USD exchange rate.</w:t>
      </w:r>
      <w:r w:rsidRPr="00A51255">
        <w:rPr>
          <w:rFonts w:ascii="Arial" w:hAnsi="Arial" w:cs="Arial"/>
          <w:color w:val="000000"/>
          <w:lang w:val="en-US"/>
        </w:rPr>
        <w:t xml:space="preserve"> The estimated coefficient for the exchange rate is significant and negative</w:t>
      </w:r>
      <w:r w:rsidR="00794682">
        <w:rPr>
          <w:rFonts w:ascii="Arial" w:hAnsi="Arial" w:cs="Arial"/>
          <w:color w:val="000000"/>
          <w:lang w:val="en-US"/>
        </w:rPr>
        <w:t>,</w:t>
      </w:r>
      <w:r w:rsidRPr="00A51255">
        <w:rPr>
          <w:rFonts w:ascii="Arial" w:hAnsi="Arial" w:cs="Arial"/>
          <w:color w:val="000000"/>
          <w:lang w:val="en-US"/>
        </w:rPr>
        <w:t xml:space="preserve"> and is similar in </w:t>
      </w:r>
      <w:r w:rsidRPr="006C3C96">
        <w:rPr>
          <w:rFonts w:ascii="Arial" w:hAnsi="Arial" w:cs="Arial"/>
          <w:color w:val="000000"/>
          <w:lang w:val="en-US"/>
        </w:rPr>
        <w:t xml:space="preserve">all models. It suggests that a 1% increase in the </w:t>
      </w:r>
      <w:r w:rsidRPr="006C3C96">
        <w:rPr>
          <w:rFonts w:ascii="Arial" w:hAnsi="Arial" w:cs="Arial"/>
          <w:lang w:val="en-US"/>
        </w:rPr>
        <w:t>EUR/USD</w:t>
      </w:r>
      <w:r w:rsidR="00110DD8" w:rsidRPr="006C3C96">
        <w:rPr>
          <w:rFonts w:ascii="Arial" w:hAnsi="Arial" w:cs="Arial"/>
          <w:lang w:val="en-US"/>
        </w:rPr>
        <w:t xml:space="preserve"> </w:t>
      </w:r>
      <w:r w:rsidR="00FC6385" w:rsidRPr="006C3C96">
        <w:rPr>
          <w:rFonts w:ascii="Arial" w:hAnsi="Arial" w:cs="Arial"/>
          <w:lang w:val="en-US"/>
        </w:rPr>
        <w:t xml:space="preserve">exchange rate </w:t>
      </w:r>
      <w:r w:rsidR="00110DD8" w:rsidRPr="006C3C96">
        <w:rPr>
          <w:rFonts w:ascii="Arial" w:hAnsi="Arial" w:cs="Arial"/>
          <w:lang w:val="en-US"/>
        </w:rPr>
        <w:t xml:space="preserve">nominal value (i.e. </w:t>
      </w:r>
      <w:r w:rsidR="004020A7" w:rsidRPr="006C3C96">
        <w:rPr>
          <w:rFonts w:ascii="Arial" w:hAnsi="Arial" w:cs="Arial"/>
          <w:lang w:val="en-US"/>
        </w:rPr>
        <w:t>euro depreciation against the US dollar</w:t>
      </w:r>
      <w:r w:rsidR="00110DD8" w:rsidRPr="006C3C96">
        <w:rPr>
          <w:rFonts w:ascii="Arial" w:hAnsi="Arial" w:cs="Arial"/>
          <w:lang w:val="en-US"/>
        </w:rPr>
        <w:t>)</w:t>
      </w:r>
      <w:r w:rsidR="004020A7" w:rsidRPr="006C3C96">
        <w:rPr>
          <w:rFonts w:ascii="Arial" w:hAnsi="Arial" w:cs="Arial"/>
          <w:lang w:val="en-US"/>
        </w:rPr>
        <w:t xml:space="preserve"> </w:t>
      </w:r>
      <w:r w:rsidRPr="006C3C96">
        <w:rPr>
          <w:rFonts w:ascii="Arial" w:hAnsi="Arial" w:cs="Arial"/>
          <w:lang w:val="en-US"/>
        </w:rPr>
        <w:t xml:space="preserve">reduces the </w:t>
      </w:r>
      <w:r w:rsidR="00FC6385" w:rsidRPr="006C3C96">
        <w:rPr>
          <w:rFonts w:ascii="Arial" w:hAnsi="Arial" w:cs="Arial"/>
          <w:lang w:val="en-US"/>
        </w:rPr>
        <w:t xml:space="preserve">nominal value of the </w:t>
      </w:r>
      <w:r w:rsidRPr="006C3C96">
        <w:rPr>
          <w:rFonts w:ascii="Arial" w:hAnsi="Arial" w:cs="Arial"/>
          <w:lang w:val="en-US"/>
        </w:rPr>
        <w:t xml:space="preserve">PLN/USD exchange rate </w:t>
      </w:r>
      <w:r w:rsidR="00110DD8" w:rsidRPr="006C3C96">
        <w:rPr>
          <w:rFonts w:ascii="Arial" w:hAnsi="Arial" w:cs="Arial"/>
          <w:lang w:val="en-US"/>
        </w:rPr>
        <w:t xml:space="preserve">(i.e. </w:t>
      </w:r>
      <w:r w:rsidR="00A50529" w:rsidRPr="006C3C96">
        <w:rPr>
          <w:rFonts w:ascii="Arial" w:hAnsi="Arial" w:cs="Arial"/>
          <w:lang w:val="en-US"/>
        </w:rPr>
        <w:t>ap</w:t>
      </w:r>
      <w:r w:rsidR="001F57D1" w:rsidRPr="006C3C96">
        <w:rPr>
          <w:rFonts w:ascii="Arial" w:hAnsi="Arial" w:cs="Arial"/>
          <w:lang w:val="en-US"/>
        </w:rPr>
        <w:t>preciates</w:t>
      </w:r>
      <w:r w:rsidR="00110DD8" w:rsidRPr="006C3C96">
        <w:rPr>
          <w:rFonts w:ascii="Arial" w:hAnsi="Arial" w:cs="Arial"/>
          <w:lang w:val="en-US"/>
        </w:rPr>
        <w:t xml:space="preserve"> the Polish zloty</w:t>
      </w:r>
      <w:r w:rsidR="004020A7" w:rsidRPr="006C3C96">
        <w:rPr>
          <w:rFonts w:ascii="Arial" w:hAnsi="Arial" w:cs="Arial"/>
          <w:lang w:val="en-US"/>
        </w:rPr>
        <w:t xml:space="preserve"> </w:t>
      </w:r>
      <w:r w:rsidR="00110DD8" w:rsidRPr="006C3C96">
        <w:rPr>
          <w:rFonts w:ascii="Arial" w:hAnsi="Arial" w:cs="Arial"/>
          <w:lang w:val="en-US"/>
        </w:rPr>
        <w:t>against the US dollar)</w:t>
      </w:r>
      <w:r w:rsidR="004020A7" w:rsidRPr="006C3C96">
        <w:rPr>
          <w:rFonts w:ascii="Arial" w:hAnsi="Arial" w:cs="Arial"/>
          <w:lang w:val="en-US"/>
        </w:rPr>
        <w:t xml:space="preserve"> </w:t>
      </w:r>
      <w:r w:rsidRPr="006C3C96">
        <w:rPr>
          <w:rFonts w:ascii="Arial" w:hAnsi="Arial" w:cs="Arial"/>
          <w:lang w:val="en-US"/>
        </w:rPr>
        <w:t>by about 0.33% – 0.36%.</w:t>
      </w:r>
      <w:r w:rsidRPr="006C3C96">
        <w:rPr>
          <w:rFonts w:ascii="Arial" w:hAnsi="Arial" w:cs="Arial"/>
          <w:color w:val="000000"/>
          <w:lang w:val="en-US"/>
        </w:rPr>
        <w:t xml:space="preserve"> However, </w:t>
      </w:r>
      <w:r w:rsidR="00794682">
        <w:rPr>
          <w:rFonts w:ascii="Arial" w:hAnsi="Arial" w:cs="Arial"/>
          <w:color w:val="000000"/>
          <w:lang w:val="en-US"/>
        </w:rPr>
        <w:t xml:space="preserve">the </w:t>
      </w:r>
      <w:r w:rsidRPr="006C3C96">
        <w:rPr>
          <w:rFonts w:ascii="Arial" w:hAnsi="Arial" w:cs="Arial"/>
          <w:color w:val="000000"/>
          <w:lang w:val="en-US"/>
        </w:rPr>
        <w:t>interest rate differential variable is insignificant</w:t>
      </w:r>
      <w:r w:rsidRPr="006C3C96">
        <w:rPr>
          <w:rFonts w:ascii="Arial" w:hAnsi="Arial" w:cs="Arial"/>
          <w:b/>
          <w:color w:val="000000"/>
          <w:lang w:val="en-US"/>
        </w:rPr>
        <w:t>.</w:t>
      </w:r>
      <w:r w:rsidRPr="00A51255">
        <w:rPr>
          <w:rFonts w:ascii="Arial" w:hAnsi="Arial" w:cs="Arial"/>
          <w:b/>
          <w:color w:val="000000"/>
          <w:lang w:val="en-US"/>
        </w:rPr>
        <w:t xml:space="preserve"> </w:t>
      </w:r>
    </w:p>
    <w:p w:rsidR="006F01E5" w:rsidRPr="00A51255" w:rsidRDefault="00794682" w:rsidP="006F01E5">
      <w:pPr>
        <w:spacing w:line="480" w:lineRule="auto"/>
        <w:ind w:firstLine="708"/>
        <w:jc w:val="both"/>
        <w:rPr>
          <w:rFonts w:ascii="Arial" w:hAnsi="Arial" w:cs="Arial"/>
          <w:b/>
          <w:color w:val="000000"/>
          <w:lang w:val="en-US"/>
        </w:rPr>
      </w:pPr>
      <w:r>
        <w:rPr>
          <w:rFonts w:ascii="Arial" w:hAnsi="Arial" w:cs="Arial"/>
          <w:lang w:val="en-US"/>
        </w:rPr>
        <w:t>The f</w:t>
      </w:r>
      <w:r w:rsidR="006F01E5">
        <w:rPr>
          <w:rFonts w:ascii="Arial" w:hAnsi="Arial" w:cs="Arial"/>
          <w:lang w:val="en-US"/>
        </w:rPr>
        <w:t>irst panels in Tables 4a and 4b</w:t>
      </w:r>
      <w:r w:rsidR="006F01E5" w:rsidRPr="00A51255">
        <w:rPr>
          <w:rFonts w:ascii="Arial" w:hAnsi="Arial" w:cs="Arial"/>
          <w:b/>
          <w:lang w:val="en-US"/>
        </w:rPr>
        <w:t xml:space="preserve"> </w:t>
      </w:r>
      <w:r w:rsidR="006F01E5">
        <w:rPr>
          <w:rFonts w:ascii="Arial" w:hAnsi="Arial" w:cs="Arial"/>
          <w:lang w:val="en-US"/>
        </w:rPr>
        <w:t>present</w:t>
      </w:r>
      <w:r w:rsidR="006F01E5" w:rsidRPr="00A51255">
        <w:rPr>
          <w:rFonts w:ascii="Arial" w:hAnsi="Arial" w:cs="Arial"/>
          <w:lang w:val="en-US"/>
        </w:rPr>
        <w:t xml:space="preserve"> the estimates of the unexpected announceme</w:t>
      </w:r>
      <w:r w:rsidR="006F01E5">
        <w:rPr>
          <w:rFonts w:ascii="Arial" w:hAnsi="Arial" w:cs="Arial"/>
          <w:lang w:val="en-US"/>
        </w:rPr>
        <w:t xml:space="preserve">nt variables </w:t>
      </w:r>
      <w:r w:rsidR="008C3064">
        <w:rPr>
          <w:rFonts w:ascii="Arial" w:hAnsi="Arial" w:cs="Arial"/>
          <w:lang w:val="en-US"/>
        </w:rPr>
        <w:t>in the mean equations from</w:t>
      </w:r>
      <w:r w:rsidR="006F01E5" w:rsidRPr="00A51255">
        <w:rPr>
          <w:rFonts w:ascii="Arial" w:hAnsi="Arial" w:cs="Arial"/>
          <w:lang w:val="en-US"/>
        </w:rPr>
        <w:t xml:space="preserve"> the model of the PLN/USD volume of trade percentage changes (</w:t>
      </w:r>
      <w:r w:rsidR="006F01E5" w:rsidRPr="00A51255">
        <w:rPr>
          <w:rFonts w:ascii="Arial" w:hAnsi="Arial" w:cs="Arial"/>
          <w:position w:val="-12"/>
          <w:lang w:val="en-US"/>
        </w:rPr>
        <w:object w:dxaOrig="999" w:dyaOrig="360">
          <v:shape id="_x0000_i1070" type="#_x0000_t75" style="width:55.3pt;height:19.3pt" o:ole="">
            <v:imagedata r:id="rId41" o:title=""/>
          </v:shape>
          <o:OLEObject Type="Embed" ProgID="Equation.3" ShapeID="_x0000_i1070" DrawAspect="Content" ObjectID="_1507543417" r:id="rId86"/>
        </w:object>
      </w:r>
      <w:r w:rsidR="006F01E5" w:rsidRPr="00A51255">
        <w:rPr>
          <w:lang w:val="en-US"/>
        </w:rPr>
        <w:t xml:space="preserve">), </w:t>
      </w:r>
      <w:r w:rsidR="006F01E5" w:rsidRPr="00A51255">
        <w:rPr>
          <w:rFonts w:ascii="Arial" w:hAnsi="Arial" w:cs="Arial"/>
          <w:lang w:val="en-US"/>
        </w:rPr>
        <w:t xml:space="preserve">i.e. the estimates from equation </w:t>
      </w:r>
      <w:r w:rsidR="006F01E5">
        <w:rPr>
          <w:rFonts w:ascii="Arial" w:hAnsi="Arial" w:cs="Arial"/>
          <w:lang w:val="en-US"/>
        </w:rPr>
        <w:t>(3)</w:t>
      </w:r>
      <w:r w:rsidR="006F01E5" w:rsidRPr="00A51255">
        <w:rPr>
          <w:lang w:val="en-US"/>
        </w:rPr>
        <w:t xml:space="preserve">. </w:t>
      </w:r>
    </w:p>
    <w:p w:rsidR="006F01E5" w:rsidRPr="00A51255" w:rsidRDefault="006F01E5" w:rsidP="006F01E5">
      <w:pPr>
        <w:spacing w:line="480" w:lineRule="auto"/>
        <w:ind w:firstLine="708"/>
        <w:jc w:val="both"/>
        <w:rPr>
          <w:rFonts w:ascii="Arial" w:hAnsi="Arial" w:cs="Arial"/>
          <w:lang w:val="en-US"/>
        </w:rPr>
      </w:pPr>
      <w:r w:rsidRPr="00A51255">
        <w:rPr>
          <w:rFonts w:ascii="Arial" w:hAnsi="Arial" w:cs="Arial"/>
          <w:lang w:val="en-US"/>
        </w:rPr>
        <w:t xml:space="preserve">On the announcement date (day </w:t>
      </w:r>
      <w:r w:rsidRPr="00A51255">
        <w:rPr>
          <w:i/>
          <w:lang w:val="en-US"/>
        </w:rPr>
        <w:t>t</w:t>
      </w:r>
      <w:r w:rsidRPr="00A51255">
        <w:rPr>
          <w:rFonts w:ascii="Arial" w:hAnsi="Arial" w:cs="Arial"/>
          <w:lang w:val="en-US"/>
        </w:rPr>
        <w:t xml:space="preserve">), statistically significant results were found for other announcements further to the </w:t>
      </w:r>
      <w:r w:rsidRPr="00A51255">
        <w:rPr>
          <w:i/>
          <w:lang w:val="en-US"/>
        </w:rPr>
        <w:t>MS</w:t>
      </w:r>
      <w:r w:rsidRPr="00A51255">
        <w:rPr>
          <w:rFonts w:ascii="Arial" w:hAnsi="Arial" w:cs="Arial"/>
          <w:lang w:val="en-US"/>
        </w:rPr>
        <w:t xml:space="preserve"> dummy, i.e. for the</w:t>
      </w:r>
      <w:r w:rsidRPr="00A51255">
        <w:rPr>
          <w:i/>
          <w:lang w:val="en-US"/>
        </w:rPr>
        <w:t xml:space="preserve"> RM </w:t>
      </w:r>
      <w:r w:rsidRPr="00A51255">
        <w:rPr>
          <w:rFonts w:ascii="Arial" w:hAnsi="Arial" w:cs="Arial"/>
          <w:lang w:val="en-US"/>
        </w:rPr>
        <w:t xml:space="preserve">and </w:t>
      </w:r>
      <w:r w:rsidRPr="00A51255">
        <w:rPr>
          <w:i/>
          <w:lang w:val="en-US"/>
        </w:rPr>
        <w:t>AL</w:t>
      </w:r>
      <w:r w:rsidRPr="00A51255">
        <w:rPr>
          <w:rFonts w:ascii="Arial" w:hAnsi="Arial" w:cs="Arial"/>
          <w:lang w:val="en-US"/>
        </w:rPr>
        <w:t xml:space="preserve"> variables. </w:t>
      </w:r>
      <w:r w:rsidR="00794682">
        <w:rPr>
          <w:rFonts w:ascii="Arial" w:hAnsi="Arial" w:cs="Arial"/>
          <w:lang w:val="en-US"/>
        </w:rPr>
        <w:t>The s</w:t>
      </w:r>
      <w:r w:rsidRPr="00A51255">
        <w:rPr>
          <w:rFonts w:ascii="Arial" w:hAnsi="Arial" w:cs="Arial"/>
          <w:lang w:val="en-US"/>
        </w:rPr>
        <w:t xml:space="preserve">urprise </w:t>
      </w:r>
      <w:r>
        <w:rPr>
          <w:rFonts w:ascii="Arial" w:hAnsi="Arial" w:cs="Arial"/>
          <w:lang w:val="en-US"/>
        </w:rPr>
        <w:t xml:space="preserve">strongly negative </w:t>
      </w:r>
      <w:r w:rsidRPr="00A51255">
        <w:rPr>
          <w:i/>
          <w:lang w:val="en-US"/>
        </w:rPr>
        <w:t>RM</w:t>
      </w:r>
      <w:r>
        <w:rPr>
          <w:rFonts w:ascii="Arial" w:hAnsi="Arial" w:cs="Arial"/>
          <w:lang w:val="en-US"/>
        </w:rPr>
        <w:t xml:space="preserve"> and positive</w:t>
      </w:r>
      <w:r w:rsidRPr="00A51255">
        <w:rPr>
          <w:rFonts w:ascii="Arial" w:hAnsi="Arial" w:cs="Arial"/>
          <w:lang w:val="en-US"/>
        </w:rPr>
        <w:t xml:space="preserve"> </w:t>
      </w:r>
      <w:r>
        <w:rPr>
          <w:i/>
          <w:lang w:val="en-US"/>
        </w:rPr>
        <w:t>AL</w:t>
      </w:r>
      <w:r w:rsidRPr="00A51255">
        <w:rPr>
          <w:rFonts w:ascii="Arial" w:hAnsi="Arial" w:cs="Arial"/>
          <w:lang w:val="en-US"/>
        </w:rPr>
        <w:t xml:space="preserve"> announcements</w:t>
      </w:r>
      <w:r w:rsidR="00CB4CD2">
        <w:rPr>
          <w:rFonts w:ascii="Arial" w:hAnsi="Arial" w:cs="Arial"/>
          <w:lang w:val="en-US"/>
        </w:rPr>
        <w:t xml:space="preserve"> both</w:t>
      </w:r>
      <w:r w:rsidRPr="00A51255">
        <w:rPr>
          <w:rFonts w:ascii="Arial" w:hAnsi="Arial" w:cs="Arial"/>
          <w:lang w:val="en-US"/>
        </w:rPr>
        <w:t xml:space="preserve"> increase</w:t>
      </w:r>
      <w:r w:rsidR="00794682">
        <w:rPr>
          <w:rFonts w:ascii="Arial" w:hAnsi="Arial" w:cs="Arial"/>
          <w:lang w:val="en-US"/>
        </w:rPr>
        <w:t>d</w:t>
      </w:r>
      <w:r w:rsidRPr="00A51255">
        <w:rPr>
          <w:rFonts w:ascii="Arial" w:hAnsi="Arial" w:cs="Arial"/>
          <w:lang w:val="en-US"/>
        </w:rPr>
        <w:t xml:space="preserve"> trading volume by about </w:t>
      </w:r>
      <w:r>
        <w:rPr>
          <w:rFonts w:ascii="Arial" w:hAnsi="Arial" w:cs="Arial"/>
          <w:lang w:val="en-US"/>
        </w:rPr>
        <w:t>32</w:t>
      </w:r>
      <w:r w:rsidRPr="00A51255">
        <w:rPr>
          <w:rFonts w:ascii="Arial" w:hAnsi="Arial" w:cs="Arial"/>
          <w:lang w:val="en-US"/>
        </w:rPr>
        <w:t>%</w:t>
      </w:r>
      <w:r>
        <w:rPr>
          <w:rFonts w:ascii="Arial" w:hAnsi="Arial" w:cs="Arial"/>
          <w:lang w:val="en-US"/>
        </w:rPr>
        <w:t xml:space="preserve"> and 38</w:t>
      </w:r>
      <w:r w:rsidRPr="00A51255">
        <w:rPr>
          <w:rFonts w:ascii="Arial" w:hAnsi="Arial" w:cs="Arial"/>
          <w:lang w:val="en-US"/>
        </w:rPr>
        <w:t xml:space="preserve">%, respectively. On the next day (day </w:t>
      </w:r>
      <w:r w:rsidRPr="00A51255">
        <w:rPr>
          <w:i/>
          <w:lang w:val="en-US"/>
        </w:rPr>
        <w:t>t+1</w:t>
      </w:r>
      <w:r w:rsidRPr="00A51255">
        <w:rPr>
          <w:rFonts w:ascii="Arial" w:hAnsi="Arial" w:cs="Arial"/>
          <w:lang w:val="en-US"/>
        </w:rPr>
        <w:t xml:space="preserve">) negative </w:t>
      </w:r>
      <w:r w:rsidRPr="00A51255">
        <w:rPr>
          <w:i/>
          <w:lang w:val="en-US"/>
        </w:rPr>
        <w:t>RM</w:t>
      </w:r>
      <w:r w:rsidRPr="00A51255">
        <w:rPr>
          <w:rFonts w:ascii="Arial" w:hAnsi="Arial" w:cs="Arial"/>
          <w:lang w:val="en-US"/>
        </w:rPr>
        <w:t xml:space="preserve"> announcement </w:t>
      </w:r>
      <w:r w:rsidRPr="00A51255">
        <w:rPr>
          <w:rFonts w:ascii="Arial" w:hAnsi="Arial" w:cs="Arial"/>
          <w:lang w:val="en-US"/>
        </w:rPr>
        <w:lastRenderedPageBreak/>
        <w:t>also increase</w:t>
      </w:r>
      <w:r w:rsidR="00794682">
        <w:rPr>
          <w:rFonts w:ascii="Arial" w:hAnsi="Arial" w:cs="Arial"/>
          <w:lang w:val="en-US"/>
        </w:rPr>
        <w:t>d</w:t>
      </w:r>
      <w:r w:rsidRPr="00A51255">
        <w:rPr>
          <w:rFonts w:ascii="Arial" w:hAnsi="Arial" w:cs="Arial"/>
          <w:lang w:val="en-US"/>
        </w:rPr>
        <w:t xml:space="preserve"> trading volume by about </w:t>
      </w:r>
      <w:r>
        <w:rPr>
          <w:rFonts w:ascii="Arial" w:hAnsi="Arial" w:cs="Arial"/>
          <w:lang w:val="en-US"/>
        </w:rPr>
        <w:t>29</w:t>
      </w:r>
      <w:r w:rsidRPr="00A51255">
        <w:rPr>
          <w:rFonts w:ascii="Arial" w:hAnsi="Arial" w:cs="Arial"/>
          <w:lang w:val="en-US"/>
        </w:rPr>
        <w:t xml:space="preserve">%. Therefore, more market activity, as measured by the changes in trading volume, </w:t>
      </w:r>
      <w:r w:rsidR="00794682">
        <w:rPr>
          <w:rFonts w:ascii="Arial" w:hAnsi="Arial" w:cs="Arial"/>
          <w:lang w:val="en-US"/>
        </w:rPr>
        <w:t>was</w:t>
      </w:r>
      <w:r w:rsidRPr="00A51255">
        <w:rPr>
          <w:rFonts w:ascii="Arial" w:hAnsi="Arial" w:cs="Arial"/>
          <w:lang w:val="en-US"/>
        </w:rPr>
        <w:t xml:space="preserve"> detected on the day of the announcement</w:t>
      </w:r>
      <w:r w:rsidR="00794682">
        <w:rPr>
          <w:rFonts w:ascii="Arial" w:hAnsi="Arial" w:cs="Arial"/>
          <w:lang w:val="en-US"/>
        </w:rPr>
        <w:t>,</w:t>
      </w:r>
      <w:r w:rsidRPr="00A51255">
        <w:rPr>
          <w:rFonts w:ascii="Arial" w:hAnsi="Arial" w:cs="Arial"/>
          <w:lang w:val="en-US"/>
        </w:rPr>
        <w:t xml:space="preserve"> with only one dummy variable significant on the following day. The results suggest that traders pay attention to money supply, reserve money, </w:t>
      </w:r>
      <w:r w:rsidR="00794682">
        <w:rPr>
          <w:rFonts w:ascii="Arial" w:hAnsi="Arial" w:cs="Arial"/>
          <w:lang w:val="en-US"/>
        </w:rPr>
        <w:t>and also</w:t>
      </w:r>
      <w:r w:rsidRPr="00A51255">
        <w:rPr>
          <w:rFonts w:ascii="Arial" w:hAnsi="Arial" w:cs="Arial"/>
          <w:lang w:val="en-US"/>
        </w:rPr>
        <w:t xml:space="preserve"> developments in liquid assets and liabilities in foreign currencies in their positioning decisions. The coefficients of all three dummy variables, which had statistically significant estimates, </w:t>
      </w:r>
      <w:r w:rsidR="00794682">
        <w:rPr>
          <w:rFonts w:ascii="Arial" w:hAnsi="Arial" w:cs="Arial"/>
          <w:lang w:val="en-US"/>
        </w:rPr>
        <w:t xml:space="preserve">also </w:t>
      </w:r>
      <w:r w:rsidRPr="00A51255">
        <w:rPr>
          <w:rFonts w:ascii="Arial" w:hAnsi="Arial" w:cs="Arial"/>
          <w:lang w:val="en-US"/>
        </w:rPr>
        <w:t>had only positive signs, which</w:t>
      </w:r>
      <w:r w:rsidR="00CB5C68">
        <w:rPr>
          <w:rFonts w:ascii="Arial" w:hAnsi="Arial" w:cs="Arial"/>
          <w:lang w:val="en-US"/>
        </w:rPr>
        <w:t xml:space="preserve"> </w:t>
      </w:r>
      <w:r w:rsidRPr="00A51255">
        <w:rPr>
          <w:rFonts w:ascii="Arial" w:hAnsi="Arial" w:cs="Arial"/>
          <w:lang w:val="en-US"/>
        </w:rPr>
        <w:t>suggests that market activity increases in response to the NBP communication.</w:t>
      </w:r>
      <w:r w:rsidRPr="00A51255">
        <w:rPr>
          <w:rStyle w:val="FootnoteReference"/>
          <w:rFonts w:ascii="Arial" w:hAnsi="Arial" w:cs="Arial"/>
          <w:lang w:val="en-US"/>
        </w:rPr>
        <w:footnoteReference w:id="22"/>
      </w:r>
      <w:r w:rsidRPr="00A51255">
        <w:rPr>
          <w:rFonts w:ascii="Arial" w:hAnsi="Arial" w:cs="Arial"/>
          <w:lang w:val="en-US"/>
        </w:rPr>
        <w:t xml:space="preserve"> There is no evidence of statistically significant results for dummy estimates with negative signs in any of the volume models in </w:t>
      </w:r>
      <w:r>
        <w:rPr>
          <w:rFonts w:ascii="Arial" w:hAnsi="Arial" w:cs="Arial"/>
          <w:lang w:val="en-US"/>
        </w:rPr>
        <w:t>Tables 4a and 4b</w:t>
      </w:r>
      <w:r w:rsidRPr="00A51255">
        <w:rPr>
          <w:rFonts w:ascii="Arial" w:hAnsi="Arial" w:cs="Arial"/>
          <w:lang w:val="en-US"/>
        </w:rPr>
        <w:t>.</w:t>
      </w:r>
    </w:p>
    <w:p w:rsidR="006F01E5" w:rsidRDefault="006F01E5" w:rsidP="006F01E5">
      <w:pPr>
        <w:spacing w:line="480" w:lineRule="auto"/>
        <w:ind w:firstLine="708"/>
        <w:jc w:val="both"/>
        <w:rPr>
          <w:rFonts w:ascii="Arial" w:hAnsi="Arial" w:cs="Arial"/>
          <w:lang w:val="en-US"/>
        </w:rPr>
      </w:pPr>
      <w:r w:rsidRPr="00A51255">
        <w:rPr>
          <w:rFonts w:ascii="Arial" w:hAnsi="Arial" w:cs="Arial"/>
          <w:lang w:val="en-US"/>
        </w:rPr>
        <w:t>It is important to emphasize that the pattern of results for the NBP announcements dummy variables in the variant without the GARCH-in-mean component</w:t>
      </w:r>
      <w:r>
        <w:rPr>
          <w:rFonts w:ascii="Arial" w:hAnsi="Arial" w:cs="Arial"/>
          <w:lang w:val="en-US"/>
        </w:rPr>
        <w:t xml:space="preserve"> </w:t>
      </w:r>
      <w:r w:rsidRPr="00A51255">
        <w:rPr>
          <w:rFonts w:ascii="Arial" w:hAnsi="Arial" w:cs="Arial"/>
          <w:lang w:val="en-US"/>
        </w:rPr>
        <w:t xml:space="preserve">is the same as in </w:t>
      </w:r>
      <w:r>
        <w:rPr>
          <w:rFonts w:ascii="Arial" w:hAnsi="Arial" w:cs="Arial"/>
          <w:lang w:val="en-US"/>
        </w:rPr>
        <w:t>Tables 4a and 4b</w:t>
      </w:r>
      <w:r w:rsidRPr="00A51255">
        <w:rPr>
          <w:rFonts w:ascii="Arial" w:hAnsi="Arial" w:cs="Arial"/>
          <w:lang w:val="en-US"/>
        </w:rPr>
        <w:t xml:space="preserve">, which </w:t>
      </w:r>
      <w:r w:rsidR="00A16C16">
        <w:rPr>
          <w:rFonts w:ascii="Arial" w:hAnsi="Arial" w:cs="Arial"/>
          <w:lang w:val="en-US"/>
        </w:rPr>
        <w:t>further</w:t>
      </w:r>
      <w:r w:rsidRPr="00A51255">
        <w:rPr>
          <w:rFonts w:ascii="Arial" w:hAnsi="Arial" w:cs="Arial"/>
          <w:lang w:val="en-US"/>
        </w:rPr>
        <w:t xml:space="preserve"> confirms the robustness of our findings</w:t>
      </w:r>
      <w:r>
        <w:rPr>
          <w:rFonts w:ascii="Arial" w:hAnsi="Arial" w:cs="Arial"/>
          <w:lang w:val="en-US"/>
        </w:rPr>
        <w:t xml:space="preserve"> (results not reported here but available upon request).</w:t>
      </w:r>
    </w:p>
    <w:p w:rsidR="006E137B" w:rsidRPr="00A51255" w:rsidRDefault="006E137B" w:rsidP="006E137B">
      <w:pPr>
        <w:spacing w:line="480" w:lineRule="auto"/>
        <w:ind w:firstLine="708"/>
        <w:jc w:val="both"/>
        <w:rPr>
          <w:rFonts w:ascii="Arial" w:hAnsi="Arial" w:cs="Arial"/>
          <w:lang w:val="en-US"/>
        </w:rPr>
      </w:pPr>
      <w:r w:rsidRPr="00A51255">
        <w:rPr>
          <w:rFonts w:ascii="Arial" w:hAnsi="Arial" w:cs="Arial"/>
          <w:lang w:val="en-US"/>
        </w:rPr>
        <w:t xml:space="preserve">As </w:t>
      </w:r>
      <w:r w:rsidR="00BF37B1">
        <w:rPr>
          <w:rFonts w:ascii="Arial" w:hAnsi="Arial" w:cs="Arial"/>
          <w:lang w:val="en-US"/>
        </w:rPr>
        <w:t>Table</w:t>
      </w:r>
      <w:r w:rsidR="00725B0E">
        <w:rPr>
          <w:rFonts w:ascii="Arial" w:hAnsi="Arial" w:cs="Arial"/>
          <w:lang w:val="en-US"/>
        </w:rPr>
        <w:t>s</w:t>
      </w:r>
      <w:r w:rsidR="00BF37B1">
        <w:rPr>
          <w:rFonts w:ascii="Arial" w:hAnsi="Arial" w:cs="Arial"/>
          <w:lang w:val="en-US"/>
        </w:rPr>
        <w:t xml:space="preserve"> </w:t>
      </w:r>
      <w:r w:rsidR="00725B0E">
        <w:rPr>
          <w:rFonts w:ascii="Arial" w:hAnsi="Arial" w:cs="Arial"/>
          <w:lang w:val="en-US"/>
        </w:rPr>
        <w:t xml:space="preserve">3a and </w:t>
      </w:r>
      <w:r w:rsidR="00BF37B1">
        <w:rPr>
          <w:rFonts w:ascii="Arial" w:hAnsi="Arial" w:cs="Arial"/>
          <w:lang w:val="en-US"/>
        </w:rPr>
        <w:t>3b</w:t>
      </w:r>
      <w:r w:rsidR="00725B0E">
        <w:rPr>
          <w:rFonts w:ascii="Arial" w:hAnsi="Arial" w:cs="Arial"/>
          <w:lang w:val="en-US"/>
        </w:rPr>
        <w:t xml:space="preserve"> show</w:t>
      </w:r>
      <w:r w:rsidR="007D6128" w:rsidRPr="00A51255">
        <w:rPr>
          <w:rFonts w:ascii="Arial" w:hAnsi="Arial" w:cs="Arial"/>
          <w:lang w:val="en-US"/>
        </w:rPr>
        <w:t xml:space="preserve">, </w:t>
      </w:r>
      <w:r w:rsidR="001A093D" w:rsidRPr="00A51255">
        <w:rPr>
          <w:rFonts w:ascii="Arial" w:hAnsi="Arial" w:cs="Arial"/>
          <w:lang w:val="en-US"/>
        </w:rPr>
        <w:t xml:space="preserve">similarly to the findings for the </w:t>
      </w:r>
      <w:r w:rsidR="001A093D" w:rsidRPr="00A51255">
        <w:rPr>
          <w:i/>
          <w:lang w:val="en-US"/>
        </w:rPr>
        <w:t>MS</w:t>
      </w:r>
      <w:r w:rsidR="001A093D" w:rsidRPr="00A51255">
        <w:rPr>
          <w:rFonts w:ascii="Arial" w:hAnsi="Arial" w:cs="Arial"/>
          <w:lang w:val="en-US"/>
        </w:rPr>
        <w:t xml:space="preserve"> dummy reported in the previous section, </w:t>
      </w:r>
      <w:r w:rsidRPr="00A51255">
        <w:rPr>
          <w:rFonts w:ascii="Arial" w:hAnsi="Arial" w:cs="Arial"/>
          <w:lang w:val="en-US"/>
        </w:rPr>
        <w:t>on the announcement day the esti</w:t>
      </w:r>
      <w:r w:rsidR="007D6128" w:rsidRPr="00A51255">
        <w:rPr>
          <w:rFonts w:ascii="Arial" w:hAnsi="Arial" w:cs="Arial"/>
          <w:lang w:val="en-US"/>
        </w:rPr>
        <w:t xml:space="preserve">mates for </w:t>
      </w:r>
      <w:r w:rsidR="001A093D" w:rsidRPr="00A51255">
        <w:rPr>
          <w:rFonts w:ascii="Arial" w:hAnsi="Arial" w:cs="Arial"/>
          <w:lang w:val="en-US"/>
        </w:rPr>
        <w:t xml:space="preserve">the remaining three </w:t>
      </w:r>
      <w:r w:rsidR="007D6128" w:rsidRPr="00A51255">
        <w:rPr>
          <w:rFonts w:ascii="Arial" w:hAnsi="Arial" w:cs="Arial"/>
          <w:lang w:val="en-US"/>
        </w:rPr>
        <w:t>announcement dummy variables</w:t>
      </w:r>
      <w:r w:rsidR="00D50781">
        <w:rPr>
          <w:rFonts w:ascii="Arial" w:hAnsi="Arial" w:cs="Arial"/>
          <w:lang w:val="en-US"/>
        </w:rPr>
        <w:t xml:space="preserve"> in the variance equations</w:t>
      </w:r>
      <w:r w:rsidR="005820AB" w:rsidRPr="00A51255">
        <w:rPr>
          <w:rFonts w:ascii="Arial" w:hAnsi="Arial" w:cs="Arial"/>
          <w:lang w:val="en-US"/>
        </w:rPr>
        <w:t>,</w:t>
      </w:r>
      <w:r w:rsidRPr="00A51255">
        <w:rPr>
          <w:rFonts w:ascii="Arial" w:hAnsi="Arial" w:cs="Arial"/>
          <w:lang w:val="en-US"/>
        </w:rPr>
        <w:t xml:space="preserve"> which are statistically significant</w:t>
      </w:r>
      <w:r w:rsidR="005820AB" w:rsidRPr="00A51255">
        <w:rPr>
          <w:rFonts w:ascii="Arial" w:hAnsi="Arial" w:cs="Arial"/>
          <w:lang w:val="en-US"/>
        </w:rPr>
        <w:t>,</w:t>
      </w:r>
      <w:r w:rsidRPr="00A51255">
        <w:rPr>
          <w:rFonts w:ascii="Arial" w:hAnsi="Arial" w:cs="Arial"/>
          <w:lang w:val="en-US"/>
        </w:rPr>
        <w:t xml:space="preserve"> </w:t>
      </w:r>
      <w:r w:rsidR="00282C3A" w:rsidRPr="00A51255">
        <w:rPr>
          <w:rFonts w:ascii="Arial" w:hAnsi="Arial" w:cs="Arial"/>
          <w:lang w:val="en-US"/>
        </w:rPr>
        <w:t xml:space="preserve">also have </w:t>
      </w:r>
      <w:r w:rsidR="007B2AEF">
        <w:rPr>
          <w:rFonts w:ascii="Arial" w:hAnsi="Arial" w:cs="Arial"/>
          <w:lang w:val="en-US"/>
        </w:rPr>
        <w:t xml:space="preserve">consistently </w:t>
      </w:r>
      <w:r w:rsidR="00282C3A" w:rsidRPr="00A51255">
        <w:rPr>
          <w:rFonts w:ascii="Arial" w:hAnsi="Arial" w:cs="Arial"/>
          <w:lang w:val="en-US"/>
        </w:rPr>
        <w:t>negative</w:t>
      </w:r>
      <w:r w:rsidRPr="00A51255">
        <w:rPr>
          <w:rFonts w:ascii="Arial" w:hAnsi="Arial" w:cs="Arial"/>
          <w:lang w:val="en-US"/>
        </w:rPr>
        <w:t xml:space="preserve"> signs, so they </w:t>
      </w:r>
      <w:r w:rsidR="00173776" w:rsidRPr="00A51255">
        <w:rPr>
          <w:rFonts w:ascii="Arial" w:hAnsi="Arial" w:cs="Arial"/>
          <w:lang w:val="en-US"/>
        </w:rPr>
        <w:t xml:space="preserve">all </w:t>
      </w:r>
      <w:r w:rsidRPr="00A51255">
        <w:rPr>
          <w:rFonts w:ascii="Arial" w:hAnsi="Arial" w:cs="Arial"/>
          <w:lang w:val="en-US"/>
        </w:rPr>
        <w:t>ha</w:t>
      </w:r>
      <w:r w:rsidR="00A16C16">
        <w:rPr>
          <w:rFonts w:ascii="Arial" w:hAnsi="Arial" w:cs="Arial"/>
          <w:lang w:val="en-US"/>
        </w:rPr>
        <w:t>d</w:t>
      </w:r>
      <w:r w:rsidRPr="00A51255">
        <w:rPr>
          <w:rFonts w:ascii="Arial" w:hAnsi="Arial" w:cs="Arial"/>
          <w:lang w:val="en-US"/>
        </w:rPr>
        <w:t xml:space="preserve"> a significant calming </w:t>
      </w:r>
      <w:r w:rsidRPr="009227F1">
        <w:rPr>
          <w:rFonts w:ascii="Arial" w:hAnsi="Arial" w:cs="Arial"/>
          <w:lang w:val="en-US"/>
        </w:rPr>
        <w:t xml:space="preserve">impact on the conditional volatility (i.e. </w:t>
      </w:r>
      <w:r w:rsidR="00BF6FC9" w:rsidRPr="009227F1">
        <w:rPr>
          <w:rFonts w:ascii="Arial" w:hAnsi="Arial" w:cs="Arial"/>
          <w:lang w:val="en-US"/>
        </w:rPr>
        <w:t xml:space="preserve">lowering </w:t>
      </w:r>
      <w:r w:rsidRPr="009227F1">
        <w:rPr>
          <w:rFonts w:ascii="Arial" w:hAnsi="Arial" w:cs="Arial"/>
          <w:lang w:val="en-US"/>
        </w:rPr>
        <w:t>risk) of foreign exchange</w:t>
      </w:r>
      <w:r w:rsidRPr="00A51255">
        <w:rPr>
          <w:rFonts w:ascii="Arial" w:hAnsi="Arial" w:cs="Arial"/>
          <w:lang w:val="en-US"/>
        </w:rPr>
        <w:t xml:space="preserve"> returns</w:t>
      </w:r>
      <w:r w:rsidR="00A16C16">
        <w:rPr>
          <w:rFonts w:ascii="Arial" w:hAnsi="Arial" w:cs="Arial"/>
          <w:lang w:val="en-US"/>
        </w:rPr>
        <w:t>,</w:t>
      </w:r>
      <w:r w:rsidRPr="00A51255">
        <w:rPr>
          <w:rFonts w:ascii="Arial" w:hAnsi="Arial" w:cs="Arial"/>
          <w:lang w:val="en-US"/>
        </w:rPr>
        <w:t xml:space="preserve"> </w:t>
      </w:r>
      <w:r w:rsidR="00A16C16">
        <w:rPr>
          <w:rFonts w:ascii="Arial" w:hAnsi="Arial" w:cs="Arial"/>
          <w:lang w:val="en-US"/>
        </w:rPr>
        <w:t xml:space="preserve">also </w:t>
      </w:r>
      <w:r w:rsidRPr="00A51255">
        <w:rPr>
          <w:rFonts w:ascii="Arial" w:hAnsi="Arial" w:cs="Arial"/>
          <w:lang w:val="en-US"/>
        </w:rPr>
        <w:t>suggesting that the central bank communication result</w:t>
      </w:r>
      <w:r w:rsidR="00A16C16">
        <w:rPr>
          <w:rFonts w:ascii="Arial" w:hAnsi="Arial" w:cs="Arial"/>
          <w:lang w:val="en-US"/>
        </w:rPr>
        <w:t>ed</w:t>
      </w:r>
      <w:r w:rsidRPr="00A51255">
        <w:rPr>
          <w:rFonts w:ascii="Arial" w:hAnsi="Arial" w:cs="Arial"/>
          <w:lang w:val="en-US"/>
        </w:rPr>
        <w:t xml:space="preserve"> in a decline in market uncertainty. </w:t>
      </w:r>
      <w:r w:rsidR="008D5AB7" w:rsidRPr="00A51255">
        <w:rPr>
          <w:rFonts w:ascii="Arial" w:hAnsi="Arial" w:cs="Arial"/>
          <w:lang w:val="en-US"/>
        </w:rPr>
        <w:t xml:space="preserve">Overall, </w:t>
      </w:r>
      <w:r w:rsidR="00725B0E">
        <w:rPr>
          <w:rFonts w:ascii="Arial" w:hAnsi="Arial" w:cs="Arial"/>
          <w:lang w:val="en-US"/>
        </w:rPr>
        <w:t xml:space="preserve">on day </w:t>
      </w:r>
      <w:r w:rsidR="00725B0E" w:rsidRPr="00725B0E">
        <w:rPr>
          <w:i/>
          <w:lang w:val="en-US"/>
        </w:rPr>
        <w:t>t</w:t>
      </w:r>
      <w:r w:rsidR="00725B0E">
        <w:rPr>
          <w:rFonts w:ascii="Arial" w:hAnsi="Arial" w:cs="Arial"/>
          <w:lang w:val="en-US"/>
        </w:rPr>
        <w:t xml:space="preserve"> </w:t>
      </w:r>
      <w:r w:rsidR="00137B80">
        <w:rPr>
          <w:rFonts w:ascii="Arial" w:hAnsi="Arial" w:cs="Arial"/>
          <w:lang w:val="en-US"/>
        </w:rPr>
        <w:t>all</w:t>
      </w:r>
      <w:r w:rsidR="004B4B87" w:rsidRPr="00A51255">
        <w:rPr>
          <w:rFonts w:ascii="Arial" w:hAnsi="Arial" w:cs="Arial"/>
          <w:lang w:val="en-US"/>
        </w:rPr>
        <w:t xml:space="preserve"> </w:t>
      </w:r>
      <w:r w:rsidR="009227F1">
        <w:rPr>
          <w:rFonts w:ascii="Arial" w:hAnsi="Arial" w:cs="Arial"/>
          <w:lang w:val="en-US"/>
        </w:rPr>
        <w:t xml:space="preserve">8 </w:t>
      </w:r>
      <w:r w:rsidR="00B014C0" w:rsidRPr="00A51255">
        <w:rPr>
          <w:rFonts w:ascii="Arial" w:hAnsi="Arial" w:cs="Arial"/>
          <w:lang w:val="en-US"/>
        </w:rPr>
        <w:t>strongly positive and strongly negativ</w:t>
      </w:r>
      <w:r w:rsidR="00725B0E">
        <w:rPr>
          <w:rFonts w:ascii="Arial" w:hAnsi="Arial" w:cs="Arial"/>
          <w:lang w:val="en-US"/>
        </w:rPr>
        <w:t>e dummies</w:t>
      </w:r>
      <w:r w:rsidR="00E9513C">
        <w:rPr>
          <w:rFonts w:ascii="Arial" w:hAnsi="Arial" w:cs="Arial"/>
          <w:lang w:val="en-US"/>
        </w:rPr>
        <w:t xml:space="preserve"> </w:t>
      </w:r>
      <w:r w:rsidR="00A16C16">
        <w:rPr>
          <w:rFonts w:ascii="Arial" w:hAnsi="Arial" w:cs="Arial"/>
          <w:lang w:val="en-US"/>
        </w:rPr>
        <w:t>we</w:t>
      </w:r>
      <w:r w:rsidR="00E9513C">
        <w:rPr>
          <w:rFonts w:ascii="Arial" w:hAnsi="Arial" w:cs="Arial"/>
          <w:lang w:val="en-US"/>
        </w:rPr>
        <w:t xml:space="preserve">re </w:t>
      </w:r>
      <w:r w:rsidR="004B4B87" w:rsidRPr="00A51255">
        <w:rPr>
          <w:rFonts w:ascii="Arial" w:hAnsi="Arial" w:cs="Arial"/>
          <w:lang w:val="en-US"/>
        </w:rPr>
        <w:t xml:space="preserve">negative and </w:t>
      </w:r>
      <w:r w:rsidR="00751A67">
        <w:rPr>
          <w:rFonts w:ascii="Arial" w:hAnsi="Arial" w:cs="Arial"/>
          <w:lang w:val="en-US"/>
        </w:rPr>
        <w:t>all 8</w:t>
      </w:r>
      <w:r w:rsidR="00725B0E">
        <w:rPr>
          <w:rFonts w:ascii="Arial" w:hAnsi="Arial" w:cs="Arial"/>
          <w:lang w:val="en-US"/>
        </w:rPr>
        <w:t xml:space="preserve"> </w:t>
      </w:r>
      <w:r w:rsidR="00E9513C">
        <w:rPr>
          <w:rFonts w:ascii="Arial" w:hAnsi="Arial" w:cs="Arial"/>
          <w:lang w:val="en-US"/>
        </w:rPr>
        <w:t xml:space="preserve">of them </w:t>
      </w:r>
      <w:r w:rsidR="00725B0E">
        <w:rPr>
          <w:rFonts w:ascii="Arial" w:hAnsi="Arial" w:cs="Arial"/>
          <w:lang w:val="en-US"/>
        </w:rPr>
        <w:t xml:space="preserve">are </w:t>
      </w:r>
      <w:r w:rsidR="00B014C0" w:rsidRPr="00A51255">
        <w:rPr>
          <w:rFonts w:ascii="Arial" w:hAnsi="Arial" w:cs="Arial"/>
          <w:lang w:val="en-US"/>
        </w:rPr>
        <w:t>statistically significant (</w:t>
      </w:r>
      <w:r w:rsidR="00725B0E">
        <w:rPr>
          <w:rFonts w:ascii="Arial" w:hAnsi="Arial" w:cs="Arial"/>
          <w:lang w:val="en-US"/>
        </w:rPr>
        <w:t xml:space="preserve">all </w:t>
      </w:r>
      <w:r w:rsidR="000E7F47">
        <w:rPr>
          <w:rFonts w:ascii="Arial" w:hAnsi="Arial" w:cs="Arial"/>
          <w:lang w:val="en-US"/>
        </w:rPr>
        <w:t>a</w:t>
      </w:r>
      <w:r w:rsidR="00B014C0" w:rsidRPr="00A51255">
        <w:rPr>
          <w:rFonts w:ascii="Arial" w:hAnsi="Arial" w:cs="Arial"/>
          <w:lang w:val="en-US"/>
        </w:rPr>
        <w:t xml:space="preserve">t the </w:t>
      </w:r>
      <w:r w:rsidR="00FD24D4">
        <w:rPr>
          <w:rFonts w:ascii="Arial" w:hAnsi="Arial" w:cs="Arial"/>
          <w:lang w:val="en-US"/>
        </w:rPr>
        <w:t xml:space="preserve">highest </w:t>
      </w:r>
      <w:r w:rsidR="00B014C0" w:rsidRPr="00A51255">
        <w:rPr>
          <w:rFonts w:ascii="Arial" w:hAnsi="Arial" w:cs="Arial"/>
          <w:lang w:val="en-US"/>
        </w:rPr>
        <w:t xml:space="preserve">1% significance level). For the </w:t>
      </w:r>
      <w:r w:rsidR="00B014C0" w:rsidRPr="00A51255">
        <w:rPr>
          <w:rFonts w:ascii="Arial" w:hAnsi="Arial" w:cs="Arial"/>
          <w:lang w:val="en-US"/>
        </w:rPr>
        <w:lastRenderedPageBreak/>
        <w:t>medium strength du</w:t>
      </w:r>
      <w:r w:rsidR="00FD24D4">
        <w:rPr>
          <w:rFonts w:ascii="Arial" w:hAnsi="Arial" w:cs="Arial"/>
          <w:lang w:val="en-US"/>
        </w:rPr>
        <w:t xml:space="preserve">mmies (positive and negative), </w:t>
      </w:r>
      <w:r w:rsidR="00A16C16">
        <w:rPr>
          <w:rFonts w:ascii="Arial" w:hAnsi="Arial" w:cs="Arial"/>
          <w:lang w:val="en-US"/>
        </w:rPr>
        <w:t xml:space="preserve">a </w:t>
      </w:r>
      <w:r w:rsidR="00751A67">
        <w:rPr>
          <w:rFonts w:ascii="Arial" w:hAnsi="Arial" w:cs="Arial"/>
          <w:lang w:val="en-US"/>
        </w:rPr>
        <w:t>further 4</w:t>
      </w:r>
      <w:r w:rsidR="00FD24D4">
        <w:rPr>
          <w:rFonts w:ascii="Arial" w:hAnsi="Arial" w:cs="Arial"/>
          <w:lang w:val="en-US"/>
        </w:rPr>
        <w:t xml:space="preserve"> of them </w:t>
      </w:r>
      <w:r w:rsidR="00B014C0" w:rsidRPr="00A51255">
        <w:rPr>
          <w:rFonts w:ascii="Arial" w:hAnsi="Arial" w:cs="Arial"/>
          <w:lang w:val="en-US"/>
        </w:rPr>
        <w:t xml:space="preserve">are significant </w:t>
      </w:r>
      <w:r w:rsidR="00FD24D4">
        <w:rPr>
          <w:rFonts w:ascii="Arial" w:hAnsi="Arial" w:cs="Arial"/>
          <w:lang w:val="en-US"/>
        </w:rPr>
        <w:t>and negative</w:t>
      </w:r>
      <w:r w:rsidR="00B014C0" w:rsidRPr="00A51255">
        <w:rPr>
          <w:rFonts w:ascii="Arial" w:hAnsi="Arial" w:cs="Arial"/>
          <w:lang w:val="en-US"/>
        </w:rPr>
        <w:t xml:space="preserve">. </w:t>
      </w:r>
      <w:r w:rsidRPr="00A51255">
        <w:rPr>
          <w:rFonts w:ascii="Arial" w:hAnsi="Arial" w:cs="Arial"/>
          <w:lang w:val="en-US"/>
        </w:rPr>
        <w:t xml:space="preserve">On the next day after the announcement, this effect is </w:t>
      </w:r>
      <w:r w:rsidR="00DD4765">
        <w:rPr>
          <w:rFonts w:ascii="Arial" w:hAnsi="Arial" w:cs="Arial"/>
          <w:lang w:val="en-US"/>
        </w:rPr>
        <w:t xml:space="preserve">very similar and </w:t>
      </w:r>
      <w:r w:rsidRPr="00A51255">
        <w:rPr>
          <w:rFonts w:ascii="Arial" w:hAnsi="Arial" w:cs="Arial"/>
          <w:lang w:val="en-US"/>
        </w:rPr>
        <w:t>there is evidence that in ca</w:t>
      </w:r>
      <w:r w:rsidR="008D5AB7" w:rsidRPr="00A51255">
        <w:rPr>
          <w:rFonts w:ascii="Arial" w:hAnsi="Arial" w:cs="Arial"/>
          <w:lang w:val="en-US"/>
        </w:rPr>
        <w:t>se of all four dummies there is</w:t>
      </w:r>
      <w:r w:rsidRPr="00A51255">
        <w:rPr>
          <w:rFonts w:ascii="Arial" w:hAnsi="Arial" w:cs="Arial"/>
          <w:lang w:val="en-US"/>
        </w:rPr>
        <w:t xml:space="preserve"> reduction of market uncertainty. This decline in market volatility could be responsible for </w:t>
      </w:r>
      <w:r w:rsidR="00A16C16">
        <w:rPr>
          <w:rFonts w:ascii="Arial" w:hAnsi="Arial" w:cs="Arial"/>
          <w:lang w:val="en-US"/>
        </w:rPr>
        <w:t xml:space="preserve">the </w:t>
      </w:r>
      <w:r w:rsidRPr="00A51255">
        <w:rPr>
          <w:rFonts w:ascii="Arial" w:hAnsi="Arial" w:cs="Arial"/>
          <w:lang w:val="en-US"/>
        </w:rPr>
        <w:t xml:space="preserve">higher trading volume activity reported in </w:t>
      </w:r>
      <w:r w:rsidR="00BF37B1">
        <w:rPr>
          <w:rFonts w:ascii="Arial" w:hAnsi="Arial" w:cs="Arial"/>
          <w:lang w:val="en-US"/>
        </w:rPr>
        <w:t>Table</w:t>
      </w:r>
      <w:r w:rsidR="00FE14F9">
        <w:rPr>
          <w:rFonts w:ascii="Arial" w:hAnsi="Arial" w:cs="Arial"/>
          <w:lang w:val="en-US"/>
        </w:rPr>
        <w:t>s</w:t>
      </w:r>
      <w:r w:rsidR="00BF37B1">
        <w:rPr>
          <w:rFonts w:ascii="Arial" w:hAnsi="Arial" w:cs="Arial"/>
          <w:lang w:val="en-US"/>
        </w:rPr>
        <w:t xml:space="preserve"> 4a</w:t>
      </w:r>
      <w:r w:rsidR="00FE14F9">
        <w:rPr>
          <w:rFonts w:ascii="Arial" w:hAnsi="Arial" w:cs="Arial"/>
          <w:lang w:val="en-US"/>
        </w:rPr>
        <w:t xml:space="preserve"> and 4b</w:t>
      </w:r>
      <w:r w:rsidRPr="00A51255">
        <w:rPr>
          <w:rFonts w:ascii="Arial" w:hAnsi="Arial" w:cs="Arial"/>
          <w:lang w:val="en-US"/>
        </w:rPr>
        <w:t xml:space="preserve">. </w:t>
      </w:r>
    </w:p>
    <w:p w:rsidR="000717E4" w:rsidRPr="00A51255" w:rsidRDefault="00BF37B1" w:rsidP="000717E4">
      <w:pPr>
        <w:spacing w:line="480" w:lineRule="auto"/>
        <w:ind w:firstLine="708"/>
        <w:jc w:val="both"/>
        <w:rPr>
          <w:rFonts w:ascii="Arial" w:hAnsi="Arial" w:cs="Arial"/>
          <w:lang w:val="en-US"/>
        </w:rPr>
      </w:pPr>
      <w:r>
        <w:rPr>
          <w:rFonts w:ascii="Arial" w:hAnsi="Arial" w:cs="Arial"/>
          <w:lang w:val="en-US"/>
        </w:rPr>
        <w:t>Table</w:t>
      </w:r>
      <w:r w:rsidR="00684A82">
        <w:rPr>
          <w:rFonts w:ascii="Arial" w:hAnsi="Arial" w:cs="Arial"/>
          <w:lang w:val="en-US"/>
        </w:rPr>
        <w:t>s</w:t>
      </w:r>
      <w:r>
        <w:rPr>
          <w:rFonts w:ascii="Arial" w:hAnsi="Arial" w:cs="Arial"/>
          <w:lang w:val="en-US"/>
        </w:rPr>
        <w:t xml:space="preserve"> </w:t>
      </w:r>
      <w:r w:rsidR="00684A82">
        <w:rPr>
          <w:rFonts w:ascii="Arial" w:hAnsi="Arial" w:cs="Arial"/>
          <w:lang w:val="en-US"/>
        </w:rPr>
        <w:t>4a-</w:t>
      </w:r>
      <w:r>
        <w:rPr>
          <w:rFonts w:ascii="Arial" w:hAnsi="Arial" w:cs="Arial"/>
          <w:lang w:val="en-US"/>
        </w:rPr>
        <w:t>4b</w:t>
      </w:r>
      <w:r w:rsidR="000717E4" w:rsidRPr="00A51255">
        <w:rPr>
          <w:rFonts w:ascii="Arial" w:hAnsi="Arial" w:cs="Arial"/>
          <w:lang w:val="en-US"/>
        </w:rPr>
        <w:t xml:space="preserve"> </w:t>
      </w:r>
      <w:r w:rsidR="00173776" w:rsidRPr="00A51255">
        <w:rPr>
          <w:rFonts w:ascii="Arial" w:hAnsi="Arial" w:cs="Arial"/>
          <w:lang w:val="en-US"/>
        </w:rPr>
        <w:t>present</w:t>
      </w:r>
      <w:r w:rsidR="000717E4" w:rsidRPr="00A51255">
        <w:rPr>
          <w:rFonts w:ascii="Arial" w:hAnsi="Arial" w:cs="Arial"/>
          <w:lang w:val="en-US"/>
        </w:rPr>
        <w:t xml:space="preserve"> the estimates of the GARCH model for volume of trade percentage changes where the dummy variables are included in the conditional variance function (i.e. equation </w:t>
      </w:r>
      <w:r w:rsidR="00023952">
        <w:rPr>
          <w:rFonts w:ascii="Arial" w:hAnsi="Arial" w:cs="Arial"/>
          <w:lang w:val="en-US"/>
        </w:rPr>
        <w:t>(4</w:t>
      </w:r>
      <w:r w:rsidR="00D5206E">
        <w:rPr>
          <w:rFonts w:ascii="Arial" w:hAnsi="Arial" w:cs="Arial"/>
          <w:lang w:val="en-US"/>
        </w:rPr>
        <w:t>)</w:t>
      </w:r>
      <w:r w:rsidR="000717E4" w:rsidRPr="00A51255">
        <w:rPr>
          <w:rFonts w:ascii="Arial" w:hAnsi="Arial" w:cs="Arial"/>
          <w:lang w:val="en-US"/>
        </w:rPr>
        <w:t>)</w:t>
      </w:r>
      <w:r w:rsidR="000717E4" w:rsidRPr="00A51255">
        <w:rPr>
          <w:lang w:val="en-US"/>
        </w:rPr>
        <w:t>.</w:t>
      </w:r>
      <w:r w:rsidR="000717E4" w:rsidRPr="00A51255">
        <w:rPr>
          <w:rFonts w:ascii="Arial" w:hAnsi="Arial" w:cs="Arial"/>
          <w:lang w:val="en-US"/>
        </w:rPr>
        <w:t xml:space="preserve"> On the day of the announcement, </w:t>
      </w:r>
      <w:r w:rsidR="00F0432F" w:rsidRPr="00A51255">
        <w:rPr>
          <w:rFonts w:ascii="Arial" w:hAnsi="Arial" w:cs="Arial"/>
          <w:lang w:val="en-US"/>
        </w:rPr>
        <w:t>similarly to the</w:t>
      </w:r>
      <w:r w:rsidR="00FD043D" w:rsidRPr="00A51255">
        <w:rPr>
          <w:rFonts w:ascii="Arial" w:hAnsi="Arial" w:cs="Arial"/>
          <w:lang w:val="en-US"/>
        </w:rPr>
        <w:t xml:space="preserve"> results for the</w:t>
      </w:r>
      <w:r w:rsidR="00F0432F" w:rsidRPr="00A51255">
        <w:rPr>
          <w:rFonts w:ascii="Arial" w:hAnsi="Arial" w:cs="Arial"/>
          <w:lang w:val="en-US"/>
        </w:rPr>
        <w:t xml:space="preserve"> </w:t>
      </w:r>
      <w:r w:rsidR="00F0432F" w:rsidRPr="00A51255">
        <w:rPr>
          <w:i/>
          <w:lang w:val="en-US"/>
        </w:rPr>
        <w:t>MS</w:t>
      </w:r>
      <w:r w:rsidR="00F0432F" w:rsidRPr="00A51255">
        <w:rPr>
          <w:rFonts w:ascii="Arial" w:hAnsi="Arial" w:cs="Arial"/>
          <w:lang w:val="en-US"/>
        </w:rPr>
        <w:t xml:space="preserve"> dummy, </w:t>
      </w:r>
      <w:r w:rsidR="00023952">
        <w:rPr>
          <w:rFonts w:ascii="Arial" w:hAnsi="Arial" w:cs="Arial"/>
          <w:lang w:val="en-US"/>
        </w:rPr>
        <w:t>two other</w:t>
      </w:r>
      <w:r w:rsidR="001A093D" w:rsidRPr="00A51255">
        <w:rPr>
          <w:rFonts w:ascii="Arial" w:hAnsi="Arial" w:cs="Arial"/>
          <w:lang w:val="en-US"/>
        </w:rPr>
        <w:t xml:space="preserve"> s</w:t>
      </w:r>
      <w:r w:rsidR="000717E4" w:rsidRPr="00A51255">
        <w:rPr>
          <w:rFonts w:ascii="Arial" w:hAnsi="Arial" w:cs="Arial"/>
          <w:lang w:val="en-US"/>
        </w:rPr>
        <w:t xml:space="preserve">trongly positive </w:t>
      </w:r>
      <w:r w:rsidR="009F7358" w:rsidRPr="00A51255">
        <w:rPr>
          <w:rFonts w:ascii="Arial" w:hAnsi="Arial" w:cs="Arial"/>
          <w:lang w:val="en-US"/>
        </w:rPr>
        <w:t xml:space="preserve">and strongly negative </w:t>
      </w:r>
      <w:r w:rsidR="000717E4" w:rsidRPr="00A51255">
        <w:rPr>
          <w:rFonts w:ascii="Arial" w:hAnsi="Arial" w:cs="Arial"/>
          <w:lang w:val="en-US"/>
        </w:rPr>
        <w:t>announcements (</w:t>
      </w:r>
      <w:r w:rsidR="000717E4" w:rsidRPr="00A51255">
        <w:rPr>
          <w:i/>
          <w:lang w:val="en-US"/>
        </w:rPr>
        <w:t>RM</w:t>
      </w:r>
      <w:r w:rsidR="00023952">
        <w:rPr>
          <w:rFonts w:ascii="Arial" w:hAnsi="Arial" w:cs="Arial"/>
          <w:lang w:val="en-US"/>
        </w:rPr>
        <w:t xml:space="preserve"> and</w:t>
      </w:r>
      <w:r w:rsidR="000717E4" w:rsidRPr="00A51255">
        <w:rPr>
          <w:rFonts w:ascii="Arial" w:hAnsi="Arial" w:cs="Arial"/>
          <w:lang w:val="en-US"/>
        </w:rPr>
        <w:t xml:space="preserve"> </w:t>
      </w:r>
      <w:r w:rsidR="000717E4" w:rsidRPr="00A51255">
        <w:rPr>
          <w:i/>
          <w:lang w:val="en-US"/>
        </w:rPr>
        <w:t>BOP</w:t>
      </w:r>
      <w:r w:rsidR="000717E4" w:rsidRPr="00A51255">
        <w:rPr>
          <w:rFonts w:ascii="Arial" w:hAnsi="Arial" w:cs="Arial"/>
          <w:lang w:val="en-US"/>
        </w:rPr>
        <w:t>) ha</w:t>
      </w:r>
      <w:r w:rsidR="00A16C16">
        <w:rPr>
          <w:rFonts w:ascii="Arial" w:hAnsi="Arial" w:cs="Arial"/>
          <w:lang w:val="en-US"/>
        </w:rPr>
        <w:t>d</w:t>
      </w:r>
      <w:r w:rsidR="000717E4" w:rsidRPr="00A51255">
        <w:rPr>
          <w:rFonts w:ascii="Arial" w:hAnsi="Arial" w:cs="Arial"/>
          <w:lang w:val="en-US"/>
        </w:rPr>
        <w:t xml:space="preserve"> a statistically significant effect on the volatility. In all th</w:t>
      </w:r>
      <w:r w:rsidR="00A16C16">
        <w:rPr>
          <w:rFonts w:ascii="Arial" w:hAnsi="Arial" w:cs="Arial"/>
          <w:lang w:val="en-US"/>
        </w:rPr>
        <w:t>e</w:t>
      </w:r>
      <w:r w:rsidR="000717E4" w:rsidRPr="00A51255">
        <w:rPr>
          <w:rFonts w:ascii="Arial" w:hAnsi="Arial" w:cs="Arial"/>
          <w:lang w:val="en-US"/>
        </w:rPr>
        <w:t>se cases the estimates are negative and they are all significant at the 1% level. The dominance of statistically significant estimates that have negative sign suggests that the</w:t>
      </w:r>
      <w:r w:rsidR="009F7358" w:rsidRPr="00A51255">
        <w:rPr>
          <w:rFonts w:ascii="Arial" w:hAnsi="Arial" w:cs="Arial"/>
          <w:lang w:val="en-US"/>
        </w:rPr>
        <w:t>se</w:t>
      </w:r>
      <w:r w:rsidR="000717E4" w:rsidRPr="00A51255">
        <w:rPr>
          <w:rFonts w:ascii="Arial" w:hAnsi="Arial" w:cs="Arial"/>
          <w:lang w:val="en-US"/>
        </w:rPr>
        <w:t xml:space="preserve"> announcements have a calming impact on volatility. On the next day, all four </w:t>
      </w:r>
      <w:r w:rsidR="00023952">
        <w:rPr>
          <w:rFonts w:ascii="Arial" w:hAnsi="Arial" w:cs="Arial"/>
          <w:lang w:val="en-US"/>
        </w:rPr>
        <w:t xml:space="preserve">strongly positive and strongly negative </w:t>
      </w:r>
      <w:r w:rsidR="000717E4" w:rsidRPr="00A51255">
        <w:rPr>
          <w:rFonts w:ascii="Arial" w:hAnsi="Arial" w:cs="Arial"/>
          <w:lang w:val="en-US"/>
        </w:rPr>
        <w:t xml:space="preserve">dummies </w:t>
      </w:r>
      <w:r w:rsidR="009F7358" w:rsidRPr="00A51255">
        <w:rPr>
          <w:rFonts w:ascii="Arial" w:hAnsi="Arial" w:cs="Arial"/>
          <w:lang w:val="en-US"/>
        </w:rPr>
        <w:t xml:space="preserve">further </w:t>
      </w:r>
      <w:r w:rsidR="000717E4" w:rsidRPr="00A51255">
        <w:rPr>
          <w:rFonts w:ascii="Arial" w:hAnsi="Arial" w:cs="Arial"/>
          <w:lang w:val="en-US"/>
        </w:rPr>
        <w:t>affect</w:t>
      </w:r>
      <w:r w:rsidR="00A16C16">
        <w:rPr>
          <w:rFonts w:ascii="Arial" w:hAnsi="Arial" w:cs="Arial"/>
          <w:lang w:val="en-US"/>
        </w:rPr>
        <w:t>ed</w:t>
      </w:r>
      <w:r w:rsidR="000717E4" w:rsidRPr="00A51255">
        <w:rPr>
          <w:rFonts w:ascii="Arial" w:hAnsi="Arial" w:cs="Arial"/>
          <w:lang w:val="en-US"/>
        </w:rPr>
        <w:t xml:space="preserve"> the conditional volatility of the trading volume</w:t>
      </w:r>
      <w:r w:rsidR="00023952">
        <w:rPr>
          <w:rFonts w:ascii="Arial" w:hAnsi="Arial" w:cs="Arial"/>
          <w:lang w:val="en-US"/>
        </w:rPr>
        <w:t>,</w:t>
      </w:r>
      <w:r w:rsidR="009F7358" w:rsidRPr="00A51255">
        <w:rPr>
          <w:rFonts w:ascii="Arial" w:hAnsi="Arial" w:cs="Arial"/>
          <w:lang w:val="en-US"/>
        </w:rPr>
        <w:t xml:space="preserve"> </w:t>
      </w:r>
      <w:r w:rsidR="000717E4" w:rsidRPr="00A51255">
        <w:rPr>
          <w:rFonts w:ascii="Arial" w:hAnsi="Arial" w:cs="Arial"/>
          <w:lang w:val="en-US"/>
        </w:rPr>
        <w:t>again suggesting existence of the calming effects. In addition</w:t>
      </w:r>
      <w:r w:rsidR="00BD5479" w:rsidRPr="00A51255">
        <w:rPr>
          <w:rFonts w:ascii="Arial" w:hAnsi="Arial" w:cs="Arial"/>
          <w:lang w:val="en-US"/>
        </w:rPr>
        <w:t>,</w:t>
      </w:r>
      <w:r w:rsidR="000717E4" w:rsidRPr="00A51255">
        <w:rPr>
          <w:rFonts w:ascii="Arial" w:hAnsi="Arial" w:cs="Arial"/>
          <w:lang w:val="en-US"/>
        </w:rPr>
        <w:t xml:space="preserve"> </w:t>
      </w:r>
      <w:r w:rsidR="00624BD0">
        <w:rPr>
          <w:rFonts w:ascii="Arial" w:hAnsi="Arial" w:cs="Arial"/>
          <w:lang w:val="en-US"/>
        </w:rPr>
        <w:t xml:space="preserve">two </w:t>
      </w:r>
      <w:r w:rsidR="00031F9D">
        <w:rPr>
          <w:rFonts w:ascii="Arial" w:hAnsi="Arial" w:cs="Arial"/>
          <w:lang w:val="en-US"/>
        </w:rPr>
        <w:t>surprises of medium strength (</w:t>
      </w:r>
      <w:r w:rsidR="00023952" w:rsidRPr="00023952">
        <w:rPr>
          <w:rFonts w:ascii="Arial" w:hAnsi="Arial" w:cs="Arial"/>
          <w:lang w:val="en-US"/>
        </w:rPr>
        <w:t>positive and negative</w:t>
      </w:r>
      <w:r w:rsidR="000717E4" w:rsidRPr="00A51255">
        <w:rPr>
          <w:rFonts w:ascii="Arial" w:hAnsi="Arial" w:cs="Arial"/>
          <w:lang w:val="en-US"/>
        </w:rPr>
        <w:t xml:space="preserve"> </w:t>
      </w:r>
      <w:r w:rsidR="000717E4" w:rsidRPr="00A51255">
        <w:rPr>
          <w:i/>
          <w:lang w:val="en-US"/>
        </w:rPr>
        <w:t>AL</w:t>
      </w:r>
      <w:r w:rsidR="000717E4" w:rsidRPr="00A51255">
        <w:rPr>
          <w:rFonts w:ascii="Arial" w:hAnsi="Arial" w:cs="Arial"/>
          <w:lang w:val="en-US"/>
        </w:rPr>
        <w:t xml:space="preserve">) are </w:t>
      </w:r>
      <w:r w:rsidR="00A16C16">
        <w:rPr>
          <w:rFonts w:ascii="Arial" w:hAnsi="Arial" w:cs="Arial"/>
          <w:lang w:val="en-US"/>
        </w:rPr>
        <w:t xml:space="preserve">also </w:t>
      </w:r>
      <w:r w:rsidR="000717E4" w:rsidRPr="00A51255">
        <w:rPr>
          <w:rFonts w:ascii="Arial" w:hAnsi="Arial" w:cs="Arial"/>
          <w:lang w:val="en-US"/>
        </w:rPr>
        <w:t xml:space="preserve">statistically significant and with negative signs. </w:t>
      </w:r>
    </w:p>
    <w:p w:rsidR="00766C18" w:rsidRPr="00A51255" w:rsidRDefault="00F0432F" w:rsidP="00766C18">
      <w:pPr>
        <w:spacing w:line="480" w:lineRule="auto"/>
        <w:ind w:firstLine="708"/>
        <w:jc w:val="both"/>
        <w:rPr>
          <w:rFonts w:ascii="Arial" w:hAnsi="Arial" w:cs="Arial"/>
          <w:color w:val="000000"/>
          <w:lang w:val="en-US"/>
        </w:rPr>
      </w:pPr>
      <w:r w:rsidRPr="00A51255">
        <w:rPr>
          <w:rFonts w:ascii="Arial" w:hAnsi="Arial" w:cs="Arial"/>
          <w:color w:val="000000"/>
          <w:lang w:val="en-US"/>
        </w:rPr>
        <w:t xml:space="preserve">The results in </w:t>
      </w:r>
      <w:r w:rsidR="00BF37B1">
        <w:rPr>
          <w:rFonts w:ascii="Arial" w:hAnsi="Arial" w:cs="Arial"/>
          <w:color w:val="000000"/>
          <w:lang w:val="en-US"/>
        </w:rPr>
        <w:t>Table</w:t>
      </w:r>
      <w:r w:rsidR="00031F9D">
        <w:rPr>
          <w:rFonts w:ascii="Arial" w:hAnsi="Arial" w:cs="Arial"/>
          <w:color w:val="000000"/>
          <w:lang w:val="en-US"/>
        </w:rPr>
        <w:t>s 4a and</w:t>
      </w:r>
      <w:r w:rsidR="00BF37B1">
        <w:rPr>
          <w:rFonts w:ascii="Arial" w:hAnsi="Arial" w:cs="Arial"/>
          <w:color w:val="000000"/>
          <w:lang w:val="en-US"/>
        </w:rPr>
        <w:t xml:space="preserve"> 4b</w:t>
      </w:r>
      <w:r w:rsidR="00FD043D" w:rsidRPr="00A51255">
        <w:rPr>
          <w:rFonts w:ascii="Arial" w:hAnsi="Arial" w:cs="Arial"/>
          <w:color w:val="000000"/>
          <w:lang w:val="en-US"/>
        </w:rPr>
        <w:t xml:space="preserve"> for</w:t>
      </w:r>
      <w:r w:rsidRPr="00A51255">
        <w:rPr>
          <w:rFonts w:ascii="Arial" w:hAnsi="Arial" w:cs="Arial"/>
          <w:color w:val="000000"/>
          <w:lang w:val="en-US"/>
        </w:rPr>
        <w:t xml:space="preserve"> </w:t>
      </w:r>
      <w:r w:rsidR="00FD043D" w:rsidRPr="00A51255">
        <w:rPr>
          <w:i/>
          <w:lang w:val="en-US"/>
        </w:rPr>
        <w:t>RM</w:t>
      </w:r>
      <w:r w:rsidR="00FD043D" w:rsidRPr="00A51255">
        <w:rPr>
          <w:rFonts w:ascii="Arial" w:hAnsi="Arial" w:cs="Arial"/>
          <w:lang w:val="en-US"/>
        </w:rPr>
        <w:t xml:space="preserve">, </w:t>
      </w:r>
      <w:r w:rsidR="00FD043D" w:rsidRPr="00A51255">
        <w:rPr>
          <w:i/>
          <w:lang w:val="en-US"/>
        </w:rPr>
        <w:t xml:space="preserve">BOP </w:t>
      </w:r>
      <w:r w:rsidR="00FD043D" w:rsidRPr="00A51255">
        <w:rPr>
          <w:rFonts w:ascii="Arial" w:hAnsi="Arial" w:cs="Arial"/>
          <w:lang w:val="en-US"/>
        </w:rPr>
        <w:t>and</w:t>
      </w:r>
      <w:r w:rsidR="00FD043D" w:rsidRPr="00A51255">
        <w:rPr>
          <w:i/>
          <w:lang w:val="en-US"/>
        </w:rPr>
        <w:t xml:space="preserve"> AL</w:t>
      </w:r>
      <w:r w:rsidR="00872B4D" w:rsidRPr="00A51255">
        <w:rPr>
          <w:rFonts w:ascii="Arial" w:hAnsi="Arial" w:cs="Arial"/>
          <w:lang w:val="en-US"/>
        </w:rPr>
        <w:t xml:space="preserve"> confirm</w:t>
      </w:r>
      <w:r w:rsidR="00FD043D" w:rsidRPr="00A51255">
        <w:rPr>
          <w:rFonts w:ascii="Arial" w:hAnsi="Arial" w:cs="Arial"/>
          <w:lang w:val="en-US"/>
        </w:rPr>
        <w:t xml:space="preserve"> </w:t>
      </w:r>
      <w:r w:rsidRPr="00A51255">
        <w:rPr>
          <w:rFonts w:ascii="Arial" w:hAnsi="Arial" w:cs="Arial"/>
          <w:color w:val="000000"/>
          <w:lang w:val="en-US"/>
        </w:rPr>
        <w:t xml:space="preserve">the </w:t>
      </w:r>
      <w:r w:rsidR="00213A39" w:rsidRPr="00A51255">
        <w:rPr>
          <w:rFonts w:ascii="Arial" w:hAnsi="Arial" w:cs="Arial"/>
          <w:color w:val="000000"/>
          <w:lang w:val="en-US"/>
        </w:rPr>
        <w:t>importanc</w:t>
      </w:r>
      <w:r w:rsidRPr="00A51255">
        <w:rPr>
          <w:rFonts w:ascii="Arial" w:hAnsi="Arial" w:cs="Arial"/>
          <w:color w:val="000000"/>
          <w:lang w:val="en-US"/>
        </w:rPr>
        <w:t>e of the GARCH-in-mean term</w:t>
      </w:r>
      <w:r w:rsidR="00CC46EB" w:rsidRPr="00A51255">
        <w:rPr>
          <w:rFonts w:ascii="Arial" w:hAnsi="Arial" w:cs="Arial"/>
          <w:color w:val="000000"/>
          <w:lang w:val="en-US"/>
        </w:rPr>
        <w:t>s</w:t>
      </w:r>
      <w:r w:rsidRPr="00A51255">
        <w:rPr>
          <w:rFonts w:ascii="Arial" w:hAnsi="Arial" w:cs="Arial"/>
          <w:color w:val="000000"/>
          <w:lang w:val="en-US"/>
        </w:rPr>
        <w:t>.</w:t>
      </w:r>
      <w:r w:rsidR="009B7C23" w:rsidRPr="00A51255">
        <w:rPr>
          <w:rFonts w:ascii="Arial" w:hAnsi="Arial" w:cs="Arial"/>
          <w:color w:val="000000"/>
          <w:lang w:val="en-US"/>
        </w:rPr>
        <w:t xml:space="preserve"> </w:t>
      </w:r>
      <w:r w:rsidR="00FD043D" w:rsidRPr="00A51255">
        <w:rPr>
          <w:rFonts w:ascii="Arial" w:hAnsi="Arial" w:cs="Arial"/>
          <w:color w:val="000000"/>
          <w:lang w:val="en-US"/>
        </w:rPr>
        <w:t>Th</w:t>
      </w:r>
      <w:r w:rsidRPr="00A51255">
        <w:rPr>
          <w:rFonts w:ascii="Arial" w:hAnsi="Arial" w:cs="Arial"/>
          <w:color w:val="000000"/>
          <w:lang w:val="en-US"/>
        </w:rPr>
        <w:t xml:space="preserve">e estimates of the GARCH-in-mean parameters </w:t>
      </w:r>
      <w:r w:rsidR="00A16C16">
        <w:rPr>
          <w:rFonts w:ascii="Arial" w:hAnsi="Arial" w:cs="Arial"/>
          <w:color w:val="000000"/>
          <w:lang w:val="en-US"/>
        </w:rPr>
        <w:t xml:space="preserve">are </w:t>
      </w:r>
      <w:r w:rsidR="00213A39" w:rsidRPr="00A51255">
        <w:rPr>
          <w:rFonts w:ascii="Arial" w:hAnsi="Arial" w:cs="Arial"/>
          <w:color w:val="000000"/>
          <w:lang w:val="en-US"/>
        </w:rPr>
        <w:t>mostly</w:t>
      </w:r>
      <w:r w:rsidRPr="00A51255">
        <w:rPr>
          <w:rFonts w:ascii="Arial" w:hAnsi="Arial" w:cs="Arial"/>
          <w:color w:val="000000"/>
          <w:lang w:val="en-US"/>
        </w:rPr>
        <w:t xml:space="preserve"> statistically significant and </w:t>
      </w:r>
      <w:r w:rsidR="006923B4" w:rsidRPr="00A51255">
        <w:rPr>
          <w:rFonts w:ascii="Arial" w:hAnsi="Arial" w:cs="Arial"/>
          <w:color w:val="000000"/>
          <w:lang w:val="en-US"/>
        </w:rPr>
        <w:t xml:space="preserve">they are always </w:t>
      </w:r>
      <w:r w:rsidRPr="00A51255">
        <w:rPr>
          <w:rFonts w:ascii="Arial" w:hAnsi="Arial" w:cs="Arial"/>
          <w:color w:val="000000"/>
          <w:lang w:val="en-US"/>
        </w:rPr>
        <w:t>negative</w:t>
      </w:r>
      <w:r w:rsidR="006923B4" w:rsidRPr="00A51255">
        <w:rPr>
          <w:rFonts w:ascii="Arial" w:hAnsi="Arial" w:cs="Arial"/>
          <w:color w:val="000000"/>
          <w:lang w:val="en-US"/>
        </w:rPr>
        <w:t>. They</w:t>
      </w:r>
      <w:r w:rsidR="00CC46EB" w:rsidRPr="00A51255">
        <w:rPr>
          <w:rFonts w:ascii="Arial" w:hAnsi="Arial" w:cs="Arial"/>
          <w:color w:val="000000"/>
          <w:lang w:val="en-US"/>
        </w:rPr>
        <w:t xml:space="preserve"> </w:t>
      </w:r>
      <w:r w:rsidR="00031F9D">
        <w:rPr>
          <w:rFonts w:ascii="Arial" w:hAnsi="Arial" w:cs="Arial"/>
          <w:color w:val="000000"/>
          <w:lang w:val="en-US"/>
        </w:rPr>
        <w:t>range between -11.14 and 21.97</w:t>
      </w:r>
      <w:r w:rsidR="00FD043D" w:rsidRPr="00A51255">
        <w:rPr>
          <w:rFonts w:ascii="Arial" w:hAnsi="Arial" w:cs="Arial"/>
          <w:color w:val="000000"/>
          <w:lang w:val="en-US"/>
        </w:rPr>
        <w:t>.</w:t>
      </w:r>
      <w:r w:rsidRPr="00A51255">
        <w:rPr>
          <w:rFonts w:ascii="Arial" w:hAnsi="Arial" w:cs="Arial"/>
          <w:lang w:val="en-US"/>
        </w:rPr>
        <w:t xml:space="preserve"> </w:t>
      </w:r>
      <w:r w:rsidR="00766C18" w:rsidRPr="00A51255">
        <w:rPr>
          <w:rFonts w:ascii="Arial" w:hAnsi="Arial" w:cs="Arial"/>
          <w:lang w:val="en-US"/>
        </w:rPr>
        <w:t>Therefore, d</w:t>
      </w:r>
      <w:r w:rsidR="00766C18" w:rsidRPr="00A51255">
        <w:rPr>
          <w:rFonts w:ascii="Arial" w:hAnsi="Arial" w:cs="Arial"/>
          <w:color w:val="000000"/>
          <w:lang w:val="en-US"/>
        </w:rPr>
        <w:t>epending upon the announcement employed, a 1</w:t>
      </w:r>
      <w:r w:rsidR="00FA6FD1" w:rsidRPr="00A51255">
        <w:rPr>
          <w:rFonts w:ascii="Arial" w:hAnsi="Arial" w:cs="Arial"/>
          <w:color w:val="000000"/>
          <w:lang w:val="en-US"/>
        </w:rPr>
        <w:t>%</w:t>
      </w:r>
      <w:r w:rsidR="00766C18" w:rsidRPr="00A51255">
        <w:rPr>
          <w:rFonts w:ascii="Arial" w:hAnsi="Arial" w:cs="Arial"/>
          <w:color w:val="000000"/>
          <w:lang w:val="en-US"/>
        </w:rPr>
        <w:t xml:space="preserve"> increase in the </w:t>
      </w:r>
      <w:r w:rsidR="00766C18" w:rsidRPr="00A51255">
        <w:rPr>
          <w:rFonts w:ascii="Arial" w:hAnsi="Arial" w:cs="Arial"/>
          <w:i/>
          <w:color w:val="000000"/>
          <w:lang w:val="en-US"/>
        </w:rPr>
        <w:t>standard deviation</w:t>
      </w:r>
      <w:r w:rsidR="00766C18" w:rsidRPr="00A51255">
        <w:rPr>
          <w:rFonts w:ascii="Arial" w:hAnsi="Arial" w:cs="Arial"/>
          <w:color w:val="000000"/>
          <w:lang w:val="en-US"/>
        </w:rPr>
        <w:t xml:space="preserve"> of the </w:t>
      </w:r>
      <w:r w:rsidR="009B2F04">
        <w:rPr>
          <w:rFonts w:ascii="Arial" w:hAnsi="Arial" w:cs="Arial"/>
          <w:color w:val="000000"/>
          <w:lang w:val="en-US"/>
        </w:rPr>
        <w:t xml:space="preserve">foreign exchange rate returns </w:t>
      </w:r>
      <w:r w:rsidR="00546C73">
        <w:rPr>
          <w:rFonts w:ascii="Arial" w:hAnsi="Arial" w:cs="Arial"/>
          <w:color w:val="000000"/>
          <w:lang w:val="en-US"/>
        </w:rPr>
        <w:t>br</w:t>
      </w:r>
      <w:r w:rsidR="00A16C16">
        <w:rPr>
          <w:rFonts w:ascii="Arial" w:hAnsi="Arial" w:cs="Arial"/>
          <w:color w:val="000000"/>
          <w:lang w:val="en-US"/>
        </w:rPr>
        <w:t>ought</w:t>
      </w:r>
      <w:r w:rsidR="00546C73">
        <w:rPr>
          <w:rFonts w:ascii="Arial" w:hAnsi="Arial" w:cs="Arial"/>
          <w:color w:val="000000"/>
          <w:lang w:val="en-US"/>
        </w:rPr>
        <w:t xml:space="preserve"> between</w:t>
      </w:r>
      <w:r w:rsidR="00A16C16">
        <w:rPr>
          <w:rFonts w:ascii="Arial" w:hAnsi="Arial" w:cs="Arial"/>
          <w:color w:val="000000"/>
          <w:lang w:val="en-US"/>
        </w:rPr>
        <w:t xml:space="preserve"> an</w:t>
      </w:r>
      <w:r w:rsidR="00546C73">
        <w:rPr>
          <w:rFonts w:ascii="Arial" w:hAnsi="Arial" w:cs="Arial"/>
          <w:color w:val="000000"/>
          <w:lang w:val="en-US"/>
        </w:rPr>
        <w:t xml:space="preserve"> 11.14</w:t>
      </w:r>
      <w:r w:rsidR="00FA6FD1" w:rsidRPr="00A51255">
        <w:rPr>
          <w:rFonts w:ascii="Arial" w:hAnsi="Arial" w:cs="Arial"/>
          <w:color w:val="000000"/>
          <w:lang w:val="en-US"/>
        </w:rPr>
        <w:t>%</w:t>
      </w:r>
      <w:r w:rsidR="00546C73">
        <w:rPr>
          <w:rFonts w:ascii="Arial" w:hAnsi="Arial" w:cs="Arial"/>
          <w:color w:val="000000"/>
          <w:lang w:val="en-US"/>
        </w:rPr>
        <w:t xml:space="preserve"> and 21.97</w:t>
      </w:r>
      <w:r w:rsidR="00FA6FD1" w:rsidRPr="00A51255">
        <w:rPr>
          <w:rFonts w:ascii="Arial" w:hAnsi="Arial" w:cs="Arial"/>
          <w:color w:val="000000"/>
          <w:lang w:val="en-US"/>
        </w:rPr>
        <w:t>%</w:t>
      </w:r>
      <w:r w:rsidR="00467ABA">
        <w:rPr>
          <w:rFonts w:ascii="Arial" w:hAnsi="Arial" w:cs="Arial"/>
          <w:color w:val="000000"/>
          <w:lang w:val="en-US"/>
        </w:rPr>
        <w:t xml:space="preserve"> decline in the</w:t>
      </w:r>
      <w:r w:rsidR="00BF6FC9">
        <w:rPr>
          <w:rFonts w:ascii="Arial" w:hAnsi="Arial" w:cs="Arial"/>
          <w:color w:val="000000"/>
          <w:lang w:val="en-US"/>
        </w:rPr>
        <w:t xml:space="preserve"> volume</w:t>
      </w:r>
      <w:r w:rsidR="00467ABA">
        <w:rPr>
          <w:rFonts w:ascii="Arial" w:hAnsi="Arial" w:cs="Arial"/>
          <w:color w:val="000000"/>
          <w:lang w:val="en-US"/>
        </w:rPr>
        <w:t xml:space="preserve"> of trade</w:t>
      </w:r>
      <w:r w:rsidR="004020A7">
        <w:rPr>
          <w:rFonts w:ascii="Arial" w:hAnsi="Arial" w:cs="Arial"/>
          <w:color w:val="000000"/>
          <w:lang w:val="en-US"/>
        </w:rPr>
        <w:t xml:space="preserve">. </w:t>
      </w:r>
      <w:r w:rsidR="009E1048" w:rsidRPr="004020A7">
        <w:rPr>
          <w:rFonts w:ascii="Arial" w:hAnsi="Arial" w:cs="Arial"/>
          <w:color w:val="000000"/>
          <w:lang w:val="en-US"/>
        </w:rPr>
        <w:t xml:space="preserve">This </w:t>
      </w:r>
      <w:r w:rsidR="004803D8" w:rsidRPr="004020A7">
        <w:rPr>
          <w:rFonts w:ascii="Arial" w:hAnsi="Arial" w:cs="Arial"/>
          <w:color w:val="000000"/>
          <w:lang w:val="en-US"/>
        </w:rPr>
        <w:t>effect is relatively very strong if it is considered relative to the value of the average (mean) daily percentage change o</w:t>
      </w:r>
      <w:r w:rsidR="00A127D5">
        <w:rPr>
          <w:rFonts w:ascii="Arial" w:hAnsi="Arial" w:cs="Arial"/>
          <w:color w:val="000000"/>
          <w:lang w:val="en-US"/>
        </w:rPr>
        <w:t>f trading volume (see</w:t>
      </w:r>
      <w:r w:rsidR="004803D8" w:rsidRPr="004020A7">
        <w:rPr>
          <w:rFonts w:ascii="Arial" w:hAnsi="Arial" w:cs="Arial"/>
          <w:color w:val="000000"/>
          <w:lang w:val="en-US"/>
        </w:rPr>
        <w:t xml:space="preserve"> Table 2).</w:t>
      </w:r>
    </w:p>
    <w:p w:rsidR="00E963EC" w:rsidRDefault="00FE1F56" w:rsidP="005058D0">
      <w:pPr>
        <w:spacing w:line="480" w:lineRule="auto"/>
        <w:ind w:firstLine="708"/>
        <w:jc w:val="both"/>
        <w:rPr>
          <w:rFonts w:ascii="Arial" w:hAnsi="Arial" w:cs="Arial"/>
          <w:lang w:val="en-US"/>
        </w:rPr>
      </w:pPr>
      <w:r w:rsidRPr="00A51255">
        <w:rPr>
          <w:rFonts w:ascii="Arial" w:hAnsi="Arial" w:cs="Arial"/>
          <w:lang w:val="en-US"/>
        </w:rPr>
        <w:t>It</w:t>
      </w:r>
      <w:r w:rsidR="00FD043D" w:rsidRPr="00A51255">
        <w:rPr>
          <w:rFonts w:ascii="Arial" w:hAnsi="Arial" w:cs="Arial"/>
          <w:lang w:val="en-US"/>
        </w:rPr>
        <w:t xml:space="preserve"> is important to note </w:t>
      </w:r>
      <w:r w:rsidR="00475C11" w:rsidRPr="00A51255">
        <w:rPr>
          <w:rFonts w:ascii="Arial" w:hAnsi="Arial" w:cs="Arial"/>
          <w:lang w:val="en-US"/>
        </w:rPr>
        <w:t xml:space="preserve">also </w:t>
      </w:r>
      <w:r w:rsidRPr="00A51255">
        <w:rPr>
          <w:rFonts w:ascii="Arial" w:hAnsi="Arial" w:cs="Arial"/>
          <w:lang w:val="en-US"/>
        </w:rPr>
        <w:t xml:space="preserve">here </w:t>
      </w:r>
      <w:r w:rsidR="00FD043D" w:rsidRPr="00A51255">
        <w:rPr>
          <w:rFonts w:ascii="Arial" w:hAnsi="Arial" w:cs="Arial"/>
          <w:lang w:val="en-US"/>
        </w:rPr>
        <w:t xml:space="preserve">that </w:t>
      </w:r>
      <w:r w:rsidR="00F0432F" w:rsidRPr="00A51255">
        <w:rPr>
          <w:rFonts w:ascii="Arial" w:hAnsi="Arial" w:cs="Arial"/>
          <w:lang w:val="en-US"/>
        </w:rPr>
        <w:t>the results in the variant witho</w:t>
      </w:r>
      <w:r w:rsidR="00AE03C4">
        <w:rPr>
          <w:rFonts w:ascii="Arial" w:hAnsi="Arial" w:cs="Arial"/>
          <w:lang w:val="en-US"/>
        </w:rPr>
        <w:t xml:space="preserve">ut the GARCH-in-mean component </w:t>
      </w:r>
      <w:r w:rsidR="00F0432F" w:rsidRPr="00A51255">
        <w:rPr>
          <w:rFonts w:ascii="Arial" w:hAnsi="Arial" w:cs="Arial"/>
          <w:lang w:val="en-US"/>
        </w:rPr>
        <w:t>reveal a very similar picture</w:t>
      </w:r>
      <w:r w:rsidR="00FD043D" w:rsidRPr="00A51255">
        <w:rPr>
          <w:rFonts w:ascii="Arial" w:hAnsi="Arial" w:cs="Arial"/>
          <w:lang w:val="en-US"/>
        </w:rPr>
        <w:t xml:space="preserve"> regarding the estimates of the NBP </w:t>
      </w:r>
      <w:r w:rsidR="00FD043D" w:rsidRPr="00A51255">
        <w:rPr>
          <w:rFonts w:ascii="Arial" w:hAnsi="Arial" w:cs="Arial"/>
          <w:lang w:val="en-US"/>
        </w:rPr>
        <w:lastRenderedPageBreak/>
        <w:t>announcement dummy variables</w:t>
      </w:r>
      <w:r w:rsidR="00F0432F" w:rsidRPr="00A51255">
        <w:rPr>
          <w:rFonts w:ascii="Arial" w:hAnsi="Arial" w:cs="Arial"/>
          <w:lang w:val="en-US"/>
        </w:rPr>
        <w:t>. The pattern of statistical significance of the announcements and their economic significance (i.e. the m</w:t>
      </w:r>
      <w:r w:rsidR="00AE03C4">
        <w:rPr>
          <w:rFonts w:ascii="Arial" w:hAnsi="Arial" w:cs="Arial"/>
          <w:lang w:val="en-US"/>
        </w:rPr>
        <w:t xml:space="preserve">agnitude of the coefficients) </w:t>
      </w:r>
      <w:r w:rsidR="00F0432F" w:rsidRPr="00A51255">
        <w:rPr>
          <w:rFonts w:ascii="Arial" w:hAnsi="Arial" w:cs="Arial"/>
          <w:lang w:val="en-US"/>
        </w:rPr>
        <w:t>stay</w:t>
      </w:r>
      <w:r w:rsidR="00A16C16">
        <w:rPr>
          <w:rFonts w:ascii="Arial" w:hAnsi="Arial" w:cs="Arial"/>
          <w:lang w:val="en-US"/>
        </w:rPr>
        <w:t>ed</w:t>
      </w:r>
      <w:r w:rsidR="00F0432F" w:rsidRPr="00A51255">
        <w:rPr>
          <w:rFonts w:ascii="Arial" w:hAnsi="Arial" w:cs="Arial"/>
          <w:lang w:val="en-US"/>
        </w:rPr>
        <w:t xml:space="preserve"> the same for both</w:t>
      </w:r>
      <w:r w:rsidR="002902A1" w:rsidRPr="00A51255">
        <w:rPr>
          <w:rFonts w:ascii="Arial" w:hAnsi="Arial" w:cs="Arial"/>
          <w:lang w:val="en-US"/>
        </w:rPr>
        <w:t xml:space="preserve"> days</w:t>
      </w:r>
      <w:r w:rsidR="00F0432F" w:rsidRPr="00A51255">
        <w:rPr>
          <w:rFonts w:ascii="Arial" w:hAnsi="Arial" w:cs="Arial"/>
          <w:lang w:val="en-US"/>
        </w:rPr>
        <w:t xml:space="preserve"> </w:t>
      </w:r>
      <w:r w:rsidR="00F0432F" w:rsidRPr="00A51255">
        <w:rPr>
          <w:i/>
          <w:lang w:val="en-US"/>
        </w:rPr>
        <w:t>t</w:t>
      </w:r>
      <w:r w:rsidR="00F0432F" w:rsidRPr="00A51255">
        <w:rPr>
          <w:rFonts w:ascii="Arial" w:hAnsi="Arial" w:cs="Arial"/>
          <w:lang w:val="en-US"/>
        </w:rPr>
        <w:t xml:space="preserve"> and </w:t>
      </w:r>
      <w:r w:rsidR="00F0432F" w:rsidRPr="00A51255">
        <w:rPr>
          <w:i/>
          <w:lang w:val="en-US"/>
        </w:rPr>
        <w:t>t+1</w:t>
      </w:r>
      <w:r w:rsidR="00F0432F" w:rsidRPr="00A51255">
        <w:rPr>
          <w:rFonts w:ascii="Arial" w:hAnsi="Arial" w:cs="Arial"/>
          <w:lang w:val="en-US"/>
        </w:rPr>
        <w:t xml:space="preserve"> </w:t>
      </w:r>
      <w:r w:rsidR="00AE03C4">
        <w:rPr>
          <w:rFonts w:ascii="Arial" w:hAnsi="Arial" w:cs="Arial"/>
          <w:lang w:val="en-US"/>
        </w:rPr>
        <w:t xml:space="preserve">(results not reported here but available upon request). </w:t>
      </w:r>
      <w:r w:rsidR="00F0432F" w:rsidRPr="00A51255">
        <w:rPr>
          <w:rFonts w:ascii="Arial" w:hAnsi="Arial" w:cs="Arial"/>
          <w:lang w:val="en-US"/>
        </w:rPr>
        <w:t>Hence, we can conclude that our results are robust to different model’s specifications with and wit</w:t>
      </w:r>
      <w:r w:rsidR="00777BF5" w:rsidRPr="00A51255">
        <w:rPr>
          <w:rFonts w:ascii="Arial" w:hAnsi="Arial" w:cs="Arial"/>
          <w:lang w:val="en-US"/>
        </w:rPr>
        <w:t>hout the GARCH-in-mean term</w:t>
      </w:r>
      <w:r w:rsidR="00F0432F" w:rsidRPr="00A51255">
        <w:rPr>
          <w:rFonts w:ascii="Arial" w:hAnsi="Arial" w:cs="Arial"/>
          <w:lang w:val="en-US"/>
        </w:rPr>
        <w:t>.</w:t>
      </w:r>
    </w:p>
    <w:p w:rsidR="005058D0" w:rsidRDefault="0048371B" w:rsidP="005058D0">
      <w:pPr>
        <w:spacing w:line="480" w:lineRule="auto"/>
        <w:ind w:firstLine="708"/>
        <w:jc w:val="both"/>
        <w:rPr>
          <w:rFonts w:ascii="Arial" w:hAnsi="Arial" w:cs="Arial"/>
          <w:color w:val="000000"/>
          <w:lang w:val="en-US"/>
        </w:rPr>
      </w:pPr>
      <w:r w:rsidRPr="00A51255">
        <w:rPr>
          <w:rFonts w:ascii="Arial" w:hAnsi="Arial" w:cs="Arial"/>
          <w:lang w:val="en-US"/>
        </w:rPr>
        <w:t>Finally, it should be noted that evidence in Tables 4</w:t>
      </w:r>
      <w:r w:rsidR="00C61AF8">
        <w:rPr>
          <w:rFonts w:ascii="Arial" w:hAnsi="Arial" w:cs="Arial"/>
          <w:lang w:val="en-US"/>
        </w:rPr>
        <w:t>a and 4b</w:t>
      </w:r>
      <w:r w:rsidRPr="00A51255">
        <w:rPr>
          <w:rFonts w:ascii="Arial" w:hAnsi="Arial" w:cs="Arial"/>
          <w:lang w:val="en-US"/>
        </w:rPr>
        <w:t xml:space="preserve"> regarding the estimate of the </w:t>
      </w:r>
      <w:r w:rsidR="009F2288" w:rsidRPr="00A51255">
        <w:rPr>
          <w:rFonts w:ascii="Arial" w:hAnsi="Arial" w:cs="Arial"/>
          <w:position w:val="-14"/>
          <w:lang w:val="en-US"/>
        </w:rPr>
        <w:object w:dxaOrig="1080" w:dyaOrig="460">
          <v:shape id="_x0000_i1071" type="#_x0000_t75" style="width:51.45pt;height:21.85pt" o:ole="">
            <v:imagedata r:id="rId87" o:title=""/>
          </v:shape>
          <o:OLEObject Type="Embed" ProgID="Equation.3" ShapeID="_x0000_i1071" DrawAspect="Content" ObjectID="_1507543418" r:id="rId88"/>
        </w:object>
      </w:r>
      <w:r w:rsidR="00754AF4">
        <w:rPr>
          <w:rFonts w:ascii="Arial" w:hAnsi="Arial" w:cs="Arial"/>
          <w:lang w:val="en-US"/>
        </w:rPr>
        <w:t xml:space="preserve"> variable in </w:t>
      </w:r>
      <w:r w:rsidRPr="00A51255">
        <w:rPr>
          <w:rFonts w:ascii="Arial" w:hAnsi="Arial" w:cs="Arial"/>
          <w:color w:val="000000"/>
          <w:lang w:val="en-US"/>
        </w:rPr>
        <w:t>all models</w:t>
      </w:r>
      <w:r w:rsidR="00754AF4" w:rsidRPr="00737DEA">
        <w:rPr>
          <w:rFonts w:ascii="Arial" w:hAnsi="Arial" w:cs="Arial"/>
          <w:color w:val="000000"/>
          <w:lang w:val="en-US"/>
        </w:rPr>
        <w:t>,</w:t>
      </w:r>
      <w:r w:rsidR="00754AF4" w:rsidRPr="00737DEA">
        <w:rPr>
          <w:rFonts w:ascii="Arial" w:hAnsi="Arial" w:cs="Arial"/>
          <w:lang w:val="en-US"/>
        </w:rPr>
        <w:t xml:space="preserve"> which </w:t>
      </w:r>
      <w:r w:rsidR="00754AF4" w:rsidRPr="00737DEA">
        <w:rPr>
          <w:rFonts w:ascii="Arial" w:hAnsi="Arial" w:cs="Arial"/>
          <w:color w:val="000000"/>
          <w:lang w:val="en-US"/>
        </w:rPr>
        <w:t xml:space="preserve">is a proxy for exchange rate risk, </w:t>
      </w:r>
      <w:r w:rsidRPr="00737DEA">
        <w:rPr>
          <w:rFonts w:ascii="Arial" w:hAnsi="Arial" w:cs="Arial"/>
          <w:color w:val="000000"/>
          <w:lang w:val="en-US"/>
        </w:rPr>
        <w:t xml:space="preserve"> </w:t>
      </w:r>
      <w:r w:rsidR="00754AF4" w:rsidRPr="00737DEA">
        <w:rPr>
          <w:rFonts w:ascii="Arial" w:hAnsi="Arial" w:cs="Arial"/>
          <w:color w:val="000000"/>
          <w:lang w:val="en-US"/>
        </w:rPr>
        <w:t xml:space="preserve">is </w:t>
      </w:r>
      <w:r w:rsidRPr="00737DEA">
        <w:rPr>
          <w:rFonts w:ascii="Arial" w:hAnsi="Arial" w:cs="Arial"/>
          <w:color w:val="000000"/>
          <w:lang w:val="en-US"/>
        </w:rPr>
        <w:t>n</w:t>
      </w:r>
      <w:r w:rsidR="00C61AF8" w:rsidRPr="00737DEA">
        <w:rPr>
          <w:rFonts w:ascii="Arial" w:hAnsi="Arial" w:cs="Arial"/>
          <w:color w:val="000000"/>
          <w:lang w:val="en-US"/>
        </w:rPr>
        <w:t xml:space="preserve">egative and consistently </w:t>
      </w:r>
      <w:r w:rsidRPr="00737DEA">
        <w:rPr>
          <w:rFonts w:ascii="Arial" w:hAnsi="Arial" w:cs="Arial"/>
          <w:color w:val="000000"/>
          <w:lang w:val="en-US"/>
        </w:rPr>
        <w:t>significant</w:t>
      </w:r>
      <w:r w:rsidR="00C61AF8" w:rsidRPr="00737DEA">
        <w:rPr>
          <w:rFonts w:ascii="Arial" w:hAnsi="Arial" w:cs="Arial"/>
          <w:color w:val="000000"/>
          <w:lang w:val="en-US"/>
        </w:rPr>
        <w:t xml:space="preserve"> in almost all cases</w:t>
      </w:r>
      <w:r w:rsidR="00A16C16">
        <w:rPr>
          <w:rFonts w:ascii="Arial" w:hAnsi="Arial" w:cs="Arial"/>
          <w:color w:val="000000"/>
          <w:lang w:val="en-US"/>
        </w:rPr>
        <w:t>. This</w:t>
      </w:r>
      <w:r w:rsidRPr="00737DEA">
        <w:rPr>
          <w:rFonts w:ascii="Arial" w:hAnsi="Arial" w:cs="Arial"/>
          <w:color w:val="000000"/>
          <w:lang w:val="en-US"/>
        </w:rPr>
        <w:t xml:space="preserve"> provides direct evidence that the reduction of volatility of the PLN/USD exchange rate has also a positive effect on market activity, i.e. </w:t>
      </w:r>
      <w:r w:rsidR="00754AF4" w:rsidRPr="00737DEA">
        <w:rPr>
          <w:rFonts w:ascii="Arial" w:hAnsi="Arial" w:cs="Arial"/>
          <w:color w:val="000000"/>
          <w:lang w:val="en-US"/>
        </w:rPr>
        <w:t xml:space="preserve">a lower exchange rate risk </w:t>
      </w:r>
      <w:r w:rsidRPr="00737DEA">
        <w:rPr>
          <w:rFonts w:ascii="Arial" w:hAnsi="Arial" w:cs="Arial"/>
          <w:color w:val="000000"/>
          <w:lang w:val="en-US"/>
        </w:rPr>
        <w:t>resulting in an increase of the trading volume.</w:t>
      </w:r>
    </w:p>
    <w:p w:rsidR="00B43851" w:rsidRDefault="00867E40" w:rsidP="005058D0">
      <w:pPr>
        <w:spacing w:line="480" w:lineRule="auto"/>
        <w:ind w:firstLine="708"/>
        <w:jc w:val="both"/>
        <w:rPr>
          <w:rFonts w:ascii="Arial" w:hAnsi="Arial" w:cs="Arial"/>
          <w:color w:val="000000"/>
          <w:lang w:val="en-US"/>
        </w:rPr>
      </w:pPr>
      <w:r>
        <w:rPr>
          <w:rFonts w:ascii="Arial" w:hAnsi="Arial" w:cs="Arial"/>
          <w:color w:val="000000"/>
          <w:lang w:val="en-US"/>
        </w:rPr>
        <w:t xml:space="preserve">As in </w:t>
      </w:r>
      <w:r w:rsidR="00A16C16">
        <w:rPr>
          <w:rFonts w:ascii="Arial" w:hAnsi="Arial" w:cs="Arial"/>
          <w:color w:val="000000"/>
          <w:lang w:val="en-US"/>
        </w:rPr>
        <w:t xml:space="preserve">the </w:t>
      </w:r>
      <w:r>
        <w:rPr>
          <w:rFonts w:ascii="Arial" w:hAnsi="Arial" w:cs="Arial"/>
          <w:color w:val="000000"/>
          <w:lang w:val="en-US"/>
        </w:rPr>
        <w:t xml:space="preserve">case of the </w:t>
      </w:r>
      <w:r w:rsidRPr="00867E40">
        <w:rPr>
          <w:i/>
          <w:color w:val="000000"/>
          <w:lang w:val="en-US"/>
        </w:rPr>
        <w:t>MS</w:t>
      </w:r>
      <w:r>
        <w:rPr>
          <w:rFonts w:ascii="Arial" w:hAnsi="Arial" w:cs="Arial"/>
          <w:color w:val="000000"/>
          <w:lang w:val="en-US"/>
        </w:rPr>
        <w:t xml:space="preserve"> dummy, the estimates for neutral unexpected announcements are never statistically significant in any of the models (see Tables </w:t>
      </w:r>
      <w:r w:rsidR="00B0723D">
        <w:rPr>
          <w:rFonts w:ascii="Arial" w:hAnsi="Arial" w:cs="Arial"/>
          <w:color w:val="000000"/>
          <w:lang w:val="en-US"/>
        </w:rPr>
        <w:t>5</w:t>
      </w:r>
      <w:r>
        <w:rPr>
          <w:rFonts w:ascii="Arial" w:hAnsi="Arial" w:cs="Arial"/>
          <w:color w:val="000000"/>
          <w:lang w:val="en-US"/>
        </w:rPr>
        <w:t xml:space="preserve"> and </w:t>
      </w:r>
      <w:r w:rsidR="00B0723D">
        <w:rPr>
          <w:rFonts w:ascii="Arial" w:hAnsi="Arial" w:cs="Arial"/>
          <w:color w:val="000000"/>
          <w:lang w:val="en-US"/>
        </w:rPr>
        <w:t>6</w:t>
      </w:r>
      <w:r>
        <w:rPr>
          <w:rFonts w:ascii="Arial" w:hAnsi="Arial" w:cs="Arial"/>
          <w:color w:val="000000"/>
          <w:lang w:val="en-US"/>
        </w:rPr>
        <w:t>).</w:t>
      </w:r>
    </w:p>
    <w:p w:rsidR="005058D0" w:rsidRDefault="005058D0" w:rsidP="005058D0">
      <w:pPr>
        <w:spacing w:line="480" w:lineRule="auto"/>
        <w:ind w:firstLine="708"/>
        <w:jc w:val="both"/>
        <w:rPr>
          <w:rFonts w:ascii="Arial" w:hAnsi="Arial" w:cs="Arial"/>
          <w:lang w:val="en-US"/>
        </w:rPr>
      </w:pPr>
      <w:r w:rsidRPr="00A51255">
        <w:rPr>
          <w:rFonts w:ascii="Arial" w:hAnsi="Arial" w:cs="Arial"/>
          <w:color w:val="000000"/>
          <w:lang w:val="en-US"/>
        </w:rPr>
        <w:t>In summary,</w:t>
      </w:r>
      <w:r w:rsidR="009F3903" w:rsidRPr="00A51255">
        <w:rPr>
          <w:rFonts w:ascii="Arial" w:hAnsi="Arial" w:cs="Arial"/>
          <w:color w:val="000000"/>
          <w:lang w:val="en-US"/>
        </w:rPr>
        <w:t xml:space="preserve"> we can conclude after </w:t>
      </w:r>
      <w:r w:rsidRPr="00A51255">
        <w:rPr>
          <w:rFonts w:ascii="Arial" w:hAnsi="Arial" w:cs="Arial"/>
          <w:color w:val="000000"/>
          <w:lang w:val="en-US"/>
        </w:rPr>
        <w:t>combining our findings all together</w:t>
      </w:r>
      <w:r w:rsidR="009F3903" w:rsidRPr="00A51255">
        <w:rPr>
          <w:rFonts w:ascii="Arial" w:hAnsi="Arial" w:cs="Arial"/>
          <w:color w:val="000000"/>
          <w:lang w:val="en-US"/>
        </w:rPr>
        <w:t xml:space="preserve"> that</w:t>
      </w:r>
      <w:r w:rsidRPr="00A51255">
        <w:rPr>
          <w:rFonts w:ascii="Arial" w:hAnsi="Arial" w:cs="Arial"/>
          <w:color w:val="000000"/>
          <w:lang w:val="en-US"/>
        </w:rPr>
        <w:t xml:space="preserve"> the  results suggest that during our sample period</w:t>
      </w:r>
      <w:r w:rsidR="00A16C16">
        <w:rPr>
          <w:rFonts w:ascii="Arial" w:hAnsi="Arial" w:cs="Arial"/>
          <w:color w:val="000000"/>
          <w:lang w:val="en-US"/>
        </w:rPr>
        <w:t>,</w:t>
      </w:r>
      <w:r w:rsidRPr="00A51255">
        <w:rPr>
          <w:rFonts w:ascii="Arial" w:hAnsi="Arial" w:cs="Arial"/>
          <w:color w:val="000000"/>
          <w:lang w:val="en-US"/>
        </w:rPr>
        <w:t xml:space="preserve"> central bank communication reduced market uncertainty, which helped increase market activity, measured here by trading volume, hence contributing to market development</w:t>
      </w:r>
      <w:r w:rsidRPr="00A51255">
        <w:rPr>
          <w:rFonts w:ascii="Arial" w:hAnsi="Arial" w:cs="Arial"/>
          <w:lang w:val="en-US"/>
        </w:rPr>
        <w:t>.</w:t>
      </w:r>
    </w:p>
    <w:p w:rsidR="00FA3E98" w:rsidRPr="00A51255" w:rsidRDefault="00FA3E98" w:rsidP="005058D0">
      <w:pPr>
        <w:spacing w:line="480" w:lineRule="auto"/>
        <w:ind w:firstLine="708"/>
        <w:jc w:val="both"/>
        <w:rPr>
          <w:rFonts w:ascii="Arial" w:hAnsi="Arial" w:cs="Arial"/>
          <w:color w:val="000000"/>
          <w:lang w:val="en-US"/>
        </w:rPr>
      </w:pPr>
      <w:r w:rsidRPr="00A51255">
        <w:rPr>
          <w:rFonts w:ascii="Arial" w:hAnsi="Arial" w:cs="Arial"/>
          <w:lang w:val="en-US"/>
        </w:rPr>
        <w:t xml:space="preserve">Overall, our results on the returns and volatility are consistent with previous studies on emerging markets summarized in the previous sections. In particular, they are in line with Rozkrut et al. (2007) who reported that </w:t>
      </w:r>
      <w:r w:rsidRPr="00A51255">
        <w:rPr>
          <w:rFonts w:ascii="Arial" w:hAnsi="Arial"/>
          <w:lang w:val="en-US"/>
        </w:rPr>
        <w:t xml:space="preserve">verbal comments of policy makers in Poland (and two other CEE central banks) influence </w:t>
      </w:r>
      <w:r w:rsidR="00A16C16">
        <w:rPr>
          <w:rFonts w:ascii="Arial" w:hAnsi="Arial"/>
          <w:lang w:val="en-US"/>
        </w:rPr>
        <w:t xml:space="preserve">the </w:t>
      </w:r>
      <w:r w:rsidRPr="00A51255">
        <w:rPr>
          <w:rFonts w:ascii="Arial" w:hAnsi="Arial"/>
          <w:lang w:val="en-US"/>
        </w:rPr>
        <w:t xml:space="preserve">behavior of </w:t>
      </w:r>
      <w:r w:rsidR="00A16C16">
        <w:rPr>
          <w:rFonts w:ascii="Arial" w:hAnsi="Arial"/>
          <w:lang w:val="en-US"/>
        </w:rPr>
        <w:t xml:space="preserve">the </w:t>
      </w:r>
      <w:r w:rsidRPr="00A51255">
        <w:rPr>
          <w:rFonts w:ascii="Arial" w:hAnsi="Arial"/>
          <w:lang w:val="en-US"/>
        </w:rPr>
        <w:t xml:space="preserve">currency market. </w:t>
      </w:r>
      <w:r w:rsidRPr="00A51255">
        <w:rPr>
          <w:rFonts w:ascii="Arial" w:hAnsi="Arial" w:cs="Arial"/>
          <w:lang w:val="en-US"/>
        </w:rPr>
        <w:t xml:space="preserve">An important exception is that of Serwa (2006), who used </w:t>
      </w:r>
      <w:r w:rsidR="00A16C16">
        <w:rPr>
          <w:rFonts w:ascii="Arial" w:hAnsi="Arial" w:cs="Arial"/>
          <w:lang w:val="en-US"/>
        </w:rPr>
        <w:t xml:space="preserve">a </w:t>
      </w:r>
      <w:r w:rsidRPr="00A51255">
        <w:rPr>
          <w:rFonts w:ascii="Arial" w:hAnsi="Arial" w:cs="Arial"/>
          <w:lang w:val="en-US"/>
        </w:rPr>
        <w:t>similar sample period (1999-2003) as ours, and who report</w:t>
      </w:r>
      <w:r w:rsidR="00A16C16">
        <w:rPr>
          <w:rFonts w:ascii="Arial" w:hAnsi="Arial" w:cs="Arial"/>
          <w:lang w:val="en-US"/>
        </w:rPr>
        <w:t>ed</w:t>
      </w:r>
      <w:r w:rsidRPr="00A51255">
        <w:rPr>
          <w:rFonts w:ascii="Arial" w:hAnsi="Arial" w:cs="Arial"/>
          <w:lang w:val="en-US"/>
        </w:rPr>
        <w:t xml:space="preserve"> evidence that foreign exchange rates do not react to monetary announcements in Poland. However, we f</w:t>
      </w:r>
      <w:r w:rsidR="0083641A">
        <w:rPr>
          <w:rFonts w:ascii="Arial" w:hAnsi="Arial" w:cs="Arial"/>
          <w:lang w:val="en-US"/>
        </w:rPr>
        <w:t>ound</w:t>
      </w:r>
      <w:r w:rsidRPr="00A51255">
        <w:rPr>
          <w:rFonts w:ascii="Arial" w:hAnsi="Arial" w:cs="Arial"/>
          <w:lang w:val="en-US"/>
        </w:rPr>
        <w:t xml:space="preserve"> that monetary policy announcements </w:t>
      </w:r>
      <w:r w:rsidR="00A16C16">
        <w:rPr>
          <w:rFonts w:ascii="Arial" w:hAnsi="Arial" w:cs="Arial"/>
          <w:lang w:val="en-US"/>
        </w:rPr>
        <w:t xml:space="preserve">actually </w:t>
      </w:r>
      <w:r w:rsidRPr="00A51255">
        <w:rPr>
          <w:rFonts w:ascii="Arial" w:hAnsi="Arial" w:cs="Arial"/>
          <w:lang w:val="en-US"/>
        </w:rPr>
        <w:t>d</w:t>
      </w:r>
      <w:r w:rsidR="0083641A">
        <w:rPr>
          <w:rFonts w:ascii="Arial" w:hAnsi="Arial" w:cs="Arial"/>
          <w:lang w:val="en-US"/>
        </w:rPr>
        <w:t>id</w:t>
      </w:r>
      <w:r w:rsidRPr="00A51255">
        <w:rPr>
          <w:rFonts w:ascii="Arial" w:hAnsi="Arial" w:cs="Arial"/>
          <w:lang w:val="en-US"/>
        </w:rPr>
        <w:t xml:space="preserve"> affect foreign exchange rate returns and also their volatility as well as the volatility of the trading volume and, to some extent, also increase</w:t>
      </w:r>
      <w:r w:rsidR="0083641A">
        <w:rPr>
          <w:rFonts w:ascii="Arial" w:hAnsi="Arial" w:cs="Arial"/>
          <w:lang w:val="en-US"/>
        </w:rPr>
        <w:t>d</w:t>
      </w:r>
      <w:r w:rsidRPr="00A51255">
        <w:rPr>
          <w:rFonts w:ascii="Arial" w:hAnsi="Arial" w:cs="Arial"/>
          <w:lang w:val="en-US"/>
        </w:rPr>
        <w:t xml:space="preserve"> the activity of the currency market</w:t>
      </w:r>
      <w:r w:rsidR="0083641A">
        <w:rPr>
          <w:rFonts w:ascii="Arial" w:hAnsi="Arial" w:cs="Arial"/>
          <w:lang w:val="en-US"/>
        </w:rPr>
        <w:t xml:space="preserve"> in our sample period</w:t>
      </w:r>
      <w:r w:rsidRPr="00A51255">
        <w:rPr>
          <w:rFonts w:ascii="Arial" w:hAnsi="Arial" w:cs="Arial"/>
          <w:lang w:val="en-US"/>
        </w:rPr>
        <w:t xml:space="preserve">. The difference in results may be driven by different </w:t>
      </w:r>
      <w:r w:rsidRPr="00A51255">
        <w:rPr>
          <w:rFonts w:ascii="Arial" w:hAnsi="Arial" w:cs="Arial"/>
          <w:lang w:val="en-US"/>
        </w:rPr>
        <w:lastRenderedPageBreak/>
        <w:t>data sets, methodologies and/or measures of monetary policy used. While Serwa (2006) applie</w:t>
      </w:r>
      <w:r w:rsidR="00A16C16">
        <w:rPr>
          <w:rFonts w:ascii="Arial" w:hAnsi="Arial" w:cs="Arial"/>
          <w:lang w:val="en-US"/>
        </w:rPr>
        <w:t>d</w:t>
      </w:r>
      <w:r w:rsidRPr="00A51255">
        <w:rPr>
          <w:rFonts w:ascii="Arial" w:hAnsi="Arial" w:cs="Arial"/>
          <w:lang w:val="en-US"/>
        </w:rPr>
        <w:t xml:space="preserve"> official interest rates and an </w:t>
      </w:r>
      <w:r w:rsidRPr="00A51255">
        <w:rPr>
          <w:rFonts w:ascii="Arial" w:hAnsi="Arial" w:cs="Arial"/>
          <w:lang w:val="en-US" w:eastAsia="en-US"/>
        </w:rPr>
        <w:t>instrumental variable estimation approach to estimate the effect of surprise changes in the official rate on foreign exchange rate returns, we use</w:t>
      </w:r>
      <w:r w:rsidR="00A16C16">
        <w:rPr>
          <w:rFonts w:ascii="Arial" w:hAnsi="Arial" w:cs="Arial"/>
          <w:lang w:val="en-US" w:eastAsia="en-US"/>
        </w:rPr>
        <w:t>d</w:t>
      </w:r>
      <w:r w:rsidRPr="00A51255">
        <w:rPr>
          <w:rFonts w:ascii="Arial" w:hAnsi="Arial" w:cs="Arial"/>
          <w:lang w:val="en-US" w:eastAsia="en-US"/>
        </w:rPr>
        <w:t xml:space="preserve"> monetary aggregate announcements (money supply and reserve money) and others and a GARCH model, which allows us to capture the time-varying volatility in returns and to estimate the volatility effects of central bank announcements. We also use</w:t>
      </w:r>
      <w:r w:rsidR="00A16C16">
        <w:rPr>
          <w:rFonts w:ascii="Arial" w:hAnsi="Arial" w:cs="Arial"/>
          <w:lang w:val="en-US" w:eastAsia="en-US"/>
        </w:rPr>
        <w:t>d</w:t>
      </w:r>
      <w:r w:rsidRPr="00A51255">
        <w:rPr>
          <w:rFonts w:ascii="Arial" w:hAnsi="Arial" w:cs="Arial"/>
          <w:lang w:val="en-US" w:eastAsia="en-US"/>
        </w:rPr>
        <w:t xml:space="preserve"> trading volume from the foreign exchange market, which is a novel approach and a new contribution to the literature.</w:t>
      </w:r>
    </w:p>
    <w:p w:rsidR="00315B04" w:rsidRPr="00A51255" w:rsidRDefault="00315B04">
      <w:pPr>
        <w:spacing w:line="480" w:lineRule="auto"/>
        <w:ind w:firstLine="708"/>
        <w:jc w:val="both"/>
        <w:rPr>
          <w:rFonts w:ascii="Arial" w:hAnsi="Arial" w:cs="Arial"/>
          <w:b/>
          <w:lang w:val="en-US"/>
        </w:rPr>
      </w:pPr>
    </w:p>
    <w:p w:rsidR="00C610C2" w:rsidRDefault="009B22FF" w:rsidP="004A2720">
      <w:pPr>
        <w:spacing w:line="480" w:lineRule="auto"/>
        <w:ind w:firstLine="708"/>
        <w:jc w:val="both"/>
        <w:rPr>
          <w:rFonts w:ascii="Arial" w:hAnsi="Arial" w:cs="Arial"/>
          <w:b/>
          <w:lang w:val="en-US"/>
        </w:rPr>
      </w:pPr>
      <w:r>
        <w:rPr>
          <w:rFonts w:ascii="Arial" w:hAnsi="Arial" w:cs="Arial"/>
          <w:b/>
          <w:lang w:val="en-US"/>
        </w:rPr>
        <w:t>5</w:t>
      </w:r>
      <w:r w:rsidR="00C610C2" w:rsidRPr="00A51255">
        <w:rPr>
          <w:rFonts w:ascii="Arial" w:hAnsi="Arial" w:cs="Arial"/>
          <w:b/>
          <w:lang w:val="en-US"/>
        </w:rPr>
        <w:t xml:space="preserve">. Robustness </w:t>
      </w:r>
      <w:r w:rsidR="00FB4721" w:rsidRPr="009246FD">
        <w:rPr>
          <w:rFonts w:ascii="Arial" w:hAnsi="Arial" w:cs="Arial"/>
          <w:b/>
          <w:lang w:val="en-US"/>
        </w:rPr>
        <w:t>A</w:t>
      </w:r>
      <w:r w:rsidR="00AE0BDD" w:rsidRPr="009246FD">
        <w:rPr>
          <w:rFonts w:ascii="Arial" w:hAnsi="Arial" w:cs="Arial"/>
          <w:b/>
          <w:lang w:val="en-US"/>
        </w:rPr>
        <w:t>nalysis</w:t>
      </w:r>
      <w:r w:rsidR="009246FD">
        <w:rPr>
          <w:rFonts w:ascii="Arial" w:hAnsi="Arial" w:cs="Arial"/>
          <w:b/>
          <w:lang w:val="en-US"/>
        </w:rPr>
        <w:t xml:space="preserve"> </w:t>
      </w:r>
    </w:p>
    <w:p w:rsidR="009B73D1" w:rsidRDefault="009B73D1" w:rsidP="009B22FF">
      <w:pPr>
        <w:spacing w:line="480" w:lineRule="auto"/>
        <w:jc w:val="both"/>
        <w:rPr>
          <w:rFonts w:ascii="Arial" w:hAnsi="Arial" w:cs="Arial"/>
          <w:b/>
          <w:lang w:val="en-US"/>
        </w:rPr>
      </w:pPr>
    </w:p>
    <w:p w:rsidR="002B169A" w:rsidRDefault="002B169A" w:rsidP="002B169A">
      <w:pPr>
        <w:spacing w:line="480" w:lineRule="auto"/>
        <w:ind w:firstLine="708"/>
        <w:jc w:val="both"/>
        <w:rPr>
          <w:rFonts w:ascii="Arial" w:hAnsi="Arial" w:cs="Arial"/>
          <w:lang w:val="en-US"/>
        </w:rPr>
      </w:pPr>
      <w:r w:rsidRPr="00E04B72">
        <w:rPr>
          <w:rFonts w:ascii="Arial" w:hAnsi="Arial" w:cs="Arial"/>
          <w:lang w:val="en-US"/>
        </w:rPr>
        <w:t>In this section, we provide some further estimation</w:t>
      </w:r>
      <w:r w:rsidR="00E04B72" w:rsidRPr="00E04B72">
        <w:rPr>
          <w:rFonts w:ascii="Arial" w:hAnsi="Arial" w:cs="Arial"/>
          <w:lang w:val="en-US"/>
        </w:rPr>
        <w:t xml:space="preserve"> result</w:t>
      </w:r>
      <w:r w:rsidRPr="00E04B72">
        <w:rPr>
          <w:rFonts w:ascii="Arial" w:hAnsi="Arial" w:cs="Arial"/>
          <w:lang w:val="en-US"/>
        </w:rPr>
        <w:t>s to check the robustness of our findings reported in earlier sections.</w:t>
      </w:r>
    </w:p>
    <w:p w:rsidR="00E04B72" w:rsidRPr="002B169A" w:rsidRDefault="00E04B72" w:rsidP="002B169A">
      <w:pPr>
        <w:spacing w:line="480" w:lineRule="auto"/>
        <w:ind w:firstLine="708"/>
        <w:jc w:val="both"/>
        <w:rPr>
          <w:rFonts w:ascii="Arial" w:hAnsi="Arial" w:cs="Arial"/>
          <w:lang w:val="en-US"/>
        </w:rPr>
      </w:pPr>
    </w:p>
    <w:p w:rsidR="00B6161E" w:rsidRPr="00A51255" w:rsidRDefault="00D75C63" w:rsidP="00B6161E">
      <w:pPr>
        <w:spacing w:line="480" w:lineRule="auto"/>
        <w:ind w:firstLine="708"/>
        <w:jc w:val="both"/>
        <w:rPr>
          <w:rFonts w:ascii="Arial" w:hAnsi="Arial" w:cs="Arial"/>
          <w:lang w:val="en-US"/>
        </w:rPr>
      </w:pPr>
      <w:r>
        <w:rPr>
          <w:rFonts w:ascii="Arial" w:hAnsi="Arial" w:cs="Arial"/>
          <w:b/>
          <w:lang w:val="en-US"/>
        </w:rPr>
        <w:t>5.1</w:t>
      </w:r>
      <w:r w:rsidR="00040C67" w:rsidRPr="00A51255">
        <w:rPr>
          <w:rFonts w:ascii="Arial" w:hAnsi="Arial" w:cs="Arial"/>
          <w:b/>
          <w:lang w:val="en-US"/>
        </w:rPr>
        <w:t>. Day of the W</w:t>
      </w:r>
      <w:r w:rsidR="00B6161E" w:rsidRPr="00A51255">
        <w:rPr>
          <w:rFonts w:ascii="Arial" w:hAnsi="Arial" w:cs="Arial"/>
          <w:b/>
          <w:lang w:val="en-US"/>
        </w:rPr>
        <w:t xml:space="preserve">eek </w:t>
      </w:r>
      <w:r w:rsidR="00040C67" w:rsidRPr="00A51255">
        <w:rPr>
          <w:rFonts w:ascii="Arial" w:hAnsi="Arial" w:cs="Arial"/>
          <w:b/>
          <w:lang w:val="en-US"/>
        </w:rPr>
        <w:t>E</w:t>
      </w:r>
      <w:r w:rsidR="00B6161E" w:rsidRPr="00A51255">
        <w:rPr>
          <w:rFonts w:ascii="Arial" w:hAnsi="Arial" w:cs="Arial"/>
          <w:b/>
          <w:lang w:val="en-US"/>
        </w:rPr>
        <w:t>ffects</w:t>
      </w:r>
      <w:r w:rsidR="00A16C16">
        <w:rPr>
          <w:rFonts w:ascii="Arial" w:hAnsi="Arial" w:cs="Arial"/>
          <w:b/>
          <w:lang w:val="en-US"/>
        </w:rPr>
        <w:t xml:space="preserve"> </w:t>
      </w:r>
    </w:p>
    <w:p w:rsidR="00372892" w:rsidRPr="00A51255" w:rsidRDefault="002B169A" w:rsidP="00B6161E">
      <w:pPr>
        <w:spacing w:line="480" w:lineRule="auto"/>
        <w:ind w:firstLine="708"/>
        <w:jc w:val="both"/>
        <w:rPr>
          <w:rFonts w:ascii="Arial" w:hAnsi="Arial" w:cs="Arial"/>
          <w:lang w:val="en-US"/>
        </w:rPr>
      </w:pPr>
      <w:r w:rsidRPr="00E04B72">
        <w:rPr>
          <w:rFonts w:ascii="Arial" w:hAnsi="Arial" w:cs="Arial"/>
          <w:lang w:val="en-US"/>
        </w:rPr>
        <w:t>W</w:t>
      </w:r>
      <w:r w:rsidR="00372892" w:rsidRPr="00E04B72">
        <w:rPr>
          <w:rFonts w:ascii="Arial" w:hAnsi="Arial" w:cs="Arial"/>
          <w:lang w:val="en-US"/>
        </w:rPr>
        <w:t xml:space="preserve">e </w:t>
      </w:r>
      <w:r w:rsidRPr="00E04B72">
        <w:rPr>
          <w:rFonts w:ascii="Arial" w:hAnsi="Arial" w:cs="Arial"/>
          <w:lang w:val="en-US"/>
        </w:rPr>
        <w:t xml:space="preserve">first </w:t>
      </w:r>
      <w:r w:rsidR="00372892" w:rsidRPr="00E04B72">
        <w:rPr>
          <w:rFonts w:ascii="Arial" w:hAnsi="Arial" w:cs="Arial"/>
          <w:lang w:val="en-US"/>
        </w:rPr>
        <w:t>investigate</w:t>
      </w:r>
      <w:r w:rsidR="00372892" w:rsidRPr="00A51255">
        <w:rPr>
          <w:rFonts w:ascii="Arial" w:hAnsi="Arial" w:cs="Arial"/>
          <w:lang w:val="en-US"/>
        </w:rPr>
        <w:t xml:space="preserve"> the existence of any possible day of the week effects and </w:t>
      </w:r>
      <w:r w:rsidR="006F6560" w:rsidRPr="00A51255">
        <w:rPr>
          <w:rFonts w:ascii="Arial" w:hAnsi="Arial" w:cs="Arial"/>
          <w:lang w:val="en-US"/>
        </w:rPr>
        <w:t xml:space="preserve">we </w:t>
      </w:r>
      <w:r w:rsidR="00372892" w:rsidRPr="00A51255">
        <w:rPr>
          <w:rFonts w:ascii="Arial" w:hAnsi="Arial" w:cs="Arial"/>
          <w:lang w:val="en-US"/>
        </w:rPr>
        <w:t xml:space="preserve">check if they may have </w:t>
      </w:r>
      <w:r w:rsidR="00B63E12" w:rsidRPr="00A51255">
        <w:rPr>
          <w:rFonts w:ascii="Arial" w:hAnsi="Arial" w:cs="Arial"/>
          <w:lang w:val="en-US"/>
        </w:rPr>
        <w:t xml:space="preserve">had </w:t>
      </w:r>
      <w:r w:rsidR="00372892" w:rsidRPr="00A51255">
        <w:rPr>
          <w:rFonts w:ascii="Arial" w:hAnsi="Arial" w:cs="Arial"/>
          <w:lang w:val="en-US"/>
        </w:rPr>
        <w:t>any impact on the estimation results presented so far for models of the volume of trade and exchange rates (</w:t>
      </w:r>
      <w:r w:rsidR="006F6560" w:rsidRPr="00A51255">
        <w:rPr>
          <w:rFonts w:ascii="Arial" w:hAnsi="Arial" w:cs="Arial"/>
          <w:lang w:val="en-US"/>
        </w:rPr>
        <w:t xml:space="preserve">with </w:t>
      </w:r>
      <w:r w:rsidR="00A94228" w:rsidRPr="00A51255">
        <w:rPr>
          <w:rFonts w:ascii="Arial" w:hAnsi="Arial" w:cs="Arial"/>
          <w:lang w:val="en-US"/>
        </w:rPr>
        <w:t xml:space="preserve">NBP announcements </w:t>
      </w:r>
      <w:r w:rsidR="00AD27F3" w:rsidRPr="00A51255">
        <w:rPr>
          <w:rFonts w:ascii="Arial" w:hAnsi="Arial" w:cs="Arial"/>
          <w:lang w:val="en-US"/>
        </w:rPr>
        <w:t>dummies</w:t>
      </w:r>
      <w:r w:rsidR="006F6560" w:rsidRPr="00A51255">
        <w:rPr>
          <w:rFonts w:ascii="Arial" w:hAnsi="Arial" w:cs="Arial"/>
          <w:lang w:val="en-US"/>
        </w:rPr>
        <w:t xml:space="preserve"> </w:t>
      </w:r>
      <w:r w:rsidR="00372892" w:rsidRPr="00A51255">
        <w:rPr>
          <w:rFonts w:ascii="Arial" w:hAnsi="Arial" w:cs="Arial"/>
          <w:lang w:val="en-US"/>
        </w:rPr>
        <w:t>both in the mean equation and in the variance)</w:t>
      </w:r>
      <w:r w:rsidR="006F6560" w:rsidRPr="00A51255">
        <w:rPr>
          <w:rFonts w:ascii="Arial" w:hAnsi="Arial" w:cs="Arial"/>
          <w:lang w:val="en-US"/>
        </w:rPr>
        <w:t>, which are</w:t>
      </w:r>
      <w:r w:rsidR="00372892" w:rsidRPr="00A51255">
        <w:rPr>
          <w:rFonts w:ascii="Arial" w:hAnsi="Arial" w:cs="Arial"/>
          <w:lang w:val="en-US"/>
        </w:rPr>
        <w:t xml:space="preserve"> presented in Tables </w:t>
      </w:r>
      <w:r w:rsidR="00B805F2" w:rsidRPr="00A51255">
        <w:rPr>
          <w:rFonts w:ascii="Arial" w:hAnsi="Arial" w:cs="Arial"/>
          <w:lang w:val="en-US"/>
        </w:rPr>
        <w:t>3</w:t>
      </w:r>
      <w:r w:rsidR="009F3A62">
        <w:rPr>
          <w:rFonts w:ascii="Arial" w:hAnsi="Arial" w:cs="Arial"/>
          <w:lang w:val="en-US"/>
        </w:rPr>
        <w:t>a-3b and 4a-4b</w:t>
      </w:r>
      <w:r w:rsidR="00A94228" w:rsidRPr="00A51255">
        <w:rPr>
          <w:rFonts w:ascii="Arial" w:hAnsi="Arial" w:cs="Arial"/>
          <w:lang w:val="en-US"/>
        </w:rPr>
        <w:t xml:space="preserve"> and in other subsequent tables</w:t>
      </w:r>
      <w:r w:rsidR="00372892" w:rsidRPr="00A51255">
        <w:rPr>
          <w:rFonts w:ascii="Arial" w:hAnsi="Arial" w:cs="Arial"/>
          <w:lang w:val="en-US"/>
        </w:rPr>
        <w:t>.</w:t>
      </w:r>
    </w:p>
    <w:p w:rsidR="0079261D" w:rsidRPr="00A51255" w:rsidRDefault="00372892" w:rsidP="0079261D">
      <w:pPr>
        <w:spacing w:line="480" w:lineRule="auto"/>
        <w:jc w:val="both"/>
        <w:rPr>
          <w:rFonts w:ascii="Arial" w:hAnsi="Arial" w:cs="Arial"/>
          <w:b/>
          <w:lang w:val="en-US"/>
        </w:rPr>
      </w:pPr>
      <w:r w:rsidRPr="00A51255">
        <w:rPr>
          <w:rFonts w:ascii="Arial" w:hAnsi="Arial" w:cs="Arial"/>
          <w:lang w:val="en-US"/>
        </w:rPr>
        <w:tab/>
      </w:r>
      <w:r w:rsidR="004F0075">
        <w:rPr>
          <w:rFonts w:ascii="Arial" w:hAnsi="Arial" w:cs="Arial"/>
          <w:lang w:val="en-US"/>
        </w:rPr>
        <w:t>D</w:t>
      </w:r>
      <w:r w:rsidR="00330CD6" w:rsidRPr="00E04B72">
        <w:rPr>
          <w:rFonts w:ascii="Arial" w:hAnsi="Arial" w:cs="Arial"/>
          <w:lang w:val="en-US"/>
        </w:rPr>
        <w:t xml:space="preserve">ay of the week effects </w:t>
      </w:r>
      <w:r w:rsidR="002B169A" w:rsidRPr="00E04B72">
        <w:rPr>
          <w:rFonts w:ascii="Arial" w:hAnsi="Arial" w:cs="Arial"/>
          <w:lang w:val="en-US"/>
        </w:rPr>
        <w:t xml:space="preserve">are tested </w:t>
      </w:r>
      <w:r w:rsidR="00330CD6" w:rsidRPr="00E04B72">
        <w:rPr>
          <w:rFonts w:ascii="Arial" w:hAnsi="Arial" w:cs="Arial"/>
          <w:lang w:val="en-US"/>
        </w:rPr>
        <w:t>by introducing</w:t>
      </w:r>
      <w:r w:rsidRPr="00E04B72">
        <w:rPr>
          <w:rFonts w:ascii="Arial" w:hAnsi="Arial" w:cs="Arial"/>
          <w:lang w:val="en-US"/>
        </w:rPr>
        <w:t xml:space="preserve"> dummy variables</w:t>
      </w:r>
      <w:r w:rsidRPr="00A51255">
        <w:rPr>
          <w:rFonts w:ascii="Arial" w:hAnsi="Arial" w:cs="Arial"/>
          <w:lang w:val="en-US"/>
        </w:rPr>
        <w:t xml:space="preserve"> for </w:t>
      </w:r>
      <w:r w:rsidR="00330CD6" w:rsidRPr="00A51255">
        <w:rPr>
          <w:rFonts w:ascii="Arial" w:hAnsi="Arial" w:cs="Arial"/>
          <w:lang w:val="en-US"/>
        </w:rPr>
        <w:t xml:space="preserve">individual </w:t>
      </w:r>
      <w:r w:rsidRPr="00A51255">
        <w:rPr>
          <w:rFonts w:ascii="Arial" w:hAnsi="Arial" w:cs="Arial"/>
          <w:lang w:val="en-US"/>
        </w:rPr>
        <w:t xml:space="preserve">days </w:t>
      </w:r>
      <w:r w:rsidR="00330CD6" w:rsidRPr="00A51255">
        <w:rPr>
          <w:rFonts w:ascii="Arial" w:hAnsi="Arial" w:cs="Arial"/>
          <w:lang w:val="en-US"/>
        </w:rPr>
        <w:t xml:space="preserve">separately </w:t>
      </w:r>
      <w:r w:rsidRPr="00A51255">
        <w:rPr>
          <w:rFonts w:ascii="Arial" w:hAnsi="Arial" w:cs="Arial"/>
          <w:lang w:val="en-US"/>
        </w:rPr>
        <w:t xml:space="preserve">in all models. Estimation results are presented in </w:t>
      </w:r>
      <w:r w:rsidR="00E02FEC" w:rsidRPr="00A51255">
        <w:rPr>
          <w:rFonts w:ascii="Arial" w:hAnsi="Arial" w:cs="Arial"/>
          <w:lang w:val="en-US"/>
        </w:rPr>
        <w:t>T</w:t>
      </w:r>
      <w:r w:rsidR="0079261D" w:rsidRPr="00A51255">
        <w:rPr>
          <w:rFonts w:ascii="Arial" w:hAnsi="Arial" w:cs="Arial"/>
          <w:lang w:val="en-US"/>
        </w:rPr>
        <w:t xml:space="preserve">able </w:t>
      </w:r>
      <w:r w:rsidR="001938FB">
        <w:rPr>
          <w:rFonts w:ascii="Arial" w:hAnsi="Arial" w:cs="Arial"/>
          <w:lang w:val="en-US"/>
        </w:rPr>
        <w:t>A</w:t>
      </w:r>
      <w:r w:rsidR="00271FDC">
        <w:rPr>
          <w:rFonts w:ascii="Arial" w:hAnsi="Arial" w:cs="Arial"/>
          <w:lang w:val="en-US"/>
        </w:rPr>
        <w:t>2</w:t>
      </w:r>
      <w:r w:rsidR="0054272E" w:rsidRPr="00A51255">
        <w:rPr>
          <w:rFonts w:ascii="Arial" w:hAnsi="Arial" w:cs="Arial"/>
          <w:lang w:val="en-US"/>
        </w:rPr>
        <w:t xml:space="preserve"> in the Appendix</w:t>
      </w:r>
      <w:r w:rsidRPr="00A51255">
        <w:rPr>
          <w:rFonts w:ascii="Arial" w:hAnsi="Arial" w:cs="Arial"/>
          <w:lang w:val="en-US"/>
        </w:rPr>
        <w:t>.</w:t>
      </w:r>
      <w:r w:rsidR="00A65AB3" w:rsidRPr="00A51255">
        <w:rPr>
          <w:rFonts w:ascii="Arial" w:hAnsi="Arial" w:cs="Arial"/>
          <w:b/>
          <w:lang w:val="en-US"/>
        </w:rPr>
        <w:t xml:space="preserve"> </w:t>
      </w:r>
      <w:r w:rsidR="00B63E12" w:rsidRPr="00A51255">
        <w:rPr>
          <w:rFonts w:ascii="Arial" w:hAnsi="Arial" w:cs="Arial"/>
          <w:color w:val="000000"/>
          <w:lang w:val="en-US"/>
        </w:rPr>
        <w:t>The</w:t>
      </w:r>
      <w:r w:rsidR="00A65AB3" w:rsidRPr="00A51255">
        <w:rPr>
          <w:rFonts w:ascii="Arial" w:hAnsi="Arial" w:cs="Arial"/>
          <w:color w:val="000000"/>
          <w:lang w:val="en-US"/>
        </w:rPr>
        <w:t xml:space="preserve">y </w:t>
      </w:r>
      <w:r w:rsidR="00875E32" w:rsidRPr="00A51255">
        <w:rPr>
          <w:rFonts w:ascii="Arial" w:hAnsi="Arial" w:cs="Arial"/>
          <w:color w:val="000000"/>
          <w:lang w:val="en-US"/>
        </w:rPr>
        <w:t>show t</w:t>
      </w:r>
      <w:r w:rsidR="00596FBF" w:rsidRPr="00A51255">
        <w:rPr>
          <w:rFonts w:ascii="Arial" w:hAnsi="Arial" w:cs="Arial"/>
          <w:color w:val="000000"/>
          <w:lang w:val="en-US"/>
        </w:rPr>
        <w:t xml:space="preserve">hat there are only 4 cases when the day of the week </w:t>
      </w:r>
      <w:r w:rsidRPr="00A51255">
        <w:rPr>
          <w:rFonts w:ascii="Arial" w:hAnsi="Arial" w:cs="Arial"/>
          <w:color w:val="000000"/>
          <w:lang w:val="en-US"/>
        </w:rPr>
        <w:t>dummy variables were</w:t>
      </w:r>
      <w:r w:rsidR="00875E32" w:rsidRPr="00A51255">
        <w:rPr>
          <w:rFonts w:ascii="Arial" w:hAnsi="Arial" w:cs="Arial"/>
          <w:color w:val="000000"/>
          <w:lang w:val="en-US"/>
        </w:rPr>
        <w:t xml:space="preserve"> statistically significant</w:t>
      </w:r>
      <w:r w:rsidR="004F0075">
        <w:rPr>
          <w:rFonts w:ascii="Arial" w:hAnsi="Arial" w:cs="Arial"/>
          <w:color w:val="000000"/>
          <w:lang w:val="en-US"/>
        </w:rPr>
        <w:t>,</w:t>
      </w:r>
      <w:r w:rsidR="00875E32" w:rsidRPr="00A51255">
        <w:rPr>
          <w:rFonts w:ascii="Arial" w:hAnsi="Arial" w:cs="Arial"/>
          <w:color w:val="000000"/>
          <w:lang w:val="en-US"/>
        </w:rPr>
        <w:t xml:space="preserve"> and all of these effects are</w:t>
      </w:r>
      <w:r w:rsidRPr="00A51255">
        <w:rPr>
          <w:rFonts w:ascii="Arial" w:hAnsi="Arial" w:cs="Arial"/>
          <w:color w:val="000000"/>
          <w:lang w:val="en-US"/>
        </w:rPr>
        <w:t xml:space="preserve"> present only</w:t>
      </w:r>
      <w:r w:rsidR="00875E32" w:rsidRPr="00A51255">
        <w:rPr>
          <w:rFonts w:ascii="Arial" w:hAnsi="Arial" w:cs="Arial"/>
          <w:color w:val="000000"/>
          <w:lang w:val="en-US"/>
        </w:rPr>
        <w:t xml:space="preserve"> in the volume of trade models but not in the exchange rate models.</w:t>
      </w:r>
      <w:r w:rsidR="00690257" w:rsidRPr="00A51255">
        <w:rPr>
          <w:rStyle w:val="FootnoteReference"/>
          <w:rFonts w:ascii="Arial" w:hAnsi="Arial" w:cs="Arial"/>
          <w:color w:val="000000"/>
          <w:lang w:val="en-US"/>
        </w:rPr>
        <w:footnoteReference w:id="23"/>
      </w:r>
    </w:p>
    <w:p w:rsidR="009860E3" w:rsidRPr="00A51255" w:rsidRDefault="00875E32" w:rsidP="0079261D">
      <w:pPr>
        <w:spacing w:line="480" w:lineRule="auto"/>
        <w:ind w:firstLine="708"/>
        <w:jc w:val="both"/>
        <w:rPr>
          <w:rFonts w:ascii="Arial" w:hAnsi="Arial" w:cs="Arial"/>
          <w:b/>
          <w:lang w:val="en-US"/>
        </w:rPr>
      </w:pPr>
      <w:r w:rsidRPr="00A51255">
        <w:rPr>
          <w:rFonts w:ascii="Arial" w:hAnsi="Arial" w:cs="Arial"/>
          <w:color w:val="000000"/>
          <w:lang w:val="en-US"/>
        </w:rPr>
        <w:lastRenderedPageBreak/>
        <w:t>Out of th</w:t>
      </w:r>
      <w:r w:rsidR="004F0075">
        <w:rPr>
          <w:rFonts w:ascii="Arial" w:hAnsi="Arial" w:cs="Arial"/>
          <w:color w:val="000000"/>
          <w:lang w:val="en-US"/>
        </w:rPr>
        <w:t>e</w:t>
      </w:r>
      <w:r w:rsidRPr="00A51255">
        <w:rPr>
          <w:rFonts w:ascii="Arial" w:hAnsi="Arial" w:cs="Arial"/>
          <w:color w:val="000000"/>
          <w:lang w:val="en-US"/>
        </w:rPr>
        <w:t>se 4 cases, 3 dummies are statistically significant when they are added to the mean equation</w:t>
      </w:r>
      <w:r w:rsidR="00A20F53" w:rsidRPr="00A51255">
        <w:rPr>
          <w:rFonts w:ascii="Arial" w:hAnsi="Arial" w:cs="Arial"/>
          <w:color w:val="000000"/>
          <w:lang w:val="en-US"/>
        </w:rPr>
        <w:t xml:space="preserve"> of the volume of trade model</w:t>
      </w:r>
      <w:r w:rsidR="00CA59C3" w:rsidRPr="00A51255">
        <w:rPr>
          <w:rFonts w:ascii="Arial" w:hAnsi="Arial" w:cs="Arial"/>
          <w:color w:val="000000"/>
          <w:lang w:val="en-US"/>
        </w:rPr>
        <w:t>. These</w:t>
      </w:r>
      <w:r w:rsidRPr="00A51255">
        <w:rPr>
          <w:rFonts w:ascii="Arial" w:hAnsi="Arial" w:cs="Arial"/>
          <w:color w:val="000000"/>
          <w:lang w:val="en-US"/>
        </w:rPr>
        <w:t xml:space="preserve"> are</w:t>
      </w:r>
      <w:r w:rsidR="009860E3" w:rsidRPr="00A51255">
        <w:rPr>
          <w:rFonts w:ascii="Arial" w:hAnsi="Arial" w:cs="Arial"/>
          <w:color w:val="000000"/>
          <w:lang w:val="en-US"/>
        </w:rPr>
        <w:t xml:space="preserve"> </w:t>
      </w:r>
      <w:r w:rsidR="00B63E12" w:rsidRPr="00A51255">
        <w:rPr>
          <w:rFonts w:ascii="Arial" w:hAnsi="Arial" w:cs="Arial"/>
          <w:color w:val="000000"/>
          <w:lang w:val="en-US"/>
        </w:rPr>
        <w:t xml:space="preserve">dummy variables for: </w:t>
      </w:r>
      <w:r w:rsidR="009860E3" w:rsidRPr="00A51255">
        <w:rPr>
          <w:rFonts w:ascii="Arial" w:hAnsi="Arial" w:cs="Arial"/>
          <w:color w:val="000000"/>
          <w:lang w:val="en-US"/>
        </w:rPr>
        <w:t>Monday, Tuesday and Friday</w:t>
      </w:r>
      <w:r w:rsidR="00372892" w:rsidRPr="00A51255">
        <w:rPr>
          <w:rFonts w:ascii="Arial" w:hAnsi="Arial" w:cs="Arial"/>
          <w:color w:val="000000"/>
          <w:lang w:val="en-US"/>
        </w:rPr>
        <w:t xml:space="preserve"> and their respective</w:t>
      </w:r>
      <w:r w:rsidR="009860E3" w:rsidRPr="00A51255">
        <w:rPr>
          <w:rFonts w:ascii="Arial" w:hAnsi="Arial" w:cs="Arial"/>
          <w:color w:val="000000"/>
          <w:lang w:val="en-US"/>
        </w:rPr>
        <w:t xml:space="preserve"> </w:t>
      </w:r>
      <w:r w:rsidR="00CA59C3" w:rsidRPr="00A51255">
        <w:rPr>
          <w:rFonts w:ascii="Arial" w:hAnsi="Arial" w:cs="Arial"/>
          <w:color w:val="000000"/>
          <w:lang w:val="en-US"/>
        </w:rPr>
        <w:t xml:space="preserve">parameter </w:t>
      </w:r>
      <w:r w:rsidR="009C33D4" w:rsidRPr="00A51255">
        <w:rPr>
          <w:rFonts w:ascii="Arial" w:hAnsi="Arial" w:cs="Arial"/>
          <w:color w:val="000000"/>
          <w:lang w:val="en-US"/>
        </w:rPr>
        <w:t>esti</w:t>
      </w:r>
      <w:r w:rsidR="009860E3" w:rsidRPr="00A51255">
        <w:rPr>
          <w:rFonts w:ascii="Arial" w:hAnsi="Arial" w:cs="Arial"/>
          <w:color w:val="000000"/>
          <w:lang w:val="en-US"/>
        </w:rPr>
        <w:t>mates are</w:t>
      </w:r>
      <w:r w:rsidR="009F3A62">
        <w:rPr>
          <w:rFonts w:ascii="Arial" w:hAnsi="Arial" w:cs="Arial"/>
          <w:color w:val="000000"/>
          <w:lang w:val="en-US"/>
        </w:rPr>
        <w:t xml:space="preserve"> as follows</w:t>
      </w:r>
      <w:r w:rsidR="009860E3" w:rsidRPr="00A51255">
        <w:rPr>
          <w:rFonts w:ascii="Arial" w:hAnsi="Arial" w:cs="Arial"/>
          <w:color w:val="000000"/>
          <w:lang w:val="en-US"/>
        </w:rPr>
        <w:t xml:space="preserve">: -17.2220, </w:t>
      </w:r>
      <w:r w:rsidR="009C33D4" w:rsidRPr="00A51255">
        <w:rPr>
          <w:rFonts w:ascii="Arial" w:hAnsi="Arial" w:cs="Arial"/>
          <w:color w:val="000000"/>
          <w:lang w:val="en-US"/>
        </w:rPr>
        <w:t xml:space="preserve">40.1730 and -26.7096, which means that on Mondays and Fridays </w:t>
      </w:r>
      <w:r w:rsidR="00B63E12" w:rsidRPr="00A51255">
        <w:rPr>
          <w:rFonts w:ascii="Arial" w:hAnsi="Arial" w:cs="Arial"/>
          <w:color w:val="000000"/>
          <w:lang w:val="en-US"/>
        </w:rPr>
        <w:t xml:space="preserve">the trading </w:t>
      </w:r>
      <w:r w:rsidR="009C33D4" w:rsidRPr="00A51255">
        <w:rPr>
          <w:rFonts w:ascii="Arial" w:hAnsi="Arial" w:cs="Arial"/>
          <w:color w:val="000000"/>
          <w:lang w:val="en-US"/>
        </w:rPr>
        <w:t xml:space="preserve">volume was </w:t>
      </w:r>
      <w:r w:rsidRPr="00A51255">
        <w:rPr>
          <w:rFonts w:ascii="Arial" w:hAnsi="Arial" w:cs="Arial"/>
          <w:color w:val="000000"/>
          <w:lang w:val="en-US"/>
        </w:rPr>
        <w:t xml:space="preserve">on average </w:t>
      </w:r>
      <w:r w:rsidR="009C33D4" w:rsidRPr="00A51255">
        <w:rPr>
          <w:rFonts w:ascii="Arial" w:hAnsi="Arial" w:cs="Arial"/>
          <w:color w:val="000000"/>
          <w:lang w:val="en-US"/>
        </w:rPr>
        <w:t>lower than on other days of the week</w:t>
      </w:r>
      <w:r w:rsidRPr="00A51255">
        <w:rPr>
          <w:rFonts w:ascii="Arial" w:hAnsi="Arial" w:cs="Arial"/>
          <w:color w:val="000000"/>
          <w:lang w:val="en-US"/>
        </w:rPr>
        <w:t xml:space="preserve">, </w:t>
      </w:r>
      <w:r w:rsidR="004F0075">
        <w:rPr>
          <w:rFonts w:ascii="Arial" w:hAnsi="Arial" w:cs="Arial"/>
          <w:color w:val="000000"/>
          <w:lang w:val="en-US"/>
        </w:rPr>
        <w:t>but</w:t>
      </w:r>
      <w:r w:rsidRPr="00A51255">
        <w:rPr>
          <w:rFonts w:ascii="Arial" w:hAnsi="Arial" w:cs="Arial"/>
          <w:color w:val="000000"/>
          <w:lang w:val="en-US"/>
        </w:rPr>
        <w:t xml:space="preserve"> </w:t>
      </w:r>
      <w:r w:rsidR="00372892" w:rsidRPr="00A51255">
        <w:rPr>
          <w:rFonts w:ascii="Arial" w:hAnsi="Arial" w:cs="Arial"/>
          <w:color w:val="000000"/>
          <w:lang w:val="en-US"/>
        </w:rPr>
        <w:t xml:space="preserve">it was higher </w:t>
      </w:r>
      <w:r w:rsidR="009C33D4" w:rsidRPr="00A51255">
        <w:rPr>
          <w:rFonts w:ascii="Arial" w:hAnsi="Arial" w:cs="Arial"/>
          <w:color w:val="000000"/>
          <w:lang w:val="en-US"/>
        </w:rPr>
        <w:t>on T</w:t>
      </w:r>
      <w:r w:rsidR="00372892" w:rsidRPr="00A51255">
        <w:rPr>
          <w:rFonts w:ascii="Arial" w:hAnsi="Arial" w:cs="Arial"/>
          <w:color w:val="000000"/>
          <w:lang w:val="en-US"/>
        </w:rPr>
        <w:t>uesdays</w:t>
      </w:r>
      <w:r w:rsidRPr="00A51255">
        <w:rPr>
          <w:rFonts w:ascii="Arial" w:hAnsi="Arial" w:cs="Arial"/>
          <w:color w:val="000000"/>
          <w:lang w:val="en-US"/>
        </w:rPr>
        <w:t xml:space="preserve">. </w:t>
      </w:r>
      <w:r w:rsidRPr="00A51255">
        <w:rPr>
          <w:rFonts w:ascii="Arial" w:hAnsi="Arial" w:cs="Arial"/>
          <w:lang w:val="en-US"/>
        </w:rPr>
        <w:t xml:space="preserve">Therefore, </w:t>
      </w:r>
      <w:r w:rsidR="00C941A1" w:rsidRPr="00A51255">
        <w:rPr>
          <w:rFonts w:ascii="Arial" w:hAnsi="Arial" w:cs="Arial"/>
          <w:lang w:val="en-US"/>
        </w:rPr>
        <w:t>we investigate</w:t>
      </w:r>
      <w:r w:rsidRPr="00A51255">
        <w:rPr>
          <w:rFonts w:ascii="Arial" w:hAnsi="Arial" w:cs="Arial"/>
          <w:lang w:val="en-US"/>
        </w:rPr>
        <w:t xml:space="preserve"> </w:t>
      </w:r>
      <w:r w:rsidR="009C33D4" w:rsidRPr="00A51255">
        <w:rPr>
          <w:rFonts w:ascii="Arial" w:hAnsi="Arial" w:cs="Arial"/>
          <w:lang w:val="en-US"/>
        </w:rPr>
        <w:t xml:space="preserve">below the possibility whether this effect </w:t>
      </w:r>
      <w:r w:rsidRPr="00A51255">
        <w:rPr>
          <w:rFonts w:ascii="Arial" w:hAnsi="Arial" w:cs="Arial"/>
          <w:lang w:val="en-US"/>
        </w:rPr>
        <w:t xml:space="preserve">detected for </w:t>
      </w:r>
      <w:r w:rsidR="00372892" w:rsidRPr="00A51255">
        <w:rPr>
          <w:rFonts w:ascii="Arial" w:hAnsi="Arial" w:cs="Arial"/>
          <w:lang w:val="en-US"/>
        </w:rPr>
        <w:t xml:space="preserve">the </w:t>
      </w:r>
      <w:r w:rsidRPr="00A51255">
        <w:rPr>
          <w:rFonts w:ascii="Arial" w:hAnsi="Arial" w:cs="Arial"/>
          <w:lang w:val="en-US"/>
        </w:rPr>
        <w:t>Tuesday</w:t>
      </w:r>
      <w:r w:rsidR="00372892" w:rsidRPr="00A51255">
        <w:rPr>
          <w:rFonts w:ascii="Arial" w:hAnsi="Arial" w:cs="Arial"/>
          <w:lang w:val="en-US"/>
        </w:rPr>
        <w:t xml:space="preserve"> dummy</w:t>
      </w:r>
      <w:r w:rsidRPr="00A51255">
        <w:rPr>
          <w:rFonts w:ascii="Arial" w:hAnsi="Arial" w:cs="Arial"/>
          <w:lang w:val="en-US"/>
        </w:rPr>
        <w:t xml:space="preserve"> </w:t>
      </w:r>
      <w:r w:rsidR="009C33D4" w:rsidRPr="00A51255">
        <w:rPr>
          <w:rFonts w:ascii="Arial" w:hAnsi="Arial" w:cs="Arial"/>
          <w:lang w:val="en-US"/>
        </w:rPr>
        <w:t xml:space="preserve">may have been responsible for any of the statistically significant estimation results </w:t>
      </w:r>
      <w:r w:rsidR="00D87DB9" w:rsidRPr="00A51255">
        <w:rPr>
          <w:rFonts w:ascii="Arial" w:hAnsi="Arial" w:cs="Arial"/>
          <w:lang w:val="en-US"/>
        </w:rPr>
        <w:t xml:space="preserve">for the NBP announcements dummies </w:t>
      </w:r>
      <w:r w:rsidR="009C33D4" w:rsidRPr="00A51255">
        <w:rPr>
          <w:rFonts w:ascii="Arial" w:hAnsi="Arial" w:cs="Arial"/>
          <w:lang w:val="en-US"/>
        </w:rPr>
        <w:t xml:space="preserve">presented in </w:t>
      </w:r>
      <w:r w:rsidR="00BF37B1">
        <w:rPr>
          <w:rFonts w:ascii="Arial" w:hAnsi="Arial" w:cs="Arial"/>
          <w:lang w:val="en-US"/>
        </w:rPr>
        <w:t>Table</w:t>
      </w:r>
      <w:r w:rsidR="00010AE7">
        <w:rPr>
          <w:rFonts w:ascii="Arial" w:hAnsi="Arial" w:cs="Arial"/>
          <w:lang w:val="en-US"/>
        </w:rPr>
        <w:t>s</w:t>
      </w:r>
      <w:r w:rsidR="00BF37B1">
        <w:rPr>
          <w:rFonts w:ascii="Arial" w:hAnsi="Arial" w:cs="Arial"/>
          <w:lang w:val="en-US"/>
        </w:rPr>
        <w:t xml:space="preserve"> 4a</w:t>
      </w:r>
      <w:r w:rsidR="00010AE7">
        <w:rPr>
          <w:rFonts w:ascii="Arial" w:hAnsi="Arial" w:cs="Arial"/>
          <w:lang w:val="en-US"/>
        </w:rPr>
        <w:t xml:space="preserve"> and 4b</w:t>
      </w:r>
      <w:r w:rsidR="009C33D4" w:rsidRPr="00A51255">
        <w:rPr>
          <w:rFonts w:ascii="Arial" w:hAnsi="Arial" w:cs="Arial"/>
          <w:lang w:val="en-US"/>
        </w:rPr>
        <w:t>.</w:t>
      </w:r>
    </w:p>
    <w:p w:rsidR="00A20F53" w:rsidRPr="00A51255" w:rsidRDefault="0036597E" w:rsidP="004F4F58">
      <w:pPr>
        <w:spacing w:line="480" w:lineRule="auto"/>
        <w:jc w:val="both"/>
        <w:rPr>
          <w:rFonts w:ascii="Arial" w:hAnsi="Arial" w:cs="Arial"/>
          <w:color w:val="000000"/>
          <w:lang w:val="en-US"/>
        </w:rPr>
      </w:pPr>
      <w:r w:rsidRPr="00A51255">
        <w:rPr>
          <w:rFonts w:ascii="Arial" w:hAnsi="Arial" w:cs="Arial"/>
          <w:color w:val="000000"/>
          <w:lang w:val="en-US"/>
        </w:rPr>
        <w:tab/>
        <w:t xml:space="preserve">The only other dummy variable significant in all subsequent models is </w:t>
      </w:r>
      <w:r w:rsidR="00372892" w:rsidRPr="00A51255">
        <w:rPr>
          <w:rFonts w:ascii="Arial" w:hAnsi="Arial" w:cs="Arial"/>
          <w:color w:val="000000"/>
          <w:lang w:val="en-US"/>
        </w:rPr>
        <w:t xml:space="preserve">a </w:t>
      </w:r>
      <w:r w:rsidRPr="00A51255">
        <w:rPr>
          <w:rFonts w:ascii="Arial" w:hAnsi="Arial" w:cs="Arial"/>
          <w:color w:val="000000"/>
          <w:lang w:val="en-US"/>
        </w:rPr>
        <w:t>Tuesday dum</w:t>
      </w:r>
      <w:r w:rsidR="00875E32" w:rsidRPr="00A51255">
        <w:rPr>
          <w:rFonts w:ascii="Arial" w:hAnsi="Arial" w:cs="Arial"/>
          <w:color w:val="000000"/>
          <w:lang w:val="en-US"/>
        </w:rPr>
        <w:t>my in the volume of trade model</w:t>
      </w:r>
      <w:r w:rsidR="004F0075">
        <w:rPr>
          <w:rFonts w:ascii="Arial" w:hAnsi="Arial" w:cs="Arial"/>
          <w:color w:val="000000"/>
          <w:lang w:val="en-US"/>
        </w:rPr>
        <w:t>,</w:t>
      </w:r>
      <w:r w:rsidRPr="00A51255">
        <w:rPr>
          <w:rFonts w:ascii="Arial" w:hAnsi="Arial" w:cs="Arial"/>
          <w:color w:val="000000"/>
          <w:lang w:val="en-US"/>
        </w:rPr>
        <w:t xml:space="preserve"> when it is introduced </w:t>
      </w:r>
      <w:r w:rsidR="00A20F53" w:rsidRPr="00A51255">
        <w:rPr>
          <w:rFonts w:ascii="Arial" w:hAnsi="Arial" w:cs="Arial"/>
          <w:color w:val="000000"/>
          <w:lang w:val="en-US"/>
        </w:rPr>
        <w:t>in the conditional</w:t>
      </w:r>
      <w:r w:rsidRPr="00A51255">
        <w:rPr>
          <w:rFonts w:ascii="Arial" w:hAnsi="Arial" w:cs="Arial"/>
          <w:color w:val="000000"/>
          <w:lang w:val="en-US"/>
        </w:rPr>
        <w:t xml:space="preserve"> variance equation. Its estimate</w:t>
      </w:r>
      <w:r w:rsidR="00372892" w:rsidRPr="00A51255">
        <w:rPr>
          <w:rFonts w:ascii="Arial" w:hAnsi="Arial" w:cs="Arial"/>
          <w:color w:val="000000"/>
          <w:lang w:val="en-US"/>
        </w:rPr>
        <w:t>, however, is positive, so</w:t>
      </w:r>
      <w:r w:rsidRPr="00A51255">
        <w:rPr>
          <w:rFonts w:ascii="Arial" w:hAnsi="Arial" w:cs="Arial"/>
          <w:color w:val="000000"/>
          <w:lang w:val="en-US"/>
        </w:rPr>
        <w:t xml:space="preserve"> any of the effects presented in </w:t>
      </w:r>
      <w:r w:rsidR="00BF37B1">
        <w:rPr>
          <w:rFonts w:ascii="Arial" w:hAnsi="Arial" w:cs="Arial"/>
          <w:color w:val="000000"/>
          <w:lang w:val="en-US"/>
        </w:rPr>
        <w:t>Table</w:t>
      </w:r>
      <w:r w:rsidR="00010AE7">
        <w:rPr>
          <w:rFonts w:ascii="Arial" w:hAnsi="Arial" w:cs="Arial"/>
          <w:color w:val="000000"/>
          <w:lang w:val="en-US"/>
        </w:rPr>
        <w:t>s</w:t>
      </w:r>
      <w:r w:rsidR="00BF37B1">
        <w:rPr>
          <w:rFonts w:ascii="Arial" w:hAnsi="Arial" w:cs="Arial"/>
          <w:color w:val="000000"/>
          <w:lang w:val="en-US"/>
        </w:rPr>
        <w:t xml:space="preserve"> </w:t>
      </w:r>
      <w:r w:rsidR="007247C5">
        <w:rPr>
          <w:rFonts w:ascii="Arial" w:hAnsi="Arial" w:cs="Arial"/>
          <w:color w:val="000000"/>
          <w:lang w:val="en-US"/>
        </w:rPr>
        <w:t>4</w:t>
      </w:r>
      <w:r w:rsidR="00010AE7">
        <w:rPr>
          <w:rFonts w:ascii="Arial" w:hAnsi="Arial" w:cs="Arial"/>
          <w:color w:val="000000"/>
          <w:lang w:val="en-US"/>
        </w:rPr>
        <w:t xml:space="preserve">a and </w:t>
      </w:r>
      <w:r w:rsidR="00BF37B1">
        <w:rPr>
          <w:rFonts w:ascii="Arial" w:hAnsi="Arial" w:cs="Arial"/>
          <w:color w:val="000000"/>
          <w:lang w:val="en-US"/>
        </w:rPr>
        <w:t>4b</w:t>
      </w:r>
      <w:r w:rsidRPr="00A51255">
        <w:rPr>
          <w:rFonts w:ascii="Arial" w:hAnsi="Arial" w:cs="Arial"/>
          <w:color w:val="000000"/>
          <w:lang w:val="en-US"/>
        </w:rPr>
        <w:t xml:space="preserve">, where all statistically significant </w:t>
      </w:r>
      <w:r w:rsidR="00372892" w:rsidRPr="00A51255">
        <w:rPr>
          <w:rFonts w:ascii="Arial" w:hAnsi="Arial" w:cs="Arial"/>
          <w:color w:val="000000"/>
          <w:lang w:val="en-US"/>
        </w:rPr>
        <w:t xml:space="preserve">NBP announcement </w:t>
      </w:r>
      <w:r w:rsidRPr="00A51255">
        <w:rPr>
          <w:rFonts w:ascii="Arial" w:hAnsi="Arial" w:cs="Arial"/>
          <w:color w:val="000000"/>
          <w:lang w:val="en-US"/>
        </w:rPr>
        <w:t>dummies have negative signs and</w:t>
      </w:r>
      <w:r w:rsidR="00372892" w:rsidRPr="00A51255">
        <w:rPr>
          <w:rFonts w:ascii="Arial" w:hAnsi="Arial" w:cs="Arial"/>
          <w:color w:val="000000"/>
          <w:lang w:val="en-US"/>
        </w:rPr>
        <w:t>, therefore,</w:t>
      </w:r>
      <w:r w:rsidRPr="00A51255">
        <w:rPr>
          <w:rFonts w:ascii="Arial" w:hAnsi="Arial" w:cs="Arial"/>
          <w:color w:val="000000"/>
          <w:lang w:val="en-US"/>
        </w:rPr>
        <w:t xml:space="preserve"> have calming effect on</w:t>
      </w:r>
      <w:r w:rsidR="004E6EBE" w:rsidRPr="00A51255">
        <w:rPr>
          <w:rFonts w:ascii="Arial" w:hAnsi="Arial" w:cs="Arial"/>
          <w:color w:val="000000"/>
          <w:lang w:val="en-US"/>
        </w:rPr>
        <w:t xml:space="preserve"> the volume of trade volatility</w:t>
      </w:r>
      <w:r w:rsidR="005E1F51" w:rsidRPr="00A51255">
        <w:rPr>
          <w:rFonts w:ascii="Arial" w:hAnsi="Arial" w:cs="Arial"/>
          <w:color w:val="000000"/>
          <w:lang w:val="en-US"/>
        </w:rPr>
        <w:t>, can</w:t>
      </w:r>
      <w:r w:rsidR="004E6EBE" w:rsidRPr="00A51255">
        <w:rPr>
          <w:rFonts w:ascii="Arial" w:hAnsi="Arial" w:cs="Arial"/>
          <w:color w:val="000000"/>
          <w:lang w:val="en-US"/>
        </w:rPr>
        <w:t xml:space="preserve">not be justified </w:t>
      </w:r>
      <w:r w:rsidR="004F0075">
        <w:rPr>
          <w:rFonts w:ascii="Arial" w:hAnsi="Arial" w:cs="Arial"/>
          <w:color w:val="000000"/>
          <w:lang w:val="en-US"/>
        </w:rPr>
        <w:t>simply</w:t>
      </w:r>
      <w:r w:rsidR="004E6EBE" w:rsidRPr="00A51255">
        <w:rPr>
          <w:rFonts w:ascii="Arial" w:hAnsi="Arial" w:cs="Arial"/>
          <w:color w:val="000000"/>
          <w:lang w:val="en-US"/>
        </w:rPr>
        <w:t xml:space="preserve"> by the fact that (some of) those announcements were made on Tuesdays.</w:t>
      </w:r>
      <w:r w:rsidR="0069337C" w:rsidRPr="00A51255">
        <w:rPr>
          <w:rFonts w:ascii="Arial" w:hAnsi="Arial" w:cs="Arial"/>
          <w:color w:val="000000"/>
          <w:lang w:val="en-US"/>
        </w:rPr>
        <w:t xml:space="preserve"> On the contrary, if the NBP announcement</w:t>
      </w:r>
      <w:r w:rsidR="006508BA" w:rsidRPr="00A51255">
        <w:rPr>
          <w:rFonts w:ascii="Arial" w:hAnsi="Arial" w:cs="Arial"/>
          <w:color w:val="000000"/>
          <w:lang w:val="en-US"/>
        </w:rPr>
        <w:t xml:space="preserve"> was m</w:t>
      </w:r>
      <w:r w:rsidR="007846AE" w:rsidRPr="00A51255">
        <w:rPr>
          <w:rFonts w:ascii="Arial" w:hAnsi="Arial" w:cs="Arial"/>
          <w:color w:val="000000"/>
          <w:lang w:val="en-US"/>
        </w:rPr>
        <w:t>ade on a Tuesday, it appears</w:t>
      </w:r>
      <w:r w:rsidR="0069337C" w:rsidRPr="00A51255">
        <w:rPr>
          <w:rFonts w:ascii="Arial" w:hAnsi="Arial" w:cs="Arial"/>
          <w:color w:val="000000"/>
          <w:lang w:val="en-US"/>
        </w:rPr>
        <w:t xml:space="preserve"> to counteract the general tendency of an increased volume volatility on that day of the week.</w:t>
      </w:r>
    </w:p>
    <w:p w:rsidR="002C0FD0" w:rsidRPr="00A51255" w:rsidRDefault="002C0FD0" w:rsidP="004F4F58">
      <w:pPr>
        <w:spacing w:line="480" w:lineRule="auto"/>
        <w:jc w:val="both"/>
        <w:rPr>
          <w:rFonts w:ascii="Arial" w:hAnsi="Arial" w:cs="Arial"/>
          <w:color w:val="000000"/>
          <w:lang w:val="en-US"/>
        </w:rPr>
      </w:pPr>
      <w:r w:rsidRPr="00A51255">
        <w:rPr>
          <w:rFonts w:ascii="Arial" w:hAnsi="Arial" w:cs="Arial"/>
          <w:color w:val="000000"/>
          <w:lang w:val="en-US"/>
        </w:rPr>
        <w:tab/>
        <w:t xml:space="preserve">As a further robustness check, we added to the mean equation of the volume of trade model </w:t>
      </w:r>
      <w:r w:rsidR="007247C5">
        <w:rPr>
          <w:rFonts w:ascii="Arial" w:hAnsi="Arial" w:cs="Arial"/>
          <w:color w:val="000000"/>
          <w:lang w:val="en-US"/>
        </w:rPr>
        <w:t>(3</w:t>
      </w:r>
      <w:r w:rsidR="006A4ECA">
        <w:rPr>
          <w:rFonts w:ascii="Arial" w:hAnsi="Arial" w:cs="Arial"/>
          <w:color w:val="000000"/>
          <w:lang w:val="en-US"/>
        </w:rPr>
        <w:t>) - (</w:t>
      </w:r>
      <w:r w:rsidR="007247C5">
        <w:rPr>
          <w:rFonts w:ascii="Arial" w:hAnsi="Arial" w:cs="Arial"/>
          <w:color w:val="000000"/>
          <w:lang w:val="en-US"/>
        </w:rPr>
        <w:t>4</w:t>
      </w:r>
      <w:r w:rsidR="0070205D">
        <w:rPr>
          <w:rFonts w:ascii="Arial" w:hAnsi="Arial" w:cs="Arial"/>
          <w:color w:val="000000"/>
          <w:lang w:val="en-US"/>
        </w:rPr>
        <w:t>)</w:t>
      </w:r>
      <w:r w:rsidRPr="00A51255">
        <w:rPr>
          <w:rFonts w:ascii="Arial" w:hAnsi="Arial" w:cs="Arial"/>
          <w:color w:val="000000"/>
          <w:lang w:val="en-US"/>
        </w:rPr>
        <w:t xml:space="preserve"> the statistically sign</w:t>
      </w:r>
      <w:r w:rsidR="00452BC2" w:rsidRPr="00A51255">
        <w:rPr>
          <w:rFonts w:ascii="Arial" w:hAnsi="Arial" w:cs="Arial"/>
          <w:color w:val="000000"/>
          <w:lang w:val="en-US"/>
        </w:rPr>
        <w:t>ificant day of the week dummies, i.e.</w:t>
      </w:r>
      <w:r w:rsidRPr="00A51255">
        <w:rPr>
          <w:rFonts w:ascii="Arial" w:hAnsi="Arial" w:cs="Arial"/>
          <w:color w:val="000000"/>
          <w:lang w:val="en-US"/>
        </w:rPr>
        <w:t xml:space="preserve"> Monday, Tuesday and Friday</w:t>
      </w:r>
      <w:r w:rsidR="00452BC2" w:rsidRPr="00A51255">
        <w:rPr>
          <w:rFonts w:ascii="Arial" w:hAnsi="Arial" w:cs="Arial"/>
          <w:color w:val="000000"/>
          <w:lang w:val="en-US"/>
        </w:rPr>
        <w:t>,</w:t>
      </w:r>
      <w:r w:rsidRPr="00A51255">
        <w:rPr>
          <w:rFonts w:ascii="Arial" w:hAnsi="Arial" w:cs="Arial"/>
          <w:color w:val="000000"/>
          <w:lang w:val="en-US"/>
        </w:rPr>
        <w:t xml:space="preserve"> and compared the</w:t>
      </w:r>
      <w:r w:rsidR="00452BC2" w:rsidRPr="00A51255">
        <w:rPr>
          <w:rFonts w:ascii="Arial" w:hAnsi="Arial" w:cs="Arial"/>
          <w:color w:val="000000"/>
          <w:lang w:val="en-US"/>
        </w:rPr>
        <w:t>se new</w:t>
      </w:r>
      <w:r w:rsidRPr="00A51255">
        <w:rPr>
          <w:rFonts w:ascii="Arial" w:hAnsi="Arial" w:cs="Arial"/>
          <w:color w:val="000000"/>
          <w:lang w:val="en-US"/>
        </w:rPr>
        <w:t xml:space="preserve"> </w:t>
      </w:r>
      <w:r w:rsidR="007B4CE9" w:rsidRPr="00A51255">
        <w:rPr>
          <w:rFonts w:ascii="Arial" w:hAnsi="Arial" w:cs="Arial"/>
          <w:color w:val="000000"/>
          <w:lang w:val="en-US"/>
        </w:rPr>
        <w:t xml:space="preserve">estimates </w:t>
      </w:r>
      <w:r w:rsidRPr="00A51255">
        <w:rPr>
          <w:rFonts w:ascii="Arial" w:hAnsi="Arial" w:cs="Arial"/>
          <w:color w:val="000000"/>
          <w:lang w:val="en-US"/>
        </w:rPr>
        <w:t xml:space="preserve">with those reported in </w:t>
      </w:r>
      <w:r w:rsidR="00BF37B1">
        <w:rPr>
          <w:rFonts w:ascii="Arial" w:hAnsi="Arial" w:cs="Arial"/>
          <w:color w:val="000000"/>
          <w:lang w:val="en-US"/>
        </w:rPr>
        <w:t>Table</w:t>
      </w:r>
      <w:r w:rsidR="007247C5">
        <w:rPr>
          <w:rFonts w:ascii="Arial" w:hAnsi="Arial" w:cs="Arial"/>
          <w:color w:val="000000"/>
          <w:lang w:val="en-US"/>
        </w:rPr>
        <w:t>s</w:t>
      </w:r>
      <w:r w:rsidR="00BF37B1">
        <w:rPr>
          <w:rFonts w:ascii="Arial" w:hAnsi="Arial" w:cs="Arial"/>
          <w:color w:val="000000"/>
          <w:lang w:val="en-US"/>
        </w:rPr>
        <w:t xml:space="preserve"> 4a</w:t>
      </w:r>
      <w:r w:rsidR="007247C5">
        <w:rPr>
          <w:rFonts w:ascii="Arial" w:hAnsi="Arial" w:cs="Arial"/>
          <w:color w:val="000000"/>
          <w:lang w:val="en-US"/>
        </w:rPr>
        <w:t xml:space="preserve"> and 4b</w:t>
      </w:r>
      <w:r w:rsidRPr="00A51255">
        <w:rPr>
          <w:rFonts w:ascii="Arial" w:hAnsi="Arial" w:cs="Arial"/>
          <w:color w:val="000000"/>
          <w:lang w:val="en-US"/>
        </w:rPr>
        <w:t>.</w:t>
      </w:r>
      <w:r w:rsidR="007B4CE9" w:rsidRPr="00A51255">
        <w:rPr>
          <w:rFonts w:ascii="Arial" w:hAnsi="Arial" w:cs="Arial"/>
          <w:color w:val="000000"/>
          <w:lang w:val="en-US"/>
        </w:rPr>
        <w:t xml:space="preserve"> </w:t>
      </w:r>
      <w:r w:rsidR="00AB50C9">
        <w:rPr>
          <w:rFonts w:ascii="Arial" w:hAnsi="Arial" w:cs="Arial"/>
          <w:color w:val="000000"/>
          <w:lang w:val="en-US"/>
        </w:rPr>
        <w:t>Our</w:t>
      </w:r>
      <w:r w:rsidR="00AC5441" w:rsidRPr="00A51255">
        <w:rPr>
          <w:rFonts w:ascii="Arial" w:hAnsi="Arial" w:cs="Arial"/>
          <w:color w:val="000000"/>
          <w:lang w:val="en-US"/>
        </w:rPr>
        <w:t xml:space="preserve"> conclusions are that the addition of the day of the week dummies did not have a</w:t>
      </w:r>
      <w:r w:rsidR="003C190D" w:rsidRPr="00A51255">
        <w:rPr>
          <w:rFonts w:ascii="Arial" w:hAnsi="Arial" w:cs="Arial"/>
          <w:color w:val="000000"/>
          <w:lang w:val="en-US"/>
        </w:rPr>
        <w:t xml:space="preserve"> </w:t>
      </w:r>
      <w:r w:rsidR="00AC5441" w:rsidRPr="00A51255">
        <w:rPr>
          <w:rFonts w:ascii="Arial" w:hAnsi="Arial" w:cs="Arial"/>
          <w:color w:val="000000"/>
          <w:lang w:val="en-US"/>
        </w:rPr>
        <w:t xml:space="preserve">detrimental effect on the estimates in </w:t>
      </w:r>
      <w:r w:rsidR="00BF37B1">
        <w:rPr>
          <w:rFonts w:ascii="Arial" w:hAnsi="Arial" w:cs="Arial"/>
          <w:color w:val="000000"/>
          <w:lang w:val="en-US"/>
        </w:rPr>
        <w:t>Table</w:t>
      </w:r>
      <w:r w:rsidR="007247C5">
        <w:rPr>
          <w:rFonts w:ascii="Arial" w:hAnsi="Arial" w:cs="Arial"/>
          <w:color w:val="000000"/>
          <w:lang w:val="en-US"/>
        </w:rPr>
        <w:t>s</w:t>
      </w:r>
      <w:r w:rsidR="00BF37B1">
        <w:rPr>
          <w:rFonts w:ascii="Arial" w:hAnsi="Arial" w:cs="Arial"/>
          <w:color w:val="000000"/>
          <w:lang w:val="en-US"/>
        </w:rPr>
        <w:t xml:space="preserve"> 4a</w:t>
      </w:r>
      <w:r w:rsidR="007247C5">
        <w:rPr>
          <w:rFonts w:ascii="Arial" w:hAnsi="Arial" w:cs="Arial"/>
          <w:color w:val="000000"/>
          <w:lang w:val="en-US"/>
        </w:rPr>
        <w:t xml:space="preserve"> and 4b</w:t>
      </w:r>
      <w:r w:rsidR="006632CE">
        <w:rPr>
          <w:rFonts w:ascii="Arial" w:hAnsi="Arial" w:cs="Arial"/>
          <w:color w:val="000000"/>
          <w:lang w:val="en-US"/>
        </w:rPr>
        <w:t xml:space="preserve"> (o</w:t>
      </w:r>
      <w:r w:rsidR="00AC5441" w:rsidRPr="00A51255">
        <w:rPr>
          <w:rFonts w:ascii="Arial" w:hAnsi="Arial" w:cs="Arial"/>
          <w:color w:val="000000"/>
          <w:lang w:val="en-US"/>
        </w:rPr>
        <w:t>n the contrary, it even strengthened some results</w:t>
      </w:r>
      <w:r w:rsidR="006632CE">
        <w:rPr>
          <w:rFonts w:ascii="Arial" w:hAnsi="Arial" w:cs="Arial"/>
          <w:color w:val="000000"/>
          <w:lang w:val="en-US"/>
        </w:rPr>
        <w:t>)</w:t>
      </w:r>
      <w:r w:rsidR="007247C5">
        <w:rPr>
          <w:rFonts w:ascii="Arial" w:hAnsi="Arial" w:cs="Arial"/>
          <w:color w:val="000000"/>
          <w:lang w:val="en-US"/>
        </w:rPr>
        <w:t>.</w:t>
      </w:r>
    </w:p>
    <w:p w:rsidR="000E7560" w:rsidRPr="00A51255" w:rsidRDefault="000E7560" w:rsidP="00AC11EC">
      <w:pPr>
        <w:spacing w:line="480" w:lineRule="auto"/>
        <w:ind w:firstLine="708"/>
        <w:jc w:val="both"/>
        <w:rPr>
          <w:rFonts w:ascii="Arial" w:hAnsi="Arial" w:cs="Arial"/>
          <w:color w:val="000000"/>
          <w:lang w:val="en-US"/>
        </w:rPr>
      </w:pPr>
      <w:r w:rsidRPr="00A51255">
        <w:rPr>
          <w:rFonts w:ascii="Arial" w:hAnsi="Arial" w:cs="Arial"/>
          <w:color w:val="000000"/>
          <w:lang w:val="en-US"/>
        </w:rPr>
        <w:t xml:space="preserve">The estimates of all other </w:t>
      </w:r>
      <w:r w:rsidR="00AC11EC" w:rsidRPr="00A51255">
        <w:rPr>
          <w:rFonts w:ascii="Arial" w:hAnsi="Arial" w:cs="Arial"/>
          <w:color w:val="000000"/>
          <w:lang w:val="en-US"/>
        </w:rPr>
        <w:t xml:space="preserve">NBP announcements </w:t>
      </w:r>
      <w:r w:rsidRPr="00A51255">
        <w:rPr>
          <w:rFonts w:ascii="Arial" w:hAnsi="Arial" w:cs="Arial"/>
          <w:color w:val="000000"/>
          <w:lang w:val="en-US"/>
        </w:rPr>
        <w:t>dummies, which were statistically significant in all subsequent tables</w:t>
      </w:r>
      <w:r w:rsidR="00AC11EC" w:rsidRPr="00A51255">
        <w:rPr>
          <w:rFonts w:ascii="Arial" w:hAnsi="Arial" w:cs="Arial"/>
          <w:color w:val="000000"/>
          <w:lang w:val="en-US"/>
        </w:rPr>
        <w:t xml:space="preserve">, were </w:t>
      </w:r>
      <w:r w:rsidRPr="00A51255">
        <w:rPr>
          <w:rFonts w:ascii="Arial" w:hAnsi="Arial" w:cs="Arial"/>
          <w:color w:val="000000"/>
          <w:lang w:val="en-US"/>
        </w:rPr>
        <w:t xml:space="preserve">not affected by </w:t>
      </w:r>
      <w:r w:rsidR="00AC11EC" w:rsidRPr="00A51255">
        <w:rPr>
          <w:rFonts w:ascii="Arial" w:hAnsi="Arial" w:cs="Arial"/>
          <w:color w:val="000000"/>
          <w:lang w:val="en-US"/>
        </w:rPr>
        <w:t xml:space="preserve">the </w:t>
      </w:r>
      <w:r w:rsidRPr="00A51255">
        <w:rPr>
          <w:rFonts w:ascii="Arial" w:hAnsi="Arial" w:cs="Arial"/>
          <w:color w:val="000000"/>
          <w:lang w:val="en-US"/>
        </w:rPr>
        <w:t>introduction of the day of the week dummy variables</w:t>
      </w:r>
      <w:r w:rsidR="00DB56FB" w:rsidRPr="00A51255">
        <w:rPr>
          <w:rFonts w:ascii="Arial" w:hAnsi="Arial" w:cs="Arial"/>
          <w:color w:val="000000"/>
          <w:lang w:val="en-US"/>
        </w:rPr>
        <w:t>.</w:t>
      </w:r>
    </w:p>
    <w:p w:rsidR="009269CD" w:rsidRPr="00A51255" w:rsidRDefault="009269CD" w:rsidP="00AC11EC">
      <w:pPr>
        <w:spacing w:line="480" w:lineRule="auto"/>
        <w:ind w:firstLine="708"/>
        <w:jc w:val="both"/>
        <w:rPr>
          <w:rFonts w:ascii="Arial" w:hAnsi="Arial" w:cs="Arial"/>
          <w:color w:val="000000"/>
          <w:lang w:val="en-US"/>
        </w:rPr>
      </w:pPr>
      <w:r w:rsidRPr="00A51255">
        <w:rPr>
          <w:rFonts w:ascii="Arial" w:hAnsi="Arial" w:cs="Arial"/>
          <w:color w:val="000000"/>
          <w:lang w:val="en-US"/>
        </w:rPr>
        <w:lastRenderedPageBreak/>
        <w:t>In summary, we can conclude that our findings are robust to the day of the week effects.</w:t>
      </w:r>
    </w:p>
    <w:p w:rsidR="008835DB" w:rsidRPr="00A51255" w:rsidRDefault="008835DB" w:rsidP="004F4F58">
      <w:pPr>
        <w:spacing w:line="480" w:lineRule="auto"/>
        <w:jc w:val="both"/>
        <w:rPr>
          <w:rFonts w:ascii="Arial" w:hAnsi="Arial" w:cs="Arial"/>
          <w:b/>
          <w:lang w:val="en-US"/>
        </w:rPr>
      </w:pPr>
    </w:p>
    <w:p w:rsidR="009246FD" w:rsidRDefault="00D75C63" w:rsidP="00980713">
      <w:pPr>
        <w:spacing w:line="480" w:lineRule="auto"/>
        <w:ind w:firstLine="708"/>
        <w:jc w:val="both"/>
        <w:rPr>
          <w:rFonts w:ascii="Arial" w:hAnsi="Arial" w:cs="Arial"/>
          <w:b/>
          <w:lang w:val="en-US"/>
        </w:rPr>
      </w:pPr>
      <w:r>
        <w:rPr>
          <w:rFonts w:ascii="Arial" w:hAnsi="Arial" w:cs="Arial"/>
          <w:b/>
          <w:lang w:val="en-US"/>
        </w:rPr>
        <w:t>5.2</w:t>
      </w:r>
      <w:r w:rsidR="00980713" w:rsidRPr="00A51255">
        <w:rPr>
          <w:rFonts w:ascii="Arial" w:hAnsi="Arial" w:cs="Arial"/>
          <w:b/>
          <w:lang w:val="en-US"/>
        </w:rPr>
        <w:t>. Evolution of NBP Ann</w:t>
      </w:r>
      <w:r w:rsidR="006C753A" w:rsidRPr="00A51255">
        <w:rPr>
          <w:rFonts w:ascii="Arial" w:hAnsi="Arial" w:cs="Arial"/>
          <w:b/>
          <w:lang w:val="en-US"/>
        </w:rPr>
        <w:t>o</w:t>
      </w:r>
      <w:r w:rsidR="00980713" w:rsidRPr="00A51255">
        <w:rPr>
          <w:rFonts w:ascii="Arial" w:hAnsi="Arial" w:cs="Arial"/>
          <w:b/>
          <w:lang w:val="en-US"/>
        </w:rPr>
        <w:t>uncements Effects</w:t>
      </w:r>
      <w:r w:rsidR="0044707A" w:rsidRPr="00A51255">
        <w:rPr>
          <w:rFonts w:ascii="Arial" w:hAnsi="Arial" w:cs="Arial"/>
          <w:b/>
          <w:lang w:val="en-US"/>
        </w:rPr>
        <w:t xml:space="preserve"> o</w:t>
      </w:r>
      <w:r w:rsidR="00980713" w:rsidRPr="00A51255">
        <w:rPr>
          <w:rFonts w:ascii="Arial" w:hAnsi="Arial" w:cs="Arial"/>
          <w:b/>
          <w:lang w:val="en-US"/>
        </w:rPr>
        <w:t>ver Time</w:t>
      </w:r>
      <w:r w:rsidR="009246FD">
        <w:rPr>
          <w:rFonts w:ascii="Arial" w:hAnsi="Arial" w:cs="Arial"/>
          <w:b/>
          <w:lang w:val="en-US"/>
        </w:rPr>
        <w:t xml:space="preserve"> </w:t>
      </w:r>
    </w:p>
    <w:p w:rsidR="006C753A" w:rsidRPr="00A51255" w:rsidRDefault="00AB50C9" w:rsidP="00980713">
      <w:pPr>
        <w:spacing w:line="480" w:lineRule="auto"/>
        <w:ind w:firstLine="708"/>
        <w:jc w:val="both"/>
        <w:rPr>
          <w:rFonts w:ascii="Arial" w:hAnsi="Arial" w:cs="Arial"/>
          <w:lang w:val="en-US"/>
        </w:rPr>
      </w:pPr>
      <w:r>
        <w:rPr>
          <w:rFonts w:ascii="Arial" w:hAnsi="Arial" w:cs="Arial"/>
          <w:lang w:val="en-US"/>
        </w:rPr>
        <w:t>The r</w:t>
      </w:r>
      <w:r w:rsidR="006C753A" w:rsidRPr="00A51255">
        <w:rPr>
          <w:rFonts w:ascii="Arial" w:hAnsi="Arial" w:cs="Arial"/>
          <w:lang w:val="en-US"/>
        </w:rPr>
        <w:t xml:space="preserve">esults presented so far </w:t>
      </w:r>
      <w:r w:rsidR="00F7050B" w:rsidRPr="00A51255">
        <w:rPr>
          <w:rFonts w:ascii="Arial" w:hAnsi="Arial" w:cs="Arial"/>
          <w:lang w:val="en-US"/>
        </w:rPr>
        <w:t>show</w:t>
      </w:r>
      <w:r w:rsidR="00AB0497" w:rsidRPr="00A51255">
        <w:rPr>
          <w:rFonts w:ascii="Arial" w:hAnsi="Arial" w:cs="Arial"/>
          <w:lang w:val="en-US"/>
        </w:rPr>
        <w:t xml:space="preserve"> the</w:t>
      </w:r>
      <w:r w:rsidR="00F7050B" w:rsidRPr="00A51255">
        <w:rPr>
          <w:rFonts w:ascii="Arial" w:hAnsi="Arial" w:cs="Arial"/>
          <w:lang w:val="en-US"/>
        </w:rPr>
        <w:t xml:space="preserve"> estimates for the</w:t>
      </w:r>
      <w:r w:rsidR="006C753A" w:rsidRPr="00A51255">
        <w:rPr>
          <w:rFonts w:ascii="Arial" w:hAnsi="Arial" w:cs="Arial"/>
          <w:lang w:val="en-US"/>
        </w:rPr>
        <w:t xml:space="preserve"> whole sample period, so in this section we analyze the </w:t>
      </w:r>
      <w:r w:rsidR="00F7050B" w:rsidRPr="00A51255">
        <w:rPr>
          <w:rFonts w:ascii="Arial" w:hAnsi="Arial" w:cs="Arial"/>
          <w:lang w:val="en-US"/>
        </w:rPr>
        <w:t xml:space="preserve">possible </w:t>
      </w:r>
      <w:r w:rsidR="006C753A" w:rsidRPr="00A51255">
        <w:rPr>
          <w:rFonts w:ascii="Arial" w:hAnsi="Arial" w:cs="Arial"/>
          <w:lang w:val="en-US"/>
        </w:rPr>
        <w:t xml:space="preserve">evolution of those effects over time, which will allow </w:t>
      </w:r>
      <w:r>
        <w:rPr>
          <w:rFonts w:ascii="Arial" w:hAnsi="Arial" w:cs="Arial"/>
          <w:lang w:val="en-US"/>
        </w:rPr>
        <w:t xml:space="preserve">us to </w:t>
      </w:r>
      <w:r w:rsidR="006C753A" w:rsidRPr="00A51255">
        <w:rPr>
          <w:rFonts w:ascii="Arial" w:hAnsi="Arial" w:cs="Arial"/>
          <w:lang w:val="en-US"/>
        </w:rPr>
        <w:t xml:space="preserve">answer the question </w:t>
      </w:r>
      <w:r>
        <w:rPr>
          <w:rFonts w:ascii="Arial" w:hAnsi="Arial" w:cs="Arial"/>
          <w:lang w:val="en-US"/>
        </w:rPr>
        <w:t xml:space="preserve">of </w:t>
      </w:r>
      <w:r w:rsidR="006C753A" w:rsidRPr="00A51255">
        <w:rPr>
          <w:rFonts w:ascii="Arial" w:hAnsi="Arial" w:cs="Arial"/>
          <w:lang w:val="en-US"/>
        </w:rPr>
        <w:t xml:space="preserve">whether in this early stage of the </w:t>
      </w:r>
      <w:r w:rsidR="00F7050B" w:rsidRPr="00A51255">
        <w:rPr>
          <w:rFonts w:ascii="Arial" w:hAnsi="Arial" w:cs="Arial"/>
          <w:lang w:val="en-US"/>
        </w:rPr>
        <w:t xml:space="preserve">development of the </w:t>
      </w:r>
      <w:r w:rsidR="006C753A" w:rsidRPr="00A51255">
        <w:rPr>
          <w:rFonts w:ascii="Arial" w:hAnsi="Arial" w:cs="Arial"/>
          <w:lang w:val="en-US"/>
        </w:rPr>
        <w:t xml:space="preserve">newly independent </w:t>
      </w:r>
      <w:r w:rsidR="00AB0497" w:rsidRPr="00A51255">
        <w:rPr>
          <w:rFonts w:ascii="Arial" w:hAnsi="Arial" w:cs="Arial"/>
          <w:lang w:val="en-US"/>
        </w:rPr>
        <w:t xml:space="preserve">Polish </w:t>
      </w:r>
      <w:r w:rsidR="006C753A" w:rsidRPr="00A51255">
        <w:rPr>
          <w:rFonts w:ascii="Arial" w:hAnsi="Arial" w:cs="Arial"/>
          <w:lang w:val="en-US"/>
        </w:rPr>
        <w:t>central bank NBP</w:t>
      </w:r>
      <w:r w:rsidR="00F7050B" w:rsidRPr="00A51255">
        <w:rPr>
          <w:rFonts w:ascii="Arial" w:hAnsi="Arial" w:cs="Arial"/>
          <w:lang w:val="en-US"/>
        </w:rPr>
        <w:t>, and the currency market learning about its actions and</w:t>
      </w:r>
      <w:r w:rsidR="00AB0497" w:rsidRPr="00A51255">
        <w:rPr>
          <w:rFonts w:ascii="Arial" w:hAnsi="Arial" w:cs="Arial"/>
          <w:lang w:val="en-US"/>
        </w:rPr>
        <w:t xml:space="preserve"> its</w:t>
      </w:r>
      <w:r w:rsidR="00F7050B" w:rsidRPr="00A51255">
        <w:rPr>
          <w:rFonts w:ascii="Arial" w:hAnsi="Arial" w:cs="Arial"/>
          <w:lang w:val="en-US"/>
        </w:rPr>
        <w:t xml:space="preserve"> communication policy,</w:t>
      </w:r>
      <w:r w:rsidR="006C753A" w:rsidRPr="00A51255">
        <w:rPr>
          <w:rFonts w:ascii="Arial" w:hAnsi="Arial" w:cs="Arial"/>
          <w:lang w:val="en-US"/>
        </w:rPr>
        <w:t xml:space="preserve"> there have been </w:t>
      </w:r>
      <w:r w:rsidR="00F7050B" w:rsidRPr="00A51255">
        <w:rPr>
          <w:rFonts w:ascii="Arial" w:hAnsi="Arial" w:cs="Arial"/>
          <w:lang w:val="en-US"/>
        </w:rPr>
        <w:t xml:space="preserve">evident </w:t>
      </w:r>
      <w:r w:rsidR="006C753A" w:rsidRPr="00A51255">
        <w:rPr>
          <w:rFonts w:ascii="Arial" w:hAnsi="Arial" w:cs="Arial"/>
          <w:lang w:val="en-US"/>
        </w:rPr>
        <w:t xml:space="preserve">any </w:t>
      </w:r>
      <w:r w:rsidR="00F7050B" w:rsidRPr="00A51255">
        <w:rPr>
          <w:rFonts w:ascii="Arial" w:hAnsi="Arial" w:cs="Arial"/>
          <w:lang w:val="en-US"/>
        </w:rPr>
        <w:t xml:space="preserve">such </w:t>
      </w:r>
      <w:r w:rsidR="006C753A" w:rsidRPr="00A51255">
        <w:rPr>
          <w:rFonts w:ascii="Arial" w:hAnsi="Arial" w:cs="Arial"/>
          <w:lang w:val="en-US"/>
        </w:rPr>
        <w:t>learning effects by market investor</w:t>
      </w:r>
      <w:r w:rsidR="00F7050B" w:rsidRPr="00A51255">
        <w:rPr>
          <w:rFonts w:ascii="Arial" w:hAnsi="Arial" w:cs="Arial"/>
          <w:lang w:val="en-US"/>
        </w:rPr>
        <w:t>s</w:t>
      </w:r>
      <w:r w:rsidR="006C753A" w:rsidRPr="00A51255">
        <w:rPr>
          <w:rFonts w:ascii="Arial" w:hAnsi="Arial" w:cs="Arial"/>
          <w:lang w:val="en-US"/>
        </w:rPr>
        <w:t>.</w:t>
      </w:r>
    </w:p>
    <w:p w:rsidR="006C753A" w:rsidRPr="00A51255" w:rsidRDefault="006C753A" w:rsidP="00980713">
      <w:pPr>
        <w:spacing w:line="480" w:lineRule="auto"/>
        <w:ind w:firstLine="708"/>
        <w:jc w:val="both"/>
        <w:rPr>
          <w:rFonts w:ascii="Arial" w:hAnsi="Arial" w:cs="Arial"/>
          <w:lang w:val="en-US"/>
        </w:rPr>
      </w:pPr>
      <w:r w:rsidRPr="00A51255">
        <w:rPr>
          <w:rFonts w:ascii="Arial" w:hAnsi="Arial" w:cs="Arial"/>
          <w:lang w:val="en-US"/>
        </w:rPr>
        <w:t>For this purpose we divided the entire sample</w:t>
      </w:r>
      <w:r w:rsidR="00F859A4" w:rsidRPr="00A51255">
        <w:rPr>
          <w:rFonts w:ascii="Arial" w:hAnsi="Arial" w:cs="Arial"/>
          <w:lang w:val="en-US"/>
        </w:rPr>
        <w:t xml:space="preserve"> of 792 observations</w:t>
      </w:r>
      <w:r w:rsidRPr="00A51255">
        <w:rPr>
          <w:rFonts w:ascii="Arial" w:hAnsi="Arial" w:cs="Arial"/>
          <w:lang w:val="en-US"/>
        </w:rPr>
        <w:t xml:space="preserve"> into 2</w:t>
      </w:r>
      <w:r w:rsidR="00241BC2" w:rsidRPr="00A51255">
        <w:rPr>
          <w:rFonts w:ascii="Arial" w:hAnsi="Arial" w:cs="Arial"/>
          <w:lang w:val="en-US"/>
        </w:rPr>
        <w:t>, 3</w:t>
      </w:r>
      <w:r w:rsidRPr="00A51255">
        <w:rPr>
          <w:rFonts w:ascii="Arial" w:hAnsi="Arial" w:cs="Arial"/>
          <w:lang w:val="en-US"/>
        </w:rPr>
        <w:t xml:space="preserve"> and 4 equal sub-samples and estimated all the above models in th</w:t>
      </w:r>
      <w:r w:rsidR="00AB50C9">
        <w:rPr>
          <w:rFonts w:ascii="Arial" w:hAnsi="Arial" w:cs="Arial"/>
          <w:lang w:val="en-US"/>
        </w:rPr>
        <w:t>e</w:t>
      </w:r>
      <w:r w:rsidRPr="00A51255">
        <w:rPr>
          <w:rFonts w:ascii="Arial" w:hAnsi="Arial" w:cs="Arial"/>
          <w:lang w:val="en-US"/>
        </w:rPr>
        <w:t>se shorter sub-periods.</w:t>
      </w:r>
      <w:r w:rsidR="002C487F" w:rsidRPr="00A51255">
        <w:rPr>
          <w:rFonts w:ascii="Arial" w:hAnsi="Arial" w:cs="Arial"/>
          <w:lang w:val="en-US"/>
        </w:rPr>
        <w:t xml:space="preserve"> </w:t>
      </w:r>
      <w:r w:rsidRPr="00A51255">
        <w:rPr>
          <w:rFonts w:ascii="Arial" w:hAnsi="Arial" w:cs="Arial"/>
          <w:lang w:val="en-US"/>
        </w:rPr>
        <w:t xml:space="preserve">The problem with the division into </w:t>
      </w:r>
      <w:r w:rsidR="00241BC2" w:rsidRPr="00A51255">
        <w:rPr>
          <w:rFonts w:ascii="Arial" w:hAnsi="Arial" w:cs="Arial"/>
          <w:lang w:val="en-US"/>
        </w:rPr>
        <w:t xml:space="preserve">3 and </w:t>
      </w:r>
      <w:r w:rsidRPr="00A51255">
        <w:rPr>
          <w:rFonts w:ascii="Arial" w:hAnsi="Arial" w:cs="Arial"/>
          <w:lang w:val="en-US"/>
        </w:rPr>
        <w:t xml:space="preserve">4 sub-samples has been, however, that </w:t>
      </w:r>
      <w:r w:rsidR="00A4377E" w:rsidRPr="00A51255">
        <w:rPr>
          <w:rFonts w:ascii="Arial" w:hAnsi="Arial" w:cs="Arial"/>
          <w:lang w:val="en-US"/>
        </w:rPr>
        <w:t>in many</w:t>
      </w:r>
      <w:r w:rsidR="00F7050B" w:rsidRPr="00A51255">
        <w:rPr>
          <w:rFonts w:ascii="Arial" w:hAnsi="Arial" w:cs="Arial"/>
          <w:lang w:val="en-US"/>
        </w:rPr>
        <w:t xml:space="preserve"> cases these sub-periods</w:t>
      </w:r>
      <w:r w:rsidRPr="00A51255">
        <w:rPr>
          <w:rFonts w:ascii="Arial" w:hAnsi="Arial" w:cs="Arial"/>
          <w:lang w:val="en-US"/>
        </w:rPr>
        <w:t xml:space="preserve"> were so short that they did not include any surprise announcements</w:t>
      </w:r>
      <w:r w:rsidR="00F7050B" w:rsidRPr="00A51255">
        <w:rPr>
          <w:rFonts w:ascii="Arial" w:hAnsi="Arial" w:cs="Arial"/>
          <w:lang w:val="en-US"/>
        </w:rPr>
        <w:t>, so no estimates of the dummy variables could be obtained</w:t>
      </w:r>
      <w:r w:rsidRPr="00A51255">
        <w:rPr>
          <w:rFonts w:ascii="Arial" w:hAnsi="Arial" w:cs="Arial"/>
          <w:lang w:val="en-US"/>
        </w:rPr>
        <w:t>. Moreover, in th</w:t>
      </w:r>
      <w:r w:rsidR="00AB50C9">
        <w:rPr>
          <w:rFonts w:ascii="Arial" w:hAnsi="Arial" w:cs="Arial"/>
          <w:lang w:val="en-US"/>
        </w:rPr>
        <w:t>e</w:t>
      </w:r>
      <w:r w:rsidRPr="00A51255">
        <w:rPr>
          <w:rFonts w:ascii="Arial" w:hAnsi="Arial" w:cs="Arial"/>
          <w:lang w:val="en-US"/>
        </w:rPr>
        <w:t xml:space="preserve">se </w:t>
      </w:r>
      <w:r w:rsidR="00F7050B" w:rsidRPr="00A51255">
        <w:rPr>
          <w:rFonts w:ascii="Arial" w:hAnsi="Arial" w:cs="Arial"/>
          <w:lang w:val="en-US"/>
        </w:rPr>
        <w:t xml:space="preserve">very </w:t>
      </w:r>
      <w:r w:rsidRPr="00A51255">
        <w:rPr>
          <w:rFonts w:ascii="Arial" w:hAnsi="Arial" w:cs="Arial"/>
          <w:lang w:val="en-US"/>
        </w:rPr>
        <w:t xml:space="preserve">short samples, containing only 198 </w:t>
      </w:r>
      <w:r w:rsidR="00241BC2" w:rsidRPr="00A51255">
        <w:rPr>
          <w:rFonts w:ascii="Arial" w:hAnsi="Arial" w:cs="Arial"/>
          <w:lang w:val="en-US"/>
        </w:rPr>
        <w:t xml:space="preserve">or 264 </w:t>
      </w:r>
      <w:r w:rsidRPr="00A51255">
        <w:rPr>
          <w:rFonts w:ascii="Arial" w:hAnsi="Arial" w:cs="Arial"/>
          <w:lang w:val="en-US"/>
        </w:rPr>
        <w:t xml:space="preserve">observations, there were </w:t>
      </w:r>
      <w:r w:rsidR="00F7050B" w:rsidRPr="00A51255">
        <w:rPr>
          <w:rFonts w:ascii="Arial" w:hAnsi="Arial" w:cs="Arial"/>
          <w:lang w:val="en-US"/>
        </w:rPr>
        <w:t>also very</w:t>
      </w:r>
      <w:r w:rsidRPr="00A51255">
        <w:rPr>
          <w:rFonts w:ascii="Arial" w:hAnsi="Arial" w:cs="Arial"/>
          <w:lang w:val="en-US"/>
        </w:rPr>
        <w:t xml:space="preserve"> often problems with convergence of estimation procedures in GARCH models, which</w:t>
      </w:r>
      <w:r w:rsidR="00AB0497" w:rsidRPr="00A51255">
        <w:rPr>
          <w:rFonts w:ascii="Arial" w:hAnsi="Arial" w:cs="Arial"/>
          <w:lang w:val="en-US"/>
        </w:rPr>
        <w:t xml:space="preserve"> is typical in GARCH estimation</w:t>
      </w:r>
      <w:r w:rsidR="00AF28E5" w:rsidRPr="00A51255">
        <w:rPr>
          <w:rFonts w:ascii="Arial" w:hAnsi="Arial" w:cs="Arial"/>
          <w:lang w:val="en-US"/>
        </w:rPr>
        <w:t xml:space="preserve"> if the time serie</w:t>
      </w:r>
      <w:r w:rsidRPr="00A51255">
        <w:rPr>
          <w:rFonts w:ascii="Arial" w:hAnsi="Arial" w:cs="Arial"/>
          <w:lang w:val="en-US"/>
        </w:rPr>
        <w:t>s are not sufficiently long</w:t>
      </w:r>
      <w:r w:rsidR="00F7050B" w:rsidRPr="00A51255">
        <w:rPr>
          <w:rFonts w:ascii="Arial" w:hAnsi="Arial" w:cs="Arial"/>
          <w:lang w:val="en-US"/>
        </w:rPr>
        <w:t xml:space="preserve"> (it is usually assumed that they should contain at least 400 – 500 observations)</w:t>
      </w:r>
      <w:r w:rsidRPr="00A51255">
        <w:rPr>
          <w:rFonts w:ascii="Arial" w:hAnsi="Arial" w:cs="Arial"/>
          <w:lang w:val="en-US"/>
        </w:rPr>
        <w:t>. Therefore, no such analysis could be conduc</w:t>
      </w:r>
      <w:r w:rsidR="002B169A">
        <w:rPr>
          <w:rFonts w:ascii="Arial" w:hAnsi="Arial" w:cs="Arial"/>
          <w:lang w:val="en-US"/>
        </w:rPr>
        <w:t xml:space="preserve">ted in </w:t>
      </w:r>
      <w:r w:rsidR="002B169A" w:rsidRPr="001117F9">
        <w:rPr>
          <w:rFonts w:ascii="Arial" w:hAnsi="Arial" w:cs="Arial"/>
          <w:lang w:val="en-US"/>
        </w:rPr>
        <w:t>such short 4 sub-periods. H</w:t>
      </w:r>
      <w:r w:rsidRPr="001117F9">
        <w:rPr>
          <w:rFonts w:ascii="Arial" w:hAnsi="Arial" w:cs="Arial"/>
          <w:lang w:val="en-US"/>
        </w:rPr>
        <w:t>owever</w:t>
      </w:r>
      <w:r w:rsidR="002B169A" w:rsidRPr="001117F9">
        <w:rPr>
          <w:rFonts w:ascii="Arial" w:hAnsi="Arial" w:cs="Arial"/>
          <w:lang w:val="en-US"/>
        </w:rPr>
        <w:t>,</w:t>
      </w:r>
      <w:r w:rsidRPr="001117F9">
        <w:rPr>
          <w:rFonts w:ascii="Arial" w:hAnsi="Arial" w:cs="Arial"/>
          <w:lang w:val="en-US"/>
        </w:rPr>
        <w:t xml:space="preserve"> we </w:t>
      </w:r>
      <w:r w:rsidR="00AB50C9">
        <w:rPr>
          <w:rFonts w:ascii="Arial" w:hAnsi="Arial" w:cs="Arial"/>
          <w:lang w:val="en-US"/>
        </w:rPr>
        <w:t>were able to</w:t>
      </w:r>
      <w:r w:rsidRPr="001117F9">
        <w:rPr>
          <w:rFonts w:ascii="Arial" w:hAnsi="Arial" w:cs="Arial"/>
          <w:lang w:val="en-US"/>
        </w:rPr>
        <w:t xml:space="preserve"> do </w:t>
      </w:r>
      <w:r w:rsidR="00AB50C9">
        <w:rPr>
          <w:rFonts w:ascii="Arial" w:hAnsi="Arial" w:cs="Arial"/>
          <w:lang w:val="en-US"/>
        </w:rPr>
        <w:t>this</w:t>
      </w:r>
      <w:r w:rsidRPr="001117F9">
        <w:rPr>
          <w:rFonts w:ascii="Arial" w:hAnsi="Arial" w:cs="Arial"/>
          <w:lang w:val="en-US"/>
        </w:rPr>
        <w:t xml:space="preserve"> for </w:t>
      </w:r>
      <w:r w:rsidR="007F29E8" w:rsidRPr="001117F9">
        <w:rPr>
          <w:rFonts w:ascii="Arial" w:hAnsi="Arial" w:cs="Arial"/>
          <w:lang w:val="en-US"/>
        </w:rPr>
        <w:t>2 equal sub</w:t>
      </w:r>
      <w:r w:rsidR="007F29E8" w:rsidRPr="00A51255">
        <w:rPr>
          <w:rFonts w:ascii="Arial" w:hAnsi="Arial" w:cs="Arial"/>
          <w:lang w:val="en-US"/>
        </w:rPr>
        <w:t>-samples of 396 observations each for the m</w:t>
      </w:r>
      <w:r w:rsidR="00020817" w:rsidRPr="00A51255">
        <w:rPr>
          <w:rFonts w:ascii="Arial" w:hAnsi="Arial" w:cs="Arial"/>
          <w:lang w:val="en-US"/>
        </w:rPr>
        <w:t>odel of volume of</w:t>
      </w:r>
      <w:r w:rsidR="00E04EF4" w:rsidRPr="00A51255">
        <w:rPr>
          <w:rFonts w:ascii="Arial" w:hAnsi="Arial" w:cs="Arial"/>
          <w:lang w:val="en-US"/>
        </w:rPr>
        <w:t xml:space="preserve"> </w:t>
      </w:r>
      <w:r w:rsidR="00A4377E" w:rsidRPr="00A51255">
        <w:rPr>
          <w:rFonts w:ascii="Arial" w:hAnsi="Arial" w:cs="Arial"/>
          <w:lang w:val="en-US"/>
        </w:rPr>
        <w:t>trade (</w:t>
      </w:r>
      <w:r w:rsidR="007F29E8" w:rsidRPr="00A51255">
        <w:rPr>
          <w:rFonts w:ascii="Arial" w:hAnsi="Arial" w:cs="Arial"/>
          <w:lang w:val="en-US"/>
        </w:rPr>
        <w:t xml:space="preserve">i.e. the model </w:t>
      </w:r>
      <w:r w:rsidR="00825249">
        <w:rPr>
          <w:rFonts w:ascii="Arial" w:hAnsi="Arial" w:cs="Arial"/>
          <w:lang w:val="en-US"/>
        </w:rPr>
        <w:t>(3</w:t>
      </w:r>
      <w:r w:rsidR="006A4ECA">
        <w:rPr>
          <w:rFonts w:ascii="Arial" w:hAnsi="Arial" w:cs="Arial"/>
          <w:lang w:val="en-US"/>
        </w:rPr>
        <w:t>) - (</w:t>
      </w:r>
      <w:r w:rsidR="00825249">
        <w:rPr>
          <w:rFonts w:ascii="Arial" w:hAnsi="Arial" w:cs="Arial"/>
          <w:lang w:val="en-US"/>
        </w:rPr>
        <w:t>4</w:t>
      </w:r>
      <w:r w:rsidR="0070205D">
        <w:rPr>
          <w:rFonts w:ascii="Arial" w:hAnsi="Arial" w:cs="Arial"/>
          <w:lang w:val="en-US"/>
        </w:rPr>
        <w:t>)</w:t>
      </w:r>
      <w:r w:rsidR="007F29E8" w:rsidRPr="00A51255">
        <w:rPr>
          <w:rFonts w:ascii="Arial" w:hAnsi="Arial" w:cs="Arial"/>
          <w:lang w:val="en-US"/>
        </w:rPr>
        <w:t xml:space="preserve"> </w:t>
      </w:r>
      <w:r w:rsidR="00B07150" w:rsidRPr="00A51255">
        <w:rPr>
          <w:rFonts w:ascii="Arial" w:hAnsi="Arial" w:cs="Arial"/>
          <w:lang w:val="en-US"/>
        </w:rPr>
        <w:t xml:space="preserve">for </w:t>
      </w:r>
      <w:r w:rsidR="007F29E8" w:rsidRPr="00A51255">
        <w:rPr>
          <w:rFonts w:ascii="Arial" w:hAnsi="Arial" w:cs="Arial"/>
          <w:lang w:val="en-US"/>
        </w:rPr>
        <w:t xml:space="preserve">which results are reported in </w:t>
      </w:r>
      <w:r w:rsidR="00BF37B1">
        <w:rPr>
          <w:rFonts w:ascii="Arial" w:hAnsi="Arial" w:cs="Arial"/>
          <w:lang w:val="en-US"/>
        </w:rPr>
        <w:t>Table</w:t>
      </w:r>
      <w:r w:rsidR="00825249">
        <w:rPr>
          <w:rFonts w:ascii="Arial" w:hAnsi="Arial" w:cs="Arial"/>
          <w:lang w:val="en-US"/>
        </w:rPr>
        <w:t>s</w:t>
      </w:r>
      <w:r w:rsidR="00BF37B1">
        <w:rPr>
          <w:rFonts w:ascii="Arial" w:hAnsi="Arial" w:cs="Arial"/>
          <w:lang w:val="en-US"/>
        </w:rPr>
        <w:t xml:space="preserve"> 4a</w:t>
      </w:r>
      <w:r w:rsidR="00825249">
        <w:rPr>
          <w:rFonts w:ascii="Arial" w:hAnsi="Arial" w:cs="Arial"/>
          <w:lang w:val="en-US"/>
        </w:rPr>
        <w:t xml:space="preserve"> and 4b</w:t>
      </w:r>
      <w:r w:rsidR="007F29E8" w:rsidRPr="00A51255">
        <w:rPr>
          <w:rFonts w:ascii="Arial" w:hAnsi="Arial" w:cs="Arial"/>
          <w:lang w:val="en-US"/>
        </w:rPr>
        <w:t>)</w:t>
      </w:r>
      <w:r w:rsidRPr="00A51255">
        <w:rPr>
          <w:rFonts w:ascii="Arial" w:hAnsi="Arial" w:cs="Arial"/>
          <w:lang w:val="en-US"/>
        </w:rPr>
        <w:t>.</w:t>
      </w:r>
    </w:p>
    <w:p w:rsidR="006C753A" w:rsidRPr="00A51255" w:rsidRDefault="00AB50C9" w:rsidP="00331BBB">
      <w:pPr>
        <w:spacing w:line="480" w:lineRule="auto"/>
        <w:ind w:firstLine="708"/>
        <w:jc w:val="both"/>
        <w:rPr>
          <w:rFonts w:ascii="Arial" w:hAnsi="Arial" w:cs="Arial"/>
          <w:lang w:val="en-US"/>
        </w:rPr>
      </w:pPr>
      <w:r>
        <w:rPr>
          <w:rFonts w:ascii="Arial" w:hAnsi="Arial" w:cs="Arial"/>
          <w:lang w:val="en-US"/>
        </w:rPr>
        <w:t>The f</w:t>
      </w:r>
      <w:r w:rsidR="00E04EF4" w:rsidRPr="00A51255">
        <w:rPr>
          <w:rFonts w:ascii="Arial" w:hAnsi="Arial" w:cs="Arial"/>
          <w:lang w:val="en-US"/>
        </w:rPr>
        <w:t xml:space="preserve">irst panel in </w:t>
      </w:r>
      <w:r w:rsidR="00E02FEC" w:rsidRPr="00A51255">
        <w:rPr>
          <w:rFonts w:ascii="Arial" w:hAnsi="Arial" w:cs="Arial"/>
          <w:lang w:val="en-US"/>
        </w:rPr>
        <w:t>T</w:t>
      </w:r>
      <w:r w:rsidR="007E77CD" w:rsidRPr="00A51255">
        <w:rPr>
          <w:rFonts w:ascii="Arial" w:hAnsi="Arial" w:cs="Arial"/>
          <w:lang w:val="en-US"/>
        </w:rPr>
        <w:t xml:space="preserve">able </w:t>
      </w:r>
      <w:r w:rsidR="002053CC">
        <w:rPr>
          <w:rFonts w:ascii="Arial" w:hAnsi="Arial" w:cs="Arial"/>
          <w:lang w:val="en-US"/>
        </w:rPr>
        <w:t>A</w:t>
      </w:r>
      <w:r w:rsidR="00211081">
        <w:rPr>
          <w:rFonts w:ascii="Arial" w:hAnsi="Arial" w:cs="Arial"/>
          <w:lang w:val="en-US"/>
        </w:rPr>
        <w:t>3</w:t>
      </w:r>
      <w:r w:rsidR="006C753A" w:rsidRPr="00A51255">
        <w:rPr>
          <w:rFonts w:ascii="Arial" w:hAnsi="Arial" w:cs="Arial"/>
          <w:lang w:val="en-US"/>
        </w:rPr>
        <w:t xml:space="preserve"> </w:t>
      </w:r>
      <w:r w:rsidR="00A65087" w:rsidRPr="00A51255">
        <w:rPr>
          <w:rFonts w:ascii="Arial" w:hAnsi="Arial" w:cs="Arial"/>
          <w:lang w:val="en-US"/>
        </w:rPr>
        <w:t xml:space="preserve">in the Appendix </w:t>
      </w:r>
      <w:r w:rsidR="006C753A" w:rsidRPr="00A51255">
        <w:rPr>
          <w:rFonts w:ascii="Arial" w:hAnsi="Arial" w:cs="Arial"/>
          <w:lang w:val="en-US"/>
        </w:rPr>
        <w:t xml:space="preserve">presents </w:t>
      </w:r>
      <w:r>
        <w:rPr>
          <w:rFonts w:ascii="Arial" w:hAnsi="Arial" w:cs="Arial"/>
          <w:lang w:val="en-US"/>
        </w:rPr>
        <w:t xml:space="preserve">the </w:t>
      </w:r>
      <w:r w:rsidR="006C753A" w:rsidRPr="00A51255">
        <w:rPr>
          <w:rFonts w:ascii="Arial" w:hAnsi="Arial" w:cs="Arial"/>
          <w:lang w:val="en-US"/>
        </w:rPr>
        <w:t>estimation results for the full sample and the two sub-samples</w:t>
      </w:r>
      <w:r w:rsidR="00F7050B" w:rsidRPr="00A51255">
        <w:rPr>
          <w:rFonts w:ascii="Arial" w:hAnsi="Arial" w:cs="Arial"/>
          <w:lang w:val="en-US"/>
        </w:rPr>
        <w:t xml:space="preserve"> for those NBP announcements</w:t>
      </w:r>
      <w:r w:rsidR="006C753A" w:rsidRPr="00A51255">
        <w:rPr>
          <w:rFonts w:ascii="Arial" w:hAnsi="Arial" w:cs="Arial"/>
          <w:lang w:val="en-US"/>
        </w:rPr>
        <w:t xml:space="preserve"> dummies which </w:t>
      </w:r>
      <w:r w:rsidR="002C487F" w:rsidRPr="00A51255">
        <w:rPr>
          <w:rFonts w:ascii="Arial" w:hAnsi="Arial" w:cs="Arial"/>
          <w:lang w:val="en-US"/>
        </w:rPr>
        <w:t>were statistically significant in the full period</w:t>
      </w:r>
      <w:r w:rsidR="00ED56AB" w:rsidRPr="00A51255">
        <w:rPr>
          <w:rFonts w:ascii="Arial" w:hAnsi="Arial" w:cs="Arial"/>
          <w:lang w:val="en-US"/>
        </w:rPr>
        <w:t xml:space="preserve"> in </w:t>
      </w:r>
      <w:r w:rsidR="00062E9E" w:rsidRPr="00A51255">
        <w:rPr>
          <w:rFonts w:ascii="Arial" w:hAnsi="Arial" w:cs="Arial"/>
          <w:lang w:val="en-US"/>
        </w:rPr>
        <w:t xml:space="preserve">equation </w:t>
      </w:r>
      <w:r w:rsidR="00825249">
        <w:rPr>
          <w:rFonts w:ascii="Arial" w:hAnsi="Arial" w:cs="Arial"/>
          <w:lang w:val="en-US"/>
        </w:rPr>
        <w:t>(3</w:t>
      </w:r>
      <w:r w:rsidR="00F01E9E">
        <w:rPr>
          <w:rFonts w:ascii="Arial" w:hAnsi="Arial" w:cs="Arial"/>
          <w:lang w:val="en-US"/>
        </w:rPr>
        <w:t>)</w:t>
      </w:r>
      <w:r w:rsidR="002C487F" w:rsidRPr="00A51255">
        <w:rPr>
          <w:rFonts w:ascii="Arial" w:hAnsi="Arial" w:cs="Arial"/>
          <w:lang w:val="en-US"/>
        </w:rPr>
        <w:t xml:space="preserve">, </w:t>
      </w:r>
      <w:r w:rsidR="00062E9E" w:rsidRPr="00A51255">
        <w:rPr>
          <w:rFonts w:ascii="Arial" w:hAnsi="Arial" w:cs="Arial"/>
          <w:lang w:val="en-US"/>
        </w:rPr>
        <w:t xml:space="preserve">which </w:t>
      </w:r>
      <w:r w:rsidR="002C487F" w:rsidRPr="00A51255">
        <w:rPr>
          <w:rFonts w:ascii="Arial" w:hAnsi="Arial" w:cs="Arial"/>
          <w:lang w:val="en-US"/>
        </w:rPr>
        <w:t>had observations in both of these two</w:t>
      </w:r>
      <w:r w:rsidR="006C753A" w:rsidRPr="00A51255">
        <w:rPr>
          <w:rFonts w:ascii="Arial" w:hAnsi="Arial" w:cs="Arial"/>
          <w:lang w:val="en-US"/>
        </w:rPr>
        <w:t xml:space="preserve"> sub-period</w:t>
      </w:r>
      <w:r w:rsidR="00ED56AB" w:rsidRPr="00A51255">
        <w:rPr>
          <w:rFonts w:ascii="Arial" w:hAnsi="Arial" w:cs="Arial"/>
          <w:lang w:val="en-US"/>
        </w:rPr>
        <w:t>s</w:t>
      </w:r>
      <w:r w:rsidR="006C753A" w:rsidRPr="00A51255">
        <w:rPr>
          <w:rFonts w:ascii="Arial" w:hAnsi="Arial" w:cs="Arial"/>
          <w:lang w:val="en-US"/>
        </w:rPr>
        <w:t xml:space="preserve"> and when there were no numerical problems with estimation of </w:t>
      </w:r>
      <w:r w:rsidR="006C753A" w:rsidRPr="00A51255">
        <w:rPr>
          <w:rFonts w:ascii="Arial" w:hAnsi="Arial" w:cs="Arial"/>
          <w:lang w:val="en-US"/>
        </w:rPr>
        <w:lastRenderedPageBreak/>
        <w:t xml:space="preserve">parameters of the </w:t>
      </w:r>
      <w:r w:rsidR="006C753A" w:rsidRPr="001117F9">
        <w:rPr>
          <w:rFonts w:ascii="Arial" w:hAnsi="Arial" w:cs="Arial"/>
          <w:lang w:val="en-US"/>
        </w:rPr>
        <w:t xml:space="preserve">GARCH equations. It </w:t>
      </w:r>
      <w:r w:rsidR="00661CFE" w:rsidRPr="001117F9">
        <w:rPr>
          <w:rFonts w:ascii="Arial" w:hAnsi="Arial" w:cs="Arial"/>
          <w:lang w:val="en-US"/>
        </w:rPr>
        <w:t>show</w:t>
      </w:r>
      <w:r w:rsidR="002B169A" w:rsidRPr="001117F9">
        <w:rPr>
          <w:rFonts w:ascii="Arial" w:hAnsi="Arial" w:cs="Arial"/>
          <w:lang w:val="en-US"/>
        </w:rPr>
        <w:t>s</w:t>
      </w:r>
      <w:r w:rsidR="006C753A" w:rsidRPr="001117F9">
        <w:rPr>
          <w:rFonts w:ascii="Arial" w:hAnsi="Arial" w:cs="Arial"/>
          <w:lang w:val="en-US"/>
        </w:rPr>
        <w:t xml:space="preserve"> clear</w:t>
      </w:r>
      <w:r w:rsidR="002B169A" w:rsidRPr="001117F9">
        <w:rPr>
          <w:rFonts w:ascii="Arial" w:hAnsi="Arial" w:cs="Arial"/>
          <w:lang w:val="en-US"/>
        </w:rPr>
        <w:t>ly</w:t>
      </w:r>
      <w:r w:rsidR="006C753A" w:rsidRPr="001117F9">
        <w:rPr>
          <w:rFonts w:ascii="Arial" w:hAnsi="Arial" w:cs="Arial"/>
          <w:lang w:val="en-US"/>
        </w:rPr>
        <w:t xml:space="preserve"> that </w:t>
      </w:r>
      <w:r w:rsidR="00825249" w:rsidRPr="001117F9">
        <w:rPr>
          <w:rFonts w:ascii="Arial" w:hAnsi="Arial" w:cs="Arial"/>
          <w:lang w:val="en-US"/>
        </w:rPr>
        <w:t xml:space="preserve">in all </w:t>
      </w:r>
      <w:r w:rsidR="00661CFE" w:rsidRPr="001117F9">
        <w:rPr>
          <w:rFonts w:ascii="Arial" w:hAnsi="Arial" w:cs="Arial"/>
          <w:lang w:val="en-US"/>
        </w:rPr>
        <w:t xml:space="preserve">cases </w:t>
      </w:r>
      <w:r w:rsidR="006C753A" w:rsidRPr="001117F9">
        <w:rPr>
          <w:rFonts w:ascii="Arial" w:hAnsi="Arial" w:cs="Arial"/>
          <w:lang w:val="en-US"/>
        </w:rPr>
        <w:t xml:space="preserve">all </w:t>
      </w:r>
      <w:r w:rsidR="00661CFE" w:rsidRPr="001117F9">
        <w:rPr>
          <w:rFonts w:ascii="Arial" w:hAnsi="Arial" w:cs="Arial"/>
          <w:lang w:val="en-US"/>
        </w:rPr>
        <w:t xml:space="preserve">the </w:t>
      </w:r>
      <w:r w:rsidR="00AB0497" w:rsidRPr="001117F9">
        <w:rPr>
          <w:rFonts w:ascii="Arial" w:hAnsi="Arial" w:cs="Arial"/>
          <w:lang w:val="en-US"/>
        </w:rPr>
        <w:t xml:space="preserve">NBP </w:t>
      </w:r>
      <w:r w:rsidR="006C753A" w:rsidRPr="001117F9">
        <w:rPr>
          <w:rFonts w:ascii="Arial" w:hAnsi="Arial" w:cs="Arial"/>
          <w:lang w:val="en-US"/>
        </w:rPr>
        <w:t>announcement</w:t>
      </w:r>
      <w:r w:rsidR="00661CFE" w:rsidRPr="001117F9">
        <w:rPr>
          <w:rFonts w:ascii="Arial" w:hAnsi="Arial" w:cs="Arial"/>
          <w:lang w:val="en-US"/>
        </w:rPr>
        <w:t xml:space="preserve"> effects</w:t>
      </w:r>
      <w:r w:rsidR="006C753A" w:rsidRPr="00A51255">
        <w:rPr>
          <w:rFonts w:ascii="Arial" w:hAnsi="Arial" w:cs="Arial"/>
          <w:lang w:val="en-US"/>
        </w:rPr>
        <w:t xml:space="preserve"> strengthened over time as </w:t>
      </w:r>
      <w:r w:rsidR="00AB0497" w:rsidRPr="00A51255">
        <w:rPr>
          <w:rFonts w:ascii="Arial" w:hAnsi="Arial" w:cs="Arial"/>
          <w:lang w:val="en-US"/>
        </w:rPr>
        <w:t>measured</w:t>
      </w:r>
      <w:r w:rsidR="006C753A" w:rsidRPr="00A51255">
        <w:rPr>
          <w:rFonts w:ascii="Arial" w:hAnsi="Arial" w:cs="Arial"/>
          <w:lang w:val="en-US"/>
        </w:rPr>
        <w:t xml:space="preserve"> by the magnitude of the estimated coefficients and</w:t>
      </w:r>
      <w:r w:rsidR="00825249">
        <w:rPr>
          <w:rFonts w:ascii="Arial" w:hAnsi="Arial" w:cs="Arial"/>
          <w:lang w:val="en-US"/>
        </w:rPr>
        <w:t>/or</w:t>
      </w:r>
      <w:r w:rsidR="006C753A" w:rsidRPr="00A51255">
        <w:rPr>
          <w:rFonts w:ascii="Arial" w:hAnsi="Arial" w:cs="Arial"/>
          <w:lang w:val="en-US"/>
        </w:rPr>
        <w:t xml:space="preserve"> their significance level.</w:t>
      </w:r>
    </w:p>
    <w:p w:rsidR="00331BBB" w:rsidRPr="00A51255" w:rsidRDefault="00C17B36" w:rsidP="00C17B36">
      <w:pPr>
        <w:spacing w:line="480" w:lineRule="auto"/>
        <w:ind w:firstLine="708"/>
        <w:jc w:val="both"/>
        <w:rPr>
          <w:rFonts w:ascii="Arial" w:hAnsi="Arial" w:cs="Arial"/>
          <w:lang w:val="en-US"/>
        </w:rPr>
      </w:pPr>
      <w:r w:rsidRPr="00A51255">
        <w:rPr>
          <w:rFonts w:ascii="Arial" w:hAnsi="Arial" w:cs="Arial"/>
          <w:lang w:val="en-US"/>
        </w:rPr>
        <w:t>We also investigate</w:t>
      </w:r>
      <w:r w:rsidR="00171C72" w:rsidRPr="00A51255">
        <w:rPr>
          <w:rFonts w:ascii="Arial" w:hAnsi="Arial" w:cs="Arial"/>
          <w:lang w:val="en-US"/>
        </w:rPr>
        <w:t xml:space="preserve"> if</w:t>
      </w:r>
      <w:r w:rsidRPr="00A51255">
        <w:rPr>
          <w:rFonts w:ascii="Arial" w:hAnsi="Arial" w:cs="Arial"/>
          <w:lang w:val="en-US"/>
        </w:rPr>
        <w:t xml:space="preserve"> the detected evolution effect could have been affected by the </w:t>
      </w:r>
      <w:r w:rsidR="00222828" w:rsidRPr="00A51255">
        <w:rPr>
          <w:rFonts w:ascii="Arial" w:hAnsi="Arial" w:cs="Arial"/>
          <w:lang w:val="en-US"/>
        </w:rPr>
        <w:t xml:space="preserve">growth of the </w:t>
      </w:r>
      <w:r w:rsidRPr="00A51255">
        <w:rPr>
          <w:rFonts w:ascii="Arial" w:hAnsi="Arial" w:cs="Arial"/>
          <w:lang w:val="en-US"/>
        </w:rPr>
        <w:t>entire Polish foreign exchange market over time. If the currency</w:t>
      </w:r>
      <w:r w:rsidR="00171C72" w:rsidRPr="00A51255">
        <w:rPr>
          <w:rFonts w:ascii="Arial" w:hAnsi="Arial" w:cs="Arial"/>
          <w:lang w:val="en-US"/>
        </w:rPr>
        <w:t xml:space="preserve"> market in Poland has been</w:t>
      </w:r>
      <w:r w:rsidR="00331BBB" w:rsidRPr="00A51255">
        <w:rPr>
          <w:rFonts w:ascii="Arial" w:hAnsi="Arial" w:cs="Arial"/>
          <w:lang w:val="en-US"/>
        </w:rPr>
        <w:t xml:space="preserve"> </w:t>
      </w:r>
      <w:r w:rsidR="00171C72" w:rsidRPr="00A51255">
        <w:rPr>
          <w:rFonts w:ascii="Arial" w:hAnsi="Arial" w:cs="Arial"/>
          <w:lang w:val="en-US"/>
        </w:rPr>
        <w:t xml:space="preserve">growing </w:t>
      </w:r>
      <w:r w:rsidR="00E619B0" w:rsidRPr="00A51255">
        <w:rPr>
          <w:rFonts w:ascii="Arial" w:hAnsi="Arial" w:cs="Arial"/>
          <w:lang w:val="en-US"/>
        </w:rPr>
        <w:t>in size</w:t>
      </w:r>
      <w:r w:rsidR="00EE4F51" w:rsidRPr="00A51255">
        <w:rPr>
          <w:rFonts w:ascii="Arial" w:hAnsi="Arial" w:cs="Arial"/>
          <w:lang w:val="en-US"/>
        </w:rPr>
        <w:t xml:space="preserve"> in the </w:t>
      </w:r>
      <w:r w:rsidR="00A37022" w:rsidRPr="00A51255">
        <w:rPr>
          <w:rFonts w:ascii="Arial" w:hAnsi="Arial" w:cs="Arial"/>
          <w:lang w:val="en-US"/>
        </w:rPr>
        <w:t>analyzed</w:t>
      </w:r>
      <w:r w:rsidR="00EE4F51" w:rsidRPr="00A51255">
        <w:rPr>
          <w:rFonts w:ascii="Arial" w:hAnsi="Arial" w:cs="Arial"/>
          <w:lang w:val="en-US"/>
        </w:rPr>
        <w:t xml:space="preserve"> sample period</w:t>
      </w:r>
      <w:r w:rsidR="00331BBB" w:rsidRPr="00A51255">
        <w:rPr>
          <w:rFonts w:ascii="Arial" w:hAnsi="Arial" w:cs="Arial"/>
          <w:lang w:val="en-US"/>
        </w:rPr>
        <w:t>, then the quantity of trades</w:t>
      </w:r>
      <w:r w:rsidR="00062E9E" w:rsidRPr="00A51255">
        <w:rPr>
          <w:rFonts w:ascii="Arial" w:hAnsi="Arial" w:cs="Arial"/>
          <w:lang w:val="en-US"/>
        </w:rPr>
        <w:t>,</w:t>
      </w:r>
      <w:r w:rsidR="00331BBB" w:rsidRPr="00A51255">
        <w:rPr>
          <w:rFonts w:ascii="Arial" w:hAnsi="Arial" w:cs="Arial"/>
          <w:lang w:val="en-US"/>
        </w:rPr>
        <w:t xml:space="preserve"> </w:t>
      </w:r>
      <w:r w:rsidRPr="00A51255">
        <w:rPr>
          <w:rFonts w:ascii="Arial" w:hAnsi="Arial" w:cs="Arial"/>
          <w:lang w:val="en-US"/>
        </w:rPr>
        <w:t>used as our volume variable in this study</w:t>
      </w:r>
      <w:r w:rsidR="00062E9E" w:rsidRPr="00A51255">
        <w:rPr>
          <w:rFonts w:ascii="Arial" w:hAnsi="Arial" w:cs="Arial"/>
          <w:lang w:val="en-US"/>
        </w:rPr>
        <w:t>,</w:t>
      </w:r>
      <w:r w:rsidRPr="00A51255">
        <w:rPr>
          <w:rFonts w:ascii="Arial" w:hAnsi="Arial" w:cs="Arial"/>
          <w:lang w:val="en-US"/>
        </w:rPr>
        <w:t xml:space="preserve"> could </w:t>
      </w:r>
      <w:r w:rsidR="00331BBB" w:rsidRPr="00A51255">
        <w:rPr>
          <w:rFonts w:ascii="Arial" w:hAnsi="Arial" w:cs="Arial"/>
          <w:lang w:val="en-US"/>
        </w:rPr>
        <w:t xml:space="preserve">be rising for </w:t>
      </w:r>
      <w:r w:rsidRPr="00A51255">
        <w:rPr>
          <w:rFonts w:ascii="Arial" w:hAnsi="Arial" w:cs="Arial"/>
          <w:lang w:val="en-US"/>
        </w:rPr>
        <w:t xml:space="preserve">precisely </w:t>
      </w:r>
      <w:r w:rsidR="00751627" w:rsidRPr="00A51255">
        <w:rPr>
          <w:rFonts w:ascii="Arial" w:hAnsi="Arial" w:cs="Arial"/>
          <w:lang w:val="en-US"/>
        </w:rPr>
        <w:t>that reason.</w:t>
      </w:r>
      <w:r w:rsidR="00331BBB" w:rsidRPr="00A51255">
        <w:rPr>
          <w:rFonts w:ascii="Arial" w:hAnsi="Arial" w:cs="Arial"/>
          <w:lang w:val="en-US"/>
        </w:rPr>
        <w:t xml:space="preserve"> </w:t>
      </w:r>
      <w:r w:rsidRPr="00A51255">
        <w:rPr>
          <w:rFonts w:ascii="Arial" w:hAnsi="Arial" w:cs="Arial"/>
          <w:lang w:val="en-US"/>
        </w:rPr>
        <w:t xml:space="preserve">Therefore, we </w:t>
      </w:r>
      <w:r w:rsidR="00AB50C9">
        <w:rPr>
          <w:rFonts w:ascii="Arial" w:hAnsi="Arial" w:cs="Arial"/>
          <w:lang w:val="en-US"/>
        </w:rPr>
        <w:t xml:space="preserve">also </w:t>
      </w:r>
      <w:r w:rsidRPr="00A51255">
        <w:rPr>
          <w:rFonts w:ascii="Arial" w:hAnsi="Arial" w:cs="Arial"/>
          <w:lang w:val="en-US"/>
        </w:rPr>
        <w:t>check also the robustness of the evolution effect</w:t>
      </w:r>
      <w:r w:rsidR="00171C72" w:rsidRPr="00A51255">
        <w:rPr>
          <w:rFonts w:ascii="Arial" w:hAnsi="Arial" w:cs="Arial"/>
          <w:lang w:val="en-US"/>
        </w:rPr>
        <w:t>s</w:t>
      </w:r>
      <w:r w:rsidRPr="00A51255">
        <w:rPr>
          <w:rFonts w:ascii="Arial" w:hAnsi="Arial" w:cs="Arial"/>
          <w:lang w:val="en-US"/>
        </w:rPr>
        <w:t xml:space="preserve"> in the volume of</w:t>
      </w:r>
      <w:r w:rsidR="00062E9E" w:rsidRPr="00A51255">
        <w:rPr>
          <w:rFonts w:ascii="Arial" w:hAnsi="Arial" w:cs="Arial"/>
          <w:lang w:val="en-US"/>
        </w:rPr>
        <w:t xml:space="preserve"> </w:t>
      </w:r>
      <w:r w:rsidRPr="00A51255">
        <w:rPr>
          <w:rFonts w:ascii="Arial" w:hAnsi="Arial" w:cs="Arial"/>
          <w:lang w:val="en-US"/>
        </w:rPr>
        <w:t xml:space="preserve">trade models by adjusting the volume data by the </w:t>
      </w:r>
      <w:r w:rsidR="00331BBB" w:rsidRPr="00A51255">
        <w:rPr>
          <w:rFonts w:ascii="Arial" w:hAnsi="Arial" w:cs="Arial"/>
          <w:lang w:val="en-US"/>
        </w:rPr>
        <w:t>growing size of the market</w:t>
      </w:r>
      <w:r w:rsidRPr="00A51255">
        <w:rPr>
          <w:rFonts w:ascii="Arial" w:hAnsi="Arial" w:cs="Arial"/>
          <w:lang w:val="en-US"/>
        </w:rPr>
        <w:t>.</w:t>
      </w:r>
    </w:p>
    <w:p w:rsidR="009A2C73" w:rsidRPr="00A51255" w:rsidRDefault="00C17B36" w:rsidP="009A2C73">
      <w:pPr>
        <w:spacing w:line="480" w:lineRule="auto"/>
        <w:ind w:firstLine="708"/>
        <w:jc w:val="both"/>
        <w:rPr>
          <w:rFonts w:ascii="Arial" w:hAnsi="Arial" w:cs="Arial"/>
          <w:lang w:val="en-US"/>
        </w:rPr>
      </w:pPr>
      <w:r w:rsidRPr="00A51255">
        <w:rPr>
          <w:rFonts w:ascii="Arial" w:hAnsi="Arial" w:cs="Arial"/>
          <w:lang w:val="en-US"/>
        </w:rPr>
        <w:t xml:space="preserve">The only reliable data about the size of foreign exchange markets </w:t>
      </w:r>
      <w:r w:rsidR="00166017" w:rsidRPr="00A51255">
        <w:rPr>
          <w:rFonts w:ascii="Arial" w:hAnsi="Arial" w:cs="Arial"/>
          <w:lang w:val="en-US"/>
        </w:rPr>
        <w:t xml:space="preserve">around the world </w:t>
      </w:r>
      <w:r w:rsidR="00980350" w:rsidRPr="00A51255">
        <w:rPr>
          <w:rFonts w:ascii="Arial" w:hAnsi="Arial" w:cs="Arial"/>
          <w:lang w:val="en-US"/>
        </w:rPr>
        <w:t>is available in</w:t>
      </w:r>
      <w:r w:rsidRPr="00A51255">
        <w:rPr>
          <w:rFonts w:ascii="Arial" w:hAnsi="Arial" w:cs="Arial"/>
          <w:lang w:val="en-US"/>
        </w:rPr>
        <w:t xml:space="preserve"> the Bank for International Settlements (</w:t>
      </w:r>
      <w:r w:rsidR="00331BBB" w:rsidRPr="00A51255">
        <w:rPr>
          <w:rFonts w:ascii="Arial" w:hAnsi="Arial" w:cs="Arial"/>
          <w:lang w:val="en-US"/>
        </w:rPr>
        <w:t>BIS</w:t>
      </w:r>
      <w:r w:rsidRPr="00A51255">
        <w:rPr>
          <w:rFonts w:ascii="Arial" w:hAnsi="Arial" w:cs="Arial"/>
          <w:lang w:val="en-US"/>
        </w:rPr>
        <w:t>)</w:t>
      </w:r>
      <w:r w:rsidR="00331BBB" w:rsidRPr="00A51255">
        <w:rPr>
          <w:rFonts w:ascii="Arial" w:hAnsi="Arial" w:cs="Arial"/>
          <w:lang w:val="en-US"/>
        </w:rPr>
        <w:t xml:space="preserve"> </w:t>
      </w:r>
      <w:r w:rsidR="005E7722" w:rsidRPr="00A51255">
        <w:rPr>
          <w:rFonts w:ascii="Arial" w:hAnsi="Arial" w:cs="Arial"/>
          <w:lang w:val="en-US"/>
        </w:rPr>
        <w:t xml:space="preserve">triennial </w:t>
      </w:r>
      <w:r w:rsidR="00331BBB" w:rsidRPr="00A51255">
        <w:rPr>
          <w:rFonts w:ascii="Arial" w:hAnsi="Arial" w:cs="Arial"/>
          <w:lang w:val="en-US"/>
        </w:rPr>
        <w:t>survey</w:t>
      </w:r>
      <w:r w:rsidR="005E7722" w:rsidRPr="00A51255">
        <w:rPr>
          <w:rFonts w:ascii="Arial" w:hAnsi="Arial" w:cs="Arial"/>
          <w:lang w:val="en-US"/>
        </w:rPr>
        <w:t>s of currency market participants.</w:t>
      </w:r>
      <w:r w:rsidR="00751627" w:rsidRPr="00A51255">
        <w:rPr>
          <w:rFonts w:ascii="Arial" w:hAnsi="Arial" w:cs="Arial"/>
          <w:lang w:val="en-US"/>
        </w:rPr>
        <w:t xml:space="preserve"> </w:t>
      </w:r>
      <w:r w:rsidR="009A2C73" w:rsidRPr="00A51255">
        <w:rPr>
          <w:rFonts w:ascii="Arial" w:hAnsi="Arial" w:cs="Arial"/>
          <w:lang w:val="en-US"/>
        </w:rPr>
        <w:t xml:space="preserve">From the </w:t>
      </w:r>
      <w:r w:rsidR="005E7722" w:rsidRPr="00A51255">
        <w:rPr>
          <w:rFonts w:ascii="Arial" w:hAnsi="Arial" w:cs="Arial"/>
          <w:lang w:val="en-US"/>
        </w:rPr>
        <w:t xml:space="preserve">BIS report from 2005, we can infer that </w:t>
      </w:r>
      <w:r w:rsidR="00AB50C9">
        <w:rPr>
          <w:rFonts w:ascii="Arial" w:hAnsi="Arial" w:cs="Arial"/>
          <w:lang w:val="en-US"/>
        </w:rPr>
        <w:t xml:space="preserve">the </w:t>
      </w:r>
      <w:r w:rsidR="005E7722" w:rsidRPr="00A51255">
        <w:rPr>
          <w:rFonts w:ascii="Arial" w:hAnsi="Arial" w:cs="Arial"/>
          <w:lang w:val="en-US"/>
        </w:rPr>
        <w:t>Polish foreign exc</w:t>
      </w:r>
      <w:r w:rsidR="009A2C73" w:rsidRPr="00A51255">
        <w:rPr>
          <w:rFonts w:ascii="Arial" w:hAnsi="Arial" w:cs="Arial"/>
          <w:lang w:val="en-US"/>
        </w:rPr>
        <w:t xml:space="preserve">hange market grew </w:t>
      </w:r>
      <w:r w:rsidR="005E7722" w:rsidRPr="00A51255">
        <w:rPr>
          <w:rFonts w:ascii="Arial" w:hAnsi="Arial" w:cs="Arial"/>
          <w:lang w:val="en-US"/>
        </w:rPr>
        <w:t xml:space="preserve">from </w:t>
      </w:r>
      <w:r w:rsidR="00EA6E9E" w:rsidRPr="00A51255">
        <w:rPr>
          <w:rFonts w:ascii="Arial" w:hAnsi="Arial" w:cs="Arial"/>
          <w:lang w:val="en-US"/>
        </w:rPr>
        <w:t xml:space="preserve">about </w:t>
      </w:r>
      <w:r w:rsidR="005E7722" w:rsidRPr="00A51255">
        <w:rPr>
          <w:rFonts w:ascii="Arial" w:hAnsi="Arial" w:cs="Arial"/>
          <w:lang w:val="en-US"/>
        </w:rPr>
        <w:t xml:space="preserve">5 </w:t>
      </w:r>
      <w:r w:rsidR="009A2C73" w:rsidRPr="00A51255">
        <w:rPr>
          <w:rFonts w:ascii="Arial" w:hAnsi="Arial" w:cs="Arial"/>
          <w:lang w:val="en-US"/>
        </w:rPr>
        <w:t xml:space="preserve">bn USD </w:t>
      </w:r>
      <w:r w:rsidR="005E7722" w:rsidRPr="00A51255">
        <w:rPr>
          <w:rFonts w:ascii="Arial" w:hAnsi="Arial" w:cs="Arial"/>
          <w:lang w:val="en-US"/>
        </w:rPr>
        <w:t xml:space="preserve">to </w:t>
      </w:r>
      <w:r w:rsidR="00EA6E9E" w:rsidRPr="00A51255">
        <w:rPr>
          <w:rFonts w:ascii="Arial" w:hAnsi="Arial" w:cs="Arial"/>
          <w:lang w:val="en-US"/>
        </w:rPr>
        <w:t xml:space="preserve">about </w:t>
      </w:r>
      <w:r w:rsidR="005E7722" w:rsidRPr="00A51255">
        <w:rPr>
          <w:rFonts w:ascii="Arial" w:hAnsi="Arial" w:cs="Arial"/>
          <w:lang w:val="en-US"/>
        </w:rPr>
        <w:t>6 bn U</w:t>
      </w:r>
      <w:r w:rsidR="009A2C73" w:rsidRPr="00A51255">
        <w:rPr>
          <w:rFonts w:ascii="Arial" w:hAnsi="Arial" w:cs="Arial"/>
          <w:lang w:val="en-US"/>
        </w:rPr>
        <w:t xml:space="preserve">SD in our sample period, i.e. by </w:t>
      </w:r>
      <w:r w:rsidR="00EA6E9E" w:rsidRPr="00A51255">
        <w:rPr>
          <w:rFonts w:ascii="Arial" w:hAnsi="Arial" w:cs="Arial"/>
          <w:lang w:val="en-US"/>
        </w:rPr>
        <w:t xml:space="preserve">about </w:t>
      </w:r>
      <w:r w:rsidR="009A2C73" w:rsidRPr="00A51255">
        <w:rPr>
          <w:rFonts w:ascii="Arial" w:hAnsi="Arial" w:cs="Arial"/>
          <w:lang w:val="en-US"/>
        </w:rPr>
        <w:t>20% (</w:t>
      </w:r>
      <w:r w:rsidR="00C13229" w:rsidRPr="00A51255">
        <w:rPr>
          <w:rFonts w:ascii="Arial" w:hAnsi="Arial" w:cs="Arial"/>
          <w:lang w:val="en-US"/>
        </w:rPr>
        <w:t>see: Triennial Central Bank Survey (2005)).</w:t>
      </w:r>
      <w:r w:rsidR="009A2C73" w:rsidRPr="00A51255">
        <w:rPr>
          <w:rFonts w:ascii="Arial" w:hAnsi="Arial" w:cs="Arial"/>
          <w:lang w:val="en-US"/>
        </w:rPr>
        <w:t xml:space="preserve"> </w:t>
      </w:r>
      <w:r w:rsidR="00EA6E9E" w:rsidRPr="00A51255">
        <w:rPr>
          <w:rFonts w:ascii="Arial" w:hAnsi="Arial" w:cs="Arial"/>
          <w:lang w:val="en-US"/>
        </w:rPr>
        <w:t>Hence</w:t>
      </w:r>
      <w:r w:rsidR="009A2C73" w:rsidRPr="00A51255">
        <w:rPr>
          <w:rFonts w:ascii="Arial" w:hAnsi="Arial" w:cs="Arial"/>
          <w:lang w:val="en-US"/>
        </w:rPr>
        <w:t>, we</w:t>
      </w:r>
      <w:r w:rsidR="00331BBB" w:rsidRPr="00A51255">
        <w:rPr>
          <w:rFonts w:ascii="Arial" w:hAnsi="Arial" w:cs="Arial"/>
          <w:lang w:val="en-US"/>
        </w:rPr>
        <w:t xml:space="preserve"> adjust</w:t>
      </w:r>
      <w:r w:rsidR="00EA6E9E" w:rsidRPr="00A51255">
        <w:rPr>
          <w:rFonts w:ascii="Arial" w:hAnsi="Arial" w:cs="Arial"/>
          <w:lang w:val="en-US"/>
        </w:rPr>
        <w:t>ed</w:t>
      </w:r>
      <w:r w:rsidR="00331BBB" w:rsidRPr="00A51255">
        <w:rPr>
          <w:rFonts w:ascii="Arial" w:hAnsi="Arial" w:cs="Arial"/>
          <w:lang w:val="en-US"/>
        </w:rPr>
        <w:t xml:space="preserve"> the volume </w:t>
      </w:r>
      <w:r w:rsidR="009A2C73" w:rsidRPr="00A51255">
        <w:rPr>
          <w:rFonts w:ascii="Arial" w:hAnsi="Arial" w:cs="Arial"/>
          <w:lang w:val="en-US"/>
        </w:rPr>
        <w:t xml:space="preserve">of trade </w:t>
      </w:r>
      <w:r w:rsidR="00331BBB" w:rsidRPr="00A51255">
        <w:rPr>
          <w:rFonts w:ascii="Arial" w:hAnsi="Arial" w:cs="Arial"/>
          <w:lang w:val="en-US"/>
        </w:rPr>
        <w:t xml:space="preserve">data by assuming linear growth of the </w:t>
      </w:r>
      <w:r w:rsidR="00EA6E9E" w:rsidRPr="00A51255">
        <w:rPr>
          <w:rFonts w:ascii="Arial" w:hAnsi="Arial" w:cs="Arial"/>
          <w:lang w:val="en-US"/>
        </w:rPr>
        <w:t xml:space="preserve">Polish currency </w:t>
      </w:r>
      <w:r w:rsidR="00331BBB" w:rsidRPr="00A51255">
        <w:rPr>
          <w:rFonts w:ascii="Arial" w:hAnsi="Arial" w:cs="Arial"/>
          <w:lang w:val="en-US"/>
        </w:rPr>
        <w:t xml:space="preserve">market </w:t>
      </w:r>
      <w:r w:rsidR="009A2C73" w:rsidRPr="00A51255">
        <w:rPr>
          <w:rFonts w:ascii="Arial" w:hAnsi="Arial" w:cs="Arial"/>
          <w:lang w:val="en-US"/>
        </w:rPr>
        <w:t xml:space="preserve">size </w:t>
      </w:r>
      <w:r w:rsidR="00331BBB" w:rsidRPr="00A51255">
        <w:rPr>
          <w:rFonts w:ascii="Arial" w:hAnsi="Arial" w:cs="Arial"/>
          <w:lang w:val="en-US"/>
        </w:rPr>
        <w:t>(in absence of any other data that would su</w:t>
      </w:r>
      <w:r w:rsidR="009A2C73" w:rsidRPr="00A51255">
        <w:rPr>
          <w:rFonts w:ascii="Arial" w:hAnsi="Arial" w:cs="Arial"/>
          <w:lang w:val="en-US"/>
        </w:rPr>
        <w:t>ggest any other path of growth</w:t>
      </w:r>
      <w:r w:rsidR="00166017" w:rsidRPr="00A51255">
        <w:rPr>
          <w:rFonts w:ascii="Arial" w:hAnsi="Arial" w:cs="Arial"/>
          <w:lang w:val="en-US"/>
        </w:rPr>
        <w:t xml:space="preserve"> than linear</w:t>
      </w:r>
      <w:r w:rsidR="009A2C73" w:rsidRPr="00A51255">
        <w:rPr>
          <w:rFonts w:ascii="Arial" w:hAnsi="Arial" w:cs="Arial"/>
          <w:lang w:val="en-US"/>
        </w:rPr>
        <w:t>)</w:t>
      </w:r>
      <w:r w:rsidR="00EA6E9E" w:rsidRPr="00A51255">
        <w:rPr>
          <w:rFonts w:ascii="Arial" w:hAnsi="Arial" w:cs="Arial"/>
          <w:lang w:val="en-US"/>
        </w:rPr>
        <w:t xml:space="preserve"> and </w:t>
      </w:r>
      <w:r w:rsidR="008155D2" w:rsidRPr="00A51255">
        <w:rPr>
          <w:rFonts w:ascii="Arial" w:hAnsi="Arial" w:cs="Arial"/>
          <w:lang w:val="en-US"/>
        </w:rPr>
        <w:t xml:space="preserve">we </w:t>
      </w:r>
      <w:r w:rsidR="00EA6E9E" w:rsidRPr="00A51255">
        <w:rPr>
          <w:rFonts w:ascii="Arial" w:hAnsi="Arial" w:cs="Arial"/>
          <w:lang w:val="en-US"/>
        </w:rPr>
        <w:t>re-run all</w:t>
      </w:r>
      <w:r w:rsidR="009A2C73" w:rsidRPr="00A51255">
        <w:rPr>
          <w:rFonts w:ascii="Arial" w:hAnsi="Arial" w:cs="Arial"/>
          <w:lang w:val="en-US"/>
        </w:rPr>
        <w:t xml:space="preserve"> regressions for the volume models with the NBP announcements dummy variables. </w:t>
      </w:r>
    </w:p>
    <w:p w:rsidR="009A2C73" w:rsidRPr="00A51255" w:rsidRDefault="00AB50C9" w:rsidP="00331BBB">
      <w:pPr>
        <w:spacing w:line="480" w:lineRule="auto"/>
        <w:ind w:firstLine="708"/>
        <w:jc w:val="both"/>
        <w:rPr>
          <w:rFonts w:ascii="Arial" w:hAnsi="Arial" w:cs="Arial"/>
          <w:lang w:val="en-US"/>
        </w:rPr>
      </w:pPr>
      <w:r>
        <w:rPr>
          <w:rFonts w:ascii="Arial" w:hAnsi="Arial" w:cs="Arial"/>
          <w:lang w:val="en-US"/>
        </w:rPr>
        <w:t>The s</w:t>
      </w:r>
      <w:r w:rsidR="00E04EF4" w:rsidRPr="00A51255">
        <w:rPr>
          <w:rFonts w:ascii="Arial" w:hAnsi="Arial" w:cs="Arial"/>
          <w:lang w:val="en-US"/>
        </w:rPr>
        <w:t xml:space="preserve">econd panel in </w:t>
      </w:r>
      <w:r w:rsidR="009A2C73" w:rsidRPr="00A51255">
        <w:rPr>
          <w:rFonts w:ascii="Arial" w:hAnsi="Arial" w:cs="Arial"/>
          <w:lang w:val="en-US"/>
        </w:rPr>
        <w:t>T</w:t>
      </w:r>
      <w:r w:rsidR="007E77CD" w:rsidRPr="00A51255">
        <w:rPr>
          <w:rFonts w:ascii="Arial" w:hAnsi="Arial" w:cs="Arial"/>
          <w:lang w:val="en-US"/>
        </w:rPr>
        <w:t xml:space="preserve">able </w:t>
      </w:r>
      <w:r w:rsidR="00683D8F">
        <w:rPr>
          <w:rFonts w:ascii="Arial" w:hAnsi="Arial" w:cs="Arial"/>
          <w:lang w:val="en-US"/>
        </w:rPr>
        <w:t>A</w:t>
      </w:r>
      <w:r w:rsidR="00594A0D">
        <w:rPr>
          <w:rFonts w:ascii="Arial" w:hAnsi="Arial" w:cs="Arial"/>
          <w:lang w:val="en-US"/>
        </w:rPr>
        <w:t>3</w:t>
      </w:r>
      <w:r w:rsidR="009A2C73" w:rsidRPr="00A51255">
        <w:rPr>
          <w:rFonts w:ascii="Arial" w:hAnsi="Arial" w:cs="Arial"/>
          <w:lang w:val="en-US"/>
        </w:rPr>
        <w:t xml:space="preserve"> presents e</w:t>
      </w:r>
      <w:r w:rsidR="00331BBB" w:rsidRPr="00A51255">
        <w:rPr>
          <w:rFonts w:ascii="Arial" w:hAnsi="Arial" w:cs="Arial"/>
          <w:lang w:val="en-US"/>
        </w:rPr>
        <w:t>stimation results for two sub-s</w:t>
      </w:r>
      <w:r w:rsidR="00F94B7E" w:rsidRPr="00A51255">
        <w:rPr>
          <w:rFonts w:ascii="Arial" w:hAnsi="Arial" w:cs="Arial"/>
          <w:lang w:val="en-US"/>
        </w:rPr>
        <w:t>amples for the volume models of</w:t>
      </w:r>
      <w:r w:rsidR="00331BBB" w:rsidRPr="00A51255">
        <w:rPr>
          <w:rFonts w:ascii="Arial" w:hAnsi="Arial" w:cs="Arial"/>
          <w:lang w:val="en-US"/>
        </w:rPr>
        <w:t xml:space="preserve"> the PLN/USD </w:t>
      </w:r>
      <w:r w:rsidR="00EA6E9E" w:rsidRPr="00A51255">
        <w:rPr>
          <w:rFonts w:ascii="Arial" w:hAnsi="Arial" w:cs="Arial"/>
          <w:lang w:val="en-US"/>
        </w:rPr>
        <w:t xml:space="preserve">foreign exchange </w:t>
      </w:r>
      <w:r w:rsidR="00331BBB" w:rsidRPr="00A51255">
        <w:rPr>
          <w:rFonts w:ascii="Arial" w:hAnsi="Arial" w:cs="Arial"/>
          <w:lang w:val="en-US"/>
        </w:rPr>
        <w:t xml:space="preserve">volume </w:t>
      </w:r>
      <w:r w:rsidR="00EA6E9E" w:rsidRPr="00A51255">
        <w:rPr>
          <w:rFonts w:ascii="Arial" w:hAnsi="Arial" w:cs="Arial"/>
          <w:lang w:val="en-US"/>
        </w:rPr>
        <w:t xml:space="preserve">of trade </w:t>
      </w:r>
      <w:r w:rsidR="00331BBB" w:rsidRPr="00A51255">
        <w:rPr>
          <w:rFonts w:ascii="Arial" w:hAnsi="Arial" w:cs="Arial"/>
          <w:lang w:val="en-US"/>
        </w:rPr>
        <w:t xml:space="preserve">adjusted by </w:t>
      </w:r>
      <w:r w:rsidR="00EA6E9E" w:rsidRPr="00A51255">
        <w:rPr>
          <w:rFonts w:ascii="Arial" w:hAnsi="Arial" w:cs="Arial"/>
          <w:lang w:val="en-US"/>
        </w:rPr>
        <w:t xml:space="preserve">the </w:t>
      </w:r>
      <w:r w:rsidR="004237B0" w:rsidRPr="00A51255">
        <w:rPr>
          <w:rFonts w:ascii="Arial" w:hAnsi="Arial" w:cs="Arial"/>
          <w:lang w:val="en-US"/>
        </w:rPr>
        <w:t xml:space="preserve">rate of growth of the entire </w:t>
      </w:r>
      <w:r w:rsidR="00F94B7E" w:rsidRPr="00A51255">
        <w:rPr>
          <w:rFonts w:ascii="Arial" w:hAnsi="Arial" w:cs="Arial"/>
          <w:lang w:val="en-US"/>
        </w:rPr>
        <w:t xml:space="preserve">currency </w:t>
      </w:r>
      <w:r w:rsidR="00331BBB" w:rsidRPr="00A51255">
        <w:rPr>
          <w:rFonts w:ascii="Arial" w:hAnsi="Arial" w:cs="Arial"/>
          <w:lang w:val="en-US"/>
        </w:rPr>
        <w:t>market</w:t>
      </w:r>
      <w:r w:rsidR="00F94B7E" w:rsidRPr="00A51255">
        <w:rPr>
          <w:rFonts w:ascii="Arial" w:hAnsi="Arial" w:cs="Arial"/>
          <w:lang w:val="en-US"/>
        </w:rPr>
        <w:t xml:space="preserve"> in Poland</w:t>
      </w:r>
      <w:r w:rsidR="00331BBB" w:rsidRPr="00A51255">
        <w:rPr>
          <w:rFonts w:ascii="Arial" w:hAnsi="Arial" w:cs="Arial"/>
          <w:lang w:val="en-US"/>
        </w:rPr>
        <w:t>.</w:t>
      </w:r>
      <w:r w:rsidR="00F94B7E" w:rsidRPr="00A51255">
        <w:rPr>
          <w:rFonts w:ascii="Arial" w:hAnsi="Arial" w:cs="Arial"/>
          <w:lang w:val="en-US"/>
        </w:rPr>
        <w:t xml:space="preserve"> </w:t>
      </w:r>
      <w:r w:rsidR="007C30B7" w:rsidRPr="00A51255">
        <w:rPr>
          <w:rFonts w:ascii="Arial" w:hAnsi="Arial" w:cs="Arial"/>
          <w:lang w:val="en-US"/>
        </w:rPr>
        <w:t>It shows</w:t>
      </w:r>
      <w:r w:rsidR="00F94B7E" w:rsidRPr="00A51255">
        <w:rPr>
          <w:rFonts w:ascii="Arial" w:hAnsi="Arial" w:cs="Arial"/>
          <w:lang w:val="en-US"/>
        </w:rPr>
        <w:t xml:space="preserve"> </w:t>
      </w:r>
      <w:r w:rsidR="007C30B7" w:rsidRPr="00A51255">
        <w:rPr>
          <w:rFonts w:ascii="Arial" w:hAnsi="Arial" w:cs="Arial"/>
          <w:lang w:val="en-US"/>
        </w:rPr>
        <w:t xml:space="preserve">that all parameters, which are </w:t>
      </w:r>
      <w:r w:rsidR="00B576E6" w:rsidRPr="00A51255">
        <w:rPr>
          <w:rFonts w:ascii="Arial" w:hAnsi="Arial" w:cs="Arial"/>
          <w:lang w:val="en-US"/>
        </w:rPr>
        <w:t xml:space="preserve">statistically </w:t>
      </w:r>
      <w:r w:rsidR="007C30B7" w:rsidRPr="00A51255">
        <w:rPr>
          <w:rFonts w:ascii="Arial" w:hAnsi="Arial" w:cs="Arial"/>
          <w:lang w:val="en-US"/>
        </w:rPr>
        <w:t>significant, are positive</w:t>
      </w:r>
      <w:r>
        <w:rPr>
          <w:rFonts w:ascii="Arial" w:hAnsi="Arial" w:cs="Arial"/>
          <w:lang w:val="en-US"/>
        </w:rPr>
        <w:t>,</w:t>
      </w:r>
      <w:r w:rsidR="007C30B7" w:rsidRPr="00A51255">
        <w:rPr>
          <w:rFonts w:ascii="Arial" w:hAnsi="Arial" w:cs="Arial"/>
          <w:lang w:val="en-US"/>
        </w:rPr>
        <w:t xml:space="preserve"> and </w:t>
      </w:r>
      <w:r>
        <w:rPr>
          <w:rFonts w:ascii="Arial" w:hAnsi="Arial" w:cs="Arial"/>
          <w:lang w:val="en-US"/>
        </w:rPr>
        <w:t xml:space="preserve">that </w:t>
      </w:r>
      <w:r w:rsidR="007C30B7" w:rsidRPr="00A51255">
        <w:rPr>
          <w:rFonts w:ascii="Arial" w:hAnsi="Arial" w:cs="Arial"/>
          <w:lang w:val="en-US"/>
        </w:rPr>
        <w:t>they are very similar in size to th</w:t>
      </w:r>
      <w:r w:rsidR="00F94B7E" w:rsidRPr="00A51255">
        <w:rPr>
          <w:rFonts w:ascii="Arial" w:hAnsi="Arial" w:cs="Arial"/>
          <w:lang w:val="en-US"/>
        </w:rPr>
        <w:t>eir counterparts</w:t>
      </w:r>
      <w:r w:rsidR="007C30B7" w:rsidRPr="00A51255">
        <w:rPr>
          <w:rFonts w:ascii="Arial" w:hAnsi="Arial" w:cs="Arial"/>
          <w:lang w:val="en-US"/>
        </w:rPr>
        <w:t xml:space="preserve"> in </w:t>
      </w:r>
      <w:r w:rsidR="00BF37B1">
        <w:rPr>
          <w:rFonts w:ascii="Arial" w:hAnsi="Arial" w:cs="Arial"/>
          <w:lang w:val="en-US"/>
        </w:rPr>
        <w:t>Table</w:t>
      </w:r>
      <w:r w:rsidR="005C2B60">
        <w:rPr>
          <w:rFonts w:ascii="Arial" w:hAnsi="Arial" w:cs="Arial"/>
          <w:lang w:val="en-US"/>
        </w:rPr>
        <w:t>s</w:t>
      </w:r>
      <w:r w:rsidR="00BF37B1">
        <w:rPr>
          <w:rFonts w:ascii="Arial" w:hAnsi="Arial" w:cs="Arial"/>
          <w:lang w:val="en-US"/>
        </w:rPr>
        <w:t xml:space="preserve"> 4a</w:t>
      </w:r>
      <w:r w:rsidR="007C30B7" w:rsidRPr="00A51255">
        <w:rPr>
          <w:rFonts w:ascii="Arial" w:hAnsi="Arial" w:cs="Arial"/>
          <w:lang w:val="en-US"/>
        </w:rPr>
        <w:t xml:space="preserve"> </w:t>
      </w:r>
      <w:r w:rsidR="005C2B60">
        <w:rPr>
          <w:rFonts w:ascii="Arial" w:hAnsi="Arial" w:cs="Arial"/>
          <w:lang w:val="en-US"/>
        </w:rPr>
        <w:t>and 4b</w:t>
      </w:r>
      <w:r w:rsidR="007C30B7" w:rsidRPr="00A51255">
        <w:rPr>
          <w:rFonts w:ascii="Arial" w:hAnsi="Arial" w:cs="Arial"/>
          <w:lang w:val="en-US"/>
        </w:rPr>
        <w:t xml:space="preserve">. </w:t>
      </w:r>
      <w:r w:rsidR="001F48BB">
        <w:rPr>
          <w:rFonts w:ascii="Arial" w:hAnsi="Arial" w:cs="Arial"/>
          <w:lang w:val="en-US"/>
        </w:rPr>
        <w:t xml:space="preserve">They also have the same </w:t>
      </w:r>
      <w:r w:rsidR="007C30B7" w:rsidRPr="00A51255">
        <w:rPr>
          <w:rFonts w:ascii="Arial" w:hAnsi="Arial" w:cs="Arial"/>
          <w:lang w:val="en-US"/>
        </w:rPr>
        <w:t>magnitude of their values and, more importantly, the</w:t>
      </w:r>
      <w:r w:rsidR="00EA04DF">
        <w:rPr>
          <w:rFonts w:ascii="Arial" w:hAnsi="Arial" w:cs="Arial"/>
          <w:lang w:val="en-US"/>
        </w:rPr>
        <w:t>y</w:t>
      </w:r>
      <w:r w:rsidR="007C30B7" w:rsidRPr="00A51255">
        <w:rPr>
          <w:rFonts w:ascii="Arial" w:hAnsi="Arial" w:cs="Arial"/>
          <w:lang w:val="en-US"/>
        </w:rPr>
        <w:t xml:space="preserve"> </w:t>
      </w:r>
      <w:r w:rsidR="001F48BB" w:rsidRPr="00A51255">
        <w:rPr>
          <w:rFonts w:ascii="Arial" w:hAnsi="Arial" w:cs="Arial"/>
          <w:lang w:val="en-US"/>
        </w:rPr>
        <w:t>exhibit the same pattern</w:t>
      </w:r>
      <w:r w:rsidR="00A845E6">
        <w:rPr>
          <w:rFonts w:ascii="Arial" w:hAnsi="Arial" w:cs="Arial"/>
          <w:lang w:val="en-US"/>
        </w:rPr>
        <w:t xml:space="preserve"> of</w:t>
      </w:r>
      <w:r w:rsidR="001F48BB" w:rsidRPr="00A51255">
        <w:rPr>
          <w:rFonts w:ascii="Arial" w:hAnsi="Arial" w:cs="Arial"/>
          <w:lang w:val="en-US"/>
        </w:rPr>
        <w:t xml:space="preserve"> </w:t>
      </w:r>
      <w:r w:rsidR="001F48BB">
        <w:rPr>
          <w:rFonts w:ascii="Arial" w:hAnsi="Arial" w:cs="Arial"/>
          <w:lang w:val="en-US"/>
        </w:rPr>
        <w:t xml:space="preserve">changes </w:t>
      </w:r>
      <w:r w:rsidR="00F94B7E" w:rsidRPr="00A51255">
        <w:rPr>
          <w:rFonts w:ascii="Arial" w:hAnsi="Arial" w:cs="Arial"/>
          <w:lang w:val="en-US"/>
        </w:rPr>
        <w:t xml:space="preserve">towards </w:t>
      </w:r>
      <w:r w:rsidR="001F48BB">
        <w:rPr>
          <w:rFonts w:ascii="Arial" w:hAnsi="Arial" w:cs="Arial"/>
          <w:lang w:val="en-US"/>
        </w:rPr>
        <w:t>the second sub-sample as the parameters estimated in models with raw volume.</w:t>
      </w:r>
    </w:p>
    <w:p w:rsidR="004409FC" w:rsidRDefault="00654237" w:rsidP="00564A23">
      <w:pPr>
        <w:spacing w:line="480" w:lineRule="auto"/>
        <w:ind w:firstLine="708"/>
        <w:jc w:val="both"/>
        <w:rPr>
          <w:rFonts w:ascii="Arial" w:hAnsi="Arial" w:cs="Arial"/>
          <w:lang w:val="en-US"/>
        </w:rPr>
      </w:pPr>
      <w:r w:rsidRPr="00A51255">
        <w:rPr>
          <w:rFonts w:ascii="Arial" w:hAnsi="Arial" w:cs="Arial"/>
          <w:lang w:val="en-US"/>
        </w:rPr>
        <w:t xml:space="preserve">Hence, we can conclude that, </w:t>
      </w:r>
      <w:r w:rsidR="00284B80" w:rsidRPr="00A51255">
        <w:rPr>
          <w:rFonts w:ascii="Arial" w:hAnsi="Arial" w:cs="Arial"/>
          <w:lang w:val="en-US"/>
        </w:rPr>
        <w:t xml:space="preserve">the evolution effects did </w:t>
      </w:r>
      <w:r w:rsidR="00AB50C9">
        <w:rPr>
          <w:rFonts w:ascii="Arial" w:hAnsi="Arial" w:cs="Arial"/>
          <w:lang w:val="en-US"/>
        </w:rPr>
        <w:t xml:space="preserve">indeed </w:t>
      </w:r>
      <w:r w:rsidR="00284B80" w:rsidRPr="00A51255">
        <w:rPr>
          <w:rFonts w:ascii="Arial" w:hAnsi="Arial" w:cs="Arial"/>
          <w:lang w:val="en-US"/>
        </w:rPr>
        <w:t>exist in our sample period</w:t>
      </w:r>
      <w:r w:rsidR="009A1D6C">
        <w:rPr>
          <w:rFonts w:ascii="Arial" w:hAnsi="Arial" w:cs="Arial"/>
          <w:lang w:val="en-US"/>
        </w:rPr>
        <w:t>, even after controlling for the growing size of the market,</w:t>
      </w:r>
      <w:r w:rsidR="00284B80" w:rsidRPr="00A51255">
        <w:rPr>
          <w:rFonts w:ascii="Arial" w:hAnsi="Arial" w:cs="Arial"/>
          <w:lang w:val="en-US"/>
        </w:rPr>
        <w:t xml:space="preserve"> and that we found </w:t>
      </w:r>
      <w:r w:rsidR="009A1D6C">
        <w:rPr>
          <w:rFonts w:ascii="Arial" w:hAnsi="Arial" w:cs="Arial"/>
          <w:lang w:val="en-US"/>
        </w:rPr>
        <w:t xml:space="preserve">some </w:t>
      </w:r>
      <w:r w:rsidR="003A030F" w:rsidRPr="00A51255">
        <w:rPr>
          <w:rFonts w:ascii="Arial" w:hAnsi="Arial" w:cs="Arial"/>
          <w:lang w:val="en-US"/>
        </w:rPr>
        <w:lastRenderedPageBreak/>
        <w:t xml:space="preserve">evidence </w:t>
      </w:r>
      <w:r w:rsidR="00284B80" w:rsidRPr="00A51255">
        <w:rPr>
          <w:rFonts w:ascii="Arial" w:hAnsi="Arial" w:cs="Arial"/>
          <w:lang w:val="en-US"/>
        </w:rPr>
        <w:t xml:space="preserve">suggesting </w:t>
      </w:r>
      <w:r w:rsidR="003A030F" w:rsidRPr="00A51255">
        <w:rPr>
          <w:rFonts w:ascii="Arial" w:hAnsi="Arial" w:cs="Arial"/>
          <w:lang w:val="en-US"/>
        </w:rPr>
        <w:t>that</w:t>
      </w:r>
      <w:r w:rsidRPr="00A51255">
        <w:rPr>
          <w:rFonts w:ascii="Arial" w:hAnsi="Arial" w:cs="Arial"/>
          <w:lang w:val="en-US"/>
        </w:rPr>
        <w:t xml:space="preserve"> </w:t>
      </w:r>
      <w:r w:rsidR="0016743B" w:rsidRPr="00A51255">
        <w:rPr>
          <w:rFonts w:ascii="Arial" w:hAnsi="Arial" w:cs="Arial"/>
          <w:lang w:val="en-US"/>
        </w:rPr>
        <w:t xml:space="preserve">the </w:t>
      </w:r>
      <w:r w:rsidR="007C3E46" w:rsidRPr="00A51255">
        <w:rPr>
          <w:rFonts w:ascii="Arial" w:hAnsi="Arial" w:cs="Arial"/>
          <w:lang w:val="en-US"/>
        </w:rPr>
        <w:t xml:space="preserve">currency </w:t>
      </w:r>
      <w:r w:rsidR="0016743B" w:rsidRPr="00A51255">
        <w:rPr>
          <w:rFonts w:ascii="Arial" w:hAnsi="Arial" w:cs="Arial"/>
          <w:lang w:val="en-US"/>
        </w:rPr>
        <w:t>market</w:t>
      </w:r>
      <w:r w:rsidRPr="00A51255">
        <w:rPr>
          <w:rFonts w:ascii="Arial" w:hAnsi="Arial" w:cs="Arial"/>
          <w:lang w:val="en-US"/>
        </w:rPr>
        <w:t xml:space="preserve"> </w:t>
      </w:r>
      <w:r w:rsidR="007C3E46" w:rsidRPr="00A51255">
        <w:rPr>
          <w:rFonts w:ascii="Arial" w:hAnsi="Arial" w:cs="Arial"/>
          <w:lang w:val="en-US"/>
        </w:rPr>
        <w:t xml:space="preserve">in Poland </w:t>
      </w:r>
      <w:r w:rsidR="00535B20" w:rsidRPr="00A51255">
        <w:rPr>
          <w:rFonts w:ascii="Arial" w:hAnsi="Arial" w:cs="Arial"/>
          <w:lang w:val="en-US"/>
        </w:rPr>
        <w:t xml:space="preserve">and </w:t>
      </w:r>
      <w:r w:rsidR="0016743B" w:rsidRPr="00A51255">
        <w:rPr>
          <w:rFonts w:ascii="Arial" w:hAnsi="Arial" w:cs="Arial"/>
          <w:lang w:val="en-US"/>
        </w:rPr>
        <w:t xml:space="preserve">the </w:t>
      </w:r>
      <w:r w:rsidR="00535B20" w:rsidRPr="00A51255">
        <w:rPr>
          <w:rFonts w:ascii="Arial" w:hAnsi="Arial" w:cs="Arial"/>
          <w:lang w:val="en-US"/>
        </w:rPr>
        <w:t xml:space="preserve">foreign exchange investors </w:t>
      </w:r>
      <w:r w:rsidRPr="00A51255">
        <w:rPr>
          <w:rFonts w:ascii="Arial" w:hAnsi="Arial" w:cs="Arial"/>
          <w:lang w:val="en-US"/>
        </w:rPr>
        <w:t xml:space="preserve">did </w:t>
      </w:r>
      <w:r w:rsidR="003A030F" w:rsidRPr="00A51255">
        <w:rPr>
          <w:rFonts w:ascii="Arial" w:hAnsi="Arial" w:cs="Arial"/>
          <w:lang w:val="en-US"/>
        </w:rPr>
        <w:t xml:space="preserve">undergo a </w:t>
      </w:r>
      <w:r w:rsidRPr="00A51255">
        <w:rPr>
          <w:rFonts w:ascii="Arial" w:hAnsi="Arial" w:cs="Arial"/>
          <w:lang w:val="en-US"/>
        </w:rPr>
        <w:t>learn</w:t>
      </w:r>
      <w:r w:rsidR="003A030F" w:rsidRPr="00A51255">
        <w:rPr>
          <w:rFonts w:ascii="Arial" w:hAnsi="Arial" w:cs="Arial"/>
          <w:lang w:val="en-US"/>
        </w:rPr>
        <w:t>ing process</w:t>
      </w:r>
      <w:r w:rsidRPr="00A51255">
        <w:rPr>
          <w:rFonts w:ascii="Arial" w:hAnsi="Arial" w:cs="Arial"/>
          <w:lang w:val="en-US"/>
        </w:rPr>
        <w:t xml:space="preserve"> about the NBP policy and </w:t>
      </w:r>
      <w:r w:rsidR="008A1FB0" w:rsidRPr="00A51255">
        <w:rPr>
          <w:rFonts w:ascii="Arial" w:hAnsi="Arial" w:cs="Arial"/>
          <w:lang w:val="en-US"/>
        </w:rPr>
        <w:t>over time they started to respond</w:t>
      </w:r>
      <w:r w:rsidRPr="00A51255">
        <w:rPr>
          <w:rFonts w:ascii="Arial" w:hAnsi="Arial" w:cs="Arial"/>
          <w:lang w:val="en-US"/>
        </w:rPr>
        <w:t xml:space="preserve"> </w:t>
      </w:r>
      <w:r w:rsidR="003A030F" w:rsidRPr="00A51255">
        <w:rPr>
          <w:rFonts w:ascii="Arial" w:hAnsi="Arial" w:cs="Arial"/>
          <w:lang w:val="en-US"/>
        </w:rPr>
        <w:t xml:space="preserve">more strongly </w:t>
      </w:r>
      <w:r w:rsidRPr="00A51255">
        <w:rPr>
          <w:rFonts w:ascii="Arial" w:hAnsi="Arial" w:cs="Arial"/>
          <w:lang w:val="en-US"/>
        </w:rPr>
        <w:t xml:space="preserve">to the NBP </w:t>
      </w:r>
      <w:r w:rsidR="001A47BC" w:rsidRPr="00A51255">
        <w:rPr>
          <w:rFonts w:ascii="Arial" w:hAnsi="Arial" w:cs="Arial"/>
          <w:lang w:val="en-US"/>
        </w:rPr>
        <w:t>communication</w:t>
      </w:r>
      <w:r w:rsidR="008A1FB0" w:rsidRPr="00A51255">
        <w:rPr>
          <w:rFonts w:ascii="Arial" w:hAnsi="Arial" w:cs="Arial"/>
          <w:lang w:val="en-US"/>
        </w:rPr>
        <w:t>.</w:t>
      </w:r>
      <w:r w:rsidR="004C583F" w:rsidRPr="00A51255">
        <w:rPr>
          <w:rFonts w:ascii="Arial" w:hAnsi="Arial" w:cs="Arial"/>
          <w:lang w:val="en-US"/>
        </w:rPr>
        <w:t xml:space="preserve"> </w:t>
      </w:r>
      <w:r w:rsidR="002712A9">
        <w:rPr>
          <w:rFonts w:ascii="Arial" w:hAnsi="Arial" w:cs="Arial"/>
          <w:lang w:val="en-US"/>
        </w:rPr>
        <w:t>Our results suggest that t</w:t>
      </w:r>
      <w:r w:rsidR="004C583F" w:rsidRPr="00A51255">
        <w:rPr>
          <w:rFonts w:ascii="Arial" w:hAnsi="Arial" w:cs="Arial"/>
          <w:lang w:val="en-US"/>
        </w:rPr>
        <w:t>he impact of the NBP announcements did increase over time as the NBP was maturing</w:t>
      </w:r>
      <w:r w:rsidR="00161D05" w:rsidRPr="00A51255">
        <w:rPr>
          <w:rFonts w:ascii="Arial" w:hAnsi="Arial" w:cs="Arial"/>
          <w:lang w:val="en-US"/>
        </w:rPr>
        <w:t xml:space="preserve"> as a newly independent central bank</w:t>
      </w:r>
      <w:r w:rsidR="004C583F" w:rsidRPr="00A51255">
        <w:rPr>
          <w:rFonts w:ascii="Arial" w:hAnsi="Arial" w:cs="Arial"/>
          <w:lang w:val="en-US"/>
        </w:rPr>
        <w:t>.</w:t>
      </w:r>
    </w:p>
    <w:p w:rsidR="0044736C" w:rsidRDefault="0044736C" w:rsidP="00D75C63">
      <w:pPr>
        <w:spacing w:line="480" w:lineRule="auto"/>
        <w:ind w:firstLine="708"/>
        <w:jc w:val="both"/>
        <w:rPr>
          <w:rFonts w:ascii="Arial" w:hAnsi="Arial" w:cs="Arial"/>
          <w:lang w:val="en-US"/>
        </w:rPr>
      </w:pPr>
    </w:p>
    <w:p w:rsidR="00D75C63" w:rsidRPr="00A51255" w:rsidRDefault="00D75C63" w:rsidP="00D75C63">
      <w:pPr>
        <w:spacing w:line="480" w:lineRule="auto"/>
        <w:ind w:firstLine="708"/>
        <w:jc w:val="both"/>
        <w:rPr>
          <w:rFonts w:ascii="Arial" w:hAnsi="Arial" w:cs="Arial"/>
          <w:lang w:val="en-US"/>
        </w:rPr>
      </w:pPr>
      <w:r>
        <w:rPr>
          <w:rFonts w:ascii="Arial" w:hAnsi="Arial" w:cs="Arial"/>
          <w:b/>
          <w:lang w:val="en-US"/>
        </w:rPr>
        <w:t>5.3</w:t>
      </w:r>
      <w:r w:rsidRPr="00A51255">
        <w:rPr>
          <w:rFonts w:ascii="Arial" w:hAnsi="Arial" w:cs="Arial"/>
          <w:b/>
          <w:lang w:val="en-US"/>
        </w:rPr>
        <w:t xml:space="preserve">. </w:t>
      </w:r>
      <w:r>
        <w:rPr>
          <w:rFonts w:ascii="Arial" w:hAnsi="Arial" w:cs="Arial"/>
          <w:b/>
          <w:lang w:val="en-US"/>
        </w:rPr>
        <w:t>Further Robustness Checks</w:t>
      </w:r>
    </w:p>
    <w:p w:rsidR="00D75C63" w:rsidRPr="00A51255" w:rsidRDefault="00D75C63" w:rsidP="00D75C63">
      <w:pPr>
        <w:spacing w:line="480" w:lineRule="auto"/>
        <w:ind w:firstLine="708"/>
        <w:jc w:val="both"/>
        <w:rPr>
          <w:rFonts w:ascii="Arial" w:hAnsi="Arial" w:cs="Arial"/>
          <w:lang w:val="en-US"/>
        </w:rPr>
      </w:pPr>
      <w:r w:rsidRPr="00A51255">
        <w:rPr>
          <w:rFonts w:ascii="Arial" w:hAnsi="Arial" w:cs="Arial"/>
          <w:lang w:val="en-US"/>
        </w:rPr>
        <w:t xml:space="preserve">Cheung and Ng (1996) suggest that the failure to include dummy variables, which are significant in the variance equation of an ARCH class model, in the mean equation may affect the estimation results. We re-estimated all such variants as a robustness check for models </w:t>
      </w:r>
      <w:r>
        <w:rPr>
          <w:rFonts w:ascii="Arial" w:hAnsi="Arial" w:cs="Arial"/>
          <w:lang w:val="en-US"/>
        </w:rPr>
        <w:t>(1)</w:t>
      </w:r>
      <w:r w:rsidRPr="00A51255">
        <w:rPr>
          <w:rFonts w:ascii="Arial" w:hAnsi="Arial" w:cs="Arial"/>
          <w:lang w:val="en-US"/>
        </w:rPr>
        <w:t xml:space="preserve"> - </w:t>
      </w:r>
      <w:r>
        <w:rPr>
          <w:rFonts w:ascii="Arial" w:hAnsi="Arial" w:cs="Arial"/>
          <w:lang w:val="en-US"/>
        </w:rPr>
        <w:t>(2)</w:t>
      </w:r>
      <w:r w:rsidRPr="00A51255">
        <w:rPr>
          <w:rFonts w:ascii="Arial" w:hAnsi="Arial" w:cs="Arial"/>
          <w:lang w:val="en-US"/>
        </w:rPr>
        <w:t xml:space="preserve"> and </w:t>
      </w:r>
      <w:r>
        <w:rPr>
          <w:rFonts w:ascii="Arial" w:hAnsi="Arial" w:cs="Arial"/>
          <w:lang w:val="en-US"/>
        </w:rPr>
        <w:t>(3)</w:t>
      </w:r>
      <w:r w:rsidRPr="00A51255">
        <w:rPr>
          <w:rFonts w:ascii="Arial" w:hAnsi="Arial" w:cs="Arial"/>
          <w:lang w:val="en-US"/>
        </w:rPr>
        <w:t xml:space="preserve"> - </w:t>
      </w:r>
      <w:r>
        <w:rPr>
          <w:rFonts w:ascii="Arial" w:hAnsi="Arial" w:cs="Arial"/>
          <w:lang w:val="en-US"/>
        </w:rPr>
        <w:t>(4)</w:t>
      </w:r>
      <w:r w:rsidRPr="00A51255">
        <w:rPr>
          <w:rFonts w:ascii="Arial" w:hAnsi="Arial" w:cs="Arial"/>
          <w:lang w:val="en-US"/>
        </w:rPr>
        <w:t xml:space="preserve"> and the conclusions are as follows: (a) the estimates of the volume variable (</w:t>
      </w:r>
      <w:r w:rsidRPr="00A51255">
        <w:rPr>
          <w:rFonts w:ascii="Arial" w:hAnsi="Arial" w:cs="Arial"/>
          <w:position w:val="-12"/>
          <w:lang w:val="en-US"/>
        </w:rPr>
        <w:object w:dxaOrig="999" w:dyaOrig="360">
          <v:shape id="_x0000_i1072" type="#_x0000_t75" style="width:55.3pt;height:19.3pt" o:ole="">
            <v:imagedata r:id="rId16" o:title=""/>
          </v:shape>
          <o:OLEObject Type="Embed" ProgID="Equation.3" ShapeID="_x0000_i1072" DrawAspect="Content" ObjectID="_1507543419" r:id="rId89"/>
        </w:object>
      </w:r>
      <w:r w:rsidRPr="00A51255">
        <w:rPr>
          <w:rFonts w:ascii="Arial" w:hAnsi="Arial" w:cs="Arial"/>
          <w:lang w:val="en-US"/>
        </w:rPr>
        <w:t xml:space="preserve">) in the conditional variance function do not change </w:t>
      </w:r>
      <w:r w:rsidR="00C95A8C">
        <w:rPr>
          <w:rFonts w:ascii="Arial" w:hAnsi="Arial" w:cs="Arial"/>
          <w:lang w:val="en-US"/>
        </w:rPr>
        <w:t>hardly</w:t>
      </w:r>
      <w:r w:rsidRPr="00A51255">
        <w:rPr>
          <w:rFonts w:ascii="Arial" w:hAnsi="Arial" w:cs="Arial"/>
          <w:lang w:val="en-US"/>
        </w:rPr>
        <w:t xml:space="preserve"> at all; and (b) the estimates of the dummies in the conditional variance function in all cases change only marginally and they remain significant. What is also important is that all dummies, which are additionally introduced into the mean equation, are not statistically significant there. The estimates from the variants of models with statistically significant dummies included </w:t>
      </w:r>
      <w:r w:rsidRPr="00A51255">
        <w:rPr>
          <w:rFonts w:ascii="Arial" w:hAnsi="Arial" w:cs="Arial"/>
          <w:i/>
          <w:lang w:val="en-US"/>
        </w:rPr>
        <w:t>simultaneously</w:t>
      </w:r>
      <w:r w:rsidRPr="00A51255">
        <w:rPr>
          <w:rFonts w:ascii="Arial" w:hAnsi="Arial" w:cs="Arial"/>
          <w:lang w:val="en-US"/>
        </w:rPr>
        <w:t xml:space="preserve"> in the variance and mean equations are very consistent and do not alter the overall picture; hence</w:t>
      </w:r>
      <w:r w:rsidR="00C95A8C">
        <w:rPr>
          <w:rFonts w:ascii="Arial" w:hAnsi="Arial" w:cs="Arial"/>
          <w:lang w:val="en-US"/>
        </w:rPr>
        <w:t>,</w:t>
      </w:r>
      <w:r w:rsidRPr="00A51255">
        <w:rPr>
          <w:rFonts w:ascii="Arial" w:hAnsi="Arial" w:cs="Arial"/>
          <w:lang w:val="en-US"/>
        </w:rPr>
        <w:t xml:space="preserve"> we can conclude that all our estimation results are robust and are not influenced by the effect described in Cheung and Ng (1996).</w:t>
      </w:r>
      <w:r w:rsidRPr="00A51255">
        <w:rPr>
          <w:rStyle w:val="FootnoteReference"/>
          <w:rFonts w:ascii="Arial" w:hAnsi="Arial" w:cs="Arial"/>
          <w:lang w:val="en-US"/>
        </w:rPr>
        <w:footnoteReference w:id="24"/>
      </w:r>
      <w:r w:rsidRPr="00A51255">
        <w:rPr>
          <w:rFonts w:ascii="Arial" w:hAnsi="Arial" w:cs="Arial"/>
          <w:lang w:val="en-US"/>
        </w:rPr>
        <w:t xml:space="preserve">  </w:t>
      </w:r>
    </w:p>
    <w:p w:rsidR="00D75C63" w:rsidRPr="00A51255" w:rsidRDefault="00D75C63" w:rsidP="00D75C63">
      <w:pPr>
        <w:spacing w:line="480" w:lineRule="auto"/>
        <w:ind w:firstLine="708"/>
        <w:jc w:val="both"/>
        <w:rPr>
          <w:rFonts w:ascii="Arial" w:hAnsi="Arial" w:cs="Arial"/>
          <w:lang w:val="en-US"/>
        </w:rPr>
      </w:pPr>
      <w:r w:rsidRPr="00A51255">
        <w:rPr>
          <w:rFonts w:ascii="Arial" w:hAnsi="Arial" w:cs="Arial"/>
          <w:lang w:val="en-US"/>
        </w:rPr>
        <w:t xml:space="preserve">We also re-estimated our GARCH models under different distributional assumptions (Students’ </w:t>
      </w:r>
      <w:r w:rsidRPr="00A51255">
        <w:rPr>
          <w:rFonts w:ascii="Arial" w:hAnsi="Arial" w:cs="Arial"/>
          <w:i/>
          <w:lang w:val="en-US"/>
        </w:rPr>
        <w:t>t</w:t>
      </w:r>
      <w:r w:rsidRPr="00A51255">
        <w:rPr>
          <w:rFonts w:ascii="Arial" w:hAnsi="Arial" w:cs="Arial"/>
          <w:lang w:val="en-US"/>
        </w:rPr>
        <w:t xml:space="preserve">, generalized error distribution and others) and the estimates were very similar in terms of both magnitude and statistical significance to those reported here, which were based on the normal distribution using the Bollerslev-Wooldridge standard errors. Hence, </w:t>
      </w:r>
      <w:r w:rsidRPr="00A51255">
        <w:rPr>
          <w:rFonts w:ascii="Arial" w:hAnsi="Arial" w:cs="Arial"/>
          <w:lang w:val="en-US"/>
        </w:rPr>
        <w:lastRenderedPageBreak/>
        <w:t>we can conclude that all our estimation results are robust to the change in distributional assumption about the error term.</w:t>
      </w:r>
    </w:p>
    <w:p w:rsidR="00D75C63" w:rsidRPr="00A51255" w:rsidRDefault="00D75C63" w:rsidP="00D75C63">
      <w:pPr>
        <w:spacing w:line="480" w:lineRule="auto"/>
        <w:ind w:firstLine="708"/>
        <w:jc w:val="both"/>
        <w:rPr>
          <w:rFonts w:ascii="Arial" w:hAnsi="Arial" w:cs="Arial"/>
          <w:lang w:val="en-US"/>
        </w:rPr>
      </w:pPr>
      <w:r w:rsidRPr="00A51255">
        <w:rPr>
          <w:rFonts w:ascii="Arial" w:hAnsi="Arial" w:cs="Arial"/>
          <w:lang w:val="en-US"/>
        </w:rPr>
        <w:t>Furthermore, we attempted to check if the impact of the NBP announcements is larger or smaller than, or whether it is affected at all by, the corresponding announcements of the European Central Bank (ECB). However, we could construct only one ECB dummy for the ECB money supply variable (</w:t>
      </w:r>
      <w:r w:rsidRPr="00A51255">
        <w:rPr>
          <w:i/>
          <w:lang w:val="en-US"/>
        </w:rPr>
        <w:t>MS</w:t>
      </w:r>
      <w:r w:rsidRPr="00A51255">
        <w:rPr>
          <w:rFonts w:ascii="Arial" w:hAnsi="Arial" w:cs="Arial"/>
          <w:lang w:val="en-US"/>
        </w:rPr>
        <w:t>) due to problems with ECB data availability for other dummies.</w:t>
      </w:r>
      <w:r w:rsidRPr="00A51255">
        <w:rPr>
          <w:rStyle w:val="FootnoteReference"/>
          <w:rFonts w:ascii="Arial" w:hAnsi="Arial" w:cs="Arial"/>
          <w:lang w:val="en-US"/>
        </w:rPr>
        <w:footnoteReference w:id="25"/>
      </w:r>
      <w:r w:rsidRPr="00A51255">
        <w:rPr>
          <w:rFonts w:ascii="Arial" w:hAnsi="Arial" w:cs="Arial"/>
          <w:lang w:val="en-US"/>
        </w:rPr>
        <w:t xml:space="preserve"> Therefore, we present the estimation results for models with the NBP and ECB dummy </w:t>
      </w:r>
      <w:r w:rsidRPr="00A51255">
        <w:rPr>
          <w:i/>
          <w:lang w:val="en-US"/>
        </w:rPr>
        <w:t>MS</w:t>
      </w:r>
      <w:r w:rsidRPr="00A51255">
        <w:rPr>
          <w:rFonts w:ascii="Arial" w:hAnsi="Arial" w:cs="Arial"/>
          <w:lang w:val="en-US"/>
        </w:rPr>
        <w:t xml:space="preserve"> in the Appendix as an illustration only. For the sake of comparability of estimates, we used the same definition of the unexpected ECB announcements for the </w:t>
      </w:r>
      <w:r w:rsidRPr="00A51255">
        <w:rPr>
          <w:i/>
          <w:lang w:val="en-US"/>
        </w:rPr>
        <w:t>MS</w:t>
      </w:r>
      <w:r w:rsidRPr="00A51255">
        <w:rPr>
          <w:rFonts w:ascii="Arial" w:hAnsi="Arial" w:cs="Arial"/>
          <w:lang w:val="en-US"/>
        </w:rPr>
        <w:t xml:space="preserve"> variable as in</w:t>
      </w:r>
      <w:r w:rsidR="00C95A8C">
        <w:rPr>
          <w:rFonts w:ascii="Arial" w:hAnsi="Arial" w:cs="Arial"/>
          <w:lang w:val="en-US"/>
        </w:rPr>
        <w:t xml:space="preserve"> the</w:t>
      </w:r>
      <w:r w:rsidRPr="00A51255">
        <w:rPr>
          <w:rFonts w:ascii="Arial" w:hAnsi="Arial" w:cs="Arial"/>
          <w:lang w:val="en-US"/>
        </w:rPr>
        <w:t xml:space="preserve"> case of the NBP dummy variables (i.e. deviation from 3-months moving average). For the unexpected strongly negative announcement of the ECB money supply, the dummy did not have any observations in our sample period (hence, it is not used in the estimations). Table </w:t>
      </w:r>
      <w:r w:rsidR="00F9296D">
        <w:rPr>
          <w:rFonts w:ascii="Arial" w:hAnsi="Arial" w:cs="Arial"/>
          <w:lang w:val="en-US"/>
        </w:rPr>
        <w:t>A4</w:t>
      </w:r>
      <w:r w:rsidRPr="00A51255">
        <w:rPr>
          <w:rFonts w:ascii="Arial" w:hAnsi="Arial" w:cs="Arial"/>
          <w:lang w:val="en-US"/>
        </w:rPr>
        <w:t xml:space="preserve"> in the Appendix presents </w:t>
      </w:r>
      <w:r>
        <w:rPr>
          <w:rFonts w:ascii="Arial" w:hAnsi="Arial" w:cs="Arial"/>
          <w:lang w:val="en-US"/>
        </w:rPr>
        <w:t>the results for</w:t>
      </w:r>
      <w:r w:rsidRPr="00A51255">
        <w:rPr>
          <w:rFonts w:ascii="Arial" w:hAnsi="Arial" w:cs="Arial"/>
          <w:lang w:val="en-US"/>
        </w:rPr>
        <w:t xml:space="preserve"> the exchange rate returns models and Table </w:t>
      </w:r>
      <w:r w:rsidR="002A4332">
        <w:rPr>
          <w:rFonts w:ascii="Arial" w:hAnsi="Arial" w:cs="Arial"/>
          <w:lang w:val="en-US"/>
        </w:rPr>
        <w:t>A5</w:t>
      </w:r>
      <w:r w:rsidRPr="00A51255">
        <w:rPr>
          <w:rFonts w:ascii="Arial" w:hAnsi="Arial" w:cs="Arial"/>
          <w:lang w:val="en-US"/>
        </w:rPr>
        <w:t xml:space="preserve"> the volume of trade models. </w:t>
      </w:r>
    </w:p>
    <w:p w:rsidR="00D75C63" w:rsidRPr="00A51255" w:rsidRDefault="00D75C63" w:rsidP="00D75C63">
      <w:pPr>
        <w:spacing w:line="480" w:lineRule="auto"/>
        <w:ind w:firstLine="708"/>
        <w:jc w:val="both"/>
        <w:rPr>
          <w:rFonts w:ascii="Arial" w:hAnsi="Arial" w:cs="Arial"/>
          <w:lang w:val="en-US"/>
        </w:rPr>
      </w:pPr>
      <w:r w:rsidRPr="00A51255">
        <w:rPr>
          <w:rFonts w:ascii="Arial" w:hAnsi="Arial" w:cs="Arial"/>
          <w:lang w:val="en-US"/>
        </w:rPr>
        <w:t>Estimation results in Table</w:t>
      </w:r>
      <w:r>
        <w:rPr>
          <w:rFonts w:ascii="Arial" w:hAnsi="Arial" w:cs="Arial"/>
          <w:lang w:val="en-US"/>
        </w:rPr>
        <w:t>s</w:t>
      </w:r>
      <w:r w:rsidRPr="00A51255">
        <w:rPr>
          <w:rFonts w:ascii="Arial" w:hAnsi="Arial" w:cs="Arial"/>
          <w:lang w:val="en-US"/>
        </w:rPr>
        <w:t xml:space="preserve"> </w:t>
      </w:r>
      <w:r w:rsidR="002A4332">
        <w:rPr>
          <w:rFonts w:ascii="Arial" w:hAnsi="Arial" w:cs="Arial"/>
          <w:lang w:val="en-US"/>
        </w:rPr>
        <w:t>A4</w:t>
      </w:r>
      <w:r>
        <w:rPr>
          <w:rFonts w:ascii="Arial" w:hAnsi="Arial" w:cs="Arial"/>
          <w:lang w:val="en-US"/>
        </w:rPr>
        <w:t xml:space="preserve"> and </w:t>
      </w:r>
      <w:r w:rsidR="002A4332">
        <w:rPr>
          <w:rFonts w:ascii="Arial" w:hAnsi="Arial" w:cs="Arial"/>
          <w:lang w:val="en-US"/>
        </w:rPr>
        <w:t>A5</w:t>
      </w:r>
      <w:r w:rsidRPr="00A51255">
        <w:rPr>
          <w:rFonts w:ascii="Arial" w:hAnsi="Arial" w:cs="Arial"/>
          <w:lang w:val="en-US"/>
        </w:rPr>
        <w:t xml:space="preserve"> show that the ECB unexpected announcements are in most cases not statistically significant. Moreover, in the instances where they are significant, their introduction to the models did not materially alter the estimates of the NBP dummies. </w:t>
      </w:r>
      <w:r>
        <w:rPr>
          <w:rFonts w:ascii="Arial" w:hAnsi="Arial" w:cs="Arial"/>
          <w:lang w:val="en-US"/>
        </w:rPr>
        <w:t xml:space="preserve">Therefore, the </w:t>
      </w:r>
      <w:r w:rsidRPr="00A51255">
        <w:rPr>
          <w:rFonts w:ascii="Arial" w:hAnsi="Arial" w:cs="Arial"/>
          <w:lang w:val="en-US"/>
        </w:rPr>
        <w:t xml:space="preserve">ECB unexpected announcements </w:t>
      </w:r>
      <w:r>
        <w:rPr>
          <w:rFonts w:ascii="Arial" w:hAnsi="Arial" w:cs="Arial"/>
          <w:lang w:val="en-US"/>
        </w:rPr>
        <w:t>did</w:t>
      </w:r>
      <w:r w:rsidRPr="00A51255">
        <w:rPr>
          <w:rFonts w:ascii="Arial" w:hAnsi="Arial" w:cs="Arial"/>
          <w:lang w:val="en-US"/>
        </w:rPr>
        <w:t xml:space="preserve"> not </w:t>
      </w:r>
      <w:r w:rsidR="005F7FA0" w:rsidRPr="00A178CE">
        <w:rPr>
          <w:rFonts w:ascii="Arial" w:hAnsi="Arial" w:cs="Arial"/>
          <w:lang w:val="en-US"/>
        </w:rPr>
        <w:t xml:space="preserve">appear to </w:t>
      </w:r>
      <w:r w:rsidRPr="00A178CE">
        <w:rPr>
          <w:rFonts w:ascii="Arial" w:hAnsi="Arial" w:cs="Arial"/>
          <w:lang w:val="en-US"/>
        </w:rPr>
        <w:t>affect the pattern of the estimates of the NBP dummy variables.</w:t>
      </w:r>
    </w:p>
    <w:p w:rsidR="004A37AF" w:rsidRDefault="004A37AF" w:rsidP="006C4330">
      <w:pPr>
        <w:spacing w:line="480" w:lineRule="auto"/>
        <w:jc w:val="both"/>
        <w:rPr>
          <w:rFonts w:ascii="Arial" w:hAnsi="Arial" w:cs="Arial"/>
          <w:b/>
          <w:lang w:val="en-US"/>
        </w:rPr>
      </w:pPr>
    </w:p>
    <w:p w:rsidR="0001577C" w:rsidRDefault="00363324" w:rsidP="00241706">
      <w:pPr>
        <w:spacing w:line="480" w:lineRule="auto"/>
        <w:ind w:firstLine="708"/>
        <w:jc w:val="both"/>
        <w:rPr>
          <w:rFonts w:ascii="Arial" w:hAnsi="Arial" w:cs="Arial"/>
          <w:b/>
          <w:lang w:val="en-US"/>
        </w:rPr>
      </w:pPr>
      <w:r>
        <w:rPr>
          <w:rFonts w:ascii="Arial" w:hAnsi="Arial" w:cs="Arial"/>
          <w:b/>
          <w:lang w:val="en-US"/>
        </w:rPr>
        <w:t>6</w:t>
      </w:r>
      <w:r w:rsidR="004409FC">
        <w:rPr>
          <w:rFonts w:ascii="Arial" w:hAnsi="Arial" w:cs="Arial"/>
          <w:b/>
          <w:lang w:val="en-US"/>
        </w:rPr>
        <w:t xml:space="preserve">. </w:t>
      </w:r>
      <w:r w:rsidR="004A17EF" w:rsidRPr="00A51255">
        <w:rPr>
          <w:rFonts w:ascii="Arial" w:hAnsi="Arial" w:cs="Arial"/>
          <w:b/>
          <w:lang w:val="en-US"/>
        </w:rPr>
        <w:t xml:space="preserve"> </w:t>
      </w:r>
      <w:r w:rsidR="006C1280" w:rsidRPr="00A51255">
        <w:rPr>
          <w:rFonts w:ascii="Arial" w:hAnsi="Arial" w:cs="Arial"/>
          <w:b/>
          <w:lang w:val="en-US"/>
        </w:rPr>
        <w:t>Investment</w:t>
      </w:r>
      <w:r w:rsidR="00564A23" w:rsidRPr="00A51255">
        <w:rPr>
          <w:rFonts w:ascii="Arial" w:hAnsi="Arial" w:cs="Arial"/>
          <w:b/>
          <w:lang w:val="en-US"/>
        </w:rPr>
        <w:t xml:space="preserve"> S</w:t>
      </w:r>
      <w:r w:rsidR="004A17EF" w:rsidRPr="00A51255">
        <w:rPr>
          <w:rFonts w:ascii="Arial" w:hAnsi="Arial" w:cs="Arial"/>
          <w:b/>
          <w:lang w:val="en-US"/>
        </w:rPr>
        <w:t>trategy</w:t>
      </w:r>
      <w:r w:rsidR="00564A23" w:rsidRPr="00A51255">
        <w:rPr>
          <w:rFonts w:ascii="Arial" w:hAnsi="Arial" w:cs="Arial"/>
          <w:b/>
          <w:lang w:val="en-US"/>
        </w:rPr>
        <w:tab/>
      </w:r>
    </w:p>
    <w:p w:rsidR="00906CE3" w:rsidRPr="005F7FA0" w:rsidRDefault="00906CE3" w:rsidP="005F7FA0">
      <w:pPr>
        <w:spacing w:line="480" w:lineRule="auto"/>
        <w:ind w:firstLine="708"/>
        <w:jc w:val="both"/>
        <w:rPr>
          <w:rFonts w:ascii="Arial" w:hAnsi="Arial" w:cs="Arial"/>
          <w:b/>
          <w:lang w:val="en-US"/>
        </w:rPr>
      </w:pPr>
    </w:p>
    <w:p w:rsidR="004C583F" w:rsidRPr="00A51255" w:rsidRDefault="004C583F" w:rsidP="00C1009C">
      <w:pPr>
        <w:spacing w:line="480" w:lineRule="auto"/>
        <w:jc w:val="both"/>
        <w:rPr>
          <w:rFonts w:ascii="Arial" w:hAnsi="Arial" w:cs="Arial"/>
          <w:lang w:val="en-US"/>
        </w:rPr>
      </w:pPr>
      <w:r w:rsidRPr="00A51255">
        <w:rPr>
          <w:rFonts w:ascii="Arial" w:hAnsi="Arial" w:cs="Arial"/>
          <w:lang w:val="en-US"/>
        </w:rPr>
        <w:tab/>
      </w:r>
      <w:r w:rsidR="00264D60" w:rsidRPr="00A51255">
        <w:rPr>
          <w:rFonts w:ascii="Arial" w:hAnsi="Arial" w:cs="Arial"/>
          <w:lang w:val="en-US"/>
        </w:rPr>
        <w:t>The f</w:t>
      </w:r>
      <w:r w:rsidRPr="00A51255">
        <w:rPr>
          <w:rFonts w:ascii="Arial" w:hAnsi="Arial" w:cs="Arial"/>
          <w:lang w:val="en-US"/>
        </w:rPr>
        <w:t xml:space="preserve">indings presented in </w:t>
      </w:r>
      <w:r w:rsidR="00264D60" w:rsidRPr="00A51255">
        <w:rPr>
          <w:rFonts w:ascii="Arial" w:hAnsi="Arial" w:cs="Arial"/>
          <w:lang w:val="en-US"/>
        </w:rPr>
        <w:t>previous</w:t>
      </w:r>
      <w:r w:rsidRPr="00A51255">
        <w:rPr>
          <w:rFonts w:ascii="Arial" w:hAnsi="Arial" w:cs="Arial"/>
          <w:lang w:val="en-US"/>
        </w:rPr>
        <w:t xml:space="preserve"> sections about the </w:t>
      </w:r>
      <w:r w:rsidR="00A9070C" w:rsidRPr="00A51255">
        <w:rPr>
          <w:rFonts w:ascii="Arial" w:hAnsi="Arial" w:cs="Arial"/>
          <w:lang w:val="en-US"/>
        </w:rPr>
        <w:t xml:space="preserve">impact of the </w:t>
      </w:r>
      <w:r w:rsidRPr="00A51255">
        <w:rPr>
          <w:rFonts w:ascii="Arial" w:hAnsi="Arial" w:cs="Arial"/>
          <w:lang w:val="en-US"/>
        </w:rPr>
        <w:t xml:space="preserve">NBP </w:t>
      </w:r>
      <w:r w:rsidR="003A6271" w:rsidRPr="00A51255">
        <w:rPr>
          <w:rFonts w:ascii="Arial" w:hAnsi="Arial" w:cs="Arial"/>
          <w:lang w:val="en-US"/>
        </w:rPr>
        <w:t xml:space="preserve">communication </w:t>
      </w:r>
      <w:r w:rsidR="00A9070C" w:rsidRPr="00A51255">
        <w:rPr>
          <w:rFonts w:ascii="Arial" w:hAnsi="Arial" w:cs="Arial"/>
          <w:lang w:val="en-US"/>
        </w:rPr>
        <w:t xml:space="preserve">on the movements of the PLN/USD foreign exchange rate show evidence of </w:t>
      </w:r>
      <w:r w:rsidR="00A9070C" w:rsidRPr="00A51255">
        <w:rPr>
          <w:rFonts w:ascii="Arial" w:hAnsi="Arial" w:cs="Arial"/>
          <w:lang w:val="en-US"/>
        </w:rPr>
        <w:lastRenderedPageBreak/>
        <w:t>appreciation and depreciation effects in response to some of the NBP announcements</w:t>
      </w:r>
      <w:r w:rsidR="00C33DD8" w:rsidRPr="00A51255">
        <w:rPr>
          <w:rFonts w:ascii="Arial" w:hAnsi="Arial" w:cs="Arial"/>
          <w:lang w:val="en-US"/>
        </w:rPr>
        <w:t>, in particular those which have been classified as strongly positive and strongly negative surprises.</w:t>
      </w:r>
    </w:p>
    <w:p w:rsidR="000D5AB3" w:rsidRPr="00A51255" w:rsidRDefault="000D5AB3" w:rsidP="00C1009C">
      <w:pPr>
        <w:spacing w:line="480" w:lineRule="auto"/>
        <w:jc w:val="both"/>
        <w:rPr>
          <w:rFonts w:ascii="Arial" w:hAnsi="Arial" w:cs="Arial"/>
          <w:lang w:val="en-US"/>
        </w:rPr>
      </w:pPr>
      <w:r w:rsidRPr="00A51255">
        <w:rPr>
          <w:rFonts w:ascii="Arial" w:hAnsi="Arial" w:cs="Arial"/>
          <w:lang w:val="en-US"/>
        </w:rPr>
        <w:tab/>
        <w:t xml:space="preserve">Therefore, in this section we investigate in more detail whether </w:t>
      </w:r>
      <w:r w:rsidR="00264D60" w:rsidRPr="00A51255">
        <w:rPr>
          <w:rFonts w:ascii="Arial" w:hAnsi="Arial" w:cs="Arial"/>
          <w:lang w:val="en-US"/>
        </w:rPr>
        <w:t xml:space="preserve">events such as </w:t>
      </w:r>
      <w:r w:rsidR="00C95A8C">
        <w:rPr>
          <w:rFonts w:ascii="Arial" w:hAnsi="Arial" w:cs="Arial"/>
          <w:lang w:val="en-US"/>
        </w:rPr>
        <w:t xml:space="preserve">the </w:t>
      </w:r>
      <w:r w:rsidR="00C96639" w:rsidRPr="00A51255">
        <w:rPr>
          <w:rFonts w:ascii="Arial" w:hAnsi="Arial" w:cs="Arial"/>
          <w:lang w:val="en-US"/>
        </w:rPr>
        <w:t>release</w:t>
      </w:r>
      <w:r w:rsidR="00A04214" w:rsidRPr="00A51255">
        <w:rPr>
          <w:rFonts w:ascii="Arial" w:hAnsi="Arial" w:cs="Arial"/>
          <w:lang w:val="en-US"/>
        </w:rPr>
        <w:t xml:space="preserve"> of new monetary figures </w:t>
      </w:r>
      <w:r w:rsidR="00C96639" w:rsidRPr="00A51255">
        <w:rPr>
          <w:rFonts w:ascii="Arial" w:hAnsi="Arial" w:cs="Arial"/>
          <w:lang w:val="en-US"/>
        </w:rPr>
        <w:t xml:space="preserve">by the NBP </w:t>
      </w:r>
      <w:r w:rsidR="00A04214" w:rsidRPr="00A51255">
        <w:rPr>
          <w:rFonts w:ascii="Arial" w:hAnsi="Arial" w:cs="Arial"/>
          <w:lang w:val="en-US"/>
        </w:rPr>
        <w:t xml:space="preserve">may create </w:t>
      </w:r>
      <w:r w:rsidRPr="00A51255">
        <w:rPr>
          <w:rFonts w:ascii="Arial" w:hAnsi="Arial" w:cs="Arial"/>
          <w:lang w:val="en-US"/>
        </w:rPr>
        <w:t>profit opportunities for the currency market investors.</w:t>
      </w:r>
    </w:p>
    <w:p w:rsidR="000D5AB3" w:rsidRPr="00A51255" w:rsidRDefault="000D5AB3" w:rsidP="00C1009C">
      <w:pPr>
        <w:spacing w:line="480" w:lineRule="auto"/>
        <w:jc w:val="both"/>
        <w:rPr>
          <w:rFonts w:ascii="Arial" w:hAnsi="Arial" w:cs="Arial"/>
          <w:lang w:val="en-US"/>
        </w:rPr>
      </w:pPr>
      <w:r w:rsidRPr="00A51255">
        <w:rPr>
          <w:rFonts w:ascii="Arial" w:hAnsi="Arial" w:cs="Arial"/>
          <w:lang w:val="en-US"/>
        </w:rPr>
        <w:tab/>
      </w:r>
      <w:r w:rsidR="003A6271" w:rsidRPr="00A51255">
        <w:rPr>
          <w:rFonts w:ascii="Arial" w:hAnsi="Arial" w:cs="Arial"/>
          <w:lang w:val="en-US"/>
        </w:rPr>
        <w:t>We</w:t>
      </w:r>
      <w:r w:rsidR="00F61320" w:rsidRPr="00A51255">
        <w:rPr>
          <w:rFonts w:ascii="Arial" w:hAnsi="Arial" w:cs="Arial"/>
          <w:lang w:val="en-US"/>
        </w:rPr>
        <w:t xml:space="preserve"> simulate a hypothetical investment</w:t>
      </w:r>
      <w:r w:rsidR="003A6271" w:rsidRPr="00A51255">
        <w:rPr>
          <w:rFonts w:ascii="Arial" w:hAnsi="Arial" w:cs="Arial"/>
          <w:lang w:val="en-US"/>
        </w:rPr>
        <w:t xml:space="preserve"> strategy and</w:t>
      </w:r>
      <w:r w:rsidRPr="00A51255">
        <w:rPr>
          <w:rFonts w:ascii="Arial" w:hAnsi="Arial" w:cs="Arial"/>
          <w:lang w:val="en-US"/>
        </w:rPr>
        <w:t xml:space="preserve"> analyze the possible profits and losses</w:t>
      </w:r>
      <w:r w:rsidR="00F61320" w:rsidRPr="00A51255">
        <w:rPr>
          <w:rFonts w:ascii="Arial" w:hAnsi="Arial" w:cs="Arial"/>
          <w:lang w:val="en-US"/>
        </w:rPr>
        <w:t xml:space="preserve"> from trade</w:t>
      </w:r>
      <w:r w:rsidR="003A6271" w:rsidRPr="00A51255">
        <w:rPr>
          <w:rFonts w:ascii="Arial" w:hAnsi="Arial" w:cs="Arial"/>
          <w:lang w:val="en-US"/>
        </w:rPr>
        <w:t xml:space="preserve">s </w:t>
      </w:r>
      <w:r w:rsidRPr="00A51255">
        <w:rPr>
          <w:rFonts w:ascii="Arial" w:hAnsi="Arial" w:cs="Arial"/>
          <w:lang w:val="en-US"/>
        </w:rPr>
        <w:t xml:space="preserve">based on the statistically significant estimates </w:t>
      </w:r>
      <w:r w:rsidR="002F532F" w:rsidRPr="00A51255">
        <w:rPr>
          <w:rFonts w:ascii="Arial" w:hAnsi="Arial" w:cs="Arial"/>
          <w:lang w:val="en-US"/>
        </w:rPr>
        <w:t xml:space="preserve">(at the level of </w:t>
      </w:r>
      <w:r w:rsidR="002F532F" w:rsidRPr="00A51255">
        <w:rPr>
          <w:i/>
          <w:lang w:val="en-US"/>
        </w:rPr>
        <w:t>p</w:t>
      </w:r>
      <w:r w:rsidR="002F532F" w:rsidRPr="00A51255">
        <w:rPr>
          <w:rFonts w:ascii="Arial" w:hAnsi="Arial" w:cs="Arial"/>
          <w:lang w:val="en-US"/>
        </w:rPr>
        <w:t xml:space="preserve"> &lt; 0.01) </w:t>
      </w:r>
      <w:r w:rsidRPr="00A51255">
        <w:rPr>
          <w:rFonts w:ascii="Arial" w:hAnsi="Arial" w:cs="Arial"/>
          <w:lang w:val="en-US"/>
        </w:rPr>
        <w:t xml:space="preserve">of the dummies from </w:t>
      </w:r>
      <w:r w:rsidR="00BF37B1">
        <w:rPr>
          <w:rFonts w:ascii="Arial" w:hAnsi="Arial" w:cs="Arial"/>
          <w:lang w:val="en-US"/>
        </w:rPr>
        <w:t>Table</w:t>
      </w:r>
      <w:r w:rsidR="005D19C9">
        <w:rPr>
          <w:rFonts w:ascii="Arial" w:hAnsi="Arial" w:cs="Arial"/>
          <w:lang w:val="en-US"/>
        </w:rPr>
        <w:t>s</w:t>
      </w:r>
      <w:r w:rsidR="00BF37B1">
        <w:rPr>
          <w:rFonts w:ascii="Arial" w:hAnsi="Arial" w:cs="Arial"/>
          <w:lang w:val="en-US"/>
        </w:rPr>
        <w:t xml:space="preserve"> 3a</w:t>
      </w:r>
      <w:r w:rsidR="005D19C9">
        <w:rPr>
          <w:rFonts w:ascii="Arial" w:hAnsi="Arial" w:cs="Arial"/>
          <w:lang w:val="en-US"/>
        </w:rPr>
        <w:t xml:space="preserve"> and 3b</w:t>
      </w:r>
      <w:r w:rsidRPr="00A51255">
        <w:rPr>
          <w:rFonts w:ascii="Arial" w:hAnsi="Arial" w:cs="Arial"/>
          <w:lang w:val="en-US"/>
        </w:rPr>
        <w:t>, i.e. from the PLN/USD exchange rate model.</w:t>
      </w:r>
    </w:p>
    <w:p w:rsidR="00C1009C" w:rsidRPr="00A51255" w:rsidRDefault="002F3E97" w:rsidP="00C1009C">
      <w:pPr>
        <w:spacing w:line="480" w:lineRule="auto"/>
        <w:jc w:val="both"/>
        <w:rPr>
          <w:rFonts w:ascii="Arial" w:hAnsi="Arial" w:cs="Arial"/>
          <w:lang w:val="en-US"/>
        </w:rPr>
      </w:pPr>
      <w:r w:rsidRPr="00A51255">
        <w:rPr>
          <w:rFonts w:ascii="Arial" w:hAnsi="Arial" w:cs="Arial"/>
          <w:lang w:val="en-US"/>
        </w:rPr>
        <w:tab/>
      </w:r>
      <w:r w:rsidR="00AB6EBC">
        <w:rPr>
          <w:rFonts w:ascii="Arial" w:hAnsi="Arial" w:cs="Arial"/>
          <w:lang w:val="en-US"/>
        </w:rPr>
        <w:t>Due to the fact that</w:t>
      </w:r>
      <w:r w:rsidRPr="00A51255">
        <w:rPr>
          <w:rFonts w:ascii="Arial" w:hAnsi="Arial" w:cs="Arial"/>
          <w:lang w:val="en-US"/>
        </w:rPr>
        <w:t xml:space="preserve"> the NBP announcements were always made at 4:00 PM, i</w:t>
      </w:r>
      <w:r w:rsidR="00314E4F" w:rsidRPr="00A51255">
        <w:rPr>
          <w:rFonts w:ascii="Arial" w:hAnsi="Arial" w:cs="Arial"/>
          <w:lang w:val="en-US"/>
        </w:rPr>
        <w:t xml:space="preserve">n this section </w:t>
      </w:r>
      <w:r w:rsidR="00AB6EBC">
        <w:rPr>
          <w:rFonts w:ascii="Arial" w:hAnsi="Arial" w:cs="Arial"/>
          <w:lang w:val="en-US"/>
        </w:rPr>
        <w:t xml:space="preserve">we use </w:t>
      </w:r>
      <w:r w:rsidR="00314E4F" w:rsidRPr="00A51255">
        <w:rPr>
          <w:rFonts w:ascii="Arial" w:hAnsi="Arial" w:cs="Arial"/>
          <w:lang w:val="en-US"/>
        </w:rPr>
        <w:t xml:space="preserve">the intradaily data </w:t>
      </w:r>
      <w:r w:rsidR="004743AE" w:rsidRPr="00A51255">
        <w:rPr>
          <w:rFonts w:ascii="Arial" w:hAnsi="Arial" w:cs="Arial"/>
          <w:lang w:val="en-US"/>
        </w:rPr>
        <w:t xml:space="preserve">for the PLN/USD exchange rate </w:t>
      </w:r>
      <w:r w:rsidR="00314E4F" w:rsidRPr="00A51255">
        <w:rPr>
          <w:rFonts w:ascii="Arial" w:hAnsi="Arial" w:cs="Arial"/>
          <w:lang w:val="en-US"/>
        </w:rPr>
        <w:t xml:space="preserve">to </w:t>
      </w:r>
      <w:r w:rsidRPr="00A51255">
        <w:rPr>
          <w:rFonts w:ascii="Arial" w:hAnsi="Arial" w:cs="Arial"/>
          <w:lang w:val="en-US"/>
        </w:rPr>
        <w:t>measure the</w:t>
      </w:r>
      <w:r w:rsidR="00C1009C" w:rsidRPr="00A51255">
        <w:rPr>
          <w:rFonts w:ascii="Arial" w:hAnsi="Arial" w:cs="Arial"/>
          <w:lang w:val="en-US"/>
        </w:rPr>
        <w:t xml:space="preserve"> profitability of trades based on the dummy variables, which were statistically significant</w:t>
      </w:r>
      <w:r w:rsidRPr="00A51255">
        <w:rPr>
          <w:rFonts w:ascii="Arial" w:hAnsi="Arial" w:cs="Arial"/>
          <w:lang w:val="en-US"/>
        </w:rPr>
        <w:t xml:space="preserve"> on</w:t>
      </w:r>
      <w:r w:rsidR="00314E4F" w:rsidRPr="00A51255">
        <w:rPr>
          <w:rFonts w:ascii="Arial" w:hAnsi="Arial" w:cs="Arial"/>
          <w:lang w:val="en-US"/>
        </w:rPr>
        <w:t xml:space="preserve"> </w:t>
      </w:r>
      <w:r w:rsidR="00065855" w:rsidRPr="00A51255">
        <w:rPr>
          <w:rFonts w:ascii="Arial" w:hAnsi="Arial" w:cs="Arial"/>
          <w:lang w:val="en-US"/>
        </w:rPr>
        <w:t>day</w:t>
      </w:r>
      <w:r w:rsidR="00314E4F" w:rsidRPr="00A51255">
        <w:rPr>
          <w:rFonts w:ascii="Arial" w:hAnsi="Arial" w:cs="Arial"/>
          <w:lang w:val="en-US"/>
        </w:rPr>
        <w:t xml:space="preserve"> </w:t>
      </w:r>
      <w:r w:rsidR="00314E4F" w:rsidRPr="00A51255">
        <w:rPr>
          <w:i/>
          <w:lang w:val="en-US"/>
        </w:rPr>
        <w:t>t</w:t>
      </w:r>
      <w:r w:rsidR="00314E4F" w:rsidRPr="00A51255">
        <w:rPr>
          <w:rFonts w:ascii="Arial" w:hAnsi="Arial" w:cs="Arial"/>
          <w:lang w:val="en-US"/>
        </w:rPr>
        <w:t xml:space="preserve"> and</w:t>
      </w:r>
      <w:r w:rsidRPr="00A51255">
        <w:rPr>
          <w:rFonts w:ascii="Arial" w:hAnsi="Arial" w:cs="Arial"/>
          <w:lang w:val="en-US"/>
        </w:rPr>
        <w:t xml:space="preserve"> day</w:t>
      </w:r>
      <w:r w:rsidR="00314E4F" w:rsidRPr="00A51255">
        <w:rPr>
          <w:rFonts w:ascii="Arial" w:hAnsi="Arial" w:cs="Arial"/>
          <w:lang w:val="en-US"/>
        </w:rPr>
        <w:t xml:space="preserve"> </w:t>
      </w:r>
      <w:r w:rsidR="00314E4F" w:rsidRPr="00A51255">
        <w:rPr>
          <w:i/>
          <w:lang w:val="en-US"/>
        </w:rPr>
        <w:t>t+1</w:t>
      </w:r>
      <w:r w:rsidR="00675BB1" w:rsidRPr="00A51255">
        <w:rPr>
          <w:rFonts w:ascii="Arial" w:hAnsi="Arial" w:cs="Arial"/>
          <w:lang w:val="en-US"/>
        </w:rPr>
        <w:t xml:space="preserve"> (see </w:t>
      </w:r>
      <w:r w:rsidR="001D2A0D" w:rsidRPr="00A51255">
        <w:rPr>
          <w:rFonts w:ascii="Arial" w:hAnsi="Arial" w:cs="Arial"/>
          <w:lang w:val="en-US"/>
        </w:rPr>
        <w:t xml:space="preserve">results in </w:t>
      </w:r>
      <w:r w:rsidR="00BF37B1">
        <w:rPr>
          <w:rFonts w:ascii="Arial" w:hAnsi="Arial" w:cs="Arial"/>
          <w:lang w:val="en-US"/>
        </w:rPr>
        <w:t>Table</w:t>
      </w:r>
      <w:r w:rsidR="0005362B">
        <w:rPr>
          <w:rFonts w:ascii="Arial" w:hAnsi="Arial" w:cs="Arial"/>
          <w:lang w:val="en-US"/>
        </w:rPr>
        <w:t>s</w:t>
      </w:r>
      <w:r w:rsidR="00BF37B1">
        <w:rPr>
          <w:rFonts w:ascii="Arial" w:hAnsi="Arial" w:cs="Arial"/>
          <w:lang w:val="en-US"/>
        </w:rPr>
        <w:t xml:space="preserve"> 3a</w:t>
      </w:r>
      <w:r w:rsidR="0005362B">
        <w:rPr>
          <w:rFonts w:ascii="Arial" w:hAnsi="Arial" w:cs="Arial"/>
          <w:lang w:val="en-US"/>
        </w:rPr>
        <w:t xml:space="preserve"> and 3b</w:t>
      </w:r>
      <w:r w:rsidR="00675BB1" w:rsidRPr="00A51255">
        <w:rPr>
          <w:rFonts w:ascii="Arial" w:hAnsi="Arial" w:cs="Arial"/>
          <w:lang w:val="en-US"/>
        </w:rPr>
        <w:t>)</w:t>
      </w:r>
      <w:r w:rsidR="00314E4F" w:rsidRPr="00A51255">
        <w:rPr>
          <w:rFonts w:ascii="Arial" w:hAnsi="Arial" w:cs="Arial"/>
          <w:lang w:val="en-US"/>
        </w:rPr>
        <w:t>.</w:t>
      </w:r>
      <w:r w:rsidRPr="00A51255">
        <w:rPr>
          <w:rFonts w:ascii="Arial" w:hAnsi="Arial" w:cs="Arial"/>
          <w:lang w:val="en-US"/>
        </w:rPr>
        <w:t xml:space="preserve"> Another </w:t>
      </w:r>
      <w:r w:rsidR="00E22CFB" w:rsidRPr="00A51255">
        <w:rPr>
          <w:rFonts w:ascii="Arial" w:hAnsi="Arial" w:cs="Arial"/>
          <w:lang w:val="en-US"/>
        </w:rPr>
        <w:t xml:space="preserve">reason why we use intradaily frequency </w:t>
      </w:r>
      <w:r w:rsidR="00065855" w:rsidRPr="00A51255">
        <w:rPr>
          <w:rFonts w:ascii="Arial" w:hAnsi="Arial" w:cs="Arial"/>
          <w:lang w:val="en-US"/>
        </w:rPr>
        <w:t xml:space="preserve">and investigate in such detail the changes in the PLN/USD exchange rate over these very short periods of time </w:t>
      </w:r>
      <w:r w:rsidR="00E22CFB" w:rsidRPr="00A51255">
        <w:rPr>
          <w:rFonts w:ascii="Arial" w:hAnsi="Arial" w:cs="Arial"/>
          <w:lang w:val="en-US"/>
        </w:rPr>
        <w:t>is that a</w:t>
      </w:r>
      <w:r w:rsidR="00314E4F" w:rsidRPr="00A51255">
        <w:rPr>
          <w:rFonts w:ascii="Arial" w:hAnsi="Arial" w:cs="Arial"/>
          <w:lang w:val="en-US"/>
        </w:rPr>
        <w:t xml:space="preserve">ny such investigation should </w:t>
      </w:r>
      <w:r w:rsidR="00776252" w:rsidRPr="00A51255">
        <w:rPr>
          <w:rFonts w:ascii="Arial" w:hAnsi="Arial" w:cs="Arial"/>
          <w:lang w:val="en-US"/>
        </w:rPr>
        <w:t xml:space="preserve">consider </w:t>
      </w:r>
      <w:r w:rsidR="00314E4F" w:rsidRPr="00A51255">
        <w:rPr>
          <w:rFonts w:ascii="Arial" w:hAnsi="Arial" w:cs="Arial"/>
          <w:lang w:val="en-US"/>
        </w:rPr>
        <w:t xml:space="preserve">investment horizons </w:t>
      </w:r>
      <w:r w:rsidR="00690AED" w:rsidRPr="00A51255">
        <w:rPr>
          <w:rFonts w:ascii="Arial" w:hAnsi="Arial" w:cs="Arial"/>
          <w:lang w:val="en-US"/>
        </w:rPr>
        <w:t>finer</w:t>
      </w:r>
      <w:r w:rsidR="00314E4F" w:rsidRPr="00A51255">
        <w:rPr>
          <w:rFonts w:ascii="Arial" w:hAnsi="Arial" w:cs="Arial"/>
          <w:lang w:val="en-US"/>
        </w:rPr>
        <w:t xml:space="preserve"> than </w:t>
      </w:r>
      <w:r w:rsidR="00065855" w:rsidRPr="00A51255">
        <w:rPr>
          <w:rFonts w:ascii="Arial" w:hAnsi="Arial" w:cs="Arial"/>
          <w:lang w:val="en-US"/>
        </w:rPr>
        <w:t xml:space="preserve">just </w:t>
      </w:r>
      <w:r w:rsidR="00314E4F" w:rsidRPr="00A51255">
        <w:rPr>
          <w:rFonts w:ascii="Arial" w:hAnsi="Arial" w:cs="Arial"/>
          <w:lang w:val="en-US"/>
        </w:rPr>
        <w:t>1 day</w:t>
      </w:r>
      <w:r w:rsidR="00C91796" w:rsidRPr="00A51255">
        <w:rPr>
          <w:rFonts w:ascii="Arial" w:hAnsi="Arial" w:cs="Arial"/>
          <w:lang w:val="en-US"/>
        </w:rPr>
        <w:t xml:space="preserve"> intervals</w:t>
      </w:r>
      <w:r w:rsidR="00AB6EBC">
        <w:rPr>
          <w:rFonts w:ascii="Arial" w:hAnsi="Arial" w:cs="Arial"/>
          <w:lang w:val="en-US"/>
        </w:rPr>
        <w:t>.</w:t>
      </w:r>
      <w:r w:rsidR="00314E4F" w:rsidRPr="00A51255">
        <w:rPr>
          <w:rFonts w:ascii="Arial" w:hAnsi="Arial" w:cs="Arial"/>
          <w:lang w:val="en-US"/>
        </w:rPr>
        <w:t xml:space="preserve"> </w:t>
      </w:r>
      <w:r w:rsidR="00AB6EBC">
        <w:rPr>
          <w:rFonts w:ascii="Arial" w:hAnsi="Arial" w:cs="Arial"/>
          <w:lang w:val="en-US"/>
        </w:rPr>
        <w:t>This is because</w:t>
      </w:r>
      <w:r w:rsidR="00C1009C" w:rsidRPr="00A51255">
        <w:rPr>
          <w:rFonts w:ascii="Arial" w:hAnsi="Arial" w:cs="Arial"/>
          <w:lang w:val="en-US"/>
        </w:rPr>
        <w:t xml:space="preserve"> many traders are </w:t>
      </w:r>
      <w:r w:rsidR="00314E4F" w:rsidRPr="00A51255">
        <w:rPr>
          <w:rFonts w:ascii="Arial" w:hAnsi="Arial" w:cs="Arial"/>
          <w:lang w:val="en-US"/>
        </w:rPr>
        <w:t xml:space="preserve">very </w:t>
      </w:r>
      <w:r w:rsidR="00C1009C" w:rsidRPr="00A51255">
        <w:rPr>
          <w:rFonts w:ascii="Arial" w:hAnsi="Arial" w:cs="Arial"/>
          <w:lang w:val="en-US"/>
        </w:rPr>
        <w:t xml:space="preserve">likely to transact </w:t>
      </w:r>
      <w:r w:rsidR="00065855" w:rsidRPr="00A51255">
        <w:rPr>
          <w:rFonts w:ascii="Arial" w:hAnsi="Arial" w:cs="Arial"/>
          <w:lang w:val="en-US"/>
        </w:rPr>
        <w:t>with</w:t>
      </w:r>
      <w:r w:rsidR="00314E4F" w:rsidRPr="00A51255">
        <w:rPr>
          <w:rFonts w:ascii="Arial" w:hAnsi="Arial" w:cs="Arial"/>
          <w:lang w:val="en-US"/>
        </w:rPr>
        <w:t xml:space="preserve">in </w:t>
      </w:r>
      <w:r w:rsidR="00C1009C" w:rsidRPr="00A51255">
        <w:rPr>
          <w:rFonts w:ascii="Arial" w:hAnsi="Arial" w:cs="Arial"/>
          <w:lang w:val="en-US"/>
        </w:rPr>
        <w:t xml:space="preserve">rather short time horizons in response to such </w:t>
      </w:r>
      <w:r w:rsidRPr="00A51255">
        <w:rPr>
          <w:rFonts w:ascii="Arial" w:hAnsi="Arial" w:cs="Arial"/>
          <w:lang w:val="en-US"/>
        </w:rPr>
        <w:t>news</w:t>
      </w:r>
      <w:r w:rsidR="00C1009C" w:rsidRPr="00A51255">
        <w:rPr>
          <w:rFonts w:ascii="Arial" w:hAnsi="Arial" w:cs="Arial"/>
          <w:lang w:val="en-US"/>
        </w:rPr>
        <w:t xml:space="preserve"> as </w:t>
      </w:r>
      <w:r w:rsidRPr="00A51255">
        <w:rPr>
          <w:rFonts w:ascii="Arial" w:hAnsi="Arial" w:cs="Arial"/>
          <w:lang w:val="en-US"/>
        </w:rPr>
        <w:t xml:space="preserve">public information contained in the </w:t>
      </w:r>
      <w:r w:rsidR="00C1009C" w:rsidRPr="00A51255">
        <w:rPr>
          <w:rFonts w:ascii="Arial" w:hAnsi="Arial" w:cs="Arial"/>
          <w:lang w:val="en-US"/>
        </w:rPr>
        <w:t>central bank announcements.</w:t>
      </w:r>
    </w:p>
    <w:p w:rsidR="00C1009C" w:rsidRPr="00A51255" w:rsidRDefault="0044707A" w:rsidP="00F175B9">
      <w:pPr>
        <w:spacing w:line="480" w:lineRule="auto"/>
        <w:jc w:val="both"/>
        <w:rPr>
          <w:rFonts w:ascii="Arial" w:hAnsi="Arial" w:cs="Arial"/>
          <w:lang w:val="en-US"/>
        </w:rPr>
      </w:pPr>
      <w:r w:rsidRPr="00A51255">
        <w:rPr>
          <w:rFonts w:ascii="Arial" w:hAnsi="Arial" w:cs="Arial"/>
          <w:lang w:val="en-US"/>
        </w:rPr>
        <w:tab/>
        <w:t xml:space="preserve">Our trading rule is </w:t>
      </w:r>
      <w:r w:rsidR="00F175B9" w:rsidRPr="00A51255">
        <w:rPr>
          <w:rFonts w:ascii="Arial" w:hAnsi="Arial" w:cs="Arial"/>
          <w:lang w:val="en-US"/>
        </w:rPr>
        <w:t xml:space="preserve">simple. </w:t>
      </w:r>
      <w:r w:rsidR="00065855" w:rsidRPr="00A51255">
        <w:rPr>
          <w:rFonts w:ascii="Arial" w:hAnsi="Arial" w:cs="Arial"/>
          <w:lang w:val="en-US"/>
        </w:rPr>
        <w:t>We assume that an investor</w:t>
      </w:r>
      <w:r w:rsidR="00F175B9" w:rsidRPr="00A51255">
        <w:rPr>
          <w:rFonts w:ascii="Arial" w:hAnsi="Arial" w:cs="Arial"/>
          <w:lang w:val="en-US"/>
        </w:rPr>
        <w:t xml:space="preserve"> open</w:t>
      </w:r>
      <w:r w:rsidR="00065855" w:rsidRPr="00A51255">
        <w:rPr>
          <w:rFonts w:ascii="Arial" w:hAnsi="Arial" w:cs="Arial"/>
          <w:lang w:val="en-US"/>
        </w:rPr>
        <w:t>s</w:t>
      </w:r>
      <w:r w:rsidR="00F175B9" w:rsidRPr="00A51255">
        <w:rPr>
          <w:rFonts w:ascii="Arial" w:hAnsi="Arial" w:cs="Arial"/>
          <w:lang w:val="en-US"/>
        </w:rPr>
        <w:t xml:space="preserve"> a </w:t>
      </w:r>
      <w:r w:rsidR="00F175B9" w:rsidRPr="00A51255">
        <w:rPr>
          <w:rFonts w:ascii="Arial" w:hAnsi="Arial" w:cs="Arial"/>
          <w:i/>
          <w:lang w:val="en-US"/>
        </w:rPr>
        <w:t>long position</w:t>
      </w:r>
      <w:r w:rsidR="00F175B9" w:rsidRPr="00A51255">
        <w:rPr>
          <w:rFonts w:ascii="Arial" w:hAnsi="Arial" w:cs="Arial"/>
          <w:lang w:val="en-US"/>
        </w:rPr>
        <w:t xml:space="preserve"> in the PLN/USD exchange rate on the day when there i</w:t>
      </w:r>
      <w:r w:rsidR="00AF78BD" w:rsidRPr="00A51255">
        <w:rPr>
          <w:rFonts w:ascii="Arial" w:hAnsi="Arial" w:cs="Arial"/>
          <w:lang w:val="en-US"/>
        </w:rPr>
        <w:t>s</w:t>
      </w:r>
      <w:r w:rsidR="00AB6EBC">
        <w:rPr>
          <w:rFonts w:ascii="Arial" w:hAnsi="Arial" w:cs="Arial"/>
          <w:lang w:val="en-US"/>
        </w:rPr>
        <w:t xml:space="preserve"> a</w:t>
      </w:r>
      <w:r w:rsidR="00AF78BD" w:rsidRPr="00A51255">
        <w:rPr>
          <w:rFonts w:ascii="Arial" w:hAnsi="Arial" w:cs="Arial"/>
          <w:lang w:val="en-US"/>
        </w:rPr>
        <w:t xml:space="preserve"> NBP announcement</w:t>
      </w:r>
      <w:r w:rsidR="00F650F1" w:rsidRPr="00A51255">
        <w:rPr>
          <w:rFonts w:ascii="Arial" w:hAnsi="Arial" w:cs="Arial"/>
          <w:lang w:val="en-US"/>
        </w:rPr>
        <w:t>, which</w:t>
      </w:r>
      <w:r w:rsidR="00AF78BD" w:rsidRPr="00A51255">
        <w:rPr>
          <w:rFonts w:ascii="Arial" w:hAnsi="Arial" w:cs="Arial"/>
          <w:lang w:val="en-US"/>
        </w:rPr>
        <w:t xml:space="preserve"> was found in </w:t>
      </w:r>
      <w:r w:rsidR="00BF37B1">
        <w:rPr>
          <w:rFonts w:ascii="Arial" w:hAnsi="Arial" w:cs="Arial"/>
          <w:lang w:val="en-US"/>
        </w:rPr>
        <w:t>Table</w:t>
      </w:r>
      <w:r w:rsidR="0005362B">
        <w:rPr>
          <w:rFonts w:ascii="Arial" w:hAnsi="Arial" w:cs="Arial"/>
          <w:lang w:val="en-US"/>
        </w:rPr>
        <w:t>s</w:t>
      </w:r>
      <w:r w:rsidR="00BF37B1">
        <w:rPr>
          <w:rFonts w:ascii="Arial" w:hAnsi="Arial" w:cs="Arial"/>
          <w:lang w:val="en-US"/>
        </w:rPr>
        <w:t xml:space="preserve"> 3a</w:t>
      </w:r>
      <w:r w:rsidR="0005362B">
        <w:rPr>
          <w:rFonts w:ascii="Arial" w:hAnsi="Arial" w:cs="Arial"/>
          <w:lang w:val="en-US"/>
        </w:rPr>
        <w:t xml:space="preserve"> and 3b</w:t>
      </w:r>
      <w:r w:rsidR="00AF78BD" w:rsidRPr="00A51255">
        <w:rPr>
          <w:rFonts w:ascii="Arial" w:hAnsi="Arial" w:cs="Arial"/>
          <w:lang w:val="en-US"/>
        </w:rPr>
        <w:t xml:space="preserve"> to be </w:t>
      </w:r>
      <w:r w:rsidR="00F175B9" w:rsidRPr="00A51255">
        <w:rPr>
          <w:rFonts w:ascii="Arial" w:hAnsi="Arial" w:cs="Arial"/>
          <w:lang w:val="en-US"/>
        </w:rPr>
        <w:t xml:space="preserve">statistically significant </w:t>
      </w:r>
      <w:r w:rsidR="002F532F" w:rsidRPr="00A51255">
        <w:rPr>
          <w:rFonts w:ascii="Arial" w:hAnsi="Arial" w:cs="Arial"/>
          <w:lang w:val="en-US"/>
        </w:rPr>
        <w:t xml:space="preserve">(at the level </w:t>
      </w:r>
      <w:r w:rsidR="002F532F" w:rsidRPr="00A51255">
        <w:rPr>
          <w:i/>
          <w:lang w:val="en-US"/>
        </w:rPr>
        <w:t>p</w:t>
      </w:r>
      <w:r w:rsidR="002F532F" w:rsidRPr="00A51255">
        <w:rPr>
          <w:rFonts w:ascii="Arial" w:hAnsi="Arial" w:cs="Arial"/>
          <w:lang w:val="en-US"/>
        </w:rPr>
        <w:t xml:space="preserve"> &lt; 0.01) </w:t>
      </w:r>
      <w:r w:rsidR="00AF78BD" w:rsidRPr="00A51255">
        <w:rPr>
          <w:rFonts w:ascii="Arial" w:hAnsi="Arial" w:cs="Arial"/>
          <w:lang w:val="en-US"/>
        </w:rPr>
        <w:t xml:space="preserve">and </w:t>
      </w:r>
      <w:r w:rsidR="00F650F1" w:rsidRPr="00A51255">
        <w:rPr>
          <w:rFonts w:ascii="Arial" w:hAnsi="Arial" w:cs="Arial"/>
          <w:lang w:val="en-US"/>
        </w:rPr>
        <w:t>had</w:t>
      </w:r>
      <w:r w:rsidR="00F175B9" w:rsidRPr="00A51255">
        <w:rPr>
          <w:rFonts w:ascii="Arial" w:hAnsi="Arial" w:cs="Arial"/>
          <w:lang w:val="en-US"/>
        </w:rPr>
        <w:t xml:space="preserve"> a </w:t>
      </w:r>
      <w:r w:rsidR="00F175B9" w:rsidRPr="00A51255">
        <w:rPr>
          <w:rFonts w:ascii="Arial" w:hAnsi="Arial" w:cs="Arial"/>
          <w:i/>
          <w:lang w:val="en-US"/>
        </w:rPr>
        <w:t>positive</w:t>
      </w:r>
      <w:r w:rsidR="00F175B9" w:rsidRPr="00A51255">
        <w:rPr>
          <w:rFonts w:ascii="Arial" w:hAnsi="Arial" w:cs="Arial"/>
          <w:lang w:val="en-US"/>
        </w:rPr>
        <w:t xml:space="preserve"> sign (implying a prediction of</w:t>
      </w:r>
      <w:r w:rsidR="00065855" w:rsidRPr="00A51255">
        <w:rPr>
          <w:rFonts w:ascii="Arial" w:hAnsi="Arial" w:cs="Arial"/>
          <w:lang w:val="en-US"/>
        </w:rPr>
        <w:t xml:space="preserve"> a</w:t>
      </w:r>
      <w:r w:rsidR="007A39DB" w:rsidRPr="00A51255">
        <w:rPr>
          <w:rFonts w:ascii="Arial" w:hAnsi="Arial" w:cs="Arial"/>
          <w:lang w:val="en-US"/>
        </w:rPr>
        <w:t xml:space="preserve"> depreciation</w:t>
      </w:r>
      <w:r w:rsidR="00065855" w:rsidRPr="00A51255">
        <w:rPr>
          <w:rFonts w:ascii="Arial" w:hAnsi="Arial" w:cs="Arial"/>
          <w:lang w:val="en-US"/>
        </w:rPr>
        <w:t xml:space="preserve"> of the PLN)</w:t>
      </w:r>
      <w:r w:rsidR="003F0926" w:rsidRPr="00A51255">
        <w:rPr>
          <w:rFonts w:ascii="Arial" w:hAnsi="Arial" w:cs="Arial"/>
          <w:lang w:val="en-US"/>
        </w:rPr>
        <w:t>,</w:t>
      </w:r>
      <w:r w:rsidR="00065855" w:rsidRPr="00A51255">
        <w:rPr>
          <w:rFonts w:ascii="Arial" w:hAnsi="Arial" w:cs="Arial"/>
          <w:lang w:val="en-US"/>
        </w:rPr>
        <w:t xml:space="preserve"> or an investor</w:t>
      </w:r>
      <w:r w:rsidR="00F650F1" w:rsidRPr="00A51255">
        <w:rPr>
          <w:rFonts w:ascii="Arial" w:hAnsi="Arial" w:cs="Arial"/>
          <w:lang w:val="en-US"/>
        </w:rPr>
        <w:t xml:space="preserve"> open</w:t>
      </w:r>
      <w:r w:rsidR="00065855" w:rsidRPr="00A51255">
        <w:rPr>
          <w:rFonts w:ascii="Arial" w:hAnsi="Arial" w:cs="Arial"/>
          <w:lang w:val="en-US"/>
        </w:rPr>
        <w:t>s</w:t>
      </w:r>
      <w:r w:rsidR="00F650F1" w:rsidRPr="00A51255">
        <w:rPr>
          <w:rFonts w:ascii="Arial" w:hAnsi="Arial" w:cs="Arial"/>
          <w:lang w:val="en-US"/>
        </w:rPr>
        <w:t xml:space="preserve"> </w:t>
      </w:r>
      <w:r w:rsidR="00F175B9" w:rsidRPr="00A51255">
        <w:rPr>
          <w:rFonts w:ascii="Arial" w:hAnsi="Arial" w:cs="Arial"/>
          <w:lang w:val="en-US"/>
        </w:rPr>
        <w:t xml:space="preserve">a </w:t>
      </w:r>
      <w:r w:rsidR="00F175B9" w:rsidRPr="00A51255">
        <w:rPr>
          <w:rFonts w:ascii="Arial" w:hAnsi="Arial" w:cs="Arial"/>
          <w:i/>
          <w:lang w:val="en-US"/>
        </w:rPr>
        <w:t>short position</w:t>
      </w:r>
      <w:r w:rsidR="00F175B9" w:rsidRPr="00A51255">
        <w:rPr>
          <w:rFonts w:ascii="Arial" w:hAnsi="Arial" w:cs="Arial"/>
          <w:lang w:val="en-US"/>
        </w:rPr>
        <w:t xml:space="preserve"> </w:t>
      </w:r>
      <w:r w:rsidR="00065855" w:rsidRPr="00A51255">
        <w:rPr>
          <w:rFonts w:ascii="Arial" w:hAnsi="Arial" w:cs="Arial"/>
          <w:lang w:val="en-US"/>
        </w:rPr>
        <w:t xml:space="preserve">in the PLN/USD </w:t>
      </w:r>
      <w:r w:rsidR="00F175B9" w:rsidRPr="00A51255">
        <w:rPr>
          <w:rFonts w:ascii="Arial" w:hAnsi="Arial" w:cs="Arial"/>
          <w:lang w:val="en-US"/>
        </w:rPr>
        <w:t>when</w:t>
      </w:r>
      <w:r w:rsidR="00AF78BD" w:rsidRPr="00A51255">
        <w:rPr>
          <w:rFonts w:ascii="Arial" w:hAnsi="Arial" w:cs="Arial"/>
          <w:lang w:val="en-US"/>
        </w:rPr>
        <w:t xml:space="preserve"> there is </w:t>
      </w:r>
      <w:r w:rsidR="00F175B9" w:rsidRPr="00A51255">
        <w:rPr>
          <w:rFonts w:ascii="Arial" w:hAnsi="Arial" w:cs="Arial"/>
          <w:lang w:val="en-US"/>
        </w:rPr>
        <w:t>a</w:t>
      </w:r>
      <w:r w:rsidR="00F650F1" w:rsidRPr="00A51255">
        <w:rPr>
          <w:rFonts w:ascii="Arial" w:hAnsi="Arial" w:cs="Arial"/>
          <w:lang w:val="en-US"/>
        </w:rPr>
        <w:t>n</w:t>
      </w:r>
      <w:r w:rsidR="00F175B9" w:rsidRPr="00A51255">
        <w:rPr>
          <w:rFonts w:ascii="Arial" w:hAnsi="Arial" w:cs="Arial"/>
          <w:lang w:val="en-US"/>
        </w:rPr>
        <w:t xml:space="preserve"> announcement</w:t>
      </w:r>
      <w:r w:rsidR="00F650F1" w:rsidRPr="00A51255">
        <w:rPr>
          <w:rFonts w:ascii="Arial" w:hAnsi="Arial" w:cs="Arial"/>
          <w:lang w:val="en-US"/>
        </w:rPr>
        <w:t>, which</w:t>
      </w:r>
      <w:r w:rsidR="00AF78BD" w:rsidRPr="00A51255">
        <w:rPr>
          <w:rFonts w:ascii="Arial" w:hAnsi="Arial" w:cs="Arial"/>
          <w:lang w:val="en-US"/>
        </w:rPr>
        <w:t xml:space="preserve"> in </w:t>
      </w:r>
      <w:r w:rsidR="00BF37B1">
        <w:rPr>
          <w:rFonts w:ascii="Arial" w:hAnsi="Arial" w:cs="Arial"/>
          <w:lang w:val="en-US"/>
        </w:rPr>
        <w:t>Table</w:t>
      </w:r>
      <w:r w:rsidR="0005362B">
        <w:rPr>
          <w:rFonts w:ascii="Arial" w:hAnsi="Arial" w:cs="Arial"/>
          <w:lang w:val="en-US"/>
        </w:rPr>
        <w:t>s</w:t>
      </w:r>
      <w:r w:rsidR="00BF37B1">
        <w:rPr>
          <w:rFonts w:ascii="Arial" w:hAnsi="Arial" w:cs="Arial"/>
          <w:lang w:val="en-US"/>
        </w:rPr>
        <w:t xml:space="preserve"> 3a</w:t>
      </w:r>
      <w:r w:rsidR="00AF78BD" w:rsidRPr="00A51255">
        <w:rPr>
          <w:rFonts w:ascii="Arial" w:hAnsi="Arial" w:cs="Arial"/>
          <w:lang w:val="en-US"/>
        </w:rPr>
        <w:t xml:space="preserve"> </w:t>
      </w:r>
      <w:r w:rsidR="0005362B">
        <w:rPr>
          <w:rFonts w:ascii="Arial" w:hAnsi="Arial" w:cs="Arial"/>
          <w:lang w:val="en-US"/>
        </w:rPr>
        <w:t xml:space="preserve">and 3b </w:t>
      </w:r>
      <w:r w:rsidR="00AF78BD" w:rsidRPr="00A51255">
        <w:rPr>
          <w:rFonts w:ascii="Arial" w:hAnsi="Arial" w:cs="Arial"/>
          <w:lang w:val="en-US"/>
        </w:rPr>
        <w:t xml:space="preserve">was found to be statistically significant </w:t>
      </w:r>
      <w:r w:rsidR="002F532F" w:rsidRPr="00A51255">
        <w:rPr>
          <w:rFonts w:ascii="Arial" w:hAnsi="Arial" w:cs="Arial"/>
          <w:lang w:val="en-US"/>
        </w:rPr>
        <w:t xml:space="preserve">(at the level </w:t>
      </w:r>
      <w:r w:rsidR="002F532F" w:rsidRPr="00A51255">
        <w:rPr>
          <w:i/>
          <w:lang w:val="en-US"/>
        </w:rPr>
        <w:t>p</w:t>
      </w:r>
      <w:r w:rsidR="002F532F" w:rsidRPr="00A51255">
        <w:rPr>
          <w:rFonts w:ascii="Arial" w:hAnsi="Arial" w:cs="Arial"/>
          <w:lang w:val="en-US"/>
        </w:rPr>
        <w:t xml:space="preserve"> &lt; 0.01) </w:t>
      </w:r>
      <w:r w:rsidR="00AF78BD" w:rsidRPr="00A51255">
        <w:rPr>
          <w:rFonts w:ascii="Arial" w:hAnsi="Arial" w:cs="Arial"/>
          <w:lang w:val="en-US"/>
        </w:rPr>
        <w:t>and</w:t>
      </w:r>
      <w:r w:rsidR="00F175B9" w:rsidRPr="00A51255">
        <w:rPr>
          <w:rFonts w:ascii="Arial" w:hAnsi="Arial" w:cs="Arial"/>
          <w:lang w:val="en-US"/>
        </w:rPr>
        <w:t xml:space="preserve"> </w:t>
      </w:r>
      <w:r w:rsidR="00F650F1" w:rsidRPr="00A51255">
        <w:rPr>
          <w:rFonts w:ascii="Arial" w:hAnsi="Arial" w:cs="Arial"/>
          <w:lang w:val="en-US"/>
        </w:rPr>
        <w:t>had</w:t>
      </w:r>
      <w:r w:rsidR="00F175B9" w:rsidRPr="00A51255">
        <w:rPr>
          <w:rFonts w:ascii="Arial" w:hAnsi="Arial" w:cs="Arial"/>
          <w:lang w:val="en-US"/>
        </w:rPr>
        <w:t xml:space="preserve"> a </w:t>
      </w:r>
      <w:r w:rsidR="00F175B9" w:rsidRPr="00A51255">
        <w:rPr>
          <w:rFonts w:ascii="Arial" w:hAnsi="Arial" w:cs="Arial"/>
          <w:i/>
          <w:lang w:val="en-US"/>
        </w:rPr>
        <w:t>negative</w:t>
      </w:r>
      <w:r w:rsidR="00F175B9" w:rsidRPr="00A51255">
        <w:rPr>
          <w:rFonts w:ascii="Arial" w:hAnsi="Arial" w:cs="Arial"/>
          <w:lang w:val="en-US"/>
        </w:rPr>
        <w:t xml:space="preserve"> sign (implying a prediction of a</w:t>
      </w:r>
      <w:r w:rsidR="007A39DB" w:rsidRPr="00A51255">
        <w:rPr>
          <w:rFonts w:ascii="Arial" w:hAnsi="Arial" w:cs="Arial"/>
          <w:lang w:val="en-US"/>
        </w:rPr>
        <w:t>n appreciation</w:t>
      </w:r>
      <w:r w:rsidR="00F175B9" w:rsidRPr="00A51255">
        <w:rPr>
          <w:rFonts w:ascii="Arial" w:hAnsi="Arial" w:cs="Arial"/>
          <w:lang w:val="en-US"/>
        </w:rPr>
        <w:t xml:space="preserve"> of the PLN). </w:t>
      </w:r>
      <w:r w:rsidR="00E666BF">
        <w:rPr>
          <w:rFonts w:ascii="Arial" w:hAnsi="Arial" w:cs="Arial"/>
          <w:lang w:val="en-US"/>
        </w:rPr>
        <w:t xml:space="preserve">The positions are allocated leverage in proportion strictly depending on the value of the estimated parameter (i.e. the higher the absolute </w:t>
      </w:r>
      <w:r w:rsidR="00E666BF">
        <w:rPr>
          <w:rFonts w:ascii="Arial" w:hAnsi="Arial" w:cs="Arial"/>
          <w:lang w:val="en-US"/>
        </w:rPr>
        <w:lastRenderedPageBreak/>
        <w:t xml:space="preserve">value of the estimate the higher the leverage). </w:t>
      </w:r>
      <w:r w:rsidR="00F175B9" w:rsidRPr="00A51255">
        <w:rPr>
          <w:rFonts w:ascii="Arial" w:hAnsi="Arial" w:cs="Arial"/>
          <w:lang w:val="en-US"/>
        </w:rPr>
        <w:t>The</w:t>
      </w:r>
      <w:r w:rsidR="00F650F1" w:rsidRPr="00A51255">
        <w:rPr>
          <w:rFonts w:ascii="Arial" w:hAnsi="Arial" w:cs="Arial"/>
          <w:lang w:val="en-US"/>
        </w:rPr>
        <w:t>se</w:t>
      </w:r>
      <w:r w:rsidR="00F175B9" w:rsidRPr="00A51255">
        <w:rPr>
          <w:rFonts w:ascii="Arial" w:hAnsi="Arial" w:cs="Arial"/>
          <w:lang w:val="en-US"/>
        </w:rPr>
        <w:t xml:space="preserve"> position</w:t>
      </w:r>
      <w:r w:rsidR="00AF78BD" w:rsidRPr="00A51255">
        <w:rPr>
          <w:rFonts w:ascii="Arial" w:hAnsi="Arial" w:cs="Arial"/>
          <w:lang w:val="en-US"/>
        </w:rPr>
        <w:t>s are</w:t>
      </w:r>
      <w:r w:rsidR="00F175B9" w:rsidRPr="00A51255">
        <w:rPr>
          <w:rFonts w:ascii="Arial" w:hAnsi="Arial" w:cs="Arial"/>
          <w:lang w:val="en-US"/>
        </w:rPr>
        <w:t xml:space="preserve"> closed at the end of the</w:t>
      </w:r>
      <w:r w:rsidR="00AF78BD" w:rsidRPr="00A51255">
        <w:rPr>
          <w:rFonts w:ascii="Arial" w:hAnsi="Arial" w:cs="Arial"/>
          <w:lang w:val="en-US"/>
        </w:rPr>
        <w:t xml:space="preserve"> </w:t>
      </w:r>
      <w:r w:rsidR="00F175B9" w:rsidRPr="00A51255">
        <w:rPr>
          <w:rFonts w:ascii="Arial" w:hAnsi="Arial" w:cs="Arial"/>
          <w:lang w:val="en-US"/>
        </w:rPr>
        <w:t xml:space="preserve">investment horizon. As a robustness check, we investigate </w:t>
      </w:r>
      <w:r w:rsidR="00264D60" w:rsidRPr="00A51255">
        <w:rPr>
          <w:rFonts w:ascii="Arial" w:hAnsi="Arial" w:cs="Arial"/>
          <w:lang w:val="en-US"/>
        </w:rPr>
        <w:t xml:space="preserve">the performance of </w:t>
      </w:r>
      <w:r w:rsidR="003D4695" w:rsidRPr="00A51255">
        <w:rPr>
          <w:rFonts w:ascii="Arial" w:hAnsi="Arial" w:cs="Arial"/>
          <w:lang w:val="en-US"/>
        </w:rPr>
        <w:t>this</w:t>
      </w:r>
      <w:r w:rsidR="003A6271" w:rsidRPr="00A51255">
        <w:rPr>
          <w:rFonts w:ascii="Arial" w:hAnsi="Arial" w:cs="Arial"/>
          <w:lang w:val="en-US"/>
        </w:rPr>
        <w:t xml:space="preserve"> trading strategy </w:t>
      </w:r>
      <w:r w:rsidR="00264D60" w:rsidRPr="00A51255">
        <w:rPr>
          <w:rFonts w:ascii="Arial" w:hAnsi="Arial" w:cs="Arial"/>
          <w:lang w:val="en-US"/>
        </w:rPr>
        <w:t xml:space="preserve">for </w:t>
      </w:r>
      <w:r w:rsidR="00C1009C" w:rsidRPr="00A51255">
        <w:rPr>
          <w:rFonts w:ascii="Arial" w:hAnsi="Arial" w:cs="Arial"/>
          <w:lang w:val="en-US"/>
        </w:rPr>
        <w:t>a variety o</w:t>
      </w:r>
      <w:r w:rsidR="00AF78BD" w:rsidRPr="00A51255">
        <w:rPr>
          <w:rFonts w:ascii="Arial" w:hAnsi="Arial" w:cs="Arial"/>
          <w:lang w:val="en-US"/>
        </w:rPr>
        <w:t>f different investment horizons, which allows us to present a broader spectrum of results.</w:t>
      </w:r>
    </w:p>
    <w:p w:rsidR="004A17EF" w:rsidRDefault="003F3190" w:rsidP="003F0926">
      <w:pPr>
        <w:spacing w:line="480" w:lineRule="auto"/>
        <w:ind w:firstLine="708"/>
        <w:jc w:val="both"/>
        <w:rPr>
          <w:rFonts w:ascii="Arial" w:hAnsi="Arial" w:cs="Arial"/>
          <w:lang w:val="en-US"/>
        </w:rPr>
      </w:pPr>
      <w:r>
        <w:rPr>
          <w:rFonts w:ascii="Arial" w:hAnsi="Arial" w:cs="Arial"/>
          <w:lang w:val="en-US"/>
        </w:rPr>
        <w:t>Table 7</w:t>
      </w:r>
      <w:r w:rsidR="00905692">
        <w:rPr>
          <w:rFonts w:ascii="Arial" w:hAnsi="Arial" w:cs="Arial"/>
          <w:lang w:val="en-US"/>
        </w:rPr>
        <w:t xml:space="preserve"> </w:t>
      </w:r>
      <w:r w:rsidR="003F0926" w:rsidRPr="00A51255">
        <w:rPr>
          <w:rFonts w:ascii="Arial" w:hAnsi="Arial" w:cs="Arial"/>
          <w:lang w:val="en-US"/>
        </w:rPr>
        <w:t xml:space="preserve">presents profits and losses from such </w:t>
      </w:r>
      <w:r w:rsidR="00AB6EBC">
        <w:rPr>
          <w:rFonts w:ascii="Arial" w:hAnsi="Arial" w:cs="Arial"/>
          <w:lang w:val="en-US"/>
        </w:rPr>
        <w:t xml:space="preserve">a </w:t>
      </w:r>
      <w:r w:rsidR="003F0926" w:rsidRPr="00A51255">
        <w:rPr>
          <w:rFonts w:ascii="Arial" w:hAnsi="Arial" w:cs="Arial"/>
          <w:lang w:val="en-US"/>
        </w:rPr>
        <w:t xml:space="preserve">strategy (measured in basis points, bps) for trades </w:t>
      </w:r>
      <w:r w:rsidR="00D07DE6" w:rsidRPr="00A51255">
        <w:rPr>
          <w:rFonts w:ascii="Arial" w:hAnsi="Arial" w:cs="Arial"/>
          <w:lang w:val="en-US"/>
        </w:rPr>
        <w:t xml:space="preserve">that are </w:t>
      </w:r>
      <w:r w:rsidR="003F0926" w:rsidRPr="00A51255">
        <w:rPr>
          <w:rFonts w:ascii="Arial" w:hAnsi="Arial" w:cs="Arial"/>
          <w:lang w:val="en-US"/>
        </w:rPr>
        <w:t xml:space="preserve">executed based on the information about statistically significant NBP announcements dummies on day </w:t>
      </w:r>
      <w:r w:rsidR="003F0926" w:rsidRPr="00A51255">
        <w:rPr>
          <w:i/>
          <w:lang w:val="en-US"/>
        </w:rPr>
        <w:t>t</w:t>
      </w:r>
      <w:r w:rsidR="003F0926" w:rsidRPr="00A51255">
        <w:rPr>
          <w:rFonts w:ascii="Arial" w:hAnsi="Arial" w:cs="Arial"/>
          <w:lang w:val="en-US"/>
        </w:rPr>
        <w:t xml:space="preserve"> (Panel A) and on day </w:t>
      </w:r>
      <w:r w:rsidR="003F0926" w:rsidRPr="00A51255">
        <w:rPr>
          <w:i/>
          <w:lang w:val="en-US"/>
        </w:rPr>
        <w:t>t+1</w:t>
      </w:r>
      <w:r w:rsidR="003F0926" w:rsidRPr="00A51255">
        <w:rPr>
          <w:rFonts w:ascii="Arial" w:hAnsi="Arial" w:cs="Arial"/>
          <w:lang w:val="en-US"/>
        </w:rPr>
        <w:t xml:space="preserve"> (Panel B) for different investment horizons and different levels of trading costs</w:t>
      </w:r>
      <w:r w:rsidR="00A90D26" w:rsidRPr="00A51255">
        <w:rPr>
          <w:rFonts w:ascii="Arial" w:hAnsi="Arial" w:cs="Arial"/>
          <w:lang w:val="en-US"/>
        </w:rPr>
        <w:t>.</w:t>
      </w:r>
    </w:p>
    <w:p w:rsidR="00756FDC" w:rsidRDefault="00756FDC" w:rsidP="00756FDC">
      <w:pPr>
        <w:spacing w:line="480" w:lineRule="auto"/>
        <w:jc w:val="both"/>
        <w:rPr>
          <w:rFonts w:ascii="Arial" w:hAnsi="Arial" w:cs="Arial"/>
          <w:lang w:val="en-US"/>
        </w:rPr>
      </w:pPr>
    </w:p>
    <w:p w:rsidR="00756FDC" w:rsidRDefault="00756FDC" w:rsidP="00756FDC">
      <w:pPr>
        <w:spacing w:line="480" w:lineRule="auto"/>
        <w:jc w:val="center"/>
        <w:rPr>
          <w:rFonts w:ascii="Arial" w:hAnsi="Arial" w:cs="Arial"/>
          <w:i/>
          <w:lang w:val="en-US"/>
        </w:rPr>
      </w:pPr>
      <w:r w:rsidRPr="00365BB9">
        <w:rPr>
          <w:rFonts w:ascii="Arial" w:hAnsi="Arial" w:cs="Arial"/>
          <w:i/>
          <w:lang w:val="en-US"/>
        </w:rPr>
        <w:t>[</w:t>
      </w:r>
      <w:r w:rsidR="0070324A">
        <w:rPr>
          <w:rFonts w:ascii="Arial" w:hAnsi="Arial" w:cs="Arial"/>
          <w:i/>
          <w:lang w:val="en-US"/>
        </w:rPr>
        <w:t>Table 7</w:t>
      </w:r>
      <w:r w:rsidRPr="00365BB9">
        <w:rPr>
          <w:rFonts w:ascii="Arial" w:hAnsi="Arial" w:cs="Arial"/>
          <w:i/>
          <w:lang w:val="en-US"/>
        </w:rPr>
        <w:t xml:space="preserve"> around here]</w:t>
      </w:r>
    </w:p>
    <w:p w:rsidR="00756FDC" w:rsidRPr="00A51255" w:rsidRDefault="00756FDC" w:rsidP="003F0926">
      <w:pPr>
        <w:spacing w:line="480" w:lineRule="auto"/>
        <w:ind w:firstLine="708"/>
        <w:jc w:val="both"/>
        <w:rPr>
          <w:rFonts w:ascii="Arial" w:hAnsi="Arial" w:cs="Arial"/>
          <w:lang w:val="en-US"/>
        </w:rPr>
      </w:pPr>
    </w:p>
    <w:p w:rsidR="0072322C" w:rsidRPr="00A51255" w:rsidRDefault="003F0926" w:rsidP="0072322C">
      <w:pPr>
        <w:spacing w:line="480" w:lineRule="auto"/>
        <w:jc w:val="both"/>
        <w:rPr>
          <w:rFonts w:ascii="Arial" w:hAnsi="Arial" w:cs="Arial"/>
          <w:lang w:val="en-US"/>
        </w:rPr>
      </w:pPr>
      <w:r w:rsidRPr="00A51255">
        <w:rPr>
          <w:rFonts w:ascii="Arial" w:hAnsi="Arial" w:cs="Arial"/>
          <w:lang w:val="en-US"/>
        </w:rPr>
        <w:tab/>
        <w:t>In Panel A</w:t>
      </w:r>
      <w:r w:rsidR="005D5139">
        <w:rPr>
          <w:rFonts w:ascii="Arial" w:hAnsi="Arial" w:cs="Arial"/>
          <w:lang w:val="en-US"/>
        </w:rPr>
        <w:t>,</w:t>
      </w:r>
      <w:r w:rsidRPr="00A51255">
        <w:rPr>
          <w:rFonts w:ascii="Arial" w:hAnsi="Arial" w:cs="Arial"/>
          <w:lang w:val="en-US"/>
        </w:rPr>
        <w:t xml:space="preserve"> the t</w:t>
      </w:r>
      <w:r w:rsidR="0072322C" w:rsidRPr="00A51255">
        <w:rPr>
          <w:rFonts w:ascii="Arial" w:hAnsi="Arial" w:cs="Arial"/>
          <w:lang w:val="en-US"/>
        </w:rPr>
        <w:t>rading horizon</w:t>
      </w:r>
      <w:r w:rsidRPr="00A51255">
        <w:rPr>
          <w:rFonts w:ascii="Arial" w:hAnsi="Arial" w:cs="Arial"/>
          <w:lang w:val="en-US"/>
        </w:rPr>
        <w:t xml:space="preserve">s are the intervals of time between </w:t>
      </w:r>
      <w:r w:rsidR="0072322C" w:rsidRPr="00A51255">
        <w:rPr>
          <w:rFonts w:ascii="Arial" w:hAnsi="Arial" w:cs="Arial"/>
          <w:lang w:val="en-US"/>
        </w:rPr>
        <w:t>the NBP announcement</w:t>
      </w:r>
      <w:r w:rsidRPr="00A51255">
        <w:rPr>
          <w:rFonts w:ascii="Arial" w:hAnsi="Arial" w:cs="Arial"/>
          <w:lang w:val="en-US"/>
        </w:rPr>
        <w:t>s</w:t>
      </w:r>
      <w:r w:rsidR="0072322C" w:rsidRPr="00A51255">
        <w:rPr>
          <w:rFonts w:ascii="Arial" w:hAnsi="Arial" w:cs="Arial"/>
          <w:lang w:val="en-US"/>
        </w:rPr>
        <w:t xml:space="preserve"> </w:t>
      </w:r>
      <w:r w:rsidRPr="00A51255">
        <w:rPr>
          <w:rFonts w:ascii="Arial" w:hAnsi="Arial" w:cs="Arial"/>
          <w:lang w:val="en-US"/>
        </w:rPr>
        <w:t>(made always at 4:00 PM CET) and the following points of time</w:t>
      </w:r>
      <w:r w:rsidR="003D56AE" w:rsidRPr="00A51255">
        <w:rPr>
          <w:rFonts w:ascii="Arial" w:hAnsi="Arial" w:cs="Arial"/>
          <w:lang w:val="en-US"/>
        </w:rPr>
        <w:t xml:space="preserve"> denoted as</w:t>
      </w:r>
      <w:r w:rsidRPr="00A51255">
        <w:rPr>
          <w:rFonts w:ascii="Arial" w:hAnsi="Arial" w:cs="Arial"/>
          <w:lang w:val="en-US"/>
        </w:rPr>
        <w:t>: ‘</w:t>
      </w:r>
      <w:r w:rsidR="0072322C" w:rsidRPr="00A51255">
        <w:rPr>
          <w:rFonts w:ascii="Arial" w:hAnsi="Arial" w:cs="Arial"/>
          <w:lang w:val="en-US"/>
        </w:rPr>
        <w:t>+1 hour</w:t>
      </w:r>
      <w:r w:rsidRPr="00A51255">
        <w:rPr>
          <w:rFonts w:ascii="Arial" w:hAnsi="Arial" w:cs="Arial"/>
          <w:lang w:val="en-US"/>
        </w:rPr>
        <w:t>’</w:t>
      </w:r>
      <w:r w:rsidR="0072322C" w:rsidRPr="00A51255">
        <w:rPr>
          <w:rFonts w:ascii="Arial" w:hAnsi="Arial" w:cs="Arial"/>
          <w:lang w:val="en-US"/>
        </w:rPr>
        <w:t xml:space="preserve">, </w:t>
      </w:r>
      <w:r w:rsidRPr="00A51255">
        <w:rPr>
          <w:rFonts w:ascii="Arial" w:hAnsi="Arial" w:cs="Arial"/>
          <w:lang w:val="en-US"/>
        </w:rPr>
        <w:t>‘</w:t>
      </w:r>
      <w:r w:rsidR="0072322C" w:rsidRPr="00A51255">
        <w:rPr>
          <w:rFonts w:ascii="Arial" w:hAnsi="Arial" w:cs="Arial"/>
          <w:lang w:val="en-US"/>
        </w:rPr>
        <w:t>+3 hour</w:t>
      </w:r>
      <w:r w:rsidRPr="00A51255">
        <w:rPr>
          <w:rFonts w:ascii="Arial" w:hAnsi="Arial" w:cs="Arial"/>
          <w:lang w:val="en-US"/>
        </w:rPr>
        <w:t>s’</w:t>
      </w:r>
      <w:r w:rsidR="0072322C" w:rsidRPr="00A51255">
        <w:rPr>
          <w:rFonts w:ascii="Arial" w:hAnsi="Arial" w:cs="Arial"/>
          <w:lang w:val="en-US"/>
        </w:rPr>
        <w:t xml:space="preserve">, </w:t>
      </w:r>
      <w:r w:rsidR="007320D6" w:rsidRPr="00A51255">
        <w:rPr>
          <w:rFonts w:ascii="Arial" w:hAnsi="Arial" w:cs="Arial"/>
          <w:lang w:val="en-US"/>
        </w:rPr>
        <w:t>‘</w:t>
      </w:r>
      <w:r w:rsidR="0072322C" w:rsidRPr="00A51255">
        <w:rPr>
          <w:rFonts w:ascii="Arial" w:hAnsi="Arial" w:cs="Arial"/>
          <w:lang w:val="en-US"/>
        </w:rPr>
        <w:t xml:space="preserve">until the end of day </w:t>
      </w:r>
      <w:r w:rsidR="0072322C" w:rsidRPr="00A51255">
        <w:rPr>
          <w:i/>
          <w:lang w:val="en-US"/>
        </w:rPr>
        <w:t>t</w:t>
      </w:r>
      <w:r w:rsidR="007320D6" w:rsidRPr="00A51255">
        <w:rPr>
          <w:rFonts w:ascii="Arial" w:hAnsi="Arial" w:cs="Arial"/>
          <w:lang w:val="en-US"/>
        </w:rPr>
        <w:t>’</w:t>
      </w:r>
      <w:r w:rsidR="0072322C" w:rsidRPr="00A51255">
        <w:rPr>
          <w:rFonts w:ascii="Arial" w:hAnsi="Arial" w:cs="Arial"/>
          <w:lang w:val="en-US"/>
        </w:rPr>
        <w:t xml:space="preserve">, </w:t>
      </w:r>
      <w:r w:rsidR="007320D6" w:rsidRPr="00A51255">
        <w:rPr>
          <w:rFonts w:ascii="Arial" w:hAnsi="Arial" w:cs="Arial"/>
          <w:lang w:val="en-US"/>
        </w:rPr>
        <w:t>‘</w:t>
      </w:r>
      <w:r w:rsidRPr="00A51255">
        <w:rPr>
          <w:rFonts w:ascii="Arial" w:hAnsi="Arial" w:cs="Arial"/>
          <w:lang w:val="en-US"/>
        </w:rPr>
        <w:t>+16 hours</w:t>
      </w:r>
      <w:r w:rsidR="007320D6" w:rsidRPr="00A51255">
        <w:rPr>
          <w:rFonts w:ascii="Arial" w:hAnsi="Arial" w:cs="Arial"/>
          <w:lang w:val="en-US"/>
        </w:rPr>
        <w:t>’</w:t>
      </w:r>
      <w:r w:rsidRPr="00A51255">
        <w:rPr>
          <w:rFonts w:ascii="Arial" w:hAnsi="Arial" w:cs="Arial"/>
          <w:lang w:val="en-US"/>
        </w:rPr>
        <w:t xml:space="preserve">, </w:t>
      </w:r>
      <w:r w:rsidR="007320D6" w:rsidRPr="00A51255">
        <w:rPr>
          <w:rFonts w:ascii="Arial" w:hAnsi="Arial" w:cs="Arial"/>
          <w:lang w:val="en-US"/>
        </w:rPr>
        <w:t>‘</w:t>
      </w:r>
      <w:r w:rsidRPr="00A51255">
        <w:rPr>
          <w:rFonts w:ascii="Arial" w:hAnsi="Arial" w:cs="Arial"/>
          <w:lang w:val="en-US"/>
        </w:rPr>
        <w:t>+20 hours</w:t>
      </w:r>
      <w:r w:rsidR="007320D6" w:rsidRPr="00A51255">
        <w:rPr>
          <w:rFonts w:ascii="Arial" w:hAnsi="Arial" w:cs="Arial"/>
          <w:lang w:val="en-US"/>
        </w:rPr>
        <w:t>’</w:t>
      </w:r>
      <w:r w:rsidRPr="00A51255">
        <w:rPr>
          <w:rFonts w:ascii="Arial" w:hAnsi="Arial" w:cs="Arial"/>
          <w:lang w:val="en-US"/>
        </w:rPr>
        <w:t xml:space="preserve">, </w:t>
      </w:r>
      <w:r w:rsidR="007320D6" w:rsidRPr="00A51255">
        <w:rPr>
          <w:rFonts w:ascii="Arial" w:hAnsi="Arial" w:cs="Arial"/>
          <w:lang w:val="en-US"/>
        </w:rPr>
        <w:t>‘</w:t>
      </w:r>
      <w:r w:rsidRPr="00A51255">
        <w:rPr>
          <w:rFonts w:ascii="Arial" w:hAnsi="Arial" w:cs="Arial"/>
          <w:lang w:val="en-US"/>
        </w:rPr>
        <w:t>+24 hours</w:t>
      </w:r>
      <w:r w:rsidR="007320D6" w:rsidRPr="00A51255">
        <w:rPr>
          <w:rFonts w:ascii="Arial" w:hAnsi="Arial" w:cs="Arial"/>
          <w:lang w:val="en-US"/>
        </w:rPr>
        <w:t>’</w:t>
      </w:r>
      <w:r w:rsidRPr="00A51255">
        <w:rPr>
          <w:rFonts w:ascii="Arial" w:hAnsi="Arial" w:cs="Arial"/>
          <w:lang w:val="en-US"/>
        </w:rPr>
        <w:t xml:space="preserve"> and</w:t>
      </w:r>
      <w:r w:rsidR="0072322C" w:rsidRPr="00A51255">
        <w:rPr>
          <w:rFonts w:ascii="Arial" w:hAnsi="Arial" w:cs="Arial"/>
          <w:lang w:val="en-US"/>
        </w:rPr>
        <w:t xml:space="preserve"> </w:t>
      </w:r>
      <w:r w:rsidR="007320D6" w:rsidRPr="00A51255">
        <w:rPr>
          <w:rFonts w:ascii="Arial" w:hAnsi="Arial" w:cs="Arial"/>
          <w:lang w:val="en-US"/>
        </w:rPr>
        <w:t>‘</w:t>
      </w:r>
      <w:r w:rsidR="0072322C" w:rsidRPr="00A51255">
        <w:rPr>
          <w:rFonts w:ascii="Arial" w:hAnsi="Arial" w:cs="Arial"/>
          <w:lang w:val="en-US"/>
        </w:rPr>
        <w:t xml:space="preserve">until the end of day </w:t>
      </w:r>
      <w:r w:rsidR="0072322C" w:rsidRPr="00A51255">
        <w:rPr>
          <w:i/>
          <w:lang w:val="en-US"/>
        </w:rPr>
        <w:t>t+1</w:t>
      </w:r>
      <w:r w:rsidR="007320D6" w:rsidRPr="00A51255">
        <w:rPr>
          <w:rFonts w:ascii="Arial" w:hAnsi="Arial" w:cs="Arial"/>
          <w:lang w:val="en-US"/>
        </w:rPr>
        <w:t>’.</w:t>
      </w:r>
    </w:p>
    <w:p w:rsidR="00517261" w:rsidRPr="00A51255" w:rsidRDefault="007320D6" w:rsidP="00517261">
      <w:pPr>
        <w:spacing w:line="480" w:lineRule="auto"/>
        <w:jc w:val="both"/>
        <w:rPr>
          <w:rFonts w:ascii="Arial" w:hAnsi="Arial" w:cs="Arial"/>
          <w:lang w:val="en-US"/>
        </w:rPr>
      </w:pPr>
      <w:r w:rsidRPr="00A51255">
        <w:rPr>
          <w:rFonts w:ascii="Arial" w:hAnsi="Arial" w:cs="Arial"/>
          <w:lang w:val="en-US"/>
        </w:rPr>
        <w:tab/>
        <w:t xml:space="preserve">The intervals </w:t>
      </w:r>
      <w:r w:rsidR="003D56AE" w:rsidRPr="00A51255">
        <w:rPr>
          <w:rFonts w:ascii="Arial" w:hAnsi="Arial" w:cs="Arial"/>
          <w:lang w:val="en-US"/>
        </w:rPr>
        <w:t xml:space="preserve">denoted as </w:t>
      </w:r>
      <w:r w:rsidRPr="00A51255">
        <w:rPr>
          <w:rFonts w:ascii="Arial" w:hAnsi="Arial" w:cs="Arial"/>
          <w:lang w:val="en-US"/>
        </w:rPr>
        <w:t xml:space="preserve">‘until the end of day </w:t>
      </w:r>
      <w:r w:rsidRPr="00A51255">
        <w:rPr>
          <w:i/>
          <w:lang w:val="en-US"/>
        </w:rPr>
        <w:t>t</w:t>
      </w:r>
      <w:r w:rsidRPr="00A51255">
        <w:rPr>
          <w:rFonts w:ascii="Arial" w:hAnsi="Arial" w:cs="Arial"/>
          <w:lang w:val="en-US"/>
        </w:rPr>
        <w:t xml:space="preserve">’ and ‘until the end of day </w:t>
      </w:r>
      <w:r w:rsidRPr="00A51255">
        <w:rPr>
          <w:i/>
          <w:lang w:val="en-US"/>
        </w:rPr>
        <w:t>t+1</w:t>
      </w:r>
      <w:r w:rsidRPr="00A51255">
        <w:rPr>
          <w:rFonts w:ascii="Arial" w:hAnsi="Arial" w:cs="Arial"/>
          <w:lang w:val="en-US"/>
        </w:rPr>
        <w:t>’</w:t>
      </w:r>
      <w:r w:rsidR="003D56AE" w:rsidRPr="00A51255">
        <w:rPr>
          <w:rFonts w:ascii="Arial" w:hAnsi="Arial" w:cs="Arial"/>
          <w:lang w:val="en-US"/>
        </w:rPr>
        <w:t xml:space="preserve"> vary</w:t>
      </w:r>
      <w:r w:rsidRPr="00A51255">
        <w:rPr>
          <w:rFonts w:ascii="Arial" w:hAnsi="Arial" w:cs="Arial"/>
          <w:lang w:val="en-US"/>
        </w:rPr>
        <w:t xml:space="preserve"> in  length because they depend on the </w:t>
      </w:r>
      <w:r w:rsidR="003D56AE" w:rsidRPr="00A51255">
        <w:rPr>
          <w:rFonts w:ascii="Arial" w:hAnsi="Arial" w:cs="Arial"/>
          <w:lang w:val="en-US"/>
        </w:rPr>
        <w:t xml:space="preserve">exact </w:t>
      </w:r>
      <w:r w:rsidRPr="00A51255">
        <w:rPr>
          <w:rFonts w:ascii="Arial" w:hAnsi="Arial" w:cs="Arial"/>
          <w:lang w:val="en-US"/>
        </w:rPr>
        <w:t>time of the last transaction in the PLN/USD market on a specific day</w:t>
      </w:r>
      <w:r w:rsidR="00517261" w:rsidRPr="00A51255">
        <w:rPr>
          <w:rFonts w:ascii="Arial" w:hAnsi="Arial" w:cs="Arial"/>
          <w:lang w:val="en-US"/>
        </w:rPr>
        <w:t>, as recorded in our database obtained from Reuters</w:t>
      </w:r>
      <w:r w:rsidRPr="00A51255">
        <w:rPr>
          <w:rFonts w:ascii="Arial" w:hAnsi="Arial" w:cs="Arial"/>
          <w:lang w:val="en-US"/>
        </w:rPr>
        <w:t xml:space="preserve">. For example, if the last transaction occurred at 9:45 PM CET, the investment horizon is 5 hours and 45 minutes. </w:t>
      </w:r>
      <w:r w:rsidR="003D56AE" w:rsidRPr="00A51255">
        <w:rPr>
          <w:rFonts w:ascii="Arial" w:hAnsi="Arial" w:cs="Arial"/>
          <w:lang w:val="en-US"/>
        </w:rPr>
        <w:t xml:space="preserve">Obviously, in the foreign exchange market the transactions </w:t>
      </w:r>
      <w:r w:rsidR="00421DCE" w:rsidRPr="00A51255">
        <w:rPr>
          <w:rFonts w:ascii="Arial" w:hAnsi="Arial" w:cs="Arial"/>
          <w:lang w:val="en-US"/>
        </w:rPr>
        <w:t xml:space="preserve">may be executed </w:t>
      </w:r>
      <w:r w:rsidR="00EC62DE" w:rsidRPr="00A51255">
        <w:rPr>
          <w:rFonts w:ascii="Arial" w:hAnsi="Arial" w:cs="Arial"/>
          <w:lang w:val="en-US"/>
        </w:rPr>
        <w:t xml:space="preserve">at </w:t>
      </w:r>
      <w:r w:rsidR="00421DCE" w:rsidRPr="00A51255">
        <w:rPr>
          <w:rFonts w:ascii="Arial" w:hAnsi="Arial" w:cs="Arial"/>
          <w:lang w:val="en-US"/>
        </w:rPr>
        <w:t xml:space="preserve">any time and, </w:t>
      </w:r>
      <w:r w:rsidR="005D5139">
        <w:rPr>
          <w:rFonts w:ascii="Arial" w:hAnsi="Arial" w:cs="Arial"/>
          <w:lang w:val="en-US"/>
        </w:rPr>
        <w:t>thus</w:t>
      </w:r>
      <w:r w:rsidR="00421DCE" w:rsidRPr="00A51255">
        <w:rPr>
          <w:rFonts w:ascii="Arial" w:hAnsi="Arial" w:cs="Arial"/>
          <w:lang w:val="en-US"/>
        </w:rPr>
        <w:t xml:space="preserve">, those times will </w:t>
      </w:r>
      <w:r w:rsidR="00EC62DE" w:rsidRPr="00A51255">
        <w:rPr>
          <w:rFonts w:ascii="Arial" w:hAnsi="Arial" w:cs="Arial"/>
          <w:lang w:val="en-US"/>
        </w:rPr>
        <w:t xml:space="preserve">be </w:t>
      </w:r>
      <w:r w:rsidR="00421DCE" w:rsidRPr="00A51255">
        <w:rPr>
          <w:rFonts w:ascii="Arial" w:hAnsi="Arial" w:cs="Arial"/>
          <w:lang w:val="en-US"/>
        </w:rPr>
        <w:t xml:space="preserve">naturally different every day. </w:t>
      </w:r>
      <w:r w:rsidRPr="00A51255">
        <w:rPr>
          <w:rFonts w:ascii="Arial" w:hAnsi="Arial" w:cs="Arial"/>
          <w:lang w:val="en-US"/>
        </w:rPr>
        <w:t xml:space="preserve">Other intervals are fixed in their length, e.g. in the interval </w:t>
      </w:r>
      <w:r w:rsidR="00EC62DE" w:rsidRPr="00A51255">
        <w:rPr>
          <w:rFonts w:ascii="Arial" w:hAnsi="Arial" w:cs="Arial"/>
          <w:lang w:val="en-US"/>
        </w:rPr>
        <w:t xml:space="preserve">denoted as </w:t>
      </w:r>
      <w:r w:rsidRPr="00A51255">
        <w:rPr>
          <w:rFonts w:ascii="Arial" w:hAnsi="Arial" w:cs="Arial"/>
          <w:lang w:val="en-US"/>
        </w:rPr>
        <w:t>‘+24 hours’ the profits or losses from the strategy are measured always between 4:00 P</w:t>
      </w:r>
      <w:r w:rsidR="006774E9" w:rsidRPr="00A51255">
        <w:rPr>
          <w:rFonts w:ascii="Arial" w:hAnsi="Arial" w:cs="Arial"/>
          <w:lang w:val="en-US"/>
        </w:rPr>
        <w:t>M on the announcement days and</w:t>
      </w:r>
      <w:r w:rsidRPr="00A51255">
        <w:rPr>
          <w:rFonts w:ascii="Arial" w:hAnsi="Arial" w:cs="Arial"/>
          <w:lang w:val="en-US"/>
        </w:rPr>
        <w:t xml:space="preserve"> 4:00 PM on the following day.</w:t>
      </w:r>
    </w:p>
    <w:p w:rsidR="0072322C" w:rsidRPr="00A51255" w:rsidRDefault="00EC62DE" w:rsidP="005450B3">
      <w:pPr>
        <w:spacing w:line="480" w:lineRule="auto"/>
        <w:ind w:firstLine="708"/>
        <w:jc w:val="both"/>
        <w:rPr>
          <w:rFonts w:ascii="Arial" w:hAnsi="Arial" w:cs="Arial"/>
          <w:lang w:val="en-US"/>
        </w:rPr>
      </w:pPr>
      <w:r w:rsidRPr="00A51255">
        <w:rPr>
          <w:rFonts w:ascii="Arial" w:hAnsi="Arial" w:cs="Arial"/>
          <w:lang w:val="en-US"/>
        </w:rPr>
        <w:t xml:space="preserve">In </w:t>
      </w:r>
      <w:r w:rsidR="00517261" w:rsidRPr="00A51255">
        <w:rPr>
          <w:rFonts w:ascii="Arial" w:hAnsi="Arial" w:cs="Arial"/>
          <w:lang w:val="en-US"/>
        </w:rPr>
        <w:t>Panel B</w:t>
      </w:r>
      <w:r w:rsidR="00DB5E86">
        <w:rPr>
          <w:rFonts w:ascii="Arial" w:hAnsi="Arial" w:cs="Arial"/>
          <w:lang w:val="en-US"/>
        </w:rPr>
        <w:t>,</w:t>
      </w:r>
      <w:r w:rsidR="00517261" w:rsidRPr="00A51255">
        <w:rPr>
          <w:rFonts w:ascii="Arial" w:hAnsi="Arial" w:cs="Arial"/>
          <w:lang w:val="en-US"/>
        </w:rPr>
        <w:t xml:space="preserve"> the trading horizons are the intervals of time between </w:t>
      </w:r>
      <w:r w:rsidR="005D5139">
        <w:rPr>
          <w:rFonts w:ascii="Arial" w:hAnsi="Arial" w:cs="Arial"/>
          <w:lang w:val="en-US"/>
        </w:rPr>
        <w:t xml:space="preserve">the </w:t>
      </w:r>
      <w:r w:rsidR="00517261" w:rsidRPr="00A51255">
        <w:rPr>
          <w:rFonts w:ascii="Arial" w:hAnsi="Arial" w:cs="Arial"/>
          <w:lang w:val="en-US"/>
        </w:rPr>
        <w:t xml:space="preserve">first trade on day </w:t>
      </w:r>
      <w:r w:rsidR="00517261" w:rsidRPr="00A51255">
        <w:rPr>
          <w:i/>
          <w:lang w:val="en-US"/>
        </w:rPr>
        <w:t>t+1</w:t>
      </w:r>
      <w:r w:rsidR="005450B3" w:rsidRPr="00A51255">
        <w:rPr>
          <w:rFonts w:ascii="Arial" w:hAnsi="Arial" w:cs="Arial"/>
          <w:lang w:val="en-US"/>
        </w:rPr>
        <w:t xml:space="preserve">, as recorded in Reuters database, </w:t>
      </w:r>
      <w:r w:rsidR="00517261" w:rsidRPr="00A51255">
        <w:rPr>
          <w:rFonts w:ascii="Arial" w:hAnsi="Arial" w:cs="Arial"/>
          <w:lang w:val="en-US"/>
        </w:rPr>
        <w:t xml:space="preserve">and the following points of time denoted as: </w:t>
      </w:r>
      <w:r w:rsidR="005450B3" w:rsidRPr="00A51255">
        <w:rPr>
          <w:rFonts w:ascii="Arial" w:hAnsi="Arial" w:cs="Arial"/>
          <w:lang w:val="en-US"/>
        </w:rPr>
        <w:t>‘</w:t>
      </w:r>
      <w:r w:rsidR="003B659A" w:rsidRPr="00A51255">
        <w:rPr>
          <w:rFonts w:ascii="Arial" w:hAnsi="Arial" w:cs="Arial"/>
          <w:lang w:val="en-US"/>
        </w:rPr>
        <w:t xml:space="preserve">until </w:t>
      </w:r>
      <w:r w:rsidR="003B659A" w:rsidRPr="00A51255">
        <w:rPr>
          <w:rFonts w:ascii="Arial" w:hAnsi="Arial" w:cs="Arial"/>
          <w:lang w:val="en-US"/>
        </w:rPr>
        <w:lastRenderedPageBreak/>
        <w:t>10:00 AM</w:t>
      </w:r>
      <w:r w:rsidR="005450B3" w:rsidRPr="00A51255">
        <w:rPr>
          <w:rFonts w:ascii="Arial" w:hAnsi="Arial" w:cs="Arial"/>
          <w:lang w:val="en-US"/>
        </w:rPr>
        <w:t>’</w:t>
      </w:r>
      <w:r w:rsidR="003B659A" w:rsidRPr="00A51255">
        <w:rPr>
          <w:rFonts w:ascii="Arial" w:hAnsi="Arial" w:cs="Arial"/>
          <w:lang w:val="en-US"/>
        </w:rPr>
        <w:t xml:space="preserve">, </w:t>
      </w:r>
      <w:r w:rsidR="005450B3" w:rsidRPr="00A51255">
        <w:rPr>
          <w:rFonts w:ascii="Arial" w:hAnsi="Arial" w:cs="Arial"/>
          <w:lang w:val="en-US"/>
        </w:rPr>
        <w:t>‘</w:t>
      </w:r>
      <w:r w:rsidR="003B659A" w:rsidRPr="00A51255">
        <w:rPr>
          <w:rFonts w:ascii="Arial" w:hAnsi="Arial" w:cs="Arial"/>
          <w:lang w:val="en-US"/>
        </w:rPr>
        <w:t>10:00 AM +3h</w:t>
      </w:r>
      <w:r w:rsidR="005450B3" w:rsidRPr="00A51255">
        <w:rPr>
          <w:rFonts w:ascii="Arial" w:hAnsi="Arial" w:cs="Arial"/>
          <w:lang w:val="en-US"/>
        </w:rPr>
        <w:t>’</w:t>
      </w:r>
      <w:r w:rsidR="003B659A" w:rsidRPr="00A51255">
        <w:rPr>
          <w:rFonts w:ascii="Arial" w:hAnsi="Arial" w:cs="Arial"/>
          <w:lang w:val="en-US"/>
        </w:rPr>
        <w:t xml:space="preserve">, </w:t>
      </w:r>
      <w:r w:rsidR="005450B3" w:rsidRPr="00A51255">
        <w:rPr>
          <w:rFonts w:ascii="Arial" w:hAnsi="Arial" w:cs="Arial"/>
          <w:lang w:val="en-US"/>
        </w:rPr>
        <w:t>‘</w:t>
      </w:r>
      <w:r w:rsidR="003B659A" w:rsidRPr="00A51255">
        <w:rPr>
          <w:rFonts w:ascii="Arial" w:hAnsi="Arial" w:cs="Arial"/>
          <w:lang w:val="en-US"/>
        </w:rPr>
        <w:t>10:00 AM +6h</w:t>
      </w:r>
      <w:r w:rsidR="005450B3" w:rsidRPr="00A51255">
        <w:rPr>
          <w:rFonts w:ascii="Arial" w:hAnsi="Arial" w:cs="Arial"/>
          <w:lang w:val="en-US"/>
        </w:rPr>
        <w:t>’</w:t>
      </w:r>
      <w:r w:rsidR="003B659A" w:rsidRPr="00A51255">
        <w:rPr>
          <w:rFonts w:ascii="Arial" w:hAnsi="Arial" w:cs="Arial"/>
          <w:lang w:val="en-US"/>
        </w:rPr>
        <w:t xml:space="preserve">, </w:t>
      </w:r>
      <w:r w:rsidR="005450B3" w:rsidRPr="00A51255">
        <w:rPr>
          <w:rFonts w:ascii="Arial" w:hAnsi="Arial" w:cs="Arial"/>
          <w:lang w:val="en-US"/>
        </w:rPr>
        <w:t>‘</w:t>
      </w:r>
      <w:r w:rsidR="003B659A" w:rsidRPr="00A51255">
        <w:rPr>
          <w:rFonts w:ascii="Arial" w:hAnsi="Arial" w:cs="Arial"/>
          <w:lang w:val="en-US"/>
        </w:rPr>
        <w:t>10:00 AM +9h</w:t>
      </w:r>
      <w:r w:rsidR="005450B3" w:rsidRPr="00A51255">
        <w:rPr>
          <w:rFonts w:ascii="Arial" w:hAnsi="Arial" w:cs="Arial"/>
          <w:lang w:val="en-US"/>
        </w:rPr>
        <w:t>’</w:t>
      </w:r>
      <w:r w:rsidR="003B659A" w:rsidRPr="00A51255">
        <w:rPr>
          <w:rFonts w:ascii="Arial" w:hAnsi="Arial" w:cs="Arial"/>
          <w:lang w:val="en-US"/>
        </w:rPr>
        <w:t xml:space="preserve">, </w:t>
      </w:r>
      <w:r w:rsidR="005450B3" w:rsidRPr="00A51255">
        <w:rPr>
          <w:rFonts w:ascii="Arial" w:hAnsi="Arial" w:cs="Arial"/>
          <w:lang w:val="en-US"/>
        </w:rPr>
        <w:t>‘</w:t>
      </w:r>
      <w:r w:rsidR="003B659A" w:rsidRPr="00A51255">
        <w:rPr>
          <w:rFonts w:ascii="Arial" w:hAnsi="Arial" w:cs="Arial"/>
          <w:lang w:val="en-US"/>
        </w:rPr>
        <w:t xml:space="preserve">until the end of day </w:t>
      </w:r>
      <w:r w:rsidR="003B659A" w:rsidRPr="00A51255">
        <w:rPr>
          <w:i/>
          <w:lang w:val="en-US"/>
        </w:rPr>
        <w:t>t+1</w:t>
      </w:r>
      <w:r w:rsidR="005450B3" w:rsidRPr="00A51255">
        <w:rPr>
          <w:rFonts w:ascii="Arial" w:hAnsi="Arial" w:cs="Arial"/>
          <w:lang w:val="en-US"/>
        </w:rPr>
        <w:t xml:space="preserve">’. In this case, all intervals vary in length because they </w:t>
      </w:r>
      <w:r w:rsidR="002B4718" w:rsidRPr="00A51255">
        <w:rPr>
          <w:rFonts w:ascii="Arial" w:hAnsi="Arial" w:cs="Arial"/>
          <w:lang w:val="en-US"/>
        </w:rPr>
        <w:t xml:space="preserve">now </w:t>
      </w:r>
      <w:r w:rsidR="005450B3" w:rsidRPr="00A51255">
        <w:rPr>
          <w:rFonts w:ascii="Arial" w:hAnsi="Arial" w:cs="Arial"/>
          <w:lang w:val="en-US"/>
        </w:rPr>
        <w:t xml:space="preserve">depend on the exact time of the first and last transactions in the PLN/USD market on a specific day, as reported by Reuters. For example, if </w:t>
      </w:r>
      <w:r w:rsidR="00B117C7" w:rsidRPr="00A51255">
        <w:rPr>
          <w:rFonts w:ascii="Arial" w:hAnsi="Arial" w:cs="Arial"/>
          <w:lang w:val="en-US"/>
        </w:rPr>
        <w:t xml:space="preserve">on a particular day </w:t>
      </w:r>
      <w:r w:rsidR="005450B3" w:rsidRPr="00A51255">
        <w:rPr>
          <w:rFonts w:ascii="Arial" w:hAnsi="Arial" w:cs="Arial"/>
          <w:lang w:val="en-US"/>
        </w:rPr>
        <w:t>the first trade was made at 6:35 AM and the last one at 10:5</w:t>
      </w:r>
      <w:r w:rsidR="00F0492E" w:rsidRPr="00A51255">
        <w:rPr>
          <w:rFonts w:ascii="Arial" w:hAnsi="Arial" w:cs="Arial"/>
          <w:lang w:val="en-US"/>
        </w:rPr>
        <w:t>8</w:t>
      </w:r>
      <w:r w:rsidR="005450B3" w:rsidRPr="00A51255">
        <w:rPr>
          <w:rFonts w:ascii="Arial" w:hAnsi="Arial" w:cs="Arial"/>
          <w:lang w:val="en-US"/>
        </w:rPr>
        <w:t xml:space="preserve"> PM, the investment horizon used in our</w:t>
      </w:r>
      <w:r w:rsidR="00F0492E" w:rsidRPr="00A51255">
        <w:rPr>
          <w:rFonts w:ascii="Arial" w:hAnsi="Arial" w:cs="Arial"/>
          <w:lang w:val="en-US"/>
        </w:rPr>
        <w:t xml:space="preserve"> calculations is 16 hours and 23</w:t>
      </w:r>
      <w:r w:rsidR="005450B3" w:rsidRPr="00A51255">
        <w:rPr>
          <w:rFonts w:ascii="Arial" w:hAnsi="Arial" w:cs="Arial"/>
          <w:lang w:val="en-US"/>
        </w:rPr>
        <w:t xml:space="preserve"> minutes.</w:t>
      </w:r>
    </w:p>
    <w:p w:rsidR="007F0A0D" w:rsidRPr="00A51255" w:rsidRDefault="00C1009C" w:rsidP="00C853D9">
      <w:pPr>
        <w:spacing w:line="480" w:lineRule="auto"/>
        <w:ind w:firstLine="708"/>
        <w:jc w:val="both"/>
        <w:rPr>
          <w:rFonts w:ascii="Arial" w:hAnsi="Arial" w:cs="Arial"/>
          <w:lang w:val="en-US"/>
        </w:rPr>
      </w:pPr>
      <w:r w:rsidRPr="00A51255">
        <w:rPr>
          <w:rFonts w:ascii="Arial" w:hAnsi="Arial" w:cs="Arial"/>
          <w:lang w:val="en-US"/>
        </w:rPr>
        <w:t>In th</w:t>
      </w:r>
      <w:r w:rsidR="00A02F4E" w:rsidRPr="00A51255">
        <w:rPr>
          <w:rFonts w:ascii="Arial" w:hAnsi="Arial" w:cs="Arial"/>
          <w:lang w:val="en-US"/>
        </w:rPr>
        <w:t>e</w:t>
      </w:r>
      <w:r w:rsidR="005450B3" w:rsidRPr="00A51255">
        <w:rPr>
          <w:rFonts w:ascii="Arial" w:hAnsi="Arial" w:cs="Arial"/>
          <w:lang w:val="en-US"/>
        </w:rPr>
        <w:t xml:space="preserve"> </w:t>
      </w:r>
      <w:r w:rsidRPr="00A51255">
        <w:rPr>
          <w:rFonts w:ascii="Arial" w:hAnsi="Arial" w:cs="Arial"/>
          <w:lang w:val="en-US"/>
        </w:rPr>
        <w:t xml:space="preserve">simulation </w:t>
      </w:r>
      <w:r w:rsidR="00A02F4E" w:rsidRPr="00A51255">
        <w:rPr>
          <w:rFonts w:ascii="Arial" w:hAnsi="Arial" w:cs="Arial"/>
          <w:lang w:val="en-US"/>
        </w:rPr>
        <w:t>of our</w:t>
      </w:r>
      <w:r w:rsidR="005450B3" w:rsidRPr="00A51255">
        <w:rPr>
          <w:rFonts w:ascii="Arial" w:hAnsi="Arial" w:cs="Arial"/>
          <w:lang w:val="en-US"/>
        </w:rPr>
        <w:t xml:space="preserve"> investment strategy </w:t>
      </w:r>
      <w:r w:rsidRPr="00A51255">
        <w:rPr>
          <w:rFonts w:ascii="Arial" w:hAnsi="Arial" w:cs="Arial"/>
          <w:lang w:val="en-US"/>
        </w:rPr>
        <w:t xml:space="preserve">we </w:t>
      </w:r>
      <w:r w:rsidR="00D80700" w:rsidRPr="00A51255">
        <w:rPr>
          <w:rFonts w:ascii="Arial" w:hAnsi="Arial" w:cs="Arial"/>
          <w:lang w:val="en-US"/>
        </w:rPr>
        <w:t>assumed that t</w:t>
      </w:r>
      <w:r w:rsidR="008008B4" w:rsidRPr="00A51255">
        <w:rPr>
          <w:rFonts w:ascii="Arial" w:hAnsi="Arial" w:cs="Arial"/>
          <w:lang w:val="en-US"/>
        </w:rPr>
        <w:t xml:space="preserve">hose </w:t>
      </w:r>
      <w:r w:rsidR="005450B3" w:rsidRPr="00A51255">
        <w:rPr>
          <w:rFonts w:ascii="Arial" w:hAnsi="Arial" w:cs="Arial"/>
          <w:lang w:val="en-US"/>
        </w:rPr>
        <w:t xml:space="preserve">trades </w:t>
      </w:r>
      <w:r w:rsidR="004A1835" w:rsidRPr="00A51255">
        <w:rPr>
          <w:rFonts w:ascii="Arial" w:hAnsi="Arial" w:cs="Arial"/>
          <w:lang w:val="en-US"/>
        </w:rPr>
        <w:t xml:space="preserve">that are </w:t>
      </w:r>
      <w:r w:rsidR="00D80700" w:rsidRPr="00A51255">
        <w:rPr>
          <w:rFonts w:ascii="Arial" w:hAnsi="Arial" w:cs="Arial"/>
          <w:lang w:val="en-US"/>
        </w:rPr>
        <w:t xml:space="preserve">based on </w:t>
      </w:r>
      <w:r w:rsidR="0057377C" w:rsidRPr="00A51255">
        <w:rPr>
          <w:rFonts w:ascii="Arial" w:hAnsi="Arial" w:cs="Arial"/>
          <w:lang w:val="en-US"/>
        </w:rPr>
        <w:t xml:space="preserve">the </w:t>
      </w:r>
      <w:r w:rsidR="008008B4" w:rsidRPr="00A51255">
        <w:rPr>
          <w:rFonts w:ascii="Arial" w:hAnsi="Arial" w:cs="Arial"/>
          <w:lang w:val="en-US"/>
        </w:rPr>
        <w:t xml:space="preserve">NBP </w:t>
      </w:r>
      <w:r w:rsidR="0057377C" w:rsidRPr="00A51255">
        <w:rPr>
          <w:rFonts w:ascii="Arial" w:hAnsi="Arial" w:cs="Arial"/>
          <w:lang w:val="en-US"/>
        </w:rPr>
        <w:t>announcement</w:t>
      </w:r>
      <w:r w:rsidR="004A1835" w:rsidRPr="00A51255">
        <w:rPr>
          <w:rFonts w:ascii="Arial" w:hAnsi="Arial" w:cs="Arial"/>
          <w:lang w:val="en-US"/>
        </w:rPr>
        <w:t>s</w:t>
      </w:r>
      <w:r w:rsidR="0057377C" w:rsidRPr="00A51255">
        <w:rPr>
          <w:rFonts w:ascii="Arial" w:hAnsi="Arial" w:cs="Arial"/>
          <w:lang w:val="en-US"/>
        </w:rPr>
        <w:t xml:space="preserve"> </w:t>
      </w:r>
      <w:r w:rsidR="004A1835" w:rsidRPr="00A51255">
        <w:rPr>
          <w:rFonts w:ascii="Arial" w:hAnsi="Arial" w:cs="Arial"/>
          <w:lang w:val="en-US"/>
        </w:rPr>
        <w:t>that were</w:t>
      </w:r>
      <w:r w:rsidR="00D80700" w:rsidRPr="00A51255">
        <w:rPr>
          <w:rFonts w:ascii="Arial" w:hAnsi="Arial" w:cs="Arial"/>
          <w:lang w:val="en-US"/>
        </w:rPr>
        <w:t xml:space="preserve"> </w:t>
      </w:r>
      <w:r w:rsidR="0057377C" w:rsidRPr="00A51255">
        <w:rPr>
          <w:rFonts w:ascii="Arial" w:hAnsi="Arial" w:cs="Arial"/>
          <w:lang w:val="en-US"/>
        </w:rPr>
        <w:t>ma</w:t>
      </w:r>
      <w:r w:rsidR="008008B4" w:rsidRPr="00A51255">
        <w:rPr>
          <w:rFonts w:ascii="Arial" w:hAnsi="Arial" w:cs="Arial"/>
          <w:lang w:val="en-US"/>
        </w:rPr>
        <w:t xml:space="preserve">de </w:t>
      </w:r>
      <w:r w:rsidR="005D5139">
        <w:rPr>
          <w:rFonts w:ascii="Arial" w:hAnsi="Arial" w:cs="Arial"/>
          <w:lang w:val="en-US"/>
        </w:rPr>
        <w:t>just</w:t>
      </w:r>
      <w:r w:rsidR="008008B4" w:rsidRPr="00A51255">
        <w:rPr>
          <w:rFonts w:ascii="Arial" w:hAnsi="Arial" w:cs="Arial"/>
          <w:lang w:val="en-US"/>
        </w:rPr>
        <w:t xml:space="preserve"> before the weekend, i.e</w:t>
      </w:r>
      <w:r w:rsidR="0057377C" w:rsidRPr="00A51255">
        <w:rPr>
          <w:rFonts w:ascii="Arial" w:hAnsi="Arial" w:cs="Arial"/>
          <w:lang w:val="en-US"/>
        </w:rPr>
        <w:t xml:space="preserve">. on Friday at 4:00 PM, </w:t>
      </w:r>
      <w:r w:rsidR="00D80700" w:rsidRPr="00A51255">
        <w:rPr>
          <w:rFonts w:ascii="Arial" w:hAnsi="Arial" w:cs="Arial"/>
          <w:lang w:val="en-US"/>
        </w:rPr>
        <w:t xml:space="preserve">have the investment horizon only until the end of that day </w:t>
      </w:r>
      <w:r w:rsidR="0057377C" w:rsidRPr="00A51255">
        <w:rPr>
          <w:rFonts w:ascii="Arial" w:hAnsi="Arial" w:cs="Arial"/>
          <w:lang w:val="en-US"/>
        </w:rPr>
        <w:t xml:space="preserve">since it is very unlikely that </w:t>
      </w:r>
      <w:r w:rsidR="008008B4" w:rsidRPr="00A51255">
        <w:rPr>
          <w:rFonts w:ascii="Arial" w:hAnsi="Arial" w:cs="Arial"/>
          <w:lang w:val="en-US"/>
        </w:rPr>
        <w:t xml:space="preserve">currency </w:t>
      </w:r>
      <w:r w:rsidR="005450B3" w:rsidRPr="00A51255">
        <w:rPr>
          <w:rFonts w:ascii="Arial" w:hAnsi="Arial" w:cs="Arial"/>
          <w:lang w:val="en-US"/>
        </w:rPr>
        <w:t xml:space="preserve">market </w:t>
      </w:r>
      <w:r w:rsidR="0057377C" w:rsidRPr="00A51255">
        <w:rPr>
          <w:rFonts w:ascii="Arial" w:hAnsi="Arial" w:cs="Arial"/>
          <w:lang w:val="en-US"/>
        </w:rPr>
        <w:t xml:space="preserve">traders will </w:t>
      </w:r>
      <w:r w:rsidR="00D80700" w:rsidRPr="00A51255">
        <w:rPr>
          <w:rFonts w:ascii="Arial" w:hAnsi="Arial" w:cs="Arial"/>
          <w:lang w:val="en-US"/>
        </w:rPr>
        <w:t xml:space="preserve">keep their positions </w:t>
      </w:r>
      <w:r w:rsidR="0057377C" w:rsidRPr="00A51255">
        <w:rPr>
          <w:rFonts w:ascii="Arial" w:hAnsi="Arial" w:cs="Arial"/>
          <w:lang w:val="en-US"/>
        </w:rPr>
        <w:t xml:space="preserve">open in the FX market </w:t>
      </w:r>
      <w:r w:rsidR="00D80700" w:rsidRPr="00A51255">
        <w:rPr>
          <w:rFonts w:ascii="Arial" w:hAnsi="Arial" w:cs="Arial"/>
          <w:lang w:val="en-US"/>
        </w:rPr>
        <w:t xml:space="preserve">over the </w:t>
      </w:r>
      <w:r w:rsidR="0057377C" w:rsidRPr="00A51255">
        <w:rPr>
          <w:rFonts w:ascii="Arial" w:hAnsi="Arial" w:cs="Arial"/>
          <w:lang w:val="en-US"/>
        </w:rPr>
        <w:t xml:space="preserve">weekend and </w:t>
      </w:r>
      <w:r w:rsidR="008008B4" w:rsidRPr="00A51255">
        <w:rPr>
          <w:rFonts w:ascii="Arial" w:hAnsi="Arial" w:cs="Arial"/>
          <w:lang w:val="en-US"/>
        </w:rPr>
        <w:t xml:space="preserve">will want to </w:t>
      </w:r>
      <w:r w:rsidR="0057377C" w:rsidRPr="00A51255">
        <w:rPr>
          <w:rFonts w:ascii="Arial" w:hAnsi="Arial" w:cs="Arial"/>
          <w:lang w:val="en-US"/>
        </w:rPr>
        <w:t>expose their investment</w:t>
      </w:r>
      <w:r w:rsidR="00D80700" w:rsidRPr="00A51255">
        <w:rPr>
          <w:rFonts w:ascii="Arial" w:hAnsi="Arial" w:cs="Arial"/>
          <w:lang w:val="en-US"/>
        </w:rPr>
        <w:t>s</w:t>
      </w:r>
      <w:r w:rsidR="0057377C" w:rsidRPr="00A51255">
        <w:rPr>
          <w:rFonts w:ascii="Arial" w:hAnsi="Arial" w:cs="Arial"/>
          <w:lang w:val="en-US"/>
        </w:rPr>
        <w:t xml:space="preserve"> to a variety of risks, which are related to this non-trading </w:t>
      </w:r>
      <w:r w:rsidR="0023094F" w:rsidRPr="00A51255">
        <w:rPr>
          <w:rFonts w:ascii="Arial" w:hAnsi="Arial" w:cs="Arial"/>
          <w:lang w:val="en-US"/>
        </w:rPr>
        <w:t xml:space="preserve">(weekend) </w:t>
      </w:r>
      <w:r w:rsidR="0057377C" w:rsidRPr="00A51255">
        <w:rPr>
          <w:rFonts w:ascii="Arial" w:hAnsi="Arial" w:cs="Arial"/>
          <w:lang w:val="en-US"/>
        </w:rPr>
        <w:t>period.</w:t>
      </w:r>
      <w:r w:rsidR="00B37517" w:rsidRPr="00A51255">
        <w:rPr>
          <w:rFonts w:ascii="Arial" w:hAnsi="Arial" w:cs="Arial"/>
          <w:lang w:val="en-US"/>
        </w:rPr>
        <w:t xml:space="preserve"> </w:t>
      </w:r>
      <w:r w:rsidR="007F0A0D" w:rsidRPr="00A51255">
        <w:rPr>
          <w:rFonts w:ascii="Arial" w:hAnsi="Arial" w:cs="Arial"/>
          <w:lang w:val="en-US"/>
        </w:rPr>
        <w:t>Therefore, in the simulation of trades based on the dummies which were statistically significant on day</w:t>
      </w:r>
      <w:r w:rsidR="007F0A0D" w:rsidRPr="00A51255">
        <w:rPr>
          <w:lang w:val="en-US"/>
        </w:rPr>
        <w:t xml:space="preserve"> </w:t>
      </w:r>
      <w:r w:rsidR="007F0A0D" w:rsidRPr="00A51255">
        <w:rPr>
          <w:i/>
          <w:lang w:val="en-US"/>
        </w:rPr>
        <w:t>t</w:t>
      </w:r>
      <w:r w:rsidR="007F0A0D" w:rsidRPr="00A51255">
        <w:rPr>
          <w:rFonts w:ascii="Arial" w:hAnsi="Arial" w:cs="Arial"/>
          <w:lang w:val="en-US"/>
        </w:rPr>
        <w:t xml:space="preserve"> </w:t>
      </w:r>
      <w:r w:rsidR="00D80700" w:rsidRPr="00A51255">
        <w:rPr>
          <w:rFonts w:ascii="Arial" w:hAnsi="Arial" w:cs="Arial"/>
          <w:lang w:val="en-US"/>
        </w:rPr>
        <w:t xml:space="preserve">and when the NBP announcement was made on Friday </w:t>
      </w:r>
      <w:r w:rsidR="007F0A0D" w:rsidRPr="00A51255">
        <w:rPr>
          <w:rFonts w:ascii="Arial" w:hAnsi="Arial" w:cs="Arial"/>
          <w:lang w:val="en-US"/>
        </w:rPr>
        <w:t xml:space="preserve">the longest </w:t>
      </w:r>
      <w:r w:rsidR="00D80700" w:rsidRPr="00A51255">
        <w:rPr>
          <w:rFonts w:ascii="Arial" w:hAnsi="Arial" w:cs="Arial"/>
          <w:lang w:val="en-US"/>
        </w:rPr>
        <w:t xml:space="preserve">trading </w:t>
      </w:r>
      <w:r w:rsidR="007F0A0D" w:rsidRPr="00A51255">
        <w:rPr>
          <w:rFonts w:ascii="Arial" w:hAnsi="Arial" w:cs="Arial"/>
          <w:lang w:val="en-US"/>
        </w:rPr>
        <w:t xml:space="preserve">horizon is </w:t>
      </w:r>
      <w:r w:rsidR="00D80700" w:rsidRPr="00A51255">
        <w:rPr>
          <w:rFonts w:ascii="Arial" w:hAnsi="Arial" w:cs="Arial"/>
          <w:lang w:val="en-US"/>
        </w:rPr>
        <w:t xml:space="preserve">the </w:t>
      </w:r>
      <w:r w:rsidR="007F0A0D" w:rsidRPr="00A51255">
        <w:rPr>
          <w:rFonts w:ascii="Arial" w:hAnsi="Arial" w:cs="Arial"/>
          <w:lang w:val="en-US"/>
        </w:rPr>
        <w:t xml:space="preserve">end of day </w:t>
      </w:r>
      <w:r w:rsidR="007F0A0D" w:rsidRPr="00A51255">
        <w:rPr>
          <w:i/>
          <w:lang w:val="en-US"/>
        </w:rPr>
        <w:t>t</w:t>
      </w:r>
      <w:r w:rsidR="00C56866" w:rsidRPr="00A51255">
        <w:rPr>
          <w:rFonts w:ascii="Arial" w:hAnsi="Arial" w:cs="Arial"/>
          <w:lang w:val="en-US"/>
        </w:rPr>
        <w:t xml:space="preserve"> (i.e. last trade on Friday).</w:t>
      </w:r>
      <w:r w:rsidR="007F0A0D" w:rsidRPr="00A51255">
        <w:rPr>
          <w:rFonts w:ascii="Arial" w:hAnsi="Arial" w:cs="Arial"/>
          <w:lang w:val="en-US"/>
        </w:rPr>
        <w:t xml:space="preserve"> Otherwise, the longest investment horizon is end of day </w:t>
      </w:r>
      <w:r w:rsidR="007F0A0D" w:rsidRPr="00A51255">
        <w:rPr>
          <w:i/>
          <w:lang w:val="en-US"/>
        </w:rPr>
        <w:t>t+1</w:t>
      </w:r>
      <w:r w:rsidR="007F0A0D" w:rsidRPr="00A51255">
        <w:rPr>
          <w:rFonts w:ascii="Arial" w:hAnsi="Arial" w:cs="Arial"/>
          <w:lang w:val="en-US"/>
        </w:rPr>
        <w:t>.</w:t>
      </w:r>
    </w:p>
    <w:p w:rsidR="007F0A0D" w:rsidRPr="00A51255" w:rsidRDefault="007F0A0D" w:rsidP="00C853D9">
      <w:pPr>
        <w:spacing w:line="480" w:lineRule="auto"/>
        <w:ind w:firstLine="708"/>
        <w:jc w:val="both"/>
        <w:rPr>
          <w:rFonts w:ascii="Arial" w:hAnsi="Arial" w:cs="Arial"/>
          <w:lang w:val="en-US"/>
        </w:rPr>
      </w:pPr>
      <w:r w:rsidRPr="00A51255">
        <w:rPr>
          <w:rFonts w:ascii="Arial" w:hAnsi="Arial" w:cs="Arial"/>
          <w:lang w:val="en-US"/>
        </w:rPr>
        <w:t xml:space="preserve">For the dummies significant on day </w:t>
      </w:r>
      <w:r w:rsidRPr="00A51255">
        <w:rPr>
          <w:i/>
          <w:lang w:val="en-US"/>
        </w:rPr>
        <w:t>t+1</w:t>
      </w:r>
      <w:r w:rsidRPr="00A51255">
        <w:rPr>
          <w:rFonts w:ascii="Arial" w:hAnsi="Arial" w:cs="Arial"/>
          <w:lang w:val="en-US"/>
        </w:rPr>
        <w:t>, we also</w:t>
      </w:r>
      <w:r w:rsidR="00AE20AB" w:rsidRPr="00A51255">
        <w:rPr>
          <w:rFonts w:ascii="Arial" w:hAnsi="Arial" w:cs="Arial"/>
          <w:lang w:val="en-US"/>
        </w:rPr>
        <w:t xml:space="preserve"> assume</w:t>
      </w:r>
      <w:r w:rsidRPr="00A51255">
        <w:rPr>
          <w:rFonts w:ascii="Arial" w:hAnsi="Arial" w:cs="Arial"/>
          <w:lang w:val="en-US"/>
        </w:rPr>
        <w:t xml:space="preserve"> the </w:t>
      </w:r>
      <w:r w:rsidR="00AE20AB" w:rsidRPr="00A51255">
        <w:rPr>
          <w:rFonts w:ascii="Arial" w:hAnsi="Arial" w:cs="Arial"/>
          <w:lang w:val="en-US"/>
        </w:rPr>
        <w:t>l</w:t>
      </w:r>
      <w:r w:rsidR="008B544F" w:rsidRPr="00A51255">
        <w:rPr>
          <w:rFonts w:ascii="Arial" w:hAnsi="Arial" w:cs="Arial"/>
          <w:lang w:val="en-US"/>
        </w:rPr>
        <w:t>on</w:t>
      </w:r>
      <w:r w:rsidR="001778E7" w:rsidRPr="00A51255">
        <w:rPr>
          <w:rFonts w:ascii="Arial" w:hAnsi="Arial" w:cs="Arial"/>
          <w:lang w:val="en-US"/>
        </w:rPr>
        <w:t>gest investment horizon to be</w:t>
      </w:r>
      <w:r w:rsidRPr="00A51255">
        <w:rPr>
          <w:rFonts w:ascii="Arial" w:hAnsi="Arial" w:cs="Arial"/>
          <w:lang w:val="en-US"/>
        </w:rPr>
        <w:t xml:space="preserve"> </w:t>
      </w:r>
      <w:r w:rsidR="00F94F25" w:rsidRPr="00A51255">
        <w:rPr>
          <w:rFonts w:ascii="Arial" w:hAnsi="Arial" w:cs="Arial"/>
          <w:lang w:val="en-US"/>
        </w:rPr>
        <w:t xml:space="preserve">the </w:t>
      </w:r>
      <w:r w:rsidRPr="00A51255">
        <w:rPr>
          <w:rFonts w:ascii="Arial" w:hAnsi="Arial" w:cs="Arial"/>
          <w:lang w:val="en-US"/>
        </w:rPr>
        <w:t xml:space="preserve">end of day </w:t>
      </w:r>
      <w:r w:rsidRPr="00A51255">
        <w:rPr>
          <w:i/>
          <w:lang w:val="en-US"/>
        </w:rPr>
        <w:t>t+1</w:t>
      </w:r>
      <w:r w:rsidR="001778E7" w:rsidRPr="00A51255">
        <w:rPr>
          <w:rFonts w:ascii="Arial" w:hAnsi="Arial" w:cs="Arial"/>
          <w:lang w:val="en-US"/>
        </w:rPr>
        <w:t xml:space="preserve"> with the exclusion of trades that are based on the NBP announcement made on Fridays (since the simulation would have to measure the performance of such an investment either on a Saturday, when currency market activity is extremely low, or after the weekend on a Monday).</w:t>
      </w:r>
    </w:p>
    <w:p w:rsidR="00EB51F2" w:rsidRPr="00A51255" w:rsidRDefault="000E0844" w:rsidP="000E0844">
      <w:pPr>
        <w:spacing w:line="480" w:lineRule="auto"/>
        <w:jc w:val="both"/>
        <w:rPr>
          <w:rFonts w:ascii="Arial" w:hAnsi="Arial" w:cs="Arial"/>
          <w:lang w:val="en-US"/>
        </w:rPr>
      </w:pPr>
      <w:r w:rsidRPr="00A51255">
        <w:rPr>
          <w:rFonts w:ascii="Arial" w:hAnsi="Arial" w:cs="Arial"/>
          <w:lang w:val="en-US"/>
        </w:rPr>
        <w:tab/>
        <w:t xml:space="preserve">We also take into account the cost of trading in the execution of such </w:t>
      </w:r>
      <w:r w:rsidR="005D5139">
        <w:rPr>
          <w:rFonts w:ascii="Arial" w:hAnsi="Arial" w:cs="Arial"/>
          <w:lang w:val="en-US"/>
        </w:rPr>
        <w:t xml:space="preserve">an </w:t>
      </w:r>
      <w:r w:rsidRPr="00A51255">
        <w:rPr>
          <w:rFonts w:ascii="Arial" w:hAnsi="Arial" w:cs="Arial"/>
          <w:lang w:val="en-US"/>
        </w:rPr>
        <w:t>investment strategy. In the foreign exchange market the trading cost is a bid-ask spread, and for the PLN/USD exchange rate the t</w:t>
      </w:r>
      <w:r w:rsidR="0057377C" w:rsidRPr="00A51255">
        <w:rPr>
          <w:rFonts w:ascii="Arial" w:hAnsi="Arial" w:cs="Arial"/>
          <w:lang w:val="en-US"/>
        </w:rPr>
        <w:t xml:space="preserve">ypical spread is </w:t>
      </w:r>
      <w:r w:rsidR="002D4F3F">
        <w:rPr>
          <w:rFonts w:ascii="Arial" w:hAnsi="Arial" w:cs="Arial"/>
          <w:lang w:val="en-US"/>
        </w:rPr>
        <w:t>about 10</w:t>
      </w:r>
      <w:r w:rsidR="0057377C" w:rsidRPr="00A51255">
        <w:rPr>
          <w:rFonts w:ascii="Arial" w:hAnsi="Arial" w:cs="Arial"/>
          <w:lang w:val="en-US"/>
        </w:rPr>
        <w:t xml:space="preserve"> bps</w:t>
      </w:r>
      <w:r w:rsidR="002D4F3F">
        <w:rPr>
          <w:rFonts w:ascii="Arial" w:hAnsi="Arial" w:cs="Arial"/>
          <w:lang w:val="en-US"/>
        </w:rPr>
        <w:t xml:space="preserve"> (or less)</w:t>
      </w:r>
      <w:r w:rsidR="0057377C" w:rsidRPr="00A51255">
        <w:rPr>
          <w:rFonts w:ascii="Arial" w:hAnsi="Arial" w:cs="Arial"/>
          <w:lang w:val="en-US"/>
        </w:rPr>
        <w:t xml:space="preserve">, </w:t>
      </w:r>
      <w:r w:rsidR="002D4F3F">
        <w:rPr>
          <w:rFonts w:ascii="Arial" w:hAnsi="Arial" w:cs="Arial"/>
          <w:lang w:val="en-US"/>
        </w:rPr>
        <w:t xml:space="preserve">but as a robustness check </w:t>
      </w:r>
      <w:r w:rsidRPr="00A51255">
        <w:rPr>
          <w:rFonts w:ascii="Arial" w:hAnsi="Arial" w:cs="Arial"/>
          <w:lang w:val="en-US"/>
        </w:rPr>
        <w:t>w</w:t>
      </w:r>
      <w:r w:rsidR="0057377C" w:rsidRPr="00A51255">
        <w:rPr>
          <w:rFonts w:ascii="Arial" w:hAnsi="Arial" w:cs="Arial"/>
          <w:lang w:val="en-US"/>
        </w:rPr>
        <w:t xml:space="preserve">e also assume higher </w:t>
      </w:r>
      <w:r w:rsidR="00506394">
        <w:rPr>
          <w:rFonts w:ascii="Arial" w:hAnsi="Arial" w:cs="Arial"/>
          <w:lang w:val="en-US"/>
        </w:rPr>
        <w:t>spreads of 25 bps and 50 bps</w:t>
      </w:r>
      <w:r w:rsidR="0057377C" w:rsidRPr="00A51255">
        <w:rPr>
          <w:rFonts w:ascii="Arial" w:hAnsi="Arial" w:cs="Arial"/>
          <w:lang w:val="en-US"/>
        </w:rPr>
        <w:t>.</w:t>
      </w:r>
    </w:p>
    <w:p w:rsidR="00EB51F2" w:rsidRPr="00365BB9" w:rsidRDefault="00EB51F2" w:rsidP="000E0844">
      <w:pPr>
        <w:spacing w:line="480" w:lineRule="auto"/>
        <w:jc w:val="both"/>
        <w:rPr>
          <w:rFonts w:ascii="Arial" w:hAnsi="Arial" w:cs="Arial"/>
          <w:lang w:val="en-US"/>
        </w:rPr>
      </w:pPr>
      <w:r w:rsidRPr="00A51255">
        <w:rPr>
          <w:rFonts w:ascii="Arial" w:hAnsi="Arial" w:cs="Arial"/>
          <w:lang w:val="en-US"/>
        </w:rPr>
        <w:tab/>
        <w:t>Although a realistic cost of trading</w:t>
      </w:r>
      <w:r w:rsidR="00CB6B43" w:rsidRPr="00A51255">
        <w:rPr>
          <w:rFonts w:ascii="Arial" w:hAnsi="Arial" w:cs="Arial"/>
          <w:lang w:val="en-US"/>
        </w:rPr>
        <w:t xml:space="preserve"> for PLN/USD </w:t>
      </w:r>
      <w:r w:rsidR="002D4F3F">
        <w:rPr>
          <w:rFonts w:ascii="Arial" w:hAnsi="Arial" w:cs="Arial"/>
          <w:lang w:val="en-US"/>
        </w:rPr>
        <w:t>is 10</w:t>
      </w:r>
      <w:r w:rsidRPr="00A51255">
        <w:rPr>
          <w:rFonts w:ascii="Arial" w:hAnsi="Arial" w:cs="Arial"/>
          <w:lang w:val="en-US"/>
        </w:rPr>
        <w:t xml:space="preserve"> bps, it needs to be emphasized that ma</w:t>
      </w:r>
      <w:r w:rsidR="00CB6B43" w:rsidRPr="00A51255">
        <w:rPr>
          <w:rFonts w:ascii="Arial" w:hAnsi="Arial" w:cs="Arial"/>
          <w:lang w:val="en-US"/>
        </w:rPr>
        <w:t>n</w:t>
      </w:r>
      <w:r w:rsidRPr="00A51255">
        <w:rPr>
          <w:rFonts w:ascii="Arial" w:hAnsi="Arial" w:cs="Arial"/>
          <w:lang w:val="en-US"/>
        </w:rPr>
        <w:t xml:space="preserve">y professional currency traders are able to ‘time’ the markets by using different short-term momentum strategies (e.g. based on such indicators as Relative Strength Index </w:t>
      </w:r>
      <w:r w:rsidRPr="00A51255">
        <w:rPr>
          <w:rFonts w:ascii="Arial" w:hAnsi="Arial" w:cs="Arial"/>
          <w:lang w:val="en-US"/>
        </w:rPr>
        <w:lastRenderedPageBreak/>
        <w:t xml:space="preserve">(RSI) </w:t>
      </w:r>
      <w:r w:rsidR="00CB6B43" w:rsidRPr="00A51255">
        <w:rPr>
          <w:rFonts w:ascii="Arial" w:hAnsi="Arial" w:cs="Arial"/>
          <w:lang w:val="en-US"/>
        </w:rPr>
        <w:t xml:space="preserve">or Moving Average Convergence Divergence (MACD) </w:t>
      </w:r>
      <w:r w:rsidRPr="00A51255">
        <w:rPr>
          <w:rFonts w:ascii="Arial" w:hAnsi="Arial" w:cs="Arial"/>
          <w:lang w:val="en-US"/>
        </w:rPr>
        <w:t>etc.) and in their transa</w:t>
      </w:r>
      <w:r w:rsidR="00CB6B43" w:rsidRPr="00A51255">
        <w:rPr>
          <w:rFonts w:ascii="Arial" w:hAnsi="Arial" w:cs="Arial"/>
          <w:lang w:val="en-US"/>
        </w:rPr>
        <w:t xml:space="preserve">ctions they </w:t>
      </w:r>
      <w:r w:rsidR="00637BC1" w:rsidRPr="00A51255">
        <w:rPr>
          <w:rFonts w:ascii="Arial" w:hAnsi="Arial" w:cs="Arial"/>
          <w:lang w:val="en-US"/>
        </w:rPr>
        <w:t>can</w:t>
      </w:r>
      <w:r w:rsidR="00CB6B43" w:rsidRPr="00A51255">
        <w:rPr>
          <w:rFonts w:ascii="Arial" w:hAnsi="Arial" w:cs="Arial"/>
          <w:lang w:val="en-US"/>
        </w:rPr>
        <w:t xml:space="preserve"> buy / </w:t>
      </w:r>
      <w:r w:rsidRPr="00A51255">
        <w:rPr>
          <w:rFonts w:ascii="Arial" w:hAnsi="Arial" w:cs="Arial"/>
          <w:lang w:val="en-US"/>
        </w:rPr>
        <w:t xml:space="preserve">sell currencies at the </w:t>
      </w:r>
      <w:r w:rsidR="00CB6B43" w:rsidRPr="00A51255">
        <w:rPr>
          <w:rFonts w:ascii="Arial" w:hAnsi="Arial" w:cs="Arial"/>
          <w:lang w:val="en-US"/>
        </w:rPr>
        <w:t xml:space="preserve">bid and ask </w:t>
      </w:r>
      <w:r w:rsidRPr="00A51255">
        <w:rPr>
          <w:rFonts w:ascii="Arial" w:hAnsi="Arial" w:cs="Arial"/>
          <w:lang w:val="en-US"/>
        </w:rPr>
        <w:t xml:space="preserve">prices </w:t>
      </w:r>
      <w:r w:rsidR="00CB6B43" w:rsidRPr="00A51255">
        <w:rPr>
          <w:rFonts w:ascii="Arial" w:hAnsi="Arial" w:cs="Arial"/>
          <w:lang w:val="en-US"/>
        </w:rPr>
        <w:t xml:space="preserve">which are </w:t>
      </w:r>
      <w:r w:rsidR="0019604B" w:rsidRPr="00A51255">
        <w:rPr>
          <w:rFonts w:ascii="Arial" w:hAnsi="Arial" w:cs="Arial"/>
          <w:lang w:val="en-US"/>
        </w:rPr>
        <w:t xml:space="preserve">slightly </w:t>
      </w:r>
      <w:r w:rsidR="00CB6B43" w:rsidRPr="00A51255">
        <w:rPr>
          <w:rFonts w:ascii="Arial" w:hAnsi="Arial" w:cs="Arial"/>
          <w:lang w:val="en-US"/>
        </w:rPr>
        <w:t>lower / higher</w:t>
      </w:r>
      <w:r w:rsidRPr="00A51255">
        <w:rPr>
          <w:rFonts w:ascii="Arial" w:hAnsi="Arial" w:cs="Arial"/>
          <w:lang w:val="en-US"/>
        </w:rPr>
        <w:t xml:space="preserve"> </w:t>
      </w:r>
      <w:r w:rsidR="0019604B" w:rsidRPr="00A51255">
        <w:rPr>
          <w:rFonts w:ascii="Arial" w:hAnsi="Arial" w:cs="Arial"/>
          <w:lang w:val="en-US"/>
        </w:rPr>
        <w:t>by taking</w:t>
      </w:r>
      <w:r w:rsidRPr="00A51255">
        <w:rPr>
          <w:rFonts w:ascii="Arial" w:hAnsi="Arial" w:cs="Arial"/>
          <w:lang w:val="en-US"/>
        </w:rPr>
        <w:t xml:space="preserve"> advantage of short-term trends </w:t>
      </w:r>
      <w:r w:rsidR="00CB6B43" w:rsidRPr="00A51255">
        <w:rPr>
          <w:rFonts w:ascii="Arial" w:hAnsi="Arial" w:cs="Arial"/>
          <w:lang w:val="en-US"/>
        </w:rPr>
        <w:t xml:space="preserve">and price movements when they </w:t>
      </w:r>
      <w:r w:rsidRPr="00A51255">
        <w:rPr>
          <w:rFonts w:ascii="Arial" w:hAnsi="Arial" w:cs="Arial"/>
          <w:lang w:val="en-US"/>
        </w:rPr>
        <w:t xml:space="preserve">execute their trades </w:t>
      </w:r>
      <w:r w:rsidR="00CB6B43" w:rsidRPr="00A51255">
        <w:rPr>
          <w:rFonts w:ascii="Arial" w:hAnsi="Arial" w:cs="Arial"/>
          <w:lang w:val="en-US"/>
        </w:rPr>
        <w:t xml:space="preserve">e.g. </w:t>
      </w:r>
      <w:r w:rsidRPr="00A51255">
        <w:rPr>
          <w:rFonts w:ascii="Arial" w:hAnsi="Arial" w:cs="Arial"/>
          <w:lang w:val="en-US"/>
        </w:rPr>
        <w:t xml:space="preserve">several seconds </w:t>
      </w:r>
      <w:r w:rsidR="00CB6B43" w:rsidRPr="00A51255">
        <w:rPr>
          <w:rFonts w:ascii="Arial" w:hAnsi="Arial" w:cs="Arial"/>
          <w:lang w:val="en-US"/>
        </w:rPr>
        <w:t>earlier or later than they would</w:t>
      </w:r>
      <w:r w:rsidR="0019604B" w:rsidRPr="00A51255">
        <w:rPr>
          <w:rFonts w:ascii="Arial" w:hAnsi="Arial" w:cs="Arial"/>
          <w:lang w:val="en-US"/>
        </w:rPr>
        <w:t xml:space="preserve"> normally</w:t>
      </w:r>
      <w:r w:rsidR="00CB6B43" w:rsidRPr="00A51255">
        <w:rPr>
          <w:rFonts w:ascii="Arial" w:hAnsi="Arial" w:cs="Arial"/>
          <w:lang w:val="en-US"/>
        </w:rPr>
        <w:t xml:space="preserve"> do, if they did not use any technical analysis tools. This means that they are able to completely offset the trading cost (or even more than compensate it) and, hence, the cost of trading of 0 bps, which we also investigate in </w:t>
      </w:r>
      <w:r w:rsidR="0046513C">
        <w:rPr>
          <w:rFonts w:ascii="Arial" w:hAnsi="Arial" w:cs="Arial"/>
          <w:lang w:val="en-US"/>
        </w:rPr>
        <w:t>Table 7</w:t>
      </w:r>
      <w:r w:rsidR="00CB6B43" w:rsidRPr="00365BB9">
        <w:rPr>
          <w:rFonts w:ascii="Arial" w:hAnsi="Arial" w:cs="Arial"/>
          <w:lang w:val="en-US"/>
        </w:rPr>
        <w:t xml:space="preserve">, is not necessarily only a theoretical calculation but is </w:t>
      </w:r>
      <w:r w:rsidR="005D5139">
        <w:rPr>
          <w:rFonts w:ascii="Arial" w:hAnsi="Arial" w:cs="Arial"/>
          <w:lang w:val="en-US"/>
        </w:rPr>
        <w:t xml:space="preserve">in fact </w:t>
      </w:r>
      <w:r w:rsidR="00CB6B43" w:rsidRPr="00365BB9">
        <w:rPr>
          <w:rFonts w:ascii="Arial" w:hAnsi="Arial" w:cs="Arial"/>
          <w:lang w:val="en-US"/>
        </w:rPr>
        <w:t>quite realistic for many foreign exchange investors.</w:t>
      </w:r>
    </w:p>
    <w:p w:rsidR="002F68FF" w:rsidRDefault="002F68FF" w:rsidP="000E0844">
      <w:pPr>
        <w:spacing w:line="480" w:lineRule="auto"/>
        <w:jc w:val="both"/>
        <w:rPr>
          <w:rFonts w:ascii="Arial" w:hAnsi="Arial" w:cs="Arial"/>
          <w:lang w:val="en-US"/>
        </w:rPr>
      </w:pPr>
      <w:r w:rsidRPr="00365BB9">
        <w:rPr>
          <w:rFonts w:ascii="Arial" w:hAnsi="Arial" w:cs="Arial"/>
          <w:lang w:val="en-US"/>
        </w:rPr>
        <w:tab/>
      </w:r>
      <w:r w:rsidR="005D5139">
        <w:rPr>
          <w:rFonts w:ascii="Arial" w:hAnsi="Arial" w:cs="Arial"/>
          <w:lang w:val="en-US"/>
        </w:rPr>
        <w:t>The r</w:t>
      </w:r>
      <w:r w:rsidRPr="00365BB9">
        <w:rPr>
          <w:rFonts w:ascii="Arial" w:hAnsi="Arial" w:cs="Arial"/>
          <w:lang w:val="en-US"/>
        </w:rPr>
        <w:t xml:space="preserve">esults in </w:t>
      </w:r>
      <w:r w:rsidR="001D34FB">
        <w:rPr>
          <w:rFonts w:ascii="Arial" w:hAnsi="Arial" w:cs="Arial"/>
          <w:lang w:val="en-US"/>
        </w:rPr>
        <w:t>Table 7</w:t>
      </w:r>
      <w:r w:rsidRPr="00365BB9">
        <w:rPr>
          <w:rFonts w:ascii="Arial" w:hAnsi="Arial" w:cs="Arial"/>
          <w:lang w:val="en-US"/>
        </w:rPr>
        <w:t xml:space="preserve"> demonstrate</w:t>
      </w:r>
      <w:r w:rsidRPr="00A51255">
        <w:rPr>
          <w:rFonts w:ascii="Arial" w:hAnsi="Arial" w:cs="Arial"/>
          <w:lang w:val="en-US"/>
        </w:rPr>
        <w:t xml:space="preserve"> that such strategy would </w:t>
      </w:r>
      <w:r w:rsidR="00D04C36">
        <w:rPr>
          <w:rFonts w:ascii="Arial" w:hAnsi="Arial" w:cs="Arial"/>
          <w:lang w:val="en-US"/>
        </w:rPr>
        <w:t xml:space="preserve">be profitable in most of the reported </w:t>
      </w:r>
      <w:r w:rsidRPr="00A51255">
        <w:rPr>
          <w:rFonts w:ascii="Arial" w:hAnsi="Arial" w:cs="Arial"/>
          <w:lang w:val="en-US"/>
        </w:rPr>
        <w:t>investment hor</w:t>
      </w:r>
      <w:r w:rsidR="00974E29" w:rsidRPr="00A51255">
        <w:rPr>
          <w:rFonts w:ascii="Arial" w:hAnsi="Arial" w:cs="Arial"/>
          <w:lang w:val="en-US"/>
        </w:rPr>
        <w:t xml:space="preserve">izons. The profits </w:t>
      </w:r>
      <w:r w:rsidR="00D04C36">
        <w:rPr>
          <w:rFonts w:ascii="Arial" w:hAnsi="Arial" w:cs="Arial"/>
          <w:lang w:val="en-US"/>
        </w:rPr>
        <w:t xml:space="preserve">are highest, however, in shorter horizons, i.e. for ‘+3 hours’ on day </w:t>
      </w:r>
      <w:r w:rsidR="00D04C36" w:rsidRPr="00D04C36">
        <w:rPr>
          <w:i/>
          <w:lang w:val="en-US"/>
        </w:rPr>
        <w:t>t</w:t>
      </w:r>
      <w:r w:rsidR="00D04C36">
        <w:rPr>
          <w:rFonts w:ascii="Arial" w:hAnsi="Arial" w:cs="Arial"/>
          <w:lang w:val="en-US"/>
        </w:rPr>
        <w:t xml:space="preserve"> and for</w:t>
      </w:r>
      <w:r w:rsidR="00974E29" w:rsidRPr="00A51255">
        <w:rPr>
          <w:rFonts w:ascii="Arial" w:hAnsi="Arial" w:cs="Arial"/>
          <w:lang w:val="en-US"/>
        </w:rPr>
        <w:t xml:space="preserve"> </w:t>
      </w:r>
      <w:r w:rsidR="00D04C36">
        <w:rPr>
          <w:rFonts w:ascii="Arial" w:hAnsi="Arial" w:cs="Arial"/>
          <w:lang w:val="en-US"/>
        </w:rPr>
        <w:t>‘</w:t>
      </w:r>
      <w:r w:rsidR="00D04C36" w:rsidRPr="00D04C36">
        <w:rPr>
          <w:rFonts w:ascii="Arial" w:hAnsi="Arial" w:cs="Arial"/>
          <w:lang w:val="en-US"/>
        </w:rPr>
        <w:t>10:00 AM +3h</w:t>
      </w:r>
      <w:r w:rsidR="00D04C36">
        <w:rPr>
          <w:rFonts w:ascii="Arial" w:hAnsi="Arial" w:cs="Arial"/>
          <w:lang w:val="en-US"/>
        </w:rPr>
        <w:t xml:space="preserve">’ for day </w:t>
      </w:r>
      <w:r w:rsidR="00D04C36" w:rsidRPr="00D04C36">
        <w:rPr>
          <w:i/>
          <w:lang w:val="en-US"/>
        </w:rPr>
        <w:t>t+1</w:t>
      </w:r>
      <w:r w:rsidR="00D04C36">
        <w:rPr>
          <w:rFonts w:ascii="Arial" w:hAnsi="Arial" w:cs="Arial"/>
          <w:lang w:val="en-US"/>
        </w:rPr>
        <w:t xml:space="preserve">. </w:t>
      </w:r>
      <w:r w:rsidR="00D04C36" w:rsidRPr="00D04C36">
        <w:rPr>
          <w:rFonts w:ascii="Arial" w:hAnsi="Arial" w:cs="Arial"/>
          <w:lang w:val="en-US"/>
        </w:rPr>
        <w:t xml:space="preserve"> </w:t>
      </w:r>
      <w:r w:rsidR="00D04C36">
        <w:rPr>
          <w:rFonts w:ascii="Arial" w:hAnsi="Arial" w:cs="Arial"/>
          <w:lang w:val="en-US"/>
        </w:rPr>
        <w:t>For the trading costs equal to 10 bps, t</w:t>
      </w:r>
      <w:r w:rsidR="00170CC3" w:rsidRPr="00A51255">
        <w:rPr>
          <w:rFonts w:ascii="Arial" w:hAnsi="Arial" w:cs="Arial"/>
          <w:lang w:val="en-US"/>
        </w:rPr>
        <w:t xml:space="preserve">he only negative performance is found for only </w:t>
      </w:r>
      <w:r w:rsidR="005D5139">
        <w:rPr>
          <w:rFonts w:ascii="Arial" w:hAnsi="Arial" w:cs="Arial"/>
          <w:lang w:val="en-US"/>
        </w:rPr>
        <w:t xml:space="preserve">the </w:t>
      </w:r>
      <w:r w:rsidR="00170CC3" w:rsidRPr="00A51255">
        <w:rPr>
          <w:rFonts w:ascii="Arial" w:hAnsi="Arial" w:cs="Arial"/>
          <w:lang w:val="en-US"/>
        </w:rPr>
        <w:t xml:space="preserve">3 </w:t>
      </w:r>
      <w:r w:rsidR="00D04C36">
        <w:rPr>
          <w:rFonts w:ascii="Arial" w:hAnsi="Arial" w:cs="Arial"/>
          <w:lang w:val="en-US"/>
        </w:rPr>
        <w:t xml:space="preserve">longest </w:t>
      </w:r>
      <w:r w:rsidR="00170CC3" w:rsidRPr="00A51255">
        <w:rPr>
          <w:rFonts w:ascii="Arial" w:hAnsi="Arial" w:cs="Arial"/>
          <w:lang w:val="en-US"/>
        </w:rPr>
        <w:t xml:space="preserve">trading horizons </w:t>
      </w:r>
      <w:r w:rsidR="00D04C36">
        <w:rPr>
          <w:rFonts w:ascii="Arial" w:hAnsi="Arial" w:cs="Arial"/>
          <w:lang w:val="en-US"/>
        </w:rPr>
        <w:t xml:space="preserve">on day </w:t>
      </w:r>
      <w:r w:rsidR="00D04C36" w:rsidRPr="00D04C36">
        <w:rPr>
          <w:i/>
          <w:lang w:val="en-US"/>
        </w:rPr>
        <w:t>t</w:t>
      </w:r>
      <w:r w:rsidR="00D04C36">
        <w:rPr>
          <w:rFonts w:ascii="Arial" w:hAnsi="Arial" w:cs="Arial"/>
          <w:lang w:val="en-US"/>
        </w:rPr>
        <w:t xml:space="preserve"> (and, naturally, </w:t>
      </w:r>
      <w:r w:rsidR="00170CC3" w:rsidRPr="00A51255">
        <w:rPr>
          <w:rFonts w:ascii="Arial" w:hAnsi="Arial" w:cs="Arial"/>
          <w:lang w:val="en-US"/>
        </w:rPr>
        <w:t xml:space="preserve">for </w:t>
      </w:r>
      <w:r w:rsidR="00D04C36">
        <w:rPr>
          <w:rFonts w:ascii="Arial" w:hAnsi="Arial" w:cs="Arial"/>
          <w:lang w:val="en-US"/>
        </w:rPr>
        <w:t xml:space="preserve">more horizons </w:t>
      </w:r>
      <w:r w:rsidR="00BE0CEE">
        <w:rPr>
          <w:rFonts w:ascii="Arial" w:hAnsi="Arial" w:cs="Arial"/>
          <w:lang w:val="en-US"/>
        </w:rPr>
        <w:t>in c</w:t>
      </w:r>
      <w:r w:rsidR="00D04C36">
        <w:rPr>
          <w:rFonts w:ascii="Arial" w:hAnsi="Arial" w:cs="Arial"/>
          <w:lang w:val="en-US"/>
        </w:rPr>
        <w:t xml:space="preserve">ases of </w:t>
      </w:r>
      <w:r w:rsidR="00170CC3" w:rsidRPr="00A51255">
        <w:rPr>
          <w:rFonts w:ascii="Arial" w:hAnsi="Arial" w:cs="Arial"/>
          <w:lang w:val="en-US"/>
        </w:rPr>
        <w:t>very high</w:t>
      </w:r>
      <w:r w:rsidR="00BE0CEE">
        <w:rPr>
          <w:rFonts w:ascii="Arial" w:hAnsi="Arial" w:cs="Arial"/>
          <w:lang w:val="en-US"/>
        </w:rPr>
        <w:t xml:space="preserve">, </w:t>
      </w:r>
      <w:r w:rsidR="00170CC3" w:rsidRPr="00A51255">
        <w:rPr>
          <w:rFonts w:ascii="Arial" w:hAnsi="Arial" w:cs="Arial"/>
          <w:lang w:val="en-US"/>
        </w:rPr>
        <w:t>and less reali</w:t>
      </w:r>
      <w:r w:rsidR="00BE0CEE">
        <w:rPr>
          <w:rFonts w:ascii="Arial" w:hAnsi="Arial" w:cs="Arial"/>
          <w:lang w:val="en-US"/>
        </w:rPr>
        <w:t>stic in practice,</w:t>
      </w:r>
      <w:r w:rsidR="00170CC3" w:rsidRPr="00A51255">
        <w:rPr>
          <w:rFonts w:ascii="Arial" w:hAnsi="Arial" w:cs="Arial"/>
          <w:lang w:val="en-US"/>
        </w:rPr>
        <w:t xml:space="preserve"> cost</w:t>
      </w:r>
      <w:r w:rsidR="00D04C36">
        <w:rPr>
          <w:rFonts w:ascii="Arial" w:hAnsi="Arial" w:cs="Arial"/>
          <w:lang w:val="en-US"/>
        </w:rPr>
        <w:t>s</w:t>
      </w:r>
      <w:r w:rsidR="00170CC3" w:rsidRPr="00A51255">
        <w:rPr>
          <w:rFonts w:ascii="Arial" w:hAnsi="Arial" w:cs="Arial"/>
          <w:lang w:val="en-US"/>
        </w:rPr>
        <w:t xml:space="preserve"> o</w:t>
      </w:r>
      <w:r w:rsidR="00045114" w:rsidRPr="00A51255">
        <w:rPr>
          <w:rFonts w:ascii="Arial" w:hAnsi="Arial" w:cs="Arial"/>
          <w:lang w:val="en-US"/>
        </w:rPr>
        <w:t>f trading</w:t>
      </w:r>
      <w:r w:rsidR="00D04C36">
        <w:rPr>
          <w:rFonts w:ascii="Arial" w:hAnsi="Arial" w:cs="Arial"/>
          <w:lang w:val="en-US"/>
        </w:rPr>
        <w:t>)</w:t>
      </w:r>
      <w:r w:rsidR="00170CC3" w:rsidRPr="00A51255">
        <w:rPr>
          <w:rFonts w:ascii="Arial" w:hAnsi="Arial" w:cs="Arial"/>
          <w:lang w:val="en-US"/>
        </w:rPr>
        <w:t>.</w:t>
      </w:r>
      <w:r w:rsidR="002D4F3F">
        <w:rPr>
          <w:rFonts w:ascii="Arial" w:hAnsi="Arial" w:cs="Arial"/>
          <w:lang w:val="en-US"/>
        </w:rPr>
        <w:t xml:space="preserve"> On day </w:t>
      </w:r>
      <w:r w:rsidR="002D4F3F" w:rsidRPr="002D4F3F">
        <w:rPr>
          <w:i/>
          <w:lang w:val="en-US"/>
        </w:rPr>
        <w:t>t+1</w:t>
      </w:r>
      <w:r w:rsidR="002D4F3F">
        <w:rPr>
          <w:rFonts w:ascii="Arial" w:hAnsi="Arial" w:cs="Arial"/>
          <w:lang w:val="en-US"/>
        </w:rPr>
        <w:t xml:space="preserve"> the trades executed in all horizons were profitable for all levels of transaction costs.</w:t>
      </w:r>
    </w:p>
    <w:p w:rsidR="007C3575" w:rsidRPr="00A51255" w:rsidRDefault="000F126B" w:rsidP="000F126B">
      <w:pPr>
        <w:spacing w:line="480" w:lineRule="auto"/>
        <w:ind w:firstLine="708"/>
        <w:jc w:val="both"/>
        <w:rPr>
          <w:rFonts w:ascii="Arial" w:hAnsi="Arial" w:cs="Arial"/>
          <w:lang w:val="en-US"/>
        </w:rPr>
      </w:pPr>
      <w:r>
        <w:rPr>
          <w:rFonts w:ascii="Arial" w:hAnsi="Arial" w:cs="Arial"/>
          <w:lang w:val="en-US"/>
        </w:rPr>
        <w:t>In addition, a diversification of investment strategy for all trading horizons (assuming that a trader opens 12 positions of equal value and closes them sequentially according to the subsequent horizons) would yield positive a</w:t>
      </w:r>
      <w:r w:rsidR="007C3575" w:rsidRPr="007C3575">
        <w:rPr>
          <w:rFonts w:ascii="Arial" w:hAnsi="Arial" w:cs="Arial"/>
          <w:lang w:val="en-US"/>
        </w:rPr>
        <w:t xml:space="preserve">verage </w:t>
      </w:r>
      <w:r>
        <w:rPr>
          <w:rFonts w:ascii="Arial" w:hAnsi="Arial" w:cs="Arial"/>
          <w:lang w:val="en-US"/>
        </w:rPr>
        <w:t xml:space="preserve">profits across all costs of trading (ranging from </w:t>
      </w:r>
      <w:r w:rsidR="007C3575" w:rsidRPr="007C3575">
        <w:rPr>
          <w:rFonts w:ascii="Arial" w:hAnsi="Arial" w:cs="Arial"/>
          <w:lang w:val="en-US"/>
        </w:rPr>
        <w:t>354.50</w:t>
      </w:r>
      <w:r>
        <w:rPr>
          <w:rFonts w:ascii="Arial" w:hAnsi="Arial" w:cs="Arial"/>
          <w:lang w:val="en-US"/>
        </w:rPr>
        <w:t xml:space="preserve"> bps for a zero transaction costs case to </w:t>
      </w:r>
      <w:r w:rsidR="007C3575" w:rsidRPr="007C3575">
        <w:rPr>
          <w:rFonts w:ascii="Arial" w:hAnsi="Arial" w:cs="Arial"/>
          <w:lang w:val="en-US"/>
        </w:rPr>
        <w:t>139.42</w:t>
      </w:r>
      <w:r>
        <w:rPr>
          <w:rFonts w:ascii="Arial" w:hAnsi="Arial" w:cs="Arial"/>
          <w:lang w:val="en-US"/>
        </w:rPr>
        <w:t xml:space="preserve"> bps for the highest cost of 50 bps with </w:t>
      </w:r>
      <w:r w:rsidRPr="007C3575">
        <w:rPr>
          <w:rFonts w:ascii="Arial" w:hAnsi="Arial" w:cs="Arial"/>
          <w:lang w:val="en-US"/>
        </w:rPr>
        <w:t>311.42</w:t>
      </w:r>
      <w:r>
        <w:rPr>
          <w:rFonts w:ascii="Arial" w:hAnsi="Arial" w:cs="Arial"/>
          <w:lang w:val="en-US"/>
        </w:rPr>
        <w:t xml:space="preserve"> bps for the case of most realistic cost of 10 bps).</w:t>
      </w:r>
    </w:p>
    <w:p w:rsidR="00530901" w:rsidRDefault="00580789" w:rsidP="004A37AF">
      <w:pPr>
        <w:spacing w:line="480" w:lineRule="auto"/>
        <w:ind w:firstLine="708"/>
        <w:jc w:val="both"/>
        <w:rPr>
          <w:rFonts w:ascii="Arial" w:hAnsi="Arial" w:cs="Arial"/>
          <w:b/>
          <w:color w:val="000000"/>
          <w:lang w:val="en-US"/>
        </w:rPr>
      </w:pPr>
      <w:r w:rsidRPr="00A51255">
        <w:rPr>
          <w:rFonts w:ascii="Arial" w:hAnsi="Arial" w:cs="Arial"/>
          <w:lang w:val="en-US"/>
        </w:rPr>
        <w:t>I</w:t>
      </w:r>
      <w:r w:rsidR="002F68FF" w:rsidRPr="00A51255">
        <w:rPr>
          <w:rFonts w:ascii="Arial" w:hAnsi="Arial" w:cs="Arial"/>
          <w:lang w:val="en-US"/>
        </w:rPr>
        <w:t xml:space="preserve">n summary, we </w:t>
      </w:r>
      <w:r w:rsidRPr="00A51255">
        <w:rPr>
          <w:rFonts w:ascii="Arial" w:hAnsi="Arial" w:cs="Arial"/>
          <w:lang w:val="en-US"/>
        </w:rPr>
        <w:t>analyzed a variety of different investment horizons</w:t>
      </w:r>
      <w:r w:rsidR="005D5139">
        <w:rPr>
          <w:rFonts w:ascii="Arial" w:hAnsi="Arial" w:cs="Arial"/>
          <w:lang w:val="en-US"/>
        </w:rPr>
        <w:t>,</w:t>
      </w:r>
      <w:r w:rsidRPr="00A51255">
        <w:rPr>
          <w:rFonts w:ascii="Arial" w:hAnsi="Arial" w:cs="Arial"/>
          <w:lang w:val="en-US"/>
        </w:rPr>
        <w:t xml:space="preserve"> and we </w:t>
      </w:r>
      <w:r w:rsidR="002F68FF" w:rsidRPr="00A51255">
        <w:rPr>
          <w:rFonts w:ascii="Arial" w:hAnsi="Arial" w:cs="Arial"/>
          <w:lang w:val="en-US"/>
        </w:rPr>
        <w:t xml:space="preserve">detected </w:t>
      </w:r>
      <w:r w:rsidR="002D4F3F">
        <w:rPr>
          <w:rFonts w:ascii="Arial" w:hAnsi="Arial" w:cs="Arial"/>
          <w:lang w:val="en-US"/>
        </w:rPr>
        <w:t>a</w:t>
      </w:r>
      <w:r w:rsidR="002F68FF" w:rsidRPr="00A51255">
        <w:rPr>
          <w:rFonts w:ascii="Arial" w:hAnsi="Arial" w:cs="Arial"/>
          <w:lang w:val="en-US"/>
        </w:rPr>
        <w:t xml:space="preserve"> clear and consistent pattern of possible profit opportunities for the investors who respond</w:t>
      </w:r>
      <w:r w:rsidR="005D5139">
        <w:rPr>
          <w:rFonts w:ascii="Arial" w:hAnsi="Arial" w:cs="Arial"/>
          <w:lang w:val="en-US"/>
        </w:rPr>
        <w:t>ed</w:t>
      </w:r>
      <w:r w:rsidR="002F68FF" w:rsidRPr="00A51255">
        <w:rPr>
          <w:rFonts w:ascii="Arial" w:hAnsi="Arial" w:cs="Arial"/>
          <w:lang w:val="en-US"/>
        </w:rPr>
        <w:t xml:space="preserve"> to the NBP announcements, for which we found statistically significant estimates</w:t>
      </w:r>
      <w:r w:rsidRPr="00A51255">
        <w:rPr>
          <w:rFonts w:ascii="Arial" w:hAnsi="Arial" w:cs="Arial"/>
          <w:lang w:val="en-US"/>
        </w:rPr>
        <w:t xml:space="preserve"> of the NBP announcements dummy variables</w:t>
      </w:r>
      <w:r w:rsidR="002F68FF" w:rsidRPr="00A51255">
        <w:rPr>
          <w:rFonts w:ascii="Arial" w:hAnsi="Arial" w:cs="Arial"/>
          <w:lang w:val="en-US"/>
        </w:rPr>
        <w:t xml:space="preserve">. This </w:t>
      </w:r>
      <w:r w:rsidR="00045114" w:rsidRPr="00A51255">
        <w:rPr>
          <w:rFonts w:ascii="Arial" w:hAnsi="Arial" w:cs="Arial"/>
          <w:lang w:val="en-US"/>
        </w:rPr>
        <w:t>is an important finding that may have</w:t>
      </w:r>
      <w:r w:rsidR="002F68FF" w:rsidRPr="00A51255">
        <w:rPr>
          <w:rFonts w:ascii="Arial" w:hAnsi="Arial" w:cs="Arial"/>
          <w:lang w:val="en-US"/>
        </w:rPr>
        <w:t xml:space="preserve"> practical i</w:t>
      </w:r>
      <w:r w:rsidR="002F68FF" w:rsidRPr="00A84C1F">
        <w:rPr>
          <w:rFonts w:ascii="Arial" w:hAnsi="Arial" w:cs="Arial"/>
          <w:color w:val="000000"/>
          <w:lang w:val="en-US"/>
        </w:rPr>
        <w:t>mplications for currency market investors.</w:t>
      </w:r>
    </w:p>
    <w:p w:rsidR="006E0551" w:rsidRPr="00A84C1F" w:rsidRDefault="006E0551" w:rsidP="00A53792">
      <w:pPr>
        <w:spacing w:line="480" w:lineRule="auto"/>
        <w:jc w:val="both"/>
        <w:rPr>
          <w:rFonts w:ascii="Arial" w:hAnsi="Arial" w:cs="Arial"/>
          <w:b/>
          <w:color w:val="000000"/>
          <w:lang w:val="en-US"/>
        </w:rPr>
      </w:pPr>
    </w:p>
    <w:p w:rsidR="0059558C" w:rsidRDefault="0059558C" w:rsidP="00A53792">
      <w:pPr>
        <w:spacing w:line="480" w:lineRule="auto"/>
        <w:jc w:val="both"/>
        <w:rPr>
          <w:rFonts w:ascii="Arial" w:hAnsi="Arial" w:cs="Arial"/>
          <w:b/>
          <w:color w:val="000000"/>
          <w:lang w:val="en-US"/>
        </w:rPr>
      </w:pPr>
    </w:p>
    <w:p w:rsidR="0001577C" w:rsidRPr="00A84C1F" w:rsidRDefault="00303F42" w:rsidP="00241706">
      <w:pPr>
        <w:spacing w:line="480" w:lineRule="auto"/>
        <w:ind w:firstLine="708"/>
        <w:jc w:val="both"/>
        <w:rPr>
          <w:rFonts w:ascii="Arial" w:hAnsi="Arial" w:cs="Arial"/>
          <w:b/>
          <w:color w:val="000000"/>
          <w:lang w:val="en-US"/>
        </w:rPr>
      </w:pPr>
      <w:r w:rsidRPr="00A84C1F">
        <w:rPr>
          <w:rFonts w:ascii="Arial" w:hAnsi="Arial" w:cs="Arial"/>
          <w:b/>
          <w:color w:val="000000"/>
          <w:lang w:val="en-US"/>
        </w:rPr>
        <w:t>7</w:t>
      </w:r>
      <w:r w:rsidR="00676B6C" w:rsidRPr="00A84C1F">
        <w:rPr>
          <w:rFonts w:ascii="Arial" w:hAnsi="Arial" w:cs="Arial"/>
          <w:b/>
          <w:color w:val="000000"/>
          <w:lang w:val="en-US"/>
        </w:rPr>
        <w:t>. Discussion</w:t>
      </w:r>
    </w:p>
    <w:p w:rsidR="00A84C1F" w:rsidRDefault="00A84C1F" w:rsidP="00471BB1">
      <w:pPr>
        <w:spacing w:line="480" w:lineRule="auto"/>
        <w:ind w:firstLine="708"/>
        <w:jc w:val="both"/>
        <w:rPr>
          <w:rFonts w:ascii="Arial" w:hAnsi="Arial" w:cs="Arial"/>
          <w:color w:val="000000"/>
          <w:lang w:val="en-US"/>
        </w:rPr>
      </w:pPr>
    </w:p>
    <w:p w:rsidR="00676B6C" w:rsidRPr="00A51255" w:rsidRDefault="00F17BDE" w:rsidP="00471BB1">
      <w:pPr>
        <w:spacing w:line="480" w:lineRule="auto"/>
        <w:ind w:firstLine="708"/>
        <w:jc w:val="both"/>
        <w:rPr>
          <w:rFonts w:ascii="Arial" w:hAnsi="Arial" w:cs="Arial"/>
          <w:color w:val="000000"/>
          <w:lang w:val="en-US"/>
        </w:rPr>
      </w:pPr>
      <w:r w:rsidRPr="00A51255">
        <w:rPr>
          <w:rFonts w:ascii="Arial" w:hAnsi="Arial" w:cs="Arial"/>
          <w:color w:val="000000"/>
          <w:lang w:val="en-US"/>
        </w:rPr>
        <w:t xml:space="preserve">Our results </w:t>
      </w:r>
      <w:r w:rsidR="00A53792" w:rsidRPr="00A51255">
        <w:rPr>
          <w:rFonts w:ascii="Arial" w:hAnsi="Arial" w:cs="Arial"/>
          <w:color w:val="000000"/>
          <w:lang w:val="en-US"/>
        </w:rPr>
        <w:t xml:space="preserve">presented in this paper suggest </w:t>
      </w:r>
      <w:r w:rsidR="00022E90" w:rsidRPr="00A51255">
        <w:rPr>
          <w:rFonts w:ascii="Arial" w:hAnsi="Arial" w:cs="Arial"/>
          <w:color w:val="000000"/>
          <w:lang w:val="en-US"/>
        </w:rPr>
        <w:t xml:space="preserve">that </w:t>
      </w:r>
      <w:r w:rsidR="005A0A53" w:rsidRPr="00A51255">
        <w:rPr>
          <w:rFonts w:ascii="Arial" w:hAnsi="Arial" w:cs="Arial"/>
          <w:color w:val="000000"/>
          <w:lang w:val="en-US"/>
        </w:rPr>
        <w:t>Polish</w:t>
      </w:r>
      <w:r w:rsidR="00F819AA" w:rsidRPr="00A51255">
        <w:rPr>
          <w:rFonts w:ascii="Arial" w:hAnsi="Arial" w:cs="Arial"/>
          <w:color w:val="000000"/>
          <w:lang w:val="en-US"/>
        </w:rPr>
        <w:t xml:space="preserve"> </w:t>
      </w:r>
      <w:r w:rsidR="00022E90" w:rsidRPr="00A51255">
        <w:rPr>
          <w:rFonts w:ascii="Arial" w:hAnsi="Arial" w:cs="Arial"/>
          <w:color w:val="000000"/>
          <w:lang w:val="en-US"/>
        </w:rPr>
        <w:t>central bank announcements significantly affected investor behaviour during our sample period. We have</w:t>
      </w:r>
      <w:r w:rsidR="00D25168" w:rsidRPr="00A51255">
        <w:rPr>
          <w:rFonts w:ascii="Arial" w:hAnsi="Arial" w:cs="Arial"/>
          <w:color w:val="000000"/>
          <w:lang w:val="en-US"/>
        </w:rPr>
        <w:t xml:space="preserve"> a total of 150 announcements for 4 </w:t>
      </w:r>
      <w:r w:rsidR="008A46E8" w:rsidRPr="00A51255">
        <w:rPr>
          <w:rFonts w:ascii="Arial" w:hAnsi="Arial" w:cs="Arial"/>
          <w:color w:val="000000"/>
          <w:lang w:val="en-US"/>
        </w:rPr>
        <w:t xml:space="preserve">dummy </w:t>
      </w:r>
      <w:r w:rsidR="00D25168" w:rsidRPr="00A51255">
        <w:rPr>
          <w:rFonts w:ascii="Arial" w:hAnsi="Arial" w:cs="Arial"/>
          <w:color w:val="000000"/>
          <w:lang w:val="en-US"/>
        </w:rPr>
        <w:t xml:space="preserve">variables which we </w:t>
      </w:r>
      <w:r w:rsidR="00FB3703" w:rsidRPr="00A51255">
        <w:rPr>
          <w:rFonts w:ascii="Arial" w:hAnsi="Arial" w:cs="Arial"/>
          <w:color w:val="000000"/>
          <w:lang w:val="en-US"/>
        </w:rPr>
        <w:t>investigat</w:t>
      </w:r>
      <w:r w:rsidR="00D25168" w:rsidRPr="00A51255">
        <w:rPr>
          <w:rFonts w:ascii="Arial" w:hAnsi="Arial" w:cs="Arial"/>
          <w:color w:val="000000"/>
          <w:lang w:val="en-US"/>
        </w:rPr>
        <w:t>ed in this study (</w:t>
      </w:r>
      <w:r w:rsidR="00D25168" w:rsidRPr="00A51255">
        <w:rPr>
          <w:i/>
          <w:color w:val="000000"/>
          <w:lang w:val="en-US"/>
        </w:rPr>
        <w:t>MS</w:t>
      </w:r>
      <w:r w:rsidR="00D25168" w:rsidRPr="00A51255">
        <w:rPr>
          <w:rFonts w:ascii="Arial" w:hAnsi="Arial" w:cs="Arial"/>
          <w:color w:val="000000"/>
          <w:lang w:val="en-US"/>
        </w:rPr>
        <w:t xml:space="preserve">, </w:t>
      </w:r>
      <w:r w:rsidR="00D25168" w:rsidRPr="00A51255">
        <w:rPr>
          <w:i/>
          <w:color w:val="000000"/>
          <w:lang w:val="en-US"/>
        </w:rPr>
        <w:t>RM</w:t>
      </w:r>
      <w:r w:rsidR="00D25168" w:rsidRPr="00A51255">
        <w:rPr>
          <w:rFonts w:ascii="Arial" w:hAnsi="Arial" w:cs="Arial"/>
          <w:color w:val="000000"/>
          <w:lang w:val="en-US"/>
        </w:rPr>
        <w:t xml:space="preserve">, </w:t>
      </w:r>
      <w:r w:rsidR="00D25168" w:rsidRPr="00A51255">
        <w:rPr>
          <w:i/>
          <w:color w:val="000000"/>
          <w:lang w:val="en-US"/>
        </w:rPr>
        <w:t>BOP</w:t>
      </w:r>
      <w:r w:rsidR="00D25168" w:rsidRPr="00A51255">
        <w:rPr>
          <w:rFonts w:ascii="Arial" w:hAnsi="Arial" w:cs="Arial"/>
          <w:color w:val="000000"/>
          <w:lang w:val="en-US"/>
        </w:rPr>
        <w:t xml:space="preserve"> and</w:t>
      </w:r>
      <w:r w:rsidR="003A664C" w:rsidRPr="00A51255">
        <w:rPr>
          <w:rFonts w:ascii="Arial" w:hAnsi="Arial" w:cs="Arial"/>
          <w:color w:val="000000"/>
          <w:lang w:val="en-US"/>
        </w:rPr>
        <w:t xml:space="preserve"> </w:t>
      </w:r>
      <w:r w:rsidR="00D25168" w:rsidRPr="00A51255">
        <w:rPr>
          <w:i/>
          <w:color w:val="000000"/>
          <w:lang w:val="en-US"/>
        </w:rPr>
        <w:t>AL</w:t>
      </w:r>
      <w:r w:rsidR="00D25168" w:rsidRPr="00A51255">
        <w:rPr>
          <w:rFonts w:ascii="Arial" w:hAnsi="Arial" w:cs="Arial"/>
          <w:color w:val="000000"/>
          <w:lang w:val="en-US"/>
        </w:rPr>
        <w:t xml:space="preserve">) and </w:t>
      </w:r>
      <w:r w:rsidR="00022E90" w:rsidRPr="00A51255">
        <w:rPr>
          <w:rFonts w:ascii="Arial" w:hAnsi="Arial" w:cs="Arial"/>
          <w:color w:val="000000"/>
          <w:lang w:val="en-US"/>
        </w:rPr>
        <w:t xml:space="preserve">statistically significant </w:t>
      </w:r>
      <w:r w:rsidR="00D25168" w:rsidRPr="00A51255">
        <w:rPr>
          <w:rFonts w:ascii="Arial" w:hAnsi="Arial" w:cs="Arial"/>
          <w:color w:val="000000"/>
          <w:lang w:val="en-US"/>
        </w:rPr>
        <w:t xml:space="preserve">results for respective dummies </w:t>
      </w:r>
      <w:r w:rsidR="005D5139">
        <w:rPr>
          <w:rFonts w:ascii="Arial" w:hAnsi="Arial" w:cs="Arial"/>
          <w:color w:val="000000"/>
          <w:lang w:val="en-US"/>
        </w:rPr>
        <w:t>were</w:t>
      </w:r>
      <w:r w:rsidR="00D25168" w:rsidRPr="00A51255">
        <w:rPr>
          <w:rFonts w:ascii="Arial" w:hAnsi="Arial" w:cs="Arial"/>
          <w:color w:val="000000"/>
          <w:lang w:val="en-US"/>
        </w:rPr>
        <w:t xml:space="preserve"> found in </w:t>
      </w:r>
      <w:r w:rsidR="005D5139">
        <w:rPr>
          <w:rFonts w:ascii="Arial" w:hAnsi="Arial" w:cs="Arial"/>
          <w:color w:val="000000"/>
          <w:lang w:val="en-US"/>
        </w:rPr>
        <w:t xml:space="preserve">the </w:t>
      </w:r>
      <w:r w:rsidR="00D25168" w:rsidRPr="00A51255">
        <w:rPr>
          <w:rFonts w:ascii="Arial" w:hAnsi="Arial" w:cs="Arial"/>
          <w:color w:val="000000"/>
          <w:lang w:val="en-US"/>
        </w:rPr>
        <w:t xml:space="preserve">case of all of them in various models, which we </w:t>
      </w:r>
      <w:r w:rsidR="002E3BC8" w:rsidRPr="00A51255">
        <w:rPr>
          <w:rFonts w:ascii="Arial" w:hAnsi="Arial" w:cs="Arial"/>
          <w:color w:val="000000"/>
          <w:lang w:val="en-US"/>
        </w:rPr>
        <w:t>analyze</w:t>
      </w:r>
      <w:r w:rsidR="00D25168" w:rsidRPr="00A51255">
        <w:rPr>
          <w:rFonts w:ascii="Arial" w:hAnsi="Arial" w:cs="Arial"/>
          <w:color w:val="000000"/>
          <w:lang w:val="en-US"/>
        </w:rPr>
        <w:t>d</w:t>
      </w:r>
      <w:r w:rsidR="00E31828" w:rsidRPr="00A51255">
        <w:rPr>
          <w:rFonts w:ascii="Arial" w:hAnsi="Arial" w:cs="Arial"/>
          <w:color w:val="000000"/>
          <w:lang w:val="en-US"/>
        </w:rPr>
        <w:t xml:space="preserve"> (for both volume of trade and for the foreign exchange rate)</w:t>
      </w:r>
      <w:r w:rsidR="00D25168" w:rsidRPr="00A51255">
        <w:rPr>
          <w:rFonts w:ascii="Arial" w:hAnsi="Arial" w:cs="Arial"/>
          <w:color w:val="000000"/>
          <w:lang w:val="en-US"/>
        </w:rPr>
        <w:t xml:space="preserve">. </w:t>
      </w:r>
      <w:r w:rsidR="00022E90" w:rsidRPr="00A51255">
        <w:rPr>
          <w:rFonts w:ascii="Arial" w:hAnsi="Arial" w:cs="Arial"/>
          <w:color w:val="000000"/>
          <w:lang w:val="en-US"/>
        </w:rPr>
        <w:t xml:space="preserve">In addition, </w:t>
      </w:r>
      <w:r w:rsidRPr="00A51255">
        <w:rPr>
          <w:rFonts w:ascii="Arial" w:hAnsi="Arial" w:cs="Arial"/>
          <w:color w:val="000000"/>
          <w:lang w:val="en-US"/>
        </w:rPr>
        <w:t>all central bank announcements seem</w:t>
      </w:r>
      <w:r w:rsidR="005D5139">
        <w:rPr>
          <w:rFonts w:ascii="Arial" w:hAnsi="Arial" w:cs="Arial"/>
          <w:color w:val="000000"/>
          <w:lang w:val="en-US"/>
        </w:rPr>
        <w:t>ed</w:t>
      </w:r>
      <w:r w:rsidRPr="00A51255">
        <w:rPr>
          <w:rFonts w:ascii="Arial" w:hAnsi="Arial" w:cs="Arial"/>
          <w:color w:val="000000"/>
          <w:lang w:val="en-US"/>
        </w:rPr>
        <w:t xml:space="preserve"> equally important</w:t>
      </w:r>
      <w:r w:rsidR="00022E90" w:rsidRPr="00A51255">
        <w:rPr>
          <w:rFonts w:ascii="Arial" w:hAnsi="Arial" w:cs="Arial"/>
          <w:color w:val="000000"/>
          <w:lang w:val="en-US"/>
        </w:rPr>
        <w:t xml:space="preserve"> for investors</w:t>
      </w:r>
      <w:r w:rsidRPr="00A51255">
        <w:rPr>
          <w:rFonts w:ascii="Arial" w:hAnsi="Arial" w:cs="Arial"/>
          <w:color w:val="000000"/>
          <w:lang w:val="en-US"/>
        </w:rPr>
        <w:t xml:space="preserve">. </w:t>
      </w:r>
      <w:r w:rsidR="00F819AA" w:rsidRPr="00A51255">
        <w:rPr>
          <w:rFonts w:ascii="Arial" w:hAnsi="Arial" w:cs="Arial"/>
          <w:color w:val="000000"/>
          <w:lang w:val="en-US"/>
        </w:rPr>
        <w:t>W</w:t>
      </w:r>
      <w:r w:rsidR="00A76E3A" w:rsidRPr="00A51255">
        <w:rPr>
          <w:rFonts w:ascii="Arial" w:hAnsi="Arial" w:cs="Arial"/>
          <w:color w:val="000000"/>
          <w:lang w:val="en-US"/>
        </w:rPr>
        <w:t>e have</w:t>
      </w:r>
      <w:r w:rsidRPr="00A51255">
        <w:rPr>
          <w:rFonts w:ascii="Arial" w:hAnsi="Arial" w:cs="Arial"/>
          <w:color w:val="000000"/>
          <w:lang w:val="en-US"/>
        </w:rPr>
        <w:t xml:space="preserve"> the following number of significant announcements</w:t>
      </w:r>
      <w:r w:rsidR="00A76E3A" w:rsidRPr="00A51255">
        <w:rPr>
          <w:rFonts w:ascii="Arial" w:hAnsi="Arial" w:cs="Arial"/>
          <w:color w:val="000000"/>
          <w:lang w:val="en-US"/>
        </w:rPr>
        <w:t xml:space="preserve">: </w:t>
      </w:r>
      <w:r w:rsidR="00111D06">
        <w:rPr>
          <w:rFonts w:ascii="Arial" w:hAnsi="Arial" w:cs="Arial"/>
          <w:color w:val="000000"/>
          <w:lang w:val="en-US"/>
        </w:rPr>
        <w:t>12, 14, 9</w:t>
      </w:r>
      <w:r w:rsidR="008175DA" w:rsidRPr="00A51255">
        <w:rPr>
          <w:rFonts w:ascii="Arial" w:hAnsi="Arial" w:cs="Arial"/>
          <w:color w:val="000000"/>
          <w:lang w:val="en-US"/>
        </w:rPr>
        <w:t xml:space="preserve"> and 1</w:t>
      </w:r>
      <w:r w:rsidR="00111D06">
        <w:rPr>
          <w:rFonts w:ascii="Arial" w:hAnsi="Arial" w:cs="Arial"/>
          <w:color w:val="000000"/>
          <w:lang w:val="en-US"/>
        </w:rPr>
        <w:t>4</w:t>
      </w:r>
      <w:r w:rsidR="00A76E3A" w:rsidRPr="00A51255">
        <w:rPr>
          <w:rFonts w:ascii="Arial" w:hAnsi="Arial" w:cs="Arial"/>
          <w:color w:val="000000"/>
          <w:lang w:val="en-US"/>
        </w:rPr>
        <w:t xml:space="preserve"> for: </w:t>
      </w:r>
      <w:r w:rsidR="00A76E3A" w:rsidRPr="00A51255">
        <w:rPr>
          <w:i/>
          <w:color w:val="000000"/>
          <w:lang w:val="en-US"/>
        </w:rPr>
        <w:t>MS</w:t>
      </w:r>
      <w:r w:rsidR="00A76E3A" w:rsidRPr="00A51255">
        <w:rPr>
          <w:rFonts w:ascii="Arial" w:hAnsi="Arial" w:cs="Arial"/>
          <w:color w:val="000000"/>
          <w:lang w:val="en-US"/>
        </w:rPr>
        <w:t xml:space="preserve">, </w:t>
      </w:r>
      <w:r w:rsidR="00A76E3A" w:rsidRPr="00A51255">
        <w:rPr>
          <w:i/>
          <w:color w:val="000000"/>
          <w:lang w:val="en-US"/>
        </w:rPr>
        <w:t>RM</w:t>
      </w:r>
      <w:r w:rsidR="00A76E3A" w:rsidRPr="00A51255">
        <w:rPr>
          <w:rFonts w:ascii="Arial" w:hAnsi="Arial" w:cs="Arial"/>
          <w:color w:val="000000"/>
          <w:lang w:val="en-US"/>
        </w:rPr>
        <w:t xml:space="preserve">, </w:t>
      </w:r>
      <w:r w:rsidR="00A76E3A" w:rsidRPr="00A51255">
        <w:rPr>
          <w:i/>
          <w:color w:val="000000"/>
          <w:lang w:val="en-US"/>
        </w:rPr>
        <w:t>BOP</w:t>
      </w:r>
      <w:r w:rsidR="00A76E3A" w:rsidRPr="00A51255">
        <w:rPr>
          <w:rFonts w:ascii="Arial" w:hAnsi="Arial" w:cs="Arial"/>
          <w:color w:val="000000"/>
          <w:lang w:val="en-US"/>
        </w:rPr>
        <w:t xml:space="preserve"> and </w:t>
      </w:r>
      <w:r w:rsidR="00A76E3A" w:rsidRPr="00A51255">
        <w:rPr>
          <w:i/>
          <w:color w:val="000000"/>
          <w:lang w:val="en-US"/>
        </w:rPr>
        <w:t>AL</w:t>
      </w:r>
      <w:r w:rsidR="0083275F" w:rsidRPr="00A51255">
        <w:rPr>
          <w:rFonts w:ascii="Arial" w:hAnsi="Arial" w:cs="Arial"/>
          <w:color w:val="000000"/>
          <w:lang w:val="en-US"/>
        </w:rPr>
        <w:t xml:space="preserve"> </w:t>
      </w:r>
      <w:r w:rsidR="00AF2A4E" w:rsidRPr="00A51255">
        <w:rPr>
          <w:rFonts w:ascii="Arial" w:hAnsi="Arial" w:cs="Arial"/>
          <w:color w:val="000000"/>
          <w:lang w:val="en-US"/>
        </w:rPr>
        <w:t xml:space="preserve">dummy </w:t>
      </w:r>
      <w:r w:rsidR="0083275F" w:rsidRPr="00A51255">
        <w:rPr>
          <w:rFonts w:ascii="Arial" w:hAnsi="Arial" w:cs="Arial"/>
          <w:color w:val="000000"/>
          <w:lang w:val="en-US"/>
        </w:rPr>
        <w:t>variables</w:t>
      </w:r>
      <w:r w:rsidR="00F36FB6" w:rsidRPr="00A51255">
        <w:rPr>
          <w:rFonts w:ascii="Arial" w:hAnsi="Arial" w:cs="Arial"/>
          <w:color w:val="000000"/>
          <w:lang w:val="en-US"/>
        </w:rPr>
        <w:t xml:space="preserve"> (for</w:t>
      </w:r>
      <w:r w:rsidR="00452CDA" w:rsidRPr="00A51255">
        <w:rPr>
          <w:rFonts w:ascii="Arial" w:hAnsi="Arial" w:cs="Arial"/>
          <w:color w:val="000000"/>
          <w:lang w:val="en-US"/>
        </w:rPr>
        <w:t xml:space="preserve"> time </w:t>
      </w:r>
      <w:r w:rsidR="00452CDA" w:rsidRPr="00A51255">
        <w:rPr>
          <w:i/>
          <w:color w:val="000000"/>
          <w:lang w:val="en-US"/>
        </w:rPr>
        <w:t>t</w:t>
      </w:r>
      <w:r w:rsidR="00452CDA" w:rsidRPr="00A51255">
        <w:rPr>
          <w:rFonts w:ascii="Arial" w:hAnsi="Arial" w:cs="Arial"/>
          <w:color w:val="000000"/>
          <w:lang w:val="en-US"/>
        </w:rPr>
        <w:t xml:space="preserve"> and </w:t>
      </w:r>
      <w:r w:rsidR="00452CDA" w:rsidRPr="00A51255">
        <w:rPr>
          <w:i/>
          <w:color w:val="000000"/>
          <w:lang w:val="en-US"/>
        </w:rPr>
        <w:t>t+1</w:t>
      </w:r>
      <w:r w:rsidR="00452CDA" w:rsidRPr="00A51255">
        <w:rPr>
          <w:rFonts w:ascii="Arial" w:hAnsi="Arial" w:cs="Arial"/>
          <w:color w:val="000000"/>
          <w:lang w:val="en-US"/>
        </w:rPr>
        <w:t>)</w:t>
      </w:r>
      <w:r w:rsidR="00A76E3A" w:rsidRPr="00A51255">
        <w:rPr>
          <w:rFonts w:ascii="Arial" w:hAnsi="Arial" w:cs="Arial"/>
          <w:color w:val="000000"/>
          <w:lang w:val="en-US"/>
        </w:rPr>
        <w:t xml:space="preserve">, respectively, so no </w:t>
      </w:r>
      <w:r w:rsidRPr="00A51255">
        <w:rPr>
          <w:rFonts w:ascii="Arial" w:hAnsi="Arial" w:cs="Arial"/>
          <w:color w:val="000000"/>
          <w:lang w:val="en-US"/>
        </w:rPr>
        <w:t>central bank announcement</w:t>
      </w:r>
      <w:r w:rsidR="0083275F" w:rsidRPr="00A51255">
        <w:rPr>
          <w:rFonts w:ascii="Arial" w:hAnsi="Arial" w:cs="Arial"/>
          <w:color w:val="000000"/>
          <w:lang w:val="en-US"/>
        </w:rPr>
        <w:t xml:space="preserve"> is particularly more often</w:t>
      </w:r>
      <w:r w:rsidR="00A76E3A" w:rsidRPr="00A51255">
        <w:rPr>
          <w:rFonts w:ascii="Arial" w:hAnsi="Arial" w:cs="Arial"/>
          <w:color w:val="000000"/>
          <w:lang w:val="en-US"/>
        </w:rPr>
        <w:t xml:space="preserve"> significant than others.</w:t>
      </w:r>
      <w:r w:rsidR="00F76106" w:rsidRPr="00A51255">
        <w:rPr>
          <w:rFonts w:ascii="Arial" w:hAnsi="Arial" w:cs="Arial"/>
          <w:color w:val="000000"/>
          <w:lang w:val="en-US"/>
        </w:rPr>
        <w:t xml:space="preserve"> </w:t>
      </w:r>
    </w:p>
    <w:p w:rsidR="00F76106" w:rsidRPr="00A51255" w:rsidRDefault="00F17BDE" w:rsidP="00471BB1">
      <w:pPr>
        <w:spacing w:line="480" w:lineRule="auto"/>
        <w:ind w:firstLine="708"/>
        <w:jc w:val="both"/>
        <w:rPr>
          <w:rFonts w:ascii="Arial" w:hAnsi="Arial" w:cs="Arial"/>
          <w:color w:val="000000"/>
          <w:lang w:val="en-US"/>
        </w:rPr>
      </w:pPr>
      <w:r w:rsidRPr="00A51255">
        <w:rPr>
          <w:rFonts w:ascii="Arial" w:hAnsi="Arial" w:cs="Arial"/>
          <w:color w:val="000000"/>
          <w:lang w:val="en-US"/>
        </w:rPr>
        <w:t xml:space="preserve">Another important observation is that </w:t>
      </w:r>
      <w:r w:rsidR="00A76E3A" w:rsidRPr="00A51255">
        <w:rPr>
          <w:rFonts w:ascii="Arial" w:hAnsi="Arial" w:cs="Arial"/>
          <w:color w:val="000000"/>
          <w:lang w:val="en-US"/>
        </w:rPr>
        <w:t xml:space="preserve">strongly positive and strongly negative announcements </w:t>
      </w:r>
      <w:r w:rsidR="005D5139">
        <w:rPr>
          <w:rFonts w:ascii="Arial" w:hAnsi="Arial" w:cs="Arial"/>
          <w:color w:val="000000"/>
          <w:lang w:val="en-US"/>
        </w:rPr>
        <w:t>we</w:t>
      </w:r>
      <w:r w:rsidR="00A76E3A" w:rsidRPr="00A51255">
        <w:rPr>
          <w:rFonts w:ascii="Arial" w:hAnsi="Arial" w:cs="Arial"/>
          <w:color w:val="000000"/>
          <w:lang w:val="en-US"/>
        </w:rPr>
        <w:t xml:space="preserve">re more often significant than </w:t>
      </w:r>
      <w:r w:rsidR="00DA27F3" w:rsidRPr="00A51255">
        <w:rPr>
          <w:rFonts w:ascii="Arial" w:hAnsi="Arial" w:cs="Arial"/>
          <w:color w:val="000000"/>
          <w:lang w:val="en-US"/>
        </w:rPr>
        <w:t xml:space="preserve">the announcements of medium strength (i.e. </w:t>
      </w:r>
      <w:r w:rsidR="00A76E3A" w:rsidRPr="00A51255">
        <w:rPr>
          <w:rFonts w:ascii="Arial" w:hAnsi="Arial" w:cs="Arial"/>
          <w:color w:val="000000"/>
          <w:lang w:val="en-US"/>
        </w:rPr>
        <w:t>positive and negative ones</w:t>
      </w:r>
      <w:r w:rsidR="00DA27F3" w:rsidRPr="00A51255">
        <w:rPr>
          <w:rFonts w:ascii="Arial" w:hAnsi="Arial" w:cs="Arial"/>
          <w:color w:val="000000"/>
          <w:lang w:val="en-US"/>
        </w:rPr>
        <w:t>)</w:t>
      </w:r>
      <w:r w:rsidR="00A76E3A" w:rsidRPr="00A51255">
        <w:rPr>
          <w:rFonts w:ascii="Arial" w:hAnsi="Arial" w:cs="Arial"/>
          <w:color w:val="000000"/>
          <w:lang w:val="en-US"/>
        </w:rPr>
        <w:t xml:space="preserve">. </w:t>
      </w:r>
      <w:r w:rsidRPr="00A51255">
        <w:rPr>
          <w:rFonts w:ascii="Arial" w:hAnsi="Arial" w:cs="Arial"/>
          <w:color w:val="000000"/>
          <w:lang w:val="en-US"/>
        </w:rPr>
        <w:t>Overall,</w:t>
      </w:r>
      <w:r w:rsidR="00A76E3A" w:rsidRPr="00A51255">
        <w:rPr>
          <w:rFonts w:ascii="Arial" w:hAnsi="Arial" w:cs="Arial"/>
          <w:color w:val="000000"/>
          <w:lang w:val="en-US"/>
        </w:rPr>
        <w:t xml:space="preserve"> there </w:t>
      </w:r>
      <w:r w:rsidR="005D5139">
        <w:rPr>
          <w:rFonts w:ascii="Arial" w:hAnsi="Arial" w:cs="Arial"/>
          <w:color w:val="000000"/>
          <w:lang w:val="en-US"/>
        </w:rPr>
        <w:t>wa</w:t>
      </w:r>
      <w:r w:rsidR="00A76E3A" w:rsidRPr="00A51255">
        <w:rPr>
          <w:rFonts w:ascii="Arial" w:hAnsi="Arial" w:cs="Arial"/>
          <w:color w:val="000000"/>
          <w:lang w:val="en-US"/>
        </w:rPr>
        <w:t>s a clear dominance of strongly positive and strongly negative announcements over the positive and nega</w:t>
      </w:r>
      <w:r w:rsidR="00674D8A">
        <w:rPr>
          <w:rFonts w:ascii="Arial" w:hAnsi="Arial" w:cs="Arial"/>
          <w:color w:val="000000"/>
          <w:lang w:val="en-US"/>
        </w:rPr>
        <w:t>tive announcements (in total: 30</w:t>
      </w:r>
      <w:r w:rsidR="00A76E3A" w:rsidRPr="00A51255">
        <w:rPr>
          <w:rFonts w:ascii="Arial" w:hAnsi="Arial" w:cs="Arial"/>
          <w:color w:val="000000"/>
          <w:lang w:val="en-US"/>
        </w:rPr>
        <w:t xml:space="preserve"> </w:t>
      </w:r>
      <w:r w:rsidR="00A76E3A" w:rsidRPr="00A51255">
        <w:rPr>
          <w:rFonts w:ascii="Arial" w:hAnsi="Arial" w:cs="Arial"/>
          <w:i/>
          <w:color w:val="000000"/>
          <w:lang w:val="en-US"/>
        </w:rPr>
        <w:t>versus</w:t>
      </w:r>
      <w:r w:rsidR="00674D8A">
        <w:rPr>
          <w:rFonts w:ascii="Arial" w:hAnsi="Arial" w:cs="Arial"/>
          <w:color w:val="000000"/>
          <w:lang w:val="en-US"/>
        </w:rPr>
        <w:t xml:space="preserve"> 1</w:t>
      </w:r>
      <w:r w:rsidR="008175DA" w:rsidRPr="00A51255">
        <w:rPr>
          <w:rFonts w:ascii="Arial" w:hAnsi="Arial" w:cs="Arial"/>
          <w:color w:val="000000"/>
          <w:lang w:val="en-US"/>
        </w:rPr>
        <w:t>9</w:t>
      </w:r>
      <w:r w:rsidR="00A76E3A" w:rsidRPr="00A51255">
        <w:rPr>
          <w:rFonts w:ascii="Arial" w:hAnsi="Arial" w:cs="Arial"/>
          <w:color w:val="000000"/>
          <w:lang w:val="en-US"/>
        </w:rPr>
        <w:t>).</w:t>
      </w:r>
    </w:p>
    <w:p w:rsidR="00C178CD" w:rsidRDefault="005070F3" w:rsidP="00471BB1">
      <w:pPr>
        <w:spacing w:line="480" w:lineRule="auto"/>
        <w:ind w:firstLine="708"/>
        <w:jc w:val="both"/>
        <w:rPr>
          <w:rFonts w:ascii="Arial" w:hAnsi="Arial" w:cs="Arial"/>
          <w:color w:val="000000"/>
          <w:lang w:val="en-US"/>
        </w:rPr>
      </w:pPr>
      <w:r>
        <w:rPr>
          <w:rFonts w:ascii="Arial" w:hAnsi="Arial" w:cs="Arial"/>
          <w:color w:val="000000"/>
          <w:lang w:val="en-US"/>
        </w:rPr>
        <w:t>Table 8</w:t>
      </w:r>
      <w:r w:rsidR="00471BB1" w:rsidRPr="00365BB9">
        <w:rPr>
          <w:rFonts w:ascii="Arial" w:hAnsi="Arial" w:cs="Arial"/>
          <w:color w:val="000000"/>
          <w:lang w:val="en-US"/>
        </w:rPr>
        <w:t xml:space="preserve"> presents </w:t>
      </w:r>
      <w:r w:rsidR="005D5139">
        <w:rPr>
          <w:rFonts w:ascii="Arial" w:hAnsi="Arial" w:cs="Arial"/>
          <w:color w:val="000000"/>
          <w:lang w:val="en-US"/>
        </w:rPr>
        <w:t xml:space="preserve">a </w:t>
      </w:r>
      <w:r w:rsidR="00F31417" w:rsidRPr="00365BB9">
        <w:rPr>
          <w:rFonts w:ascii="Arial" w:hAnsi="Arial" w:cs="Arial"/>
          <w:color w:val="000000"/>
          <w:lang w:val="en-US"/>
        </w:rPr>
        <w:t xml:space="preserve">more detailed </w:t>
      </w:r>
      <w:r w:rsidR="00C178CD" w:rsidRPr="00365BB9">
        <w:rPr>
          <w:rFonts w:ascii="Arial" w:hAnsi="Arial" w:cs="Arial"/>
          <w:color w:val="000000"/>
          <w:lang w:val="en-US"/>
        </w:rPr>
        <w:t>breakdown of statistically significant estimation results for dummy variables of different strengths</w:t>
      </w:r>
      <w:r w:rsidR="007009B9" w:rsidRPr="00365BB9">
        <w:rPr>
          <w:rFonts w:ascii="Arial" w:hAnsi="Arial" w:cs="Arial"/>
          <w:color w:val="000000"/>
          <w:lang w:val="en-US"/>
        </w:rPr>
        <w:t>.</w:t>
      </w:r>
      <w:r w:rsidR="00C76639" w:rsidRPr="00365BB9">
        <w:rPr>
          <w:rFonts w:ascii="Arial" w:hAnsi="Arial" w:cs="Arial"/>
          <w:color w:val="000000"/>
          <w:lang w:val="en-US"/>
        </w:rPr>
        <w:t xml:space="preserve"> It shows </w:t>
      </w:r>
      <w:r w:rsidR="00504439" w:rsidRPr="00365BB9">
        <w:rPr>
          <w:rFonts w:ascii="Arial" w:hAnsi="Arial" w:cs="Arial"/>
          <w:color w:val="000000"/>
          <w:lang w:val="en-US"/>
        </w:rPr>
        <w:t xml:space="preserve">further </w:t>
      </w:r>
      <w:r w:rsidR="00C76639" w:rsidRPr="00365BB9">
        <w:rPr>
          <w:rFonts w:ascii="Arial" w:hAnsi="Arial" w:cs="Arial"/>
          <w:color w:val="000000"/>
          <w:lang w:val="en-US"/>
        </w:rPr>
        <w:t xml:space="preserve">that </w:t>
      </w:r>
      <w:r w:rsidR="00A84C1F">
        <w:rPr>
          <w:rFonts w:ascii="Arial" w:hAnsi="Arial" w:cs="Arial"/>
          <w:color w:val="000000"/>
          <w:lang w:val="en-US"/>
        </w:rPr>
        <w:t xml:space="preserve">NBP </w:t>
      </w:r>
      <w:r w:rsidR="001660DB" w:rsidRPr="00365BB9">
        <w:rPr>
          <w:rFonts w:ascii="Arial" w:hAnsi="Arial" w:cs="Arial"/>
          <w:color w:val="000000"/>
          <w:lang w:val="en-US"/>
        </w:rPr>
        <w:t>announcement</w:t>
      </w:r>
      <w:r w:rsidR="00914E8B" w:rsidRPr="00365BB9">
        <w:rPr>
          <w:rFonts w:ascii="Arial" w:hAnsi="Arial" w:cs="Arial"/>
          <w:color w:val="000000"/>
          <w:lang w:val="en-US"/>
        </w:rPr>
        <w:t xml:space="preserve"> dummies</w:t>
      </w:r>
      <w:r w:rsidR="00C76639" w:rsidRPr="00365BB9">
        <w:rPr>
          <w:rFonts w:ascii="Arial" w:hAnsi="Arial" w:cs="Arial"/>
          <w:color w:val="000000"/>
          <w:lang w:val="en-US"/>
        </w:rPr>
        <w:t xml:space="preserve"> of </w:t>
      </w:r>
      <w:r w:rsidR="00504439" w:rsidRPr="00365BB9">
        <w:rPr>
          <w:rFonts w:ascii="Arial" w:hAnsi="Arial" w:cs="Arial"/>
          <w:color w:val="000000"/>
          <w:lang w:val="en-US"/>
        </w:rPr>
        <w:t xml:space="preserve">the </w:t>
      </w:r>
      <w:r w:rsidR="00C76639" w:rsidRPr="00365BB9">
        <w:rPr>
          <w:rFonts w:ascii="Arial" w:hAnsi="Arial" w:cs="Arial"/>
          <w:color w:val="000000"/>
          <w:lang w:val="en-US"/>
        </w:rPr>
        <w:t>highest strength (</w:t>
      </w:r>
      <w:r w:rsidR="00504439" w:rsidRPr="00365BB9">
        <w:rPr>
          <w:rFonts w:ascii="Arial" w:hAnsi="Arial" w:cs="Arial"/>
          <w:color w:val="000000"/>
          <w:lang w:val="en-US"/>
        </w:rPr>
        <w:t xml:space="preserve">i.e. </w:t>
      </w:r>
      <w:r w:rsidR="00C76639" w:rsidRPr="00365BB9">
        <w:rPr>
          <w:rFonts w:ascii="Arial" w:hAnsi="Arial" w:cs="Arial"/>
          <w:color w:val="000000"/>
          <w:lang w:val="en-US"/>
        </w:rPr>
        <w:t xml:space="preserve">strongly positive and strongly negative) </w:t>
      </w:r>
      <w:r w:rsidR="005D5139">
        <w:rPr>
          <w:rFonts w:ascii="Arial" w:hAnsi="Arial" w:cs="Arial"/>
          <w:color w:val="000000"/>
          <w:lang w:val="en-US"/>
        </w:rPr>
        <w:t>we</w:t>
      </w:r>
      <w:r w:rsidR="00C76639" w:rsidRPr="00365BB9">
        <w:rPr>
          <w:rFonts w:ascii="Arial" w:hAnsi="Arial" w:cs="Arial"/>
          <w:color w:val="000000"/>
          <w:lang w:val="en-US"/>
        </w:rPr>
        <w:t xml:space="preserve">re significant </w:t>
      </w:r>
      <w:r w:rsidR="005D5139">
        <w:rPr>
          <w:rFonts w:ascii="Arial" w:hAnsi="Arial" w:cs="Arial"/>
          <w:color w:val="000000"/>
          <w:lang w:val="en-US"/>
        </w:rPr>
        <w:t xml:space="preserve">considerably </w:t>
      </w:r>
      <w:r w:rsidR="005D5139" w:rsidRPr="00365BB9">
        <w:rPr>
          <w:rFonts w:ascii="Arial" w:hAnsi="Arial" w:cs="Arial"/>
          <w:color w:val="000000"/>
          <w:lang w:val="en-US"/>
        </w:rPr>
        <w:t xml:space="preserve">more often </w:t>
      </w:r>
      <w:r w:rsidR="00C76639" w:rsidRPr="00365BB9">
        <w:rPr>
          <w:rFonts w:ascii="Arial" w:hAnsi="Arial" w:cs="Arial"/>
          <w:color w:val="000000"/>
          <w:lang w:val="en-US"/>
        </w:rPr>
        <w:t>at</w:t>
      </w:r>
      <w:r w:rsidR="005D5139">
        <w:rPr>
          <w:rFonts w:ascii="Arial" w:hAnsi="Arial" w:cs="Arial"/>
          <w:color w:val="000000"/>
          <w:lang w:val="en-US"/>
        </w:rPr>
        <w:t xml:space="preserve"> the</w:t>
      </w:r>
      <w:r w:rsidR="00C76639" w:rsidRPr="00365BB9">
        <w:rPr>
          <w:rFonts w:ascii="Arial" w:hAnsi="Arial" w:cs="Arial"/>
          <w:color w:val="000000"/>
          <w:lang w:val="en-US"/>
        </w:rPr>
        <w:t xml:space="preserve"> 1</w:t>
      </w:r>
      <w:r w:rsidR="001C7536" w:rsidRPr="00365BB9">
        <w:rPr>
          <w:rFonts w:ascii="Arial" w:hAnsi="Arial" w:cs="Arial"/>
          <w:color w:val="000000"/>
          <w:lang w:val="en-US"/>
        </w:rPr>
        <w:t>%</w:t>
      </w:r>
      <w:r w:rsidR="00C76639" w:rsidRPr="00365BB9">
        <w:rPr>
          <w:rFonts w:ascii="Arial" w:hAnsi="Arial" w:cs="Arial"/>
          <w:color w:val="000000"/>
          <w:lang w:val="en-US"/>
        </w:rPr>
        <w:t xml:space="preserve"> level than the other dummies of m</w:t>
      </w:r>
      <w:r w:rsidR="00090130" w:rsidRPr="00365BB9">
        <w:rPr>
          <w:rFonts w:ascii="Arial" w:hAnsi="Arial" w:cs="Arial"/>
          <w:color w:val="000000"/>
          <w:lang w:val="en-US"/>
        </w:rPr>
        <w:t>edium</w:t>
      </w:r>
      <w:r w:rsidR="00090130" w:rsidRPr="00A51255">
        <w:rPr>
          <w:rFonts w:ascii="Arial" w:hAnsi="Arial" w:cs="Arial"/>
          <w:color w:val="000000"/>
          <w:lang w:val="en-US"/>
        </w:rPr>
        <w:t xml:space="preserve"> strength</w:t>
      </w:r>
      <w:r w:rsidR="00C76639" w:rsidRPr="00A51255">
        <w:rPr>
          <w:rFonts w:ascii="Arial" w:hAnsi="Arial" w:cs="Arial"/>
          <w:color w:val="000000"/>
          <w:lang w:val="en-US"/>
        </w:rPr>
        <w:t xml:space="preserve"> for both </w:t>
      </w:r>
      <w:r w:rsidR="00C76639" w:rsidRPr="00A51255">
        <w:rPr>
          <w:i/>
          <w:color w:val="000000"/>
          <w:lang w:val="en-US"/>
        </w:rPr>
        <w:t>t</w:t>
      </w:r>
      <w:r w:rsidR="00C76639" w:rsidRPr="00A51255">
        <w:rPr>
          <w:rFonts w:ascii="Arial" w:hAnsi="Arial" w:cs="Arial"/>
          <w:color w:val="000000"/>
          <w:lang w:val="en-US"/>
        </w:rPr>
        <w:t xml:space="preserve"> and </w:t>
      </w:r>
      <w:r w:rsidR="00C76639" w:rsidRPr="00A51255">
        <w:rPr>
          <w:i/>
          <w:color w:val="000000"/>
          <w:lang w:val="en-US"/>
        </w:rPr>
        <w:t>t+1</w:t>
      </w:r>
      <w:r w:rsidR="00C76639" w:rsidRPr="00A51255">
        <w:rPr>
          <w:rFonts w:ascii="Arial" w:hAnsi="Arial" w:cs="Arial"/>
          <w:color w:val="000000"/>
          <w:lang w:val="en-US"/>
        </w:rPr>
        <w:t>.</w:t>
      </w:r>
      <w:r w:rsidR="001660DB" w:rsidRPr="00A51255">
        <w:rPr>
          <w:rFonts w:ascii="Arial" w:hAnsi="Arial" w:cs="Arial"/>
          <w:color w:val="000000"/>
          <w:lang w:val="en-US"/>
        </w:rPr>
        <w:t xml:space="preserve"> The economic significance of strongly positive and strongly negative announcements (</w:t>
      </w:r>
      <w:r w:rsidR="00564949" w:rsidRPr="00A51255">
        <w:rPr>
          <w:rFonts w:ascii="Arial" w:hAnsi="Arial" w:cs="Arial"/>
          <w:color w:val="000000"/>
          <w:lang w:val="en-US"/>
        </w:rPr>
        <w:t>i.e. estimated coefficients) is</w:t>
      </w:r>
      <w:r w:rsidR="001660DB" w:rsidRPr="00A51255">
        <w:rPr>
          <w:rFonts w:ascii="Arial" w:hAnsi="Arial" w:cs="Arial"/>
          <w:color w:val="000000"/>
          <w:lang w:val="en-US"/>
        </w:rPr>
        <w:t xml:space="preserve"> much larger than those of medium strength.</w:t>
      </w:r>
    </w:p>
    <w:p w:rsidR="005070F3" w:rsidRDefault="005070F3" w:rsidP="00471BB1">
      <w:pPr>
        <w:spacing w:line="480" w:lineRule="auto"/>
        <w:ind w:firstLine="708"/>
        <w:jc w:val="both"/>
        <w:rPr>
          <w:rFonts w:ascii="Arial" w:hAnsi="Arial" w:cs="Arial"/>
          <w:color w:val="000000"/>
          <w:lang w:val="en-US"/>
        </w:rPr>
      </w:pPr>
    </w:p>
    <w:p w:rsidR="005070F3" w:rsidRPr="00A51255" w:rsidRDefault="005070F3" w:rsidP="005070F3">
      <w:pPr>
        <w:spacing w:line="480" w:lineRule="auto"/>
        <w:jc w:val="center"/>
        <w:rPr>
          <w:rFonts w:ascii="Arial" w:hAnsi="Arial" w:cs="Arial"/>
          <w:i/>
          <w:lang w:val="en-US"/>
        </w:rPr>
      </w:pPr>
      <w:r w:rsidRPr="00365BB9">
        <w:rPr>
          <w:rFonts w:ascii="Arial" w:hAnsi="Arial" w:cs="Arial"/>
          <w:i/>
          <w:lang w:val="en-US"/>
        </w:rPr>
        <w:t>[</w:t>
      </w:r>
      <w:r>
        <w:rPr>
          <w:rFonts w:ascii="Arial" w:hAnsi="Arial" w:cs="Arial"/>
          <w:i/>
          <w:lang w:val="en-US"/>
        </w:rPr>
        <w:t>Table 8</w:t>
      </w:r>
      <w:r w:rsidRPr="00365BB9">
        <w:rPr>
          <w:rFonts w:ascii="Arial" w:hAnsi="Arial" w:cs="Arial"/>
          <w:i/>
          <w:lang w:val="en-US"/>
        </w:rPr>
        <w:t xml:space="preserve"> around here]</w:t>
      </w:r>
    </w:p>
    <w:p w:rsidR="005070F3" w:rsidRPr="00A51255" w:rsidRDefault="005070F3" w:rsidP="00471BB1">
      <w:pPr>
        <w:spacing w:line="480" w:lineRule="auto"/>
        <w:ind w:firstLine="708"/>
        <w:jc w:val="both"/>
        <w:rPr>
          <w:rFonts w:ascii="Arial" w:hAnsi="Arial" w:cs="Arial"/>
          <w:color w:val="000000"/>
          <w:lang w:val="en-US"/>
        </w:rPr>
      </w:pPr>
    </w:p>
    <w:p w:rsidR="00E42F27" w:rsidRPr="00A51255" w:rsidRDefault="00E42F27" w:rsidP="00471BB1">
      <w:pPr>
        <w:spacing w:line="480" w:lineRule="auto"/>
        <w:ind w:firstLine="708"/>
        <w:jc w:val="both"/>
        <w:rPr>
          <w:rFonts w:ascii="Arial" w:hAnsi="Arial" w:cs="Arial"/>
          <w:color w:val="000000"/>
          <w:lang w:val="en-US"/>
        </w:rPr>
      </w:pPr>
      <w:r w:rsidRPr="00A51255">
        <w:rPr>
          <w:rFonts w:ascii="Arial" w:hAnsi="Arial" w:cs="Arial"/>
          <w:color w:val="000000"/>
          <w:lang w:val="en-US"/>
        </w:rPr>
        <w:t>Overall, our results show that investors react to surprise central bank announcements significantly and they consider all announcements equally</w:t>
      </w:r>
      <w:r w:rsidR="005D5139">
        <w:rPr>
          <w:rFonts w:ascii="Arial" w:hAnsi="Arial" w:cs="Arial"/>
          <w:color w:val="000000"/>
          <w:lang w:val="en-US"/>
        </w:rPr>
        <w:t>,</w:t>
      </w:r>
      <w:r w:rsidRPr="00A51255">
        <w:rPr>
          <w:rFonts w:ascii="Arial" w:hAnsi="Arial" w:cs="Arial"/>
          <w:color w:val="000000"/>
          <w:lang w:val="en-US"/>
        </w:rPr>
        <w:t xml:space="preserve"> but pay more attention and are more sensitive to relatively larger (i.e. strongly positive or strongly negative) surprises.</w:t>
      </w:r>
    </w:p>
    <w:p w:rsidR="00E42F27" w:rsidRPr="00A51255" w:rsidRDefault="00E3075C" w:rsidP="00E42F27">
      <w:pPr>
        <w:spacing w:line="480" w:lineRule="auto"/>
        <w:ind w:firstLine="708"/>
        <w:jc w:val="both"/>
        <w:rPr>
          <w:rFonts w:ascii="Arial" w:hAnsi="Arial" w:cs="Arial"/>
          <w:color w:val="000000"/>
          <w:lang w:val="en-US"/>
        </w:rPr>
      </w:pPr>
      <w:r w:rsidRPr="00A51255">
        <w:rPr>
          <w:rFonts w:ascii="Arial" w:hAnsi="Arial" w:cs="Arial"/>
          <w:color w:val="000000"/>
          <w:lang w:val="en-US"/>
        </w:rPr>
        <w:t>Another key</w:t>
      </w:r>
      <w:r w:rsidR="000E744B" w:rsidRPr="00A51255">
        <w:rPr>
          <w:rFonts w:ascii="Arial" w:hAnsi="Arial" w:cs="Arial"/>
          <w:color w:val="000000"/>
          <w:lang w:val="en-US"/>
        </w:rPr>
        <w:t xml:space="preserve"> finding in this study is</w:t>
      </w:r>
      <w:r w:rsidR="00E42F27" w:rsidRPr="00A51255">
        <w:rPr>
          <w:rFonts w:ascii="Arial" w:hAnsi="Arial" w:cs="Arial"/>
          <w:color w:val="000000"/>
          <w:lang w:val="en-US"/>
        </w:rPr>
        <w:t xml:space="preserve"> that when the same-day effects </w:t>
      </w:r>
      <w:r w:rsidR="0052496D">
        <w:rPr>
          <w:rFonts w:ascii="Arial" w:hAnsi="Arial" w:cs="Arial"/>
          <w:color w:val="000000"/>
          <w:lang w:val="en-US"/>
        </w:rPr>
        <w:t>we</w:t>
      </w:r>
      <w:r w:rsidR="00E42F27" w:rsidRPr="00A51255">
        <w:rPr>
          <w:rFonts w:ascii="Arial" w:hAnsi="Arial" w:cs="Arial"/>
          <w:color w:val="000000"/>
          <w:lang w:val="en-US"/>
        </w:rPr>
        <w:t>re estimated for the conditional variance, in either volume models or exchange rate models, they are always negative and significant</w:t>
      </w:r>
      <w:r w:rsidR="003F0304" w:rsidRPr="00A51255">
        <w:rPr>
          <w:rFonts w:ascii="Arial" w:hAnsi="Arial" w:cs="Arial"/>
          <w:color w:val="000000"/>
          <w:lang w:val="en-US"/>
        </w:rPr>
        <w:t xml:space="preserve">. We </w:t>
      </w:r>
      <w:r w:rsidR="00E42F27" w:rsidRPr="00A51255">
        <w:rPr>
          <w:rFonts w:ascii="Arial" w:hAnsi="Arial" w:cs="Arial"/>
          <w:color w:val="000000"/>
          <w:lang w:val="en-US"/>
        </w:rPr>
        <w:t xml:space="preserve">interpret </w:t>
      </w:r>
      <w:r w:rsidR="003F0304" w:rsidRPr="00A51255">
        <w:rPr>
          <w:rFonts w:ascii="Arial" w:hAnsi="Arial" w:cs="Arial"/>
          <w:color w:val="000000"/>
          <w:lang w:val="en-US"/>
        </w:rPr>
        <w:t>th</w:t>
      </w:r>
      <w:r w:rsidR="0052496D">
        <w:rPr>
          <w:rFonts w:ascii="Arial" w:hAnsi="Arial" w:cs="Arial"/>
          <w:color w:val="000000"/>
          <w:lang w:val="en-US"/>
        </w:rPr>
        <w:t>is</w:t>
      </w:r>
      <w:r w:rsidR="003F0304" w:rsidRPr="00A51255">
        <w:rPr>
          <w:rFonts w:ascii="Arial" w:hAnsi="Arial" w:cs="Arial"/>
          <w:color w:val="000000"/>
          <w:lang w:val="en-US"/>
        </w:rPr>
        <w:t xml:space="preserve"> </w:t>
      </w:r>
      <w:r w:rsidR="00E42F27" w:rsidRPr="00A51255">
        <w:rPr>
          <w:rFonts w:ascii="Arial" w:hAnsi="Arial" w:cs="Arial"/>
          <w:color w:val="000000"/>
          <w:lang w:val="en-US"/>
        </w:rPr>
        <w:t>as the calming effect of public announcements. However, it</w:t>
      </w:r>
      <w:r w:rsidR="0052496D">
        <w:rPr>
          <w:rFonts w:ascii="Arial" w:hAnsi="Arial" w:cs="Arial"/>
          <w:color w:val="000000"/>
          <w:lang w:val="en-US"/>
        </w:rPr>
        <w:t xml:space="preserve"> is</w:t>
      </w:r>
      <w:r w:rsidR="00E42F27" w:rsidRPr="00A51255">
        <w:rPr>
          <w:rFonts w:ascii="Arial" w:hAnsi="Arial" w:cs="Arial"/>
          <w:color w:val="000000"/>
          <w:lang w:val="en-US"/>
        </w:rPr>
        <w:t xml:space="preserve"> possible that such </w:t>
      </w:r>
      <w:r w:rsidR="0052496D">
        <w:rPr>
          <w:rFonts w:ascii="Arial" w:hAnsi="Arial" w:cs="Arial"/>
          <w:color w:val="000000"/>
          <w:lang w:val="en-US"/>
        </w:rPr>
        <w:t xml:space="preserve">a </w:t>
      </w:r>
      <w:r w:rsidR="00E42F27" w:rsidRPr="00A51255">
        <w:rPr>
          <w:rFonts w:ascii="Arial" w:hAnsi="Arial" w:cs="Arial"/>
          <w:color w:val="000000"/>
          <w:lang w:val="en-US"/>
        </w:rPr>
        <w:t xml:space="preserve">reduction of volatility is related </w:t>
      </w:r>
      <w:r w:rsidR="0052496D" w:rsidRPr="00A51255">
        <w:rPr>
          <w:rFonts w:ascii="Arial" w:hAnsi="Arial" w:cs="Arial"/>
          <w:color w:val="000000"/>
          <w:lang w:val="en-US"/>
        </w:rPr>
        <w:t xml:space="preserve">simply </w:t>
      </w:r>
      <w:r w:rsidR="00E42F27" w:rsidRPr="00A51255">
        <w:rPr>
          <w:rFonts w:ascii="Arial" w:hAnsi="Arial" w:cs="Arial"/>
          <w:color w:val="000000"/>
          <w:lang w:val="en-US"/>
        </w:rPr>
        <w:t>to the fact that significantly fewer people transacted on days in which the monetary authority made an announcement at 4:00 PM in the afternoon.</w:t>
      </w:r>
      <w:r w:rsidR="00E5362D">
        <w:rPr>
          <w:rStyle w:val="FootnoteReference"/>
          <w:rFonts w:ascii="Arial" w:hAnsi="Arial" w:cs="Arial"/>
          <w:color w:val="000000"/>
          <w:lang w:val="en-US"/>
        </w:rPr>
        <w:footnoteReference w:id="26"/>
      </w:r>
      <w:r w:rsidR="00E42F27" w:rsidRPr="00A51255">
        <w:rPr>
          <w:rFonts w:ascii="Arial" w:hAnsi="Arial" w:cs="Arial"/>
          <w:color w:val="000000"/>
          <w:lang w:val="en-US"/>
        </w:rPr>
        <w:t xml:space="preserve"> Below we investigate this issue.</w:t>
      </w:r>
    </w:p>
    <w:p w:rsidR="00B86A71" w:rsidRPr="00A51255" w:rsidRDefault="00E42F27" w:rsidP="00E42F27">
      <w:pPr>
        <w:spacing w:line="480" w:lineRule="auto"/>
        <w:ind w:firstLine="708"/>
        <w:jc w:val="both"/>
        <w:rPr>
          <w:rFonts w:ascii="Arial" w:hAnsi="Arial" w:cs="Arial"/>
          <w:color w:val="000000"/>
          <w:lang w:val="en-US"/>
        </w:rPr>
      </w:pPr>
      <w:r w:rsidRPr="00A51255">
        <w:rPr>
          <w:rFonts w:ascii="Arial" w:hAnsi="Arial" w:cs="Arial"/>
          <w:color w:val="000000"/>
          <w:lang w:val="en-US"/>
        </w:rPr>
        <w:t xml:space="preserve">This question can be answered by </w:t>
      </w:r>
      <w:r w:rsidR="0052496D" w:rsidRPr="00A51255">
        <w:rPr>
          <w:rFonts w:ascii="Arial" w:hAnsi="Arial" w:cs="Arial"/>
          <w:color w:val="000000"/>
          <w:lang w:val="en-US"/>
        </w:rPr>
        <w:t xml:space="preserve">directly </w:t>
      </w:r>
      <w:r w:rsidRPr="00A51255">
        <w:rPr>
          <w:rFonts w:ascii="Arial" w:hAnsi="Arial" w:cs="Arial"/>
          <w:color w:val="000000"/>
          <w:lang w:val="en-US"/>
        </w:rPr>
        <w:t>analyzing</w:t>
      </w:r>
      <w:r w:rsidR="00D2625B" w:rsidRPr="00A51255">
        <w:rPr>
          <w:rFonts w:ascii="Arial" w:hAnsi="Arial" w:cs="Arial"/>
          <w:color w:val="000000"/>
          <w:lang w:val="en-US"/>
        </w:rPr>
        <w:t xml:space="preserve"> </w:t>
      </w:r>
      <w:r w:rsidRPr="00A51255">
        <w:rPr>
          <w:rFonts w:ascii="Arial" w:hAnsi="Arial" w:cs="Arial"/>
          <w:color w:val="000000"/>
          <w:lang w:val="en-US"/>
        </w:rPr>
        <w:t>th</w:t>
      </w:r>
      <w:r w:rsidR="00B86A71" w:rsidRPr="00A51255">
        <w:rPr>
          <w:rFonts w:ascii="Arial" w:hAnsi="Arial" w:cs="Arial"/>
          <w:color w:val="000000"/>
          <w:lang w:val="en-US"/>
        </w:rPr>
        <w:t>e estimates in Tables 3</w:t>
      </w:r>
      <w:r w:rsidR="00FE08AB">
        <w:rPr>
          <w:rFonts w:ascii="Arial" w:hAnsi="Arial" w:cs="Arial"/>
          <w:color w:val="000000"/>
          <w:lang w:val="en-US"/>
        </w:rPr>
        <w:t>a-3b</w:t>
      </w:r>
      <w:r w:rsidR="00B86A71" w:rsidRPr="00A51255">
        <w:rPr>
          <w:rFonts w:ascii="Arial" w:hAnsi="Arial" w:cs="Arial"/>
          <w:color w:val="000000"/>
          <w:lang w:val="en-US"/>
        </w:rPr>
        <w:t xml:space="preserve">, </w:t>
      </w:r>
      <w:r w:rsidR="0052496D">
        <w:rPr>
          <w:rFonts w:ascii="Arial" w:hAnsi="Arial" w:cs="Arial"/>
          <w:color w:val="000000"/>
          <w:lang w:val="en-US"/>
        </w:rPr>
        <w:t xml:space="preserve">and </w:t>
      </w:r>
      <w:r w:rsidR="00B86A71" w:rsidRPr="00A51255">
        <w:rPr>
          <w:rFonts w:ascii="Arial" w:hAnsi="Arial" w:cs="Arial"/>
          <w:color w:val="000000"/>
          <w:lang w:val="en-US"/>
        </w:rPr>
        <w:t>4</w:t>
      </w:r>
      <w:r w:rsidR="00FE08AB">
        <w:rPr>
          <w:rFonts w:ascii="Arial" w:hAnsi="Arial" w:cs="Arial"/>
          <w:color w:val="000000"/>
          <w:lang w:val="en-US"/>
        </w:rPr>
        <w:t>a-4b</w:t>
      </w:r>
      <w:r w:rsidR="00B86A71" w:rsidRPr="00A51255">
        <w:rPr>
          <w:rFonts w:ascii="Arial" w:hAnsi="Arial" w:cs="Arial"/>
          <w:color w:val="000000"/>
          <w:lang w:val="en-US"/>
        </w:rPr>
        <w:t xml:space="preserve">. </w:t>
      </w:r>
      <w:r w:rsidR="00BF37B1">
        <w:rPr>
          <w:rFonts w:ascii="Arial" w:hAnsi="Arial" w:cs="Arial"/>
          <w:color w:val="000000"/>
          <w:lang w:val="en-US"/>
        </w:rPr>
        <w:t>Table</w:t>
      </w:r>
      <w:r w:rsidR="00035A15">
        <w:rPr>
          <w:rFonts w:ascii="Arial" w:hAnsi="Arial" w:cs="Arial"/>
          <w:color w:val="000000"/>
          <w:lang w:val="en-US"/>
        </w:rPr>
        <w:t>s</w:t>
      </w:r>
      <w:r w:rsidR="00BF37B1">
        <w:rPr>
          <w:rFonts w:ascii="Arial" w:hAnsi="Arial" w:cs="Arial"/>
          <w:color w:val="000000"/>
          <w:lang w:val="en-US"/>
        </w:rPr>
        <w:t xml:space="preserve"> 4a</w:t>
      </w:r>
      <w:r w:rsidR="00035A15">
        <w:rPr>
          <w:rFonts w:ascii="Arial" w:hAnsi="Arial" w:cs="Arial"/>
          <w:color w:val="000000"/>
          <w:lang w:val="en-US"/>
        </w:rPr>
        <w:t xml:space="preserve"> and 4b</w:t>
      </w:r>
      <w:r w:rsidR="00B86A71" w:rsidRPr="00A51255">
        <w:rPr>
          <w:rFonts w:ascii="Arial" w:hAnsi="Arial" w:cs="Arial"/>
          <w:color w:val="000000"/>
          <w:lang w:val="en-US"/>
        </w:rPr>
        <w:t xml:space="preserve"> </w:t>
      </w:r>
      <w:r w:rsidRPr="00A51255">
        <w:rPr>
          <w:rFonts w:ascii="Arial" w:hAnsi="Arial" w:cs="Arial"/>
          <w:color w:val="000000"/>
          <w:lang w:val="en-US"/>
        </w:rPr>
        <w:t xml:space="preserve">present estimation results for dummy variables from the mean equation of the volume of trade models where the dependent variable is the </w:t>
      </w:r>
      <w:r w:rsidR="00B86A71" w:rsidRPr="00A51255">
        <w:rPr>
          <w:rFonts w:ascii="Arial" w:hAnsi="Arial" w:cs="Arial"/>
          <w:color w:val="000000"/>
          <w:lang w:val="en-US"/>
        </w:rPr>
        <w:t xml:space="preserve">number of trades in the PLN/USD. </w:t>
      </w:r>
      <w:r w:rsidRPr="00A51255">
        <w:rPr>
          <w:rFonts w:ascii="Arial" w:hAnsi="Arial" w:cs="Arial"/>
          <w:color w:val="000000"/>
          <w:lang w:val="en-US"/>
        </w:rPr>
        <w:t>We compare th</w:t>
      </w:r>
      <w:r w:rsidR="0052496D">
        <w:rPr>
          <w:rFonts w:ascii="Arial" w:hAnsi="Arial" w:cs="Arial"/>
          <w:color w:val="000000"/>
          <w:lang w:val="en-US"/>
        </w:rPr>
        <w:t>e</w:t>
      </w:r>
      <w:r w:rsidRPr="00A51255">
        <w:rPr>
          <w:rFonts w:ascii="Arial" w:hAnsi="Arial" w:cs="Arial"/>
          <w:color w:val="000000"/>
          <w:lang w:val="en-US"/>
        </w:rPr>
        <w:t xml:space="preserve">se results with the statistically significant estimates of the dummies from the variance equations presented in Tables </w:t>
      </w:r>
      <w:r w:rsidR="00B86A71" w:rsidRPr="00A51255">
        <w:rPr>
          <w:rFonts w:ascii="Arial" w:hAnsi="Arial" w:cs="Arial"/>
          <w:color w:val="000000"/>
          <w:lang w:val="en-US"/>
        </w:rPr>
        <w:t>3</w:t>
      </w:r>
      <w:r w:rsidR="00054F3C">
        <w:rPr>
          <w:rFonts w:ascii="Arial" w:hAnsi="Arial" w:cs="Arial"/>
          <w:color w:val="000000"/>
          <w:lang w:val="en-US"/>
        </w:rPr>
        <w:t>a-3b</w:t>
      </w:r>
      <w:r w:rsidR="00B86A71" w:rsidRPr="00A51255">
        <w:rPr>
          <w:rFonts w:ascii="Arial" w:hAnsi="Arial" w:cs="Arial"/>
          <w:color w:val="000000"/>
          <w:lang w:val="en-US"/>
        </w:rPr>
        <w:t xml:space="preserve"> and 4</w:t>
      </w:r>
      <w:r w:rsidR="00054F3C">
        <w:rPr>
          <w:rFonts w:ascii="Arial" w:hAnsi="Arial" w:cs="Arial"/>
          <w:color w:val="000000"/>
          <w:lang w:val="en-US"/>
        </w:rPr>
        <w:t>a-4b</w:t>
      </w:r>
      <w:r w:rsidR="00B86A71" w:rsidRPr="00A51255">
        <w:rPr>
          <w:rFonts w:ascii="Arial" w:hAnsi="Arial" w:cs="Arial"/>
          <w:color w:val="000000"/>
          <w:lang w:val="en-US"/>
        </w:rPr>
        <w:t>.</w:t>
      </w:r>
    </w:p>
    <w:p w:rsidR="00E42F27" w:rsidRPr="00A51255" w:rsidRDefault="00E42F27" w:rsidP="00E42F27">
      <w:pPr>
        <w:spacing w:line="480" w:lineRule="auto"/>
        <w:ind w:firstLine="708"/>
        <w:jc w:val="both"/>
        <w:rPr>
          <w:rFonts w:ascii="Arial" w:hAnsi="Arial" w:cs="Arial"/>
          <w:color w:val="000000"/>
          <w:lang w:val="en-US"/>
        </w:rPr>
      </w:pPr>
      <w:r w:rsidRPr="00C73303">
        <w:rPr>
          <w:rFonts w:ascii="Arial" w:hAnsi="Arial" w:cs="Arial"/>
          <w:color w:val="000000"/>
          <w:lang w:val="en-US"/>
        </w:rPr>
        <w:t>The estimation results point towards a clear conclusion that there is no case where any dummy variable that is statistically significant in any of the variance equations either in</w:t>
      </w:r>
      <w:r w:rsidRPr="00A51255">
        <w:rPr>
          <w:rFonts w:ascii="Arial" w:hAnsi="Arial" w:cs="Arial"/>
          <w:color w:val="000000"/>
          <w:lang w:val="en-US"/>
        </w:rPr>
        <w:t xml:space="preserve"> time </w:t>
      </w:r>
      <w:r w:rsidRPr="00A51255">
        <w:rPr>
          <w:i/>
          <w:color w:val="000000"/>
          <w:lang w:val="en-US"/>
        </w:rPr>
        <w:t>t</w:t>
      </w:r>
      <w:r w:rsidRPr="00A51255">
        <w:rPr>
          <w:rFonts w:ascii="Arial" w:hAnsi="Arial" w:cs="Arial"/>
          <w:color w:val="000000"/>
          <w:lang w:val="en-US"/>
        </w:rPr>
        <w:t xml:space="preserve"> or time </w:t>
      </w:r>
      <w:r w:rsidRPr="00A51255">
        <w:rPr>
          <w:i/>
          <w:color w:val="000000"/>
          <w:lang w:val="en-US"/>
        </w:rPr>
        <w:t>t+1</w:t>
      </w:r>
      <w:r w:rsidRPr="00A51255">
        <w:rPr>
          <w:rFonts w:ascii="Arial" w:hAnsi="Arial" w:cs="Arial"/>
          <w:color w:val="000000"/>
          <w:lang w:val="en-US"/>
        </w:rPr>
        <w:t xml:space="preserve"> is </w:t>
      </w:r>
      <w:r w:rsidR="00EE4B5C" w:rsidRPr="00A51255">
        <w:rPr>
          <w:rFonts w:ascii="Arial" w:hAnsi="Arial" w:cs="Arial"/>
          <w:color w:val="000000"/>
          <w:lang w:val="en-US"/>
        </w:rPr>
        <w:t xml:space="preserve">also </w:t>
      </w:r>
      <w:r w:rsidRPr="00A51255">
        <w:rPr>
          <w:rFonts w:ascii="Arial" w:hAnsi="Arial" w:cs="Arial"/>
          <w:color w:val="000000"/>
          <w:lang w:val="en-US"/>
        </w:rPr>
        <w:t xml:space="preserve">statistically significant and </w:t>
      </w:r>
      <w:r w:rsidRPr="00A51255">
        <w:rPr>
          <w:rFonts w:ascii="Arial" w:hAnsi="Arial" w:cs="Arial"/>
          <w:i/>
          <w:color w:val="000000"/>
          <w:lang w:val="en-US"/>
        </w:rPr>
        <w:t>negative</w:t>
      </w:r>
      <w:r w:rsidRPr="00A51255">
        <w:rPr>
          <w:rFonts w:ascii="Arial" w:hAnsi="Arial" w:cs="Arial"/>
          <w:color w:val="000000"/>
          <w:lang w:val="en-US"/>
        </w:rPr>
        <w:t xml:space="preserve"> as a corresponding estimate in the mean equation of the volume of trade model (in </w:t>
      </w:r>
      <w:r w:rsidR="00BF37B1">
        <w:rPr>
          <w:rFonts w:ascii="Arial" w:hAnsi="Arial" w:cs="Arial"/>
          <w:color w:val="000000"/>
          <w:lang w:val="en-US"/>
        </w:rPr>
        <w:t>Table</w:t>
      </w:r>
      <w:r w:rsidR="006F63B4">
        <w:rPr>
          <w:rFonts w:ascii="Arial" w:hAnsi="Arial" w:cs="Arial"/>
          <w:color w:val="000000"/>
          <w:lang w:val="en-US"/>
        </w:rPr>
        <w:t>s</w:t>
      </w:r>
      <w:r w:rsidR="00BF37B1">
        <w:rPr>
          <w:rFonts w:ascii="Arial" w:hAnsi="Arial" w:cs="Arial"/>
          <w:color w:val="000000"/>
          <w:lang w:val="en-US"/>
        </w:rPr>
        <w:t xml:space="preserve"> 4a</w:t>
      </w:r>
      <w:r w:rsidR="006F63B4">
        <w:rPr>
          <w:rFonts w:ascii="Arial" w:hAnsi="Arial" w:cs="Arial"/>
          <w:color w:val="000000"/>
          <w:lang w:val="en-US"/>
        </w:rPr>
        <w:t xml:space="preserve"> or 4b</w:t>
      </w:r>
      <w:r w:rsidRPr="00A51255">
        <w:rPr>
          <w:rFonts w:ascii="Arial" w:hAnsi="Arial" w:cs="Arial"/>
          <w:color w:val="000000"/>
          <w:lang w:val="en-US"/>
        </w:rPr>
        <w:t>).</w:t>
      </w:r>
    </w:p>
    <w:p w:rsidR="00E42F27" w:rsidRPr="00A51255" w:rsidRDefault="00E42F27" w:rsidP="00E42F27">
      <w:pPr>
        <w:spacing w:line="480" w:lineRule="auto"/>
        <w:ind w:firstLine="708"/>
        <w:jc w:val="both"/>
        <w:rPr>
          <w:rFonts w:ascii="Arial" w:hAnsi="Arial" w:cs="Arial"/>
          <w:color w:val="000000"/>
          <w:lang w:val="en-US"/>
        </w:rPr>
      </w:pPr>
      <w:r w:rsidRPr="00A51255">
        <w:rPr>
          <w:rFonts w:ascii="Arial" w:hAnsi="Arial" w:cs="Arial"/>
          <w:color w:val="000000"/>
          <w:lang w:val="en-US"/>
        </w:rPr>
        <w:t xml:space="preserve">On the contrary, for the estimates that were statistically significant in Tables </w:t>
      </w:r>
      <w:r w:rsidR="0053427E" w:rsidRPr="00A51255">
        <w:rPr>
          <w:rFonts w:ascii="Arial" w:hAnsi="Arial" w:cs="Arial"/>
          <w:color w:val="000000"/>
          <w:lang w:val="en-US"/>
        </w:rPr>
        <w:t>3</w:t>
      </w:r>
      <w:r w:rsidR="00E979AB">
        <w:rPr>
          <w:rFonts w:ascii="Arial" w:hAnsi="Arial" w:cs="Arial"/>
          <w:color w:val="000000"/>
          <w:lang w:val="en-US"/>
        </w:rPr>
        <w:t>a-3b</w:t>
      </w:r>
      <w:r w:rsidRPr="00A51255">
        <w:rPr>
          <w:rFonts w:ascii="Arial" w:hAnsi="Arial" w:cs="Arial"/>
          <w:color w:val="000000"/>
          <w:lang w:val="en-US"/>
        </w:rPr>
        <w:t xml:space="preserve"> and </w:t>
      </w:r>
      <w:r w:rsidR="00F714A7" w:rsidRPr="00A51255">
        <w:rPr>
          <w:rFonts w:ascii="Arial" w:hAnsi="Arial" w:cs="Arial"/>
          <w:color w:val="000000"/>
          <w:lang w:val="en-US"/>
        </w:rPr>
        <w:t>4</w:t>
      </w:r>
      <w:r w:rsidR="00E979AB">
        <w:rPr>
          <w:rFonts w:ascii="Arial" w:hAnsi="Arial" w:cs="Arial"/>
          <w:color w:val="000000"/>
          <w:lang w:val="en-US"/>
        </w:rPr>
        <w:t>a-4b</w:t>
      </w:r>
      <w:r w:rsidRPr="00A51255">
        <w:rPr>
          <w:rFonts w:ascii="Arial" w:hAnsi="Arial" w:cs="Arial"/>
          <w:color w:val="000000"/>
          <w:lang w:val="en-US"/>
        </w:rPr>
        <w:t xml:space="preserve"> (and </w:t>
      </w:r>
      <w:r w:rsidR="00924A15" w:rsidRPr="00A51255">
        <w:rPr>
          <w:rFonts w:ascii="Arial" w:hAnsi="Arial" w:cs="Arial"/>
          <w:color w:val="000000"/>
          <w:lang w:val="en-US"/>
        </w:rPr>
        <w:t xml:space="preserve">they </w:t>
      </w:r>
      <w:r w:rsidR="007727DF" w:rsidRPr="00A51255">
        <w:rPr>
          <w:rFonts w:ascii="Arial" w:hAnsi="Arial" w:cs="Arial"/>
          <w:color w:val="000000"/>
          <w:lang w:val="en-US"/>
        </w:rPr>
        <w:t xml:space="preserve">always </w:t>
      </w:r>
      <w:r w:rsidR="00924A15" w:rsidRPr="00A51255">
        <w:rPr>
          <w:rFonts w:ascii="Arial" w:hAnsi="Arial" w:cs="Arial"/>
          <w:color w:val="000000"/>
          <w:lang w:val="en-US"/>
        </w:rPr>
        <w:t xml:space="preserve">have </w:t>
      </w:r>
      <w:r w:rsidR="007727DF" w:rsidRPr="00A51255">
        <w:rPr>
          <w:rFonts w:ascii="Arial" w:hAnsi="Arial" w:cs="Arial"/>
          <w:i/>
          <w:color w:val="000000"/>
          <w:lang w:val="en-US"/>
        </w:rPr>
        <w:t>negative</w:t>
      </w:r>
      <w:r w:rsidR="007727DF" w:rsidRPr="00A51255">
        <w:rPr>
          <w:rFonts w:ascii="Arial" w:hAnsi="Arial" w:cs="Arial"/>
          <w:color w:val="000000"/>
          <w:lang w:val="en-US"/>
        </w:rPr>
        <w:t xml:space="preserve"> signs)</w:t>
      </w:r>
      <w:r w:rsidRPr="00A51255">
        <w:rPr>
          <w:rFonts w:ascii="Arial" w:hAnsi="Arial" w:cs="Arial"/>
          <w:color w:val="000000"/>
          <w:lang w:val="en-US"/>
        </w:rPr>
        <w:t xml:space="preserve"> the corresponding estimates of dummies in the </w:t>
      </w:r>
      <w:r w:rsidR="00D141FA" w:rsidRPr="00A51255">
        <w:rPr>
          <w:rFonts w:ascii="Arial" w:hAnsi="Arial" w:cs="Arial"/>
          <w:color w:val="000000"/>
          <w:lang w:val="en-US"/>
        </w:rPr>
        <w:t xml:space="preserve">volume of trade models in </w:t>
      </w:r>
      <w:r w:rsidR="00BF37B1">
        <w:rPr>
          <w:rFonts w:ascii="Arial" w:hAnsi="Arial" w:cs="Arial"/>
          <w:color w:val="000000"/>
          <w:lang w:val="en-US"/>
        </w:rPr>
        <w:t>Table</w:t>
      </w:r>
      <w:r w:rsidR="00E979AB">
        <w:rPr>
          <w:rFonts w:ascii="Arial" w:hAnsi="Arial" w:cs="Arial"/>
          <w:color w:val="000000"/>
          <w:lang w:val="en-US"/>
        </w:rPr>
        <w:t>s</w:t>
      </w:r>
      <w:r w:rsidR="00BF37B1">
        <w:rPr>
          <w:rFonts w:ascii="Arial" w:hAnsi="Arial" w:cs="Arial"/>
          <w:color w:val="000000"/>
          <w:lang w:val="en-US"/>
        </w:rPr>
        <w:t xml:space="preserve"> 4a</w:t>
      </w:r>
      <w:r w:rsidR="00E979AB">
        <w:rPr>
          <w:rFonts w:ascii="Arial" w:hAnsi="Arial" w:cs="Arial"/>
          <w:color w:val="000000"/>
          <w:lang w:val="en-US"/>
        </w:rPr>
        <w:t xml:space="preserve"> and 4b</w:t>
      </w:r>
      <w:r w:rsidRPr="00A51255">
        <w:rPr>
          <w:rFonts w:ascii="Arial" w:hAnsi="Arial" w:cs="Arial"/>
          <w:color w:val="000000"/>
          <w:lang w:val="en-US"/>
        </w:rPr>
        <w:t xml:space="preserve"> that were also statistically significant</w:t>
      </w:r>
      <w:r w:rsidR="00762013" w:rsidRPr="00A51255">
        <w:rPr>
          <w:rFonts w:ascii="Arial" w:hAnsi="Arial" w:cs="Arial"/>
          <w:color w:val="000000"/>
          <w:lang w:val="en-US"/>
        </w:rPr>
        <w:t xml:space="preserve">, </w:t>
      </w:r>
      <w:r w:rsidRPr="00A51255">
        <w:rPr>
          <w:rFonts w:ascii="Arial" w:hAnsi="Arial" w:cs="Arial"/>
          <w:color w:val="000000"/>
          <w:lang w:val="en-US"/>
        </w:rPr>
        <w:t xml:space="preserve">have </w:t>
      </w:r>
      <w:r w:rsidRPr="00A51255">
        <w:rPr>
          <w:rFonts w:ascii="Arial" w:hAnsi="Arial" w:cs="Arial"/>
          <w:i/>
          <w:color w:val="000000"/>
          <w:lang w:val="en-US"/>
        </w:rPr>
        <w:t>positive</w:t>
      </w:r>
      <w:r w:rsidRPr="00A51255">
        <w:rPr>
          <w:rFonts w:ascii="Arial" w:hAnsi="Arial" w:cs="Arial"/>
          <w:color w:val="000000"/>
          <w:lang w:val="en-US"/>
        </w:rPr>
        <w:t xml:space="preserve"> signs (i.e. strongly positive </w:t>
      </w:r>
      <w:r w:rsidRPr="00A51255">
        <w:rPr>
          <w:i/>
          <w:color w:val="000000"/>
          <w:lang w:val="en-US"/>
        </w:rPr>
        <w:t>MS</w:t>
      </w:r>
      <w:r w:rsidRPr="00A51255">
        <w:rPr>
          <w:rFonts w:ascii="Arial" w:hAnsi="Arial" w:cs="Arial"/>
          <w:color w:val="000000"/>
          <w:lang w:val="en-US"/>
        </w:rPr>
        <w:t xml:space="preserve"> in time </w:t>
      </w:r>
      <w:r w:rsidRPr="00A51255">
        <w:rPr>
          <w:i/>
          <w:color w:val="000000"/>
          <w:lang w:val="en-US"/>
        </w:rPr>
        <w:t>t</w:t>
      </w:r>
      <w:r w:rsidR="002F7555">
        <w:rPr>
          <w:rFonts w:ascii="Arial" w:hAnsi="Arial" w:cs="Arial"/>
          <w:color w:val="000000"/>
          <w:lang w:val="en-US"/>
        </w:rPr>
        <w:t xml:space="preserve">, strongly </w:t>
      </w:r>
      <w:r w:rsidRPr="00A51255">
        <w:rPr>
          <w:rFonts w:ascii="Arial" w:hAnsi="Arial" w:cs="Arial"/>
          <w:color w:val="000000"/>
          <w:lang w:val="en-US"/>
        </w:rPr>
        <w:t xml:space="preserve">negative </w:t>
      </w:r>
      <w:r w:rsidRPr="00A51255">
        <w:rPr>
          <w:i/>
          <w:color w:val="000000"/>
          <w:lang w:val="en-US"/>
        </w:rPr>
        <w:t>RM</w:t>
      </w:r>
      <w:r w:rsidRPr="00A51255">
        <w:rPr>
          <w:rFonts w:ascii="Arial" w:hAnsi="Arial" w:cs="Arial"/>
          <w:color w:val="000000"/>
          <w:lang w:val="en-US"/>
        </w:rPr>
        <w:t xml:space="preserve"> in time </w:t>
      </w:r>
      <w:r w:rsidRPr="00A51255">
        <w:rPr>
          <w:i/>
          <w:color w:val="000000"/>
          <w:lang w:val="en-US"/>
        </w:rPr>
        <w:t>t</w:t>
      </w:r>
      <w:r w:rsidR="002F7555">
        <w:rPr>
          <w:i/>
          <w:color w:val="000000"/>
          <w:lang w:val="en-US"/>
        </w:rPr>
        <w:t xml:space="preserve"> </w:t>
      </w:r>
      <w:r w:rsidR="002F7555" w:rsidRPr="002F7555">
        <w:rPr>
          <w:rFonts w:ascii="Arial" w:hAnsi="Arial" w:cs="Arial"/>
          <w:color w:val="000000"/>
          <w:lang w:val="en-US"/>
        </w:rPr>
        <w:t xml:space="preserve">and </w:t>
      </w:r>
      <w:r w:rsidR="002F7555">
        <w:rPr>
          <w:rFonts w:ascii="Arial" w:hAnsi="Arial" w:cs="Arial"/>
          <w:color w:val="000000"/>
          <w:lang w:val="en-US"/>
        </w:rPr>
        <w:t>strongly negative</w:t>
      </w:r>
      <w:r w:rsidR="002F7555" w:rsidRPr="00A51255">
        <w:rPr>
          <w:rFonts w:ascii="Arial" w:hAnsi="Arial" w:cs="Arial"/>
          <w:color w:val="000000"/>
          <w:lang w:val="en-US"/>
        </w:rPr>
        <w:t xml:space="preserve"> </w:t>
      </w:r>
      <w:r w:rsidR="002F7555" w:rsidRPr="00A51255">
        <w:rPr>
          <w:i/>
          <w:color w:val="000000"/>
          <w:lang w:val="en-US"/>
        </w:rPr>
        <w:t>MS</w:t>
      </w:r>
      <w:r w:rsidR="002F7555" w:rsidRPr="00A51255">
        <w:rPr>
          <w:rFonts w:ascii="Arial" w:hAnsi="Arial" w:cs="Arial"/>
          <w:color w:val="000000"/>
          <w:lang w:val="en-US"/>
        </w:rPr>
        <w:t xml:space="preserve"> in time </w:t>
      </w:r>
      <w:r w:rsidR="002F7555" w:rsidRPr="00A51255">
        <w:rPr>
          <w:i/>
          <w:color w:val="000000"/>
          <w:lang w:val="en-US"/>
        </w:rPr>
        <w:t>t</w:t>
      </w:r>
      <w:r w:rsidR="002F7555">
        <w:rPr>
          <w:i/>
          <w:color w:val="000000"/>
          <w:lang w:val="en-US"/>
        </w:rPr>
        <w:t>+1</w:t>
      </w:r>
      <w:r w:rsidRPr="00A51255">
        <w:rPr>
          <w:rFonts w:ascii="Arial" w:hAnsi="Arial" w:cs="Arial"/>
          <w:color w:val="000000"/>
          <w:lang w:val="en-US"/>
        </w:rPr>
        <w:t xml:space="preserve">). </w:t>
      </w:r>
    </w:p>
    <w:p w:rsidR="00E42F27" w:rsidRPr="00A51255" w:rsidRDefault="00E42F27" w:rsidP="00E42F27">
      <w:pPr>
        <w:spacing w:line="480" w:lineRule="auto"/>
        <w:ind w:firstLine="708"/>
        <w:jc w:val="both"/>
        <w:rPr>
          <w:rFonts w:ascii="Arial" w:hAnsi="Arial" w:cs="Arial"/>
          <w:color w:val="000000"/>
          <w:lang w:val="en-US"/>
        </w:rPr>
      </w:pPr>
      <w:r w:rsidRPr="00A51255">
        <w:rPr>
          <w:rFonts w:ascii="Arial" w:hAnsi="Arial" w:cs="Arial"/>
          <w:color w:val="000000"/>
          <w:lang w:val="en-US"/>
        </w:rPr>
        <w:lastRenderedPageBreak/>
        <w:t>Hence, there is clearly no evidence that the statistically significant calming effects identified in the variance equations coincide with the statistically significant decrease of trading volume on those days</w:t>
      </w:r>
      <w:r w:rsidR="00DE60AC">
        <w:rPr>
          <w:rFonts w:ascii="Arial" w:hAnsi="Arial" w:cs="Arial"/>
          <w:color w:val="000000"/>
          <w:lang w:val="en-US"/>
        </w:rPr>
        <w:t>. In other words, there is no evidence</w:t>
      </w:r>
      <w:r w:rsidRPr="00A51255">
        <w:rPr>
          <w:rFonts w:ascii="Arial" w:hAnsi="Arial" w:cs="Arial"/>
          <w:color w:val="000000"/>
          <w:lang w:val="en-US"/>
        </w:rPr>
        <w:t xml:space="preserve"> that there was a decreased market activity and that fewer people transacted on those days.</w:t>
      </w:r>
      <w:r w:rsidRPr="00A51255">
        <w:rPr>
          <w:rStyle w:val="FootnoteReference"/>
          <w:rFonts w:ascii="Arial" w:hAnsi="Arial" w:cs="Arial"/>
          <w:color w:val="000000"/>
          <w:lang w:val="en-US"/>
        </w:rPr>
        <w:footnoteReference w:id="27"/>
      </w:r>
    </w:p>
    <w:p w:rsidR="0001577C" w:rsidRDefault="0001577C" w:rsidP="00FE4560">
      <w:pPr>
        <w:spacing w:line="480" w:lineRule="auto"/>
        <w:jc w:val="both"/>
        <w:rPr>
          <w:rFonts w:ascii="Arial" w:hAnsi="Arial" w:cs="Arial"/>
          <w:b/>
          <w:lang w:val="en-US"/>
        </w:rPr>
      </w:pPr>
    </w:p>
    <w:p w:rsidR="00525DFC" w:rsidRPr="00A51255" w:rsidRDefault="00303F42" w:rsidP="00241706">
      <w:pPr>
        <w:spacing w:line="480" w:lineRule="auto"/>
        <w:ind w:firstLine="708"/>
        <w:jc w:val="both"/>
        <w:rPr>
          <w:rFonts w:ascii="Arial" w:hAnsi="Arial" w:cs="Arial"/>
          <w:b/>
          <w:lang w:val="en-US"/>
        </w:rPr>
      </w:pPr>
      <w:r>
        <w:rPr>
          <w:rFonts w:ascii="Arial" w:hAnsi="Arial" w:cs="Arial"/>
          <w:b/>
          <w:lang w:val="en-US"/>
        </w:rPr>
        <w:t>8</w:t>
      </w:r>
      <w:r w:rsidR="00525DFC" w:rsidRPr="00A51255">
        <w:rPr>
          <w:rFonts w:ascii="Arial" w:hAnsi="Arial" w:cs="Arial"/>
          <w:b/>
          <w:lang w:val="en-US"/>
        </w:rPr>
        <w:t>. Conclusion</w:t>
      </w:r>
      <w:r w:rsidR="004354A7" w:rsidRPr="00A51255">
        <w:rPr>
          <w:rFonts w:ascii="Arial" w:hAnsi="Arial" w:cs="Arial"/>
          <w:b/>
          <w:lang w:val="en-US"/>
        </w:rPr>
        <w:t xml:space="preserve">s </w:t>
      </w:r>
      <w:r w:rsidR="001A51EB" w:rsidRPr="00A51255">
        <w:rPr>
          <w:rFonts w:ascii="Arial" w:hAnsi="Arial" w:cs="Arial"/>
          <w:b/>
          <w:lang w:val="en-US"/>
        </w:rPr>
        <w:t>and Policy</w:t>
      </w:r>
      <w:r w:rsidR="004579B7" w:rsidRPr="00A51255">
        <w:rPr>
          <w:rFonts w:ascii="Arial" w:hAnsi="Arial" w:cs="Arial"/>
          <w:b/>
          <w:lang w:val="en-US"/>
        </w:rPr>
        <w:t xml:space="preserve"> </w:t>
      </w:r>
      <w:r w:rsidR="004354A7" w:rsidRPr="00A51255">
        <w:rPr>
          <w:rFonts w:ascii="Arial" w:hAnsi="Arial" w:cs="Arial"/>
          <w:b/>
          <w:lang w:val="en-US"/>
        </w:rPr>
        <w:t>Implications</w:t>
      </w:r>
    </w:p>
    <w:p w:rsidR="00B52F8C" w:rsidRPr="00A51255" w:rsidRDefault="00525DFC" w:rsidP="002D328F">
      <w:pPr>
        <w:spacing w:line="480" w:lineRule="auto"/>
        <w:jc w:val="both"/>
        <w:rPr>
          <w:rFonts w:ascii="Arial" w:hAnsi="Arial" w:cs="Arial"/>
          <w:lang w:val="en-US"/>
        </w:rPr>
      </w:pPr>
      <w:r w:rsidRPr="00A51255">
        <w:rPr>
          <w:rFonts w:ascii="Arial" w:hAnsi="Arial" w:cs="Arial"/>
          <w:lang w:val="en-US"/>
        </w:rPr>
        <w:tab/>
      </w:r>
    </w:p>
    <w:p w:rsidR="00D155A5" w:rsidRPr="00A51255" w:rsidRDefault="00913524" w:rsidP="00644927">
      <w:pPr>
        <w:spacing w:line="480" w:lineRule="auto"/>
        <w:ind w:firstLine="708"/>
        <w:jc w:val="both"/>
        <w:rPr>
          <w:rFonts w:ascii="Arial" w:hAnsi="Arial" w:cs="Arial"/>
          <w:lang w:val="en-US"/>
        </w:rPr>
      </w:pPr>
      <w:r w:rsidRPr="00A51255">
        <w:rPr>
          <w:rFonts w:ascii="Arial" w:hAnsi="Arial" w:cs="Arial"/>
          <w:lang w:val="en-US"/>
        </w:rPr>
        <w:t>In this paper, we employ</w:t>
      </w:r>
      <w:r w:rsidR="0030120A">
        <w:rPr>
          <w:rFonts w:ascii="Arial" w:hAnsi="Arial" w:cs="Arial"/>
          <w:lang w:val="en-US"/>
        </w:rPr>
        <w:t>ed</w:t>
      </w:r>
      <w:r w:rsidRPr="00A51255">
        <w:rPr>
          <w:rFonts w:ascii="Arial" w:hAnsi="Arial" w:cs="Arial"/>
          <w:lang w:val="en-US"/>
        </w:rPr>
        <w:t xml:space="preserve"> a unique database obtained directly from Reuters electronic brokerage platform for currency trading and </w:t>
      </w:r>
      <w:r w:rsidR="00525DFC" w:rsidRPr="00A51255">
        <w:rPr>
          <w:rFonts w:ascii="Arial" w:hAnsi="Arial" w:cs="Arial"/>
          <w:lang w:val="en-US"/>
        </w:rPr>
        <w:t xml:space="preserve">estimate the impact of central bank announcements on </w:t>
      </w:r>
      <w:r w:rsidR="00FC0A19" w:rsidRPr="00A51255">
        <w:rPr>
          <w:rFonts w:ascii="Arial" w:hAnsi="Arial" w:cs="Arial"/>
          <w:lang w:val="en-US"/>
        </w:rPr>
        <w:t xml:space="preserve">investor behavior by examining changes in </w:t>
      </w:r>
      <w:r w:rsidR="00525DFC" w:rsidRPr="00A51255">
        <w:rPr>
          <w:rFonts w:ascii="Arial" w:hAnsi="Arial" w:cs="Arial"/>
          <w:lang w:val="en-US"/>
        </w:rPr>
        <w:t xml:space="preserve">foreign exchange market returns and trading volume in the Polish market. </w:t>
      </w:r>
      <w:r w:rsidR="00723DDD" w:rsidRPr="00A51255">
        <w:rPr>
          <w:rFonts w:ascii="Arial" w:hAnsi="Arial" w:cs="Arial"/>
          <w:lang w:val="en-US"/>
        </w:rPr>
        <w:t>The sample period studied (</w:t>
      </w:r>
      <w:r w:rsidR="00BD6008" w:rsidRPr="00A51255">
        <w:rPr>
          <w:rFonts w:ascii="Arial" w:hAnsi="Arial" w:cs="Arial"/>
          <w:lang w:val="en-US"/>
        </w:rPr>
        <w:t>2000</w:t>
      </w:r>
      <w:r w:rsidR="00723DDD" w:rsidRPr="00A51255">
        <w:rPr>
          <w:rFonts w:ascii="Arial" w:hAnsi="Arial" w:cs="Arial"/>
          <w:lang w:val="en-US"/>
        </w:rPr>
        <w:t>-2003) is interesting as it captures the time period whe</w:t>
      </w:r>
      <w:r w:rsidR="0030120A">
        <w:rPr>
          <w:rFonts w:ascii="Arial" w:hAnsi="Arial" w:cs="Arial"/>
          <w:lang w:val="en-US"/>
        </w:rPr>
        <w:t>n</w:t>
      </w:r>
      <w:r w:rsidR="00723DDD" w:rsidRPr="00A51255">
        <w:rPr>
          <w:rFonts w:ascii="Arial" w:hAnsi="Arial" w:cs="Arial"/>
          <w:lang w:val="en-US"/>
        </w:rPr>
        <w:t xml:space="preserve"> the National Bank of Poland </w:t>
      </w:r>
      <w:r w:rsidR="00D155A5" w:rsidRPr="00A51255">
        <w:rPr>
          <w:rFonts w:ascii="Arial" w:hAnsi="Arial" w:cs="Arial"/>
          <w:lang w:val="en-US"/>
        </w:rPr>
        <w:t xml:space="preserve">had gained its independence and </w:t>
      </w:r>
      <w:r w:rsidR="00723DDD" w:rsidRPr="00A51255">
        <w:rPr>
          <w:rFonts w:ascii="Arial" w:hAnsi="Arial" w:cs="Arial"/>
          <w:lang w:val="en-US"/>
        </w:rPr>
        <w:t xml:space="preserve">was experiencing </w:t>
      </w:r>
      <w:r w:rsidR="00F11812" w:rsidRPr="00A51255">
        <w:rPr>
          <w:rFonts w:ascii="Arial" w:hAnsi="Arial" w:cs="Arial"/>
          <w:lang w:val="en-US"/>
        </w:rPr>
        <w:t xml:space="preserve">key </w:t>
      </w:r>
      <w:r w:rsidR="00723DDD" w:rsidRPr="00A51255">
        <w:rPr>
          <w:rFonts w:ascii="Arial" w:hAnsi="Arial" w:cs="Arial"/>
          <w:lang w:val="en-US"/>
        </w:rPr>
        <w:t>institutional development</w:t>
      </w:r>
      <w:r w:rsidR="00F11812" w:rsidRPr="00A51255">
        <w:rPr>
          <w:rFonts w:ascii="Arial" w:hAnsi="Arial" w:cs="Arial"/>
          <w:lang w:val="en-US"/>
        </w:rPr>
        <w:t>s</w:t>
      </w:r>
      <w:r w:rsidR="00723DDD" w:rsidRPr="00A51255">
        <w:rPr>
          <w:rFonts w:ascii="Arial" w:hAnsi="Arial" w:cs="Arial"/>
          <w:lang w:val="en-US"/>
        </w:rPr>
        <w:t xml:space="preserve"> </w:t>
      </w:r>
      <w:r w:rsidR="00AE0BDD" w:rsidRPr="00A51255">
        <w:rPr>
          <w:rFonts w:ascii="Arial" w:hAnsi="Arial" w:cs="Arial"/>
          <w:lang w:val="en-US"/>
        </w:rPr>
        <w:t>as the Monetary Policy Council was establishe</w:t>
      </w:r>
      <w:r w:rsidR="00F11812" w:rsidRPr="00A51255">
        <w:rPr>
          <w:rFonts w:ascii="Arial" w:hAnsi="Arial" w:cs="Arial"/>
          <w:lang w:val="en-US"/>
        </w:rPr>
        <w:t>d</w:t>
      </w:r>
      <w:r w:rsidR="00AE0BDD" w:rsidRPr="00A51255">
        <w:rPr>
          <w:rFonts w:ascii="Arial" w:hAnsi="Arial" w:cs="Arial"/>
          <w:lang w:val="en-US"/>
        </w:rPr>
        <w:t xml:space="preserve"> in 1998 </w:t>
      </w:r>
      <w:r w:rsidR="00723DDD" w:rsidRPr="00A51255">
        <w:rPr>
          <w:rFonts w:ascii="Arial" w:hAnsi="Arial" w:cs="Arial"/>
          <w:lang w:val="en-US"/>
        </w:rPr>
        <w:t xml:space="preserve">and </w:t>
      </w:r>
      <w:r w:rsidR="00D155A5" w:rsidRPr="00A51255">
        <w:rPr>
          <w:rFonts w:ascii="Arial" w:hAnsi="Arial" w:cs="Arial"/>
          <w:lang w:val="en-US"/>
        </w:rPr>
        <w:t xml:space="preserve">a new </w:t>
      </w:r>
      <w:r w:rsidR="00723DDD" w:rsidRPr="00A51255">
        <w:rPr>
          <w:rFonts w:ascii="Arial" w:hAnsi="Arial" w:cs="Arial"/>
          <w:lang w:val="en-US"/>
        </w:rPr>
        <w:t>inflation targeting regime</w:t>
      </w:r>
      <w:r w:rsidR="00D155A5" w:rsidRPr="00A51255">
        <w:rPr>
          <w:rFonts w:ascii="Arial" w:hAnsi="Arial" w:cs="Arial"/>
          <w:lang w:val="en-US"/>
        </w:rPr>
        <w:t xml:space="preserve"> was introduced</w:t>
      </w:r>
      <w:r w:rsidR="00AE0BDD" w:rsidRPr="00A51255">
        <w:rPr>
          <w:rFonts w:ascii="Arial" w:hAnsi="Arial" w:cs="Arial"/>
          <w:lang w:val="en-US"/>
        </w:rPr>
        <w:t xml:space="preserve"> in 1999</w:t>
      </w:r>
      <w:r w:rsidR="00723DDD" w:rsidRPr="00A51255">
        <w:rPr>
          <w:rFonts w:ascii="Arial" w:hAnsi="Arial" w:cs="Arial"/>
          <w:lang w:val="en-US"/>
        </w:rPr>
        <w:t xml:space="preserve">. </w:t>
      </w:r>
    </w:p>
    <w:p w:rsidR="001B378A" w:rsidRPr="00A51255" w:rsidRDefault="001B378A" w:rsidP="001B378A">
      <w:pPr>
        <w:spacing w:line="480" w:lineRule="auto"/>
        <w:ind w:firstLine="708"/>
        <w:jc w:val="both"/>
        <w:rPr>
          <w:rFonts w:ascii="Arial" w:hAnsi="Arial" w:cs="Arial"/>
          <w:lang w:val="en-US"/>
        </w:rPr>
      </w:pPr>
      <w:r w:rsidRPr="00A51255">
        <w:rPr>
          <w:rFonts w:ascii="Arial" w:hAnsi="Arial" w:cs="Arial"/>
          <w:lang w:val="en-US"/>
        </w:rPr>
        <w:t xml:space="preserve">We have provided evidence from foreign exchange rate returns and volume of trade </w:t>
      </w:r>
      <w:r w:rsidRPr="0044295A">
        <w:rPr>
          <w:rFonts w:ascii="Arial" w:hAnsi="Arial" w:cs="Arial"/>
          <w:lang w:val="en-US"/>
        </w:rPr>
        <w:t>models and found that central bank announce</w:t>
      </w:r>
      <w:r w:rsidR="003C0B00" w:rsidRPr="0044295A">
        <w:rPr>
          <w:rFonts w:ascii="Arial" w:hAnsi="Arial" w:cs="Arial"/>
          <w:lang w:val="en-US"/>
        </w:rPr>
        <w:t>ments affect the returns and</w:t>
      </w:r>
      <w:r w:rsidRPr="0044295A">
        <w:rPr>
          <w:rFonts w:ascii="Arial" w:hAnsi="Arial" w:cs="Arial"/>
          <w:lang w:val="en-US"/>
        </w:rPr>
        <w:t xml:space="preserve"> trading volume</w:t>
      </w:r>
      <w:r w:rsidR="003C0B00" w:rsidRPr="0044295A">
        <w:rPr>
          <w:rFonts w:ascii="Arial" w:hAnsi="Arial" w:cs="Arial"/>
          <w:lang w:val="en-US"/>
        </w:rPr>
        <w:t>,</w:t>
      </w:r>
      <w:r w:rsidRPr="0044295A">
        <w:rPr>
          <w:rFonts w:ascii="Arial" w:hAnsi="Arial" w:cs="Arial"/>
          <w:lang w:val="en-US"/>
        </w:rPr>
        <w:t xml:space="preserve"> </w:t>
      </w:r>
      <w:r w:rsidR="00DA2FEF">
        <w:rPr>
          <w:rFonts w:ascii="Arial" w:hAnsi="Arial" w:cs="Arial"/>
          <w:lang w:val="en-US"/>
        </w:rPr>
        <w:t>and also</w:t>
      </w:r>
      <w:r w:rsidRPr="0044295A">
        <w:rPr>
          <w:rFonts w:ascii="Arial" w:hAnsi="Arial" w:cs="Arial"/>
          <w:lang w:val="en-US"/>
        </w:rPr>
        <w:t xml:space="preserve"> the conditional volatilities of both those variables. The conditional volatility of the returns consistently declines in all cases, whenever any announcement was statistically significant, suggesting that the Polish central bank announcements had resulted</w:t>
      </w:r>
      <w:r w:rsidR="003C0B00" w:rsidRPr="0044295A">
        <w:rPr>
          <w:rFonts w:ascii="Arial" w:hAnsi="Arial" w:cs="Arial"/>
          <w:lang w:val="en-US"/>
        </w:rPr>
        <w:t xml:space="preserve"> in a decline in the risk</w:t>
      </w:r>
      <w:r w:rsidRPr="0044295A">
        <w:rPr>
          <w:rFonts w:ascii="Arial" w:hAnsi="Arial" w:cs="Arial"/>
          <w:lang w:val="en-US"/>
        </w:rPr>
        <w:t xml:space="preserve"> (measured here by the conditional variance) in the foreign exchange market.</w:t>
      </w:r>
      <w:r w:rsidRPr="00A51255">
        <w:rPr>
          <w:rFonts w:ascii="Arial" w:hAnsi="Arial" w:cs="Arial"/>
          <w:lang w:val="en-US"/>
        </w:rPr>
        <w:t xml:space="preserve"> </w:t>
      </w:r>
    </w:p>
    <w:p w:rsidR="001B378A" w:rsidRPr="00A51255" w:rsidRDefault="001B378A" w:rsidP="00644927">
      <w:pPr>
        <w:spacing w:line="480" w:lineRule="auto"/>
        <w:ind w:firstLine="708"/>
        <w:jc w:val="both"/>
        <w:rPr>
          <w:rFonts w:ascii="Arial" w:hAnsi="Arial" w:cs="Arial"/>
          <w:lang w:val="en-US"/>
        </w:rPr>
      </w:pPr>
      <w:r w:rsidRPr="00A51255">
        <w:rPr>
          <w:rFonts w:ascii="Arial" w:hAnsi="Arial" w:cs="Arial"/>
          <w:lang w:val="en-US"/>
        </w:rPr>
        <w:t xml:space="preserve">We interpret these negative effects in variances as </w:t>
      </w:r>
      <w:r w:rsidR="00C6109E" w:rsidRPr="00A51255">
        <w:rPr>
          <w:rFonts w:ascii="Arial" w:hAnsi="Arial" w:cs="Arial"/>
          <w:lang w:val="en-US"/>
        </w:rPr>
        <w:t>calming e</w:t>
      </w:r>
      <w:r w:rsidR="00035429" w:rsidRPr="00A51255">
        <w:rPr>
          <w:rFonts w:ascii="Arial" w:hAnsi="Arial" w:cs="Arial"/>
          <w:lang w:val="en-US"/>
        </w:rPr>
        <w:t xml:space="preserve">ffects of </w:t>
      </w:r>
      <w:r w:rsidR="00702B60" w:rsidRPr="00A51255">
        <w:rPr>
          <w:rFonts w:ascii="Arial" w:hAnsi="Arial" w:cs="Arial"/>
          <w:lang w:val="en-US"/>
        </w:rPr>
        <w:t xml:space="preserve">the </w:t>
      </w:r>
      <w:r w:rsidR="00035429" w:rsidRPr="00A51255">
        <w:rPr>
          <w:rFonts w:ascii="Arial" w:hAnsi="Arial" w:cs="Arial"/>
          <w:lang w:val="en-US"/>
        </w:rPr>
        <w:t>NBP communication</w:t>
      </w:r>
      <w:r w:rsidR="00C6109E" w:rsidRPr="00A51255">
        <w:rPr>
          <w:rFonts w:ascii="Arial" w:hAnsi="Arial" w:cs="Arial"/>
          <w:lang w:val="en-US"/>
        </w:rPr>
        <w:t>.</w:t>
      </w:r>
      <w:r w:rsidR="00990459">
        <w:rPr>
          <w:rFonts w:ascii="Arial" w:hAnsi="Arial" w:cs="Arial"/>
          <w:lang w:val="en-US"/>
        </w:rPr>
        <w:t xml:space="preserve"> </w:t>
      </w:r>
      <w:r w:rsidR="00213AB5" w:rsidRPr="00A51255">
        <w:rPr>
          <w:rFonts w:ascii="Arial" w:hAnsi="Arial" w:cs="Arial"/>
          <w:lang w:val="en-US"/>
        </w:rPr>
        <w:t>Next,</w:t>
      </w:r>
      <w:r w:rsidR="00C5740C" w:rsidRPr="00A51255">
        <w:rPr>
          <w:rFonts w:ascii="Arial" w:hAnsi="Arial" w:cs="Arial"/>
          <w:lang w:val="en-US"/>
        </w:rPr>
        <w:t xml:space="preserve"> we analyz</w:t>
      </w:r>
      <w:r w:rsidRPr="00A51255">
        <w:rPr>
          <w:rFonts w:ascii="Arial" w:hAnsi="Arial" w:cs="Arial"/>
          <w:lang w:val="en-US"/>
        </w:rPr>
        <w:t xml:space="preserve">ed effects in mean equations and found that central bank </w:t>
      </w:r>
      <w:r w:rsidRPr="00A51255">
        <w:rPr>
          <w:rFonts w:ascii="Arial" w:hAnsi="Arial" w:cs="Arial"/>
          <w:lang w:val="en-US"/>
        </w:rPr>
        <w:lastRenderedPageBreak/>
        <w:t>communication affects the currency market volume of trade. An important finding is that trading volume always rises on the days of NBP announcements, whenever any announcement was statistically significant, suggesting that there had been an increase in investors</w:t>
      </w:r>
      <w:r w:rsidR="009A27E3">
        <w:rPr>
          <w:rFonts w:ascii="Arial" w:hAnsi="Arial" w:cs="Arial"/>
          <w:lang w:val="en-US"/>
        </w:rPr>
        <w:t>’</w:t>
      </w:r>
      <w:r w:rsidRPr="00A51255">
        <w:rPr>
          <w:rFonts w:ascii="Arial" w:hAnsi="Arial" w:cs="Arial"/>
          <w:lang w:val="en-US"/>
        </w:rPr>
        <w:t xml:space="preserve"> trading activity when such important information is revealed by the central bank. </w:t>
      </w:r>
    </w:p>
    <w:p w:rsidR="008D4511" w:rsidRPr="00A51255" w:rsidRDefault="00F07058" w:rsidP="008D4511">
      <w:pPr>
        <w:spacing w:line="480" w:lineRule="auto"/>
        <w:ind w:firstLine="708"/>
        <w:jc w:val="both"/>
        <w:rPr>
          <w:rFonts w:ascii="Arial" w:hAnsi="Arial" w:cs="Arial"/>
          <w:lang w:val="en-US"/>
        </w:rPr>
      </w:pPr>
      <w:r w:rsidRPr="00A51255">
        <w:rPr>
          <w:rFonts w:ascii="Arial" w:hAnsi="Arial" w:cs="Arial"/>
          <w:lang w:val="en-US"/>
        </w:rPr>
        <w:t>In addition, w</w:t>
      </w:r>
      <w:r w:rsidR="00213AB5" w:rsidRPr="00A51255">
        <w:rPr>
          <w:rFonts w:ascii="Arial" w:hAnsi="Arial" w:cs="Arial"/>
          <w:lang w:val="en-US"/>
        </w:rPr>
        <w:t xml:space="preserve">e have also illustrated that the decline in uncertainty </w:t>
      </w:r>
      <w:r w:rsidR="003E2113" w:rsidRPr="00A51255">
        <w:rPr>
          <w:rFonts w:ascii="Arial" w:hAnsi="Arial" w:cs="Arial"/>
          <w:lang w:val="en-US"/>
        </w:rPr>
        <w:t xml:space="preserve">contributed to </w:t>
      </w:r>
      <w:r w:rsidR="009A27E3">
        <w:rPr>
          <w:rFonts w:ascii="Arial" w:hAnsi="Arial" w:cs="Arial"/>
          <w:lang w:val="en-US"/>
        </w:rPr>
        <w:t>an</w:t>
      </w:r>
      <w:r w:rsidR="003E2113" w:rsidRPr="00A51255">
        <w:rPr>
          <w:rFonts w:ascii="Arial" w:hAnsi="Arial" w:cs="Arial"/>
          <w:lang w:val="en-US"/>
        </w:rPr>
        <w:t xml:space="preserve"> </w:t>
      </w:r>
      <w:r w:rsidR="00213AB5" w:rsidRPr="00A51255">
        <w:rPr>
          <w:rFonts w:ascii="Arial" w:hAnsi="Arial" w:cs="Arial"/>
          <w:lang w:val="en-US"/>
        </w:rPr>
        <w:t>increase</w:t>
      </w:r>
      <w:r w:rsidR="003E2113" w:rsidRPr="00A51255">
        <w:rPr>
          <w:rFonts w:ascii="Arial" w:hAnsi="Arial" w:cs="Arial"/>
          <w:lang w:val="en-US"/>
        </w:rPr>
        <w:t xml:space="preserve"> </w:t>
      </w:r>
      <w:r w:rsidR="008F3A1D" w:rsidRPr="00A51255">
        <w:rPr>
          <w:rFonts w:ascii="Arial" w:hAnsi="Arial" w:cs="Arial"/>
          <w:lang w:val="en-US"/>
        </w:rPr>
        <w:t>in trading</w:t>
      </w:r>
      <w:r w:rsidR="00213AB5" w:rsidRPr="00A51255">
        <w:rPr>
          <w:rFonts w:ascii="Arial" w:hAnsi="Arial" w:cs="Arial"/>
          <w:lang w:val="en-US"/>
        </w:rPr>
        <w:t xml:space="preserve"> volume, suggesting</w:t>
      </w:r>
      <w:r w:rsidR="0004638F" w:rsidRPr="00A51255">
        <w:rPr>
          <w:rFonts w:ascii="Arial" w:hAnsi="Arial" w:cs="Arial"/>
          <w:lang w:val="en-US"/>
        </w:rPr>
        <w:t xml:space="preserve"> further</w:t>
      </w:r>
      <w:r w:rsidR="00213AB5" w:rsidRPr="00A51255">
        <w:rPr>
          <w:rFonts w:ascii="Arial" w:hAnsi="Arial" w:cs="Arial"/>
          <w:lang w:val="en-US"/>
        </w:rPr>
        <w:t xml:space="preserve"> </w:t>
      </w:r>
      <w:r w:rsidR="00352AA1" w:rsidRPr="00A51255">
        <w:rPr>
          <w:rFonts w:ascii="Arial" w:hAnsi="Arial" w:cs="Arial"/>
          <w:lang w:val="en-US"/>
        </w:rPr>
        <w:t xml:space="preserve">that </w:t>
      </w:r>
      <w:r w:rsidR="00213AB5" w:rsidRPr="00A51255">
        <w:rPr>
          <w:rFonts w:ascii="Arial" w:hAnsi="Arial" w:cs="Arial"/>
          <w:lang w:val="en-US"/>
        </w:rPr>
        <w:t xml:space="preserve">central bank communication can be useful for improving market development </w:t>
      </w:r>
      <w:r w:rsidR="004F5D2F" w:rsidRPr="00A51255">
        <w:rPr>
          <w:rFonts w:ascii="Arial" w:hAnsi="Arial" w:cs="Arial"/>
          <w:lang w:val="en-US"/>
        </w:rPr>
        <w:t xml:space="preserve">in terms of higher trading activity </w:t>
      </w:r>
      <w:r w:rsidR="003E2113" w:rsidRPr="00A51255">
        <w:rPr>
          <w:rFonts w:ascii="Arial" w:hAnsi="Arial" w:cs="Arial"/>
          <w:lang w:val="en-US"/>
        </w:rPr>
        <w:t xml:space="preserve">and reducing market volatility </w:t>
      </w:r>
      <w:r w:rsidR="00213AB5" w:rsidRPr="00A51255">
        <w:rPr>
          <w:rFonts w:ascii="Arial" w:hAnsi="Arial" w:cs="Arial"/>
          <w:lang w:val="en-US"/>
        </w:rPr>
        <w:t>in the early years of financial market</w:t>
      </w:r>
      <w:r w:rsidR="003E2113" w:rsidRPr="00A51255">
        <w:rPr>
          <w:rFonts w:ascii="Arial" w:hAnsi="Arial" w:cs="Arial"/>
          <w:lang w:val="en-US"/>
        </w:rPr>
        <w:t xml:space="preserve"> development</w:t>
      </w:r>
      <w:r w:rsidR="00213AB5" w:rsidRPr="00A51255">
        <w:rPr>
          <w:rFonts w:ascii="Arial" w:hAnsi="Arial" w:cs="Arial"/>
          <w:lang w:val="en-US"/>
        </w:rPr>
        <w:t>.</w:t>
      </w:r>
      <w:r w:rsidR="004F5D2F" w:rsidRPr="00A51255">
        <w:rPr>
          <w:rFonts w:ascii="Arial" w:hAnsi="Arial" w:cs="Arial"/>
          <w:lang w:val="en-US"/>
        </w:rPr>
        <w:t xml:space="preserve"> </w:t>
      </w:r>
    </w:p>
    <w:p w:rsidR="002869A6" w:rsidRPr="00A51255" w:rsidRDefault="00130420" w:rsidP="008D4511">
      <w:pPr>
        <w:spacing w:line="480" w:lineRule="auto"/>
        <w:ind w:firstLine="708"/>
        <w:jc w:val="both"/>
        <w:rPr>
          <w:rFonts w:ascii="Arial" w:hAnsi="Arial" w:cs="Arial"/>
          <w:lang w:val="en-US"/>
        </w:rPr>
      </w:pPr>
      <w:r w:rsidRPr="00A51255">
        <w:rPr>
          <w:rFonts w:ascii="Arial" w:hAnsi="Arial" w:cs="Arial"/>
          <w:lang w:val="en-US"/>
        </w:rPr>
        <w:t xml:space="preserve">All </w:t>
      </w:r>
      <w:r w:rsidR="009A27E3">
        <w:rPr>
          <w:rFonts w:ascii="Arial" w:hAnsi="Arial" w:cs="Arial"/>
          <w:lang w:val="en-US"/>
        </w:rPr>
        <w:t xml:space="preserve">our </w:t>
      </w:r>
      <w:r w:rsidRPr="00A51255">
        <w:rPr>
          <w:rFonts w:ascii="Arial" w:hAnsi="Arial" w:cs="Arial"/>
          <w:lang w:val="en-US"/>
        </w:rPr>
        <w:t xml:space="preserve">estimation results are robust to day of the week effects which were either not statistically significant in </w:t>
      </w:r>
      <w:r w:rsidR="00AA7594" w:rsidRPr="00A51255">
        <w:rPr>
          <w:rFonts w:ascii="Arial" w:hAnsi="Arial" w:cs="Arial"/>
          <w:lang w:val="en-US"/>
        </w:rPr>
        <w:t>any of the</w:t>
      </w:r>
      <w:r w:rsidRPr="00A51255">
        <w:rPr>
          <w:rFonts w:ascii="Arial" w:hAnsi="Arial" w:cs="Arial"/>
          <w:lang w:val="en-US"/>
        </w:rPr>
        <w:t xml:space="preserve"> exchange rate models or did not affect the estimates of the NBP announcement dummies in other </w:t>
      </w:r>
      <w:r w:rsidR="00AA7594" w:rsidRPr="00A51255">
        <w:rPr>
          <w:rFonts w:ascii="Arial" w:hAnsi="Arial" w:cs="Arial"/>
          <w:lang w:val="en-US"/>
        </w:rPr>
        <w:t>(</w:t>
      </w:r>
      <w:r w:rsidRPr="00A51255">
        <w:rPr>
          <w:rFonts w:ascii="Arial" w:hAnsi="Arial" w:cs="Arial"/>
          <w:lang w:val="en-US"/>
        </w:rPr>
        <w:t>limited</w:t>
      </w:r>
      <w:r w:rsidR="00AA7594" w:rsidRPr="00A51255">
        <w:rPr>
          <w:rFonts w:ascii="Arial" w:hAnsi="Arial" w:cs="Arial"/>
          <w:lang w:val="en-US"/>
        </w:rPr>
        <w:t>)</w:t>
      </w:r>
      <w:r w:rsidRPr="00A51255">
        <w:rPr>
          <w:rFonts w:ascii="Arial" w:hAnsi="Arial" w:cs="Arial"/>
          <w:lang w:val="en-US"/>
        </w:rPr>
        <w:t xml:space="preserve"> cases in the volume of trade models.</w:t>
      </w:r>
    </w:p>
    <w:p w:rsidR="002869A6" w:rsidRPr="00A51255" w:rsidRDefault="00FC3F1A" w:rsidP="00130420">
      <w:pPr>
        <w:spacing w:line="480" w:lineRule="auto"/>
        <w:ind w:firstLine="708"/>
        <w:jc w:val="both"/>
        <w:rPr>
          <w:rFonts w:ascii="Arial" w:hAnsi="Arial" w:cs="Arial"/>
          <w:lang w:val="en-US"/>
        </w:rPr>
      </w:pPr>
      <w:r w:rsidRPr="00A51255">
        <w:rPr>
          <w:rFonts w:ascii="Arial" w:hAnsi="Arial" w:cs="Arial"/>
          <w:lang w:val="en-US"/>
        </w:rPr>
        <w:t>We</w:t>
      </w:r>
      <w:r w:rsidR="00130420" w:rsidRPr="00A51255">
        <w:rPr>
          <w:rFonts w:ascii="Arial" w:hAnsi="Arial" w:cs="Arial"/>
          <w:lang w:val="en-US"/>
        </w:rPr>
        <w:t xml:space="preserve"> </w:t>
      </w:r>
      <w:r w:rsidR="00702B60" w:rsidRPr="00A51255">
        <w:rPr>
          <w:rFonts w:ascii="Arial" w:hAnsi="Arial" w:cs="Arial"/>
          <w:lang w:val="en-US"/>
        </w:rPr>
        <w:t xml:space="preserve">also </w:t>
      </w:r>
      <w:r w:rsidR="00130420" w:rsidRPr="00A51255">
        <w:rPr>
          <w:rFonts w:ascii="Arial" w:hAnsi="Arial" w:cs="Arial"/>
          <w:lang w:val="en-US"/>
        </w:rPr>
        <w:t xml:space="preserve">investigated the evolution of NBP announcements effects over time in two equal sub-periods and we found evidence that these effects </w:t>
      </w:r>
      <w:r w:rsidR="004B352F" w:rsidRPr="00A51255">
        <w:rPr>
          <w:rFonts w:ascii="Arial" w:hAnsi="Arial" w:cs="Arial"/>
          <w:lang w:val="en-US"/>
        </w:rPr>
        <w:t xml:space="preserve">did </w:t>
      </w:r>
      <w:r w:rsidR="009A27E3">
        <w:rPr>
          <w:rFonts w:ascii="Arial" w:hAnsi="Arial" w:cs="Arial"/>
          <w:lang w:val="en-US"/>
        </w:rPr>
        <w:t xml:space="preserve">indeed </w:t>
      </w:r>
      <w:r w:rsidR="00130420" w:rsidRPr="00A51255">
        <w:rPr>
          <w:rFonts w:ascii="Arial" w:hAnsi="Arial" w:cs="Arial"/>
          <w:lang w:val="en-US"/>
        </w:rPr>
        <w:t>strengthen. H</w:t>
      </w:r>
      <w:r w:rsidR="004B352F" w:rsidRPr="00A51255">
        <w:rPr>
          <w:rFonts w:ascii="Arial" w:hAnsi="Arial" w:cs="Arial"/>
          <w:lang w:val="en-US"/>
        </w:rPr>
        <w:t>e</w:t>
      </w:r>
      <w:r w:rsidR="002869A6" w:rsidRPr="00A51255">
        <w:rPr>
          <w:rFonts w:ascii="Arial" w:hAnsi="Arial" w:cs="Arial"/>
          <w:lang w:val="en-US"/>
        </w:rPr>
        <w:t>nce, we can conclude that that the currency market in Poland and the foreign exchange investors did undergo a learning process about the NBP policy and over time they started to respond more strongly to the NBP communication. The impact of the NBP announcements did increase over time as the NBP was maturing as a newly independent central bank.</w:t>
      </w:r>
    </w:p>
    <w:p w:rsidR="002869A6" w:rsidRPr="00A51255" w:rsidRDefault="00850117" w:rsidP="00644927">
      <w:pPr>
        <w:spacing w:line="480" w:lineRule="auto"/>
        <w:ind w:firstLine="708"/>
        <w:jc w:val="both"/>
        <w:rPr>
          <w:rFonts w:ascii="Arial" w:hAnsi="Arial" w:cs="Arial"/>
          <w:lang w:val="en-US"/>
        </w:rPr>
      </w:pPr>
      <w:r>
        <w:rPr>
          <w:rFonts w:ascii="Arial" w:hAnsi="Arial" w:cs="Arial"/>
          <w:lang w:val="en-US"/>
        </w:rPr>
        <w:t xml:space="preserve">Finally, we </w:t>
      </w:r>
      <w:r w:rsidR="00130420" w:rsidRPr="00A51255">
        <w:rPr>
          <w:rFonts w:ascii="Arial" w:hAnsi="Arial" w:cs="Arial"/>
          <w:lang w:val="en-US"/>
        </w:rPr>
        <w:t xml:space="preserve">explored possible profit opportunities for currency market investors based on the statistically significant estimates of </w:t>
      </w:r>
      <w:r w:rsidR="004B352F" w:rsidRPr="00A51255">
        <w:rPr>
          <w:rFonts w:ascii="Arial" w:hAnsi="Arial" w:cs="Arial"/>
          <w:lang w:val="en-US"/>
        </w:rPr>
        <w:t xml:space="preserve">the NBP announcements </w:t>
      </w:r>
      <w:r w:rsidR="00130420" w:rsidRPr="00A51255">
        <w:rPr>
          <w:rFonts w:ascii="Arial" w:hAnsi="Arial" w:cs="Arial"/>
          <w:lang w:val="en-US"/>
        </w:rPr>
        <w:t xml:space="preserve">dummy variables in the exchange rate models, which </w:t>
      </w:r>
      <w:r w:rsidR="004B352F" w:rsidRPr="00A51255">
        <w:rPr>
          <w:rFonts w:ascii="Arial" w:hAnsi="Arial" w:cs="Arial"/>
          <w:lang w:val="en-US"/>
        </w:rPr>
        <w:t>can</w:t>
      </w:r>
      <w:r w:rsidR="00130420" w:rsidRPr="00A51255">
        <w:rPr>
          <w:rFonts w:ascii="Arial" w:hAnsi="Arial" w:cs="Arial"/>
          <w:lang w:val="en-US"/>
        </w:rPr>
        <w:t xml:space="preserve"> be used as predictors of appreciation and depreciation of </w:t>
      </w:r>
      <w:r w:rsidR="004B352F" w:rsidRPr="00A51255">
        <w:rPr>
          <w:rFonts w:ascii="Arial" w:hAnsi="Arial" w:cs="Arial"/>
          <w:lang w:val="en-US"/>
        </w:rPr>
        <w:t xml:space="preserve">the </w:t>
      </w:r>
      <w:r w:rsidR="00130420" w:rsidRPr="00A51255">
        <w:rPr>
          <w:rFonts w:ascii="Arial" w:hAnsi="Arial" w:cs="Arial"/>
          <w:lang w:val="en-US"/>
        </w:rPr>
        <w:t>PLN/USD</w:t>
      </w:r>
      <w:r w:rsidR="004B352F" w:rsidRPr="00A51255">
        <w:rPr>
          <w:rFonts w:ascii="Arial" w:hAnsi="Arial" w:cs="Arial"/>
          <w:lang w:val="en-US"/>
        </w:rPr>
        <w:t xml:space="preserve"> </w:t>
      </w:r>
      <w:r w:rsidR="001605D1" w:rsidRPr="00A51255">
        <w:rPr>
          <w:rFonts w:ascii="Arial" w:hAnsi="Arial" w:cs="Arial"/>
          <w:lang w:val="en-US"/>
        </w:rPr>
        <w:t xml:space="preserve">exchange </w:t>
      </w:r>
      <w:r w:rsidR="004B352F" w:rsidRPr="00A51255">
        <w:rPr>
          <w:rFonts w:ascii="Arial" w:hAnsi="Arial" w:cs="Arial"/>
          <w:lang w:val="en-US"/>
        </w:rPr>
        <w:t>rate</w:t>
      </w:r>
      <w:r w:rsidR="00130420" w:rsidRPr="00A51255">
        <w:rPr>
          <w:rFonts w:ascii="Arial" w:hAnsi="Arial" w:cs="Arial"/>
          <w:lang w:val="en-US"/>
        </w:rPr>
        <w:t xml:space="preserve">. </w:t>
      </w:r>
      <w:r w:rsidR="009A27E3">
        <w:rPr>
          <w:rFonts w:ascii="Arial" w:hAnsi="Arial" w:cs="Arial"/>
          <w:lang w:val="en-US"/>
        </w:rPr>
        <w:t>W</w:t>
      </w:r>
      <w:r w:rsidR="00130420" w:rsidRPr="00A51255">
        <w:rPr>
          <w:rFonts w:ascii="Arial" w:hAnsi="Arial" w:cs="Arial"/>
          <w:lang w:val="en-US"/>
        </w:rPr>
        <w:t xml:space="preserve">e found that for a number of different investment horizons and different levels of transaction costs such profit opportunities did </w:t>
      </w:r>
      <w:r w:rsidR="009A27E3">
        <w:rPr>
          <w:rFonts w:ascii="Arial" w:hAnsi="Arial" w:cs="Arial"/>
          <w:lang w:val="en-US"/>
        </w:rPr>
        <w:t xml:space="preserve">in fact </w:t>
      </w:r>
      <w:r w:rsidR="00130420" w:rsidRPr="00A51255">
        <w:rPr>
          <w:rFonts w:ascii="Arial" w:hAnsi="Arial" w:cs="Arial"/>
          <w:lang w:val="en-US"/>
        </w:rPr>
        <w:t>exist.</w:t>
      </w:r>
    </w:p>
    <w:p w:rsidR="008D4511" w:rsidRPr="00A51255" w:rsidRDefault="008D4511" w:rsidP="008D4511">
      <w:pPr>
        <w:tabs>
          <w:tab w:val="left" w:pos="0"/>
        </w:tabs>
        <w:spacing w:line="480" w:lineRule="auto"/>
        <w:jc w:val="both"/>
        <w:rPr>
          <w:rFonts w:ascii="Arial" w:hAnsi="Arial"/>
          <w:lang w:val="en-US"/>
        </w:rPr>
      </w:pPr>
      <w:r w:rsidRPr="00A51255">
        <w:rPr>
          <w:rFonts w:ascii="Arial" w:hAnsi="Arial"/>
          <w:lang w:val="en-US"/>
        </w:rPr>
        <w:tab/>
      </w:r>
      <w:r w:rsidRPr="001D26FA">
        <w:rPr>
          <w:rFonts w:ascii="Arial" w:hAnsi="Arial"/>
          <w:lang w:val="en-US"/>
        </w:rPr>
        <w:t>The results presented in this study s</w:t>
      </w:r>
      <w:r w:rsidR="00875176" w:rsidRPr="001D26FA">
        <w:rPr>
          <w:rFonts w:ascii="Arial" w:hAnsi="Arial"/>
          <w:lang w:val="en-US"/>
        </w:rPr>
        <w:t xml:space="preserve">upport </w:t>
      </w:r>
      <w:r w:rsidRPr="001D26FA">
        <w:rPr>
          <w:rFonts w:ascii="Arial" w:hAnsi="Arial"/>
          <w:lang w:val="en-US"/>
        </w:rPr>
        <w:t xml:space="preserve">arguments that investors in emerging financial </w:t>
      </w:r>
      <w:r w:rsidR="00875176" w:rsidRPr="001D26FA">
        <w:rPr>
          <w:rFonts w:ascii="Arial" w:hAnsi="Arial"/>
          <w:lang w:val="en-US"/>
        </w:rPr>
        <w:t xml:space="preserve">markets </w:t>
      </w:r>
      <w:r w:rsidRPr="001D26FA">
        <w:rPr>
          <w:rFonts w:ascii="Arial" w:hAnsi="Arial"/>
          <w:lang w:val="en-US"/>
        </w:rPr>
        <w:t>may react differently t</w:t>
      </w:r>
      <w:r w:rsidR="009A27E3">
        <w:rPr>
          <w:rFonts w:ascii="Arial" w:hAnsi="Arial"/>
          <w:lang w:val="en-US"/>
        </w:rPr>
        <w:t>o</w:t>
      </w:r>
      <w:r w:rsidRPr="001D26FA">
        <w:rPr>
          <w:rFonts w:ascii="Arial" w:hAnsi="Arial"/>
          <w:lang w:val="en-US"/>
        </w:rPr>
        <w:t xml:space="preserve"> those in industrial countries</w:t>
      </w:r>
      <w:r w:rsidR="001E39BD">
        <w:rPr>
          <w:rFonts w:ascii="Arial" w:hAnsi="Arial"/>
          <w:lang w:val="en-US"/>
        </w:rPr>
        <w:t>. H</w:t>
      </w:r>
      <w:r w:rsidR="00D9301C" w:rsidRPr="001D26FA">
        <w:rPr>
          <w:rFonts w:ascii="Arial" w:hAnsi="Arial"/>
          <w:lang w:val="en-US"/>
        </w:rPr>
        <w:t>owever</w:t>
      </w:r>
      <w:r w:rsidR="001B1994" w:rsidRPr="001D26FA">
        <w:rPr>
          <w:rFonts w:ascii="Arial" w:hAnsi="Arial"/>
          <w:lang w:val="en-US"/>
        </w:rPr>
        <w:t>,</w:t>
      </w:r>
      <w:r w:rsidRPr="001D26FA">
        <w:rPr>
          <w:rFonts w:ascii="Arial" w:hAnsi="Arial"/>
          <w:lang w:val="en-US"/>
        </w:rPr>
        <w:t xml:space="preserve"> we </w:t>
      </w:r>
      <w:r w:rsidR="009246FD" w:rsidRPr="001D26FA">
        <w:rPr>
          <w:rFonts w:ascii="Arial" w:hAnsi="Arial"/>
          <w:lang w:val="en-US"/>
        </w:rPr>
        <w:t xml:space="preserve">also </w:t>
      </w:r>
      <w:r w:rsidR="00875176" w:rsidRPr="001D26FA">
        <w:rPr>
          <w:rFonts w:ascii="Arial" w:hAnsi="Arial"/>
          <w:lang w:val="en-US"/>
        </w:rPr>
        <w:t>present</w:t>
      </w:r>
      <w:r w:rsidR="009A27E3">
        <w:rPr>
          <w:rFonts w:ascii="Arial" w:hAnsi="Arial"/>
          <w:lang w:val="en-US"/>
        </w:rPr>
        <w:t>ed</w:t>
      </w:r>
      <w:r w:rsidRPr="001D26FA">
        <w:rPr>
          <w:rFonts w:ascii="Arial" w:hAnsi="Arial"/>
          <w:lang w:val="en-US"/>
        </w:rPr>
        <w:t xml:space="preserve"> evidence abou</w:t>
      </w:r>
      <w:r w:rsidR="00D9301C" w:rsidRPr="001D26FA">
        <w:rPr>
          <w:rFonts w:ascii="Arial" w:hAnsi="Arial"/>
          <w:lang w:val="en-US"/>
        </w:rPr>
        <w:t>t the evolution of those responses</w:t>
      </w:r>
      <w:r w:rsidRPr="001D26FA">
        <w:rPr>
          <w:rFonts w:ascii="Arial" w:hAnsi="Arial"/>
          <w:lang w:val="en-US"/>
        </w:rPr>
        <w:t xml:space="preserve"> over time as the Polish central bank NBP was maturing, the Polish monetary authorit</w:t>
      </w:r>
      <w:r w:rsidR="00875176" w:rsidRPr="001D26FA">
        <w:rPr>
          <w:rFonts w:ascii="Arial" w:hAnsi="Arial"/>
          <w:lang w:val="en-US"/>
        </w:rPr>
        <w:t>ies were</w:t>
      </w:r>
      <w:r w:rsidRPr="001D26FA">
        <w:rPr>
          <w:rFonts w:ascii="Arial" w:hAnsi="Arial"/>
          <w:lang w:val="en-US"/>
        </w:rPr>
        <w:t xml:space="preserve"> gaining strength</w:t>
      </w:r>
      <w:r w:rsidR="00093210">
        <w:rPr>
          <w:rFonts w:ascii="Arial" w:hAnsi="Arial"/>
          <w:lang w:val="en-US"/>
        </w:rPr>
        <w:t>,</w:t>
      </w:r>
      <w:r w:rsidR="00875176" w:rsidRPr="001D26FA">
        <w:rPr>
          <w:rFonts w:ascii="Arial" w:hAnsi="Arial"/>
          <w:lang w:val="en-US"/>
        </w:rPr>
        <w:t xml:space="preserve"> the </w:t>
      </w:r>
      <w:r w:rsidRPr="001D26FA">
        <w:rPr>
          <w:rFonts w:ascii="Arial" w:hAnsi="Arial"/>
          <w:lang w:val="en-US"/>
        </w:rPr>
        <w:lastRenderedPageBreak/>
        <w:t xml:space="preserve">confidence of investors </w:t>
      </w:r>
      <w:r w:rsidR="00875176" w:rsidRPr="001D26FA">
        <w:rPr>
          <w:rFonts w:ascii="Arial" w:hAnsi="Arial"/>
          <w:lang w:val="en-US"/>
        </w:rPr>
        <w:t xml:space="preserve">was increasing </w:t>
      </w:r>
      <w:r w:rsidR="002D37CF">
        <w:rPr>
          <w:rFonts w:ascii="Arial" w:hAnsi="Arial"/>
          <w:lang w:val="en-US"/>
        </w:rPr>
        <w:t xml:space="preserve">and </w:t>
      </w:r>
      <w:r w:rsidR="00C14907">
        <w:rPr>
          <w:rFonts w:ascii="Arial" w:hAnsi="Arial"/>
          <w:lang w:val="en-US"/>
        </w:rPr>
        <w:t xml:space="preserve">as </w:t>
      </w:r>
      <w:r w:rsidRPr="001D26FA">
        <w:rPr>
          <w:rFonts w:ascii="Arial" w:hAnsi="Arial"/>
          <w:lang w:val="en-US"/>
        </w:rPr>
        <w:t xml:space="preserve">Poland </w:t>
      </w:r>
      <w:r w:rsidR="009A27E3">
        <w:rPr>
          <w:rFonts w:ascii="Arial" w:hAnsi="Arial"/>
          <w:lang w:val="en-US"/>
        </w:rPr>
        <w:t>w</w:t>
      </w:r>
      <w:r w:rsidRPr="001D26FA">
        <w:rPr>
          <w:rFonts w:ascii="Arial" w:hAnsi="Arial"/>
          <w:lang w:val="en-US"/>
        </w:rPr>
        <w:t xml:space="preserve">as </w:t>
      </w:r>
      <w:r w:rsidR="009A27E3">
        <w:rPr>
          <w:rFonts w:ascii="Arial" w:hAnsi="Arial"/>
          <w:lang w:val="en-US"/>
        </w:rPr>
        <w:t>gradually</w:t>
      </w:r>
      <w:r w:rsidRPr="001D26FA">
        <w:rPr>
          <w:rFonts w:ascii="Arial" w:hAnsi="Arial"/>
          <w:lang w:val="en-US"/>
        </w:rPr>
        <w:t xml:space="preserve"> becoming more integrated with </w:t>
      </w:r>
      <w:r w:rsidR="006F4D44" w:rsidRPr="001D26FA">
        <w:rPr>
          <w:rFonts w:ascii="Arial" w:hAnsi="Arial"/>
          <w:lang w:val="en-US"/>
        </w:rPr>
        <w:t>the global financial system towards joining the European Union in the year 2004.</w:t>
      </w:r>
    </w:p>
    <w:p w:rsidR="00B7687A" w:rsidRPr="00A51255" w:rsidRDefault="007C4CFA" w:rsidP="00E32368">
      <w:pPr>
        <w:spacing w:line="480" w:lineRule="auto"/>
        <w:ind w:firstLine="709"/>
        <w:jc w:val="both"/>
        <w:rPr>
          <w:rFonts w:ascii="Arial" w:hAnsi="Arial" w:cs="Arial"/>
          <w:lang w:val="en-US"/>
        </w:rPr>
      </w:pPr>
      <w:r w:rsidRPr="00A51255">
        <w:rPr>
          <w:rFonts w:ascii="Arial" w:hAnsi="Arial" w:cs="Arial"/>
          <w:lang w:val="en-US"/>
        </w:rPr>
        <w:t>Our</w:t>
      </w:r>
      <w:r w:rsidR="000A3048" w:rsidRPr="00A51255">
        <w:rPr>
          <w:rFonts w:ascii="Arial" w:hAnsi="Arial" w:cs="Arial"/>
          <w:lang w:val="en-US"/>
        </w:rPr>
        <w:t xml:space="preserve"> </w:t>
      </w:r>
      <w:r w:rsidR="00BA3E3C" w:rsidRPr="00A51255">
        <w:rPr>
          <w:rFonts w:ascii="Arial" w:hAnsi="Arial" w:cs="Arial"/>
          <w:lang w:val="en-US"/>
        </w:rPr>
        <w:t xml:space="preserve">findings </w:t>
      </w:r>
      <w:r w:rsidR="004F5D2F" w:rsidRPr="00A51255">
        <w:rPr>
          <w:rFonts w:ascii="Arial" w:hAnsi="Arial" w:cs="Arial"/>
          <w:lang w:val="en-US"/>
        </w:rPr>
        <w:t xml:space="preserve">also </w:t>
      </w:r>
      <w:r w:rsidR="00BA3E3C" w:rsidRPr="00A51255">
        <w:rPr>
          <w:rFonts w:ascii="Arial" w:hAnsi="Arial" w:cs="Arial"/>
          <w:lang w:val="en-US"/>
        </w:rPr>
        <w:t xml:space="preserve">have broader </w:t>
      </w:r>
      <w:r w:rsidRPr="00A51255">
        <w:rPr>
          <w:rFonts w:ascii="Arial" w:hAnsi="Arial" w:cs="Arial"/>
          <w:lang w:val="en-US"/>
        </w:rPr>
        <w:t>policy</w:t>
      </w:r>
      <w:r w:rsidR="000D2B49" w:rsidRPr="00A51255">
        <w:rPr>
          <w:rFonts w:ascii="Arial" w:hAnsi="Arial" w:cs="Arial"/>
          <w:lang w:val="en-US"/>
        </w:rPr>
        <w:t xml:space="preserve"> and theoretical </w:t>
      </w:r>
      <w:r w:rsidR="00BA3E3C" w:rsidRPr="00A51255">
        <w:rPr>
          <w:rFonts w:ascii="Arial" w:hAnsi="Arial" w:cs="Arial"/>
          <w:lang w:val="en-US"/>
        </w:rPr>
        <w:t>implications.</w:t>
      </w:r>
      <w:r w:rsidR="003B138C" w:rsidRPr="00A51255">
        <w:rPr>
          <w:rFonts w:ascii="Arial" w:hAnsi="Arial" w:cs="Arial"/>
          <w:lang w:val="en-US"/>
        </w:rPr>
        <w:t xml:space="preserve"> </w:t>
      </w:r>
      <w:r w:rsidR="005D17C0" w:rsidRPr="00A51255">
        <w:rPr>
          <w:rFonts w:ascii="Arial" w:hAnsi="Arial" w:cs="Arial"/>
          <w:lang w:val="en-US"/>
        </w:rPr>
        <w:t>We present</w:t>
      </w:r>
      <w:r w:rsidR="009A27E3">
        <w:rPr>
          <w:rFonts w:ascii="Arial" w:hAnsi="Arial" w:cs="Arial"/>
          <w:lang w:val="en-US"/>
        </w:rPr>
        <w:t>ed</w:t>
      </w:r>
      <w:r w:rsidR="005D17C0" w:rsidRPr="00A51255">
        <w:rPr>
          <w:rFonts w:ascii="Arial" w:hAnsi="Arial" w:cs="Arial"/>
          <w:lang w:val="en-US"/>
        </w:rPr>
        <w:t xml:space="preserve"> evidence showing</w:t>
      </w:r>
      <w:r w:rsidR="003B138C" w:rsidRPr="00A51255">
        <w:rPr>
          <w:rFonts w:ascii="Arial" w:hAnsi="Arial" w:cs="Arial"/>
          <w:lang w:val="en-US"/>
        </w:rPr>
        <w:t xml:space="preserve"> that central bank announcements </w:t>
      </w:r>
      <w:r w:rsidR="00723DDD" w:rsidRPr="00A51255">
        <w:rPr>
          <w:rFonts w:ascii="Arial" w:hAnsi="Arial" w:cs="Arial"/>
          <w:lang w:val="en-US"/>
        </w:rPr>
        <w:t>in newly established emerging econom</w:t>
      </w:r>
      <w:r w:rsidR="00243968" w:rsidRPr="00A51255">
        <w:rPr>
          <w:rFonts w:ascii="Arial" w:hAnsi="Arial" w:cs="Arial"/>
          <w:lang w:val="en-US"/>
        </w:rPr>
        <w:t>y</w:t>
      </w:r>
      <w:r w:rsidR="00723DDD" w:rsidRPr="00A51255">
        <w:rPr>
          <w:rFonts w:ascii="Arial" w:hAnsi="Arial" w:cs="Arial"/>
          <w:lang w:val="en-US"/>
        </w:rPr>
        <w:t xml:space="preserve"> going through significant inst</w:t>
      </w:r>
      <w:r w:rsidR="00AE0BDD" w:rsidRPr="00A51255">
        <w:rPr>
          <w:rFonts w:ascii="Arial" w:hAnsi="Arial" w:cs="Arial"/>
          <w:lang w:val="en-US"/>
        </w:rPr>
        <w:t>it</w:t>
      </w:r>
      <w:r w:rsidR="00723DDD" w:rsidRPr="00A51255">
        <w:rPr>
          <w:rFonts w:ascii="Arial" w:hAnsi="Arial" w:cs="Arial"/>
          <w:lang w:val="en-US"/>
        </w:rPr>
        <w:t>utional development</w:t>
      </w:r>
      <w:r w:rsidR="00A42FBB" w:rsidRPr="00A51255">
        <w:rPr>
          <w:rFonts w:ascii="Arial" w:hAnsi="Arial" w:cs="Arial"/>
          <w:lang w:val="en-US"/>
        </w:rPr>
        <w:t>s</w:t>
      </w:r>
      <w:r w:rsidR="00723DDD" w:rsidRPr="00A51255">
        <w:rPr>
          <w:rFonts w:ascii="Arial" w:hAnsi="Arial" w:cs="Arial"/>
          <w:lang w:val="en-US"/>
        </w:rPr>
        <w:t xml:space="preserve"> </w:t>
      </w:r>
      <w:r w:rsidR="00181F9D" w:rsidRPr="00A51255">
        <w:rPr>
          <w:rFonts w:ascii="Arial" w:hAnsi="Arial" w:cs="Arial"/>
          <w:lang w:val="en-US"/>
        </w:rPr>
        <w:t xml:space="preserve">and </w:t>
      </w:r>
      <w:r w:rsidR="00723DDD" w:rsidRPr="00A51255">
        <w:rPr>
          <w:rFonts w:ascii="Arial" w:hAnsi="Arial" w:cs="Arial"/>
          <w:lang w:val="en-US"/>
        </w:rPr>
        <w:t xml:space="preserve">monetary policy changes </w:t>
      </w:r>
      <w:r w:rsidR="00181F9D" w:rsidRPr="00A51255">
        <w:rPr>
          <w:rFonts w:ascii="Arial" w:hAnsi="Arial" w:cs="Arial"/>
          <w:lang w:val="en-US"/>
        </w:rPr>
        <w:t xml:space="preserve">may </w:t>
      </w:r>
      <w:r w:rsidR="00A42FBB" w:rsidRPr="00A51255">
        <w:rPr>
          <w:rFonts w:ascii="Arial" w:hAnsi="Arial" w:cs="Arial"/>
          <w:lang w:val="en-US"/>
        </w:rPr>
        <w:t xml:space="preserve">significantly </w:t>
      </w:r>
      <w:r w:rsidR="00D55E2F" w:rsidRPr="00A51255">
        <w:rPr>
          <w:rFonts w:ascii="Arial" w:hAnsi="Arial" w:cs="Arial"/>
          <w:lang w:val="en-US"/>
        </w:rPr>
        <w:t xml:space="preserve">affect </w:t>
      </w:r>
      <w:r w:rsidR="00213AB5" w:rsidRPr="00A51255">
        <w:rPr>
          <w:rFonts w:ascii="Arial" w:hAnsi="Arial" w:cs="Arial"/>
          <w:lang w:val="en-US"/>
        </w:rPr>
        <w:t xml:space="preserve">trading volume by </w:t>
      </w:r>
      <w:r w:rsidR="00243968" w:rsidRPr="00A51255">
        <w:rPr>
          <w:rFonts w:ascii="Arial" w:hAnsi="Arial" w:cs="Arial"/>
          <w:lang w:val="en-US"/>
        </w:rPr>
        <w:t>influencing</w:t>
      </w:r>
      <w:r w:rsidR="00213AB5" w:rsidRPr="00A51255">
        <w:rPr>
          <w:rFonts w:ascii="Arial" w:hAnsi="Arial" w:cs="Arial"/>
          <w:lang w:val="en-US"/>
        </w:rPr>
        <w:t xml:space="preserve"> </w:t>
      </w:r>
      <w:r w:rsidR="00A42FBB" w:rsidRPr="00A51255">
        <w:rPr>
          <w:rFonts w:ascii="Arial" w:hAnsi="Arial" w:cs="Arial"/>
          <w:lang w:val="en-US"/>
        </w:rPr>
        <w:t>investor</w:t>
      </w:r>
      <w:r w:rsidR="00213AB5" w:rsidRPr="00A51255">
        <w:rPr>
          <w:rFonts w:ascii="Arial" w:hAnsi="Arial" w:cs="Arial"/>
          <w:lang w:val="en-US"/>
        </w:rPr>
        <w:t>s’ decisions</w:t>
      </w:r>
      <w:r w:rsidR="00A42FBB" w:rsidRPr="00A51255">
        <w:rPr>
          <w:rFonts w:ascii="Arial" w:hAnsi="Arial" w:cs="Arial"/>
          <w:lang w:val="en-US"/>
        </w:rPr>
        <w:t xml:space="preserve"> in the foreign exchange market</w:t>
      </w:r>
      <w:r w:rsidR="00D155A5" w:rsidRPr="00A51255">
        <w:rPr>
          <w:rFonts w:ascii="Arial" w:hAnsi="Arial" w:cs="Arial"/>
          <w:lang w:val="en-US"/>
        </w:rPr>
        <w:t xml:space="preserve">. One implication of this </w:t>
      </w:r>
      <w:r w:rsidR="007A7FA0">
        <w:rPr>
          <w:rFonts w:ascii="Arial" w:hAnsi="Arial" w:cs="Arial"/>
          <w:lang w:val="en-US"/>
        </w:rPr>
        <w:t>result</w:t>
      </w:r>
      <w:r w:rsidR="00D155A5" w:rsidRPr="00A51255">
        <w:rPr>
          <w:rFonts w:ascii="Arial" w:hAnsi="Arial" w:cs="Arial"/>
          <w:lang w:val="en-US"/>
        </w:rPr>
        <w:t xml:space="preserve"> is that </w:t>
      </w:r>
      <w:r w:rsidR="00213AB5" w:rsidRPr="00A51255">
        <w:rPr>
          <w:rFonts w:ascii="Arial" w:hAnsi="Arial" w:cs="Arial"/>
          <w:lang w:val="en-US"/>
        </w:rPr>
        <w:t xml:space="preserve">nominal </w:t>
      </w:r>
      <w:r w:rsidR="00D155A5" w:rsidRPr="00A51255">
        <w:rPr>
          <w:rFonts w:ascii="Arial" w:hAnsi="Arial" w:cs="Arial"/>
          <w:lang w:val="en-US"/>
        </w:rPr>
        <w:t>exchange rate</w:t>
      </w:r>
      <w:r w:rsidR="006E2ACD" w:rsidRPr="00A51255">
        <w:rPr>
          <w:rFonts w:ascii="Arial" w:hAnsi="Arial" w:cs="Arial"/>
          <w:lang w:val="en-US"/>
        </w:rPr>
        <w:t xml:space="preserve"> </w:t>
      </w:r>
      <w:r w:rsidR="004F5D2F" w:rsidRPr="00A51255">
        <w:rPr>
          <w:rFonts w:ascii="Arial" w:hAnsi="Arial" w:cs="Arial"/>
          <w:lang w:val="en-US"/>
        </w:rPr>
        <w:t xml:space="preserve">and trading volume </w:t>
      </w:r>
      <w:r w:rsidR="006E2ACD" w:rsidRPr="00A51255">
        <w:rPr>
          <w:rFonts w:ascii="Arial" w:hAnsi="Arial" w:cs="Arial"/>
          <w:lang w:val="en-US"/>
        </w:rPr>
        <w:t>change</w:t>
      </w:r>
      <w:r w:rsidR="00D155A5" w:rsidRPr="00A51255">
        <w:rPr>
          <w:rFonts w:ascii="Arial" w:hAnsi="Arial" w:cs="Arial"/>
          <w:lang w:val="en-US"/>
        </w:rPr>
        <w:t>s</w:t>
      </w:r>
      <w:r w:rsidR="00D55E2F" w:rsidRPr="00A51255">
        <w:rPr>
          <w:rFonts w:ascii="Arial" w:hAnsi="Arial" w:cs="Arial"/>
          <w:lang w:val="en-US"/>
        </w:rPr>
        <w:t xml:space="preserve"> </w:t>
      </w:r>
      <w:r w:rsidR="00EB51CC" w:rsidRPr="00A51255">
        <w:rPr>
          <w:rFonts w:ascii="Arial" w:hAnsi="Arial" w:cs="Arial"/>
          <w:lang w:val="en-US"/>
        </w:rPr>
        <w:t xml:space="preserve">due to central bank communication </w:t>
      </w:r>
      <w:r w:rsidR="00D55E2F" w:rsidRPr="00A51255">
        <w:rPr>
          <w:rFonts w:ascii="Arial" w:hAnsi="Arial" w:cs="Arial"/>
          <w:lang w:val="en-US"/>
        </w:rPr>
        <w:t xml:space="preserve">may </w:t>
      </w:r>
      <w:r w:rsidR="006E2ACD" w:rsidRPr="00A51255">
        <w:rPr>
          <w:rFonts w:ascii="Arial" w:hAnsi="Arial" w:cs="Arial"/>
          <w:lang w:val="en-US"/>
        </w:rPr>
        <w:t>signal information about the transparency</w:t>
      </w:r>
      <w:r w:rsidR="00213AB5" w:rsidRPr="00A51255">
        <w:rPr>
          <w:rFonts w:ascii="Arial" w:hAnsi="Arial" w:cs="Arial"/>
          <w:lang w:val="en-US"/>
        </w:rPr>
        <w:t xml:space="preserve"> or predictability</w:t>
      </w:r>
      <w:r w:rsidR="006E2ACD" w:rsidRPr="00A51255">
        <w:rPr>
          <w:rFonts w:ascii="Arial" w:hAnsi="Arial" w:cs="Arial"/>
          <w:lang w:val="en-US"/>
        </w:rPr>
        <w:t xml:space="preserve"> of an independent central bank </w:t>
      </w:r>
      <w:r w:rsidR="00620B48" w:rsidRPr="00A51255">
        <w:rPr>
          <w:rFonts w:ascii="Arial" w:hAnsi="Arial" w:cs="Arial"/>
          <w:lang w:val="en-US"/>
        </w:rPr>
        <w:t>and its</w:t>
      </w:r>
      <w:r w:rsidR="007B3861" w:rsidRPr="00A51255">
        <w:rPr>
          <w:rFonts w:ascii="Arial" w:hAnsi="Arial" w:cs="Arial"/>
          <w:lang w:val="en-US"/>
        </w:rPr>
        <w:t xml:space="preserve"> actions </w:t>
      </w:r>
      <w:r w:rsidR="000D2B49" w:rsidRPr="00A51255">
        <w:rPr>
          <w:rFonts w:ascii="Arial" w:hAnsi="Arial" w:cs="Arial"/>
          <w:lang w:val="en-US"/>
        </w:rPr>
        <w:t xml:space="preserve">during </w:t>
      </w:r>
      <w:r w:rsidR="00620B48" w:rsidRPr="00A51255">
        <w:rPr>
          <w:rFonts w:ascii="Arial" w:hAnsi="Arial" w:cs="Arial"/>
          <w:lang w:val="en-US"/>
        </w:rPr>
        <w:t>its</w:t>
      </w:r>
      <w:r w:rsidR="006E2ACD" w:rsidRPr="00A51255">
        <w:rPr>
          <w:rFonts w:ascii="Arial" w:hAnsi="Arial" w:cs="Arial"/>
          <w:lang w:val="en-US"/>
        </w:rPr>
        <w:t xml:space="preserve"> </w:t>
      </w:r>
      <w:r w:rsidR="000D2B49" w:rsidRPr="00A51255">
        <w:rPr>
          <w:rFonts w:ascii="Arial" w:hAnsi="Arial" w:cs="Arial"/>
          <w:lang w:val="en-US"/>
        </w:rPr>
        <w:t>early years</w:t>
      </w:r>
      <w:r w:rsidR="00BB56B6" w:rsidRPr="00A51255">
        <w:rPr>
          <w:rFonts w:ascii="Arial" w:hAnsi="Arial" w:cs="Arial"/>
          <w:lang w:val="en-US"/>
        </w:rPr>
        <w:t>.</w:t>
      </w:r>
      <w:r w:rsidR="000D2B49" w:rsidRPr="00A51255">
        <w:rPr>
          <w:rFonts w:ascii="Arial" w:hAnsi="Arial" w:cs="Arial"/>
          <w:lang w:val="en-US"/>
        </w:rPr>
        <w:t xml:space="preserve"> </w:t>
      </w:r>
      <w:r w:rsidR="009A27E3">
        <w:rPr>
          <w:rFonts w:ascii="Arial" w:hAnsi="Arial" w:cs="Arial"/>
          <w:lang w:val="en-US"/>
        </w:rPr>
        <w:t>Further</w:t>
      </w:r>
      <w:r w:rsidR="00D84840">
        <w:rPr>
          <w:rFonts w:ascii="Arial" w:hAnsi="Arial" w:cs="Arial"/>
          <w:lang w:val="en-US"/>
        </w:rPr>
        <w:t>more</w:t>
      </w:r>
      <w:r w:rsidR="007D339A" w:rsidRPr="00A51255">
        <w:rPr>
          <w:rFonts w:ascii="Arial" w:hAnsi="Arial" w:cs="Arial"/>
          <w:lang w:val="en-US"/>
        </w:rPr>
        <w:t xml:space="preserve">, </w:t>
      </w:r>
      <w:r w:rsidR="007D339A" w:rsidRPr="00A51255">
        <w:rPr>
          <w:rFonts w:ascii="Arial" w:hAnsi="Arial"/>
          <w:lang w:val="en-US"/>
        </w:rPr>
        <w:t xml:space="preserve">the empirical link provided here between monetary policy announcements, including those of money supply and reserve money, and exchange rate changes may help better understand how monetary transmission mechanism works in emerging economies. </w:t>
      </w:r>
      <w:r w:rsidR="000D2B49" w:rsidRPr="00A51255">
        <w:rPr>
          <w:rFonts w:ascii="Arial" w:hAnsi="Arial" w:cs="Arial"/>
          <w:lang w:val="en-US"/>
        </w:rPr>
        <w:t>The significance of p</w:t>
      </w:r>
      <w:r w:rsidR="00525DFC" w:rsidRPr="00A51255">
        <w:rPr>
          <w:rFonts w:ascii="Arial" w:hAnsi="Arial" w:cs="Arial"/>
          <w:lang w:val="en-US"/>
        </w:rPr>
        <w:t xml:space="preserve">ublic information arrival, contained in central bank announcements </w:t>
      </w:r>
      <w:r w:rsidR="00D84840">
        <w:rPr>
          <w:rFonts w:ascii="Arial" w:hAnsi="Arial" w:cs="Arial"/>
          <w:lang w:val="en-US"/>
        </w:rPr>
        <w:t>in this study</w:t>
      </w:r>
      <w:r w:rsidR="00525DFC" w:rsidRPr="00A51255">
        <w:rPr>
          <w:rFonts w:ascii="Arial" w:hAnsi="Arial" w:cs="Arial"/>
          <w:lang w:val="en-US"/>
        </w:rPr>
        <w:t xml:space="preserve">, </w:t>
      </w:r>
      <w:r w:rsidR="00C523BB" w:rsidRPr="00A51255">
        <w:rPr>
          <w:rFonts w:ascii="Arial" w:hAnsi="Arial" w:cs="Arial"/>
          <w:lang w:val="en-US"/>
        </w:rPr>
        <w:t>support</w:t>
      </w:r>
      <w:r w:rsidR="000D2B49" w:rsidRPr="00A51255">
        <w:rPr>
          <w:rFonts w:ascii="Arial" w:hAnsi="Arial" w:cs="Arial"/>
          <w:lang w:val="en-US"/>
        </w:rPr>
        <w:t>s</w:t>
      </w:r>
      <w:r w:rsidR="00525DFC" w:rsidRPr="00A51255">
        <w:rPr>
          <w:rFonts w:ascii="Arial" w:hAnsi="Arial" w:cs="Arial"/>
          <w:lang w:val="en-US"/>
        </w:rPr>
        <w:t xml:space="preserve"> theoretical exchange rate models that emphasize the importance of </w:t>
      </w:r>
      <w:r w:rsidR="009A27E3">
        <w:rPr>
          <w:rFonts w:ascii="Arial" w:hAnsi="Arial" w:cs="Arial"/>
          <w:lang w:val="en-US"/>
        </w:rPr>
        <w:t xml:space="preserve">the arrival of </w:t>
      </w:r>
      <w:r w:rsidR="00525DFC" w:rsidRPr="00A51255">
        <w:rPr>
          <w:rFonts w:ascii="Arial" w:hAnsi="Arial" w:cs="Arial"/>
          <w:lang w:val="en-US"/>
        </w:rPr>
        <w:t>public information</w:t>
      </w:r>
      <w:r w:rsidR="007D339A" w:rsidRPr="00A51255">
        <w:rPr>
          <w:rFonts w:ascii="Arial" w:hAnsi="Arial" w:cs="Arial"/>
          <w:lang w:val="en-US"/>
        </w:rPr>
        <w:t xml:space="preserve"> as well</w:t>
      </w:r>
      <w:r w:rsidR="00525DFC" w:rsidRPr="00A51255">
        <w:rPr>
          <w:rFonts w:ascii="Arial" w:hAnsi="Arial" w:cs="Arial"/>
          <w:lang w:val="en-US"/>
        </w:rPr>
        <w:t>.</w:t>
      </w:r>
      <w:r w:rsidR="004354A7" w:rsidRPr="00A51255">
        <w:rPr>
          <w:rFonts w:ascii="Arial" w:hAnsi="Arial" w:cs="Arial"/>
          <w:lang w:val="en-US"/>
        </w:rPr>
        <w:t xml:space="preserve"> </w:t>
      </w:r>
    </w:p>
    <w:p w:rsidR="00D5350E" w:rsidRPr="00A51255" w:rsidRDefault="00665C0F" w:rsidP="00D5350E">
      <w:pPr>
        <w:spacing w:line="480" w:lineRule="auto"/>
        <w:jc w:val="center"/>
        <w:rPr>
          <w:rFonts w:ascii="Arial" w:hAnsi="Arial" w:cs="Arial"/>
          <w:lang w:val="en-US"/>
        </w:rPr>
      </w:pPr>
      <w:r w:rsidRPr="00A51255">
        <w:rPr>
          <w:rFonts w:ascii="Arial" w:hAnsi="Arial" w:cs="Arial"/>
          <w:lang w:val="en-US"/>
        </w:rPr>
        <w:br w:type="page"/>
      </w:r>
    </w:p>
    <w:p w:rsidR="00A6288F" w:rsidRDefault="00A6288F" w:rsidP="00D5350E">
      <w:pPr>
        <w:spacing w:line="480" w:lineRule="auto"/>
        <w:jc w:val="center"/>
        <w:rPr>
          <w:rFonts w:ascii="Arial" w:hAnsi="Arial" w:cs="Arial"/>
          <w:b/>
          <w:sz w:val="22"/>
          <w:szCs w:val="22"/>
          <w:lang w:val="en-US"/>
        </w:rPr>
      </w:pPr>
    </w:p>
    <w:p w:rsidR="00525DFC" w:rsidRPr="00A51255" w:rsidRDefault="00525DFC" w:rsidP="00D5350E">
      <w:pPr>
        <w:spacing w:line="480" w:lineRule="auto"/>
        <w:jc w:val="center"/>
        <w:rPr>
          <w:rFonts w:ascii="Arial" w:hAnsi="Arial" w:cs="Arial"/>
          <w:b/>
          <w:sz w:val="22"/>
          <w:szCs w:val="22"/>
          <w:lang w:val="en-US"/>
        </w:rPr>
      </w:pPr>
      <w:r w:rsidRPr="00A51255">
        <w:rPr>
          <w:rFonts w:ascii="Arial" w:hAnsi="Arial" w:cs="Arial"/>
          <w:b/>
          <w:sz w:val="22"/>
          <w:szCs w:val="22"/>
          <w:lang w:val="en-US"/>
        </w:rPr>
        <w:t>REFERENCES</w:t>
      </w:r>
    </w:p>
    <w:p w:rsidR="00493F94" w:rsidRPr="00A51255" w:rsidRDefault="00493F94" w:rsidP="00493F94">
      <w:pPr>
        <w:jc w:val="both"/>
        <w:rPr>
          <w:rFonts w:ascii="Arial" w:hAnsi="Arial" w:cs="Arial"/>
          <w:sz w:val="22"/>
          <w:szCs w:val="22"/>
          <w:lang w:val="en-US"/>
        </w:rPr>
      </w:pPr>
    </w:p>
    <w:p w:rsidR="00493F94" w:rsidRPr="00A51255" w:rsidRDefault="00493F94" w:rsidP="00493F94">
      <w:pPr>
        <w:jc w:val="both"/>
        <w:rPr>
          <w:rFonts w:ascii="Arial" w:hAnsi="Arial" w:cs="Arial"/>
          <w:sz w:val="22"/>
          <w:szCs w:val="22"/>
          <w:lang w:val="en-US"/>
        </w:rPr>
      </w:pPr>
      <w:r w:rsidRPr="00A51255">
        <w:rPr>
          <w:rFonts w:ascii="Arial" w:hAnsi="Arial" w:cs="Arial"/>
          <w:sz w:val="22"/>
          <w:szCs w:val="22"/>
          <w:lang w:val="en-US"/>
        </w:rPr>
        <w:t>Andersen, T.G.</w:t>
      </w:r>
      <w:r w:rsidR="00CD68A1" w:rsidRPr="00A51255">
        <w:rPr>
          <w:rFonts w:ascii="Arial" w:hAnsi="Arial" w:cs="Arial"/>
          <w:sz w:val="22"/>
          <w:szCs w:val="22"/>
          <w:lang w:val="en-US"/>
        </w:rPr>
        <w:t>,</w:t>
      </w:r>
      <w:r w:rsidRPr="00A51255">
        <w:rPr>
          <w:rFonts w:ascii="Arial" w:hAnsi="Arial" w:cs="Arial"/>
          <w:sz w:val="22"/>
          <w:szCs w:val="22"/>
          <w:lang w:val="en-US"/>
        </w:rPr>
        <w:t xml:space="preserve"> T. Bollerslev, and J. Cai</w:t>
      </w:r>
      <w:r w:rsidR="001952AF" w:rsidRPr="00A51255">
        <w:rPr>
          <w:rFonts w:ascii="Arial" w:hAnsi="Arial" w:cs="Arial"/>
          <w:sz w:val="22"/>
          <w:szCs w:val="22"/>
          <w:lang w:val="en-US"/>
        </w:rPr>
        <w:t>.</w:t>
      </w:r>
      <w:r w:rsidRPr="00A51255">
        <w:rPr>
          <w:rFonts w:ascii="Arial" w:hAnsi="Arial" w:cs="Arial"/>
          <w:sz w:val="22"/>
          <w:szCs w:val="22"/>
          <w:lang w:val="en-US"/>
        </w:rPr>
        <w:t xml:space="preserve"> </w:t>
      </w:r>
      <w:r w:rsidR="001952AF" w:rsidRPr="00A51255">
        <w:rPr>
          <w:rFonts w:ascii="Arial" w:hAnsi="Arial" w:cs="Arial"/>
          <w:sz w:val="22"/>
          <w:szCs w:val="22"/>
          <w:lang w:val="en-US"/>
        </w:rPr>
        <w:t>2000</w:t>
      </w:r>
      <w:r w:rsidRPr="00A51255">
        <w:rPr>
          <w:rFonts w:ascii="Arial" w:hAnsi="Arial" w:cs="Arial"/>
          <w:sz w:val="22"/>
          <w:szCs w:val="22"/>
          <w:lang w:val="en-US"/>
        </w:rPr>
        <w:t xml:space="preserve">. </w:t>
      </w:r>
      <w:r w:rsidR="001952AF" w:rsidRPr="00A51255">
        <w:rPr>
          <w:rFonts w:ascii="Arial" w:hAnsi="Arial" w:cs="Arial"/>
          <w:sz w:val="22"/>
          <w:szCs w:val="22"/>
          <w:lang w:val="en-US"/>
        </w:rPr>
        <w:t>“</w:t>
      </w:r>
      <w:r w:rsidRPr="00A51255">
        <w:rPr>
          <w:rFonts w:ascii="Arial" w:hAnsi="Arial" w:cs="Arial"/>
          <w:sz w:val="22"/>
          <w:szCs w:val="22"/>
          <w:lang w:val="en-US"/>
        </w:rPr>
        <w:t>Intraday and Interday Volatility in the Japanese Stock Market</w:t>
      </w:r>
      <w:r w:rsidR="001952AF" w:rsidRPr="00A51255">
        <w:rPr>
          <w:rFonts w:ascii="Arial" w:hAnsi="Arial" w:cs="Arial"/>
          <w:sz w:val="22"/>
          <w:szCs w:val="22"/>
          <w:lang w:val="en-US"/>
        </w:rPr>
        <w:t>”</w:t>
      </w:r>
      <w:r w:rsidRPr="00A51255">
        <w:rPr>
          <w:rFonts w:ascii="Arial" w:hAnsi="Arial" w:cs="Arial"/>
          <w:sz w:val="22"/>
          <w:szCs w:val="22"/>
          <w:lang w:val="en-US"/>
        </w:rPr>
        <w:t xml:space="preserve">, </w:t>
      </w:r>
      <w:r w:rsidRPr="00A51255">
        <w:rPr>
          <w:rFonts w:ascii="Arial" w:hAnsi="Arial" w:cs="Arial"/>
          <w:i/>
          <w:sz w:val="22"/>
          <w:szCs w:val="22"/>
          <w:lang w:val="en-US"/>
        </w:rPr>
        <w:t>Journal of International Financial Markets, Institutions and Money</w:t>
      </w:r>
      <w:r w:rsidRPr="00A51255">
        <w:rPr>
          <w:rFonts w:ascii="Arial" w:hAnsi="Arial" w:cs="Arial"/>
          <w:sz w:val="22"/>
          <w:szCs w:val="22"/>
          <w:lang w:val="en-US"/>
        </w:rPr>
        <w:t xml:space="preserve"> 10, 107</w:t>
      </w:r>
      <w:r w:rsidR="00B52763" w:rsidRPr="00A51255">
        <w:rPr>
          <w:rFonts w:ascii="Arial" w:hAnsi="Arial" w:cs="Arial"/>
          <w:sz w:val="22"/>
          <w:szCs w:val="22"/>
          <w:lang w:val="en-US"/>
        </w:rPr>
        <w:t>–</w:t>
      </w:r>
      <w:r w:rsidRPr="00A51255">
        <w:rPr>
          <w:rFonts w:ascii="Arial" w:hAnsi="Arial" w:cs="Arial"/>
          <w:sz w:val="22"/>
          <w:szCs w:val="22"/>
          <w:lang w:val="en-US"/>
        </w:rPr>
        <w:t>130.</w:t>
      </w:r>
    </w:p>
    <w:p w:rsidR="00493F94" w:rsidRPr="00A51255" w:rsidRDefault="00493F94" w:rsidP="00C30B75">
      <w:pPr>
        <w:jc w:val="both"/>
        <w:rPr>
          <w:rFonts w:ascii="Arial" w:hAnsi="Arial" w:cs="Arial"/>
          <w:sz w:val="22"/>
          <w:szCs w:val="22"/>
          <w:lang w:val="en-US"/>
        </w:rPr>
      </w:pPr>
    </w:p>
    <w:p w:rsidR="00493F94" w:rsidRPr="00A51255" w:rsidRDefault="00493F94" w:rsidP="00493F94">
      <w:pPr>
        <w:jc w:val="both"/>
        <w:rPr>
          <w:rFonts w:ascii="Arial" w:hAnsi="Arial" w:cs="Arial"/>
          <w:sz w:val="22"/>
          <w:szCs w:val="22"/>
          <w:lang w:val="en-US"/>
        </w:rPr>
      </w:pPr>
      <w:r w:rsidRPr="00A51255">
        <w:rPr>
          <w:rFonts w:ascii="Arial" w:hAnsi="Arial" w:cs="Arial"/>
          <w:sz w:val="22"/>
          <w:szCs w:val="22"/>
          <w:lang w:val="en-US"/>
        </w:rPr>
        <w:t>Andritzky,</w:t>
      </w:r>
      <w:r w:rsidR="00BE36C2" w:rsidRPr="00A51255">
        <w:rPr>
          <w:rFonts w:ascii="Arial" w:hAnsi="Arial" w:cs="Arial"/>
          <w:sz w:val="22"/>
          <w:szCs w:val="22"/>
          <w:lang w:val="en-US"/>
        </w:rPr>
        <w:t xml:space="preserve"> </w:t>
      </w:r>
      <w:r w:rsidRPr="00A51255">
        <w:rPr>
          <w:rFonts w:ascii="Arial" w:hAnsi="Arial" w:cs="Arial"/>
          <w:sz w:val="22"/>
          <w:szCs w:val="22"/>
          <w:lang w:val="en-US"/>
        </w:rPr>
        <w:t>J., G.J. Bannister, and N. Tamirisa</w:t>
      </w:r>
      <w:r w:rsidR="001952AF" w:rsidRPr="00A51255">
        <w:rPr>
          <w:rFonts w:ascii="Arial" w:hAnsi="Arial" w:cs="Arial"/>
          <w:sz w:val="22"/>
          <w:szCs w:val="22"/>
          <w:lang w:val="en-US"/>
        </w:rPr>
        <w:t>.</w:t>
      </w:r>
      <w:r w:rsidRPr="00A51255">
        <w:rPr>
          <w:rFonts w:ascii="Arial" w:hAnsi="Arial" w:cs="Arial"/>
          <w:sz w:val="22"/>
          <w:szCs w:val="22"/>
          <w:lang w:val="en-US"/>
        </w:rPr>
        <w:t xml:space="preserve"> </w:t>
      </w:r>
      <w:r w:rsidR="001952AF" w:rsidRPr="00A51255">
        <w:rPr>
          <w:rFonts w:ascii="Arial" w:hAnsi="Arial" w:cs="Arial"/>
          <w:sz w:val="22"/>
          <w:szCs w:val="22"/>
          <w:lang w:val="en-US"/>
        </w:rPr>
        <w:t>2007</w:t>
      </w:r>
      <w:r w:rsidRPr="00A51255">
        <w:rPr>
          <w:rFonts w:ascii="Arial" w:hAnsi="Arial" w:cs="Arial"/>
          <w:sz w:val="22"/>
          <w:szCs w:val="22"/>
          <w:lang w:val="en-US"/>
        </w:rPr>
        <w:t xml:space="preserve">. </w:t>
      </w:r>
      <w:r w:rsidR="001952AF" w:rsidRPr="00A51255">
        <w:rPr>
          <w:rFonts w:ascii="Arial" w:hAnsi="Arial" w:cs="Arial"/>
          <w:sz w:val="22"/>
          <w:szCs w:val="22"/>
          <w:lang w:val="en-US"/>
        </w:rPr>
        <w:t>“</w:t>
      </w:r>
      <w:r w:rsidRPr="00A51255">
        <w:rPr>
          <w:rFonts w:ascii="Arial" w:hAnsi="Arial" w:cs="Arial"/>
          <w:sz w:val="22"/>
          <w:szCs w:val="22"/>
          <w:lang w:val="en-US"/>
        </w:rPr>
        <w:t>The Impact of Macroeconomic Announcements on Emerging Market Bonds</w:t>
      </w:r>
      <w:r w:rsidR="001952AF" w:rsidRPr="00A51255">
        <w:rPr>
          <w:rFonts w:ascii="Arial" w:hAnsi="Arial" w:cs="Arial"/>
          <w:sz w:val="22"/>
          <w:szCs w:val="22"/>
          <w:lang w:val="en-US"/>
        </w:rPr>
        <w:t>”</w:t>
      </w:r>
      <w:r w:rsidRPr="00A51255">
        <w:rPr>
          <w:rFonts w:ascii="Arial" w:hAnsi="Arial" w:cs="Arial"/>
          <w:sz w:val="22"/>
          <w:szCs w:val="22"/>
          <w:lang w:val="en-US"/>
        </w:rPr>
        <w:t xml:space="preserve">, </w:t>
      </w:r>
      <w:r w:rsidRPr="00A51255">
        <w:rPr>
          <w:rFonts w:ascii="Arial" w:hAnsi="Arial" w:cs="Arial"/>
          <w:i/>
          <w:iCs/>
          <w:color w:val="000000"/>
          <w:sz w:val="22"/>
          <w:szCs w:val="22"/>
          <w:lang w:val="en-US"/>
        </w:rPr>
        <w:t>Emerging Markets Review</w:t>
      </w:r>
      <w:r w:rsidRPr="00A51255">
        <w:rPr>
          <w:rFonts w:ascii="Arial" w:hAnsi="Arial" w:cs="Arial"/>
          <w:sz w:val="22"/>
          <w:szCs w:val="22"/>
          <w:lang w:val="en-US"/>
        </w:rPr>
        <w:t xml:space="preserve"> 8, 20</w:t>
      </w:r>
      <w:r w:rsidR="00B52763" w:rsidRPr="00A51255">
        <w:rPr>
          <w:rFonts w:ascii="Arial" w:hAnsi="Arial" w:cs="Arial"/>
          <w:sz w:val="22"/>
          <w:szCs w:val="22"/>
          <w:lang w:val="en-US"/>
        </w:rPr>
        <w:t>–</w:t>
      </w:r>
      <w:r w:rsidRPr="00A51255">
        <w:rPr>
          <w:rFonts w:ascii="Arial" w:hAnsi="Arial" w:cs="Arial"/>
          <w:sz w:val="22"/>
          <w:szCs w:val="22"/>
          <w:lang w:val="en-US"/>
        </w:rPr>
        <w:t>37.</w:t>
      </w:r>
    </w:p>
    <w:p w:rsidR="00493F94" w:rsidRPr="00A51255" w:rsidRDefault="00493F94" w:rsidP="00C30B75">
      <w:pPr>
        <w:jc w:val="both"/>
        <w:rPr>
          <w:rFonts w:ascii="Arial" w:hAnsi="Arial" w:cs="Arial"/>
          <w:sz w:val="22"/>
          <w:szCs w:val="22"/>
          <w:lang w:val="en-US"/>
        </w:rPr>
      </w:pPr>
    </w:p>
    <w:p w:rsidR="00C30B75" w:rsidRPr="00A51255" w:rsidRDefault="00C30B75" w:rsidP="00C30B75">
      <w:pPr>
        <w:jc w:val="both"/>
        <w:rPr>
          <w:rFonts w:ascii="Arial" w:hAnsi="Arial" w:cs="Arial"/>
          <w:sz w:val="22"/>
          <w:szCs w:val="22"/>
          <w:lang w:val="en-US"/>
        </w:rPr>
      </w:pPr>
      <w:r w:rsidRPr="00A51255">
        <w:rPr>
          <w:rFonts w:ascii="Arial" w:hAnsi="Arial" w:cs="Arial"/>
          <w:sz w:val="22"/>
          <w:szCs w:val="22"/>
          <w:lang w:val="en-US"/>
        </w:rPr>
        <w:t xml:space="preserve">Berry, T.D. and K.M. Howe (1994). </w:t>
      </w:r>
      <w:r w:rsidR="001952AF" w:rsidRPr="00A51255">
        <w:rPr>
          <w:rFonts w:ascii="Arial" w:hAnsi="Arial" w:cs="Arial"/>
          <w:sz w:val="22"/>
          <w:szCs w:val="22"/>
          <w:lang w:val="en-US"/>
        </w:rPr>
        <w:t>“</w:t>
      </w:r>
      <w:r w:rsidRPr="00A51255">
        <w:rPr>
          <w:rFonts w:ascii="Arial" w:hAnsi="Arial" w:cs="Arial"/>
          <w:sz w:val="22"/>
          <w:szCs w:val="22"/>
          <w:lang w:val="en-US"/>
        </w:rPr>
        <w:t>Public Information Arrival</w:t>
      </w:r>
      <w:r w:rsidR="001952AF" w:rsidRPr="00A51255">
        <w:rPr>
          <w:rFonts w:ascii="Arial" w:hAnsi="Arial" w:cs="Arial"/>
          <w:sz w:val="22"/>
          <w:szCs w:val="22"/>
          <w:lang w:val="en-US"/>
        </w:rPr>
        <w:t>”</w:t>
      </w:r>
      <w:r w:rsidRPr="00A51255">
        <w:rPr>
          <w:rFonts w:ascii="Arial" w:hAnsi="Arial" w:cs="Arial"/>
          <w:sz w:val="22"/>
          <w:szCs w:val="22"/>
          <w:lang w:val="en-US"/>
        </w:rPr>
        <w:t xml:space="preserve">, </w:t>
      </w:r>
      <w:r w:rsidRPr="00A51255">
        <w:rPr>
          <w:rFonts w:ascii="Arial" w:hAnsi="Arial" w:cs="Arial"/>
          <w:i/>
          <w:sz w:val="22"/>
          <w:szCs w:val="22"/>
          <w:lang w:val="en-US"/>
        </w:rPr>
        <w:t>Journal of Finance</w:t>
      </w:r>
      <w:r w:rsidRPr="00A51255">
        <w:rPr>
          <w:rFonts w:ascii="Arial" w:hAnsi="Arial" w:cs="Arial"/>
          <w:sz w:val="22"/>
          <w:szCs w:val="22"/>
          <w:lang w:val="en-US"/>
        </w:rPr>
        <w:t xml:space="preserve"> 49, 1331</w:t>
      </w:r>
      <w:r w:rsidR="00B52763" w:rsidRPr="00A51255">
        <w:rPr>
          <w:rFonts w:ascii="Arial" w:hAnsi="Arial" w:cs="Arial"/>
          <w:sz w:val="22"/>
          <w:szCs w:val="22"/>
          <w:lang w:val="en-US"/>
        </w:rPr>
        <w:t>–</w:t>
      </w:r>
      <w:r w:rsidRPr="00A51255">
        <w:rPr>
          <w:rFonts w:ascii="Arial" w:hAnsi="Arial" w:cs="Arial"/>
          <w:sz w:val="22"/>
          <w:szCs w:val="22"/>
          <w:lang w:val="en-US"/>
        </w:rPr>
        <w:t>1346.</w:t>
      </w:r>
    </w:p>
    <w:p w:rsidR="00493F94" w:rsidRPr="00A51255" w:rsidRDefault="00493F94" w:rsidP="00C30B75">
      <w:pPr>
        <w:jc w:val="both"/>
        <w:rPr>
          <w:rFonts w:ascii="Arial" w:hAnsi="Arial" w:cs="Arial"/>
          <w:sz w:val="22"/>
          <w:szCs w:val="22"/>
          <w:lang w:val="en-US"/>
        </w:rPr>
      </w:pPr>
    </w:p>
    <w:p w:rsidR="00493F94" w:rsidRPr="00A51255" w:rsidRDefault="0033033D" w:rsidP="00493F94">
      <w:pPr>
        <w:jc w:val="both"/>
        <w:rPr>
          <w:rFonts w:ascii="Arial" w:hAnsi="Arial" w:cs="Arial"/>
          <w:sz w:val="22"/>
          <w:szCs w:val="22"/>
          <w:lang w:val="en-US"/>
        </w:rPr>
      </w:pPr>
      <w:r>
        <w:rPr>
          <w:rFonts w:ascii="Arial" w:hAnsi="Arial" w:cs="Arial"/>
          <w:sz w:val="22"/>
          <w:szCs w:val="22"/>
        </w:rPr>
        <w:t>Brzeszczyński</w:t>
      </w:r>
      <w:r w:rsidR="00493F94" w:rsidRPr="00A95065">
        <w:rPr>
          <w:rFonts w:ascii="Arial" w:hAnsi="Arial" w:cs="Arial"/>
          <w:sz w:val="22"/>
          <w:szCs w:val="22"/>
        </w:rPr>
        <w:t>, J. and M. Melvin</w:t>
      </w:r>
      <w:r w:rsidR="001952AF" w:rsidRPr="00A95065">
        <w:rPr>
          <w:rFonts w:ascii="Arial" w:hAnsi="Arial" w:cs="Arial"/>
          <w:sz w:val="22"/>
          <w:szCs w:val="22"/>
        </w:rPr>
        <w:t xml:space="preserve">. </w:t>
      </w:r>
      <w:r w:rsidR="001952AF" w:rsidRPr="00A51255">
        <w:rPr>
          <w:rFonts w:ascii="Arial" w:hAnsi="Arial" w:cs="Arial"/>
          <w:sz w:val="22"/>
          <w:szCs w:val="22"/>
          <w:lang w:val="en-US"/>
        </w:rPr>
        <w:t>2006</w:t>
      </w:r>
      <w:r w:rsidR="00493F94" w:rsidRPr="00A51255">
        <w:rPr>
          <w:rFonts w:ascii="Arial" w:hAnsi="Arial" w:cs="Arial"/>
          <w:sz w:val="22"/>
          <w:szCs w:val="22"/>
          <w:lang w:val="en-US"/>
        </w:rPr>
        <w:t xml:space="preserve">. </w:t>
      </w:r>
      <w:r w:rsidR="001952AF" w:rsidRPr="00A51255">
        <w:rPr>
          <w:rFonts w:ascii="Arial" w:hAnsi="Arial" w:cs="Arial"/>
          <w:sz w:val="22"/>
          <w:szCs w:val="22"/>
          <w:lang w:val="en-US"/>
        </w:rPr>
        <w:t>“</w:t>
      </w:r>
      <w:r w:rsidR="00493F94" w:rsidRPr="00A51255">
        <w:rPr>
          <w:rFonts w:ascii="Arial" w:hAnsi="Arial" w:cs="Arial"/>
          <w:sz w:val="22"/>
          <w:szCs w:val="22"/>
          <w:lang w:val="en-US"/>
        </w:rPr>
        <w:t>Explaining Trading Volume in the Euro</w:t>
      </w:r>
      <w:r w:rsidR="001952AF" w:rsidRPr="00A51255">
        <w:rPr>
          <w:rFonts w:ascii="Arial" w:hAnsi="Arial" w:cs="Arial"/>
          <w:sz w:val="22"/>
          <w:szCs w:val="22"/>
          <w:lang w:val="en-US"/>
        </w:rPr>
        <w:t>”</w:t>
      </w:r>
      <w:r w:rsidR="00493F94" w:rsidRPr="00A51255">
        <w:rPr>
          <w:rFonts w:ascii="Arial" w:hAnsi="Arial" w:cs="Arial"/>
          <w:sz w:val="22"/>
          <w:szCs w:val="22"/>
          <w:lang w:val="en-US"/>
        </w:rPr>
        <w:t xml:space="preserve">, </w:t>
      </w:r>
      <w:r w:rsidR="00493F94" w:rsidRPr="00A51255">
        <w:rPr>
          <w:rFonts w:ascii="Arial" w:hAnsi="Arial" w:cs="Arial"/>
          <w:i/>
          <w:sz w:val="22"/>
          <w:szCs w:val="22"/>
          <w:lang w:val="en-US"/>
        </w:rPr>
        <w:t>International Journal of Finance and Economics</w:t>
      </w:r>
      <w:r w:rsidR="00493F94" w:rsidRPr="00A51255">
        <w:rPr>
          <w:rFonts w:ascii="Arial" w:hAnsi="Arial" w:cs="Arial"/>
          <w:sz w:val="22"/>
          <w:szCs w:val="22"/>
          <w:lang w:val="en-US"/>
        </w:rPr>
        <w:t xml:space="preserve"> 11, 25–34.</w:t>
      </w:r>
    </w:p>
    <w:p w:rsidR="00493F94" w:rsidRPr="00A51255" w:rsidRDefault="00493F94" w:rsidP="00C30B75">
      <w:pPr>
        <w:jc w:val="both"/>
        <w:rPr>
          <w:rFonts w:ascii="Arial" w:hAnsi="Arial" w:cs="Arial"/>
          <w:sz w:val="22"/>
          <w:szCs w:val="22"/>
          <w:lang w:val="en-US"/>
        </w:rPr>
      </w:pPr>
    </w:p>
    <w:p w:rsidR="00493F94" w:rsidRPr="00A51255" w:rsidRDefault="00493F94" w:rsidP="00493F94">
      <w:pPr>
        <w:jc w:val="both"/>
        <w:rPr>
          <w:rFonts w:ascii="Arial" w:hAnsi="Arial" w:cs="Arial"/>
          <w:sz w:val="22"/>
          <w:szCs w:val="22"/>
          <w:lang w:val="en-US"/>
        </w:rPr>
      </w:pPr>
      <w:r w:rsidRPr="00A51255">
        <w:rPr>
          <w:rFonts w:ascii="Arial" w:hAnsi="Arial" w:cs="Arial"/>
          <w:sz w:val="22"/>
          <w:szCs w:val="22"/>
          <w:lang w:val="en-US"/>
        </w:rPr>
        <w:t>Cheung, Y.-W. and L.K. Ng</w:t>
      </w:r>
      <w:r w:rsidR="001952AF" w:rsidRPr="00A51255">
        <w:rPr>
          <w:rFonts w:ascii="Arial" w:hAnsi="Arial" w:cs="Arial"/>
          <w:sz w:val="22"/>
          <w:szCs w:val="22"/>
          <w:lang w:val="en-US"/>
        </w:rPr>
        <w:t>. 1996</w:t>
      </w:r>
      <w:r w:rsidRPr="00A51255">
        <w:rPr>
          <w:rFonts w:ascii="Arial" w:hAnsi="Arial" w:cs="Arial"/>
          <w:sz w:val="22"/>
          <w:szCs w:val="22"/>
          <w:lang w:val="en-US"/>
        </w:rPr>
        <w:t xml:space="preserve">. </w:t>
      </w:r>
      <w:r w:rsidR="001952AF" w:rsidRPr="00A51255">
        <w:rPr>
          <w:rFonts w:ascii="Arial" w:hAnsi="Arial" w:cs="Arial"/>
          <w:sz w:val="22"/>
          <w:szCs w:val="22"/>
          <w:lang w:val="en-US"/>
        </w:rPr>
        <w:t>“</w:t>
      </w:r>
      <w:r w:rsidRPr="00A51255">
        <w:rPr>
          <w:rFonts w:ascii="Arial" w:hAnsi="Arial" w:cs="Arial"/>
          <w:sz w:val="22"/>
          <w:szCs w:val="22"/>
          <w:lang w:val="en-US"/>
        </w:rPr>
        <w:t>A Causality-in-Variance Test and Its Application to Financial Market Prices</w:t>
      </w:r>
      <w:r w:rsidR="001952AF" w:rsidRPr="00A51255">
        <w:rPr>
          <w:rFonts w:ascii="Arial" w:hAnsi="Arial" w:cs="Arial"/>
          <w:sz w:val="22"/>
          <w:szCs w:val="22"/>
          <w:lang w:val="en-US"/>
        </w:rPr>
        <w:t>”</w:t>
      </w:r>
      <w:r w:rsidRPr="00A51255">
        <w:rPr>
          <w:rFonts w:ascii="Arial" w:hAnsi="Arial" w:cs="Arial"/>
          <w:sz w:val="22"/>
          <w:szCs w:val="22"/>
          <w:lang w:val="en-US"/>
        </w:rPr>
        <w:t xml:space="preserve">, </w:t>
      </w:r>
      <w:r w:rsidRPr="00A51255">
        <w:rPr>
          <w:rFonts w:ascii="Arial" w:hAnsi="Arial" w:cs="Arial"/>
          <w:i/>
          <w:sz w:val="22"/>
          <w:szCs w:val="22"/>
          <w:lang w:val="en-US"/>
        </w:rPr>
        <w:t>Journal of Econometrics</w:t>
      </w:r>
      <w:r w:rsidRPr="00A51255">
        <w:rPr>
          <w:rFonts w:ascii="Arial" w:hAnsi="Arial" w:cs="Arial"/>
          <w:sz w:val="22"/>
          <w:szCs w:val="22"/>
          <w:lang w:val="en-US"/>
        </w:rPr>
        <w:t xml:space="preserve"> 72, 33</w:t>
      </w:r>
      <w:r w:rsidR="009F48D3" w:rsidRPr="00A51255">
        <w:rPr>
          <w:rFonts w:ascii="Arial" w:hAnsi="Arial" w:cs="Arial"/>
          <w:sz w:val="22"/>
          <w:szCs w:val="22"/>
          <w:lang w:val="en-US"/>
        </w:rPr>
        <w:t>–</w:t>
      </w:r>
      <w:r w:rsidRPr="00A51255">
        <w:rPr>
          <w:rFonts w:ascii="Arial" w:hAnsi="Arial" w:cs="Arial"/>
          <w:sz w:val="22"/>
          <w:szCs w:val="22"/>
          <w:lang w:val="en-US"/>
        </w:rPr>
        <w:t>48.</w:t>
      </w:r>
    </w:p>
    <w:p w:rsidR="00BA0165" w:rsidRPr="00A51255" w:rsidRDefault="00BA0165" w:rsidP="00BA0165">
      <w:pPr>
        <w:jc w:val="both"/>
        <w:rPr>
          <w:rFonts w:ascii="Arial" w:hAnsi="Arial" w:cs="Arial"/>
          <w:sz w:val="22"/>
          <w:szCs w:val="22"/>
          <w:lang w:val="en-US"/>
        </w:rPr>
      </w:pPr>
    </w:p>
    <w:p w:rsidR="00C30B75" w:rsidRPr="00A51255" w:rsidRDefault="00C30B75" w:rsidP="00C30B75">
      <w:pPr>
        <w:shd w:val="clear" w:color="auto" w:fill="FFFFFF"/>
        <w:jc w:val="both"/>
        <w:rPr>
          <w:rFonts w:ascii="Arial" w:hAnsi="Arial" w:cs="Arial"/>
          <w:sz w:val="22"/>
          <w:szCs w:val="22"/>
          <w:lang w:val="en-US"/>
        </w:rPr>
      </w:pPr>
      <w:r w:rsidRPr="00A51255">
        <w:rPr>
          <w:rFonts w:ascii="Arial" w:hAnsi="Arial" w:cs="Arial"/>
          <w:sz w:val="22"/>
          <w:szCs w:val="22"/>
          <w:lang w:val="en-US"/>
        </w:rPr>
        <w:t xml:space="preserve">Clark, P.K. </w:t>
      </w:r>
      <w:r w:rsidR="001952AF" w:rsidRPr="00A51255">
        <w:rPr>
          <w:rFonts w:ascii="Arial" w:hAnsi="Arial" w:cs="Arial"/>
          <w:sz w:val="22"/>
          <w:szCs w:val="22"/>
          <w:lang w:val="en-US"/>
        </w:rPr>
        <w:t>1973</w:t>
      </w:r>
      <w:r w:rsidRPr="00A51255">
        <w:rPr>
          <w:rFonts w:ascii="Arial" w:hAnsi="Arial" w:cs="Arial"/>
          <w:sz w:val="22"/>
          <w:szCs w:val="22"/>
          <w:lang w:val="en-US"/>
        </w:rPr>
        <w:t xml:space="preserve">. </w:t>
      </w:r>
      <w:r w:rsidR="001952AF" w:rsidRPr="00A51255">
        <w:rPr>
          <w:rFonts w:ascii="Arial" w:hAnsi="Arial" w:cs="Arial"/>
          <w:sz w:val="22"/>
          <w:szCs w:val="22"/>
          <w:lang w:val="en-US"/>
        </w:rPr>
        <w:t>“</w:t>
      </w:r>
      <w:r w:rsidRPr="00A51255">
        <w:rPr>
          <w:rFonts w:ascii="Arial" w:hAnsi="Arial" w:cs="Arial"/>
          <w:sz w:val="22"/>
          <w:szCs w:val="22"/>
          <w:lang w:val="en-US"/>
        </w:rPr>
        <w:t>A Subordinate Stochastic Process Model with Finite Variance for Speculative Prices</w:t>
      </w:r>
      <w:r w:rsidR="001952AF" w:rsidRPr="00A51255">
        <w:rPr>
          <w:rFonts w:ascii="Arial" w:hAnsi="Arial" w:cs="Arial"/>
          <w:sz w:val="22"/>
          <w:szCs w:val="22"/>
          <w:lang w:val="en-US"/>
        </w:rPr>
        <w:t>”</w:t>
      </w:r>
      <w:r w:rsidRPr="00A51255">
        <w:rPr>
          <w:rFonts w:ascii="Arial" w:hAnsi="Arial" w:cs="Arial"/>
          <w:sz w:val="22"/>
          <w:szCs w:val="22"/>
          <w:lang w:val="en-US"/>
        </w:rPr>
        <w:t xml:space="preserve">, </w:t>
      </w:r>
      <w:r w:rsidRPr="00A51255">
        <w:rPr>
          <w:rFonts w:ascii="Arial" w:hAnsi="Arial" w:cs="Arial"/>
          <w:i/>
          <w:sz w:val="22"/>
          <w:szCs w:val="22"/>
          <w:lang w:val="en-US"/>
        </w:rPr>
        <w:t>Econometrica</w:t>
      </w:r>
      <w:r w:rsidRPr="00A51255">
        <w:rPr>
          <w:rFonts w:ascii="Arial" w:hAnsi="Arial" w:cs="Arial"/>
          <w:sz w:val="22"/>
          <w:szCs w:val="22"/>
          <w:lang w:val="en-US"/>
        </w:rPr>
        <w:t xml:space="preserve"> 41, 135</w:t>
      </w:r>
      <w:r w:rsidR="009F48D3" w:rsidRPr="00A51255">
        <w:rPr>
          <w:rFonts w:ascii="Arial" w:hAnsi="Arial" w:cs="Arial"/>
          <w:sz w:val="22"/>
          <w:szCs w:val="22"/>
          <w:lang w:val="en-US"/>
        </w:rPr>
        <w:t>–</w:t>
      </w:r>
      <w:r w:rsidRPr="00A51255">
        <w:rPr>
          <w:rFonts w:ascii="Arial" w:hAnsi="Arial" w:cs="Arial"/>
          <w:sz w:val="22"/>
          <w:szCs w:val="22"/>
          <w:lang w:val="en-US"/>
        </w:rPr>
        <w:t>155.</w:t>
      </w:r>
    </w:p>
    <w:p w:rsidR="009F1DC6" w:rsidRPr="00A51255" w:rsidRDefault="009F1DC6" w:rsidP="00C30B75">
      <w:pPr>
        <w:shd w:val="clear" w:color="auto" w:fill="FFFFFF"/>
        <w:jc w:val="both"/>
        <w:rPr>
          <w:rFonts w:ascii="Arial" w:hAnsi="Arial" w:cs="Arial"/>
          <w:sz w:val="22"/>
          <w:szCs w:val="22"/>
          <w:lang w:val="en-US"/>
        </w:rPr>
      </w:pPr>
    </w:p>
    <w:p w:rsidR="00113AA7" w:rsidRPr="00A51255" w:rsidRDefault="00113AA7" w:rsidP="00C30B75">
      <w:pPr>
        <w:shd w:val="clear" w:color="auto" w:fill="FFFFFF"/>
        <w:jc w:val="both"/>
        <w:rPr>
          <w:rFonts w:ascii="Arial" w:hAnsi="Arial" w:cs="Arial"/>
          <w:sz w:val="22"/>
          <w:szCs w:val="22"/>
          <w:lang w:val="en-US"/>
        </w:rPr>
      </w:pPr>
      <w:r w:rsidRPr="00A51255">
        <w:rPr>
          <w:rFonts w:ascii="Arial" w:hAnsi="Arial" w:cs="Arial"/>
          <w:sz w:val="22"/>
          <w:szCs w:val="22"/>
          <w:lang w:val="en-US"/>
        </w:rPr>
        <w:t xml:space="preserve">Conrad, C. and M.J. Lamla. 2010. “The High-Frequency Response of the EUR-USD Exchange Rate to ECB Communication”, </w:t>
      </w:r>
      <w:r w:rsidRPr="00A51255">
        <w:rPr>
          <w:rFonts w:ascii="Arial" w:hAnsi="Arial" w:cs="Arial"/>
          <w:i/>
          <w:sz w:val="22"/>
          <w:szCs w:val="22"/>
          <w:lang w:val="en-US"/>
        </w:rPr>
        <w:t>Journal of Money, Credit and Banking</w:t>
      </w:r>
      <w:r w:rsidRPr="00A51255">
        <w:rPr>
          <w:rFonts w:ascii="Arial" w:hAnsi="Arial" w:cs="Arial"/>
          <w:sz w:val="22"/>
          <w:szCs w:val="22"/>
          <w:lang w:val="en-US"/>
        </w:rPr>
        <w:t xml:space="preserve"> 42, 1391</w:t>
      </w:r>
      <w:r w:rsidR="00C3125C">
        <w:rPr>
          <w:rFonts w:ascii="Arial" w:hAnsi="Arial" w:cs="Arial"/>
          <w:sz w:val="22"/>
          <w:szCs w:val="22"/>
          <w:lang w:val="en-US"/>
        </w:rPr>
        <w:t>–</w:t>
      </w:r>
      <w:r w:rsidRPr="00A51255">
        <w:rPr>
          <w:rFonts w:ascii="Arial" w:hAnsi="Arial" w:cs="Arial"/>
          <w:sz w:val="22"/>
          <w:szCs w:val="22"/>
          <w:lang w:val="en-US"/>
        </w:rPr>
        <w:t>1417.</w:t>
      </w:r>
    </w:p>
    <w:p w:rsidR="00B93BB2" w:rsidRPr="00A51255" w:rsidRDefault="00B93BB2" w:rsidP="00C30B75">
      <w:pPr>
        <w:shd w:val="clear" w:color="auto" w:fill="FFFFFF"/>
        <w:jc w:val="both"/>
        <w:rPr>
          <w:rFonts w:ascii="Arial" w:hAnsi="Arial" w:cs="Arial"/>
          <w:sz w:val="22"/>
          <w:szCs w:val="22"/>
          <w:lang w:val="en-US"/>
        </w:rPr>
      </w:pPr>
    </w:p>
    <w:p w:rsidR="00DB17D2" w:rsidRPr="00A51255" w:rsidRDefault="00DB17D2" w:rsidP="0034620C">
      <w:pPr>
        <w:shd w:val="clear" w:color="auto" w:fill="FFFFFF"/>
        <w:jc w:val="both"/>
        <w:rPr>
          <w:rFonts w:ascii="Arial" w:hAnsi="Arial" w:cs="Arial"/>
          <w:sz w:val="22"/>
          <w:szCs w:val="22"/>
          <w:lang w:val="en-US"/>
        </w:rPr>
      </w:pPr>
      <w:r w:rsidRPr="00A51255">
        <w:rPr>
          <w:rFonts w:ascii="Arial" w:hAnsi="Arial" w:cs="Arial"/>
          <w:sz w:val="22"/>
          <w:szCs w:val="22"/>
          <w:lang w:val="en-US"/>
        </w:rPr>
        <w:t xml:space="preserve">Cornell, B. 1982. “Money Supply Announcements, Interest Rates, and Foreign Exchange”, </w:t>
      </w:r>
      <w:r w:rsidRPr="00A51255">
        <w:rPr>
          <w:rFonts w:ascii="Arial" w:hAnsi="Arial" w:cs="Arial"/>
          <w:i/>
          <w:sz w:val="22"/>
          <w:szCs w:val="22"/>
          <w:lang w:val="en-US"/>
        </w:rPr>
        <w:t>Journal of International Money and Finance</w:t>
      </w:r>
      <w:r w:rsidRPr="00A51255">
        <w:rPr>
          <w:rFonts w:ascii="Arial" w:hAnsi="Arial" w:cs="Arial"/>
          <w:sz w:val="22"/>
          <w:szCs w:val="22"/>
          <w:lang w:val="en-US"/>
        </w:rPr>
        <w:t xml:space="preserve"> 1, 201</w:t>
      </w:r>
      <w:r w:rsidR="00C3125C">
        <w:rPr>
          <w:rFonts w:ascii="Arial" w:hAnsi="Arial" w:cs="Arial"/>
          <w:sz w:val="22"/>
          <w:szCs w:val="22"/>
          <w:lang w:val="en-US"/>
        </w:rPr>
        <w:t>–</w:t>
      </w:r>
      <w:r w:rsidRPr="00A51255">
        <w:rPr>
          <w:rFonts w:ascii="Arial" w:hAnsi="Arial" w:cs="Arial"/>
          <w:sz w:val="22"/>
          <w:szCs w:val="22"/>
          <w:lang w:val="en-US"/>
        </w:rPr>
        <w:t>208.</w:t>
      </w:r>
    </w:p>
    <w:p w:rsidR="00C30B75" w:rsidRPr="00A51255" w:rsidRDefault="00C30B75" w:rsidP="00C30B75">
      <w:pPr>
        <w:shd w:val="clear" w:color="auto" w:fill="FFFFFF"/>
        <w:jc w:val="both"/>
        <w:rPr>
          <w:rFonts w:ascii="Arial" w:hAnsi="Arial" w:cs="Arial"/>
          <w:sz w:val="22"/>
          <w:szCs w:val="22"/>
          <w:lang w:val="en-US"/>
        </w:rPr>
      </w:pPr>
    </w:p>
    <w:p w:rsidR="00C30B75" w:rsidRPr="00A51255" w:rsidRDefault="00C30B75" w:rsidP="00C30B75">
      <w:pPr>
        <w:tabs>
          <w:tab w:val="right" w:pos="8640"/>
        </w:tabs>
        <w:jc w:val="both"/>
        <w:rPr>
          <w:rFonts w:ascii="Arial" w:hAnsi="Arial" w:cs="Arial"/>
          <w:sz w:val="22"/>
          <w:szCs w:val="22"/>
          <w:lang w:val="en-US"/>
        </w:rPr>
      </w:pPr>
      <w:r w:rsidRPr="00A51255">
        <w:rPr>
          <w:rFonts w:ascii="Arial" w:hAnsi="Arial" w:cs="Arial"/>
          <w:sz w:val="22"/>
          <w:szCs w:val="22"/>
          <w:lang w:val="en-US"/>
        </w:rPr>
        <w:t>Cutler, D.M., J.M. Poterba, and L.H. Summers</w:t>
      </w:r>
      <w:r w:rsidR="001952AF" w:rsidRPr="00A51255">
        <w:rPr>
          <w:rFonts w:ascii="Arial" w:hAnsi="Arial" w:cs="Arial"/>
          <w:sz w:val="22"/>
          <w:szCs w:val="22"/>
          <w:lang w:val="en-US"/>
        </w:rPr>
        <w:t>. 1989</w:t>
      </w:r>
      <w:r w:rsidRPr="00A51255">
        <w:rPr>
          <w:rFonts w:ascii="Arial" w:hAnsi="Arial" w:cs="Arial"/>
          <w:sz w:val="22"/>
          <w:szCs w:val="22"/>
          <w:lang w:val="en-US"/>
        </w:rPr>
        <w:t xml:space="preserve">. </w:t>
      </w:r>
      <w:r w:rsidR="001952AF" w:rsidRPr="00A51255">
        <w:rPr>
          <w:rFonts w:ascii="Arial" w:hAnsi="Arial" w:cs="Arial"/>
          <w:sz w:val="22"/>
          <w:szCs w:val="22"/>
          <w:lang w:val="en-US"/>
        </w:rPr>
        <w:t>“</w:t>
      </w:r>
      <w:r w:rsidRPr="00A51255">
        <w:rPr>
          <w:rFonts w:ascii="Arial" w:hAnsi="Arial" w:cs="Arial"/>
          <w:sz w:val="22"/>
          <w:szCs w:val="22"/>
          <w:lang w:val="en-US"/>
        </w:rPr>
        <w:t>What Moves Stock Prices?</w:t>
      </w:r>
      <w:r w:rsidR="001952AF" w:rsidRPr="00A51255">
        <w:rPr>
          <w:rFonts w:ascii="Arial" w:hAnsi="Arial" w:cs="Arial"/>
          <w:sz w:val="22"/>
          <w:szCs w:val="22"/>
          <w:lang w:val="en-US"/>
        </w:rPr>
        <w:t>”</w:t>
      </w:r>
      <w:r w:rsidRPr="00A51255">
        <w:rPr>
          <w:rFonts w:ascii="Arial" w:hAnsi="Arial" w:cs="Arial"/>
          <w:sz w:val="22"/>
          <w:szCs w:val="22"/>
          <w:lang w:val="en-US"/>
        </w:rPr>
        <w:t xml:space="preserve">, </w:t>
      </w:r>
      <w:r w:rsidRPr="00A51255">
        <w:rPr>
          <w:rFonts w:ascii="Arial" w:hAnsi="Arial" w:cs="Arial"/>
          <w:i/>
          <w:sz w:val="22"/>
          <w:szCs w:val="22"/>
          <w:lang w:val="en-US"/>
        </w:rPr>
        <w:t>Journal of Finance</w:t>
      </w:r>
      <w:r w:rsidRPr="00A51255">
        <w:rPr>
          <w:rFonts w:ascii="Arial" w:hAnsi="Arial" w:cs="Arial"/>
          <w:sz w:val="22"/>
          <w:szCs w:val="22"/>
          <w:lang w:val="en-US"/>
        </w:rPr>
        <w:t xml:space="preserve"> 15</w:t>
      </w:r>
      <w:r w:rsidR="00411009" w:rsidRPr="00A51255">
        <w:rPr>
          <w:rFonts w:ascii="Arial" w:hAnsi="Arial" w:cs="Arial"/>
          <w:sz w:val="22"/>
          <w:szCs w:val="22"/>
          <w:lang w:val="en-US"/>
        </w:rPr>
        <w:t>,</w:t>
      </w:r>
      <w:r w:rsidRPr="00A51255">
        <w:rPr>
          <w:rFonts w:ascii="Arial" w:hAnsi="Arial" w:cs="Arial"/>
          <w:sz w:val="22"/>
          <w:szCs w:val="22"/>
          <w:lang w:val="en-US"/>
        </w:rPr>
        <w:t xml:space="preserve"> 4</w:t>
      </w:r>
      <w:r w:rsidR="009F48D3" w:rsidRPr="00A51255">
        <w:rPr>
          <w:rFonts w:ascii="Arial" w:hAnsi="Arial" w:cs="Arial"/>
          <w:sz w:val="22"/>
          <w:szCs w:val="22"/>
          <w:lang w:val="en-US"/>
        </w:rPr>
        <w:t>–</w:t>
      </w:r>
      <w:r w:rsidRPr="00A51255">
        <w:rPr>
          <w:rFonts w:ascii="Arial" w:hAnsi="Arial" w:cs="Arial"/>
          <w:sz w:val="22"/>
          <w:szCs w:val="22"/>
          <w:lang w:val="en-US"/>
        </w:rPr>
        <w:t>12.</w:t>
      </w:r>
    </w:p>
    <w:p w:rsidR="00C30B75" w:rsidRPr="00A51255" w:rsidRDefault="00C30B75" w:rsidP="00C30B75">
      <w:pPr>
        <w:shd w:val="clear" w:color="auto" w:fill="FFFFFF"/>
        <w:jc w:val="both"/>
        <w:rPr>
          <w:rFonts w:ascii="Arial" w:hAnsi="Arial" w:cs="Arial"/>
          <w:sz w:val="22"/>
          <w:szCs w:val="22"/>
          <w:lang w:val="en-US"/>
        </w:rPr>
      </w:pPr>
    </w:p>
    <w:p w:rsidR="00D00C8A" w:rsidRPr="00A51255" w:rsidRDefault="00D00C8A" w:rsidP="00D00C8A">
      <w:pPr>
        <w:shd w:val="clear" w:color="auto" w:fill="FFFFFF"/>
        <w:jc w:val="both"/>
        <w:rPr>
          <w:rFonts w:ascii="Arial" w:hAnsi="Arial" w:cs="Arial"/>
          <w:sz w:val="22"/>
          <w:szCs w:val="22"/>
          <w:lang w:val="en-US"/>
        </w:rPr>
      </w:pPr>
      <w:r w:rsidRPr="00A51255">
        <w:rPr>
          <w:rFonts w:ascii="Arial" w:hAnsi="Arial" w:cs="Arial"/>
          <w:sz w:val="22"/>
          <w:szCs w:val="22"/>
          <w:lang w:val="en-US"/>
        </w:rPr>
        <w:t>Dornbusch, R. 1976.</w:t>
      </w:r>
      <w:r w:rsidR="00426524" w:rsidRPr="00A51255">
        <w:rPr>
          <w:rFonts w:ascii="Arial" w:hAnsi="Arial" w:cs="Arial"/>
          <w:sz w:val="22"/>
          <w:szCs w:val="22"/>
          <w:lang w:val="en-US"/>
        </w:rPr>
        <w:t xml:space="preserve"> </w:t>
      </w:r>
      <w:r w:rsidRPr="00A51255">
        <w:rPr>
          <w:rFonts w:ascii="Arial" w:hAnsi="Arial" w:cs="Arial"/>
          <w:sz w:val="22"/>
          <w:szCs w:val="22"/>
          <w:lang w:val="en-US"/>
        </w:rPr>
        <w:t xml:space="preserve">“Expectations and Exchange Rate Dynamics”, </w:t>
      </w:r>
      <w:r w:rsidRPr="00A51255">
        <w:rPr>
          <w:rFonts w:ascii="Arial" w:hAnsi="Arial" w:cs="Arial"/>
          <w:i/>
          <w:sz w:val="22"/>
          <w:szCs w:val="22"/>
          <w:lang w:val="en-US"/>
        </w:rPr>
        <w:t>Journal of Political Economy</w:t>
      </w:r>
      <w:r w:rsidR="00C3125C">
        <w:rPr>
          <w:rFonts w:ascii="Arial" w:hAnsi="Arial" w:cs="Arial"/>
          <w:sz w:val="22"/>
          <w:szCs w:val="22"/>
          <w:lang w:val="en-US"/>
        </w:rPr>
        <w:t xml:space="preserve"> 84, 1161–</w:t>
      </w:r>
      <w:r w:rsidRPr="00A51255">
        <w:rPr>
          <w:rFonts w:ascii="Arial" w:hAnsi="Arial" w:cs="Arial"/>
          <w:sz w:val="22"/>
          <w:szCs w:val="22"/>
          <w:lang w:val="en-US"/>
        </w:rPr>
        <w:t>1176.</w:t>
      </w:r>
    </w:p>
    <w:p w:rsidR="00B242BE" w:rsidRPr="00A51255" w:rsidRDefault="00B242BE" w:rsidP="00C30B75">
      <w:pPr>
        <w:shd w:val="clear" w:color="auto" w:fill="FFFFFF"/>
        <w:jc w:val="both"/>
        <w:rPr>
          <w:rFonts w:ascii="Arial" w:hAnsi="Arial" w:cs="Arial"/>
          <w:sz w:val="22"/>
          <w:szCs w:val="22"/>
          <w:lang w:val="en-US"/>
        </w:rPr>
      </w:pPr>
    </w:p>
    <w:p w:rsidR="00C30B75" w:rsidRPr="00A51255" w:rsidRDefault="00C30B75" w:rsidP="00C30B75">
      <w:pPr>
        <w:jc w:val="both"/>
        <w:rPr>
          <w:rFonts w:ascii="Arial" w:hAnsi="Arial" w:cs="Arial"/>
          <w:sz w:val="22"/>
          <w:szCs w:val="22"/>
          <w:lang w:val="en-US"/>
        </w:rPr>
      </w:pPr>
      <w:r w:rsidRPr="00A51255">
        <w:rPr>
          <w:rFonts w:ascii="Arial" w:hAnsi="Arial" w:cs="Arial"/>
          <w:sz w:val="22"/>
          <w:szCs w:val="22"/>
          <w:lang w:val="en-US"/>
        </w:rPr>
        <w:t>Edmonds, R. and A.M. Kutan</w:t>
      </w:r>
      <w:r w:rsidR="001952AF" w:rsidRPr="00A51255">
        <w:rPr>
          <w:rFonts w:ascii="Arial" w:hAnsi="Arial" w:cs="Arial"/>
          <w:sz w:val="22"/>
          <w:szCs w:val="22"/>
          <w:lang w:val="en-US"/>
        </w:rPr>
        <w:t>. 2002</w:t>
      </w:r>
      <w:r w:rsidRPr="00A51255">
        <w:rPr>
          <w:rFonts w:ascii="Arial" w:hAnsi="Arial" w:cs="Arial"/>
          <w:sz w:val="22"/>
          <w:szCs w:val="22"/>
          <w:lang w:val="en-US"/>
        </w:rPr>
        <w:t xml:space="preserve">. </w:t>
      </w:r>
      <w:r w:rsidR="001952AF" w:rsidRPr="00A51255">
        <w:rPr>
          <w:rFonts w:ascii="Arial" w:hAnsi="Arial" w:cs="Arial"/>
          <w:sz w:val="22"/>
          <w:szCs w:val="22"/>
          <w:lang w:val="en-US"/>
        </w:rPr>
        <w:t>“</w:t>
      </w:r>
      <w:r w:rsidRPr="00A51255">
        <w:rPr>
          <w:rFonts w:ascii="Arial" w:hAnsi="Arial" w:cs="Arial"/>
          <w:sz w:val="22"/>
          <w:szCs w:val="22"/>
          <w:lang w:val="en-US"/>
        </w:rPr>
        <w:t>Is the Public Information Really Irrelevant in Asset Markets?</w:t>
      </w:r>
      <w:r w:rsidR="001952AF" w:rsidRPr="00A51255">
        <w:rPr>
          <w:rFonts w:ascii="Arial" w:hAnsi="Arial" w:cs="Arial"/>
          <w:sz w:val="22"/>
          <w:szCs w:val="22"/>
          <w:lang w:val="en-US"/>
        </w:rPr>
        <w:t>”</w:t>
      </w:r>
      <w:r w:rsidRPr="00A51255">
        <w:rPr>
          <w:rFonts w:ascii="Arial" w:hAnsi="Arial" w:cs="Arial"/>
          <w:sz w:val="22"/>
          <w:szCs w:val="22"/>
          <w:lang w:val="en-US"/>
        </w:rPr>
        <w:t xml:space="preserve">, </w:t>
      </w:r>
      <w:r w:rsidRPr="00A51255">
        <w:rPr>
          <w:rFonts w:ascii="Arial" w:hAnsi="Arial" w:cs="Arial"/>
          <w:i/>
          <w:sz w:val="22"/>
          <w:szCs w:val="22"/>
          <w:lang w:val="en-US"/>
        </w:rPr>
        <w:t>Economics Letters</w:t>
      </w:r>
      <w:r w:rsidRPr="00A51255">
        <w:rPr>
          <w:rFonts w:ascii="Arial" w:hAnsi="Arial" w:cs="Arial"/>
          <w:sz w:val="22"/>
          <w:szCs w:val="22"/>
          <w:lang w:val="en-US"/>
        </w:rPr>
        <w:t xml:space="preserve"> 76, 223</w:t>
      </w:r>
      <w:r w:rsidR="009F48D3" w:rsidRPr="00A51255">
        <w:rPr>
          <w:rFonts w:ascii="Arial" w:hAnsi="Arial" w:cs="Arial"/>
          <w:sz w:val="22"/>
          <w:szCs w:val="22"/>
          <w:lang w:val="en-US"/>
        </w:rPr>
        <w:t>–</w:t>
      </w:r>
      <w:r w:rsidRPr="00A51255">
        <w:rPr>
          <w:rFonts w:ascii="Arial" w:hAnsi="Arial" w:cs="Arial"/>
          <w:sz w:val="22"/>
          <w:szCs w:val="22"/>
          <w:lang w:val="en-US"/>
        </w:rPr>
        <w:t>229.</w:t>
      </w:r>
    </w:p>
    <w:p w:rsidR="00493F94" w:rsidRPr="00A51255" w:rsidRDefault="00493F94" w:rsidP="00C30B75">
      <w:pPr>
        <w:jc w:val="both"/>
        <w:rPr>
          <w:rFonts w:ascii="Arial" w:hAnsi="Arial" w:cs="Arial"/>
          <w:sz w:val="22"/>
          <w:szCs w:val="22"/>
          <w:lang w:val="en-US"/>
        </w:rPr>
      </w:pPr>
    </w:p>
    <w:p w:rsidR="00493F94" w:rsidRPr="00A51255" w:rsidRDefault="00493F94" w:rsidP="00493F94">
      <w:pPr>
        <w:jc w:val="both"/>
        <w:rPr>
          <w:rFonts w:ascii="Arial" w:hAnsi="Arial" w:cs="Arial"/>
          <w:sz w:val="22"/>
          <w:szCs w:val="22"/>
          <w:lang w:val="en-US"/>
        </w:rPr>
      </w:pPr>
      <w:r w:rsidRPr="00731796">
        <w:rPr>
          <w:rFonts w:ascii="Arial" w:hAnsi="Arial" w:cs="Arial"/>
          <w:sz w:val="22"/>
          <w:szCs w:val="22"/>
          <w:lang w:val="de-DE"/>
        </w:rPr>
        <w:t>Ehrmann, M. and M. Fratzscher</w:t>
      </w:r>
      <w:r w:rsidR="001952AF" w:rsidRPr="00731796">
        <w:rPr>
          <w:rFonts w:ascii="Arial" w:hAnsi="Arial" w:cs="Arial"/>
          <w:sz w:val="22"/>
          <w:szCs w:val="22"/>
          <w:lang w:val="de-DE"/>
        </w:rPr>
        <w:t xml:space="preserve">. </w:t>
      </w:r>
      <w:r w:rsidR="001952AF" w:rsidRPr="00A51255">
        <w:rPr>
          <w:rFonts w:ascii="Arial" w:hAnsi="Arial" w:cs="Arial"/>
          <w:sz w:val="22"/>
          <w:szCs w:val="22"/>
          <w:lang w:val="en-US"/>
        </w:rPr>
        <w:t>2004</w:t>
      </w:r>
      <w:r w:rsidRPr="00A51255">
        <w:rPr>
          <w:rFonts w:ascii="Arial" w:hAnsi="Arial" w:cs="Arial"/>
          <w:sz w:val="22"/>
          <w:szCs w:val="22"/>
          <w:lang w:val="en-US"/>
        </w:rPr>
        <w:t xml:space="preserve">. </w:t>
      </w:r>
      <w:r w:rsidR="001952AF" w:rsidRPr="00A51255">
        <w:rPr>
          <w:rFonts w:ascii="Arial" w:hAnsi="Arial" w:cs="Arial"/>
          <w:sz w:val="22"/>
          <w:szCs w:val="22"/>
          <w:lang w:val="en-US"/>
        </w:rPr>
        <w:t>“</w:t>
      </w:r>
      <w:r w:rsidRPr="00A51255">
        <w:rPr>
          <w:rFonts w:ascii="Arial" w:hAnsi="Arial" w:cs="Arial"/>
          <w:sz w:val="22"/>
          <w:szCs w:val="22"/>
          <w:lang w:val="en-US"/>
        </w:rPr>
        <w:t>Taking Stock: Monetary Policy Transmission to Equity Markets</w:t>
      </w:r>
      <w:r w:rsidR="001952AF" w:rsidRPr="00A51255">
        <w:rPr>
          <w:rFonts w:ascii="Arial" w:hAnsi="Arial" w:cs="Arial"/>
          <w:sz w:val="22"/>
          <w:szCs w:val="22"/>
          <w:lang w:val="en-US"/>
        </w:rPr>
        <w:t>”</w:t>
      </w:r>
      <w:r w:rsidRPr="00A51255">
        <w:rPr>
          <w:rFonts w:ascii="Arial" w:hAnsi="Arial" w:cs="Arial"/>
          <w:sz w:val="22"/>
          <w:szCs w:val="22"/>
          <w:lang w:val="en-US"/>
        </w:rPr>
        <w:t xml:space="preserve">, </w:t>
      </w:r>
      <w:r w:rsidRPr="00A51255">
        <w:rPr>
          <w:rFonts w:ascii="Arial" w:hAnsi="Arial" w:cs="Arial"/>
          <w:i/>
          <w:sz w:val="22"/>
          <w:szCs w:val="22"/>
          <w:lang w:val="en-US"/>
        </w:rPr>
        <w:t>Journal of Money, Credit, and Banking</w:t>
      </w:r>
      <w:r w:rsidRPr="00A51255">
        <w:rPr>
          <w:rFonts w:ascii="Arial" w:hAnsi="Arial" w:cs="Arial"/>
          <w:sz w:val="22"/>
          <w:szCs w:val="22"/>
          <w:lang w:val="en-US"/>
        </w:rPr>
        <w:t xml:space="preserve"> 36, 719</w:t>
      </w:r>
      <w:r w:rsidR="009F48D3" w:rsidRPr="00A51255">
        <w:rPr>
          <w:rFonts w:ascii="Arial" w:hAnsi="Arial" w:cs="Arial"/>
          <w:sz w:val="22"/>
          <w:szCs w:val="22"/>
          <w:lang w:val="en-US"/>
        </w:rPr>
        <w:t>–</w:t>
      </w:r>
      <w:r w:rsidRPr="00A51255">
        <w:rPr>
          <w:rFonts w:ascii="Arial" w:hAnsi="Arial" w:cs="Arial"/>
          <w:sz w:val="22"/>
          <w:szCs w:val="22"/>
          <w:lang w:val="en-US"/>
        </w:rPr>
        <w:t>737.</w:t>
      </w:r>
    </w:p>
    <w:p w:rsidR="00E418E2" w:rsidRPr="00A51255" w:rsidRDefault="00E418E2" w:rsidP="00493F94">
      <w:pPr>
        <w:jc w:val="both"/>
        <w:rPr>
          <w:rFonts w:ascii="Arial" w:hAnsi="Arial" w:cs="Arial"/>
          <w:sz w:val="22"/>
          <w:szCs w:val="22"/>
          <w:lang w:val="en-US"/>
        </w:rPr>
      </w:pPr>
    </w:p>
    <w:p w:rsidR="00254052" w:rsidRPr="00A51255" w:rsidRDefault="00254052" w:rsidP="00254052">
      <w:pPr>
        <w:jc w:val="both"/>
        <w:rPr>
          <w:rFonts w:ascii="Arial" w:hAnsi="Arial" w:cs="Arial"/>
          <w:sz w:val="22"/>
          <w:szCs w:val="22"/>
          <w:lang w:val="en-US"/>
        </w:rPr>
      </w:pPr>
      <w:r w:rsidRPr="000E3558">
        <w:rPr>
          <w:rFonts w:ascii="Arial" w:hAnsi="Arial" w:cs="Arial"/>
          <w:sz w:val="22"/>
          <w:szCs w:val="22"/>
          <w:lang w:val="en-US"/>
        </w:rPr>
        <w:t xml:space="preserve">Engel, C.M. and J.A. Frankel. </w:t>
      </w:r>
      <w:r w:rsidRPr="00A51255">
        <w:rPr>
          <w:rFonts w:ascii="Arial" w:hAnsi="Arial" w:cs="Arial"/>
          <w:sz w:val="22"/>
          <w:szCs w:val="22"/>
          <w:lang w:val="en-US"/>
        </w:rPr>
        <w:t xml:space="preserve">1984. “Why Interest Rates React to Money Announcements: An Explanation from the Foreign Exchange Market”, </w:t>
      </w:r>
      <w:r w:rsidRPr="00A51255">
        <w:rPr>
          <w:rFonts w:ascii="Arial" w:hAnsi="Arial" w:cs="Arial"/>
          <w:i/>
          <w:sz w:val="22"/>
          <w:szCs w:val="22"/>
          <w:lang w:val="en-US"/>
        </w:rPr>
        <w:t>Journal of Monetary Economics</w:t>
      </w:r>
      <w:r w:rsidRPr="00A51255">
        <w:rPr>
          <w:rFonts w:ascii="Arial" w:hAnsi="Arial" w:cs="Arial"/>
          <w:sz w:val="22"/>
          <w:szCs w:val="22"/>
          <w:lang w:val="en-US"/>
        </w:rPr>
        <w:t xml:space="preserve"> 13, 31</w:t>
      </w:r>
      <w:r w:rsidR="00905CD7">
        <w:rPr>
          <w:rFonts w:ascii="Arial" w:hAnsi="Arial" w:cs="Arial"/>
          <w:sz w:val="22"/>
          <w:szCs w:val="22"/>
          <w:lang w:val="en-US"/>
        </w:rPr>
        <w:t>–</w:t>
      </w:r>
      <w:r w:rsidRPr="00A51255">
        <w:rPr>
          <w:rFonts w:ascii="Arial" w:hAnsi="Arial" w:cs="Arial"/>
          <w:sz w:val="22"/>
          <w:szCs w:val="22"/>
          <w:lang w:val="en-US"/>
        </w:rPr>
        <w:t>39.</w:t>
      </w:r>
    </w:p>
    <w:p w:rsidR="00712A78" w:rsidRPr="00A51255" w:rsidRDefault="00712A78" w:rsidP="00493F94">
      <w:pPr>
        <w:jc w:val="both"/>
        <w:rPr>
          <w:rFonts w:ascii="Arial" w:hAnsi="Arial" w:cs="Arial"/>
          <w:sz w:val="22"/>
          <w:szCs w:val="22"/>
          <w:lang w:val="en-US"/>
        </w:rPr>
      </w:pPr>
    </w:p>
    <w:p w:rsidR="00EA53DE" w:rsidRPr="00A51255" w:rsidRDefault="00EA53DE" w:rsidP="00EA53DE">
      <w:pPr>
        <w:jc w:val="both"/>
        <w:rPr>
          <w:rFonts w:ascii="Arial" w:hAnsi="Arial" w:cs="Arial"/>
          <w:sz w:val="22"/>
          <w:szCs w:val="22"/>
          <w:lang w:val="en-US"/>
        </w:rPr>
      </w:pPr>
      <w:r w:rsidRPr="00A51255">
        <w:rPr>
          <w:rFonts w:ascii="Arial" w:hAnsi="Arial" w:cs="Arial"/>
          <w:sz w:val="22"/>
          <w:szCs w:val="22"/>
          <w:lang w:val="en-US"/>
        </w:rPr>
        <w:t xml:space="preserve">Frenkel, J. 1976.  “A Monetary Approach to the Exchange Rate: Doctrinal Aspects and Empirical Evidence”, </w:t>
      </w:r>
      <w:r w:rsidRPr="00A51255">
        <w:rPr>
          <w:rFonts w:ascii="Arial" w:hAnsi="Arial" w:cs="Arial"/>
          <w:i/>
          <w:sz w:val="22"/>
          <w:szCs w:val="22"/>
          <w:lang w:val="en-US"/>
        </w:rPr>
        <w:t>Scandinavian Journal of Economics</w:t>
      </w:r>
      <w:r w:rsidRPr="00A51255">
        <w:rPr>
          <w:rFonts w:ascii="Arial" w:hAnsi="Arial" w:cs="Arial"/>
          <w:sz w:val="22"/>
          <w:szCs w:val="22"/>
          <w:lang w:val="en-US"/>
        </w:rPr>
        <w:t xml:space="preserve"> 78, 200</w:t>
      </w:r>
      <w:r w:rsidR="00905CD7">
        <w:rPr>
          <w:rFonts w:ascii="Arial" w:hAnsi="Arial" w:cs="Arial"/>
          <w:sz w:val="22"/>
          <w:szCs w:val="22"/>
          <w:lang w:val="en-US"/>
        </w:rPr>
        <w:t>–</w:t>
      </w:r>
      <w:r w:rsidRPr="00A51255">
        <w:rPr>
          <w:rFonts w:ascii="Arial" w:hAnsi="Arial" w:cs="Arial"/>
          <w:sz w:val="22"/>
          <w:szCs w:val="22"/>
          <w:lang w:val="en-US"/>
        </w:rPr>
        <w:t>224.</w:t>
      </w:r>
    </w:p>
    <w:p w:rsidR="00712A78" w:rsidRPr="00A51255" w:rsidRDefault="00712A78" w:rsidP="00493F94">
      <w:pPr>
        <w:jc w:val="both"/>
        <w:rPr>
          <w:rFonts w:ascii="Arial" w:hAnsi="Arial" w:cs="Arial"/>
          <w:sz w:val="22"/>
          <w:szCs w:val="22"/>
          <w:lang w:val="en-US"/>
        </w:rPr>
      </w:pPr>
    </w:p>
    <w:p w:rsidR="00503660" w:rsidRPr="00A51255" w:rsidRDefault="00503660" w:rsidP="00503660">
      <w:pPr>
        <w:jc w:val="both"/>
        <w:rPr>
          <w:rFonts w:ascii="Arial" w:hAnsi="Arial" w:cs="Arial"/>
          <w:sz w:val="22"/>
          <w:szCs w:val="22"/>
          <w:lang w:val="en-US"/>
        </w:rPr>
      </w:pPr>
      <w:r w:rsidRPr="00A51255">
        <w:rPr>
          <w:rFonts w:ascii="Arial" w:hAnsi="Arial" w:cs="Arial"/>
          <w:sz w:val="22"/>
          <w:szCs w:val="22"/>
          <w:lang w:val="en-US"/>
        </w:rPr>
        <w:t>Frankel, J. 1979. “On the Mark: A Theo</w:t>
      </w:r>
      <w:r w:rsidR="0007593B">
        <w:rPr>
          <w:rFonts w:ascii="Arial" w:hAnsi="Arial" w:cs="Arial"/>
          <w:sz w:val="22"/>
          <w:szCs w:val="22"/>
          <w:lang w:val="en-US"/>
        </w:rPr>
        <w:t>ry of Floating Exchange Rates B</w:t>
      </w:r>
      <w:r w:rsidRPr="00A51255">
        <w:rPr>
          <w:rFonts w:ascii="Arial" w:hAnsi="Arial" w:cs="Arial"/>
          <w:sz w:val="22"/>
          <w:szCs w:val="22"/>
          <w:lang w:val="en-US"/>
        </w:rPr>
        <w:t xml:space="preserve">ased on Real Interest Differentials”, </w:t>
      </w:r>
      <w:r w:rsidRPr="00A51255">
        <w:rPr>
          <w:rFonts w:ascii="Arial" w:hAnsi="Arial" w:cs="Arial"/>
          <w:i/>
          <w:sz w:val="22"/>
          <w:szCs w:val="22"/>
          <w:lang w:val="en-US"/>
        </w:rPr>
        <w:t>American Economic Review</w:t>
      </w:r>
      <w:r w:rsidRPr="00A51255">
        <w:rPr>
          <w:rFonts w:ascii="Arial" w:hAnsi="Arial" w:cs="Arial"/>
          <w:sz w:val="22"/>
          <w:szCs w:val="22"/>
          <w:lang w:val="en-US"/>
        </w:rPr>
        <w:t xml:space="preserve"> 69, 610 – 622.</w:t>
      </w:r>
    </w:p>
    <w:p w:rsidR="00746B17" w:rsidRDefault="00746B17" w:rsidP="00493F94">
      <w:pPr>
        <w:jc w:val="both"/>
        <w:rPr>
          <w:rFonts w:ascii="Arial" w:hAnsi="Arial"/>
          <w:sz w:val="22"/>
          <w:szCs w:val="22"/>
          <w:lang w:val="en-US"/>
        </w:rPr>
      </w:pPr>
    </w:p>
    <w:p w:rsidR="00746B17" w:rsidRPr="00BD03D3" w:rsidRDefault="00D97CE1" w:rsidP="00D97CE1">
      <w:pPr>
        <w:jc w:val="both"/>
        <w:rPr>
          <w:rFonts w:ascii="Arial" w:hAnsi="Arial" w:cs="Arial"/>
          <w:sz w:val="22"/>
          <w:szCs w:val="22"/>
          <w:lang w:val="en-US"/>
        </w:rPr>
      </w:pPr>
      <w:r w:rsidRPr="00D97CE1">
        <w:rPr>
          <w:rFonts w:ascii="Arial" w:hAnsi="Arial" w:cs="Arial"/>
          <w:sz w:val="22"/>
          <w:szCs w:val="22"/>
          <w:lang w:val="en-US"/>
        </w:rPr>
        <w:t>Gabrisch, H. and L.</w:t>
      </w:r>
      <w:r w:rsidR="00746B17" w:rsidRPr="00D97CE1">
        <w:rPr>
          <w:rFonts w:ascii="Arial" w:hAnsi="Arial" w:cs="Arial"/>
          <w:sz w:val="22"/>
          <w:szCs w:val="22"/>
          <w:lang w:val="en-US"/>
        </w:rPr>
        <w:t xml:space="preserve">T. Orlowski. </w:t>
      </w:r>
      <w:r w:rsidR="00F9469C" w:rsidRPr="00D97CE1">
        <w:rPr>
          <w:rFonts w:ascii="Arial" w:hAnsi="Arial" w:cs="Arial"/>
          <w:sz w:val="22"/>
          <w:szCs w:val="22"/>
          <w:lang w:val="en-US"/>
        </w:rPr>
        <w:t xml:space="preserve">2010. </w:t>
      </w:r>
      <w:r w:rsidR="00746B17" w:rsidRPr="00D97CE1">
        <w:rPr>
          <w:rFonts w:ascii="Arial" w:hAnsi="Arial" w:cs="Arial"/>
          <w:sz w:val="22"/>
          <w:szCs w:val="22"/>
          <w:lang w:val="en-US"/>
        </w:rPr>
        <w:t>“</w:t>
      </w:r>
      <w:r w:rsidR="00746B17" w:rsidRPr="005662DD">
        <w:rPr>
          <w:rFonts w:ascii="Arial" w:hAnsi="Arial" w:cs="Arial"/>
          <w:bCs/>
          <w:sz w:val="22"/>
          <w:szCs w:val="22"/>
          <w:lang w:val="en-US"/>
        </w:rPr>
        <w:t xml:space="preserve">Interest Rate Convergence in Euro-Candidate Countries: Volatility Dynamics of Sovereign Bond Yields”, </w:t>
      </w:r>
      <w:r w:rsidR="00746B17" w:rsidRPr="00D97CE1">
        <w:rPr>
          <w:rFonts w:ascii="Arial" w:hAnsi="Arial" w:cs="Arial"/>
          <w:i/>
          <w:sz w:val="22"/>
          <w:szCs w:val="22"/>
          <w:lang w:val="en-US"/>
        </w:rPr>
        <w:t xml:space="preserve">Emerging Markets Finance and Trade </w:t>
      </w:r>
      <w:r w:rsidR="00746B17" w:rsidRPr="00D97CE1">
        <w:rPr>
          <w:rFonts w:ascii="Arial" w:hAnsi="Arial" w:cs="Arial"/>
          <w:sz w:val="22"/>
          <w:szCs w:val="22"/>
          <w:lang w:val="en-US"/>
        </w:rPr>
        <w:t xml:space="preserve">46, </w:t>
      </w:r>
      <w:r w:rsidR="00BD03D3" w:rsidRPr="00D97CE1">
        <w:rPr>
          <w:rFonts w:ascii="Arial" w:hAnsi="Arial" w:cs="Arial"/>
          <w:sz w:val="22"/>
          <w:szCs w:val="22"/>
          <w:lang w:val="en-US"/>
        </w:rPr>
        <w:t>69</w:t>
      </w:r>
      <w:r w:rsidR="00905CD7">
        <w:rPr>
          <w:rFonts w:ascii="Arial" w:hAnsi="Arial" w:cs="Arial"/>
          <w:sz w:val="22"/>
          <w:szCs w:val="22"/>
          <w:lang w:val="en-US"/>
        </w:rPr>
        <w:t>–</w:t>
      </w:r>
      <w:r w:rsidR="00BD03D3" w:rsidRPr="00D97CE1">
        <w:rPr>
          <w:rFonts w:ascii="Arial" w:hAnsi="Arial" w:cs="Arial"/>
          <w:sz w:val="22"/>
          <w:szCs w:val="22"/>
          <w:lang w:val="en-US"/>
        </w:rPr>
        <w:t>85.</w:t>
      </w:r>
    </w:p>
    <w:p w:rsidR="00746B17" w:rsidRDefault="00746B17" w:rsidP="00493F94">
      <w:pPr>
        <w:jc w:val="both"/>
        <w:rPr>
          <w:rFonts w:ascii="Arial" w:hAnsi="Arial"/>
          <w:sz w:val="22"/>
          <w:szCs w:val="22"/>
          <w:lang w:val="en-US"/>
        </w:rPr>
      </w:pPr>
    </w:p>
    <w:p w:rsidR="00493F94" w:rsidRPr="00A51255" w:rsidRDefault="00493F94" w:rsidP="00493F94">
      <w:pPr>
        <w:jc w:val="both"/>
        <w:rPr>
          <w:rFonts w:ascii="Arial" w:hAnsi="Arial" w:cs="Arial"/>
          <w:sz w:val="22"/>
          <w:szCs w:val="22"/>
          <w:lang w:val="en-US"/>
        </w:rPr>
      </w:pPr>
      <w:r w:rsidRPr="00A51255">
        <w:rPr>
          <w:rFonts w:ascii="Arial" w:hAnsi="Arial"/>
          <w:sz w:val="22"/>
          <w:szCs w:val="22"/>
          <w:lang w:val="en-US"/>
        </w:rPr>
        <w:t>Ganapolsky, E.J.J. and S.L. Schmuckler</w:t>
      </w:r>
      <w:r w:rsidR="001952AF" w:rsidRPr="00A51255">
        <w:rPr>
          <w:rFonts w:ascii="Arial" w:hAnsi="Arial"/>
          <w:sz w:val="22"/>
          <w:szCs w:val="22"/>
          <w:lang w:val="en-US"/>
        </w:rPr>
        <w:t>. 2001</w:t>
      </w:r>
      <w:r w:rsidRPr="00A51255">
        <w:rPr>
          <w:rFonts w:ascii="Arial" w:hAnsi="Arial"/>
          <w:sz w:val="22"/>
          <w:szCs w:val="22"/>
          <w:lang w:val="en-US"/>
        </w:rPr>
        <w:t xml:space="preserve">. </w:t>
      </w:r>
      <w:r w:rsidR="001952AF" w:rsidRPr="00A51255">
        <w:rPr>
          <w:rFonts w:ascii="Arial" w:hAnsi="Arial"/>
          <w:sz w:val="22"/>
          <w:szCs w:val="22"/>
          <w:lang w:val="en-US"/>
        </w:rPr>
        <w:t>“</w:t>
      </w:r>
      <w:r w:rsidRPr="00A51255">
        <w:rPr>
          <w:rFonts w:ascii="Arial" w:hAnsi="Arial"/>
          <w:sz w:val="22"/>
          <w:szCs w:val="22"/>
          <w:lang w:val="en-US"/>
        </w:rPr>
        <w:t>Crisis Management in Argentina During the 1994–1995 Mexican Crisis: How Did Markets React?</w:t>
      </w:r>
      <w:r w:rsidR="001952AF" w:rsidRPr="00A51255">
        <w:rPr>
          <w:rFonts w:ascii="Arial" w:hAnsi="Arial"/>
          <w:sz w:val="22"/>
          <w:szCs w:val="22"/>
          <w:lang w:val="en-US"/>
        </w:rPr>
        <w:t>”</w:t>
      </w:r>
      <w:r w:rsidRPr="00A51255">
        <w:rPr>
          <w:rFonts w:ascii="Arial" w:hAnsi="Arial"/>
          <w:sz w:val="22"/>
          <w:szCs w:val="22"/>
          <w:lang w:val="en-US"/>
        </w:rPr>
        <w:t xml:space="preserve"> in: S. Devarajan, F. Rogers, L. Squire (Eds.), World Bank Economists' Forum vol. 1</w:t>
      </w:r>
      <w:r w:rsidR="001952AF" w:rsidRPr="00A51255">
        <w:rPr>
          <w:rFonts w:ascii="Arial" w:hAnsi="Arial"/>
          <w:sz w:val="22"/>
          <w:szCs w:val="22"/>
          <w:lang w:val="en-US"/>
        </w:rPr>
        <w:t>,</w:t>
      </w:r>
      <w:r w:rsidRPr="00A51255">
        <w:rPr>
          <w:rFonts w:ascii="Arial" w:hAnsi="Arial"/>
          <w:sz w:val="22"/>
          <w:szCs w:val="22"/>
          <w:lang w:val="en-US"/>
        </w:rPr>
        <w:t xml:space="preserve"> 3–30.</w:t>
      </w:r>
    </w:p>
    <w:p w:rsidR="00493F94" w:rsidRPr="00A51255" w:rsidRDefault="00493F94" w:rsidP="00C30B75">
      <w:pPr>
        <w:jc w:val="both"/>
        <w:rPr>
          <w:rFonts w:ascii="Arial" w:hAnsi="Arial" w:cs="Arial"/>
          <w:sz w:val="22"/>
          <w:szCs w:val="22"/>
          <w:lang w:val="en-US"/>
        </w:rPr>
      </w:pPr>
    </w:p>
    <w:p w:rsidR="00BA0165" w:rsidRPr="00A51255" w:rsidRDefault="00493F94" w:rsidP="00BA0165">
      <w:pPr>
        <w:jc w:val="both"/>
        <w:rPr>
          <w:rFonts w:ascii="Arial" w:hAnsi="Arial" w:cs="Arial"/>
          <w:sz w:val="22"/>
          <w:szCs w:val="22"/>
          <w:lang w:val="en-US"/>
        </w:rPr>
      </w:pPr>
      <w:r w:rsidRPr="00A51255">
        <w:rPr>
          <w:rFonts w:ascii="Arial" w:hAnsi="Arial" w:cs="Arial"/>
          <w:sz w:val="22"/>
          <w:szCs w:val="22"/>
          <w:lang w:val="en-US"/>
        </w:rPr>
        <w:lastRenderedPageBreak/>
        <w:t>Gilchrist, S. and J.V. Leahy</w:t>
      </w:r>
      <w:r w:rsidR="001952AF" w:rsidRPr="00A51255">
        <w:rPr>
          <w:rFonts w:ascii="Arial" w:hAnsi="Arial" w:cs="Arial"/>
          <w:sz w:val="22"/>
          <w:szCs w:val="22"/>
          <w:lang w:val="en-US"/>
        </w:rPr>
        <w:t>. 2002</w:t>
      </w:r>
      <w:r w:rsidRPr="00A51255">
        <w:rPr>
          <w:rFonts w:ascii="Arial" w:hAnsi="Arial" w:cs="Arial"/>
          <w:sz w:val="22"/>
          <w:szCs w:val="22"/>
          <w:lang w:val="en-US"/>
        </w:rPr>
        <w:t xml:space="preserve">. </w:t>
      </w:r>
      <w:r w:rsidR="001952AF" w:rsidRPr="00A51255">
        <w:rPr>
          <w:rFonts w:ascii="Arial" w:hAnsi="Arial" w:cs="Arial"/>
          <w:sz w:val="22"/>
          <w:szCs w:val="22"/>
          <w:lang w:val="en-US"/>
        </w:rPr>
        <w:t>“</w:t>
      </w:r>
      <w:r w:rsidRPr="00A51255">
        <w:rPr>
          <w:rFonts w:ascii="Arial" w:hAnsi="Arial" w:cs="Arial"/>
          <w:sz w:val="22"/>
          <w:szCs w:val="22"/>
          <w:lang w:val="en-US"/>
        </w:rPr>
        <w:t>Monetary Policy and Asset Prices</w:t>
      </w:r>
      <w:r w:rsidR="001952AF" w:rsidRPr="00A51255">
        <w:rPr>
          <w:rFonts w:ascii="Arial" w:hAnsi="Arial" w:cs="Arial"/>
          <w:sz w:val="22"/>
          <w:szCs w:val="22"/>
          <w:lang w:val="en-US"/>
        </w:rPr>
        <w:t>”</w:t>
      </w:r>
      <w:r w:rsidRPr="00A51255">
        <w:rPr>
          <w:rFonts w:ascii="Arial" w:hAnsi="Arial" w:cs="Arial"/>
          <w:sz w:val="22"/>
          <w:szCs w:val="22"/>
          <w:lang w:val="en-US"/>
        </w:rPr>
        <w:t xml:space="preserve">, </w:t>
      </w:r>
      <w:r w:rsidRPr="00A51255">
        <w:rPr>
          <w:rFonts w:ascii="Arial" w:hAnsi="Arial" w:cs="Arial"/>
          <w:i/>
          <w:iCs/>
          <w:sz w:val="22"/>
          <w:szCs w:val="22"/>
          <w:lang w:val="en-US"/>
        </w:rPr>
        <w:t>Journal of Monetary Economics</w:t>
      </w:r>
      <w:r w:rsidRPr="00A51255">
        <w:rPr>
          <w:rFonts w:ascii="Arial" w:hAnsi="Arial" w:cs="Arial"/>
          <w:sz w:val="22"/>
          <w:szCs w:val="22"/>
          <w:lang w:val="en-US"/>
        </w:rPr>
        <w:t xml:space="preserve"> 49, 75</w:t>
      </w:r>
      <w:r w:rsidR="009F48D3" w:rsidRPr="00A51255">
        <w:rPr>
          <w:rFonts w:ascii="Arial" w:hAnsi="Arial" w:cs="Arial"/>
          <w:sz w:val="22"/>
          <w:szCs w:val="22"/>
          <w:lang w:val="en-US"/>
        </w:rPr>
        <w:t>–</w:t>
      </w:r>
      <w:r w:rsidRPr="00A51255">
        <w:rPr>
          <w:rFonts w:ascii="Arial" w:hAnsi="Arial" w:cs="Arial"/>
          <w:sz w:val="22"/>
          <w:szCs w:val="22"/>
          <w:lang w:val="en-US"/>
        </w:rPr>
        <w:t>97.</w:t>
      </w:r>
    </w:p>
    <w:p w:rsidR="00493F94" w:rsidRPr="00A51255" w:rsidRDefault="00493F94" w:rsidP="00BA0165">
      <w:pPr>
        <w:jc w:val="both"/>
        <w:rPr>
          <w:rFonts w:ascii="Arial" w:hAnsi="Arial" w:cs="Arial"/>
          <w:sz w:val="22"/>
          <w:szCs w:val="22"/>
          <w:lang w:val="en-US"/>
        </w:rPr>
      </w:pPr>
    </w:p>
    <w:p w:rsidR="00BA0165" w:rsidRPr="00A51255" w:rsidRDefault="00BA0165" w:rsidP="00BA0165">
      <w:pPr>
        <w:shd w:val="clear" w:color="auto" w:fill="FFFFFF"/>
        <w:jc w:val="both"/>
        <w:rPr>
          <w:rFonts w:ascii="Arial" w:hAnsi="Arial" w:cs="Arial"/>
          <w:bCs/>
          <w:sz w:val="22"/>
          <w:szCs w:val="22"/>
          <w:lang w:val="en-US" w:eastAsia="en-US"/>
        </w:rPr>
      </w:pPr>
      <w:r w:rsidRPr="00A51255">
        <w:rPr>
          <w:rFonts w:ascii="Arial" w:hAnsi="Arial" w:cs="Arial"/>
          <w:bCs/>
          <w:sz w:val="22"/>
          <w:szCs w:val="22"/>
          <w:lang w:val="en-US"/>
        </w:rPr>
        <w:t xml:space="preserve">Gómez, </w:t>
      </w:r>
      <w:r w:rsidR="00206535" w:rsidRPr="00A51255">
        <w:rPr>
          <w:rFonts w:ascii="Arial" w:hAnsi="Arial" w:cs="Arial"/>
          <w:bCs/>
          <w:sz w:val="22"/>
          <w:szCs w:val="22"/>
          <w:lang w:val="en-US"/>
        </w:rPr>
        <w:t xml:space="preserve">M., </w:t>
      </w:r>
      <w:r w:rsidRPr="00A51255">
        <w:rPr>
          <w:rFonts w:ascii="Arial" w:hAnsi="Arial" w:cs="Arial"/>
          <w:bCs/>
          <w:sz w:val="22"/>
          <w:szCs w:val="22"/>
          <w:lang w:val="en-US"/>
        </w:rPr>
        <w:t>M. Melvin</w:t>
      </w:r>
      <w:r w:rsidR="00AD1E8D" w:rsidRPr="00A51255">
        <w:rPr>
          <w:rFonts w:ascii="Arial" w:hAnsi="Arial" w:cs="Arial"/>
          <w:bCs/>
          <w:sz w:val="22"/>
          <w:szCs w:val="22"/>
          <w:lang w:val="en-US"/>
        </w:rPr>
        <w:t xml:space="preserve">, </w:t>
      </w:r>
      <w:r w:rsidR="006C3422" w:rsidRPr="00A51255">
        <w:rPr>
          <w:rFonts w:ascii="Arial" w:hAnsi="Arial" w:cs="Arial"/>
          <w:bCs/>
          <w:sz w:val="22"/>
          <w:szCs w:val="22"/>
          <w:lang w:val="en-US"/>
        </w:rPr>
        <w:t xml:space="preserve">and </w:t>
      </w:r>
      <w:r w:rsidRPr="00A51255">
        <w:rPr>
          <w:rFonts w:ascii="Arial" w:hAnsi="Arial" w:cs="Arial"/>
          <w:bCs/>
          <w:sz w:val="22"/>
          <w:szCs w:val="22"/>
          <w:lang w:val="en-US"/>
        </w:rPr>
        <w:t>F. Nardari</w:t>
      </w:r>
      <w:r w:rsidR="001952AF" w:rsidRPr="00A51255">
        <w:rPr>
          <w:rFonts w:ascii="Arial" w:hAnsi="Arial" w:cs="Arial"/>
          <w:bCs/>
          <w:sz w:val="22"/>
          <w:szCs w:val="22"/>
          <w:lang w:val="en-US"/>
        </w:rPr>
        <w:t>. 2006</w:t>
      </w:r>
      <w:r w:rsidR="006C3422" w:rsidRPr="00A51255">
        <w:rPr>
          <w:rFonts w:ascii="Arial" w:hAnsi="Arial" w:cs="Arial"/>
          <w:bCs/>
          <w:sz w:val="22"/>
          <w:szCs w:val="22"/>
          <w:lang w:val="en-US"/>
        </w:rPr>
        <w:t>.</w:t>
      </w:r>
      <w:r w:rsidRPr="00A51255">
        <w:rPr>
          <w:rFonts w:ascii="Arial" w:hAnsi="Arial" w:cs="Arial"/>
          <w:b/>
          <w:bCs/>
          <w:sz w:val="22"/>
          <w:szCs w:val="22"/>
          <w:lang w:val="en-US"/>
        </w:rPr>
        <w:t xml:space="preserve"> </w:t>
      </w:r>
      <w:r w:rsidRPr="00A51255">
        <w:rPr>
          <w:rFonts w:ascii="Arial" w:hAnsi="Arial" w:cs="Arial"/>
          <w:bCs/>
          <w:sz w:val="22"/>
          <w:szCs w:val="22"/>
          <w:lang w:val="en-US" w:eastAsia="en-US"/>
        </w:rPr>
        <w:t xml:space="preserve">Explaining the Early Years of the Euro Exchange Rate: An Episode of Learning </w:t>
      </w:r>
      <w:r w:rsidR="001147A2" w:rsidRPr="00A51255">
        <w:rPr>
          <w:rFonts w:ascii="Arial" w:hAnsi="Arial" w:cs="Arial"/>
          <w:bCs/>
          <w:sz w:val="22"/>
          <w:szCs w:val="22"/>
          <w:lang w:val="en-US" w:eastAsia="en-US"/>
        </w:rPr>
        <w:t>about</w:t>
      </w:r>
      <w:r w:rsidRPr="00A51255">
        <w:rPr>
          <w:rFonts w:ascii="Arial" w:hAnsi="Arial" w:cs="Arial"/>
          <w:bCs/>
          <w:sz w:val="22"/>
          <w:szCs w:val="22"/>
          <w:lang w:val="en-US" w:eastAsia="en-US"/>
        </w:rPr>
        <w:t xml:space="preserve"> a New Central Bank, </w:t>
      </w:r>
      <w:r w:rsidR="00AD1E8D" w:rsidRPr="00A51255">
        <w:rPr>
          <w:rFonts w:ascii="Arial" w:hAnsi="Arial" w:cs="Arial"/>
          <w:bCs/>
          <w:i/>
          <w:sz w:val="22"/>
          <w:szCs w:val="22"/>
          <w:lang w:val="en-US" w:eastAsia="en-US"/>
        </w:rPr>
        <w:t>Europ</w:t>
      </w:r>
      <w:r w:rsidR="006C3422" w:rsidRPr="00A51255">
        <w:rPr>
          <w:rFonts w:ascii="Arial" w:hAnsi="Arial" w:cs="Arial"/>
          <w:bCs/>
          <w:i/>
          <w:sz w:val="22"/>
          <w:szCs w:val="22"/>
          <w:lang w:val="en-US" w:eastAsia="en-US"/>
        </w:rPr>
        <w:t>ean Economic Review</w:t>
      </w:r>
      <w:r w:rsidR="006C3422" w:rsidRPr="00A51255">
        <w:rPr>
          <w:rFonts w:ascii="Arial" w:hAnsi="Arial" w:cs="Arial"/>
          <w:bCs/>
          <w:sz w:val="22"/>
          <w:szCs w:val="22"/>
          <w:lang w:val="en-US" w:eastAsia="en-US"/>
        </w:rPr>
        <w:t xml:space="preserve"> 51, 505</w:t>
      </w:r>
      <w:r w:rsidR="009F48D3" w:rsidRPr="00A51255">
        <w:rPr>
          <w:rFonts w:ascii="Arial" w:hAnsi="Arial" w:cs="Arial"/>
          <w:bCs/>
          <w:sz w:val="22"/>
          <w:szCs w:val="22"/>
          <w:lang w:val="en-US" w:eastAsia="en-US"/>
        </w:rPr>
        <w:t>–</w:t>
      </w:r>
      <w:r w:rsidRPr="00A51255">
        <w:rPr>
          <w:rFonts w:ascii="Arial" w:hAnsi="Arial" w:cs="Arial"/>
          <w:bCs/>
          <w:sz w:val="22"/>
          <w:szCs w:val="22"/>
          <w:lang w:val="en-US" w:eastAsia="en-US"/>
        </w:rPr>
        <w:t>520.</w:t>
      </w:r>
    </w:p>
    <w:p w:rsidR="00493F94" w:rsidRPr="00A51255" w:rsidRDefault="00493F94" w:rsidP="00BA0165">
      <w:pPr>
        <w:shd w:val="clear" w:color="auto" w:fill="FFFFFF"/>
        <w:jc w:val="both"/>
        <w:rPr>
          <w:rFonts w:ascii="Arial" w:hAnsi="Arial" w:cs="Arial"/>
          <w:bCs/>
          <w:sz w:val="22"/>
          <w:szCs w:val="22"/>
          <w:lang w:val="en-US" w:eastAsia="en-US"/>
        </w:rPr>
      </w:pPr>
    </w:p>
    <w:p w:rsidR="00493F94" w:rsidRPr="00A51255" w:rsidRDefault="00493F94" w:rsidP="00493F94">
      <w:pPr>
        <w:jc w:val="both"/>
        <w:rPr>
          <w:rFonts w:ascii="Arial" w:hAnsi="Arial" w:cs="Arial"/>
          <w:sz w:val="22"/>
          <w:szCs w:val="22"/>
          <w:lang w:val="en-US"/>
        </w:rPr>
      </w:pPr>
      <w:r w:rsidRPr="00A51255">
        <w:rPr>
          <w:rFonts w:ascii="Arial" w:hAnsi="Arial" w:cs="Arial"/>
          <w:sz w:val="22"/>
          <w:szCs w:val="22"/>
          <w:lang w:val="en-US"/>
        </w:rPr>
        <w:t>Hanousek, J.</w:t>
      </w:r>
      <w:r w:rsidR="00CD68A1" w:rsidRPr="00A51255">
        <w:rPr>
          <w:rFonts w:ascii="Arial" w:hAnsi="Arial" w:cs="Arial"/>
          <w:sz w:val="22"/>
          <w:szCs w:val="22"/>
          <w:lang w:val="en-US"/>
        </w:rPr>
        <w:t>,</w:t>
      </w:r>
      <w:r w:rsidRPr="00A51255">
        <w:rPr>
          <w:rFonts w:ascii="Arial" w:hAnsi="Arial" w:cs="Arial"/>
          <w:sz w:val="22"/>
          <w:szCs w:val="22"/>
          <w:lang w:val="en-US"/>
        </w:rPr>
        <w:t xml:space="preserve"> E. Kočenda and A.</w:t>
      </w:r>
      <w:r w:rsidR="00F9469C">
        <w:rPr>
          <w:rFonts w:ascii="Arial" w:hAnsi="Arial" w:cs="Arial"/>
          <w:sz w:val="22"/>
          <w:szCs w:val="22"/>
          <w:lang w:val="en-US"/>
        </w:rPr>
        <w:t xml:space="preserve"> </w:t>
      </w:r>
      <w:r w:rsidRPr="00A51255">
        <w:rPr>
          <w:rFonts w:ascii="Arial" w:hAnsi="Arial" w:cs="Arial"/>
          <w:sz w:val="22"/>
          <w:szCs w:val="22"/>
          <w:lang w:val="en-US"/>
        </w:rPr>
        <w:t>M. Kutan</w:t>
      </w:r>
      <w:r w:rsidR="001952AF" w:rsidRPr="00A51255">
        <w:rPr>
          <w:rFonts w:ascii="Arial" w:hAnsi="Arial" w:cs="Arial"/>
          <w:sz w:val="22"/>
          <w:szCs w:val="22"/>
          <w:lang w:val="en-US"/>
        </w:rPr>
        <w:t>. 2009</w:t>
      </w:r>
      <w:r w:rsidRPr="00A51255">
        <w:rPr>
          <w:rFonts w:ascii="Arial" w:hAnsi="Arial" w:cs="Arial"/>
          <w:sz w:val="22"/>
          <w:szCs w:val="22"/>
          <w:lang w:val="en-US"/>
        </w:rPr>
        <w:t xml:space="preserve">. </w:t>
      </w:r>
      <w:r w:rsidR="001952AF" w:rsidRPr="00A51255">
        <w:rPr>
          <w:rFonts w:ascii="Arial" w:hAnsi="Arial" w:cs="Arial"/>
          <w:sz w:val="22"/>
          <w:szCs w:val="22"/>
          <w:lang w:val="en-US"/>
        </w:rPr>
        <w:t>“</w:t>
      </w:r>
      <w:r w:rsidRPr="00A51255">
        <w:rPr>
          <w:rFonts w:ascii="Arial" w:hAnsi="Arial" w:cs="Arial"/>
          <w:sz w:val="22"/>
          <w:szCs w:val="22"/>
          <w:lang w:val="en-US"/>
        </w:rPr>
        <w:t>The Reaction of Asset Prices to Macroeconomic Announcements in New EU markets: Evidence from Intraday Data</w:t>
      </w:r>
      <w:r w:rsidR="001952AF" w:rsidRPr="00A51255">
        <w:rPr>
          <w:rFonts w:ascii="Arial" w:hAnsi="Arial" w:cs="Arial"/>
          <w:sz w:val="22"/>
          <w:szCs w:val="22"/>
          <w:lang w:val="en-US"/>
        </w:rPr>
        <w:t>”</w:t>
      </w:r>
      <w:r w:rsidRPr="00A51255">
        <w:rPr>
          <w:rFonts w:ascii="Arial" w:hAnsi="Arial" w:cs="Arial"/>
          <w:sz w:val="22"/>
          <w:szCs w:val="22"/>
          <w:lang w:val="en-US"/>
        </w:rPr>
        <w:t xml:space="preserve">, </w:t>
      </w:r>
      <w:r w:rsidRPr="00A51255">
        <w:rPr>
          <w:rFonts w:ascii="Arial" w:hAnsi="Arial" w:cs="Arial"/>
          <w:i/>
          <w:sz w:val="22"/>
          <w:szCs w:val="22"/>
          <w:lang w:val="en-US"/>
        </w:rPr>
        <w:t>Journal of Financial Stability</w:t>
      </w:r>
      <w:r w:rsidRPr="00A51255">
        <w:rPr>
          <w:rFonts w:ascii="Arial" w:hAnsi="Arial" w:cs="Arial"/>
          <w:sz w:val="22"/>
          <w:szCs w:val="22"/>
          <w:lang w:val="en-US"/>
        </w:rPr>
        <w:t xml:space="preserve"> 5, 199</w:t>
      </w:r>
      <w:r w:rsidR="009F48D3" w:rsidRPr="00A51255">
        <w:rPr>
          <w:rFonts w:ascii="Arial" w:hAnsi="Arial" w:cs="Arial"/>
          <w:sz w:val="22"/>
          <w:szCs w:val="22"/>
          <w:lang w:val="en-US"/>
        </w:rPr>
        <w:t>–</w:t>
      </w:r>
      <w:r w:rsidRPr="00A51255">
        <w:rPr>
          <w:rFonts w:ascii="Arial" w:hAnsi="Arial" w:cs="Arial"/>
          <w:sz w:val="22"/>
          <w:szCs w:val="22"/>
          <w:lang w:val="en-US"/>
        </w:rPr>
        <w:t>219.</w:t>
      </w:r>
    </w:p>
    <w:p w:rsidR="00184AE3" w:rsidRPr="00A51255" w:rsidRDefault="00184AE3" w:rsidP="00493F94">
      <w:pPr>
        <w:jc w:val="both"/>
        <w:rPr>
          <w:rFonts w:ascii="Arial" w:hAnsi="Arial" w:cs="Arial"/>
          <w:sz w:val="22"/>
          <w:szCs w:val="22"/>
          <w:lang w:val="en-US"/>
        </w:rPr>
      </w:pPr>
    </w:p>
    <w:p w:rsidR="00184AE3" w:rsidRPr="00A51255" w:rsidRDefault="00184AE3" w:rsidP="00493F94">
      <w:pPr>
        <w:jc w:val="both"/>
        <w:rPr>
          <w:rFonts w:ascii="Arial" w:hAnsi="Arial" w:cs="Arial"/>
          <w:sz w:val="22"/>
          <w:szCs w:val="22"/>
          <w:lang w:val="en-US"/>
        </w:rPr>
      </w:pPr>
      <w:r w:rsidRPr="00A51255">
        <w:rPr>
          <w:rFonts w:ascii="Arial" w:hAnsi="Arial" w:cs="Arial"/>
          <w:sz w:val="22"/>
          <w:szCs w:val="22"/>
          <w:lang w:val="en-US"/>
        </w:rPr>
        <w:t xml:space="preserve">Hausman, J. and J. Wongswan. </w:t>
      </w:r>
      <w:r w:rsidRPr="00A51255">
        <w:rPr>
          <w:rFonts w:ascii="Arial" w:hAnsi="Arial" w:cs="Arial"/>
          <w:color w:val="000000"/>
          <w:sz w:val="22"/>
          <w:szCs w:val="22"/>
          <w:lang w:val="en-US"/>
        </w:rPr>
        <w:t>2011</w:t>
      </w:r>
      <w:r w:rsidRPr="00A51255">
        <w:rPr>
          <w:rFonts w:ascii="Arial" w:hAnsi="Arial" w:cs="Arial"/>
          <w:iCs/>
          <w:color w:val="000000"/>
          <w:sz w:val="22"/>
          <w:szCs w:val="22"/>
          <w:lang w:val="en-US"/>
        </w:rPr>
        <w:t>. “</w:t>
      </w:r>
      <w:r w:rsidRPr="00A51255">
        <w:rPr>
          <w:rFonts w:ascii="Arial" w:hAnsi="Arial" w:cs="Arial"/>
          <w:sz w:val="22"/>
          <w:szCs w:val="22"/>
          <w:lang w:val="en-US"/>
        </w:rPr>
        <w:t xml:space="preserve">Global Asset Prices and FOMC Announcements”, </w:t>
      </w:r>
      <w:r w:rsidRPr="00A51255">
        <w:rPr>
          <w:rFonts w:ascii="Arial" w:hAnsi="Arial" w:cs="Arial"/>
          <w:i/>
          <w:sz w:val="22"/>
          <w:szCs w:val="22"/>
          <w:lang w:val="en-US"/>
        </w:rPr>
        <w:t>Journal of International Money and Finance</w:t>
      </w:r>
      <w:r w:rsidRPr="00A51255">
        <w:rPr>
          <w:rFonts w:ascii="Arial" w:hAnsi="Arial" w:cs="Arial"/>
          <w:sz w:val="22"/>
          <w:szCs w:val="22"/>
          <w:lang w:val="en-US"/>
        </w:rPr>
        <w:t xml:space="preserve"> 30, 547–571.</w:t>
      </w:r>
    </w:p>
    <w:p w:rsidR="00FE3FF0" w:rsidRPr="00A51255" w:rsidRDefault="00FE3FF0" w:rsidP="00493F94">
      <w:pPr>
        <w:jc w:val="both"/>
        <w:rPr>
          <w:rFonts w:ascii="Arial" w:hAnsi="Arial" w:cs="Arial"/>
          <w:sz w:val="22"/>
          <w:szCs w:val="22"/>
          <w:lang w:val="en-US"/>
        </w:rPr>
      </w:pPr>
    </w:p>
    <w:p w:rsidR="001F5452" w:rsidRPr="00A51255" w:rsidRDefault="00D9090B" w:rsidP="000B24EB">
      <w:pPr>
        <w:shd w:val="clear" w:color="auto" w:fill="FFFFFF"/>
        <w:jc w:val="both"/>
        <w:rPr>
          <w:rFonts w:ascii="Arial" w:hAnsi="Arial" w:cs="Arial"/>
          <w:sz w:val="22"/>
          <w:szCs w:val="22"/>
          <w:lang w:val="en-US"/>
        </w:rPr>
      </w:pPr>
      <w:r w:rsidRPr="00731796">
        <w:rPr>
          <w:rFonts w:ascii="Arial" w:hAnsi="Arial" w:cs="Arial"/>
          <w:sz w:val="22"/>
          <w:szCs w:val="22"/>
          <w:lang w:val="de-DE"/>
        </w:rPr>
        <w:t>Hayo, B</w:t>
      </w:r>
      <w:r w:rsidR="00476A00" w:rsidRPr="00731796">
        <w:rPr>
          <w:rFonts w:ascii="Arial" w:hAnsi="Arial" w:cs="Arial"/>
          <w:sz w:val="22"/>
          <w:szCs w:val="22"/>
          <w:lang w:val="de-DE"/>
        </w:rPr>
        <w:t>.</w:t>
      </w:r>
      <w:r w:rsidRPr="00731796">
        <w:rPr>
          <w:rFonts w:ascii="Arial" w:hAnsi="Arial" w:cs="Arial"/>
          <w:sz w:val="22"/>
          <w:szCs w:val="22"/>
          <w:lang w:val="de-DE"/>
        </w:rPr>
        <w:t xml:space="preserve"> and </w:t>
      </w:r>
      <w:r w:rsidR="00476A00" w:rsidRPr="00731796">
        <w:rPr>
          <w:rFonts w:ascii="Arial" w:hAnsi="Arial" w:cs="Arial"/>
          <w:sz w:val="22"/>
          <w:szCs w:val="22"/>
          <w:lang w:val="de-DE"/>
        </w:rPr>
        <w:t xml:space="preserve">M. </w:t>
      </w:r>
      <w:r w:rsidRPr="00731796">
        <w:rPr>
          <w:rFonts w:ascii="Arial" w:hAnsi="Arial" w:cs="Arial"/>
          <w:sz w:val="22"/>
          <w:szCs w:val="22"/>
          <w:lang w:val="de-DE"/>
        </w:rPr>
        <w:t>Neuenkirch.</w:t>
      </w:r>
      <w:r w:rsidR="00476A00" w:rsidRPr="00731796">
        <w:rPr>
          <w:rFonts w:ascii="Arial" w:hAnsi="Arial" w:cs="Arial"/>
          <w:sz w:val="22"/>
          <w:szCs w:val="22"/>
          <w:lang w:val="de-DE"/>
        </w:rPr>
        <w:t xml:space="preserve"> </w:t>
      </w:r>
      <w:r w:rsidR="000B24EB" w:rsidRPr="00A51255">
        <w:rPr>
          <w:rFonts w:ascii="Arial" w:hAnsi="Arial" w:cs="Arial"/>
          <w:sz w:val="22"/>
          <w:szCs w:val="22"/>
          <w:lang w:val="en-US"/>
        </w:rPr>
        <w:t>20</w:t>
      </w:r>
      <w:r w:rsidR="00476A00" w:rsidRPr="00A51255">
        <w:rPr>
          <w:rFonts w:ascii="Arial" w:hAnsi="Arial" w:cs="Arial"/>
          <w:sz w:val="22"/>
          <w:szCs w:val="22"/>
          <w:lang w:val="en-US"/>
        </w:rPr>
        <w:t>12.</w:t>
      </w:r>
      <w:r w:rsidRPr="00A51255">
        <w:rPr>
          <w:rFonts w:ascii="Arial" w:hAnsi="Arial" w:cs="Arial"/>
          <w:sz w:val="22"/>
          <w:szCs w:val="22"/>
          <w:lang w:val="en-US"/>
        </w:rPr>
        <w:t xml:space="preserve"> “Domestic or U.S. News: What Drives Canadian Financial Markets?”</w:t>
      </w:r>
      <w:r w:rsidR="00476A00" w:rsidRPr="00A51255">
        <w:rPr>
          <w:rFonts w:ascii="Arial" w:hAnsi="Arial" w:cs="Arial"/>
          <w:sz w:val="22"/>
          <w:szCs w:val="22"/>
          <w:lang w:val="en-US"/>
        </w:rPr>
        <w:t xml:space="preserve">, </w:t>
      </w:r>
      <w:r w:rsidR="00476A00" w:rsidRPr="00A51255">
        <w:rPr>
          <w:rFonts w:ascii="Arial" w:hAnsi="Arial" w:cs="Arial"/>
          <w:i/>
          <w:sz w:val="22"/>
          <w:szCs w:val="22"/>
          <w:lang w:val="en-US"/>
        </w:rPr>
        <w:t xml:space="preserve">Economic </w:t>
      </w:r>
      <w:r w:rsidR="001F5452" w:rsidRPr="00A51255">
        <w:rPr>
          <w:rFonts w:ascii="Arial" w:hAnsi="Arial" w:cs="Arial"/>
          <w:i/>
          <w:sz w:val="22"/>
          <w:szCs w:val="22"/>
          <w:lang w:val="en-US"/>
        </w:rPr>
        <w:t>Inquiry</w:t>
      </w:r>
      <w:r w:rsidR="00476A00" w:rsidRPr="00A51255">
        <w:rPr>
          <w:rFonts w:ascii="Arial" w:hAnsi="Arial" w:cs="Arial"/>
          <w:sz w:val="22"/>
          <w:szCs w:val="22"/>
          <w:lang w:val="en-US"/>
        </w:rPr>
        <w:t xml:space="preserve"> </w:t>
      </w:r>
      <w:r w:rsidR="001F5452" w:rsidRPr="00A51255">
        <w:rPr>
          <w:rFonts w:ascii="Arial" w:hAnsi="Arial" w:cs="Arial"/>
          <w:sz w:val="22"/>
          <w:szCs w:val="22"/>
          <w:lang w:val="en-US"/>
        </w:rPr>
        <w:t>50, 690–706</w:t>
      </w:r>
      <w:r w:rsidR="00476A00" w:rsidRPr="00A51255">
        <w:rPr>
          <w:rFonts w:ascii="Arial" w:hAnsi="Arial" w:cs="Arial"/>
          <w:sz w:val="22"/>
          <w:szCs w:val="22"/>
          <w:lang w:val="en-US"/>
        </w:rPr>
        <w:t>.</w:t>
      </w:r>
    </w:p>
    <w:p w:rsidR="00D9090B" w:rsidRPr="00A51255" w:rsidRDefault="00D9090B" w:rsidP="00D9090B">
      <w:pPr>
        <w:shd w:val="clear" w:color="auto" w:fill="FFFFFF"/>
        <w:jc w:val="both"/>
        <w:rPr>
          <w:rFonts w:ascii="Arial" w:hAnsi="Arial" w:cs="Arial"/>
          <w:bCs/>
          <w:sz w:val="22"/>
          <w:szCs w:val="22"/>
          <w:lang w:val="en-US" w:eastAsia="en-US"/>
        </w:rPr>
      </w:pPr>
    </w:p>
    <w:p w:rsidR="00493F94" w:rsidRPr="00A51255" w:rsidRDefault="00493F94" w:rsidP="00493F94">
      <w:pPr>
        <w:jc w:val="both"/>
        <w:rPr>
          <w:rFonts w:ascii="Arial" w:hAnsi="Arial" w:cs="Arial"/>
          <w:sz w:val="22"/>
          <w:szCs w:val="22"/>
          <w:lang w:val="en-US"/>
        </w:rPr>
      </w:pPr>
      <w:r w:rsidRPr="00A51255">
        <w:rPr>
          <w:rFonts w:ascii="Arial" w:hAnsi="Arial" w:cs="Arial"/>
          <w:sz w:val="22"/>
          <w:szCs w:val="22"/>
          <w:lang w:val="en-US"/>
        </w:rPr>
        <w:t>Kamin, S.</w:t>
      </w:r>
      <w:r w:rsidR="00CD68A1" w:rsidRPr="00A51255">
        <w:rPr>
          <w:rFonts w:ascii="Arial" w:hAnsi="Arial" w:cs="Arial"/>
          <w:sz w:val="22"/>
          <w:szCs w:val="22"/>
          <w:lang w:val="en-US"/>
        </w:rPr>
        <w:t>,</w:t>
      </w:r>
      <w:r w:rsidRPr="00A51255">
        <w:rPr>
          <w:rFonts w:ascii="Arial" w:hAnsi="Arial" w:cs="Arial"/>
          <w:sz w:val="22"/>
          <w:szCs w:val="22"/>
          <w:lang w:val="en-US"/>
        </w:rPr>
        <w:t xml:space="preserve"> P. Turner, and J. Van’t dack</w:t>
      </w:r>
      <w:r w:rsidR="001952AF" w:rsidRPr="00A51255">
        <w:rPr>
          <w:rFonts w:ascii="Arial" w:hAnsi="Arial" w:cs="Arial"/>
          <w:sz w:val="22"/>
          <w:szCs w:val="22"/>
          <w:lang w:val="en-US"/>
        </w:rPr>
        <w:t xml:space="preserve">. </w:t>
      </w:r>
      <w:r w:rsidRPr="00A51255">
        <w:rPr>
          <w:rFonts w:ascii="Arial" w:hAnsi="Arial" w:cs="Arial"/>
          <w:sz w:val="22"/>
          <w:szCs w:val="22"/>
          <w:lang w:val="en-US"/>
        </w:rPr>
        <w:t xml:space="preserve">1998. </w:t>
      </w:r>
      <w:r w:rsidR="001952AF" w:rsidRPr="00A51255">
        <w:rPr>
          <w:rFonts w:ascii="Arial" w:hAnsi="Arial" w:cs="Arial"/>
          <w:sz w:val="22"/>
          <w:szCs w:val="22"/>
          <w:lang w:val="en-US"/>
        </w:rPr>
        <w:t>“</w:t>
      </w:r>
      <w:r w:rsidRPr="00A51255">
        <w:rPr>
          <w:rFonts w:ascii="Arial" w:hAnsi="Arial" w:cs="Arial"/>
          <w:sz w:val="22"/>
          <w:szCs w:val="22"/>
          <w:lang w:val="en-US"/>
        </w:rPr>
        <w:t>The Transmission Mechanism of Monetary Policy in Emerging Market Economies: An Overview</w:t>
      </w:r>
      <w:r w:rsidR="001952AF" w:rsidRPr="00A51255">
        <w:rPr>
          <w:rFonts w:ascii="Arial" w:hAnsi="Arial" w:cs="Arial"/>
          <w:sz w:val="22"/>
          <w:szCs w:val="22"/>
          <w:lang w:val="en-US"/>
        </w:rPr>
        <w:t>”</w:t>
      </w:r>
      <w:r w:rsidRPr="00A51255">
        <w:rPr>
          <w:rFonts w:ascii="Arial" w:hAnsi="Arial" w:cs="Arial"/>
          <w:sz w:val="22"/>
          <w:szCs w:val="22"/>
          <w:lang w:val="en-US"/>
        </w:rPr>
        <w:t>, BIS Policy Paper No. 3, 1998.</w:t>
      </w:r>
    </w:p>
    <w:p w:rsidR="00493F94" w:rsidRPr="00A51255" w:rsidRDefault="00493F94" w:rsidP="00493F94">
      <w:pPr>
        <w:jc w:val="both"/>
        <w:rPr>
          <w:rFonts w:ascii="Arial" w:hAnsi="Arial" w:cs="Arial"/>
          <w:sz w:val="22"/>
          <w:szCs w:val="22"/>
          <w:lang w:val="en-US"/>
        </w:rPr>
      </w:pPr>
    </w:p>
    <w:p w:rsidR="00493F94" w:rsidRPr="00A51255" w:rsidRDefault="00493F94" w:rsidP="00493F94">
      <w:pPr>
        <w:jc w:val="both"/>
        <w:rPr>
          <w:rFonts w:ascii="Arial" w:hAnsi="Arial" w:cs="Arial"/>
          <w:sz w:val="22"/>
          <w:szCs w:val="22"/>
          <w:lang w:val="en-US"/>
        </w:rPr>
      </w:pPr>
      <w:r w:rsidRPr="00A51255">
        <w:rPr>
          <w:rFonts w:ascii="Arial" w:hAnsi="Arial"/>
          <w:sz w:val="22"/>
          <w:szCs w:val="22"/>
          <w:lang w:val="en-US"/>
        </w:rPr>
        <w:t>Kaminsky, G. and S.L. Schmu</w:t>
      </w:r>
      <w:r w:rsidR="00095B2B">
        <w:rPr>
          <w:rFonts w:ascii="Arial" w:hAnsi="Arial"/>
          <w:sz w:val="22"/>
          <w:szCs w:val="22"/>
          <w:lang w:val="en-US"/>
        </w:rPr>
        <w:t>c</w:t>
      </w:r>
      <w:r w:rsidRPr="00A51255">
        <w:rPr>
          <w:rFonts w:ascii="Arial" w:hAnsi="Arial"/>
          <w:sz w:val="22"/>
          <w:szCs w:val="22"/>
          <w:lang w:val="en-US"/>
        </w:rPr>
        <w:t>kler</w:t>
      </w:r>
      <w:r w:rsidR="001952AF" w:rsidRPr="00A51255">
        <w:rPr>
          <w:rFonts w:ascii="Arial" w:hAnsi="Arial"/>
          <w:sz w:val="22"/>
          <w:szCs w:val="22"/>
          <w:lang w:val="en-US"/>
        </w:rPr>
        <w:t>. 2002</w:t>
      </w:r>
      <w:r w:rsidRPr="00A51255">
        <w:rPr>
          <w:rFonts w:ascii="Arial" w:hAnsi="Arial"/>
          <w:sz w:val="22"/>
          <w:szCs w:val="22"/>
          <w:lang w:val="en-US"/>
        </w:rPr>
        <w:t xml:space="preserve">. </w:t>
      </w:r>
      <w:r w:rsidR="001952AF" w:rsidRPr="00A51255">
        <w:rPr>
          <w:rFonts w:ascii="Arial" w:hAnsi="Arial"/>
          <w:sz w:val="22"/>
          <w:szCs w:val="22"/>
          <w:lang w:val="en-US"/>
        </w:rPr>
        <w:t>“</w:t>
      </w:r>
      <w:r w:rsidRPr="00A51255">
        <w:rPr>
          <w:rFonts w:ascii="Arial" w:hAnsi="Arial"/>
          <w:sz w:val="22"/>
          <w:szCs w:val="22"/>
          <w:lang w:val="en-US"/>
        </w:rPr>
        <w:t>Emerging Market Instability: Do Sovereign Ratings Affect Country Risk and Stock Returns?</w:t>
      </w:r>
      <w:r w:rsidR="001952AF" w:rsidRPr="00A51255">
        <w:rPr>
          <w:rFonts w:ascii="Arial" w:hAnsi="Arial"/>
          <w:sz w:val="22"/>
          <w:szCs w:val="22"/>
          <w:lang w:val="en-US"/>
        </w:rPr>
        <w:t>”</w:t>
      </w:r>
      <w:r w:rsidRPr="00A51255">
        <w:rPr>
          <w:rFonts w:ascii="Arial" w:hAnsi="Arial"/>
          <w:sz w:val="22"/>
          <w:szCs w:val="22"/>
          <w:lang w:val="en-US"/>
        </w:rPr>
        <w:t xml:space="preserve">, </w:t>
      </w:r>
      <w:r w:rsidRPr="00A51255">
        <w:rPr>
          <w:rFonts w:ascii="Arial" w:hAnsi="Arial"/>
          <w:i/>
          <w:sz w:val="22"/>
          <w:szCs w:val="22"/>
          <w:lang w:val="en-US"/>
        </w:rPr>
        <w:t>World Bank Economic Review</w:t>
      </w:r>
      <w:r w:rsidRPr="00A51255">
        <w:rPr>
          <w:rFonts w:ascii="Arial" w:hAnsi="Arial"/>
          <w:sz w:val="22"/>
          <w:szCs w:val="22"/>
          <w:lang w:val="en-US"/>
        </w:rPr>
        <w:t xml:space="preserve"> 16, 171–195.</w:t>
      </w:r>
    </w:p>
    <w:p w:rsidR="00493F94" w:rsidRPr="00A51255" w:rsidRDefault="00493F94" w:rsidP="00493F94">
      <w:pPr>
        <w:jc w:val="both"/>
        <w:rPr>
          <w:rFonts w:ascii="Arial" w:hAnsi="Arial" w:cs="Arial"/>
          <w:sz w:val="22"/>
          <w:szCs w:val="22"/>
          <w:lang w:val="en-US"/>
        </w:rPr>
      </w:pPr>
    </w:p>
    <w:p w:rsidR="00493F94" w:rsidRPr="00A51255" w:rsidRDefault="00493F94" w:rsidP="00493F94">
      <w:pPr>
        <w:jc w:val="both"/>
        <w:rPr>
          <w:rFonts w:ascii="Arial" w:hAnsi="Arial" w:cs="Arial"/>
          <w:color w:val="000000"/>
          <w:sz w:val="22"/>
          <w:szCs w:val="22"/>
          <w:lang w:val="en-US"/>
        </w:rPr>
      </w:pPr>
      <w:r w:rsidRPr="00A95065">
        <w:rPr>
          <w:rFonts w:ascii="Arial" w:hAnsi="Arial" w:cs="Arial"/>
          <w:color w:val="000000"/>
          <w:sz w:val="22"/>
          <w:szCs w:val="22"/>
          <w:lang w:val="en-US"/>
        </w:rPr>
        <w:t>Korczak, P and M.T. Bohl</w:t>
      </w:r>
      <w:r w:rsidR="001952AF" w:rsidRPr="00A95065">
        <w:rPr>
          <w:rFonts w:ascii="Arial" w:hAnsi="Arial" w:cs="Arial"/>
          <w:color w:val="000000"/>
          <w:sz w:val="22"/>
          <w:szCs w:val="22"/>
          <w:lang w:val="en-US"/>
        </w:rPr>
        <w:t>. 2005</w:t>
      </w:r>
      <w:r w:rsidRPr="00A95065">
        <w:rPr>
          <w:rFonts w:ascii="Arial" w:hAnsi="Arial" w:cs="Arial"/>
          <w:iCs/>
          <w:color w:val="000000"/>
          <w:sz w:val="22"/>
          <w:szCs w:val="22"/>
          <w:lang w:val="en-US"/>
        </w:rPr>
        <w:t xml:space="preserve">. </w:t>
      </w:r>
      <w:r w:rsidR="001952AF" w:rsidRPr="00A51255">
        <w:rPr>
          <w:rFonts w:ascii="Arial" w:hAnsi="Arial" w:cs="Arial"/>
          <w:iCs/>
          <w:color w:val="000000"/>
          <w:sz w:val="22"/>
          <w:szCs w:val="22"/>
          <w:lang w:val="en-US"/>
        </w:rPr>
        <w:t>“</w:t>
      </w:r>
      <w:r w:rsidRPr="00A51255">
        <w:rPr>
          <w:rFonts w:ascii="Arial" w:hAnsi="Arial" w:cs="Arial"/>
          <w:bCs/>
          <w:color w:val="000000"/>
          <w:sz w:val="22"/>
          <w:szCs w:val="22"/>
          <w:lang w:val="en-US"/>
        </w:rPr>
        <w:t xml:space="preserve">Empirical Evidence on Cross-listed Stocks of </w:t>
      </w:r>
      <w:r w:rsidRPr="00A51255">
        <w:rPr>
          <w:rFonts w:ascii="Arial" w:hAnsi="Arial" w:cs="Arial"/>
          <w:bCs/>
          <w:sz w:val="22"/>
          <w:szCs w:val="22"/>
          <w:lang w:val="en-US"/>
        </w:rPr>
        <w:t>Central and Eastern</w:t>
      </w:r>
      <w:r w:rsidRPr="00A51255">
        <w:rPr>
          <w:rFonts w:ascii="Arial" w:hAnsi="Arial" w:cs="Arial"/>
          <w:bCs/>
          <w:color w:val="000000"/>
          <w:sz w:val="22"/>
          <w:szCs w:val="22"/>
          <w:lang w:val="en-US"/>
        </w:rPr>
        <w:t xml:space="preserve"> European Companies</w:t>
      </w:r>
      <w:r w:rsidR="001952AF" w:rsidRPr="00A51255">
        <w:rPr>
          <w:rFonts w:ascii="Arial" w:hAnsi="Arial" w:cs="Arial"/>
          <w:bCs/>
          <w:color w:val="000000"/>
          <w:sz w:val="22"/>
          <w:szCs w:val="22"/>
          <w:lang w:val="en-US"/>
        </w:rPr>
        <w:t>”</w:t>
      </w:r>
      <w:r w:rsidRPr="00A51255">
        <w:rPr>
          <w:rFonts w:ascii="Arial" w:hAnsi="Arial" w:cs="Arial"/>
          <w:bCs/>
          <w:color w:val="000000"/>
          <w:sz w:val="22"/>
          <w:szCs w:val="22"/>
          <w:lang w:val="en-US"/>
        </w:rPr>
        <w:t>,</w:t>
      </w:r>
      <w:r w:rsidRPr="00A51255">
        <w:rPr>
          <w:rFonts w:ascii="Arial" w:hAnsi="Arial" w:cs="Arial"/>
          <w:iCs/>
          <w:color w:val="000000"/>
          <w:sz w:val="22"/>
          <w:szCs w:val="22"/>
          <w:lang w:val="en-US"/>
        </w:rPr>
        <w:t xml:space="preserve"> </w:t>
      </w:r>
      <w:r w:rsidRPr="00A51255">
        <w:rPr>
          <w:rFonts w:ascii="Arial" w:hAnsi="Arial" w:cs="Arial"/>
          <w:i/>
          <w:iCs/>
          <w:color w:val="000000"/>
          <w:sz w:val="22"/>
          <w:szCs w:val="22"/>
          <w:lang w:val="en-US"/>
        </w:rPr>
        <w:t>Emerging Markets Review</w:t>
      </w:r>
      <w:r w:rsidRPr="00A51255">
        <w:rPr>
          <w:rFonts w:ascii="Arial" w:hAnsi="Arial" w:cs="Arial"/>
          <w:iCs/>
          <w:color w:val="000000"/>
          <w:sz w:val="22"/>
          <w:szCs w:val="22"/>
          <w:lang w:val="en-US"/>
        </w:rPr>
        <w:t xml:space="preserve"> 6</w:t>
      </w:r>
      <w:r w:rsidR="001952AF" w:rsidRPr="00A51255">
        <w:rPr>
          <w:rFonts w:ascii="Arial" w:hAnsi="Arial" w:cs="Arial"/>
          <w:iCs/>
          <w:color w:val="000000"/>
          <w:sz w:val="22"/>
          <w:szCs w:val="22"/>
          <w:lang w:val="en-US"/>
        </w:rPr>
        <w:t xml:space="preserve">, </w:t>
      </w:r>
      <w:r w:rsidRPr="00A51255">
        <w:rPr>
          <w:rFonts w:ascii="Arial" w:hAnsi="Arial" w:cs="Arial"/>
          <w:iCs/>
          <w:color w:val="000000"/>
          <w:sz w:val="22"/>
          <w:szCs w:val="22"/>
          <w:lang w:val="en-US"/>
        </w:rPr>
        <w:t>121</w:t>
      </w:r>
      <w:r w:rsidR="009F48D3" w:rsidRPr="00A51255">
        <w:rPr>
          <w:rFonts w:ascii="Arial" w:hAnsi="Arial" w:cs="Arial"/>
          <w:iCs/>
          <w:color w:val="000000"/>
          <w:sz w:val="22"/>
          <w:szCs w:val="22"/>
          <w:lang w:val="en-US"/>
        </w:rPr>
        <w:t>–</w:t>
      </w:r>
      <w:r w:rsidRPr="00A51255">
        <w:rPr>
          <w:rFonts w:ascii="Arial" w:hAnsi="Arial" w:cs="Arial"/>
          <w:iCs/>
          <w:color w:val="000000"/>
          <w:sz w:val="22"/>
          <w:szCs w:val="22"/>
          <w:lang w:val="en-US"/>
        </w:rPr>
        <w:t>137.</w:t>
      </w:r>
    </w:p>
    <w:p w:rsidR="00493F94" w:rsidRPr="00A51255" w:rsidRDefault="00493F94" w:rsidP="00BA0165">
      <w:pPr>
        <w:shd w:val="clear" w:color="auto" w:fill="FFFFFF"/>
        <w:jc w:val="both"/>
        <w:rPr>
          <w:rFonts w:ascii="Arial" w:hAnsi="Arial" w:cs="Arial"/>
          <w:bCs/>
          <w:sz w:val="22"/>
          <w:szCs w:val="22"/>
          <w:lang w:val="en-US" w:eastAsia="en-US"/>
        </w:rPr>
      </w:pPr>
    </w:p>
    <w:p w:rsidR="00493F94" w:rsidRPr="00A51255" w:rsidRDefault="00493F94" w:rsidP="00493F94">
      <w:pPr>
        <w:jc w:val="both"/>
        <w:rPr>
          <w:rFonts w:ascii="Arial" w:hAnsi="Arial" w:cs="Arial"/>
          <w:sz w:val="22"/>
          <w:szCs w:val="22"/>
          <w:lang w:val="en-US"/>
        </w:rPr>
      </w:pPr>
      <w:r w:rsidRPr="00A51255">
        <w:rPr>
          <w:rFonts w:ascii="Arial" w:hAnsi="Arial" w:cs="Arial"/>
          <w:sz w:val="22"/>
          <w:szCs w:val="22"/>
          <w:lang w:val="en-US"/>
        </w:rPr>
        <w:t xml:space="preserve">Lyons, R.K. </w:t>
      </w:r>
      <w:r w:rsidR="001952AF" w:rsidRPr="00A51255">
        <w:rPr>
          <w:rFonts w:ascii="Arial" w:hAnsi="Arial" w:cs="Arial"/>
          <w:sz w:val="22"/>
          <w:szCs w:val="22"/>
          <w:lang w:val="en-US"/>
        </w:rPr>
        <w:t>2001</w:t>
      </w:r>
      <w:r w:rsidRPr="00A51255">
        <w:rPr>
          <w:rFonts w:ascii="Arial" w:hAnsi="Arial" w:cs="Arial"/>
          <w:sz w:val="22"/>
          <w:szCs w:val="22"/>
          <w:lang w:val="en-US"/>
        </w:rPr>
        <w:t>. The Microstructure Approach to Exchange Rates, MIT Press, Cambridge (Mass.).</w:t>
      </w:r>
    </w:p>
    <w:p w:rsidR="00493F94" w:rsidRPr="00A51255" w:rsidRDefault="00493F94" w:rsidP="00493F94">
      <w:pPr>
        <w:jc w:val="both"/>
        <w:rPr>
          <w:rFonts w:ascii="Arial" w:hAnsi="Arial" w:cs="Arial"/>
          <w:sz w:val="22"/>
          <w:szCs w:val="22"/>
          <w:lang w:val="en-US"/>
        </w:rPr>
      </w:pPr>
    </w:p>
    <w:p w:rsidR="00493F94" w:rsidRPr="00A51255" w:rsidRDefault="00493F94" w:rsidP="00493F94">
      <w:pPr>
        <w:jc w:val="both"/>
        <w:rPr>
          <w:rFonts w:ascii="Arial" w:hAnsi="Arial" w:cs="Arial"/>
          <w:sz w:val="22"/>
          <w:szCs w:val="22"/>
          <w:lang w:val="en-US"/>
        </w:rPr>
      </w:pPr>
      <w:r w:rsidRPr="00A51255">
        <w:rPr>
          <w:rFonts w:ascii="Arial" w:hAnsi="Arial" w:cs="Arial"/>
          <w:sz w:val="22"/>
          <w:szCs w:val="22"/>
          <w:lang w:val="en-US"/>
        </w:rPr>
        <w:t>Medium-Term Strategy of Monetary Policy (1999</w:t>
      </w:r>
      <w:r w:rsidR="009F48D3" w:rsidRPr="00A51255">
        <w:rPr>
          <w:rFonts w:ascii="Arial" w:hAnsi="Arial" w:cs="Arial"/>
          <w:sz w:val="22"/>
          <w:szCs w:val="22"/>
          <w:lang w:val="en-US"/>
        </w:rPr>
        <w:t>–</w:t>
      </w:r>
      <w:r w:rsidRPr="00A51255">
        <w:rPr>
          <w:rFonts w:ascii="Arial" w:hAnsi="Arial" w:cs="Arial"/>
          <w:sz w:val="22"/>
          <w:szCs w:val="22"/>
          <w:lang w:val="en-US"/>
        </w:rPr>
        <w:t>2003), National Bank of Poland, September 1998, Warsaw.</w:t>
      </w:r>
    </w:p>
    <w:p w:rsidR="009F1DC6" w:rsidRPr="00A51255" w:rsidRDefault="009F1DC6" w:rsidP="00493F94">
      <w:pPr>
        <w:jc w:val="both"/>
        <w:rPr>
          <w:rFonts w:ascii="Arial" w:hAnsi="Arial" w:cs="Arial"/>
          <w:sz w:val="22"/>
          <w:szCs w:val="22"/>
          <w:lang w:val="en-US"/>
        </w:rPr>
      </w:pPr>
    </w:p>
    <w:p w:rsidR="004A4FDF" w:rsidRPr="00A51255" w:rsidRDefault="004A4FDF" w:rsidP="00493F94">
      <w:pPr>
        <w:jc w:val="both"/>
        <w:rPr>
          <w:rFonts w:ascii="Arial" w:hAnsi="Arial" w:cs="Arial"/>
          <w:sz w:val="22"/>
          <w:szCs w:val="22"/>
          <w:lang w:val="en-US"/>
        </w:rPr>
      </w:pPr>
      <w:r w:rsidRPr="00A51255">
        <w:rPr>
          <w:rFonts w:ascii="Arial" w:hAnsi="Arial" w:cs="Arial"/>
          <w:sz w:val="22"/>
          <w:szCs w:val="22"/>
          <w:lang w:val="en-US"/>
        </w:rPr>
        <w:t>Melvin</w:t>
      </w:r>
      <w:r w:rsidR="000C0978" w:rsidRPr="00A51255">
        <w:rPr>
          <w:rFonts w:ascii="Arial" w:hAnsi="Arial" w:cs="Arial"/>
          <w:sz w:val="22"/>
          <w:szCs w:val="22"/>
          <w:lang w:val="en-US"/>
        </w:rPr>
        <w:t xml:space="preserve">, M., </w:t>
      </w:r>
      <w:r w:rsidRPr="00A51255">
        <w:rPr>
          <w:rFonts w:ascii="Arial" w:hAnsi="Arial" w:cs="Arial"/>
          <w:sz w:val="22"/>
          <w:szCs w:val="22"/>
          <w:lang w:val="en-US"/>
        </w:rPr>
        <w:t>Saborowski</w:t>
      </w:r>
      <w:r w:rsidR="000C0978" w:rsidRPr="00A51255">
        <w:rPr>
          <w:rFonts w:ascii="Arial" w:hAnsi="Arial" w:cs="Arial"/>
          <w:sz w:val="22"/>
          <w:szCs w:val="22"/>
          <w:lang w:val="en-US"/>
        </w:rPr>
        <w:t xml:space="preserve">, C., </w:t>
      </w:r>
      <w:r w:rsidRPr="00A51255">
        <w:rPr>
          <w:rFonts w:ascii="Arial" w:hAnsi="Arial" w:cs="Arial"/>
          <w:sz w:val="22"/>
          <w:szCs w:val="22"/>
          <w:lang w:val="en-US"/>
        </w:rPr>
        <w:t>Sager</w:t>
      </w:r>
      <w:r w:rsidR="000C0978" w:rsidRPr="00A51255">
        <w:rPr>
          <w:rFonts w:ascii="Arial" w:hAnsi="Arial" w:cs="Arial"/>
          <w:sz w:val="22"/>
          <w:szCs w:val="22"/>
          <w:lang w:val="en-US"/>
        </w:rPr>
        <w:t>, M. and M.</w:t>
      </w:r>
      <w:r w:rsidRPr="00A51255">
        <w:rPr>
          <w:rFonts w:ascii="Arial" w:hAnsi="Arial" w:cs="Arial"/>
          <w:sz w:val="22"/>
          <w:szCs w:val="22"/>
          <w:lang w:val="en-US"/>
        </w:rPr>
        <w:t>P. Tay</w:t>
      </w:r>
      <w:r w:rsidR="000C0978" w:rsidRPr="00A51255">
        <w:rPr>
          <w:rFonts w:ascii="Arial" w:hAnsi="Arial" w:cs="Arial"/>
          <w:sz w:val="22"/>
          <w:szCs w:val="22"/>
          <w:lang w:val="en-US"/>
        </w:rPr>
        <w:t>l</w:t>
      </w:r>
      <w:r w:rsidRPr="00A51255">
        <w:rPr>
          <w:rFonts w:ascii="Arial" w:hAnsi="Arial" w:cs="Arial"/>
          <w:sz w:val="22"/>
          <w:szCs w:val="22"/>
          <w:lang w:val="en-US"/>
        </w:rPr>
        <w:t>or</w:t>
      </w:r>
      <w:r w:rsidR="000C0978" w:rsidRPr="00A51255">
        <w:rPr>
          <w:rFonts w:ascii="Arial" w:hAnsi="Arial" w:cs="Arial"/>
          <w:sz w:val="22"/>
          <w:szCs w:val="22"/>
          <w:lang w:val="en-US"/>
        </w:rPr>
        <w:t>. 2010. “</w:t>
      </w:r>
      <w:r w:rsidRPr="00A51255">
        <w:rPr>
          <w:rFonts w:ascii="Arial" w:hAnsi="Arial" w:cs="Arial"/>
          <w:sz w:val="22"/>
          <w:szCs w:val="22"/>
          <w:lang w:val="en-US"/>
        </w:rPr>
        <w:t>Bank of England Interest Rate Announcements and the Foreign Exchange Market</w:t>
      </w:r>
      <w:r w:rsidR="000C0978" w:rsidRPr="00A51255">
        <w:rPr>
          <w:rFonts w:ascii="Arial" w:hAnsi="Arial" w:cs="Arial"/>
          <w:sz w:val="22"/>
          <w:szCs w:val="22"/>
          <w:lang w:val="en-US"/>
        </w:rPr>
        <w:t>”,</w:t>
      </w:r>
      <w:r w:rsidRPr="00A51255">
        <w:rPr>
          <w:rFonts w:ascii="Arial" w:hAnsi="Arial" w:cs="Arial"/>
          <w:sz w:val="22"/>
          <w:szCs w:val="22"/>
          <w:lang w:val="en-US"/>
        </w:rPr>
        <w:t xml:space="preserve"> </w:t>
      </w:r>
      <w:r w:rsidRPr="00A51255">
        <w:rPr>
          <w:rFonts w:ascii="Arial" w:hAnsi="Arial" w:cs="Arial"/>
          <w:i/>
          <w:sz w:val="22"/>
          <w:szCs w:val="22"/>
          <w:lang w:val="en-US"/>
        </w:rPr>
        <w:t>International Journal of Central Banking</w:t>
      </w:r>
      <w:r w:rsidR="000C0978" w:rsidRPr="00A51255">
        <w:rPr>
          <w:rFonts w:ascii="Arial" w:hAnsi="Arial" w:cs="Arial"/>
          <w:sz w:val="22"/>
          <w:szCs w:val="22"/>
          <w:lang w:val="en-US"/>
        </w:rPr>
        <w:t xml:space="preserve"> </w:t>
      </w:r>
      <w:r w:rsidRPr="00A51255">
        <w:rPr>
          <w:rFonts w:ascii="Arial" w:hAnsi="Arial" w:cs="Arial"/>
          <w:sz w:val="22"/>
          <w:szCs w:val="22"/>
          <w:lang w:val="en-US"/>
        </w:rPr>
        <w:t>6</w:t>
      </w:r>
      <w:r w:rsidR="000C0978" w:rsidRPr="00A51255">
        <w:rPr>
          <w:rFonts w:ascii="Arial" w:hAnsi="Arial" w:cs="Arial"/>
          <w:sz w:val="22"/>
          <w:szCs w:val="22"/>
          <w:lang w:val="en-US"/>
        </w:rPr>
        <w:t>, 211</w:t>
      </w:r>
      <w:r w:rsidR="00905CD7">
        <w:rPr>
          <w:rFonts w:ascii="Arial" w:hAnsi="Arial" w:cs="Arial"/>
          <w:sz w:val="22"/>
          <w:szCs w:val="22"/>
          <w:lang w:val="en-US"/>
        </w:rPr>
        <w:t>–</w:t>
      </w:r>
      <w:r w:rsidR="000C0978" w:rsidRPr="00A51255">
        <w:rPr>
          <w:rFonts w:ascii="Arial" w:hAnsi="Arial" w:cs="Arial"/>
          <w:sz w:val="22"/>
          <w:szCs w:val="22"/>
          <w:lang w:val="en-US"/>
        </w:rPr>
        <w:t>247</w:t>
      </w:r>
      <w:r w:rsidRPr="00A51255">
        <w:rPr>
          <w:rFonts w:ascii="Arial" w:hAnsi="Arial" w:cs="Arial"/>
          <w:sz w:val="22"/>
          <w:szCs w:val="22"/>
          <w:lang w:val="en-US"/>
        </w:rPr>
        <w:t>.</w:t>
      </w:r>
    </w:p>
    <w:p w:rsidR="00BA0165" w:rsidRPr="00A51255" w:rsidRDefault="00BA0165" w:rsidP="00BA0165">
      <w:pPr>
        <w:shd w:val="clear" w:color="auto" w:fill="FFFFFF"/>
        <w:jc w:val="both"/>
        <w:rPr>
          <w:rFonts w:ascii="Arial" w:hAnsi="Arial" w:cs="Arial"/>
          <w:sz w:val="22"/>
          <w:szCs w:val="22"/>
          <w:lang w:val="en-US"/>
        </w:rPr>
      </w:pPr>
    </w:p>
    <w:p w:rsidR="00493F94" w:rsidRPr="00A51255" w:rsidRDefault="00C30B75" w:rsidP="00493F94">
      <w:pPr>
        <w:jc w:val="both"/>
        <w:rPr>
          <w:rFonts w:ascii="Arial" w:hAnsi="Arial" w:cs="Arial"/>
          <w:sz w:val="22"/>
          <w:szCs w:val="22"/>
          <w:lang w:val="en-US"/>
        </w:rPr>
      </w:pPr>
      <w:r w:rsidRPr="00A51255">
        <w:rPr>
          <w:rFonts w:ascii="Arial" w:hAnsi="Arial" w:cs="Arial"/>
          <w:sz w:val="22"/>
          <w:szCs w:val="22"/>
          <w:lang w:val="en-US"/>
        </w:rPr>
        <w:t>Melvin, M. and X. Yin</w:t>
      </w:r>
      <w:r w:rsidR="001952AF" w:rsidRPr="00A51255">
        <w:rPr>
          <w:rFonts w:ascii="Arial" w:hAnsi="Arial" w:cs="Arial"/>
          <w:sz w:val="22"/>
          <w:szCs w:val="22"/>
          <w:lang w:val="en-US"/>
        </w:rPr>
        <w:t>.</w:t>
      </w:r>
      <w:r w:rsidR="00493F94" w:rsidRPr="00A51255">
        <w:rPr>
          <w:rFonts w:ascii="Arial" w:hAnsi="Arial" w:cs="Arial"/>
          <w:sz w:val="22"/>
          <w:szCs w:val="22"/>
          <w:lang w:val="en-US"/>
        </w:rPr>
        <w:t xml:space="preserve"> </w:t>
      </w:r>
      <w:r w:rsidR="001952AF" w:rsidRPr="00A51255">
        <w:rPr>
          <w:rFonts w:ascii="Arial" w:hAnsi="Arial" w:cs="Arial"/>
          <w:sz w:val="22"/>
          <w:szCs w:val="22"/>
          <w:lang w:val="en-US"/>
        </w:rPr>
        <w:t>2000</w:t>
      </w:r>
      <w:r w:rsidRPr="00A51255">
        <w:rPr>
          <w:rFonts w:ascii="Arial" w:hAnsi="Arial" w:cs="Arial"/>
          <w:sz w:val="22"/>
          <w:szCs w:val="22"/>
          <w:lang w:val="en-US"/>
        </w:rPr>
        <w:t xml:space="preserve">. </w:t>
      </w:r>
      <w:r w:rsidR="001952AF" w:rsidRPr="00A51255">
        <w:rPr>
          <w:rFonts w:ascii="Arial" w:hAnsi="Arial" w:cs="Arial"/>
          <w:sz w:val="22"/>
          <w:szCs w:val="22"/>
          <w:lang w:val="en-US"/>
        </w:rPr>
        <w:t>“</w:t>
      </w:r>
      <w:r w:rsidRPr="00A51255">
        <w:rPr>
          <w:rFonts w:ascii="Arial" w:hAnsi="Arial" w:cs="Arial"/>
          <w:sz w:val="22"/>
          <w:szCs w:val="22"/>
          <w:lang w:val="en-US"/>
        </w:rPr>
        <w:t>Public Information Arrival, Exchange Rate Volatility and Quote Frequency</w:t>
      </w:r>
      <w:r w:rsidR="001952AF" w:rsidRPr="00A51255">
        <w:rPr>
          <w:rFonts w:ascii="Arial" w:hAnsi="Arial" w:cs="Arial"/>
          <w:sz w:val="22"/>
          <w:szCs w:val="22"/>
          <w:lang w:val="en-US"/>
        </w:rPr>
        <w:t>”</w:t>
      </w:r>
      <w:r w:rsidRPr="00A51255">
        <w:rPr>
          <w:rFonts w:ascii="Arial" w:hAnsi="Arial" w:cs="Arial"/>
          <w:sz w:val="22"/>
          <w:szCs w:val="22"/>
          <w:lang w:val="en-US"/>
        </w:rPr>
        <w:t xml:space="preserve">, </w:t>
      </w:r>
      <w:r w:rsidRPr="00A51255">
        <w:rPr>
          <w:rFonts w:ascii="Arial" w:hAnsi="Arial" w:cs="Arial"/>
          <w:i/>
          <w:sz w:val="22"/>
          <w:szCs w:val="22"/>
          <w:lang w:val="en-US"/>
        </w:rPr>
        <w:t>Economic Journal</w:t>
      </w:r>
      <w:r w:rsidRPr="00A51255">
        <w:rPr>
          <w:rFonts w:ascii="Arial" w:hAnsi="Arial" w:cs="Arial"/>
          <w:sz w:val="22"/>
          <w:szCs w:val="22"/>
          <w:lang w:val="en-US"/>
        </w:rPr>
        <w:t xml:space="preserve"> 110, 44</w:t>
      </w:r>
      <w:r w:rsidR="00905CD7">
        <w:rPr>
          <w:rFonts w:ascii="Arial" w:hAnsi="Arial" w:cs="Arial"/>
          <w:sz w:val="22"/>
          <w:szCs w:val="22"/>
          <w:lang w:val="en-US"/>
        </w:rPr>
        <w:t>–</w:t>
      </w:r>
      <w:r w:rsidRPr="00A51255">
        <w:rPr>
          <w:rFonts w:ascii="Arial" w:hAnsi="Arial" w:cs="Arial"/>
          <w:sz w:val="22"/>
          <w:szCs w:val="22"/>
          <w:lang w:val="en-US"/>
        </w:rPr>
        <w:t>61.</w:t>
      </w:r>
    </w:p>
    <w:p w:rsidR="00493F94" w:rsidRPr="00A51255" w:rsidRDefault="00493F94" w:rsidP="00493F94">
      <w:pPr>
        <w:jc w:val="both"/>
        <w:rPr>
          <w:rFonts w:ascii="Arial" w:hAnsi="Arial" w:cs="Arial"/>
          <w:sz w:val="22"/>
          <w:szCs w:val="22"/>
          <w:lang w:val="en-US"/>
        </w:rPr>
      </w:pPr>
    </w:p>
    <w:p w:rsidR="00493F94" w:rsidRPr="00A51255" w:rsidRDefault="00493F94" w:rsidP="00493F94">
      <w:pPr>
        <w:jc w:val="both"/>
        <w:rPr>
          <w:rFonts w:ascii="Arial" w:hAnsi="Arial" w:cs="Arial"/>
          <w:sz w:val="22"/>
          <w:szCs w:val="22"/>
          <w:lang w:val="en-US"/>
        </w:rPr>
      </w:pPr>
      <w:r w:rsidRPr="00A51255">
        <w:rPr>
          <w:rFonts w:ascii="Arial" w:hAnsi="Arial" w:cs="Arial"/>
          <w:sz w:val="22"/>
          <w:szCs w:val="22"/>
          <w:lang w:val="en-US"/>
        </w:rPr>
        <w:t xml:space="preserve">Mishkin, F.S. </w:t>
      </w:r>
      <w:r w:rsidR="001952AF" w:rsidRPr="00A51255">
        <w:rPr>
          <w:rFonts w:ascii="Arial" w:hAnsi="Arial" w:cs="Arial"/>
          <w:sz w:val="22"/>
          <w:szCs w:val="22"/>
          <w:lang w:val="en-US"/>
        </w:rPr>
        <w:t>1977</w:t>
      </w:r>
      <w:r w:rsidRPr="00A51255">
        <w:rPr>
          <w:rFonts w:ascii="Arial" w:hAnsi="Arial" w:cs="Arial"/>
          <w:sz w:val="22"/>
          <w:szCs w:val="22"/>
          <w:lang w:val="en-US"/>
        </w:rPr>
        <w:t xml:space="preserve">. </w:t>
      </w:r>
      <w:r w:rsidR="001952AF" w:rsidRPr="00A51255">
        <w:rPr>
          <w:rFonts w:ascii="Arial" w:hAnsi="Arial" w:cs="Arial"/>
          <w:sz w:val="22"/>
          <w:szCs w:val="22"/>
          <w:lang w:val="en-US"/>
        </w:rPr>
        <w:t>“</w:t>
      </w:r>
      <w:r w:rsidRPr="00A51255">
        <w:rPr>
          <w:rFonts w:ascii="Arial" w:hAnsi="Arial" w:cs="Arial"/>
          <w:sz w:val="22"/>
          <w:szCs w:val="22"/>
          <w:lang w:val="en-US"/>
        </w:rPr>
        <w:t>What Depressed the Consumer? The Household Balance Sheet and the 1973</w:t>
      </w:r>
      <w:r w:rsidR="009F48D3" w:rsidRPr="00A51255">
        <w:rPr>
          <w:rFonts w:ascii="Arial" w:hAnsi="Arial" w:cs="Arial"/>
          <w:sz w:val="22"/>
          <w:szCs w:val="22"/>
          <w:lang w:val="en-US"/>
        </w:rPr>
        <w:t>–</w:t>
      </w:r>
      <w:r w:rsidRPr="00A51255">
        <w:rPr>
          <w:rFonts w:ascii="Arial" w:hAnsi="Arial" w:cs="Arial"/>
          <w:sz w:val="22"/>
          <w:szCs w:val="22"/>
          <w:lang w:val="en-US"/>
        </w:rPr>
        <w:t>1975 Recession</w:t>
      </w:r>
      <w:r w:rsidR="001952AF" w:rsidRPr="00A51255">
        <w:rPr>
          <w:rFonts w:ascii="Arial" w:hAnsi="Arial" w:cs="Arial"/>
          <w:sz w:val="22"/>
          <w:szCs w:val="22"/>
          <w:lang w:val="en-US"/>
        </w:rPr>
        <w:t>”</w:t>
      </w:r>
      <w:r w:rsidRPr="00A51255">
        <w:rPr>
          <w:rFonts w:ascii="Arial" w:hAnsi="Arial" w:cs="Arial"/>
          <w:sz w:val="22"/>
          <w:szCs w:val="22"/>
          <w:lang w:val="en-US"/>
        </w:rPr>
        <w:t xml:space="preserve">, </w:t>
      </w:r>
      <w:r w:rsidRPr="00A51255">
        <w:rPr>
          <w:rFonts w:ascii="Arial" w:hAnsi="Arial" w:cs="Arial"/>
          <w:i/>
          <w:iCs/>
          <w:sz w:val="22"/>
          <w:szCs w:val="22"/>
          <w:lang w:val="en-US"/>
        </w:rPr>
        <w:t xml:space="preserve">Brookings Papers </w:t>
      </w:r>
      <w:r w:rsidR="00C60575" w:rsidRPr="00A51255">
        <w:rPr>
          <w:rFonts w:ascii="Arial" w:hAnsi="Arial" w:cs="Arial"/>
          <w:i/>
          <w:iCs/>
          <w:sz w:val="22"/>
          <w:szCs w:val="22"/>
          <w:lang w:val="en-US"/>
        </w:rPr>
        <w:t xml:space="preserve">on </w:t>
      </w:r>
      <w:r w:rsidRPr="00A51255">
        <w:rPr>
          <w:rFonts w:ascii="Arial" w:hAnsi="Arial" w:cs="Arial"/>
          <w:i/>
          <w:iCs/>
          <w:sz w:val="22"/>
          <w:szCs w:val="22"/>
          <w:lang w:val="en-US"/>
        </w:rPr>
        <w:t>Economic Activity</w:t>
      </w:r>
      <w:r w:rsidRPr="00A51255">
        <w:rPr>
          <w:rFonts w:ascii="Arial" w:hAnsi="Arial" w:cs="Arial"/>
          <w:sz w:val="22"/>
          <w:szCs w:val="22"/>
          <w:lang w:val="en-US"/>
        </w:rPr>
        <w:t xml:space="preserve"> 1, 123</w:t>
      </w:r>
      <w:r w:rsidR="009F48D3" w:rsidRPr="00A51255">
        <w:rPr>
          <w:rFonts w:ascii="Arial" w:hAnsi="Arial" w:cs="Arial"/>
          <w:sz w:val="22"/>
          <w:szCs w:val="22"/>
          <w:lang w:val="en-US"/>
        </w:rPr>
        <w:t>–</w:t>
      </w:r>
      <w:r w:rsidRPr="00A51255">
        <w:rPr>
          <w:rFonts w:ascii="Arial" w:hAnsi="Arial" w:cs="Arial"/>
          <w:sz w:val="22"/>
          <w:szCs w:val="22"/>
          <w:lang w:val="en-US"/>
        </w:rPr>
        <w:t>164.</w:t>
      </w:r>
    </w:p>
    <w:p w:rsidR="00493F94" w:rsidRPr="00A51255" w:rsidRDefault="00493F94" w:rsidP="00493F94">
      <w:pPr>
        <w:jc w:val="both"/>
        <w:rPr>
          <w:rFonts w:ascii="Arial" w:hAnsi="Arial" w:cs="Arial"/>
          <w:sz w:val="22"/>
          <w:szCs w:val="22"/>
          <w:lang w:val="en-US"/>
        </w:rPr>
      </w:pPr>
    </w:p>
    <w:p w:rsidR="00493F94" w:rsidRPr="00A51255" w:rsidRDefault="00493F94" w:rsidP="00493F94">
      <w:pPr>
        <w:jc w:val="both"/>
        <w:rPr>
          <w:rFonts w:ascii="Arial" w:hAnsi="Arial" w:cs="Arial"/>
          <w:sz w:val="22"/>
          <w:szCs w:val="22"/>
          <w:lang w:val="en-US"/>
        </w:rPr>
      </w:pPr>
      <w:r w:rsidRPr="00A51255">
        <w:rPr>
          <w:rFonts w:ascii="Arial" w:hAnsi="Arial" w:cs="Arial"/>
          <w:sz w:val="22"/>
          <w:szCs w:val="22"/>
          <w:lang w:val="en-US"/>
        </w:rPr>
        <w:t xml:space="preserve">Mishkin, F.S. 2007. </w:t>
      </w:r>
      <w:r w:rsidR="001952AF" w:rsidRPr="00A51255">
        <w:rPr>
          <w:rFonts w:ascii="Arial" w:hAnsi="Arial" w:cs="Arial"/>
          <w:sz w:val="22"/>
          <w:szCs w:val="22"/>
          <w:lang w:val="en-US"/>
        </w:rPr>
        <w:t>“</w:t>
      </w:r>
      <w:r w:rsidR="00E55DEA" w:rsidRPr="00A51255">
        <w:rPr>
          <w:rFonts w:ascii="Arial" w:hAnsi="Arial" w:cs="Arial"/>
          <w:sz w:val="22"/>
          <w:szCs w:val="22"/>
          <w:lang w:val="en-US"/>
        </w:rPr>
        <w:t>The Transmission Mechanism and t</w:t>
      </w:r>
      <w:r w:rsidRPr="00A51255">
        <w:rPr>
          <w:rFonts w:ascii="Arial" w:hAnsi="Arial" w:cs="Arial"/>
          <w:sz w:val="22"/>
          <w:szCs w:val="22"/>
          <w:lang w:val="en-US"/>
        </w:rPr>
        <w:t>he Role of Asset Prices in Monetary Policy</w:t>
      </w:r>
      <w:r w:rsidR="001952AF" w:rsidRPr="00A51255">
        <w:rPr>
          <w:rFonts w:ascii="Arial" w:hAnsi="Arial" w:cs="Arial"/>
          <w:sz w:val="22"/>
          <w:szCs w:val="22"/>
          <w:lang w:val="en-US"/>
        </w:rPr>
        <w:t>”</w:t>
      </w:r>
      <w:r w:rsidRPr="00A51255">
        <w:rPr>
          <w:rFonts w:ascii="Arial" w:hAnsi="Arial" w:cs="Arial"/>
          <w:sz w:val="22"/>
          <w:szCs w:val="22"/>
          <w:lang w:val="en-US"/>
        </w:rPr>
        <w:t>, in: F.S. Mishkin, Monetary Policy Strategy, MIT Press, Cambridge (Mass.).</w:t>
      </w:r>
    </w:p>
    <w:p w:rsidR="00493F94" w:rsidRPr="00A51255" w:rsidRDefault="00493F94" w:rsidP="00493F94">
      <w:pPr>
        <w:jc w:val="both"/>
        <w:rPr>
          <w:rFonts w:ascii="Arial" w:hAnsi="Arial" w:cs="Arial"/>
          <w:sz w:val="22"/>
          <w:szCs w:val="22"/>
          <w:lang w:val="en-US"/>
        </w:rPr>
      </w:pPr>
    </w:p>
    <w:p w:rsidR="00493F94" w:rsidRPr="00A51255" w:rsidRDefault="00493F94" w:rsidP="00493F94">
      <w:pPr>
        <w:jc w:val="both"/>
        <w:rPr>
          <w:rFonts w:ascii="Arial" w:hAnsi="Arial" w:cs="Arial"/>
          <w:sz w:val="22"/>
          <w:szCs w:val="22"/>
          <w:lang w:val="en-US"/>
        </w:rPr>
      </w:pPr>
      <w:r w:rsidRPr="00A51255">
        <w:rPr>
          <w:rFonts w:ascii="Arial" w:hAnsi="Arial" w:cs="Arial"/>
          <w:sz w:val="22"/>
          <w:szCs w:val="22"/>
          <w:lang w:val="en-US"/>
        </w:rPr>
        <w:t>Mitchell, M. L. and J.H. Mulherin</w:t>
      </w:r>
      <w:r w:rsidR="001952AF" w:rsidRPr="00A51255">
        <w:rPr>
          <w:rFonts w:ascii="Arial" w:hAnsi="Arial" w:cs="Arial"/>
          <w:sz w:val="22"/>
          <w:szCs w:val="22"/>
          <w:lang w:val="en-US"/>
        </w:rPr>
        <w:t>. 1994</w:t>
      </w:r>
      <w:r w:rsidRPr="00A51255">
        <w:rPr>
          <w:rFonts w:ascii="Arial" w:hAnsi="Arial" w:cs="Arial"/>
          <w:sz w:val="22"/>
          <w:szCs w:val="22"/>
          <w:lang w:val="en-US"/>
        </w:rPr>
        <w:t xml:space="preserve">. </w:t>
      </w:r>
      <w:r w:rsidR="001952AF" w:rsidRPr="00A51255">
        <w:rPr>
          <w:rFonts w:ascii="Arial" w:hAnsi="Arial" w:cs="Arial"/>
          <w:sz w:val="22"/>
          <w:szCs w:val="22"/>
          <w:lang w:val="en-US"/>
        </w:rPr>
        <w:t>“</w:t>
      </w:r>
      <w:r w:rsidRPr="00A51255">
        <w:rPr>
          <w:rFonts w:ascii="Arial" w:hAnsi="Arial" w:cs="Arial"/>
          <w:sz w:val="22"/>
          <w:szCs w:val="22"/>
          <w:lang w:val="en-US"/>
        </w:rPr>
        <w:t>The Impact of Public Information on the Stock  Market</w:t>
      </w:r>
      <w:r w:rsidR="001952AF" w:rsidRPr="00A51255">
        <w:rPr>
          <w:rFonts w:ascii="Arial" w:hAnsi="Arial" w:cs="Arial"/>
          <w:sz w:val="22"/>
          <w:szCs w:val="22"/>
          <w:lang w:val="en-US"/>
        </w:rPr>
        <w:t>”</w:t>
      </w:r>
      <w:r w:rsidRPr="00A51255">
        <w:rPr>
          <w:rFonts w:ascii="Arial" w:hAnsi="Arial" w:cs="Arial"/>
          <w:sz w:val="22"/>
          <w:szCs w:val="22"/>
          <w:lang w:val="en-US"/>
        </w:rPr>
        <w:t xml:space="preserve">, </w:t>
      </w:r>
      <w:r w:rsidRPr="00A51255">
        <w:rPr>
          <w:rFonts w:ascii="Arial" w:hAnsi="Arial" w:cs="Arial"/>
          <w:i/>
          <w:sz w:val="22"/>
          <w:szCs w:val="22"/>
          <w:lang w:val="en-US"/>
        </w:rPr>
        <w:t>Journal of Finance</w:t>
      </w:r>
      <w:r w:rsidRPr="00A51255">
        <w:rPr>
          <w:rFonts w:ascii="Arial" w:hAnsi="Arial" w:cs="Arial"/>
          <w:sz w:val="22"/>
          <w:szCs w:val="22"/>
          <w:lang w:val="en-US"/>
        </w:rPr>
        <w:t xml:space="preserve"> 49, 923</w:t>
      </w:r>
      <w:r w:rsidR="009F48D3" w:rsidRPr="00A51255">
        <w:rPr>
          <w:rFonts w:ascii="Arial" w:hAnsi="Arial" w:cs="Arial"/>
          <w:sz w:val="22"/>
          <w:szCs w:val="22"/>
          <w:lang w:val="en-US"/>
        </w:rPr>
        <w:t>–</w:t>
      </w:r>
      <w:r w:rsidRPr="00A51255">
        <w:rPr>
          <w:rFonts w:ascii="Arial" w:hAnsi="Arial" w:cs="Arial"/>
          <w:sz w:val="22"/>
          <w:szCs w:val="22"/>
          <w:lang w:val="en-US"/>
        </w:rPr>
        <w:t>950.</w:t>
      </w:r>
    </w:p>
    <w:p w:rsidR="00493F94" w:rsidRPr="00A51255" w:rsidRDefault="00493F94" w:rsidP="00493F94">
      <w:pPr>
        <w:jc w:val="both"/>
        <w:rPr>
          <w:rFonts w:ascii="Arial" w:hAnsi="Arial" w:cs="Arial"/>
          <w:sz w:val="22"/>
          <w:szCs w:val="22"/>
          <w:lang w:val="en-US"/>
        </w:rPr>
      </w:pPr>
    </w:p>
    <w:p w:rsidR="00493F94" w:rsidRPr="00A51255" w:rsidRDefault="00493F94" w:rsidP="00493F94">
      <w:pPr>
        <w:jc w:val="both"/>
        <w:rPr>
          <w:rFonts w:ascii="Arial" w:hAnsi="Arial" w:cs="Arial"/>
          <w:sz w:val="22"/>
          <w:szCs w:val="22"/>
          <w:lang w:val="en-US"/>
        </w:rPr>
      </w:pPr>
      <w:r w:rsidRPr="00A51255">
        <w:rPr>
          <w:rFonts w:ascii="Arial" w:hAnsi="Arial" w:cs="Arial"/>
          <w:sz w:val="22"/>
          <w:szCs w:val="22"/>
          <w:lang w:val="en-US"/>
        </w:rPr>
        <w:t xml:space="preserve">Modigliani, F. </w:t>
      </w:r>
      <w:r w:rsidR="001952AF" w:rsidRPr="00A51255">
        <w:rPr>
          <w:rFonts w:ascii="Arial" w:hAnsi="Arial" w:cs="Arial"/>
          <w:sz w:val="22"/>
          <w:szCs w:val="22"/>
          <w:lang w:val="en-US"/>
        </w:rPr>
        <w:t>1971</w:t>
      </w:r>
      <w:r w:rsidRPr="00A51255">
        <w:rPr>
          <w:rFonts w:ascii="Arial" w:hAnsi="Arial" w:cs="Arial"/>
          <w:sz w:val="22"/>
          <w:szCs w:val="22"/>
          <w:lang w:val="en-US"/>
        </w:rPr>
        <w:t xml:space="preserve">. </w:t>
      </w:r>
      <w:r w:rsidR="001952AF" w:rsidRPr="00A51255">
        <w:rPr>
          <w:rFonts w:ascii="Arial" w:hAnsi="Arial" w:cs="Arial"/>
          <w:sz w:val="22"/>
          <w:szCs w:val="22"/>
          <w:lang w:val="en-US"/>
        </w:rPr>
        <w:t>“</w:t>
      </w:r>
      <w:r w:rsidRPr="00A51255">
        <w:rPr>
          <w:rFonts w:ascii="Arial" w:hAnsi="Arial" w:cs="Arial"/>
          <w:sz w:val="22"/>
          <w:szCs w:val="22"/>
          <w:lang w:val="en-US"/>
        </w:rPr>
        <w:t>Monetary Policy and Consumption, Consumer Spending and Monetary Policy: The Linkages</w:t>
      </w:r>
      <w:r w:rsidR="001952AF" w:rsidRPr="00A51255">
        <w:rPr>
          <w:rFonts w:ascii="Arial" w:hAnsi="Arial" w:cs="Arial"/>
          <w:sz w:val="22"/>
          <w:szCs w:val="22"/>
          <w:lang w:val="en-US"/>
        </w:rPr>
        <w:t>”</w:t>
      </w:r>
      <w:r w:rsidRPr="00A51255">
        <w:rPr>
          <w:rFonts w:ascii="Arial" w:hAnsi="Arial" w:cs="Arial"/>
          <w:sz w:val="22"/>
          <w:szCs w:val="22"/>
          <w:lang w:val="en-US"/>
        </w:rPr>
        <w:t xml:space="preserve">, </w:t>
      </w:r>
      <w:r w:rsidR="00CA78D0" w:rsidRPr="00A51255">
        <w:rPr>
          <w:rFonts w:ascii="Arial" w:hAnsi="Arial" w:cs="Arial"/>
          <w:sz w:val="22"/>
          <w:szCs w:val="22"/>
          <w:lang w:val="en-US"/>
        </w:rPr>
        <w:t>Federal</w:t>
      </w:r>
      <w:r w:rsidRPr="00A51255">
        <w:rPr>
          <w:rFonts w:ascii="Arial" w:hAnsi="Arial" w:cs="Arial"/>
          <w:sz w:val="22"/>
          <w:szCs w:val="22"/>
          <w:lang w:val="en-US"/>
        </w:rPr>
        <w:t xml:space="preserve"> Reserve Bank Boston</w:t>
      </w:r>
      <w:r w:rsidR="00F55526" w:rsidRPr="00A51255">
        <w:rPr>
          <w:rFonts w:ascii="Arial" w:hAnsi="Arial" w:cs="Arial"/>
          <w:sz w:val="22"/>
          <w:szCs w:val="22"/>
          <w:lang w:val="en-US"/>
        </w:rPr>
        <w:t>,</w:t>
      </w:r>
      <w:r w:rsidR="00D57BAB" w:rsidRPr="00A51255">
        <w:rPr>
          <w:rFonts w:ascii="Arial" w:hAnsi="Arial" w:cs="Arial"/>
          <w:sz w:val="22"/>
          <w:szCs w:val="22"/>
          <w:lang w:val="en-US"/>
        </w:rPr>
        <w:t xml:space="preserve"> Boston, MA.</w:t>
      </w:r>
    </w:p>
    <w:p w:rsidR="00493F94" w:rsidRPr="00A51255" w:rsidRDefault="00493F94" w:rsidP="00493F94">
      <w:pPr>
        <w:jc w:val="both"/>
        <w:rPr>
          <w:rFonts w:ascii="Arial" w:hAnsi="Arial" w:cs="Arial"/>
          <w:sz w:val="22"/>
          <w:szCs w:val="22"/>
          <w:lang w:val="en-US"/>
        </w:rPr>
      </w:pPr>
    </w:p>
    <w:p w:rsidR="00493F94" w:rsidRPr="00A51255" w:rsidRDefault="00493F94" w:rsidP="00493F94">
      <w:pPr>
        <w:jc w:val="both"/>
        <w:rPr>
          <w:rFonts w:ascii="Arial" w:hAnsi="Arial" w:cs="Arial"/>
          <w:sz w:val="22"/>
          <w:szCs w:val="22"/>
          <w:lang w:val="en-US"/>
        </w:rPr>
      </w:pPr>
      <w:r w:rsidRPr="00A51255">
        <w:rPr>
          <w:rFonts w:ascii="Arial" w:hAnsi="Arial" w:cs="Arial"/>
          <w:sz w:val="22"/>
          <w:szCs w:val="22"/>
          <w:lang w:val="en-US"/>
        </w:rPr>
        <w:t>Monetary Policy Guidelines for 2009, National Bank of Poland, September 2008, Warsaw, 2008.</w:t>
      </w:r>
    </w:p>
    <w:p w:rsidR="00493F94" w:rsidRPr="00A51255" w:rsidRDefault="00493F94" w:rsidP="00493F94">
      <w:pPr>
        <w:jc w:val="both"/>
        <w:rPr>
          <w:rFonts w:ascii="Arial" w:hAnsi="Arial" w:cs="Arial"/>
          <w:sz w:val="22"/>
          <w:szCs w:val="22"/>
          <w:lang w:val="en-US"/>
        </w:rPr>
      </w:pPr>
    </w:p>
    <w:p w:rsidR="00493F94" w:rsidRPr="00A51255" w:rsidRDefault="00493F94" w:rsidP="00912376">
      <w:pPr>
        <w:jc w:val="both"/>
        <w:rPr>
          <w:rFonts w:ascii="Arial" w:hAnsi="Arial" w:cs="Arial"/>
          <w:sz w:val="22"/>
          <w:szCs w:val="22"/>
          <w:lang w:val="en-US"/>
        </w:rPr>
      </w:pPr>
      <w:r w:rsidRPr="00A51255">
        <w:rPr>
          <w:rFonts w:ascii="Arial" w:hAnsi="Arial" w:cs="Arial"/>
          <w:sz w:val="22"/>
          <w:szCs w:val="22"/>
          <w:lang w:val="en-US"/>
        </w:rPr>
        <w:t>Monetary Policy Strategy Beyond 2003, National Bank of Poland, February 2003, Warsaw, 2003.</w:t>
      </w:r>
    </w:p>
    <w:p w:rsidR="0008634C" w:rsidRPr="00A51255" w:rsidRDefault="0008634C" w:rsidP="00912376">
      <w:pPr>
        <w:jc w:val="both"/>
        <w:rPr>
          <w:rFonts w:ascii="Arial" w:hAnsi="Arial" w:cs="Arial"/>
          <w:sz w:val="22"/>
          <w:szCs w:val="22"/>
          <w:lang w:val="en-US"/>
        </w:rPr>
      </w:pPr>
    </w:p>
    <w:p w:rsidR="00912376" w:rsidRPr="00A51255" w:rsidRDefault="00912376" w:rsidP="00912376">
      <w:pPr>
        <w:jc w:val="both"/>
        <w:rPr>
          <w:rFonts w:ascii="Arial" w:hAnsi="Arial" w:cs="Arial"/>
          <w:sz w:val="22"/>
          <w:szCs w:val="22"/>
          <w:lang w:val="en-US"/>
        </w:rPr>
      </w:pPr>
      <w:r w:rsidRPr="00A51255">
        <w:rPr>
          <w:rFonts w:ascii="Arial" w:hAnsi="Arial" w:cs="Arial"/>
          <w:sz w:val="22"/>
          <w:szCs w:val="22"/>
          <w:lang w:val="en-US"/>
        </w:rPr>
        <w:t xml:space="preserve">Neely, C.J. and S.R. Dey. 2010. </w:t>
      </w:r>
      <w:r w:rsidRPr="00A51255">
        <w:rPr>
          <w:rFonts w:ascii="Arial" w:hAnsi="Arial" w:cs="Arial"/>
          <w:iCs/>
          <w:sz w:val="22"/>
          <w:szCs w:val="22"/>
          <w:lang w:val="en-US"/>
        </w:rPr>
        <w:t>“</w:t>
      </w:r>
      <w:r w:rsidRPr="00A51255">
        <w:rPr>
          <w:rFonts w:ascii="Arial" w:hAnsi="Arial" w:cs="Arial"/>
          <w:sz w:val="22"/>
          <w:szCs w:val="22"/>
          <w:lang w:val="en-US"/>
        </w:rPr>
        <w:t>A Survey of Announcement Effects on Foreign Exchange Returns</w:t>
      </w:r>
      <w:r w:rsidRPr="00A51255">
        <w:rPr>
          <w:rFonts w:ascii="Arial" w:hAnsi="Arial" w:cs="Arial"/>
          <w:bCs/>
          <w:sz w:val="22"/>
          <w:szCs w:val="22"/>
          <w:lang w:val="en-US"/>
        </w:rPr>
        <w:t>”</w:t>
      </w:r>
      <w:r w:rsidRPr="00A51255">
        <w:rPr>
          <w:rFonts w:ascii="Arial" w:hAnsi="Arial" w:cs="Arial"/>
          <w:sz w:val="22"/>
          <w:szCs w:val="22"/>
          <w:lang w:val="en-US"/>
        </w:rPr>
        <w:t xml:space="preserve">, </w:t>
      </w:r>
      <w:r w:rsidRPr="00A51255">
        <w:rPr>
          <w:rFonts w:ascii="Arial" w:hAnsi="Arial" w:cs="Arial"/>
          <w:i/>
          <w:sz w:val="22"/>
          <w:szCs w:val="22"/>
          <w:lang w:val="en-US"/>
        </w:rPr>
        <w:t>Federal Reserve Bank of St. Louis Review</w:t>
      </w:r>
      <w:r w:rsidRPr="00A51255">
        <w:rPr>
          <w:rFonts w:ascii="Arial" w:hAnsi="Arial" w:cs="Arial"/>
          <w:sz w:val="22"/>
          <w:szCs w:val="22"/>
          <w:lang w:val="en-US"/>
        </w:rPr>
        <w:t>, September, 417</w:t>
      </w:r>
      <w:r w:rsidR="00905CD7">
        <w:rPr>
          <w:rFonts w:ascii="Arial" w:hAnsi="Arial" w:cs="Arial"/>
          <w:sz w:val="22"/>
          <w:szCs w:val="22"/>
          <w:lang w:val="en-US"/>
        </w:rPr>
        <w:t>–</w:t>
      </w:r>
      <w:r w:rsidRPr="00A51255">
        <w:rPr>
          <w:rFonts w:ascii="Arial" w:hAnsi="Arial" w:cs="Arial"/>
          <w:sz w:val="22"/>
          <w:szCs w:val="22"/>
          <w:lang w:val="en-US"/>
        </w:rPr>
        <w:t>464.</w:t>
      </w:r>
    </w:p>
    <w:p w:rsidR="00912376" w:rsidRPr="00A51255" w:rsidRDefault="00912376" w:rsidP="00912376">
      <w:pPr>
        <w:rPr>
          <w:rFonts w:ascii="Arial" w:hAnsi="Arial" w:cs="Arial"/>
          <w:sz w:val="22"/>
          <w:szCs w:val="22"/>
          <w:lang w:val="en-US"/>
        </w:rPr>
      </w:pPr>
    </w:p>
    <w:p w:rsidR="00B52EB9" w:rsidRPr="00A51255" w:rsidRDefault="00B52EB9" w:rsidP="00912376">
      <w:pPr>
        <w:jc w:val="both"/>
        <w:rPr>
          <w:rFonts w:ascii="Arial" w:hAnsi="Arial" w:cs="Arial"/>
          <w:sz w:val="22"/>
          <w:szCs w:val="22"/>
          <w:lang w:val="en-US"/>
        </w:rPr>
      </w:pPr>
      <w:r w:rsidRPr="00A51255">
        <w:rPr>
          <w:rFonts w:ascii="Arial" w:hAnsi="Arial" w:cs="Arial"/>
          <w:sz w:val="22"/>
          <w:szCs w:val="22"/>
          <w:lang w:val="en-US"/>
        </w:rPr>
        <w:lastRenderedPageBreak/>
        <w:t xml:space="preserve">Neely, C.J. 2011. </w:t>
      </w:r>
      <w:r w:rsidRPr="00A51255">
        <w:rPr>
          <w:rFonts w:ascii="Arial" w:hAnsi="Arial" w:cs="Arial"/>
          <w:iCs/>
          <w:sz w:val="22"/>
          <w:szCs w:val="22"/>
          <w:lang w:val="en-US"/>
        </w:rPr>
        <w:t>“</w:t>
      </w:r>
      <w:r w:rsidRPr="00A51255">
        <w:rPr>
          <w:rFonts w:ascii="Arial" w:hAnsi="Arial" w:cs="Arial"/>
          <w:sz w:val="22"/>
          <w:szCs w:val="22"/>
          <w:lang w:val="en-US"/>
        </w:rPr>
        <w:t>A Survey of Announcement Effects on Foreign Exchange Volatility and Jumps</w:t>
      </w:r>
      <w:r w:rsidRPr="00A51255">
        <w:rPr>
          <w:rFonts w:ascii="Arial" w:hAnsi="Arial" w:cs="Arial"/>
          <w:bCs/>
          <w:sz w:val="22"/>
          <w:szCs w:val="22"/>
          <w:lang w:val="en-US"/>
        </w:rPr>
        <w:t>”</w:t>
      </w:r>
      <w:r w:rsidRPr="00A51255">
        <w:rPr>
          <w:rFonts w:ascii="Arial" w:hAnsi="Arial" w:cs="Arial"/>
          <w:sz w:val="22"/>
          <w:szCs w:val="22"/>
          <w:lang w:val="en-US"/>
        </w:rPr>
        <w:t xml:space="preserve">, </w:t>
      </w:r>
      <w:r w:rsidRPr="00A51255">
        <w:rPr>
          <w:rFonts w:ascii="Arial" w:hAnsi="Arial" w:cs="Arial"/>
          <w:i/>
          <w:sz w:val="22"/>
          <w:szCs w:val="22"/>
          <w:lang w:val="en-US"/>
        </w:rPr>
        <w:t>Federal Reserve Bank of St. Louis Review</w:t>
      </w:r>
      <w:r w:rsidRPr="00A51255">
        <w:rPr>
          <w:rFonts w:ascii="Arial" w:hAnsi="Arial" w:cs="Arial"/>
          <w:sz w:val="22"/>
          <w:szCs w:val="22"/>
          <w:lang w:val="en-US"/>
        </w:rPr>
        <w:t>, Sep</w:t>
      </w:r>
      <w:r w:rsidR="00FD7080" w:rsidRPr="00A51255">
        <w:rPr>
          <w:rFonts w:ascii="Arial" w:hAnsi="Arial" w:cs="Arial"/>
          <w:sz w:val="22"/>
          <w:szCs w:val="22"/>
          <w:lang w:val="en-US"/>
        </w:rPr>
        <w:t xml:space="preserve">tember, </w:t>
      </w:r>
      <w:r w:rsidRPr="00A51255">
        <w:rPr>
          <w:rFonts w:ascii="Arial" w:hAnsi="Arial" w:cs="Arial"/>
          <w:sz w:val="22"/>
          <w:szCs w:val="22"/>
          <w:lang w:val="en-US"/>
        </w:rPr>
        <w:t>361</w:t>
      </w:r>
      <w:r w:rsidR="00905CD7">
        <w:rPr>
          <w:rFonts w:ascii="Arial" w:hAnsi="Arial" w:cs="Arial"/>
          <w:sz w:val="22"/>
          <w:szCs w:val="22"/>
          <w:lang w:val="en-US"/>
        </w:rPr>
        <w:t>–</w:t>
      </w:r>
      <w:r w:rsidRPr="00A51255">
        <w:rPr>
          <w:rFonts w:ascii="Arial" w:hAnsi="Arial" w:cs="Arial"/>
          <w:sz w:val="22"/>
          <w:szCs w:val="22"/>
          <w:lang w:val="en-US"/>
        </w:rPr>
        <w:t>385.</w:t>
      </w:r>
    </w:p>
    <w:p w:rsidR="00493F94" w:rsidRPr="00A51255" w:rsidRDefault="00493F94" w:rsidP="00912376">
      <w:pPr>
        <w:jc w:val="both"/>
        <w:rPr>
          <w:rFonts w:ascii="Arial" w:hAnsi="Arial" w:cs="Arial"/>
          <w:sz w:val="22"/>
          <w:szCs w:val="22"/>
          <w:lang w:val="en-US"/>
        </w:rPr>
      </w:pPr>
    </w:p>
    <w:p w:rsidR="00493F94" w:rsidRPr="00A51255" w:rsidRDefault="00493F94" w:rsidP="00912376">
      <w:pPr>
        <w:jc w:val="both"/>
        <w:rPr>
          <w:rFonts w:ascii="Arial" w:hAnsi="Arial" w:cs="Arial"/>
          <w:sz w:val="22"/>
          <w:szCs w:val="22"/>
          <w:lang w:val="en-US"/>
        </w:rPr>
      </w:pPr>
      <w:r w:rsidRPr="00731796">
        <w:rPr>
          <w:rFonts w:ascii="Arial" w:hAnsi="Arial" w:cs="Arial"/>
          <w:sz w:val="22"/>
          <w:szCs w:val="22"/>
          <w:lang w:val="de-DE"/>
        </w:rPr>
        <w:t>Nikkinen, J.</w:t>
      </w:r>
      <w:r w:rsidR="00CD68A1" w:rsidRPr="00731796">
        <w:rPr>
          <w:rFonts w:ascii="Arial" w:hAnsi="Arial" w:cs="Arial"/>
          <w:sz w:val="22"/>
          <w:szCs w:val="22"/>
          <w:lang w:val="de-DE"/>
        </w:rPr>
        <w:t>,</w:t>
      </w:r>
      <w:r w:rsidRPr="00731796">
        <w:rPr>
          <w:rFonts w:ascii="Arial" w:hAnsi="Arial" w:cs="Arial"/>
          <w:sz w:val="22"/>
          <w:szCs w:val="22"/>
          <w:lang w:val="de-DE"/>
        </w:rPr>
        <w:t xml:space="preserve"> M. Omran</w:t>
      </w:r>
      <w:r w:rsidR="00CD68A1" w:rsidRPr="00731796">
        <w:rPr>
          <w:rFonts w:ascii="Arial" w:hAnsi="Arial" w:cs="Arial"/>
          <w:sz w:val="22"/>
          <w:szCs w:val="22"/>
          <w:lang w:val="de-DE"/>
        </w:rPr>
        <w:t>,</w:t>
      </w:r>
      <w:r w:rsidRPr="00731796">
        <w:rPr>
          <w:rFonts w:ascii="Arial" w:hAnsi="Arial" w:cs="Arial"/>
          <w:sz w:val="22"/>
          <w:szCs w:val="22"/>
          <w:lang w:val="de-DE"/>
        </w:rPr>
        <w:t xml:space="preserve"> P. Sahlström</w:t>
      </w:r>
      <w:r w:rsidR="00CD68A1" w:rsidRPr="00731796">
        <w:rPr>
          <w:rFonts w:ascii="Arial" w:hAnsi="Arial" w:cs="Arial"/>
          <w:sz w:val="22"/>
          <w:szCs w:val="22"/>
          <w:lang w:val="de-DE"/>
        </w:rPr>
        <w:t>,</w:t>
      </w:r>
      <w:r w:rsidRPr="00731796">
        <w:rPr>
          <w:rFonts w:ascii="Arial" w:hAnsi="Arial" w:cs="Arial"/>
          <w:sz w:val="22"/>
          <w:szCs w:val="22"/>
          <w:lang w:val="de-DE"/>
        </w:rPr>
        <w:t xml:space="preserve"> and J. Äijö</w:t>
      </w:r>
      <w:r w:rsidR="001952AF" w:rsidRPr="00731796">
        <w:rPr>
          <w:rFonts w:ascii="Arial" w:hAnsi="Arial" w:cs="Arial"/>
          <w:sz w:val="22"/>
          <w:szCs w:val="22"/>
          <w:lang w:val="de-DE"/>
        </w:rPr>
        <w:t>.</w:t>
      </w:r>
      <w:r w:rsidRPr="00731796">
        <w:rPr>
          <w:rFonts w:ascii="Arial" w:hAnsi="Arial" w:cs="Arial"/>
          <w:sz w:val="22"/>
          <w:szCs w:val="22"/>
          <w:lang w:val="de-DE"/>
        </w:rPr>
        <w:t xml:space="preserve"> </w:t>
      </w:r>
      <w:r w:rsidR="001952AF" w:rsidRPr="00731796">
        <w:rPr>
          <w:rFonts w:ascii="Arial" w:hAnsi="Arial" w:cs="Arial"/>
          <w:sz w:val="22"/>
          <w:szCs w:val="22"/>
          <w:lang w:val="de-DE"/>
        </w:rPr>
        <w:t>2006</w:t>
      </w:r>
      <w:r w:rsidRPr="00731796">
        <w:rPr>
          <w:rFonts w:ascii="Arial" w:hAnsi="Arial" w:cs="Arial"/>
          <w:iCs/>
          <w:sz w:val="22"/>
          <w:szCs w:val="22"/>
          <w:lang w:val="de-DE"/>
        </w:rPr>
        <w:t xml:space="preserve">. </w:t>
      </w:r>
      <w:r w:rsidR="001952AF" w:rsidRPr="00A51255">
        <w:rPr>
          <w:rFonts w:ascii="Arial" w:hAnsi="Arial" w:cs="Arial"/>
          <w:iCs/>
          <w:sz w:val="22"/>
          <w:szCs w:val="22"/>
          <w:lang w:val="en-US"/>
        </w:rPr>
        <w:t>“</w:t>
      </w:r>
      <w:r w:rsidRPr="00A51255">
        <w:rPr>
          <w:rFonts w:ascii="Arial" w:hAnsi="Arial" w:cs="Arial"/>
          <w:bCs/>
          <w:sz w:val="22"/>
          <w:szCs w:val="22"/>
          <w:lang w:val="en-US"/>
        </w:rPr>
        <w:t xml:space="preserve">Global </w:t>
      </w:r>
      <w:r w:rsidRPr="00A51255">
        <w:rPr>
          <w:rStyle w:val="hit"/>
          <w:rFonts w:ascii="Arial" w:hAnsi="Arial" w:cs="Arial"/>
          <w:b w:val="0"/>
          <w:color w:val="auto"/>
          <w:sz w:val="22"/>
          <w:szCs w:val="22"/>
          <w:lang w:val="en-US"/>
        </w:rPr>
        <w:t>Stock Market</w:t>
      </w:r>
      <w:r w:rsidRPr="00A51255">
        <w:rPr>
          <w:rFonts w:ascii="Arial" w:hAnsi="Arial" w:cs="Arial"/>
          <w:bCs/>
          <w:sz w:val="22"/>
          <w:szCs w:val="22"/>
          <w:lang w:val="en-US"/>
        </w:rPr>
        <w:t xml:space="preserve"> Reactions to Scheduled U.S. Macroeconomic News Announcements</w:t>
      </w:r>
      <w:r w:rsidR="001952AF" w:rsidRPr="00A51255">
        <w:rPr>
          <w:rFonts w:ascii="Arial" w:hAnsi="Arial" w:cs="Arial"/>
          <w:bCs/>
          <w:sz w:val="22"/>
          <w:szCs w:val="22"/>
          <w:lang w:val="en-US"/>
        </w:rPr>
        <w:t>”</w:t>
      </w:r>
      <w:r w:rsidRPr="00A51255">
        <w:rPr>
          <w:rFonts w:ascii="Arial" w:hAnsi="Arial" w:cs="Arial"/>
          <w:bCs/>
          <w:sz w:val="22"/>
          <w:szCs w:val="22"/>
          <w:lang w:val="en-US"/>
        </w:rPr>
        <w:t>,</w:t>
      </w:r>
      <w:r w:rsidRPr="00A51255">
        <w:rPr>
          <w:rFonts w:ascii="Arial" w:hAnsi="Arial" w:cs="Arial"/>
          <w:b/>
          <w:bCs/>
          <w:sz w:val="22"/>
          <w:szCs w:val="22"/>
          <w:lang w:val="en-US"/>
        </w:rPr>
        <w:t xml:space="preserve"> </w:t>
      </w:r>
      <w:r w:rsidRPr="00A51255">
        <w:rPr>
          <w:rFonts w:ascii="Arial" w:hAnsi="Arial" w:cs="Arial"/>
          <w:i/>
          <w:iCs/>
          <w:sz w:val="22"/>
          <w:szCs w:val="22"/>
          <w:lang w:val="en-US"/>
        </w:rPr>
        <w:t>Global Finance Journal</w:t>
      </w:r>
      <w:r w:rsidRPr="00A51255">
        <w:rPr>
          <w:rFonts w:ascii="Arial" w:hAnsi="Arial" w:cs="Arial"/>
          <w:iCs/>
          <w:sz w:val="22"/>
          <w:szCs w:val="22"/>
          <w:lang w:val="en-US"/>
        </w:rPr>
        <w:t xml:space="preserve"> 17, 92</w:t>
      </w:r>
      <w:r w:rsidR="009F48D3" w:rsidRPr="00A51255">
        <w:rPr>
          <w:rFonts w:ascii="Arial" w:hAnsi="Arial" w:cs="Arial"/>
          <w:iCs/>
          <w:sz w:val="22"/>
          <w:szCs w:val="22"/>
          <w:lang w:val="en-US"/>
        </w:rPr>
        <w:t>–</w:t>
      </w:r>
      <w:r w:rsidRPr="00A51255">
        <w:rPr>
          <w:rFonts w:ascii="Arial" w:hAnsi="Arial" w:cs="Arial"/>
          <w:iCs/>
          <w:sz w:val="22"/>
          <w:szCs w:val="22"/>
          <w:lang w:val="en-US"/>
        </w:rPr>
        <w:t xml:space="preserve">104. </w:t>
      </w:r>
    </w:p>
    <w:p w:rsidR="00493F94" w:rsidRPr="00A51255" w:rsidRDefault="00493F94" w:rsidP="00BA0165">
      <w:pPr>
        <w:shd w:val="clear" w:color="auto" w:fill="FFFFFF"/>
        <w:jc w:val="both"/>
        <w:rPr>
          <w:rFonts w:ascii="Arial" w:hAnsi="Arial" w:cs="Arial"/>
          <w:sz w:val="22"/>
          <w:szCs w:val="22"/>
          <w:lang w:val="en-US"/>
        </w:rPr>
      </w:pPr>
    </w:p>
    <w:p w:rsidR="00BA0165" w:rsidRPr="00A51255" w:rsidRDefault="00BA0165" w:rsidP="00BA0165">
      <w:pPr>
        <w:shd w:val="clear" w:color="auto" w:fill="FFFFFF"/>
        <w:jc w:val="both"/>
        <w:rPr>
          <w:rFonts w:ascii="Arial" w:hAnsi="Arial" w:cs="Arial"/>
          <w:sz w:val="22"/>
          <w:szCs w:val="22"/>
          <w:lang w:val="en-US"/>
        </w:rPr>
      </w:pPr>
      <w:r w:rsidRPr="00A51255">
        <w:rPr>
          <w:rFonts w:ascii="Arial" w:hAnsi="Arial" w:cs="Arial"/>
          <w:sz w:val="22"/>
          <w:szCs w:val="22"/>
          <w:lang w:val="en-US"/>
        </w:rPr>
        <w:t xml:space="preserve">O’Hara, </w:t>
      </w:r>
      <w:r w:rsidR="00206535" w:rsidRPr="00A51255">
        <w:rPr>
          <w:rFonts w:ascii="Arial" w:hAnsi="Arial" w:cs="Arial"/>
          <w:sz w:val="22"/>
          <w:szCs w:val="22"/>
          <w:lang w:val="en-US"/>
        </w:rPr>
        <w:t xml:space="preserve">M. </w:t>
      </w:r>
      <w:r w:rsidR="006C3422" w:rsidRPr="00A51255">
        <w:rPr>
          <w:rFonts w:ascii="Arial" w:hAnsi="Arial" w:cs="Arial"/>
          <w:sz w:val="22"/>
          <w:szCs w:val="22"/>
          <w:lang w:val="en-US"/>
        </w:rPr>
        <w:t>1995.</w:t>
      </w:r>
      <w:r w:rsidR="00C174D3">
        <w:rPr>
          <w:rFonts w:ascii="Arial" w:hAnsi="Arial" w:cs="Arial"/>
          <w:sz w:val="22"/>
          <w:szCs w:val="22"/>
          <w:lang w:val="en-US"/>
        </w:rPr>
        <w:t xml:space="preserve"> </w:t>
      </w:r>
      <w:r w:rsidRPr="00A51255">
        <w:rPr>
          <w:rFonts w:ascii="Arial" w:hAnsi="Arial" w:cs="Arial"/>
          <w:sz w:val="22"/>
          <w:szCs w:val="22"/>
          <w:lang w:val="en-US"/>
        </w:rPr>
        <w:t xml:space="preserve">Market Microstructure Theory, </w:t>
      </w:r>
      <w:r w:rsidR="00C0229A" w:rsidRPr="00A51255">
        <w:rPr>
          <w:rFonts w:ascii="Arial" w:hAnsi="Arial" w:cs="Arial"/>
          <w:sz w:val="22"/>
          <w:szCs w:val="22"/>
          <w:lang w:val="en-US"/>
        </w:rPr>
        <w:t xml:space="preserve">Blackwell, </w:t>
      </w:r>
      <w:r w:rsidRPr="00A51255">
        <w:rPr>
          <w:rFonts w:ascii="Arial" w:hAnsi="Arial" w:cs="Arial"/>
          <w:sz w:val="22"/>
          <w:szCs w:val="22"/>
          <w:lang w:val="en-US"/>
        </w:rPr>
        <w:t>Cambridge</w:t>
      </w:r>
      <w:r w:rsidR="006C3422" w:rsidRPr="00A51255">
        <w:rPr>
          <w:rFonts w:ascii="Arial" w:hAnsi="Arial" w:cs="Arial"/>
          <w:sz w:val="22"/>
          <w:szCs w:val="22"/>
          <w:lang w:val="en-US"/>
        </w:rPr>
        <w:t>.</w:t>
      </w:r>
    </w:p>
    <w:p w:rsidR="00493F94" w:rsidRDefault="00493F94" w:rsidP="00BA0165">
      <w:pPr>
        <w:shd w:val="clear" w:color="auto" w:fill="FFFFFF"/>
        <w:jc w:val="both"/>
        <w:rPr>
          <w:rFonts w:ascii="Arial" w:hAnsi="Arial" w:cs="Arial"/>
          <w:sz w:val="22"/>
          <w:szCs w:val="22"/>
          <w:lang w:val="en-US"/>
        </w:rPr>
      </w:pPr>
    </w:p>
    <w:p w:rsidR="00454EC8" w:rsidRPr="005662DD" w:rsidRDefault="00454EC8" w:rsidP="00516901">
      <w:pPr>
        <w:jc w:val="both"/>
        <w:rPr>
          <w:rFonts w:ascii="Arial" w:hAnsi="Arial" w:cs="Arial"/>
          <w:sz w:val="22"/>
          <w:szCs w:val="22"/>
          <w:lang w:val="en-US"/>
        </w:rPr>
      </w:pPr>
      <w:r w:rsidRPr="005662DD">
        <w:rPr>
          <w:rFonts w:ascii="Arial" w:hAnsi="Arial" w:cs="Arial"/>
          <w:sz w:val="22"/>
          <w:szCs w:val="22"/>
          <w:lang w:val="en-US"/>
        </w:rPr>
        <w:t>Loiseau</w:t>
      </w:r>
      <w:r w:rsidR="00905CD7" w:rsidRPr="005662DD">
        <w:rPr>
          <w:rFonts w:ascii="Arial" w:hAnsi="Arial" w:cs="Arial"/>
          <w:sz w:val="22"/>
          <w:szCs w:val="22"/>
          <w:lang w:val="en-US"/>
        </w:rPr>
        <w:t>–</w:t>
      </w:r>
      <w:r w:rsidRPr="005662DD">
        <w:rPr>
          <w:rFonts w:ascii="Arial" w:hAnsi="Arial" w:cs="Arial"/>
          <w:sz w:val="22"/>
          <w:szCs w:val="22"/>
          <w:lang w:val="en-US"/>
        </w:rPr>
        <w:t>Aslanidi</w:t>
      </w:r>
      <w:r w:rsidR="00F9469C" w:rsidRPr="005662DD">
        <w:rPr>
          <w:rFonts w:ascii="Arial" w:hAnsi="Arial" w:cs="Arial"/>
          <w:sz w:val="22"/>
          <w:szCs w:val="22"/>
          <w:lang w:val="en-US"/>
        </w:rPr>
        <w:t>, O</w:t>
      </w:r>
      <w:r w:rsidRPr="005662DD">
        <w:rPr>
          <w:rFonts w:ascii="Arial" w:hAnsi="Arial" w:cs="Arial"/>
          <w:sz w:val="22"/>
          <w:szCs w:val="22"/>
          <w:lang w:val="en-US"/>
        </w:rPr>
        <w:t xml:space="preserve">. 2011. </w:t>
      </w:r>
      <w:r w:rsidR="00F9469C" w:rsidRPr="005662DD">
        <w:rPr>
          <w:rFonts w:ascii="Arial" w:hAnsi="Arial" w:cs="Arial"/>
          <w:sz w:val="22"/>
          <w:szCs w:val="22"/>
          <w:lang w:val="en-US"/>
        </w:rPr>
        <w:t>“</w:t>
      </w:r>
      <w:r w:rsidRPr="005662DD">
        <w:rPr>
          <w:rFonts w:ascii="Arial" w:hAnsi="Arial" w:cs="Arial"/>
          <w:sz w:val="22"/>
          <w:szCs w:val="22"/>
          <w:lang w:val="en-US"/>
        </w:rPr>
        <w:t>Determinants and Effectiveness of Foreign</w:t>
      </w:r>
      <w:r w:rsidR="00F9469C" w:rsidRPr="005662DD">
        <w:rPr>
          <w:rFonts w:ascii="Arial" w:hAnsi="Arial" w:cs="Arial"/>
          <w:sz w:val="22"/>
          <w:szCs w:val="22"/>
          <w:lang w:val="en-US"/>
        </w:rPr>
        <w:t xml:space="preserve"> </w:t>
      </w:r>
      <w:r w:rsidRPr="005662DD">
        <w:rPr>
          <w:rFonts w:ascii="Arial" w:hAnsi="Arial" w:cs="Arial"/>
          <w:sz w:val="22"/>
          <w:szCs w:val="22"/>
          <w:lang w:val="en-US"/>
        </w:rPr>
        <w:t>Exchange Market Intervention in Georgia</w:t>
      </w:r>
      <w:r w:rsidR="00F9469C" w:rsidRPr="005662DD">
        <w:rPr>
          <w:rFonts w:ascii="Arial" w:hAnsi="Arial" w:cs="Arial"/>
          <w:sz w:val="22"/>
          <w:szCs w:val="22"/>
          <w:lang w:val="en-US"/>
        </w:rPr>
        <w:t>”</w:t>
      </w:r>
      <w:r w:rsidRPr="005662DD">
        <w:rPr>
          <w:rFonts w:ascii="Arial" w:hAnsi="Arial" w:cs="Arial"/>
          <w:sz w:val="22"/>
          <w:szCs w:val="22"/>
          <w:lang w:val="en-US"/>
        </w:rPr>
        <w:t xml:space="preserve">, </w:t>
      </w:r>
      <w:r w:rsidR="00F9469C" w:rsidRPr="005662DD">
        <w:rPr>
          <w:rFonts w:ascii="Arial" w:hAnsi="Arial" w:cs="Arial"/>
          <w:i/>
          <w:sz w:val="22"/>
          <w:szCs w:val="22"/>
          <w:lang w:val="en-US"/>
        </w:rPr>
        <w:t>Emerging Markets Finance and</w:t>
      </w:r>
      <w:r w:rsidRPr="005662DD">
        <w:rPr>
          <w:rFonts w:ascii="Arial" w:hAnsi="Arial" w:cs="Arial"/>
          <w:i/>
          <w:sz w:val="22"/>
          <w:szCs w:val="22"/>
          <w:lang w:val="en-US"/>
        </w:rPr>
        <w:t xml:space="preserve"> Trade</w:t>
      </w:r>
      <w:r w:rsidR="00F9469C" w:rsidRPr="005662DD">
        <w:rPr>
          <w:rFonts w:ascii="Arial" w:hAnsi="Arial" w:cs="Arial"/>
          <w:sz w:val="22"/>
          <w:szCs w:val="22"/>
          <w:lang w:val="en-US"/>
        </w:rPr>
        <w:t xml:space="preserve"> 47</w:t>
      </w:r>
      <w:r w:rsidR="00516901" w:rsidRPr="005662DD">
        <w:rPr>
          <w:rFonts w:ascii="Arial" w:hAnsi="Arial" w:cs="Arial"/>
          <w:sz w:val="22"/>
          <w:szCs w:val="22"/>
          <w:lang w:val="en-US"/>
        </w:rPr>
        <w:t>,</w:t>
      </w:r>
      <w:r w:rsidR="00F9469C" w:rsidRPr="005662DD">
        <w:rPr>
          <w:rFonts w:ascii="Arial" w:hAnsi="Arial" w:cs="Arial"/>
          <w:sz w:val="22"/>
          <w:szCs w:val="22"/>
          <w:lang w:val="en-US"/>
        </w:rPr>
        <w:t xml:space="preserve"> </w:t>
      </w:r>
      <w:r w:rsidRPr="005662DD">
        <w:rPr>
          <w:rFonts w:ascii="Arial" w:hAnsi="Arial" w:cs="Arial"/>
          <w:sz w:val="22"/>
          <w:szCs w:val="22"/>
          <w:lang w:val="en-US"/>
        </w:rPr>
        <w:t>75–95.</w:t>
      </w:r>
    </w:p>
    <w:p w:rsidR="00454EC8" w:rsidRPr="00A51255" w:rsidRDefault="00454EC8" w:rsidP="00BA0165">
      <w:pPr>
        <w:shd w:val="clear" w:color="auto" w:fill="FFFFFF"/>
        <w:jc w:val="both"/>
        <w:rPr>
          <w:rFonts w:ascii="Arial" w:hAnsi="Arial" w:cs="Arial"/>
          <w:sz w:val="22"/>
          <w:szCs w:val="22"/>
          <w:lang w:val="en-US"/>
        </w:rPr>
      </w:pPr>
    </w:p>
    <w:p w:rsidR="00805BAE" w:rsidRPr="00805BAE" w:rsidRDefault="00805BAE" w:rsidP="004B3816">
      <w:pPr>
        <w:spacing w:after="240"/>
        <w:jc w:val="both"/>
        <w:rPr>
          <w:sz w:val="22"/>
          <w:szCs w:val="22"/>
          <w:lang w:val="en-US" w:eastAsia="en-US"/>
        </w:rPr>
      </w:pPr>
      <w:r w:rsidRPr="000E3558">
        <w:rPr>
          <w:rFonts w:ascii="Arial" w:hAnsi="Arial" w:cs="Arial"/>
          <w:sz w:val="22"/>
          <w:szCs w:val="22"/>
          <w:lang w:val="de-DE" w:eastAsia="en-US"/>
        </w:rPr>
        <w:t xml:space="preserve">Poghosyan, T., E. </w:t>
      </w:r>
      <w:r w:rsidR="004B3816" w:rsidRPr="000E3558">
        <w:rPr>
          <w:rFonts w:ascii="Arial" w:hAnsi="Arial" w:cs="Arial"/>
          <w:sz w:val="22"/>
          <w:szCs w:val="22"/>
          <w:lang w:val="de-DE" w:eastAsia="en-US"/>
        </w:rPr>
        <w:t>Kočenda and P. Zemčik.</w:t>
      </w:r>
      <w:r w:rsidRPr="000E3558">
        <w:rPr>
          <w:rFonts w:ascii="Arial" w:hAnsi="Arial" w:cs="Arial"/>
          <w:sz w:val="22"/>
          <w:szCs w:val="22"/>
          <w:lang w:val="de-DE" w:eastAsia="en-US"/>
        </w:rPr>
        <w:t xml:space="preserve"> </w:t>
      </w:r>
      <w:r w:rsidRPr="004B3816">
        <w:rPr>
          <w:rFonts w:ascii="Arial" w:hAnsi="Arial" w:cs="Arial"/>
          <w:sz w:val="22"/>
          <w:szCs w:val="22"/>
          <w:lang w:val="en-US" w:eastAsia="en-US"/>
        </w:rPr>
        <w:t>2008.</w:t>
      </w:r>
      <w:r w:rsidRPr="004B3816">
        <w:rPr>
          <w:rFonts w:ascii="Arial" w:hAnsi="Arial" w:cs="Arial"/>
          <w:bCs/>
          <w:sz w:val="22"/>
          <w:szCs w:val="22"/>
          <w:lang w:val="en-US" w:eastAsia="en-US"/>
        </w:rPr>
        <w:t xml:space="preserve"> “Modeling Foreign Exchange Risk Premium in Armenia”</w:t>
      </w:r>
      <w:r w:rsidR="004B3816" w:rsidRPr="004B3816">
        <w:rPr>
          <w:rFonts w:ascii="Arial" w:hAnsi="Arial" w:cs="Arial"/>
          <w:bCs/>
          <w:sz w:val="22"/>
          <w:szCs w:val="22"/>
          <w:lang w:val="en-US" w:eastAsia="en-US"/>
        </w:rPr>
        <w:t>,</w:t>
      </w:r>
      <w:r w:rsidRPr="005662DD">
        <w:rPr>
          <w:rFonts w:ascii="Arial" w:hAnsi="Arial" w:cs="Arial"/>
          <w:i/>
          <w:sz w:val="22"/>
          <w:szCs w:val="22"/>
          <w:lang w:val="en-US"/>
        </w:rPr>
        <w:t xml:space="preserve"> Emerging Markets Finance and Trade</w:t>
      </w:r>
      <w:r w:rsidRPr="005662DD">
        <w:rPr>
          <w:rFonts w:ascii="Arial" w:hAnsi="Arial" w:cs="Arial"/>
          <w:sz w:val="22"/>
          <w:szCs w:val="22"/>
          <w:lang w:val="en-US"/>
        </w:rPr>
        <w:t xml:space="preserve"> 44</w:t>
      </w:r>
      <w:r w:rsidR="004B3816" w:rsidRPr="005662DD">
        <w:rPr>
          <w:rFonts w:ascii="Arial" w:hAnsi="Arial" w:cs="Arial"/>
          <w:sz w:val="22"/>
          <w:szCs w:val="22"/>
          <w:lang w:val="en-US"/>
        </w:rPr>
        <w:t>,</w:t>
      </w:r>
      <w:r w:rsidRPr="005662DD">
        <w:rPr>
          <w:rFonts w:ascii="Arial" w:hAnsi="Arial" w:cs="Arial"/>
          <w:sz w:val="22"/>
          <w:szCs w:val="22"/>
          <w:lang w:val="en-US"/>
        </w:rPr>
        <w:t xml:space="preserve"> 41</w:t>
      </w:r>
      <w:r w:rsidR="00905CD7">
        <w:rPr>
          <w:rFonts w:ascii="Arial" w:hAnsi="Arial" w:cs="Arial"/>
          <w:sz w:val="22"/>
          <w:szCs w:val="22"/>
          <w:lang w:val="en-US"/>
        </w:rPr>
        <w:t>–</w:t>
      </w:r>
      <w:r w:rsidRPr="005662DD">
        <w:rPr>
          <w:rFonts w:ascii="Arial" w:hAnsi="Arial" w:cs="Arial"/>
          <w:sz w:val="22"/>
          <w:szCs w:val="22"/>
          <w:lang w:val="en-US"/>
        </w:rPr>
        <w:t>61.</w:t>
      </w:r>
    </w:p>
    <w:p w:rsidR="00493F94" w:rsidRPr="00A51255" w:rsidRDefault="00493F94" w:rsidP="00493F94">
      <w:pPr>
        <w:jc w:val="both"/>
        <w:rPr>
          <w:rFonts w:ascii="Arial" w:hAnsi="Arial" w:cs="Arial"/>
          <w:sz w:val="22"/>
          <w:szCs w:val="22"/>
          <w:lang w:val="en-US"/>
        </w:rPr>
      </w:pPr>
      <w:r w:rsidRPr="00A51255">
        <w:rPr>
          <w:rFonts w:ascii="Arial" w:hAnsi="Arial" w:cs="Arial"/>
          <w:sz w:val="22"/>
          <w:szCs w:val="22"/>
          <w:lang w:val="en-US"/>
        </w:rPr>
        <w:t>Robitaille, P. and J. Roush</w:t>
      </w:r>
      <w:r w:rsidR="001952AF" w:rsidRPr="00A51255">
        <w:rPr>
          <w:rFonts w:ascii="Arial" w:hAnsi="Arial" w:cs="Arial"/>
          <w:sz w:val="22"/>
          <w:szCs w:val="22"/>
          <w:lang w:val="en-US"/>
        </w:rPr>
        <w:t xml:space="preserve">. </w:t>
      </w:r>
      <w:r w:rsidRPr="00A51255">
        <w:rPr>
          <w:rFonts w:ascii="Arial" w:hAnsi="Arial" w:cs="Arial"/>
          <w:sz w:val="22"/>
          <w:szCs w:val="22"/>
          <w:lang w:val="en-US"/>
        </w:rPr>
        <w:t xml:space="preserve">2006. </w:t>
      </w:r>
      <w:r w:rsidR="001952AF" w:rsidRPr="00A51255">
        <w:rPr>
          <w:rFonts w:ascii="Arial" w:hAnsi="Arial" w:cs="Arial"/>
          <w:sz w:val="22"/>
          <w:szCs w:val="22"/>
          <w:lang w:val="en-US"/>
        </w:rPr>
        <w:t>“</w:t>
      </w:r>
      <w:r w:rsidRPr="00A51255">
        <w:rPr>
          <w:rFonts w:ascii="Arial" w:hAnsi="Arial" w:cs="Arial"/>
          <w:sz w:val="22"/>
          <w:szCs w:val="22"/>
          <w:lang w:val="en-US"/>
        </w:rPr>
        <w:t>How Do FOMC Actions and U.S. Macroeconomic Data Announcements Move Brazilian Sovereign Yield Spreads and Stock Prices?</w:t>
      </w:r>
      <w:r w:rsidR="001952AF" w:rsidRPr="00A51255">
        <w:rPr>
          <w:rFonts w:ascii="Arial" w:hAnsi="Arial" w:cs="Arial"/>
          <w:sz w:val="22"/>
          <w:szCs w:val="22"/>
          <w:lang w:val="en-US"/>
        </w:rPr>
        <w:t>”</w:t>
      </w:r>
      <w:r w:rsidRPr="00A51255">
        <w:rPr>
          <w:rFonts w:ascii="Arial" w:hAnsi="Arial" w:cs="Arial"/>
          <w:sz w:val="22"/>
          <w:szCs w:val="22"/>
          <w:lang w:val="en-US"/>
        </w:rPr>
        <w:t xml:space="preserve">, International Finance Discussion Papers No. 868, </w:t>
      </w:r>
      <w:r w:rsidR="00CA78D0" w:rsidRPr="00A51255">
        <w:rPr>
          <w:rFonts w:ascii="Arial" w:hAnsi="Arial" w:cs="Arial"/>
          <w:sz w:val="22"/>
          <w:szCs w:val="22"/>
          <w:lang w:val="en-US"/>
        </w:rPr>
        <w:t>Federal</w:t>
      </w:r>
      <w:r w:rsidRPr="00A51255">
        <w:rPr>
          <w:rFonts w:ascii="Arial" w:hAnsi="Arial" w:cs="Arial"/>
          <w:sz w:val="22"/>
          <w:szCs w:val="22"/>
          <w:lang w:val="en-US"/>
        </w:rPr>
        <w:t xml:space="preserve"> Reserve Board, Washington D.C</w:t>
      </w:r>
      <w:r w:rsidR="008E4F64" w:rsidRPr="00A51255">
        <w:rPr>
          <w:rFonts w:ascii="Arial" w:hAnsi="Arial" w:cs="Arial"/>
          <w:sz w:val="22"/>
          <w:szCs w:val="22"/>
          <w:lang w:val="en-US"/>
        </w:rPr>
        <w:t>.</w:t>
      </w:r>
    </w:p>
    <w:p w:rsidR="00493F94" w:rsidRPr="00A51255" w:rsidRDefault="00493F94" w:rsidP="00493F94">
      <w:pPr>
        <w:jc w:val="both"/>
        <w:rPr>
          <w:rFonts w:ascii="Arial" w:hAnsi="Arial" w:cs="Arial"/>
          <w:sz w:val="22"/>
          <w:szCs w:val="22"/>
          <w:lang w:val="en-US"/>
        </w:rPr>
      </w:pPr>
    </w:p>
    <w:p w:rsidR="00493F94" w:rsidRPr="00A51255" w:rsidRDefault="00493F94" w:rsidP="00493F94">
      <w:pPr>
        <w:jc w:val="both"/>
        <w:rPr>
          <w:rFonts w:ascii="Arial" w:hAnsi="Arial" w:cs="Arial"/>
          <w:sz w:val="22"/>
          <w:szCs w:val="22"/>
          <w:lang w:val="en-US"/>
        </w:rPr>
      </w:pPr>
      <w:r w:rsidRPr="00A51255">
        <w:rPr>
          <w:rFonts w:ascii="Arial" w:hAnsi="Arial" w:cs="Arial"/>
          <w:sz w:val="22"/>
          <w:szCs w:val="22"/>
        </w:rPr>
        <w:t>Rozkrut, M</w:t>
      </w:r>
      <w:r w:rsidR="00CD68A1" w:rsidRPr="00A51255">
        <w:rPr>
          <w:rFonts w:ascii="Arial" w:hAnsi="Arial" w:cs="Arial"/>
          <w:sz w:val="22"/>
          <w:szCs w:val="22"/>
        </w:rPr>
        <w:t>,</w:t>
      </w:r>
      <w:r w:rsidRPr="00A51255">
        <w:rPr>
          <w:rFonts w:ascii="Arial" w:hAnsi="Arial" w:cs="Arial"/>
          <w:sz w:val="22"/>
          <w:szCs w:val="22"/>
        </w:rPr>
        <w:t xml:space="preserve"> K. Rybinski, L. Sztaba, and R. Szwaja</w:t>
      </w:r>
      <w:r w:rsidR="001952AF" w:rsidRPr="00A51255">
        <w:rPr>
          <w:rFonts w:ascii="Arial" w:hAnsi="Arial" w:cs="Arial"/>
          <w:sz w:val="22"/>
          <w:szCs w:val="22"/>
        </w:rPr>
        <w:t xml:space="preserve">. </w:t>
      </w:r>
      <w:r w:rsidR="001952AF" w:rsidRPr="00A51255">
        <w:rPr>
          <w:rFonts w:ascii="Arial" w:hAnsi="Arial" w:cs="Arial"/>
          <w:sz w:val="22"/>
          <w:szCs w:val="22"/>
          <w:lang w:val="en-US"/>
        </w:rPr>
        <w:t>2007</w:t>
      </w:r>
      <w:r w:rsidRPr="00A51255">
        <w:rPr>
          <w:rFonts w:ascii="Arial" w:hAnsi="Arial" w:cs="Arial"/>
          <w:sz w:val="22"/>
          <w:szCs w:val="22"/>
          <w:lang w:val="en-US"/>
        </w:rPr>
        <w:t xml:space="preserve">. </w:t>
      </w:r>
      <w:r w:rsidR="001952AF" w:rsidRPr="00A51255">
        <w:rPr>
          <w:rFonts w:ascii="Arial" w:hAnsi="Arial" w:cs="Arial"/>
          <w:sz w:val="22"/>
          <w:szCs w:val="22"/>
          <w:lang w:val="en-US"/>
        </w:rPr>
        <w:t>“</w:t>
      </w:r>
      <w:r w:rsidRPr="00A51255">
        <w:rPr>
          <w:rFonts w:ascii="Arial" w:hAnsi="Arial" w:cs="Arial"/>
          <w:sz w:val="22"/>
          <w:szCs w:val="22"/>
          <w:lang w:val="en-US"/>
        </w:rPr>
        <w:t xml:space="preserve">Quest for Central Bank Communication: Does it Pay to Be </w:t>
      </w:r>
      <w:r w:rsidR="00EC2ED9" w:rsidRPr="00A51255">
        <w:rPr>
          <w:rFonts w:ascii="Arial" w:hAnsi="Arial" w:cs="Arial"/>
          <w:sz w:val="22"/>
          <w:szCs w:val="22"/>
          <w:lang w:val="en-US"/>
        </w:rPr>
        <w:t>‘Talkative’</w:t>
      </w:r>
      <w:r w:rsidRPr="00A51255">
        <w:rPr>
          <w:rFonts w:ascii="Arial" w:hAnsi="Arial" w:cs="Arial"/>
          <w:sz w:val="22"/>
          <w:szCs w:val="22"/>
          <w:lang w:val="en-US"/>
        </w:rPr>
        <w:t>?</w:t>
      </w:r>
      <w:r w:rsidR="001952AF" w:rsidRPr="00A51255">
        <w:rPr>
          <w:rFonts w:ascii="Arial" w:hAnsi="Arial" w:cs="Arial"/>
          <w:sz w:val="22"/>
          <w:szCs w:val="22"/>
          <w:lang w:val="en-US"/>
        </w:rPr>
        <w:t>”</w:t>
      </w:r>
      <w:r w:rsidR="004B3816">
        <w:rPr>
          <w:rFonts w:ascii="Arial" w:hAnsi="Arial" w:cs="Arial"/>
          <w:sz w:val="22"/>
          <w:szCs w:val="22"/>
          <w:lang w:val="en-US"/>
        </w:rPr>
        <w:t>,</w:t>
      </w:r>
      <w:r w:rsidRPr="00A51255">
        <w:rPr>
          <w:rFonts w:ascii="Arial" w:hAnsi="Arial" w:cs="Arial"/>
          <w:sz w:val="22"/>
          <w:szCs w:val="22"/>
          <w:lang w:val="en-US"/>
        </w:rPr>
        <w:t xml:space="preserve"> </w:t>
      </w:r>
      <w:r w:rsidRPr="00A51255">
        <w:rPr>
          <w:rFonts w:ascii="Arial" w:hAnsi="Arial" w:cs="Arial"/>
          <w:i/>
          <w:sz w:val="22"/>
          <w:szCs w:val="22"/>
          <w:lang w:val="en-US"/>
        </w:rPr>
        <w:t xml:space="preserve">European Journal of Political Economy </w:t>
      </w:r>
      <w:r w:rsidRPr="00A51255">
        <w:rPr>
          <w:rFonts w:ascii="Arial" w:hAnsi="Arial" w:cs="Arial"/>
          <w:sz w:val="22"/>
          <w:szCs w:val="22"/>
          <w:lang w:val="en-US"/>
        </w:rPr>
        <w:t>23, 176</w:t>
      </w:r>
      <w:r w:rsidR="009F48D3" w:rsidRPr="00A51255">
        <w:rPr>
          <w:rFonts w:ascii="Arial" w:hAnsi="Arial" w:cs="Arial"/>
          <w:sz w:val="22"/>
          <w:szCs w:val="22"/>
          <w:lang w:val="en-US"/>
        </w:rPr>
        <w:t>–</w:t>
      </w:r>
      <w:r w:rsidRPr="00A51255">
        <w:rPr>
          <w:rFonts w:ascii="Arial" w:hAnsi="Arial" w:cs="Arial"/>
          <w:sz w:val="22"/>
          <w:szCs w:val="22"/>
          <w:lang w:val="en-US"/>
        </w:rPr>
        <w:t>206.</w:t>
      </w:r>
    </w:p>
    <w:p w:rsidR="00FD134B" w:rsidRPr="00A51255" w:rsidRDefault="00FD134B" w:rsidP="00493F94">
      <w:pPr>
        <w:jc w:val="both"/>
        <w:rPr>
          <w:rFonts w:ascii="Arial" w:hAnsi="Arial" w:cs="Arial"/>
          <w:sz w:val="22"/>
          <w:szCs w:val="22"/>
          <w:lang w:val="en-US"/>
        </w:rPr>
      </w:pPr>
    </w:p>
    <w:p w:rsidR="008C5210" w:rsidRPr="00A51255" w:rsidRDefault="008C5210" w:rsidP="008C5210">
      <w:pPr>
        <w:jc w:val="both"/>
        <w:rPr>
          <w:rFonts w:ascii="Arial" w:hAnsi="Arial" w:cs="Arial"/>
          <w:sz w:val="22"/>
          <w:szCs w:val="22"/>
          <w:lang w:val="en-US"/>
        </w:rPr>
      </w:pPr>
      <w:r w:rsidRPr="00A51255">
        <w:rPr>
          <w:rFonts w:ascii="Arial" w:hAnsi="Arial" w:cs="Arial"/>
          <w:sz w:val="22"/>
          <w:szCs w:val="22"/>
          <w:lang w:val="en-US"/>
        </w:rPr>
        <w:t xml:space="preserve">Sager, M.J. and M.P. Taylor. 2004. “The Impact of European Central Bank Governing Council Announcements on the Foreign Exchange Market: A Microstructural Analysis”, </w:t>
      </w:r>
      <w:r w:rsidRPr="00A51255">
        <w:rPr>
          <w:rFonts w:ascii="Arial" w:hAnsi="Arial" w:cs="Arial"/>
          <w:i/>
          <w:sz w:val="22"/>
          <w:szCs w:val="22"/>
          <w:lang w:val="en-US"/>
        </w:rPr>
        <w:t>Journal of International Money and Finance</w:t>
      </w:r>
      <w:r w:rsidRPr="00A51255">
        <w:rPr>
          <w:rFonts w:ascii="Arial" w:hAnsi="Arial" w:cs="Arial"/>
          <w:sz w:val="22"/>
          <w:szCs w:val="22"/>
          <w:lang w:val="en-US"/>
        </w:rPr>
        <w:t xml:space="preserve"> </w:t>
      </w:r>
      <w:r w:rsidR="00AA1D50" w:rsidRPr="00A51255">
        <w:rPr>
          <w:rFonts w:ascii="Arial" w:hAnsi="Arial" w:cs="Arial"/>
          <w:sz w:val="22"/>
          <w:szCs w:val="22"/>
          <w:lang w:val="en-US"/>
        </w:rPr>
        <w:t>23</w:t>
      </w:r>
      <w:r w:rsidRPr="00A51255">
        <w:rPr>
          <w:rFonts w:ascii="Arial" w:hAnsi="Arial" w:cs="Arial"/>
          <w:sz w:val="22"/>
          <w:szCs w:val="22"/>
          <w:lang w:val="en-US"/>
        </w:rPr>
        <w:t>, 1043</w:t>
      </w:r>
      <w:r w:rsidR="00905CD7">
        <w:rPr>
          <w:rFonts w:ascii="Arial" w:hAnsi="Arial" w:cs="Arial"/>
          <w:sz w:val="22"/>
          <w:szCs w:val="22"/>
          <w:lang w:val="en-US"/>
        </w:rPr>
        <w:t>–</w:t>
      </w:r>
      <w:r w:rsidRPr="00A51255">
        <w:rPr>
          <w:rFonts w:ascii="Arial" w:hAnsi="Arial" w:cs="Arial"/>
          <w:sz w:val="22"/>
          <w:szCs w:val="22"/>
          <w:lang w:val="en-US"/>
        </w:rPr>
        <w:t>1051.</w:t>
      </w:r>
    </w:p>
    <w:p w:rsidR="00493F94" w:rsidRPr="00A51255" w:rsidRDefault="00493F94" w:rsidP="00BA0165">
      <w:pPr>
        <w:shd w:val="clear" w:color="auto" w:fill="FFFFFF"/>
        <w:jc w:val="both"/>
        <w:rPr>
          <w:rFonts w:ascii="Arial" w:hAnsi="Arial" w:cs="Arial"/>
          <w:sz w:val="22"/>
          <w:szCs w:val="22"/>
          <w:lang w:val="en-US"/>
        </w:rPr>
      </w:pPr>
    </w:p>
    <w:p w:rsidR="00C30B75" w:rsidRPr="00A51255" w:rsidRDefault="00493F94" w:rsidP="00493F94">
      <w:pPr>
        <w:jc w:val="both"/>
        <w:rPr>
          <w:rFonts w:ascii="Arial" w:hAnsi="Arial" w:cs="Arial"/>
          <w:sz w:val="22"/>
          <w:szCs w:val="22"/>
          <w:lang w:val="en-US"/>
        </w:rPr>
      </w:pPr>
      <w:r w:rsidRPr="00A51255">
        <w:rPr>
          <w:rFonts w:ascii="Arial" w:hAnsi="Arial" w:cs="Arial"/>
          <w:sz w:val="22"/>
          <w:szCs w:val="22"/>
          <w:lang w:val="en-US"/>
        </w:rPr>
        <w:t xml:space="preserve">Serwa, D. </w:t>
      </w:r>
      <w:r w:rsidR="001952AF" w:rsidRPr="00A51255">
        <w:rPr>
          <w:rFonts w:ascii="Arial" w:hAnsi="Arial" w:cs="Arial"/>
          <w:sz w:val="22"/>
          <w:szCs w:val="22"/>
          <w:lang w:val="en-US"/>
        </w:rPr>
        <w:t>2006</w:t>
      </w:r>
      <w:r w:rsidRPr="00A51255">
        <w:rPr>
          <w:rFonts w:ascii="Arial" w:hAnsi="Arial" w:cs="Arial"/>
          <w:sz w:val="22"/>
          <w:szCs w:val="22"/>
          <w:lang w:val="en-US"/>
        </w:rPr>
        <w:t xml:space="preserve">. </w:t>
      </w:r>
      <w:r w:rsidR="001952AF" w:rsidRPr="00A51255">
        <w:rPr>
          <w:rFonts w:ascii="Arial" w:hAnsi="Arial" w:cs="Arial"/>
          <w:sz w:val="22"/>
          <w:szCs w:val="22"/>
          <w:lang w:val="en-US"/>
        </w:rPr>
        <w:t>“</w:t>
      </w:r>
      <w:r w:rsidRPr="00A51255">
        <w:rPr>
          <w:rFonts w:ascii="Arial" w:hAnsi="Arial" w:cs="Arial"/>
          <w:sz w:val="22"/>
          <w:szCs w:val="22"/>
          <w:lang w:val="en-US"/>
        </w:rPr>
        <w:t>Do Emerging Financial Markets React to Monetary Policy Announcements? Evidence from Poland</w:t>
      </w:r>
      <w:r w:rsidR="001952AF" w:rsidRPr="00A51255">
        <w:rPr>
          <w:rFonts w:ascii="Arial" w:hAnsi="Arial" w:cs="Arial"/>
          <w:sz w:val="22"/>
          <w:szCs w:val="22"/>
          <w:lang w:val="en-US"/>
        </w:rPr>
        <w:t>”</w:t>
      </w:r>
      <w:r w:rsidRPr="00A51255">
        <w:rPr>
          <w:rFonts w:ascii="Arial" w:hAnsi="Arial" w:cs="Arial"/>
          <w:sz w:val="22"/>
          <w:szCs w:val="22"/>
          <w:lang w:val="en-US"/>
        </w:rPr>
        <w:t xml:space="preserve">, </w:t>
      </w:r>
      <w:r w:rsidRPr="00A51255">
        <w:rPr>
          <w:rFonts w:ascii="Arial" w:hAnsi="Arial" w:cs="Arial"/>
          <w:i/>
          <w:sz w:val="22"/>
          <w:szCs w:val="22"/>
          <w:lang w:val="en-US"/>
        </w:rPr>
        <w:t>Applied Financial Economics</w:t>
      </w:r>
      <w:r w:rsidRPr="00A51255">
        <w:rPr>
          <w:rFonts w:ascii="Arial" w:hAnsi="Arial" w:cs="Arial"/>
          <w:sz w:val="22"/>
          <w:szCs w:val="22"/>
          <w:lang w:val="en-US"/>
        </w:rPr>
        <w:t xml:space="preserve"> 16, 513</w:t>
      </w:r>
      <w:r w:rsidR="009F48D3" w:rsidRPr="00A51255">
        <w:rPr>
          <w:rFonts w:ascii="Arial" w:hAnsi="Arial" w:cs="Arial"/>
          <w:sz w:val="22"/>
          <w:szCs w:val="22"/>
          <w:lang w:val="en-US"/>
        </w:rPr>
        <w:t>–</w:t>
      </w:r>
      <w:r w:rsidRPr="00A51255">
        <w:rPr>
          <w:rFonts w:ascii="Arial" w:hAnsi="Arial" w:cs="Arial"/>
          <w:sz w:val="22"/>
          <w:szCs w:val="22"/>
          <w:lang w:val="en-US"/>
        </w:rPr>
        <w:t>523.</w:t>
      </w:r>
    </w:p>
    <w:p w:rsidR="00493F94" w:rsidRPr="00A51255" w:rsidRDefault="00493F94" w:rsidP="00493F94">
      <w:pPr>
        <w:jc w:val="both"/>
        <w:rPr>
          <w:rFonts w:ascii="Arial" w:hAnsi="Arial" w:cs="Arial"/>
          <w:sz w:val="22"/>
          <w:szCs w:val="22"/>
          <w:lang w:val="en-US"/>
        </w:rPr>
      </w:pPr>
    </w:p>
    <w:p w:rsidR="00BA0165" w:rsidRPr="00A51255" w:rsidRDefault="00C30B75" w:rsidP="00493F94">
      <w:pPr>
        <w:shd w:val="clear" w:color="auto" w:fill="FFFFFF"/>
        <w:jc w:val="both"/>
        <w:rPr>
          <w:rFonts w:ascii="Arial" w:hAnsi="Arial" w:cs="Arial"/>
          <w:sz w:val="22"/>
          <w:szCs w:val="22"/>
          <w:lang w:val="en-US"/>
        </w:rPr>
      </w:pPr>
      <w:r w:rsidRPr="00A51255">
        <w:rPr>
          <w:rFonts w:ascii="Arial" w:hAnsi="Arial" w:cs="Arial"/>
          <w:sz w:val="22"/>
          <w:szCs w:val="22"/>
          <w:lang w:val="en-US"/>
        </w:rPr>
        <w:t>Tauchen, G. and M. Pitts</w:t>
      </w:r>
      <w:r w:rsidR="001952AF" w:rsidRPr="00A51255">
        <w:rPr>
          <w:rFonts w:ascii="Arial" w:hAnsi="Arial" w:cs="Arial"/>
          <w:sz w:val="22"/>
          <w:szCs w:val="22"/>
          <w:lang w:val="en-US"/>
        </w:rPr>
        <w:t>. 1983.</w:t>
      </w:r>
      <w:r w:rsidRPr="00A51255">
        <w:rPr>
          <w:rFonts w:ascii="Arial" w:hAnsi="Arial" w:cs="Arial"/>
          <w:sz w:val="22"/>
          <w:szCs w:val="22"/>
          <w:lang w:val="en-US"/>
        </w:rPr>
        <w:t xml:space="preserve"> </w:t>
      </w:r>
      <w:r w:rsidR="001952AF" w:rsidRPr="00A51255">
        <w:rPr>
          <w:rFonts w:ascii="Arial" w:hAnsi="Arial" w:cs="Arial"/>
          <w:sz w:val="22"/>
          <w:szCs w:val="22"/>
          <w:lang w:val="en-US"/>
        </w:rPr>
        <w:t>“</w:t>
      </w:r>
      <w:r w:rsidRPr="00A51255">
        <w:rPr>
          <w:rFonts w:ascii="Arial" w:hAnsi="Arial" w:cs="Arial"/>
          <w:sz w:val="22"/>
          <w:szCs w:val="22"/>
          <w:lang w:val="en-US"/>
        </w:rPr>
        <w:t>The Price Variability-Volume Relationship on Speculative Markets</w:t>
      </w:r>
      <w:r w:rsidR="001952AF" w:rsidRPr="00A51255">
        <w:rPr>
          <w:rFonts w:ascii="Arial" w:hAnsi="Arial" w:cs="Arial"/>
          <w:sz w:val="22"/>
          <w:szCs w:val="22"/>
          <w:lang w:val="en-US"/>
        </w:rPr>
        <w:t>”</w:t>
      </w:r>
      <w:r w:rsidRPr="00A51255">
        <w:rPr>
          <w:rFonts w:ascii="Arial" w:hAnsi="Arial" w:cs="Arial"/>
          <w:sz w:val="22"/>
          <w:szCs w:val="22"/>
          <w:lang w:val="en-US"/>
        </w:rPr>
        <w:t xml:space="preserve">, </w:t>
      </w:r>
      <w:r w:rsidRPr="00A51255">
        <w:rPr>
          <w:rFonts w:ascii="Arial" w:hAnsi="Arial" w:cs="Arial"/>
          <w:i/>
          <w:sz w:val="22"/>
          <w:szCs w:val="22"/>
          <w:lang w:val="en-US"/>
        </w:rPr>
        <w:t>Econometrica</w:t>
      </w:r>
      <w:r w:rsidRPr="00A51255">
        <w:rPr>
          <w:rFonts w:ascii="Arial" w:hAnsi="Arial" w:cs="Arial"/>
          <w:sz w:val="22"/>
          <w:szCs w:val="22"/>
          <w:lang w:val="en-US"/>
        </w:rPr>
        <w:t xml:space="preserve"> 51 485</w:t>
      </w:r>
      <w:r w:rsidR="009F48D3" w:rsidRPr="00A51255">
        <w:rPr>
          <w:rFonts w:ascii="Arial" w:hAnsi="Arial" w:cs="Arial"/>
          <w:sz w:val="22"/>
          <w:szCs w:val="22"/>
          <w:lang w:val="en-US"/>
        </w:rPr>
        <w:t>–</w:t>
      </w:r>
      <w:r w:rsidRPr="00A51255">
        <w:rPr>
          <w:rFonts w:ascii="Arial" w:hAnsi="Arial" w:cs="Arial"/>
          <w:sz w:val="22"/>
          <w:szCs w:val="22"/>
          <w:lang w:val="en-US"/>
        </w:rPr>
        <w:t>505.</w:t>
      </w:r>
    </w:p>
    <w:p w:rsidR="00493F94" w:rsidRPr="00A51255" w:rsidRDefault="00493F94" w:rsidP="00FB1370">
      <w:pPr>
        <w:shd w:val="clear" w:color="auto" w:fill="FFFFFF"/>
        <w:jc w:val="both"/>
        <w:rPr>
          <w:rFonts w:ascii="Arial" w:hAnsi="Arial" w:cs="Arial"/>
          <w:sz w:val="22"/>
          <w:szCs w:val="22"/>
          <w:lang w:val="en-US"/>
        </w:rPr>
      </w:pPr>
    </w:p>
    <w:p w:rsidR="005346C1" w:rsidRPr="00A51255" w:rsidRDefault="005346C1" w:rsidP="00FB1370">
      <w:pPr>
        <w:jc w:val="both"/>
        <w:rPr>
          <w:rFonts w:ascii="Arial" w:hAnsi="Arial" w:cs="Arial"/>
          <w:sz w:val="22"/>
          <w:szCs w:val="22"/>
          <w:lang w:val="en-US"/>
        </w:rPr>
      </w:pPr>
      <w:r w:rsidRPr="00A51255">
        <w:rPr>
          <w:rFonts w:ascii="Arial" w:hAnsi="Arial" w:cs="Arial"/>
          <w:sz w:val="22"/>
          <w:szCs w:val="22"/>
          <w:lang w:val="en-US"/>
        </w:rPr>
        <w:t xml:space="preserve">Triennial Central Bank Survey. Foreign Exchange and Derivatives Market Activity in 2004, Bank for International Settlements, Basel, </w:t>
      </w:r>
      <w:r w:rsidR="00360FFA" w:rsidRPr="00A51255">
        <w:rPr>
          <w:rFonts w:ascii="Arial" w:hAnsi="Arial" w:cs="Arial"/>
          <w:sz w:val="22"/>
          <w:szCs w:val="22"/>
          <w:lang w:val="en-US"/>
        </w:rPr>
        <w:t xml:space="preserve">March </w:t>
      </w:r>
      <w:r w:rsidRPr="00A51255">
        <w:rPr>
          <w:rFonts w:ascii="Arial" w:hAnsi="Arial" w:cs="Arial"/>
          <w:sz w:val="22"/>
          <w:szCs w:val="22"/>
          <w:lang w:val="en-US"/>
        </w:rPr>
        <w:t>2005.</w:t>
      </w:r>
    </w:p>
    <w:p w:rsidR="005346C1" w:rsidRPr="00A51255" w:rsidRDefault="005346C1" w:rsidP="00FB1370">
      <w:pPr>
        <w:shd w:val="clear" w:color="auto" w:fill="FFFFFF"/>
        <w:jc w:val="both"/>
        <w:rPr>
          <w:rFonts w:ascii="Arial" w:hAnsi="Arial" w:cs="Arial"/>
          <w:sz w:val="22"/>
          <w:szCs w:val="22"/>
          <w:lang w:val="en-US"/>
        </w:rPr>
      </w:pPr>
    </w:p>
    <w:p w:rsidR="00493F94" w:rsidRDefault="00D71779" w:rsidP="00FB1370">
      <w:pPr>
        <w:jc w:val="both"/>
        <w:rPr>
          <w:rFonts w:ascii="Arial" w:hAnsi="Arial" w:cs="Arial"/>
          <w:sz w:val="22"/>
          <w:szCs w:val="22"/>
          <w:lang w:val="en-US"/>
        </w:rPr>
      </w:pPr>
      <w:r w:rsidRPr="00A51255">
        <w:rPr>
          <w:rFonts w:ascii="Arial" w:hAnsi="Arial" w:cs="Arial"/>
          <w:sz w:val="22"/>
          <w:szCs w:val="22"/>
          <w:lang w:val="en-US"/>
        </w:rPr>
        <w:t>Triennial</w:t>
      </w:r>
      <w:r w:rsidR="008C5F5A" w:rsidRPr="00A51255">
        <w:rPr>
          <w:rFonts w:ascii="Arial" w:hAnsi="Arial" w:cs="Arial"/>
          <w:sz w:val="22"/>
          <w:szCs w:val="22"/>
          <w:lang w:val="en-US"/>
        </w:rPr>
        <w:t xml:space="preserve"> </w:t>
      </w:r>
      <w:r w:rsidRPr="00A51255">
        <w:rPr>
          <w:rFonts w:ascii="Arial" w:hAnsi="Arial" w:cs="Arial"/>
          <w:sz w:val="22"/>
          <w:szCs w:val="22"/>
          <w:lang w:val="en-US"/>
        </w:rPr>
        <w:t>Central Bank Survey. Report on Global Foreign Exchange Market Activity in 2010</w:t>
      </w:r>
      <w:r w:rsidR="00493F94" w:rsidRPr="00A51255">
        <w:rPr>
          <w:rFonts w:ascii="Arial" w:hAnsi="Arial" w:cs="Arial"/>
          <w:sz w:val="22"/>
          <w:szCs w:val="22"/>
          <w:lang w:val="en-US"/>
        </w:rPr>
        <w:t xml:space="preserve">, Bank for International Settlements, Basel, </w:t>
      </w:r>
      <w:r w:rsidR="008C5F5A" w:rsidRPr="00A51255">
        <w:rPr>
          <w:rFonts w:ascii="Arial" w:hAnsi="Arial" w:cs="Arial"/>
          <w:sz w:val="22"/>
          <w:szCs w:val="22"/>
          <w:lang w:val="en-US"/>
        </w:rPr>
        <w:t xml:space="preserve">December </w:t>
      </w:r>
      <w:r w:rsidR="00493F94" w:rsidRPr="00A51255">
        <w:rPr>
          <w:rFonts w:ascii="Arial" w:hAnsi="Arial" w:cs="Arial"/>
          <w:sz w:val="22"/>
          <w:szCs w:val="22"/>
          <w:lang w:val="en-US"/>
        </w:rPr>
        <w:t>2010.</w:t>
      </w:r>
    </w:p>
    <w:p w:rsidR="0086496E" w:rsidRDefault="0086496E" w:rsidP="00FB1370">
      <w:pPr>
        <w:jc w:val="both"/>
        <w:rPr>
          <w:rFonts w:ascii="Arial" w:hAnsi="Arial" w:cs="Arial"/>
          <w:sz w:val="22"/>
          <w:szCs w:val="22"/>
          <w:lang w:val="en-US"/>
        </w:rPr>
      </w:pPr>
    </w:p>
    <w:p w:rsidR="0086496E" w:rsidRDefault="0086496E" w:rsidP="0061297C">
      <w:pPr>
        <w:jc w:val="both"/>
        <w:rPr>
          <w:rFonts w:ascii="Arial" w:hAnsi="Arial" w:cs="Arial"/>
          <w:sz w:val="22"/>
          <w:szCs w:val="22"/>
          <w:lang w:val="en-US"/>
        </w:rPr>
      </w:pPr>
      <w:r w:rsidRPr="003C0B00">
        <w:rPr>
          <w:rFonts w:ascii="Arial" w:hAnsi="Arial" w:cs="Arial"/>
          <w:sz w:val="22"/>
          <w:szCs w:val="22"/>
          <w:lang w:val="en-US"/>
        </w:rPr>
        <w:t xml:space="preserve">Triennial Central Bank Survey. </w:t>
      </w:r>
      <w:r w:rsidR="0061297C" w:rsidRPr="003C0B00">
        <w:rPr>
          <w:rFonts w:ascii="Arial" w:hAnsi="Arial" w:cs="Arial"/>
          <w:sz w:val="22"/>
          <w:szCs w:val="22"/>
          <w:lang w:val="en-US"/>
        </w:rPr>
        <w:t>Foreign Exchange Turnover in April 2013</w:t>
      </w:r>
      <w:r w:rsidRPr="003C0B00">
        <w:rPr>
          <w:rFonts w:ascii="Arial" w:hAnsi="Arial" w:cs="Arial"/>
          <w:sz w:val="22"/>
          <w:szCs w:val="22"/>
          <w:lang w:val="en-US"/>
        </w:rPr>
        <w:t>, Bank for International Settlements, Basel, September 2013.</w:t>
      </w:r>
    </w:p>
    <w:p w:rsidR="004F21F0" w:rsidRDefault="004F21F0" w:rsidP="0086496E">
      <w:pPr>
        <w:jc w:val="both"/>
        <w:rPr>
          <w:rFonts w:ascii="Arial" w:hAnsi="Arial" w:cs="Arial"/>
          <w:sz w:val="22"/>
          <w:szCs w:val="22"/>
          <w:lang w:val="en-US"/>
        </w:rPr>
      </w:pPr>
    </w:p>
    <w:p w:rsidR="00493F94" w:rsidRPr="00A51255" w:rsidRDefault="00493F94" w:rsidP="00493F94">
      <w:pPr>
        <w:jc w:val="both"/>
        <w:rPr>
          <w:rFonts w:ascii="Arial" w:hAnsi="Arial" w:cs="Arial"/>
          <w:sz w:val="22"/>
          <w:szCs w:val="22"/>
          <w:lang w:val="en-US"/>
        </w:rPr>
      </w:pPr>
      <w:r w:rsidRPr="00A51255">
        <w:rPr>
          <w:rFonts w:ascii="Arial" w:hAnsi="Arial" w:cs="Arial"/>
          <w:sz w:val="22"/>
          <w:szCs w:val="22"/>
          <w:lang w:val="en-US"/>
        </w:rPr>
        <w:t xml:space="preserve">Wongswan, J. </w:t>
      </w:r>
      <w:r w:rsidR="000D7DFB" w:rsidRPr="00A51255">
        <w:rPr>
          <w:rFonts w:ascii="Arial" w:hAnsi="Arial" w:cs="Arial"/>
          <w:color w:val="000000"/>
          <w:sz w:val="22"/>
          <w:szCs w:val="22"/>
          <w:lang w:val="en-US"/>
        </w:rPr>
        <w:t>2009</w:t>
      </w:r>
      <w:r w:rsidRPr="00A51255">
        <w:rPr>
          <w:rFonts w:ascii="Arial" w:hAnsi="Arial" w:cs="Arial"/>
          <w:iCs/>
          <w:color w:val="000000"/>
          <w:sz w:val="22"/>
          <w:szCs w:val="22"/>
          <w:lang w:val="en-US"/>
        </w:rPr>
        <w:t xml:space="preserve">. </w:t>
      </w:r>
      <w:r w:rsidR="001952AF" w:rsidRPr="00A51255">
        <w:rPr>
          <w:rFonts w:ascii="Arial" w:hAnsi="Arial" w:cs="Arial"/>
          <w:iCs/>
          <w:color w:val="000000"/>
          <w:sz w:val="22"/>
          <w:szCs w:val="22"/>
          <w:lang w:val="en-US"/>
        </w:rPr>
        <w:t>“</w:t>
      </w:r>
      <w:r w:rsidRPr="00A51255">
        <w:rPr>
          <w:rFonts w:ascii="Arial" w:hAnsi="Arial" w:cs="Arial"/>
          <w:sz w:val="22"/>
          <w:szCs w:val="22"/>
          <w:lang w:val="en-US"/>
        </w:rPr>
        <w:t>The Response of Global Equity Indexes to U.S. Monetary Policy Announcements</w:t>
      </w:r>
      <w:r w:rsidR="001952AF" w:rsidRPr="00A51255">
        <w:rPr>
          <w:rFonts w:ascii="Arial" w:hAnsi="Arial" w:cs="Arial"/>
          <w:sz w:val="22"/>
          <w:szCs w:val="22"/>
          <w:lang w:val="en-US"/>
        </w:rPr>
        <w:t>”</w:t>
      </w:r>
      <w:r w:rsidRPr="00A51255">
        <w:rPr>
          <w:rFonts w:ascii="Arial" w:hAnsi="Arial" w:cs="Arial"/>
          <w:sz w:val="22"/>
          <w:szCs w:val="22"/>
          <w:lang w:val="en-US"/>
        </w:rPr>
        <w:t>,</w:t>
      </w:r>
      <w:r w:rsidR="000D7DFB" w:rsidRPr="00A51255">
        <w:rPr>
          <w:rFonts w:ascii="Arial" w:hAnsi="Arial" w:cs="Arial"/>
          <w:sz w:val="22"/>
          <w:szCs w:val="22"/>
          <w:lang w:val="en-US"/>
        </w:rPr>
        <w:t xml:space="preserve"> </w:t>
      </w:r>
      <w:r w:rsidR="000D7DFB" w:rsidRPr="00A51255">
        <w:rPr>
          <w:rFonts w:ascii="Arial" w:hAnsi="Arial" w:cs="Arial"/>
          <w:i/>
          <w:sz w:val="22"/>
          <w:szCs w:val="22"/>
          <w:lang w:val="en-US"/>
        </w:rPr>
        <w:t>Journal of International Money and Finance</w:t>
      </w:r>
      <w:r w:rsidR="000D7DFB" w:rsidRPr="00A51255">
        <w:rPr>
          <w:rFonts w:ascii="Arial" w:hAnsi="Arial" w:cs="Arial"/>
          <w:sz w:val="22"/>
          <w:szCs w:val="22"/>
          <w:lang w:val="en-US"/>
        </w:rPr>
        <w:t xml:space="preserve"> 28, 344–365.</w:t>
      </w:r>
    </w:p>
    <w:p w:rsidR="00493F94" w:rsidRPr="00A51255" w:rsidRDefault="00493F94" w:rsidP="00493F94">
      <w:pPr>
        <w:jc w:val="both"/>
        <w:rPr>
          <w:rFonts w:ascii="Arial" w:hAnsi="Arial" w:cs="Arial"/>
          <w:lang w:val="en-US"/>
        </w:rPr>
      </w:pPr>
    </w:p>
    <w:p w:rsidR="00525DFC" w:rsidRPr="00A51255" w:rsidRDefault="00525DFC">
      <w:pPr>
        <w:spacing w:line="360" w:lineRule="auto"/>
        <w:jc w:val="both"/>
        <w:rPr>
          <w:rFonts w:ascii="Arial" w:hAnsi="Arial" w:cs="Arial"/>
          <w:lang w:val="en-US"/>
        </w:rPr>
      </w:pPr>
    </w:p>
    <w:p w:rsidR="004F2FC6" w:rsidRPr="00A51255" w:rsidRDefault="00AF2068">
      <w:pPr>
        <w:jc w:val="both"/>
        <w:rPr>
          <w:rFonts w:ascii="Arial" w:hAnsi="Arial" w:cs="Arial"/>
          <w:sz w:val="20"/>
          <w:szCs w:val="20"/>
          <w:lang w:val="en-US"/>
        </w:rPr>
      </w:pPr>
      <w:r>
        <w:rPr>
          <w:rFonts w:ascii="Arial" w:hAnsi="Arial" w:cs="Arial"/>
          <w:lang w:val="en-US"/>
        </w:rPr>
        <w:br w:type="page"/>
      </w:r>
    </w:p>
    <w:p w:rsidR="001878C0" w:rsidRPr="00A51255" w:rsidRDefault="001878C0">
      <w:pPr>
        <w:jc w:val="both"/>
        <w:rPr>
          <w:rFonts w:ascii="Arial" w:hAnsi="Arial" w:cs="Arial"/>
          <w:sz w:val="20"/>
          <w:szCs w:val="20"/>
          <w:lang w:val="en-US"/>
        </w:rPr>
      </w:pPr>
    </w:p>
    <w:p w:rsidR="00525DFC" w:rsidRPr="00A51255" w:rsidRDefault="00525DFC" w:rsidP="00D21AA2">
      <w:pPr>
        <w:ind w:left="567" w:right="567"/>
        <w:jc w:val="both"/>
        <w:rPr>
          <w:rFonts w:ascii="Arial" w:hAnsi="Arial" w:cs="Arial"/>
          <w:sz w:val="20"/>
          <w:szCs w:val="20"/>
          <w:lang w:val="en-US"/>
        </w:rPr>
      </w:pPr>
      <w:r w:rsidRPr="00A51255">
        <w:rPr>
          <w:rFonts w:ascii="Arial" w:hAnsi="Arial" w:cs="Arial"/>
          <w:sz w:val="20"/>
          <w:szCs w:val="20"/>
          <w:lang w:val="en-US"/>
        </w:rPr>
        <w:t xml:space="preserve">Table </w:t>
      </w:r>
      <w:r w:rsidR="00636567" w:rsidRPr="00A51255">
        <w:rPr>
          <w:rFonts w:ascii="Arial" w:hAnsi="Arial" w:cs="Arial"/>
          <w:sz w:val="20"/>
          <w:szCs w:val="20"/>
          <w:lang w:val="en-US"/>
        </w:rPr>
        <w:t>1</w:t>
      </w:r>
      <w:r w:rsidR="00E554C9">
        <w:rPr>
          <w:rFonts w:ascii="Arial" w:hAnsi="Arial" w:cs="Arial"/>
          <w:sz w:val="20"/>
          <w:szCs w:val="20"/>
          <w:lang w:val="en-US"/>
        </w:rPr>
        <w:t>a</w:t>
      </w:r>
      <w:r w:rsidR="00E26B4D" w:rsidRPr="00A51255">
        <w:rPr>
          <w:rFonts w:ascii="Arial" w:hAnsi="Arial" w:cs="Arial"/>
          <w:sz w:val="20"/>
          <w:szCs w:val="20"/>
          <w:lang w:val="en-US"/>
        </w:rPr>
        <w:t>. National Bank of Poland (N</w:t>
      </w:r>
      <w:r w:rsidRPr="00A51255">
        <w:rPr>
          <w:rFonts w:ascii="Arial" w:hAnsi="Arial" w:cs="Arial"/>
          <w:sz w:val="20"/>
          <w:szCs w:val="20"/>
          <w:lang w:val="en-US"/>
        </w:rPr>
        <w:t>BP) announcements in the period from August 2000 to September 2003.</w:t>
      </w:r>
    </w:p>
    <w:p w:rsidR="00525DFC" w:rsidRPr="00285A7E" w:rsidRDefault="00525DFC">
      <w:pPr>
        <w:jc w:val="center"/>
        <w:rPr>
          <w:rFonts w:ascii="Arial" w:hAnsi="Arial" w:cs="Arial"/>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5"/>
        <w:gridCol w:w="1914"/>
        <w:gridCol w:w="1360"/>
        <w:gridCol w:w="2407"/>
      </w:tblGrid>
      <w:tr w:rsidR="00525DFC" w:rsidRPr="00A51255" w:rsidTr="00D475E1">
        <w:trPr>
          <w:trHeight w:hRule="exact" w:val="680"/>
          <w:jc w:val="center"/>
        </w:trPr>
        <w:tc>
          <w:tcPr>
            <w:tcW w:w="3175" w:type="dxa"/>
            <w:vAlign w:val="center"/>
          </w:tcPr>
          <w:p w:rsidR="00525DFC" w:rsidRPr="009F2566" w:rsidRDefault="00525DFC" w:rsidP="00BE1C7E">
            <w:pPr>
              <w:ind w:left="240"/>
              <w:jc w:val="center"/>
              <w:rPr>
                <w:rFonts w:ascii="Arial" w:hAnsi="Arial" w:cs="Arial"/>
                <w:b/>
                <w:sz w:val="18"/>
                <w:szCs w:val="18"/>
                <w:lang w:val="en-US"/>
              </w:rPr>
            </w:pPr>
          </w:p>
        </w:tc>
        <w:tc>
          <w:tcPr>
            <w:tcW w:w="1914" w:type="dxa"/>
            <w:vAlign w:val="center"/>
          </w:tcPr>
          <w:p w:rsidR="00525DFC" w:rsidRPr="009F2566" w:rsidRDefault="00525DFC" w:rsidP="00BE1C7E">
            <w:pPr>
              <w:jc w:val="center"/>
              <w:rPr>
                <w:rFonts w:ascii="Arial" w:hAnsi="Arial" w:cs="Arial"/>
                <w:b/>
                <w:sz w:val="18"/>
                <w:szCs w:val="18"/>
                <w:lang w:val="en-US"/>
              </w:rPr>
            </w:pPr>
            <w:r w:rsidRPr="009F2566">
              <w:rPr>
                <w:rFonts w:ascii="Arial" w:hAnsi="Arial" w:cs="Arial"/>
                <w:b/>
                <w:sz w:val="18"/>
                <w:szCs w:val="18"/>
                <w:lang w:val="en-US"/>
              </w:rPr>
              <w:t>Number of a</w:t>
            </w:r>
            <w:r w:rsidR="00912DB5" w:rsidRPr="009F2566">
              <w:rPr>
                <w:rFonts w:ascii="Arial" w:hAnsi="Arial" w:cs="Arial"/>
                <w:b/>
                <w:sz w:val="18"/>
                <w:szCs w:val="18"/>
                <w:lang w:val="en-US"/>
              </w:rPr>
              <w:t>nnouncements</w:t>
            </w:r>
          </w:p>
        </w:tc>
        <w:tc>
          <w:tcPr>
            <w:tcW w:w="1360" w:type="dxa"/>
            <w:vAlign w:val="center"/>
          </w:tcPr>
          <w:p w:rsidR="00525DFC" w:rsidRPr="009F2566" w:rsidRDefault="00912DB5" w:rsidP="00BE1C7E">
            <w:pPr>
              <w:jc w:val="center"/>
              <w:rPr>
                <w:rFonts w:ascii="Arial" w:hAnsi="Arial" w:cs="Arial"/>
                <w:b/>
                <w:sz w:val="18"/>
                <w:szCs w:val="18"/>
                <w:lang w:val="en-US"/>
              </w:rPr>
            </w:pPr>
            <w:r w:rsidRPr="009F2566">
              <w:rPr>
                <w:rFonts w:ascii="Arial" w:hAnsi="Arial" w:cs="Arial"/>
                <w:b/>
                <w:sz w:val="18"/>
                <w:szCs w:val="18"/>
                <w:lang w:val="en-US"/>
              </w:rPr>
              <w:t>Frequency</w:t>
            </w:r>
          </w:p>
        </w:tc>
        <w:tc>
          <w:tcPr>
            <w:tcW w:w="2407" w:type="dxa"/>
            <w:vAlign w:val="center"/>
          </w:tcPr>
          <w:p w:rsidR="00525DFC" w:rsidRPr="009F2566" w:rsidRDefault="00912DB5" w:rsidP="00BE1C7E">
            <w:pPr>
              <w:jc w:val="center"/>
              <w:rPr>
                <w:rFonts w:ascii="Arial" w:hAnsi="Arial" w:cs="Arial"/>
                <w:b/>
                <w:sz w:val="18"/>
                <w:szCs w:val="18"/>
                <w:lang w:val="en-US"/>
              </w:rPr>
            </w:pPr>
            <w:r w:rsidRPr="009F2566">
              <w:rPr>
                <w:rFonts w:ascii="Arial" w:hAnsi="Arial" w:cs="Arial"/>
                <w:b/>
                <w:sz w:val="18"/>
                <w:szCs w:val="18"/>
                <w:lang w:val="en-US"/>
              </w:rPr>
              <w:t>Other comments</w:t>
            </w:r>
          </w:p>
        </w:tc>
      </w:tr>
      <w:tr w:rsidR="00525DFC" w:rsidRPr="00647145" w:rsidTr="00D475E1">
        <w:trPr>
          <w:jc w:val="center"/>
        </w:trPr>
        <w:tc>
          <w:tcPr>
            <w:tcW w:w="3175" w:type="dxa"/>
            <w:vAlign w:val="center"/>
          </w:tcPr>
          <w:p w:rsidR="00525DFC" w:rsidRPr="009F2566" w:rsidRDefault="00525DFC" w:rsidP="00D475E1">
            <w:pPr>
              <w:ind w:left="46"/>
              <w:jc w:val="center"/>
              <w:rPr>
                <w:rFonts w:ascii="Arial" w:hAnsi="Arial" w:cs="Arial"/>
                <w:b/>
                <w:sz w:val="18"/>
                <w:szCs w:val="18"/>
                <w:lang w:val="en-US"/>
              </w:rPr>
            </w:pPr>
            <w:r w:rsidRPr="009F2566">
              <w:rPr>
                <w:rFonts w:ascii="Arial" w:hAnsi="Arial" w:cs="Arial"/>
                <w:b/>
                <w:sz w:val="18"/>
                <w:szCs w:val="18"/>
                <w:lang w:val="en-US"/>
              </w:rPr>
              <w:t>Money Supply (</w:t>
            </w:r>
            <w:r w:rsidR="009F2566" w:rsidRPr="009F2566">
              <w:rPr>
                <w:b/>
                <w:i/>
                <w:sz w:val="18"/>
                <w:szCs w:val="18"/>
                <w:lang w:val="en-US"/>
              </w:rPr>
              <w:t>MS</w:t>
            </w:r>
            <w:r w:rsidRPr="009F2566">
              <w:rPr>
                <w:rFonts w:ascii="Arial" w:hAnsi="Arial" w:cs="Arial"/>
                <w:b/>
                <w:sz w:val="18"/>
                <w:szCs w:val="18"/>
                <w:lang w:val="en-US"/>
              </w:rPr>
              <w:t>)</w:t>
            </w:r>
          </w:p>
        </w:tc>
        <w:tc>
          <w:tcPr>
            <w:tcW w:w="1914" w:type="dxa"/>
            <w:vAlign w:val="center"/>
          </w:tcPr>
          <w:p w:rsidR="00194D54" w:rsidRDefault="00194D54" w:rsidP="00EB35FC">
            <w:pPr>
              <w:jc w:val="center"/>
              <w:rPr>
                <w:rFonts w:ascii="Arial" w:hAnsi="Arial" w:cs="Arial"/>
                <w:sz w:val="18"/>
                <w:szCs w:val="18"/>
                <w:lang w:val="en-US"/>
              </w:rPr>
            </w:pPr>
          </w:p>
          <w:p w:rsidR="00525DFC" w:rsidRDefault="00525DFC" w:rsidP="00EB35FC">
            <w:pPr>
              <w:jc w:val="center"/>
              <w:rPr>
                <w:rFonts w:ascii="Arial" w:hAnsi="Arial" w:cs="Arial"/>
                <w:sz w:val="18"/>
                <w:szCs w:val="18"/>
                <w:lang w:val="en-US"/>
              </w:rPr>
            </w:pPr>
            <w:r w:rsidRPr="00B6236F">
              <w:rPr>
                <w:rFonts w:ascii="Arial" w:hAnsi="Arial" w:cs="Arial"/>
                <w:sz w:val="18"/>
                <w:szCs w:val="18"/>
                <w:lang w:val="en-US"/>
              </w:rPr>
              <w:t>38</w:t>
            </w:r>
          </w:p>
          <w:p w:rsidR="00194D54" w:rsidRPr="00B6236F" w:rsidRDefault="00194D54" w:rsidP="00EB35FC">
            <w:pPr>
              <w:jc w:val="center"/>
              <w:rPr>
                <w:rFonts w:ascii="Arial" w:hAnsi="Arial" w:cs="Arial"/>
                <w:sz w:val="18"/>
                <w:szCs w:val="18"/>
                <w:lang w:val="en-US"/>
              </w:rPr>
            </w:pPr>
          </w:p>
        </w:tc>
        <w:tc>
          <w:tcPr>
            <w:tcW w:w="1360" w:type="dxa"/>
            <w:vAlign w:val="center"/>
          </w:tcPr>
          <w:p w:rsidR="00525DFC" w:rsidRPr="00B6236F" w:rsidRDefault="00525DFC" w:rsidP="00EB35FC">
            <w:pPr>
              <w:jc w:val="center"/>
              <w:rPr>
                <w:rFonts w:ascii="Arial" w:hAnsi="Arial" w:cs="Arial"/>
                <w:sz w:val="18"/>
                <w:szCs w:val="18"/>
                <w:lang w:val="en-US"/>
              </w:rPr>
            </w:pPr>
            <w:r w:rsidRPr="00B6236F">
              <w:rPr>
                <w:rFonts w:ascii="Arial" w:hAnsi="Arial" w:cs="Arial"/>
                <w:sz w:val="18"/>
                <w:szCs w:val="18"/>
                <w:lang w:val="en-US"/>
              </w:rPr>
              <w:t>Monthly</w:t>
            </w:r>
          </w:p>
        </w:tc>
        <w:tc>
          <w:tcPr>
            <w:tcW w:w="2407" w:type="dxa"/>
            <w:vAlign w:val="center"/>
          </w:tcPr>
          <w:p w:rsidR="00525DFC" w:rsidRPr="00B6236F" w:rsidRDefault="00525DFC" w:rsidP="00EB35FC">
            <w:pPr>
              <w:jc w:val="center"/>
              <w:rPr>
                <w:rFonts w:ascii="Arial" w:hAnsi="Arial" w:cs="Arial"/>
                <w:sz w:val="18"/>
                <w:szCs w:val="18"/>
                <w:lang w:val="en-US"/>
              </w:rPr>
            </w:pPr>
            <w:r w:rsidRPr="00B6236F">
              <w:rPr>
                <w:rFonts w:ascii="Arial" w:hAnsi="Arial" w:cs="Arial"/>
                <w:sz w:val="18"/>
                <w:szCs w:val="18"/>
                <w:lang w:val="en-US"/>
              </w:rPr>
              <w:t>Usually middle of the month</w:t>
            </w:r>
          </w:p>
        </w:tc>
      </w:tr>
      <w:tr w:rsidR="00525DFC" w:rsidRPr="00647145" w:rsidTr="00D475E1">
        <w:trPr>
          <w:jc w:val="center"/>
        </w:trPr>
        <w:tc>
          <w:tcPr>
            <w:tcW w:w="3175" w:type="dxa"/>
            <w:vAlign w:val="center"/>
          </w:tcPr>
          <w:p w:rsidR="00525DFC" w:rsidRPr="009F2566" w:rsidRDefault="00525DFC" w:rsidP="00D475E1">
            <w:pPr>
              <w:ind w:left="46"/>
              <w:jc w:val="center"/>
              <w:rPr>
                <w:rFonts w:ascii="Arial" w:hAnsi="Arial" w:cs="Arial"/>
                <w:b/>
                <w:sz w:val="18"/>
                <w:szCs w:val="18"/>
                <w:lang w:val="en-US"/>
              </w:rPr>
            </w:pPr>
            <w:r w:rsidRPr="009F2566">
              <w:rPr>
                <w:rFonts w:ascii="Arial" w:hAnsi="Arial" w:cs="Arial"/>
                <w:b/>
                <w:sz w:val="18"/>
                <w:szCs w:val="18"/>
                <w:lang w:val="en-US"/>
              </w:rPr>
              <w:t>Reserve Money (</w:t>
            </w:r>
            <w:r w:rsidR="009F2566" w:rsidRPr="009F2566">
              <w:rPr>
                <w:b/>
                <w:i/>
                <w:sz w:val="18"/>
                <w:szCs w:val="18"/>
                <w:lang w:val="en-US"/>
              </w:rPr>
              <w:t>RM</w:t>
            </w:r>
            <w:r w:rsidRPr="009F2566">
              <w:rPr>
                <w:rFonts w:ascii="Arial" w:hAnsi="Arial" w:cs="Arial"/>
                <w:b/>
                <w:sz w:val="18"/>
                <w:szCs w:val="18"/>
                <w:lang w:val="en-US"/>
              </w:rPr>
              <w:t>)</w:t>
            </w:r>
          </w:p>
        </w:tc>
        <w:tc>
          <w:tcPr>
            <w:tcW w:w="1914" w:type="dxa"/>
            <w:vAlign w:val="center"/>
          </w:tcPr>
          <w:p w:rsidR="00194D54" w:rsidRDefault="00194D54" w:rsidP="00EB35FC">
            <w:pPr>
              <w:jc w:val="center"/>
              <w:rPr>
                <w:rFonts w:ascii="Arial" w:hAnsi="Arial" w:cs="Arial"/>
                <w:sz w:val="18"/>
                <w:szCs w:val="18"/>
                <w:lang w:val="en-US"/>
              </w:rPr>
            </w:pPr>
          </w:p>
          <w:p w:rsidR="00525DFC" w:rsidRDefault="00525DFC" w:rsidP="00EB35FC">
            <w:pPr>
              <w:jc w:val="center"/>
              <w:rPr>
                <w:rFonts w:ascii="Arial" w:hAnsi="Arial" w:cs="Arial"/>
                <w:sz w:val="18"/>
                <w:szCs w:val="18"/>
                <w:lang w:val="en-US"/>
              </w:rPr>
            </w:pPr>
            <w:r w:rsidRPr="00B6236F">
              <w:rPr>
                <w:rFonts w:ascii="Arial" w:hAnsi="Arial" w:cs="Arial"/>
                <w:sz w:val="18"/>
                <w:szCs w:val="18"/>
                <w:lang w:val="en-US"/>
              </w:rPr>
              <w:t>38</w:t>
            </w:r>
          </w:p>
          <w:p w:rsidR="00194D54" w:rsidRPr="00B6236F" w:rsidRDefault="00194D54" w:rsidP="00EB35FC">
            <w:pPr>
              <w:jc w:val="center"/>
              <w:rPr>
                <w:rFonts w:ascii="Arial" w:hAnsi="Arial" w:cs="Arial"/>
                <w:sz w:val="18"/>
                <w:szCs w:val="18"/>
                <w:lang w:val="en-US"/>
              </w:rPr>
            </w:pPr>
          </w:p>
        </w:tc>
        <w:tc>
          <w:tcPr>
            <w:tcW w:w="1360" w:type="dxa"/>
            <w:vAlign w:val="center"/>
          </w:tcPr>
          <w:p w:rsidR="00525DFC" w:rsidRPr="00B6236F" w:rsidRDefault="00525DFC" w:rsidP="00EB35FC">
            <w:pPr>
              <w:jc w:val="center"/>
              <w:rPr>
                <w:rFonts w:ascii="Arial" w:hAnsi="Arial" w:cs="Arial"/>
                <w:sz w:val="18"/>
                <w:szCs w:val="18"/>
                <w:lang w:val="en-US"/>
              </w:rPr>
            </w:pPr>
            <w:r w:rsidRPr="00B6236F">
              <w:rPr>
                <w:rFonts w:ascii="Arial" w:hAnsi="Arial" w:cs="Arial"/>
                <w:sz w:val="18"/>
                <w:szCs w:val="18"/>
                <w:lang w:val="en-US"/>
              </w:rPr>
              <w:t>Monthly</w:t>
            </w:r>
          </w:p>
        </w:tc>
        <w:tc>
          <w:tcPr>
            <w:tcW w:w="2407" w:type="dxa"/>
            <w:vAlign w:val="center"/>
          </w:tcPr>
          <w:p w:rsidR="00525DFC" w:rsidRPr="00B6236F" w:rsidRDefault="00525DFC" w:rsidP="00EB35FC">
            <w:pPr>
              <w:jc w:val="center"/>
              <w:rPr>
                <w:rFonts w:ascii="Arial" w:hAnsi="Arial" w:cs="Arial"/>
                <w:sz w:val="18"/>
                <w:szCs w:val="18"/>
                <w:lang w:val="en-US"/>
              </w:rPr>
            </w:pPr>
            <w:r w:rsidRPr="00B6236F">
              <w:rPr>
                <w:rFonts w:ascii="Arial" w:hAnsi="Arial" w:cs="Arial"/>
                <w:sz w:val="18"/>
                <w:szCs w:val="18"/>
                <w:lang w:val="en-US"/>
              </w:rPr>
              <w:t>Usually 5</w:t>
            </w:r>
            <w:r w:rsidRPr="00B6236F">
              <w:rPr>
                <w:rFonts w:ascii="Arial" w:hAnsi="Arial" w:cs="Arial"/>
                <w:sz w:val="18"/>
                <w:szCs w:val="18"/>
                <w:vertAlign w:val="superscript"/>
                <w:lang w:val="en-US"/>
              </w:rPr>
              <w:t>th</w:t>
            </w:r>
            <w:r w:rsidRPr="00B6236F">
              <w:rPr>
                <w:rFonts w:ascii="Arial" w:hAnsi="Arial" w:cs="Arial"/>
                <w:sz w:val="18"/>
                <w:szCs w:val="18"/>
                <w:lang w:val="en-US"/>
              </w:rPr>
              <w:t>-7</w:t>
            </w:r>
            <w:r w:rsidRPr="00B6236F">
              <w:rPr>
                <w:rFonts w:ascii="Arial" w:hAnsi="Arial" w:cs="Arial"/>
                <w:sz w:val="18"/>
                <w:szCs w:val="18"/>
                <w:vertAlign w:val="superscript"/>
                <w:lang w:val="en-US"/>
              </w:rPr>
              <w:t>th</w:t>
            </w:r>
            <w:r w:rsidRPr="00B6236F">
              <w:rPr>
                <w:rFonts w:ascii="Arial" w:hAnsi="Arial" w:cs="Arial"/>
                <w:sz w:val="18"/>
                <w:szCs w:val="18"/>
                <w:lang w:val="en-US"/>
              </w:rPr>
              <w:t xml:space="preserve"> calendar day of every month</w:t>
            </w:r>
          </w:p>
        </w:tc>
      </w:tr>
      <w:tr w:rsidR="00525DFC" w:rsidRPr="00647145" w:rsidTr="00D475E1">
        <w:trPr>
          <w:jc w:val="center"/>
        </w:trPr>
        <w:tc>
          <w:tcPr>
            <w:tcW w:w="3175" w:type="dxa"/>
            <w:vAlign w:val="center"/>
          </w:tcPr>
          <w:p w:rsidR="00194D54" w:rsidRPr="009F2566" w:rsidRDefault="00525DFC" w:rsidP="00D475E1">
            <w:pPr>
              <w:ind w:left="46"/>
              <w:jc w:val="center"/>
              <w:rPr>
                <w:rFonts w:ascii="Arial" w:hAnsi="Arial" w:cs="Arial"/>
                <w:b/>
                <w:sz w:val="18"/>
                <w:szCs w:val="18"/>
                <w:lang w:val="en-US"/>
              </w:rPr>
            </w:pPr>
            <w:r w:rsidRPr="009F2566">
              <w:rPr>
                <w:rFonts w:ascii="Arial" w:hAnsi="Arial" w:cs="Arial"/>
                <w:b/>
                <w:sz w:val="18"/>
                <w:szCs w:val="18"/>
                <w:lang w:val="en-US"/>
              </w:rPr>
              <w:t>Balance of Payments (</w:t>
            </w:r>
            <w:r w:rsidR="009F2566" w:rsidRPr="00600781">
              <w:rPr>
                <w:b/>
                <w:i/>
                <w:sz w:val="18"/>
                <w:szCs w:val="18"/>
                <w:lang w:val="en-US"/>
              </w:rPr>
              <w:t>BOP</w:t>
            </w:r>
            <w:r w:rsidRPr="009F2566">
              <w:rPr>
                <w:rFonts w:ascii="Arial" w:hAnsi="Arial" w:cs="Arial"/>
                <w:b/>
                <w:sz w:val="18"/>
                <w:szCs w:val="18"/>
                <w:lang w:val="en-US"/>
              </w:rPr>
              <w:t>)</w:t>
            </w:r>
          </w:p>
        </w:tc>
        <w:tc>
          <w:tcPr>
            <w:tcW w:w="1914" w:type="dxa"/>
            <w:vAlign w:val="center"/>
          </w:tcPr>
          <w:p w:rsidR="00194D54" w:rsidRDefault="00194D54" w:rsidP="00EB35FC">
            <w:pPr>
              <w:jc w:val="center"/>
              <w:rPr>
                <w:rFonts w:ascii="Arial" w:hAnsi="Arial" w:cs="Arial"/>
                <w:sz w:val="18"/>
                <w:szCs w:val="18"/>
                <w:lang w:val="en-US"/>
              </w:rPr>
            </w:pPr>
          </w:p>
          <w:p w:rsidR="00525DFC" w:rsidRDefault="00525DFC" w:rsidP="00EB35FC">
            <w:pPr>
              <w:jc w:val="center"/>
              <w:rPr>
                <w:rFonts w:ascii="Arial" w:hAnsi="Arial" w:cs="Arial"/>
                <w:sz w:val="18"/>
                <w:szCs w:val="18"/>
                <w:lang w:val="en-US"/>
              </w:rPr>
            </w:pPr>
            <w:r w:rsidRPr="00B6236F">
              <w:rPr>
                <w:rFonts w:ascii="Arial" w:hAnsi="Arial" w:cs="Arial"/>
                <w:sz w:val="18"/>
                <w:szCs w:val="18"/>
                <w:lang w:val="en-US"/>
              </w:rPr>
              <w:t>38</w:t>
            </w:r>
          </w:p>
          <w:p w:rsidR="00194D54" w:rsidRPr="00B6236F" w:rsidRDefault="00194D54" w:rsidP="00EB35FC">
            <w:pPr>
              <w:jc w:val="center"/>
              <w:rPr>
                <w:rFonts w:ascii="Arial" w:hAnsi="Arial" w:cs="Arial"/>
                <w:sz w:val="18"/>
                <w:szCs w:val="18"/>
                <w:lang w:val="en-US"/>
              </w:rPr>
            </w:pPr>
          </w:p>
        </w:tc>
        <w:tc>
          <w:tcPr>
            <w:tcW w:w="1360" w:type="dxa"/>
            <w:vAlign w:val="center"/>
          </w:tcPr>
          <w:p w:rsidR="00525DFC" w:rsidRPr="00B6236F" w:rsidRDefault="00525DFC" w:rsidP="00EB35FC">
            <w:pPr>
              <w:jc w:val="center"/>
              <w:rPr>
                <w:rFonts w:ascii="Arial" w:hAnsi="Arial" w:cs="Arial"/>
                <w:sz w:val="18"/>
                <w:szCs w:val="18"/>
                <w:lang w:val="en-US"/>
              </w:rPr>
            </w:pPr>
            <w:r w:rsidRPr="00B6236F">
              <w:rPr>
                <w:rFonts w:ascii="Arial" w:hAnsi="Arial" w:cs="Arial"/>
                <w:sz w:val="18"/>
                <w:szCs w:val="18"/>
                <w:lang w:val="en-US"/>
              </w:rPr>
              <w:t>Monthly</w:t>
            </w:r>
          </w:p>
        </w:tc>
        <w:tc>
          <w:tcPr>
            <w:tcW w:w="2407" w:type="dxa"/>
            <w:vAlign w:val="center"/>
          </w:tcPr>
          <w:p w:rsidR="00525DFC" w:rsidRPr="00B6236F" w:rsidRDefault="00525DFC" w:rsidP="00EB35FC">
            <w:pPr>
              <w:jc w:val="center"/>
              <w:rPr>
                <w:rFonts w:ascii="Arial" w:hAnsi="Arial" w:cs="Arial"/>
                <w:sz w:val="18"/>
                <w:szCs w:val="18"/>
                <w:lang w:val="en-US"/>
              </w:rPr>
            </w:pPr>
            <w:r w:rsidRPr="00B6236F">
              <w:rPr>
                <w:rFonts w:ascii="Arial" w:hAnsi="Arial" w:cs="Arial"/>
                <w:sz w:val="18"/>
                <w:szCs w:val="18"/>
                <w:lang w:val="en-US"/>
              </w:rPr>
              <w:t>Usually end of every month</w:t>
            </w:r>
          </w:p>
        </w:tc>
      </w:tr>
      <w:tr w:rsidR="00525DFC" w:rsidRPr="00647145" w:rsidTr="00D475E1">
        <w:trPr>
          <w:jc w:val="center"/>
        </w:trPr>
        <w:tc>
          <w:tcPr>
            <w:tcW w:w="3175" w:type="dxa"/>
            <w:vAlign w:val="center"/>
          </w:tcPr>
          <w:p w:rsidR="00525DFC" w:rsidRPr="009F2566" w:rsidRDefault="00525DFC" w:rsidP="00D475E1">
            <w:pPr>
              <w:ind w:left="46"/>
              <w:jc w:val="center"/>
              <w:rPr>
                <w:rFonts w:ascii="Arial" w:hAnsi="Arial" w:cs="Arial"/>
                <w:b/>
                <w:sz w:val="18"/>
                <w:szCs w:val="18"/>
                <w:lang w:val="en-US"/>
              </w:rPr>
            </w:pPr>
            <w:r w:rsidRPr="009F2566">
              <w:rPr>
                <w:rFonts w:ascii="Arial" w:hAnsi="Arial" w:cs="Arial"/>
                <w:b/>
                <w:sz w:val="18"/>
                <w:szCs w:val="18"/>
                <w:lang w:val="en-US"/>
              </w:rPr>
              <w:t>Liquid Assets and Liabilities in Foreign Currencies (</w:t>
            </w:r>
            <w:r w:rsidR="009F2566" w:rsidRPr="009F2566">
              <w:rPr>
                <w:b/>
                <w:i/>
                <w:sz w:val="18"/>
                <w:szCs w:val="18"/>
                <w:lang w:val="en-US"/>
              </w:rPr>
              <w:t>AL</w:t>
            </w:r>
            <w:r w:rsidRPr="009F2566">
              <w:rPr>
                <w:rFonts w:ascii="Arial" w:hAnsi="Arial" w:cs="Arial"/>
                <w:b/>
                <w:sz w:val="18"/>
                <w:szCs w:val="18"/>
                <w:lang w:val="en-US"/>
              </w:rPr>
              <w:t>)</w:t>
            </w:r>
          </w:p>
        </w:tc>
        <w:tc>
          <w:tcPr>
            <w:tcW w:w="1914" w:type="dxa"/>
            <w:vAlign w:val="center"/>
          </w:tcPr>
          <w:p w:rsidR="00194D54" w:rsidRDefault="00194D54" w:rsidP="00EB35FC">
            <w:pPr>
              <w:jc w:val="center"/>
              <w:rPr>
                <w:rFonts w:ascii="Arial" w:hAnsi="Arial" w:cs="Arial"/>
                <w:sz w:val="18"/>
                <w:szCs w:val="18"/>
                <w:lang w:val="en-US"/>
              </w:rPr>
            </w:pPr>
          </w:p>
          <w:p w:rsidR="00525DFC" w:rsidRDefault="00525DFC" w:rsidP="00EB35FC">
            <w:pPr>
              <w:jc w:val="center"/>
              <w:rPr>
                <w:rFonts w:ascii="Arial" w:hAnsi="Arial" w:cs="Arial"/>
                <w:sz w:val="18"/>
                <w:szCs w:val="18"/>
                <w:lang w:val="en-US"/>
              </w:rPr>
            </w:pPr>
            <w:r w:rsidRPr="00B6236F">
              <w:rPr>
                <w:rFonts w:ascii="Arial" w:hAnsi="Arial" w:cs="Arial"/>
                <w:sz w:val="18"/>
                <w:szCs w:val="18"/>
                <w:lang w:val="en-US"/>
              </w:rPr>
              <w:t>36</w:t>
            </w:r>
          </w:p>
          <w:p w:rsidR="00194D54" w:rsidRPr="00B6236F" w:rsidRDefault="00194D54" w:rsidP="00EB35FC">
            <w:pPr>
              <w:jc w:val="center"/>
              <w:rPr>
                <w:rFonts w:ascii="Arial" w:hAnsi="Arial" w:cs="Arial"/>
                <w:sz w:val="18"/>
                <w:szCs w:val="18"/>
                <w:lang w:val="en-US"/>
              </w:rPr>
            </w:pPr>
          </w:p>
        </w:tc>
        <w:tc>
          <w:tcPr>
            <w:tcW w:w="1360" w:type="dxa"/>
            <w:vAlign w:val="center"/>
          </w:tcPr>
          <w:p w:rsidR="00525DFC" w:rsidRPr="00B6236F" w:rsidRDefault="00525DFC" w:rsidP="00EB35FC">
            <w:pPr>
              <w:jc w:val="center"/>
              <w:rPr>
                <w:rFonts w:ascii="Arial" w:hAnsi="Arial" w:cs="Arial"/>
                <w:sz w:val="18"/>
                <w:szCs w:val="18"/>
                <w:lang w:val="en-US"/>
              </w:rPr>
            </w:pPr>
            <w:r w:rsidRPr="00B6236F">
              <w:rPr>
                <w:rFonts w:ascii="Arial" w:hAnsi="Arial" w:cs="Arial"/>
                <w:sz w:val="18"/>
                <w:szCs w:val="18"/>
                <w:lang w:val="en-US"/>
              </w:rPr>
              <w:t>Monthly</w:t>
            </w:r>
          </w:p>
        </w:tc>
        <w:tc>
          <w:tcPr>
            <w:tcW w:w="2407" w:type="dxa"/>
            <w:vAlign w:val="center"/>
          </w:tcPr>
          <w:p w:rsidR="00525DFC" w:rsidRPr="00B6236F" w:rsidRDefault="00525DFC" w:rsidP="00EB35FC">
            <w:pPr>
              <w:jc w:val="center"/>
              <w:rPr>
                <w:rFonts w:ascii="Arial" w:hAnsi="Arial" w:cs="Arial"/>
                <w:sz w:val="18"/>
                <w:szCs w:val="18"/>
                <w:lang w:val="en-US"/>
              </w:rPr>
            </w:pPr>
            <w:r w:rsidRPr="00B6236F">
              <w:rPr>
                <w:rFonts w:ascii="Arial" w:hAnsi="Arial" w:cs="Arial"/>
                <w:sz w:val="18"/>
                <w:szCs w:val="18"/>
                <w:lang w:val="en-US"/>
              </w:rPr>
              <w:t>Usually end of every month</w:t>
            </w:r>
          </w:p>
        </w:tc>
      </w:tr>
    </w:tbl>
    <w:p w:rsidR="00636567" w:rsidRPr="00A51255" w:rsidRDefault="00636567" w:rsidP="00636567">
      <w:pPr>
        <w:jc w:val="both"/>
        <w:rPr>
          <w:rFonts w:ascii="Arial" w:hAnsi="Arial" w:cs="Arial"/>
          <w:sz w:val="20"/>
          <w:szCs w:val="20"/>
          <w:lang w:val="en-US"/>
        </w:rPr>
      </w:pPr>
    </w:p>
    <w:p w:rsidR="00A77973" w:rsidRPr="00A51255" w:rsidRDefault="00A77973" w:rsidP="00636567">
      <w:pPr>
        <w:jc w:val="both"/>
        <w:rPr>
          <w:rFonts w:ascii="Arial" w:hAnsi="Arial" w:cs="Arial"/>
          <w:sz w:val="20"/>
          <w:szCs w:val="20"/>
          <w:lang w:val="en-US"/>
        </w:rPr>
      </w:pPr>
    </w:p>
    <w:p w:rsidR="00E554C9" w:rsidRPr="00A51255" w:rsidRDefault="00E554C9" w:rsidP="00D21AA2">
      <w:pPr>
        <w:ind w:left="567" w:right="567"/>
        <w:jc w:val="both"/>
        <w:rPr>
          <w:rFonts w:ascii="Arial" w:hAnsi="Arial" w:cs="Arial"/>
          <w:lang w:val="en-US"/>
        </w:rPr>
      </w:pPr>
      <w:r w:rsidRPr="00A51255">
        <w:rPr>
          <w:rFonts w:ascii="Arial" w:hAnsi="Arial" w:cs="Arial"/>
          <w:sz w:val="20"/>
          <w:szCs w:val="20"/>
          <w:lang w:val="en-US"/>
        </w:rPr>
        <w:t>Table 1</w:t>
      </w:r>
      <w:r>
        <w:rPr>
          <w:rFonts w:ascii="Arial" w:hAnsi="Arial" w:cs="Arial"/>
          <w:sz w:val="20"/>
          <w:szCs w:val="20"/>
          <w:lang w:val="en-US"/>
        </w:rPr>
        <w:t>b</w:t>
      </w:r>
      <w:r w:rsidRPr="00A51255">
        <w:rPr>
          <w:rFonts w:ascii="Arial" w:hAnsi="Arial" w:cs="Arial"/>
          <w:sz w:val="20"/>
          <w:szCs w:val="20"/>
          <w:lang w:val="en-US"/>
        </w:rPr>
        <w:t xml:space="preserve">. </w:t>
      </w:r>
      <w:r w:rsidR="00AE6D41">
        <w:rPr>
          <w:rFonts w:ascii="Arial" w:hAnsi="Arial" w:cs="Arial"/>
          <w:sz w:val="20"/>
          <w:szCs w:val="20"/>
          <w:lang w:val="en-US"/>
        </w:rPr>
        <w:t xml:space="preserve">Numbers of </w:t>
      </w:r>
      <w:r w:rsidRPr="00A51255">
        <w:rPr>
          <w:rFonts w:ascii="Arial" w:hAnsi="Arial" w:cs="Arial"/>
          <w:sz w:val="20"/>
          <w:szCs w:val="20"/>
          <w:lang w:val="en-US"/>
        </w:rPr>
        <w:t xml:space="preserve">National Bank of Poland (NBP) announcements </w:t>
      </w:r>
      <w:r w:rsidR="00C5328C">
        <w:rPr>
          <w:rFonts w:ascii="Arial" w:hAnsi="Arial" w:cs="Arial"/>
          <w:sz w:val="20"/>
          <w:szCs w:val="20"/>
          <w:lang w:val="en-US"/>
        </w:rPr>
        <w:t>with different strength</w:t>
      </w:r>
      <w:r w:rsidR="009A27E3">
        <w:rPr>
          <w:rFonts w:ascii="Arial" w:hAnsi="Arial" w:cs="Arial"/>
          <w:sz w:val="20"/>
          <w:szCs w:val="20"/>
          <w:lang w:val="en-US"/>
        </w:rPr>
        <w:t>s</w:t>
      </w:r>
      <w:r w:rsidR="00C5328C">
        <w:rPr>
          <w:rFonts w:ascii="Arial" w:hAnsi="Arial" w:cs="Arial"/>
          <w:sz w:val="20"/>
          <w:szCs w:val="20"/>
          <w:lang w:val="en-US"/>
        </w:rPr>
        <w:t xml:space="preserve"> </w:t>
      </w:r>
      <w:r w:rsidR="00C5328C" w:rsidRPr="00A51255">
        <w:rPr>
          <w:rFonts w:ascii="Arial" w:hAnsi="Arial" w:cs="Arial"/>
          <w:sz w:val="20"/>
          <w:szCs w:val="20"/>
          <w:lang w:val="en-US"/>
        </w:rPr>
        <w:t>in the period from August 2000 to September 2003</w:t>
      </w:r>
      <w:r w:rsidR="00C5328C">
        <w:rPr>
          <w:rFonts w:ascii="Arial" w:hAnsi="Arial" w:cs="Arial"/>
          <w:sz w:val="20"/>
          <w:szCs w:val="20"/>
          <w:lang w:val="en-US"/>
        </w:rPr>
        <w:t xml:space="preserve"> (based on division into </w:t>
      </w:r>
      <w:r w:rsidR="00ED48F3">
        <w:rPr>
          <w:rFonts w:ascii="Arial" w:hAnsi="Arial" w:cs="Arial"/>
          <w:sz w:val="20"/>
          <w:szCs w:val="20"/>
          <w:lang w:val="en-US"/>
        </w:rPr>
        <w:t>basket</w:t>
      </w:r>
      <w:r w:rsidR="00C5328C">
        <w:rPr>
          <w:rFonts w:ascii="Arial" w:hAnsi="Arial" w:cs="Arial"/>
          <w:sz w:val="20"/>
          <w:szCs w:val="20"/>
          <w:lang w:val="en-US"/>
        </w:rPr>
        <w:t>s according to their deviation</w:t>
      </w:r>
      <w:r w:rsidR="00AE6D41">
        <w:rPr>
          <w:rFonts w:ascii="Arial" w:hAnsi="Arial" w:cs="Arial"/>
          <w:sz w:val="20"/>
          <w:szCs w:val="20"/>
          <w:lang w:val="en-US"/>
        </w:rPr>
        <w:t>s</w:t>
      </w:r>
      <w:r w:rsidR="00C5328C">
        <w:rPr>
          <w:rFonts w:ascii="Arial" w:hAnsi="Arial" w:cs="Arial"/>
          <w:sz w:val="20"/>
          <w:szCs w:val="20"/>
          <w:lang w:val="en-US"/>
        </w:rPr>
        <w:t xml:space="preserve"> from</w:t>
      </w:r>
      <w:r w:rsidR="00F01EA0">
        <w:rPr>
          <w:rFonts w:ascii="Arial" w:hAnsi="Arial" w:cs="Arial"/>
          <w:sz w:val="20"/>
          <w:szCs w:val="20"/>
          <w:lang w:val="en-US"/>
        </w:rPr>
        <w:t xml:space="preserve"> their respective</w:t>
      </w:r>
      <w:r w:rsidR="00C5328C">
        <w:rPr>
          <w:rFonts w:ascii="Arial" w:hAnsi="Arial" w:cs="Arial"/>
          <w:sz w:val="20"/>
          <w:szCs w:val="20"/>
          <w:lang w:val="en-US"/>
        </w:rPr>
        <w:t xml:space="preserve"> moving average</w:t>
      </w:r>
      <w:r w:rsidR="00F01EA0">
        <w:rPr>
          <w:rFonts w:ascii="Arial" w:hAnsi="Arial" w:cs="Arial"/>
          <w:sz w:val="20"/>
          <w:szCs w:val="20"/>
          <w:lang w:val="en-US"/>
        </w:rPr>
        <w:t>s</w:t>
      </w:r>
      <w:r w:rsidR="00C5328C">
        <w:rPr>
          <w:rFonts w:ascii="Arial" w:hAnsi="Arial" w:cs="Arial"/>
          <w:sz w:val="20"/>
          <w:szCs w:val="20"/>
          <w:lang w:val="en-US"/>
        </w:rPr>
        <w:t>)</w:t>
      </w:r>
      <w:r w:rsidRPr="00A51255">
        <w:rPr>
          <w:rFonts w:ascii="Arial" w:hAnsi="Arial" w:cs="Arial"/>
          <w:sz w:val="20"/>
          <w:szCs w:val="20"/>
          <w:lang w:val="en-US"/>
        </w:rPr>
        <w:t>.</w:t>
      </w:r>
    </w:p>
    <w:p w:rsidR="00E554C9" w:rsidRPr="00285A7E" w:rsidRDefault="00E554C9" w:rsidP="00E554C9">
      <w:pPr>
        <w:jc w:val="center"/>
        <w:rPr>
          <w:rFonts w:ascii="Arial" w:hAnsi="Arial" w:cs="Arial"/>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021"/>
        <w:gridCol w:w="1021"/>
        <w:gridCol w:w="1021"/>
        <w:gridCol w:w="1021"/>
        <w:gridCol w:w="1021"/>
        <w:gridCol w:w="1021"/>
      </w:tblGrid>
      <w:tr w:rsidR="001478B9" w:rsidRPr="00A51255" w:rsidTr="0050218C">
        <w:trPr>
          <w:trHeight w:hRule="exact" w:val="680"/>
          <w:jc w:val="center"/>
        </w:trPr>
        <w:tc>
          <w:tcPr>
            <w:tcW w:w="2835" w:type="dxa"/>
            <w:vAlign w:val="center"/>
          </w:tcPr>
          <w:p w:rsidR="001478B9" w:rsidRPr="009F2566" w:rsidRDefault="001478B9" w:rsidP="0050218C">
            <w:pPr>
              <w:jc w:val="center"/>
              <w:rPr>
                <w:rFonts w:ascii="Arial" w:hAnsi="Arial" w:cs="Arial"/>
                <w:b/>
                <w:sz w:val="18"/>
                <w:szCs w:val="18"/>
                <w:lang w:val="en-US"/>
              </w:rPr>
            </w:pPr>
          </w:p>
        </w:tc>
        <w:tc>
          <w:tcPr>
            <w:tcW w:w="1021" w:type="dxa"/>
            <w:vAlign w:val="center"/>
          </w:tcPr>
          <w:p w:rsidR="001478B9" w:rsidRPr="009F2566" w:rsidRDefault="001478B9" w:rsidP="00C5328C">
            <w:pPr>
              <w:jc w:val="center"/>
              <w:rPr>
                <w:rFonts w:ascii="Arial" w:hAnsi="Arial" w:cs="Arial"/>
                <w:b/>
                <w:sz w:val="18"/>
                <w:szCs w:val="18"/>
                <w:lang w:val="en-US"/>
              </w:rPr>
            </w:pPr>
            <w:r>
              <w:rPr>
                <w:rFonts w:ascii="Arial" w:hAnsi="Arial" w:cs="Arial"/>
                <w:b/>
                <w:sz w:val="18"/>
                <w:szCs w:val="18"/>
                <w:lang w:val="en-US"/>
              </w:rPr>
              <w:t>strongly positive</w:t>
            </w:r>
          </w:p>
        </w:tc>
        <w:tc>
          <w:tcPr>
            <w:tcW w:w="1021" w:type="dxa"/>
            <w:vAlign w:val="center"/>
          </w:tcPr>
          <w:p w:rsidR="001478B9" w:rsidRPr="009F2566" w:rsidRDefault="001478B9" w:rsidP="00C5328C">
            <w:pPr>
              <w:jc w:val="center"/>
              <w:rPr>
                <w:rFonts w:ascii="Arial" w:hAnsi="Arial" w:cs="Arial"/>
                <w:b/>
                <w:sz w:val="18"/>
                <w:szCs w:val="18"/>
                <w:lang w:val="en-US"/>
              </w:rPr>
            </w:pPr>
            <w:r>
              <w:rPr>
                <w:rFonts w:ascii="Arial" w:hAnsi="Arial" w:cs="Arial"/>
                <w:b/>
                <w:sz w:val="18"/>
                <w:szCs w:val="18"/>
                <w:lang w:val="en-US"/>
              </w:rPr>
              <w:t>positive</w:t>
            </w:r>
          </w:p>
        </w:tc>
        <w:tc>
          <w:tcPr>
            <w:tcW w:w="1021" w:type="dxa"/>
            <w:vAlign w:val="center"/>
          </w:tcPr>
          <w:p w:rsidR="001478B9" w:rsidRPr="009F2566" w:rsidRDefault="001478B9" w:rsidP="00C5328C">
            <w:pPr>
              <w:jc w:val="center"/>
              <w:rPr>
                <w:rFonts w:ascii="Arial" w:hAnsi="Arial" w:cs="Arial"/>
                <w:b/>
                <w:sz w:val="18"/>
                <w:szCs w:val="18"/>
                <w:lang w:val="en-US"/>
              </w:rPr>
            </w:pPr>
            <w:r>
              <w:rPr>
                <w:rFonts w:ascii="Arial" w:hAnsi="Arial" w:cs="Arial"/>
                <w:b/>
                <w:sz w:val="18"/>
                <w:szCs w:val="18"/>
                <w:lang w:val="en-US"/>
              </w:rPr>
              <w:t>neutral</w:t>
            </w:r>
          </w:p>
        </w:tc>
        <w:tc>
          <w:tcPr>
            <w:tcW w:w="1021" w:type="dxa"/>
            <w:vAlign w:val="center"/>
          </w:tcPr>
          <w:p w:rsidR="001478B9" w:rsidRPr="009F2566" w:rsidRDefault="001478B9" w:rsidP="00C5328C">
            <w:pPr>
              <w:jc w:val="center"/>
              <w:rPr>
                <w:rFonts w:ascii="Arial" w:hAnsi="Arial" w:cs="Arial"/>
                <w:b/>
                <w:sz w:val="18"/>
                <w:szCs w:val="18"/>
                <w:lang w:val="en-US"/>
              </w:rPr>
            </w:pPr>
            <w:r>
              <w:rPr>
                <w:rFonts w:ascii="Arial" w:hAnsi="Arial" w:cs="Arial"/>
                <w:b/>
                <w:sz w:val="18"/>
                <w:szCs w:val="18"/>
                <w:lang w:val="en-US"/>
              </w:rPr>
              <w:t>negative</w:t>
            </w:r>
          </w:p>
        </w:tc>
        <w:tc>
          <w:tcPr>
            <w:tcW w:w="1021" w:type="dxa"/>
            <w:vAlign w:val="center"/>
          </w:tcPr>
          <w:p w:rsidR="001478B9" w:rsidRPr="009F2566" w:rsidRDefault="001478B9" w:rsidP="00C5328C">
            <w:pPr>
              <w:jc w:val="center"/>
              <w:rPr>
                <w:rFonts w:ascii="Arial" w:hAnsi="Arial" w:cs="Arial"/>
                <w:b/>
                <w:sz w:val="18"/>
                <w:szCs w:val="18"/>
                <w:lang w:val="en-US"/>
              </w:rPr>
            </w:pPr>
            <w:r>
              <w:rPr>
                <w:rFonts w:ascii="Arial" w:hAnsi="Arial" w:cs="Arial"/>
                <w:b/>
                <w:sz w:val="18"/>
                <w:szCs w:val="18"/>
                <w:lang w:val="en-US"/>
              </w:rPr>
              <w:t>strongly negative</w:t>
            </w:r>
          </w:p>
        </w:tc>
        <w:tc>
          <w:tcPr>
            <w:tcW w:w="1021" w:type="dxa"/>
            <w:vAlign w:val="center"/>
          </w:tcPr>
          <w:p w:rsidR="001478B9" w:rsidRDefault="001478B9" w:rsidP="008124BD">
            <w:pPr>
              <w:jc w:val="center"/>
              <w:rPr>
                <w:rFonts w:ascii="Arial" w:hAnsi="Arial" w:cs="Arial"/>
                <w:b/>
                <w:sz w:val="18"/>
                <w:szCs w:val="18"/>
                <w:lang w:val="en-US"/>
              </w:rPr>
            </w:pPr>
            <w:r>
              <w:rPr>
                <w:rFonts w:ascii="Arial" w:hAnsi="Arial" w:cs="Arial"/>
                <w:b/>
                <w:sz w:val="18"/>
                <w:szCs w:val="18"/>
                <w:lang w:val="en-US"/>
              </w:rPr>
              <w:t>Sum:</w:t>
            </w:r>
          </w:p>
        </w:tc>
      </w:tr>
      <w:tr w:rsidR="001478B9" w:rsidRPr="00A51255" w:rsidTr="0050218C">
        <w:trPr>
          <w:jc w:val="center"/>
        </w:trPr>
        <w:tc>
          <w:tcPr>
            <w:tcW w:w="2835" w:type="dxa"/>
            <w:vAlign w:val="center"/>
          </w:tcPr>
          <w:p w:rsidR="001478B9" w:rsidRPr="009F2566" w:rsidRDefault="001478B9" w:rsidP="0050218C">
            <w:pPr>
              <w:jc w:val="center"/>
              <w:rPr>
                <w:rFonts w:ascii="Arial" w:hAnsi="Arial" w:cs="Arial"/>
                <w:b/>
                <w:sz w:val="18"/>
                <w:szCs w:val="18"/>
                <w:lang w:val="en-US"/>
              </w:rPr>
            </w:pPr>
            <w:r w:rsidRPr="009F2566">
              <w:rPr>
                <w:rFonts w:ascii="Arial" w:hAnsi="Arial" w:cs="Arial"/>
                <w:b/>
                <w:sz w:val="18"/>
                <w:szCs w:val="18"/>
                <w:lang w:val="en-US"/>
              </w:rPr>
              <w:t>Money Supply (</w:t>
            </w:r>
            <w:r w:rsidRPr="009F2566">
              <w:rPr>
                <w:b/>
                <w:i/>
                <w:sz w:val="18"/>
                <w:szCs w:val="18"/>
                <w:lang w:val="en-US"/>
              </w:rPr>
              <w:t>MS</w:t>
            </w:r>
            <w:r w:rsidRPr="009F2566">
              <w:rPr>
                <w:rFonts w:ascii="Arial" w:hAnsi="Arial" w:cs="Arial"/>
                <w:b/>
                <w:sz w:val="18"/>
                <w:szCs w:val="18"/>
                <w:lang w:val="en-US"/>
              </w:rPr>
              <w:t>)</w:t>
            </w:r>
          </w:p>
        </w:tc>
        <w:tc>
          <w:tcPr>
            <w:tcW w:w="1021" w:type="dxa"/>
            <w:vAlign w:val="center"/>
          </w:tcPr>
          <w:p w:rsidR="001478B9" w:rsidRDefault="001478B9" w:rsidP="002C4402">
            <w:pPr>
              <w:jc w:val="center"/>
              <w:rPr>
                <w:rFonts w:ascii="Arial" w:hAnsi="Arial" w:cs="Arial"/>
                <w:sz w:val="18"/>
                <w:szCs w:val="18"/>
                <w:lang w:val="en-US"/>
              </w:rPr>
            </w:pPr>
          </w:p>
          <w:p w:rsidR="001478B9" w:rsidRDefault="001478B9" w:rsidP="002C4402">
            <w:pPr>
              <w:jc w:val="center"/>
              <w:rPr>
                <w:rFonts w:ascii="Arial" w:hAnsi="Arial" w:cs="Arial"/>
                <w:sz w:val="18"/>
                <w:szCs w:val="18"/>
                <w:lang w:val="en-US"/>
              </w:rPr>
            </w:pPr>
            <w:r>
              <w:rPr>
                <w:rFonts w:ascii="Arial" w:hAnsi="Arial" w:cs="Arial"/>
                <w:sz w:val="18"/>
                <w:szCs w:val="18"/>
                <w:lang w:val="en-US"/>
              </w:rPr>
              <w:t>5</w:t>
            </w:r>
          </w:p>
          <w:p w:rsidR="001478B9" w:rsidRPr="00B6236F" w:rsidRDefault="001478B9" w:rsidP="002C4402">
            <w:pPr>
              <w:jc w:val="center"/>
              <w:rPr>
                <w:rFonts w:ascii="Arial" w:hAnsi="Arial" w:cs="Arial"/>
                <w:sz w:val="18"/>
                <w:szCs w:val="18"/>
                <w:lang w:val="en-US"/>
              </w:rPr>
            </w:pPr>
          </w:p>
        </w:tc>
        <w:tc>
          <w:tcPr>
            <w:tcW w:w="1021" w:type="dxa"/>
            <w:vAlign w:val="center"/>
          </w:tcPr>
          <w:p w:rsidR="001478B9" w:rsidRDefault="001478B9" w:rsidP="002C4402">
            <w:pPr>
              <w:jc w:val="center"/>
              <w:rPr>
                <w:rFonts w:ascii="Arial" w:hAnsi="Arial" w:cs="Arial"/>
                <w:sz w:val="18"/>
                <w:szCs w:val="18"/>
                <w:lang w:val="en-US"/>
              </w:rPr>
            </w:pPr>
            <w:r>
              <w:rPr>
                <w:rFonts w:ascii="Arial" w:hAnsi="Arial" w:cs="Arial"/>
                <w:sz w:val="18"/>
                <w:szCs w:val="18"/>
                <w:lang w:val="en-US"/>
              </w:rPr>
              <w:t>18</w:t>
            </w:r>
          </w:p>
        </w:tc>
        <w:tc>
          <w:tcPr>
            <w:tcW w:w="1021" w:type="dxa"/>
            <w:vAlign w:val="center"/>
          </w:tcPr>
          <w:p w:rsidR="001478B9" w:rsidRDefault="001478B9" w:rsidP="002C4402">
            <w:pPr>
              <w:jc w:val="center"/>
              <w:rPr>
                <w:rFonts w:ascii="Arial" w:hAnsi="Arial" w:cs="Arial"/>
                <w:sz w:val="18"/>
                <w:szCs w:val="18"/>
                <w:lang w:val="en-US"/>
              </w:rPr>
            </w:pPr>
            <w:r>
              <w:rPr>
                <w:rFonts w:ascii="Arial" w:hAnsi="Arial" w:cs="Arial"/>
                <w:sz w:val="18"/>
                <w:szCs w:val="18"/>
                <w:lang w:val="en-US"/>
              </w:rPr>
              <w:t>7</w:t>
            </w:r>
          </w:p>
        </w:tc>
        <w:tc>
          <w:tcPr>
            <w:tcW w:w="1021" w:type="dxa"/>
            <w:vAlign w:val="center"/>
          </w:tcPr>
          <w:p w:rsidR="001478B9" w:rsidRDefault="001478B9" w:rsidP="002C4402">
            <w:pPr>
              <w:jc w:val="center"/>
              <w:rPr>
                <w:rFonts w:ascii="Arial" w:hAnsi="Arial" w:cs="Arial"/>
                <w:sz w:val="18"/>
                <w:szCs w:val="18"/>
                <w:lang w:val="en-US"/>
              </w:rPr>
            </w:pPr>
            <w:r>
              <w:rPr>
                <w:rFonts w:ascii="Arial" w:hAnsi="Arial" w:cs="Arial"/>
                <w:sz w:val="18"/>
                <w:szCs w:val="18"/>
                <w:lang w:val="en-US"/>
              </w:rPr>
              <w:t>7</w:t>
            </w:r>
          </w:p>
        </w:tc>
        <w:tc>
          <w:tcPr>
            <w:tcW w:w="1021" w:type="dxa"/>
            <w:vAlign w:val="center"/>
          </w:tcPr>
          <w:p w:rsidR="001478B9" w:rsidRDefault="001478B9" w:rsidP="002C4402">
            <w:pPr>
              <w:jc w:val="center"/>
              <w:rPr>
                <w:rFonts w:ascii="Arial" w:hAnsi="Arial" w:cs="Arial"/>
                <w:sz w:val="18"/>
                <w:szCs w:val="18"/>
                <w:lang w:val="en-US"/>
              </w:rPr>
            </w:pPr>
            <w:r>
              <w:rPr>
                <w:rFonts w:ascii="Arial" w:hAnsi="Arial" w:cs="Arial"/>
                <w:sz w:val="18"/>
                <w:szCs w:val="18"/>
                <w:lang w:val="en-US"/>
              </w:rPr>
              <w:t>1</w:t>
            </w:r>
          </w:p>
        </w:tc>
        <w:tc>
          <w:tcPr>
            <w:tcW w:w="1021" w:type="dxa"/>
            <w:vAlign w:val="center"/>
          </w:tcPr>
          <w:p w:rsidR="001478B9" w:rsidRDefault="001478B9" w:rsidP="006B1DC3">
            <w:pPr>
              <w:jc w:val="center"/>
              <w:rPr>
                <w:rFonts w:ascii="Arial" w:hAnsi="Arial" w:cs="Arial"/>
                <w:sz w:val="18"/>
                <w:szCs w:val="18"/>
                <w:lang w:val="en-US"/>
              </w:rPr>
            </w:pPr>
          </w:p>
          <w:p w:rsidR="001478B9" w:rsidRDefault="001478B9" w:rsidP="006B1DC3">
            <w:pPr>
              <w:jc w:val="center"/>
              <w:rPr>
                <w:rFonts w:ascii="Arial" w:hAnsi="Arial" w:cs="Arial"/>
                <w:sz w:val="18"/>
                <w:szCs w:val="18"/>
                <w:lang w:val="en-US"/>
              </w:rPr>
            </w:pPr>
            <w:r w:rsidRPr="00B6236F">
              <w:rPr>
                <w:rFonts w:ascii="Arial" w:hAnsi="Arial" w:cs="Arial"/>
                <w:sz w:val="18"/>
                <w:szCs w:val="18"/>
                <w:lang w:val="en-US"/>
              </w:rPr>
              <w:t>38</w:t>
            </w:r>
          </w:p>
          <w:p w:rsidR="001478B9" w:rsidRPr="00B6236F" w:rsidRDefault="001478B9" w:rsidP="006B1DC3">
            <w:pPr>
              <w:jc w:val="center"/>
              <w:rPr>
                <w:rFonts w:ascii="Arial" w:hAnsi="Arial" w:cs="Arial"/>
                <w:sz w:val="18"/>
                <w:szCs w:val="18"/>
                <w:lang w:val="en-US"/>
              </w:rPr>
            </w:pPr>
          </w:p>
        </w:tc>
      </w:tr>
      <w:tr w:rsidR="001478B9" w:rsidRPr="00A51255" w:rsidTr="0050218C">
        <w:trPr>
          <w:jc w:val="center"/>
        </w:trPr>
        <w:tc>
          <w:tcPr>
            <w:tcW w:w="2835" w:type="dxa"/>
            <w:vAlign w:val="center"/>
          </w:tcPr>
          <w:p w:rsidR="001478B9" w:rsidRPr="009F2566" w:rsidRDefault="001478B9" w:rsidP="0050218C">
            <w:pPr>
              <w:jc w:val="center"/>
              <w:rPr>
                <w:rFonts w:ascii="Arial" w:hAnsi="Arial" w:cs="Arial"/>
                <w:b/>
                <w:sz w:val="18"/>
                <w:szCs w:val="18"/>
                <w:lang w:val="en-US"/>
              </w:rPr>
            </w:pPr>
            <w:r w:rsidRPr="009F2566">
              <w:rPr>
                <w:rFonts w:ascii="Arial" w:hAnsi="Arial" w:cs="Arial"/>
                <w:b/>
                <w:sz w:val="18"/>
                <w:szCs w:val="18"/>
                <w:lang w:val="en-US"/>
              </w:rPr>
              <w:t>Reserve Money (</w:t>
            </w:r>
            <w:r w:rsidRPr="009F2566">
              <w:rPr>
                <w:b/>
                <w:i/>
                <w:sz w:val="18"/>
                <w:szCs w:val="18"/>
                <w:lang w:val="en-US"/>
              </w:rPr>
              <w:t>RM</w:t>
            </w:r>
            <w:r w:rsidRPr="009F2566">
              <w:rPr>
                <w:rFonts w:ascii="Arial" w:hAnsi="Arial" w:cs="Arial"/>
                <w:b/>
                <w:sz w:val="18"/>
                <w:szCs w:val="18"/>
                <w:lang w:val="en-US"/>
              </w:rPr>
              <w:t>)</w:t>
            </w:r>
          </w:p>
        </w:tc>
        <w:tc>
          <w:tcPr>
            <w:tcW w:w="1021" w:type="dxa"/>
            <w:vAlign w:val="center"/>
          </w:tcPr>
          <w:p w:rsidR="001478B9" w:rsidRDefault="001478B9" w:rsidP="002C4402">
            <w:pPr>
              <w:jc w:val="center"/>
              <w:rPr>
                <w:rFonts w:ascii="Arial" w:hAnsi="Arial" w:cs="Arial"/>
                <w:sz w:val="18"/>
                <w:szCs w:val="18"/>
                <w:lang w:val="en-US"/>
              </w:rPr>
            </w:pPr>
          </w:p>
          <w:p w:rsidR="001478B9" w:rsidRDefault="001478B9" w:rsidP="002C4402">
            <w:pPr>
              <w:jc w:val="center"/>
              <w:rPr>
                <w:rFonts w:ascii="Arial" w:hAnsi="Arial" w:cs="Arial"/>
                <w:sz w:val="18"/>
                <w:szCs w:val="18"/>
                <w:lang w:val="en-US"/>
              </w:rPr>
            </w:pPr>
            <w:r>
              <w:rPr>
                <w:rFonts w:ascii="Arial" w:hAnsi="Arial" w:cs="Arial"/>
                <w:sz w:val="18"/>
                <w:szCs w:val="18"/>
                <w:lang w:val="en-US"/>
              </w:rPr>
              <w:t>3</w:t>
            </w:r>
          </w:p>
          <w:p w:rsidR="001478B9" w:rsidRPr="00B6236F" w:rsidRDefault="001478B9" w:rsidP="002C4402">
            <w:pPr>
              <w:jc w:val="center"/>
              <w:rPr>
                <w:rFonts w:ascii="Arial" w:hAnsi="Arial" w:cs="Arial"/>
                <w:sz w:val="18"/>
                <w:szCs w:val="18"/>
                <w:lang w:val="en-US"/>
              </w:rPr>
            </w:pPr>
          </w:p>
        </w:tc>
        <w:tc>
          <w:tcPr>
            <w:tcW w:w="1021" w:type="dxa"/>
            <w:vAlign w:val="center"/>
          </w:tcPr>
          <w:p w:rsidR="001478B9" w:rsidRDefault="001478B9" w:rsidP="002C4402">
            <w:pPr>
              <w:jc w:val="center"/>
              <w:rPr>
                <w:rFonts w:ascii="Arial" w:hAnsi="Arial" w:cs="Arial"/>
                <w:sz w:val="18"/>
                <w:szCs w:val="18"/>
                <w:lang w:val="en-US"/>
              </w:rPr>
            </w:pPr>
            <w:r>
              <w:rPr>
                <w:rFonts w:ascii="Arial" w:hAnsi="Arial" w:cs="Arial"/>
                <w:sz w:val="18"/>
                <w:szCs w:val="18"/>
                <w:lang w:val="en-US"/>
              </w:rPr>
              <w:t>11</w:t>
            </w:r>
          </w:p>
        </w:tc>
        <w:tc>
          <w:tcPr>
            <w:tcW w:w="1021" w:type="dxa"/>
            <w:vAlign w:val="center"/>
          </w:tcPr>
          <w:p w:rsidR="001478B9" w:rsidRDefault="001478B9" w:rsidP="002C4402">
            <w:pPr>
              <w:jc w:val="center"/>
              <w:rPr>
                <w:rFonts w:ascii="Arial" w:hAnsi="Arial" w:cs="Arial"/>
                <w:sz w:val="18"/>
                <w:szCs w:val="18"/>
                <w:lang w:val="en-US"/>
              </w:rPr>
            </w:pPr>
            <w:r>
              <w:rPr>
                <w:rFonts w:ascii="Arial" w:hAnsi="Arial" w:cs="Arial"/>
                <w:sz w:val="18"/>
                <w:szCs w:val="18"/>
                <w:lang w:val="en-US"/>
              </w:rPr>
              <w:t>15</w:t>
            </w:r>
          </w:p>
        </w:tc>
        <w:tc>
          <w:tcPr>
            <w:tcW w:w="1021" w:type="dxa"/>
            <w:vAlign w:val="center"/>
          </w:tcPr>
          <w:p w:rsidR="001478B9" w:rsidRDefault="001478B9" w:rsidP="002C4402">
            <w:pPr>
              <w:jc w:val="center"/>
              <w:rPr>
                <w:rFonts w:ascii="Arial" w:hAnsi="Arial" w:cs="Arial"/>
                <w:sz w:val="18"/>
                <w:szCs w:val="18"/>
                <w:lang w:val="en-US"/>
              </w:rPr>
            </w:pPr>
            <w:r>
              <w:rPr>
                <w:rFonts w:ascii="Arial" w:hAnsi="Arial" w:cs="Arial"/>
                <w:sz w:val="18"/>
                <w:szCs w:val="18"/>
                <w:lang w:val="en-US"/>
              </w:rPr>
              <w:t>8</w:t>
            </w:r>
          </w:p>
        </w:tc>
        <w:tc>
          <w:tcPr>
            <w:tcW w:w="1021" w:type="dxa"/>
            <w:vAlign w:val="center"/>
          </w:tcPr>
          <w:p w:rsidR="001478B9" w:rsidRDefault="001478B9" w:rsidP="002C4402">
            <w:pPr>
              <w:jc w:val="center"/>
              <w:rPr>
                <w:rFonts w:ascii="Arial" w:hAnsi="Arial" w:cs="Arial"/>
                <w:sz w:val="18"/>
                <w:szCs w:val="18"/>
                <w:lang w:val="en-US"/>
              </w:rPr>
            </w:pPr>
            <w:r>
              <w:rPr>
                <w:rFonts w:ascii="Arial" w:hAnsi="Arial" w:cs="Arial"/>
                <w:sz w:val="18"/>
                <w:szCs w:val="18"/>
                <w:lang w:val="en-US"/>
              </w:rPr>
              <w:t>1</w:t>
            </w:r>
          </w:p>
        </w:tc>
        <w:tc>
          <w:tcPr>
            <w:tcW w:w="1021" w:type="dxa"/>
            <w:vAlign w:val="center"/>
          </w:tcPr>
          <w:p w:rsidR="001478B9" w:rsidRDefault="001478B9" w:rsidP="006B1DC3">
            <w:pPr>
              <w:jc w:val="center"/>
              <w:rPr>
                <w:rFonts w:ascii="Arial" w:hAnsi="Arial" w:cs="Arial"/>
                <w:sz w:val="18"/>
                <w:szCs w:val="18"/>
                <w:lang w:val="en-US"/>
              </w:rPr>
            </w:pPr>
          </w:p>
          <w:p w:rsidR="001478B9" w:rsidRDefault="001478B9" w:rsidP="006B1DC3">
            <w:pPr>
              <w:jc w:val="center"/>
              <w:rPr>
                <w:rFonts w:ascii="Arial" w:hAnsi="Arial" w:cs="Arial"/>
                <w:sz w:val="18"/>
                <w:szCs w:val="18"/>
                <w:lang w:val="en-US"/>
              </w:rPr>
            </w:pPr>
            <w:r w:rsidRPr="00B6236F">
              <w:rPr>
                <w:rFonts w:ascii="Arial" w:hAnsi="Arial" w:cs="Arial"/>
                <w:sz w:val="18"/>
                <w:szCs w:val="18"/>
                <w:lang w:val="en-US"/>
              </w:rPr>
              <w:t>38</w:t>
            </w:r>
          </w:p>
          <w:p w:rsidR="001478B9" w:rsidRPr="00B6236F" w:rsidRDefault="001478B9" w:rsidP="006B1DC3">
            <w:pPr>
              <w:jc w:val="center"/>
              <w:rPr>
                <w:rFonts w:ascii="Arial" w:hAnsi="Arial" w:cs="Arial"/>
                <w:sz w:val="18"/>
                <w:szCs w:val="18"/>
                <w:lang w:val="en-US"/>
              </w:rPr>
            </w:pPr>
          </w:p>
        </w:tc>
      </w:tr>
      <w:tr w:rsidR="001478B9" w:rsidRPr="00A51255" w:rsidTr="0050218C">
        <w:trPr>
          <w:jc w:val="center"/>
        </w:trPr>
        <w:tc>
          <w:tcPr>
            <w:tcW w:w="2835" w:type="dxa"/>
            <w:vAlign w:val="center"/>
          </w:tcPr>
          <w:p w:rsidR="001478B9" w:rsidRPr="009F2566" w:rsidRDefault="001478B9" w:rsidP="0050218C">
            <w:pPr>
              <w:jc w:val="center"/>
              <w:rPr>
                <w:rFonts w:ascii="Arial" w:hAnsi="Arial" w:cs="Arial"/>
                <w:b/>
                <w:sz w:val="18"/>
                <w:szCs w:val="18"/>
                <w:lang w:val="en-US"/>
              </w:rPr>
            </w:pPr>
            <w:r w:rsidRPr="009F2566">
              <w:rPr>
                <w:rFonts w:ascii="Arial" w:hAnsi="Arial" w:cs="Arial"/>
                <w:b/>
                <w:sz w:val="18"/>
                <w:szCs w:val="18"/>
                <w:lang w:val="en-US"/>
              </w:rPr>
              <w:t>Balance of Payments (</w:t>
            </w:r>
            <w:r w:rsidRPr="00600781">
              <w:rPr>
                <w:b/>
                <w:i/>
                <w:sz w:val="18"/>
                <w:szCs w:val="18"/>
                <w:lang w:val="en-US"/>
              </w:rPr>
              <w:t>BOP</w:t>
            </w:r>
            <w:r w:rsidRPr="009F2566">
              <w:rPr>
                <w:rFonts w:ascii="Arial" w:hAnsi="Arial" w:cs="Arial"/>
                <w:b/>
                <w:sz w:val="18"/>
                <w:szCs w:val="18"/>
                <w:lang w:val="en-US"/>
              </w:rPr>
              <w:t>)</w:t>
            </w:r>
          </w:p>
        </w:tc>
        <w:tc>
          <w:tcPr>
            <w:tcW w:w="1021" w:type="dxa"/>
            <w:vAlign w:val="center"/>
          </w:tcPr>
          <w:p w:rsidR="001478B9" w:rsidRDefault="001478B9" w:rsidP="002C4402">
            <w:pPr>
              <w:jc w:val="center"/>
              <w:rPr>
                <w:rFonts w:ascii="Arial" w:hAnsi="Arial" w:cs="Arial"/>
                <w:sz w:val="18"/>
                <w:szCs w:val="18"/>
                <w:lang w:val="en-US"/>
              </w:rPr>
            </w:pPr>
          </w:p>
          <w:p w:rsidR="001478B9" w:rsidRDefault="001478B9" w:rsidP="002C4402">
            <w:pPr>
              <w:jc w:val="center"/>
              <w:rPr>
                <w:rFonts w:ascii="Arial" w:hAnsi="Arial" w:cs="Arial"/>
                <w:sz w:val="18"/>
                <w:szCs w:val="18"/>
                <w:lang w:val="en-US"/>
              </w:rPr>
            </w:pPr>
            <w:r>
              <w:rPr>
                <w:rFonts w:ascii="Arial" w:hAnsi="Arial" w:cs="Arial"/>
                <w:sz w:val="18"/>
                <w:szCs w:val="18"/>
                <w:lang w:val="en-US"/>
              </w:rPr>
              <w:t>1</w:t>
            </w:r>
          </w:p>
          <w:p w:rsidR="001478B9" w:rsidRPr="00B6236F" w:rsidRDefault="001478B9" w:rsidP="002C4402">
            <w:pPr>
              <w:jc w:val="center"/>
              <w:rPr>
                <w:rFonts w:ascii="Arial" w:hAnsi="Arial" w:cs="Arial"/>
                <w:sz w:val="18"/>
                <w:szCs w:val="18"/>
                <w:lang w:val="en-US"/>
              </w:rPr>
            </w:pPr>
          </w:p>
        </w:tc>
        <w:tc>
          <w:tcPr>
            <w:tcW w:w="1021" w:type="dxa"/>
            <w:vAlign w:val="center"/>
          </w:tcPr>
          <w:p w:rsidR="001478B9" w:rsidRDefault="001478B9" w:rsidP="002C4402">
            <w:pPr>
              <w:jc w:val="center"/>
              <w:rPr>
                <w:rFonts w:ascii="Arial" w:hAnsi="Arial" w:cs="Arial"/>
                <w:sz w:val="18"/>
                <w:szCs w:val="18"/>
                <w:lang w:val="en-US"/>
              </w:rPr>
            </w:pPr>
            <w:r>
              <w:rPr>
                <w:rFonts w:ascii="Arial" w:hAnsi="Arial" w:cs="Arial"/>
                <w:sz w:val="18"/>
                <w:szCs w:val="18"/>
                <w:lang w:val="en-US"/>
              </w:rPr>
              <w:t>8</w:t>
            </w:r>
          </w:p>
        </w:tc>
        <w:tc>
          <w:tcPr>
            <w:tcW w:w="1021" w:type="dxa"/>
            <w:vAlign w:val="center"/>
          </w:tcPr>
          <w:p w:rsidR="001478B9" w:rsidRDefault="001478B9" w:rsidP="002C4402">
            <w:pPr>
              <w:jc w:val="center"/>
              <w:rPr>
                <w:rFonts w:ascii="Arial" w:hAnsi="Arial" w:cs="Arial"/>
                <w:sz w:val="18"/>
                <w:szCs w:val="18"/>
                <w:lang w:val="en-US"/>
              </w:rPr>
            </w:pPr>
            <w:r>
              <w:rPr>
                <w:rFonts w:ascii="Arial" w:hAnsi="Arial" w:cs="Arial"/>
                <w:sz w:val="18"/>
                <w:szCs w:val="18"/>
                <w:lang w:val="en-US"/>
              </w:rPr>
              <w:t>21</w:t>
            </w:r>
          </w:p>
        </w:tc>
        <w:tc>
          <w:tcPr>
            <w:tcW w:w="1021" w:type="dxa"/>
            <w:vAlign w:val="center"/>
          </w:tcPr>
          <w:p w:rsidR="001478B9" w:rsidRDefault="001478B9" w:rsidP="002C4402">
            <w:pPr>
              <w:jc w:val="center"/>
              <w:rPr>
                <w:rFonts w:ascii="Arial" w:hAnsi="Arial" w:cs="Arial"/>
                <w:sz w:val="18"/>
                <w:szCs w:val="18"/>
                <w:lang w:val="en-US"/>
              </w:rPr>
            </w:pPr>
            <w:r>
              <w:rPr>
                <w:rFonts w:ascii="Arial" w:hAnsi="Arial" w:cs="Arial"/>
                <w:sz w:val="18"/>
                <w:szCs w:val="18"/>
                <w:lang w:val="en-US"/>
              </w:rPr>
              <w:t>7</w:t>
            </w:r>
          </w:p>
        </w:tc>
        <w:tc>
          <w:tcPr>
            <w:tcW w:w="1021" w:type="dxa"/>
            <w:vAlign w:val="center"/>
          </w:tcPr>
          <w:p w:rsidR="001478B9" w:rsidRDefault="001478B9" w:rsidP="002C4402">
            <w:pPr>
              <w:jc w:val="center"/>
              <w:rPr>
                <w:rFonts w:ascii="Arial" w:hAnsi="Arial" w:cs="Arial"/>
                <w:sz w:val="18"/>
                <w:szCs w:val="18"/>
                <w:lang w:val="en-US"/>
              </w:rPr>
            </w:pPr>
            <w:r>
              <w:rPr>
                <w:rFonts w:ascii="Arial" w:hAnsi="Arial" w:cs="Arial"/>
                <w:sz w:val="18"/>
                <w:szCs w:val="18"/>
                <w:lang w:val="en-US"/>
              </w:rPr>
              <w:t>1</w:t>
            </w:r>
          </w:p>
        </w:tc>
        <w:tc>
          <w:tcPr>
            <w:tcW w:w="1021" w:type="dxa"/>
            <w:vAlign w:val="center"/>
          </w:tcPr>
          <w:p w:rsidR="001478B9" w:rsidRDefault="001478B9" w:rsidP="006B1DC3">
            <w:pPr>
              <w:jc w:val="center"/>
              <w:rPr>
                <w:rFonts w:ascii="Arial" w:hAnsi="Arial" w:cs="Arial"/>
                <w:sz w:val="18"/>
                <w:szCs w:val="18"/>
                <w:lang w:val="en-US"/>
              </w:rPr>
            </w:pPr>
          </w:p>
          <w:p w:rsidR="001478B9" w:rsidRDefault="001478B9" w:rsidP="006B1DC3">
            <w:pPr>
              <w:jc w:val="center"/>
              <w:rPr>
                <w:rFonts w:ascii="Arial" w:hAnsi="Arial" w:cs="Arial"/>
                <w:sz w:val="18"/>
                <w:szCs w:val="18"/>
                <w:lang w:val="en-US"/>
              </w:rPr>
            </w:pPr>
            <w:r w:rsidRPr="00B6236F">
              <w:rPr>
                <w:rFonts w:ascii="Arial" w:hAnsi="Arial" w:cs="Arial"/>
                <w:sz w:val="18"/>
                <w:szCs w:val="18"/>
                <w:lang w:val="en-US"/>
              </w:rPr>
              <w:t>38</w:t>
            </w:r>
          </w:p>
          <w:p w:rsidR="001478B9" w:rsidRPr="00B6236F" w:rsidRDefault="001478B9" w:rsidP="006B1DC3">
            <w:pPr>
              <w:jc w:val="center"/>
              <w:rPr>
                <w:rFonts w:ascii="Arial" w:hAnsi="Arial" w:cs="Arial"/>
                <w:sz w:val="18"/>
                <w:szCs w:val="18"/>
                <w:lang w:val="en-US"/>
              </w:rPr>
            </w:pPr>
          </w:p>
        </w:tc>
      </w:tr>
      <w:tr w:rsidR="001478B9" w:rsidRPr="00A51255" w:rsidTr="0050218C">
        <w:trPr>
          <w:jc w:val="center"/>
        </w:trPr>
        <w:tc>
          <w:tcPr>
            <w:tcW w:w="2835" w:type="dxa"/>
            <w:vAlign w:val="center"/>
          </w:tcPr>
          <w:p w:rsidR="001478B9" w:rsidRPr="009F2566" w:rsidRDefault="001478B9" w:rsidP="0050218C">
            <w:pPr>
              <w:jc w:val="center"/>
              <w:rPr>
                <w:rFonts w:ascii="Arial" w:hAnsi="Arial" w:cs="Arial"/>
                <w:b/>
                <w:sz w:val="18"/>
                <w:szCs w:val="18"/>
                <w:lang w:val="en-US"/>
              </w:rPr>
            </w:pPr>
            <w:r w:rsidRPr="009F2566">
              <w:rPr>
                <w:rFonts w:ascii="Arial" w:hAnsi="Arial" w:cs="Arial"/>
                <w:b/>
                <w:sz w:val="18"/>
                <w:szCs w:val="18"/>
                <w:lang w:val="en-US"/>
              </w:rPr>
              <w:t>Liquid Assets and Liabilities in Foreign Currencies (</w:t>
            </w:r>
            <w:r w:rsidRPr="009F2566">
              <w:rPr>
                <w:b/>
                <w:i/>
                <w:sz w:val="18"/>
                <w:szCs w:val="18"/>
                <w:lang w:val="en-US"/>
              </w:rPr>
              <w:t>AL</w:t>
            </w:r>
            <w:r w:rsidRPr="009F2566">
              <w:rPr>
                <w:rFonts w:ascii="Arial" w:hAnsi="Arial" w:cs="Arial"/>
                <w:b/>
                <w:sz w:val="18"/>
                <w:szCs w:val="18"/>
                <w:lang w:val="en-US"/>
              </w:rPr>
              <w:t>)</w:t>
            </w:r>
          </w:p>
        </w:tc>
        <w:tc>
          <w:tcPr>
            <w:tcW w:w="1021" w:type="dxa"/>
            <w:vAlign w:val="center"/>
          </w:tcPr>
          <w:p w:rsidR="001478B9" w:rsidRDefault="001478B9" w:rsidP="002C4402">
            <w:pPr>
              <w:jc w:val="center"/>
              <w:rPr>
                <w:rFonts w:ascii="Arial" w:hAnsi="Arial" w:cs="Arial"/>
                <w:sz w:val="18"/>
                <w:szCs w:val="18"/>
                <w:lang w:val="en-US"/>
              </w:rPr>
            </w:pPr>
          </w:p>
          <w:p w:rsidR="001478B9" w:rsidRDefault="001478B9" w:rsidP="002C4402">
            <w:pPr>
              <w:jc w:val="center"/>
              <w:rPr>
                <w:rFonts w:ascii="Arial" w:hAnsi="Arial" w:cs="Arial"/>
                <w:sz w:val="18"/>
                <w:szCs w:val="18"/>
                <w:lang w:val="en-US"/>
              </w:rPr>
            </w:pPr>
            <w:r>
              <w:rPr>
                <w:rFonts w:ascii="Arial" w:hAnsi="Arial" w:cs="Arial"/>
                <w:sz w:val="18"/>
                <w:szCs w:val="18"/>
                <w:lang w:val="en-US"/>
              </w:rPr>
              <w:t>1</w:t>
            </w:r>
          </w:p>
          <w:p w:rsidR="001478B9" w:rsidRPr="00B6236F" w:rsidRDefault="001478B9" w:rsidP="002C4402">
            <w:pPr>
              <w:jc w:val="center"/>
              <w:rPr>
                <w:rFonts w:ascii="Arial" w:hAnsi="Arial" w:cs="Arial"/>
                <w:sz w:val="18"/>
                <w:szCs w:val="18"/>
                <w:lang w:val="en-US"/>
              </w:rPr>
            </w:pPr>
          </w:p>
        </w:tc>
        <w:tc>
          <w:tcPr>
            <w:tcW w:w="1021" w:type="dxa"/>
            <w:vAlign w:val="center"/>
          </w:tcPr>
          <w:p w:rsidR="001478B9" w:rsidRDefault="001478B9" w:rsidP="002C4402">
            <w:pPr>
              <w:jc w:val="center"/>
              <w:rPr>
                <w:rFonts w:ascii="Arial" w:hAnsi="Arial" w:cs="Arial"/>
                <w:sz w:val="18"/>
                <w:szCs w:val="18"/>
                <w:lang w:val="en-US"/>
              </w:rPr>
            </w:pPr>
            <w:r>
              <w:rPr>
                <w:rFonts w:ascii="Arial" w:hAnsi="Arial" w:cs="Arial"/>
                <w:sz w:val="18"/>
                <w:szCs w:val="18"/>
                <w:lang w:val="en-US"/>
              </w:rPr>
              <w:t>8</w:t>
            </w:r>
          </w:p>
        </w:tc>
        <w:tc>
          <w:tcPr>
            <w:tcW w:w="1021" w:type="dxa"/>
            <w:vAlign w:val="center"/>
          </w:tcPr>
          <w:p w:rsidR="001478B9" w:rsidRDefault="001478B9" w:rsidP="002C4402">
            <w:pPr>
              <w:jc w:val="center"/>
              <w:rPr>
                <w:rFonts w:ascii="Arial" w:hAnsi="Arial" w:cs="Arial"/>
                <w:sz w:val="18"/>
                <w:szCs w:val="18"/>
                <w:lang w:val="en-US"/>
              </w:rPr>
            </w:pPr>
            <w:r>
              <w:rPr>
                <w:rFonts w:ascii="Arial" w:hAnsi="Arial" w:cs="Arial"/>
                <w:sz w:val="18"/>
                <w:szCs w:val="18"/>
                <w:lang w:val="en-US"/>
              </w:rPr>
              <w:t>22</w:t>
            </w:r>
          </w:p>
        </w:tc>
        <w:tc>
          <w:tcPr>
            <w:tcW w:w="1021" w:type="dxa"/>
            <w:vAlign w:val="center"/>
          </w:tcPr>
          <w:p w:rsidR="001478B9" w:rsidRDefault="001478B9" w:rsidP="002C4402">
            <w:pPr>
              <w:jc w:val="center"/>
              <w:rPr>
                <w:rFonts w:ascii="Arial" w:hAnsi="Arial" w:cs="Arial"/>
                <w:sz w:val="18"/>
                <w:szCs w:val="18"/>
                <w:lang w:val="en-US"/>
              </w:rPr>
            </w:pPr>
            <w:r>
              <w:rPr>
                <w:rFonts w:ascii="Arial" w:hAnsi="Arial" w:cs="Arial"/>
                <w:sz w:val="18"/>
                <w:szCs w:val="18"/>
                <w:lang w:val="en-US"/>
              </w:rPr>
              <w:t>3</w:t>
            </w:r>
          </w:p>
        </w:tc>
        <w:tc>
          <w:tcPr>
            <w:tcW w:w="1021" w:type="dxa"/>
            <w:vAlign w:val="center"/>
          </w:tcPr>
          <w:p w:rsidR="001478B9" w:rsidRDefault="001478B9" w:rsidP="002C4402">
            <w:pPr>
              <w:jc w:val="center"/>
              <w:rPr>
                <w:rFonts w:ascii="Arial" w:hAnsi="Arial" w:cs="Arial"/>
                <w:sz w:val="18"/>
                <w:szCs w:val="18"/>
                <w:lang w:val="en-US"/>
              </w:rPr>
            </w:pPr>
            <w:r>
              <w:rPr>
                <w:rFonts w:ascii="Arial" w:hAnsi="Arial" w:cs="Arial"/>
                <w:sz w:val="18"/>
                <w:szCs w:val="18"/>
                <w:lang w:val="en-US"/>
              </w:rPr>
              <w:t>2</w:t>
            </w:r>
          </w:p>
        </w:tc>
        <w:tc>
          <w:tcPr>
            <w:tcW w:w="1021" w:type="dxa"/>
            <w:vAlign w:val="center"/>
          </w:tcPr>
          <w:p w:rsidR="001478B9" w:rsidRDefault="001478B9" w:rsidP="006B1DC3">
            <w:pPr>
              <w:jc w:val="center"/>
              <w:rPr>
                <w:rFonts w:ascii="Arial" w:hAnsi="Arial" w:cs="Arial"/>
                <w:sz w:val="18"/>
                <w:szCs w:val="18"/>
                <w:lang w:val="en-US"/>
              </w:rPr>
            </w:pPr>
          </w:p>
          <w:p w:rsidR="001478B9" w:rsidRDefault="001478B9" w:rsidP="006B1DC3">
            <w:pPr>
              <w:jc w:val="center"/>
              <w:rPr>
                <w:rFonts w:ascii="Arial" w:hAnsi="Arial" w:cs="Arial"/>
                <w:sz w:val="18"/>
                <w:szCs w:val="18"/>
                <w:lang w:val="en-US"/>
              </w:rPr>
            </w:pPr>
            <w:r w:rsidRPr="00B6236F">
              <w:rPr>
                <w:rFonts w:ascii="Arial" w:hAnsi="Arial" w:cs="Arial"/>
                <w:sz w:val="18"/>
                <w:szCs w:val="18"/>
                <w:lang w:val="en-US"/>
              </w:rPr>
              <w:t>36</w:t>
            </w:r>
          </w:p>
          <w:p w:rsidR="001478B9" w:rsidRPr="00B6236F" w:rsidRDefault="001478B9" w:rsidP="006B1DC3">
            <w:pPr>
              <w:jc w:val="center"/>
              <w:rPr>
                <w:rFonts w:ascii="Arial" w:hAnsi="Arial" w:cs="Arial"/>
                <w:sz w:val="18"/>
                <w:szCs w:val="18"/>
                <w:lang w:val="en-US"/>
              </w:rPr>
            </w:pPr>
          </w:p>
        </w:tc>
      </w:tr>
    </w:tbl>
    <w:p w:rsidR="00E554C9" w:rsidRPr="00A51255" w:rsidRDefault="00E554C9" w:rsidP="00E554C9">
      <w:pPr>
        <w:jc w:val="both"/>
        <w:rPr>
          <w:rFonts w:ascii="Arial" w:hAnsi="Arial" w:cs="Arial"/>
          <w:sz w:val="20"/>
          <w:szCs w:val="20"/>
          <w:lang w:val="en-US"/>
        </w:rPr>
      </w:pPr>
    </w:p>
    <w:p w:rsidR="005C6EF2" w:rsidRPr="00A51255" w:rsidRDefault="005C6EF2" w:rsidP="00636567">
      <w:pPr>
        <w:jc w:val="both"/>
        <w:rPr>
          <w:rFonts w:ascii="Arial" w:hAnsi="Arial" w:cs="Arial"/>
          <w:sz w:val="20"/>
          <w:szCs w:val="20"/>
          <w:lang w:val="en-US"/>
        </w:rPr>
      </w:pPr>
    </w:p>
    <w:p w:rsidR="00FE6B3D" w:rsidRPr="00A51255" w:rsidRDefault="00636567" w:rsidP="00D21AA2">
      <w:pPr>
        <w:ind w:left="567" w:right="567"/>
        <w:jc w:val="both"/>
        <w:rPr>
          <w:rFonts w:ascii="Arial" w:hAnsi="Arial" w:cs="Arial"/>
          <w:lang w:val="en-US"/>
        </w:rPr>
      </w:pPr>
      <w:r w:rsidRPr="00A51255">
        <w:rPr>
          <w:rFonts w:ascii="Arial" w:hAnsi="Arial" w:cs="Arial"/>
          <w:sz w:val="20"/>
          <w:szCs w:val="20"/>
          <w:lang w:val="en-US"/>
        </w:rPr>
        <w:t>Table 2. Descriptive statistics for returns of the PLN/USD exchange rate and percentage changes of the PLN/USD volume of trade, daily data (August 2000 – September 2003).</w:t>
      </w:r>
    </w:p>
    <w:p w:rsidR="00636567" w:rsidRPr="00285A7E" w:rsidRDefault="00636567" w:rsidP="00636567">
      <w:pPr>
        <w:jc w:val="center"/>
        <w:rPr>
          <w:rFonts w:ascii="Arial" w:hAnsi="Arial" w:cs="Arial"/>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3374"/>
        <w:gridCol w:w="3119"/>
      </w:tblGrid>
      <w:tr w:rsidR="00636567" w:rsidRPr="00A51255" w:rsidTr="00FA1C20">
        <w:trPr>
          <w:jc w:val="center"/>
        </w:trPr>
        <w:tc>
          <w:tcPr>
            <w:tcW w:w="2293" w:type="dxa"/>
            <w:vAlign w:val="center"/>
          </w:tcPr>
          <w:p w:rsidR="00636567" w:rsidRPr="009F2566" w:rsidRDefault="00636567" w:rsidP="00EB35FC">
            <w:pPr>
              <w:jc w:val="center"/>
              <w:rPr>
                <w:rFonts w:ascii="Arial" w:hAnsi="Arial" w:cs="Arial"/>
                <w:sz w:val="18"/>
                <w:szCs w:val="18"/>
                <w:lang w:val="en-US"/>
              </w:rPr>
            </w:pPr>
          </w:p>
        </w:tc>
        <w:tc>
          <w:tcPr>
            <w:tcW w:w="3374" w:type="dxa"/>
            <w:vAlign w:val="center"/>
          </w:tcPr>
          <w:p w:rsidR="008A00CC" w:rsidRDefault="008A00CC" w:rsidP="00EB35FC">
            <w:pPr>
              <w:jc w:val="center"/>
              <w:rPr>
                <w:rFonts w:ascii="Arial" w:hAnsi="Arial" w:cs="Arial"/>
                <w:b/>
                <w:sz w:val="18"/>
                <w:szCs w:val="18"/>
                <w:lang w:val="en-US"/>
              </w:rPr>
            </w:pPr>
            <w:r>
              <w:rPr>
                <w:rFonts w:ascii="Arial" w:hAnsi="Arial" w:cs="Arial"/>
                <w:b/>
                <w:sz w:val="18"/>
                <w:szCs w:val="18"/>
                <w:lang w:val="en-US"/>
              </w:rPr>
              <w:t xml:space="preserve">Returns of the </w:t>
            </w:r>
          </w:p>
          <w:p w:rsidR="00E61DED" w:rsidRDefault="00636567" w:rsidP="00EB35FC">
            <w:pPr>
              <w:jc w:val="center"/>
              <w:rPr>
                <w:rFonts w:ascii="Arial" w:hAnsi="Arial" w:cs="Arial"/>
                <w:b/>
                <w:sz w:val="18"/>
                <w:szCs w:val="18"/>
                <w:lang w:val="en-US"/>
              </w:rPr>
            </w:pPr>
            <w:r w:rsidRPr="009F2566">
              <w:rPr>
                <w:rFonts w:ascii="Arial" w:hAnsi="Arial" w:cs="Arial"/>
                <w:b/>
                <w:sz w:val="18"/>
                <w:szCs w:val="18"/>
                <w:lang w:val="en-US"/>
              </w:rPr>
              <w:t xml:space="preserve">PLN/USD </w:t>
            </w:r>
          </w:p>
          <w:p w:rsidR="00636567" w:rsidRPr="009F2566" w:rsidRDefault="00636567" w:rsidP="00EB35FC">
            <w:pPr>
              <w:jc w:val="center"/>
              <w:rPr>
                <w:rFonts w:ascii="Arial" w:hAnsi="Arial" w:cs="Arial"/>
                <w:b/>
                <w:sz w:val="18"/>
                <w:szCs w:val="18"/>
                <w:lang w:val="en-US"/>
              </w:rPr>
            </w:pPr>
            <w:r w:rsidRPr="009F2566">
              <w:rPr>
                <w:rFonts w:ascii="Arial" w:hAnsi="Arial" w:cs="Arial"/>
                <w:b/>
                <w:sz w:val="18"/>
                <w:szCs w:val="18"/>
                <w:lang w:val="en-US"/>
              </w:rPr>
              <w:t>exchange rate</w:t>
            </w:r>
          </w:p>
        </w:tc>
        <w:tc>
          <w:tcPr>
            <w:tcW w:w="3119" w:type="dxa"/>
            <w:vAlign w:val="center"/>
          </w:tcPr>
          <w:p w:rsidR="00636567" w:rsidRPr="009F2566" w:rsidRDefault="00636567" w:rsidP="00EB35FC">
            <w:pPr>
              <w:jc w:val="center"/>
              <w:rPr>
                <w:rFonts w:ascii="Arial" w:hAnsi="Arial" w:cs="Arial"/>
                <w:b/>
                <w:sz w:val="18"/>
                <w:szCs w:val="18"/>
                <w:lang w:val="en-US"/>
              </w:rPr>
            </w:pPr>
            <w:r w:rsidRPr="009F2566">
              <w:rPr>
                <w:rFonts w:ascii="Arial" w:hAnsi="Arial" w:cs="Arial"/>
                <w:b/>
                <w:sz w:val="18"/>
                <w:szCs w:val="18"/>
                <w:lang w:val="en-US"/>
              </w:rPr>
              <w:t>Percentage changes of the PLN/USD</w:t>
            </w:r>
          </w:p>
          <w:p w:rsidR="00636567" w:rsidRPr="009F2566" w:rsidRDefault="00636567" w:rsidP="00EB35FC">
            <w:pPr>
              <w:jc w:val="center"/>
              <w:rPr>
                <w:rFonts w:ascii="Arial" w:hAnsi="Arial" w:cs="Arial"/>
                <w:b/>
                <w:sz w:val="18"/>
                <w:szCs w:val="18"/>
                <w:lang w:val="en-US"/>
              </w:rPr>
            </w:pPr>
            <w:r w:rsidRPr="009F2566">
              <w:rPr>
                <w:rFonts w:ascii="Arial" w:hAnsi="Arial" w:cs="Arial"/>
                <w:b/>
                <w:sz w:val="18"/>
                <w:szCs w:val="18"/>
                <w:lang w:val="en-US"/>
              </w:rPr>
              <w:t>volume of trade</w:t>
            </w:r>
          </w:p>
        </w:tc>
      </w:tr>
      <w:tr w:rsidR="00636567" w:rsidRPr="00A51255" w:rsidTr="00FA1C20">
        <w:trPr>
          <w:trHeight w:hRule="exact" w:val="397"/>
          <w:jc w:val="center"/>
        </w:trPr>
        <w:tc>
          <w:tcPr>
            <w:tcW w:w="2293" w:type="dxa"/>
            <w:vAlign w:val="center"/>
          </w:tcPr>
          <w:p w:rsidR="00636567" w:rsidRPr="009F2566" w:rsidRDefault="00636567" w:rsidP="00EB35FC">
            <w:pPr>
              <w:jc w:val="center"/>
              <w:rPr>
                <w:rFonts w:ascii="Arial" w:hAnsi="Arial" w:cs="Arial"/>
                <w:b/>
                <w:sz w:val="18"/>
                <w:szCs w:val="18"/>
                <w:lang w:val="en-US"/>
              </w:rPr>
            </w:pPr>
            <w:r w:rsidRPr="009F2566">
              <w:rPr>
                <w:rFonts w:ascii="Arial" w:hAnsi="Arial" w:cs="Arial"/>
                <w:b/>
                <w:sz w:val="18"/>
                <w:szCs w:val="18"/>
                <w:lang w:val="en-US"/>
              </w:rPr>
              <w:t>Mean</w:t>
            </w:r>
          </w:p>
        </w:tc>
        <w:tc>
          <w:tcPr>
            <w:tcW w:w="3374" w:type="dxa"/>
            <w:vAlign w:val="center"/>
          </w:tcPr>
          <w:p w:rsidR="00636567" w:rsidRPr="00B6236F" w:rsidRDefault="00636567" w:rsidP="00EB35FC">
            <w:pPr>
              <w:jc w:val="center"/>
              <w:rPr>
                <w:rFonts w:ascii="Arial" w:hAnsi="Arial" w:cs="Arial"/>
                <w:sz w:val="18"/>
                <w:szCs w:val="18"/>
                <w:lang w:val="en-US"/>
              </w:rPr>
            </w:pPr>
            <w:r w:rsidRPr="00B6236F">
              <w:rPr>
                <w:rFonts w:ascii="Arial" w:hAnsi="Arial" w:cs="Arial"/>
                <w:sz w:val="18"/>
                <w:szCs w:val="18"/>
                <w:lang w:val="en-US"/>
              </w:rPr>
              <w:t>0.0024</w:t>
            </w:r>
          </w:p>
        </w:tc>
        <w:tc>
          <w:tcPr>
            <w:tcW w:w="3119" w:type="dxa"/>
            <w:vAlign w:val="center"/>
          </w:tcPr>
          <w:p w:rsidR="00636567" w:rsidRPr="00B6236F" w:rsidRDefault="00636567" w:rsidP="00EB35FC">
            <w:pPr>
              <w:jc w:val="center"/>
              <w:rPr>
                <w:rFonts w:ascii="Arial" w:hAnsi="Arial" w:cs="Arial"/>
                <w:sz w:val="18"/>
                <w:szCs w:val="18"/>
                <w:lang w:val="en-US"/>
              </w:rPr>
            </w:pPr>
            <w:r w:rsidRPr="00B6236F">
              <w:rPr>
                <w:rFonts w:ascii="Arial" w:hAnsi="Arial" w:cs="Arial"/>
                <w:sz w:val="18"/>
                <w:szCs w:val="18"/>
                <w:lang w:val="en-US"/>
              </w:rPr>
              <w:t>10.5415</w:t>
            </w:r>
          </w:p>
        </w:tc>
      </w:tr>
      <w:tr w:rsidR="00636567" w:rsidRPr="00A51255" w:rsidTr="00FA1C20">
        <w:trPr>
          <w:trHeight w:hRule="exact" w:val="397"/>
          <w:jc w:val="center"/>
        </w:trPr>
        <w:tc>
          <w:tcPr>
            <w:tcW w:w="2293" w:type="dxa"/>
            <w:vAlign w:val="center"/>
          </w:tcPr>
          <w:p w:rsidR="00636567" w:rsidRPr="009F2566" w:rsidRDefault="00636567" w:rsidP="00EB35FC">
            <w:pPr>
              <w:jc w:val="center"/>
              <w:rPr>
                <w:rFonts w:ascii="Arial" w:hAnsi="Arial" w:cs="Arial"/>
                <w:b/>
                <w:sz w:val="18"/>
                <w:szCs w:val="18"/>
                <w:lang w:val="en-US"/>
              </w:rPr>
            </w:pPr>
            <w:r w:rsidRPr="009F2566">
              <w:rPr>
                <w:rFonts w:ascii="Arial" w:hAnsi="Arial" w:cs="Arial"/>
                <w:b/>
                <w:sz w:val="18"/>
                <w:szCs w:val="18"/>
                <w:lang w:val="en-US"/>
              </w:rPr>
              <w:t>Median</w:t>
            </w:r>
          </w:p>
        </w:tc>
        <w:tc>
          <w:tcPr>
            <w:tcW w:w="3374" w:type="dxa"/>
            <w:vAlign w:val="center"/>
          </w:tcPr>
          <w:p w:rsidR="00636567" w:rsidRPr="00B6236F" w:rsidRDefault="00636567" w:rsidP="00EB35FC">
            <w:pPr>
              <w:jc w:val="center"/>
              <w:rPr>
                <w:rFonts w:ascii="Arial" w:hAnsi="Arial" w:cs="Arial"/>
                <w:sz w:val="18"/>
                <w:szCs w:val="18"/>
                <w:lang w:val="en-US"/>
              </w:rPr>
            </w:pPr>
            <w:r w:rsidRPr="00B6236F">
              <w:rPr>
                <w:rFonts w:ascii="Arial" w:hAnsi="Arial" w:cs="Arial"/>
                <w:sz w:val="18"/>
                <w:szCs w:val="18"/>
                <w:lang w:val="en-US"/>
              </w:rPr>
              <w:t>-0.0483</w:t>
            </w:r>
          </w:p>
        </w:tc>
        <w:tc>
          <w:tcPr>
            <w:tcW w:w="3119" w:type="dxa"/>
            <w:vAlign w:val="center"/>
          </w:tcPr>
          <w:p w:rsidR="00636567" w:rsidRPr="00B6236F" w:rsidRDefault="00636567" w:rsidP="00EB35FC">
            <w:pPr>
              <w:jc w:val="center"/>
              <w:rPr>
                <w:rFonts w:ascii="Arial" w:hAnsi="Arial" w:cs="Arial"/>
                <w:sz w:val="18"/>
                <w:szCs w:val="18"/>
                <w:lang w:val="en-US"/>
              </w:rPr>
            </w:pPr>
            <w:r w:rsidRPr="00B6236F">
              <w:rPr>
                <w:rFonts w:ascii="Arial" w:hAnsi="Arial" w:cs="Arial"/>
                <w:sz w:val="18"/>
                <w:szCs w:val="18"/>
                <w:lang w:val="en-US"/>
              </w:rPr>
              <w:t>-0.5103</w:t>
            </w:r>
          </w:p>
        </w:tc>
      </w:tr>
      <w:tr w:rsidR="00636567" w:rsidRPr="00A51255" w:rsidTr="00FA1C20">
        <w:trPr>
          <w:trHeight w:hRule="exact" w:val="397"/>
          <w:jc w:val="center"/>
        </w:trPr>
        <w:tc>
          <w:tcPr>
            <w:tcW w:w="2293" w:type="dxa"/>
            <w:vAlign w:val="center"/>
          </w:tcPr>
          <w:p w:rsidR="00636567" w:rsidRPr="009F2566" w:rsidRDefault="00636567" w:rsidP="00EB35FC">
            <w:pPr>
              <w:jc w:val="center"/>
              <w:rPr>
                <w:rFonts w:ascii="Arial" w:hAnsi="Arial" w:cs="Arial"/>
                <w:b/>
                <w:sz w:val="18"/>
                <w:szCs w:val="18"/>
                <w:lang w:val="en-US"/>
              </w:rPr>
            </w:pPr>
            <w:r w:rsidRPr="009F2566">
              <w:rPr>
                <w:rFonts w:ascii="Arial" w:hAnsi="Arial" w:cs="Arial"/>
                <w:b/>
                <w:sz w:val="18"/>
                <w:szCs w:val="18"/>
                <w:lang w:val="en-US"/>
              </w:rPr>
              <w:t>Maximum</w:t>
            </w:r>
          </w:p>
        </w:tc>
        <w:tc>
          <w:tcPr>
            <w:tcW w:w="3374" w:type="dxa"/>
            <w:vAlign w:val="center"/>
          </w:tcPr>
          <w:p w:rsidR="00636567" w:rsidRPr="00B6236F" w:rsidRDefault="00636567" w:rsidP="00EB35FC">
            <w:pPr>
              <w:jc w:val="center"/>
              <w:rPr>
                <w:rFonts w:ascii="Arial" w:hAnsi="Arial" w:cs="Arial"/>
                <w:sz w:val="18"/>
                <w:szCs w:val="18"/>
                <w:lang w:val="en-US"/>
              </w:rPr>
            </w:pPr>
            <w:r w:rsidRPr="00B6236F">
              <w:rPr>
                <w:rFonts w:ascii="Arial" w:hAnsi="Arial" w:cs="Arial"/>
                <w:sz w:val="18"/>
                <w:szCs w:val="18"/>
                <w:lang w:val="en-US"/>
              </w:rPr>
              <w:t>4.3494</w:t>
            </w:r>
          </w:p>
        </w:tc>
        <w:tc>
          <w:tcPr>
            <w:tcW w:w="3119" w:type="dxa"/>
            <w:vAlign w:val="center"/>
          </w:tcPr>
          <w:p w:rsidR="00636567" w:rsidRPr="00B6236F" w:rsidRDefault="00636567" w:rsidP="00EB35FC">
            <w:pPr>
              <w:jc w:val="center"/>
              <w:rPr>
                <w:rFonts w:ascii="Arial" w:hAnsi="Arial" w:cs="Arial"/>
                <w:sz w:val="18"/>
                <w:szCs w:val="18"/>
                <w:lang w:val="en-US"/>
              </w:rPr>
            </w:pPr>
            <w:r w:rsidRPr="00B6236F">
              <w:rPr>
                <w:rFonts w:ascii="Arial" w:hAnsi="Arial" w:cs="Arial"/>
                <w:sz w:val="18"/>
                <w:szCs w:val="18"/>
                <w:lang w:val="en-US"/>
              </w:rPr>
              <w:t>268.8525</w:t>
            </w:r>
          </w:p>
        </w:tc>
      </w:tr>
      <w:tr w:rsidR="00636567" w:rsidRPr="00A51255" w:rsidTr="00FA1C20">
        <w:trPr>
          <w:trHeight w:hRule="exact" w:val="397"/>
          <w:jc w:val="center"/>
        </w:trPr>
        <w:tc>
          <w:tcPr>
            <w:tcW w:w="2293" w:type="dxa"/>
            <w:vAlign w:val="center"/>
          </w:tcPr>
          <w:p w:rsidR="00636567" w:rsidRPr="009F2566" w:rsidRDefault="00636567" w:rsidP="00EB35FC">
            <w:pPr>
              <w:jc w:val="center"/>
              <w:rPr>
                <w:rFonts w:ascii="Arial" w:hAnsi="Arial" w:cs="Arial"/>
                <w:b/>
                <w:sz w:val="18"/>
                <w:szCs w:val="18"/>
                <w:lang w:val="en-US"/>
              </w:rPr>
            </w:pPr>
            <w:r w:rsidRPr="009F2566">
              <w:rPr>
                <w:rFonts w:ascii="Arial" w:hAnsi="Arial" w:cs="Arial"/>
                <w:b/>
                <w:sz w:val="18"/>
                <w:szCs w:val="18"/>
                <w:lang w:val="en-US"/>
              </w:rPr>
              <w:t>Minimum</w:t>
            </w:r>
          </w:p>
        </w:tc>
        <w:tc>
          <w:tcPr>
            <w:tcW w:w="3374" w:type="dxa"/>
            <w:vAlign w:val="center"/>
          </w:tcPr>
          <w:p w:rsidR="00636567" w:rsidRPr="00B6236F" w:rsidRDefault="00636567" w:rsidP="00EB35FC">
            <w:pPr>
              <w:jc w:val="center"/>
              <w:rPr>
                <w:rFonts w:ascii="Arial" w:hAnsi="Arial" w:cs="Arial"/>
                <w:sz w:val="18"/>
                <w:szCs w:val="18"/>
                <w:lang w:val="en-US"/>
              </w:rPr>
            </w:pPr>
            <w:r w:rsidRPr="00B6236F">
              <w:rPr>
                <w:rFonts w:ascii="Arial" w:hAnsi="Arial" w:cs="Arial"/>
                <w:sz w:val="18"/>
                <w:szCs w:val="18"/>
                <w:lang w:val="en-US"/>
              </w:rPr>
              <w:t>-2.6184</w:t>
            </w:r>
          </w:p>
        </w:tc>
        <w:tc>
          <w:tcPr>
            <w:tcW w:w="3119" w:type="dxa"/>
            <w:vAlign w:val="center"/>
          </w:tcPr>
          <w:p w:rsidR="00636567" w:rsidRPr="00B6236F" w:rsidRDefault="00636567" w:rsidP="00EB35FC">
            <w:pPr>
              <w:jc w:val="center"/>
              <w:rPr>
                <w:rFonts w:ascii="Arial" w:hAnsi="Arial" w:cs="Arial"/>
                <w:sz w:val="18"/>
                <w:szCs w:val="18"/>
                <w:lang w:val="en-US"/>
              </w:rPr>
            </w:pPr>
            <w:r w:rsidRPr="00B6236F">
              <w:rPr>
                <w:rFonts w:ascii="Arial" w:hAnsi="Arial" w:cs="Arial"/>
                <w:sz w:val="18"/>
                <w:szCs w:val="18"/>
                <w:lang w:val="en-US"/>
              </w:rPr>
              <w:t>-74.2072</w:t>
            </w:r>
          </w:p>
        </w:tc>
      </w:tr>
      <w:tr w:rsidR="00636567" w:rsidRPr="00A51255" w:rsidTr="00FA1C20">
        <w:trPr>
          <w:trHeight w:hRule="exact" w:val="397"/>
          <w:jc w:val="center"/>
        </w:trPr>
        <w:tc>
          <w:tcPr>
            <w:tcW w:w="2293" w:type="dxa"/>
            <w:vAlign w:val="center"/>
          </w:tcPr>
          <w:p w:rsidR="00636567" w:rsidRPr="009F2566" w:rsidRDefault="00636567" w:rsidP="00EB35FC">
            <w:pPr>
              <w:jc w:val="center"/>
              <w:rPr>
                <w:rFonts w:ascii="Arial" w:hAnsi="Arial" w:cs="Arial"/>
                <w:b/>
                <w:sz w:val="18"/>
                <w:szCs w:val="18"/>
                <w:lang w:val="en-US"/>
              </w:rPr>
            </w:pPr>
            <w:r w:rsidRPr="009F2566">
              <w:rPr>
                <w:rFonts w:ascii="Arial" w:hAnsi="Arial" w:cs="Arial"/>
                <w:b/>
                <w:sz w:val="18"/>
                <w:szCs w:val="18"/>
                <w:lang w:val="en-US"/>
              </w:rPr>
              <w:t>Std. Dev.</w:t>
            </w:r>
          </w:p>
        </w:tc>
        <w:tc>
          <w:tcPr>
            <w:tcW w:w="3374" w:type="dxa"/>
            <w:vAlign w:val="center"/>
          </w:tcPr>
          <w:p w:rsidR="00636567" w:rsidRPr="00B6236F" w:rsidRDefault="00636567" w:rsidP="00EB35FC">
            <w:pPr>
              <w:jc w:val="center"/>
              <w:rPr>
                <w:rFonts w:ascii="Arial" w:hAnsi="Arial" w:cs="Arial"/>
                <w:sz w:val="18"/>
                <w:szCs w:val="18"/>
                <w:lang w:val="en-US"/>
              </w:rPr>
            </w:pPr>
            <w:r w:rsidRPr="00B6236F">
              <w:rPr>
                <w:rFonts w:ascii="Arial" w:hAnsi="Arial" w:cs="Arial"/>
                <w:sz w:val="18"/>
                <w:szCs w:val="18"/>
                <w:lang w:val="en-US"/>
              </w:rPr>
              <w:t>0.6551</w:t>
            </w:r>
          </w:p>
        </w:tc>
        <w:tc>
          <w:tcPr>
            <w:tcW w:w="3119" w:type="dxa"/>
            <w:vAlign w:val="center"/>
          </w:tcPr>
          <w:p w:rsidR="00636567" w:rsidRPr="00B6236F" w:rsidRDefault="00636567" w:rsidP="00EB35FC">
            <w:pPr>
              <w:jc w:val="center"/>
              <w:rPr>
                <w:rFonts w:ascii="Arial" w:hAnsi="Arial" w:cs="Arial"/>
                <w:sz w:val="18"/>
                <w:szCs w:val="18"/>
                <w:lang w:val="en-US"/>
              </w:rPr>
            </w:pPr>
            <w:r w:rsidRPr="00B6236F">
              <w:rPr>
                <w:rFonts w:ascii="Arial" w:hAnsi="Arial" w:cs="Arial"/>
                <w:sz w:val="18"/>
                <w:szCs w:val="18"/>
                <w:lang w:val="en-US"/>
              </w:rPr>
              <w:t>52.0938</w:t>
            </w:r>
          </w:p>
        </w:tc>
      </w:tr>
      <w:tr w:rsidR="00636567" w:rsidRPr="00A51255" w:rsidTr="00FA1C20">
        <w:trPr>
          <w:trHeight w:hRule="exact" w:val="397"/>
          <w:jc w:val="center"/>
        </w:trPr>
        <w:tc>
          <w:tcPr>
            <w:tcW w:w="2293" w:type="dxa"/>
            <w:vAlign w:val="center"/>
          </w:tcPr>
          <w:p w:rsidR="00636567" w:rsidRPr="009F2566" w:rsidRDefault="00636567" w:rsidP="00EB35FC">
            <w:pPr>
              <w:jc w:val="center"/>
              <w:rPr>
                <w:rFonts w:ascii="Arial" w:hAnsi="Arial" w:cs="Arial"/>
                <w:b/>
                <w:sz w:val="18"/>
                <w:szCs w:val="18"/>
                <w:lang w:val="en-US"/>
              </w:rPr>
            </w:pPr>
            <w:r w:rsidRPr="009F2566">
              <w:rPr>
                <w:rFonts w:ascii="Arial" w:hAnsi="Arial" w:cs="Arial"/>
                <w:b/>
                <w:sz w:val="18"/>
                <w:szCs w:val="18"/>
                <w:lang w:val="en-US"/>
              </w:rPr>
              <w:t>Skewness</w:t>
            </w:r>
          </w:p>
        </w:tc>
        <w:tc>
          <w:tcPr>
            <w:tcW w:w="3374" w:type="dxa"/>
            <w:vAlign w:val="center"/>
          </w:tcPr>
          <w:p w:rsidR="00636567" w:rsidRPr="00B6236F" w:rsidRDefault="00636567" w:rsidP="00EB35FC">
            <w:pPr>
              <w:jc w:val="center"/>
              <w:rPr>
                <w:rFonts w:ascii="Arial" w:hAnsi="Arial" w:cs="Arial"/>
                <w:sz w:val="18"/>
                <w:szCs w:val="18"/>
                <w:lang w:val="en-US"/>
              </w:rPr>
            </w:pPr>
            <w:r w:rsidRPr="00B6236F">
              <w:rPr>
                <w:rFonts w:ascii="Arial" w:hAnsi="Arial" w:cs="Arial"/>
                <w:sz w:val="18"/>
                <w:szCs w:val="18"/>
                <w:lang w:val="en-US"/>
              </w:rPr>
              <w:t>0.7388</w:t>
            </w:r>
          </w:p>
        </w:tc>
        <w:tc>
          <w:tcPr>
            <w:tcW w:w="3119" w:type="dxa"/>
            <w:vAlign w:val="center"/>
          </w:tcPr>
          <w:p w:rsidR="00636567" w:rsidRPr="00B6236F" w:rsidRDefault="00636567" w:rsidP="00EB35FC">
            <w:pPr>
              <w:jc w:val="center"/>
              <w:rPr>
                <w:rFonts w:ascii="Arial" w:hAnsi="Arial" w:cs="Arial"/>
                <w:sz w:val="18"/>
                <w:szCs w:val="18"/>
                <w:lang w:val="en-US"/>
              </w:rPr>
            </w:pPr>
            <w:r w:rsidRPr="00B6236F">
              <w:rPr>
                <w:rFonts w:ascii="Arial" w:hAnsi="Arial" w:cs="Arial"/>
                <w:sz w:val="18"/>
                <w:szCs w:val="18"/>
                <w:lang w:val="en-US"/>
              </w:rPr>
              <w:t>1.4949</w:t>
            </w:r>
          </w:p>
        </w:tc>
      </w:tr>
      <w:tr w:rsidR="00636567" w:rsidRPr="00A51255" w:rsidTr="00FA1C20">
        <w:trPr>
          <w:trHeight w:hRule="exact" w:val="397"/>
          <w:jc w:val="center"/>
        </w:trPr>
        <w:tc>
          <w:tcPr>
            <w:tcW w:w="2293" w:type="dxa"/>
            <w:vAlign w:val="center"/>
          </w:tcPr>
          <w:p w:rsidR="00636567" w:rsidRPr="009F2566" w:rsidRDefault="00636567" w:rsidP="00EB35FC">
            <w:pPr>
              <w:jc w:val="center"/>
              <w:rPr>
                <w:rFonts w:ascii="Arial" w:hAnsi="Arial" w:cs="Arial"/>
                <w:b/>
                <w:sz w:val="18"/>
                <w:szCs w:val="18"/>
                <w:lang w:val="en-US"/>
              </w:rPr>
            </w:pPr>
            <w:r w:rsidRPr="009F2566">
              <w:rPr>
                <w:rFonts w:ascii="Arial" w:hAnsi="Arial" w:cs="Arial"/>
                <w:b/>
                <w:sz w:val="18"/>
                <w:szCs w:val="18"/>
                <w:lang w:val="en-US"/>
              </w:rPr>
              <w:t>Kurtosis</w:t>
            </w:r>
          </w:p>
        </w:tc>
        <w:tc>
          <w:tcPr>
            <w:tcW w:w="3374" w:type="dxa"/>
            <w:vAlign w:val="center"/>
          </w:tcPr>
          <w:p w:rsidR="00636567" w:rsidRPr="00B6236F" w:rsidRDefault="00636567" w:rsidP="00EB35FC">
            <w:pPr>
              <w:jc w:val="center"/>
              <w:rPr>
                <w:rFonts w:ascii="Arial" w:hAnsi="Arial" w:cs="Arial"/>
                <w:sz w:val="18"/>
                <w:szCs w:val="18"/>
                <w:lang w:val="en-US"/>
              </w:rPr>
            </w:pPr>
            <w:r w:rsidRPr="00B6236F">
              <w:rPr>
                <w:rFonts w:ascii="Arial" w:hAnsi="Arial" w:cs="Arial"/>
                <w:sz w:val="18"/>
                <w:szCs w:val="18"/>
                <w:lang w:val="en-US"/>
              </w:rPr>
              <w:t>6.7863</w:t>
            </w:r>
          </w:p>
        </w:tc>
        <w:tc>
          <w:tcPr>
            <w:tcW w:w="3119" w:type="dxa"/>
            <w:vAlign w:val="center"/>
          </w:tcPr>
          <w:p w:rsidR="00636567" w:rsidRPr="00B6236F" w:rsidRDefault="00636567" w:rsidP="00EB35FC">
            <w:pPr>
              <w:jc w:val="center"/>
              <w:rPr>
                <w:rFonts w:ascii="Arial" w:hAnsi="Arial" w:cs="Arial"/>
                <w:sz w:val="18"/>
                <w:szCs w:val="18"/>
                <w:lang w:val="en-US"/>
              </w:rPr>
            </w:pPr>
            <w:r w:rsidRPr="00B6236F">
              <w:rPr>
                <w:rFonts w:ascii="Arial" w:hAnsi="Arial" w:cs="Arial"/>
                <w:sz w:val="18"/>
                <w:szCs w:val="18"/>
                <w:lang w:val="en-US"/>
              </w:rPr>
              <w:t>6.1273</w:t>
            </w:r>
          </w:p>
        </w:tc>
      </w:tr>
      <w:tr w:rsidR="00636567" w:rsidRPr="00A51255" w:rsidTr="00FA1C20">
        <w:trPr>
          <w:trHeight w:hRule="exact" w:val="397"/>
          <w:jc w:val="center"/>
        </w:trPr>
        <w:tc>
          <w:tcPr>
            <w:tcW w:w="2293" w:type="dxa"/>
            <w:vAlign w:val="center"/>
          </w:tcPr>
          <w:p w:rsidR="00636567" w:rsidRPr="009F2566" w:rsidRDefault="00636567" w:rsidP="00EB35FC">
            <w:pPr>
              <w:jc w:val="center"/>
              <w:rPr>
                <w:rFonts w:ascii="Arial" w:hAnsi="Arial" w:cs="Arial"/>
                <w:b/>
                <w:sz w:val="18"/>
                <w:szCs w:val="18"/>
                <w:lang w:val="en-US"/>
              </w:rPr>
            </w:pPr>
            <w:r w:rsidRPr="009F2566">
              <w:rPr>
                <w:rFonts w:ascii="Arial" w:hAnsi="Arial" w:cs="Arial"/>
                <w:b/>
                <w:sz w:val="18"/>
                <w:szCs w:val="18"/>
                <w:lang w:val="en-US"/>
              </w:rPr>
              <w:t>Jarque-Bera</w:t>
            </w:r>
          </w:p>
        </w:tc>
        <w:tc>
          <w:tcPr>
            <w:tcW w:w="3374" w:type="dxa"/>
            <w:vAlign w:val="center"/>
          </w:tcPr>
          <w:p w:rsidR="00636567" w:rsidRPr="00B6236F" w:rsidRDefault="00636567" w:rsidP="00EB35FC">
            <w:pPr>
              <w:jc w:val="center"/>
              <w:rPr>
                <w:rFonts w:ascii="Arial" w:hAnsi="Arial" w:cs="Arial"/>
                <w:sz w:val="18"/>
                <w:szCs w:val="18"/>
                <w:lang w:val="en-US"/>
              </w:rPr>
            </w:pPr>
            <w:r w:rsidRPr="00B6236F">
              <w:rPr>
                <w:rFonts w:ascii="Arial" w:hAnsi="Arial" w:cs="Arial"/>
                <w:sz w:val="18"/>
                <w:szCs w:val="18"/>
                <w:lang w:val="en-US"/>
              </w:rPr>
              <w:t>545.1399</w:t>
            </w:r>
          </w:p>
        </w:tc>
        <w:tc>
          <w:tcPr>
            <w:tcW w:w="3119" w:type="dxa"/>
            <w:vAlign w:val="center"/>
          </w:tcPr>
          <w:p w:rsidR="00636567" w:rsidRPr="00B6236F" w:rsidRDefault="00636567" w:rsidP="00EB35FC">
            <w:pPr>
              <w:jc w:val="center"/>
              <w:rPr>
                <w:rFonts w:ascii="Arial" w:hAnsi="Arial" w:cs="Arial"/>
                <w:sz w:val="18"/>
                <w:szCs w:val="18"/>
                <w:lang w:val="en-US"/>
              </w:rPr>
            </w:pPr>
            <w:r w:rsidRPr="00B6236F">
              <w:rPr>
                <w:rFonts w:ascii="Arial" w:hAnsi="Arial" w:cs="Arial"/>
                <w:sz w:val="18"/>
                <w:szCs w:val="18"/>
                <w:lang w:val="en-US"/>
              </w:rPr>
              <w:t>617.7465</w:t>
            </w:r>
          </w:p>
        </w:tc>
      </w:tr>
      <w:tr w:rsidR="00636567" w:rsidRPr="00A51255" w:rsidTr="00FA1C20">
        <w:trPr>
          <w:trHeight w:hRule="exact" w:val="397"/>
          <w:jc w:val="center"/>
        </w:trPr>
        <w:tc>
          <w:tcPr>
            <w:tcW w:w="2293" w:type="dxa"/>
            <w:vAlign w:val="center"/>
          </w:tcPr>
          <w:p w:rsidR="00636567" w:rsidRPr="009F2566" w:rsidRDefault="00636567" w:rsidP="00EB35FC">
            <w:pPr>
              <w:jc w:val="center"/>
              <w:rPr>
                <w:rFonts w:ascii="Arial" w:hAnsi="Arial" w:cs="Arial"/>
                <w:b/>
                <w:sz w:val="18"/>
                <w:szCs w:val="18"/>
                <w:lang w:val="en-US"/>
              </w:rPr>
            </w:pPr>
            <w:r w:rsidRPr="009F2566">
              <w:rPr>
                <w:rFonts w:ascii="Arial" w:hAnsi="Arial" w:cs="Arial"/>
                <w:b/>
                <w:sz w:val="18"/>
                <w:szCs w:val="18"/>
                <w:lang w:val="en-US"/>
              </w:rPr>
              <w:t>Probability</w:t>
            </w:r>
          </w:p>
        </w:tc>
        <w:tc>
          <w:tcPr>
            <w:tcW w:w="3374" w:type="dxa"/>
            <w:vAlign w:val="center"/>
          </w:tcPr>
          <w:p w:rsidR="00636567" w:rsidRPr="00B6236F" w:rsidRDefault="00636567" w:rsidP="00EB35FC">
            <w:pPr>
              <w:jc w:val="center"/>
              <w:rPr>
                <w:rFonts w:ascii="Arial" w:hAnsi="Arial" w:cs="Arial"/>
                <w:sz w:val="18"/>
                <w:szCs w:val="18"/>
                <w:lang w:val="en-US"/>
              </w:rPr>
            </w:pPr>
            <w:r w:rsidRPr="00B6236F">
              <w:rPr>
                <w:rFonts w:ascii="Arial" w:hAnsi="Arial" w:cs="Arial"/>
                <w:sz w:val="18"/>
                <w:szCs w:val="18"/>
                <w:lang w:val="en-US"/>
              </w:rPr>
              <w:t>0.0000</w:t>
            </w:r>
          </w:p>
        </w:tc>
        <w:tc>
          <w:tcPr>
            <w:tcW w:w="3119" w:type="dxa"/>
            <w:vAlign w:val="center"/>
          </w:tcPr>
          <w:p w:rsidR="00636567" w:rsidRPr="00B6236F" w:rsidRDefault="00636567" w:rsidP="00EB35FC">
            <w:pPr>
              <w:jc w:val="center"/>
              <w:rPr>
                <w:rFonts w:ascii="Arial" w:hAnsi="Arial" w:cs="Arial"/>
                <w:sz w:val="18"/>
                <w:szCs w:val="18"/>
                <w:lang w:val="en-US"/>
              </w:rPr>
            </w:pPr>
            <w:r w:rsidRPr="00B6236F">
              <w:rPr>
                <w:rFonts w:ascii="Arial" w:hAnsi="Arial" w:cs="Arial"/>
                <w:sz w:val="18"/>
                <w:szCs w:val="18"/>
                <w:lang w:val="en-US"/>
              </w:rPr>
              <w:t>0.0000</w:t>
            </w:r>
          </w:p>
        </w:tc>
      </w:tr>
    </w:tbl>
    <w:p w:rsidR="00636567" w:rsidRPr="00A51255" w:rsidRDefault="00636567" w:rsidP="00636567">
      <w:pPr>
        <w:spacing w:line="360" w:lineRule="auto"/>
        <w:jc w:val="both"/>
        <w:rPr>
          <w:rFonts w:ascii="Arial" w:hAnsi="Arial" w:cs="Arial"/>
          <w:sz w:val="20"/>
          <w:szCs w:val="20"/>
          <w:lang w:val="en-US"/>
        </w:rPr>
      </w:pPr>
    </w:p>
    <w:p w:rsidR="00525DFC" w:rsidRDefault="00525DFC">
      <w:pPr>
        <w:spacing w:line="360" w:lineRule="auto"/>
        <w:jc w:val="both"/>
        <w:rPr>
          <w:rFonts w:ascii="Arial" w:hAnsi="Arial" w:cs="Arial"/>
          <w:lang w:val="en-US"/>
        </w:rPr>
      </w:pPr>
    </w:p>
    <w:p w:rsidR="00481658" w:rsidRDefault="00481658" w:rsidP="00C673F3">
      <w:pPr>
        <w:tabs>
          <w:tab w:val="left" w:pos="13183"/>
        </w:tabs>
        <w:spacing w:line="0" w:lineRule="atLeast"/>
        <w:ind w:right="-1"/>
        <w:jc w:val="both"/>
        <w:rPr>
          <w:rFonts w:ascii="Arial" w:hAnsi="Arial" w:cs="Arial"/>
          <w:sz w:val="20"/>
          <w:szCs w:val="20"/>
          <w:highlight w:val="green"/>
          <w:lang w:val="en-US"/>
        </w:rPr>
      </w:pPr>
    </w:p>
    <w:p w:rsidR="00481658" w:rsidRDefault="00481658" w:rsidP="00C673F3">
      <w:pPr>
        <w:tabs>
          <w:tab w:val="left" w:pos="13183"/>
        </w:tabs>
        <w:spacing w:line="0" w:lineRule="atLeast"/>
        <w:ind w:right="-1"/>
        <w:jc w:val="both"/>
        <w:rPr>
          <w:rFonts w:ascii="Arial" w:hAnsi="Arial" w:cs="Arial"/>
          <w:sz w:val="20"/>
          <w:szCs w:val="20"/>
          <w:highlight w:val="green"/>
          <w:lang w:val="en-US"/>
        </w:rPr>
      </w:pPr>
    </w:p>
    <w:p w:rsidR="00481658" w:rsidRPr="0063181F" w:rsidRDefault="00481658" w:rsidP="00C673F3">
      <w:pPr>
        <w:tabs>
          <w:tab w:val="left" w:pos="13183"/>
        </w:tabs>
        <w:spacing w:line="0" w:lineRule="atLeast"/>
        <w:ind w:right="-1"/>
        <w:jc w:val="both"/>
        <w:rPr>
          <w:rFonts w:ascii="Arial" w:hAnsi="Arial" w:cs="Arial"/>
          <w:sz w:val="20"/>
          <w:szCs w:val="20"/>
          <w:lang w:val="en-US"/>
        </w:rPr>
      </w:pPr>
    </w:p>
    <w:p w:rsidR="00906CE3" w:rsidRDefault="00906CE3" w:rsidP="00C673F3">
      <w:pPr>
        <w:tabs>
          <w:tab w:val="left" w:pos="13183"/>
        </w:tabs>
        <w:spacing w:line="0" w:lineRule="atLeast"/>
        <w:ind w:right="-1"/>
        <w:jc w:val="both"/>
        <w:rPr>
          <w:rFonts w:ascii="Arial" w:hAnsi="Arial" w:cs="Arial"/>
          <w:sz w:val="20"/>
          <w:szCs w:val="20"/>
          <w:lang w:val="en-US"/>
        </w:rPr>
      </w:pPr>
    </w:p>
    <w:p w:rsidR="009B2403" w:rsidRDefault="00680414" w:rsidP="00C673F3">
      <w:pPr>
        <w:tabs>
          <w:tab w:val="left" w:pos="13183"/>
        </w:tabs>
        <w:spacing w:line="0" w:lineRule="atLeast"/>
        <w:ind w:right="-1"/>
        <w:jc w:val="both"/>
        <w:rPr>
          <w:rFonts w:ascii="Arial" w:hAnsi="Arial" w:cs="Arial"/>
          <w:sz w:val="20"/>
          <w:szCs w:val="20"/>
          <w:lang w:val="en-US"/>
        </w:rPr>
      </w:pPr>
      <w:r w:rsidRPr="0027764A">
        <w:rPr>
          <w:rFonts w:ascii="Arial" w:hAnsi="Arial" w:cs="Arial"/>
          <w:sz w:val="20"/>
          <w:szCs w:val="20"/>
          <w:lang w:val="en-US"/>
        </w:rPr>
        <w:t>Table 3</w:t>
      </w:r>
      <w:r w:rsidR="00DD4196" w:rsidRPr="0027764A">
        <w:rPr>
          <w:rFonts w:ascii="Arial" w:hAnsi="Arial" w:cs="Arial"/>
          <w:sz w:val="20"/>
          <w:szCs w:val="20"/>
          <w:lang w:val="en-US"/>
        </w:rPr>
        <w:t>a</w:t>
      </w:r>
      <w:r w:rsidR="00202C17" w:rsidRPr="0027764A">
        <w:rPr>
          <w:rFonts w:ascii="Arial" w:hAnsi="Arial" w:cs="Arial"/>
          <w:sz w:val="20"/>
          <w:szCs w:val="20"/>
          <w:lang w:val="en-US"/>
        </w:rPr>
        <w:t xml:space="preserve">. </w:t>
      </w:r>
      <w:r w:rsidR="009B2403" w:rsidRPr="0027764A">
        <w:rPr>
          <w:rFonts w:ascii="Arial" w:hAnsi="Arial" w:cs="Arial"/>
          <w:sz w:val="20"/>
          <w:szCs w:val="20"/>
          <w:lang w:val="en-US"/>
        </w:rPr>
        <w:t>Results for foreign exchange rate returns</w:t>
      </w:r>
      <w:r w:rsidR="0027764A" w:rsidRPr="0027764A">
        <w:rPr>
          <w:rFonts w:ascii="Arial" w:hAnsi="Arial" w:cs="Arial"/>
          <w:sz w:val="20"/>
          <w:szCs w:val="20"/>
          <w:lang w:val="en-US"/>
        </w:rPr>
        <w:t xml:space="preserve"> </w:t>
      </w:r>
      <w:r w:rsidR="00AB027C">
        <w:rPr>
          <w:rFonts w:ascii="Arial" w:hAnsi="Arial" w:cs="Arial"/>
          <w:sz w:val="20"/>
          <w:szCs w:val="20"/>
          <w:lang w:val="en-US"/>
        </w:rPr>
        <w:t xml:space="preserve">models </w:t>
      </w:r>
      <w:r w:rsidR="0027764A" w:rsidRPr="0027764A">
        <w:rPr>
          <w:rFonts w:ascii="Arial" w:hAnsi="Arial" w:cs="Arial"/>
          <w:sz w:val="20"/>
          <w:szCs w:val="20"/>
          <w:lang w:val="en-US"/>
        </w:rPr>
        <w:t xml:space="preserve">on day </w:t>
      </w:r>
      <w:r w:rsidR="0027764A" w:rsidRPr="0027764A">
        <w:rPr>
          <w:i/>
          <w:sz w:val="20"/>
          <w:szCs w:val="20"/>
          <w:lang w:val="en-US"/>
        </w:rPr>
        <w:t>t</w:t>
      </w:r>
      <w:r w:rsidR="0027764A" w:rsidRPr="0027764A">
        <w:rPr>
          <w:rFonts w:ascii="Arial" w:hAnsi="Arial" w:cs="Arial"/>
          <w:sz w:val="20"/>
          <w:szCs w:val="20"/>
          <w:lang w:val="en-US"/>
        </w:rPr>
        <w:t>.</w:t>
      </w:r>
    </w:p>
    <w:p w:rsidR="009B2403" w:rsidRDefault="009B2403" w:rsidP="00C673F3">
      <w:pPr>
        <w:tabs>
          <w:tab w:val="left" w:pos="13183"/>
        </w:tabs>
        <w:spacing w:line="0" w:lineRule="atLeast"/>
        <w:ind w:right="-1"/>
        <w:jc w:val="both"/>
        <w:rPr>
          <w:rFonts w:ascii="Arial" w:hAnsi="Arial" w:cs="Arial"/>
          <w:sz w:val="20"/>
          <w:szCs w:val="20"/>
          <w:lang w:val="en-US"/>
        </w:rPr>
      </w:pPr>
    </w:p>
    <w:p w:rsidR="00202C17" w:rsidRDefault="009B2403" w:rsidP="00C673F3">
      <w:pPr>
        <w:tabs>
          <w:tab w:val="left" w:pos="13183"/>
        </w:tabs>
        <w:spacing w:line="0" w:lineRule="atLeast"/>
        <w:ind w:right="-1"/>
        <w:jc w:val="both"/>
        <w:rPr>
          <w:rFonts w:ascii="Arial" w:hAnsi="Arial" w:cs="Arial"/>
          <w:sz w:val="20"/>
          <w:szCs w:val="20"/>
          <w:lang w:val="en-US"/>
        </w:rPr>
      </w:pPr>
      <w:r w:rsidRPr="0027764A">
        <w:rPr>
          <w:rFonts w:ascii="Arial" w:hAnsi="Arial" w:cs="Arial"/>
          <w:sz w:val="20"/>
          <w:szCs w:val="20"/>
          <w:lang w:val="en-US"/>
        </w:rPr>
        <w:t>This table reports</w:t>
      </w:r>
      <w:r>
        <w:rPr>
          <w:rFonts w:ascii="Arial" w:hAnsi="Arial" w:cs="Arial"/>
          <w:sz w:val="20"/>
          <w:szCs w:val="20"/>
          <w:lang w:val="en-US"/>
        </w:rPr>
        <w:t xml:space="preserve"> e</w:t>
      </w:r>
      <w:r w:rsidR="00202C17" w:rsidRPr="0063181F">
        <w:rPr>
          <w:rFonts w:ascii="Arial" w:hAnsi="Arial" w:cs="Arial"/>
          <w:sz w:val="20"/>
          <w:szCs w:val="20"/>
          <w:lang w:val="en-US"/>
        </w:rPr>
        <w:t>stimates of</w:t>
      </w:r>
      <w:r w:rsidR="00202C17" w:rsidRPr="00A51255">
        <w:rPr>
          <w:rFonts w:ascii="Arial" w:hAnsi="Arial" w:cs="Arial"/>
          <w:sz w:val="20"/>
          <w:szCs w:val="20"/>
          <w:lang w:val="en-US"/>
        </w:rPr>
        <w:t xml:space="preserve"> dummy variables for the NBP announcements days with unexpected announcements of different strength </w:t>
      </w:r>
      <w:r w:rsidR="00DD4196">
        <w:rPr>
          <w:rFonts w:ascii="Arial" w:hAnsi="Arial" w:cs="Arial"/>
          <w:sz w:val="20"/>
          <w:szCs w:val="20"/>
          <w:lang w:val="en-US"/>
        </w:rPr>
        <w:t xml:space="preserve">on day </w:t>
      </w:r>
      <w:r w:rsidR="00DD4196" w:rsidRPr="00731796">
        <w:rPr>
          <w:i/>
          <w:sz w:val="18"/>
          <w:szCs w:val="18"/>
          <w:lang w:val="en-GB"/>
        </w:rPr>
        <w:t>t</w:t>
      </w:r>
      <w:r w:rsidR="00DD4196">
        <w:rPr>
          <w:rFonts w:ascii="Arial" w:hAnsi="Arial" w:cs="Arial"/>
          <w:sz w:val="20"/>
          <w:szCs w:val="20"/>
          <w:lang w:val="en-US"/>
        </w:rPr>
        <w:t xml:space="preserve"> </w:t>
      </w:r>
      <w:r w:rsidR="00202C17" w:rsidRPr="00A51255">
        <w:rPr>
          <w:rFonts w:ascii="Arial" w:hAnsi="Arial" w:cs="Arial"/>
          <w:sz w:val="20"/>
          <w:szCs w:val="20"/>
          <w:lang w:val="en-US"/>
        </w:rPr>
        <w:t xml:space="preserve">in the </w:t>
      </w:r>
      <w:r w:rsidR="007979AD">
        <w:rPr>
          <w:rFonts w:ascii="Arial" w:hAnsi="Arial" w:cs="Arial"/>
          <w:sz w:val="20"/>
          <w:szCs w:val="20"/>
          <w:lang w:val="en-US"/>
        </w:rPr>
        <w:t xml:space="preserve">mean </w:t>
      </w:r>
      <w:r w:rsidR="00E3660B">
        <w:rPr>
          <w:rFonts w:ascii="Arial" w:hAnsi="Arial" w:cs="Arial"/>
          <w:sz w:val="20"/>
          <w:szCs w:val="20"/>
          <w:lang w:val="en-US"/>
        </w:rPr>
        <w:t xml:space="preserve">equation </w:t>
      </w:r>
      <w:r w:rsidR="00C65448">
        <w:rPr>
          <w:rFonts w:ascii="Arial" w:hAnsi="Arial" w:cs="Arial"/>
          <w:sz w:val="20"/>
          <w:szCs w:val="20"/>
          <w:lang w:val="en-US"/>
        </w:rPr>
        <w:t>(</w:t>
      </w:r>
      <w:r w:rsidR="00E3660B">
        <w:rPr>
          <w:rFonts w:ascii="Arial" w:hAnsi="Arial" w:cs="Arial"/>
          <w:sz w:val="20"/>
          <w:szCs w:val="20"/>
          <w:lang w:val="en-US"/>
        </w:rPr>
        <w:t>1)</w:t>
      </w:r>
      <w:r w:rsidR="00202C17" w:rsidRPr="00A51255">
        <w:rPr>
          <w:rFonts w:ascii="Arial" w:hAnsi="Arial" w:cs="Arial"/>
          <w:sz w:val="20"/>
          <w:szCs w:val="20"/>
          <w:lang w:val="en-US"/>
        </w:rPr>
        <w:t xml:space="preserve">: </w:t>
      </w:r>
    </w:p>
    <w:p w:rsidR="007A08BB" w:rsidRDefault="00EF5112" w:rsidP="00C673F3">
      <w:pPr>
        <w:tabs>
          <w:tab w:val="left" w:pos="13183"/>
        </w:tabs>
        <w:spacing w:line="0" w:lineRule="atLeast"/>
        <w:ind w:right="-1"/>
        <w:jc w:val="center"/>
        <w:rPr>
          <w:rFonts w:ascii="Arial" w:hAnsi="Arial" w:cs="Arial"/>
          <w:lang w:val="en-US"/>
        </w:rPr>
      </w:pPr>
      <w:r w:rsidRPr="00A51255">
        <w:rPr>
          <w:rFonts w:ascii="Arial" w:hAnsi="Arial" w:cs="Arial"/>
          <w:position w:val="-28"/>
          <w:lang w:val="en-US"/>
        </w:rPr>
        <w:object w:dxaOrig="8000" w:dyaOrig="680">
          <v:shape id="_x0000_i1073" type="#_x0000_t75" style="width:348.45pt;height:29.55pt" o:ole="">
            <v:imagedata r:id="rId90" o:title=""/>
          </v:shape>
          <o:OLEObject Type="Embed" ProgID="Equation.3" ShapeID="_x0000_i1073" DrawAspect="Content" ObjectID="_1507543420" r:id="rId91"/>
        </w:object>
      </w:r>
    </w:p>
    <w:p w:rsidR="00E3660B" w:rsidRPr="00A51255" w:rsidRDefault="00E3660B" w:rsidP="00C673F3">
      <w:pPr>
        <w:tabs>
          <w:tab w:val="left" w:pos="13183"/>
        </w:tabs>
        <w:spacing w:line="0" w:lineRule="atLeast"/>
        <w:ind w:right="-1"/>
        <w:rPr>
          <w:rFonts w:ascii="Arial" w:hAnsi="Arial" w:cs="Arial"/>
          <w:sz w:val="20"/>
          <w:szCs w:val="20"/>
          <w:lang w:val="en-US"/>
        </w:rPr>
      </w:pPr>
      <w:r>
        <w:rPr>
          <w:rFonts w:ascii="Arial" w:hAnsi="Arial" w:cs="Arial"/>
          <w:sz w:val="20"/>
          <w:szCs w:val="20"/>
          <w:lang w:val="en-US"/>
        </w:rPr>
        <w:t xml:space="preserve">and in the </w:t>
      </w:r>
      <w:r w:rsidRPr="00A51255">
        <w:rPr>
          <w:rFonts w:ascii="Arial" w:hAnsi="Arial" w:cs="Arial"/>
          <w:sz w:val="20"/>
          <w:szCs w:val="20"/>
          <w:lang w:val="en-US"/>
        </w:rPr>
        <w:t>conditional variance equation</w:t>
      </w:r>
      <w:r>
        <w:rPr>
          <w:rFonts w:ascii="Arial" w:hAnsi="Arial" w:cs="Arial"/>
          <w:sz w:val="20"/>
          <w:szCs w:val="20"/>
          <w:lang w:val="en-US"/>
        </w:rPr>
        <w:t xml:space="preserve"> </w:t>
      </w:r>
      <w:r w:rsidR="00C65448">
        <w:rPr>
          <w:rFonts w:ascii="Arial" w:hAnsi="Arial" w:cs="Arial"/>
          <w:sz w:val="20"/>
          <w:szCs w:val="20"/>
          <w:lang w:val="en-US"/>
        </w:rPr>
        <w:t>(</w:t>
      </w:r>
      <w:r>
        <w:rPr>
          <w:rFonts w:ascii="Arial" w:hAnsi="Arial" w:cs="Arial"/>
          <w:sz w:val="20"/>
          <w:szCs w:val="20"/>
          <w:lang w:val="en-US"/>
        </w:rPr>
        <w:t>2)</w:t>
      </w:r>
      <w:r w:rsidRPr="00A51255">
        <w:rPr>
          <w:rFonts w:ascii="Arial" w:hAnsi="Arial" w:cs="Arial"/>
          <w:sz w:val="20"/>
          <w:szCs w:val="20"/>
          <w:lang w:val="en-US"/>
        </w:rPr>
        <w:t>:</w:t>
      </w:r>
    </w:p>
    <w:p w:rsidR="00202C17" w:rsidRPr="00A51255" w:rsidRDefault="00F70C9F" w:rsidP="00C673F3">
      <w:pPr>
        <w:tabs>
          <w:tab w:val="left" w:pos="13183"/>
        </w:tabs>
        <w:spacing w:line="0" w:lineRule="atLeast"/>
        <w:ind w:right="-1"/>
        <w:jc w:val="center"/>
        <w:rPr>
          <w:rFonts w:ascii="Garamond" w:hAnsi="Garamond"/>
          <w:i/>
          <w:lang w:val="de-DE"/>
        </w:rPr>
      </w:pPr>
      <w:r w:rsidRPr="00530901">
        <w:rPr>
          <w:rFonts w:ascii="Garamond" w:hAnsi="Garamond"/>
          <w:i/>
          <w:position w:val="-30"/>
          <w:lang w:val="de-DE"/>
        </w:rPr>
        <w:object w:dxaOrig="6480" w:dyaOrig="700">
          <v:shape id="_x0000_i1074" type="#_x0000_t75" style="width:294.45pt;height:30.85pt" o:ole="">
            <v:imagedata r:id="rId92" o:title=""/>
          </v:shape>
          <o:OLEObject Type="Embed" ProgID="Equation.3" ShapeID="_x0000_i1074" DrawAspect="Content" ObjectID="_1507543421" r:id="rId93"/>
        </w:object>
      </w:r>
    </w:p>
    <w:p w:rsidR="00202C17" w:rsidRDefault="00202C17" w:rsidP="00C673F3">
      <w:pPr>
        <w:tabs>
          <w:tab w:val="left" w:pos="13183"/>
        </w:tabs>
        <w:spacing w:line="0" w:lineRule="atLeast"/>
        <w:ind w:right="-1"/>
        <w:jc w:val="both"/>
        <w:rPr>
          <w:rFonts w:ascii="Arial" w:hAnsi="Arial" w:cs="Arial"/>
          <w:sz w:val="20"/>
          <w:szCs w:val="20"/>
          <w:lang w:val="en-US"/>
        </w:rPr>
      </w:pPr>
      <w:r w:rsidRPr="007979AD">
        <w:rPr>
          <w:rFonts w:ascii="Arial" w:hAnsi="Arial" w:cs="Arial"/>
          <w:sz w:val="20"/>
          <w:szCs w:val="20"/>
          <w:lang w:val="en-GB"/>
        </w:rPr>
        <w:t>f</w:t>
      </w:r>
      <w:r w:rsidR="00235CF4" w:rsidRPr="00A51255">
        <w:rPr>
          <w:rFonts w:ascii="Arial" w:hAnsi="Arial" w:cs="Arial"/>
          <w:sz w:val="20"/>
          <w:szCs w:val="20"/>
          <w:lang w:val="en-US"/>
        </w:rPr>
        <w:t xml:space="preserve">rom the GARCH model </w:t>
      </w:r>
      <w:r w:rsidR="00C65448">
        <w:rPr>
          <w:rFonts w:ascii="Arial" w:hAnsi="Arial" w:cs="Arial"/>
          <w:sz w:val="20"/>
          <w:szCs w:val="20"/>
          <w:lang w:val="en-US"/>
        </w:rPr>
        <w:t>(</w:t>
      </w:r>
      <w:r w:rsidR="00D4324D">
        <w:rPr>
          <w:rFonts w:ascii="Arial" w:hAnsi="Arial" w:cs="Arial"/>
          <w:sz w:val="20"/>
          <w:szCs w:val="20"/>
          <w:lang w:val="en-US"/>
        </w:rPr>
        <w:t>1</w:t>
      </w:r>
      <w:r w:rsidR="006A4ECA">
        <w:rPr>
          <w:rFonts w:ascii="Arial" w:hAnsi="Arial" w:cs="Arial"/>
          <w:sz w:val="20"/>
          <w:szCs w:val="20"/>
          <w:lang w:val="en-US"/>
        </w:rPr>
        <w:t xml:space="preserve">) - </w:t>
      </w:r>
      <w:r w:rsidR="00C65448">
        <w:rPr>
          <w:rFonts w:ascii="Arial" w:hAnsi="Arial" w:cs="Arial"/>
          <w:sz w:val="20"/>
          <w:szCs w:val="20"/>
          <w:lang w:val="en-US"/>
        </w:rPr>
        <w:t>(</w:t>
      </w:r>
      <w:r w:rsidR="00810221">
        <w:rPr>
          <w:rFonts w:ascii="Arial" w:hAnsi="Arial" w:cs="Arial"/>
          <w:sz w:val="20"/>
          <w:szCs w:val="20"/>
          <w:lang w:val="en-US"/>
        </w:rPr>
        <w:t>2)</w:t>
      </w:r>
      <w:r w:rsidRPr="00A51255">
        <w:rPr>
          <w:rFonts w:ascii="Arial" w:hAnsi="Arial" w:cs="Arial"/>
          <w:sz w:val="20"/>
          <w:szCs w:val="20"/>
          <w:lang w:val="en-US"/>
        </w:rPr>
        <w:t xml:space="preserve"> of th</w:t>
      </w:r>
      <w:r w:rsidR="00D2526A">
        <w:rPr>
          <w:rFonts w:ascii="Arial" w:hAnsi="Arial" w:cs="Arial"/>
          <w:sz w:val="20"/>
          <w:szCs w:val="20"/>
          <w:lang w:val="en-US"/>
        </w:rPr>
        <w:t>e PLN/USD exchange rate returns.</w:t>
      </w:r>
    </w:p>
    <w:p w:rsidR="0090662F" w:rsidRDefault="0090662F" w:rsidP="00C673F3">
      <w:pPr>
        <w:tabs>
          <w:tab w:val="left" w:pos="13183"/>
        </w:tabs>
        <w:spacing w:line="0" w:lineRule="atLeast"/>
        <w:ind w:right="-1"/>
        <w:jc w:val="both"/>
        <w:rPr>
          <w:rFonts w:ascii="Arial" w:hAnsi="Arial" w:cs="Arial"/>
          <w:sz w:val="20"/>
          <w:szCs w:val="20"/>
          <w:lang w:val="en-US"/>
        </w:rPr>
      </w:pPr>
    </w:p>
    <w:p w:rsidR="0090662F" w:rsidRDefault="0090662F" w:rsidP="00C673F3">
      <w:pPr>
        <w:tabs>
          <w:tab w:val="left" w:pos="13183"/>
        </w:tabs>
        <w:spacing w:line="0" w:lineRule="atLeast"/>
        <w:ind w:right="-1"/>
        <w:jc w:val="both"/>
        <w:rPr>
          <w:rFonts w:ascii="Arial" w:hAnsi="Arial" w:cs="Arial"/>
          <w:sz w:val="20"/>
          <w:szCs w:val="20"/>
          <w:lang w:val="en-US"/>
        </w:rPr>
      </w:pPr>
    </w:p>
    <w:p w:rsidR="000A3CFB" w:rsidRPr="00A51255" w:rsidRDefault="000A3CFB" w:rsidP="003207FF">
      <w:pPr>
        <w:spacing w:line="360" w:lineRule="auto"/>
        <w:ind w:left="284" w:right="253"/>
        <w:jc w:val="both"/>
        <w:rPr>
          <w:rFonts w:ascii="Arial" w:hAnsi="Arial" w:cs="Arial"/>
          <w:sz w:val="20"/>
          <w:szCs w:val="20"/>
          <w:lang w:val="en-US"/>
        </w:rPr>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896"/>
        <w:gridCol w:w="1885"/>
        <w:gridCol w:w="1649"/>
        <w:gridCol w:w="1742"/>
        <w:gridCol w:w="1686"/>
      </w:tblGrid>
      <w:tr w:rsidR="00C65448" w:rsidRPr="00A51255" w:rsidTr="00F037D9">
        <w:trPr>
          <w:jc w:val="center"/>
        </w:trPr>
        <w:tc>
          <w:tcPr>
            <w:tcW w:w="335" w:type="dxa"/>
            <w:vAlign w:val="center"/>
          </w:tcPr>
          <w:p w:rsidR="00202C17" w:rsidRPr="00124F83" w:rsidRDefault="00202C17" w:rsidP="0096547E">
            <w:pPr>
              <w:spacing w:line="360" w:lineRule="auto"/>
              <w:jc w:val="center"/>
              <w:rPr>
                <w:rFonts w:ascii="Arial" w:hAnsi="Arial" w:cs="Arial"/>
                <w:sz w:val="16"/>
                <w:szCs w:val="16"/>
                <w:lang w:val="de-DE"/>
              </w:rPr>
            </w:pPr>
            <w:r w:rsidRPr="00A51255">
              <w:rPr>
                <w:rFonts w:ascii="Arial" w:hAnsi="Arial" w:cs="Arial"/>
                <w:sz w:val="16"/>
                <w:szCs w:val="16"/>
                <w:lang w:val="de-DE"/>
              </w:rPr>
              <w:t>Eq.</w:t>
            </w:r>
          </w:p>
        </w:tc>
        <w:tc>
          <w:tcPr>
            <w:tcW w:w="8980" w:type="dxa"/>
            <w:gridSpan w:val="5"/>
            <w:vAlign w:val="center"/>
          </w:tcPr>
          <w:p w:rsidR="00F726D6" w:rsidRDefault="00F726D6" w:rsidP="00A84385">
            <w:pPr>
              <w:jc w:val="center"/>
              <w:rPr>
                <w:rFonts w:ascii="Arial" w:hAnsi="Arial" w:cs="Arial"/>
                <w:b/>
                <w:sz w:val="18"/>
                <w:szCs w:val="18"/>
                <w:lang w:val="de-DE"/>
              </w:rPr>
            </w:pPr>
          </w:p>
          <w:p w:rsidR="00202C17" w:rsidRDefault="00202C17" w:rsidP="00A84385">
            <w:pPr>
              <w:jc w:val="center"/>
              <w:rPr>
                <w:b/>
                <w:i/>
                <w:sz w:val="18"/>
                <w:szCs w:val="18"/>
                <w:lang w:val="de-DE"/>
              </w:rPr>
            </w:pPr>
            <w:r w:rsidRPr="004F48F0">
              <w:rPr>
                <w:rFonts w:ascii="Arial" w:hAnsi="Arial" w:cs="Arial"/>
                <w:b/>
                <w:sz w:val="18"/>
                <w:szCs w:val="18"/>
                <w:lang w:val="de-DE"/>
              </w:rPr>
              <w:t xml:space="preserve">On day </w:t>
            </w:r>
            <w:r w:rsidRPr="004F48F0">
              <w:rPr>
                <w:b/>
                <w:i/>
                <w:sz w:val="18"/>
                <w:szCs w:val="18"/>
                <w:lang w:val="de-DE"/>
              </w:rPr>
              <w:t>t</w:t>
            </w:r>
          </w:p>
          <w:p w:rsidR="00F726D6" w:rsidRPr="004F48F0" w:rsidRDefault="00F726D6" w:rsidP="00A84385">
            <w:pPr>
              <w:jc w:val="center"/>
              <w:rPr>
                <w:rFonts w:ascii="Arial" w:hAnsi="Arial" w:cs="Arial"/>
                <w:b/>
                <w:sz w:val="18"/>
                <w:szCs w:val="18"/>
                <w:lang w:val="de-DE"/>
              </w:rPr>
            </w:pPr>
          </w:p>
        </w:tc>
      </w:tr>
      <w:tr w:rsidR="009D3E6A" w:rsidRPr="00A51255" w:rsidTr="00C56EBA">
        <w:trPr>
          <w:jc w:val="center"/>
        </w:trPr>
        <w:tc>
          <w:tcPr>
            <w:tcW w:w="9315" w:type="dxa"/>
            <w:gridSpan w:val="6"/>
            <w:vAlign w:val="center"/>
          </w:tcPr>
          <w:p w:rsidR="00F726D6" w:rsidRDefault="00F726D6" w:rsidP="00C42920">
            <w:pPr>
              <w:jc w:val="center"/>
              <w:rPr>
                <w:rFonts w:ascii="Arial" w:hAnsi="Arial" w:cs="Arial"/>
                <w:b/>
                <w:sz w:val="18"/>
                <w:szCs w:val="18"/>
                <w:lang w:val="de-DE"/>
              </w:rPr>
            </w:pPr>
          </w:p>
          <w:p w:rsidR="009D3E6A" w:rsidRDefault="009D3E6A" w:rsidP="00C42920">
            <w:pPr>
              <w:jc w:val="center"/>
              <w:rPr>
                <w:rFonts w:ascii="Arial" w:hAnsi="Arial" w:cs="Arial"/>
                <w:b/>
                <w:sz w:val="18"/>
                <w:szCs w:val="18"/>
                <w:lang w:val="de-DE"/>
              </w:rPr>
            </w:pPr>
            <w:r w:rsidRPr="009D3E6A">
              <w:rPr>
                <w:rFonts w:ascii="Arial" w:hAnsi="Arial" w:cs="Arial"/>
                <w:b/>
                <w:sz w:val="18"/>
                <w:szCs w:val="18"/>
                <w:lang w:val="de-DE"/>
              </w:rPr>
              <w:t>Mean equation:</w:t>
            </w:r>
          </w:p>
          <w:p w:rsidR="00F726D6" w:rsidRDefault="00F726D6" w:rsidP="00C42920">
            <w:pPr>
              <w:jc w:val="center"/>
              <w:rPr>
                <w:rFonts w:ascii="Arial" w:hAnsi="Arial" w:cs="Arial"/>
                <w:sz w:val="20"/>
                <w:szCs w:val="20"/>
                <w:lang w:val="de-DE"/>
              </w:rPr>
            </w:pPr>
          </w:p>
        </w:tc>
      </w:tr>
      <w:tr w:rsidR="00C65448" w:rsidRPr="00A51255" w:rsidTr="00F037D9">
        <w:trPr>
          <w:jc w:val="center"/>
        </w:trPr>
        <w:tc>
          <w:tcPr>
            <w:tcW w:w="335" w:type="dxa"/>
            <w:vAlign w:val="center"/>
          </w:tcPr>
          <w:p w:rsidR="00202C17" w:rsidRPr="00A51255" w:rsidRDefault="00C65448" w:rsidP="0096547E">
            <w:pPr>
              <w:spacing w:line="360" w:lineRule="auto"/>
              <w:jc w:val="center"/>
              <w:rPr>
                <w:rFonts w:ascii="Arial" w:hAnsi="Arial" w:cs="Arial"/>
                <w:sz w:val="16"/>
                <w:szCs w:val="16"/>
                <w:lang w:val="de-DE"/>
              </w:rPr>
            </w:pPr>
            <w:r>
              <w:rPr>
                <w:rFonts w:ascii="Arial" w:hAnsi="Arial" w:cs="Arial"/>
                <w:sz w:val="16"/>
                <w:szCs w:val="16"/>
                <w:lang w:val="de-DE"/>
              </w:rPr>
              <w:t>(</w:t>
            </w:r>
            <w:r w:rsidR="00D4324D">
              <w:rPr>
                <w:rFonts w:ascii="Arial" w:hAnsi="Arial" w:cs="Arial"/>
                <w:sz w:val="16"/>
                <w:szCs w:val="16"/>
                <w:lang w:val="de-DE"/>
              </w:rPr>
              <w:t>1)</w:t>
            </w:r>
          </w:p>
        </w:tc>
        <w:tc>
          <w:tcPr>
            <w:tcW w:w="1909" w:type="dxa"/>
            <w:vAlign w:val="center"/>
          </w:tcPr>
          <w:p w:rsidR="00202C17" w:rsidRPr="004F48F0" w:rsidRDefault="00007917" w:rsidP="009F1BCD">
            <w:pPr>
              <w:jc w:val="center"/>
              <w:rPr>
                <w:rFonts w:ascii="Arial" w:hAnsi="Arial" w:cs="Arial"/>
                <w:b/>
                <w:sz w:val="18"/>
                <w:szCs w:val="18"/>
                <w:lang w:val="de-DE"/>
              </w:rPr>
            </w:pPr>
            <w:r w:rsidRPr="00067CE5">
              <w:rPr>
                <w:position w:val="-12"/>
              </w:rPr>
              <w:object w:dxaOrig="300" w:dyaOrig="360">
                <v:shape id="_x0000_i1075" type="#_x0000_t75" style="width:14.15pt;height:18pt" o:ole="">
                  <v:imagedata r:id="rId94" o:title=""/>
                </v:shape>
                <o:OLEObject Type="Embed" ProgID="Equation.3" ShapeID="_x0000_i1075" DrawAspect="Content" ObjectID="_1507543422" r:id="rId95"/>
              </w:object>
            </w:r>
          </w:p>
        </w:tc>
        <w:tc>
          <w:tcPr>
            <w:tcW w:w="1918" w:type="dxa"/>
            <w:vAlign w:val="center"/>
          </w:tcPr>
          <w:p w:rsidR="00202C17" w:rsidRPr="00A51255" w:rsidRDefault="0011151B" w:rsidP="0096547E">
            <w:pPr>
              <w:jc w:val="center"/>
              <w:rPr>
                <w:rFonts w:ascii="Arial" w:hAnsi="Arial" w:cs="Arial"/>
                <w:sz w:val="20"/>
                <w:szCs w:val="20"/>
                <w:lang w:val="de-DE"/>
              </w:rPr>
            </w:pPr>
            <w:r w:rsidRPr="0011151B">
              <w:rPr>
                <w:rFonts w:ascii="Arial" w:hAnsi="Arial" w:cs="Arial"/>
                <w:sz w:val="20"/>
                <w:szCs w:val="20"/>
                <w:lang w:val="de-DE"/>
              </w:rPr>
              <w:t>0.050414</w:t>
            </w:r>
          </w:p>
          <w:p w:rsidR="00202C17" w:rsidRPr="00A51255" w:rsidRDefault="00C42920" w:rsidP="0096547E">
            <w:pPr>
              <w:jc w:val="center"/>
              <w:rPr>
                <w:lang w:val="en-US"/>
              </w:rPr>
            </w:pPr>
            <w:r>
              <w:rPr>
                <w:rFonts w:ascii="Arial" w:hAnsi="Arial" w:cs="Arial"/>
                <w:sz w:val="16"/>
                <w:szCs w:val="16"/>
                <w:lang w:val="de-DE"/>
              </w:rPr>
              <w:t>(</w:t>
            </w:r>
            <w:r w:rsidR="0011151B" w:rsidRPr="0011151B">
              <w:rPr>
                <w:rFonts w:ascii="Arial" w:hAnsi="Arial" w:cs="Arial"/>
                <w:sz w:val="16"/>
                <w:szCs w:val="16"/>
                <w:lang w:val="de-DE"/>
              </w:rPr>
              <w:t>0.056781</w:t>
            </w:r>
            <w:r w:rsidR="00202C17" w:rsidRPr="00A51255">
              <w:rPr>
                <w:rFonts w:ascii="Arial" w:hAnsi="Arial" w:cs="Arial"/>
                <w:sz w:val="16"/>
                <w:szCs w:val="16"/>
                <w:lang w:val="de-DE"/>
              </w:rPr>
              <w:t>)</w:t>
            </w:r>
          </w:p>
        </w:tc>
        <w:tc>
          <w:tcPr>
            <w:tcW w:w="1673" w:type="dxa"/>
            <w:vAlign w:val="center"/>
          </w:tcPr>
          <w:p w:rsidR="00C42920" w:rsidRPr="00A51255" w:rsidRDefault="00E82E97" w:rsidP="00C42920">
            <w:pPr>
              <w:jc w:val="center"/>
              <w:rPr>
                <w:rFonts w:ascii="Arial" w:hAnsi="Arial" w:cs="Arial"/>
                <w:sz w:val="20"/>
                <w:szCs w:val="20"/>
                <w:lang w:val="de-DE"/>
              </w:rPr>
            </w:pPr>
            <w:r w:rsidRPr="00E82E97">
              <w:rPr>
                <w:rFonts w:ascii="Arial" w:hAnsi="Arial" w:cs="Arial"/>
                <w:sz w:val="20"/>
                <w:szCs w:val="20"/>
                <w:lang w:val="de-DE"/>
              </w:rPr>
              <w:t>0.042201</w:t>
            </w:r>
          </w:p>
          <w:p w:rsidR="00202C17" w:rsidRPr="00A51255" w:rsidRDefault="00C42920" w:rsidP="00C42920">
            <w:pPr>
              <w:jc w:val="center"/>
              <w:rPr>
                <w:lang w:val="en-US"/>
              </w:rPr>
            </w:pPr>
            <w:r>
              <w:rPr>
                <w:rFonts w:ascii="Arial" w:hAnsi="Arial" w:cs="Arial"/>
                <w:sz w:val="16"/>
                <w:szCs w:val="16"/>
                <w:lang w:val="de-DE"/>
              </w:rPr>
              <w:t>(</w:t>
            </w:r>
            <w:r w:rsidR="00E82E97" w:rsidRPr="00E82E97">
              <w:rPr>
                <w:rFonts w:ascii="Arial" w:hAnsi="Arial" w:cs="Arial"/>
                <w:sz w:val="16"/>
                <w:szCs w:val="16"/>
                <w:lang w:val="de-DE"/>
              </w:rPr>
              <w:t>0.053866</w:t>
            </w:r>
            <w:r w:rsidRPr="00A51255">
              <w:rPr>
                <w:rFonts w:ascii="Arial" w:hAnsi="Arial" w:cs="Arial"/>
                <w:sz w:val="16"/>
                <w:szCs w:val="16"/>
                <w:lang w:val="de-DE"/>
              </w:rPr>
              <w:t>)</w:t>
            </w:r>
          </w:p>
        </w:tc>
        <w:tc>
          <w:tcPr>
            <w:tcW w:w="1769" w:type="dxa"/>
            <w:vAlign w:val="center"/>
          </w:tcPr>
          <w:p w:rsidR="00C42920" w:rsidRPr="00A51255" w:rsidRDefault="00E92334" w:rsidP="00C42920">
            <w:pPr>
              <w:jc w:val="center"/>
              <w:rPr>
                <w:rFonts w:ascii="Arial" w:hAnsi="Arial" w:cs="Arial"/>
                <w:sz w:val="20"/>
                <w:szCs w:val="20"/>
                <w:lang w:val="de-DE"/>
              </w:rPr>
            </w:pPr>
            <w:r w:rsidRPr="00E92334">
              <w:rPr>
                <w:rFonts w:ascii="Arial" w:hAnsi="Arial" w:cs="Arial"/>
                <w:sz w:val="20"/>
                <w:szCs w:val="20"/>
                <w:lang w:val="de-DE"/>
              </w:rPr>
              <w:t>0.171196</w:t>
            </w:r>
          </w:p>
          <w:p w:rsidR="00202C17" w:rsidRPr="00A51255" w:rsidRDefault="00C42920" w:rsidP="00C42920">
            <w:pPr>
              <w:jc w:val="center"/>
              <w:rPr>
                <w:lang w:val="en-US"/>
              </w:rPr>
            </w:pPr>
            <w:r>
              <w:rPr>
                <w:rFonts w:ascii="Arial" w:hAnsi="Arial" w:cs="Arial"/>
                <w:sz w:val="16"/>
                <w:szCs w:val="16"/>
                <w:lang w:val="de-DE"/>
              </w:rPr>
              <w:t>(</w:t>
            </w:r>
            <w:r w:rsidR="00E92334" w:rsidRPr="00E92334">
              <w:rPr>
                <w:rFonts w:ascii="Arial" w:hAnsi="Arial" w:cs="Arial"/>
                <w:sz w:val="16"/>
                <w:szCs w:val="16"/>
                <w:lang w:val="de-DE"/>
              </w:rPr>
              <w:t>0.104473</w:t>
            </w:r>
            <w:r w:rsidRPr="00A51255">
              <w:rPr>
                <w:rFonts w:ascii="Arial" w:hAnsi="Arial" w:cs="Arial"/>
                <w:sz w:val="16"/>
                <w:szCs w:val="16"/>
                <w:lang w:val="de-DE"/>
              </w:rPr>
              <w:t>)</w:t>
            </w:r>
          </w:p>
        </w:tc>
        <w:tc>
          <w:tcPr>
            <w:tcW w:w="1711" w:type="dxa"/>
            <w:vAlign w:val="center"/>
          </w:tcPr>
          <w:p w:rsidR="00C42920" w:rsidRPr="00A51255" w:rsidRDefault="007B09CA" w:rsidP="00C42920">
            <w:pPr>
              <w:jc w:val="center"/>
              <w:rPr>
                <w:rFonts w:ascii="Arial" w:hAnsi="Arial" w:cs="Arial"/>
                <w:sz w:val="20"/>
                <w:szCs w:val="20"/>
                <w:lang w:val="de-DE"/>
              </w:rPr>
            </w:pPr>
            <w:r w:rsidRPr="007B09CA">
              <w:rPr>
                <w:rFonts w:ascii="Arial" w:hAnsi="Arial" w:cs="Arial"/>
                <w:sz w:val="20"/>
                <w:szCs w:val="20"/>
                <w:lang w:val="de-DE"/>
              </w:rPr>
              <w:t>0.161437</w:t>
            </w:r>
          </w:p>
          <w:p w:rsidR="00202C17" w:rsidRPr="00A51255" w:rsidRDefault="00C42920" w:rsidP="00C42920">
            <w:pPr>
              <w:jc w:val="center"/>
              <w:rPr>
                <w:lang w:val="en-US"/>
              </w:rPr>
            </w:pPr>
            <w:r>
              <w:rPr>
                <w:rFonts w:ascii="Arial" w:hAnsi="Arial" w:cs="Arial"/>
                <w:sz w:val="16"/>
                <w:szCs w:val="16"/>
                <w:lang w:val="de-DE"/>
              </w:rPr>
              <w:t>(</w:t>
            </w:r>
            <w:r w:rsidR="007B09CA" w:rsidRPr="007B09CA">
              <w:rPr>
                <w:rFonts w:ascii="Arial" w:hAnsi="Arial" w:cs="Arial"/>
                <w:sz w:val="16"/>
                <w:szCs w:val="16"/>
                <w:lang w:val="de-DE"/>
              </w:rPr>
              <w:t>0.191428</w:t>
            </w:r>
            <w:r w:rsidRPr="00A51255">
              <w:rPr>
                <w:rFonts w:ascii="Arial" w:hAnsi="Arial" w:cs="Arial"/>
                <w:sz w:val="16"/>
                <w:szCs w:val="16"/>
                <w:lang w:val="de-DE"/>
              </w:rPr>
              <w:t>)</w:t>
            </w:r>
          </w:p>
        </w:tc>
      </w:tr>
      <w:tr w:rsidR="00C65448" w:rsidRPr="00A51255" w:rsidTr="00F037D9">
        <w:trPr>
          <w:jc w:val="center"/>
        </w:trPr>
        <w:tc>
          <w:tcPr>
            <w:tcW w:w="335" w:type="dxa"/>
            <w:vAlign w:val="center"/>
          </w:tcPr>
          <w:p w:rsidR="00202C17" w:rsidRPr="00A51255" w:rsidRDefault="00C65448" w:rsidP="0096547E">
            <w:pPr>
              <w:spacing w:line="360" w:lineRule="auto"/>
              <w:jc w:val="center"/>
              <w:rPr>
                <w:rFonts w:ascii="Arial" w:hAnsi="Arial" w:cs="Arial"/>
                <w:lang w:val="en-US"/>
              </w:rPr>
            </w:pPr>
            <w:r>
              <w:rPr>
                <w:rFonts w:ascii="Arial" w:hAnsi="Arial" w:cs="Arial"/>
                <w:sz w:val="16"/>
                <w:szCs w:val="16"/>
                <w:lang w:val="de-DE"/>
              </w:rPr>
              <w:t>(</w:t>
            </w:r>
            <w:r w:rsidR="00D4324D">
              <w:rPr>
                <w:rFonts w:ascii="Arial" w:hAnsi="Arial" w:cs="Arial"/>
                <w:sz w:val="16"/>
                <w:szCs w:val="16"/>
                <w:lang w:val="de-DE"/>
              </w:rPr>
              <w:t>1)</w:t>
            </w:r>
          </w:p>
        </w:tc>
        <w:tc>
          <w:tcPr>
            <w:tcW w:w="1909" w:type="dxa"/>
            <w:vAlign w:val="center"/>
          </w:tcPr>
          <w:p w:rsidR="00202C17" w:rsidRPr="004F48F0" w:rsidRDefault="00007917" w:rsidP="00C23369">
            <w:pPr>
              <w:jc w:val="center"/>
              <w:rPr>
                <w:rFonts w:ascii="Arial" w:hAnsi="Arial" w:cs="Arial"/>
                <w:b/>
                <w:sz w:val="18"/>
                <w:szCs w:val="18"/>
                <w:lang w:val="de-DE"/>
              </w:rPr>
            </w:pPr>
            <w:r w:rsidRPr="00067CE5">
              <w:rPr>
                <w:position w:val="-10"/>
              </w:rPr>
              <w:object w:dxaOrig="279" w:dyaOrig="340">
                <v:shape id="_x0000_i1076" type="#_x0000_t75" style="width:12.85pt;height:16.7pt" o:ole="">
                  <v:imagedata r:id="rId96" o:title=""/>
                </v:shape>
                <o:OLEObject Type="Embed" ProgID="Equation.3" ShapeID="_x0000_i1076" DrawAspect="Content" ObjectID="_1507543423" r:id="rId97"/>
              </w:object>
            </w:r>
          </w:p>
        </w:tc>
        <w:tc>
          <w:tcPr>
            <w:tcW w:w="1918" w:type="dxa"/>
            <w:vAlign w:val="center"/>
          </w:tcPr>
          <w:p w:rsidR="00C42920" w:rsidRPr="00A51255" w:rsidRDefault="0011151B" w:rsidP="00C42920">
            <w:pPr>
              <w:jc w:val="center"/>
              <w:rPr>
                <w:rFonts w:ascii="Arial" w:hAnsi="Arial" w:cs="Arial"/>
                <w:sz w:val="20"/>
                <w:szCs w:val="20"/>
                <w:lang w:val="de-DE"/>
              </w:rPr>
            </w:pPr>
            <w:r w:rsidRPr="0011151B">
              <w:rPr>
                <w:rFonts w:ascii="Arial" w:hAnsi="Arial" w:cs="Arial"/>
                <w:sz w:val="20"/>
                <w:szCs w:val="20"/>
                <w:lang w:val="de-DE"/>
              </w:rPr>
              <w:t>0.000258</w:t>
            </w:r>
          </w:p>
          <w:p w:rsidR="00202C17" w:rsidRPr="00A51255" w:rsidRDefault="00C42920" w:rsidP="00C42920">
            <w:pPr>
              <w:jc w:val="center"/>
              <w:rPr>
                <w:lang w:val="en-US"/>
              </w:rPr>
            </w:pPr>
            <w:r>
              <w:rPr>
                <w:rFonts w:ascii="Arial" w:hAnsi="Arial" w:cs="Arial"/>
                <w:sz w:val="16"/>
                <w:szCs w:val="16"/>
                <w:lang w:val="de-DE"/>
              </w:rPr>
              <w:t>(</w:t>
            </w:r>
            <w:r w:rsidR="0011151B" w:rsidRPr="0011151B">
              <w:rPr>
                <w:rFonts w:ascii="Arial" w:hAnsi="Arial" w:cs="Arial"/>
                <w:sz w:val="16"/>
                <w:szCs w:val="16"/>
                <w:lang w:val="de-DE"/>
              </w:rPr>
              <w:t>0.000497</w:t>
            </w:r>
            <w:r w:rsidRPr="00A51255">
              <w:rPr>
                <w:rFonts w:ascii="Arial" w:hAnsi="Arial" w:cs="Arial"/>
                <w:sz w:val="16"/>
                <w:szCs w:val="16"/>
                <w:lang w:val="de-DE"/>
              </w:rPr>
              <w:t>)</w:t>
            </w:r>
          </w:p>
        </w:tc>
        <w:tc>
          <w:tcPr>
            <w:tcW w:w="1673" w:type="dxa"/>
            <w:vAlign w:val="center"/>
          </w:tcPr>
          <w:p w:rsidR="00C42920" w:rsidRPr="00A51255" w:rsidRDefault="00E82E97" w:rsidP="00C42920">
            <w:pPr>
              <w:jc w:val="center"/>
              <w:rPr>
                <w:rFonts w:ascii="Arial" w:hAnsi="Arial" w:cs="Arial"/>
                <w:sz w:val="20"/>
                <w:szCs w:val="20"/>
                <w:lang w:val="de-DE"/>
              </w:rPr>
            </w:pPr>
            <w:r w:rsidRPr="00E82E97">
              <w:rPr>
                <w:rFonts w:ascii="Arial" w:hAnsi="Arial" w:cs="Arial"/>
                <w:sz w:val="20"/>
                <w:szCs w:val="20"/>
                <w:lang w:val="de-DE"/>
              </w:rPr>
              <w:t>0.000317</w:t>
            </w:r>
          </w:p>
          <w:p w:rsidR="00202C17" w:rsidRPr="00A51255" w:rsidRDefault="00C42920" w:rsidP="00C42920">
            <w:pPr>
              <w:jc w:val="center"/>
              <w:rPr>
                <w:lang w:val="en-US"/>
              </w:rPr>
            </w:pPr>
            <w:r>
              <w:rPr>
                <w:rFonts w:ascii="Arial" w:hAnsi="Arial" w:cs="Arial"/>
                <w:sz w:val="16"/>
                <w:szCs w:val="16"/>
                <w:lang w:val="de-DE"/>
              </w:rPr>
              <w:t>(</w:t>
            </w:r>
            <w:r w:rsidR="00E82E97" w:rsidRPr="00E82E97">
              <w:rPr>
                <w:rFonts w:ascii="Arial" w:hAnsi="Arial" w:cs="Arial"/>
                <w:sz w:val="16"/>
                <w:szCs w:val="16"/>
                <w:lang w:val="de-DE"/>
              </w:rPr>
              <w:t>0.000535</w:t>
            </w:r>
            <w:r w:rsidRPr="00A51255">
              <w:rPr>
                <w:rFonts w:ascii="Arial" w:hAnsi="Arial" w:cs="Arial"/>
                <w:sz w:val="16"/>
                <w:szCs w:val="16"/>
                <w:lang w:val="de-DE"/>
              </w:rPr>
              <w:t>)</w:t>
            </w:r>
          </w:p>
        </w:tc>
        <w:tc>
          <w:tcPr>
            <w:tcW w:w="1769" w:type="dxa"/>
            <w:vAlign w:val="center"/>
          </w:tcPr>
          <w:p w:rsidR="00C42920" w:rsidRPr="00A51255" w:rsidRDefault="00E92334" w:rsidP="00C42920">
            <w:pPr>
              <w:jc w:val="center"/>
              <w:rPr>
                <w:rFonts w:ascii="Arial" w:hAnsi="Arial" w:cs="Arial"/>
                <w:sz w:val="20"/>
                <w:szCs w:val="20"/>
                <w:lang w:val="de-DE"/>
              </w:rPr>
            </w:pPr>
            <w:r w:rsidRPr="00E92334">
              <w:rPr>
                <w:rFonts w:ascii="Arial" w:hAnsi="Arial" w:cs="Arial"/>
                <w:sz w:val="20"/>
                <w:szCs w:val="20"/>
                <w:lang w:val="de-DE"/>
              </w:rPr>
              <w:t>-</w:t>
            </w:r>
            <w:r w:rsidR="00013A8D">
              <w:rPr>
                <w:rFonts w:ascii="Arial" w:hAnsi="Arial" w:cs="Arial"/>
                <w:sz w:val="20"/>
                <w:szCs w:val="20"/>
                <w:lang w:val="de-DE"/>
              </w:rPr>
              <w:t>0.000068</w:t>
            </w:r>
          </w:p>
          <w:p w:rsidR="00202C17" w:rsidRPr="00A51255" w:rsidRDefault="00C42920" w:rsidP="00C42920">
            <w:pPr>
              <w:jc w:val="center"/>
              <w:rPr>
                <w:lang w:val="en-US"/>
              </w:rPr>
            </w:pPr>
            <w:r>
              <w:rPr>
                <w:rFonts w:ascii="Arial" w:hAnsi="Arial" w:cs="Arial"/>
                <w:sz w:val="16"/>
                <w:szCs w:val="16"/>
                <w:lang w:val="de-DE"/>
              </w:rPr>
              <w:t>(</w:t>
            </w:r>
            <w:r w:rsidR="00E92334" w:rsidRPr="00E92334">
              <w:rPr>
                <w:rFonts w:ascii="Arial" w:hAnsi="Arial" w:cs="Arial"/>
                <w:sz w:val="16"/>
                <w:szCs w:val="16"/>
                <w:lang w:val="de-DE"/>
              </w:rPr>
              <w:t>0.000420</w:t>
            </w:r>
            <w:r w:rsidRPr="00A51255">
              <w:rPr>
                <w:rFonts w:ascii="Arial" w:hAnsi="Arial" w:cs="Arial"/>
                <w:sz w:val="16"/>
                <w:szCs w:val="16"/>
                <w:lang w:val="de-DE"/>
              </w:rPr>
              <w:t>)</w:t>
            </w:r>
          </w:p>
        </w:tc>
        <w:tc>
          <w:tcPr>
            <w:tcW w:w="1711" w:type="dxa"/>
            <w:vAlign w:val="center"/>
          </w:tcPr>
          <w:p w:rsidR="00C42920" w:rsidRPr="00A51255" w:rsidRDefault="007B09CA" w:rsidP="00C42920">
            <w:pPr>
              <w:jc w:val="center"/>
              <w:rPr>
                <w:rFonts w:ascii="Arial" w:hAnsi="Arial" w:cs="Arial"/>
                <w:sz w:val="20"/>
                <w:szCs w:val="20"/>
                <w:lang w:val="de-DE"/>
              </w:rPr>
            </w:pPr>
            <w:r w:rsidRPr="007B09CA">
              <w:rPr>
                <w:rFonts w:ascii="Arial" w:hAnsi="Arial" w:cs="Arial"/>
                <w:sz w:val="20"/>
                <w:szCs w:val="20"/>
                <w:lang w:val="de-DE"/>
              </w:rPr>
              <w:t>-0.000123</w:t>
            </w:r>
          </w:p>
          <w:p w:rsidR="00202C17" w:rsidRPr="00A51255" w:rsidRDefault="00C42920" w:rsidP="00C42920">
            <w:pPr>
              <w:jc w:val="center"/>
              <w:rPr>
                <w:lang w:val="en-US"/>
              </w:rPr>
            </w:pPr>
            <w:r>
              <w:rPr>
                <w:rFonts w:ascii="Arial" w:hAnsi="Arial" w:cs="Arial"/>
                <w:sz w:val="16"/>
                <w:szCs w:val="16"/>
                <w:lang w:val="de-DE"/>
              </w:rPr>
              <w:t>(</w:t>
            </w:r>
            <w:r w:rsidR="007B09CA" w:rsidRPr="007B09CA">
              <w:rPr>
                <w:rFonts w:ascii="Arial" w:hAnsi="Arial" w:cs="Arial"/>
                <w:sz w:val="16"/>
                <w:szCs w:val="16"/>
                <w:lang w:val="de-DE"/>
              </w:rPr>
              <w:t>0.000418</w:t>
            </w:r>
            <w:r w:rsidRPr="00A51255">
              <w:rPr>
                <w:rFonts w:ascii="Arial" w:hAnsi="Arial" w:cs="Arial"/>
                <w:sz w:val="16"/>
                <w:szCs w:val="16"/>
                <w:lang w:val="de-DE"/>
              </w:rPr>
              <w:t>)</w:t>
            </w:r>
          </w:p>
        </w:tc>
      </w:tr>
      <w:tr w:rsidR="00C65448" w:rsidRPr="00A51255" w:rsidTr="00F037D9">
        <w:trPr>
          <w:jc w:val="center"/>
        </w:trPr>
        <w:tc>
          <w:tcPr>
            <w:tcW w:w="335" w:type="dxa"/>
            <w:vAlign w:val="center"/>
          </w:tcPr>
          <w:p w:rsidR="00007917" w:rsidRPr="00A51255" w:rsidRDefault="00C65448" w:rsidP="0004687D">
            <w:pPr>
              <w:spacing w:line="360" w:lineRule="auto"/>
              <w:jc w:val="center"/>
              <w:rPr>
                <w:rFonts w:ascii="Arial" w:hAnsi="Arial" w:cs="Arial"/>
                <w:lang w:val="en-US"/>
              </w:rPr>
            </w:pPr>
            <w:r>
              <w:rPr>
                <w:rFonts w:ascii="Arial" w:hAnsi="Arial" w:cs="Arial"/>
                <w:sz w:val="16"/>
                <w:szCs w:val="16"/>
                <w:lang w:val="de-DE"/>
              </w:rPr>
              <w:t>(</w:t>
            </w:r>
            <w:r w:rsidR="00007917">
              <w:rPr>
                <w:rFonts w:ascii="Arial" w:hAnsi="Arial" w:cs="Arial"/>
                <w:sz w:val="16"/>
                <w:szCs w:val="16"/>
                <w:lang w:val="de-DE"/>
              </w:rPr>
              <w:t>1)</w:t>
            </w:r>
          </w:p>
        </w:tc>
        <w:tc>
          <w:tcPr>
            <w:tcW w:w="1909" w:type="dxa"/>
            <w:vAlign w:val="center"/>
          </w:tcPr>
          <w:p w:rsidR="00007917" w:rsidRPr="004F48F0" w:rsidRDefault="00007917" w:rsidP="0004687D">
            <w:pPr>
              <w:jc w:val="center"/>
              <w:rPr>
                <w:rFonts w:ascii="Arial" w:hAnsi="Arial" w:cs="Arial"/>
                <w:b/>
                <w:sz w:val="18"/>
                <w:szCs w:val="18"/>
                <w:lang w:val="de-DE"/>
              </w:rPr>
            </w:pPr>
            <w:r w:rsidRPr="00067CE5">
              <w:rPr>
                <w:position w:val="-10"/>
              </w:rPr>
              <w:object w:dxaOrig="300" w:dyaOrig="340">
                <v:shape id="_x0000_i1077" type="#_x0000_t75" style="width:14.15pt;height:16.7pt" o:ole="">
                  <v:imagedata r:id="rId98" o:title=""/>
                </v:shape>
                <o:OLEObject Type="Embed" ProgID="Equation.3" ShapeID="_x0000_i1077" DrawAspect="Content" ObjectID="_1507543424" r:id="rId99"/>
              </w:object>
            </w:r>
          </w:p>
        </w:tc>
        <w:tc>
          <w:tcPr>
            <w:tcW w:w="1918" w:type="dxa"/>
            <w:vAlign w:val="center"/>
          </w:tcPr>
          <w:p w:rsidR="00E82E97" w:rsidRPr="00A51255" w:rsidRDefault="00E82E97" w:rsidP="00E82E97">
            <w:pPr>
              <w:jc w:val="center"/>
              <w:rPr>
                <w:rFonts w:ascii="Arial" w:hAnsi="Arial" w:cs="Arial"/>
                <w:sz w:val="20"/>
                <w:szCs w:val="20"/>
                <w:lang w:val="de-DE"/>
              </w:rPr>
            </w:pPr>
            <w:r w:rsidRPr="0011151B">
              <w:rPr>
                <w:rFonts w:ascii="Arial" w:hAnsi="Arial" w:cs="Arial"/>
                <w:sz w:val="20"/>
                <w:szCs w:val="20"/>
                <w:lang w:val="de-DE"/>
              </w:rPr>
              <w:t>-0.336062</w:t>
            </w:r>
            <w:r>
              <w:rPr>
                <w:rFonts w:ascii="Arial" w:hAnsi="Arial" w:cs="Arial"/>
                <w:sz w:val="20"/>
                <w:szCs w:val="20"/>
                <w:lang w:val="de-DE"/>
              </w:rPr>
              <w:t xml:space="preserve"> ***</w:t>
            </w:r>
          </w:p>
          <w:p w:rsidR="00007917" w:rsidRPr="00A51255" w:rsidRDefault="00E82E97" w:rsidP="00E82E97">
            <w:pPr>
              <w:jc w:val="center"/>
              <w:rPr>
                <w:lang w:val="en-US"/>
              </w:rPr>
            </w:pPr>
            <w:r>
              <w:rPr>
                <w:rFonts w:ascii="Arial" w:hAnsi="Arial" w:cs="Arial"/>
                <w:sz w:val="16"/>
                <w:szCs w:val="16"/>
                <w:lang w:val="de-DE"/>
              </w:rPr>
              <w:t>(</w:t>
            </w:r>
            <w:r w:rsidRPr="0011151B">
              <w:rPr>
                <w:rFonts w:ascii="Arial" w:hAnsi="Arial" w:cs="Arial"/>
                <w:sz w:val="16"/>
                <w:szCs w:val="16"/>
                <w:lang w:val="de-DE"/>
              </w:rPr>
              <w:t>0.034002</w:t>
            </w:r>
            <w:r w:rsidRPr="00A51255">
              <w:rPr>
                <w:rFonts w:ascii="Arial" w:hAnsi="Arial" w:cs="Arial"/>
                <w:sz w:val="16"/>
                <w:szCs w:val="16"/>
                <w:lang w:val="de-DE"/>
              </w:rPr>
              <w:t>)</w:t>
            </w:r>
          </w:p>
        </w:tc>
        <w:tc>
          <w:tcPr>
            <w:tcW w:w="1673" w:type="dxa"/>
            <w:vAlign w:val="center"/>
          </w:tcPr>
          <w:p w:rsidR="00E82E97" w:rsidRPr="00A51255" w:rsidRDefault="00264CEB" w:rsidP="00E82E97">
            <w:pPr>
              <w:jc w:val="center"/>
              <w:rPr>
                <w:rFonts w:ascii="Arial" w:hAnsi="Arial" w:cs="Arial"/>
                <w:sz w:val="20"/>
                <w:szCs w:val="20"/>
                <w:lang w:val="de-DE"/>
              </w:rPr>
            </w:pPr>
            <w:r w:rsidRPr="00264CEB">
              <w:rPr>
                <w:rFonts w:ascii="Arial" w:hAnsi="Arial" w:cs="Arial"/>
                <w:sz w:val="20"/>
                <w:szCs w:val="20"/>
                <w:lang w:val="de-DE"/>
              </w:rPr>
              <w:t>-0.340842</w:t>
            </w:r>
            <w:r>
              <w:rPr>
                <w:rFonts w:ascii="Arial" w:hAnsi="Arial" w:cs="Arial"/>
                <w:sz w:val="20"/>
                <w:szCs w:val="20"/>
                <w:lang w:val="de-DE"/>
              </w:rPr>
              <w:t xml:space="preserve"> ***</w:t>
            </w:r>
          </w:p>
          <w:p w:rsidR="00007917" w:rsidRPr="00A51255" w:rsidRDefault="00E82E97" w:rsidP="00E82E97">
            <w:pPr>
              <w:jc w:val="center"/>
              <w:rPr>
                <w:lang w:val="en-US"/>
              </w:rPr>
            </w:pPr>
            <w:r>
              <w:rPr>
                <w:rFonts w:ascii="Arial" w:hAnsi="Arial" w:cs="Arial"/>
                <w:sz w:val="16"/>
                <w:szCs w:val="16"/>
                <w:lang w:val="de-DE"/>
              </w:rPr>
              <w:t>(</w:t>
            </w:r>
            <w:r w:rsidR="00264CEB" w:rsidRPr="00264CEB">
              <w:rPr>
                <w:rFonts w:ascii="Arial" w:hAnsi="Arial" w:cs="Arial"/>
                <w:sz w:val="16"/>
                <w:szCs w:val="16"/>
                <w:lang w:val="de-DE"/>
              </w:rPr>
              <w:t>0.035376</w:t>
            </w:r>
            <w:r w:rsidRPr="00A51255">
              <w:rPr>
                <w:rFonts w:ascii="Arial" w:hAnsi="Arial" w:cs="Arial"/>
                <w:sz w:val="16"/>
                <w:szCs w:val="16"/>
                <w:lang w:val="de-DE"/>
              </w:rPr>
              <w:t>)</w:t>
            </w:r>
          </w:p>
        </w:tc>
        <w:tc>
          <w:tcPr>
            <w:tcW w:w="1769" w:type="dxa"/>
            <w:vAlign w:val="center"/>
          </w:tcPr>
          <w:p w:rsidR="00007917" w:rsidRPr="00A51255" w:rsidRDefault="00E92334" w:rsidP="0004687D">
            <w:pPr>
              <w:jc w:val="center"/>
              <w:rPr>
                <w:rFonts w:ascii="Arial" w:hAnsi="Arial" w:cs="Arial"/>
                <w:sz w:val="20"/>
                <w:szCs w:val="20"/>
                <w:lang w:val="de-DE"/>
              </w:rPr>
            </w:pPr>
            <w:r w:rsidRPr="00E92334">
              <w:rPr>
                <w:rFonts w:ascii="Arial" w:hAnsi="Arial" w:cs="Arial"/>
                <w:sz w:val="20"/>
                <w:szCs w:val="20"/>
                <w:lang w:val="de-DE"/>
              </w:rPr>
              <w:t>-0.360701</w:t>
            </w:r>
            <w:r w:rsidR="00042D97">
              <w:rPr>
                <w:rFonts w:ascii="Arial" w:hAnsi="Arial" w:cs="Arial"/>
                <w:sz w:val="20"/>
                <w:szCs w:val="20"/>
                <w:lang w:val="de-DE"/>
              </w:rPr>
              <w:t xml:space="preserve"> ***</w:t>
            </w:r>
          </w:p>
          <w:p w:rsidR="00007917" w:rsidRPr="00A51255" w:rsidRDefault="00007917" w:rsidP="0004687D">
            <w:pPr>
              <w:jc w:val="center"/>
              <w:rPr>
                <w:lang w:val="en-US"/>
              </w:rPr>
            </w:pPr>
            <w:r>
              <w:rPr>
                <w:rFonts w:ascii="Arial" w:hAnsi="Arial" w:cs="Arial"/>
                <w:sz w:val="16"/>
                <w:szCs w:val="16"/>
                <w:lang w:val="de-DE"/>
              </w:rPr>
              <w:t>(</w:t>
            </w:r>
            <w:r w:rsidR="00E92334" w:rsidRPr="00E92334">
              <w:rPr>
                <w:rFonts w:ascii="Arial" w:hAnsi="Arial" w:cs="Arial"/>
                <w:sz w:val="16"/>
                <w:szCs w:val="16"/>
                <w:lang w:val="de-DE"/>
              </w:rPr>
              <w:t>0.032821</w:t>
            </w:r>
            <w:r w:rsidRPr="00A51255">
              <w:rPr>
                <w:rFonts w:ascii="Arial" w:hAnsi="Arial" w:cs="Arial"/>
                <w:sz w:val="16"/>
                <w:szCs w:val="16"/>
                <w:lang w:val="de-DE"/>
              </w:rPr>
              <w:t>)</w:t>
            </w:r>
          </w:p>
        </w:tc>
        <w:tc>
          <w:tcPr>
            <w:tcW w:w="1711" w:type="dxa"/>
            <w:vAlign w:val="center"/>
          </w:tcPr>
          <w:p w:rsidR="00007917" w:rsidRPr="00A51255" w:rsidRDefault="007B09CA" w:rsidP="0004687D">
            <w:pPr>
              <w:jc w:val="center"/>
              <w:rPr>
                <w:rFonts w:ascii="Arial" w:hAnsi="Arial" w:cs="Arial"/>
                <w:sz w:val="20"/>
                <w:szCs w:val="20"/>
                <w:lang w:val="de-DE"/>
              </w:rPr>
            </w:pPr>
            <w:r w:rsidRPr="007B09CA">
              <w:rPr>
                <w:rFonts w:ascii="Arial" w:hAnsi="Arial" w:cs="Arial"/>
                <w:sz w:val="20"/>
                <w:szCs w:val="20"/>
                <w:lang w:val="de-DE"/>
              </w:rPr>
              <w:t>-0.349204</w:t>
            </w:r>
            <w:r>
              <w:rPr>
                <w:rFonts w:ascii="Arial" w:hAnsi="Arial" w:cs="Arial"/>
                <w:sz w:val="20"/>
                <w:szCs w:val="20"/>
                <w:lang w:val="de-DE"/>
              </w:rPr>
              <w:t xml:space="preserve"> ***</w:t>
            </w:r>
          </w:p>
          <w:p w:rsidR="00007917" w:rsidRPr="00A51255" w:rsidRDefault="00007917" w:rsidP="0004687D">
            <w:pPr>
              <w:jc w:val="center"/>
              <w:rPr>
                <w:lang w:val="en-US"/>
              </w:rPr>
            </w:pPr>
            <w:r>
              <w:rPr>
                <w:rFonts w:ascii="Arial" w:hAnsi="Arial" w:cs="Arial"/>
                <w:sz w:val="16"/>
                <w:szCs w:val="16"/>
                <w:lang w:val="de-DE"/>
              </w:rPr>
              <w:t>(</w:t>
            </w:r>
            <w:r w:rsidR="00E57208" w:rsidRPr="00E57208">
              <w:rPr>
                <w:rFonts w:ascii="Arial" w:hAnsi="Arial" w:cs="Arial"/>
                <w:sz w:val="16"/>
                <w:szCs w:val="16"/>
                <w:lang w:val="de-DE"/>
              </w:rPr>
              <w:t>0.039413</w:t>
            </w:r>
            <w:r w:rsidRPr="00A51255">
              <w:rPr>
                <w:rFonts w:ascii="Arial" w:hAnsi="Arial" w:cs="Arial"/>
                <w:sz w:val="16"/>
                <w:szCs w:val="16"/>
                <w:lang w:val="de-DE"/>
              </w:rPr>
              <w:t>)</w:t>
            </w:r>
          </w:p>
        </w:tc>
      </w:tr>
      <w:tr w:rsidR="00C65448" w:rsidRPr="00A51255" w:rsidTr="00F037D9">
        <w:trPr>
          <w:jc w:val="center"/>
        </w:trPr>
        <w:tc>
          <w:tcPr>
            <w:tcW w:w="335" w:type="dxa"/>
            <w:vAlign w:val="center"/>
          </w:tcPr>
          <w:p w:rsidR="00007917" w:rsidRPr="00A51255" w:rsidRDefault="00C65448" w:rsidP="0004687D">
            <w:pPr>
              <w:spacing w:line="360" w:lineRule="auto"/>
              <w:jc w:val="center"/>
              <w:rPr>
                <w:rFonts w:ascii="Arial" w:hAnsi="Arial" w:cs="Arial"/>
                <w:lang w:val="en-US"/>
              </w:rPr>
            </w:pPr>
            <w:r>
              <w:rPr>
                <w:rFonts w:ascii="Arial" w:hAnsi="Arial" w:cs="Arial"/>
                <w:sz w:val="16"/>
                <w:szCs w:val="16"/>
                <w:lang w:val="de-DE"/>
              </w:rPr>
              <w:t>(</w:t>
            </w:r>
            <w:r w:rsidR="00007917">
              <w:rPr>
                <w:rFonts w:ascii="Arial" w:hAnsi="Arial" w:cs="Arial"/>
                <w:sz w:val="16"/>
                <w:szCs w:val="16"/>
                <w:lang w:val="de-DE"/>
              </w:rPr>
              <w:t>1)</w:t>
            </w:r>
          </w:p>
        </w:tc>
        <w:tc>
          <w:tcPr>
            <w:tcW w:w="1909" w:type="dxa"/>
            <w:vAlign w:val="center"/>
          </w:tcPr>
          <w:p w:rsidR="00007917" w:rsidRPr="004F48F0" w:rsidRDefault="00007917" w:rsidP="0004687D">
            <w:pPr>
              <w:jc w:val="center"/>
              <w:rPr>
                <w:rFonts w:ascii="Arial" w:hAnsi="Arial" w:cs="Arial"/>
                <w:b/>
                <w:sz w:val="18"/>
                <w:szCs w:val="18"/>
                <w:lang w:val="de-DE"/>
              </w:rPr>
            </w:pPr>
            <w:r w:rsidRPr="00B3604A">
              <w:rPr>
                <w:position w:val="-12"/>
              </w:rPr>
              <w:object w:dxaOrig="279" w:dyaOrig="360">
                <v:shape id="_x0000_i1078" type="#_x0000_t75" style="width:12.85pt;height:18pt" o:ole="">
                  <v:imagedata r:id="rId100" o:title=""/>
                </v:shape>
                <o:OLEObject Type="Embed" ProgID="Equation.3" ShapeID="_x0000_i1078" DrawAspect="Content" ObjectID="_1507543425" r:id="rId101"/>
              </w:object>
            </w:r>
          </w:p>
        </w:tc>
        <w:tc>
          <w:tcPr>
            <w:tcW w:w="1918" w:type="dxa"/>
            <w:vAlign w:val="center"/>
          </w:tcPr>
          <w:p w:rsidR="00E82E97" w:rsidRPr="00A51255" w:rsidRDefault="00E82E97" w:rsidP="00E82E97">
            <w:pPr>
              <w:jc w:val="center"/>
              <w:rPr>
                <w:rFonts w:ascii="Arial" w:hAnsi="Arial" w:cs="Arial"/>
                <w:sz w:val="20"/>
                <w:szCs w:val="20"/>
                <w:lang w:val="de-DE"/>
              </w:rPr>
            </w:pPr>
            <w:r w:rsidRPr="0011151B">
              <w:rPr>
                <w:rFonts w:ascii="Arial" w:hAnsi="Arial" w:cs="Arial"/>
                <w:sz w:val="20"/>
                <w:szCs w:val="20"/>
                <w:lang w:val="de-DE"/>
              </w:rPr>
              <w:t>-0.004932</w:t>
            </w:r>
          </w:p>
          <w:p w:rsidR="00007917" w:rsidRPr="00A51255" w:rsidRDefault="00E82E97" w:rsidP="00E82E97">
            <w:pPr>
              <w:jc w:val="center"/>
              <w:rPr>
                <w:lang w:val="en-US"/>
              </w:rPr>
            </w:pPr>
            <w:r>
              <w:rPr>
                <w:rFonts w:ascii="Arial" w:hAnsi="Arial" w:cs="Arial"/>
                <w:sz w:val="16"/>
                <w:szCs w:val="16"/>
                <w:lang w:val="de-DE"/>
              </w:rPr>
              <w:t>(</w:t>
            </w:r>
            <w:r w:rsidRPr="0011151B">
              <w:rPr>
                <w:rFonts w:ascii="Arial" w:hAnsi="Arial" w:cs="Arial"/>
                <w:sz w:val="16"/>
                <w:szCs w:val="16"/>
                <w:lang w:val="de-DE"/>
              </w:rPr>
              <w:t>0.005957</w:t>
            </w:r>
            <w:r w:rsidRPr="00A51255">
              <w:rPr>
                <w:rFonts w:ascii="Arial" w:hAnsi="Arial" w:cs="Arial"/>
                <w:sz w:val="16"/>
                <w:szCs w:val="16"/>
                <w:lang w:val="de-DE"/>
              </w:rPr>
              <w:t>)</w:t>
            </w:r>
          </w:p>
        </w:tc>
        <w:tc>
          <w:tcPr>
            <w:tcW w:w="1673" w:type="dxa"/>
            <w:vAlign w:val="center"/>
          </w:tcPr>
          <w:p w:rsidR="00300D7E" w:rsidRDefault="00300D7E" w:rsidP="0004687D">
            <w:pPr>
              <w:jc w:val="center"/>
              <w:rPr>
                <w:rFonts w:ascii="Arial" w:hAnsi="Arial" w:cs="Arial"/>
                <w:sz w:val="20"/>
                <w:szCs w:val="20"/>
                <w:lang w:val="de-DE"/>
              </w:rPr>
            </w:pPr>
            <w:r w:rsidRPr="00300D7E">
              <w:rPr>
                <w:rFonts w:ascii="Arial" w:hAnsi="Arial" w:cs="Arial"/>
                <w:sz w:val="20"/>
                <w:szCs w:val="20"/>
                <w:lang w:val="de-DE"/>
              </w:rPr>
              <w:t xml:space="preserve">-0.004450 </w:t>
            </w:r>
          </w:p>
          <w:p w:rsidR="00007917" w:rsidRPr="00A51255" w:rsidRDefault="00007917" w:rsidP="0004687D">
            <w:pPr>
              <w:jc w:val="center"/>
              <w:rPr>
                <w:lang w:val="en-US"/>
              </w:rPr>
            </w:pPr>
            <w:r>
              <w:rPr>
                <w:rFonts w:ascii="Arial" w:hAnsi="Arial" w:cs="Arial"/>
                <w:sz w:val="16"/>
                <w:szCs w:val="16"/>
                <w:lang w:val="de-DE"/>
              </w:rPr>
              <w:t>(</w:t>
            </w:r>
            <w:r w:rsidR="00300D7E" w:rsidRPr="00300D7E">
              <w:rPr>
                <w:rFonts w:ascii="Arial" w:hAnsi="Arial" w:cs="Arial"/>
                <w:sz w:val="16"/>
                <w:szCs w:val="16"/>
                <w:lang w:val="de-DE"/>
              </w:rPr>
              <w:t>0.005626</w:t>
            </w:r>
            <w:r w:rsidRPr="00A51255">
              <w:rPr>
                <w:rFonts w:ascii="Arial" w:hAnsi="Arial" w:cs="Arial"/>
                <w:sz w:val="16"/>
                <w:szCs w:val="16"/>
                <w:lang w:val="de-DE"/>
              </w:rPr>
              <w:t>)</w:t>
            </w:r>
          </w:p>
        </w:tc>
        <w:tc>
          <w:tcPr>
            <w:tcW w:w="1769" w:type="dxa"/>
            <w:vAlign w:val="center"/>
          </w:tcPr>
          <w:p w:rsidR="00007917" w:rsidRPr="00A51255" w:rsidRDefault="00E92334" w:rsidP="0004687D">
            <w:pPr>
              <w:jc w:val="center"/>
              <w:rPr>
                <w:rFonts w:ascii="Arial" w:hAnsi="Arial" w:cs="Arial"/>
                <w:sz w:val="20"/>
                <w:szCs w:val="20"/>
                <w:lang w:val="de-DE"/>
              </w:rPr>
            </w:pPr>
            <w:r w:rsidRPr="00E92334">
              <w:rPr>
                <w:rFonts w:ascii="Arial" w:hAnsi="Arial" w:cs="Arial"/>
                <w:sz w:val="20"/>
                <w:szCs w:val="20"/>
                <w:lang w:val="de-DE"/>
              </w:rPr>
              <w:t>-0.006350</w:t>
            </w:r>
          </w:p>
          <w:p w:rsidR="00007917" w:rsidRPr="00A51255" w:rsidRDefault="00007917" w:rsidP="0004687D">
            <w:pPr>
              <w:jc w:val="center"/>
              <w:rPr>
                <w:lang w:val="en-US"/>
              </w:rPr>
            </w:pPr>
            <w:r>
              <w:rPr>
                <w:rFonts w:ascii="Arial" w:hAnsi="Arial" w:cs="Arial"/>
                <w:sz w:val="16"/>
                <w:szCs w:val="16"/>
                <w:lang w:val="de-DE"/>
              </w:rPr>
              <w:t>(</w:t>
            </w:r>
            <w:r w:rsidR="00E92334" w:rsidRPr="00E92334">
              <w:rPr>
                <w:rFonts w:ascii="Arial" w:hAnsi="Arial" w:cs="Arial"/>
                <w:sz w:val="16"/>
                <w:szCs w:val="16"/>
                <w:lang w:val="de-DE"/>
              </w:rPr>
              <w:t>0.005542</w:t>
            </w:r>
            <w:r w:rsidRPr="00A51255">
              <w:rPr>
                <w:rFonts w:ascii="Arial" w:hAnsi="Arial" w:cs="Arial"/>
                <w:sz w:val="16"/>
                <w:szCs w:val="16"/>
                <w:lang w:val="de-DE"/>
              </w:rPr>
              <w:t>)</w:t>
            </w:r>
          </w:p>
        </w:tc>
        <w:tc>
          <w:tcPr>
            <w:tcW w:w="1711" w:type="dxa"/>
            <w:vAlign w:val="center"/>
          </w:tcPr>
          <w:p w:rsidR="00007917" w:rsidRPr="00A51255" w:rsidRDefault="004B28F0" w:rsidP="0004687D">
            <w:pPr>
              <w:jc w:val="center"/>
              <w:rPr>
                <w:rFonts w:ascii="Arial" w:hAnsi="Arial" w:cs="Arial"/>
                <w:sz w:val="20"/>
                <w:szCs w:val="20"/>
                <w:lang w:val="de-DE"/>
              </w:rPr>
            </w:pPr>
            <w:r w:rsidRPr="004B28F0">
              <w:rPr>
                <w:rFonts w:ascii="Arial" w:hAnsi="Arial" w:cs="Arial"/>
                <w:sz w:val="20"/>
                <w:szCs w:val="20"/>
                <w:lang w:val="de-DE"/>
              </w:rPr>
              <w:t>-0.004754</w:t>
            </w:r>
          </w:p>
          <w:p w:rsidR="00007917" w:rsidRPr="00A51255" w:rsidRDefault="00007917" w:rsidP="0004687D">
            <w:pPr>
              <w:jc w:val="center"/>
              <w:rPr>
                <w:lang w:val="en-US"/>
              </w:rPr>
            </w:pPr>
            <w:r>
              <w:rPr>
                <w:rFonts w:ascii="Arial" w:hAnsi="Arial" w:cs="Arial"/>
                <w:sz w:val="16"/>
                <w:szCs w:val="16"/>
                <w:lang w:val="de-DE"/>
              </w:rPr>
              <w:t>(</w:t>
            </w:r>
            <w:r w:rsidR="004B28F0" w:rsidRPr="004B28F0">
              <w:rPr>
                <w:rFonts w:ascii="Arial" w:hAnsi="Arial" w:cs="Arial"/>
                <w:sz w:val="16"/>
                <w:szCs w:val="16"/>
                <w:lang w:val="de-DE"/>
              </w:rPr>
              <w:t>0.006038</w:t>
            </w:r>
            <w:r w:rsidRPr="00A51255">
              <w:rPr>
                <w:rFonts w:ascii="Arial" w:hAnsi="Arial" w:cs="Arial"/>
                <w:sz w:val="16"/>
                <w:szCs w:val="16"/>
                <w:lang w:val="de-DE"/>
              </w:rPr>
              <w:t>)</w:t>
            </w:r>
          </w:p>
        </w:tc>
      </w:tr>
      <w:tr w:rsidR="00C65448" w:rsidRPr="00647145" w:rsidTr="00F037D9">
        <w:trPr>
          <w:jc w:val="center"/>
        </w:trPr>
        <w:tc>
          <w:tcPr>
            <w:tcW w:w="335" w:type="dxa"/>
            <w:vAlign w:val="center"/>
          </w:tcPr>
          <w:p w:rsidR="00007917" w:rsidRPr="00A51255" w:rsidRDefault="00007917" w:rsidP="0096547E">
            <w:pPr>
              <w:spacing w:line="360" w:lineRule="auto"/>
              <w:jc w:val="center"/>
              <w:rPr>
                <w:rFonts w:ascii="Arial" w:hAnsi="Arial" w:cs="Arial"/>
                <w:sz w:val="16"/>
                <w:szCs w:val="16"/>
                <w:lang w:val="de-DE"/>
              </w:rPr>
            </w:pPr>
          </w:p>
        </w:tc>
        <w:tc>
          <w:tcPr>
            <w:tcW w:w="1909" w:type="dxa"/>
            <w:vAlign w:val="center"/>
          </w:tcPr>
          <w:p w:rsidR="00007917" w:rsidRPr="004F48F0" w:rsidRDefault="00007917" w:rsidP="00CA1796">
            <w:pPr>
              <w:jc w:val="center"/>
              <w:rPr>
                <w:rFonts w:ascii="Arial" w:hAnsi="Arial" w:cs="Arial"/>
                <w:b/>
                <w:sz w:val="18"/>
                <w:szCs w:val="18"/>
                <w:lang w:val="de-DE"/>
              </w:rPr>
            </w:pPr>
            <w:r w:rsidRPr="004F48F0">
              <w:rPr>
                <w:rFonts w:ascii="Arial" w:hAnsi="Arial" w:cs="Arial"/>
                <w:b/>
                <w:sz w:val="18"/>
                <w:szCs w:val="18"/>
                <w:lang w:val="de-DE"/>
              </w:rPr>
              <w:t>Unexpected announcement:</w:t>
            </w:r>
          </w:p>
        </w:tc>
        <w:tc>
          <w:tcPr>
            <w:tcW w:w="1918" w:type="dxa"/>
            <w:vAlign w:val="center"/>
          </w:tcPr>
          <w:p w:rsidR="00007917" w:rsidRPr="004F48F0" w:rsidRDefault="00007917" w:rsidP="00CA1796">
            <w:pPr>
              <w:jc w:val="center"/>
              <w:rPr>
                <w:rFonts w:ascii="Arial" w:hAnsi="Arial" w:cs="Arial"/>
                <w:b/>
                <w:sz w:val="18"/>
                <w:szCs w:val="18"/>
                <w:lang w:val="de-DE"/>
              </w:rPr>
            </w:pPr>
            <w:r w:rsidRPr="004F48F0">
              <w:rPr>
                <w:rFonts w:ascii="Arial" w:hAnsi="Arial" w:cs="Arial"/>
                <w:b/>
                <w:sz w:val="18"/>
                <w:szCs w:val="18"/>
                <w:lang w:val="de-DE"/>
              </w:rPr>
              <w:t>Money Supply</w:t>
            </w:r>
          </w:p>
          <w:p w:rsidR="00007917" w:rsidRPr="00CA2C53" w:rsidRDefault="00007917" w:rsidP="00CA1796">
            <w:pPr>
              <w:jc w:val="center"/>
              <w:rPr>
                <w:rFonts w:ascii="Arial" w:hAnsi="Arial" w:cs="Arial"/>
                <w:b/>
                <w:sz w:val="2"/>
                <w:szCs w:val="2"/>
                <w:lang w:val="de-DE"/>
              </w:rPr>
            </w:pPr>
          </w:p>
          <w:p w:rsidR="00007917" w:rsidRPr="004F48F0" w:rsidRDefault="00007917" w:rsidP="00CA1796">
            <w:pPr>
              <w:jc w:val="center"/>
              <w:rPr>
                <w:rFonts w:ascii="Arial" w:hAnsi="Arial" w:cs="Arial"/>
                <w:b/>
                <w:sz w:val="20"/>
                <w:szCs w:val="20"/>
                <w:lang w:val="de-DE"/>
              </w:rPr>
            </w:pPr>
            <w:r w:rsidRPr="009F1BCD">
              <w:rPr>
                <w:b/>
                <w:sz w:val="20"/>
                <w:szCs w:val="20"/>
                <w:lang w:val="de-DE"/>
              </w:rPr>
              <w:t>(</w:t>
            </w:r>
            <w:r w:rsidRPr="004F48F0">
              <w:rPr>
                <w:b/>
                <w:i/>
                <w:sz w:val="20"/>
                <w:szCs w:val="20"/>
                <w:lang w:val="de-DE"/>
              </w:rPr>
              <w:t>MS</w:t>
            </w:r>
            <w:r w:rsidRPr="009F1BCD">
              <w:rPr>
                <w:b/>
                <w:sz w:val="20"/>
                <w:szCs w:val="20"/>
                <w:lang w:val="de-DE"/>
              </w:rPr>
              <w:t>)</w:t>
            </w:r>
          </w:p>
        </w:tc>
        <w:tc>
          <w:tcPr>
            <w:tcW w:w="1673" w:type="dxa"/>
            <w:vAlign w:val="center"/>
          </w:tcPr>
          <w:p w:rsidR="00007917" w:rsidRDefault="00007917" w:rsidP="00CA1796">
            <w:pPr>
              <w:jc w:val="center"/>
              <w:rPr>
                <w:rFonts w:ascii="Arial" w:hAnsi="Arial" w:cs="Arial"/>
                <w:b/>
                <w:sz w:val="18"/>
                <w:szCs w:val="18"/>
                <w:lang w:val="de-DE"/>
              </w:rPr>
            </w:pPr>
            <w:r w:rsidRPr="004F48F0">
              <w:rPr>
                <w:rFonts w:ascii="Arial" w:hAnsi="Arial" w:cs="Arial"/>
                <w:b/>
                <w:sz w:val="18"/>
                <w:szCs w:val="18"/>
                <w:lang w:val="de-DE"/>
              </w:rPr>
              <w:t>Reserve Money</w:t>
            </w:r>
          </w:p>
          <w:p w:rsidR="00007917" w:rsidRPr="00CA2C53" w:rsidRDefault="00007917" w:rsidP="00CA1796">
            <w:pPr>
              <w:jc w:val="center"/>
              <w:rPr>
                <w:rFonts w:ascii="Arial" w:hAnsi="Arial" w:cs="Arial"/>
                <w:b/>
                <w:sz w:val="2"/>
                <w:szCs w:val="2"/>
                <w:lang w:val="de-DE"/>
              </w:rPr>
            </w:pPr>
          </w:p>
          <w:p w:rsidR="00007917" w:rsidRPr="004F48F0" w:rsidRDefault="00007917" w:rsidP="00CA1796">
            <w:pPr>
              <w:jc w:val="center"/>
              <w:rPr>
                <w:b/>
                <w:i/>
                <w:sz w:val="20"/>
                <w:szCs w:val="20"/>
                <w:lang w:val="en-US"/>
              </w:rPr>
            </w:pPr>
            <w:r w:rsidRPr="009F1BCD">
              <w:rPr>
                <w:b/>
                <w:sz w:val="20"/>
                <w:szCs w:val="20"/>
                <w:lang w:val="en-US"/>
              </w:rPr>
              <w:t>(</w:t>
            </w:r>
            <w:r w:rsidRPr="004F48F0">
              <w:rPr>
                <w:b/>
                <w:i/>
                <w:sz w:val="20"/>
                <w:szCs w:val="20"/>
                <w:lang w:val="en-US"/>
              </w:rPr>
              <w:t>RM</w:t>
            </w:r>
            <w:r w:rsidRPr="009F1BCD">
              <w:rPr>
                <w:b/>
                <w:sz w:val="20"/>
                <w:szCs w:val="20"/>
                <w:lang w:val="en-US"/>
              </w:rPr>
              <w:t>)</w:t>
            </w:r>
          </w:p>
        </w:tc>
        <w:tc>
          <w:tcPr>
            <w:tcW w:w="1769" w:type="dxa"/>
            <w:vAlign w:val="center"/>
          </w:tcPr>
          <w:p w:rsidR="00007917" w:rsidRDefault="00007917" w:rsidP="00CA1796">
            <w:pPr>
              <w:jc w:val="center"/>
              <w:rPr>
                <w:rFonts w:ascii="Arial" w:hAnsi="Arial" w:cs="Arial"/>
                <w:b/>
                <w:sz w:val="18"/>
                <w:szCs w:val="18"/>
                <w:lang w:val="de-DE"/>
              </w:rPr>
            </w:pPr>
            <w:r>
              <w:rPr>
                <w:rFonts w:ascii="Arial" w:hAnsi="Arial" w:cs="Arial"/>
                <w:b/>
                <w:sz w:val="18"/>
                <w:szCs w:val="18"/>
                <w:lang w:val="de-DE"/>
              </w:rPr>
              <w:t>Balance of Payments</w:t>
            </w:r>
          </w:p>
          <w:p w:rsidR="00007917" w:rsidRPr="00CA2C53" w:rsidRDefault="00007917" w:rsidP="00CA1796">
            <w:pPr>
              <w:jc w:val="center"/>
              <w:rPr>
                <w:b/>
                <w:i/>
                <w:sz w:val="2"/>
                <w:szCs w:val="2"/>
                <w:lang w:val="en-US"/>
              </w:rPr>
            </w:pPr>
          </w:p>
          <w:p w:rsidR="00007917" w:rsidRPr="004F48F0" w:rsidRDefault="00007917" w:rsidP="00CA1796">
            <w:pPr>
              <w:jc w:val="center"/>
              <w:rPr>
                <w:b/>
                <w:i/>
                <w:sz w:val="20"/>
                <w:szCs w:val="20"/>
                <w:lang w:val="en-US"/>
              </w:rPr>
            </w:pPr>
            <w:r w:rsidRPr="009F1BCD">
              <w:rPr>
                <w:b/>
                <w:sz w:val="20"/>
                <w:szCs w:val="20"/>
                <w:lang w:val="en-US"/>
              </w:rPr>
              <w:t>(</w:t>
            </w:r>
            <w:r w:rsidRPr="004F48F0">
              <w:rPr>
                <w:b/>
                <w:i/>
                <w:sz w:val="20"/>
                <w:szCs w:val="20"/>
                <w:lang w:val="en-US"/>
              </w:rPr>
              <w:t>BOP</w:t>
            </w:r>
            <w:r w:rsidRPr="009F1BCD">
              <w:rPr>
                <w:b/>
                <w:sz w:val="20"/>
                <w:szCs w:val="20"/>
                <w:lang w:val="en-US"/>
              </w:rPr>
              <w:t>)</w:t>
            </w:r>
          </w:p>
        </w:tc>
        <w:tc>
          <w:tcPr>
            <w:tcW w:w="1711" w:type="dxa"/>
            <w:vAlign w:val="center"/>
          </w:tcPr>
          <w:p w:rsidR="00007917" w:rsidRPr="000E3558" w:rsidRDefault="00007917" w:rsidP="00092DED">
            <w:pPr>
              <w:jc w:val="center"/>
              <w:rPr>
                <w:rFonts w:ascii="Arial" w:hAnsi="Arial" w:cs="Arial"/>
                <w:b/>
                <w:sz w:val="18"/>
                <w:szCs w:val="18"/>
                <w:lang w:val="en-US"/>
              </w:rPr>
            </w:pPr>
            <w:r w:rsidRPr="000E3558">
              <w:rPr>
                <w:rFonts w:ascii="Arial" w:hAnsi="Arial" w:cs="Arial"/>
                <w:b/>
                <w:sz w:val="18"/>
                <w:szCs w:val="18"/>
                <w:lang w:val="en-US"/>
              </w:rPr>
              <w:t>Liquid Assets and Liabilities (</w:t>
            </w:r>
            <w:r w:rsidRPr="009F1BCD">
              <w:rPr>
                <w:b/>
                <w:i/>
                <w:sz w:val="20"/>
                <w:szCs w:val="20"/>
                <w:lang w:val="en-US"/>
              </w:rPr>
              <w:t>AL</w:t>
            </w:r>
            <w:r w:rsidRPr="009F1BCD">
              <w:rPr>
                <w:b/>
                <w:sz w:val="20"/>
                <w:szCs w:val="20"/>
                <w:lang w:val="en-US"/>
              </w:rPr>
              <w:t>)</w:t>
            </w:r>
          </w:p>
        </w:tc>
      </w:tr>
      <w:tr w:rsidR="00C65448" w:rsidRPr="00A51255" w:rsidTr="00F037D9">
        <w:trPr>
          <w:jc w:val="center"/>
        </w:trPr>
        <w:tc>
          <w:tcPr>
            <w:tcW w:w="335" w:type="dxa"/>
            <w:vAlign w:val="center"/>
          </w:tcPr>
          <w:p w:rsidR="00007917" w:rsidRPr="00A51255" w:rsidRDefault="00C65448" w:rsidP="0096547E">
            <w:pPr>
              <w:spacing w:line="360" w:lineRule="auto"/>
              <w:jc w:val="center"/>
              <w:rPr>
                <w:rFonts w:ascii="Arial" w:hAnsi="Arial" w:cs="Arial"/>
                <w:sz w:val="16"/>
                <w:szCs w:val="16"/>
                <w:lang w:val="de-DE"/>
              </w:rPr>
            </w:pPr>
            <w:r>
              <w:rPr>
                <w:rFonts w:ascii="Arial" w:hAnsi="Arial" w:cs="Arial"/>
                <w:sz w:val="16"/>
                <w:szCs w:val="16"/>
                <w:lang w:val="de-DE"/>
              </w:rPr>
              <w:t>(</w:t>
            </w:r>
            <w:r w:rsidR="0004687D">
              <w:rPr>
                <w:rFonts w:ascii="Arial" w:hAnsi="Arial" w:cs="Arial"/>
                <w:sz w:val="16"/>
                <w:szCs w:val="16"/>
                <w:lang w:val="de-DE"/>
              </w:rPr>
              <w:t>1)</w:t>
            </w:r>
          </w:p>
        </w:tc>
        <w:tc>
          <w:tcPr>
            <w:tcW w:w="1909" w:type="dxa"/>
            <w:vAlign w:val="center"/>
          </w:tcPr>
          <w:p w:rsidR="000701C4" w:rsidRDefault="0004687D" w:rsidP="000701C4">
            <w:pPr>
              <w:ind w:left="87"/>
              <w:jc w:val="center"/>
            </w:pPr>
            <w:r w:rsidRPr="00B3604A">
              <w:rPr>
                <w:position w:val="-10"/>
              </w:rPr>
              <w:object w:dxaOrig="300" w:dyaOrig="340">
                <v:shape id="_x0000_i1079" type="#_x0000_t75" style="width:14.15pt;height:16.7pt" o:ole="">
                  <v:imagedata r:id="rId102" o:title=""/>
                </v:shape>
                <o:OLEObject Type="Embed" ProgID="Equation.3" ShapeID="_x0000_i1079" DrawAspect="Content" ObjectID="_1507543426" r:id="rId103"/>
              </w:object>
            </w:r>
          </w:p>
          <w:p w:rsidR="00007917" w:rsidRPr="004F48F0" w:rsidRDefault="0007792B" w:rsidP="000701C4">
            <w:pPr>
              <w:ind w:left="87"/>
              <w:jc w:val="center"/>
              <w:rPr>
                <w:b/>
                <w:sz w:val="18"/>
                <w:szCs w:val="18"/>
                <w:lang w:val="de-DE"/>
              </w:rPr>
            </w:pPr>
            <w:r>
              <w:rPr>
                <w:rFonts w:ascii="Arial" w:hAnsi="Arial" w:cs="Arial"/>
                <w:b/>
                <w:sz w:val="18"/>
                <w:szCs w:val="18"/>
                <w:lang w:val="de-DE"/>
              </w:rPr>
              <w:t xml:space="preserve">strongly </w:t>
            </w:r>
            <w:r w:rsidRPr="004F48F0">
              <w:rPr>
                <w:rFonts w:ascii="Arial" w:hAnsi="Arial" w:cs="Arial"/>
                <w:b/>
                <w:sz w:val="18"/>
                <w:szCs w:val="18"/>
                <w:lang w:val="de-DE"/>
              </w:rPr>
              <w:t>positive</w:t>
            </w:r>
          </w:p>
        </w:tc>
        <w:tc>
          <w:tcPr>
            <w:tcW w:w="1918" w:type="dxa"/>
            <w:vAlign w:val="center"/>
          </w:tcPr>
          <w:p w:rsidR="00007917" w:rsidRPr="00A51255" w:rsidRDefault="00E369CA" w:rsidP="0004687D">
            <w:pPr>
              <w:jc w:val="center"/>
              <w:rPr>
                <w:rFonts w:ascii="Arial" w:hAnsi="Arial" w:cs="Arial"/>
                <w:sz w:val="20"/>
                <w:szCs w:val="20"/>
                <w:lang w:val="de-DE"/>
              </w:rPr>
            </w:pPr>
            <w:r w:rsidRPr="00E369CA">
              <w:rPr>
                <w:rFonts w:ascii="Arial" w:hAnsi="Arial" w:cs="Arial"/>
                <w:sz w:val="20"/>
                <w:szCs w:val="20"/>
                <w:lang w:val="de-DE"/>
              </w:rPr>
              <w:t>0.296999</w:t>
            </w:r>
          </w:p>
          <w:p w:rsidR="00007917" w:rsidRPr="00A51255" w:rsidRDefault="00007917" w:rsidP="0004687D">
            <w:pPr>
              <w:jc w:val="center"/>
              <w:rPr>
                <w:lang w:val="en-US"/>
              </w:rPr>
            </w:pPr>
            <w:r>
              <w:rPr>
                <w:rFonts w:ascii="Arial" w:hAnsi="Arial" w:cs="Arial"/>
                <w:sz w:val="16"/>
                <w:szCs w:val="16"/>
                <w:lang w:val="de-DE"/>
              </w:rPr>
              <w:t>(</w:t>
            </w:r>
            <w:r w:rsidR="00E369CA" w:rsidRPr="00E369CA">
              <w:rPr>
                <w:rFonts w:ascii="Arial" w:hAnsi="Arial" w:cs="Arial"/>
                <w:sz w:val="16"/>
                <w:szCs w:val="16"/>
                <w:lang w:val="de-DE"/>
              </w:rPr>
              <w:t>0.207050</w:t>
            </w:r>
            <w:r w:rsidRPr="00A51255">
              <w:rPr>
                <w:rFonts w:ascii="Arial" w:hAnsi="Arial" w:cs="Arial"/>
                <w:sz w:val="16"/>
                <w:szCs w:val="16"/>
                <w:lang w:val="de-DE"/>
              </w:rPr>
              <w:t>)</w:t>
            </w:r>
          </w:p>
        </w:tc>
        <w:tc>
          <w:tcPr>
            <w:tcW w:w="1673" w:type="dxa"/>
            <w:vAlign w:val="center"/>
          </w:tcPr>
          <w:p w:rsidR="00007917" w:rsidRPr="00A51255" w:rsidRDefault="00C63FAC" w:rsidP="0004687D">
            <w:pPr>
              <w:jc w:val="center"/>
              <w:rPr>
                <w:rFonts w:ascii="Arial" w:hAnsi="Arial" w:cs="Arial"/>
                <w:sz w:val="20"/>
                <w:szCs w:val="20"/>
                <w:lang w:val="de-DE"/>
              </w:rPr>
            </w:pPr>
            <w:r w:rsidRPr="00C63FAC">
              <w:rPr>
                <w:rFonts w:ascii="Arial" w:hAnsi="Arial" w:cs="Arial"/>
                <w:sz w:val="20"/>
                <w:szCs w:val="20"/>
                <w:lang w:val="de-DE"/>
              </w:rPr>
              <w:t>0.596598</w:t>
            </w:r>
            <w:r>
              <w:rPr>
                <w:rFonts w:ascii="Arial" w:hAnsi="Arial" w:cs="Arial"/>
                <w:sz w:val="20"/>
                <w:szCs w:val="20"/>
                <w:lang w:val="de-DE"/>
              </w:rPr>
              <w:t xml:space="preserve"> **</w:t>
            </w:r>
          </w:p>
          <w:p w:rsidR="00007917" w:rsidRPr="00A51255" w:rsidRDefault="00007917" w:rsidP="0004687D">
            <w:pPr>
              <w:jc w:val="center"/>
              <w:rPr>
                <w:lang w:val="en-US"/>
              </w:rPr>
            </w:pPr>
            <w:r>
              <w:rPr>
                <w:rFonts w:ascii="Arial" w:hAnsi="Arial" w:cs="Arial"/>
                <w:sz w:val="16"/>
                <w:szCs w:val="16"/>
                <w:lang w:val="de-DE"/>
              </w:rPr>
              <w:t>(</w:t>
            </w:r>
            <w:r w:rsidR="00C63FAC" w:rsidRPr="00C63FAC">
              <w:rPr>
                <w:rFonts w:ascii="Arial" w:hAnsi="Arial" w:cs="Arial"/>
                <w:sz w:val="16"/>
                <w:szCs w:val="16"/>
                <w:lang w:val="de-DE"/>
              </w:rPr>
              <w:t>0.251385</w:t>
            </w:r>
            <w:r w:rsidRPr="00A51255">
              <w:rPr>
                <w:rFonts w:ascii="Arial" w:hAnsi="Arial" w:cs="Arial"/>
                <w:sz w:val="16"/>
                <w:szCs w:val="16"/>
                <w:lang w:val="de-DE"/>
              </w:rPr>
              <w:t>)</w:t>
            </w:r>
          </w:p>
        </w:tc>
        <w:tc>
          <w:tcPr>
            <w:tcW w:w="1769" w:type="dxa"/>
            <w:vAlign w:val="center"/>
          </w:tcPr>
          <w:p w:rsidR="00007917" w:rsidRPr="00A51255" w:rsidRDefault="00FD3CA9" w:rsidP="0004687D">
            <w:pPr>
              <w:jc w:val="center"/>
              <w:rPr>
                <w:rFonts w:ascii="Arial" w:hAnsi="Arial" w:cs="Arial"/>
                <w:sz w:val="20"/>
                <w:szCs w:val="20"/>
                <w:lang w:val="de-DE"/>
              </w:rPr>
            </w:pPr>
            <w:r w:rsidRPr="00FD3CA9">
              <w:rPr>
                <w:rFonts w:ascii="Arial" w:hAnsi="Arial" w:cs="Arial"/>
                <w:sz w:val="20"/>
                <w:szCs w:val="20"/>
                <w:lang w:val="de-DE"/>
              </w:rPr>
              <w:t>0.285336</w:t>
            </w:r>
          </w:p>
          <w:p w:rsidR="00007917" w:rsidRPr="00A51255" w:rsidRDefault="00007917" w:rsidP="0004687D">
            <w:pPr>
              <w:jc w:val="center"/>
              <w:rPr>
                <w:lang w:val="en-US"/>
              </w:rPr>
            </w:pPr>
            <w:r>
              <w:rPr>
                <w:rFonts w:ascii="Arial" w:hAnsi="Arial" w:cs="Arial"/>
                <w:sz w:val="16"/>
                <w:szCs w:val="16"/>
                <w:lang w:val="de-DE"/>
              </w:rPr>
              <w:t>(</w:t>
            </w:r>
            <w:r w:rsidR="00FD3CA9" w:rsidRPr="00FD3CA9">
              <w:rPr>
                <w:rFonts w:ascii="Arial" w:hAnsi="Arial" w:cs="Arial"/>
                <w:sz w:val="16"/>
                <w:szCs w:val="16"/>
                <w:lang w:val="de-DE"/>
              </w:rPr>
              <w:t>0.288972</w:t>
            </w:r>
            <w:r w:rsidRPr="00A51255">
              <w:rPr>
                <w:rFonts w:ascii="Arial" w:hAnsi="Arial" w:cs="Arial"/>
                <w:sz w:val="16"/>
                <w:szCs w:val="16"/>
                <w:lang w:val="de-DE"/>
              </w:rPr>
              <w:t>)</w:t>
            </w:r>
          </w:p>
        </w:tc>
        <w:tc>
          <w:tcPr>
            <w:tcW w:w="1711" w:type="dxa"/>
            <w:vAlign w:val="center"/>
          </w:tcPr>
          <w:p w:rsidR="00007917" w:rsidRPr="00A51255" w:rsidRDefault="001F34F7" w:rsidP="0004687D">
            <w:pPr>
              <w:jc w:val="center"/>
              <w:rPr>
                <w:rFonts w:ascii="Arial" w:hAnsi="Arial" w:cs="Arial"/>
                <w:sz w:val="20"/>
                <w:szCs w:val="20"/>
                <w:lang w:val="de-DE"/>
              </w:rPr>
            </w:pPr>
            <w:r w:rsidRPr="001F34F7">
              <w:rPr>
                <w:rFonts w:ascii="Arial" w:hAnsi="Arial" w:cs="Arial"/>
                <w:sz w:val="20"/>
                <w:szCs w:val="20"/>
                <w:lang w:val="de-DE"/>
              </w:rPr>
              <w:t>0.538363</w:t>
            </w:r>
            <w:r>
              <w:rPr>
                <w:rFonts w:ascii="Arial" w:hAnsi="Arial" w:cs="Arial"/>
                <w:sz w:val="20"/>
                <w:szCs w:val="20"/>
                <w:lang w:val="de-DE"/>
              </w:rPr>
              <w:t xml:space="preserve"> </w:t>
            </w:r>
          </w:p>
          <w:p w:rsidR="00007917" w:rsidRPr="00A51255" w:rsidRDefault="00007917" w:rsidP="0004687D">
            <w:pPr>
              <w:jc w:val="center"/>
              <w:rPr>
                <w:lang w:val="en-US"/>
              </w:rPr>
            </w:pPr>
            <w:r>
              <w:rPr>
                <w:rFonts w:ascii="Arial" w:hAnsi="Arial" w:cs="Arial"/>
                <w:sz w:val="16"/>
                <w:szCs w:val="16"/>
                <w:lang w:val="de-DE"/>
              </w:rPr>
              <w:t>(</w:t>
            </w:r>
            <w:r w:rsidR="001F34F7" w:rsidRPr="001F34F7">
              <w:rPr>
                <w:rFonts w:ascii="Arial" w:hAnsi="Arial" w:cs="Arial"/>
                <w:sz w:val="16"/>
                <w:szCs w:val="16"/>
                <w:lang w:val="de-DE"/>
              </w:rPr>
              <w:t>0.720052</w:t>
            </w:r>
            <w:r w:rsidRPr="00A51255">
              <w:rPr>
                <w:rFonts w:ascii="Arial" w:hAnsi="Arial" w:cs="Arial"/>
                <w:sz w:val="16"/>
                <w:szCs w:val="16"/>
                <w:lang w:val="de-DE"/>
              </w:rPr>
              <w:t>)</w:t>
            </w:r>
          </w:p>
        </w:tc>
      </w:tr>
      <w:tr w:rsidR="00C65448" w:rsidRPr="00A51255" w:rsidTr="00F037D9">
        <w:trPr>
          <w:jc w:val="center"/>
        </w:trPr>
        <w:tc>
          <w:tcPr>
            <w:tcW w:w="335" w:type="dxa"/>
            <w:vAlign w:val="center"/>
          </w:tcPr>
          <w:p w:rsidR="00007917" w:rsidRPr="00A51255" w:rsidRDefault="00C65448" w:rsidP="0096547E">
            <w:pPr>
              <w:spacing w:line="360" w:lineRule="auto"/>
              <w:jc w:val="center"/>
              <w:rPr>
                <w:rFonts w:ascii="Arial" w:hAnsi="Arial" w:cs="Arial"/>
                <w:sz w:val="16"/>
                <w:szCs w:val="16"/>
                <w:lang w:val="de-DE"/>
              </w:rPr>
            </w:pPr>
            <w:r>
              <w:rPr>
                <w:rFonts w:ascii="Arial" w:hAnsi="Arial" w:cs="Arial"/>
                <w:sz w:val="16"/>
                <w:szCs w:val="16"/>
                <w:lang w:val="de-DE"/>
              </w:rPr>
              <w:t>(</w:t>
            </w:r>
            <w:r w:rsidR="0004687D">
              <w:rPr>
                <w:rFonts w:ascii="Arial" w:hAnsi="Arial" w:cs="Arial"/>
                <w:sz w:val="16"/>
                <w:szCs w:val="16"/>
                <w:lang w:val="de-DE"/>
              </w:rPr>
              <w:t>1)</w:t>
            </w:r>
          </w:p>
        </w:tc>
        <w:tc>
          <w:tcPr>
            <w:tcW w:w="1909" w:type="dxa"/>
            <w:vAlign w:val="center"/>
          </w:tcPr>
          <w:p w:rsidR="000701C4" w:rsidRDefault="0004687D" w:rsidP="000701C4">
            <w:pPr>
              <w:ind w:left="87"/>
              <w:jc w:val="center"/>
            </w:pPr>
            <w:r w:rsidRPr="00B3604A">
              <w:rPr>
                <w:position w:val="-12"/>
              </w:rPr>
              <w:object w:dxaOrig="300" w:dyaOrig="360">
                <v:shape id="_x0000_i1080" type="#_x0000_t75" style="width:14.15pt;height:18pt" o:ole="">
                  <v:imagedata r:id="rId104" o:title=""/>
                </v:shape>
                <o:OLEObject Type="Embed" ProgID="Equation.3" ShapeID="_x0000_i1080" DrawAspect="Content" ObjectID="_1507543427" r:id="rId105"/>
              </w:object>
            </w:r>
          </w:p>
          <w:p w:rsidR="00007917" w:rsidRPr="004F48F0" w:rsidRDefault="0007792B" w:rsidP="000701C4">
            <w:pPr>
              <w:ind w:left="87"/>
              <w:jc w:val="center"/>
              <w:rPr>
                <w:rFonts w:ascii="Arial" w:hAnsi="Arial" w:cs="Arial"/>
                <w:b/>
                <w:sz w:val="18"/>
                <w:szCs w:val="18"/>
                <w:lang w:val="de-DE"/>
              </w:rPr>
            </w:pPr>
            <w:r>
              <w:rPr>
                <w:rFonts w:ascii="Arial" w:hAnsi="Arial" w:cs="Arial"/>
                <w:b/>
                <w:sz w:val="18"/>
                <w:szCs w:val="18"/>
                <w:lang w:val="de-DE"/>
              </w:rPr>
              <w:t xml:space="preserve"> p</w:t>
            </w:r>
            <w:r w:rsidRPr="004F48F0">
              <w:rPr>
                <w:rFonts w:ascii="Arial" w:hAnsi="Arial" w:cs="Arial"/>
                <w:b/>
                <w:sz w:val="18"/>
                <w:szCs w:val="18"/>
                <w:lang w:val="de-DE"/>
              </w:rPr>
              <w:t>ositive</w:t>
            </w:r>
          </w:p>
        </w:tc>
        <w:tc>
          <w:tcPr>
            <w:tcW w:w="1918" w:type="dxa"/>
            <w:vAlign w:val="center"/>
          </w:tcPr>
          <w:p w:rsidR="00007917" w:rsidRPr="00A51255" w:rsidRDefault="00E369CA" w:rsidP="0004687D">
            <w:pPr>
              <w:jc w:val="center"/>
              <w:rPr>
                <w:rFonts w:ascii="Arial" w:hAnsi="Arial" w:cs="Arial"/>
                <w:sz w:val="20"/>
                <w:szCs w:val="20"/>
                <w:lang w:val="de-DE"/>
              </w:rPr>
            </w:pPr>
            <w:r w:rsidRPr="00E369CA">
              <w:rPr>
                <w:rFonts w:ascii="Arial" w:hAnsi="Arial" w:cs="Arial"/>
                <w:sz w:val="20"/>
                <w:szCs w:val="20"/>
                <w:lang w:val="de-DE"/>
              </w:rPr>
              <w:t>0.064169</w:t>
            </w:r>
          </w:p>
          <w:p w:rsidR="00007917" w:rsidRPr="00A51255" w:rsidRDefault="00007917" w:rsidP="0004687D">
            <w:pPr>
              <w:jc w:val="center"/>
              <w:rPr>
                <w:lang w:val="en-US"/>
              </w:rPr>
            </w:pPr>
            <w:r>
              <w:rPr>
                <w:rFonts w:ascii="Arial" w:hAnsi="Arial" w:cs="Arial"/>
                <w:sz w:val="16"/>
                <w:szCs w:val="16"/>
                <w:lang w:val="de-DE"/>
              </w:rPr>
              <w:t>(</w:t>
            </w:r>
            <w:r w:rsidR="00E369CA" w:rsidRPr="00E369CA">
              <w:rPr>
                <w:rFonts w:ascii="Arial" w:hAnsi="Arial" w:cs="Arial"/>
                <w:sz w:val="16"/>
                <w:szCs w:val="16"/>
                <w:lang w:val="de-DE"/>
              </w:rPr>
              <w:t>0.105602</w:t>
            </w:r>
            <w:r w:rsidRPr="00A51255">
              <w:rPr>
                <w:rFonts w:ascii="Arial" w:hAnsi="Arial" w:cs="Arial"/>
                <w:sz w:val="16"/>
                <w:szCs w:val="16"/>
                <w:lang w:val="de-DE"/>
              </w:rPr>
              <w:t>)</w:t>
            </w:r>
          </w:p>
        </w:tc>
        <w:tc>
          <w:tcPr>
            <w:tcW w:w="1673" w:type="dxa"/>
            <w:vAlign w:val="center"/>
          </w:tcPr>
          <w:p w:rsidR="00007917" w:rsidRPr="00A51255" w:rsidRDefault="00C63FAC" w:rsidP="0004687D">
            <w:pPr>
              <w:jc w:val="center"/>
              <w:rPr>
                <w:rFonts w:ascii="Arial" w:hAnsi="Arial" w:cs="Arial"/>
                <w:sz w:val="20"/>
                <w:szCs w:val="20"/>
                <w:lang w:val="de-DE"/>
              </w:rPr>
            </w:pPr>
            <w:r w:rsidRPr="00C63FAC">
              <w:rPr>
                <w:rFonts w:ascii="Arial" w:hAnsi="Arial" w:cs="Arial"/>
                <w:sz w:val="20"/>
                <w:szCs w:val="20"/>
                <w:lang w:val="de-DE"/>
              </w:rPr>
              <w:t>-0.197900</w:t>
            </w:r>
          </w:p>
          <w:p w:rsidR="00007917" w:rsidRPr="00A51255" w:rsidRDefault="00007917" w:rsidP="0004687D">
            <w:pPr>
              <w:jc w:val="center"/>
              <w:rPr>
                <w:lang w:val="en-US"/>
              </w:rPr>
            </w:pPr>
            <w:r>
              <w:rPr>
                <w:rFonts w:ascii="Arial" w:hAnsi="Arial" w:cs="Arial"/>
                <w:sz w:val="16"/>
                <w:szCs w:val="16"/>
                <w:lang w:val="de-DE"/>
              </w:rPr>
              <w:t>(</w:t>
            </w:r>
            <w:r w:rsidR="00C63FAC" w:rsidRPr="00C63FAC">
              <w:rPr>
                <w:rFonts w:ascii="Arial" w:hAnsi="Arial" w:cs="Arial"/>
                <w:sz w:val="16"/>
                <w:szCs w:val="16"/>
                <w:lang w:val="de-DE"/>
              </w:rPr>
              <w:t>0.129611</w:t>
            </w:r>
            <w:r w:rsidRPr="00A51255">
              <w:rPr>
                <w:rFonts w:ascii="Arial" w:hAnsi="Arial" w:cs="Arial"/>
                <w:sz w:val="16"/>
                <w:szCs w:val="16"/>
                <w:lang w:val="de-DE"/>
              </w:rPr>
              <w:t>)</w:t>
            </w:r>
          </w:p>
        </w:tc>
        <w:tc>
          <w:tcPr>
            <w:tcW w:w="1769" w:type="dxa"/>
            <w:vAlign w:val="center"/>
          </w:tcPr>
          <w:p w:rsidR="00007917" w:rsidRPr="00A51255" w:rsidRDefault="00FD3CA9" w:rsidP="0004687D">
            <w:pPr>
              <w:jc w:val="center"/>
              <w:rPr>
                <w:rFonts w:ascii="Arial" w:hAnsi="Arial" w:cs="Arial"/>
                <w:sz w:val="20"/>
                <w:szCs w:val="20"/>
                <w:lang w:val="de-DE"/>
              </w:rPr>
            </w:pPr>
            <w:r w:rsidRPr="00FD3CA9">
              <w:rPr>
                <w:rFonts w:ascii="Arial" w:hAnsi="Arial" w:cs="Arial"/>
                <w:sz w:val="20"/>
                <w:szCs w:val="20"/>
                <w:lang w:val="de-DE"/>
              </w:rPr>
              <w:t>-0.350221</w:t>
            </w:r>
            <w:r>
              <w:rPr>
                <w:rFonts w:ascii="Arial" w:hAnsi="Arial" w:cs="Arial"/>
                <w:sz w:val="20"/>
                <w:szCs w:val="20"/>
                <w:lang w:val="de-DE"/>
              </w:rPr>
              <w:t xml:space="preserve"> *</w:t>
            </w:r>
          </w:p>
          <w:p w:rsidR="00007917" w:rsidRPr="00A51255" w:rsidRDefault="00007917" w:rsidP="0004687D">
            <w:pPr>
              <w:jc w:val="center"/>
              <w:rPr>
                <w:lang w:val="en-US"/>
              </w:rPr>
            </w:pPr>
            <w:r>
              <w:rPr>
                <w:rFonts w:ascii="Arial" w:hAnsi="Arial" w:cs="Arial"/>
                <w:sz w:val="16"/>
                <w:szCs w:val="16"/>
                <w:lang w:val="de-DE"/>
              </w:rPr>
              <w:t>(</w:t>
            </w:r>
            <w:r w:rsidR="00FD3CA9" w:rsidRPr="00FD3CA9">
              <w:rPr>
                <w:rFonts w:ascii="Arial" w:hAnsi="Arial" w:cs="Arial"/>
                <w:sz w:val="16"/>
                <w:szCs w:val="16"/>
                <w:lang w:val="de-DE"/>
              </w:rPr>
              <w:t>0.188160</w:t>
            </w:r>
            <w:r w:rsidRPr="00A51255">
              <w:rPr>
                <w:rFonts w:ascii="Arial" w:hAnsi="Arial" w:cs="Arial"/>
                <w:sz w:val="16"/>
                <w:szCs w:val="16"/>
                <w:lang w:val="de-DE"/>
              </w:rPr>
              <w:t>)</w:t>
            </w:r>
          </w:p>
        </w:tc>
        <w:tc>
          <w:tcPr>
            <w:tcW w:w="1711" w:type="dxa"/>
            <w:vAlign w:val="center"/>
          </w:tcPr>
          <w:p w:rsidR="00007917" w:rsidRPr="00A51255" w:rsidRDefault="001F34F7" w:rsidP="0004687D">
            <w:pPr>
              <w:jc w:val="center"/>
              <w:rPr>
                <w:rFonts w:ascii="Arial" w:hAnsi="Arial" w:cs="Arial"/>
                <w:sz w:val="20"/>
                <w:szCs w:val="20"/>
                <w:lang w:val="de-DE"/>
              </w:rPr>
            </w:pPr>
            <w:r w:rsidRPr="001F34F7">
              <w:rPr>
                <w:rFonts w:ascii="Arial" w:hAnsi="Arial" w:cs="Arial"/>
                <w:sz w:val="20"/>
                <w:szCs w:val="20"/>
                <w:lang w:val="de-DE"/>
              </w:rPr>
              <w:t>-0.431247</w:t>
            </w:r>
            <w:r>
              <w:rPr>
                <w:rFonts w:ascii="Arial" w:hAnsi="Arial" w:cs="Arial"/>
                <w:sz w:val="20"/>
                <w:szCs w:val="20"/>
                <w:lang w:val="de-DE"/>
              </w:rPr>
              <w:t xml:space="preserve"> *</w:t>
            </w:r>
          </w:p>
          <w:p w:rsidR="00007917" w:rsidRPr="00A51255" w:rsidRDefault="00007917" w:rsidP="0004687D">
            <w:pPr>
              <w:jc w:val="center"/>
              <w:rPr>
                <w:lang w:val="en-US"/>
              </w:rPr>
            </w:pPr>
            <w:r>
              <w:rPr>
                <w:rFonts w:ascii="Arial" w:hAnsi="Arial" w:cs="Arial"/>
                <w:sz w:val="16"/>
                <w:szCs w:val="16"/>
                <w:lang w:val="de-DE"/>
              </w:rPr>
              <w:t>(</w:t>
            </w:r>
            <w:r w:rsidR="001F34F7" w:rsidRPr="001F34F7">
              <w:rPr>
                <w:rFonts w:ascii="Arial" w:hAnsi="Arial" w:cs="Arial"/>
                <w:sz w:val="16"/>
                <w:szCs w:val="16"/>
                <w:lang w:val="de-DE"/>
              </w:rPr>
              <w:t>0.220366</w:t>
            </w:r>
            <w:r w:rsidRPr="00A51255">
              <w:rPr>
                <w:rFonts w:ascii="Arial" w:hAnsi="Arial" w:cs="Arial"/>
                <w:sz w:val="16"/>
                <w:szCs w:val="16"/>
                <w:lang w:val="de-DE"/>
              </w:rPr>
              <w:t>)</w:t>
            </w:r>
          </w:p>
        </w:tc>
      </w:tr>
      <w:tr w:rsidR="00C65448" w:rsidRPr="00A51255" w:rsidTr="00F037D9">
        <w:trPr>
          <w:jc w:val="center"/>
        </w:trPr>
        <w:tc>
          <w:tcPr>
            <w:tcW w:w="335" w:type="dxa"/>
            <w:vAlign w:val="center"/>
          </w:tcPr>
          <w:p w:rsidR="00007917" w:rsidRPr="00A51255" w:rsidRDefault="00C65448" w:rsidP="0096547E">
            <w:pPr>
              <w:spacing w:line="360" w:lineRule="auto"/>
              <w:jc w:val="center"/>
              <w:rPr>
                <w:rFonts w:ascii="Arial" w:hAnsi="Arial" w:cs="Arial"/>
                <w:sz w:val="16"/>
                <w:szCs w:val="16"/>
                <w:lang w:val="de-DE"/>
              </w:rPr>
            </w:pPr>
            <w:r>
              <w:rPr>
                <w:rFonts w:ascii="Arial" w:hAnsi="Arial" w:cs="Arial"/>
                <w:sz w:val="16"/>
                <w:szCs w:val="16"/>
                <w:lang w:val="de-DE"/>
              </w:rPr>
              <w:t>(</w:t>
            </w:r>
            <w:r w:rsidR="0004687D">
              <w:rPr>
                <w:rFonts w:ascii="Arial" w:hAnsi="Arial" w:cs="Arial"/>
                <w:sz w:val="16"/>
                <w:szCs w:val="16"/>
                <w:lang w:val="de-DE"/>
              </w:rPr>
              <w:t>1)</w:t>
            </w:r>
          </w:p>
        </w:tc>
        <w:tc>
          <w:tcPr>
            <w:tcW w:w="1909" w:type="dxa"/>
            <w:vAlign w:val="center"/>
          </w:tcPr>
          <w:p w:rsidR="000701C4" w:rsidRDefault="0004687D" w:rsidP="000701C4">
            <w:pPr>
              <w:ind w:left="87"/>
              <w:jc w:val="center"/>
            </w:pPr>
            <w:r w:rsidRPr="00B3604A">
              <w:rPr>
                <w:position w:val="-12"/>
              </w:rPr>
              <w:object w:dxaOrig="300" w:dyaOrig="360">
                <v:shape id="_x0000_i1081" type="#_x0000_t75" style="width:14.15pt;height:18pt" o:ole="">
                  <v:imagedata r:id="rId106" o:title=""/>
                </v:shape>
                <o:OLEObject Type="Embed" ProgID="Equation.3" ShapeID="_x0000_i1081" DrawAspect="Content" ObjectID="_1507543428" r:id="rId107"/>
              </w:object>
            </w:r>
          </w:p>
          <w:p w:rsidR="00007917" w:rsidRPr="004F48F0" w:rsidRDefault="0007792B" w:rsidP="000701C4">
            <w:pPr>
              <w:ind w:left="87"/>
              <w:jc w:val="center"/>
              <w:rPr>
                <w:rFonts w:ascii="Arial" w:hAnsi="Arial" w:cs="Arial"/>
                <w:b/>
                <w:sz w:val="18"/>
                <w:szCs w:val="18"/>
                <w:lang w:val="de-DE"/>
              </w:rPr>
            </w:pPr>
            <w:r>
              <w:rPr>
                <w:rFonts w:ascii="Arial" w:hAnsi="Arial" w:cs="Arial"/>
                <w:b/>
                <w:sz w:val="18"/>
                <w:szCs w:val="18"/>
                <w:lang w:val="de-DE"/>
              </w:rPr>
              <w:t>n</w:t>
            </w:r>
            <w:r w:rsidRPr="004F48F0">
              <w:rPr>
                <w:rFonts w:ascii="Arial" w:hAnsi="Arial" w:cs="Arial"/>
                <w:b/>
                <w:sz w:val="18"/>
                <w:szCs w:val="18"/>
                <w:lang w:val="de-DE"/>
              </w:rPr>
              <w:t>egative</w:t>
            </w:r>
          </w:p>
        </w:tc>
        <w:tc>
          <w:tcPr>
            <w:tcW w:w="1918" w:type="dxa"/>
            <w:vAlign w:val="center"/>
          </w:tcPr>
          <w:p w:rsidR="00007917" w:rsidRPr="00A51255" w:rsidRDefault="00E369CA" w:rsidP="0004687D">
            <w:pPr>
              <w:jc w:val="center"/>
              <w:rPr>
                <w:rFonts w:ascii="Arial" w:hAnsi="Arial" w:cs="Arial"/>
                <w:sz w:val="20"/>
                <w:szCs w:val="20"/>
                <w:lang w:val="de-DE"/>
              </w:rPr>
            </w:pPr>
            <w:r w:rsidRPr="00E369CA">
              <w:rPr>
                <w:rFonts w:ascii="Arial" w:hAnsi="Arial" w:cs="Arial"/>
                <w:sz w:val="20"/>
                <w:szCs w:val="20"/>
                <w:lang w:val="de-DE"/>
              </w:rPr>
              <w:t>0.000741</w:t>
            </w:r>
          </w:p>
          <w:p w:rsidR="00007917" w:rsidRPr="00A51255" w:rsidRDefault="00007917" w:rsidP="0004687D">
            <w:pPr>
              <w:jc w:val="center"/>
              <w:rPr>
                <w:lang w:val="en-US"/>
              </w:rPr>
            </w:pPr>
            <w:r>
              <w:rPr>
                <w:rFonts w:ascii="Arial" w:hAnsi="Arial" w:cs="Arial"/>
                <w:sz w:val="16"/>
                <w:szCs w:val="16"/>
                <w:lang w:val="de-DE"/>
              </w:rPr>
              <w:t>(</w:t>
            </w:r>
            <w:r w:rsidR="00E369CA" w:rsidRPr="00E369CA">
              <w:rPr>
                <w:rFonts w:ascii="Arial" w:hAnsi="Arial" w:cs="Arial"/>
                <w:sz w:val="16"/>
                <w:szCs w:val="16"/>
                <w:lang w:val="de-DE"/>
              </w:rPr>
              <w:t>0.065825</w:t>
            </w:r>
            <w:r w:rsidRPr="00A51255">
              <w:rPr>
                <w:rFonts w:ascii="Arial" w:hAnsi="Arial" w:cs="Arial"/>
                <w:sz w:val="16"/>
                <w:szCs w:val="16"/>
                <w:lang w:val="de-DE"/>
              </w:rPr>
              <w:t>)</w:t>
            </w:r>
          </w:p>
        </w:tc>
        <w:tc>
          <w:tcPr>
            <w:tcW w:w="1673" w:type="dxa"/>
            <w:vAlign w:val="center"/>
          </w:tcPr>
          <w:p w:rsidR="00007917" w:rsidRPr="00A51255" w:rsidRDefault="00C63FAC" w:rsidP="0004687D">
            <w:pPr>
              <w:jc w:val="center"/>
              <w:rPr>
                <w:rFonts w:ascii="Arial" w:hAnsi="Arial" w:cs="Arial"/>
                <w:sz w:val="20"/>
                <w:szCs w:val="20"/>
                <w:lang w:val="de-DE"/>
              </w:rPr>
            </w:pPr>
            <w:r w:rsidRPr="00C63FAC">
              <w:rPr>
                <w:rFonts w:ascii="Arial" w:hAnsi="Arial" w:cs="Arial"/>
                <w:sz w:val="20"/>
                <w:szCs w:val="20"/>
                <w:lang w:val="de-DE"/>
              </w:rPr>
              <w:t>0.049419</w:t>
            </w:r>
          </w:p>
          <w:p w:rsidR="00007917" w:rsidRPr="00A51255" w:rsidRDefault="00007917" w:rsidP="0004687D">
            <w:pPr>
              <w:jc w:val="center"/>
              <w:rPr>
                <w:lang w:val="en-US"/>
              </w:rPr>
            </w:pPr>
            <w:r>
              <w:rPr>
                <w:rFonts w:ascii="Arial" w:hAnsi="Arial" w:cs="Arial"/>
                <w:sz w:val="16"/>
                <w:szCs w:val="16"/>
                <w:lang w:val="de-DE"/>
              </w:rPr>
              <w:t>(</w:t>
            </w:r>
            <w:r w:rsidR="00C63FAC" w:rsidRPr="00C63FAC">
              <w:rPr>
                <w:rFonts w:ascii="Arial" w:hAnsi="Arial" w:cs="Arial"/>
                <w:sz w:val="16"/>
                <w:szCs w:val="16"/>
                <w:lang w:val="de-DE"/>
              </w:rPr>
              <w:t>0.185389</w:t>
            </w:r>
            <w:r w:rsidRPr="00A51255">
              <w:rPr>
                <w:rFonts w:ascii="Arial" w:hAnsi="Arial" w:cs="Arial"/>
                <w:sz w:val="16"/>
                <w:szCs w:val="16"/>
                <w:lang w:val="de-DE"/>
              </w:rPr>
              <w:t>)</w:t>
            </w:r>
          </w:p>
        </w:tc>
        <w:tc>
          <w:tcPr>
            <w:tcW w:w="1769" w:type="dxa"/>
            <w:vAlign w:val="center"/>
          </w:tcPr>
          <w:p w:rsidR="00007917" w:rsidRPr="00A51255" w:rsidRDefault="00E9667B" w:rsidP="0004687D">
            <w:pPr>
              <w:jc w:val="center"/>
              <w:rPr>
                <w:rFonts w:ascii="Arial" w:hAnsi="Arial" w:cs="Arial"/>
                <w:sz w:val="20"/>
                <w:szCs w:val="20"/>
                <w:lang w:val="de-DE"/>
              </w:rPr>
            </w:pPr>
            <w:r w:rsidRPr="00E9667B">
              <w:rPr>
                <w:rFonts w:ascii="Arial" w:hAnsi="Arial" w:cs="Arial"/>
                <w:sz w:val="20"/>
                <w:szCs w:val="20"/>
                <w:lang w:val="de-DE"/>
              </w:rPr>
              <w:t>0.137488</w:t>
            </w:r>
          </w:p>
          <w:p w:rsidR="00007917" w:rsidRPr="00A51255" w:rsidRDefault="00007917" w:rsidP="0004687D">
            <w:pPr>
              <w:jc w:val="center"/>
              <w:rPr>
                <w:lang w:val="en-US"/>
              </w:rPr>
            </w:pPr>
            <w:r>
              <w:rPr>
                <w:rFonts w:ascii="Arial" w:hAnsi="Arial" w:cs="Arial"/>
                <w:sz w:val="16"/>
                <w:szCs w:val="16"/>
                <w:lang w:val="de-DE"/>
              </w:rPr>
              <w:t>(</w:t>
            </w:r>
            <w:r w:rsidR="00E9667B" w:rsidRPr="00E9667B">
              <w:rPr>
                <w:rFonts w:ascii="Arial" w:hAnsi="Arial" w:cs="Arial"/>
                <w:sz w:val="16"/>
                <w:szCs w:val="16"/>
                <w:lang w:val="de-DE"/>
              </w:rPr>
              <w:t>0.330194</w:t>
            </w:r>
            <w:r w:rsidRPr="00A51255">
              <w:rPr>
                <w:rFonts w:ascii="Arial" w:hAnsi="Arial" w:cs="Arial"/>
                <w:sz w:val="16"/>
                <w:szCs w:val="16"/>
                <w:lang w:val="de-DE"/>
              </w:rPr>
              <w:t>)</w:t>
            </w:r>
          </w:p>
        </w:tc>
        <w:tc>
          <w:tcPr>
            <w:tcW w:w="1711" w:type="dxa"/>
            <w:vAlign w:val="center"/>
          </w:tcPr>
          <w:p w:rsidR="00007917" w:rsidRPr="00A51255" w:rsidRDefault="001F34F7" w:rsidP="0004687D">
            <w:pPr>
              <w:jc w:val="center"/>
              <w:rPr>
                <w:rFonts w:ascii="Arial" w:hAnsi="Arial" w:cs="Arial"/>
                <w:sz w:val="20"/>
                <w:szCs w:val="20"/>
                <w:lang w:val="de-DE"/>
              </w:rPr>
            </w:pPr>
            <w:r w:rsidRPr="001F34F7">
              <w:rPr>
                <w:rFonts w:ascii="Arial" w:hAnsi="Arial" w:cs="Arial"/>
                <w:sz w:val="20"/>
                <w:szCs w:val="20"/>
                <w:lang w:val="de-DE"/>
              </w:rPr>
              <w:t>0.599481</w:t>
            </w:r>
            <w:r>
              <w:rPr>
                <w:rFonts w:ascii="Arial" w:hAnsi="Arial" w:cs="Arial"/>
                <w:sz w:val="20"/>
                <w:szCs w:val="20"/>
                <w:lang w:val="de-DE"/>
              </w:rPr>
              <w:t xml:space="preserve"> *</w:t>
            </w:r>
          </w:p>
          <w:p w:rsidR="00007917" w:rsidRPr="00A51255" w:rsidRDefault="00007917" w:rsidP="0004687D">
            <w:pPr>
              <w:jc w:val="center"/>
              <w:rPr>
                <w:lang w:val="en-US"/>
              </w:rPr>
            </w:pPr>
            <w:r>
              <w:rPr>
                <w:rFonts w:ascii="Arial" w:hAnsi="Arial" w:cs="Arial"/>
                <w:sz w:val="16"/>
                <w:szCs w:val="16"/>
                <w:lang w:val="de-DE"/>
              </w:rPr>
              <w:t>(</w:t>
            </w:r>
            <w:r w:rsidR="001F34F7" w:rsidRPr="001F34F7">
              <w:rPr>
                <w:rFonts w:ascii="Arial" w:hAnsi="Arial" w:cs="Arial"/>
                <w:sz w:val="16"/>
                <w:szCs w:val="16"/>
                <w:lang w:val="de-DE"/>
              </w:rPr>
              <w:t>0.308985</w:t>
            </w:r>
            <w:r w:rsidRPr="00A51255">
              <w:rPr>
                <w:rFonts w:ascii="Arial" w:hAnsi="Arial" w:cs="Arial"/>
                <w:sz w:val="16"/>
                <w:szCs w:val="16"/>
                <w:lang w:val="de-DE"/>
              </w:rPr>
              <w:t>)</w:t>
            </w:r>
          </w:p>
        </w:tc>
      </w:tr>
      <w:tr w:rsidR="00C65448" w:rsidRPr="00A51255" w:rsidTr="00F037D9">
        <w:trPr>
          <w:jc w:val="center"/>
        </w:trPr>
        <w:tc>
          <w:tcPr>
            <w:tcW w:w="335" w:type="dxa"/>
            <w:vAlign w:val="center"/>
          </w:tcPr>
          <w:p w:rsidR="00007917" w:rsidRPr="00A51255" w:rsidRDefault="00C65448" w:rsidP="0096547E">
            <w:pPr>
              <w:spacing w:line="360" w:lineRule="auto"/>
              <w:jc w:val="center"/>
              <w:rPr>
                <w:rFonts w:ascii="Arial" w:hAnsi="Arial" w:cs="Arial"/>
                <w:sz w:val="16"/>
                <w:szCs w:val="16"/>
                <w:lang w:val="de-DE"/>
              </w:rPr>
            </w:pPr>
            <w:r>
              <w:rPr>
                <w:rFonts w:ascii="Arial" w:hAnsi="Arial" w:cs="Arial"/>
                <w:sz w:val="16"/>
                <w:szCs w:val="16"/>
                <w:lang w:val="de-DE"/>
              </w:rPr>
              <w:t>(</w:t>
            </w:r>
            <w:r w:rsidR="0004687D">
              <w:rPr>
                <w:rFonts w:ascii="Arial" w:hAnsi="Arial" w:cs="Arial"/>
                <w:sz w:val="16"/>
                <w:szCs w:val="16"/>
                <w:lang w:val="de-DE"/>
              </w:rPr>
              <w:t>1)</w:t>
            </w:r>
          </w:p>
        </w:tc>
        <w:tc>
          <w:tcPr>
            <w:tcW w:w="1909" w:type="dxa"/>
            <w:vAlign w:val="center"/>
          </w:tcPr>
          <w:p w:rsidR="000701C4" w:rsidRDefault="0004687D" w:rsidP="000701C4">
            <w:pPr>
              <w:ind w:left="87"/>
              <w:jc w:val="center"/>
            </w:pPr>
            <w:r w:rsidRPr="00B3604A">
              <w:rPr>
                <w:position w:val="-12"/>
              </w:rPr>
              <w:object w:dxaOrig="300" w:dyaOrig="360">
                <v:shape id="_x0000_i1082" type="#_x0000_t75" style="width:14.15pt;height:18pt" o:ole="">
                  <v:imagedata r:id="rId108" o:title=""/>
                </v:shape>
                <o:OLEObject Type="Embed" ProgID="Equation.3" ShapeID="_x0000_i1082" DrawAspect="Content" ObjectID="_1507543429" r:id="rId109"/>
              </w:object>
            </w:r>
          </w:p>
          <w:p w:rsidR="00007917" w:rsidRPr="004F48F0" w:rsidRDefault="0007792B" w:rsidP="000701C4">
            <w:pPr>
              <w:ind w:left="87"/>
              <w:jc w:val="center"/>
              <w:rPr>
                <w:rFonts w:ascii="Arial" w:hAnsi="Arial" w:cs="Arial"/>
                <w:b/>
                <w:sz w:val="18"/>
                <w:szCs w:val="18"/>
                <w:lang w:val="de-DE"/>
              </w:rPr>
            </w:pPr>
            <w:r>
              <w:rPr>
                <w:rFonts w:ascii="Arial" w:hAnsi="Arial" w:cs="Arial"/>
                <w:b/>
                <w:sz w:val="18"/>
                <w:szCs w:val="18"/>
                <w:lang w:val="de-DE"/>
              </w:rPr>
              <w:t xml:space="preserve">strongly </w:t>
            </w:r>
            <w:r w:rsidRPr="004F48F0">
              <w:rPr>
                <w:rFonts w:ascii="Arial" w:hAnsi="Arial" w:cs="Arial"/>
                <w:b/>
                <w:sz w:val="18"/>
                <w:szCs w:val="18"/>
                <w:lang w:val="de-DE"/>
              </w:rPr>
              <w:t>negative</w:t>
            </w:r>
          </w:p>
        </w:tc>
        <w:tc>
          <w:tcPr>
            <w:tcW w:w="1918" w:type="dxa"/>
            <w:vAlign w:val="center"/>
          </w:tcPr>
          <w:p w:rsidR="00007917" w:rsidRPr="00A51255" w:rsidRDefault="00E369CA" w:rsidP="0004687D">
            <w:pPr>
              <w:jc w:val="center"/>
              <w:rPr>
                <w:rFonts w:ascii="Arial" w:hAnsi="Arial" w:cs="Arial"/>
                <w:sz w:val="20"/>
                <w:szCs w:val="20"/>
                <w:lang w:val="de-DE"/>
              </w:rPr>
            </w:pPr>
            <w:r w:rsidRPr="00E369CA">
              <w:rPr>
                <w:rFonts w:ascii="Arial" w:hAnsi="Arial" w:cs="Arial"/>
                <w:sz w:val="20"/>
                <w:szCs w:val="20"/>
                <w:lang w:val="de-DE"/>
              </w:rPr>
              <w:t>0.203167</w:t>
            </w:r>
            <w:r>
              <w:rPr>
                <w:rFonts w:ascii="Arial" w:hAnsi="Arial" w:cs="Arial"/>
                <w:sz w:val="20"/>
                <w:szCs w:val="20"/>
                <w:lang w:val="de-DE"/>
              </w:rPr>
              <w:t xml:space="preserve"> ***</w:t>
            </w:r>
          </w:p>
          <w:p w:rsidR="00007917" w:rsidRPr="00A51255" w:rsidRDefault="00007917" w:rsidP="0004687D">
            <w:pPr>
              <w:jc w:val="center"/>
              <w:rPr>
                <w:lang w:val="en-US"/>
              </w:rPr>
            </w:pPr>
            <w:r>
              <w:rPr>
                <w:rFonts w:ascii="Arial" w:hAnsi="Arial" w:cs="Arial"/>
                <w:sz w:val="16"/>
                <w:szCs w:val="16"/>
                <w:lang w:val="de-DE"/>
              </w:rPr>
              <w:t>(</w:t>
            </w:r>
            <w:r w:rsidR="00E369CA" w:rsidRPr="00E369CA">
              <w:rPr>
                <w:rFonts w:ascii="Arial" w:hAnsi="Arial" w:cs="Arial"/>
                <w:sz w:val="16"/>
                <w:szCs w:val="16"/>
                <w:lang w:val="de-DE"/>
              </w:rPr>
              <w:t>0.054875</w:t>
            </w:r>
            <w:r w:rsidRPr="00A51255">
              <w:rPr>
                <w:rFonts w:ascii="Arial" w:hAnsi="Arial" w:cs="Arial"/>
                <w:sz w:val="16"/>
                <w:szCs w:val="16"/>
                <w:lang w:val="de-DE"/>
              </w:rPr>
              <w:t>)</w:t>
            </w:r>
          </w:p>
        </w:tc>
        <w:tc>
          <w:tcPr>
            <w:tcW w:w="1673" w:type="dxa"/>
            <w:vAlign w:val="center"/>
          </w:tcPr>
          <w:p w:rsidR="00007917" w:rsidRPr="00A51255" w:rsidRDefault="00C63FAC" w:rsidP="0004687D">
            <w:pPr>
              <w:jc w:val="center"/>
              <w:rPr>
                <w:rFonts w:ascii="Arial" w:hAnsi="Arial" w:cs="Arial"/>
                <w:sz w:val="20"/>
                <w:szCs w:val="20"/>
                <w:lang w:val="de-DE"/>
              </w:rPr>
            </w:pPr>
            <w:r w:rsidRPr="00C63FAC">
              <w:rPr>
                <w:rFonts w:ascii="Arial" w:hAnsi="Arial" w:cs="Arial"/>
                <w:sz w:val="20"/>
                <w:szCs w:val="20"/>
                <w:lang w:val="de-DE"/>
              </w:rPr>
              <w:t>-0.454506</w:t>
            </w:r>
            <w:r w:rsidR="007F3A7F">
              <w:rPr>
                <w:rFonts w:ascii="Arial" w:hAnsi="Arial" w:cs="Arial"/>
                <w:sz w:val="20"/>
                <w:szCs w:val="20"/>
                <w:lang w:val="de-DE"/>
              </w:rPr>
              <w:t xml:space="preserve"> ***</w:t>
            </w:r>
          </w:p>
          <w:p w:rsidR="00007917" w:rsidRPr="00A51255" w:rsidRDefault="00007917" w:rsidP="0004687D">
            <w:pPr>
              <w:jc w:val="center"/>
              <w:rPr>
                <w:lang w:val="en-US"/>
              </w:rPr>
            </w:pPr>
            <w:r>
              <w:rPr>
                <w:rFonts w:ascii="Arial" w:hAnsi="Arial" w:cs="Arial"/>
                <w:sz w:val="16"/>
                <w:szCs w:val="16"/>
                <w:lang w:val="de-DE"/>
              </w:rPr>
              <w:t>(</w:t>
            </w:r>
            <w:r w:rsidR="00C63FAC" w:rsidRPr="00C63FAC">
              <w:rPr>
                <w:rFonts w:ascii="Arial" w:hAnsi="Arial" w:cs="Arial"/>
                <w:sz w:val="16"/>
                <w:szCs w:val="16"/>
                <w:lang w:val="de-DE"/>
              </w:rPr>
              <w:t>0.112755</w:t>
            </w:r>
            <w:r w:rsidRPr="00A51255">
              <w:rPr>
                <w:rFonts w:ascii="Arial" w:hAnsi="Arial" w:cs="Arial"/>
                <w:sz w:val="16"/>
                <w:szCs w:val="16"/>
                <w:lang w:val="de-DE"/>
              </w:rPr>
              <w:t>)</w:t>
            </w:r>
          </w:p>
        </w:tc>
        <w:tc>
          <w:tcPr>
            <w:tcW w:w="1769" w:type="dxa"/>
            <w:vAlign w:val="center"/>
          </w:tcPr>
          <w:p w:rsidR="00007917" w:rsidRPr="00A51255" w:rsidRDefault="00E9667B" w:rsidP="0004687D">
            <w:pPr>
              <w:jc w:val="center"/>
              <w:rPr>
                <w:rFonts w:ascii="Arial" w:hAnsi="Arial" w:cs="Arial"/>
                <w:sz w:val="20"/>
                <w:szCs w:val="20"/>
                <w:lang w:val="de-DE"/>
              </w:rPr>
            </w:pPr>
            <w:r w:rsidRPr="00E9667B">
              <w:rPr>
                <w:rFonts w:ascii="Arial" w:hAnsi="Arial" w:cs="Arial"/>
                <w:sz w:val="20"/>
                <w:szCs w:val="20"/>
                <w:lang w:val="de-DE"/>
              </w:rPr>
              <w:t>0.179259</w:t>
            </w:r>
          </w:p>
          <w:p w:rsidR="00007917" w:rsidRPr="00A51255" w:rsidRDefault="00007917" w:rsidP="0004687D">
            <w:pPr>
              <w:jc w:val="center"/>
              <w:rPr>
                <w:lang w:val="en-US"/>
              </w:rPr>
            </w:pPr>
            <w:r>
              <w:rPr>
                <w:rFonts w:ascii="Arial" w:hAnsi="Arial" w:cs="Arial"/>
                <w:sz w:val="16"/>
                <w:szCs w:val="16"/>
                <w:lang w:val="de-DE"/>
              </w:rPr>
              <w:t>(</w:t>
            </w:r>
            <w:r w:rsidR="00E9667B" w:rsidRPr="00E9667B">
              <w:rPr>
                <w:rFonts w:ascii="Arial" w:hAnsi="Arial" w:cs="Arial"/>
                <w:sz w:val="16"/>
                <w:szCs w:val="16"/>
                <w:lang w:val="de-DE"/>
              </w:rPr>
              <w:t>0.247692</w:t>
            </w:r>
            <w:r w:rsidRPr="00A51255">
              <w:rPr>
                <w:rFonts w:ascii="Arial" w:hAnsi="Arial" w:cs="Arial"/>
                <w:sz w:val="16"/>
                <w:szCs w:val="16"/>
                <w:lang w:val="de-DE"/>
              </w:rPr>
              <w:t>)</w:t>
            </w:r>
          </w:p>
        </w:tc>
        <w:tc>
          <w:tcPr>
            <w:tcW w:w="1711" w:type="dxa"/>
            <w:vAlign w:val="center"/>
          </w:tcPr>
          <w:p w:rsidR="00007917" w:rsidRPr="00A51255" w:rsidRDefault="001F34F7" w:rsidP="0004687D">
            <w:pPr>
              <w:jc w:val="center"/>
              <w:rPr>
                <w:rFonts w:ascii="Arial" w:hAnsi="Arial" w:cs="Arial"/>
                <w:sz w:val="20"/>
                <w:szCs w:val="20"/>
                <w:lang w:val="de-DE"/>
              </w:rPr>
            </w:pPr>
            <w:r w:rsidRPr="001F34F7">
              <w:rPr>
                <w:rFonts w:ascii="Arial" w:hAnsi="Arial" w:cs="Arial"/>
                <w:sz w:val="20"/>
                <w:szCs w:val="20"/>
                <w:lang w:val="de-DE"/>
              </w:rPr>
              <w:t>0.523365</w:t>
            </w:r>
          </w:p>
          <w:p w:rsidR="00007917" w:rsidRPr="00A51255" w:rsidRDefault="00007917" w:rsidP="0004687D">
            <w:pPr>
              <w:jc w:val="center"/>
              <w:rPr>
                <w:lang w:val="en-US"/>
              </w:rPr>
            </w:pPr>
            <w:r>
              <w:rPr>
                <w:rFonts w:ascii="Arial" w:hAnsi="Arial" w:cs="Arial"/>
                <w:sz w:val="16"/>
                <w:szCs w:val="16"/>
                <w:lang w:val="de-DE"/>
              </w:rPr>
              <w:t>(</w:t>
            </w:r>
            <w:r w:rsidR="001F34F7" w:rsidRPr="001F34F7">
              <w:rPr>
                <w:rFonts w:ascii="Arial" w:hAnsi="Arial" w:cs="Arial"/>
                <w:sz w:val="16"/>
                <w:szCs w:val="16"/>
                <w:lang w:val="de-DE"/>
              </w:rPr>
              <w:t>0.589494</w:t>
            </w:r>
            <w:r w:rsidRPr="00A51255">
              <w:rPr>
                <w:rFonts w:ascii="Arial" w:hAnsi="Arial" w:cs="Arial"/>
                <w:sz w:val="16"/>
                <w:szCs w:val="16"/>
                <w:lang w:val="de-DE"/>
              </w:rPr>
              <w:t>)</w:t>
            </w:r>
          </w:p>
        </w:tc>
      </w:tr>
    </w:tbl>
    <w:p w:rsidR="00202C17" w:rsidRDefault="00202C17" w:rsidP="00202C17">
      <w:pPr>
        <w:ind w:left="284" w:right="282"/>
        <w:jc w:val="both"/>
        <w:rPr>
          <w:rFonts w:ascii="Arial" w:hAnsi="Arial" w:cs="Arial"/>
          <w:sz w:val="16"/>
          <w:szCs w:val="16"/>
          <w:lang w:val="en-US"/>
        </w:rPr>
      </w:pPr>
    </w:p>
    <w:p w:rsidR="0021434A" w:rsidRDefault="0021434A" w:rsidP="00DC1EA3">
      <w:pPr>
        <w:ind w:left="1134" w:right="282"/>
        <w:jc w:val="both"/>
        <w:rPr>
          <w:rFonts w:ascii="Arial" w:hAnsi="Arial" w:cs="Arial"/>
          <w:sz w:val="16"/>
          <w:szCs w:val="16"/>
          <w:lang w:val="en-US"/>
        </w:rPr>
      </w:pPr>
    </w:p>
    <w:p w:rsidR="0021434A" w:rsidRDefault="0021434A" w:rsidP="0021434A">
      <w:pPr>
        <w:ind w:right="282"/>
        <w:jc w:val="both"/>
        <w:rPr>
          <w:rFonts w:ascii="Arial" w:hAnsi="Arial" w:cs="Arial"/>
          <w:sz w:val="16"/>
          <w:szCs w:val="16"/>
          <w:lang w:val="en-US"/>
        </w:rPr>
      </w:pPr>
    </w:p>
    <w:p w:rsidR="0021434A" w:rsidRDefault="0021434A" w:rsidP="0021434A">
      <w:pPr>
        <w:ind w:right="282" w:firstLine="708"/>
        <w:jc w:val="both"/>
        <w:rPr>
          <w:rFonts w:ascii="Arial" w:hAnsi="Arial" w:cs="Arial"/>
          <w:sz w:val="20"/>
          <w:szCs w:val="20"/>
          <w:lang w:val="en-US"/>
        </w:rPr>
      </w:pPr>
      <w:r>
        <w:rPr>
          <w:rFonts w:ascii="Arial" w:hAnsi="Arial" w:cs="Arial"/>
          <w:sz w:val="16"/>
          <w:szCs w:val="16"/>
          <w:lang w:val="en-US"/>
        </w:rPr>
        <w:t>(</w:t>
      </w:r>
      <w:r w:rsidRPr="0063181F">
        <w:rPr>
          <w:rFonts w:ascii="Arial" w:hAnsi="Arial" w:cs="Arial"/>
          <w:sz w:val="20"/>
          <w:szCs w:val="20"/>
          <w:lang w:val="en-US"/>
        </w:rPr>
        <w:t>continued</w:t>
      </w:r>
      <w:r>
        <w:rPr>
          <w:rFonts w:ascii="Arial" w:hAnsi="Arial" w:cs="Arial"/>
          <w:sz w:val="20"/>
          <w:szCs w:val="20"/>
          <w:lang w:val="en-US"/>
        </w:rPr>
        <w:t xml:space="preserve"> on next page</w:t>
      </w:r>
      <w:r w:rsidRPr="0063181F">
        <w:rPr>
          <w:rFonts w:ascii="Arial" w:hAnsi="Arial" w:cs="Arial"/>
          <w:sz w:val="20"/>
          <w:szCs w:val="20"/>
          <w:lang w:val="en-US"/>
        </w:rPr>
        <w:t>)</w:t>
      </w:r>
    </w:p>
    <w:p w:rsidR="0090662F" w:rsidRDefault="000A3CFB" w:rsidP="0021434A">
      <w:pPr>
        <w:ind w:right="282" w:firstLine="708"/>
        <w:jc w:val="both"/>
        <w:rPr>
          <w:rFonts w:ascii="Arial" w:hAnsi="Arial" w:cs="Arial"/>
          <w:sz w:val="16"/>
          <w:szCs w:val="16"/>
          <w:lang w:val="en-US"/>
        </w:rPr>
      </w:pPr>
      <w:r>
        <w:rPr>
          <w:rFonts w:ascii="Arial" w:hAnsi="Arial" w:cs="Arial"/>
          <w:sz w:val="16"/>
          <w:szCs w:val="16"/>
          <w:lang w:val="en-US"/>
        </w:rPr>
        <w:br w:type="page"/>
      </w:r>
    </w:p>
    <w:p w:rsidR="0090662F" w:rsidRDefault="0090662F" w:rsidP="00DC1EA3">
      <w:pPr>
        <w:ind w:left="1134" w:right="282"/>
        <w:jc w:val="both"/>
        <w:rPr>
          <w:rFonts w:ascii="Arial" w:hAnsi="Arial" w:cs="Arial"/>
          <w:sz w:val="16"/>
          <w:szCs w:val="16"/>
          <w:lang w:val="en-US"/>
        </w:rPr>
      </w:pPr>
    </w:p>
    <w:p w:rsidR="00481658" w:rsidRDefault="00481658" w:rsidP="00DC1EA3">
      <w:pPr>
        <w:ind w:left="1134" w:right="282"/>
        <w:jc w:val="both"/>
        <w:rPr>
          <w:rFonts w:ascii="Arial" w:hAnsi="Arial" w:cs="Arial"/>
          <w:sz w:val="20"/>
          <w:szCs w:val="20"/>
          <w:highlight w:val="green"/>
          <w:lang w:val="en-US"/>
        </w:rPr>
      </w:pPr>
    </w:p>
    <w:p w:rsidR="00481658" w:rsidRDefault="00481658" w:rsidP="00DC1EA3">
      <w:pPr>
        <w:ind w:left="1134" w:right="282"/>
        <w:jc w:val="both"/>
        <w:rPr>
          <w:rFonts w:ascii="Arial" w:hAnsi="Arial" w:cs="Arial"/>
          <w:sz w:val="20"/>
          <w:szCs w:val="20"/>
          <w:highlight w:val="green"/>
          <w:lang w:val="en-US"/>
        </w:rPr>
      </w:pPr>
    </w:p>
    <w:p w:rsidR="00481658" w:rsidRDefault="00481658" w:rsidP="00DC1EA3">
      <w:pPr>
        <w:ind w:left="1134" w:right="282"/>
        <w:jc w:val="both"/>
        <w:rPr>
          <w:rFonts w:ascii="Arial" w:hAnsi="Arial" w:cs="Arial"/>
          <w:sz w:val="20"/>
          <w:szCs w:val="20"/>
          <w:highlight w:val="green"/>
          <w:lang w:val="en-US"/>
        </w:rPr>
      </w:pPr>
    </w:p>
    <w:p w:rsidR="00481658" w:rsidRDefault="00481658" w:rsidP="00DC1EA3">
      <w:pPr>
        <w:ind w:left="1134" w:right="282"/>
        <w:jc w:val="both"/>
        <w:rPr>
          <w:rFonts w:ascii="Arial" w:hAnsi="Arial" w:cs="Arial"/>
          <w:sz w:val="20"/>
          <w:szCs w:val="20"/>
          <w:highlight w:val="green"/>
          <w:lang w:val="en-US"/>
        </w:rPr>
      </w:pPr>
    </w:p>
    <w:p w:rsidR="00481658" w:rsidRDefault="00481658" w:rsidP="00DC1EA3">
      <w:pPr>
        <w:ind w:left="1134" w:right="282"/>
        <w:jc w:val="both"/>
        <w:rPr>
          <w:rFonts w:ascii="Arial" w:hAnsi="Arial" w:cs="Arial"/>
          <w:sz w:val="20"/>
          <w:szCs w:val="20"/>
          <w:highlight w:val="green"/>
          <w:lang w:val="en-US"/>
        </w:rPr>
      </w:pPr>
    </w:p>
    <w:p w:rsidR="00481658" w:rsidRDefault="00481658" w:rsidP="00DC1EA3">
      <w:pPr>
        <w:ind w:left="1134" w:right="282"/>
        <w:jc w:val="both"/>
        <w:rPr>
          <w:rFonts w:ascii="Arial" w:hAnsi="Arial" w:cs="Arial"/>
          <w:sz w:val="20"/>
          <w:szCs w:val="20"/>
          <w:highlight w:val="green"/>
          <w:lang w:val="en-US"/>
        </w:rPr>
      </w:pPr>
    </w:p>
    <w:p w:rsidR="00481658" w:rsidRDefault="00481658" w:rsidP="00DC1EA3">
      <w:pPr>
        <w:ind w:left="1134" w:right="282"/>
        <w:jc w:val="both"/>
        <w:rPr>
          <w:rFonts w:ascii="Arial" w:hAnsi="Arial" w:cs="Arial"/>
          <w:sz w:val="20"/>
          <w:szCs w:val="20"/>
          <w:highlight w:val="green"/>
          <w:lang w:val="en-US"/>
        </w:rPr>
      </w:pPr>
    </w:p>
    <w:p w:rsidR="008C4FCD" w:rsidRDefault="0063181F" w:rsidP="00F15E21">
      <w:pPr>
        <w:ind w:right="282"/>
        <w:jc w:val="both"/>
        <w:rPr>
          <w:rFonts w:ascii="Arial" w:hAnsi="Arial" w:cs="Arial"/>
          <w:sz w:val="20"/>
          <w:szCs w:val="20"/>
          <w:lang w:val="en-US"/>
        </w:rPr>
      </w:pPr>
      <w:r>
        <w:rPr>
          <w:rFonts w:ascii="Arial" w:hAnsi="Arial" w:cs="Arial"/>
          <w:sz w:val="20"/>
          <w:szCs w:val="20"/>
          <w:lang w:val="en-US"/>
        </w:rPr>
        <w:t xml:space="preserve">Table </w:t>
      </w:r>
      <w:r w:rsidR="008C4FCD" w:rsidRPr="0063181F">
        <w:rPr>
          <w:rFonts w:ascii="Arial" w:hAnsi="Arial" w:cs="Arial"/>
          <w:sz w:val="20"/>
          <w:szCs w:val="20"/>
          <w:lang w:val="en-US"/>
        </w:rPr>
        <w:t>3</w:t>
      </w:r>
      <w:r w:rsidR="00E248F1" w:rsidRPr="0063181F">
        <w:rPr>
          <w:rFonts w:ascii="Arial" w:hAnsi="Arial" w:cs="Arial"/>
          <w:sz w:val="20"/>
          <w:szCs w:val="20"/>
          <w:lang w:val="en-US"/>
        </w:rPr>
        <w:t>a</w:t>
      </w:r>
      <w:r w:rsidR="008C4FCD" w:rsidRPr="0063181F">
        <w:rPr>
          <w:rFonts w:ascii="Arial" w:hAnsi="Arial" w:cs="Arial"/>
          <w:sz w:val="20"/>
          <w:szCs w:val="20"/>
          <w:lang w:val="en-US"/>
        </w:rPr>
        <w:t xml:space="preserve"> (continued):</w:t>
      </w:r>
    </w:p>
    <w:p w:rsidR="00AF2496" w:rsidRDefault="00AF2496" w:rsidP="00F15E21">
      <w:pPr>
        <w:ind w:right="282"/>
        <w:jc w:val="both"/>
        <w:rPr>
          <w:rFonts w:ascii="Arial" w:hAnsi="Arial" w:cs="Arial"/>
          <w:sz w:val="20"/>
          <w:szCs w:val="20"/>
          <w:lang w:val="en-US"/>
        </w:rPr>
      </w:pPr>
    </w:p>
    <w:p w:rsidR="00AF2496" w:rsidRDefault="00AF2496" w:rsidP="00F15E21">
      <w:pPr>
        <w:ind w:right="282"/>
        <w:jc w:val="both"/>
        <w:rPr>
          <w:rFonts w:ascii="Arial" w:hAnsi="Arial" w:cs="Arial"/>
          <w:sz w:val="20"/>
          <w:szCs w:val="20"/>
          <w:lang w:val="en-US"/>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034"/>
        <w:gridCol w:w="1831"/>
        <w:gridCol w:w="1712"/>
        <w:gridCol w:w="1736"/>
        <w:gridCol w:w="1727"/>
      </w:tblGrid>
      <w:tr w:rsidR="00AF2496" w:rsidRPr="004F48F0" w:rsidTr="00122ED3">
        <w:trPr>
          <w:jc w:val="center"/>
        </w:trPr>
        <w:tc>
          <w:tcPr>
            <w:tcW w:w="462" w:type="dxa"/>
            <w:vAlign w:val="center"/>
          </w:tcPr>
          <w:p w:rsidR="00AF2496" w:rsidRPr="00124F83" w:rsidRDefault="00AF2496" w:rsidP="002C594D">
            <w:pPr>
              <w:spacing w:line="360" w:lineRule="auto"/>
              <w:jc w:val="center"/>
              <w:rPr>
                <w:rFonts w:ascii="Arial" w:hAnsi="Arial" w:cs="Arial"/>
                <w:sz w:val="16"/>
                <w:szCs w:val="16"/>
                <w:lang w:val="de-DE"/>
              </w:rPr>
            </w:pPr>
            <w:r w:rsidRPr="00A51255">
              <w:rPr>
                <w:rFonts w:ascii="Arial" w:hAnsi="Arial" w:cs="Arial"/>
                <w:sz w:val="16"/>
                <w:szCs w:val="16"/>
                <w:lang w:val="de-DE"/>
              </w:rPr>
              <w:t>Eq.</w:t>
            </w:r>
          </w:p>
        </w:tc>
        <w:tc>
          <w:tcPr>
            <w:tcW w:w="9040" w:type="dxa"/>
            <w:gridSpan w:val="5"/>
            <w:vAlign w:val="center"/>
          </w:tcPr>
          <w:p w:rsidR="00AF2496" w:rsidRDefault="00AF2496" w:rsidP="002C594D">
            <w:pPr>
              <w:jc w:val="center"/>
              <w:rPr>
                <w:rFonts w:ascii="Arial" w:hAnsi="Arial" w:cs="Arial"/>
                <w:b/>
                <w:sz w:val="18"/>
                <w:szCs w:val="18"/>
                <w:lang w:val="de-DE"/>
              </w:rPr>
            </w:pPr>
          </w:p>
          <w:p w:rsidR="00AF2496" w:rsidRDefault="00AF2496" w:rsidP="002C594D">
            <w:pPr>
              <w:jc w:val="center"/>
              <w:rPr>
                <w:b/>
                <w:i/>
                <w:sz w:val="18"/>
                <w:szCs w:val="18"/>
                <w:lang w:val="de-DE"/>
              </w:rPr>
            </w:pPr>
            <w:r w:rsidRPr="004F48F0">
              <w:rPr>
                <w:rFonts w:ascii="Arial" w:hAnsi="Arial" w:cs="Arial"/>
                <w:b/>
                <w:sz w:val="18"/>
                <w:szCs w:val="18"/>
                <w:lang w:val="de-DE"/>
              </w:rPr>
              <w:t xml:space="preserve">On day </w:t>
            </w:r>
            <w:r w:rsidRPr="004F48F0">
              <w:rPr>
                <w:b/>
                <w:i/>
                <w:sz w:val="18"/>
                <w:szCs w:val="18"/>
                <w:lang w:val="de-DE"/>
              </w:rPr>
              <w:t>t</w:t>
            </w:r>
          </w:p>
          <w:p w:rsidR="00AF2496" w:rsidRPr="004F48F0" w:rsidRDefault="00AF2496" w:rsidP="002C594D">
            <w:pPr>
              <w:jc w:val="center"/>
              <w:rPr>
                <w:rFonts w:ascii="Arial" w:hAnsi="Arial" w:cs="Arial"/>
                <w:b/>
                <w:sz w:val="18"/>
                <w:szCs w:val="18"/>
                <w:lang w:val="de-DE"/>
              </w:rPr>
            </w:pPr>
          </w:p>
        </w:tc>
      </w:tr>
      <w:tr w:rsidR="0090662F" w:rsidTr="00122ED3">
        <w:trPr>
          <w:jc w:val="center"/>
        </w:trPr>
        <w:tc>
          <w:tcPr>
            <w:tcW w:w="9502" w:type="dxa"/>
            <w:gridSpan w:val="6"/>
            <w:vAlign w:val="center"/>
          </w:tcPr>
          <w:p w:rsidR="006E0551" w:rsidRDefault="006E0551" w:rsidP="002C594D">
            <w:pPr>
              <w:jc w:val="center"/>
              <w:rPr>
                <w:rFonts w:ascii="Arial" w:hAnsi="Arial" w:cs="Arial"/>
                <w:b/>
                <w:sz w:val="18"/>
                <w:szCs w:val="18"/>
                <w:lang w:val="de-DE"/>
              </w:rPr>
            </w:pPr>
          </w:p>
          <w:p w:rsidR="0090662F" w:rsidRDefault="0090662F" w:rsidP="002C594D">
            <w:pPr>
              <w:jc w:val="center"/>
              <w:rPr>
                <w:rFonts w:ascii="Arial" w:hAnsi="Arial" w:cs="Arial"/>
                <w:b/>
                <w:sz w:val="18"/>
                <w:szCs w:val="18"/>
                <w:lang w:val="de-DE"/>
              </w:rPr>
            </w:pPr>
            <w:r>
              <w:rPr>
                <w:rFonts w:ascii="Arial" w:hAnsi="Arial" w:cs="Arial"/>
                <w:b/>
                <w:sz w:val="18"/>
                <w:szCs w:val="18"/>
                <w:lang w:val="de-DE"/>
              </w:rPr>
              <w:t>Conditional variance</w:t>
            </w:r>
            <w:r w:rsidRPr="009D3E6A">
              <w:rPr>
                <w:rFonts w:ascii="Arial" w:hAnsi="Arial" w:cs="Arial"/>
                <w:b/>
                <w:sz w:val="18"/>
                <w:szCs w:val="18"/>
                <w:lang w:val="de-DE"/>
              </w:rPr>
              <w:t xml:space="preserve"> equation:</w:t>
            </w:r>
          </w:p>
          <w:p w:rsidR="00F726D6" w:rsidRDefault="00F726D6" w:rsidP="002C594D">
            <w:pPr>
              <w:jc w:val="center"/>
              <w:rPr>
                <w:rFonts w:ascii="Arial" w:hAnsi="Arial" w:cs="Arial"/>
                <w:sz w:val="20"/>
                <w:szCs w:val="20"/>
                <w:lang w:val="de-DE"/>
              </w:rPr>
            </w:pPr>
          </w:p>
        </w:tc>
      </w:tr>
      <w:tr w:rsidR="00AF2496" w:rsidRPr="00A51255" w:rsidTr="00122ED3">
        <w:trPr>
          <w:jc w:val="center"/>
        </w:trPr>
        <w:tc>
          <w:tcPr>
            <w:tcW w:w="462" w:type="dxa"/>
            <w:vAlign w:val="center"/>
          </w:tcPr>
          <w:p w:rsidR="0090662F" w:rsidRPr="00A51255" w:rsidRDefault="00C65448" w:rsidP="002C594D">
            <w:pPr>
              <w:spacing w:line="360" w:lineRule="auto"/>
              <w:jc w:val="center"/>
              <w:rPr>
                <w:rFonts w:ascii="Arial" w:hAnsi="Arial" w:cs="Arial"/>
                <w:sz w:val="16"/>
                <w:szCs w:val="16"/>
                <w:lang w:val="de-DE"/>
              </w:rPr>
            </w:pPr>
            <w:r>
              <w:rPr>
                <w:rFonts w:ascii="Arial" w:hAnsi="Arial" w:cs="Arial"/>
                <w:sz w:val="16"/>
                <w:szCs w:val="16"/>
                <w:lang w:val="de-DE"/>
              </w:rPr>
              <w:t>(</w:t>
            </w:r>
            <w:r w:rsidR="0090662F">
              <w:rPr>
                <w:rFonts w:ascii="Arial" w:hAnsi="Arial" w:cs="Arial"/>
                <w:sz w:val="16"/>
                <w:szCs w:val="16"/>
                <w:lang w:val="de-DE"/>
              </w:rPr>
              <w:t>2)</w:t>
            </w:r>
          </w:p>
        </w:tc>
        <w:tc>
          <w:tcPr>
            <w:tcW w:w="2034" w:type="dxa"/>
            <w:vAlign w:val="center"/>
          </w:tcPr>
          <w:p w:rsidR="0090662F" w:rsidRPr="004F48F0" w:rsidRDefault="0090662F" w:rsidP="002C594D">
            <w:pPr>
              <w:jc w:val="center"/>
              <w:rPr>
                <w:rFonts w:ascii="Arial" w:hAnsi="Arial" w:cs="Arial"/>
                <w:b/>
                <w:sz w:val="18"/>
                <w:szCs w:val="18"/>
                <w:lang w:val="de-DE"/>
              </w:rPr>
            </w:pPr>
            <w:r w:rsidRPr="002163BB">
              <w:rPr>
                <w:rFonts w:ascii="Garamond" w:hAnsi="Garamond"/>
                <w:i/>
                <w:position w:val="-12"/>
                <w:lang w:val="de-DE"/>
              </w:rPr>
              <w:object w:dxaOrig="300" w:dyaOrig="400">
                <v:shape id="_x0000_i1083" type="#_x0000_t75" style="width:12.85pt;height:18pt" o:ole="">
                  <v:imagedata r:id="rId110" o:title=""/>
                </v:shape>
                <o:OLEObject Type="Embed" ProgID="Equation.3" ShapeID="_x0000_i1083" DrawAspect="Content" ObjectID="_1507543430" r:id="rId111"/>
              </w:object>
            </w:r>
          </w:p>
        </w:tc>
        <w:tc>
          <w:tcPr>
            <w:tcW w:w="1831" w:type="dxa"/>
            <w:vAlign w:val="center"/>
          </w:tcPr>
          <w:p w:rsidR="0090662F" w:rsidRPr="00A51255" w:rsidRDefault="0090662F" w:rsidP="002C594D">
            <w:pPr>
              <w:jc w:val="center"/>
              <w:rPr>
                <w:rFonts w:ascii="Arial" w:hAnsi="Arial" w:cs="Arial"/>
                <w:sz w:val="20"/>
                <w:szCs w:val="20"/>
                <w:lang w:val="de-DE"/>
              </w:rPr>
            </w:pPr>
            <w:r w:rsidRPr="003D2F66">
              <w:rPr>
                <w:rFonts w:ascii="Arial" w:hAnsi="Arial" w:cs="Arial"/>
                <w:sz w:val="20"/>
                <w:szCs w:val="20"/>
                <w:lang w:val="de-DE"/>
              </w:rPr>
              <w:t>0.337711</w:t>
            </w:r>
            <w:r>
              <w:rPr>
                <w:rFonts w:ascii="Arial" w:hAnsi="Arial" w:cs="Arial"/>
                <w:sz w:val="20"/>
                <w:szCs w:val="20"/>
                <w:lang w:val="de-DE"/>
              </w:rPr>
              <w:t xml:space="preserve"> **</w:t>
            </w:r>
          </w:p>
          <w:p w:rsidR="0090662F" w:rsidRPr="00A51255" w:rsidRDefault="0090662F" w:rsidP="002C594D">
            <w:pPr>
              <w:jc w:val="center"/>
              <w:rPr>
                <w:lang w:val="en-US"/>
              </w:rPr>
            </w:pPr>
            <w:r>
              <w:rPr>
                <w:rFonts w:ascii="Arial" w:hAnsi="Arial" w:cs="Arial"/>
                <w:sz w:val="16"/>
                <w:szCs w:val="16"/>
                <w:lang w:val="de-DE"/>
              </w:rPr>
              <w:t>(</w:t>
            </w:r>
            <w:r w:rsidRPr="003D2F66">
              <w:rPr>
                <w:rFonts w:ascii="Arial" w:hAnsi="Arial" w:cs="Arial"/>
                <w:sz w:val="16"/>
                <w:szCs w:val="16"/>
                <w:lang w:val="de-DE"/>
              </w:rPr>
              <w:t>0.150453</w:t>
            </w:r>
            <w:r w:rsidRPr="00A51255">
              <w:rPr>
                <w:rFonts w:ascii="Arial" w:hAnsi="Arial" w:cs="Arial"/>
                <w:sz w:val="16"/>
                <w:szCs w:val="16"/>
                <w:lang w:val="de-DE"/>
              </w:rPr>
              <w:t>)</w:t>
            </w:r>
          </w:p>
        </w:tc>
        <w:tc>
          <w:tcPr>
            <w:tcW w:w="1712" w:type="dxa"/>
            <w:vAlign w:val="center"/>
          </w:tcPr>
          <w:p w:rsidR="0090662F" w:rsidRPr="00A51255" w:rsidRDefault="0090662F" w:rsidP="002C594D">
            <w:pPr>
              <w:jc w:val="center"/>
              <w:rPr>
                <w:rFonts w:ascii="Arial" w:hAnsi="Arial" w:cs="Arial"/>
                <w:sz w:val="20"/>
                <w:szCs w:val="20"/>
                <w:lang w:val="de-DE"/>
              </w:rPr>
            </w:pPr>
            <w:r w:rsidRPr="00D864D4">
              <w:rPr>
                <w:rFonts w:ascii="Arial" w:hAnsi="Arial" w:cs="Arial"/>
                <w:sz w:val="20"/>
                <w:szCs w:val="20"/>
                <w:lang w:val="de-DE"/>
              </w:rPr>
              <w:t>0.334222</w:t>
            </w:r>
            <w:r>
              <w:rPr>
                <w:rFonts w:ascii="Arial" w:hAnsi="Arial" w:cs="Arial"/>
                <w:sz w:val="20"/>
                <w:szCs w:val="20"/>
                <w:lang w:val="de-DE"/>
              </w:rPr>
              <w:t xml:space="preserve"> ***</w:t>
            </w:r>
          </w:p>
          <w:p w:rsidR="0090662F" w:rsidRPr="00A51255" w:rsidRDefault="0090662F" w:rsidP="002C594D">
            <w:pPr>
              <w:jc w:val="center"/>
              <w:rPr>
                <w:lang w:val="en-US"/>
              </w:rPr>
            </w:pPr>
            <w:r>
              <w:rPr>
                <w:rFonts w:ascii="Arial" w:hAnsi="Arial" w:cs="Arial"/>
                <w:sz w:val="16"/>
                <w:szCs w:val="16"/>
                <w:lang w:val="de-DE"/>
              </w:rPr>
              <w:t>(</w:t>
            </w:r>
            <w:r w:rsidRPr="00D864D4">
              <w:rPr>
                <w:rFonts w:ascii="Arial" w:hAnsi="Arial" w:cs="Arial"/>
                <w:sz w:val="16"/>
                <w:szCs w:val="16"/>
                <w:lang w:val="de-DE"/>
              </w:rPr>
              <w:t>0.041169</w:t>
            </w:r>
            <w:r w:rsidRPr="00A51255">
              <w:rPr>
                <w:rFonts w:ascii="Arial" w:hAnsi="Arial" w:cs="Arial"/>
                <w:sz w:val="16"/>
                <w:szCs w:val="16"/>
                <w:lang w:val="de-DE"/>
              </w:rPr>
              <w:t>)</w:t>
            </w:r>
          </w:p>
        </w:tc>
        <w:tc>
          <w:tcPr>
            <w:tcW w:w="1736" w:type="dxa"/>
            <w:vAlign w:val="center"/>
          </w:tcPr>
          <w:p w:rsidR="0090662F" w:rsidRPr="00A51255" w:rsidRDefault="0090662F" w:rsidP="002C594D">
            <w:pPr>
              <w:jc w:val="center"/>
              <w:rPr>
                <w:rFonts w:ascii="Arial" w:hAnsi="Arial" w:cs="Arial"/>
                <w:sz w:val="20"/>
                <w:szCs w:val="20"/>
                <w:lang w:val="de-DE"/>
              </w:rPr>
            </w:pPr>
            <w:r w:rsidRPr="004A2323">
              <w:rPr>
                <w:rFonts w:ascii="Arial" w:hAnsi="Arial" w:cs="Arial"/>
                <w:sz w:val="20"/>
                <w:szCs w:val="20"/>
                <w:lang w:val="de-DE"/>
              </w:rPr>
              <w:t>0.233439</w:t>
            </w:r>
            <w:r>
              <w:rPr>
                <w:rFonts w:ascii="Arial" w:hAnsi="Arial" w:cs="Arial"/>
                <w:sz w:val="20"/>
                <w:szCs w:val="20"/>
                <w:lang w:val="de-DE"/>
              </w:rPr>
              <w:t xml:space="preserve"> ***</w:t>
            </w:r>
          </w:p>
          <w:p w:rsidR="0090662F" w:rsidRPr="00A51255" w:rsidRDefault="0090662F" w:rsidP="002C594D">
            <w:pPr>
              <w:jc w:val="center"/>
              <w:rPr>
                <w:lang w:val="en-US"/>
              </w:rPr>
            </w:pPr>
            <w:r>
              <w:rPr>
                <w:rFonts w:ascii="Arial" w:hAnsi="Arial" w:cs="Arial"/>
                <w:sz w:val="16"/>
                <w:szCs w:val="16"/>
                <w:lang w:val="de-DE"/>
              </w:rPr>
              <w:t>(</w:t>
            </w:r>
            <w:r w:rsidRPr="004A2323">
              <w:rPr>
                <w:rFonts w:ascii="Arial" w:hAnsi="Arial" w:cs="Arial"/>
                <w:sz w:val="16"/>
                <w:szCs w:val="16"/>
                <w:lang w:val="de-DE"/>
              </w:rPr>
              <w:t>0.042042</w:t>
            </w:r>
            <w:r w:rsidRPr="00A51255">
              <w:rPr>
                <w:rFonts w:ascii="Arial" w:hAnsi="Arial" w:cs="Arial"/>
                <w:sz w:val="16"/>
                <w:szCs w:val="16"/>
                <w:lang w:val="de-DE"/>
              </w:rPr>
              <w:t>)</w:t>
            </w:r>
          </w:p>
        </w:tc>
        <w:tc>
          <w:tcPr>
            <w:tcW w:w="1727" w:type="dxa"/>
            <w:vAlign w:val="center"/>
          </w:tcPr>
          <w:p w:rsidR="0090662F" w:rsidRPr="00A51255" w:rsidRDefault="0090662F" w:rsidP="002C594D">
            <w:pPr>
              <w:jc w:val="center"/>
              <w:rPr>
                <w:rFonts w:ascii="Arial" w:hAnsi="Arial" w:cs="Arial"/>
                <w:sz w:val="20"/>
                <w:szCs w:val="20"/>
                <w:lang w:val="de-DE"/>
              </w:rPr>
            </w:pPr>
            <w:r w:rsidRPr="00F0708A">
              <w:rPr>
                <w:rFonts w:ascii="Arial" w:hAnsi="Arial" w:cs="Arial"/>
                <w:sz w:val="20"/>
                <w:szCs w:val="20"/>
                <w:lang w:val="de-DE"/>
              </w:rPr>
              <w:t>0.339365</w:t>
            </w:r>
            <w:r>
              <w:rPr>
                <w:rFonts w:ascii="Arial" w:hAnsi="Arial" w:cs="Arial"/>
                <w:sz w:val="20"/>
                <w:szCs w:val="20"/>
                <w:lang w:val="de-DE"/>
              </w:rPr>
              <w:t xml:space="preserve"> ***</w:t>
            </w:r>
          </w:p>
          <w:p w:rsidR="0090662F" w:rsidRPr="00A51255" w:rsidRDefault="0090662F" w:rsidP="002C594D">
            <w:pPr>
              <w:jc w:val="center"/>
              <w:rPr>
                <w:lang w:val="en-US"/>
              </w:rPr>
            </w:pPr>
            <w:r>
              <w:rPr>
                <w:rFonts w:ascii="Arial" w:hAnsi="Arial" w:cs="Arial"/>
                <w:sz w:val="16"/>
                <w:szCs w:val="16"/>
                <w:lang w:val="de-DE"/>
              </w:rPr>
              <w:t>(</w:t>
            </w:r>
            <w:r w:rsidRPr="0063403E">
              <w:rPr>
                <w:rFonts w:ascii="Arial" w:hAnsi="Arial" w:cs="Arial"/>
                <w:sz w:val="16"/>
                <w:szCs w:val="16"/>
                <w:lang w:val="de-DE"/>
              </w:rPr>
              <w:t>0.039561</w:t>
            </w:r>
            <w:r w:rsidRPr="00A51255">
              <w:rPr>
                <w:rFonts w:ascii="Arial" w:hAnsi="Arial" w:cs="Arial"/>
                <w:sz w:val="16"/>
                <w:szCs w:val="16"/>
                <w:lang w:val="de-DE"/>
              </w:rPr>
              <w:t>)</w:t>
            </w:r>
          </w:p>
        </w:tc>
      </w:tr>
      <w:tr w:rsidR="00AF2496" w:rsidRPr="00A51255" w:rsidTr="00122ED3">
        <w:trPr>
          <w:jc w:val="center"/>
        </w:trPr>
        <w:tc>
          <w:tcPr>
            <w:tcW w:w="462" w:type="dxa"/>
            <w:vAlign w:val="center"/>
          </w:tcPr>
          <w:p w:rsidR="0090662F" w:rsidRPr="00A51255" w:rsidRDefault="00C65448" w:rsidP="002C594D">
            <w:pPr>
              <w:spacing w:line="360" w:lineRule="auto"/>
              <w:jc w:val="center"/>
              <w:rPr>
                <w:rFonts w:ascii="Arial" w:hAnsi="Arial" w:cs="Arial"/>
                <w:lang w:val="en-US"/>
              </w:rPr>
            </w:pPr>
            <w:r>
              <w:rPr>
                <w:rFonts w:ascii="Arial" w:hAnsi="Arial" w:cs="Arial"/>
                <w:sz w:val="16"/>
                <w:szCs w:val="16"/>
                <w:lang w:val="de-DE"/>
              </w:rPr>
              <w:t>(</w:t>
            </w:r>
            <w:r w:rsidR="0090662F">
              <w:rPr>
                <w:rFonts w:ascii="Arial" w:hAnsi="Arial" w:cs="Arial"/>
                <w:sz w:val="16"/>
                <w:szCs w:val="16"/>
                <w:lang w:val="de-DE"/>
              </w:rPr>
              <w:t>2)</w:t>
            </w:r>
          </w:p>
        </w:tc>
        <w:tc>
          <w:tcPr>
            <w:tcW w:w="2034" w:type="dxa"/>
            <w:vAlign w:val="center"/>
          </w:tcPr>
          <w:p w:rsidR="0090662F" w:rsidRPr="004F48F0" w:rsidRDefault="0090662F" w:rsidP="002C594D">
            <w:pPr>
              <w:jc w:val="center"/>
              <w:rPr>
                <w:rFonts w:ascii="Arial" w:hAnsi="Arial" w:cs="Arial"/>
                <w:b/>
                <w:sz w:val="18"/>
                <w:szCs w:val="18"/>
                <w:lang w:val="de-DE"/>
              </w:rPr>
            </w:pPr>
            <w:r w:rsidRPr="00B3604A">
              <w:rPr>
                <w:rFonts w:ascii="Garamond" w:hAnsi="Garamond"/>
                <w:i/>
                <w:position w:val="-10"/>
                <w:lang w:val="de-DE"/>
              </w:rPr>
              <w:object w:dxaOrig="279" w:dyaOrig="380">
                <v:shape id="_x0000_i1084" type="#_x0000_t75" style="width:11.55pt;height:16.7pt" o:ole="">
                  <v:imagedata r:id="rId112" o:title=""/>
                </v:shape>
                <o:OLEObject Type="Embed" ProgID="Equation.3" ShapeID="_x0000_i1084" DrawAspect="Content" ObjectID="_1507543431" r:id="rId113"/>
              </w:object>
            </w:r>
          </w:p>
        </w:tc>
        <w:tc>
          <w:tcPr>
            <w:tcW w:w="1831" w:type="dxa"/>
            <w:vAlign w:val="center"/>
          </w:tcPr>
          <w:p w:rsidR="0090662F" w:rsidRPr="00A51255" w:rsidRDefault="0090662F" w:rsidP="002C594D">
            <w:pPr>
              <w:jc w:val="center"/>
              <w:rPr>
                <w:rFonts w:ascii="Arial" w:hAnsi="Arial" w:cs="Arial"/>
                <w:sz w:val="20"/>
                <w:szCs w:val="20"/>
                <w:lang w:val="de-DE"/>
              </w:rPr>
            </w:pPr>
            <w:r w:rsidRPr="00EC5806">
              <w:rPr>
                <w:rFonts w:ascii="Arial" w:hAnsi="Arial" w:cs="Arial"/>
                <w:sz w:val="20"/>
                <w:szCs w:val="20"/>
                <w:lang w:val="de-DE"/>
              </w:rPr>
              <w:t>0.053279</w:t>
            </w:r>
          </w:p>
          <w:p w:rsidR="0090662F" w:rsidRPr="00A51255" w:rsidRDefault="0090662F" w:rsidP="002C594D">
            <w:pPr>
              <w:jc w:val="center"/>
              <w:rPr>
                <w:lang w:val="en-US"/>
              </w:rPr>
            </w:pPr>
            <w:r>
              <w:rPr>
                <w:rFonts w:ascii="Arial" w:hAnsi="Arial" w:cs="Arial"/>
                <w:sz w:val="16"/>
                <w:szCs w:val="16"/>
                <w:lang w:val="de-DE"/>
              </w:rPr>
              <w:t>(</w:t>
            </w:r>
            <w:r w:rsidRPr="00EC5806">
              <w:rPr>
                <w:rFonts w:ascii="Arial" w:hAnsi="Arial" w:cs="Arial"/>
                <w:sz w:val="16"/>
                <w:szCs w:val="16"/>
                <w:lang w:val="de-DE"/>
              </w:rPr>
              <w:t>0.050794</w:t>
            </w:r>
            <w:r w:rsidRPr="00A51255">
              <w:rPr>
                <w:rFonts w:ascii="Arial" w:hAnsi="Arial" w:cs="Arial"/>
                <w:sz w:val="16"/>
                <w:szCs w:val="16"/>
                <w:lang w:val="de-DE"/>
              </w:rPr>
              <w:t>)</w:t>
            </w:r>
          </w:p>
        </w:tc>
        <w:tc>
          <w:tcPr>
            <w:tcW w:w="1712" w:type="dxa"/>
            <w:vAlign w:val="center"/>
          </w:tcPr>
          <w:p w:rsidR="0090662F" w:rsidRPr="00A51255" w:rsidRDefault="0090662F" w:rsidP="002C594D">
            <w:pPr>
              <w:jc w:val="center"/>
              <w:rPr>
                <w:rFonts w:ascii="Arial" w:hAnsi="Arial" w:cs="Arial"/>
                <w:sz w:val="20"/>
                <w:szCs w:val="20"/>
                <w:lang w:val="de-DE"/>
              </w:rPr>
            </w:pPr>
            <w:r w:rsidRPr="00D864D4">
              <w:rPr>
                <w:rFonts w:ascii="Arial" w:hAnsi="Arial" w:cs="Arial"/>
                <w:sz w:val="20"/>
                <w:szCs w:val="20"/>
                <w:lang w:val="de-DE"/>
              </w:rPr>
              <w:t>0.057582</w:t>
            </w:r>
          </w:p>
          <w:p w:rsidR="0090662F" w:rsidRPr="00A51255" w:rsidRDefault="0090662F" w:rsidP="002C594D">
            <w:pPr>
              <w:jc w:val="center"/>
              <w:rPr>
                <w:lang w:val="en-US"/>
              </w:rPr>
            </w:pPr>
            <w:r>
              <w:rPr>
                <w:rFonts w:ascii="Arial" w:hAnsi="Arial" w:cs="Arial"/>
                <w:sz w:val="16"/>
                <w:szCs w:val="16"/>
                <w:lang w:val="de-DE"/>
              </w:rPr>
              <w:t>(</w:t>
            </w:r>
            <w:r w:rsidRPr="00D864D4">
              <w:rPr>
                <w:rFonts w:ascii="Arial" w:hAnsi="Arial" w:cs="Arial"/>
                <w:sz w:val="16"/>
                <w:szCs w:val="16"/>
                <w:lang w:val="de-DE"/>
              </w:rPr>
              <w:t>0.057029</w:t>
            </w:r>
            <w:r w:rsidRPr="00A51255">
              <w:rPr>
                <w:rFonts w:ascii="Arial" w:hAnsi="Arial" w:cs="Arial"/>
                <w:sz w:val="16"/>
                <w:szCs w:val="16"/>
                <w:lang w:val="de-DE"/>
              </w:rPr>
              <w:t>)</w:t>
            </w:r>
          </w:p>
        </w:tc>
        <w:tc>
          <w:tcPr>
            <w:tcW w:w="1736" w:type="dxa"/>
            <w:vAlign w:val="center"/>
          </w:tcPr>
          <w:p w:rsidR="0090662F" w:rsidRPr="00A51255" w:rsidRDefault="0090662F" w:rsidP="002C594D">
            <w:pPr>
              <w:jc w:val="center"/>
              <w:rPr>
                <w:rFonts w:ascii="Arial" w:hAnsi="Arial" w:cs="Arial"/>
                <w:sz w:val="20"/>
                <w:szCs w:val="20"/>
                <w:lang w:val="de-DE"/>
              </w:rPr>
            </w:pPr>
            <w:r w:rsidRPr="007A37BD">
              <w:rPr>
                <w:rFonts w:ascii="Arial" w:hAnsi="Arial" w:cs="Arial"/>
                <w:sz w:val="20"/>
                <w:szCs w:val="20"/>
                <w:lang w:val="de-DE"/>
              </w:rPr>
              <w:t>0.065978</w:t>
            </w:r>
          </w:p>
          <w:p w:rsidR="0090662F" w:rsidRPr="00A51255" w:rsidRDefault="0090662F" w:rsidP="002C594D">
            <w:pPr>
              <w:jc w:val="center"/>
              <w:rPr>
                <w:lang w:val="en-US"/>
              </w:rPr>
            </w:pPr>
            <w:r>
              <w:rPr>
                <w:rFonts w:ascii="Arial" w:hAnsi="Arial" w:cs="Arial"/>
                <w:sz w:val="16"/>
                <w:szCs w:val="16"/>
                <w:lang w:val="de-DE"/>
              </w:rPr>
              <w:t>(</w:t>
            </w:r>
            <w:r w:rsidRPr="007A37BD">
              <w:rPr>
                <w:rFonts w:ascii="Arial" w:hAnsi="Arial" w:cs="Arial"/>
                <w:sz w:val="16"/>
                <w:szCs w:val="16"/>
                <w:lang w:val="de-DE"/>
              </w:rPr>
              <w:t>0.050088</w:t>
            </w:r>
            <w:r w:rsidRPr="00A51255">
              <w:rPr>
                <w:rFonts w:ascii="Arial" w:hAnsi="Arial" w:cs="Arial"/>
                <w:sz w:val="16"/>
                <w:szCs w:val="16"/>
                <w:lang w:val="de-DE"/>
              </w:rPr>
              <w:t>)</w:t>
            </w:r>
          </w:p>
        </w:tc>
        <w:tc>
          <w:tcPr>
            <w:tcW w:w="1727" w:type="dxa"/>
            <w:vAlign w:val="center"/>
          </w:tcPr>
          <w:p w:rsidR="0090662F" w:rsidRPr="00A51255" w:rsidRDefault="0090662F" w:rsidP="002C594D">
            <w:pPr>
              <w:jc w:val="center"/>
              <w:rPr>
                <w:rFonts w:ascii="Arial" w:hAnsi="Arial" w:cs="Arial"/>
                <w:sz w:val="20"/>
                <w:szCs w:val="20"/>
                <w:lang w:val="de-DE"/>
              </w:rPr>
            </w:pPr>
            <w:r w:rsidRPr="0043695D">
              <w:rPr>
                <w:rFonts w:ascii="Arial" w:hAnsi="Arial" w:cs="Arial"/>
                <w:sz w:val="20"/>
                <w:szCs w:val="20"/>
                <w:lang w:val="de-DE"/>
              </w:rPr>
              <w:t>0.062433</w:t>
            </w:r>
          </w:p>
          <w:p w:rsidR="0090662F" w:rsidRPr="00A51255" w:rsidRDefault="0090662F" w:rsidP="002C594D">
            <w:pPr>
              <w:jc w:val="center"/>
              <w:rPr>
                <w:lang w:val="en-US"/>
              </w:rPr>
            </w:pPr>
            <w:r>
              <w:rPr>
                <w:rFonts w:ascii="Arial" w:hAnsi="Arial" w:cs="Arial"/>
                <w:sz w:val="16"/>
                <w:szCs w:val="16"/>
                <w:lang w:val="de-DE"/>
              </w:rPr>
              <w:t>(</w:t>
            </w:r>
            <w:r w:rsidRPr="0043695D">
              <w:rPr>
                <w:rFonts w:ascii="Arial" w:hAnsi="Arial" w:cs="Arial"/>
                <w:sz w:val="16"/>
                <w:szCs w:val="16"/>
                <w:lang w:val="de-DE"/>
              </w:rPr>
              <w:t>0.047513</w:t>
            </w:r>
            <w:r w:rsidRPr="00A51255">
              <w:rPr>
                <w:rFonts w:ascii="Arial" w:hAnsi="Arial" w:cs="Arial"/>
                <w:sz w:val="16"/>
                <w:szCs w:val="16"/>
                <w:lang w:val="de-DE"/>
              </w:rPr>
              <w:t>)</w:t>
            </w:r>
          </w:p>
        </w:tc>
      </w:tr>
      <w:tr w:rsidR="00AF2496" w:rsidRPr="00A51255" w:rsidTr="00122ED3">
        <w:trPr>
          <w:jc w:val="center"/>
        </w:trPr>
        <w:tc>
          <w:tcPr>
            <w:tcW w:w="462" w:type="dxa"/>
            <w:vAlign w:val="center"/>
          </w:tcPr>
          <w:p w:rsidR="0090662F" w:rsidRPr="00A51255" w:rsidRDefault="00C65448" w:rsidP="002C594D">
            <w:pPr>
              <w:spacing w:line="360" w:lineRule="auto"/>
              <w:jc w:val="center"/>
              <w:rPr>
                <w:rFonts w:ascii="Arial" w:hAnsi="Arial" w:cs="Arial"/>
                <w:lang w:val="en-US"/>
              </w:rPr>
            </w:pPr>
            <w:r>
              <w:rPr>
                <w:rFonts w:ascii="Arial" w:hAnsi="Arial" w:cs="Arial"/>
                <w:sz w:val="16"/>
                <w:szCs w:val="16"/>
                <w:lang w:val="de-DE"/>
              </w:rPr>
              <w:t>(</w:t>
            </w:r>
            <w:r w:rsidR="0090662F">
              <w:rPr>
                <w:rFonts w:ascii="Arial" w:hAnsi="Arial" w:cs="Arial"/>
                <w:sz w:val="16"/>
                <w:szCs w:val="16"/>
                <w:lang w:val="de-DE"/>
              </w:rPr>
              <w:t>2)</w:t>
            </w:r>
          </w:p>
        </w:tc>
        <w:tc>
          <w:tcPr>
            <w:tcW w:w="2034" w:type="dxa"/>
            <w:vAlign w:val="center"/>
          </w:tcPr>
          <w:p w:rsidR="0090662F" w:rsidRPr="004F48F0" w:rsidRDefault="0090662F" w:rsidP="002C594D">
            <w:pPr>
              <w:jc w:val="center"/>
              <w:rPr>
                <w:rFonts w:ascii="Arial" w:hAnsi="Arial" w:cs="Arial"/>
                <w:b/>
                <w:sz w:val="18"/>
                <w:szCs w:val="18"/>
                <w:lang w:val="de-DE"/>
              </w:rPr>
            </w:pPr>
            <w:r w:rsidRPr="002C5A6B">
              <w:rPr>
                <w:rFonts w:ascii="Garamond" w:hAnsi="Garamond"/>
                <w:i/>
                <w:position w:val="-10"/>
                <w:lang w:val="de-DE"/>
              </w:rPr>
              <w:object w:dxaOrig="300" w:dyaOrig="380">
                <v:shape id="_x0000_i1085" type="#_x0000_t75" style="width:12.85pt;height:16.7pt" o:ole="">
                  <v:imagedata r:id="rId114" o:title=""/>
                </v:shape>
                <o:OLEObject Type="Embed" ProgID="Equation.3" ShapeID="_x0000_i1085" DrawAspect="Content" ObjectID="_1507543432" r:id="rId115"/>
              </w:object>
            </w:r>
          </w:p>
        </w:tc>
        <w:tc>
          <w:tcPr>
            <w:tcW w:w="1831" w:type="dxa"/>
            <w:vAlign w:val="center"/>
          </w:tcPr>
          <w:p w:rsidR="0090662F" w:rsidRPr="00A51255" w:rsidRDefault="0090662F" w:rsidP="002C594D">
            <w:pPr>
              <w:jc w:val="center"/>
              <w:rPr>
                <w:rFonts w:ascii="Arial" w:hAnsi="Arial" w:cs="Arial"/>
                <w:sz w:val="20"/>
                <w:szCs w:val="20"/>
                <w:lang w:val="de-DE"/>
              </w:rPr>
            </w:pPr>
            <w:r w:rsidRPr="00EC5806">
              <w:rPr>
                <w:rFonts w:ascii="Arial" w:hAnsi="Arial" w:cs="Arial"/>
                <w:sz w:val="20"/>
                <w:szCs w:val="20"/>
                <w:lang w:val="de-DE"/>
              </w:rPr>
              <w:t>0.289662</w:t>
            </w:r>
          </w:p>
          <w:p w:rsidR="0090662F" w:rsidRPr="00A51255" w:rsidRDefault="0090662F" w:rsidP="002C594D">
            <w:pPr>
              <w:jc w:val="center"/>
              <w:rPr>
                <w:lang w:val="en-US"/>
              </w:rPr>
            </w:pPr>
            <w:r>
              <w:rPr>
                <w:rFonts w:ascii="Arial" w:hAnsi="Arial" w:cs="Arial"/>
                <w:sz w:val="16"/>
                <w:szCs w:val="16"/>
                <w:lang w:val="de-DE"/>
              </w:rPr>
              <w:t>(</w:t>
            </w:r>
            <w:r w:rsidRPr="00EC5806">
              <w:rPr>
                <w:rFonts w:ascii="Arial" w:hAnsi="Arial" w:cs="Arial"/>
                <w:sz w:val="16"/>
                <w:szCs w:val="16"/>
                <w:lang w:val="de-DE"/>
              </w:rPr>
              <w:t>0.186281</w:t>
            </w:r>
            <w:r w:rsidRPr="00A51255">
              <w:rPr>
                <w:rFonts w:ascii="Arial" w:hAnsi="Arial" w:cs="Arial"/>
                <w:sz w:val="16"/>
                <w:szCs w:val="16"/>
                <w:lang w:val="de-DE"/>
              </w:rPr>
              <w:t>)</w:t>
            </w:r>
          </w:p>
        </w:tc>
        <w:tc>
          <w:tcPr>
            <w:tcW w:w="1712" w:type="dxa"/>
            <w:vAlign w:val="center"/>
          </w:tcPr>
          <w:p w:rsidR="0090662F" w:rsidRPr="00A51255" w:rsidRDefault="0090662F" w:rsidP="002C594D">
            <w:pPr>
              <w:jc w:val="center"/>
              <w:rPr>
                <w:lang w:val="en-US"/>
              </w:rPr>
            </w:pPr>
            <w:r>
              <w:rPr>
                <w:lang w:val="en-US"/>
              </w:rPr>
              <w:t>-</w:t>
            </w:r>
          </w:p>
        </w:tc>
        <w:tc>
          <w:tcPr>
            <w:tcW w:w="1736" w:type="dxa"/>
            <w:vAlign w:val="center"/>
          </w:tcPr>
          <w:p w:rsidR="0090662F" w:rsidRPr="00A51255" w:rsidRDefault="0090662F" w:rsidP="002C594D">
            <w:pPr>
              <w:jc w:val="center"/>
              <w:rPr>
                <w:lang w:val="en-US"/>
              </w:rPr>
            </w:pPr>
            <w:r>
              <w:rPr>
                <w:rFonts w:ascii="Arial" w:hAnsi="Arial" w:cs="Arial"/>
                <w:sz w:val="20"/>
                <w:szCs w:val="20"/>
                <w:lang w:val="de-DE"/>
              </w:rPr>
              <w:t>-</w:t>
            </w:r>
          </w:p>
        </w:tc>
        <w:tc>
          <w:tcPr>
            <w:tcW w:w="1727" w:type="dxa"/>
            <w:vAlign w:val="center"/>
          </w:tcPr>
          <w:p w:rsidR="0090662F" w:rsidRPr="00A51255" w:rsidRDefault="0090662F" w:rsidP="002C594D">
            <w:pPr>
              <w:jc w:val="center"/>
              <w:rPr>
                <w:lang w:val="en-US"/>
              </w:rPr>
            </w:pPr>
            <w:r>
              <w:rPr>
                <w:lang w:val="en-US"/>
              </w:rPr>
              <w:t>-</w:t>
            </w:r>
          </w:p>
        </w:tc>
      </w:tr>
      <w:tr w:rsidR="00AF2496" w:rsidRPr="00A51255" w:rsidTr="00122ED3">
        <w:trPr>
          <w:jc w:val="center"/>
        </w:trPr>
        <w:tc>
          <w:tcPr>
            <w:tcW w:w="462" w:type="dxa"/>
            <w:vAlign w:val="center"/>
          </w:tcPr>
          <w:p w:rsidR="0090662F" w:rsidRPr="00A51255" w:rsidRDefault="00C65448" w:rsidP="002C594D">
            <w:pPr>
              <w:spacing w:line="360" w:lineRule="auto"/>
              <w:jc w:val="center"/>
              <w:rPr>
                <w:rFonts w:ascii="Arial" w:hAnsi="Arial" w:cs="Arial"/>
                <w:lang w:val="en-US"/>
              </w:rPr>
            </w:pPr>
            <w:r>
              <w:rPr>
                <w:rFonts w:ascii="Arial" w:hAnsi="Arial" w:cs="Arial"/>
                <w:sz w:val="16"/>
                <w:szCs w:val="16"/>
                <w:lang w:val="de-DE"/>
              </w:rPr>
              <w:t>(</w:t>
            </w:r>
            <w:r w:rsidR="0090662F">
              <w:rPr>
                <w:rFonts w:ascii="Arial" w:hAnsi="Arial" w:cs="Arial"/>
                <w:sz w:val="16"/>
                <w:szCs w:val="16"/>
                <w:lang w:val="de-DE"/>
              </w:rPr>
              <w:t>2)</w:t>
            </w:r>
          </w:p>
        </w:tc>
        <w:tc>
          <w:tcPr>
            <w:tcW w:w="2034" w:type="dxa"/>
            <w:vAlign w:val="center"/>
          </w:tcPr>
          <w:p w:rsidR="0090662F" w:rsidRPr="004F48F0" w:rsidRDefault="0090662F" w:rsidP="002C594D">
            <w:pPr>
              <w:jc w:val="center"/>
              <w:rPr>
                <w:rFonts w:ascii="Arial" w:hAnsi="Arial" w:cs="Arial"/>
                <w:b/>
                <w:sz w:val="18"/>
                <w:szCs w:val="18"/>
                <w:lang w:val="de-DE"/>
              </w:rPr>
            </w:pPr>
            <w:r w:rsidRPr="002C5A6B">
              <w:rPr>
                <w:rFonts w:ascii="Garamond" w:hAnsi="Garamond"/>
                <w:i/>
                <w:position w:val="-12"/>
                <w:lang w:val="de-DE"/>
              </w:rPr>
              <w:object w:dxaOrig="300" w:dyaOrig="400">
                <v:shape id="_x0000_i1086" type="#_x0000_t75" style="width:12.85pt;height:18pt" o:ole="">
                  <v:imagedata r:id="rId116" o:title=""/>
                </v:shape>
                <o:OLEObject Type="Embed" ProgID="Equation.3" ShapeID="_x0000_i1086" DrawAspect="Content" ObjectID="_1507543433" r:id="rId117"/>
              </w:object>
            </w:r>
          </w:p>
        </w:tc>
        <w:tc>
          <w:tcPr>
            <w:tcW w:w="1831" w:type="dxa"/>
            <w:vAlign w:val="center"/>
          </w:tcPr>
          <w:p w:rsidR="0090662F" w:rsidRPr="00A51255" w:rsidRDefault="0090662F" w:rsidP="002C594D">
            <w:pPr>
              <w:jc w:val="center"/>
              <w:rPr>
                <w:rFonts w:ascii="Arial" w:hAnsi="Arial" w:cs="Arial"/>
                <w:sz w:val="20"/>
                <w:szCs w:val="20"/>
                <w:lang w:val="de-DE"/>
              </w:rPr>
            </w:pPr>
            <w:r>
              <w:rPr>
                <w:rFonts w:ascii="Arial" w:hAnsi="Arial" w:cs="Arial"/>
                <w:sz w:val="20"/>
                <w:szCs w:val="20"/>
                <w:lang w:val="de-DE"/>
              </w:rPr>
              <w:t>0.000095</w:t>
            </w:r>
          </w:p>
          <w:p w:rsidR="0090662F" w:rsidRPr="00A51255" w:rsidRDefault="0090662F" w:rsidP="002C594D">
            <w:pPr>
              <w:jc w:val="center"/>
              <w:rPr>
                <w:lang w:val="en-US"/>
              </w:rPr>
            </w:pPr>
            <w:r>
              <w:rPr>
                <w:rFonts w:ascii="Arial" w:hAnsi="Arial" w:cs="Arial"/>
                <w:sz w:val="16"/>
                <w:szCs w:val="16"/>
                <w:lang w:val="de-DE"/>
              </w:rPr>
              <w:t>(</w:t>
            </w:r>
            <w:r w:rsidRPr="00EC5806">
              <w:rPr>
                <w:rFonts w:ascii="Arial" w:hAnsi="Arial" w:cs="Arial"/>
                <w:sz w:val="16"/>
                <w:szCs w:val="16"/>
                <w:lang w:val="de-DE"/>
              </w:rPr>
              <w:t>0.000269</w:t>
            </w:r>
            <w:r w:rsidRPr="00A51255">
              <w:rPr>
                <w:rFonts w:ascii="Arial" w:hAnsi="Arial" w:cs="Arial"/>
                <w:sz w:val="16"/>
                <w:szCs w:val="16"/>
                <w:lang w:val="de-DE"/>
              </w:rPr>
              <w:t>)</w:t>
            </w:r>
          </w:p>
        </w:tc>
        <w:tc>
          <w:tcPr>
            <w:tcW w:w="1712" w:type="dxa"/>
            <w:vAlign w:val="center"/>
          </w:tcPr>
          <w:p w:rsidR="0090662F" w:rsidRPr="00A51255" w:rsidRDefault="0090662F" w:rsidP="002C594D">
            <w:pPr>
              <w:jc w:val="center"/>
              <w:rPr>
                <w:rFonts w:ascii="Arial" w:hAnsi="Arial" w:cs="Arial"/>
                <w:sz w:val="20"/>
                <w:szCs w:val="20"/>
                <w:lang w:val="de-DE"/>
              </w:rPr>
            </w:pPr>
            <w:r w:rsidRPr="00836FE4">
              <w:rPr>
                <w:rFonts w:ascii="Arial" w:hAnsi="Arial" w:cs="Arial"/>
                <w:sz w:val="20"/>
                <w:szCs w:val="20"/>
                <w:lang w:val="de-DE"/>
              </w:rPr>
              <w:t>0.000222</w:t>
            </w:r>
          </w:p>
          <w:p w:rsidR="0090662F" w:rsidRPr="00A51255" w:rsidRDefault="0090662F" w:rsidP="002C594D">
            <w:pPr>
              <w:jc w:val="center"/>
              <w:rPr>
                <w:lang w:val="en-US"/>
              </w:rPr>
            </w:pPr>
            <w:r>
              <w:rPr>
                <w:rFonts w:ascii="Arial" w:hAnsi="Arial" w:cs="Arial"/>
                <w:sz w:val="16"/>
                <w:szCs w:val="16"/>
                <w:lang w:val="de-DE"/>
              </w:rPr>
              <w:t>(</w:t>
            </w:r>
            <w:r w:rsidRPr="00836FE4">
              <w:rPr>
                <w:rFonts w:ascii="Arial" w:hAnsi="Arial" w:cs="Arial"/>
                <w:sz w:val="16"/>
                <w:szCs w:val="16"/>
                <w:lang w:val="de-DE"/>
              </w:rPr>
              <w:t>0.001539</w:t>
            </w:r>
            <w:r w:rsidRPr="00A51255">
              <w:rPr>
                <w:rFonts w:ascii="Arial" w:hAnsi="Arial" w:cs="Arial"/>
                <w:sz w:val="16"/>
                <w:szCs w:val="16"/>
                <w:lang w:val="de-DE"/>
              </w:rPr>
              <w:t>)</w:t>
            </w:r>
          </w:p>
        </w:tc>
        <w:tc>
          <w:tcPr>
            <w:tcW w:w="1736" w:type="dxa"/>
            <w:vAlign w:val="center"/>
          </w:tcPr>
          <w:p w:rsidR="0090662F" w:rsidRPr="00A51255" w:rsidRDefault="0090662F" w:rsidP="002C594D">
            <w:pPr>
              <w:jc w:val="center"/>
              <w:rPr>
                <w:rFonts w:ascii="Arial" w:hAnsi="Arial" w:cs="Arial"/>
                <w:sz w:val="20"/>
                <w:szCs w:val="20"/>
                <w:lang w:val="de-DE"/>
              </w:rPr>
            </w:pPr>
            <w:r w:rsidRPr="00FF1720">
              <w:rPr>
                <w:rFonts w:ascii="Arial" w:hAnsi="Arial" w:cs="Arial"/>
                <w:sz w:val="20"/>
                <w:szCs w:val="20"/>
                <w:lang w:val="de-DE"/>
              </w:rPr>
              <w:t>0.000982</w:t>
            </w:r>
          </w:p>
          <w:p w:rsidR="0090662F" w:rsidRPr="00A51255" w:rsidRDefault="0090662F" w:rsidP="002C594D">
            <w:pPr>
              <w:jc w:val="center"/>
              <w:rPr>
                <w:lang w:val="en-US"/>
              </w:rPr>
            </w:pPr>
            <w:r>
              <w:rPr>
                <w:rFonts w:ascii="Arial" w:hAnsi="Arial" w:cs="Arial"/>
                <w:sz w:val="16"/>
                <w:szCs w:val="16"/>
                <w:lang w:val="de-DE"/>
              </w:rPr>
              <w:t>(</w:t>
            </w:r>
            <w:r w:rsidRPr="00FF1720">
              <w:rPr>
                <w:rFonts w:ascii="Arial" w:hAnsi="Arial" w:cs="Arial"/>
                <w:sz w:val="16"/>
                <w:szCs w:val="16"/>
                <w:lang w:val="de-DE"/>
              </w:rPr>
              <w:t>0.001528</w:t>
            </w:r>
            <w:r w:rsidRPr="00A51255">
              <w:rPr>
                <w:rFonts w:ascii="Arial" w:hAnsi="Arial" w:cs="Arial"/>
                <w:sz w:val="16"/>
                <w:szCs w:val="16"/>
                <w:lang w:val="de-DE"/>
              </w:rPr>
              <w:t>)</w:t>
            </w:r>
          </w:p>
        </w:tc>
        <w:tc>
          <w:tcPr>
            <w:tcW w:w="1727" w:type="dxa"/>
            <w:vAlign w:val="center"/>
          </w:tcPr>
          <w:p w:rsidR="0090662F" w:rsidRPr="00A51255" w:rsidRDefault="0090662F" w:rsidP="002C594D">
            <w:pPr>
              <w:jc w:val="center"/>
              <w:rPr>
                <w:rFonts w:ascii="Arial" w:hAnsi="Arial" w:cs="Arial"/>
                <w:sz w:val="20"/>
                <w:szCs w:val="20"/>
                <w:lang w:val="de-DE"/>
              </w:rPr>
            </w:pPr>
            <w:r w:rsidRPr="00F617E5">
              <w:rPr>
                <w:rFonts w:ascii="Arial" w:hAnsi="Arial" w:cs="Arial"/>
                <w:sz w:val="20"/>
                <w:szCs w:val="20"/>
                <w:lang w:val="de-DE"/>
              </w:rPr>
              <w:t>0.000285</w:t>
            </w:r>
          </w:p>
          <w:p w:rsidR="0090662F" w:rsidRPr="00A51255" w:rsidRDefault="0090662F" w:rsidP="002C594D">
            <w:pPr>
              <w:jc w:val="center"/>
              <w:rPr>
                <w:lang w:val="en-US"/>
              </w:rPr>
            </w:pPr>
            <w:r>
              <w:rPr>
                <w:rFonts w:ascii="Arial" w:hAnsi="Arial" w:cs="Arial"/>
                <w:sz w:val="16"/>
                <w:szCs w:val="16"/>
                <w:lang w:val="de-DE"/>
              </w:rPr>
              <w:t>(</w:t>
            </w:r>
            <w:r w:rsidRPr="00F617E5">
              <w:rPr>
                <w:rFonts w:ascii="Arial" w:hAnsi="Arial" w:cs="Arial"/>
                <w:sz w:val="16"/>
                <w:szCs w:val="16"/>
                <w:lang w:val="de-DE"/>
              </w:rPr>
              <w:t>0.001299</w:t>
            </w:r>
            <w:r w:rsidRPr="00A51255">
              <w:rPr>
                <w:rFonts w:ascii="Arial" w:hAnsi="Arial" w:cs="Arial"/>
                <w:sz w:val="16"/>
                <w:szCs w:val="16"/>
                <w:lang w:val="de-DE"/>
              </w:rPr>
              <w:t>)</w:t>
            </w:r>
          </w:p>
        </w:tc>
      </w:tr>
      <w:tr w:rsidR="00AF2496" w:rsidRPr="00647145" w:rsidTr="00122ED3">
        <w:trPr>
          <w:jc w:val="center"/>
        </w:trPr>
        <w:tc>
          <w:tcPr>
            <w:tcW w:w="462" w:type="dxa"/>
            <w:vAlign w:val="center"/>
          </w:tcPr>
          <w:p w:rsidR="008C4FCD" w:rsidRPr="00DC1EA3" w:rsidRDefault="008C4FCD" w:rsidP="008055CD">
            <w:pPr>
              <w:spacing w:line="360" w:lineRule="auto"/>
              <w:jc w:val="center"/>
              <w:rPr>
                <w:rFonts w:ascii="Arial" w:hAnsi="Arial" w:cs="Arial"/>
                <w:sz w:val="16"/>
                <w:szCs w:val="16"/>
                <w:lang w:val="en-GB"/>
              </w:rPr>
            </w:pPr>
          </w:p>
        </w:tc>
        <w:tc>
          <w:tcPr>
            <w:tcW w:w="2034" w:type="dxa"/>
            <w:vAlign w:val="center"/>
          </w:tcPr>
          <w:p w:rsidR="008C4FCD" w:rsidRPr="00DC1EA3" w:rsidRDefault="008C4FCD" w:rsidP="008055CD">
            <w:pPr>
              <w:jc w:val="center"/>
              <w:rPr>
                <w:rFonts w:ascii="Arial" w:hAnsi="Arial" w:cs="Arial"/>
                <w:b/>
                <w:sz w:val="18"/>
                <w:szCs w:val="18"/>
                <w:lang w:val="en-GB"/>
              </w:rPr>
            </w:pPr>
            <w:r w:rsidRPr="00DC1EA3">
              <w:rPr>
                <w:rFonts w:ascii="Arial" w:hAnsi="Arial" w:cs="Arial"/>
                <w:b/>
                <w:sz w:val="18"/>
                <w:szCs w:val="18"/>
                <w:lang w:val="en-GB"/>
              </w:rPr>
              <w:t>Unexpected announcement:</w:t>
            </w:r>
          </w:p>
        </w:tc>
        <w:tc>
          <w:tcPr>
            <w:tcW w:w="1831" w:type="dxa"/>
            <w:vAlign w:val="center"/>
          </w:tcPr>
          <w:p w:rsidR="008C4FCD" w:rsidRPr="00DC1EA3" w:rsidRDefault="008C4FCD" w:rsidP="008055CD">
            <w:pPr>
              <w:jc w:val="center"/>
              <w:rPr>
                <w:rFonts w:ascii="Arial" w:hAnsi="Arial" w:cs="Arial"/>
                <w:b/>
                <w:sz w:val="18"/>
                <w:szCs w:val="18"/>
                <w:lang w:val="en-GB"/>
              </w:rPr>
            </w:pPr>
            <w:r w:rsidRPr="00DC1EA3">
              <w:rPr>
                <w:rFonts w:ascii="Arial" w:hAnsi="Arial" w:cs="Arial"/>
                <w:b/>
                <w:sz w:val="18"/>
                <w:szCs w:val="18"/>
                <w:lang w:val="en-GB"/>
              </w:rPr>
              <w:t>Money Supply</w:t>
            </w:r>
          </w:p>
          <w:p w:rsidR="008C4FCD" w:rsidRPr="00DC1EA3" w:rsidRDefault="008C4FCD" w:rsidP="008055CD">
            <w:pPr>
              <w:jc w:val="center"/>
              <w:rPr>
                <w:rFonts w:ascii="Arial" w:hAnsi="Arial" w:cs="Arial"/>
                <w:b/>
                <w:sz w:val="2"/>
                <w:szCs w:val="2"/>
                <w:lang w:val="en-GB"/>
              </w:rPr>
            </w:pPr>
          </w:p>
          <w:p w:rsidR="008C4FCD" w:rsidRPr="00DC1EA3" w:rsidRDefault="008C4FCD" w:rsidP="008055CD">
            <w:pPr>
              <w:jc w:val="center"/>
              <w:rPr>
                <w:rFonts w:ascii="Arial" w:hAnsi="Arial" w:cs="Arial"/>
                <w:b/>
                <w:sz w:val="20"/>
                <w:szCs w:val="20"/>
                <w:lang w:val="en-GB"/>
              </w:rPr>
            </w:pPr>
            <w:r w:rsidRPr="00DC1EA3">
              <w:rPr>
                <w:b/>
                <w:sz w:val="20"/>
                <w:szCs w:val="20"/>
                <w:lang w:val="en-GB"/>
              </w:rPr>
              <w:t>(</w:t>
            </w:r>
            <w:r w:rsidRPr="00DC1EA3">
              <w:rPr>
                <w:b/>
                <w:i/>
                <w:sz w:val="20"/>
                <w:szCs w:val="20"/>
                <w:lang w:val="en-GB"/>
              </w:rPr>
              <w:t>MS</w:t>
            </w:r>
            <w:r w:rsidRPr="00DC1EA3">
              <w:rPr>
                <w:b/>
                <w:sz w:val="20"/>
                <w:szCs w:val="20"/>
                <w:lang w:val="en-GB"/>
              </w:rPr>
              <w:t>)</w:t>
            </w:r>
          </w:p>
        </w:tc>
        <w:tc>
          <w:tcPr>
            <w:tcW w:w="1712" w:type="dxa"/>
            <w:vAlign w:val="center"/>
          </w:tcPr>
          <w:p w:rsidR="008C4FCD" w:rsidRPr="00DC1EA3" w:rsidRDefault="008C4FCD" w:rsidP="008055CD">
            <w:pPr>
              <w:jc w:val="center"/>
              <w:rPr>
                <w:rFonts w:ascii="Arial" w:hAnsi="Arial" w:cs="Arial"/>
                <w:b/>
                <w:sz w:val="18"/>
                <w:szCs w:val="18"/>
                <w:lang w:val="en-GB"/>
              </w:rPr>
            </w:pPr>
            <w:r w:rsidRPr="00DC1EA3">
              <w:rPr>
                <w:rFonts w:ascii="Arial" w:hAnsi="Arial" w:cs="Arial"/>
                <w:b/>
                <w:sz w:val="18"/>
                <w:szCs w:val="18"/>
                <w:lang w:val="en-GB"/>
              </w:rPr>
              <w:t>Reserve Money</w:t>
            </w:r>
          </w:p>
          <w:p w:rsidR="008C4FCD" w:rsidRPr="00DC1EA3" w:rsidRDefault="008C4FCD" w:rsidP="008055CD">
            <w:pPr>
              <w:jc w:val="center"/>
              <w:rPr>
                <w:rFonts w:ascii="Arial" w:hAnsi="Arial" w:cs="Arial"/>
                <w:b/>
                <w:sz w:val="2"/>
                <w:szCs w:val="2"/>
                <w:lang w:val="en-GB"/>
              </w:rPr>
            </w:pPr>
          </w:p>
          <w:p w:rsidR="008C4FCD" w:rsidRPr="004F48F0" w:rsidRDefault="008C4FCD" w:rsidP="008055CD">
            <w:pPr>
              <w:jc w:val="center"/>
              <w:rPr>
                <w:b/>
                <w:i/>
                <w:sz w:val="20"/>
                <w:szCs w:val="20"/>
                <w:lang w:val="en-US"/>
              </w:rPr>
            </w:pPr>
            <w:r w:rsidRPr="009F1BCD">
              <w:rPr>
                <w:b/>
                <w:sz w:val="20"/>
                <w:szCs w:val="20"/>
                <w:lang w:val="en-US"/>
              </w:rPr>
              <w:t>(</w:t>
            </w:r>
            <w:r w:rsidRPr="004F48F0">
              <w:rPr>
                <w:b/>
                <w:i/>
                <w:sz w:val="20"/>
                <w:szCs w:val="20"/>
                <w:lang w:val="en-US"/>
              </w:rPr>
              <w:t>RM</w:t>
            </w:r>
            <w:r w:rsidRPr="009F1BCD">
              <w:rPr>
                <w:b/>
                <w:sz w:val="20"/>
                <w:szCs w:val="20"/>
                <w:lang w:val="en-US"/>
              </w:rPr>
              <w:t>)</w:t>
            </w:r>
          </w:p>
        </w:tc>
        <w:tc>
          <w:tcPr>
            <w:tcW w:w="1736" w:type="dxa"/>
            <w:vAlign w:val="center"/>
          </w:tcPr>
          <w:p w:rsidR="008C4FCD" w:rsidRPr="00DC1EA3" w:rsidRDefault="008C4FCD" w:rsidP="008055CD">
            <w:pPr>
              <w:jc w:val="center"/>
              <w:rPr>
                <w:rFonts w:ascii="Arial" w:hAnsi="Arial" w:cs="Arial"/>
                <w:b/>
                <w:sz w:val="18"/>
                <w:szCs w:val="18"/>
                <w:lang w:val="en-GB"/>
              </w:rPr>
            </w:pPr>
            <w:r w:rsidRPr="00DC1EA3">
              <w:rPr>
                <w:rFonts w:ascii="Arial" w:hAnsi="Arial" w:cs="Arial"/>
                <w:b/>
                <w:sz w:val="18"/>
                <w:szCs w:val="18"/>
                <w:lang w:val="en-GB"/>
              </w:rPr>
              <w:t>Balance of Payments</w:t>
            </w:r>
          </w:p>
          <w:p w:rsidR="008C4FCD" w:rsidRPr="00CA2C53" w:rsidRDefault="008C4FCD" w:rsidP="008055CD">
            <w:pPr>
              <w:jc w:val="center"/>
              <w:rPr>
                <w:b/>
                <w:i/>
                <w:sz w:val="2"/>
                <w:szCs w:val="2"/>
                <w:lang w:val="en-US"/>
              </w:rPr>
            </w:pPr>
          </w:p>
          <w:p w:rsidR="008C4FCD" w:rsidRPr="004F48F0" w:rsidRDefault="008C4FCD" w:rsidP="008055CD">
            <w:pPr>
              <w:jc w:val="center"/>
              <w:rPr>
                <w:b/>
                <w:i/>
                <w:sz w:val="20"/>
                <w:szCs w:val="20"/>
                <w:lang w:val="en-US"/>
              </w:rPr>
            </w:pPr>
            <w:r w:rsidRPr="009F1BCD">
              <w:rPr>
                <w:b/>
                <w:sz w:val="20"/>
                <w:szCs w:val="20"/>
                <w:lang w:val="en-US"/>
              </w:rPr>
              <w:t>(</w:t>
            </w:r>
            <w:r w:rsidRPr="004F48F0">
              <w:rPr>
                <w:b/>
                <w:i/>
                <w:sz w:val="20"/>
                <w:szCs w:val="20"/>
                <w:lang w:val="en-US"/>
              </w:rPr>
              <w:t>BOP</w:t>
            </w:r>
            <w:r w:rsidRPr="009F1BCD">
              <w:rPr>
                <w:b/>
                <w:sz w:val="20"/>
                <w:szCs w:val="20"/>
                <w:lang w:val="en-US"/>
              </w:rPr>
              <w:t>)</w:t>
            </w:r>
          </w:p>
        </w:tc>
        <w:tc>
          <w:tcPr>
            <w:tcW w:w="1727" w:type="dxa"/>
            <w:vAlign w:val="center"/>
          </w:tcPr>
          <w:p w:rsidR="008C4FCD" w:rsidRPr="009F1BCD" w:rsidRDefault="008C4FCD" w:rsidP="00EF2553">
            <w:pPr>
              <w:jc w:val="center"/>
              <w:rPr>
                <w:b/>
                <w:i/>
                <w:sz w:val="20"/>
                <w:szCs w:val="20"/>
                <w:lang w:val="en-US"/>
              </w:rPr>
            </w:pPr>
            <w:r w:rsidRPr="00DC1EA3">
              <w:rPr>
                <w:rFonts w:ascii="Arial" w:hAnsi="Arial" w:cs="Arial"/>
                <w:b/>
                <w:sz w:val="18"/>
                <w:szCs w:val="18"/>
                <w:lang w:val="en-GB"/>
              </w:rPr>
              <w:t>Liquid Assets and</w:t>
            </w:r>
            <w:r w:rsidR="00EF2553">
              <w:rPr>
                <w:rFonts w:ascii="Arial" w:hAnsi="Arial" w:cs="Arial"/>
                <w:b/>
                <w:sz w:val="18"/>
                <w:szCs w:val="18"/>
                <w:lang w:val="en-GB"/>
              </w:rPr>
              <w:t xml:space="preserve"> </w:t>
            </w:r>
            <w:r w:rsidRPr="00DC1EA3">
              <w:rPr>
                <w:rFonts w:ascii="Arial" w:hAnsi="Arial" w:cs="Arial"/>
                <w:b/>
                <w:sz w:val="18"/>
                <w:szCs w:val="18"/>
                <w:lang w:val="en-GB"/>
              </w:rPr>
              <w:t>Liabilities (</w:t>
            </w:r>
            <w:r w:rsidRPr="009F1BCD">
              <w:rPr>
                <w:b/>
                <w:i/>
                <w:sz w:val="20"/>
                <w:szCs w:val="20"/>
                <w:lang w:val="en-US"/>
              </w:rPr>
              <w:t>AL</w:t>
            </w:r>
            <w:r w:rsidRPr="009F1BCD">
              <w:rPr>
                <w:b/>
                <w:sz w:val="20"/>
                <w:szCs w:val="20"/>
                <w:lang w:val="en-US"/>
              </w:rPr>
              <w:t>)</w:t>
            </w:r>
          </w:p>
        </w:tc>
      </w:tr>
      <w:tr w:rsidR="00AF2496" w:rsidRPr="00A51255" w:rsidTr="00122ED3">
        <w:trPr>
          <w:jc w:val="center"/>
        </w:trPr>
        <w:tc>
          <w:tcPr>
            <w:tcW w:w="462" w:type="dxa"/>
            <w:vAlign w:val="center"/>
          </w:tcPr>
          <w:p w:rsidR="008C4FCD" w:rsidRPr="00A51255" w:rsidRDefault="00C65448" w:rsidP="008055CD">
            <w:pPr>
              <w:spacing w:line="360" w:lineRule="auto"/>
              <w:jc w:val="center"/>
              <w:rPr>
                <w:rFonts w:ascii="Arial" w:hAnsi="Arial" w:cs="Arial"/>
                <w:sz w:val="16"/>
                <w:szCs w:val="16"/>
                <w:lang w:val="de-DE"/>
              </w:rPr>
            </w:pPr>
            <w:r>
              <w:rPr>
                <w:rFonts w:ascii="Arial" w:hAnsi="Arial" w:cs="Arial"/>
                <w:sz w:val="16"/>
                <w:szCs w:val="16"/>
                <w:lang w:val="de-DE"/>
              </w:rPr>
              <w:t>(</w:t>
            </w:r>
            <w:r w:rsidR="008C4FCD">
              <w:rPr>
                <w:rFonts w:ascii="Arial" w:hAnsi="Arial" w:cs="Arial"/>
                <w:sz w:val="16"/>
                <w:szCs w:val="16"/>
                <w:lang w:val="de-DE"/>
              </w:rPr>
              <w:t>2)</w:t>
            </w:r>
          </w:p>
        </w:tc>
        <w:tc>
          <w:tcPr>
            <w:tcW w:w="2034" w:type="dxa"/>
            <w:vAlign w:val="center"/>
          </w:tcPr>
          <w:p w:rsidR="000701C4" w:rsidRDefault="008C4FCD" w:rsidP="000701C4">
            <w:pPr>
              <w:ind w:left="105"/>
              <w:jc w:val="center"/>
              <w:rPr>
                <w:rFonts w:ascii="Garamond" w:hAnsi="Garamond"/>
                <w:lang w:val="de-DE"/>
              </w:rPr>
            </w:pPr>
            <w:r w:rsidRPr="002C5A6B">
              <w:rPr>
                <w:rFonts w:ascii="Garamond" w:hAnsi="Garamond"/>
                <w:i/>
                <w:position w:val="-10"/>
                <w:lang w:val="de-DE"/>
              </w:rPr>
              <w:object w:dxaOrig="300" w:dyaOrig="380">
                <v:shape id="_x0000_i1087" type="#_x0000_t75" style="width:12.85pt;height:16.7pt" o:ole="">
                  <v:imagedata r:id="rId118" o:title=""/>
                </v:shape>
                <o:OLEObject Type="Embed" ProgID="Equation.3" ShapeID="_x0000_i1087" DrawAspect="Content" ObjectID="_1507543434" r:id="rId119"/>
              </w:object>
            </w:r>
          </w:p>
          <w:p w:rsidR="008C4FCD" w:rsidRPr="0007792B" w:rsidRDefault="008C4FCD" w:rsidP="000701C4">
            <w:pPr>
              <w:ind w:left="105"/>
              <w:jc w:val="center"/>
              <w:rPr>
                <w:b/>
                <w:sz w:val="18"/>
                <w:szCs w:val="18"/>
                <w:lang w:val="de-DE"/>
              </w:rPr>
            </w:pPr>
            <w:r>
              <w:rPr>
                <w:rFonts w:ascii="Arial" w:hAnsi="Arial" w:cs="Arial"/>
                <w:b/>
                <w:sz w:val="18"/>
                <w:szCs w:val="18"/>
                <w:lang w:val="de-DE"/>
              </w:rPr>
              <w:t xml:space="preserve">strongly </w:t>
            </w:r>
            <w:r w:rsidRPr="004F48F0">
              <w:rPr>
                <w:rFonts w:ascii="Arial" w:hAnsi="Arial" w:cs="Arial"/>
                <w:b/>
                <w:sz w:val="18"/>
                <w:szCs w:val="18"/>
                <w:lang w:val="de-DE"/>
              </w:rPr>
              <w:t>positive</w:t>
            </w:r>
          </w:p>
        </w:tc>
        <w:tc>
          <w:tcPr>
            <w:tcW w:w="1831" w:type="dxa"/>
            <w:vAlign w:val="center"/>
          </w:tcPr>
          <w:p w:rsidR="008C4FCD" w:rsidRPr="00A51255" w:rsidRDefault="00EF7B34" w:rsidP="008055CD">
            <w:pPr>
              <w:jc w:val="center"/>
              <w:rPr>
                <w:rFonts w:ascii="Arial" w:hAnsi="Arial" w:cs="Arial"/>
                <w:sz w:val="20"/>
                <w:szCs w:val="20"/>
                <w:lang w:val="de-DE"/>
              </w:rPr>
            </w:pPr>
            <w:r w:rsidRPr="00EF7B34">
              <w:rPr>
                <w:rFonts w:ascii="Arial" w:hAnsi="Arial" w:cs="Arial"/>
                <w:sz w:val="20"/>
                <w:szCs w:val="20"/>
                <w:lang w:val="de-DE"/>
              </w:rPr>
              <w:t>-0.304042</w:t>
            </w:r>
            <w:r>
              <w:rPr>
                <w:rFonts w:ascii="Arial" w:hAnsi="Arial" w:cs="Arial"/>
                <w:sz w:val="20"/>
                <w:szCs w:val="20"/>
                <w:lang w:val="de-DE"/>
              </w:rPr>
              <w:t xml:space="preserve"> ***</w:t>
            </w:r>
          </w:p>
          <w:p w:rsidR="008C4FCD" w:rsidRPr="00A51255" w:rsidRDefault="008C4FCD" w:rsidP="008055CD">
            <w:pPr>
              <w:jc w:val="center"/>
              <w:rPr>
                <w:lang w:val="en-US"/>
              </w:rPr>
            </w:pPr>
            <w:r>
              <w:rPr>
                <w:rFonts w:ascii="Arial" w:hAnsi="Arial" w:cs="Arial"/>
                <w:sz w:val="16"/>
                <w:szCs w:val="16"/>
                <w:lang w:val="de-DE"/>
              </w:rPr>
              <w:t>(</w:t>
            </w:r>
            <w:r w:rsidR="00EF7B34" w:rsidRPr="00EF7B34">
              <w:rPr>
                <w:rFonts w:ascii="Arial" w:hAnsi="Arial" w:cs="Arial"/>
                <w:sz w:val="16"/>
                <w:szCs w:val="16"/>
                <w:lang w:val="de-DE"/>
              </w:rPr>
              <w:t>0.105862</w:t>
            </w:r>
            <w:r w:rsidRPr="00A51255">
              <w:rPr>
                <w:rFonts w:ascii="Arial" w:hAnsi="Arial" w:cs="Arial"/>
                <w:sz w:val="16"/>
                <w:szCs w:val="16"/>
                <w:lang w:val="de-DE"/>
              </w:rPr>
              <w:t>)</w:t>
            </w:r>
          </w:p>
        </w:tc>
        <w:tc>
          <w:tcPr>
            <w:tcW w:w="1712" w:type="dxa"/>
            <w:vAlign w:val="center"/>
          </w:tcPr>
          <w:p w:rsidR="008C4FCD" w:rsidRPr="00A51255" w:rsidRDefault="00DA5A98" w:rsidP="008055CD">
            <w:pPr>
              <w:jc w:val="center"/>
              <w:rPr>
                <w:rFonts w:ascii="Arial" w:hAnsi="Arial" w:cs="Arial"/>
                <w:sz w:val="20"/>
                <w:szCs w:val="20"/>
                <w:lang w:val="de-DE"/>
              </w:rPr>
            </w:pPr>
            <w:r w:rsidRPr="00DA5A98">
              <w:rPr>
                <w:rFonts w:ascii="Arial" w:hAnsi="Arial" w:cs="Arial"/>
                <w:sz w:val="20"/>
                <w:szCs w:val="20"/>
                <w:lang w:val="de-DE"/>
              </w:rPr>
              <w:t>-0.223573</w:t>
            </w:r>
            <w:r>
              <w:rPr>
                <w:rFonts w:ascii="Arial" w:hAnsi="Arial" w:cs="Arial"/>
                <w:sz w:val="20"/>
                <w:szCs w:val="20"/>
                <w:lang w:val="de-DE"/>
              </w:rPr>
              <w:t xml:space="preserve"> ***</w:t>
            </w:r>
          </w:p>
          <w:p w:rsidR="008C4FCD" w:rsidRPr="00A51255" w:rsidRDefault="008C4FCD" w:rsidP="008055CD">
            <w:pPr>
              <w:jc w:val="center"/>
              <w:rPr>
                <w:lang w:val="en-US"/>
              </w:rPr>
            </w:pPr>
            <w:r>
              <w:rPr>
                <w:rFonts w:ascii="Arial" w:hAnsi="Arial" w:cs="Arial"/>
                <w:sz w:val="16"/>
                <w:szCs w:val="16"/>
                <w:lang w:val="de-DE"/>
              </w:rPr>
              <w:t>(</w:t>
            </w:r>
            <w:r w:rsidR="00DA5A98" w:rsidRPr="00DA5A98">
              <w:rPr>
                <w:rFonts w:ascii="Arial" w:hAnsi="Arial" w:cs="Arial"/>
                <w:sz w:val="16"/>
                <w:szCs w:val="16"/>
                <w:lang w:val="de-DE"/>
              </w:rPr>
              <w:t>0.079967</w:t>
            </w:r>
            <w:r w:rsidRPr="00A51255">
              <w:rPr>
                <w:rFonts w:ascii="Arial" w:hAnsi="Arial" w:cs="Arial"/>
                <w:sz w:val="16"/>
                <w:szCs w:val="16"/>
                <w:lang w:val="de-DE"/>
              </w:rPr>
              <w:t>)</w:t>
            </w:r>
          </w:p>
        </w:tc>
        <w:tc>
          <w:tcPr>
            <w:tcW w:w="1736" w:type="dxa"/>
            <w:vAlign w:val="center"/>
          </w:tcPr>
          <w:p w:rsidR="008C4FCD" w:rsidRPr="00A51255" w:rsidRDefault="006659A4" w:rsidP="008055CD">
            <w:pPr>
              <w:jc w:val="center"/>
              <w:rPr>
                <w:rFonts w:ascii="Arial" w:hAnsi="Arial" w:cs="Arial"/>
                <w:sz w:val="20"/>
                <w:szCs w:val="20"/>
                <w:lang w:val="de-DE"/>
              </w:rPr>
            </w:pPr>
            <w:r w:rsidRPr="006659A4">
              <w:rPr>
                <w:rFonts w:ascii="Arial" w:hAnsi="Arial" w:cs="Arial"/>
                <w:sz w:val="20"/>
                <w:szCs w:val="20"/>
                <w:lang w:val="de-DE"/>
              </w:rPr>
              <w:t>-0.235666</w:t>
            </w:r>
            <w:r>
              <w:rPr>
                <w:rFonts w:ascii="Arial" w:hAnsi="Arial" w:cs="Arial"/>
                <w:sz w:val="20"/>
                <w:szCs w:val="20"/>
                <w:lang w:val="de-DE"/>
              </w:rPr>
              <w:t xml:space="preserve"> ***</w:t>
            </w:r>
          </w:p>
          <w:p w:rsidR="008C4FCD" w:rsidRPr="00A51255" w:rsidRDefault="008C4FCD" w:rsidP="008055CD">
            <w:pPr>
              <w:jc w:val="center"/>
              <w:rPr>
                <w:lang w:val="en-US"/>
              </w:rPr>
            </w:pPr>
            <w:r>
              <w:rPr>
                <w:rFonts w:ascii="Arial" w:hAnsi="Arial" w:cs="Arial"/>
                <w:sz w:val="16"/>
                <w:szCs w:val="16"/>
                <w:lang w:val="de-DE"/>
              </w:rPr>
              <w:t>(</w:t>
            </w:r>
            <w:r w:rsidR="00AE0577" w:rsidRPr="00AE0577">
              <w:rPr>
                <w:rFonts w:ascii="Arial" w:hAnsi="Arial" w:cs="Arial"/>
                <w:sz w:val="16"/>
                <w:szCs w:val="16"/>
                <w:lang w:val="de-DE"/>
              </w:rPr>
              <w:t>0.041044</w:t>
            </w:r>
            <w:r w:rsidRPr="00A51255">
              <w:rPr>
                <w:rFonts w:ascii="Arial" w:hAnsi="Arial" w:cs="Arial"/>
                <w:sz w:val="16"/>
                <w:szCs w:val="16"/>
                <w:lang w:val="de-DE"/>
              </w:rPr>
              <w:t>)</w:t>
            </w:r>
          </w:p>
        </w:tc>
        <w:tc>
          <w:tcPr>
            <w:tcW w:w="1727" w:type="dxa"/>
            <w:vAlign w:val="center"/>
          </w:tcPr>
          <w:p w:rsidR="00B51643" w:rsidRDefault="00B51643" w:rsidP="008055CD">
            <w:pPr>
              <w:jc w:val="center"/>
              <w:rPr>
                <w:rFonts w:ascii="Arial" w:hAnsi="Arial" w:cs="Arial"/>
                <w:sz w:val="20"/>
                <w:szCs w:val="20"/>
                <w:lang w:val="de-DE"/>
              </w:rPr>
            </w:pPr>
            <w:r w:rsidRPr="00B51643">
              <w:rPr>
                <w:rFonts w:ascii="Arial" w:hAnsi="Arial" w:cs="Arial"/>
                <w:sz w:val="20"/>
                <w:szCs w:val="20"/>
                <w:lang w:val="de-DE"/>
              </w:rPr>
              <w:t>-0.361235</w:t>
            </w:r>
            <w:r>
              <w:rPr>
                <w:rFonts w:ascii="Arial" w:hAnsi="Arial" w:cs="Arial"/>
                <w:sz w:val="20"/>
                <w:szCs w:val="20"/>
                <w:lang w:val="de-DE"/>
              </w:rPr>
              <w:t xml:space="preserve"> ***</w:t>
            </w:r>
            <w:r w:rsidRPr="00B51643">
              <w:rPr>
                <w:rFonts w:ascii="Arial" w:hAnsi="Arial" w:cs="Arial"/>
                <w:sz w:val="20"/>
                <w:szCs w:val="20"/>
                <w:lang w:val="de-DE"/>
              </w:rPr>
              <w:t xml:space="preserve"> </w:t>
            </w:r>
          </w:p>
          <w:p w:rsidR="008C4FCD" w:rsidRPr="00A51255" w:rsidRDefault="008C4FCD" w:rsidP="008055CD">
            <w:pPr>
              <w:jc w:val="center"/>
              <w:rPr>
                <w:lang w:val="en-US"/>
              </w:rPr>
            </w:pPr>
            <w:r>
              <w:rPr>
                <w:rFonts w:ascii="Arial" w:hAnsi="Arial" w:cs="Arial"/>
                <w:sz w:val="16"/>
                <w:szCs w:val="16"/>
                <w:lang w:val="de-DE"/>
              </w:rPr>
              <w:t>(</w:t>
            </w:r>
            <w:r w:rsidR="00636041" w:rsidRPr="00636041">
              <w:rPr>
                <w:rFonts w:ascii="Arial" w:hAnsi="Arial" w:cs="Arial"/>
                <w:sz w:val="16"/>
                <w:szCs w:val="16"/>
                <w:lang w:val="de-DE"/>
              </w:rPr>
              <w:t>0.024896</w:t>
            </w:r>
            <w:r w:rsidRPr="00A51255">
              <w:rPr>
                <w:rFonts w:ascii="Arial" w:hAnsi="Arial" w:cs="Arial"/>
                <w:sz w:val="16"/>
                <w:szCs w:val="16"/>
                <w:lang w:val="de-DE"/>
              </w:rPr>
              <w:t>)</w:t>
            </w:r>
          </w:p>
        </w:tc>
      </w:tr>
      <w:tr w:rsidR="00AF2496" w:rsidRPr="00A51255" w:rsidTr="00122ED3">
        <w:trPr>
          <w:jc w:val="center"/>
        </w:trPr>
        <w:tc>
          <w:tcPr>
            <w:tcW w:w="462" w:type="dxa"/>
            <w:vAlign w:val="center"/>
          </w:tcPr>
          <w:p w:rsidR="008C4FCD" w:rsidRPr="00A51255" w:rsidRDefault="00C65448" w:rsidP="008055CD">
            <w:pPr>
              <w:spacing w:line="360" w:lineRule="auto"/>
              <w:jc w:val="center"/>
              <w:rPr>
                <w:rFonts w:ascii="Arial" w:hAnsi="Arial" w:cs="Arial"/>
                <w:sz w:val="16"/>
                <w:szCs w:val="16"/>
                <w:lang w:val="de-DE"/>
              </w:rPr>
            </w:pPr>
            <w:r>
              <w:rPr>
                <w:rFonts w:ascii="Arial" w:hAnsi="Arial" w:cs="Arial"/>
                <w:sz w:val="16"/>
                <w:szCs w:val="16"/>
                <w:lang w:val="de-DE"/>
              </w:rPr>
              <w:t>(</w:t>
            </w:r>
            <w:r w:rsidR="008C4FCD">
              <w:rPr>
                <w:rFonts w:ascii="Arial" w:hAnsi="Arial" w:cs="Arial"/>
                <w:sz w:val="16"/>
                <w:szCs w:val="16"/>
                <w:lang w:val="de-DE"/>
              </w:rPr>
              <w:t>2)</w:t>
            </w:r>
          </w:p>
        </w:tc>
        <w:tc>
          <w:tcPr>
            <w:tcW w:w="2034" w:type="dxa"/>
            <w:vAlign w:val="center"/>
          </w:tcPr>
          <w:p w:rsidR="000701C4" w:rsidRDefault="008C4FCD" w:rsidP="000701C4">
            <w:pPr>
              <w:ind w:left="105"/>
              <w:jc w:val="center"/>
              <w:rPr>
                <w:rFonts w:ascii="Garamond" w:hAnsi="Garamond"/>
                <w:i/>
                <w:lang w:val="de-DE"/>
              </w:rPr>
            </w:pPr>
            <w:r w:rsidRPr="002C5A6B">
              <w:rPr>
                <w:rFonts w:ascii="Garamond" w:hAnsi="Garamond"/>
                <w:i/>
                <w:position w:val="-12"/>
                <w:lang w:val="de-DE"/>
              </w:rPr>
              <w:object w:dxaOrig="300" w:dyaOrig="400">
                <v:shape id="_x0000_i1088" type="#_x0000_t75" style="width:12.85pt;height:18pt" o:ole="">
                  <v:imagedata r:id="rId120" o:title=""/>
                </v:shape>
                <o:OLEObject Type="Embed" ProgID="Equation.3" ShapeID="_x0000_i1088" DrawAspect="Content" ObjectID="_1507543435" r:id="rId121"/>
              </w:object>
            </w:r>
          </w:p>
          <w:p w:rsidR="008C4FCD" w:rsidRPr="0007792B" w:rsidRDefault="008C4FCD" w:rsidP="000701C4">
            <w:pPr>
              <w:ind w:left="105"/>
              <w:jc w:val="center"/>
              <w:rPr>
                <w:rFonts w:ascii="Arial" w:hAnsi="Arial" w:cs="Arial"/>
                <w:b/>
                <w:sz w:val="18"/>
                <w:szCs w:val="18"/>
                <w:lang w:val="de-DE"/>
              </w:rPr>
            </w:pPr>
            <w:r>
              <w:rPr>
                <w:rFonts w:ascii="Arial" w:hAnsi="Arial" w:cs="Arial"/>
                <w:b/>
                <w:sz w:val="18"/>
                <w:szCs w:val="18"/>
                <w:lang w:val="de-DE"/>
              </w:rPr>
              <w:t xml:space="preserve"> </w:t>
            </w:r>
            <w:r w:rsidR="009B50E4">
              <w:rPr>
                <w:rFonts w:ascii="Arial" w:hAnsi="Arial" w:cs="Arial"/>
                <w:b/>
                <w:sz w:val="18"/>
                <w:szCs w:val="18"/>
                <w:lang w:val="de-DE"/>
              </w:rPr>
              <w:t>P</w:t>
            </w:r>
            <w:r w:rsidRPr="004F48F0">
              <w:rPr>
                <w:rFonts w:ascii="Arial" w:hAnsi="Arial" w:cs="Arial"/>
                <w:b/>
                <w:sz w:val="18"/>
                <w:szCs w:val="18"/>
                <w:lang w:val="de-DE"/>
              </w:rPr>
              <w:t>ositive</w:t>
            </w:r>
          </w:p>
        </w:tc>
        <w:tc>
          <w:tcPr>
            <w:tcW w:w="1831" w:type="dxa"/>
            <w:vAlign w:val="center"/>
          </w:tcPr>
          <w:p w:rsidR="00EF7B34" w:rsidRDefault="00EF7B34" w:rsidP="008055CD">
            <w:pPr>
              <w:jc w:val="center"/>
              <w:rPr>
                <w:rFonts w:ascii="Arial" w:hAnsi="Arial" w:cs="Arial"/>
                <w:sz w:val="20"/>
                <w:szCs w:val="20"/>
                <w:lang w:val="de-DE"/>
              </w:rPr>
            </w:pPr>
            <w:r w:rsidRPr="00EF7B34">
              <w:rPr>
                <w:rFonts w:ascii="Arial" w:hAnsi="Arial" w:cs="Arial"/>
                <w:sz w:val="20"/>
                <w:szCs w:val="20"/>
                <w:lang w:val="de-DE"/>
              </w:rPr>
              <w:t>-0.289206</w:t>
            </w:r>
            <w:r>
              <w:rPr>
                <w:rFonts w:ascii="Arial" w:hAnsi="Arial" w:cs="Arial"/>
                <w:sz w:val="20"/>
                <w:szCs w:val="20"/>
                <w:lang w:val="de-DE"/>
              </w:rPr>
              <w:t xml:space="preserve"> ***</w:t>
            </w:r>
            <w:r w:rsidRPr="00EF7B34">
              <w:rPr>
                <w:rFonts w:ascii="Arial" w:hAnsi="Arial" w:cs="Arial"/>
                <w:sz w:val="20"/>
                <w:szCs w:val="20"/>
                <w:lang w:val="de-DE"/>
              </w:rPr>
              <w:t xml:space="preserve"> </w:t>
            </w:r>
          </w:p>
          <w:p w:rsidR="008C4FCD" w:rsidRPr="00A51255" w:rsidRDefault="008C4FCD" w:rsidP="008055CD">
            <w:pPr>
              <w:jc w:val="center"/>
              <w:rPr>
                <w:lang w:val="en-US"/>
              </w:rPr>
            </w:pPr>
            <w:r>
              <w:rPr>
                <w:rFonts w:ascii="Arial" w:hAnsi="Arial" w:cs="Arial"/>
                <w:sz w:val="16"/>
                <w:szCs w:val="16"/>
                <w:lang w:val="de-DE"/>
              </w:rPr>
              <w:t>(</w:t>
            </w:r>
            <w:r w:rsidR="00EF7B34" w:rsidRPr="00EF7B34">
              <w:rPr>
                <w:rFonts w:ascii="Arial" w:hAnsi="Arial" w:cs="Arial"/>
                <w:sz w:val="16"/>
                <w:szCs w:val="16"/>
                <w:lang w:val="de-DE"/>
              </w:rPr>
              <w:t>0.084052</w:t>
            </w:r>
            <w:r w:rsidRPr="00A51255">
              <w:rPr>
                <w:rFonts w:ascii="Arial" w:hAnsi="Arial" w:cs="Arial"/>
                <w:sz w:val="16"/>
                <w:szCs w:val="16"/>
                <w:lang w:val="de-DE"/>
              </w:rPr>
              <w:t>)</w:t>
            </w:r>
          </w:p>
        </w:tc>
        <w:tc>
          <w:tcPr>
            <w:tcW w:w="1712" w:type="dxa"/>
            <w:vAlign w:val="center"/>
          </w:tcPr>
          <w:p w:rsidR="008C4FCD" w:rsidRPr="00A51255" w:rsidRDefault="00DA5A98" w:rsidP="008055CD">
            <w:pPr>
              <w:jc w:val="center"/>
              <w:rPr>
                <w:rFonts w:ascii="Arial" w:hAnsi="Arial" w:cs="Arial"/>
                <w:sz w:val="20"/>
                <w:szCs w:val="20"/>
                <w:lang w:val="de-DE"/>
              </w:rPr>
            </w:pPr>
            <w:r w:rsidRPr="00DA5A98">
              <w:rPr>
                <w:rFonts w:ascii="Arial" w:hAnsi="Arial" w:cs="Arial"/>
                <w:sz w:val="20"/>
                <w:szCs w:val="20"/>
                <w:lang w:val="de-DE"/>
              </w:rPr>
              <w:t>-0.202996</w:t>
            </w:r>
            <w:r>
              <w:rPr>
                <w:rFonts w:ascii="Arial" w:hAnsi="Arial" w:cs="Arial"/>
                <w:sz w:val="20"/>
                <w:szCs w:val="20"/>
                <w:lang w:val="de-DE"/>
              </w:rPr>
              <w:t xml:space="preserve"> ***</w:t>
            </w:r>
          </w:p>
          <w:p w:rsidR="008C4FCD" w:rsidRPr="00A51255" w:rsidRDefault="008C4FCD" w:rsidP="008055CD">
            <w:pPr>
              <w:jc w:val="center"/>
              <w:rPr>
                <w:lang w:val="en-US"/>
              </w:rPr>
            </w:pPr>
            <w:r>
              <w:rPr>
                <w:rFonts w:ascii="Arial" w:hAnsi="Arial" w:cs="Arial"/>
                <w:sz w:val="16"/>
                <w:szCs w:val="16"/>
                <w:lang w:val="de-DE"/>
              </w:rPr>
              <w:t>(</w:t>
            </w:r>
            <w:r w:rsidR="00DA5A98" w:rsidRPr="00DA5A98">
              <w:rPr>
                <w:rFonts w:ascii="Arial" w:hAnsi="Arial" w:cs="Arial"/>
                <w:sz w:val="16"/>
                <w:szCs w:val="16"/>
                <w:lang w:val="de-DE"/>
              </w:rPr>
              <w:t>0.074938</w:t>
            </w:r>
            <w:r w:rsidRPr="00A51255">
              <w:rPr>
                <w:rFonts w:ascii="Arial" w:hAnsi="Arial" w:cs="Arial"/>
                <w:sz w:val="16"/>
                <w:szCs w:val="16"/>
                <w:lang w:val="de-DE"/>
              </w:rPr>
              <w:t>)</w:t>
            </w:r>
          </w:p>
        </w:tc>
        <w:tc>
          <w:tcPr>
            <w:tcW w:w="1736" w:type="dxa"/>
            <w:vAlign w:val="center"/>
          </w:tcPr>
          <w:p w:rsidR="008C4FCD" w:rsidRPr="00A51255" w:rsidRDefault="00AE0577" w:rsidP="008055CD">
            <w:pPr>
              <w:jc w:val="center"/>
              <w:rPr>
                <w:rFonts w:ascii="Arial" w:hAnsi="Arial" w:cs="Arial"/>
                <w:sz w:val="20"/>
                <w:szCs w:val="20"/>
                <w:lang w:val="de-DE"/>
              </w:rPr>
            </w:pPr>
            <w:r w:rsidRPr="00AE0577">
              <w:rPr>
                <w:rFonts w:ascii="Arial" w:hAnsi="Arial" w:cs="Arial"/>
                <w:sz w:val="20"/>
                <w:szCs w:val="20"/>
                <w:lang w:val="de-DE"/>
              </w:rPr>
              <w:t>-0.014677</w:t>
            </w:r>
          </w:p>
          <w:p w:rsidR="008C4FCD" w:rsidRPr="00A51255" w:rsidRDefault="008C4FCD" w:rsidP="008055CD">
            <w:pPr>
              <w:jc w:val="center"/>
              <w:rPr>
                <w:lang w:val="en-US"/>
              </w:rPr>
            </w:pPr>
            <w:r>
              <w:rPr>
                <w:rFonts w:ascii="Arial" w:hAnsi="Arial" w:cs="Arial"/>
                <w:sz w:val="16"/>
                <w:szCs w:val="16"/>
                <w:lang w:val="de-DE"/>
              </w:rPr>
              <w:t>(</w:t>
            </w:r>
            <w:r w:rsidR="00AE0577" w:rsidRPr="00AE0577">
              <w:rPr>
                <w:rFonts w:ascii="Arial" w:hAnsi="Arial" w:cs="Arial"/>
                <w:sz w:val="16"/>
                <w:szCs w:val="16"/>
                <w:lang w:val="de-DE"/>
              </w:rPr>
              <w:t>0.076921</w:t>
            </w:r>
            <w:r w:rsidRPr="00A51255">
              <w:rPr>
                <w:rFonts w:ascii="Arial" w:hAnsi="Arial" w:cs="Arial"/>
                <w:sz w:val="16"/>
                <w:szCs w:val="16"/>
                <w:lang w:val="de-DE"/>
              </w:rPr>
              <w:t>)</w:t>
            </w:r>
          </w:p>
        </w:tc>
        <w:tc>
          <w:tcPr>
            <w:tcW w:w="1727" w:type="dxa"/>
            <w:vAlign w:val="center"/>
          </w:tcPr>
          <w:p w:rsidR="008C4FCD" w:rsidRPr="00A51255" w:rsidRDefault="00636041" w:rsidP="008055CD">
            <w:pPr>
              <w:jc w:val="center"/>
              <w:rPr>
                <w:rFonts w:ascii="Arial" w:hAnsi="Arial" w:cs="Arial"/>
                <w:sz w:val="20"/>
                <w:szCs w:val="20"/>
                <w:lang w:val="de-DE"/>
              </w:rPr>
            </w:pPr>
            <w:r w:rsidRPr="00636041">
              <w:rPr>
                <w:rFonts w:ascii="Arial" w:hAnsi="Arial" w:cs="Arial"/>
                <w:sz w:val="20"/>
                <w:szCs w:val="20"/>
                <w:lang w:val="de-DE"/>
              </w:rPr>
              <w:t>0.156610</w:t>
            </w:r>
          </w:p>
          <w:p w:rsidR="008C4FCD" w:rsidRPr="00A51255" w:rsidRDefault="008C4FCD" w:rsidP="008055CD">
            <w:pPr>
              <w:jc w:val="center"/>
              <w:rPr>
                <w:lang w:val="en-US"/>
              </w:rPr>
            </w:pPr>
            <w:r>
              <w:rPr>
                <w:rFonts w:ascii="Arial" w:hAnsi="Arial" w:cs="Arial"/>
                <w:sz w:val="16"/>
                <w:szCs w:val="16"/>
                <w:lang w:val="de-DE"/>
              </w:rPr>
              <w:t>(</w:t>
            </w:r>
            <w:r w:rsidR="00636041" w:rsidRPr="00636041">
              <w:rPr>
                <w:rFonts w:ascii="Arial" w:hAnsi="Arial" w:cs="Arial"/>
                <w:sz w:val="16"/>
                <w:szCs w:val="16"/>
                <w:lang w:val="de-DE"/>
              </w:rPr>
              <w:t>0.260171</w:t>
            </w:r>
            <w:r w:rsidRPr="00A51255">
              <w:rPr>
                <w:rFonts w:ascii="Arial" w:hAnsi="Arial" w:cs="Arial"/>
                <w:sz w:val="16"/>
                <w:szCs w:val="16"/>
                <w:lang w:val="de-DE"/>
              </w:rPr>
              <w:t>)</w:t>
            </w:r>
          </w:p>
        </w:tc>
      </w:tr>
      <w:tr w:rsidR="00AF2496" w:rsidRPr="00A51255" w:rsidTr="00122ED3">
        <w:trPr>
          <w:jc w:val="center"/>
        </w:trPr>
        <w:tc>
          <w:tcPr>
            <w:tcW w:w="462" w:type="dxa"/>
            <w:vAlign w:val="center"/>
          </w:tcPr>
          <w:p w:rsidR="008C4FCD" w:rsidRPr="00A51255" w:rsidRDefault="00C65448" w:rsidP="008055CD">
            <w:pPr>
              <w:spacing w:line="360" w:lineRule="auto"/>
              <w:jc w:val="center"/>
              <w:rPr>
                <w:rFonts w:ascii="Arial" w:hAnsi="Arial" w:cs="Arial"/>
                <w:sz w:val="16"/>
                <w:szCs w:val="16"/>
                <w:lang w:val="de-DE"/>
              </w:rPr>
            </w:pPr>
            <w:r>
              <w:rPr>
                <w:rFonts w:ascii="Arial" w:hAnsi="Arial" w:cs="Arial"/>
                <w:sz w:val="16"/>
                <w:szCs w:val="16"/>
                <w:lang w:val="de-DE"/>
              </w:rPr>
              <w:t>(</w:t>
            </w:r>
            <w:r w:rsidR="008C4FCD">
              <w:rPr>
                <w:rFonts w:ascii="Arial" w:hAnsi="Arial" w:cs="Arial"/>
                <w:sz w:val="16"/>
                <w:szCs w:val="16"/>
                <w:lang w:val="de-DE"/>
              </w:rPr>
              <w:t>2)</w:t>
            </w:r>
          </w:p>
        </w:tc>
        <w:tc>
          <w:tcPr>
            <w:tcW w:w="2034" w:type="dxa"/>
            <w:vAlign w:val="center"/>
          </w:tcPr>
          <w:p w:rsidR="000701C4" w:rsidRDefault="008C4FCD" w:rsidP="000701C4">
            <w:pPr>
              <w:ind w:left="105"/>
              <w:jc w:val="center"/>
              <w:rPr>
                <w:rFonts w:ascii="Garamond" w:hAnsi="Garamond"/>
                <w:i/>
                <w:lang w:val="de-DE"/>
              </w:rPr>
            </w:pPr>
            <w:r w:rsidRPr="002C5A6B">
              <w:rPr>
                <w:rFonts w:ascii="Garamond" w:hAnsi="Garamond"/>
                <w:i/>
                <w:position w:val="-12"/>
                <w:lang w:val="de-DE"/>
              </w:rPr>
              <w:object w:dxaOrig="300" w:dyaOrig="400">
                <v:shape id="_x0000_i1089" type="#_x0000_t75" style="width:12.85pt;height:18pt" o:ole="">
                  <v:imagedata r:id="rId122" o:title=""/>
                </v:shape>
                <o:OLEObject Type="Embed" ProgID="Equation.3" ShapeID="_x0000_i1089" DrawAspect="Content" ObjectID="_1507543436" r:id="rId123"/>
              </w:object>
            </w:r>
          </w:p>
          <w:p w:rsidR="008C4FCD" w:rsidRPr="0007792B" w:rsidRDefault="008C4FCD" w:rsidP="000701C4">
            <w:pPr>
              <w:ind w:left="105"/>
              <w:jc w:val="center"/>
              <w:rPr>
                <w:rFonts w:ascii="Arial" w:hAnsi="Arial" w:cs="Arial"/>
                <w:b/>
                <w:sz w:val="18"/>
                <w:szCs w:val="18"/>
                <w:lang w:val="de-DE"/>
              </w:rPr>
            </w:pPr>
            <w:r>
              <w:rPr>
                <w:rFonts w:ascii="Arial" w:hAnsi="Arial" w:cs="Arial"/>
                <w:b/>
                <w:sz w:val="18"/>
                <w:szCs w:val="18"/>
                <w:lang w:val="de-DE"/>
              </w:rPr>
              <w:t>n</w:t>
            </w:r>
            <w:r w:rsidRPr="004F48F0">
              <w:rPr>
                <w:rFonts w:ascii="Arial" w:hAnsi="Arial" w:cs="Arial"/>
                <w:b/>
                <w:sz w:val="18"/>
                <w:szCs w:val="18"/>
                <w:lang w:val="de-DE"/>
              </w:rPr>
              <w:t>egative</w:t>
            </w:r>
          </w:p>
        </w:tc>
        <w:tc>
          <w:tcPr>
            <w:tcW w:w="1831" w:type="dxa"/>
            <w:vAlign w:val="center"/>
          </w:tcPr>
          <w:p w:rsidR="008C4FCD" w:rsidRPr="00A51255" w:rsidRDefault="00EF7B34" w:rsidP="008055CD">
            <w:pPr>
              <w:jc w:val="center"/>
              <w:rPr>
                <w:rFonts w:ascii="Arial" w:hAnsi="Arial" w:cs="Arial"/>
                <w:sz w:val="20"/>
                <w:szCs w:val="20"/>
                <w:lang w:val="de-DE"/>
              </w:rPr>
            </w:pPr>
            <w:r w:rsidRPr="00EF7B34">
              <w:rPr>
                <w:rFonts w:ascii="Arial" w:hAnsi="Arial" w:cs="Arial"/>
                <w:sz w:val="20"/>
                <w:szCs w:val="20"/>
                <w:lang w:val="de-DE"/>
              </w:rPr>
              <w:t>-0.453462</w:t>
            </w:r>
            <w:r w:rsidR="00EA7AE7">
              <w:rPr>
                <w:rFonts w:ascii="Arial" w:hAnsi="Arial" w:cs="Arial"/>
                <w:sz w:val="20"/>
                <w:szCs w:val="20"/>
                <w:lang w:val="de-DE"/>
              </w:rPr>
              <w:t xml:space="preserve"> ***</w:t>
            </w:r>
          </w:p>
          <w:p w:rsidR="008C4FCD" w:rsidRPr="00A51255" w:rsidRDefault="008C4FCD" w:rsidP="008055CD">
            <w:pPr>
              <w:jc w:val="center"/>
              <w:rPr>
                <w:lang w:val="en-US"/>
              </w:rPr>
            </w:pPr>
            <w:r>
              <w:rPr>
                <w:rFonts w:ascii="Arial" w:hAnsi="Arial" w:cs="Arial"/>
                <w:sz w:val="16"/>
                <w:szCs w:val="16"/>
                <w:lang w:val="de-DE"/>
              </w:rPr>
              <w:t>(</w:t>
            </w:r>
            <w:r w:rsidR="00EF7B34" w:rsidRPr="00EF7B34">
              <w:rPr>
                <w:rFonts w:ascii="Arial" w:hAnsi="Arial" w:cs="Arial"/>
                <w:sz w:val="16"/>
                <w:szCs w:val="16"/>
                <w:lang w:val="de-DE"/>
              </w:rPr>
              <w:t>0.041805</w:t>
            </w:r>
            <w:r w:rsidRPr="00A51255">
              <w:rPr>
                <w:rFonts w:ascii="Arial" w:hAnsi="Arial" w:cs="Arial"/>
                <w:sz w:val="16"/>
                <w:szCs w:val="16"/>
                <w:lang w:val="de-DE"/>
              </w:rPr>
              <w:t>)</w:t>
            </w:r>
          </w:p>
        </w:tc>
        <w:tc>
          <w:tcPr>
            <w:tcW w:w="1712" w:type="dxa"/>
            <w:vAlign w:val="center"/>
          </w:tcPr>
          <w:p w:rsidR="008C4FCD" w:rsidRPr="00A51255" w:rsidRDefault="00DA5A98" w:rsidP="008055CD">
            <w:pPr>
              <w:jc w:val="center"/>
              <w:rPr>
                <w:rFonts w:ascii="Arial" w:hAnsi="Arial" w:cs="Arial"/>
                <w:sz w:val="20"/>
                <w:szCs w:val="20"/>
                <w:lang w:val="de-DE"/>
              </w:rPr>
            </w:pPr>
            <w:r w:rsidRPr="00DA5A98">
              <w:rPr>
                <w:rFonts w:ascii="Arial" w:hAnsi="Arial" w:cs="Arial"/>
                <w:sz w:val="20"/>
                <w:szCs w:val="20"/>
                <w:lang w:val="de-DE"/>
              </w:rPr>
              <w:t>-0.120253</w:t>
            </w:r>
          </w:p>
          <w:p w:rsidR="008C4FCD" w:rsidRPr="00A51255" w:rsidRDefault="008C4FCD" w:rsidP="008055CD">
            <w:pPr>
              <w:jc w:val="center"/>
              <w:rPr>
                <w:lang w:val="en-US"/>
              </w:rPr>
            </w:pPr>
            <w:r>
              <w:rPr>
                <w:rFonts w:ascii="Arial" w:hAnsi="Arial" w:cs="Arial"/>
                <w:sz w:val="16"/>
                <w:szCs w:val="16"/>
                <w:lang w:val="de-DE"/>
              </w:rPr>
              <w:t>(</w:t>
            </w:r>
            <w:r w:rsidR="00DA5A98" w:rsidRPr="00DA5A98">
              <w:rPr>
                <w:rFonts w:ascii="Arial" w:hAnsi="Arial" w:cs="Arial"/>
                <w:sz w:val="16"/>
                <w:szCs w:val="16"/>
                <w:lang w:val="de-DE"/>
              </w:rPr>
              <w:t>0.160663</w:t>
            </w:r>
            <w:r w:rsidRPr="00A51255">
              <w:rPr>
                <w:rFonts w:ascii="Arial" w:hAnsi="Arial" w:cs="Arial"/>
                <w:sz w:val="16"/>
                <w:szCs w:val="16"/>
                <w:lang w:val="de-DE"/>
              </w:rPr>
              <w:t>)</w:t>
            </w:r>
          </w:p>
        </w:tc>
        <w:tc>
          <w:tcPr>
            <w:tcW w:w="1736" w:type="dxa"/>
            <w:vAlign w:val="center"/>
          </w:tcPr>
          <w:p w:rsidR="008C4FCD" w:rsidRPr="00A51255" w:rsidRDefault="00AE0577" w:rsidP="008055CD">
            <w:pPr>
              <w:jc w:val="center"/>
              <w:rPr>
                <w:rFonts w:ascii="Arial" w:hAnsi="Arial" w:cs="Arial"/>
                <w:sz w:val="20"/>
                <w:szCs w:val="20"/>
                <w:lang w:val="de-DE"/>
              </w:rPr>
            </w:pPr>
            <w:r w:rsidRPr="00AE0577">
              <w:rPr>
                <w:rFonts w:ascii="Arial" w:hAnsi="Arial" w:cs="Arial"/>
                <w:sz w:val="20"/>
                <w:szCs w:val="20"/>
                <w:lang w:val="de-DE"/>
              </w:rPr>
              <w:t>0.355935</w:t>
            </w:r>
          </w:p>
          <w:p w:rsidR="008C4FCD" w:rsidRPr="00A51255" w:rsidRDefault="008C4FCD" w:rsidP="008055CD">
            <w:pPr>
              <w:jc w:val="center"/>
              <w:rPr>
                <w:lang w:val="en-US"/>
              </w:rPr>
            </w:pPr>
            <w:r>
              <w:rPr>
                <w:rFonts w:ascii="Arial" w:hAnsi="Arial" w:cs="Arial"/>
                <w:sz w:val="16"/>
                <w:szCs w:val="16"/>
                <w:lang w:val="de-DE"/>
              </w:rPr>
              <w:t>(</w:t>
            </w:r>
            <w:r w:rsidR="00AE0577" w:rsidRPr="00AE0577">
              <w:rPr>
                <w:rFonts w:ascii="Arial" w:hAnsi="Arial" w:cs="Arial"/>
                <w:sz w:val="16"/>
                <w:szCs w:val="16"/>
                <w:lang w:val="de-DE"/>
              </w:rPr>
              <w:t>0.269200</w:t>
            </w:r>
            <w:r w:rsidRPr="00A51255">
              <w:rPr>
                <w:rFonts w:ascii="Arial" w:hAnsi="Arial" w:cs="Arial"/>
                <w:sz w:val="16"/>
                <w:szCs w:val="16"/>
                <w:lang w:val="de-DE"/>
              </w:rPr>
              <w:t>)</w:t>
            </w:r>
          </w:p>
        </w:tc>
        <w:tc>
          <w:tcPr>
            <w:tcW w:w="1727" w:type="dxa"/>
            <w:vAlign w:val="center"/>
          </w:tcPr>
          <w:p w:rsidR="008C4FCD" w:rsidRPr="00A51255" w:rsidRDefault="00636041" w:rsidP="008055CD">
            <w:pPr>
              <w:jc w:val="center"/>
              <w:rPr>
                <w:rFonts w:ascii="Arial" w:hAnsi="Arial" w:cs="Arial"/>
                <w:sz w:val="20"/>
                <w:szCs w:val="20"/>
                <w:lang w:val="de-DE"/>
              </w:rPr>
            </w:pPr>
            <w:r w:rsidRPr="00636041">
              <w:rPr>
                <w:rFonts w:ascii="Arial" w:hAnsi="Arial" w:cs="Arial"/>
                <w:sz w:val="20"/>
                <w:szCs w:val="20"/>
                <w:lang w:val="de-DE"/>
              </w:rPr>
              <w:t>-0.284445</w:t>
            </w:r>
            <w:r w:rsidR="00835893">
              <w:rPr>
                <w:rFonts w:ascii="Arial" w:hAnsi="Arial" w:cs="Arial"/>
                <w:sz w:val="20"/>
                <w:szCs w:val="20"/>
                <w:lang w:val="de-DE"/>
              </w:rPr>
              <w:t xml:space="preserve"> ***</w:t>
            </w:r>
          </w:p>
          <w:p w:rsidR="008C4FCD" w:rsidRPr="00A51255" w:rsidRDefault="008C4FCD" w:rsidP="008055CD">
            <w:pPr>
              <w:jc w:val="center"/>
              <w:rPr>
                <w:lang w:val="en-US"/>
              </w:rPr>
            </w:pPr>
            <w:r>
              <w:rPr>
                <w:rFonts w:ascii="Arial" w:hAnsi="Arial" w:cs="Arial"/>
                <w:sz w:val="16"/>
                <w:szCs w:val="16"/>
                <w:lang w:val="de-DE"/>
              </w:rPr>
              <w:t>(</w:t>
            </w:r>
            <w:r w:rsidR="00636041" w:rsidRPr="00636041">
              <w:rPr>
                <w:rFonts w:ascii="Arial" w:hAnsi="Arial" w:cs="Arial"/>
                <w:sz w:val="16"/>
                <w:szCs w:val="16"/>
                <w:lang w:val="de-DE"/>
              </w:rPr>
              <w:t>0.039322</w:t>
            </w:r>
            <w:r w:rsidRPr="00A51255">
              <w:rPr>
                <w:rFonts w:ascii="Arial" w:hAnsi="Arial" w:cs="Arial"/>
                <w:sz w:val="16"/>
                <w:szCs w:val="16"/>
                <w:lang w:val="de-DE"/>
              </w:rPr>
              <w:t>)</w:t>
            </w:r>
          </w:p>
        </w:tc>
      </w:tr>
      <w:tr w:rsidR="00AF2496" w:rsidRPr="00A51255" w:rsidTr="00122ED3">
        <w:trPr>
          <w:jc w:val="center"/>
        </w:trPr>
        <w:tc>
          <w:tcPr>
            <w:tcW w:w="462" w:type="dxa"/>
            <w:vAlign w:val="center"/>
          </w:tcPr>
          <w:p w:rsidR="008C4FCD" w:rsidRPr="00A51255" w:rsidRDefault="00C65448" w:rsidP="008055CD">
            <w:pPr>
              <w:spacing w:line="360" w:lineRule="auto"/>
              <w:jc w:val="center"/>
              <w:rPr>
                <w:rFonts w:ascii="Arial" w:hAnsi="Arial" w:cs="Arial"/>
                <w:sz w:val="16"/>
                <w:szCs w:val="16"/>
                <w:lang w:val="de-DE"/>
              </w:rPr>
            </w:pPr>
            <w:r>
              <w:rPr>
                <w:rFonts w:ascii="Arial" w:hAnsi="Arial" w:cs="Arial"/>
                <w:sz w:val="16"/>
                <w:szCs w:val="16"/>
                <w:lang w:val="de-DE"/>
              </w:rPr>
              <w:t>(</w:t>
            </w:r>
            <w:r w:rsidR="008C4FCD">
              <w:rPr>
                <w:rFonts w:ascii="Arial" w:hAnsi="Arial" w:cs="Arial"/>
                <w:sz w:val="16"/>
                <w:szCs w:val="16"/>
                <w:lang w:val="de-DE"/>
              </w:rPr>
              <w:t>2)</w:t>
            </w:r>
          </w:p>
        </w:tc>
        <w:tc>
          <w:tcPr>
            <w:tcW w:w="2034" w:type="dxa"/>
            <w:vAlign w:val="center"/>
          </w:tcPr>
          <w:p w:rsidR="000701C4" w:rsidRDefault="008C4FCD" w:rsidP="000701C4">
            <w:pPr>
              <w:ind w:left="105"/>
              <w:jc w:val="center"/>
            </w:pPr>
            <w:r w:rsidRPr="0007792B">
              <w:rPr>
                <w:rFonts w:ascii="Garamond" w:hAnsi="Garamond"/>
                <w:i/>
                <w:position w:val="-12"/>
                <w:lang w:val="de-DE"/>
              </w:rPr>
              <w:object w:dxaOrig="320" w:dyaOrig="400">
                <v:shape id="_x0000_i1090" type="#_x0000_t75" style="width:14.15pt;height:18pt" o:ole="">
                  <v:imagedata r:id="rId124" o:title=""/>
                </v:shape>
                <o:OLEObject Type="Embed" ProgID="Equation.3" ShapeID="_x0000_i1090" DrawAspect="Content" ObjectID="_1507543437" r:id="rId125"/>
              </w:object>
            </w:r>
          </w:p>
          <w:p w:rsidR="008C4FCD" w:rsidRPr="004F48F0" w:rsidRDefault="008C4FCD" w:rsidP="000701C4">
            <w:pPr>
              <w:ind w:left="105"/>
              <w:jc w:val="center"/>
              <w:rPr>
                <w:rFonts w:ascii="Arial" w:hAnsi="Arial" w:cs="Arial"/>
                <w:b/>
                <w:sz w:val="18"/>
                <w:szCs w:val="18"/>
                <w:lang w:val="de-DE"/>
              </w:rPr>
            </w:pPr>
            <w:r>
              <w:rPr>
                <w:rFonts w:ascii="Arial" w:hAnsi="Arial" w:cs="Arial"/>
                <w:b/>
                <w:sz w:val="18"/>
                <w:szCs w:val="18"/>
                <w:lang w:val="de-DE"/>
              </w:rPr>
              <w:t xml:space="preserve">strongly </w:t>
            </w:r>
            <w:r w:rsidRPr="004F48F0">
              <w:rPr>
                <w:rFonts w:ascii="Arial" w:hAnsi="Arial" w:cs="Arial"/>
                <w:b/>
                <w:sz w:val="18"/>
                <w:szCs w:val="18"/>
                <w:lang w:val="de-DE"/>
              </w:rPr>
              <w:t>negative</w:t>
            </w:r>
          </w:p>
        </w:tc>
        <w:tc>
          <w:tcPr>
            <w:tcW w:w="1831" w:type="dxa"/>
            <w:vAlign w:val="center"/>
          </w:tcPr>
          <w:p w:rsidR="008C4FCD" w:rsidRPr="00A51255" w:rsidRDefault="00EF7B34" w:rsidP="008055CD">
            <w:pPr>
              <w:jc w:val="center"/>
              <w:rPr>
                <w:rFonts w:ascii="Arial" w:hAnsi="Arial" w:cs="Arial"/>
                <w:sz w:val="20"/>
                <w:szCs w:val="20"/>
                <w:lang w:val="de-DE"/>
              </w:rPr>
            </w:pPr>
            <w:bookmarkStart w:id="1" w:name="_Hlk381606360"/>
            <w:r w:rsidRPr="00EF7B34">
              <w:rPr>
                <w:rFonts w:ascii="Arial" w:hAnsi="Arial" w:cs="Arial"/>
                <w:sz w:val="20"/>
                <w:szCs w:val="20"/>
                <w:lang w:val="de-DE"/>
              </w:rPr>
              <w:t>-0.519109</w:t>
            </w:r>
            <w:bookmarkEnd w:id="1"/>
            <w:r w:rsidR="00EA7AE7">
              <w:rPr>
                <w:rFonts w:ascii="Arial" w:hAnsi="Arial" w:cs="Arial"/>
                <w:sz w:val="20"/>
                <w:szCs w:val="20"/>
                <w:lang w:val="de-DE"/>
              </w:rPr>
              <w:t xml:space="preserve"> ***</w:t>
            </w:r>
          </w:p>
          <w:p w:rsidR="008C4FCD" w:rsidRPr="00A51255" w:rsidRDefault="008C4FCD" w:rsidP="008055CD">
            <w:pPr>
              <w:jc w:val="center"/>
              <w:rPr>
                <w:lang w:val="en-US"/>
              </w:rPr>
            </w:pPr>
            <w:r>
              <w:rPr>
                <w:rFonts w:ascii="Arial" w:hAnsi="Arial" w:cs="Arial"/>
                <w:sz w:val="16"/>
                <w:szCs w:val="16"/>
                <w:lang w:val="de-DE"/>
              </w:rPr>
              <w:t>(</w:t>
            </w:r>
            <w:r w:rsidR="00EF7B34" w:rsidRPr="00EF7B34">
              <w:rPr>
                <w:rFonts w:ascii="Arial" w:hAnsi="Arial" w:cs="Arial"/>
                <w:sz w:val="16"/>
                <w:szCs w:val="16"/>
                <w:lang w:val="de-DE"/>
              </w:rPr>
              <w:t>0.063367</w:t>
            </w:r>
            <w:r w:rsidRPr="00A51255">
              <w:rPr>
                <w:rFonts w:ascii="Arial" w:hAnsi="Arial" w:cs="Arial"/>
                <w:sz w:val="16"/>
                <w:szCs w:val="16"/>
                <w:lang w:val="de-DE"/>
              </w:rPr>
              <w:t>)</w:t>
            </w:r>
          </w:p>
        </w:tc>
        <w:tc>
          <w:tcPr>
            <w:tcW w:w="1712" w:type="dxa"/>
            <w:vAlign w:val="center"/>
          </w:tcPr>
          <w:p w:rsidR="008C4FCD" w:rsidRPr="00A51255" w:rsidRDefault="00DA5A98" w:rsidP="008055CD">
            <w:pPr>
              <w:jc w:val="center"/>
              <w:rPr>
                <w:rFonts w:ascii="Arial" w:hAnsi="Arial" w:cs="Arial"/>
                <w:sz w:val="20"/>
                <w:szCs w:val="20"/>
                <w:lang w:val="de-DE"/>
              </w:rPr>
            </w:pPr>
            <w:r w:rsidRPr="00DA5A98">
              <w:rPr>
                <w:rFonts w:ascii="Arial" w:hAnsi="Arial" w:cs="Arial"/>
                <w:sz w:val="20"/>
                <w:szCs w:val="20"/>
                <w:lang w:val="de-DE"/>
              </w:rPr>
              <w:t>-0.413447</w:t>
            </w:r>
            <w:r>
              <w:rPr>
                <w:rFonts w:ascii="Arial" w:hAnsi="Arial" w:cs="Arial"/>
                <w:sz w:val="20"/>
                <w:szCs w:val="20"/>
                <w:lang w:val="de-DE"/>
              </w:rPr>
              <w:t xml:space="preserve"> ***</w:t>
            </w:r>
          </w:p>
          <w:p w:rsidR="008C4FCD" w:rsidRPr="00A51255" w:rsidRDefault="008C4FCD" w:rsidP="008055CD">
            <w:pPr>
              <w:jc w:val="center"/>
              <w:rPr>
                <w:lang w:val="en-US"/>
              </w:rPr>
            </w:pPr>
            <w:r>
              <w:rPr>
                <w:rFonts w:ascii="Arial" w:hAnsi="Arial" w:cs="Arial"/>
                <w:sz w:val="16"/>
                <w:szCs w:val="16"/>
                <w:lang w:val="de-DE"/>
              </w:rPr>
              <w:t>(</w:t>
            </w:r>
            <w:r w:rsidR="00DA5A98" w:rsidRPr="00DA5A98">
              <w:rPr>
                <w:rFonts w:ascii="Arial" w:hAnsi="Arial" w:cs="Arial"/>
                <w:sz w:val="16"/>
                <w:szCs w:val="16"/>
                <w:lang w:val="de-DE"/>
              </w:rPr>
              <w:t>0.113611</w:t>
            </w:r>
            <w:r w:rsidRPr="00A51255">
              <w:rPr>
                <w:rFonts w:ascii="Arial" w:hAnsi="Arial" w:cs="Arial"/>
                <w:sz w:val="16"/>
                <w:szCs w:val="16"/>
                <w:lang w:val="de-DE"/>
              </w:rPr>
              <w:t>)</w:t>
            </w:r>
          </w:p>
        </w:tc>
        <w:tc>
          <w:tcPr>
            <w:tcW w:w="1736" w:type="dxa"/>
            <w:vAlign w:val="center"/>
          </w:tcPr>
          <w:p w:rsidR="008C4FCD" w:rsidRPr="00A51255" w:rsidRDefault="00AE0577" w:rsidP="008055CD">
            <w:pPr>
              <w:jc w:val="center"/>
              <w:rPr>
                <w:rFonts w:ascii="Arial" w:hAnsi="Arial" w:cs="Arial"/>
                <w:sz w:val="20"/>
                <w:szCs w:val="20"/>
                <w:lang w:val="de-DE"/>
              </w:rPr>
            </w:pPr>
            <w:r w:rsidRPr="00AE0577">
              <w:rPr>
                <w:rFonts w:ascii="Arial" w:hAnsi="Arial" w:cs="Arial"/>
                <w:sz w:val="20"/>
                <w:szCs w:val="20"/>
                <w:lang w:val="de-DE"/>
              </w:rPr>
              <w:t>-0.246522</w:t>
            </w:r>
            <w:r>
              <w:rPr>
                <w:rFonts w:ascii="Arial" w:hAnsi="Arial" w:cs="Arial"/>
                <w:sz w:val="20"/>
                <w:szCs w:val="20"/>
                <w:lang w:val="de-DE"/>
              </w:rPr>
              <w:t xml:space="preserve"> ***</w:t>
            </w:r>
          </w:p>
          <w:p w:rsidR="008C4FCD" w:rsidRPr="00A51255" w:rsidRDefault="008C4FCD" w:rsidP="008055CD">
            <w:pPr>
              <w:jc w:val="center"/>
              <w:rPr>
                <w:lang w:val="en-US"/>
              </w:rPr>
            </w:pPr>
            <w:r>
              <w:rPr>
                <w:rFonts w:ascii="Arial" w:hAnsi="Arial" w:cs="Arial"/>
                <w:sz w:val="16"/>
                <w:szCs w:val="16"/>
                <w:lang w:val="de-DE"/>
              </w:rPr>
              <w:t>(</w:t>
            </w:r>
            <w:r w:rsidR="00AE0577" w:rsidRPr="00AE0577">
              <w:rPr>
                <w:rFonts w:ascii="Arial" w:hAnsi="Arial" w:cs="Arial"/>
                <w:sz w:val="16"/>
                <w:szCs w:val="16"/>
                <w:lang w:val="de-DE"/>
              </w:rPr>
              <w:t>0.037370</w:t>
            </w:r>
            <w:r w:rsidRPr="00A51255">
              <w:rPr>
                <w:rFonts w:ascii="Arial" w:hAnsi="Arial" w:cs="Arial"/>
                <w:sz w:val="16"/>
                <w:szCs w:val="16"/>
                <w:lang w:val="de-DE"/>
              </w:rPr>
              <w:t>)</w:t>
            </w:r>
          </w:p>
        </w:tc>
        <w:tc>
          <w:tcPr>
            <w:tcW w:w="1727" w:type="dxa"/>
            <w:vAlign w:val="center"/>
          </w:tcPr>
          <w:p w:rsidR="008C4FCD" w:rsidRPr="00A51255" w:rsidRDefault="00636041" w:rsidP="008055CD">
            <w:pPr>
              <w:jc w:val="center"/>
              <w:rPr>
                <w:rFonts w:ascii="Arial" w:hAnsi="Arial" w:cs="Arial"/>
                <w:sz w:val="20"/>
                <w:szCs w:val="20"/>
                <w:lang w:val="de-DE"/>
              </w:rPr>
            </w:pPr>
            <w:r w:rsidRPr="00636041">
              <w:rPr>
                <w:rFonts w:ascii="Arial" w:hAnsi="Arial" w:cs="Arial"/>
                <w:sz w:val="20"/>
                <w:szCs w:val="20"/>
                <w:lang w:val="de-DE"/>
              </w:rPr>
              <w:t>-0.347637</w:t>
            </w:r>
            <w:r w:rsidR="00835893">
              <w:rPr>
                <w:rFonts w:ascii="Arial" w:hAnsi="Arial" w:cs="Arial"/>
                <w:sz w:val="20"/>
                <w:szCs w:val="20"/>
                <w:lang w:val="de-DE"/>
              </w:rPr>
              <w:t xml:space="preserve"> ***</w:t>
            </w:r>
          </w:p>
          <w:p w:rsidR="008C4FCD" w:rsidRPr="00A51255" w:rsidRDefault="008C4FCD" w:rsidP="008055CD">
            <w:pPr>
              <w:jc w:val="center"/>
              <w:rPr>
                <w:lang w:val="en-US"/>
              </w:rPr>
            </w:pPr>
            <w:r>
              <w:rPr>
                <w:rFonts w:ascii="Arial" w:hAnsi="Arial" w:cs="Arial"/>
                <w:sz w:val="16"/>
                <w:szCs w:val="16"/>
                <w:lang w:val="de-DE"/>
              </w:rPr>
              <w:t>(</w:t>
            </w:r>
            <w:r w:rsidR="00636041" w:rsidRPr="00636041">
              <w:rPr>
                <w:rFonts w:ascii="Arial" w:hAnsi="Arial" w:cs="Arial"/>
                <w:sz w:val="16"/>
                <w:szCs w:val="16"/>
                <w:lang w:val="de-DE"/>
              </w:rPr>
              <w:t>0.029454</w:t>
            </w:r>
            <w:r w:rsidRPr="00A51255">
              <w:rPr>
                <w:rFonts w:ascii="Arial" w:hAnsi="Arial" w:cs="Arial"/>
                <w:sz w:val="16"/>
                <w:szCs w:val="16"/>
                <w:lang w:val="de-DE"/>
              </w:rPr>
              <w:t>)</w:t>
            </w:r>
          </w:p>
        </w:tc>
      </w:tr>
      <w:tr w:rsidR="00AF2496" w:rsidRPr="00647145" w:rsidTr="00122ED3">
        <w:trPr>
          <w:jc w:val="center"/>
        </w:trPr>
        <w:tc>
          <w:tcPr>
            <w:tcW w:w="462" w:type="dxa"/>
            <w:vAlign w:val="center"/>
          </w:tcPr>
          <w:p w:rsidR="008C4FCD" w:rsidRPr="00A51255" w:rsidRDefault="008C4FCD" w:rsidP="008055CD">
            <w:pPr>
              <w:spacing w:line="360" w:lineRule="auto"/>
              <w:jc w:val="center"/>
              <w:rPr>
                <w:rFonts w:ascii="Arial" w:hAnsi="Arial" w:cs="Arial"/>
                <w:sz w:val="16"/>
                <w:szCs w:val="16"/>
                <w:lang w:val="de-DE"/>
              </w:rPr>
            </w:pPr>
          </w:p>
        </w:tc>
        <w:tc>
          <w:tcPr>
            <w:tcW w:w="2034" w:type="dxa"/>
            <w:vAlign w:val="center"/>
          </w:tcPr>
          <w:p w:rsidR="008C4FCD" w:rsidRPr="004F48F0" w:rsidRDefault="008C4FCD" w:rsidP="008055CD">
            <w:pPr>
              <w:spacing w:line="360" w:lineRule="auto"/>
              <w:ind w:left="98"/>
              <w:jc w:val="center"/>
              <w:rPr>
                <w:b/>
                <w:i/>
                <w:sz w:val="18"/>
                <w:szCs w:val="18"/>
                <w:lang w:val="en-US"/>
              </w:rPr>
            </w:pPr>
          </w:p>
        </w:tc>
        <w:tc>
          <w:tcPr>
            <w:tcW w:w="1831" w:type="dxa"/>
            <w:vAlign w:val="center"/>
          </w:tcPr>
          <w:p w:rsidR="008C4FCD" w:rsidRPr="00C673F3" w:rsidRDefault="008C4FCD" w:rsidP="008055CD">
            <w:pPr>
              <w:jc w:val="center"/>
              <w:rPr>
                <w:rFonts w:ascii="Arial" w:hAnsi="Arial" w:cs="Arial"/>
                <w:sz w:val="10"/>
                <w:szCs w:val="10"/>
                <w:lang w:val="en-US"/>
              </w:rPr>
            </w:pPr>
            <w:r w:rsidRPr="00C673F3">
              <w:rPr>
                <w:rFonts w:ascii="Arial" w:hAnsi="Arial" w:cs="Arial"/>
                <w:sz w:val="10"/>
                <w:szCs w:val="10"/>
                <w:lang w:val="en-US"/>
              </w:rPr>
              <w:t xml:space="preserve">Q(10) = </w:t>
            </w:r>
            <w:r w:rsidR="0045046A" w:rsidRPr="00C673F3">
              <w:rPr>
                <w:rFonts w:ascii="Arial" w:hAnsi="Arial" w:cs="Arial"/>
                <w:sz w:val="10"/>
                <w:szCs w:val="10"/>
                <w:lang w:val="en-US"/>
              </w:rPr>
              <w:t>11.592</w:t>
            </w:r>
            <w:r w:rsidRPr="00C673F3">
              <w:rPr>
                <w:rFonts w:ascii="Arial" w:hAnsi="Arial" w:cs="Arial"/>
                <w:sz w:val="10"/>
                <w:szCs w:val="10"/>
                <w:lang w:val="en-US"/>
              </w:rPr>
              <w:t xml:space="preserve"> (p = </w:t>
            </w:r>
            <w:r w:rsidR="0045046A" w:rsidRPr="00C673F3">
              <w:rPr>
                <w:rFonts w:ascii="Arial" w:hAnsi="Arial" w:cs="Arial"/>
                <w:sz w:val="10"/>
                <w:szCs w:val="10"/>
                <w:lang w:val="en-US"/>
              </w:rPr>
              <w:t>0.313</w:t>
            </w:r>
            <w:r w:rsidRPr="00C673F3">
              <w:rPr>
                <w:rFonts w:ascii="Arial" w:hAnsi="Arial" w:cs="Arial"/>
                <w:sz w:val="10"/>
                <w:szCs w:val="10"/>
                <w:lang w:val="en-US"/>
              </w:rPr>
              <w:t>)</w:t>
            </w:r>
          </w:p>
          <w:p w:rsidR="008C4FCD" w:rsidRPr="00C673F3" w:rsidRDefault="008C4FCD" w:rsidP="008055CD">
            <w:pPr>
              <w:jc w:val="center"/>
              <w:rPr>
                <w:rFonts w:ascii="Arial" w:hAnsi="Arial" w:cs="Arial"/>
                <w:sz w:val="10"/>
                <w:szCs w:val="10"/>
                <w:lang w:val="en-US"/>
              </w:rPr>
            </w:pPr>
            <w:r w:rsidRPr="00C673F3">
              <w:rPr>
                <w:rFonts w:ascii="Arial" w:hAnsi="Arial" w:cs="Arial"/>
                <w:sz w:val="10"/>
                <w:szCs w:val="10"/>
                <w:lang w:val="en-US"/>
              </w:rPr>
              <w:t xml:space="preserve">LM(10) = </w:t>
            </w:r>
            <w:r w:rsidR="0045046A" w:rsidRPr="00C673F3">
              <w:rPr>
                <w:rFonts w:ascii="Arial" w:hAnsi="Arial" w:cs="Arial"/>
                <w:sz w:val="10"/>
                <w:szCs w:val="10"/>
                <w:lang w:val="en-US"/>
              </w:rPr>
              <w:t>1.411846</w:t>
            </w:r>
            <w:r w:rsidRPr="00C673F3">
              <w:rPr>
                <w:rFonts w:ascii="Arial" w:hAnsi="Arial" w:cs="Arial"/>
                <w:sz w:val="10"/>
                <w:szCs w:val="10"/>
                <w:lang w:val="en-US"/>
              </w:rPr>
              <w:t xml:space="preserve"> (p = </w:t>
            </w:r>
            <w:r w:rsidR="0045046A" w:rsidRPr="00C673F3">
              <w:rPr>
                <w:rFonts w:ascii="Arial" w:hAnsi="Arial" w:cs="Arial"/>
                <w:sz w:val="10"/>
                <w:szCs w:val="10"/>
                <w:lang w:val="en-US"/>
              </w:rPr>
              <w:t>0.1701</w:t>
            </w:r>
            <w:r w:rsidRPr="00C673F3">
              <w:rPr>
                <w:rFonts w:ascii="Arial" w:hAnsi="Arial" w:cs="Arial"/>
                <w:sz w:val="10"/>
                <w:szCs w:val="10"/>
                <w:lang w:val="en-US"/>
              </w:rPr>
              <w:t>)</w:t>
            </w:r>
          </w:p>
          <w:p w:rsidR="008C4FCD" w:rsidRPr="00C673F3" w:rsidRDefault="008C4FCD" w:rsidP="008055CD">
            <w:pPr>
              <w:jc w:val="center"/>
              <w:rPr>
                <w:rFonts w:ascii="Arial" w:hAnsi="Arial" w:cs="Arial"/>
                <w:sz w:val="10"/>
                <w:szCs w:val="10"/>
                <w:lang w:val="en-US"/>
              </w:rPr>
            </w:pPr>
            <w:r w:rsidRPr="00C673F3">
              <w:rPr>
                <w:rFonts w:ascii="Arial" w:hAnsi="Arial" w:cs="Arial"/>
                <w:sz w:val="10"/>
                <w:szCs w:val="10"/>
                <w:lang w:val="en-US"/>
              </w:rPr>
              <w:t xml:space="preserve">Log likelihood = </w:t>
            </w:r>
            <w:r w:rsidR="0045046A" w:rsidRPr="00C673F3">
              <w:rPr>
                <w:rFonts w:ascii="Arial" w:hAnsi="Arial" w:cs="Arial"/>
                <w:sz w:val="10"/>
                <w:szCs w:val="10"/>
                <w:lang w:val="en-US"/>
              </w:rPr>
              <w:t>-720.1509</w:t>
            </w:r>
          </w:p>
        </w:tc>
        <w:tc>
          <w:tcPr>
            <w:tcW w:w="1712" w:type="dxa"/>
            <w:vAlign w:val="center"/>
          </w:tcPr>
          <w:p w:rsidR="008C4FCD" w:rsidRPr="00C673F3" w:rsidRDefault="008C4FCD" w:rsidP="008055CD">
            <w:pPr>
              <w:jc w:val="center"/>
              <w:rPr>
                <w:rFonts w:ascii="Arial" w:hAnsi="Arial" w:cs="Arial"/>
                <w:sz w:val="10"/>
                <w:szCs w:val="10"/>
                <w:lang w:val="en-US"/>
              </w:rPr>
            </w:pPr>
            <w:r w:rsidRPr="00C673F3">
              <w:rPr>
                <w:rFonts w:ascii="Arial" w:hAnsi="Arial" w:cs="Arial"/>
                <w:sz w:val="10"/>
                <w:szCs w:val="10"/>
                <w:lang w:val="en-US"/>
              </w:rPr>
              <w:t xml:space="preserve">Q(10) = </w:t>
            </w:r>
            <w:r w:rsidR="004F0EA5" w:rsidRPr="00C673F3">
              <w:rPr>
                <w:rFonts w:ascii="Arial" w:hAnsi="Arial" w:cs="Arial"/>
                <w:sz w:val="10"/>
                <w:szCs w:val="10"/>
                <w:lang w:val="en-US"/>
              </w:rPr>
              <w:t>5.0285</w:t>
            </w:r>
            <w:r w:rsidRPr="00C673F3">
              <w:rPr>
                <w:rFonts w:ascii="Arial" w:hAnsi="Arial" w:cs="Arial"/>
                <w:sz w:val="10"/>
                <w:szCs w:val="10"/>
                <w:lang w:val="en-US"/>
              </w:rPr>
              <w:t xml:space="preserve"> (p = </w:t>
            </w:r>
            <w:r w:rsidR="004F0EA5" w:rsidRPr="00C673F3">
              <w:rPr>
                <w:rFonts w:ascii="Arial" w:hAnsi="Arial" w:cs="Arial"/>
                <w:sz w:val="10"/>
                <w:szCs w:val="10"/>
                <w:lang w:val="en-US"/>
              </w:rPr>
              <w:t>0.832</w:t>
            </w:r>
            <w:r w:rsidRPr="00C673F3">
              <w:rPr>
                <w:rFonts w:ascii="Arial" w:hAnsi="Arial" w:cs="Arial"/>
                <w:sz w:val="10"/>
                <w:szCs w:val="10"/>
                <w:lang w:val="en-US"/>
              </w:rPr>
              <w:t>)</w:t>
            </w:r>
          </w:p>
          <w:p w:rsidR="008C4FCD" w:rsidRPr="00C673F3" w:rsidRDefault="00EC08C7" w:rsidP="008055CD">
            <w:pPr>
              <w:jc w:val="center"/>
              <w:rPr>
                <w:rFonts w:ascii="Arial" w:hAnsi="Arial" w:cs="Arial"/>
                <w:sz w:val="10"/>
                <w:szCs w:val="10"/>
                <w:lang w:val="en-US"/>
              </w:rPr>
            </w:pPr>
            <w:r w:rsidRPr="00C673F3">
              <w:rPr>
                <w:rFonts w:ascii="Arial" w:hAnsi="Arial" w:cs="Arial"/>
                <w:sz w:val="10"/>
                <w:szCs w:val="10"/>
                <w:lang w:val="en-US"/>
              </w:rPr>
              <w:t xml:space="preserve">LM(10) = </w:t>
            </w:r>
            <w:r w:rsidR="00306542" w:rsidRPr="00C673F3">
              <w:rPr>
                <w:rFonts w:ascii="Arial" w:hAnsi="Arial" w:cs="Arial"/>
                <w:sz w:val="10"/>
                <w:szCs w:val="10"/>
                <w:lang w:val="en-US"/>
              </w:rPr>
              <w:t>0.488563</w:t>
            </w:r>
            <w:r w:rsidR="008C4FCD" w:rsidRPr="00C673F3">
              <w:rPr>
                <w:rFonts w:ascii="Arial" w:hAnsi="Arial" w:cs="Arial"/>
                <w:sz w:val="10"/>
                <w:szCs w:val="10"/>
                <w:lang w:val="en-US"/>
              </w:rPr>
              <w:t xml:space="preserve"> (p = </w:t>
            </w:r>
            <w:r w:rsidR="00306542" w:rsidRPr="00C673F3">
              <w:rPr>
                <w:rFonts w:ascii="Arial" w:hAnsi="Arial" w:cs="Arial"/>
                <w:sz w:val="10"/>
                <w:szCs w:val="10"/>
                <w:lang w:val="en-US"/>
              </w:rPr>
              <w:t>0.8981</w:t>
            </w:r>
            <w:r w:rsidR="008C4FCD" w:rsidRPr="00C673F3">
              <w:rPr>
                <w:rFonts w:ascii="Arial" w:hAnsi="Arial" w:cs="Arial"/>
                <w:sz w:val="10"/>
                <w:szCs w:val="10"/>
                <w:lang w:val="en-US"/>
              </w:rPr>
              <w:t>)</w:t>
            </w:r>
          </w:p>
          <w:p w:rsidR="008C4FCD" w:rsidRPr="00C673F3" w:rsidRDefault="008C4FCD" w:rsidP="008055CD">
            <w:pPr>
              <w:jc w:val="center"/>
              <w:rPr>
                <w:rFonts w:ascii="Arial" w:hAnsi="Arial" w:cs="Arial"/>
                <w:sz w:val="10"/>
                <w:szCs w:val="10"/>
                <w:lang w:val="en-US"/>
              </w:rPr>
            </w:pPr>
            <w:r w:rsidRPr="00C673F3">
              <w:rPr>
                <w:rFonts w:ascii="Arial" w:hAnsi="Arial" w:cs="Arial"/>
                <w:sz w:val="10"/>
                <w:szCs w:val="10"/>
                <w:lang w:val="en-US"/>
              </w:rPr>
              <w:t xml:space="preserve">Log likelihood = </w:t>
            </w:r>
            <w:r w:rsidR="00306542" w:rsidRPr="00C673F3">
              <w:rPr>
                <w:rFonts w:ascii="Arial" w:hAnsi="Arial" w:cs="Arial"/>
                <w:sz w:val="10"/>
                <w:szCs w:val="10"/>
                <w:lang w:val="en-US"/>
              </w:rPr>
              <w:t>-705.6794</w:t>
            </w:r>
          </w:p>
        </w:tc>
        <w:tc>
          <w:tcPr>
            <w:tcW w:w="1736" w:type="dxa"/>
            <w:vAlign w:val="center"/>
          </w:tcPr>
          <w:p w:rsidR="008C4FCD" w:rsidRPr="00C673F3" w:rsidRDefault="008C4FCD" w:rsidP="008055CD">
            <w:pPr>
              <w:jc w:val="center"/>
              <w:rPr>
                <w:rFonts w:ascii="Arial" w:hAnsi="Arial" w:cs="Arial"/>
                <w:sz w:val="10"/>
                <w:szCs w:val="10"/>
                <w:lang w:val="en-US"/>
              </w:rPr>
            </w:pPr>
            <w:r w:rsidRPr="00C673F3">
              <w:rPr>
                <w:rFonts w:ascii="Arial" w:hAnsi="Arial" w:cs="Arial"/>
                <w:sz w:val="10"/>
                <w:szCs w:val="10"/>
                <w:lang w:val="en-US"/>
              </w:rPr>
              <w:t xml:space="preserve">Q(10) = </w:t>
            </w:r>
            <w:r w:rsidR="005616A2" w:rsidRPr="00C673F3">
              <w:rPr>
                <w:rFonts w:ascii="Arial" w:hAnsi="Arial" w:cs="Arial"/>
                <w:sz w:val="10"/>
                <w:szCs w:val="10"/>
                <w:lang w:val="en-US"/>
              </w:rPr>
              <w:t>4.1996</w:t>
            </w:r>
            <w:r w:rsidRPr="00C673F3">
              <w:rPr>
                <w:rFonts w:ascii="Arial" w:hAnsi="Arial" w:cs="Arial"/>
                <w:sz w:val="10"/>
                <w:szCs w:val="10"/>
                <w:lang w:val="en-US"/>
              </w:rPr>
              <w:t xml:space="preserve"> (p = </w:t>
            </w:r>
            <w:r w:rsidR="005616A2" w:rsidRPr="00C673F3">
              <w:rPr>
                <w:rFonts w:ascii="Arial" w:hAnsi="Arial" w:cs="Arial"/>
                <w:sz w:val="10"/>
                <w:szCs w:val="10"/>
                <w:lang w:val="en-US"/>
              </w:rPr>
              <w:t>0.898</w:t>
            </w:r>
            <w:r w:rsidRPr="00C673F3">
              <w:rPr>
                <w:rFonts w:ascii="Arial" w:hAnsi="Arial" w:cs="Arial"/>
                <w:sz w:val="10"/>
                <w:szCs w:val="10"/>
                <w:lang w:val="en-US"/>
              </w:rPr>
              <w:t>)</w:t>
            </w:r>
          </w:p>
          <w:p w:rsidR="008C4FCD" w:rsidRPr="00C673F3" w:rsidRDefault="008C4FCD" w:rsidP="008055CD">
            <w:pPr>
              <w:jc w:val="center"/>
              <w:rPr>
                <w:rFonts w:ascii="Arial" w:hAnsi="Arial" w:cs="Arial"/>
                <w:sz w:val="10"/>
                <w:szCs w:val="10"/>
                <w:lang w:val="en-US"/>
              </w:rPr>
            </w:pPr>
            <w:r w:rsidRPr="00C673F3">
              <w:rPr>
                <w:rFonts w:ascii="Arial" w:hAnsi="Arial" w:cs="Arial"/>
                <w:sz w:val="10"/>
                <w:szCs w:val="10"/>
                <w:lang w:val="en-US"/>
              </w:rPr>
              <w:t xml:space="preserve">LM(10) = </w:t>
            </w:r>
            <w:r w:rsidR="005616A2" w:rsidRPr="00C673F3">
              <w:rPr>
                <w:rFonts w:ascii="Arial" w:hAnsi="Arial" w:cs="Arial"/>
                <w:sz w:val="10"/>
                <w:szCs w:val="10"/>
                <w:lang w:val="en-US"/>
              </w:rPr>
              <w:t xml:space="preserve">0.292589 </w:t>
            </w:r>
            <w:r w:rsidRPr="00C673F3">
              <w:rPr>
                <w:rFonts w:ascii="Arial" w:hAnsi="Arial" w:cs="Arial"/>
                <w:sz w:val="10"/>
                <w:szCs w:val="10"/>
                <w:lang w:val="en-US"/>
              </w:rPr>
              <w:t xml:space="preserve">(p = </w:t>
            </w:r>
            <w:r w:rsidR="005616A2" w:rsidRPr="00C673F3">
              <w:rPr>
                <w:rFonts w:ascii="Arial" w:hAnsi="Arial" w:cs="Arial"/>
                <w:sz w:val="10"/>
                <w:szCs w:val="10"/>
                <w:lang w:val="en-US"/>
              </w:rPr>
              <w:t>0.9829</w:t>
            </w:r>
            <w:r w:rsidRPr="00C673F3">
              <w:rPr>
                <w:rFonts w:ascii="Arial" w:hAnsi="Arial" w:cs="Arial"/>
                <w:sz w:val="10"/>
                <w:szCs w:val="10"/>
                <w:lang w:val="en-US"/>
              </w:rPr>
              <w:t>)</w:t>
            </w:r>
          </w:p>
          <w:p w:rsidR="008C4FCD" w:rsidRPr="00C673F3" w:rsidRDefault="008C4FCD" w:rsidP="008055CD">
            <w:pPr>
              <w:jc w:val="center"/>
              <w:rPr>
                <w:rFonts w:ascii="Arial" w:hAnsi="Arial" w:cs="Arial"/>
                <w:sz w:val="10"/>
                <w:szCs w:val="10"/>
                <w:lang w:val="en-US"/>
              </w:rPr>
            </w:pPr>
            <w:r w:rsidRPr="00C673F3">
              <w:rPr>
                <w:rFonts w:ascii="Arial" w:hAnsi="Arial" w:cs="Arial"/>
                <w:sz w:val="10"/>
                <w:szCs w:val="10"/>
                <w:lang w:val="en-US"/>
              </w:rPr>
              <w:t xml:space="preserve">Log likelihood = </w:t>
            </w:r>
            <w:r w:rsidR="005616A2" w:rsidRPr="00C673F3">
              <w:rPr>
                <w:rFonts w:ascii="Arial" w:hAnsi="Arial" w:cs="Arial"/>
                <w:sz w:val="10"/>
                <w:szCs w:val="10"/>
                <w:lang w:val="en-US"/>
              </w:rPr>
              <w:t>-696.1018</w:t>
            </w:r>
          </w:p>
        </w:tc>
        <w:tc>
          <w:tcPr>
            <w:tcW w:w="1727" w:type="dxa"/>
            <w:vAlign w:val="center"/>
          </w:tcPr>
          <w:p w:rsidR="008C4FCD" w:rsidRPr="00C673F3" w:rsidRDefault="008C4FCD" w:rsidP="008055CD">
            <w:pPr>
              <w:jc w:val="center"/>
              <w:rPr>
                <w:rFonts w:ascii="Arial" w:hAnsi="Arial" w:cs="Arial"/>
                <w:sz w:val="10"/>
                <w:szCs w:val="10"/>
                <w:lang w:val="en-US"/>
              </w:rPr>
            </w:pPr>
            <w:r w:rsidRPr="00C673F3">
              <w:rPr>
                <w:rFonts w:ascii="Arial" w:hAnsi="Arial" w:cs="Arial"/>
                <w:sz w:val="10"/>
                <w:szCs w:val="10"/>
                <w:lang w:val="en-US"/>
              </w:rPr>
              <w:t xml:space="preserve">Q(10) = </w:t>
            </w:r>
            <w:r w:rsidR="00AC3020" w:rsidRPr="00C673F3">
              <w:rPr>
                <w:rFonts w:ascii="Arial" w:hAnsi="Arial" w:cs="Arial"/>
                <w:sz w:val="10"/>
                <w:szCs w:val="10"/>
                <w:lang w:val="en-US"/>
              </w:rPr>
              <w:t>12.145</w:t>
            </w:r>
            <w:r w:rsidRPr="00C673F3">
              <w:rPr>
                <w:rFonts w:ascii="Arial" w:hAnsi="Arial" w:cs="Arial"/>
                <w:sz w:val="10"/>
                <w:szCs w:val="10"/>
                <w:lang w:val="en-US"/>
              </w:rPr>
              <w:t xml:space="preserve"> (p = </w:t>
            </w:r>
            <w:r w:rsidR="00AC3020" w:rsidRPr="00C673F3">
              <w:rPr>
                <w:rFonts w:ascii="Arial" w:hAnsi="Arial" w:cs="Arial"/>
                <w:sz w:val="10"/>
                <w:szCs w:val="10"/>
                <w:lang w:val="en-US"/>
              </w:rPr>
              <w:t>0.275</w:t>
            </w:r>
            <w:r w:rsidRPr="00C673F3">
              <w:rPr>
                <w:rFonts w:ascii="Arial" w:hAnsi="Arial" w:cs="Arial"/>
                <w:sz w:val="10"/>
                <w:szCs w:val="10"/>
                <w:lang w:val="en-US"/>
              </w:rPr>
              <w:t>)</w:t>
            </w:r>
          </w:p>
          <w:p w:rsidR="008C4FCD" w:rsidRPr="00C673F3" w:rsidRDefault="008C4FCD" w:rsidP="008055CD">
            <w:pPr>
              <w:jc w:val="center"/>
              <w:rPr>
                <w:rFonts w:ascii="Arial" w:hAnsi="Arial" w:cs="Arial"/>
                <w:sz w:val="10"/>
                <w:szCs w:val="10"/>
                <w:lang w:val="en-US"/>
              </w:rPr>
            </w:pPr>
            <w:r w:rsidRPr="00C673F3">
              <w:rPr>
                <w:rFonts w:ascii="Arial" w:hAnsi="Arial" w:cs="Arial"/>
                <w:sz w:val="10"/>
                <w:szCs w:val="10"/>
                <w:lang w:val="en-US"/>
              </w:rPr>
              <w:t xml:space="preserve">LM(10) = </w:t>
            </w:r>
            <w:r w:rsidR="00AC3020" w:rsidRPr="00C673F3">
              <w:rPr>
                <w:rFonts w:ascii="Arial" w:hAnsi="Arial" w:cs="Arial"/>
                <w:sz w:val="10"/>
                <w:szCs w:val="10"/>
                <w:lang w:val="en-US"/>
              </w:rPr>
              <w:t>1.246193</w:t>
            </w:r>
            <w:r w:rsidRPr="00C673F3">
              <w:rPr>
                <w:rFonts w:ascii="Arial" w:hAnsi="Arial" w:cs="Arial"/>
                <w:sz w:val="10"/>
                <w:szCs w:val="10"/>
                <w:lang w:val="en-US"/>
              </w:rPr>
              <w:t xml:space="preserve"> (p = </w:t>
            </w:r>
            <w:r w:rsidR="00AC3020" w:rsidRPr="00C673F3">
              <w:rPr>
                <w:rFonts w:ascii="Arial" w:hAnsi="Arial" w:cs="Arial"/>
                <w:sz w:val="10"/>
                <w:szCs w:val="10"/>
                <w:lang w:val="en-US"/>
              </w:rPr>
              <w:t>0.2575</w:t>
            </w:r>
            <w:r w:rsidRPr="00C673F3">
              <w:rPr>
                <w:rFonts w:ascii="Arial" w:hAnsi="Arial" w:cs="Arial"/>
                <w:sz w:val="10"/>
                <w:szCs w:val="10"/>
                <w:lang w:val="en-US"/>
              </w:rPr>
              <w:t>)</w:t>
            </w:r>
          </w:p>
          <w:p w:rsidR="008C4FCD" w:rsidRPr="00C673F3" w:rsidRDefault="008C4FCD" w:rsidP="008055CD">
            <w:pPr>
              <w:jc w:val="center"/>
              <w:rPr>
                <w:rFonts w:ascii="Arial" w:hAnsi="Arial" w:cs="Arial"/>
                <w:sz w:val="10"/>
                <w:szCs w:val="10"/>
                <w:lang w:val="en-US"/>
              </w:rPr>
            </w:pPr>
            <w:r w:rsidRPr="00C673F3">
              <w:rPr>
                <w:rFonts w:ascii="Arial" w:hAnsi="Arial" w:cs="Arial"/>
                <w:sz w:val="10"/>
                <w:szCs w:val="10"/>
                <w:lang w:val="en-US"/>
              </w:rPr>
              <w:t xml:space="preserve">Log likelihood = </w:t>
            </w:r>
            <w:r w:rsidR="00AC3020" w:rsidRPr="00C673F3">
              <w:rPr>
                <w:rFonts w:ascii="Arial" w:hAnsi="Arial" w:cs="Arial"/>
                <w:sz w:val="10"/>
                <w:szCs w:val="10"/>
                <w:lang w:val="en-US"/>
              </w:rPr>
              <w:t>-708.2499</w:t>
            </w:r>
          </w:p>
        </w:tc>
      </w:tr>
    </w:tbl>
    <w:p w:rsidR="002F6CED" w:rsidRDefault="002F6CED" w:rsidP="00202C17">
      <w:pPr>
        <w:ind w:left="284" w:right="282"/>
        <w:jc w:val="both"/>
        <w:rPr>
          <w:rFonts w:ascii="Arial" w:hAnsi="Arial" w:cs="Arial"/>
          <w:sz w:val="16"/>
          <w:szCs w:val="16"/>
          <w:lang w:val="en-US"/>
        </w:rPr>
      </w:pPr>
    </w:p>
    <w:p w:rsidR="0090662F" w:rsidRDefault="0090662F" w:rsidP="00202C17">
      <w:pPr>
        <w:ind w:left="284" w:right="282"/>
        <w:jc w:val="both"/>
        <w:rPr>
          <w:rFonts w:ascii="Arial" w:hAnsi="Arial" w:cs="Arial"/>
          <w:sz w:val="16"/>
          <w:szCs w:val="16"/>
          <w:lang w:val="en-US"/>
        </w:rPr>
      </w:pPr>
    </w:p>
    <w:p w:rsidR="00DD4196" w:rsidRPr="00A51255" w:rsidRDefault="00DD4196" w:rsidP="00DD4196">
      <w:pPr>
        <w:tabs>
          <w:tab w:val="left" w:pos="9781"/>
        </w:tabs>
        <w:ind w:right="-1"/>
        <w:jc w:val="both"/>
        <w:rPr>
          <w:rFonts w:ascii="Arial" w:hAnsi="Arial" w:cs="Arial"/>
          <w:sz w:val="16"/>
          <w:szCs w:val="16"/>
          <w:lang w:val="en-US"/>
        </w:rPr>
      </w:pPr>
      <w:r w:rsidRPr="00A51255">
        <w:rPr>
          <w:rFonts w:ascii="Arial" w:hAnsi="Arial" w:cs="Arial"/>
          <w:sz w:val="16"/>
          <w:szCs w:val="16"/>
          <w:lang w:val="en-US"/>
        </w:rPr>
        <w:t>Notes: Values of the standard errors in the brackets. The value of the Q(10) test for autocorrelation, the LM(10) test for any remaining ARCH effects and the log likelihood are reported in the bottom rows of every panel. Number of equation in the first column indicates whether the estimated parameters relate to the variables in the mean equation or in the conditional variance equation of the GARCH model.</w:t>
      </w:r>
    </w:p>
    <w:p w:rsidR="00DD4196" w:rsidRPr="00A51255" w:rsidRDefault="00DD4196" w:rsidP="00DD4196">
      <w:pPr>
        <w:tabs>
          <w:tab w:val="left" w:pos="9781"/>
        </w:tabs>
        <w:ind w:right="-1"/>
        <w:jc w:val="both"/>
        <w:rPr>
          <w:rFonts w:ascii="Arial" w:hAnsi="Arial" w:cs="Arial"/>
          <w:sz w:val="16"/>
          <w:szCs w:val="16"/>
          <w:lang w:val="en-US"/>
        </w:rPr>
      </w:pPr>
    </w:p>
    <w:p w:rsidR="00DD4196" w:rsidRPr="00A51255" w:rsidRDefault="00DD4196" w:rsidP="00DD4196">
      <w:pPr>
        <w:tabs>
          <w:tab w:val="left" w:pos="9781"/>
        </w:tabs>
        <w:ind w:right="-1"/>
        <w:jc w:val="both"/>
        <w:rPr>
          <w:rFonts w:ascii="Arial" w:hAnsi="Arial" w:cs="Arial"/>
          <w:sz w:val="16"/>
          <w:szCs w:val="16"/>
          <w:lang w:val="en-US"/>
        </w:rPr>
      </w:pPr>
      <w:r w:rsidRPr="00A51255">
        <w:rPr>
          <w:rFonts w:ascii="Arial" w:hAnsi="Arial" w:cs="Arial"/>
          <w:sz w:val="16"/>
          <w:szCs w:val="16"/>
          <w:lang w:val="en-US"/>
        </w:rPr>
        <w:t>* - denotes significance at the 0.1 level; ** - denotes significance at the 0.05 level; *** - denotes significance at the 0.01 level</w:t>
      </w:r>
    </w:p>
    <w:p w:rsidR="00DD4196" w:rsidRPr="00A51255" w:rsidRDefault="00DD4196" w:rsidP="00DD4196">
      <w:pPr>
        <w:spacing w:line="360" w:lineRule="auto"/>
        <w:jc w:val="both"/>
        <w:rPr>
          <w:rFonts w:ascii="Arial" w:hAnsi="Arial" w:cs="Arial"/>
          <w:lang w:val="en-US"/>
        </w:rPr>
      </w:pPr>
    </w:p>
    <w:p w:rsidR="00DD4196" w:rsidRDefault="00DD4196" w:rsidP="00DD4196">
      <w:pPr>
        <w:spacing w:line="360" w:lineRule="auto"/>
        <w:jc w:val="both"/>
        <w:rPr>
          <w:rFonts w:ascii="Arial" w:hAnsi="Arial" w:cs="Arial"/>
          <w:sz w:val="20"/>
          <w:szCs w:val="20"/>
          <w:lang w:val="en-US"/>
        </w:rPr>
      </w:pPr>
    </w:p>
    <w:p w:rsidR="00DD4196" w:rsidRDefault="00DD4196" w:rsidP="00DD4196">
      <w:pPr>
        <w:spacing w:line="360" w:lineRule="auto"/>
        <w:jc w:val="both"/>
        <w:rPr>
          <w:rFonts w:ascii="Arial" w:hAnsi="Arial" w:cs="Arial"/>
          <w:sz w:val="20"/>
          <w:szCs w:val="20"/>
          <w:lang w:val="en-US"/>
        </w:rPr>
      </w:pPr>
    </w:p>
    <w:p w:rsidR="0090662F" w:rsidRDefault="0090662F" w:rsidP="00202C17">
      <w:pPr>
        <w:ind w:left="284" w:right="282"/>
        <w:jc w:val="both"/>
        <w:rPr>
          <w:rFonts w:ascii="Arial" w:hAnsi="Arial" w:cs="Arial"/>
          <w:sz w:val="16"/>
          <w:szCs w:val="16"/>
          <w:lang w:val="en-US"/>
        </w:rPr>
      </w:pPr>
      <w:r>
        <w:rPr>
          <w:rFonts w:ascii="Arial" w:hAnsi="Arial" w:cs="Arial"/>
          <w:sz w:val="16"/>
          <w:szCs w:val="16"/>
          <w:lang w:val="en-US"/>
        </w:rPr>
        <w:br w:type="page"/>
      </w:r>
    </w:p>
    <w:p w:rsidR="00481658" w:rsidRDefault="00481658" w:rsidP="0090662F">
      <w:pPr>
        <w:ind w:left="1134" w:right="282"/>
        <w:jc w:val="both"/>
        <w:rPr>
          <w:rFonts w:ascii="Arial" w:hAnsi="Arial" w:cs="Arial"/>
          <w:sz w:val="20"/>
          <w:szCs w:val="20"/>
          <w:highlight w:val="green"/>
          <w:lang w:val="en-US"/>
        </w:rPr>
      </w:pPr>
    </w:p>
    <w:p w:rsidR="00481658" w:rsidRDefault="00481658" w:rsidP="0090662F">
      <w:pPr>
        <w:ind w:left="1134" w:right="282"/>
        <w:jc w:val="both"/>
        <w:rPr>
          <w:rFonts w:ascii="Arial" w:hAnsi="Arial" w:cs="Arial"/>
          <w:sz w:val="20"/>
          <w:szCs w:val="20"/>
          <w:highlight w:val="green"/>
          <w:lang w:val="en-US"/>
        </w:rPr>
      </w:pPr>
    </w:p>
    <w:p w:rsidR="00481658" w:rsidRDefault="00481658" w:rsidP="0090662F">
      <w:pPr>
        <w:ind w:left="1134" w:right="282"/>
        <w:jc w:val="both"/>
        <w:rPr>
          <w:rFonts w:ascii="Arial" w:hAnsi="Arial" w:cs="Arial"/>
          <w:sz w:val="20"/>
          <w:szCs w:val="20"/>
          <w:highlight w:val="green"/>
          <w:lang w:val="en-US"/>
        </w:rPr>
      </w:pPr>
    </w:p>
    <w:p w:rsidR="00363846" w:rsidRDefault="00363846" w:rsidP="0090662F">
      <w:pPr>
        <w:ind w:left="1134" w:right="282"/>
        <w:jc w:val="both"/>
        <w:rPr>
          <w:rFonts w:ascii="Arial" w:hAnsi="Arial" w:cs="Arial"/>
          <w:sz w:val="20"/>
          <w:szCs w:val="20"/>
          <w:highlight w:val="green"/>
          <w:lang w:val="en-US"/>
        </w:rPr>
      </w:pPr>
    </w:p>
    <w:p w:rsidR="00363846" w:rsidRDefault="00363846" w:rsidP="0090662F">
      <w:pPr>
        <w:ind w:left="1134" w:right="282"/>
        <w:jc w:val="both"/>
        <w:rPr>
          <w:rFonts w:ascii="Arial" w:hAnsi="Arial" w:cs="Arial"/>
          <w:sz w:val="20"/>
          <w:szCs w:val="20"/>
          <w:highlight w:val="green"/>
          <w:lang w:val="en-US"/>
        </w:rPr>
      </w:pPr>
    </w:p>
    <w:p w:rsidR="00DD4196" w:rsidRDefault="00DD4196" w:rsidP="00DD4196">
      <w:pPr>
        <w:tabs>
          <w:tab w:val="left" w:pos="13183"/>
        </w:tabs>
        <w:spacing w:line="0" w:lineRule="atLeast"/>
        <w:ind w:right="-1"/>
        <w:jc w:val="both"/>
        <w:rPr>
          <w:rFonts w:ascii="Arial" w:hAnsi="Arial" w:cs="Arial"/>
          <w:sz w:val="20"/>
          <w:szCs w:val="20"/>
          <w:highlight w:val="green"/>
          <w:lang w:val="en-US"/>
        </w:rPr>
      </w:pPr>
    </w:p>
    <w:p w:rsidR="009B2403" w:rsidRDefault="00DD4196" w:rsidP="00DD4196">
      <w:pPr>
        <w:tabs>
          <w:tab w:val="left" w:pos="13183"/>
        </w:tabs>
        <w:spacing w:line="0" w:lineRule="atLeast"/>
        <w:ind w:right="-1"/>
        <w:jc w:val="both"/>
        <w:rPr>
          <w:rFonts w:ascii="Arial" w:hAnsi="Arial" w:cs="Arial"/>
          <w:sz w:val="20"/>
          <w:szCs w:val="20"/>
          <w:lang w:val="en-US"/>
        </w:rPr>
      </w:pPr>
      <w:r w:rsidRPr="007E0364">
        <w:rPr>
          <w:rFonts w:ascii="Arial" w:hAnsi="Arial" w:cs="Arial"/>
          <w:sz w:val="20"/>
          <w:szCs w:val="20"/>
          <w:lang w:val="en-US"/>
        </w:rPr>
        <w:t>Table 3</w:t>
      </w:r>
      <w:r w:rsidR="00B90557" w:rsidRPr="007E0364">
        <w:rPr>
          <w:rFonts w:ascii="Arial" w:hAnsi="Arial" w:cs="Arial"/>
          <w:sz w:val="20"/>
          <w:szCs w:val="20"/>
          <w:lang w:val="en-US"/>
        </w:rPr>
        <w:t>b</w:t>
      </w:r>
      <w:r w:rsidRPr="007E0364">
        <w:rPr>
          <w:rFonts w:ascii="Arial" w:hAnsi="Arial" w:cs="Arial"/>
          <w:sz w:val="20"/>
          <w:szCs w:val="20"/>
          <w:lang w:val="en-US"/>
        </w:rPr>
        <w:t xml:space="preserve">. </w:t>
      </w:r>
      <w:r w:rsidR="009B2403" w:rsidRPr="007E0364">
        <w:rPr>
          <w:rFonts w:ascii="Arial" w:hAnsi="Arial" w:cs="Arial"/>
          <w:sz w:val="20"/>
          <w:szCs w:val="20"/>
          <w:lang w:val="en-US"/>
        </w:rPr>
        <w:t>Results for foreign exchange rate returns</w:t>
      </w:r>
      <w:r w:rsidR="007E0364" w:rsidRPr="007E0364">
        <w:rPr>
          <w:rFonts w:ascii="Arial" w:hAnsi="Arial" w:cs="Arial"/>
          <w:sz w:val="20"/>
          <w:szCs w:val="20"/>
          <w:lang w:val="en-US"/>
        </w:rPr>
        <w:t xml:space="preserve"> models on day </w:t>
      </w:r>
      <w:r w:rsidR="007E0364" w:rsidRPr="007E0364">
        <w:rPr>
          <w:i/>
          <w:sz w:val="20"/>
          <w:szCs w:val="20"/>
          <w:lang w:val="en-US"/>
        </w:rPr>
        <w:t>t+1</w:t>
      </w:r>
      <w:r w:rsidR="007E0364" w:rsidRPr="007E0364">
        <w:rPr>
          <w:rFonts w:ascii="Arial" w:hAnsi="Arial" w:cs="Arial"/>
          <w:sz w:val="20"/>
          <w:szCs w:val="20"/>
          <w:lang w:val="en-US"/>
        </w:rPr>
        <w:t>.</w:t>
      </w:r>
    </w:p>
    <w:p w:rsidR="009B2403" w:rsidRDefault="009B2403" w:rsidP="00DD4196">
      <w:pPr>
        <w:tabs>
          <w:tab w:val="left" w:pos="13183"/>
        </w:tabs>
        <w:spacing w:line="0" w:lineRule="atLeast"/>
        <w:ind w:right="-1"/>
        <w:jc w:val="both"/>
        <w:rPr>
          <w:rFonts w:ascii="Arial" w:hAnsi="Arial" w:cs="Arial"/>
          <w:sz w:val="20"/>
          <w:szCs w:val="20"/>
          <w:lang w:val="en-US"/>
        </w:rPr>
      </w:pPr>
    </w:p>
    <w:p w:rsidR="00DD4196" w:rsidRDefault="009B2403" w:rsidP="00DD4196">
      <w:pPr>
        <w:tabs>
          <w:tab w:val="left" w:pos="13183"/>
        </w:tabs>
        <w:spacing w:line="0" w:lineRule="atLeast"/>
        <w:ind w:right="-1"/>
        <w:jc w:val="both"/>
        <w:rPr>
          <w:rFonts w:ascii="Arial" w:hAnsi="Arial" w:cs="Arial"/>
          <w:sz w:val="20"/>
          <w:szCs w:val="20"/>
          <w:lang w:val="en-US"/>
        </w:rPr>
      </w:pPr>
      <w:r>
        <w:rPr>
          <w:rFonts w:ascii="Arial" w:hAnsi="Arial" w:cs="Arial"/>
          <w:sz w:val="20"/>
          <w:szCs w:val="20"/>
          <w:lang w:val="en-US"/>
        </w:rPr>
        <w:t>This table reports e</w:t>
      </w:r>
      <w:r w:rsidR="00DD4196" w:rsidRPr="0063181F">
        <w:rPr>
          <w:rFonts w:ascii="Arial" w:hAnsi="Arial" w:cs="Arial"/>
          <w:sz w:val="20"/>
          <w:szCs w:val="20"/>
          <w:lang w:val="en-US"/>
        </w:rPr>
        <w:t>stimates</w:t>
      </w:r>
      <w:r w:rsidR="00DD4196" w:rsidRPr="00A51255">
        <w:rPr>
          <w:rFonts w:ascii="Arial" w:hAnsi="Arial" w:cs="Arial"/>
          <w:sz w:val="20"/>
          <w:szCs w:val="20"/>
          <w:lang w:val="en-US"/>
        </w:rPr>
        <w:t xml:space="preserve"> of dummy variables for the NBP announcements days with unexpected announcements of different strength </w:t>
      </w:r>
      <w:r w:rsidR="00DD4196">
        <w:rPr>
          <w:rFonts w:ascii="Arial" w:hAnsi="Arial" w:cs="Arial"/>
          <w:sz w:val="20"/>
          <w:szCs w:val="20"/>
          <w:lang w:val="en-US"/>
        </w:rPr>
        <w:t xml:space="preserve">on day </w:t>
      </w:r>
      <w:r w:rsidR="00DD4196" w:rsidRPr="00731796">
        <w:rPr>
          <w:i/>
          <w:sz w:val="18"/>
          <w:szCs w:val="18"/>
          <w:lang w:val="en-GB"/>
        </w:rPr>
        <w:t>t+1</w:t>
      </w:r>
      <w:r w:rsidR="00DD4196">
        <w:rPr>
          <w:rFonts w:ascii="Arial" w:hAnsi="Arial" w:cs="Arial"/>
          <w:sz w:val="20"/>
          <w:szCs w:val="20"/>
          <w:lang w:val="en-US"/>
        </w:rPr>
        <w:t xml:space="preserve"> </w:t>
      </w:r>
      <w:r w:rsidR="00DD4196" w:rsidRPr="00A51255">
        <w:rPr>
          <w:rFonts w:ascii="Arial" w:hAnsi="Arial" w:cs="Arial"/>
          <w:sz w:val="20"/>
          <w:szCs w:val="20"/>
          <w:lang w:val="en-US"/>
        </w:rPr>
        <w:t xml:space="preserve">in the </w:t>
      </w:r>
      <w:r w:rsidR="00DD4196">
        <w:rPr>
          <w:rFonts w:ascii="Arial" w:hAnsi="Arial" w:cs="Arial"/>
          <w:sz w:val="20"/>
          <w:szCs w:val="20"/>
          <w:lang w:val="en-US"/>
        </w:rPr>
        <w:t xml:space="preserve">mean equation </w:t>
      </w:r>
      <w:r w:rsidR="00C65448">
        <w:rPr>
          <w:rFonts w:ascii="Arial" w:hAnsi="Arial" w:cs="Arial"/>
          <w:sz w:val="20"/>
          <w:szCs w:val="20"/>
          <w:lang w:val="en-US"/>
        </w:rPr>
        <w:t>(</w:t>
      </w:r>
      <w:r w:rsidR="00DD4196">
        <w:rPr>
          <w:rFonts w:ascii="Arial" w:hAnsi="Arial" w:cs="Arial"/>
          <w:sz w:val="20"/>
          <w:szCs w:val="20"/>
          <w:lang w:val="en-US"/>
        </w:rPr>
        <w:t>1)</w:t>
      </w:r>
      <w:r w:rsidR="00DD4196" w:rsidRPr="00A51255">
        <w:rPr>
          <w:rFonts w:ascii="Arial" w:hAnsi="Arial" w:cs="Arial"/>
          <w:sz w:val="20"/>
          <w:szCs w:val="20"/>
          <w:lang w:val="en-US"/>
        </w:rPr>
        <w:t xml:space="preserve">: </w:t>
      </w:r>
    </w:p>
    <w:p w:rsidR="00DD4196" w:rsidRDefault="00DD4196" w:rsidP="00DD4196">
      <w:pPr>
        <w:tabs>
          <w:tab w:val="left" w:pos="13183"/>
        </w:tabs>
        <w:spacing w:line="0" w:lineRule="atLeast"/>
        <w:ind w:right="-1"/>
        <w:jc w:val="center"/>
        <w:rPr>
          <w:rFonts w:ascii="Arial" w:hAnsi="Arial" w:cs="Arial"/>
          <w:lang w:val="en-US"/>
        </w:rPr>
      </w:pPr>
      <w:r w:rsidRPr="00A51255">
        <w:rPr>
          <w:rFonts w:ascii="Arial" w:hAnsi="Arial" w:cs="Arial"/>
          <w:position w:val="-28"/>
          <w:lang w:val="en-US"/>
        </w:rPr>
        <w:object w:dxaOrig="8000" w:dyaOrig="680">
          <v:shape id="_x0000_i1091" type="#_x0000_t75" style="width:348.45pt;height:29.55pt" o:ole="">
            <v:imagedata r:id="rId90" o:title=""/>
          </v:shape>
          <o:OLEObject Type="Embed" ProgID="Equation.3" ShapeID="_x0000_i1091" DrawAspect="Content" ObjectID="_1507543438" r:id="rId126"/>
        </w:object>
      </w:r>
    </w:p>
    <w:p w:rsidR="00DD4196" w:rsidRPr="00A51255" w:rsidRDefault="00DD4196" w:rsidP="00DD4196">
      <w:pPr>
        <w:tabs>
          <w:tab w:val="left" w:pos="13183"/>
        </w:tabs>
        <w:spacing w:line="0" w:lineRule="atLeast"/>
        <w:ind w:right="-1"/>
        <w:rPr>
          <w:rFonts w:ascii="Arial" w:hAnsi="Arial" w:cs="Arial"/>
          <w:sz w:val="20"/>
          <w:szCs w:val="20"/>
          <w:lang w:val="en-US"/>
        </w:rPr>
      </w:pPr>
      <w:r>
        <w:rPr>
          <w:rFonts w:ascii="Arial" w:hAnsi="Arial" w:cs="Arial"/>
          <w:sz w:val="20"/>
          <w:szCs w:val="20"/>
          <w:lang w:val="en-US"/>
        </w:rPr>
        <w:t xml:space="preserve">and in the </w:t>
      </w:r>
      <w:r w:rsidRPr="00A51255">
        <w:rPr>
          <w:rFonts w:ascii="Arial" w:hAnsi="Arial" w:cs="Arial"/>
          <w:sz w:val="20"/>
          <w:szCs w:val="20"/>
          <w:lang w:val="en-US"/>
        </w:rPr>
        <w:t>conditional variance equation</w:t>
      </w:r>
      <w:r>
        <w:rPr>
          <w:rFonts w:ascii="Arial" w:hAnsi="Arial" w:cs="Arial"/>
          <w:sz w:val="20"/>
          <w:szCs w:val="20"/>
          <w:lang w:val="en-US"/>
        </w:rPr>
        <w:t xml:space="preserve"> </w:t>
      </w:r>
      <w:r w:rsidR="00C65448">
        <w:rPr>
          <w:rFonts w:ascii="Arial" w:hAnsi="Arial" w:cs="Arial"/>
          <w:sz w:val="20"/>
          <w:szCs w:val="20"/>
          <w:lang w:val="en-US"/>
        </w:rPr>
        <w:t>(</w:t>
      </w:r>
      <w:r>
        <w:rPr>
          <w:rFonts w:ascii="Arial" w:hAnsi="Arial" w:cs="Arial"/>
          <w:sz w:val="20"/>
          <w:szCs w:val="20"/>
          <w:lang w:val="en-US"/>
        </w:rPr>
        <w:t>2)</w:t>
      </w:r>
      <w:r w:rsidRPr="00A51255">
        <w:rPr>
          <w:rFonts w:ascii="Arial" w:hAnsi="Arial" w:cs="Arial"/>
          <w:sz w:val="20"/>
          <w:szCs w:val="20"/>
          <w:lang w:val="en-US"/>
        </w:rPr>
        <w:t>:</w:t>
      </w:r>
    </w:p>
    <w:p w:rsidR="00DD4196" w:rsidRPr="00A51255" w:rsidRDefault="00B848AC" w:rsidP="00DD4196">
      <w:pPr>
        <w:tabs>
          <w:tab w:val="left" w:pos="13183"/>
        </w:tabs>
        <w:spacing w:line="0" w:lineRule="atLeast"/>
        <w:ind w:right="-1"/>
        <w:jc w:val="center"/>
        <w:rPr>
          <w:rFonts w:ascii="Garamond" w:hAnsi="Garamond"/>
          <w:i/>
          <w:lang w:val="de-DE"/>
        </w:rPr>
      </w:pPr>
      <w:r w:rsidRPr="005A7308">
        <w:rPr>
          <w:rFonts w:ascii="Garamond" w:hAnsi="Garamond"/>
          <w:i/>
          <w:position w:val="-30"/>
          <w:lang w:val="de-DE"/>
        </w:rPr>
        <w:object w:dxaOrig="6480" w:dyaOrig="700">
          <v:shape id="_x0000_i1092" type="#_x0000_t75" style="width:294.45pt;height:30.85pt" o:ole="">
            <v:imagedata r:id="rId127" o:title=""/>
          </v:shape>
          <o:OLEObject Type="Embed" ProgID="Equation.3" ShapeID="_x0000_i1092" DrawAspect="Content" ObjectID="_1507543439" r:id="rId128"/>
        </w:object>
      </w:r>
    </w:p>
    <w:p w:rsidR="00DD4196" w:rsidRDefault="00DD4196" w:rsidP="00DD4196">
      <w:pPr>
        <w:tabs>
          <w:tab w:val="left" w:pos="13183"/>
        </w:tabs>
        <w:spacing w:line="0" w:lineRule="atLeast"/>
        <w:ind w:right="-1"/>
        <w:jc w:val="both"/>
        <w:rPr>
          <w:rFonts w:ascii="Arial" w:hAnsi="Arial" w:cs="Arial"/>
          <w:sz w:val="20"/>
          <w:szCs w:val="20"/>
          <w:lang w:val="en-US"/>
        </w:rPr>
      </w:pPr>
      <w:r w:rsidRPr="007979AD">
        <w:rPr>
          <w:rFonts w:ascii="Arial" w:hAnsi="Arial" w:cs="Arial"/>
          <w:sz w:val="20"/>
          <w:szCs w:val="20"/>
          <w:lang w:val="en-GB"/>
        </w:rPr>
        <w:t>f</w:t>
      </w:r>
      <w:r w:rsidRPr="00A51255">
        <w:rPr>
          <w:rFonts w:ascii="Arial" w:hAnsi="Arial" w:cs="Arial"/>
          <w:sz w:val="20"/>
          <w:szCs w:val="20"/>
          <w:lang w:val="en-US"/>
        </w:rPr>
        <w:t xml:space="preserve">rom the GARCH model </w:t>
      </w:r>
      <w:r w:rsidR="00C65448">
        <w:rPr>
          <w:rFonts w:ascii="Arial" w:hAnsi="Arial" w:cs="Arial"/>
          <w:sz w:val="20"/>
          <w:szCs w:val="20"/>
          <w:lang w:val="en-US"/>
        </w:rPr>
        <w:t>(</w:t>
      </w:r>
      <w:r>
        <w:rPr>
          <w:rFonts w:ascii="Arial" w:hAnsi="Arial" w:cs="Arial"/>
          <w:sz w:val="20"/>
          <w:szCs w:val="20"/>
          <w:lang w:val="en-US"/>
        </w:rPr>
        <w:t xml:space="preserve">1) - </w:t>
      </w:r>
      <w:r w:rsidR="00C65448">
        <w:rPr>
          <w:rFonts w:ascii="Arial" w:hAnsi="Arial" w:cs="Arial"/>
          <w:sz w:val="20"/>
          <w:szCs w:val="20"/>
          <w:lang w:val="en-US"/>
        </w:rPr>
        <w:t>(</w:t>
      </w:r>
      <w:r>
        <w:rPr>
          <w:rFonts w:ascii="Arial" w:hAnsi="Arial" w:cs="Arial"/>
          <w:sz w:val="20"/>
          <w:szCs w:val="20"/>
          <w:lang w:val="en-US"/>
        </w:rPr>
        <w:t>2)</w:t>
      </w:r>
      <w:r w:rsidRPr="00A51255">
        <w:rPr>
          <w:rFonts w:ascii="Arial" w:hAnsi="Arial" w:cs="Arial"/>
          <w:sz w:val="20"/>
          <w:szCs w:val="20"/>
          <w:lang w:val="en-US"/>
        </w:rPr>
        <w:t xml:space="preserve"> of th</w:t>
      </w:r>
      <w:r>
        <w:rPr>
          <w:rFonts w:ascii="Arial" w:hAnsi="Arial" w:cs="Arial"/>
          <w:sz w:val="20"/>
          <w:szCs w:val="20"/>
          <w:lang w:val="en-US"/>
        </w:rPr>
        <w:t>e PLN/USD exchange rate returns.</w:t>
      </w:r>
    </w:p>
    <w:p w:rsidR="00DD4196" w:rsidRDefault="00DD4196" w:rsidP="00DD4196">
      <w:pPr>
        <w:tabs>
          <w:tab w:val="left" w:pos="13183"/>
        </w:tabs>
        <w:spacing w:line="0" w:lineRule="atLeast"/>
        <w:ind w:right="-1"/>
        <w:jc w:val="both"/>
        <w:rPr>
          <w:rFonts w:ascii="Arial" w:hAnsi="Arial" w:cs="Arial"/>
          <w:sz w:val="20"/>
          <w:szCs w:val="20"/>
          <w:lang w:val="en-US"/>
        </w:rPr>
      </w:pPr>
    </w:p>
    <w:p w:rsidR="00481658" w:rsidRDefault="00481658" w:rsidP="0090662F">
      <w:pPr>
        <w:ind w:left="1134" w:right="282"/>
        <w:jc w:val="both"/>
        <w:rPr>
          <w:rFonts w:ascii="Arial" w:hAnsi="Arial" w:cs="Arial"/>
          <w:sz w:val="20"/>
          <w:szCs w:val="20"/>
          <w:highlight w:val="green"/>
          <w:lang w:val="en-US"/>
        </w:rPr>
      </w:pPr>
    </w:p>
    <w:p w:rsidR="00481658" w:rsidRDefault="00481658" w:rsidP="0090662F">
      <w:pPr>
        <w:ind w:left="1134" w:right="282"/>
        <w:jc w:val="both"/>
        <w:rPr>
          <w:rFonts w:ascii="Arial" w:hAnsi="Arial" w:cs="Arial"/>
          <w:sz w:val="20"/>
          <w:szCs w:val="20"/>
          <w:highlight w:val="green"/>
          <w:lang w:val="en-US"/>
        </w:rPr>
      </w:pPr>
    </w:p>
    <w:p w:rsidR="0090662F" w:rsidRDefault="0090662F" w:rsidP="00202C17">
      <w:pPr>
        <w:ind w:left="284" w:right="282"/>
        <w:jc w:val="both"/>
        <w:rPr>
          <w:rFonts w:ascii="Arial" w:hAnsi="Arial" w:cs="Arial"/>
          <w:sz w:val="16"/>
          <w:szCs w:val="16"/>
          <w:lang w:val="en-US"/>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851"/>
        <w:gridCol w:w="1888"/>
        <w:gridCol w:w="1700"/>
        <w:gridCol w:w="1771"/>
        <w:gridCol w:w="1783"/>
      </w:tblGrid>
      <w:tr w:rsidR="00F726D6" w:rsidRPr="00A51255" w:rsidTr="00F726D6">
        <w:trPr>
          <w:jc w:val="center"/>
        </w:trPr>
        <w:tc>
          <w:tcPr>
            <w:tcW w:w="402" w:type="dxa"/>
            <w:vAlign w:val="center"/>
          </w:tcPr>
          <w:p w:rsidR="00BA647F" w:rsidRPr="00124F83" w:rsidRDefault="00BA647F" w:rsidP="008055CD">
            <w:pPr>
              <w:spacing w:line="360" w:lineRule="auto"/>
              <w:jc w:val="center"/>
              <w:rPr>
                <w:rFonts w:ascii="Arial" w:hAnsi="Arial" w:cs="Arial"/>
                <w:sz w:val="16"/>
                <w:szCs w:val="16"/>
                <w:lang w:val="de-DE"/>
              </w:rPr>
            </w:pPr>
            <w:r w:rsidRPr="00A51255">
              <w:rPr>
                <w:rFonts w:ascii="Arial" w:hAnsi="Arial" w:cs="Arial"/>
                <w:sz w:val="16"/>
                <w:szCs w:val="16"/>
                <w:lang w:val="de-DE"/>
              </w:rPr>
              <w:t>Eq.</w:t>
            </w:r>
          </w:p>
        </w:tc>
        <w:tc>
          <w:tcPr>
            <w:tcW w:w="9048" w:type="dxa"/>
            <w:gridSpan w:val="5"/>
            <w:vAlign w:val="center"/>
          </w:tcPr>
          <w:p w:rsidR="00A319D8" w:rsidRDefault="00A319D8" w:rsidP="008055CD">
            <w:pPr>
              <w:jc w:val="center"/>
              <w:rPr>
                <w:rFonts w:ascii="Arial" w:hAnsi="Arial" w:cs="Arial"/>
                <w:b/>
                <w:sz w:val="18"/>
                <w:szCs w:val="18"/>
                <w:lang w:val="de-DE"/>
              </w:rPr>
            </w:pPr>
          </w:p>
          <w:p w:rsidR="00BA647F" w:rsidRDefault="00BA647F" w:rsidP="008055CD">
            <w:pPr>
              <w:jc w:val="center"/>
              <w:rPr>
                <w:b/>
                <w:i/>
                <w:sz w:val="18"/>
                <w:szCs w:val="18"/>
                <w:lang w:val="de-DE"/>
              </w:rPr>
            </w:pPr>
            <w:r w:rsidRPr="004F48F0">
              <w:rPr>
                <w:rFonts w:ascii="Arial" w:hAnsi="Arial" w:cs="Arial"/>
                <w:b/>
                <w:sz w:val="18"/>
                <w:szCs w:val="18"/>
                <w:lang w:val="de-DE"/>
              </w:rPr>
              <w:t xml:space="preserve">On day </w:t>
            </w:r>
            <w:r w:rsidRPr="004F48F0">
              <w:rPr>
                <w:b/>
                <w:i/>
                <w:sz w:val="18"/>
                <w:szCs w:val="18"/>
                <w:lang w:val="de-DE"/>
              </w:rPr>
              <w:t>t</w:t>
            </w:r>
            <w:r>
              <w:rPr>
                <w:b/>
                <w:i/>
                <w:sz w:val="18"/>
                <w:szCs w:val="18"/>
                <w:lang w:val="de-DE"/>
              </w:rPr>
              <w:t>+1</w:t>
            </w:r>
          </w:p>
          <w:p w:rsidR="00A319D8" w:rsidRPr="004F48F0" w:rsidRDefault="00A319D8" w:rsidP="008055CD">
            <w:pPr>
              <w:jc w:val="center"/>
              <w:rPr>
                <w:rFonts w:ascii="Arial" w:hAnsi="Arial" w:cs="Arial"/>
                <w:b/>
                <w:sz w:val="18"/>
                <w:szCs w:val="18"/>
                <w:lang w:val="de-DE"/>
              </w:rPr>
            </w:pPr>
          </w:p>
        </w:tc>
      </w:tr>
      <w:tr w:rsidR="00BA647F" w:rsidRPr="00A51255" w:rsidTr="00F726D6">
        <w:trPr>
          <w:jc w:val="center"/>
        </w:trPr>
        <w:tc>
          <w:tcPr>
            <w:tcW w:w="9450" w:type="dxa"/>
            <w:gridSpan w:val="6"/>
            <w:vAlign w:val="center"/>
          </w:tcPr>
          <w:p w:rsidR="00A319D8" w:rsidRDefault="00A319D8" w:rsidP="008055CD">
            <w:pPr>
              <w:jc w:val="center"/>
              <w:rPr>
                <w:rFonts w:ascii="Arial" w:hAnsi="Arial" w:cs="Arial"/>
                <w:b/>
                <w:sz w:val="18"/>
                <w:szCs w:val="18"/>
                <w:lang w:val="de-DE"/>
              </w:rPr>
            </w:pPr>
          </w:p>
          <w:p w:rsidR="00BA647F" w:rsidRDefault="00BA647F" w:rsidP="008055CD">
            <w:pPr>
              <w:jc w:val="center"/>
              <w:rPr>
                <w:rFonts w:ascii="Arial" w:hAnsi="Arial" w:cs="Arial"/>
                <w:b/>
                <w:sz w:val="18"/>
                <w:szCs w:val="18"/>
                <w:lang w:val="de-DE"/>
              </w:rPr>
            </w:pPr>
            <w:r w:rsidRPr="009D3E6A">
              <w:rPr>
                <w:rFonts w:ascii="Arial" w:hAnsi="Arial" w:cs="Arial"/>
                <w:b/>
                <w:sz w:val="18"/>
                <w:szCs w:val="18"/>
                <w:lang w:val="de-DE"/>
              </w:rPr>
              <w:t>Mean equation:</w:t>
            </w:r>
          </w:p>
          <w:p w:rsidR="00A319D8" w:rsidRDefault="00A319D8" w:rsidP="008055CD">
            <w:pPr>
              <w:jc w:val="center"/>
              <w:rPr>
                <w:rFonts w:ascii="Arial" w:hAnsi="Arial" w:cs="Arial"/>
                <w:sz w:val="20"/>
                <w:szCs w:val="20"/>
                <w:lang w:val="de-DE"/>
              </w:rPr>
            </w:pPr>
          </w:p>
        </w:tc>
      </w:tr>
      <w:tr w:rsidR="00F726D6" w:rsidRPr="00A51255" w:rsidTr="00F726D6">
        <w:trPr>
          <w:jc w:val="center"/>
        </w:trPr>
        <w:tc>
          <w:tcPr>
            <w:tcW w:w="402" w:type="dxa"/>
            <w:vAlign w:val="center"/>
          </w:tcPr>
          <w:p w:rsidR="00BA647F" w:rsidRPr="00A51255" w:rsidRDefault="00C65448" w:rsidP="008055CD">
            <w:pPr>
              <w:spacing w:line="360" w:lineRule="auto"/>
              <w:jc w:val="center"/>
              <w:rPr>
                <w:rFonts w:ascii="Arial" w:hAnsi="Arial" w:cs="Arial"/>
                <w:sz w:val="16"/>
                <w:szCs w:val="16"/>
                <w:lang w:val="de-DE"/>
              </w:rPr>
            </w:pPr>
            <w:r>
              <w:rPr>
                <w:rFonts w:ascii="Arial" w:hAnsi="Arial" w:cs="Arial"/>
                <w:sz w:val="16"/>
                <w:szCs w:val="16"/>
                <w:lang w:val="de-DE"/>
              </w:rPr>
              <w:t>(</w:t>
            </w:r>
            <w:r w:rsidR="00BA647F">
              <w:rPr>
                <w:rFonts w:ascii="Arial" w:hAnsi="Arial" w:cs="Arial"/>
                <w:sz w:val="16"/>
                <w:szCs w:val="16"/>
                <w:lang w:val="de-DE"/>
              </w:rPr>
              <w:t>1)</w:t>
            </w:r>
          </w:p>
        </w:tc>
        <w:tc>
          <w:tcPr>
            <w:tcW w:w="1856" w:type="dxa"/>
            <w:vAlign w:val="center"/>
          </w:tcPr>
          <w:p w:rsidR="00BA647F" w:rsidRPr="004F48F0" w:rsidRDefault="00BA647F" w:rsidP="008055CD">
            <w:pPr>
              <w:jc w:val="center"/>
              <w:rPr>
                <w:rFonts w:ascii="Arial" w:hAnsi="Arial" w:cs="Arial"/>
                <w:b/>
                <w:sz w:val="18"/>
                <w:szCs w:val="18"/>
                <w:lang w:val="de-DE"/>
              </w:rPr>
            </w:pPr>
            <w:r w:rsidRPr="00067CE5">
              <w:rPr>
                <w:position w:val="-12"/>
              </w:rPr>
              <w:object w:dxaOrig="300" w:dyaOrig="360">
                <v:shape id="_x0000_i1093" type="#_x0000_t75" style="width:14.15pt;height:18pt" o:ole="">
                  <v:imagedata r:id="rId94" o:title=""/>
                </v:shape>
                <o:OLEObject Type="Embed" ProgID="Equation.3" ShapeID="_x0000_i1093" DrawAspect="Content" ObjectID="_1507543440" r:id="rId129"/>
              </w:object>
            </w:r>
          </w:p>
        </w:tc>
        <w:tc>
          <w:tcPr>
            <w:tcW w:w="1902" w:type="dxa"/>
            <w:vAlign w:val="center"/>
          </w:tcPr>
          <w:p w:rsidR="00BA647F" w:rsidRPr="00A51255" w:rsidRDefault="001958C1" w:rsidP="008055CD">
            <w:pPr>
              <w:jc w:val="center"/>
              <w:rPr>
                <w:rFonts w:ascii="Arial" w:hAnsi="Arial" w:cs="Arial"/>
                <w:sz w:val="20"/>
                <w:szCs w:val="20"/>
                <w:lang w:val="de-DE"/>
              </w:rPr>
            </w:pPr>
            <w:r w:rsidRPr="001958C1">
              <w:rPr>
                <w:rFonts w:ascii="Arial" w:hAnsi="Arial" w:cs="Arial"/>
                <w:sz w:val="20"/>
                <w:szCs w:val="20"/>
                <w:lang w:val="de-DE"/>
              </w:rPr>
              <w:t>0.055755</w:t>
            </w:r>
          </w:p>
          <w:p w:rsidR="00BA647F" w:rsidRPr="00A51255" w:rsidRDefault="00BA647F" w:rsidP="008055CD">
            <w:pPr>
              <w:jc w:val="center"/>
              <w:rPr>
                <w:lang w:val="en-US"/>
              </w:rPr>
            </w:pPr>
            <w:r>
              <w:rPr>
                <w:rFonts w:ascii="Arial" w:hAnsi="Arial" w:cs="Arial"/>
                <w:sz w:val="16"/>
                <w:szCs w:val="16"/>
                <w:lang w:val="de-DE"/>
              </w:rPr>
              <w:t>(</w:t>
            </w:r>
            <w:r w:rsidR="001958C1" w:rsidRPr="001958C1">
              <w:rPr>
                <w:rFonts w:ascii="Arial" w:hAnsi="Arial" w:cs="Arial"/>
                <w:sz w:val="16"/>
                <w:szCs w:val="16"/>
                <w:lang w:val="de-DE"/>
              </w:rPr>
              <w:t>0.054487</w:t>
            </w:r>
            <w:r w:rsidRPr="00A51255">
              <w:rPr>
                <w:rFonts w:ascii="Arial" w:hAnsi="Arial" w:cs="Arial"/>
                <w:sz w:val="16"/>
                <w:szCs w:val="16"/>
                <w:lang w:val="de-DE"/>
              </w:rPr>
              <w:t>)</w:t>
            </w:r>
          </w:p>
        </w:tc>
        <w:tc>
          <w:tcPr>
            <w:tcW w:w="1711" w:type="dxa"/>
            <w:vAlign w:val="center"/>
          </w:tcPr>
          <w:p w:rsidR="00BA647F" w:rsidRPr="00A51255" w:rsidRDefault="00033D3D" w:rsidP="008055CD">
            <w:pPr>
              <w:jc w:val="center"/>
              <w:rPr>
                <w:rFonts w:ascii="Arial" w:hAnsi="Arial" w:cs="Arial"/>
                <w:sz w:val="20"/>
                <w:szCs w:val="20"/>
                <w:lang w:val="de-DE"/>
              </w:rPr>
            </w:pPr>
            <w:r w:rsidRPr="00033D3D">
              <w:rPr>
                <w:rFonts w:ascii="Arial" w:hAnsi="Arial" w:cs="Arial"/>
                <w:sz w:val="20"/>
                <w:szCs w:val="20"/>
                <w:lang w:val="de-DE"/>
              </w:rPr>
              <w:t>0.038627</w:t>
            </w:r>
          </w:p>
          <w:p w:rsidR="00BA647F" w:rsidRPr="00A51255" w:rsidRDefault="00BA647F" w:rsidP="008055CD">
            <w:pPr>
              <w:jc w:val="center"/>
              <w:rPr>
                <w:lang w:val="en-US"/>
              </w:rPr>
            </w:pPr>
            <w:r>
              <w:rPr>
                <w:rFonts w:ascii="Arial" w:hAnsi="Arial" w:cs="Arial"/>
                <w:sz w:val="16"/>
                <w:szCs w:val="16"/>
                <w:lang w:val="de-DE"/>
              </w:rPr>
              <w:t>(</w:t>
            </w:r>
            <w:r w:rsidR="00033D3D" w:rsidRPr="00033D3D">
              <w:rPr>
                <w:rFonts w:ascii="Arial" w:hAnsi="Arial" w:cs="Arial"/>
                <w:sz w:val="16"/>
                <w:szCs w:val="16"/>
                <w:lang w:val="de-DE"/>
              </w:rPr>
              <w:t>0.054367</w:t>
            </w:r>
            <w:r w:rsidRPr="00A51255">
              <w:rPr>
                <w:rFonts w:ascii="Arial" w:hAnsi="Arial" w:cs="Arial"/>
                <w:sz w:val="16"/>
                <w:szCs w:val="16"/>
                <w:lang w:val="de-DE"/>
              </w:rPr>
              <w:t>)</w:t>
            </w:r>
          </w:p>
        </w:tc>
        <w:tc>
          <w:tcPr>
            <w:tcW w:w="1783" w:type="dxa"/>
            <w:vAlign w:val="center"/>
          </w:tcPr>
          <w:p w:rsidR="00BA647F" w:rsidRPr="00A51255" w:rsidRDefault="006425DC" w:rsidP="008055CD">
            <w:pPr>
              <w:jc w:val="center"/>
              <w:rPr>
                <w:rFonts w:ascii="Arial" w:hAnsi="Arial" w:cs="Arial"/>
                <w:sz w:val="20"/>
                <w:szCs w:val="20"/>
                <w:lang w:val="de-DE"/>
              </w:rPr>
            </w:pPr>
            <w:r w:rsidRPr="006425DC">
              <w:rPr>
                <w:rFonts w:ascii="Arial" w:hAnsi="Arial" w:cs="Arial"/>
                <w:sz w:val="20"/>
                <w:szCs w:val="20"/>
                <w:lang w:val="de-DE"/>
              </w:rPr>
              <w:t>0.196612</w:t>
            </w:r>
          </w:p>
          <w:p w:rsidR="00BA647F" w:rsidRPr="00A51255" w:rsidRDefault="00BA647F" w:rsidP="008055CD">
            <w:pPr>
              <w:jc w:val="center"/>
              <w:rPr>
                <w:lang w:val="en-US"/>
              </w:rPr>
            </w:pPr>
            <w:r>
              <w:rPr>
                <w:rFonts w:ascii="Arial" w:hAnsi="Arial" w:cs="Arial"/>
                <w:sz w:val="16"/>
                <w:szCs w:val="16"/>
                <w:lang w:val="de-DE"/>
              </w:rPr>
              <w:t>(</w:t>
            </w:r>
            <w:r w:rsidR="006425DC" w:rsidRPr="006425DC">
              <w:rPr>
                <w:rFonts w:ascii="Arial" w:hAnsi="Arial" w:cs="Arial"/>
                <w:sz w:val="16"/>
                <w:szCs w:val="16"/>
                <w:lang w:val="de-DE"/>
              </w:rPr>
              <w:t>0.156482</w:t>
            </w:r>
            <w:r w:rsidRPr="00A51255">
              <w:rPr>
                <w:rFonts w:ascii="Arial" w:hAnsi="Arial" w:cs="Arial"/>
                <w:sz w:val="16"/>
                <w:szCs w:val="16"/>
                <w:lang w:val="de-DE"/>
              </w:rPr>
              <w:t>)</w:t>
            </w:r>
          </w:p>
        </w:tc>
        <w:tc>
          <w:tcPr>
            <w:tcW w:w="1796" w:type="dxa"/>
            <w:vAlign w:val="center"/>
          </w:tcPr>
          <w:p w:rsidR="00BA647F" w:rsidRPr="00A51255" w:rsidRDefault="00E80A28" w:rsidP="008055CD">
            <w:pPr>
              <w:jc w:val="center"/>
              <w:rPr>
                <w:rFonts w:ascii="Arial" w:hAnsi="Arial" w:cs="Arial"/>
                <w:sz w:val="20"/>
                <w:szCs w:val="20"/>
                <w:lang w:val="de-DE"/>
              </w:rPr>
            </w:pPr>
            <w:r w:rsidRPr="00E80A28">
              <w:rPr>
                <w:rFonts w:ascii="Arial" w:hAnsi="Arial" w:cs="Arial"/>
                <w:sz w:val="20"/>
                <w:szCs w:val="20"/>
                <w:lang w:val="de-DE"/>
              </w:rPr>
              <w:t>0.203355</w:t>
            </w:r>
            <w:r>
              <w:rPr>
                <w:rFonts w:ascii="Arial" w:hAnsi="Arial" w:cs="Arial"/>
                <w:sz w:val="20"/>
                <w:szCs w:val="20"/>
                <w:lang w:val="de-DE"/>
              </w:rPr>
              <w:t xml:space="preserve"> *</w:t>
            </w:r>
          </w:p>
          <w:p w:rsidR="00BA647F" w:rsidRPr="00A51255" w:rsidRDefault="00BA647F" w:rsidP="008055CD">
            <w:pPr>
              <w:jc w:val="center"/>
              <w:rPr>
                <w:lang w:val="en-US"/>
              </w:rPr>
            </w:pPr>
            <w:r>
              <w:rPr>
                <w:rFonts w:ascii="Arial" w:hAnsi="Arial" w:cs="Arial"/>
                <w:sz w:val="16"/>
                <w:szCs w:val="16"/>
                <w:lang w:val="de-DE"/>
              </w:rPr>
              <w:t>(</w:t>
            </w:r>
            <w:r w:rsidR="00E80A28" w:rsidRPr="00E80A28">
              <w:rPr>
                <w:rFonts w:ascii="Arial" w:hAnsi="Arial" w:cs="Arial"/>
                <w:sz w:val="16"/>
                <w:szCs w:val="16"/>
                <w:lang w:val="de-DE"/>
              </w:rPr>
              <w:t>0.110651</w:t>
            </w:r>
            <w:r w:rsidRPr="00A51255">
              <w:rPr>
                <w:rFonts w:ascii="Arial" w:hAnsi="Arial" w:cs="Arial"/>
                <w:sz w:val="16"/>
                <w:szCs w:val="16"/>
                <w:lang w:val="de-DE"/>
              </w:rPr>
              <w:t>)</w:t>
            </w:r>
          </w:p>
        </w:tc>
      </w:tr>
      <w:tr w:rsidR="00F726D6" w:rsidRPr="00A51255" w:rsidTr="00F726D6">
        <w:trPr>
          <w:jc w:val="center"/>
        </w:trPr>
        <w:tc>
          <w:tcPr>
            <w:tcW w:w="402" w:type="dxa"/>
            <w:vAlign w:val="center"/>
          </w:tcPr>
          <w:p w:rsidR="00BA647F" w:rsidRPr="00A51255" w:rsidRDefault="00C65448" w:rsidP="008055CD">
            <w:pPr>
              <w:spacing w:line="360" w:lineRule="auto"/>
              <w:jc w:val="center"/>
              <w:rPr>
                <w:rFonts w:ascii="Arial" w:hAnsi="Arial" w:cs="Arial"/>
                <w:lang w:val="en-US"/>
              </w:rPr>
            </w:pPr>
            <w:r>
              <w:rPr>
                <w:rFonts w:ascii="Arial" w:hAnsi="Arial" w:cs="Arial"/>
                <w:sz w:val="16"/>
                <w:szCs w:val="16"/>
                <w:lang w:val="de-DE"/>
              </w:rPr>
              <w:t>(</w:t>
            </w:r>
            <w:r w:rsidR="00BA647F">
              <w:rPr>
                <w:rFonts w:ascii="Arial" w:hAnsi="Arial" w:cs="Arial"/>
                <w:sz w:val="16"/>
                <w:szCs w:val="16"/>
                <w:lang w:val="de-DE"/>
              </w:rPr>
              <w:t>1)</w:t>
            </w:r>
          </w:p>
        </w:tc>
        <w:tc>
          <w:tcPr>
            <w:tcW w:w="1856" w:type="dxa"/>
            <w:vAlign w:val="center"/>
          </w:tcPr>
          <w:p w:rsidR="00BA647F" w:rsidRPr="004F48F0" w:rsidRDefault="00BA647F" w:rsidP="008055CD">
            <w:pPr>
              <w:jc w:val="center"/>
              <w:rPr>
                <w:rFonts w:ascii="Arial" w:hAnsi="Arial" w:cs="Arial"/>
                <w:b/>
                <w:sz w:val="18"/>
                <w:szCs w:val="18"/>
                <w:lang w:val="de-DE"/>
              </w:rPr>
            </w:pPr>
            <w:r w:rsidRPr="00067CE5">
              <w:rPr>
                <w:position w:val="-10"/>
              </w:rPr>
              <w:object w:dxaOrig="279" w:dyaOrig="340">
                <v:shape id="_x0000_i1094" type="#_x0000_t75" style="width:12.85pt;height:16.7pt" o:ole="">
                  <v:imagedata r:id="rId96" o:title=""/>
                </v:shape>
                <o:OLEObject Type="Embed" ProgID="Equation.3" ShapeID="_x0000_i1094" DrawAspect="Content" ObjectID="_1507543441" r:id="rId130"/>
              </w:object>
            </w:r>
          </w:p>
        </w:tc>
        <w:tc>
          <w:tcPr>
            <w:tcW w:w="1902" w:type="dxa"/>
            <w:vAlign w:val="center"/>
          </w:tcPr>
          <w:p w:rsidR="00BA647F" w:rsidRPr="00A51255" w:rsidRDefault="001958C1" w:rsidP="008055CD">
            <w:pPr>
              <w:jc w:val="center"/>
              <w:rPr>
                <w:rFonts w:ascii="Arial" w:hAnsi="Arial" w:cs="Arial"/>
                <w:sz w:val="20"/>
                <w:szCs w:val="20"/>
                <w:lang w:val="de-DE"/>
              </w:rPr>
            </w:pPr>
            <w:r w:rsidRPr="001958C1">
              <w:rPr>
                <w:rFonts w:ascii="Arial" w:hAnsi="Arial" w:cs="Arial"/>
                <w:sz w:val="20"/>
                <w:szCs w:val="20"/>
                <w:lang w:val="de-DE"/>
              </w:rPr>
              <w:t>0.000227</w:t>
            </w:r>
          </w:p>
          <w:p w:rsidR="00BA647F" w:rsidRPr="00A51255" w:rsidRDefault="00BA647F" w:rsidP="008055CD">
            <w:pPr>
              <w:jc w:val="center"/>
              <w:rPr>
                <w:lang w:val="en-US"/>
              </w:rPr>
            </w:pPr>
            <w:r>
              <w:rPr>
                <w:rFonts w:ascii="Arial" w:hAnsi="Arial" w:cs="Arial"/>
                <w:sz w:val="16"/>
                <w:szCs w:val="16"/>
                <w:lang w:val="de-DE"/>
              </w:rPr>
              <w:t>(</w:t>
            </w:r>
            <w:r w:rsidR="001958C1" w:rsidRPr="001958C1">
              <w:rPr>
                <w:rFonts w:ascii="Arial" w:hAnsi="Arial" w:cs="Arial"/>
                <w:sz w:val="16"/>
                <w:szCs w:val="16"/>
                <w:lang w:val="de-DE"/>
              </w:rPr>
              <w:t>0.000543</w:t>
            </w:r>
            <w:r w:rsidRPr="00A51255">
              <w:rPr>
                <w:rFonts w:ascii="Arial" w:hAnsi="Arial" w:cs="Arial"/>
                <w:sz w:val="16"/>
                <w:szCs w:val="16"/>
                <w:lang w:val="de-DE"/>
              </w:rPr>
              <w:t>)</w:t>
            </w:r>
          </w:p>
        </w:tc>
        <w:tc>
          <w:tcPr>
            <w:tcW w:w="1711" w:type="dxa"/>
            <w:vAlign w:val="center"/>
          </w:tcPr>
          <w:p w:rsidR="00BA647F" w:rsidRPr="00A51255" w:rsidRDefault="00033D3D" w:rsidP="008055CD">
            <w:pPr>
              <w:jc w:val="center"/>
              <w:rPr>
                <w:rFonts w:ascii="Arial" w:hAnsi="Arial" w:cs="Arial"/>
                <w:sz w:val="20"/>
                <w:szCs w:val="20"/>
                <w:lang w:val="de-DE"/>
              </w:rPr>
            </w:pPr>
            <w:r w:rsidRPr="00033D3D">
              <w:rPr>
                <w:rFonts w:ascii="Arial" w:hAnsi="Arial" w:cs="Arial"/>
                <w:sz w:val="20"/>
                <w:szCs w:val="20"/>
                <w:lang w:val="de-DE"/>
              </w:rPr>
              <w:t>0.000264</w:t>
            </w:r>
          </w:p>
          <w:p w:rsidR="00BA647F" w:rsidRPr="00A51255" w:rsidRDefault="00BA647F" w:rsidP="008055CD">
            <w:pPr>
              <w:jc w:val="center"/>
              <w:rPr>
                <w:lang w:val="en-US"/>
              </w:rPr>
            </w:pPr>
            <w:r>
              <w:rPr>
                <w:rFonts w:ascii="Arial" w:hAnsi="Arial" w:cs="Arial"/>
                <w:sz w:val="16"/>
                <w:szCs w:val="16"/>
                <w:lang w:val="de-DE"/>
              </w:rPr>
              <w:t>(</w:t>
            </w:r>
            <w:r w:rsidR="00033D3D" w:rsidRPr="00033D3D">
              <w:rPr>
                <w:rFonts w:ascii="Arial" w:hAnsi="Arial" w:cs="Arial"/>
                <w:sz w:val="16"/>
                <w:szCs w:val="16"/>
                <w:lang w:val="de-DE"/>
              </w:rPr>
              <w:t>0.000547</w:t>
            </w:r>
            <w:r w:rsidRPr="00A51255">
              <w:rPr>
                <w:rFonts w:ascii="Arial" w:hAnsi="Arial" w:cs="Arial"/>
                <w:sz w:val="16"/>
                <w:szCs w:val="16"/>
                <w:lang w:val="de-DE"/>
              </w:rPr>
              <w:t>)</w:t>
            </w:r>
          </w:p>
        </w:tc>
        <w:tc>
          <w:tcPr>
            <w:tcW w:w="1783" w:type="dxa"/>
            <w:vAlign w:val="center"/>
          </w:tcPr>
          <w:p w:rsidR="00BA647F" w:rsidRPr="00A51255" w:rsidRDefault="006425DC" w:rsidP="008055CD">
            <w:pPr>
              <w:jc w:val="center"/>
              <w:rPr>
                <w:rFonts w:ascii="Arial" w:hAnsi="Arial" w:cs="Arial"/>
                <w:sz w:val="20"/>
                <w:szCs w:val="20"/>
                <w:lang w:val="de-DE"/>
              </w:rPr>
            </w:pPr>
            <w:r w:rsidRPr="006425DC">
              <w:rPr>
                <w:rFonts w:ascii="Arial" w:hAnsi="Arial" w:cs="Arial"/>
                <w:sz w:val="20"/>
                <w:szCs w:val="20"/>
                <w:lang w:val="de-DE"/>
              </w:rPr>
              <w:t>-0.000136</w:t>
            </w:r>
          </w:p>
          <w:p w:rsidR="00BA647F" w:rsidRPr="00A51255" w:rsidRDefault="00BA647F" w:rsidP="008055CD">
            <w:pPr>
              <w:jc w:val="center"/>
              <w:rPr>
                <w:lang w:val="en-US"/>
              </w:rPr>
            </w:pPr>
            <w:r>
              <w:rPr>
                <w:rFonts w:ascii="Arial" w:hAnsi="Arial" w:cs="Arial"/>
                <w:sz w:val="16"/>
                <w:szCs w:val="16"/>
                <w:lang w:val="de-DE"/>
              </w:rPr>
              <w:t>(</w:t>
            </w:r>
            <w:r w:rsidR="006425DC" w:rsidRPr="006425DC">
              <w:rPr>
                <w:rFonts w:ascii="Arial" w:hAnsi="Arial" w:cs="Arial"/>
                <w:sz w:val="16"/>
                <w:szCs w:val="16"/>
                <w:lang w:val="de-DE"/>
              </w:rPr>
              <w:t>0.000448</w:t>
            </w:r>
            <w:r w:rsidRPr="00A51255">
              <w:rPr>
                <w:rFonts w:ascii="Arial" w:hAnsi="Arial" w:cs="Arial"/>
                <w:sz w:val="16"/>
                <w:szCs w:val="16"/>
                <w:lang w:val="de-DE"/>
              </w:rPr>
              <w:t>)</w:t>
            </w:r>
          </w:p>
        </w:tc>
        <w:tc>
          <w:tcPr>
            <w:tcW w:w="1796" w:type="dxa"/>
            <w:vAlign w:val="center"/>
          </w:tcPr>
          <w:p w:rsidR="00BA647F" w:rsidRPr="00A51255" w:rsidRDefault="00E80A28" w:rsidP="008055CD">
            <w:pPr>
              <w:jc w:val="center"/>
              <w:rPr>
                <w:rFonts w:ascii="Arial" w:hAnsi="Arial" w:cs="Arial"/>
                <w:sz w:val="20"/>
                <w:szCs w:val="20"/>
                <w:lang w:val="de-DE"/>
              </w:rPr>
            </w:pPr>
            <w:r w:rsidRPr="00E80A28">
              <w:rPr>
                <w:rFonts w:ascii="Arial" w:hAnsi="Arial" w:cs="Arial"/>
                <w:sz w:val="20"/>
                <w:szCs w:val="20"/>
                <w:lang w:val="de-DE"/>
              </w:rPr>
              <w:t>-0.000168</w:t>
            </w:r>
          </w:p>
          <w:p w:rsidR="00BA647F" w:rsidRPr="00A51255" w:rsidRDefault="00BA647F" w:rsidP="008055CD">
            <w:pPr>
              <w:jc w:val="center"/>
              <w:rPr>
                <w:lang w:val="en-US"/>
              </w:rPr>
            </w:pPr>
            <w:r>
              <w:rPr>
                <w:rFonts w:ascii="Arial" w:hAnsi="Arial" w:cs="Arial"/>
                <w:sz w:val="16"/>
                <w:szCs w:val="16"/>
                <w:lang w:val="de-DE"/>
              </w:rPr>
              <w:t>(</w:t>
            </w:r>
            <w:r w:rsidR="00E80A28" w:rsidRPr="00E80A28">
              <w:rPr>
                <w:rFonts w:ascii="Arial" w:hAnsi="Arial" w:cs="Arial"/>
                <w:sz w:val="16"/>
                <w:szCs w:val="16"/>
                <w:lang w:val="de-DE"/>
              </w:rPr>
              <w:t>0.000467</w:t>
            </w:r>
            <w:r w:rsidRPr="00A51255">
              <w:rPr>
                <w:rFonts w:ascii="Arial" w:hAnsi="Arial" w:cs="Arial"/>
                <w:sz w:val="16"/>
                <w:szCs w:val="16"/>
                <w:lang w:val="de-DE"/>
              </w:rPr>
              <w:t>)</w:t>
            </w:r>
          </w:p>
        </w:tc>
      </w:tr>
      <w:tr w:rsidR="00F726D6" w:rsidRPr="00A51255" w:rsidTr="00F726D6">
        <w:trPr>
          <w:jc w:val="center"/>
        </w:trPr>
        <w:tc>
          <w:tcPr>
            <w:tcW w:w="402" w:type="dxa"/>
            <w:vAlign w:val="center"/>
          </w:tcPr>
          <w:p w:rsidR="00BA647F" w:rsidRPr="00A51255" w:rsidRDefault="00C65448" w:rsidP="008055CD">
            <w:pPr>
              <w:spacing w:line="360" w:lineRule="auto"/>
              <w:jc w:val="center"/>
              <w:rPr>
                <w:rFonts w:ascii="Arial" w:hAnsi="Arial" w:cs="Arial"/>
                <w:lang w:val="en-US"/>
              </w:rPr>
            </w:pPr>
            <w:r>
              <w:rPr>
                <w:rFonts w:ascii="Arial" w:hAnsi="Arial" w:cs="Arial"/>
                <w:sz w:val="16"/>
                <w:szCs w:val="16"/>
                <w:lang w:val="de-DE"/>
              </w:rPr>
              <w:t>(</w:t>
            </w:r>
            <w:r w:rsidR="00BA647F">
              <w:rPr>
                <w:rFonts w:ascii="Arial" w:hAnsi="Arial" w:cs="Arial"/>
                <w:sz w:val="16"/>
                <w:szCs w:val="16"/>
                <w:lang w:val="de-DE"/>
              </w:rPr>
              <w:t>1)</w:t>
            </w:r>
          </w:p>
        </w:tc>
        <w:tc>
          <w:tcPr>
            <w:tcW w:w="1856" w:type="dxa"/>
            <w:vAlign w:val="center"/>
          </w:tcPr>
          <w:p w:rsidR="00BA647F" w:rsidRPr="004F48F0" w:rsidRDefault="00BA647F" w:rsidP="008055CD">
            <w:pPr>
              <w:jc w:val="center"/>
              <w:rPr>
                <w:rFonts w:ascii="Arial" w:hAnsi="Arial" w:cs="Arial"/>
                <w:b/>
                <w:sz w:val="18"/>
                <w:szCs w:val="18"/>
                <w:lang w:val="de-DE"/>
              </w:rPr>
            </w:pPr>
            <w:r w:rsidRPr="00067CE5">
              <w:rPr>
                <w:position w:val="-10"/>
              </w:rPr>
              <w:object w:dxaOrig="300" w:dyaOrig="340">
                <v:shape id="_x0000_i1095" type="#_x0000_t75" style="width:14.15pt;height:16.7pt" o:ole="">
                  <v:imagedata r:id="rId98" o:title=""/>
                </v:shape>
                <o:OLEObject Type="Embed" ProgID="Equation.3" ShapeID="_x0000_i1095" DrawAspect="Content" ObjectID="_1507543442" r:id="rId131"/>
              </w:object>
            </w:r>
          </w:p>
        </w:tc>
        <w:tc>
          <w:tcPr>
            <w:tcW w:w="1902" w:type="dxa"/>
            <w:vAlign w:val="center"/>
          </w:tcPr>
          <w:p w:rsidR="007F0F70" w:rsidRPr="00A51255" w:rsidRDefault="007F0F70" w:rsidP="007F0F70">
            <w:pPr>
              <w:jc w:val="center"/>
              <w:rPr>
                <w:rFonts w:ascii="Arial" w:hAnsi="Arial" w:cs="Arial"/>
                <w:sz w:val="20"/>
                <w:szCs w:val="20"/>
                <w:lang w:val="de-DE"/>
              </w:rPr>
            </w:pPr>
            <w:r w:rsidRPr="00803961">
              <w:rPr>
                <w:rFonts w:ascii="Arial" w:hAnsi="Arial" w:cs="Arial"/>
                <w:sz w:val="20"/>
                <w:szCs w:val="20"/>
                <w:lang w:val="de-DE"/>
              </w:rPr>
              <w:t>-0.340290</w:t>
            </w:r>
            <w:r>
              <w:rPr>
                <w:rFonts w:ascii="Arial" w:hAnsi="Arial" w:cs="Arial"/>
                <w:sz w:val="20"/>
                <w:szCs w:val="20"/>
                <w:lang w:val="de-DE"/>
              </w:rPr>
              <w:t xml:space="preserve"> ***</w:t>
            </w:r>
          </w:p>
          <w:p w:rsidR="00BA647F" w:rsidRPr="00A51255" w:rsidRDefault="007F0F70" w:rsidP="007F0F70">
            <w:pPr>
              <w:jc w:val="center"/>
              <w:rPr>
                <w:lang w:val="en-US"/>
              </w:rPr>
            </w:pPr>
            <w:r>
              <w:rPr>
                <w:rFonts w:ascii="Arial" w:hAnsi="Arial" w:cs="Arial"/>
                <w:sz w:val="16"/>
                <w:szCs w:val="16"/>
                <w:lang w:val="de-DE"/>
              </w:rPr>
              <w:t>(</w:t>
            </w:r>
            <w:r w:rsidRPr="00803961">
              <w:rPr>
                <w:rFonts w:ascii="Arial" w:hAnsi="Arial" w:cs="Arial"/>
                <w:sz w:val="16"/>
                <w:szCs w:val="16"/>
                <w:lang w:val="de-DE"/>
              </w:rPr>
              <w:t>0.035708</w:t>
            </w:r>
            <w:r w:rsidRPr="00A51255">
              <w:rPr>
                <w:rFonts w:ascii="Arial" w:hAnsi="Arial" w:cs="Arial"/>
                <w:sz w:val="16"/>
                <w:szCs w:val="16"/>
                <w:lang w:val="de-DE"/>
              </w:rPr>
              <w:t>)</w:t>
            </w:r>
          </w:p>
        </w:tc>
        <w:tc>
          <w:tcPr>
            <w:tcW w:w="1711" w:type="dxa"/>
            <w:vAlign w:val="center"/>
          </w:tcPr>
          <w:p w:rsidR="00BA647F" w:rsidRPr="00A51255" w:rsidRDefault="00033D3D" w:rsidP="008055CD">
            <w:pPr>
              <w:jc w:val="center"/>
              <w:rPr>
                <w:rFonts w:ascii="Arial" w:hAnsi="Arial" w:cs="Arial"/>
                <w:sz w:val="20"/>
                <w:szCs w:val="20"/>
                <w:lang w:val="de-DE"/>
              </w:rPr>
            </w:pPr>
            <w:r w:rsidRPr="00033D3D">
              <w:rPr>
                <w:rFonts w:ascii="Arial" w:hAnsi="Arial" w:cs="Arial"/>
                <w:sz w:val="20"/>
                <w:szCs w:val="20"/>
                <w:lang w:val="de-DE"/>
              </w:rPr>
              <w:t>-0.329301</w:t>
            </w:r>
            <w:r>
              <w:rPr>
                <w:rFonts w:ascii="Arial" w:hAnsi="Arial" w:cs="Arial"/>
                <w:sz w:val="20"/>
                <w:szCs w:val="20"/>
                <w:lang w:val="de-DE"/>
              </w:rPr>
              <w:t xml:space="preserve"> ***</w:t>
            </w:r>
          </w:p>
          <w:p w:rsidR="00BA647F" w:rsidRPr="00A51255" w:rsidRDefault="00BA647F" w:rsidP="008055CD">
            <w:pPr>
              <w:jc w:val="center"/>
              <w:rPr>
                <w:lang w:val="en-US"/>
              </w:rPr>
            </w:pPr>
            <w:r>
              <w:rPr>
                <w:rFonts w:ascii="Arial" w:hAnsi="Arial" w:cs="Arial"/>
                <w:sz w:val="16"/>
                <w:szCs w:val="16"/>
                <w:lang w:val="de-DE"/>
              </w:rPr>
              <w:t>(</w:t>
            </w:r>
            <w:r w:rsidR="00033D3D" w:rsidRPr="00033D3D">
              <w:rPr>
                <w:rFonts w:ascii="Arial" w:hAnsi="Arial" w:cs="Arial"/>
                <w:sz w:val="16"/>
                <w:szCs w:val="16"/>
                <w:lang w:val="de-DE"/>
              </w:rPr>
              <w:t>0.036203</w:t>
            </w:r>
            <w:r w:rsidRPr="00A51255">
              <w:rPr>
                <w:rFonts w:ascii="Arial" w:hAnsi="Arial" w:cs="Arial"/>
                <w:sz w:val="16"/>
                <w:szCs w:val="16"/>
                <w:lang w:val="de-DE"/>
              </w:rPr>
              <w:t>)</w:t>
            </w:r>
          </w:p>
        </w:tc>
        <w:tc>
          <w:tcPr>
            <w:tcW w:w="1783" w:type="dxa"/>
            <w:vAlign w:val="center"/>
          </w:tcPr>
          <w:p w:rsidR="002E14A8" w:rsidRDefault="002E14A8" w:rsidP="008055CD">
            <w:pPr>
              <w:jc w:val="center"/>
              <w:rPr>
                <w:rFonts w:ascii="Arial" w:hAnsi="Arial" w:cs="Arial"/>
                <w:sz w:val="20"/>
                <w:szCs w:val="20"/>
                <w:lang w:val="de-DE"/>
              </w:rPr>
            </w:pPr>
            <w:r w:rsidRPr="002E14A8">
              <w:rPr>
                <w:rFonts w:ascii="Arial" w:hAnsi="Arial" w:cs="Arial"/>
                <w:sz w:val="20"/>
                <w:szCs w:val="20"/>
                <w:lang w:val="de-DE"/>
              </w:rPr>
              <w:t>-0.341527</w:t>
            </w:r>
            <w:r>
              <w:rPr>
                <w:rFonts w:ascii="Arial" w:hAnsi="Arial" w:cs="Arial"/>
                <w:sz w:val="20"/>
                <w:szCs w:val="20"/>
                <w:lang w:val="de-DE"/>
              </w:rPr>
              <w:t xml:space="preserve"> ***</w:t>
            </w:r>
            <w:r w:rsidRPr="002E14A8">
              <w:rPr>
                <w:rFonts w:ascii="Arial" w:hAnsi="Arial" w:cs="Arial"/>
                <w:sz w:val="20"/>
                <w:szCs w:val="20"/>
                <w:lang w:val="de-DE"/>
              </w:rPr>
              <w:t xml:space="preserve"> </w:t>
            </w:r>
          </w:p>
          <w:p w:rsidR="00BA647F" w:rsidRPr="00A51255" w:rsidRDefault="00BA647F" w:rsidP="008055CD">
            <w:pPr>
              <w:jc w:val="center"/>
              <w:rPr>
                <w:lang w:val="en-US"/>
              </w:rPr>
            </w:pPr>
            <w:r>
              <w:rPr>
                <w:rFonts w:ascii="Arial" w:hAnsi="Arial" w:cs="Arial"/>
                <w:sz w:val="16"/>
                <w:szCs w:val="16"/>
                <w:lang w:val="de-DE"/>
              </w:rPr>
              <w:t>(</w:t>
            </w:r>
            <w:r w:rsidR="003E0A95" w:rsidRPr="003E0A95">
              <w:rPr>
                <w:rFonts w:ascii="Arial" w:hAnsi="Arial" w:cs="Arial"/>
                <w:sz w:val="16"/>
                <w:szCs w:val="16"/>
                <w:lang w:val="de-DE"/>
              </w:rPr>
              <w:t>0.033941</w:t>
            </w:r>
            <w:r w:rsidRPr="00A51255">
              <w:rPr>
                <w:rFonts w:ascii="Arial" w:hAnsi="Arial" w:cs="Arial"/>
                <w:sz w:val="16"/>
                <w:szCs w:val="16"/>
                <w:lang w:val="de-DE"/>
              </w:rPr>
              <w:t>)</w:t>
            </w:r>
          </w:p>
        </w:tc>
        <w:tc>
          <w:tcPr>
            <w:tcW w:w="1796" w:type="dxa"/>
            <w:vAlign w:val="center"/>
          </w:tcPr>
          <w:p w:rsidR="00BA647F" w:rsidRPr="00A51255" w:rsidRDefault="006319B8" w:rsidP="008055CD">
            <w:pPr>
              <w:jc w:val="center"/>
              <w:rPr>
                <w:rFonts w:ascii="Arial" w:hAnsi="Arial" w:cs="Arial"/>
                <w:sz w:val="20"/>
                <w:szCs w:val="20"/>
                <w:lang w:val="de-DE"/>
              </w:rPr>
            </w:pPr>
            <w:r w:rsidRPr="006319B8">
              <w:rPr>
                <w:rFonts w:ascii="Arial" w:hAnsi="Arial" w:cs="Arial"/>
                <w:sz w:val="20"/>
                <w:szCs w:val="20"/>
                <w:lang w:val="de-DE"/>
              </w:rPr>
              <w:t>-0.345740</w:t>
            </w:r>
            <w:r>
              <w:rPr>
                <w:rFonts w:ascii="Arial" w:hAnsi="Arial" w:cs="Arial"/>
                <w:sz w:val="20"/>
                <w:szCs w:val="20"/>
                <w:lang w:val="de-DE"/>
              </w:rPr>
              <w:t xml:space="preserve"> ***</w:t>
            </w:r>
          </w:p>
          <w:p w:rsidR="00BA647F" w:rsidRPr="00A51255" w:rsidRDefault="00BA647F" w:rsidP="008055CD">
            <w:pPr>
              <w:jc w:val="center"/>
              <w:rPr>
                <w:lang w:val="en-US"/>
              </w:rPr>
            </w:pPr>
            <w:r>
              <w:rPr>
                <w:rFonts w:ascii="Arial" w:hAnsi="Arial" w:cs="Arial"/>
                <w:sz w:val="16"/>
                <w:szCs w:val="16"/>
                <w:lang w:val="de-DE"/>
              </w:rPr>
              <w:t>(</w:t>
            </w:r>
            <w:r w:rsidR="006319B8" w:rsidRPr="006319B8">
              <w:rPr>
                <w:rFonts w:ascii="Arial" w:hAnsi="Arial" w:cs="Arial"/>
                <w:sz w:val="16"/>
                <w:szCs w:val="16"/>
                <w:lang w:val="de-DE"/>
              </w:rPr>
              <w:t>0.033839</w:t>
            </w:r>
            <w:r w:rsidRPr="00A51255">
              <w:rPr>
                <w:rFonts w:ascii="Arial" w:hAnsi="Arial" w:cs="Arial"/>
                <w:sz w:val="16"/>
                <w:szCs w:val="16"/>
                <w:lang w:val="de-DE"/>
              </w:rPr>
              <w:t>)</w:t>
            </w:r>
          </w:p>
        </w:tc>
      </w:tr>
      <w:tr w:rsidR="00F726D6" w:rsidRPr="00A51255" w:rsidTr="00F726D6">
        <w:trPr>
          <w:jc w:val="center"/>
        </w:trPr>
        <w:tc>
          <w:tcPr>
            <w:tcW w:w="402" w:type="dxa"/>
            <w:vAlign w:val="center"/>
          </w:tcPr>
          <w:p w:rsidR="00BA647F" w:rsidRPr="00A51255" w:rsidRDefault="00C65448" w:rsidP="008055CD">
            <w:pPr>
              <w:spacing w:line="360" w:lineRule="auto"/>
              <w:jc w:val="center"/>
              <w:rPr>
                <w:rFonts w:ascii="Arial" w:hAnsi="Arial" w:cs="Arial"/>
                <w:lang w:val="en-US"/>
              </w:rPr>
            </w:pPr>
            <w:r>
              <w:rPr>
                <w:rFonts w:ascii="Arial" w:hAnsi="Arial" w:cs="Arial"/>
                <w:sz w:val="16"/>
                <w:szCs w:val="16"/>
                <w:lang w:val="de-DE"/>
              </w:rPr>
              <w:t>(</w:t>
            </w:r>
            <w:r w:rsidR="00BA647F">
              <w:rPr>
                <w:rFonts w:ascii="Arial" w:hAnsi="Arial" w:cs="Arial"/>
                <w:sz w:val="16"/>
                <w:szCs w:val="16"/>
                <w:lang w:val="de-DE"/>
              </w:rPr>
              <w:t>1)</w:t>
            </w:r>
          </w:p>
        </w:tc>
        <w:tc>
          <w:tcPr>
            <w:tcW w:w="1856" w:type="dxa"/>
            <w:vAlign w:val="center"/>
          </w:tcPr>
          <w:p w:rsidR="00BA647F" w:rsidRPr="004F48F0" w:rsidRDefault="00BA647F" w:rsidP="008055CD">
            <w:pPr>
              <w:jc w:val="center"/>
              <w:rPr>
                <w:rFonts w:ascii="Arial" w:hAnsi="Arial" w:cs="Arial"/>
                <w:b/>
                <w:sz w:val="18"/>
                <w:szCs w:val="18"/>
                <w:lang w:val="de-DE"/>
              </w:rPr>
            </w:pPr>
            <w:r w:rsidRPr="00B3604A">
              <w:rPr>
                <w:position w:val="-12"/>
              </w:rPr>
              <w:object w:dxaOrig="279" w:dyaOrig="360">
                <v:shape id="_x0000_i1096" type="#_x0000_t75" style="width:12.85pt;height:18pt" o:ole="">
                  <v:imagedata r:id="rId100" o:title=""/>
                </v:shape>
                <o:OLEObject Type="Embed" ProgID="Equation.3" ShapeID="_x0000_i1096" DrawAspect="Content" ObjectID="_1507543443" r:id="rId132"/>
              </w:object>
            </w:r>
          </w:p>
        </w:tc>
        <w:tc>
          <w:tcPr>
            <w:tcW w:w="1902" w:type="dxa"/>
            <w:vAlign w:val="center"/>
          </w:tcPr>
          <w:p w:rsidR="007F0F70" w:rsidRPr="00A51255" w:rsidRDefault="007F0F70" w:rsidP="007F0F70">
            <w:pPr>
              <w:jc w:val="center"/>
              <w:rPr>
                <w:rFonts w:ascii="Arial" w:hAnsi="Arial" w:cs="Arial"/>
                <w:sz w:val="20"/>
                <w:szCs w:val="20"/>
                <w:lang w:val="de-DE"/>
              </w:rPr>
            </w:pPr>
            <w:r w:rsidRPr="00803961">
              <w:rPr>
                <w:rFonts w:ascii="Arial" w:hAnsi="Arial" w:cs="Arial"/>
                <w:sz w:val="20"/>
                <w:szCs w:val="20"/>
                <w:lang w:val="de-DE"/>
              </w:rPr>
              <w:t>-0.005868</w:t>
            </w:r>
          </w:p>
          <w:p w:rsidR="00BA647F" w:rsidRPr="00A51255" w:rsidRDefault="007F0F70" w:rsidP="007F0F70">
            <w:pPr>
              <w:jc w:val="center"/>
              <w:rPr>
                <w:lang w:val="en-US"/>
              </w:rPr>
            </w:pPr>
            <w:r>
              <w:rPr>
                <w:rFonts w:ascii="Arial" w:hAnsi="Arial" w:cs="Arial"/>
                <w:sz w:val="16"/>
                <w:szCs w:val="16"/>
                <w:lang w:val="de-DE"/>
              </w:rPr>
              <w:t>(</w:t>
            </w:r>
            <w:r w:rsidRPr="00803961">
              <w:rPr>
                <w:rFonts w:ascii="Arial" w:hAnsi="Arial" w:cs="Arial"/>
                <w:sz w:val="16"/>
                <w:szCs w:val="16"/>
                <w:lang w:val="de-DE"/>
              </w:rPr>
              <w:t>0.005719</w:t>
            </w:r>
            <w:r w:rsidRPr="00A51255">
              <w:rPr>
                <w:rFonts w:ascii="Arial" w:hAnsi="Arial" w:cs="Arial"/>
                <w:sz w:val="16"/>
                <w:szCs w:val="16"/>
                <w:lang w:val="de-DE"/>
              </w:rPr>
              <w:t>)</w:t>
            </w:r>
          </w:p>
        </w:tc>
        <w:tc>
          <w:tcPr>
            <w:tcW w:w="1711" w:type="dxa"/>
            <w:vAlign w:val="center"/>
          </w:tcPr>
          <w:p w:rsidR="007F0F70" w:rsidRPr="00A51255" w:rsidRDefault="00033D3D" w:rsidP="007F0F70">
            <w:pPr>
              <w:jc w:val="center"/>
              <w:rPr>
                <w:rFonts w:ascii="Arial" w:hAnsi="Arial" w:cs="Arial"/>
                <w:sz w:val="20"/>
                <w:szCs w:val="20"/>
                <w:lang w:val="de-DE"/>
              </w:rPr>
            </w:pPr>
            <w:r w:rsidRPr="00033D3D">
              <w:rPr>
                <w:rFonts w:ascii="Arial" w:hAnsi="Arial" w:cs="Arial"/>
                <w:sz w:val="20"/>
                <w:szCs w:val="20"/>
                <w:lang w:val="de-DE"/>
              </w:rPr>
              <w:t>-0.004575</w:t>
            </w:r>
          </w:p>
          <w:p w:rsidR="00BA647F" w:rsidRPr="00A51255" w:rsidRDefault="007F0F70" w:rsidP="007F0F70">
            <w:pPr>
              <w:jc w:val="center"/>
              <w:rPr>
                <w:lang w:val="en-US"/>
              </w:rPr>
            </w:pPr>
            <w:r>
              <w:rPr>
                <w:rFonts w:ascii="Arial" w:hAnsi="Arial" w:cs="Arial"/>
                <w:sz w:val="16"/>
                <w:szCs w:val="16"/>
                <w:lang w:val="de-DE"/>
              </w:rPr>
              <w:t>(</w:t>
            </w:r>
            <w:r w:rsidR="00033D3D" w:rsidRPr="00033D3D">
              <w:rPr>
                <w:rFonts w:ascii="Arial" w:hAnsi="Arial" w:cs="Arial"/>
                <w:sz w:val="16"/>
                <w:szCs w:val="16"/>
                <w:lang w:val="de-DE"/>
              </w:rPr>
              <w:t>0.005738</w:t>
            </w:r>
            <w:r w:rsidRPr="00A51255">
              <w:rPr>
                <w:rFonts w:ascii="Arial" w:hAnsi="Arial" w:cs="Arial"/>
                <w:sz w:val="16"/>
                <w:szCs w:val="16"/>
                <w:lang w:val="de-DE"/>
              </w:rPr>
              <w:t>)</w:t>
            </w:r>
          </w:p>
        </w:tc>
        <w:tc>
          <w:tcPr>
            <w:tcW w:w="1783" w:type="dxa"/>
            <w:vAlign w:val="center"/>
          </w:tcPr>
          <w:p w:rsidR="00BA647F" w:rsidRPr="00A51255" w:rsidRDefault="00957DBC" w:rsidP="008055CD">
            <w:pPr>
              <w:jc w:val="center"/>
              <w:rPr>
                <w:rFonts w:ascii="Arial" w:hAnsi="Arial" w:cs="Arial"/>
                <w:sz w:val="20"/>
                <w:szCs w:val="20"/>
                <w:lang w:val="de-DE"/>
              </w:rPr>
            </w:pPr>
            <w:r w:rsidRPr="00957DBC">
              <w:rPr>
                <w:rFonts w:ascii="Arial" w:hAnsi="Arial" w:cs="Arial"/>
                <w:sz w:val="20"/>
                <w:szCs w:val="20"/>
                <w:lang w:val="de-DE"/>
              </w:rPr>
              <w:t>-0.007736</w:t>
            </w:r>
          </w:p>
          <w:p w:rsidR="00BA647F" w:rsidRPr="00A51255" w:rsidRDefault="00BA647F" w:rsidP="008055CD">
            <w:pPr>
              <w:jc w:val="center"/>
              <w:rPr>
                <w:lang w:val="en-US"/>
              </w:rPr>
            </w:pPr>
            <w:r>
              <w:rPr>
                <w:rFonts w:ascii="Arial" w:hAnsi="Arial" w:cs="Arial"/>
                <w:sz w:val="16"/>
                <w:szCs w:val="16"/>
                <w:lang w:val="de-DE"/>
              </w:rPr>
              <w:t>(</w:t>
            </w:r>
            <w:r w:rsidR="00957DBC" w:rsidRPr="00957DBC">
              <w:rPr>
                <w:rFonts w:ascii="Arial" w:hAnsi="Arial" w:cs="Arial"/>
                <w:sz w:val="16"/>
                <w:szCs w:val="16"/>
                <w:lang w:val="de-DE"/>
              </w:rPr>
              <w:t>0.005667</w:t>
            </w:r>
            <w:r w:rsidRPr="00A51255">
              <w:rPr>
                <w:rFonts w:ascii="Arial" w:hAnsi="Arial" w:cs="Arial"/>
                <w:sz w:val="16"/>
                <w:szCs w:val="16"/>
                <w:lang w:val="de-DE"/>
              </w:rPr>
              <w:t>)</w:t>
            </w:r>
          </w:p>
        </w:tc>
        <w:tc>
          <w:tcPr>
            <w:tcW w:w="1796" w:type="dxa"/>
            <w:vAlign w:val="center"/>
          </w:tcPr>
          <w:p w:rsidR="00BA647F" w:rsidRPr="00A51255" w:rsidRDefault="001C6D27" w:rsidP="008055CD">
            <w:pPr>
              <w:jc w:val="center"/>
              <w:rPr>
                <w:rFonts w:ascii="Arial" w:hAnsi="Arial" w:cs="Arial"/>
                <w:sz w:val="20"/>
                <w:szCs w:val="20"/>
                <w:lang w:val="de-DE"/>
              </w:rPr>
            </w:pPr>
            <w:r w:rsidRPr="001C6D27">
              <w:rPr>
                <w:rFonts w:ascii="Arial" w:hAnsi="Arial" w:cs="Arial"/>
                <w:sz w:val="20"/>
                <w:szCs w:val="20"/>
                <w:lang w:val="de-DE"/>
              </w:rPr>
              <w:t>-0.005534</w:t>
            </w:r>
          </w:p>
          <w:p w:rsidR="00BA647F" w:rsidRPr="00A51255" w:rsidRDefault="00BA647F" w:rsidP="008055CD">
            <w:pPr>
              <w:jc w:val="center"/>
              <w:rPr>
                <w:lang w:val="en-US"/>
              </w:rPr>
            </w:pPr>
            <w:r>
              <w:rPr>
                <w:rFonts w:ascii="Arial" w:hAnsi="Arial" w:cs="Arial"/>
                <w:sz w:val="16"/>
                <w:szCs w:val="16"/>
                <w:lang w:val="de-DE"/>
              </w:rPr>
              <w:t>(</w:t>
            </w:r>
            <w:r w:rsidR="001C6D27" w:rsidRPr="001C6D27">
              <w:rPr>
                <w:rFonts w:ascii="Arial" w:hAnsi="Arial" w:cs="Arial"/>
                <w:sz w:val="16"/>
                <w:szCs w:val="16"/>
                <w:lang w:val="de-DE"/>
              </w:rPr>
              <w:t>0.006266</w:t>
            </w:r>
            <w:r w:rsidRPr="00A51255">
              <w:rPr>
                <w:rFonts w:ascii="Arial" w:hAnsi="Arial" w:cs="Arial"/>
                <w:sz w:val="16"/>
                <w:szCs w:val="16"/>
                <w:lang w:val="de-DE"/>
              </w:rPr>
              <w:t>)</w:t>
            </w:r>
          </w:p>
        </w:tc>
      </w:tr>
      <w:tr w:rsidR="00F726D6" w:rsidRPr="00647145" w:rsidTr="00F726D6">
        <w:trPr>
          <w:jc w:val="center"/>
        </w:trPr>
        <w:tc>
          <w:tcPr>
            <w:tcW w:w="402" w:type="dxa"/>
            <w:vAlign w:val="center"/>
          </w:tcPr>
          <w:p w:rsidR="00BA647F" w:rsidRPr="00A51255" w:rsidRDefault="00BA647F" w:rsidP="008055CD">
            <w:pPr>
              <w:spacing w:line="360" w:lineRule="auto"/>
              <w:jc w:val="center"/>
              <w:rPr>
                <w:rFonts w:ascii="Arial" w:hAnsi="Arial" w:cs="Arial"/>
                <w:sz w:val="16"/>
                <w:szCs w:val="16"/>
                <w:lang w:val="de-DE"/>
              </w:rPr>
            </w:pPr>
          </w:p>
        </w:tc>
        <w:tc>
          <w:tcPr>
            <w:tcW w:w="1856" w:type="dxa"/>
            <w:vAlign w:val="center"/>
          </w:tcPr>
          <w:p w:rsidR="00BA647F" w:rsidRPr="004F48F0" w:rsidRDefault="00BA647F" w:rsidP="008055CD">
            <w:pPr>
              <w:jc w:val="center"/>
              <w:rPr>
                <w:rFonts w:ascii="Arial" w:hAnsi="Arial" w:cs="Arial"/>
                <w:b/>
                <w:sz w:val="18"/>
                <w:szCs w:val="18"/>
                <w:lang w:val="de-DE"/>
              </w:rPr>
            </w:pPr>
            <w:r w:rsidRPr="004F48F0">
              <w:rPr>
                <w:rFonts w:ascii="Arial" w:hAnsi="Arial" w:cs="Arial"/>
                <w:b/>
                <w:sz w:val="18"/>
                <w:szCs w:val="18"/>
                <w:lang w:val="de-DE"/>
              </w:rPr>
              <w:t>Unexpected announcement:</w:t>
            </w:r>
          </w:p>
        </w:tc>
        <w:tc>
          <w:tcPr>
            <w:tcW w:w="1902" w:type="dxa"/>
            <w:vAlign w:val="center"/>
          </w:tcPr>
          <w:p w:rsidR="00BA647F" w:rsidRPr="004F48F0" w:rsidRDefault="00BA647F" w:rsidP="008055CD">
            <w:pPr>
              <w:jc w:val="center"/>
              <w:rPr>
                <w:rFonts w:ascii="Arial" w:hAnsi="Arial" w:cs="Arial"/>
                <w:b/>
                <w:sz w:val="18"/>
                <w:szCs w:val="18"/>
                <w:lang w:val="de-DE"/>
              </w:rPr>
            </w:pPr>
            <w:r w:rsidRPr="004F48F0">
              <w:rPr>
                <w:rFonts w:ascii="Arial" w:hAnsi="Arial" w:cs="Arial"/>
                <w:b/>
                <w:sz w:val="18"/>
                <w:szCs w:val="18"/>
                <w:lang w:val="de-DE"/>
              </w:rPr>
              <w:t>Money Supply</w:t>
            </w:r>
          </w:p>
          <w:p w:rsidR="00BA647F" w:rsidRPr="00CA2C53" w:rsidRDefault="00BA647F" w:rsidP="008055CD">
            <w:pPr>
              <w:jc w:val="center"/>
              <w:rPr>
                <w:rFonts w:ascii="Arial" w:hAnsi="Arial" w:cs="Arial"/>
                <w:b/>
                <w:sz w:val="2"/>
                <w:szCs w:val="2"/>
                <w:lang w:val="de-DE"/>
              </w:rPr>
            </w:pPr>
          </w:p>
          <w:p w:rsidR="00BA647F" w:rsidRPr="004F48F0" w:rsidRDefault="00BA647F" w:rsidP="008055CD">
            <w:pPr>
              <w:jc w:val="center"/>
              <w:rPr>
                <w:rFonts w:ascii="Arial" w:hAnsi="Arial" w:cs="Arial"/>
                <w:b/>
                <w:sz w:val="20"/>
                <w:szCs w:val="20"/>
                <w:lang w:val="de-DE"/>
              </w:rPr>
            </w:pPr>
            <w:r w:rsidRPr="009F1BCD">
              <w:rPr>
                <w:b/>
                <w:sz w:val="20"/>
                <w:szCs w:val="20"/>
                <w:lang w:val="de-DE"/>
              </w:rPr>
              <w:t>(</w:t>
            </w:r>
            <w:r w:rsidRPr="004F48F0">
              <w:rPr>
                <w:b/>
                <w:i/>
                <w:sz w:val="20"/>
                <w:szCs w:val="20"/>
                <w:lang w:val="de-DE"/>
              </w:rPr>
              <w:t>MS</w:t>
            </w:r>
            <w:r w:rsidRPr="009F1BCD">
              <w:rPr>
                <w:b/>
                <w:sz w:val="20"/>
                <w:szCs w:val="20"/>
                <w:lang w:val="de-DE"/>
              </w:rPr>
              <w:t>)</w:t>
            </w:r>
          </w:p>
        </w:tc>
        <w:tc>
          <w:tcPr>
            <w:tcW w:w="1711" w:type="dxa"/>
            <w:vAlign w:val="center"/>
          </w:tcPr>
          <w:p w:rsidR="00BA647F" w:rsidRDefault="00BA647F" w:rsidP="008055CD">
            <w:pPr>
              <w:jc w:val="center"/>
              <w:rPr>
                <w:rFonts w:ascii="Arial" w:hAnsi="Arial" w:cs="Arial"/>
                <w:b/>
                <w:sz w:val="18"/>
                <w:szCs w:val="18"/>
                <w:lang w:val="de-DE"/>
              </w:rPr>
            </w:pPr>
            <w:r w:rsidRPr="004F48F0">
              <w:rPr>
                <w:rFonts w:ascii="Arial" w:hAnsi="Arial" w:cs="Arial"/>
                <w:b/>
                <w:sz w:val="18"/>
                <w:szCs w:val="18"/>
                <w:lang w:val="de-DE"/>
              </w:rPr>
              <w:t>Reserve Money</w:t>
            </w:r>
          </w:p>
          <w:p w:rsidR="00BA647F" w:rsidRPr="00CA2C53" w:rsidRDefault="00BA647F" w:rsidP="008055CD">
            <w:pPr>
              <w:jc w:val="center"/>
              <w:rPr>
                <w:rFonts w:ascii="Arial" w:hAnsi="Arial" w:cs="Arial"/>
                <w:b/>
                <w:sz w:val="2"/>
                <w:szCs w:val="2"/>
                <w:lang w:val="de-DE"/>
              </w:rPr>
            </w:pPr>
          </w:p>
          <w:p w:rsidR="00BA647F" w:rsidRPr="004F48F0" w:rsidRDefault="00BA647F" w:rsidP="008055CD">
            <w:pPr>
              <w:jc w:val="center"/>
              <w:rPr>
                <w:b/>
                <w:i/>
                <w:sz w:val="20"/>
                <w:szCs w:val="20"/>
                <w:lang w:val="en-US"/>
              </w:rPr>
            </w:pPr>
            <w:r w:rsidRPr="009F1BCD">
              <w:rPr>
                <w:b/>
                <w:sz w:val="20"/>
                <w:szCs w:val="20"/>
                <w:lang w:val="en-US"/>
              </w:rPr>
              <w:t>(</w:t>
            </w:r>
            <w:r w:rsidRPr="004F48F0">
              <w:rPr>
                <w:b/>
                <w:i/>
                <w:sz w:val="20"/>
                <w:szCs w:val="20"/>
                <w:lang w:val="en-US"/>
              </w:rPr>
              <w:t>RM</w:t>
            </w:r>
            <w:r w:rsidRPr="009F1BCD">
              <w:rPr>
                <w:b/>
                <w:sz w:val="20"/>
                <w:szCs w:val="20"/>
                <w:lang w:val="en-US"/>
              </w:rPr>
              <w:t>)</w:t>
            </w:r>
          </w:p>
        </w:tc>
        <w:tc>
          <w:tcPr>
            <w:tcW w:w="1783" w:type="dxa"/>
            <w:vAlign w:val="center"/>
          </w:tcPr>
          <w:p w:rsidR="00BA647F" w:rsidRDefault="00BA647F" w:rsidP="008055CD">
            <w:pPr>
              <w:jc w:val="center"/>
              <w:rPr>
                <w:rFonts w:ascii="Arial" w:hAnsi="Arial" w:cs="Arial"/>
                <w:b/>
                <w:sz w:val="18"/>
                <w:szCs w:val="18"/>
                <w:lang w:val="de-DE"/>
              </w:rPr>
            </w:pPr>
            <w:r>
              <w:rPr>
                <w:rFonts w:ascii="Arial" w:hAnsi="Arial" w:cs="Arial"/>
                <w:b/>
                <w:sz w:val="18"/>
                <w:szCs w:val="18"/>
                <w:lang w:val="de-DE"/>
              </w:rPr>
              <w:t>Balance of Payments</w:t>
            </w:r>
          </w:p>
          <w:p w:rsidR="00BA647F" w:rsidRPr="00CA2C53" w:rsidRDefault="00BA647F" w:rsidP="008055CD">
            <w:pPr>
              <w:jc w:val="center"/>
              <w:rPr>
                <w:b/>
                <w:i/>
                <w:sz w:val="2"/>
                <w:szCs w:val="2"/>
                <w:lang w:val="en-US"/>
              </w:rPr>
            </w:pPr>
          </w:p>
          <w:p w:rsidR="00BA647F" w:rsidRPr="004F48F0" w:rsidRDefault="00BA647F" w:rsidP="008055CD">
            <w:pPr>
              <w:jc w:val="center"/>
              <w:rPr>
                <w:b/>
                <w:i/>
                <w:sz w:val="20"/>
                <w:szCs w:val="20"/>
                <w:lang w:val="en-US"/>
              </w:rPr>
            </w:pPr>
            <w:r w:rsidRPr="009F1BCD">
              <w:rPr>
                <w:b/>
                <w:sz w:val="20"/>
                <w:szCs w:val="20"/>
                <w:lang w:val="en-US"/>
              </w:rPr>
              <w:t>(</w:t>
            </w:r>
            <w:r w:rsidRPr="004F48F0">
              <w:rPr>
                <w:b/>
                <w:i/>
                <w:sz w:val="20"/>
                <w:szCs w:val="20"/>
                <w:lang w:val="en-US"/>
              </w:rPr>
              <w:t>BOP</w:t>
            </w:r>
            <w:r w:rsidRPr="009F1BCD">
              <w:rPr>
                <w:b/>
                <w:sz w:val="20"/>
                <w:szCs w:val="20"/>
                <w:lang w:val="en-US"/>
              </w:rPr>
              <w:t>)</w:t>
            </w:r>
          </w:p>
        </w:tc>
        <w:tc>
          <w:tcPr>
            <w:tcW w:w="1796" w:type="dxa"/>
            <w:vAlign w:val="center"/>
          </w:tcPr>
          <w:p w:rsidR="00EF2553" w:rsidRPr="000E3558" w:rsidRDefault="00BA647F" w:rsidP="008055CD">
            <w:pPr>
              <w:jc w:val="center"/>
              <w:rPr>
                <w:rFonts w:ascii="Arial" w:hAnsi="Arial" w:cs="Arial"/>
                <w:b/>
                <w:sz w:val="18"/>
                <w:szCs w:val="18"/>
                <w:lang w:val="en-US"/>
              </w:rPr>
            </w:pPr>
            <w:r w:rsidRPr="000E3558">
              <w:rPr>
                <w:rFonts w:ascii="Arial" w:hAnsi="Arial" w:cs="Arial"/>
                <w:b/>
                <w:sz w:val="18"/>
                <w:szCs w:val="18"/>
                <w:lang w:val="en-US"/>
              </w:rPr>
              <w:t xml:space="preserve">Liquid Assets </w:t>
            </w:r>
          </w:p>
          <w:p w:rsidR="00BA647F" w:rsidRPr="000E3558" w:rsidRDefault="00BA647F" w:rsidP="00EF2553">
            <w:pPr>
              <w:jc w:val="center"/>
              <w:rPr>
                <w:rFonts w:ascii="Arial" w:hAnsi="Arial" w:cs="Arial"/>
                <w:b/>
                <w:sz w:val="18"/>
                <w:szCs w:val="18"/>
                <w:lang w:val="en-US"/>
              </w:rPr>
            </w:pPr>
            <w:r w:rsidRPr="000E3558">
              <w:rPr>
                <w:rFonts w:ascii="Arial" w:hAnsi="Arial" w:cs="Arial"/>
                <w:b/>
                <w:sz w:val="18"/>
                <w:szCs w:val="18"/>
                <w:lang w:val="en-US"/>
              </w:rPr>
              <w:t>and Liabilities (</w:t>
            </w:r>
            <w:r w:rsidRPr="009F1BCD">
              <w:rPr>
                <w:b/>
                <w:i/>
                <w:sz w:val="20"/>
                <w:szCs w:val="20"/>
                <w:lang w:val="en-US"/>
              </w:rPr>
              <w:t>AL</w:t>
            </w:r>
            <w:r w:rsidRPr="009F1BCD">
              <w:rPr>
                <w:b/>
                <w:sz w:val="20"/>
                <w:szCs w:val="20"/>
                <w:lang w:val="en-US"/>
              </w:rPr>
              <w:t>)</w:t>
            </w:r>
          </w:p>
        </w:tc>
      </w:tr>
      <w:tr w:rsidR="00F726D6" w:rsidRPr="00A51255" w:rsidTr="00F726D6">
        <w:trPr>
          <w:jc w:val="center"/>
        </w:trPr>
        <w:tc>
          <w:tcPr>
            <w:tcW w:w="402" w:type="dxa"/>
            <w:vAlign w:val="center"/>
          </w:tcPr>
          <w:p w:rsidR="00BA647F" w:rsidRPr="00A51255" w:rsidRDefault="00C65448" w:rsidP="008055CD">
            <w:pPr>
              <w:spacing w:line="360" w:lineRule="auto"/>
              <w:jc w:val="center"/>
              <w:rPr>
                <w:rFonts w:ascii="Arial" w:hAnsi="Arial" w:cs="Arial"/>
                <w:sz w:val="16"/>
                <w:szCs w:val="16"/>
                <w:lang w:val="de-DE"/>
              </w:rPr>
            </w:pPr>
            <w:r>
              <w:rPr>
                <w:rFonts w:ascii="Arial" w:hAnsi="Arial" w:cs="Arial"/>
                <w:sz w:val="16"/>
                <w:szCs w:val="16"/>
                <w:lang w:val="de-DE"/>
              </w:rPr>
              <w:t>(</w:t>
            </w:r>
            <w:r w:rsidR="00BA647F">
              <w:rPr>
                <w:rFonts w:ascii="Arial" w:hAnsi="Arial" w:cs="Arial"/>
                <w:sz w:val="16"/>
                <w:szCs w:val="16"/>
                <w:lang w:val="de-DE"/>
              </w:rPr>
              <w:t>1)</w:t>
            </w:r>
          </w:p>
        </w:tc>
        <w:tc>
          <w:tcPr>
            <w:tcW w:w="1856" w:type="dxa"/>
            <w:vAlign w:val="center"/>
          </w:tcPr>
          <w:p w:rsidR="000701C4" w:rsidRDefault="00BA647F" w:rsidP="000701C4">
            <w:pPr>
              <w:ind w:left="123"/>
              <w:jc w:val="center"/>
            </w:pPr>
            <w:r w:rsidRPr="00B3604A">
              <w:rPr>
                <w:position w:val="-10"/>
              </w:rPr>
              <w:object w:dxaOrig="300" w:dyaOrig="340">
                <v:shape id="_x0000_i1097" type="#_x0000_t75" style="width:14.15pt;height:16.7pt" o:ole="">
                  <v:imagedata r:id="rId102" o:title=""/>
                </v:shape>
                <o:OLEObject Type="Embed" ProgID="Equation.3" ShapeID="_x0000_i1097" DrawAspect="Content" ObjectID="_1507543444" r:id="rId133"/>
              </w:object>
            </w:r>
          </w:p>
          <w:p w:rsidR="00BA647F" w:rsidRPr="004F48F0" w:rsidRDefault="00BA647F" w:rsidP="000701C4">
            <w:pPr>
              <w:ind w:left="123"/>
              <w:jc w:val="center"/>
              <w:rPr>
                <w:b/>
                <w:sz w:val="18"/>
                <w:szCs w:val="18"/>
                <w:lang w:val="de-DE"/>
              </w:rPr>
            </w:pPr>
            <w:r>
              <w:rPr>
                <w:rFonts w:ascii="Arial" w:hAnsi="Arial" w:cs="Arial"/>
                <w:b/>
                <w:sz w:val="18"/>
                <w:szCs w:val="18"/>
                <w:lang w:val="de-DE"/>
              </w:rPr>
              <w:t xml:space="preserve">strongly </w:t>
            </w:r>
            <w:r w:rsidRPr="004F48F0">
              <w:rPr>
                <w:rFonts w:ascii="Arial" w:hAnsi="Arial" w:cs="Arial"/>
                <w:b/>
                <w:sz w:val="18"/>
                <w:szCs w:val="18"/>
                <w:lang w:val="de-DE"/>
              </w:rPr>
              <w:t>positive</w:t>
            </w:r>
          </w:p>
        </w:tc>
        <w:tc>
          <w:tcPr>
            <w:tcW w:w="1902" w:type="dxa"/>
            <w:vAlign w:val="center"/>
          </w:tcPr>
          <w:p w:rsidR="00BA647F" w:rsidRPr="00A51255" w:rsidRDefault="00744B61" w:rsidP="008055CD">
            <w:pPr>
              <w:jc w:val="center"/>
              <w:rPr>
                <w:rFonts w:ascii="Arial" w:hAnsi="Arial" w:cs="Arial"/>
                <w:sz w:val="20"/>
                <w:szCs w:val="20"/>
                <w:lang w:val="de-DE"/>
              </w:rPr>
            </w:pPr>
            <w:r w:rsidRPr="00744B61">
              <w:rPr>
                <w:rFonts w:ascii="Arial" w:hAnsi="Arial" w:cs="Arial"/>
                <w:sz w:val="20"/>
                <w:szCs w:val="20"/>
                <w:lang w:val="de-DE"/>
              </w:rPr>
              <w:t>0.169235</w:t>
            </w:r>
          </w:p>
          <w:p w:rsidR="00BA647F" w:rsidRPr="00A51255" w:rsidRDefault="00BA647F" w:rsidP="008055CD">
            <w:pPr>
              <w:jc w:val="center"/>
              <w:rPr>
                <w:lang w:val="en-US"/>
              </w:rPr>
            </w:pPr>
            <w:r>
              <w:rPr>
                <w:rFonts w:ascii="Arial" w:hAnsi="Arial" w:cs="Arial"/>
                <w:sz w:val="16"/>
                <w:szCs w:val="16"/>
                <w:lang w:val="de-DE"/>
              </w:rPr>
              <w:t>(</w:t>
            </w:r>
            <w:r w:rsidR="00744B61" w:rsidRPr="00744B61">
              <w:rPr>
                <w:rFonts w:ascii="Arial" w:hAnsi="Arial" w:cs="Arial"/>
                <w:sz w:val="16"/>
                <w:szCs w:val="16"/>
                <w:lang w:val="de-DE"/>
              </w:rPr>
              <w:t>0.284803</w:t>
            </w:r>
            <w:r w:rsidRPr="00A51255">
              <w:rPr>
                <w:rFonts w:ascii="Arial" w:hAnsi="Arial" w:cs="Arial"/>
                <w:sz w:val="16"/>
                <w:szCs w:val="16"/>
                <w:lang w:val="de-DE"/>
              </w:rPr>
              <w:t>)</w:t>
            </w:r>
          </w:p>
        </w:tc>
        <w:tc>
          <w:tcPr>
            <w:tcW w:w="1711" w:type="dxa"/>
            <w:vAlign w:val="center"/>
          </w:tcPr>
          <w:p w:rsidR="00BA647F" w:rsidRPr="00A51255" w:rsidRDefault="00B404B9" w:rsidP="008055CD">
            <w:pPr>
              <w:jc w:val="center"/>
              <w:rPr>
                <w:rFonts w:ascii="Arial" w:hAnsi="Arial" w:cs="Arial"/>
                <w:sz w:val="20"/>
                <w:szCs w:val="20"/>
                <w:lang w:val="de-DE"/>
              </w:rPr>
            </w:pPr>
            <w:r w:rsidRPr="00B404B9">
              <w:rPr>
                <w:rFonts w:ascii="Arial" w:hAnsi="Arial" w:cs="Arial"/>
                <w:sz w:val="20"/>
                <w:szCs w:val="20"/>
                <w:lang w:val="de-DE"/>
              </w:rPr>
              <w:t>-0.198571</w:t>
            </w:r>
          </w:p>
          <w:p w:rsidR="00BA647F" w:rsidRPr="00A51255" w:rsidRDefault="00BA647F" w:rsidP="008055CD">
            <w:pPr>
              <w:jc w:val="center"/>
              <w:rPr>
                <w:lang w:val="en-US"/>
              </w:rPr>
            </w:pPr>
            <w:r>
              <w:rPr>
                <w:rFonts w:ascii="Arial" w:hAnsi="Arial" w:cs="Arial"/>
                <w:sz w:val="16"/>
                <w:szCs w:val="16"/>
                <w:lang w:val="de-DE"/>
              </w:rPr>
              <w:t>(</w:t>
            </w:r>
            <w:r w:rsidR="00B404B9" w:rsidRPr="00B404B9">
              <w:rPr>
                <w:rFonts w:ascii="Arial" w:hAnsi="Arial" w:cs="Arial"/>
                <w:sz w:val="16"/>
                <w:szCs w:val="16"/>
                <w:lang w:val="de-DE"/>
              </w:rPr>
              <w:t>0.659580</w:t>
            </w:r>
            <w:r w:rsidRPr="00A51255">
              <w:rPr>
                <w:rFonts w:ascii="Arial" w:hAnsi="Arial" w:cs="Arial"/>
                <w:sz w:val="16"/>
                <w:szCs w:val="16"/>
                <w:lang w:val="de-DE"/>
              </w:rPr>
              <w:t>)</w:t>
            </w:r>
          </w:p>
        </w:tc>
        <w:tc>
          <w:tcPr>
            <w:tcW w:w="1783" w:type="dxa"/>
            <w:vAlign w:val="center"/>
          </w:tcPr>
          <w:p w:rsidR="00BA647F" w:rsidRPr="00A51255" w:rsidRDefault="00634351" w:rsidP="008055CD">
            <w:pPr>
              <w:jc w:val="center"/>
              <w:rPr>
                <w:rFonts w:ascii="Arial" w:hAnsi="Arial" w:cs="Arial"/>
                <w:sz w:val="20"/>
                <w:szCs w:val="20"/>
                <w:lang w:val="de-DE"/>
              </w:rPr>
            </w:pPr>
            <w:r w:rsidRPr="00634351">
              <w:rPr>
                <w:rFonts w:ascii="Arial" w:hAnsi="Arial" w:cs="Arial"/>
                <w:sz w:val="20"/>
                <w:szCs w:val="20"/>
                <w:lang w:val="de-DE"/>
              </w:rPr>
              <w:t>0.052185</w:t>
            </w:r>
          </w:p>
          <w:p w:rsidR="00BA647F" w:rsidRPr="00A51255" w:rsidRDefault="00BA647F" w:rsidP="008055CD">
            <w:pPr>
              <w:jc w:val="center"/>
              <w:rPr>
                <w:lang w:val="en-US"/>
              </w:rPr>
            </w:pPr>
            <w:r>
              <w:rPr>
                <w:rFonts w:ascii="Arial" w:hAnsi="Arial" w:cs="Arial"/>
                <w:sz w:val="16"/>
                <w:szCs w:val="16"/>
                <w:lang w:val="de-DE"/>
              </w:rPr>
              <w:t>(</w:t>
            </w:r>
            <w:r w:rsidR="00634351" w:rsidRPr="00634351">
              <w:rPr>
                <w:rFonts w:ascii="Arial" w:hAnsi="Arial" w:cs="Arial"/>
                <w:sz w:val="16"/>
                <w:szCs w:val="16"/>
                <w:lang w:val="de-DE"/>
              </w:rPr>
              <w:t>0.912403</w:t>
            </w:r>
            <w:r w:rsidRPr="00A51255">
              <w:rPr>
                <w:rFonts w:ascii="Arial" w:hAnsi="Arial" w:cs="Arial"/>
                <w:sz w:val="16"/>
                <w:szCs w:val="16"/>
                <w:lang w:val="de-DE"/>
              </w:rPr>
              <w:t>)</w:t>
            </w:r>
          </w:p>
        </w:tc>
        <w:tc>
          <w:tcPr>
            <w:tcW w:w="1796" w:type="dxa"/>
            <w:vAlign w:val="center"/>
          </w:tcPr>
          <w:p w:rsidR="00BA647F" w:rsidRPr="00A51255" w:rsidRDefault="00AC784E" w:rsidP="008055CD">
            <w:pPr>
              <w:jc w:val="center"/>
              <w:rPr>
                <w:rFonts w:ascii="Arial" w:hAnsi="Arial" w:cs="Arial"/>
                <w:sz w:val="20"/>
                <w:szCs w:val="20"/>
                <w:lang w:val="de-DE"/>
              </w:rPr>
            </w:pPr>
            <w:r w:rsidRPr="00AC784E">
              <w:rPr>
                <w:rFonts w:ascii="Arial" w:hAnsi="Arial" w:cs="Arial"/>
                <w:sz w:val="20"/>
                <w:szCs w:val="20"/>
                <w:lang w:val="de-DE"/>
              </w:rPr>
              <w:t>0.873658</w:t>
            </w:r>
            <w:r>
              <w:rPr>
                <w:rFonts w:ascii="Arial" w:hAnsi="Arial" w:cs="Arial"/>
                <w:sz w:val="20"/>
                <w:szCs w:val="20"/>
                <w:lang w:val="de-DE"/>
              </w:rPr>
              <w:t xml:space="preserve"> ***</w:t>
            </w:r>
          </w:p>
          <w:p w:rsidR="00BA647F" w:rsidRPr="00A51255" w:rsidRDefault="00BA647F" w:rsidP="008055CD">
            <w:pPr>
              <w:jc w:val="center"/>
              <w:rPr>
                <w:lang w:val="en-US"/>
              </w:rPr>
            </w:pPr>
            <w:r>
              <w:rPr>
                <w:rFonts w:ascii="Arial" w:hAnsi="Arial" w:cs="Arial"/>
                <w:sz w:val="16"/>
                <w:szCs w:val="16"/>
                <w:lang w:val="de-DE"/>
              </w:rPr>
              <w:t>(</w:t>
            </w:r>
            <w:r w:rsidR="00AC784E" w:rsidRPr="00AC784E">
              <w:rPr>
                <w:rFonts w:ascii="Arial" w:hAnsi="Arial" w:cs="Arial"/>
                <w:sz w:val="16"/>
                <w:szCs w:val="16"/>
                <w:lang w:val="de-DE"/>
              </w:rPr>
              <w:t>0.272143</w:t>
            </w:r>
            <w:r w:rsidRPr="00A51255">
              <w:rPr>
                <w:rFonts w:ascii="Arial" w:hAnsi="Arial" w:cs="Arial"/>
                <w:sz w:val="16"/>
                <w:szCs w:val="16"/>
                <w:lang w:val="de-DE"/>
              </w:rPr>
              <w:t>)</w:t>
            </w:r>
          </w:p>
        </w:tc>
      </w:tr>
      <w:tr w:rsidR="00F726D6" w:rsidRPr="00A51255" w:rsidTr="00F726D6">
        <w:trPr>
          <w:jc w:val="center"/>
        </w:trPr>
        <w:tc>
          <w:tcPr>
            <w:tcW w:w="402" w:type="dxa"/>
            <w:vAlign w:val="center"/>
          </w:tcPr>
          <w:p w:rsidR="00BA647F" w:rsidRPr="00A51255" w:rsidRDefault="00C65448" w:rsidP="008055CD">
            <w:pPr>
              <w:spacing w:line="360" w:lineRule="auto"/>
              <w:jc w:val="center"/>
              <w:rPr>
                <w:rFonts w:ascii="Arial" w:hAnsi="Arial" w:cs="Arial"/>
                <w:sz w:val="16"/>
                <w:szCs w:val="16"/>
                <w:lang w:val="de-DE"/>
              </w:rPr>
            </w:pPr>
            <w:r>
              <w:rPr>
                <w:rFonts w:ascii="Arial" w:hAnsi="Arial" w:cs="Arial"/>
                <w:sz w:val="16"/>
                <w:szCs w:val="16"/>
                <w:lang w:val="de-DE"/>
              </w:rPr>
              <w:t>(</w:t>
            </w:r>
            <w:r w:rsidR="00BA647F">
              <w:rPr>
                <w:rFonts w:ascii="Arial" w:hAnsi="Arial" w:cs="Arial"/>
                <w:sz w:val="16"/>
                <w:szCs w:val="16"/>
                <w:lang w:val="de-DE"/>
              </w:rPr>
              <w:t>1)</w:t>
            </w:r>
          </w:p>
        </w:tc>
        <w:tc>
          <w:tcPr>
            <w:tcW w:w="1856" w:type="dxa"/>
            <w:vAlign w:val="center"/>
          </w:tcPr>
          <w:p w:rsidR="000701C4" w:rsidRDefault="00BA647F" w:rsidP="000701C4">
            <w:pPr>
              <w:ind w:left="123"/>
              <w:jc w:val="center"/>
            </w:pPr>
            <w:r w:rsidRPr="00B3604A">
              <w:rPr>
                <w:position w:val="-12"/>
              </w:rPr>
              <w:object w:dxaOrig="300" w:dyaOrig="360">
                <v:shape id="_x0000_i1098" type="#_x0000_t75" style="width:14.15pt;height:18pt" o:ole="">
                  <v:imagedata r:id="rId104" o:title=""/>
                </v:shape>
                <o:OLEObject Type="Embed" ProgID="Equation.3" ShapeID="_x0000_i1098" DrawAspect="Content" ObjectID="_1507543445" r:id="rId134"/>
              </w:object>
            </w:r>
          </w:p>
          <w:p w:rsidR="00BA647F" w:rsidRPr="004F48F0" w:rsidRDefault="00BA647F" w:rsidP="000701C4">
            <w:pPr>
              <w:ind w:left="123"/>
              <w:jc w:val="center"/>
              <w:rPr>
                <w:rFonts w:ascii="Arial" w:hAnsi="Arial" w:cs="Arial"/>
                <w:b/>
                <w:sz w:val="18"/>
                <w:szCs w:val="18"/>
                <w:lang w:val="de-DE"/>
              </w:rPr>
            </w:pPr>
            <w:r>
              <w:rPr>
                <w:rFonts w:ascii="Arial" w:hAnsi="Arial" w:cs="Arial"/>
                <w:b/>
                <w:sz w:val="18"/>
                <w:szCs w:val="18"/>
                <w:lang w:val="de-DE"/>
              </w:rPr>
              <w:t xml:space="preserve"> p</w:t>
            </w:r>
            <w:r w:rsidRPr="004F48F0">
              <w:rPr>
                <w:rFonts w:ascii="Arial" w:hAnsi="Arial" w:cs="Arial"/>
                <w:b/>
                <w:sz w:val="18"/>
                <w:szCs w:val="18"/>
                <w:lang w:val="de-DE"/>
              </w:rPr>
              <w:t>ositive</w:t>
            </w:r>
          </w:p>
        </w:tc>
        <w:tc>
          <w:tcPr>
            <w:tcW w:w="1902" w:type="dxa"/>
            <w:vAlign w:val="center"/>
          </w:tcPr>
          <w:p w:rsidR="00BA647F" w:rsidRPr="00A51255" w:rsidRDefault="00744B61" w:rsidP="008055CD">
            <w:pPr>
              <w:jc w:val="center"/>
              <w:rPr>
                <w:rFonts w:ascii="Arial" w:hAnsi="Arial" w:cs="Arial"/>
                <w:sz w:val="20"/>
                <w:szCs w:val="20"/>
                <w:lang w:val="de-DE"/>
              </w:rPr>
            </w:pPr>
            <w:r w:rsidRPr="00744B61">
              <w:rPr>
                <w:rFonts w:ascii="Arial" w:hAnsi="Arial" w:cs="Arial"/>
                <w:sz w:val="20"/>
                <w:szCs w:val="20"/>
                <w:lang w:val="de-DE"/>
              </w:rPr>
              <w:t>-0.049607</w:t>
            </w:r>
          </w:p>
          <w:p w:rsidR="00BA647F" w:rsidRPr="00A51255" w:rsidRDefault="00BA647F" w:rsidP="008055CD">
            <w:pPr>
              <w:jc w:val="center"/>
              <w:rPr>
                <w:lang w:val="en-US"/>
              </w:rPr>
            </w:pPr>
            <w:r>
              <w:rPr>
                <w:rFonts w:ascii="Arial" w:hAnsi="Arial" w:cs="Arial"/>
                <w:sz w:val="16"/>
                <w:szCs w:val="16"/>
                <w:lang w:val="de-DE"/>
              </w:rPr>
              <w:t>(</w:t>
            </w:r>
            <w:r w:rsidR="00744B61" w:rsidRPr="00744B61">
              <w:rPr>
                <w:rFonts w:ascii="Arial" w:hAnsi="Arial" w:cs="Arial"/>
                <w:sz w:val="16"/>
                <w:szCs w:val="16"/>
                <w:lang w:val="de-DE"/>
              </w:rPr>
              <w:t>0.121929</w:t>
            </w:r>
            <w:r w:rsidRPr="00A51255">
              <w:rPr>
                <w:rFonts w:ascii="Arial" w:hAnsi="Arial" w:cs="Arial"/>
                <w:sz w:val="16"/>
                <w:szCs w:val="16"/>
                <w:lang w:val="de-DE"/>
              </w:rPr>
              <w:t>)</w:t>
            </w:r>
          </w:p>
        </w:tc>
        <w:tc>
          <w:tcPr>
            <w:tcW w:w="1711" w:type="dxa"/>
            <w:vAlign w:val="center"/>
          </w:tcPr>
          <w:p w:rsidR="00BA647F" w:rsidRPr="00A51255" w:rsidRDefault="00B404B9" w:rsidP="008055CD">
            <w:pPr>
              <w:jc w:val="center"/>
              <w:rPr>
                <w:rFonts w:ascii="Arial" w:hAnsi="Arial" w:cs="Arial"/>
                <w:sz w:val="20"/>
                <w:szCs w:val="20"/>
                <w:lang w:val="de-DE"/>
              </w:rPr>
            </w:pPr>
            <w:r w:rsidRPr="00B404B9">
              <w:rPr>
                <w:rFonts w:ascii="Arial" w:hAnsi="Arial" w:cs="Arial"/>
                <w:sz w:val="20"/>
                <w:szCs w:val="20"/>
                <w:lang w:val="de-DE"/>
              </w:rPr>
              <w:t>0.010662</w:t>
            </w:r>
          </w:p>
          <w:p w:rsidR="00BA647F" w:rsidRPr="00A51255" w:rsidRDefault="00BA647F" w:rsidP="008055CD">
            <w:pPr>
              <w:jc w:val="center"/>
              <w:rPr>
                <w:lang w:val="en-US"/>
              </w:rPr>
            </w:pPr>
            <w:r>
              <w:rPr>
                <w:rFonts w:ascii="Arial" w:hAnsi="Arial" w:cs="Arial"/>
                <w:sz w:val="16"/>
                <w:szCs w:val="16"/>
                <w:lang w:val="de-DE"/>
              </w:rPr>
              <w:t>(</w:t>
            </w:r>
            <w:r w:rsidR="00B404B9" w:rsidRPr="00B404B9">
              <w:rPr>
                <w:rFonts w:ascii="Arial" w:hAnsi="Arial" w:cs="Arial"/>
                <w:sz w:val="16"/>
                <w:szCs w:val="16"/>
                <w:lang w:val="de-DE"/>
              </w:rPr>
              <w:t>0.114996</w:t>
            </w:r>
            <w:r w:rsidRPr="00A51255">
              <w:rPr>
                <w:rFonts w:ascii="Arial" w:hAnsi="Arial" w:cs="Arial"/>
                <w:sz w:val="16"/>
                <w:szCs w:val="16"/>
                <w:lang w:val="de-DE"/>
              </w:rPr>
              <w:t>)</w:t>
            </w:r>
          </w:p>
        </w:tc>
        <w:tc>
          <w:tcPr>
            <w:tcW w:w="1783" w:type="dxa"/>
            <w:vAlign w:val="center"/>
          </w:tcPr>
          <w:p w:rsidR="00BA647F" w:rsidRPr="00A51255" w:rsidRDefault="00634351" w:rsidP="008055CD">
            <w:pPr>
              <w:jc w:val="center"/>
              <w:rPr>
                <w:rFonts w:ascii="Arial" w:hAnsi="Arial" w:cs="Arial"/>
                <w:sz w:val="20"/>
                <w:szCs w:val="20"/>
                <w:lang w:val="de-DE"/>
              </w:rPr>
            </w:pPr>
            <w:r w:rsidRPr="00634351">
              <w:rPr>
                <w:rFonts w:ascii="Arial" w:hAnsi="Arial" w:cs="Arial"/>
                <w:sz w:val="20"/>
                <w:szCs w:val="20"/>
                <w:lang w:val="de-DE"/>
              </w:rPr>
              <w:t>0.279361</w:t>
            </w:r>
          </w:p>
          <w:p w:rsidR="00BA647F" w:rsidRPr="00A51255" w:rsidRDefault="00BA647F" w:rsidP="008055CD">
            <w:pPr>
              <w:jc w:val="center"/>
              <w:rPr>
                <w:lang w:val="en-US"/>
              </w:rPr>
            </w:pPr>
            <w:r>
              <w:rPr>
                <w:rFonts w:ascii="Arial" w:hAnsi="Arial" w:cs="Arial"/>
                <w:sz w:val="16"/>
                <w:szCs w:val="16"/>
                <w:lang w:val="de-DE"/>
              </w:rPr>
              <w:t>(</w:t>
            </w:r>
            <w:r w:rsidR="00634351" w:rsidRPr="00634351">
              <w:rPr>
                <w:rFonts w:ascii="Arial" w:hAnsi="Arial" w:cs="Arial"/>
                <w:sz w:val="16"/>
                <w:szCs w:val="16"/>
                <w:lang w:val="de-DE"/>
              </w:rPr>
              <w:t>0.378729</w:t>
            </w:r>
            <w:r w:rsidRPr="00A51255">
              <w:rPr>
                <w:rFonts w:ascii="Arial" w:hAnsi="Arial" w:cs="Arial"/>
                <w:sz w:val="16"/>
                <w:szCs w:val="16"/>
                <w:lang w:val="de-DE"/>
              </w:rPr>
              <w:t>)</w:t>
            </w:r>
          </w:p>
        </w:tc>
        <w:tc>
          <w:tcPr>
            <w:tcW w:w="1796" w:type="dxa"/>
            <w:vAlign w:val="center"/>
          </w:tcPr>
          <w:p w:rsidR="00BA647F" w:rsidRPr="00A51255" w:rsidRDefault="00CC71F4" w:rsidP="008055CD">
            <w:pPr>
              <w:jc w:val="center"/>
              <w:rPr>
                <w:rFonts w:ascii="Arial" w:hAnsi="Arial" w:cs="Arial"/>
                <w:sz w:val="20"/>
                <w:szCs w:val="20"/>
                <w:lang w:val="de-DE"/>
              </w:rPr>
            </w:pPr>
            <w:r w:rsidRPr="00CC71F4">
              <w:rPr>
                <w:rFonts w:ascii="Arial" w:hAnsi="Arial" w:cs="Arial"/>
                <w:sz w:val="20"/>
                <w:szCs w:val="20"/>
                <w:lang w:val="de-DE"/>
              </w:rPr>
              <w:t>0.270267</w:t>
            </w:r>
          </w:p>
          <w:p w:rsidR="00BA647F" w:rsidRPr="00A51255" w:rsidRDefault="00BA647F" w:rsidP="008055CD">
            <w:pPr>
              <w:jc w:val="center"/>
              <w:rPr>
                <w:lang w:val="en-US"/>
              </w:rPr>
            </w:pPr>
            <w:r>
              <w:rPr>
                <w:rFonts w:ascii="Arial" w:hAnsi="Arial" w:cs="Arial"/>
                <w:sz w:val="16"/>
                <w:szCs w:val="16"/>
                <w:lang w:val="de-DE"/>
              </w:rPr>
              <w:t>(</w:t>
            </w:r>
            <w:r w:rsidR="00CC71F4" w:rsidRPr="00CC71F4">
              <w:rPr>
                <w:rFonts w:ascii="Arial" w:hAnsi="Arial" w:cs="Arial"/>
                <w:sz w:val="16"/>
                <w:szCs w:val="16"/>
                <w:lang w:val="de-DE"/>
              </w:rPr>
              <w:t>0.252208</w:t>
            </w:r>
            <w:r w:rsidRPr="00A51255">
              <w:rPr>
                <w:rFonts w:ascii="Arial" w:hAnsi="Arial" w:cs="Arial"/>
                <w:sz w:val="16"/>
                <w:szCs w:val="16"/>
                <w:lang w:val="de-DE"/>
              </w:rPr>
              <w:t>)</w:t>
            </w:r>
          </w:p>
        </w:tc>
      </w:tr>
      <w:tr w:rsidR="00F726D6" w:rsidRPr="00A51255" w:rsidTr="00F726D6">
        <w:trPr>
          <w:jc w:val="center"/>
        </w:trPr>
        <w:tc>
          <w:tcPr>
            <w:tcW w:w="402" w:type="dxa"/>
            <w:vAlign w:val="center"/>
          </w:tcPr>
          <w:p w:rsidR="00BA647F" w:rsidRPr="00A51255" w:rsidRDefault="00C65448" w:rsidP="008055CD">
            <w:pPr>
              <w:spacing w:line="360" w:lineRule="auto"/>
              <w:jc w:val="center"/>
              <w:rPr>
                <w:rFonts w:ascii="Arial" w:hAnsi="Arial" w:cs="Arial"/>
                <w:sz w:val="16"/>
                <w:szCs w:val="16"/>
                <w:lang w:val="de-DE"/>
              </w:rPr>
            </w:pPr>
            <w:r>
              <w:rPr>
                <w:rFonts w:ascii="Arial" w:hAnsi="Arial" w:cs="Arial"/>
                <w:sz w:val="16"/>
                <w:szCs w:val="16"/>
                <w:lang w:val="de-DE"/>
              </w:rPr>
              <w:t>(</w:t>
            </w:r>
            <w:r w:rsidR="00BA647F">
              <w:rPr>
                <w:rFonts w:ascii="Arial" w:hAnsi="Arial" w:cs="Arial"/>
                <w:sz w:val="16"/>
                <w:szCs w:val="16"/>
                <w:lang w:val="de-DE"/>
              </w:rPr>
              <w:t>1)</w:t>
            </w:r>
          </w:p>
        </w:tc>
        <w:tc>
          <w:tcPr>
            <w:tcW w:w="1856" w:type="dxa"/>
            <w:vAlign w:val="center"/>
          </w:tcPr>
          <w:p w:rsidR="000701C4" w:rsidRDefault="00BA647F" w:rsidP="000701C4">
            <w:pPr>
              <w:ind w:left="123"/>
              <w:jc w:val="center"/>
            </w:pPr>
            <w:r w:rsidRPr="00B3604A">
              <w:rPr>
                <w:position w:val="-12"/>
              </w:rPr>
              <w:object w:dxaOrig="300" w:dyaOrig="360">
                <v:shape id="_x0000_i1099" type="#_x0000_t75" style="width:14.15pt;height:18pt" o:ole="">
                  <v:imagedata r:id="rId106" o:title=""/>
                </v:shape>
                <o:OLEObject Type="Embed" ProgID="Equation.3" ShapeID="_x0000_i1099" DrawAspect="Content" ObjectID="_1507543446" r:id="rId135"/>
              </w:object>
            </w:r>
          </w:p>
          <w:p w:rsidR="00BA647F" w:rsidRPr="004F48F0" w:rsidRDefault="00BA647F" w:rsidP="000701C4">
            <w:pPr>
              <w:ind w:left="123"/>
              <w:jc w:val="center"/>
              <w:rPr>
                <w:rFonts w:ascii="Arial" w:hAnsi="Arial" w:cs="Arial"/>
                <w:b/>
                <w:sz w:val="18"/>
                <w:szCs w:val="18"/>
                <w:lang w:val="de-DE"/>
              </w:rPr>
            </w:pPr>
            <w:r>
              <w:rPr>
                <w:rFonts w:ascii="Arial" w:hAnsi="Arial" w:cs="Arial"/>
                <w:b/>
                <w:sz w:val="18"/>
                <w:szCs w:val="18"/>
                <w:lang w:val="de-DE"/>
              </w:rPr>
              <w:t>n</w:t>
            </w:r>
            <w:r w:rsidRPr="004F48F0">
              <w:rPr>
                <w:rFonts w:ascii="Arial" w:hAnsi="Arial" w:cs="Arial"/>
                <w:b/>
                <w:sz w:val="18"/>
                <w:szCs w:val="18"/>
                <w:lang w:val="de-DE"/>
              </w:rPr>
              <w:t>egative</w:t>
            </w:r>
          </w:p>
        </w:tc>
        <w:tc>
          <w:tcPr>
            <w:tcW w:w="1902" w:type="dxa"/>
            <w:vAlign w:val="center"/>
          </w:tcPr>
          <w:p w:rsidR="00BA647F" w:rsidRPr="00A51255" w:rsidRDefault="00744B61" w:rsidP="008055CD">
            <w:pPr>
              <w:jc w:val="center"/>
              <w:rPr>
                <w:rFonts w:ascii="Arial" w:hAnsi="Arial" w:cs="Arial"/>
                <w:sz w:val="20"/>
                <w:szCs w:val="20"/>
                <w:lang w:val="de-DE"/>
              </w:rPr>
            </w:pPr>
            <w:r w:rsidRPr="00744B61">
              <w:rPr>
                <w:rFonts w:ascii="Arial" w:hAnsi="Arial" w:cs="Arial"/>
                <w:sz w:val="20"/>
                <w:szCs w:val="20"/>
                <w:lang w:val="de-DE"/>
              </w:rPr>
              <w:t>-0.098928</w:t>
            </w:r>
          </w:p>
          <w:p w:rsidR="00BA647F" w:rsidRPr="00A51255" w:rsidRDefault="00BA647F" w:rsidP="008055CD">
            <w:pPr>
              <w:jc w:val="center"/>
              <w:rPr>
                <w:lang w:val="en-US"/>
              </w:rPr>
            </w:pPr>
            <w:r>
              <w:rPr>
                <w:rFonts w:ascii="Arial" w:hAnsi="Arial" w:cs="Arial"/>
                <w:sz w:val="16"/>
                <w:szCs w:val="16"/>
                <w:lang w:val="de-DE"/>
              </w:rPr>
              <w:t>(</w:t>
            </w:r>
            <w:r w:rsidR="00744B61" w:rsidRPr="00744B61">
              <w:rPr>
                <w:rFonts w:ascii="Arial" w:hAnsi="Arial" w:cs="Arial"/>
                <w:sz w:val="16"/>
                <w:szCs w:val="16"/>
                <w:lang w:val="de-DE"/>
              </w:rPr>
              <w:t>0.262876</w:t>
            </w:r>
            <w:r w:rsidRPr="00A51255">
              <w:rPr>
                <w:rFonts w:ascii="Arial" w:hAnsi="Arial" w:cs="Arial"/>
                <w:sz w:val="16"/>
                <w:szCs w:val="16"/>
                <w:lang w:val="de-DE"/>
              </w:rPr>
              <w:t>)</w:t>
            </w:r>
          </w:p>
        </w:tc>
        <w:tc>
          <w:tcPr>
            <w:tcW w:w="1711" w:type="dxa"/>
            <w:vAlign w:val="center"/>
          </w:tcPr>
          <w:p w:rsidR="00BA647F" w:rsidRPr="00A51255" w:rsidRDefault="00B404B9" w:rsidP="008055CD">
            <w:pPr>
              <w:jc w:val="center"/>
              <w:rPr>
                <w:rFonts w:ascii="Arial" w:hAnsi="Arial" w:cs="Arial"/>
                <w:sz w:val="20"/>
                <w:szCs w:val="20"/>
                <w:lang w:val="de-DE"/>
              </w:rPr>
            </w:pPr>
            <w:r w:rsidRPr="00B404B9">
              <w:rPr>
                <w:rFonts w:ascii="Arial" w:hAnsi="Arial" w:cs="Arial"/>
                <w:sz w:val="20"/>
                <w:szCs w:val="20"/>
                <w:lang w:val="de-DE"/>
              </w:rPr>
              <w:t>0.221380</w:t>
            </w:r>
          </w:p>
          <w:p w:rsidR="00BA647F" w:rsidRPr="00A51255" w:rsidRDefault="00BA647F" w:rsidP="008055CD">
            <w:pPr>
              <w:jc w:val="center"/>
              <w:rPr>
                <w:lang w:val="en-US"/>
              </w:rPr>
            </w:pPr>
            <w:r>
              <w:rPr>
                <w:rFonts w:ascii="Arial" w:hAnsi="Arial" w:cs="Arial"/>
                <w:sz w:val="16"/>
                <w:szCs w:val="16"/>
                <w:lang w:val="de-DE"/>
              </w:rPr>
              <w:t>(</w:t>
            </w:r>
            <w:r w:rsidR="00B404B9" w:rsidRPr="00B404B9">
              <w:rPr>
                <w:rFonts w:ascii="Arial" w:hAnsi="Arial" w:cs="Arial"/>
                <w:sz w:val="16"/>
                <w:szCs w:val="16"/>
                <w:lang w:val="de-DE"/>
              </w:rPr>
              <w:t>0.335618</w:t>
            </w:r>
            <w:r w:rsidRPr="00A51255">
              <w:rPr>
                <w:rFonts w:ascii="Arial" w:hAnsi="Arial" w:cs="Arial"/>
                <w:sz w:val="16"/>
                <w:szCs w:val="16"/>
                <w:lang w:val="de-DE"/>
              </w:rPr>
              <w:t>)</w:t>
            </w:r>
          </w:p>
        </w:tc>
        <w:tc>
          <w:tcPr>
            <w:tcW w:w="1783" w:type="dxa"/>
            <w:vAlign w:val="center"/>
          </w:tcPr>
          <w:p w:rsidR="00BA647F" w:rsidRPr="00A51255" w:rsidRDefault="00634351" w:rsidP="008055CD">
            <w:pPr>
              <w:jc w:val="center"/>
              <w:rPr>
                <w:rFonts w:ascii="Arial" w:hAnsi="Arial" w:cs="Arial"/>
                <w:sz w:val="20"/>
                <w:szCs w:val="20"/>
                <w:lang w:val="de-DE"/>
              </w:rPr>
            </w:pPr>
            <w:r w:rsidRPr="00634351">
              <w:rPr>
                <w:rFonts w:ascii="Arial" w:hAnsi="Arial" w:cs="Arial"/>
                <w:sz w:val="20"/>
                <w:szCs w:val="20"/>
                <w:lang w:val="de-DE"/>
              </w:rPr>
              <w:t>0.307224</w:t>
            </w:r>
          </w:p>
          <w:p w:rsidR="00BA647F" w:rsidRPr="00A51255" w:rsidRDefault="00BA647F" w:rsidP="008055CD">
            <w:pPr>
              <w:jc w:val="center"/>
              <w:rPr>
                <w:lang w:val="en-US"/>
              </w:rPr>
            </w:pPr>
            <w:r>
              <w:rPr>
                <w:rFonts w:ascii="Arial" w:hAnsi="Arial" w:cs="Arial"/>
                <w:sz w:val="16"/>
                <w:szCs w:val="16"/>
                <w:lang w:val="de-DE"/>
              </w:rPr>
              <w:t>(</w:t>
            </w:r>
            <w:r w:rsidR="00634351" w:rsidRPr="00634351">
              <w:rPr>
                <w:rFonts w:ascii="Arial" w:hAnsi="Arial" w:cs="Arial"/>
                <w:sz w:val="16"/>
                <w:szCs w:val="16"/>
                <w:lang w:val="de-DE"/>
              </w:rPr>
              <w:t>0.254786</w:t>
            </w:r>
            <w:r w:rsidRPr="00A51255">
              <w:rPr>
                <w:rFonts w:ascii="Arial" w:hAnsi="Arial" w:cs="Arial"/>
                <w:sz w:val="16"/>
                <w:szCs w:val="16"/>
                <w:lang w:val="de-DE"/>
              </w:rPr>
              <w:t>)</w:t>
            </w:r>
          </w:p>
        </w:tc>
        <w:tc>
          <w:tcPr>
            <w:tcW w:w="1796" w:type="dxa"/>
            <w:vAlign w:val="center"/>
          </w:tcPr>
          <w:p w:rsidR="00BA647F" w:rsidRPr="00A51255" w:rsidRDefault="00CC71F4" w:rsidP="008055CD">
            <w:pPr>
              <w:jc w:val="center"/>
              <w:rPr>
                <w:rFonts w:ascii="Arial" w:hAnsi="Arial" w:cs="Arial"/>
                <w:sz w:val="20"/>
                <w:szCs w:val="20"/>
                <w:lang w:val="de-DE"/>
              </w:rPr>
            </w:pPr>
            <w:r w:rsidRPr="00CC71F4">
              <w:rPr>
                <w:rFonts w:ascii="Arial" w:hAnsi="Arial" w:cs="Arial"/>
                <w:sz w:val="20"/>
                <w:szCs w:val="20"/>
                <w:lang w:val="de-DE"/>
              </w:rPr>
              <w:t>0.031378</w:t>
            </w:r>
          </w:p>
          <w:p w:rsidR="00BA647F" w:rsidRPr="00A51255" w:rsidRDefault="00BA647F" w:rsidP="008055CD">
            <w:pPr>
              <w:jc w:val="center"/>
              <w:rPr>
                <w:lang w:val="en-US"/>
              </w:rPr>
            </w:pPr>
            <w:r>
              <w:rPr>
                <w:rFonts w:ascii="Arial" w:hAnsi="Arial" w:cs="Arial"/>
                <w:sz w:val="16"/>
                <w:szCs w:val="16"/>
                <w:lang w:val="de-DE"/>
              </w:rPr>
              <w:t>(</w:t>
            </w:r>
            <w:r w:rsidR="00CC71F4" w:rsidRPr="00CC71F4">
              <w:rPr>
                <w:rFonts w:ascii="Arial" w:hAnsi="Arial" w:cs="Arial"/>
                <w:sz w:val="16"/>
                <w:szCs w:val="16"/>
                <w:lang w:val="de-DE"/>
              </w:rPr>
              <w:t>0.381722</w:t>
            </w:r>
            <w:r w:rsidRPr="00A51255">
              <w:rPr>
                <w:rFonts w:ascii="Arial" w:hAnsi="Arial" w:cs="Arial"/>
                <w:sz w:val="16"/>
                <w:szCs w:val="16"/>
                <w:lang w:val="de-DE"/>
              </w:rPr>
              <w:t>)</w:t>
            </w:r>
          </w:p>
        </w:tc>
      </w:tr>
      <w:tr w:rsidR="00F726D6" w:rsidRPr="00A51255" w:rsidTr="00F726D6">
        <w:trPr>
          <w:jc w:val="center"/>
        </w:trPr>
        <w:tc>
          <w:tcPr>
            <w:tcW w:w="402" w:type="dxa"/>
            <w:vAlign w:val="center"/>
          </w:tcPr>
          <w:p w:rsidR="00BA647F" w:rsidRPr="00A51255" w:rsidRDefault="00C65448" w:rsidP="008055CD">
            <w:pPr>
              <w:spacing w:line="360" w:lineRule="auto"/>
              <w:jc w:val="center"/>
              <w:rPr>
                <w:rFonts w:ascii="Arial" w:hAnsi="Arial" w:cs="Arial"/>
                <w:sz w:val="16"/>
                <w:szCs w:val="16"/>
                <w:lang w:val="de-DE"/>
              </w:rPr>
            </w:pPr>
            <w:r>
              <w:rPr>
                <w:rFonts w:ascii="Arial" w:hAnsi="Arial" w:cs="Arial"/>
                <w:sz w:val="16"/>
                <w:szCs w:val="16"/>
                <w:lang w:val="de-DE"/>
              </w:rPr>
              <w:t>(</w:t>
            </w:r>
            <w:r w:rsidR="00BA647F">
              <w:rPr>
                <w:rFonts w:ascii="Arial" w:hAnsi="Arial" w:cs="Arial"/>
                <w:sz w:val="16"/>
                <w:szCs w:val="16"/>
                <w:lang w:val="de-DE"/>
              </w:rPr>
              <w:t>1)</w:t>
            </w:r>
          </w:p>
        </w:tc>
        <w:tc>
          <w:tcPr>
            <w:tcW w:w="1856" w:type="dxa"/>
            <w:vAlign w:val="center"/>
          </w:tcPr>
          <w:p w:rsidR="000701C4" w:rsidRDefault="00BA647F" w:rsidP="000701C4">
            <w:pPr>
              <w:ind w:left="123"/>
              <w:jc w:val="center"/>
            </w:pPr>
            <w:r w:rsidRPr="00B3604A">
              <w:rPr>
                <w:position w:val="-12"/>
              </w:rPr>
              <w:object w:dxaOrig="300" w:dyaOrig="360">
                <v:shape id="_x0000_i1100" type="#_x0000_t75" style="width:14.15pt;height:18pt" o:ole="">
                  <v:imagedata r:id="rId108" o:title=""/>
                </v:shape>
                <o:OLEObject Type="Embed" ProgID="Equation.3" ShapeID="_x0000_i1100" DrawAspect="Content" ObjectID="_1507543447" r:id="rId136"/>
              </w:object>
            </w:r>
          </w:p>
          <w:p w:rsidR="00BA647F" w:rsidRPr="004F48F0" w:rsidRDefault="00BA647F" w:rsidP="000701C4">
            <w:pPr>
              <w:ind w:left="123"/>
              <w:jc w:val="center"/>
              <w:rPr>
                <w:rFonts w:ascii="Arial" w:hAnsi="Arial" w:cs="Arial"/>
                <w:b/>
                <w:sz w:val="18"/>
                <w:szCs w:val="18"/>
                <w:lang w:val="de-DE"/>
              </w:rPr>
            </w:pPr>
            <w:r>
              <w:rPr>
                <w:rFonts w:ascii="Arial" w:hAnsi="Arial" w:cs="Arial"/>
                <w:b/>
                <w:sz w:val="18"/>
                <w:szCs w:val="18"/>
                <w:lang w:val="de-DE"/>
              </w:rPr>
              <w:t xml:space="preserve">strongly </w:t>
            </w:r>
            <w:r w:rsidRPr="004F48F0">
              <w:rPr>
                <w:rFonts w:ascii="Arial" w:hAnsi="Arial" w:cs="Arial"/>
                <w:b/>
                <w:sz w:val="18"/>
                <w:szCs w:val="18"/>
                <w:lang w:val="de-DE"/>
              </w:rPr>
              <w:t>negative</w:t>
            </w:r>
          </w:p>
        </w:tc>
        <w:tc>
          <w:tcPr>
            <w:tcW w:w="1902" w:type="dxa"/>
            <w:vAlign w:val="center"/>
          </w:tcPr>
          <w:p w:rsidR="00BA647F" w:rsidRPr="00A51255" w:rsidRDefault="00744B61" w:rsidP="008055CD">
            <w:pPr>
              <w:jc w:val="center"/>
              <w:rPr>
                <w:rFonts w:ascii="Arial" w:hAnsi="Arial" w:cs="Arial"/>
                <w:sz w:val="20"/>
                <w:szCs w:val="20"/>
                <w:lang w:val="de-DE"/>
              </w:rPr>
            </w:pPr>
            <w:r w:rsidRPr="00744B61">
              <w:rPr>
                <w:rFonts w:ascii="Arial" w:hAnsi="Arial" w:cs="Arial"/>
                <w:sz w:val="20"/>
                <w:szCs w:val="20"/>
                <w:lang w:val="de-DE"/>
              </w:rPr>
              <w:t>-1.024195</w:t>
            </w:r>
            <w:r>
              <w:rPr>
                <w:rFonts w:ascii="Arial" w:hAnsi="Arial" w:cs="Arial"/>
                <w:sz w:val="20"/>
                <w:szCs w:val="20"/>
                <w:lang w:val="de-DE"/>
              </w:rPr>
              <w:t xml:space="preserve"> ***</w:t>
            </w:r>
          </w:p>
          <w:p w:rsidR="00BA647F" w:rsidRPr="00A51255" w:rsidRDefault="00BA647F" w:rsidP="008055CD">
            <w:pPr>
              <w:jc w:val="center"/>
              <w:rPr>
                <w:lang w:val="en-US"/>
              </w:rPr>
            </w:pPr>
            <w:r>
              <w:rPr>
                <w:rFonts w:ascii="Arial" w:hAnsi="Arial" w:cs="Arial"/>
                <w:sz w:val="16"/>
                <w:szCs w:val="16"/>
                <w:lang w:val="de-DE"/>
              </w:rPr>
              <w:t>(</w:t>
            </w:r>
            <w:r w:rsidR="00744B61" w:rsidRPr="00744B61">
              <w:rPr>
                <w:rFonts w:ascii="Arial" w:hAnsi="Arial" w:cs="Arial"/>
                <w:sz w:val="16"/>
                <w:szCs w:val="16"/>
                <w:lang w:val="de-DE"/>
              </w:rPr>
              <w:t>0.030366</w:t>
            </w:r>
            <w:r w:rsidRPr="00A51255">
              <w:rPr>
                <w:rFonts w:ascii="Arial" w:hAnsi="Arial" w:cs="Arial"/>
                <w:sz w:val="16"/>
                <w:szCs w:val="16"/>
                <w:lang w:val="de-DE"/>
              </w:rPr>
              <w:t>)</w:t>
            </w:r>
          </w:p>
        </w:tc>
        <w:tc>
          <w:tcPr>
            <w:tcW w:w="1711" w:type="dxa"/>
            <w:vAlign w:val="center"/>
          </w:tcPr>
          <w:p w:rsidR="00BA647F" w:rsidRPr="00A51255" w:rsidRDefault="00B404B9" w:rsidP="008055CD">
            <w:pPr>
              <w:jc w:val="center"/>
              <w:rPr>
                <w:rFonts w:ascii="Arial" w:hAnsi="Arial" w:cs="Arial"/>
                <w:sz w:val="20"/>
                <w:szCs w:val="20"/>
                <w:lang w:val="de-DE"/>
              </w:rPr>
            </w:pPr>
            <w:r w:rsidRPr="00B404B9">
              <w:rPr>
                <w:rFonts w:ascii="Arial" w:hAnsi="Arial" w:cs="Arial"/>
                <w:sz w:val="20"/>
                <w:szCs w:val="20"/>
                <w:lang w:val="de-DE"/>
              </w:rPr>
              <w:t>-0.466825</w:t>
            </w:r>
            <w:r>
              <w:rPr>
                <w:rFonts w:ascii="Arial" w:hAnsi="Arial" w:cs="Arial"/>
                <w:sz w:val="20"/>
                <w:szCs w:val="20"/>
                <w:lang w:val="de-DE"/>
              </w:rPr>
              <w:t xml:space="preserve"> ***</w:t>
            </w:r>
          </w:p>
          <w:p w:rsidR="00BA647F" w:rsidRPr="00A51255" w:rsidRDefault="00BA647F" w:rsidP="008055CD">
            <w:pPr>
              <w:jc w:val="center"/>
              <w:rPr>
                <w:lang w:val="en-US"/>
              </w:rPr>
            </w:pPr>
            <w:r>
              <w:rPr>
                <w:rFonts w:ascii="Arial" w:hAnsi="Arial" w:cs="Arial"/>
                <w:sz w:val="16"/>
                <w:szCs w:val="16"/>
                <w:lang w:val="de-DE"/>
              </w:rPr>
              <w:t>(</w:t>
            </w:r>
            <w:r w:rsidR="00B404B9" w:rsidRPr="00B404B9">
              <w:rPr>
                <w:rFonts w:ascii="Arial" w:hAnsi="Arial" w:cs="Arial"/>
                <w:sz w:val="16"/>
                <w:szCs w:val="16"/>
                <w:lang w:val="de-DE"/>
              </w:rPr>
              <w:t>0.064463</w:t>
            </w:r>
            <w:r w:rsidRPr="00A51255">
              <w:rPr>
                <w:rFonts w:ascii="Arial" w:hAnsi="Arial" w:cs="Arial"/>
                <w:sz w:val="16"/>
                <w:szCs w:val="16"/>
                <w:lang w:val="de-DE"/>
              </w:rPr>
              <w:t>)</w:t>
            </w:r>
          </w:p>
        </w:tc>
        <w:tc>
          <w:tcPr>
            <w:tcW w:w="1783" w:type="dxa"/>
            <w:vAlign w:val="center"/>
          </w:tcPr>
          <w:p w:rsidR="00BA647F" w:rsidRPr="00A51255" w:rsidRDefault="00634351" w:rsidP="008055CD">
            <w:pPr>
              <w:jc w:val="center"/>
              <w:rPr>
                <w:rFonts w:ascii="Arial" w:hAnsi="Arial" w:cs="Arial"/>
                <w:sz w:val="20"/>
                <w:szCs w:val="20"/>
                <w:lang w:val="de-DE"/>
              </w:rPr>
            </w:pPr>
            <w:r w:rsidRPr="00634351">
              <w:rPr>
                <w:rFonts w:ascii="Arial" w:hAnsi="Arial" w:cs="Arial"/>
                <w:sz w:val="20"/>
                <w:szCs w:val="20"/>
                <w:lang w:val="de-DE"/>
              </w:rPr>
              <w:t>-0.122469</w:t>
            </w:r>
          </w:p>
          <w:p w:rsidR="00BA647F" w:rsidRPr="00A51255" w:rsidRDefault="00BA647F" w:rsidP="008055CD">
            <w:pPr>
              <w:jc w:val="center"/>
              <w:rPr>
                <w:lang w:val="en-US"/>
              </w:rPr>
            </w:pPr>
            <w:r>
              <w:rPr>
                <w:rFonts w:ascii="Arial" w:hAnsi="Arial" w:cs="Arial"/>
                <w:sz w:val="16"/>
                <w:szCs w:val="16"/>
                <w:lang w:val="de-DE"/>
              </w:rPr>
              <w:t>(</w:t>
            </w:r>
            <w:r w:rsidR="00634351" w:rsidRPr="00634351">
              <w:rPr>
                <w:rFonts w:ascii="Arial" w:hAnsi="Arial" w:cs="Arial"/>
                <w:sz w:val="16"/>
                <w:szCs w:val="16"/>
                <w:lang w:val="de-DE"/>
              </w:rPr>
              <w:t>0.636448</w:t>
            </w:r>
            <w:r w:rsidRPr="00A51255">
              <w:rPr>
                <w:rFonts w:ascii="Arial" w:hAnsi="Arial" w:cs="Arial"/>
                <w:sz w:val="16"/>
                <w:szCs w:val="16"/>
                <w:lang w:val="de-DE"/>
              </w:rPr>
              <w:t>)</w:t>
            </w:r>
          </w:p>
        </w:tc>
        <w:tc>
          <w:tcPr>
            <w:tcW w:w="1796" w:type="dxa"/>
            <w:vAlign w:val="center"/>
          </w:tcPr>
          <w:p w:rsidR="00BA647F" w:rsidRPr="00A51255" w:rsidRDefault="00CC71F4" w:rsidP="008055CD">
            <w:pPr>
              <w:jc w:val="center"/>
              <w:rPr>
                <w:rFonts w:ascii="Arial" w:hAnsi="Arial" w:cs="Arial"/>
                <w:sz w:val="20"/>
                <w:szCs w:val="20"/>
                <w:lang w:val="de-DE"/>
              </w:rPr>
            </w:pPr>
            <w:r w:rsidRPr="00CC71F4">
              <w:rPr>
                <w:rFonts w:ascii="Arial" w:hAnsi="Arial" w:cs="Arial"/>
                <w:sz w:val="20"/>
                <w:szCs w:val="20"/>
                <w:lang w:val="de-DE"/>
              </w:rPr>
              <w:t>0.162017</w:t>
            </w:r>
          </w:p>
          <w:p w:rsidR="00BA647F" w:rsidRPr="00A51255" w:rsidRDefault="00BA647F" w:rsidP="008055CD">
            <w:pPr>
              <w:jc w:val="center"/>
              <w:rPr>
                <w:lang w:val="en-US"/>
              </w:rPr>
            </w:pPr>
            <w:r>
              <w:rPr>
                <w:rFonts w:ascii="Arial" w:hAnsi="Arial" w:cs="Arial"/>
                <w:sz w:val="16"/>
                <w:szCs w:val="16"/>
                <w:lang w:val="de-DE"/>
              </w:rPr>
              <w:t>(</w:t>
            </w:r>
            <w:r w:rsidR="00CC71F4" w:rsidRPr="00CC71F4">
              <w:rPr>
                <w:rFonts w:ascii="Arial" w:hAnsi="Arial" w:cs="Arial"/>
                <w:sz w:val="16"/>
                <w:szCs w:val="16"/>
                <w:lang w:val="de-DE"/>
              </w:rPr>
              <w:t>0.473790</w:t>
            </w:r>
            <w:r w:rsidRPr="00A51255">
              <w:rPr>
                <w:rFonts w:ascii="Arial" w:hAnsi="Arial" w:cs="Arial"/>
                <w:sz w:val="16"/>
                <w:szCs w:val="16"/>
                <w:lang w:val="de-DE"/>
              </w:rPr>
              <w:t>)</w:t>
            </w:r>
          </w:p>
        </w:tc>
      </w:tr>
    </w:tbl>
    <w:p w:rsidR="00C66D89" w:rsidRDefault="00C66D89" w:rsidP="00DC1EA3">
      <w:pPr>
        <w:ind w:left="1134" w:right="282"/>
        <w:jc w:val="both"/>
        <w:rPr>
          <w:rFonts w:ascii="Arial" w:hAnsi="Arial" w:cs="Arial"/>
          <w:sz w:val="20"/>
          <w:szCs w:val="20"/>
          <w:lang w:val="en-US"/>
        </w:rPr>
      </w:pPr>
    </w:p>
    <w:p w:rsidR="0021434A" w:rsidRDefault="0021434A" w:rsidP="00DC1EA3">
      <w:pPr>
        <w:ind w:left="1134" w:right="282"/>
        <w:jc w:val="both"/>
        <w:rPr>
          <w:rFonts w:ascii="Arial" w:hAnsi="Arial" w:cs="Arial"/>
          <w:sz w:val="20"/>
          <w:szCs w:val="20"/>
          <w:lang w:val="en-US"/>
        </w:rPr>
      </w:pPr>
    </w:p>
    <w:p w:rsidR="0021434A" w:rsidRDefault="0021434A" w:rsidP="0021434A">
      <w:pPr>
        <w:ind w:right="282" w:firstLine="708"/>
        <w:jc w:val="both"/>
        <w:rPr>
          <w:rFonts w:ascii="Arial" w:hAnsi="Arial" w:cs="Arial"/>
          <w:sz w:val="20"/>
          <w:szCs w:val="20"/>
          <w:lang w:val="en-US"/>
        </w:rPr>
      </w:pPr>
      <w:r>
        <w:rPr>
          <w:rFonts w:ascii="Arial" w:hAnsi="Arial" w:cs="Arial"/>
          <w:sz w:val="16"/>
          <w:szCs w:val="16"/>
          <w:lang w:val="en-US"/>
        </w:rPr>
        <w:t>(</w:t>
      </w:r>
      <w:r w:rsidRPr="0063181F">
        <w:rPr>
          <w:rFonts w:ascii="Arial" w:hAnsi="Arial" w:cs="Arial"/>
          <w:sz w:val="20"/>
          <w:szCs w:val="20"/>
          <w:lang w:val="en-US"/>
        </w:rPr>
        <w:t>continued</w:t>
      </w:r>
      <w:r>
        <w:rPr>
          <w:rFonts w:ascii="Arial" w:hAnsi="Arial" w:cs="Arial"/>
          <w:sz w:val="20"/>
          <w:szCs w:val="20"/>
          <w:lang w:val="en-US"/>
        </w:rPr>
        <w:t xml:space="preserve"> on next page</w:t>
      </w:r>
      <w:r w:rsidRPr="0063181F">
        <w:rPr>
          <w:rFonts w:ascii="Arial" w:hAnsi="Arial" w:cs="Arial"/>
          <w:sz w:val="20"/>
          <w:szCs w:val="20"/>
          <w:lang w:val="en-US"/>
        </w:rPr>
        <w:t>)</w:t>
      </w:r>
    </w:p>
    <w:p w:rsidR="0008471B" w:rsidRDefault="00C66D89" w:rsidP="00DC1EA3">
      <w:pPr>
        <w:ind w:left="1134" w:right="282"/>
        <w:jc w:val="both"/>
        <w:rPr>
          <w:rFonts w:ascii="Arial" w:hAnsi="Arial" w:cs="Arial"/>
          <w:sz w:val="20"/>
          <w:szCs w:val="20"/>
          <w:lang w:val="en-US"/>
        </w:rPr>
      </w:pPr>
      <w:r>
        <w:rPr>
          <w:rFonts w:ascii="Arial" w:hAnsi="Arial" w:cs="Arial"/>
          <w:sz w:val="20"/>
          <w:szCs w:val="20"/>
          <w:lang w:val="en-US"/>
        </w:rPr>
        <w:br w:type="page"/>
      </w:r>
    </w:p>
    <w:p w:rsidR="0008471B" w:rsidRDefault="0008471B" w:rsidP="00DC1EA3">
      <w:pPr>
        <w:ind w:left="1134" w:right="282"/>
        <w:jc w:val="both"/>
        <w:rPr>
          <w:rFonts w:ascii="Arial" w:hAnsi="Arial" w:cs="Arial"/>
          <w:sz w:val="20"/>
          <w:szCs w:val="20"/>
          <w:lang w:val="en-US"/>
        </w:rPr>
      </w:pPr>
    </w:p>
    <w:p w:rsidR="004A28FB" w:rsidRDefault="004A28FB" w:rsidP="00DC1EA3">
      <w:pPr>
        <w:ind w:left="1134" w:right="282"/>
        <w:jc w:val="both"/>
        <w:rPr>
          <w:rFonts w:ascii="Arial" w:hAnsi="Arial" w:cs="Arial"/>
          <w:sz w:val="20"/>
          <w:szCs w:val="20"/>
          <w:lang w:val="en-US"/>
        </w:rPr>
      </w:pPr>
    </w:p>
    <w:p w:rsidR="00481658" w:rsidRDefault="00481658" w:rsidP="00DC1EA3">
      <w:pPr>
        <w:ind w:left="1134" w:right="282"/>
        <w:jc w:val="both"/>
        <w:rPr>
          <w:rFonts w:ascii="Arial" w:hAnsi="Arial" w:cs="Arial"/>
          <w:sz w:val="20"/>
          <w:szCs w:val="20"/>
          <w:highlight w:val="green"/>
          <w:lang w:val="en-US"/>
        </w:rPr>
      </w:pPr>
    </w:p>
    <w:p w:rsidR="00481658" w:rsidRDefault="00481658" w:rsidP="00DC1EA3">
      <w:pPr>
        <w:ind w:left="1134" w:right="282"/>
        <w:jc w:val="both"/>
        <w:rPr>
          <w:rFonts w:ascii="Arial" w:hAnsi="Arial" w:cs="Arial"/>
          <w:sz w:val="20"/>
          <w:szCs w:val="20"/>
          <w:highlight w:val="green"/>
          <w:lang w:val="en-US"/>
        </w:rPr>
      </w:pPr>
    </w:p>
    <w:p w:rsidR="00481658" w:rsidRDefault="00481658" w:rsidP="00DC1EA3">
      <w:pPr>
        <w:ind w:left="1134" w:right="282"/>
        <w:jc w:val="both"/>
        <w:rPr>
          <w:rFonts w:ascii="Arial" w:hAnsi="Arial" w:cs="Arial"/>
          <w:sz w:val="20"/>
          <w:szCs w:val="20"/>
          <w:highlight w:val="green"/>
          <w:lang w:val="en-US"/>
        </w:rPr>
      </w:pPr>
    </w:p>
    <w:p w:rsidR="00481658" w:rsidRDefault="00481658" w:rsidP="00DC1EA3">
      <w:pPr>
        <w:ind w:left="1134" w:right="282"/>
        <w:jc w:val="both"/>
        <w:rPr>
          <w:rFonts w:ascii="Arial" w:hAnsi="Arial" w:cs="Arial"/>
          <w:sz w:val="20"/>
          <w:szCs w:val="20"/>
          <w:highlight w:val="green"/>
          <w:lang w:val="en-US"/>
        </w:rPr>
      </w:pPr>
    </w:p>
    <w:p w:rsidR="00481658" w:rsidRPr="0063181F" w:rsidRDefault="00481658" w:rsidP="00DC1EA3">
      <w:pPr>
        <w:ind w:left="1134" w:right="282"/>
        <w:jc w:val="both"/>
        <w:rPr>
          <w:rFonts w:ascii="Arial" w:hAnsi="Arial" w:cs="Arial"/>
          <w:sz w:val="20"/>
          <w:szCs w:val="20"/>
          <w:lang w:val="en-US"/>
        </w:rPr>
      </w:pPr>
    </w:p>
    <w:p w:rsidR="00BA647F" w:rsidRDefault="0063181F" w:rsidP="00F15E21">
      <w:pPr>
        <w:ind w:right="282"/>
        <w:jc w:val="both"/>
        <w:rPr>
          <w:rFonts w:ascii="Arial" w:hAnsi="Arial" w:cs="Arial"/>
          <w:sz w:val="20"/>
          <w:szCs w:val="20"/>
          <w:lang w:val="en-US"/>
        </w:rPr>
      </w:pPr>
      <w:r>
        <w:rPr>
          <w:rFonts w:ascii="Arial" w:hAnsi="Arial" w:cs="Arial"/>
          <w:sz w:val="20"/>
          <w:szCs w:val="20"/>
          <w:lang w:val="en-US"/>
        </w:rPr>
        <w:t xml:space="preserve">Table </w:t>
      </w:r>
      <w:r w:rsidR="00BA647F" w:rsidRPr="0063181F">
        <w:rPr>
          <w:rFonts w:ascii="Arial" w:hAnsi="Arial" w:cs="Arial"/>
          <w:sz w:val="20"/>
          <w:szCs w:val="20"/>
          <w:lang w:val="en-US"/>
        </w:rPr>
        <w:t>3</w:t>
      </w:r>
      <w:r w:rsidR="00E248F1" w:rsidRPr="0063181F">
        <w:rPr>
          <w:rFonts w:ascii="Arial" w:hAnsi="Arial" w:cs="Arial"/>
          <w:sz w:val="20"/>
          <w:szCs w:val="20"/>
          <w:lang w:val="en-US"/>
        </w:rPr>
        <w:t>b</w:t>
      </w:r>
      <w:r w:rsidR="00BA647F" w:rsidRPr="0063181F">
        <w:rPr>
          <w:rFonts w:ascii="Arial" w:hAnsi="Arial" w:cs="Arial"/>
          <w:sz w:val="20"/>
          <w:szCs w:val="20"/>
          <w:lang w:val="en-US"/>
        </w:rPr>
        <w:t xml:space="preserve"> (continued):</w:t>
      </w:r>
    </w:p>
    <w:p w:rsidR="001B0D36" w:rsidRDefault="001B0D36" w:rsidP="00F15E21">
      <w:pPr>
        <w:ind w:right="282"/>
        <w:jc w:val="both"/>
        <w:rPr>
          <w:rFonts w:ascii="Arial" w:hAnsi="Arial" w:cs="Arial"/>
          <w:sz w:val="20"/>
          <w:szCs w:val="20"/>
          <w:lang w:val="en-US"/>
        </w:rPr>
      </w:pPr>
    </w:p>
    <w:p w:rsidR="00AF2496" w:rsidRDefault="00AF2496" w:rsidP="00F15E21">
      <w:pPr>
        <w:ind w:right="282"/>
        <w:jc w:val="both"/>
        <w:rPr>
          <w:rFonts w:ascii="Arial" w:hAnsi="Arial" w:cs="Arial"/>
          <w:sz w:val="20"/>
          <w:szCs w:val="20"/>
          <w:lang w:val="en-US"/>
        </w:rPr>
      </w:pP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
        <w:gridCol w:w="2128"/>
        <w:gridCol w:w="1842"/>
        <w:gridCol w:w="1738"/>
        <w:gridCol w:w="1848"/>
        <w:gridCol w:w="1817"/>
      </w:tblGrid>
      <w:tr w:rsidR="00AF2496" w:rsidRPr="004F48F0" w:rsidTr="00AF2496">
        <w:trPr>
          <w:jc w:val="center"/>
        </w:trPr>
        <w:tc>
          <w:tcPr>
            <w:tcW w:w="457" w:type="dxa"/>
            <w:gridSpan w:val="2"/>
            <w:vAlign w:val="center"/>
          </w:tcPr>
          <w:p w:rsidR="00AF2496" w:rsidRPr="00124F83" w:rsidRDefault="00AF2496" w:rsidP="002C594D">
            <w:pPr>
              <w:spacing w:line="360" w:lineRule="auto"/>
              <w:jc w:val="center"/>
              <w:rPr>
                <w:rFonts w:ascii="Arial" w:hAnsi="Arial" w:cs="Arial"/>
                <w:sz w:val="16"/>
                <w:szCs w:val="16"/>
                <w:lang w:val="de-DE"/>
              </w:rPr>
            </w:pPr>
            <w:r w:rsidRPr="00A51255">
              <w:rPr>
                <w:rFonts w:ascii="Arial" w:hAnsi="Arial" w:cs="Arial"/>
                <w:sz w:val="16"/>
                <w:szCs w:val="16"/>
                <w:lang w:val="de-DE"/>
              </w:rPr>
              <w:t>Eq.</w:t>
            </w:r>
          </w:p>
        </w:tc>
        <w:tc>
          <w:tcPr>
            <w:tcW w:w="9373" w:type="dxa"/>
            <w:gridSpan w:val="5"/>
            <w:vAlign w:val="center"/>
          </w:tcPr>
          <w:p w:rsidR="00AF2496" w:rsidRDefault="00AF2496" w:rsidP="002C594D">
            <w:pPr>
              <w:jc w:val="center"/>
              <w:rPr>
                <w:rFonts w:ascii="Arial" w:hAnsi="Arial" w:cs="Arial"/>
                <w:b/>
                <w:sz w:val="18"/>
                <w:szCs w:val="18"/>
                <w:lang w:val="de-DE"/>
              </w:rPr>
            </w:pPr>
          </w:p>
          <w:p w:rsidR="00AF2496" w:rsidRDefault="00AF2496" w:rsidP="002C594D">
            <w:pPr>
              <w:jc w:val="center"/>
              <w:rPr>
                <w:b/>
                <w:i/>
                <w:sz w:val="18"/>
                <w:szCs w:val="18"/>
                <w:lang w:val="de-DE"/>
              </w:rPr>
            </w:pPr>
            <w:r w:rsidRPr="004F48F0">
              <w:rPr>
                <w:rFonts w:ascii="Arial" w:hAnsi="Arial" w:cs="Arial"/>
                <w:b/>
                <w:sz w:val="18"/>
                <w:szCs w:val="18"/>
                <w:lang w:val="de-DE"/>
              </w:rPr>
              <w:t xml:space="preserve">On day </w:t>
            </w:r>
            <w:r w:rsidRPr="004F48F0">
              <w:rPr>
                <w:b/>
                <w:i/>
                <w:sz w:val="18"/>
                <w:szCs w:val="18"/>
                <w:lang w:val="de-DE"/>
              </w:rPr>
              <w:t>t</w:t>
            </w:r>
            <w:r>
              <w:rPr>
                <w:b/>
                <w:i/>
                <w:sz w:val="18"/>
                <w:szCs w:val="18"/>
                <w:lang w:val="de-DE"/>
              </w:rPr>
              <w:t>+1</w:t>
            </w:r>
          </w:p>
          <w:p w:rsidR="00AF2496" w:rsidRPr="004F48F0" w:rsidRDefault="00AF2496" w:rsidP="002C594D">
            <w:pPr>
              <w:jc w:val="center"/>
              <w:rPr>
                <w:rFonts w:ascii="Arial" w:hAnsi="Arial" w:cs="Arial"/>
                <w:b/>
                <w:sz w:val="18"/>
                <w:szCs w:val="18"/>
                <w:lang w:val="de-DE"/>
              </w:rPr>
            </w:pPr>
          </w:p>
        </w:tc>
      </w:tr>
      <w:tr w:rsidR="00C66D89" w:rsidTr="00AF2496">
        <w:trPr>
          <w:jc w:val="center"/>
        </w:trPr>
        <w:tc>
          <w:tcPr>
            <w:tcW w:w="9830" w:type="dxa"/>
            <w:gridSpan w:val="7"/>
            <w:vAlign w:val="center"/>
          </w:tcPr>
          <w:p w:rsidR="00DE6ED9" w:rsidRDefault="00DE6ED9" w:rsidP="00076908">
            <w:pPr>
              <w:jc w:val="center"/>
              <w:rPr>
                <w:rFonts w:ascii="Arial" w:hAnsi="Arial" w:cs="Arial"/>
                <w:b/>
                <w:sz w:val="18"/>
                <w:szCs w:val="18"/>
                <w:lang w:val="de-DE"/>
              </w:rPr>
            </w:pPr>
          </w:p>
          <w:p w:rsidR="00C66D89" w:rsidRDefault="00C66D89" w:rsidP="00076908">
            <w:pPr>
              <w:jc w:val="center"/>
              <w:rPr>
                <w:rFonts w:ascii="Arial" w:hAnsi="Arial" w:cs="Arial"/>
                <w:b/>
                <w:sz w:val="18"/>
                <w:szCs w:val="18"/>
                <w:lang w:val="de-DE"/>
              </w:rPr>
            </w:pPr>
            <w:r>
              <w:rPr>
                <w:rFonts w:ascii="Arial" w:hAnsi="Arial" w:cs="Arial"/>
                <w:b/>
                <w:sz w:val="18"/>
                <w:szCs w:val="18"/>
                <w:lang w:val="de-DE"/>
              </w:rPr>
              <w:t>Conditional variance</w:t>
            </w:r>
            <w:r w:rsidRPr="009D3E6A">
              <w:rPr>
                <w:rFonts w:ascii="Arial" w:hAnsi="Arial" w:cs="Arial"/>
                <w:b/>
                <w:sz w:val="18"/>
                <w:szCs w:val="18"/>
                <w:lang w:val="de-DE"/>
              </w:rPr>
              <w:t xml:space="preserve"> equation:</w:t>
            </w:r>
          </w:p>
          <w:p w:rsidR="00DE6ED9" w:rsidRDefault="00DE6ED9" w:rsidP="00076908">
            <w:pPr>
              <w:jc w:val="center"/>
              <w:rPr>
                <w:rFonts w:ascii="Arial" w:hAnsi="Arial" w:cs="Arial"/>
                <w:sz w:val="20"/>
                <w:szCs w:val="20"/>
                <w:lang w:val="de-DE"/>
              </w:rPr>
            </w:pPr>
          </w:p>
        </w:tc>
      </w:tr>
      <w:tr w:rsidR="00AF2496" w:rsidRPr="00A51255" w:rsidTr="00AF2496">
        <w:trPr>
          <w:jc w:val="center"/>
        </w:trPr>
        <w:tc>
          <w:tcPr>
            <w:tcW w:w="451" w:type="dxa"/>
            <w:vAlign w:val="center"/>
          </w:tcPr>
          <w:p w:rsidR="00C66D89" w:rsidRPr="00A51255" w:rsidRDefault="00C65448" w:rsidP="00076908">
            <w:pPr>
              <w:spacing w:line="360" w:lineRule="auto"/>
              <w:jc w:val="center"/>
              <w:rPr>
                <w:rFonts w:ascii="Arial" w:hAnsi="Arial" w:cs="Arial"/>
                <w:sz w:val="16"/>
                <w:szCs w:val="16"/>
                <w:lang w:val="de-DE"/>
              </w:rPr>
            </w:pPr>
            <w:r>
              <w:rPr>
                <w:rFonts w:ascii="Arial" w:hAnsi="Arial" w:cs="Arial"/>
                <w:sz w:val="16"/>
                <w:szCs w:val="16"/>
                <w:lang w:val="de-DE"/>
              </w:rPr>
              <w:t>(</w:t>
            </w:r>
            <w:r w:rsidR="00C66D89">
              <w:rPr>
                <w:rFonts w:ascii="Arial" w:hAnsi="Arial" w:cs="Arial"/>
                <w:sz w:val="16"/>
                <w:szCs w:val="16"/>
                <w:lang w:val="de-DE"/>
              </w:rPr>
              <w:t>2)</w:t>
            </w:r>
          </w:p>
        </w:tc>
        <w:tc>
          <w:tcPr>
            <w:tcW w:w="2134" w:type="dxa"/>
            <w:gridSpan w:val="2"/>
            <w:vAlign w:val="center"/>
          </w:tcPr>
          <w:p w:rsidR="00C66D89" w:rsidRPr="004F48F0" w:rsidRDefault="00C66D89" w:rsidP="00076908">
            <w:pPr>
              <w:jc w:val="center"/>
              <w:rPr>
                <w:rFonts w:ascii="Arial" w:hAnsi="Arial" w:cs="Arial"/>
                <w:b/>
                <w:sz w:val="18"/>
                <w:szCs w:val="18"/>
                <w:lang w:val="de-DE"/>
              </w:rPr>
            </w:pPr>
            <w:r w:rsidRPr="002163BB">
              <w:rPr>
                <w:rFonts w:ascii="Garamond" w:hAnsi="Garamond"/>
                <w:i/>
                <w:position w:val="-12"/>
                <w:lang w:val="de-DE"/>
              </w:rPr>
              <w:object w:dxaOrig="300" w:dyaOrig="400">
                <v:shape id="_x0000_i1101" type="#_x0000_t75" style="width:12.85pt;height:18pt" o:ole="">
                  <v:imagedata r:id="rId110" o:title=""/>
                </v:shape>
                <o:OLEObject Type="Embed" ProgID="Equation.3" ShapeID="_x0000_i1101" DrawAspect="Content" ObjectID="_1507543448" r:id="rId137"/>
              </w:object>
            </w:r>
          </w:p>
        </w:tc>
        <w:tc>
          <w:tcPr>
            <w:tcW w:w="1842" w:type="dxa"/>
            <w:vAlign w:val="center"/>
          </w:tcPr>
          <w:p w:rsidR="00C66D89" w:rsidRPr="00A51255" w:rsidRDefault="00C66D89" w:rsidP="00076908">
            <w:pPr>
              <w:jc w:val="center"/>
              <w:rPr>
                <w:rFonts w:ascii="Arial" w:hAnsi="Arial" w:cs="Arial"/>
                <w:sz w:val="20"/>
                <w:szCs w:val="20"/>
                <w:lang w:val="de-DE"/>
              </w:rPr>
            </w:pPr>
            <w:r w:rsidRPr="003566DB">
              <w:rPr>
                <w:rFonts w:ascii="Arial" w:hAnsi="Arial" w:cs="Arial"/>
                <w:sz w:val="20"/>
                <w:szCs w:val="20"/>
                <w:lang w:val="de-DE"/>
              </w:rPr>
              <w:t>0.327010</w:t>
            </w:r>
            <w:r>
              <w:rPr>
                <w:rFonts w:ascii="Arial" w:hAnsi="Arial" w:cs="Arial"/>
                <w:sz w:val="20"/>
                <w:szCs w:val="20"/>
                <w:lang w:val="de-DE"/>
              </w:rPr>
              <w:t xml:space="preserve"> ***</w:t>
            </w:r>
          </w:p>
          <w:p w:rsidR="00C66D89" w:rsidRPr="00A51255" w:rsidRDefault="00C66D89" w:rsidP="00076908">
            <w:pPr>
              <w:jc w:val="center"/>
              <w:rPr>
                <w:lang w:val="en-US"/>
              </w:rPr>
            </w:pPr>
            <w:r>
              <w:rPr>
                <w:rFonts w:ascii="Arial" w:hAnsi="Arial" w:cs="Arial"/>
                <w:sz w:val="16"/>
                <w:szCs w:val="16"/>
                <w:lang w:val="de-DE"/>
              </w:rPr>
              <w:t>(</w:t>
            </w:r>
            <w:r w:rsidRPr="003566DB">
              <w:rPr>
                <w:rFonts w:ascii="Arial" w:hAnsi="Arial" w:cs="Arial"/>
                <w:sz w:val="16"/>
                <w:szCs w:val="16"/>
                <w:lang w:val="de-DE"/>
              </w:rPr>
              <w:t>0.034991</w:t>
            </w:r>
            <w:r w:rsidRPr="00A51255">
              <w:rPr>
                <w:rFonts w:ascii="Arial" w:hAnsi="Arial" w:cs="Arial"/>
                <w:sz w:val="16"/>
                <w:szCs w:val="16"/>
                <w:lang w:val="de-DE"/>
              </w:rPr>
              <w:t>)</w:t>
            </w:r>
          </w:p>
        </w:tc>
        <w:tc>
          <w:tcPr>
            <w:tcW w:w="1738" w:type="dxa"/>
            <w:vAlign w:val="center"/>
          </w:tcPr>
          <w:p w:rsidR="00C66D89" w:rsidRPr="00A51255" w:rsidRDefault="00C66D89" w:rsidP="00076908">
            <w:pPr>
              <w:jc w:val="center"/>
              <w:rPr>
                <w:rFonts w:ascii="Arial" w:hAnsi="Arial" w:cs="Arial"/>
                <w:sz w:val="20"/>
                <w:szCs w:val="20"/>
                <w:lang w:val="de-DE"/>
              </w:rPr>
            </w:pPr>
            <w:r w:rsidRPr="00A5368E">
              <w:rPr>
                <w:rFonts w:ascii="Arial" w:hAnsi="Arial" w:cs="Arial"/>
                <w:sz w:val="20"/>
                <w:szCs w:val="20"/>
                <w:lang w:val="de-DE"/>
              </w:rPr>
              <w:t>0.327984</w:t>
            </w:r>
            <w:r>
              <w:rPr>
                <w:rFonts w:ascii="Arial" w:hAnsi="Arial" w:cs="Arial"/>
                <w:sz w:val="20"/>
                <w:szCs w:val="20"/>
                <w:lang w:val="de-DE"/>
              </w:rPr>
              <w:t xml:space="preserve"> ***</w:t>
            </w:r>
          </w:p>
          <w:p w:rsidR="00C66D89" w:rsidRPr="00A51255" w:rsidRDefault="00C66D89" w:rsidP="00076908">
            <w:pPr>
              <w:jc w:val="center"/>
              <w:rPr>
                <w:lang w:val="en-US"/>
              </w:rPr>
            </w:pPr>
            <w:r>
              <w:rPr>
                <w:rFonts w:ascii="Arial" w:hAnsi="Arial" w:cs="Arial"/>
                <w:sz w:val="16"/>
                <w:szCs w:val="16"/>
                <w:lang w:val="de-DE"/>
              </w:rPr>
              <w:t>(</w:t>
            </w:r>
            <w:r w:rsidRPr="00A5368E">
              <w:rPr>
                <w:rFonts w:ascii="Arial" w:hAnsi="Arial" w:cs="Arial"/>
                <w:sz w:val="16"/>
                <w:szCs w:val="16"/>
                <w:lang w:val="de-DE"/>
              </w:rPr>
              <w:t>0.034434</w:t>
            </w:r>
            <w:r w:rsidRPr="00A51255">
              <w:rPr>
                <w:rFonts w:ascii="Arial" w:hAnsi="Arial" w:cs="Arial"/>
                <w:sz w:val="16"/>
                <w:szCs w:val="16"/>
                <w:lang w:val="de-DE"/>
              </w:rPr>
              <w:t>)</w:t>
            </w:r>
          </w:p>
        </w:tc>
        <w:tc>
          <w:tcPr>
            <w:tcW w:w="1848" w:type="dxa"/>
            <w:vAlign w:val="center"/>
          </w:tcPr>
          <w:p w:rsidR="00C66D89" w:rsidRPr="00A51255" w:rsidRDefault="00C66D89" w:rsidP="00076908">
            <w:pPr>
              <w:jc w:val="center"/>
              <w:rPr>
                <w:rFonts w:ascii="Arial" w:hAnsi="Arial" w:cs="Arial"/>
                <w:sz w:val="20"/>
                <w:szCs w:val="20"/>
                <w:lang w:val="de-DE"/>
              </w:rPr>
            </w:pPr>
            <w:r w:rsidRPr="000A098D">
              <w:rPr>
                <w:rFonts w:ascii="Arial" w:hAnsi="Arial" w:cs="Arial"/>
                <w:sz w:val="20"/>
                <w:szCs w:val="20"/>
                <w:lang w:val="de-DE"/>
              </w:rPr>
              <w:t>0.279546</w:t>
            </w:r>
            <w:r>
              <w:rPr>
                <w:rFonts w:ascii="Arial" w:hAnsi="Arial" w:cs="Arial"/>
                <w:sz w:val="20"/>
                <w:szCs w:val="20"/>
                <w:lang w:val="de-DE"/>
              </w:rPr>
              <w:t xml:space="preserve"> **</w:t>
            </w:r>
          </w:p>
          <w:p w:rsidR="00C66D89" w:rsidRPr="00A51255" w:rsidRDefault="00C66D89" w:rsidP="00076908">
            <w:pPr>
              <w:jc w:val="center"/>
              <w:rPr>
                <w:lang w:val="en-US"/>
              </w:rPr>
            </w:pPr>
            <w:r>
              <w:rPr>
                <w:rFonts w:ascii="Arial" w:hAnsi="Arial" w:cs="Arial"/>
                <w:sz w:val="16"/>
                <w:szCs w:val="16"/>
                <w:lang w:val="de-DE"/>
              </w:rPr>
              <w:t>(</w:t>
            </w:r>
            <w:r w:rsidRPr="000A098D">
              <w:rPr>
                <w:rFonts w:ascii="Arial" w:hAnsi="Arial" w:cs="Arial"/>
                <w:sz w:val="16"/>
                <w:szCs w:val="16"/>
                <w:lang w:val="de-DE"/>
              </w:rPr>
              <w:t>0.118412</w:t>
            </w:r>
            <w:r w:rsidRPr="00A51255">
              <w:rPr>
                <w:rFonts w:ascii="Arial" w:hAnsi="Arial" w:cs="Arial"/>
                <w:sz w:val="16"/>
                <w:szCs w:val="16"/>
                <w:lang w:val="de-DE"/>
              </w:rPr>
              <w:t>)</w:t>
            </w:r>
          </w:p>
        </w:tc>
        <w:tc>
          <w:tcPr>
            <w:tcW w:w="1817" w:type="dxa"/>
            <w:vAlign w:val="center"/>
          </w:tcPr>
          <w:p w:rsidR="00C66D89" w:rsidRPr="00A51255" w:rsidRDefault="00C66D89" w:rsidP="00076908">
            <w:pPr>
              <w:jc w:val="center"/>
              <w:rPr>
                <w:rFonts w:ascii="Arial" w:hAnsi="Arial" w:cs="Arial"/>
                <w:sz w:val="20"/>
                <w:szCs w:val="20"/>
                <w:lang w:val="de-DE"/>
              </w:rPr>
            </w:pPr>
            <w:r w:rsidRPr="00923575">
              <w:rPr>
                <w:rFonts w:ascii="Arial" w:hAnsi="Arial" w:cs="Arial"/>
                <w:sz w:val="20"/>
                <w:szCs w:val="20"/>
                <w:lang w:val="de-DE"/>
              </w:rPr>
              <w:t>0.339091</w:t>
            </w:r>
            <w:r>
              <w:rPr>
                <w:rFonts w:ascii="Arial" w:hAnsi="Arial" w:cs="Arial"/>
                <w:sz w:val="20"/>
                <w:szCs w:val="20"/>
                <w:lang w:val="de-DE"/>
              </w:rPr>
              <w:t xml:space="preserve"> ***</w:t>
            </w:r>
          </w:p>
          <w:p w:rsidR="00C66D89" w:rsidRPr="00A51255" w:rsidRDefault="00C66D89" w:rsidP="00076908">
            <w:pPr>
              <w:jc w:val="center"/>
              <w:rPr>
                <w:lang w:val="en-US"/>
              </w:rPr>
            </w:pPr>
            <w:r>
              <w:rPr>
                <w:rFonts w:ascii="Arial" w:hAnsi="Arial" w:cs="Arial"/>
                <w:sz w:val="16"/>
                <w:szCs w:val="16"/>
                <w:lang w:val="de-DE"/>
              </w:rPr>
              <w:t>(</w:t>
            </w:r>
            <w:r w:rsidRPr="00923575">
              <w:rPr>
                <w:rFonts w:ascii="Arial" w:hAnsi="Arial" w:cs="Arial"/>
                <w:sz w:val="16"/>
                <w:szCs w:val="16"/>
                <w:lang w:val="de-DE"/>
              </w:rPr>
              <w:t>0.099886</w:t>
            </w:r>
            <w:r w:rsidRPr="00A51255">
              <w:rPr>
                <w:rFonts w:ascii="Arial" w:hAnsi="Arial" w:cs="Arial"/>
                <w:sz w:val="16"/>
                <w:szCs w:val="16"/>
                <w:lang w:val="de-DE"/>
              </w:rPr>
              <w:t>)</w:t>
            </w:r>
          </w:p>
        </w:tc>
      </w:tr>
      <w:tr w:rsidR="00AF2496" w:rsidRPr="00A51255" w:rsidTr="00AF2496">
        <w:trPr>
          <w:jc w:val="center"/>
        </w:trPr>
        <w:tc>
          <w:tcPr>
            <w:tcW w:w="451" w:type="dxa"/>
            <w:vAlign w:val="center"/>
          </w:tcPr>
          <w:p w:rsidR="00C66D89" w:rsidRPr="00A51255" w:rsidRDefault="00C65448" w:rsidP="00076908">
            <w:pPr>
              <w:spacing w:line="360" w:lineRule="auto"/>
              <w:jc w:val="center"/>
              <w:rPr>
                <w:rFonts w:ascii="Arial" w:hAnsi="Arial" w:cs="Arial"/>
                <w:lang w:val="en-US"/>
              </w:rPr>
            </w:pPr>
            <w:r>
              <w:rPr>
                <w:rFonts w:ascii="Arial" w:hAnsi="Arial" w:cs="Arial"/>
                <w:sz w:val="16"/>
                <w:szCs w:val="16"/>
                <w:lang w:val="de-DE"/>
              </w:rPr>
              <w:t>(</w:t>
            </w:r>
            <w:r w:rsidR="00C66D89">
              <w:rPr>
                <w:rFonts w:ascii="Arial" w:hAnsi="Arial" w:cs="Arial"/>
                <w:sz w:val="16"/>
                <w:szCs w:val="16"/>
                <w:lang w:val="de-DE"/>
              </w:rPr>
              <w:t>2)</w:t>
            </w:r>
          </w:p>
        </w:tc>
        <w:tc>
          <w:tcPr>
            <w:tcW w:w="2134" w:type="dxa"/>
            <w:gridSpan w:val="2"/>
            <w:vAlign w:val="center"/>
          </w:tcPr>
          <w:p w:rsidR="00C66D89" w:rsidRPr="004F48F0" w:rsidRDefault="00C66D89" w:rsidP="00076908">
            <w:pPr>
              <w:jc w:val="center"/>
              <w:rPr>
                <w:rFonts w:ascii="Arial" w:hAnsi="Arial" w:cs="Arial"/>
                <w:b/>
                <w:sz w:val="18"/>
                <w:szCs w:val="18"/>
                <w:lang w:val="de-DE"/>
              </w:rPr>
            </w:pPr>
            <w:r w:rsidRPr="00B3604A">
              <w:rPr>
                <w:rFonts w:ascii="Garamond" w:hAnsi="Garamond"/>
                <w:i/>
                <w:position w:val="-10"/>
                <w:lang w:val="de-DE"/>
              </w:rPr>
              <w:object w:dxaOrig="279" w:dyaOrig="380">
                <v:shape id="_x0000_i1102" type="#_x0000_t75" style="width:11.55pt;height:16.7pt" o:ole="">
                  <v:imagedata r:id="rId112" o:title=""/>
                </v:shape>
                <o:OLEObject Type="Embed" ProgID="Equation.3" ShapeID="_x0000_i1102" DrawAspect="Content" ObjectID="_1507543449" r:id="rId138"/>
              </w:object>
            </w:r>
          </w:p>
        </w:tc>
        <w:tc>
          <w:tcPr>
            <w:tcW w:w="1842" w:type="dxa"/>
            <w:vAlign w:val="center"/>
          </w:tcPr>
          <w:p w:rsidR="00C66D89" w:rsidRPr="00A51255" w:rsidRDefault="00C66D89" w:rsidP="00076908">
            <w:pPr>
              <w:jc w:val="center"/>
              <w:rPr>
                <w:rFonts w:ascii="Arial" w:hAnsi="Arial" w:cs="Arial"/>
                <w:sz w:val="20"/>
                <w:szCs w:val="20"/>
                <w:lang w:val="de-DE"/>
              </w:rPr>
            </w:pPr>
            <w:r w:rsidRPr="00BD2714">
              <w:rPr>
                <w:rFonts w:ascii="Arial" w:hAnsi="Arial" w:cs="Arial"/>
                <w:sz w:val="20"/>
                <w:szCs w:val="20"/>
                <w:lang w:val="de-DE"/>
              </w:rPr>
              <w:t>0.064481</w:t>
            </w:r>
          </w:p>
          <w:p w:rsidR="00C66D89" w:rsidRPr="00A51255" w:rsidRDefault="00C66D89" w:rsidP="00076908">
            <w:pPr>
              <w:jc w:val="center"/>
              <w:rPr>
                <w:lang w:val="en-US"/>
              </w:rPr>
            </w:pPr>
            <w:r>
              <w:rPr>
                <w:rFonts w:ascii="Arial" w:hAnsi="Arial" w:cs="Arial"/>
                <w:sz w:val="16"/>
                <w:szCs w:val="16"/>
                <w:lang w:val="de-DE"/>
              </w:rPr>
              <w:t>(</w:t>
            </w:r>
            <w:r w:rsidRPr="00BD2714">
              <w:rPr>
                <w:rFonts w:ascii="Arial" w:hAnsi="Arial" w:cs="Arial"/>
                <w:sz w:val="16"/>
                <w:szCs w:val="16"/>
                <w:lang w:val="de-DE"/>
              </w:rPr>
              <w:t>0.053958</w:t>
            </w:r>
            <w:r w:rsidRPr="00A51255">
              <w:rPr>
                <w:rFonts w:ascii="Arial" w:hAnsi="Arial" w:cs="Arial"/>
                <w:sz w:val="16"/>
                <w:szCs w:val="16"/>
                <w:lang w:val="de-DE"/>
              </w:rPr>
              <w:t>)</w:t>
            </w:r>
          </w:p>
        </w:tc>
        <w:tc>
          <w:tcPr>
            <w:tcW w:w="1738" w:type="dxa"/>
            <w:vAlign w:val="center"/>
          </w:tcPr>
          <w:p w:rsidR="00C66D89" w:rsidRPr="00A51255" w:rsidRDefault="00C66D89" w:rsidP="00076908">
            <w:pPr>
              <w:jc w:val="center"/>
              <w:rPr>
                <w:rFonts w:ascii="Arial" w:hAnsi="Arial" w:cs="Arial"/>
                <w:sz w:val="20"/>
                <w:szCs w:val="20"/>
                <w:lang w:val="de-DE"/>
              </w:rPr>
            </w:pPr>
            <w:r w:rsidRPr="00363D6D">
              <w:rPr>
                <w:rFonts w:ascii="Arial" w:hAnsi="Arial" w:cs="Arial"/>
                <w:sz w:val="20"/>
                <w:szCs w:val="20"/>
                <w:lang w:val="de-DE"/>
              </w:rPr>
              <w:t>0.068877</w:t>
            </w:r>
          </w:p>
          <w:p w:rsidR="00C66D89" w:rsidRPr="00A51255" w:rsidRDefault="00C66D89" w:rsidP="00076908">
            <w:pPr>
              <w:jc w:val="center"/>
              <w:rPr>
                <w:lang w:val="en-US"/>
              </w:rPr>
            </w:pPr>
            <w:r>
              <w:rPr>
                <w:rFonts w:ascii="Arial" w:hAnsi="Arial" w:cs="Arial"/>
                <w:sz w:val="16"/>
                <w:szCs w:val="16"/>
                <w:lang w:val="de-DE"/>
              </w:rPr>
              <w:t>(</w:t>
            </w:r>
            <w:r w:rsidRPr="00363D6D">
              <w:rPr>
                <w:rFonts w:ascii="Arial" w:hAnsi="Arial" w:cs="Arial"/>
                <w:sz w:val="16"/>
                <w:szCs w:val="16"/>
                <w:lang w:val="de-DE"/>
              </w:rPr>
              <w:t>0.053636</w:t>
            </w:r>
            <w:r w:rsidRPr="00A51255">
              <w:rPr>
                <w:rFonts w:ascii="Arial" w:hAnsi="Arial" w:cs="Arial"/>
                <w:sz w:val="16"/>
                <w:szCs w:val="16"/>
                <w:lang w:val="de-DE"/>
              </w:rPr>
              <w:t>)</w:t>
            </w:r>
          </w:p>
        </w:tc>
        <w:tc>
          <w:tcPr>
            <w:tcW w:w="1848" w:type="dxa"/>
            <w:vAlign w:val="center"/>
          </w:tcPr>
          <w:p w:rsidR="00C66D89" w:rsidRPr="00A51255" w:rsidRDefault="00C66D89" w:rsidP="00076908">
            <w:pPr>
              <w:jc w:val="center"/>
              <w:rPr>
                <w:rFonts w:ascii="Arial" w:hAnsi="Arial" w:cs="Arial"/>
                <w:sz w:val="20"/>
                <w:szCs w:val="20"/>
                <w:lang w:val="de-DE"/>
              </w:rPr>
            </w:pPr>
            <w:r w:rsidRPr="009C0106">
              <w:rPr>
                <w:rFonts w:ascii="Arial" w:hAnsi="Arial" w:cs="Arial"/>
                <w:sz w:val="20"/>
                <w:szCs w:val="20"/>
                <w:lang w:val="de-DE"/>
              </w:rPr>
              <w:t>0.052365</w:t>
            </w:r>
          </w:p>
          <w:p w:rsidR="00C66D89" w:rsidRPr="00A51255" w:rsidRDefault="00C66D89" w:rsidP="00076908">
            <w:pPr>
              <w:jc w:val="center"/>
              <w:rPr>
                <w:lang w:val="en-US"/>
              </w:rPr>
            </w:pPr>
            <w:r>
              <w:rPr>
                <w:rFonts w:ascii="Arial" w:hAnsi="Arial" w:cs="Arial"/>
                <w:sz w:val="16"/>
                <w:szCs w:val="16"/>
                <w:lang w:val="de-DE"/>
              </w:rPr>
              <w:t>(</w:t>
            </w:r>
            <w:r w:rsidRPr="009C0106">
              <w:rPr>
                <w:rFonts w:ascii="Arial" w:hAnsi="Arial" w:cs="Arial"/>
                <w:sz w:val="16"/>
                <w:szCs w:val="16"/>
                <w:lang w:val="de-DE"/>
              </w:rPr>
              <w:t>0.061674</w:t>
            </w:r>
            <w:r w:rsidRPr="00A51255">
              <w:rPr>
                <w:rFonts w:ascii="Arial" w:hAnsi="Arial" w:cs="Arial"/>
                <w:sz w:val="16"/>
                <w:szCs w:val="16"/>
                <w:lang w:val="de-DE"/>
              </w:rPr>
              <w:t>)</w:t>
            </w:r>
          </w:p>
        </w:tc>
        <w:tc>
          <w:tcPr>
            <w:tcW w:w="1817" w:type="dxa"/>
            <w:vAlign w:val="center"/>
          </w:tcPr>
          <w:p w:rsidR="00C66D89" w:rsidRPr="00A51255" w:rsidRDefault="00C66D89" w:rsidP="00076908">
            <w:pPr>
              <w:jc w:val="center"/>
              <w:rPr>
                <w:rFonts w:ascii="Arial" w:hAnsi="Arial" w:cs="Arial"/>
                <w:sz w:val="20"/>
                <w:szCs w:val="20"/>
                <w:lang w:val="de-DE"/>
              </w:rPr>
            </w:pPr>
            <w:r w:rsidRPr="00923575">
              <w:rPr>
                <w:rFonts w:ascii="Arial" w:hAnsi="Arial" w:cs="Arial"/>
                <w:sz w:val="20"/>
                <w:szCs w:val="20"/>
                <w:lang w:val="de-DE"/>
              </w:rPr>
              <w:t>0.046139</w:t>
            </w:r>
          </w:p>
          <w:p w:rsidR="00C66D89" w:rsidRPr="00A51255" w:rsidRDefault="00C66D89" w:rsidP="00076908">
            <w:pPr>
              <w:jc w:val="center"/>
              <w:rPr>
                <w:lang w:val="en-US"/>
              </w:rPr>
            </w:pPr>
            <w:r>
              <w:rPr>
                <w:rFonts w:ascii="Arial" w:hAnsi="Arial" w:cs="Arial"/>
                <w:sz w:val="16"/>
                <w:szCs w:val="16"/>
                <w:lang w:val="de-DE"/>
              </w:rPr>
              <w:t>(</w:t>
            </w:r>
            <w:r w:rsidRPr="00923575">
              <w:rPr>
                <w:rFonts w:ascii="Arial" w:hAnsi="Arial" w:cs="Arial"/>
                <w:sz w:val="16"/>
                <w:szCs w:val="16"/>
                <w:lang w:val="de-DE"/>
              </w:rPr>
              <w:t>0.057792</w:t>
            </w:r>
            <w:r w:rsidRPr="00A51255">
              <w:rPr>
                <w:rFonts w:ascii="Arial" w:hAnsi="Arial" w:cs="Arial"/>
                <w:sz w:val="16"/>
                <w:szCs w:val="16"/>
                <w:lang w:val="de-DE"/>
              </w:rPr>
              <w:t>)</w:t>
            </w:r>
          </w:p>
        </w:tc>
      </w:tr>
      <w:tr w:rsidR="00AF2496" w:rsidRPr="00A51255" w:rsidTr="00AF2496">
        <w:trPr>
          <w:jc w:val="center"/>
        </w:trPr>
        <w:tc>
          <w:tcPr>
            <w:tcW w:w="451" w:type="dxa"/>
            <w:vAlign w:val="center"/>
          </w:tcPr>
          <w:p w:rsidR="00C66D89" w:rsidRPr="00A51255" w:rsidRDefault="00C65448" w:rsidP="00076908">
            <w:pPr>
              <w:spacing w:line="360" w:lineRule="auto"/>
              <w:jc w:val="center"/>
              <w:rPr>
                <w:rFonts w:ascii="Arial" w:hAnsi="Arial" w:cs="Arial"/>
                <w:lang w:val="en-US"/>
              </w:rPr>
            </w:pPr>
            <w:r>
              <w:rPr>
                <w:rFonts w:ascii="Arial" w:hAnsi="Arial" w:cs="Arial"/>
                <w:sz w:val="16"/>
                <w:szCs w:val="16"/>
                <w:lang w:val="de-DE"/>
              </w:rPr>
              <w:t>(</w:t>
            </w:r>
            <w:r w:rsidR="00C66D89">
              <w:rPr>
                <w:rFonts w:ascii="Arial" w:hAnsi="Arial" w:cs="Arial"/>
                <w:sz w:val="16"/>
                <w:szCs w:val="16"/>
                <w:lang w:val="de-DE"/>
              </w:rPr>
              <w:t>2)</w:t>
            </w:r>
          </w:p>
        </w:tc>
        <w:tc>
          <w:tcPr>
            <w:tcW w:w="2134" w:type="dxa"/>
            <w:gridSpan w:val="2"/>
            <w:vAlign w:val="center"/>
          </w:tcPr>
          <w:p w:rsidR="00C66D89" w:rsidRPr="004F48F0" w:rsidRDefault="00C66D89" w:rsidP="00076908">
            <w:pPr>
              <w:jc w:val="center"/>
              <w:rPr>
                <w:rFonts w:ascii="Arial" w:hAnsi="Arial" w:cs="Arial"/>
                <w:b/>
                <w:sz w:val="18"/>
                <w:szCs w:val="18"/>
                <w:lang w:val="de-DE"/>
              </w:rPr>
            </w:pPr>
            <w:r w:rsidRPr="002C5A6B">
              <w:rPr>
                <w:rFonts w:ascii="Garamond" w:hAnsi="Garamond"/>
                <w:i/>
                <w:position w:val="-10"/>
                <w:lang w:val="de-DE"/>
              </w:rPr>
              <w:object w:dxaOrig="300" w:dyaOrig="380">
                <v:shape id="_x0000_i1103" type="#_x0000_t75" style="width:12.85pt;height:16.7pt" o:ole="">
                  <v:imagedata r:id="rId114" o:title=""/>
                </v:shape>
                <o:OLEObject Type="Embed" ProgID="Equation.3" ShapeID="_x0000_i1103" DrawAspect="Content" ObjectID="_1507543450" r:id="rId139"/>
              </w:object>
            </w:r>
          </w:p>
        </w:tc>
        <w:tc>
          <w:tcPr>
            <w:tcW w:w="1842" w:type="dxa"/>
            <w:vAlign w:val="center"/>
          </w:tcPr>
          <w:p w:rsidR="00C66D89" w:rsidRPr="00A51255" w:rsidRDefault="00C66D89" w:rsidP="00076908">
            <w:pPr>
              <w:jc w:val="center"/>
              <w:rPr>
                <w:lang w:val="en-US"/>
              </w:rPr>
            </w:pPr>
            <w:r>
              <w:rPr>
                <w:rFonts w:ascii="Arial" w:hAnsi="Arial" w:cs="Arial"/>
                <w:sz w:val="20"/>
                <w:szCs w:val="20"/>
                <w:lang w:val="de-DE"/>
              </w:rPr>
              <w:t>-</w:t>
            </w:r>
          </w:p>
        </w:tc>
        <w:tc>
          <w:tcPr>
            <w:tcW w:w="1738" w:type="dxa"/>
            <w:vAlign w:val="center"/>
          </w:tcPr>
          <w:p w:rsidR="00C66D89" w:rsidRPr="00A51255" w:rsidRDefault="00C66D89" w:rsidP="00076908">
            <w:pPr>
              <w:jc w:val="center"/>
              <w:rPr>
                <w:lang w:val="en-US"/>
              </w:rPr>
            </w:pPr>
            <w:r>
              <w:rPr>
                <w:rFonts w:ascii="Arial" w:hAnsi="Arial" w:cs="Arial"/>
                <w:sz w:val="20"/>
                <w:szCs w:val="20"/>
                <w:lang w:val="de-DE"/>
              </w:rPr>
              <w:t>-</w:t>
            </w:r>
          </w:p>
        </w:tc>
        <w:tc>
          <w:tcPr>
            <w:tcW w:w="1848" w:type="dxa"/>
            <w:vAlign w:val="center"/>
          </w:tcPr>
          <w:p w:rsidR="00C66D89" w:rsidRPr="00A51255" w:rsidRDefault="00C66D89" w:rsidP="00076908">
            <w:pPr>
              <w:jc w:val="center"/>
              <w:rPr>
                <w:rFonts w:ascii="Arial" w:hAnsi="Arial" w:cs="Arial"/>
                <w:sz w:val="20"/>
                <w:szCs w:val="20"/>
                <w:lang w:val="de-DE"/>
              </w:rPr>
            </w:pPr>
            <w:r w:rsidRPr="009C0106">
              <w:rPr>
                <w:rFonts w:ascii="Arial" w:hAnsi="Arial" w:cs="Arial"/>
                <w:sz w:val="20"/>
                <w:szCs w:val="20"/>
                <w:lang w:val="de-DE"/>
              </w:rPr>
              <w:t>0.321726</w:t>
            </w:r>
          </w:p>
          <w:p w:rsidR="00C66D89" w:rsidRPr="00A51255" w:rsidRDefault="00C66D89" w:rsidP="00076908">
            <w:pPr>
              <w:jc w:val="center"/>
              <w:rPr>
                <w:lang w:val="en-US"/>
              </w:rPr>
            </w:pPr>
            <w:r>
              <w:rPr>
                <w:rFonts w:ascii="Arial" w:hAnsi="Arial" w:cs="Arial"/>
                <w:sz w:val="16"/>
                <w:szCs w:val="16"/>
                <w:lang w:val="de-DE"/>
              </w:rPr>
              <w:t>(</w:t>
            </w:r>
            <w:r w:rsidRPr="009C0106">
              <w:rPr>
                <w:rFonts w:ascii="Arial" w:hAnsi="Arial" w:cs="Arial"/>
                <w:sz w:val="16"/>
                <w:szCs w:val="16"/>
                <w:lang w:val="de-DE"/>
              </w:rPr>
              <w:t>0.270833</w:t>
            </w:r>
            <w:r w:rsidRPr="00A51255">
              <w:rPr>
                <w:rFonts w:ascii="Arial" w:hAnsi="Arial" w:cs="Arial"/>
                <w:sz w:val="16"/>
                <w:szCs w:val="16"/>
                <w:lang w:val="de-DE"/>
              </w:rPr>
              <w:t>)</w:t>
            </w:r>
          </w:p>
        </w:tc>
        <w:tc>
          <w:tcPr>
            <w:tcW w:w="1817" w:type="dxa"/>
            <w:vAlign w:val="center"/>
          </w:tcPr>
          <w:p w:rsidR="00C66D89" w:rsidRPr="00A51255" w:rsidRDefault="00C66D89" w:rsidP="00076908">
            <w:pPr>
              <w:jc w:val="center"/>
              <w:rPr>
                <w:rFonts w:ascii="Arial" w:hAnsi="Arial" w:cs="Arial"/>
                <w:sz w:val="20"/>
                <w:szCs w:val="20"/>
                <w:lang w:val="de-DE"/>
              </w:rPr>
            </w:pPr>
            <w:r w:rsidRPr="00923575">
              <w:rPr>
                <w:rFonts w:ascii="Arial" w:hAnsi="Arial" w:cs="Arial"/>
                <w:sz w:val="20"/>
                <w:szCs w:val="20"/>
                <w:lang w:val="de-DE"/>
              </w:rPr>
              <w:t>0.253290</w:t>
            </w:r>
          </w:p>
          <w:p w:rsidR="00C66D89" w:rsidRPr="00A51255" w:rsidRDefault="00C66D89" w:rsidP="00076908">
            <w:pPr>
              <w:jc w:val="center"/>
              <w:rPr>
                <w:lang w:val="en-US"/>
              </w:rPr>
            </w:pPr>
            <w:r>
              <w:rPr>
                <w:rFonts w:ascii="Arial" w:hAnsi="Arial" w:cs="Arial"/>
                <w:sz w:val="16"/>
                <w:szCs w:val="16"/>
                <w:lang w:val="de-DE"/>
              </w:rPr>
              <w:t>(</w:t>
            </w:r>
            <w:r w:rsidRPr="00923575">
              <w:rPr>
                <w:rFonts w:ascii="Arial" w:hAnsi="Arial" w:cs="Arial"/>
                <w:sz w:val="16"/>
                <w:szCs w:val="16"/>
                <w:lang w:val="de-DE"/>
              </w:rPr>
              <w:t>0.221159</w:t>
            </w:r>
            <w:r w:rsidRPr="00A51255">
              <w:rPr>
                <w:rFonts w:ascii="Arial" w:hAnsi="Arial" w:cs="Arial"/>
                <w:sz w:val="16"/>
                <w:szCs w:val="16"/>
                <w:lang w:val="de-DE"/>
              </w:rPr>
              <w:t>)</w:t>
            </w:r>
          </w:p>
        </w:tc>
      </w:tr>
      <w:tr w:rsidR="00AF2496" w:rsidRPr="00A51255" w:rsidTr="00AF2496">
        <w:trPr>
          <w:jc w:val="center"/>
        </w:trPr>
        <w:tc>
          <w:tcPr>
            <w:tcW w:w="451" w:type="dxa"/>
            <w:vAlign w:val="center"/>
          </w:tcPr>
          <w:p w:rsidR="00C66D89" w:rsidRPr="00A51255" w:rsidRDefault="00C65448" w:rsidP="00076908">
            <w:pPr>
              <w:spacing w:line="360" w:lineRule="auto"/>
              <w:jc w:val="center"/>
              <w:rPr>
                <w:rFonts w:ascii="Arial" w:hAnsi="Arial" w:cs="Arial"/>
                <w:lang w:val="en-US"/>
              </w:rPr>
            </w:pPr>
            <w:r>
              <w:rPr>
                <w:rFonts w:ascii="Arial" w:hAnsi="Arial" w:cs="Arial"/>
                <w:sz w:val="16"/>
                <w:szCs w:val="16"/>
                <w:lang w:val="de-DE"/>
              </w:rPr>
              <w:t>(</w:t>
            </w:r>
            <w:r w:rsidR="00C66D89">
              <w:rPr>
                <w:rFonts w:ascii="Arial" w:hAnsi="Arial" w:cs="Arial"/>
                <w:sz w:val="16"/>
                <w:szCs w:val="16"/>
                <w:lang w:val="de-DE"/>
              </w:rPr>
              <w:t>2)</w:t>
            </w:r>
          </w:p>
        </w:tc>
        <w:tc>
          <w:tcPr>
            <w:tcW w:w="2134" w:type="dxa"/>
            <w:gridSpan w:val="2"/>
            <w:vAlign w:val="center"/>
          </w:tcPr>
          <w:p w:rsidR="00C66D89" w:rsidRPr="004F48F0" w:rsidRDefault="00C66D89" w:rsidP="00076908">
            <w:pPr>
              <w:jc w:val="center"/>
              <w:rPr>
                <w:rFonts w:ascii="Arial" w:hAnsi="Arial" w:cs="Arial"/>
                <w:b/>
                <w:sz w:val="18"/>
                <w:szCs w:val="18"/>
                <w:lang w:val="de-DE"/>
              </w:rPr>
            </w:pPr>
            <w:r w:rsidRPr="002C5A6B">
              <w:rPr>
                <w:rFonts w:ascii="Garamond" w:hAnsi="Garamond"/>
                <w:i/>
                <w:position w:val="-12"/>
                <w:lang w:val="de-DE"/>
              </w:rPr>
              <w:object w:dxaOrig="300" w:dyaOrig="400">
                <v:shape id="_x0000_i1104" type="#_x0000_t75" style="width:12.85pt;height:18pt" o:ole="">
                  <v:imagedata r:id="rId116" o:title=""/>
                </v:shape>
                <o:OLEObject Type="Embed" ProgID="Equation.3" ShapeID="_x0000_i1104" DrawAspect="Content" ObjectID="_1507543451" r:id="rId140"/>
              </w:object>
            </w:r>
          </w:p>
        </w:tc>
        <w:tc>
          <w:tcPr>
            <w:tcW w:w="1842" w:type="dxa"/>
            <w:vAlign w:val="center"/>
          </w:tcPr>
          <w:p w:rsidR="00C66D89" w:rsidRPr="00A51255" w:rsidRDefault="00C66D89" w:rsidP="00076908">
            <w:pPr>
              <w:jc w:val="center"/>
              <w:rPr>
                <w:rFonts w:ascii="Arial" w:hAnsi="Arial" w:cs="Arial"/>
                <w:sz w:val="20"/>
                <w:szCs w:val="20"/>
                <w:lang w:val="de-DE"/>
              </w:rPr>
            </w:pPr>
            <w:r w:rsidRPr="00BD2714">
              <w:rPr>
                <w:rFonts w:ascii="Arial" w:hAnsi="Arial" w:cs="Arial"/>
                <w:sz w:val="20"/>
                <w:szCs w:val="20"/>
                <w:lang w:val="de-DE"/>
              </w:rPr>
              <w:t>0.000382</w:t>
            </w:r>
          </w:p>
          <w:p w:rsidR="00C66D89" w:rsidRPr="00A51255" w:rsidRDefault="00C66D89" w:rsidP="00076908">
            <w:pPr>
              <w:jc w:val="center"/>
              <w:rPr>
                <w:lang w:val="en-US"/>
              </w:rPr>
            </w:pPr>
            <w:r>
              <w:rPr>
                <w:rFonts w:ascii="Arial" w:hAnsi="Arial" w:cs="Arial"/>
                <w:sz w:val="16"/>
                <w:szCs w:val="16"/>
                <w:lang w:val="de-DE"/>
              </w:rPr>
              <w:t>(</w:t>
            </w:r>
            <w:r w:rsidRPr="00BD2714">
              <w:rPr>
                <w:rFonts w:ascii="Arial" w:hAnsi="Arial" w:cs="Arial"/>
                <w:sz w:val="16"/>
                <w:szCs w:val="16"/>
                <w:lang w:val="de-DE"/>
              </w:rPr>
              <w:t>0.001518</w:t>
            </w:r>
            <w:r w:rsidRPr="00A51255">
              <w:rPr>
                <w:rFonts w:ascii="Arial" w:hAnsi="Arial" w:cs="Arial"/>
                <w:sz w:val="16"/>
                <w:szCs w:val="16"/>
                <w:lang w:val="de-DE"/>
              </w:rPr>
              <w:t>)</w:t>
            </w:r>
          </w:p>
        </w:tc>
        <w:tc>
          <w:tcPr>
            <w:tcW w:w="1738" w:type="dxa"/>
            <w:vAlign w:val="center"/>
          </w:tcPr>
          <w:p w:rsidR="00C66D89" w:rsidRPr="00A51255" w:rsidRDefault="00C66D89" w:rsidP="00076908">
            <w:pPr>
              <w:jc w:val="center"/>
              <w:rPr>
                <w:rFonts w:ascii="Arial" w:hAnsi="Arial" w:cs="Arial"/>
                <w:sz w:val="20"/>
                <w:szCs w:val="20"/>
                <w:lang w:val="de-DE"/>
              </w:rPr>
            </w:pPr>
            <w:r w:rsidRPr="00363D6D">
              <w:rPr>
                <w:rFonts w:ascii="Arial" w:hAnsi="Arial" w:cs="Arial"/>
                <w:sz w:val="20"/>
                <w:szCs w:val="20"/>
                <w:lang w:val="de-DE"/>
              </w:rPr>
              <w:t>0.000273</w:t>
            </w:r>
          </w:p>
          <w:p w:rsidR="00C66D89" w:rsidRPr="00A51255" w:rsidRDefault="00C66D89" w:rsidP="00076908">
            <w:pPr>
              <w:jc w:val="center"/>
              <w:rPr>
                <w:lang w:val="en-US"/>
              </w:rPr>
            </w:pPr>
            <w:r>
              <w:rPr>
                <w:rFonts w:ascii="Arial" w:hAnsi="Arial" w:cs="Arial"/>
                <w:sz w:val="16"/>
                <w:szCs w:val="16"/>
                <w:lang w:val="de-DE"/>
              </w:rPr>
              <w:t>(</w:t>
            </w:r>
            <w:r w:rsidRPr="00363D6D">
              <w:rPr>
                <w:rFonts w:ascii="Arial" w:hAnsi="Arial" w:cs="Arial"/>
                <w:sz w:val="16"/>
                <w:szCs w:val="16"/>
                <w:lang w:val="de-DE"/>
              </w:rPr>
              <w:t>0.001484</w:t>
            </w:r>
            <w:r w:rsidRPr="00A51255">
              <w:rPr>
                <w:rFonts w:ascii="Arial" w:hAnsi="Arial" w:cs="Arial"/>
                <w:sz w:val="16"/>
                <w:szCs w:val="16"/>
                <w:lang w:val="de-DE"/>
              </w:rPr>
              <w:t>)</w:t>
            </w:r>
          </w:p>
        </w:tc>
        <w:tc>
          <w:tcPr>
            <w:tcW w:w="1848" w:type="dxa"/>
            <w:vAlign w:val="center"/>
          </w:tcPr>
          <w:p w:rsidR="00C66D89" w:rsidRPr="00A51255" w:rsidRDefault="00C66D89" w:rsidP="00076908">
            <w:pPr>
              <w:jc w:val="center"/>
              <w:rPr>
                <w:rFonts w:ascii="Arial" w:hAnsi="Arial" w:cs="Arial"/>
                <w:sz w:val="20"/>
                <w:szCs w:val="20"/>
                <w:lang w:val="de-DE"/>
              </w:rPr>
            </w:pPr>
            <w:r w:rsidRPr="001B3872">
              <w:rPr>
                <w:rFonts w:ascii="Arial" w:hAnsi="Arial" w:cs="Arial"/>
                <w:sz w:val="20"/>
                <w:szCs w:val="20"/>
                <w:lang w:val="de-DE"/>
              </w:rPr>
              <w:t>0.000575</w:t>
            </w:r>
          </w:p>
          <w:p w:rsidR="00C66D89" w:rsidRPr="00A51255" w:rsidRDefault="00C66D89" w:rsidP="00076908">
            <w:pPr>
              <w:jc w:val="center"/>
              <w:rPr>
                <w:lang w:val="en-US"/>
              </w:rPr>
            </w:pPr>
            <w:r>
              <w:rPr>
                <w:rFonts w:ascii="Arial" w:hAnsi="Arial" w:cs="Arial"/>
                <w:sz w:val="16"/>
                <w:szCs w:val="16"/>
                <w:lang w:val="de-DE"/>
              </w:rPr>
              <w:t>(</w:t>
            </w:r>
            <w:r w:rsidRPr="001B3872">
              <w:rPr>
                <w:rFonts w:ascii="Arial" w:hAnsi="Arial" w:cs="Arial"/>
                <w:sz w:val="16"/>
                <w:szCs w:val="16"/>
                <w:lang w:val="de-DE"/>
              </w:rPr>
              <w:t>0.001164</w:t>
            </w:r>
            <w:r w:rsidRPr="00A51255">
              <w:rPr>
                <w:rFonts w:ascii="Arial" w:hAnsi="Arial" w:cs="Arial"/>
                <w:sz w:val="16"/>
                <w:szCs w:val="16"/>
                <w:lang w:val="de-DE"/>
              </w:rPr>
              <w:t>)</w:t>
            </w:r>
          </w:p>
        </w:tc>
        <w:tc>
          <w:tcPr>
            <w:tcW w:w="1817" w:type="dxa"/>
            <w:vAlign w:val="center"/>
          </w:tcPr>
          <w:p w:rsidR="00C66D89" w:rsidRPr="00A51255" w:rsidRDefault="00C66D89" w:rsidP="00076908">
            <w:pPr>
              <w:jc w:val="center"/>
              <w:rPr>
                <w:rFonts w:ascii="Arial" w:hAnsi="Arial" w:cs="Arial"/>
                <w:sz w:val="20"/>
                <w:szCs w:val="20"/>
                <w:lang w:val="de-DE"/>
              </w:rPr>
            </w:pPr>
            <w:r w:rsidRPr="00923575">
              <w:rPr>
                <w:rFonts w:ascii="Arial" w:hAnsi="Arial" w:cs="Arial"/>
                <w:sz w:val="20"/>
                <w:szCs w:val="20"/>
                <w:lang w:val="de-DE"/>
              </w:rPr>
              <w:t>0.001122</w:t>
            </w:r>
          </w:p>
          <w:p w:rsidR="00C66D89" w:rsidRPr="00A51255" w:rsidRDefault="00C66D89" w:rsidP="00076908">
            <w:pPr>
              <w:jc w:val="center"/>
              <w:rPr>
                <w:lang w:val="en-US"/>
              </w:rPr>
            </w:pPr>
            <w:r>
              <w:rPr>
                <w:rFonts w:ascii="Arial" w:hAnsi="Arial" w:cs="Arial"/>
                <w:sz w:val="16"/>
                <w:szCs w:val="16"/>
                <w:lang w:val="de-DE"/>
              </w:rPr>
              <w:t>(</w:t>
            </w:r>
            <w:r w:rsidRPr="00923575">
              <w:rPr>
                <w:rFonts w:ascii="Arial" w:hAnsi="Arial" w:cs="Arial"/>
                <w:sz w:val="16"/>
                <w:szCs w:val="16"/>
                <w:lang w:val="de-DE"/>
              </w:rPr>
              <w:t>0.001038</w:t>
            </w:r>
            <w:r w:rsidRPr="00A51255">
              <w:rPr>
                <w:rFonts w:ascii="Arial" w:hAnsi="Arial" w:cs="Arial"/>
                <w:sz w:val="16"/>
                <w:szCs w:val="16"/>
                <w:lang w:val="de-DE"/>
              </w:rPr>
              <w:t>)</w:t>
            </w:r>
          </w:p>
        </w:tc>
      </w:tr>
      <w:tr w:rsidR="00AF2496" w:rsidRPr="00647145" w:rsidTr="00AF2496">
        <w:trPr>
          <w:jc w:val="center"/>
        </w:trPr>
        <w:tc>
          <w:tcPr>
            <w:tcW w:w="451" w:type="dxa"/>
            <w:vAlign w:val="center"/>
          </w:tcPr>
          <w:p w:rsidR="00BA647F" w:rsidRPr="00A51255" w:rsidRDefault="00BA647F" w:rsidP="008055CD">
            <w:pPr>
              <w:spacing w:line="360" w:lineRule="auto"/>
              <w:jc w:val="center"/>
              <w:rPr>
                <w:rFonts w:ascii="Arial" w:hAnsi="Arial" w:cs="Arial"/>
                <w:sz w:val="16"/>
                <w:szCs w:val="16"/>
                <w:lang w:val="de-DE"/>
              </w:rPr>
            </w:pPr>
          </w:p>
        </w:tc>
        <w:tc>
          <w:tcPr>
            <w:tcW w:w="2134" w:type="dxa"/>
            <w:gridSpan w:val="2"/>
            <w:vAlign w:val="center"/>
          </w:tcPr>
          <w:p w:rsidR="00BA647F" w:rsidRPr="004F48F0" w:rsidRDefault="00BA647F" w:rsidP="008055CD">
            <w:pPr>
              <w:jc w:val="center"/>
              <w:rPr>
                <w:rFonts w:ascii="Arial" w:hAnsi="Arial" w:cs="Arial"/>
                <w:b/>
                <w:sz w:val="18"/>
                <w:szCs w:val="18"/>
                <w:lang w:val="de-DE"/>
              </w:rPr>
            </w:pPr>
            <w:r w:rsidRPr="004F48F0">
              <w:rPr>
                <w:rFonts w:ascii="Arial" w:hAnsi="Arial" w:cs="Arial"/>
                <w:b/>
                <w:sz w:val="18"/>
                <w:szCs w:val="18"/>
                <w:lang w:val="de-DE"/>
              </w:rPr>
              <w:t>Unexpected announcement:</w:t>
            </w:r>
          </w:p>
        </w:tc>
        <w:tc>
          <w:tcPr>
            <w:tcW w:w="1842" w:type="dxa"/>
            <w:vAlign w:val="center"/>
          </w:tcPr>
          <w:p w:rsidR="00BA647F" w:rsidRPr="004F48F0" w:rsidRDefault="00BA647F" w:rsidP="008055CD">
            <w:pPr>
              <w:jc w:val="center"/>
              <w:rPr>
                <w:rFonts w:ascii="Arial" w:hAnsi="Arial" w:cs="Arial"/>
                <w:b/>
                <w:sz w:val="18"/>
                <w:szCs w:val="18"/>
                <w:lang w:val="de-DE"/>
              </w:rPr>
            </w:pPr>
            <w:r w:rsidRPr="004F48F0">
              <w:rPr>
                <w:rFonts w:ascii="Arial" w:hAnsi="Arial" w:cs="Arial"/>
                <w:b/>
                <w:sz w:val="18"/>
                <w:szCs w:val="18"/>
                <w:lang w:val="de-DE"/>
              </w:rPr>
              <w:t>Money Supply</w:t>
            </w:r>
          </w:p>
          <w:p w:rsidR="00BA647F" w:rsidRPr="00CA2C53" w:rsidRDefault="00BA647F" w:rsidP="008055CD">
            <w:pPr>
              <w:jc w:val="center"/>
              <w:rPr>
                <w:rFonts w:ascii="Arial" w:hAnsi="Arial" w:cs="Arial"/>
                <w:b/>
                <w:sz w:val="2"/>
                <w:szCs w:val="2"/>
                <w:lang w:val="de-DE"/>
              </w:rPr>
            </w:pPr>
          </w:p>
          <w:p w:rsidR="00BA647F" w:rsidRPr="004F48F0" w:rsidRDefault="00BA647F" w:rsidP="008055CD">
            <w:pPr>
              <w:jc w:val="center"/>
              <w:rPr>
                <w:rFonts w:ascii="Arial" w:hAnsi="Arial" w:cs="Arial"/>
                <w:b/>
                <w:sz w:val="20"/>
                <w:szCs w:val="20"/>
                <w:lang w:val="de-DE"/>
              </w:rPr>
            </w:pPr>
            <w:r w:rsidRPr="009F1BCD">
              <w:rPr>
                <w:b/>
                <w:sz w:val="20"/>
                <w:szCs w:val="20"/>
                <w:lang w:val="de-DE"/>
              </w:rPr>
              <w:t>(</w:t>
            </w:r>
            <w:r w:rsidRPr="004F48F0">
              <w:rPr>
                <w:b/>
                <w:i/>
                <w:sz w:val="20"/>
                <w:szCs w:val="20"/>
                <w:lang w:val="de-DE"/>
              </w:rPr>
              <w:t>MS</w:t>
            </w:r>
            <w:r w:rsidRPr="009F1BCD">
              <w:rPr>
                <w:b/>
                <w:sz w:val="20"/>
                <w:szCs w:val="20"/>
                <w:lang w:val="de-DE"/>
              </w:rPr>
              <w:t>)</w:t>
            </w:r>
          </w:p>
        </w:tc>
        <w:tc>
          <w:tcPr>
            <w:tcW w:w="1738" w:type="dxa"/>
            <w:vAlign w:val="center"/>
          </w:tcPr>
          <w:p w:rsidR="00BA647F" w:rsidRDefault="00BA647F" w:rsidP="008055CD">
            <w:pPr>
              <w:jc w:val="center"/>
              <w:rPr>
                <w:rFonts w:ascii="Arial" w:hAnsi="Arial" w:cs="Arial"/>
                <w:b/>
                <w:sz w:val="18"/>
                <w:szCs w:val="18"/>
                <w:lang w:val="de-DE"/>
              </w:rPr>
            </w:pPr>
            <w:r w:rsidRPr="004F48F0">
              <w:rPr>
                <w:rFonts w:ascii="Arial" w:hAnsi="Arial" w:cs="Arial"/>
                <w:b/>
                <w:sz w:val="18"/>
                <w:szCs w:val="18"/>
                <w:lang w:val="de-DE"/>
              </w:rPr>
              <w:t>Reserve Money</w:t>
            </w:r>
          </w:p>
          <w:p w:rsidR="00BA647F" w:rsidRPr="00CA2C53" w:rsidRDefault="00BA647F" w:rsidP="008055CD">
            <w:pPr>
              <w:jc w:val="center"/>
              <w:rPr>
                <w:rFonts w:ascii="Arial" w:hAnsi="Arial" w:cs="Arial"/>
                <w:b/>
                <w:sz w:val="2"/>
                <w:szCs w:val="2"/>
                <w:lang w:val="de-DE"/>
              </w:rPr>
            </w:pPr>
          </w:p>
          <w:p w:rsidR="00BA647F" w:rsidRPr="004F48F0" w:rsidRDefault="00BA647F" w:rsidP="008055CD">
            <w:pPr>
              <w:jc w:val="center"/>
              <w:rPr>
                <w:b/>
                <w:i/>
                <w:sz w:val="20"/>
                <w:szCs w:val="20"/>
                <w:lang w:val="en-US"/>
              </w:rPr>
            </w:pPr>
            <w:r w:rsidRPr="009F1BCD">
              <w:rPr>
                <w:b/>
                <w:sz w:val="20"/>
                <w:szCs w:val="20"/>
                <w:lang w:val="en-US"/>
              </w:rPr>
              <w:t>(</w:t>
            </w:r>
            <w:r w:rsidRPr="004F48F0">
              <w:rPr>
                <w:b/>
                <w:i/>
                <w:sz w:val="20"/>
                <w:szCs w:val="20"/>
                <w:lang w:val="en-US"/>
              </w:rPr>
              <w:t>RM</w:t>
            </w:r>
            <w:r w:rsidRPr="009F1BCD">
              <w:rPr>
                <w:b/>
                <w:sz w:val="20"/>
                <w:szCs w:val="20"/>
                <w:lang w:val="en-US"/>
              </w:rPr>
              <w:t>)</w:t>
            </w:r>
          </w:p>
        </w:tc>
        <w:tc>
          <w:tcPr>
            <w:tcW w:w="1848" w:type="dxa"/>
            <w:vAlign w:val="center"/>
          </w:tcPr>
          <w:p w:rsidR="00BA647F" w:rsidRDefault="00BA647F" w:rsidP="008055CD">
            <w:pPr>
              <w:jc w:val="center"/>
              <w:rPr>
                <w:rFonts w:ascii="Arial" w:hAnsi="Arial" w:cs="Arial"/>
                <w:b/>
                <w:sz w:val="18"/>
                <w:szCs w:val="18"/>
                <w:lang w:val="de-DE"/>
              </w:rPr>
            </w:pPr>
            <w:r>
              <w:rPr>
                <w:rFonts w:ascii="Arial" w:hAnsi="Arial" w:cs="Arial"/>
                <w:b/>
                <w:sz w:val="18"/>
                <w:szCs w:val="18"/>
                <w:lang w:val="de-DE"/>
              </w:rPr>
              <w:t>Balance of Payments</w:t>
            </w:r>
          </w:p>
          <w:p w:rsidR="00BA647F" w:rsidRPr="00CA2C53" w:rsidRDefault="00BA647F" w:rsidP="008055CD">
            <w:pPr>
              <w:jc w:val="center"/>
              <w:rPr>
                <w:b/>
                <w:i/>
                <w:sz w:val="2"/>
                <w:szCs w:val="2"/>
                <w:lang w:val="en-US"/>
              </w:rPr>
            </w:pPr>
          </w:p>
          <w:p w:rsidR="00BA647F" w:rsidRPr="004F48F0" w:rsidRDefault="00BA647F" w:rsidP="008055CD">
            <w:pPr>
              <w:jc w:val="center"/>
              <w:rPr>
                <w:b/>
                <w:i/>
                <w:sz w:val="20"/>
                <w:szCs w:val="20"/>
                <w:lang w:val="en-US"/>
              </w:rPr>
            </w:pPr>
            <w:r w:rsidRPr="009F1BCD">
              <w:rPr>
                <w:b/>
                <w:sz w:val="20"/>
                <w:szCs w:val="20"/>
                <w:lang w:val="en-US"/>
              </w:rPr>
              <w:t>(</w:t>
            </w:r>
            <w:r w:rsidRPr="004F48F0">
              <w:rPr>
                <w:b/>
                <w:i/>
                <w:sz w:val="20"/>
                <w:szCs w:val="20"/>
                <w:lang w:val="en-US"/>
              </w:rPr>
              <w:t>BOP</w:t>
            </w:r>
            <w:r w:rsidRPr="009F1BCD">
              <w:rPr>
                <w:b/>
                <w:sz w:val="20"/>
                <w:szCs w:val="20"/>
                <w:lang w:val="en-US"/>
              </w:rPr>
              <w:t>)</w:t>
            </w:r>
          </w:p>
        </w:tc>
        <w:tc>
          <w:tcPr>
            <w:tcW w:w="1817" w:type="dxa"/>
            <w:vAlign w:val="center"/>
          </w:tcPr>
          <w:p w:rsidR="00EF2553" w:rsidRPr="000E3558" w:rsidRDefault="00BA647F" w:rsidP="008055CD">
            <w:pPr>
              <w:jc w:val="center"/>
              <w:rPr>
                <w:rFonts w:ascii="Arial" w:hAnsi="Arial" w:cs="Arial"/>
                <w:b/>
                <w:sz w:val="18"/>
                <w:szCs w:val="18"/>
                <w:lang w:val="en-US"/>
              </w:rPr>
            </w:pPr>
            <w:r w:rsidRPr="000E3558">
              <w:rPr>
                <w:rFonts w:ascii="Arial" w:hAnsi="Arial" w:cs="Arial"/>
                <w:b/>
                <w:sz w:val="18"/>
                <w:szCs w:val="18"/>
                <w:lang w:val="en-US"/>
              </w:rPr>
              <w:t xml:space="preserve">Liquid Assets </w:t>
            </w:r>
          </w:p>
          <w:p w:rsidR="00BA647F" w:rsidRPr="009F1BCD" w:rsidRDefault="00BA647F" w:rsidP="00EF2553">
            <w:pPr>
              <w:jc w:val="center"/>
              <w:rPr>
                <w:b/>
                <w:i/>
                <w:sz w:val="20"/>
                <w:szCs w:val="20"/>
                <w:lang w:val="en-US"/>
              </w:rPr>
            </w:pPr>
            <w:r w:rsidRPr="000E3558">
              <w:rPr>
                <w:rFonts w:ascii="Arial" w:hAnsi="Arial" w:cs="Arial"/>
                <w:b/>
                <w:sz w:val="18"/>
                <w:szCs w:val="18"/>
                <w:lang w:val="en-US"/>
              </w:rPr>
              <w:t>and Liabilities (</w:t>
            </w:r>
            <w:r w:rsidRPr="009F1BCD">
              <w:rPr>
                <w:b/>
                <w:i/>
                <w:sz w:val="20"/>
                <w:szCs w:val="20"/>
                <w:lang w:val="en-US"/>
              </w:rPr>
              <w:t>AL</w:t>
            </w:r>
            <w:r w:rsidRPr="009F1BCD">
              <w:rPr>
                <w:b/>
                <w:sz w:val="20"/>
                <w:szCs w:val="20"/>
                <w:lang w:val="en-US"/>
              </w:rPr>
              <w:t>)</w:t>
            </w:r>
          </w:p>
        </w:tc>
      </w:tr>
      <w:tr w:rsidR="00AF2496" w:rsidRPr="00A51255" w:rsidTr="00AF2496">
        <w:trPr>
          <w:jc w:val="center"/>
        </w:trPr>
        <w:tc>
          <w:tcPr>
            <w:tcW w:w="451" w:type="dxa"/>
            <w:vAlign w:val="center"/>
          </w:tcPr>
          <w:p w:rsidR="00BA647F" w:rsidRPr="00A51255" w:rsidRDefault="00C65448" w:rsidP="008055CD">
            <w:pPr>
              <w:spacing w:line="360" w:lineRule="auto"/>
              <w:jc w:val="center"/>
              <w:rPr>
                <w:rFonts w:ascii="Arial" w:hAnsi="Arial" w:cs="Arial"/>
                <w:sz w:val="16"/>
                <w:szCs w:val="16"/>
                <w:lang w:val="de-DE"/>
              </w:rPr>
            </w:pPr>
            <w:r>
              <w:rPr>
                <w:rFonts w:ascii="Arial" w:hAnsi="Arial" w:cs="Arial"/>
                <w:sz w:val="16"/>
                <w:szCs w:val="16"/>
                <w:lang w:val="de-DE"/>
              </w:rPr>
              <w:t>(</w:t>
            </w:r>
            <w:r w:rsidR="00BA647F">
              <w:rPr>
                <w:rFonts w:ascii="Arial" w:hAnsi="Arial" w:cs="Arial"/>
                <w:sz w:val="16"/>
                <w:szCs w:val="16"/>
                <w:lang w:val="de-DE"/>
              </w:rPr>
              <w:t>2)</w:t>
            </w:r>
          </w:p>
        </w:tc>
        <w:tc>
          <w:tcPr>
            <w:tcW w:w="2134" w:type="dxa"/>
            <w:gridSpan w:val="2"/>
            <w:vAlign w:val="center"/>
          </w:tcPr>
          <w:p w:rsidR="000701C4" w:rsidRDefault="00BA647F" w:rsidP="000701C4">
            <w:pPr>
              <w:ind w:left="123"/>
              <w:jc w:val="center"/>
              <w:rPr>
                <w:rFonts w:ascii="Garamond" w:hAnsi="Garamond"/>
                <w:lang w:val="de-DE"/>
              </w:rPr>
            </w:pPr>
            <w:r w:rsidRPr="002C5A6B">
              <w:rPr>
                <w:rFonts w:ascii="Garamond" w:hAnsi="Garamond"/>
                <w:i/>
                <w:position w:val="-10"/>
                <w:lang w:val="de-DE"/>
              </w:rPr>
              <w:object w:dxaOrig="300" w:dyaOrig="380">
                <v:shape id="_x0000_i1105" type="#_x0000_t75" style="width:12.85pt;height:16.7pt" o:ole="">
                  <v:imagedata r:id="rId118" o:title=""/>
                </v:shape>
                <o:OLEObject Type="Embed" ProgID="Equation.3" ShapeID="_x0000_i1105" DrawAspect="Content" ObjectID="_1507543452" r:id="rId141"/>
              </w:object>
            </w:r>
          </w:p>
          <w:p w:rsidR="00BA647F" w:rsidRPr="0007792B" w:rsidRDefault="00BA647F" w:rsidP="000701C4">
            <w:pPr>
              <w:ind w:left="123"/>
              <w:jc w:val="center"/>
              <w:rPr>
                <w:b/>
                <w:sz w:val="18"/>
                <w:szCs w:val="18"/>
                <w:lang w:val="de-DE"/>
              </w:rPr>
            </w:pPr>
            <w:r>
              <w:rPr>
                <w:rFonts w:ascii="Arial" w:hAnsi="Arial" w:cs="Arial"/>
                <w:b/>
                <w:sz w:val="18"/>
                <w:szCs w:val="18"/>
                <w:lang w:val="de-DE"/>
              </w:rPr>
              <w:t xml:space="preserve">strongly </w:t>
            </w:r>
            <w:r w:rsidRPr="004F48F0">
              <w:rPr>
                <w:rFonts w:ascii="Arial" w:hAnsi="Arial" w:cs="Arial"/>
                <w:b/>
                <w:sz w:val="18"/>
                <w:szCs w:val="18"/>
                <w:lang w:val="de-DE"/>
              </w:rPr>
              <w:t>positive</w:t>
            </w:r>
          </w:p>
        </w:tc>
        <w:tc>
          <w:tcPr>
            <w:tcW w:w="1842" w:type="dxa"/>
            <w:vAlign w:val="center"/>
          </w:tcPr>
          <w:p w:rsidR="00BA647F" w:rsidRPr="00A51255" w:rsidRDefault="00443283" w:rsidP="008055CD">
            <w:pPr>
              <w:jc w:val="center"/>
              <w:rPr>
                <w:rFonts w:ascii="Arial" w:hAnsi="Arial" w:cs="Arial"/>
                <w:sz w:val="20"/>
                <w:szCs w:val="20"/>
                <w:lang w:val="de-DE"/>
              </w:rPr>
            </w:pPr>
            <w:r w:rsidRPr="00443283">
              <w:rPr>
                <w:rFonts w:ascii="Arial" w:hAnsi="Arial" w:cs="Arial"/>
                <w:sz w:val="20"/>
                <w:szCs w:val="20"/>
                <w:lang w:val="de-DE"/>
              </w:rPr>
              <w:t>0.051632</w:t>
            </w:r>
          </w:p>
          <w:p w:rsidR="00BA647F" w:rsidRPr="00A51255" w:rsidRDefault="00BA647F" w:rsidP="008055CD">
            <w:pPr>
              <w:jc w:val="center"/>
              <w:rPr>
                <w:lang w:val="en-US"/>
              </w:rPr>
            </w:pPr>
            <w:r>
              <w:rPr>
                <w:rFonts w:ascii="Arial" w:hAnsi="Arial" w:cs="Arial"/>
                <w:sz w:val="16"/>
                <w:szCs w:val="16"/>
                <w:lang w:val="de-DE"/>
              </w:rPr>
              <w:t>(</w:t>
            </w:r>
            <w:r w:rsidR="00443283" w:rsidRPr="00443283">
              <w:rPr>
                <w:rFonts w:ascii="Arial" w:hAnsi="Arial" w:cs="Arial"/>
                <w:sz w:val="16"/>
                <w:szCs w:val="16"/>
                <w:lang w:val="de-DE"/>
              </w:rPr>
              <w:t>0.149720</w:t>
            </w:r>
            <w:r w:rsidRPr="00A51255">
              <w:rPr>
                <w:rFonts w:ascii="Arial" w:hAnsi="Arial" w:cs="Arial"/>
                <w:sz w:val="16"/>
                <w:szCs w:val="16"/>
                <w:lang w:val="de-DE"/>
              </w:rPr>
              <w:t>)</w:t>
            </w:r>
          </w:p>
        </w:tc>
        <w:tc>
          <w:tcPr>
            <w:tcW w:w="1738" w:type="dxa"/>
            <w:vAlign w:val="center"/>
          </w:tcPr>
          <w:p w:rsidR="00BA647F" w:rsidRPr="00A51255" w:rsidRDefault="00013B81" w:rsidP="008055CD">
            <w:pPr>
              <w:jc w:val="center"/>
              <w:rPr>
                <w:rFonts w:ascii="Arial" w:hAnsi="Arial" w:cs="Arial"/>
                <w:sz w:val="20"/>
                <w:szCs w:val="20"/>
                <w:lang w:val="de-DE"/>
              </w:rPr>
            </w:pPr>
            <w:r w:rsidRPr="00013B81">
              <w:rPr>
                <w:rFonts w:ascii="Arial" w:hAnsi="Arial" w:cs="Arial"/>
                <w:sz w:val="20"/>
                <w:szCs w:val="20"/>
                <w:lang w:val="de-DE"/>
              </w:rPr>
              <w:t>0.545413</w:t>
            </w:r>
          </w:p>
          <w:p w:rsidR="00BA647F" w:rsidRPr="00A51255" w:rsidRDefault="00BA647F" w:rsidP="008055CD">
            <w:pPr>
              <w:jc w:val="center"/>
              <w:rPr>
                <w:lang w:val="en-US"/>
              </w:rPr>
            </w:pPr>
            <w:r>
              <w:rPr>
                <w:rFonts w:ascii="Arial" w:hAnsi="Arial" w:cs="Arial"/>
                <w:sz w:val="16"/>
                <w:szCs w:val="16"/>
                <w:lang w:val="de-DE"/>
              </w:rPr>
              <w:t>(</w:t>
            </w:r>
            <w:r w:rsidR="00013B81" w:rsidRPr="00013B81">
              <w:rPr>
                <w:rFonts w:ascii="Arial" w:hAnsi="Arial" w:cs="Arial"/>
                <w:sz w:val="16"/>
                <w:szCs w:val="16"/>
                <w:lang w:val="de-DE"/>
              </w:rPr>
              <w:t>0.529888</w:t>
            </w:r>
            <w:r w:rsidRPr="00A51255">
              <w:rPr>
                <w:rFonts w:ascii="Arial" w:hAnsi="Arial" w:cs="Arial"/>
                <w:sz w:val="16"/>
                <w:szCs w:val="16"/>
                <w:lang w:val="de-DE"/>
              </w:rPr>
              <w:t>)</w:t>
            </w:r>
          </w:p>
        </w:tc>
        <w:tc>
          <w:tcPr>
            <w:tcW w:w="1848" w:type="dxa"/>
            <w:vAlign w:val="center"/>
          </w:tcPr>
          <w:p w:rsidR="00BA647F" w:rsidRPr="00A51255" w:rsidRDefault="00BF6BCC" w:rsidP="008055CD">
            <w:pPr>
              <w:jc w:val="center"/>
              <w:rPr>
                <w:rFonts w:ascii="Arial" w:hAnsi="Arial" w:cs="Arial"/>
                <w:sz w:val="20"/>
                <w:szCs w:val="20"/>
                <w:lang w:val="de-DE"/>
              </w:rPr>
            </w:pPr>
            <w:r w:rsidRPr="00BF6BCC">
              <w:rPr>
                <w:rFonts w:ascii="Arial" w:hAnsi="Arial" w:cs="Arial"/>
                <w:sz w:val="20"/>
                <w:szCs w:val="20"/>
                <w:lang w:val="de-DE"/>
              </w:rPr>
              <w:t>-0.397196</w:t>
            </w:r>
            <w:r>
              <w:rPr>
                <w:rFonts w:ascii="Arial" w:hAnsi="Arial" w:cs="Arial"/>
                <w:sz w:val="20"/>
                <w:szCs w:val="20"/>
                <w:lang w:val="de-DE"/>
              </w:rPr>
              <w:t xml:space="preserve"> ***</w:t>
            </w:r>
          </w:p>
          <w:p w:rsidR="00BA647F" w:rsidRPr="00A51255" w:rsidRDefault="00BA647F" w:rsidP="008055CD">
            <w:pPr>
              <w:jc w:val="center"/>
              <w:rPr>
                <w:lang w:val="en-US"/>
              </w:rPr>
            </w:pPr>
            <w:r>
              <w:rPr>
                <w:rFonts w:ascii="Arial" w:hAnsi="Arial" w:cs="Arial"/>
                <w:sz w:val="16"/>
                <w:szCs w:val="16"/>
                <w:lang w:val="de-DE"/>
              </w:rPr>
              <w:t>(</w:t>
            </w:r>
            <w:r w:rsidR="00BF6BCC" w:rsidRPr="00BF6BCC">
              <w:rPr>
                <w:rFonts w:ascii="Arial" w:hAnsi="Arial" w:cs="Arial"/>
                <w:sz w:val="16"/>
                <w:szCs w:val="16"/>
                <w:lang w:val="de-DE"/>
              </w:rPr>
              <w:t>0.044378</w:t>
            </w:r>
            <w:r w:rsidRPr="00A51255">
              <w:rPr>
                <w:rFonts w:ascii="Arial" w:hAnsi="Arial" w:cs="Arial"/>
                <w:sz w:val="16"/>
                <w:szCs w:val="16"/>
                <w:lang w:val="de-DE"/>
              </w:rPr>
              <w:t>)</w:t>
            </w:r>
          </w:p>
        </w:tc>
        <w:tc>
          <w:tcPr>
            <w:tcW w:w="1817" w:type="dxa"/>
            <w:vAlign w:val="center"/>
          </w:tcPr>
          <w:p w:rsidR="00BA647F" w:rsidRPr="00A51255" w:rsidRDefault="00CE236C" w:rsidP="008055CD">
            <w:pPr>
              <w:jc w:val="center"/>
              <w:rPr>
                <w:rFonts w:ascii="Arial" w:hAnsi="Arial" w:cs="Arial"/>
                <w:sz w:val="20"/>
                <w:szCs w:val="20"/>
                <w:lang w:val="de-DE"/>
              </w:rPr>
            </w:pPr>
            <w:r w:rsidRPr="00CE236C">
              <w:rPr>
                <w:rFonts w:ascii="Arial" w:hAnsi="Arial" w:cs="Arial"/>
                <w:sz w:val="20"/>
                <w:szCs w:val="20"/>
                <w:lang w:val="de-DE"/>
              </w:rPr>
              <w:t>-0.388755</w:t>
            </w:r>
            <w:r>
              <w:rPr>
                <w:rFonts w:ascii="Arial" w:hAnsi="Arial" w:cs="Arial"/>
                <w:sz w:val="20"/>
                <w:szCs w:val="20"/>
                <w:lang w:val="de-DE"/>
              </w:rPr>
              <w:t xml:space="preserve"> ***</w:t>
            </w:r>
          </w:p>
          <w:p w:rsidR="00BA647F" w:rsidRPr="00A51255" w:rsidRDefault="00BA647F" w:rsidP="008055CD">
            <w:pPr>
              <w:jc w:val="center"/>
              <w:rPr>
                <w:lang w:val="en-US"/>
              </w:rPr>
            </w:pPr>
            <w:r>
              <w:rPr>
                <w:rFonts w:ascii="Arial" w:hAnsi="Arial" w:cs="Arial"/>
                <w:sz w:val="16"/>
                <w:szCs w:val="16"/>
                <w:lang w:val="de-DE"/>
              </w:rPr>
              <w:t>(</w:t>
            </w:r>
            <w:r w:rsidR="00CE236C" w:rsidRPr="00CE236C">
              <w:rPr>
                <w:rFonts w:ascii="Arial" w:hAnsi="Arial" w:cs="Arial"/>
                <w:sz w:val="16"/>
                <w:szCs w:val="16"/>
                <w:lang w:val="de-DE"/>
              </w:rPr>
              <w:t>0.080676</w:t>
            </w:r>
            <w:r w:rsidRPr="00A51255">
              <w:rPr>
                <w:rFonts w:ascii="Arial" w:hAnsi="Arial" w:cs="Arial"/>
                <w:sz w:val="16"/>
                <w:szCs w:val="16"/>
                <w:lang w:val="de-DE"/>
              </w:rPr>
              <w:t>)</w:t>
            </w:r>
          </w:p>
        </w:tc>
      </w:tr>
      <w:tr w:rsidR="00AF2496" w:rsidRPr="00A51255" w:rsidTr="00AF2496">
        <w:trPr>
          <w:jc w:val="center"/>
        </w:trPr>
        <w:tc>
          <w:tcPr>
            <w:tcW w:w="451" w:type="dxa"/>
            <w:vAlign w:val="center"/>
          </w:tcPr>
          <w:p w:rsidR="00BA647F" w:rsidRPr="00A51255" w:rsidRDefault="00C65448" w:rsidP="008055CD">
            <w:pPr>
              <w:spacing w:line="360" w:lineRule="auto"/>
              <w:jc w:val="center"/>
              <w:rPr>
                <w:rFonts w:ascii="Arial" w:hAnsi="Arial" w:cs="Arial"/>
                <w:sz w:val="16"/>
                <w:szCs w:val="16"/>
                <w:lang w:val="de-DE"/>
              </w:rPr>
            </w:pPr>
            <w:r>
              <w:rPr>
                <w:rFonts w:ascii="Arial" w:hAnsi="Arial" w:cs="Arial"/>
                <w:sz w:val="16"/>
                <w:szCs w:val="16"/>
                <w:lang w:val="de-DE"/>
              </w:rPr>
              <w:t>(</w:t>
            </w:r>
            <w:r w:rsidR="00BA647F">
              <w:rPr>
                <w:rFonts w:ascii="Arial" w:hAnsi="Arial" w:cs="Arial"/>
                <w:sz w:val="16"/>
                <w:szCs w:val="16"/>
                <w:lang w:val="de-DE"/>
              </w:rPr>
              <w:t>2)</w:t>
            </w:r>
          </w:p>
        </w:tc>
        <w:tc>
          <w:tcPr>
            <w:tcW w:w="2134" w:type="dxa"/>
            <w:gridSpan w:val="2"/>
            <w:vAlign w:val="center"/>
          </w:tcPr>
          <w:p w:rsidR="000701C4" w:rsidRDefault="00BA647F" w:rsidP="000701C4">
            <w:pPr>
              <w:ind w:left="123"/>
              <w:jc w:val="center"/>
              <w:rPr>
                <w:rFonts w:ascii="Garamond" w:hAnsi="Garamond"/>
                <w:i/>
                <w:lang w:val="de-DE"/>
              </w:rPr>
            </w:pPr>
            <w:r w:rsidRPr="002C5A6B">
              <w:rPr>
                <w:rFonts w:ascii="Garamond" w:hAnsi="Garamond"/>
                <w:i/>
                <w:position w:val="-12"/>
                <w:lang w:val="de-DE"/>
              </w:rPr>
              <w:object w:dxaOrig="300" w:dyaOrig="400">
                <v:shape id="_x0000_i1106" type="#_x0000_t75" style="width:12.85pt;height:18pt" o:ole="">
                  <v:imagedata r:id="rId120" o:title=""/>
                </v:shape>
                <o:OLEObject Type="Embed" ProgID="Equation.3" ShapeID="_x0000_i1106" DrawAspect="Content" ObjectID="_1507543453" r:id="rId142"/>
              </w:object>
            </w:r>
          </w:p>
          <w:p w:rsidR="00BA647F" w:rsidRPr="0007792B" w:rsidRDefault="00BA647F" w:rsidP="000701C4">
            <w:pPr>
              <w:ind w:left="123"/>
              <w:jc w:val="center"/>
              <w:rPr>
                <w:rFonts w:ascii="Arial" w:hAnsi="Arial" w:cs="Arial"/>
                <w:b/>
                <w:sz w:val="18"/>
                <w:szCs w:val="18"/>
                <w:lang w:val="de-DE"/>
              </w:rPr>
            </w:pPr>
            <w:r>
              <w:rPr>
                <w:rFonts w:ascii="Arial" w:hAnsi="Arial" w:cs="Arial"/>
                <w:b/>
                <w:sz w:val="18"/>
                <w:szCs w:val="18"/>
                <w:lang w:val="de-DE"/>
              </w:rPr>
              <w:t>p</w:t>
            </w:r>
            <w:r w:rsidRPr="004F48F0">
              <w:rPr>
                <w:rFonts w:ascii="Arial" w:hAnsi="Arial" w:cs="Arial"/>
                <w:b/>
                <w:sz w:val="18"/>
                <w:szCs w:val="18"/>
                <w:lang w:val="de-DE"/>
              </w:rPr>
              <w:t>ositive</w:t>
            </w:r>
          </w:p>
        </w:tc>
        <w:tc>
          <w:tcPr>
            <w:tcW w:w="1842" w:type="dxa"/>
            <w:vAlign w:val="center"/>
          </w:tcPr>
          <w:p w:rsidR="00BA647F" w:rsidRPr="00A51255" w:rsidRDefault="00443283" w:rsidP="008055CD">
            <w:pPr>
              <w:jc w:val="center"/>
              <w:rPr>
                <w:rFonts w:ascii="Arial" w:hAnsi="Arial" w:cs="Arial"/>
                <w:sz w:val="20"/>
                <w:szCs w:val="20"/>
                <w:lang w:val="de-DE"/>
              </w:rPr>
            </w:pPr>
            <w:r w:rsidRPr="00443283">
              <w:rPr>
                <w:rFonts w:ascii="Arial" w:hAnsi="Arial" w:cs="Arial"/>
                <w:sz w:val="20"/>
                <w:szCs w:val="20"/>
                <w:lang w:val="de-DE"/>
              </w:rPr>
              <w:t>-0.096604</w:t>
            </w:r>
          </w:p>
          <w:p w:rsidR="00BA647F" w:rsidRPr="00A51255" w:rsidRDefault="00BA647F" w:rsidP="008055CD">
            <w:pPr>
              <w:jc w:val="center"/>
              <w:rPr>
                <w:lang w:val="en-US"/>
              </w:rPr>
            </w:pPr>
            <w:r>
              <w:rPr>
                <w:rFonts w:ascii="Arial" w:hAnsi="Arial" w:cs="Arial"/>
                <w:sz w:val="16"/>
                <w:szCs w:val="16"/>
                <w:lang w:val="de-DE"/>
              </w:rPr>
              <w:t>(</w:t>
            </w:r>
            <w:r w:rsidR="00443283" w:rsidRPr="00443283">
              <w:rPr>
                <w:rFonts w:ascii="Arial" w:hAnsi="Arial" w:cs="Arial"/>
                <w:sz w:val="16"/>
                <w:szCs w:val="16"/>
                <w:lang w:val="de-DE"/>
              </w:rPr>
              <w:t>0.089588</w:t>
            </w:r>
            <w:r w:rsidRPr="00A51255">
              <w:rPr>
                <w:rFonts w:ascii="Arial" w:hAnsi="Arial" w:cs="Arial"/>
                <w:sz w:val="16"/>
                <w:szCs w:val="16"/>
                <w:lang w:val="de-DE"/>
              </w:rPr>
              <w:t>)</w:t>
            </w:r>
          </w:p>
        </w:tc>
        <w:tc>
          <w:tcPr>
            <w:tcW w:w="1738" w:type="dxa"/>
            <w:vAlign w:val="center"/>
          </w:tcPr>
          <w:p w:rsidR="00BA647F" w:rsidRPr="00A51255" w:rsidRDefault="000360C6" w:rsidP="008055CD">
            <w:pPr>
              <w:jc w:val="center"/>
              <w:rPr>
                <w:rFonts w:ascii="Arial" w:hAnsi="Arial" w:cs="Arial"/>
                <w:sz w:val="20"/>
                <w:szCs w:val="20"/>
                <w:lang w:val="de-DE"/>
              </w:rPr>
            </w:pPr>
            <w:r w:rsidRPr="000360C6">
              <w:rPr>
                <w:rFonts w:ascii="Arial" w:hAnsi="Arial" w:cs="Arial"/>
                <w:sz w:val="20"/>
                <w:szCs w:val="20"/>
                <w:lang w:val="de-DE"/>
              </w:rPr>
              <w:t>-0.243365</w:t>
            </w:r>
            <w:r>
              <w:rPr>
                <w:rFonts w:ascii="Arial" w:hAnsi="Arial" w:cs="Arial"/>
                <w:sz w:val="20"/>
                <w:szCs w:val="20"/>
                <w:lang w:val="de-DE"/>
              </w:rPr>
              <w:t xml:space="preserve"> ***</w:t>
            </w:r>
          </w:p>
          <w:p w:rsidR="00BA647F" w:rsidRPr="00A51255" w:rsidRDefault="00BA647F" w:rsidP="008055CD">
            <w:pPr>
              <w:jc w:val="center"/>
              <w:rPr>
                <w:lang w:val="en-US"/>
              </w:rPr>
            </w:pPr>
            <w:r>
              <w:rPr>
                <w:rFonts w:ascii="Arial" w:hAnsi="Arial" w:cs="Arial"/>
                <w:sz w:val="16"/>
                <w:szCs w:val="16"/>
                <w:lang w:val="de-DE"/>
              </w:rPr>
              <w:t>(</w:t>
            </w:r>
            <w:r w:rsidR="000360C6" w:rsidRPr="000360C6">
              <w:rPr>
                <w:rFonts w:ascii="Arial" w:hAnsi="Arial" w:cs="Arial"/>
                <w:sz w:val="16"/>
                <w:szCs w:val="16"/>
                <w:lang w:val="de-DE"/>
              </w:rPr>
              <w:t>0.057401</w:t>
            </w:r>
            <w:r w:rsidRPr="00A51255">
              <w:rPr>
                <w:rFonts w:ascii="Arial" w:hAnsi="Arial" w:cs="Arial"/>
                <w:sz w:val="16"/>
                <w:szCs w:val="16"/>
                <w:lang w:val="de-DE"/>
              </w:rPr>
              <w:t>)</w:t>
            </w:r>
          </w:p>
        </w:tc>
        <w:tc>
          <w:tcPr>
            <w:tcW w:w="1848" w:type="dxa"/>
            <w:vAlign w:val="center"/>
          </w:tcPr>
          <w:p w:rsidR="00BA647F" w:rsidRPr="00A51255" w:rsidRDefault="00CC707E" w:rsidP="008055CD">
            <w:pPr>
              <w:jc w:val="center"/>
              <w:rPr>
                <w:rFonts w:ascii="Arial" w:hAnsi="Arial" w:cs="Arial"/>
                <w:sz w:val="20"/>
                <w:szCs w:val="20"/>
                <w:lang w:val="de-DE"/>
              </w:rPr>
            </w:pPr>
            <w:r w:rsidRPr="00CC707E">
              <w:rPr>
                <w:rFonts w:ascii="Arial" w:hAnsi="Arial" w:cs="Arial"/>
                <w:sz w:val="20"/>
                <w:szCs w:val="20"/>
                <w:lang w:val="de-DE"/>
              </w:rPr>
              <w:t>-0.360974</w:t>
            </w:r>
            <w:r>
              <w:rPr>
                <w:rFonts w:ascii="Arial" w:hAnsi="Arial" w:cs="Arial"/>
                <w:sz w:val="20"/>
                <w:szCs w:val="20"/>
                <w:lang w:val="de-DE"/>
              </w:rPr>
              <w:t xml:space="preserve"> ***</w:t>
            </w:r>
          </w:p>
          <w:p w:rsidR="00BA647F" w:rsidRPr="00A51255" w:rsidRDefault="00BA647F" w:rsidP="008055CD">
            <w:pPr>
              <w:jc w:val="center"/>
              <w:rPr>
                <w:lang w:val="en-US"/>
              </w:rPr>
            </w:pPr>
            <w:r>
              <w:rPr>
                <w:rFonts w:ascii="Arial" w:hAnsi="Arial" w:cs="Arial"/>
                <w:sz w:val="16"/>
                <w:szCs w:val="16"/>
                <w:lang w:val="de-DE"/>
              </w:rPr>
              <w:t>(</w:t>
            </w:r>
            <w:r w:rsidR="00CC707E" w:rsidRPr="00CC707E">
              <w:rPr>
                <w:rFonts w:ascii="Arial" w:hAnsi="Arial" w:cs="Arial"/>
                <w:sz w:val="16"/>
                <w:szCs w:val="16"/>
                <w:lang w:val="de-DE"/>
              </w:rPr>
              <w:t>0.055480</w:t>
            </w:r>
            <w:r w:rsidRPr="00A51255">
              <w:rPr>
                <w:rFonts w:ascii="Arial" w:hAnsi="Arial" w:cs="Arial"/>
                <w:sz w:val="16"/>
                <w:szCs w:val="16"/>
                <w:lang w:val="de-DE"/>
              </w:rPr>
              <w:t>)</w:t>
            </w:r>
          </w:p>
        </w:tc>
        <w:tc>
          <w:tcPr>
            <w:tcW w:w="1817" w:type="dxa"/>
            <w:vAlign w:val="center"/>
          </w:tcPr>
          <w:p w:rsidR="00BA647F" w:rsidRPr="00A51255" w:rsidRDefault="00CE236C" w:rsidP="008055CD">
            <w:pPr>
              <w:jc w:val="center"/>
              <w:rPr>
                <w:rFonts w:ascii="Arial" w:hAnsi="Arial" w:cs="Arial"/>
                <w:sz w:val="20"/>
                <w:szCs w:val="20"/>
                <w:lang w:val="de-DE"/>
              </w:rPr>
            </w:pPr>
            <w:r w:rsidRPr="00CE236C">
              <w:rPr>
                <w:rFonts w:ascii="Arial" w:hAnsi="Arial" w:cs="Arial"/>
                <w:sz w:val="20"/>
                <w:szCs w:val="20"/>
                <w:lang w:val="de-DE"/>
              </w:rPr>
              <w:t>-0.321466</w:t>
            </w:r>
            <w:r>
              <w:rPr>
                <w:rFonts w:ascii="Arial" w:hAnsi="Arial" w:cs="Arial"/>
                <w:sz w:val="20"/>
                <w:szCs w:val="20"/>
                <w:lang w:val="de-DE"/>
              </w:rPr>
              <w:t xml:space="preserve"> ***</w:t>
            </w:r>
          </w:p>
          <w:p w:rsidR="00BA647F" w:rsidRPr="00A51255" w:rsidRDefault="00BA647F" w:rsidP="008055CD">
            <w:pPr>
              <w:jc w:val="center"/>
              <w:rPr>
                <w:lang w:val="en-US"/>
              </w:rPr>
            </w:pPr>
            <w:r>
              <w:rPr>
                <w:rFonts w:ascii="Arial" w:hAnsi="Arial" w:cs="Arial"/>
                <w:sz w:val="16"/>
                <w:szCs w:val="16"/>
                <w:lang w:val="de-DE"/>
              </w:rPr>
              <w:t>(</w:t>
            </w:r>
            <w:r w:rsidR="00CE236C" w:rsidRPr="00CE236C">
              <w:rPr>
                <w:rFonts w:ascii="Arial" w:hAnsi="Arial" w:cs="Arial"/>
                <w:sz w:val="16"/>
                <w:szCs w:val="16"/>
                <w:lang w:val="de-DE"/>
              </w:rPr>
              <w:t>0.045136</w:t>
            </w:r>
            <w:r w:rsidRPr="00A51255">
              <w:rPr>
                <w:rFonts w:ascii="Arial" w:hAnsi="Arial" w:cs="Arial"/>
                <w:sz w:val="16"/>
                <w:szCs w:val="16"/>
                <w:lang w:val="de-DE"/>
              </w:rPr>
              <w:t>)</w:t>
            </w:r>
          </w:p>
        </w:tc>
      </w:tr>
      <w:tr w:rsidR="00AF2496" w:rsidRPr="00A51255" w:rsidTr="00AF2496">
        <w:trPr>
          <w:jc w:val="center"/>
        </w:trPr>
        <w:tc>
          <w:tcPr>
            <w:tcW w:w="451" w:type="dxa"/>
            <w:vAlign w:val="center"/>
          </w:tcPr>
          <w:p w:rsidR="00BA647F" w:rsidRPr="00A51255" w:rsidRDefault="00C65448" w:rsidP="008055CD">
            <w:pPr>
              <w:spacing w:line="360" w:lineRule="auto"/>
              <w:jc w:val="center"/>
              <w:rPr>
                <w:rFonts w:ascii="Arial" w:hAnsi="Arial" w:cs="Arial"/>
                <w:sz w:val="16"/>
                <w:szCs w:val="16"/>
                <w:lang w:val="de-DE"/>
              </w:rPr>
            </w:pPr>
            <w:r>
              <w:rPr>
                <w:rFonts w:ascii="Arial" w:hAnsi="Arial" w:cs="Arial"/>
                <w:sz w:val="16"/>
                <w:szCs w:val="16"/>
                <w:lang w:val="de-DE"/>
              </w:rPr>
              <w:t>(</w:t>
            </w:r>
            <w:r w:rsidR="00BA647F">
              <w:rPr>
                <w:rFonts w:ascii="Arial" w:hAnsi="Arial" w:cs="Arial"/>
                <w:sz w:val="16"/>
                <w:szCs w:val="16"/>
                <w:lang w:val="de-DE"/>
              </w:rPr>
              <w:t>2)</w:t>
            </w:r>
          </w:p>
        </w:tc>
        <w:tc>
          <w:tcPr>
            <w:tcW w:w="2134" w:type="dxa"/>
            <w:gridSpan w:val="2"/>
            <w:vAlign w:val="center"/>
          </w:tcPr>
          <w:p w:rsidR="000701C4" w:rsidRDefault="00BA647F" w:rsidP="000701C4">
            <w:pPr>
              <w:ind w:left="123"/>
              <w:jc w:val="center"/>
              <w:rPr>
                <w:rFonts w:ascii="Garamond" w:hAnsi="Garamond"/>
                <w:i/>
                <w:lang w:val="de-DE"/>
              </w:rPr>
            </w:pPr>
            <w:r w:rsidRPr="002C5A6B">
              <w:rPr>
                <w:rFonts w:ascii="Garamond" w:hAnsi="Garamond"/>
                <w:i/>
                <w:position w:val="-12"/>
                <w:lang w:val="de-DE"/>
              </w:rPr>
              <w:object w:dxaOrig="300" w:dyaOrig="400">
                <v:shape id="_x0000_i1107" type="#_x0000_t75" style="width:12.85pt;height:18pt" o:ole="">
                  <v:imagedata r:id="rId122" o:title=""/>
                </v:shape>
                <o:OLEObject Type="Embed" ProgID="Equation.3" ShapeID="_x0000_i1107" DrawAspect="Content" ObjectID="_1507543454" r:id="rId143"/>
              </w:object>
            </w:r>
          </w:p>
          <w:p w:rsidR="00BA647F" w:rsidRPr="0007792B" w:rsidRDefault="00BA647F" w:rsidP="000701C4">
            <w:pPr>
              <w:ind w:left="123"/>
              <w:jc w:val="center"/>
              <w:rPr>
                <w:rFonts w:ascii="Arial" w:hAnsi="Arial" w:cs="Arial"/>
                <w:b/>
                <w:sz w:val="18"/>
                <w:szCs w:val="18"/>
                <w:lang w:val="de-DE"/>
              </w:rPr>
            </w:pPr>
            <w:r>
              <w:rPr>
                <w:rFonts w:ascii="Arial" w:hAnsi="Arial" w:cs="Arial"/>
                <w:b/>
                <w:sz w:val="18"/>
                <w:szCs w:val="18"/>
                <w:lang w:val="de-DE"/>
              </w:rPr>
              <w:t>n</w:t>
            </w:r>
            <w:r w:rsidRPr="004F48F0">
              <w:rPr>
                <w:rFonts w:ascii="Arial" w:hAnsi="Arial" w:cs="Arial"/>
                <w:b/>
                <w:sz w:val="18"/>
                <w:szCs w:val="18"/>
                <w:lang w:val="de-DE"/>
              </w:rPr>
              <w:t>egative</w:t>
            </w:r>
          </w:p>
        </w:tc>
        <w:tc>
          <w:tcPr>
            <w:tcW w:w="1842" w:type="dxa"/>
            <w:vAlign w:val="center"/>
          </w:tcPr>
          <w:p w:rsidR="00BA647F" w:rsidRPr="00A51255" w:rsidRDefault="00443283" w:rsidP="008055CD">
            <w:pPr>
              <w:jc w:val="center"/>
              <w:rPr>
                <w:rFonts w:ascii="Arial" w:hAnsi="Arial" w:cs="Arial"/>
                <w:sz w:val="20"/>
                <w:szCs w:val="20"/>
                <w:lang w:val="de-DE"/>
              </w:rPr>
            </w:pPr>
            <w:r w:rsidRPr="00443283">
              <w:rPr>
                <w:rFonts w:ascii="Arial" w:hAnsi="Arial" w:cs="Arial"/>
                <w:sz w:val="20"/>
                <w:szCs w:val="20"/>
                <w:lang w:val="de-DE"/>
              </w:rPr>
              <w:t>0.131669</w:t>
            </w:r>
          </w:p>
          <w:p w:rsidR="00BA647F" w:rsidRPr="00A51255" w:rsidRDefault="00BA647F" w:rsidP="008055CD">
            <w:pPr>
              <w:jc w:val="center"/>
              <w:rPr>
                <w:lang w:val="en-US"/>
              </w:rPr>
            </w:pPr>
            <w:r>
              <w:rPr>
                <w:rFonts w:ascii="Arial" w:hAnsi="Arial" w:cs="Arial"/>
                <w:sz w:val="16"/>
                <w:szCs w:val="16"/>
                <w:lang w:val="de-DE"/>
              </w:rPr>
              <w:t>(</w:t>
            </w:r>
            <w:r w:rsidR="00443283" w:rsidRPr="00443283">
              <w:rPr>
                <w:rFonts w:ascii="Arial" w:hAnsi="Arial" w:cs="Arial"/>
                <w:sz w:val="16"/>
                <w:szCs w:val="16"/>
                <w:lang w:val="de-DE"/>
              </w:rPr>
              <w:t>0.218772</w:t>
            </w:r>
            <w:r w:rsidRPr="00A51255">
              <w:rPr>
                <w:rFonts w:ascii="Arial" w:hAnsi="Arial" w:cs="Arial"/>
                <w:sz w:val="16"/>
                <w:szCs w:val="16"/>
                <w:lang w:val="de-DE"/>
              </w:rPr>
              <w:t>)</w:t>
            </w:r>
          </w:p>
        </w:tc>
        <w:tc>
          <w:tcPr>
            <w:tcW w:w="1738" w:type="dxa"/>
            <w:vAlign w:val="center"/>
          </w:tcPr>
          <w:p w:rsidR="00BA647F" w:rsidRPr="00A51255" w:rsidRDefault="000360C6" w:rsidP="008055CD">
            <w:pPr>
              <w:jc w:val="center"/>
              <w:rPr>
                <w:rFonts w:ascii="Arial" w:hAnsi="Arial" w:cs="Arial"/>
                <w:sz w:val="20"/>
                <w:szCs w:val="20"/>
                <w:lang w:val="de-DE"/>
              </w:rPr>
            </w:pPr>
            <w:r w:rsidRPr="000360C6">
              <w:rPr>
                <w:rFonts w:ascii="Arial" w:hAnsi="Arial" w:cs="Arial"/>
                <w:sz w:val="20"/>
                <w:szCs w:val="20"/>
                <w:lang w:val="de-DE"/>
              </w:rPr>
              <w:t>0.342575</w:t>
            </w:r>
          </w:p>
          <w:p w:rsidR="00BA647F" w:rsidRPr="00A51255" w:rsidRDefault="00BA647F" w:rsidP="008055CD">
            <w:pPr>
              <w:jc w:val="center"/>
              <w:rPr>
                <w:lang w:val="en-US"/>
              </w:rPr>
            </w:pPr>
            <w:r>
              <w:rPr>
                <w:rFonts w:ascii="Arial" w:hAnsi="Arial" w:cs="Arial"/>
                <w:sz w:val="16"/>
                <w:szCs w:val="16"/>
                <w:lang w:val="de-DE"/>
              </w:rPr>
              <w:t>(</w:t>
            </w:r>
            <w:r w:rsidR="000360C6" w:rsidRPr="000360C6">
              <w:rPr>
                <w:rFonts w:ascii="Arial" w:hAnsi="Arial" w:cs="Arial"/>
                <w:sz w:val="16"/>
                <w:szCs w:val="16"/>
                <w:lang w:val="de-DE"/>
              </w:rPr>
              <w:t>0.424544</w:t>
            </w:r>
            <w:r w:rsidRPr="00A51255">
              <w:rPr>
                <w:rFonts w:ascii="Arial" w:hAnsi="Arial" w:cs="Arial"/>
                <w:sz w:val="16"/>
                <w:szCs w:val="16"/>
                <w:lang w:val="de-DE"/>
              </w:rPr>
              <w:t>)</w:t>
            </w:r>
          </w:p>
        </w:tc>
        <w:tc>
          <w:tcPr>
            <w:tcW w:w="1848" w:type="dxa"/>
            <w:vAlign w:val="center"/>
          </w:tcPr>
          <w:p w:rsidR="00BA647F" w:rsidRPr="00A51255" w:rsidRDefault="00CC707E" w:rsidP="008055CD">
            <w:pPr>
              <w:jc w:val="center"/>
              <w:rPr>
                <w:rFonts w:ascii="Arial" w:hAnsi="Arial" w:cs="Arial"/>
                <w:sz w:val="20"/>
                <w:szCs w:val="20"/>
                <w:lang w:val="de-DE"/>
              </w:rPr>
            </w:pPr>
            <w:r w:rsidRPr="00CC707E">
              <w:rPr>
                <w:rFonts w:ascii="Arial" w:hAnsi="Arial" w:cs="Arial"/>
                <w:sz w:val="20"/>
                <w:szCs w:val="20"/>
                <w:lang w:val="de-DE"/>
              </w:rPr>
              <w:t>-0.221037</w:t>
            </w:r>
            <w:r>
              <w:rPr>
                <w:rFonts w:ascii="Arial" w:hAnsi="Arial" w:cs="Arial"/>
                <w:sz w:val="20"/>
                <w:szCs w:val="20"/>
                <w:lang w:val="de-DE"/>
              </w:rPr>
              <w:t xml:space="preserve"> **</w:t>
            </w:r>
          </w:p>
          <w:p w:rsidR="00BA647F" w:rsidRPr="00A51255" w:rsidRDefault="00BA647F" w:rsidP="008055CD">
            <w:pPr>
              <w:jc w:val="center"/>
              <w:rPr>
                <w:lang w:val="en-US"/>
              </w:rPr>
            </w:pPr>
            <w:r>
              <w:rPr>
                <w:rFonts w:ascii="Arial" w:hAnsi="Arial" w:cs="Arial"/>
                <w:sz w:val="16"/>
                <w:szCs w:val="16"/>
                <w:lang w:val="de-DE"/>
              </w:rPr>
              <w:t>(</w:t>
            </w:r>
            <w:r w:rsidR="00CC707E" w:rsidRPr="00CC707E">
              <w:rPr>
                <w:rFonts w:ascii="Arial" w:hAnsi="Arial" w:cs="Arial"/>
                <w:sz w:val="16"/>
                <w:szCs w:val="16"/>
                <w:lang w:val="de-DE"/>
              </w:rPr>
              <w:t>0.106676</w:t>
            </w:r>
            <w:r w:rsidRPr="00A51255">
              <w:rPr>
                <w:rFonts w:ascii="Arial" w:hAnsi="Arial" w:cs="Arial"/>
                <w:sz w:val="16"/>
                <w:szCs w:val="16"/>
                <w:lang w:val="de-DE"/>
              </w:rPr>
              <w:t>)</w:t>
            </w:r>
          </w:p>
        </w:tc>
        <w:tc>
          <w:tcPr>
            <w:tcW w:w="1817" w:type="dxa"/>
            <w:vAlign w:val="center"/>
          </w:tcPr>
          <w:p w:rsidR="00BA647F" w:rsidRPr="00A51255" w:rsidRDefault="00C730D9" w:rsidP="008055CD">
            <w:pPr>
              <w:jc w:val="center"/>
              <w:rPr>
                <w:rFonts w:ascii="Arial" w:hAnsi="Arial" w:cs="Arial"/>
                <w:sz w:val="20"/>
                <w:szCs w:val="20"/>
                <w:lang w:val="de-DE"/>
              </w:rPr>
            </w:pPr>
            <w:r w:rsidRPr="00C730D9">
              <w:rPr>
                <w:rFonts w:ascii="Arial" w:hAnsi="Arial" w:cs="Arial"/>
                <w:sz w:val="20"/>
                <w:szCs w:val="20"/>
                <w:lang w:val="de-DE"/>
              </w:rPr>
              <w:t>-0.305305</w:t>
            </w:r>
            <w:r>
              <w:rPr>
                <w:rFonts w:ascii="Arial" w:hAnsi="Arial" w:cs="Arial"/>
                <w:sz w:val="20"/>
                <w:szCs w:val="20"/>
                <w:lang w:val="de-DE"/>
              </w:rPr>
              <w:t xml:space="preserve"> *</w:t>
            </w:r>
          </w:p>
          <w:p w:rsidR="00BA647F" w:rsidRPr="00A51255" w:rsidRDefault="00BA647F" w:rsidP="008055CD">
            <w:pPr>
              <w:jc w:val="center"/>
              <w:rPr>
                <w:lang w:val="en-US"/>
              </w:rPr>
            </w:pPr>
            <w:r>
              <w:rPr>
                <w:rFonts w:ascii="Arial" w:hAnsi="Arial" w:cs="Arial"/>
                <w:sz w:val="16"/>
                <w:szCs w:val="16"/>
                <w:lang w:val="de-DE"/>
              </w:rPr>
              <w:t>(</w:t>
            </w:r>
            <w:r w:rsidR="00C730D9" w:rsidRPr="00C730D9">
              <w:rPr>
                <w:rFonts w:ascii="Arial" w:hAnsi="Arial" w:cs="Arial"/>
                <w:sz w:val="16"/>
                <w:szCs w:val="16"/>
                <w:lang w:val="de-DE"/>
              </w:rPr>
              <w:t>0.175731</w:t>
            </w:r>
            <w:r w:rsidRPr="00A51255">
              <w:rPr>
                <w:rFonts w:ascii="Arial" w:hAnsi="Arial" w:cs="Arial"/>
                <w:sz w:val="16"/>
                <w:szCs w:val="16"/>
                <w:lang w:val="de-DE"/>
              </w:rPr>
              <w:t>)</w:t>
            </w:r>
          </w:p>
        </w:tc>
      </w:tr>
      <w:tr w:rsidR="00AF2496" w:rsidRPr="00A51255" w:rsidTr="00AF2496">
        <w:trPr>
          <w:jc w:val="center"/>
        </w:trPr>
        <w:tc>
          <w:tcPr>
            <w:tcW w:w="451" w:type="dxa"/>
            <w:vAlign w:val="center"/>
          </w:tcPr>
          <w:p w:rsidR="00BA647F" w:rsidRPr="00A51255" w:rsidRDefault="00C65448" w:rsidP="008055CD">
            <w:pPr>
              <w:spacing w:line="360" w:lineRule="auto"/>
              <w:jc w:val="center"/>
              <w:rPr>
                <w:rFonts w:ascii="Arial" w:hAnsi="Arial" w:cs="Arial"/>
                <w:sz w:val="16"/>
                <w:szCs w:val="16"/>
                <w:lang w:val="de-DE"/>
              </w:rPr>
            </w:pPr>
            <w:r>
              <w:rPr>
                <w:rFonts w:ascii="Arial" w:hAnsi="Arial" w:cs="Arial"/>
                <w:sz w:val="16"/>
                <w:szCs w:val="16"/>
                <w:lang w:val="de-DE"/>
              </w:rPr>
              <w:t>(</w:t>
            </w:r>
            <w:r w:rsidR="00BA647F">
              <w:rPr>
                <w:rFonts w:ascii="Arial" w:hAnsi="Arial" w:cs="Arial"/>
                <w:sz w:val="16"/>
                <w:szCs w:val="16"/>
                <w:lang w:val="de-DE"/>
              </w:rPr>
              <w:t>2)</w:t>
            </w:r>
          </w:p>
        </w:tc>
        <w:tc>
          <w:tcPr>
            <w:tcW w:w="2134" w:type="dxa"/>
            <w:gridSpan w:val="2"/>
            <w:vAlign w:val="center"/>
          </w:tcPr>
          <w:p w:rsidR="000701C4" w:rsidRDefault="00BA647F" w:rsidP="000701C4">
            <w:pPr>
              <w:ind w:left="123"/>
              <w:jc w:val="center"/>
            </w:pPr>
            <w:r w:rsidRPr="0007792B">
              <w:rPr>
                <w:rFonts w:ascii="Garamond" w:hAnsi="Garamond"/>
                <w:i/>
                <w:position w:val="-12"/>
                <w:lang w:val="de-DE"/>
              </w:rPr>
              <w:object w:dxaOrig="320" w:dyaOrig="400">
                <v:shape id="_x0000_i1108" type="#_x0000_t75" style="width:14.15pt;height:18pt" o:ole="">
                  <v:imagedata r:id="rId124" o:title=""/>
                </v:shape>
                <o:OLEObject Type="Embed" ProgID="Equation.3" ShapeID="_x0000_i1108" DrawAspect="Content" ObjectID="_1507543455" r:id="rId144"/>
              </w:object>
            </w:r>
          </w:p>
          <w:p w:rsidR="00BA647F" w:rsidRPr="004F48F0" w:rsidRDefault="00BA647F" w:rsidP="000701C4">
            <w:pPr>
              <w:ind w:left="123"/>
              <w:jc w:val="center"/>
              <w:rPr>
                <w:rFonts w:ascii="Arial" w:hAnsi="Arial" w:cs="Arial"/>
                <w:b/>
                <w:sz w:val="18"/>
                <w:szCs w:val="18"/>
                <w:lang w:val="de-DE"/>
              </w:rPr>
            </w:pPr>
            <w:r>
              <w:rPr>
                <w:rFonts w:ascii="Arial" w:hAnsi="Arial" w:cs="Arial"/>
                <w:b/>
                <w:sz w:val="18"/>
                <w:szCs w:val="18"/>
                <w:lang w:val="de-DE"/>
              </w:rPr>
              <w:t xml:space="preserve">strongly </w:t>
            </w:r>
            <w:r w:rsidRPr="004F48F0">
              <w:rPr>
                <w:rFonts w:ascii="Arial" w:hAnsi="Arial" w:cs="Arial"/>
                <w:b/>
                <w:sz w:val="18"/>
                <w:szCs w:val="18"/>
                <w:lang w:val="de-DE"/>
              </w:rPr>
              <w:t>negative</w:t>
            </w:r>
          </w:p>
        </w:tc>
        <w:tc>
          <w:tcPr>
            <w:tcW w:w="1842" w:type="dxa"/>
            <w:vAlign w:val="center"/>
          </w:tcPr>
          <w:p w:rsidR="00BA647F" w:rsidRPr="00A51255" w:rsidRDefault="00443283" w:rsidP="008055CD">
            <w:pPr>
              <w:jc w:val="center"/>
              <w:rPr>
                <w:rFonts w:ascii="Arial" w:hAnsi="Arial" w:cs="Arial"/>
                <w:sz w:val="20"/>
                <w:szCs w:val="20"/>
                <w:lang w:val="de-DE"/>
              </w:rPr>
            </w:pPr>
            <w:r w:rsidRPr="00443283">
              <w:rPr>
                <w:rFonts w:ascii="Arial" w:hAnsi="Arial" w:cs="Arial"/>
                <w:sz w:val="20"/>
                <w:szCs w:val="20"/>
                <w:lang w:val="de-DE"/>
              </w:rPr>
              <w:t>-0.348395</w:t>
            </w:r>
            <w:r>
              <w:rPr>
                <w:rFonts w:ascii="Arial" w:hAnsi="Arial" w:cs="Arial"/>
                <w:sz w:val="20"/>
                <w:szCs w:val="20"/>
                <w:lang w:val="de-DE"/>
              </w:rPr>
              <w:t xml:space="preserve"> ***</w:t>
            </w:r>
          </w:p>
          <w:p w:rsidR="00BA647F" w:rsidRPr="00A51255" w:rsidRDefault="00BA647F" w:rsidP="008055CD">
            <w:pPr>
              <w:jc w:val="center"/>
              <w:rPr>
                <w:lang w:val="en-US"/>
              </w:rPr>
            </w:pPr>
            <w:r>
              <w:rPr>
                <w:rFonts w:ascii="Arial" w:hAnsi="Arial" w:cs="Arial"/>
                <w:sz w:val="16"/>
                <w:szCs w:val="16"/>
                <w:lang w:val="de-DE"/>
              </w:rPr>
              <w:t>(</w:t>
            </w:r>
            <w:r w:rsidR="00443283" w:rsidRPr="00443283">
              <w:rPr>
                <w:rFonts w:ascii="Arial" w:hAnsi="Arial" w:cs="Arial"/>
                <w:sz w:val="16"/>
                <w:szCs w:val="16"/>
                <w:lang w:val="de-DE"/>
              </w:rPr>
              <w:t>0.038050</w:t>
            </w:r>
            <w:r w:rsidRPr="00A51255">
              <w:rPr>
                <w:rFonts w:ascii="Arial" w:hAnsi="Arial" w:cs="Arial"/>
                <w:sz w:val="16"/>
                <w:szCs w:val="16"/>
                <w:lang w:val="de-DE"/>
              </w:rPr>
              <w:t>)</w:t>
            </w:r>
          </w:p>
        </w:tc>
        <w:tc>
          <w:tcPr>
            <w:tcW w:w="1738" w:type="dxa"/>
            <w:vAlign w:val="center"/>
          </w:tcPr>
          <w:p w:rsidR="00BA647F" w:rsidRPr="00A51255" w:rsidRDefault="000360C6" w:rsidP="008055CD">
            <w:pPr>
              <w:jc w:val="center"/>
              <w:rPr>
                <w:rFonts w:ascii="Arial" w:hAnsi="Arial" w:cs="Arial"/>
                <w:sz w:val="20"/>
                <w:szCs w:val="20"/>
                <w:lang w:val="de-DE"/>
              </w:rPr>
            </w:pPr>
            <w:r w:rsidRPr="000360C6">
              <w:rPr>
                <w:rFonts w:ascii="Arial" w:hAnsi="Arial" w:cs="Arial"/>
                <w:sz w:val="20"/>
                <w:szCs w:val="20"/>
                <w:lang w:val="de-DE"/>
              </w:rPr>
              <w:t>-0.362330</w:t>
            </w:r>
            <w:r>
              <w:rPr>
                <w:rFonts w:ascii="Arial" w:hAnsi="Arial" w:cs="Arial"/>
                <w:sz w:val="20"/>
                <w:szCs w:val="20"/>
                <w:lang w:val="de-DE"/>
              </w:rPr>
              <w:t xml:space="preserve"> ***</w:t>
            </w:r>
          </w:p>
          <w:p w:rsidR="00BA647F" w:rsidRPr="00A51255" w:rsidRDefault="00BA647F" w:rsidP="008055CD">
            <w:pPr>
              <w:jc w:val="center"/>
              <w:rPr>
                <w:lang w:val="en-US"/>
              </w:rPr>
            </w:pPr>
            <w:r>
              <w:rPr>
                <w:rFonts w:ascii="Arial" w:hAnsi="Arial" w:cs="Arial"/>
                <w:sz w:val="16"/>
                <w:szCs w:val="16"/>
                <w:lang w:val="de-DE"/>
              </w:rPr>
              <w:t>(</w:t>
            </w:r>
            <w:r w:rsidR="000360C6" w:rsidRPr="000360C6">
              <w:rPr>
                <w:rFonts w:ascii="Arial" w:hAnsi="Arial" w:cs="Arial"/>
                <w:sz w:val="16"/>
                <w:szCs w:val="16"/>
                <w:lang w:val="de-DE"/>
              </w:rPr>
              <w:t>0.091483</w:t>
            </w:r>
            <w:r w:rsidRPr="00A51255">
              <w:rPr>
                <w:rFonts w:ascii="Arial" w:hAnsi="Arial" w:cs="Arial"/>
                <w:sz w:val="16"/>
                <w:szCs w:val="16"/>
                <w:lang w:val="de-DE"/>
              </w:rPr>
              <w:t>)</w:t>
            </w:r>
          </w:p>
        </w:tc>
        <w:tc>
          <w:tcPr>
            <w:tcW w:w="1848" w:type="dxa"/>
            <w:vAlign w:val="center"/>
          </w:tcPr>
          <w:p w:rsidR="00BA647F" w:rsidRPr="00A51255" w:rsidRDefault="00CC707E" w:rsidP="008055CD">
            <w:pPr>
              <w:jc w:val="center"/>
              <w:rPr>
                <w:rFonts w:ascii="Arial" w:hAnsi="Arial" w:cs="Arial"/>
                <w:sz w:val="20"/>
                <w:szCs w:val="20"/>
                <w:lang w:val="de-DE"/>
              </w:rPr>
            </w:pPr>
            <w:r w:rsidRPr="00CC707E">
              <w:rPr>
                <w:rFonts w:ascii="Arial" w:hAnsi="Arial" w:cs="Arial"/>
                <w:sz w:val="20"/>
                <w:szCs w:val="20"/>
                <w:lang w:val="de-DE"/>
              </w:rPr>
              <w:t>-0.426933</w:t>
            </w:r>
            <w:r w:rsidR="00B70D6F">
              <w:rPr>
                <w:rFonts w:ascii="Arial" w:hAnsi="Arial" w:cs="Arial"/>
                <w:sz w:val="20"/>
                <w:szCs w:val="20"/>
                <w:lang w:val="de-DE"/>
              </w:rPr>
              <w:t xml:space="preserve"> ***</w:t>
            </w:r>
          </w:p>
          <w:p w:rsidR="00BA647F" w:rsidRPr="00A51255" w:rsidRDefault="00BA647F" w:rsidP="008055CD">
            <w:pPr>
              <w:jc w:val="center"/>
              <w:rPr>
                <w:lang w:val="en-US"/>
              </w:rPr>
            </w:pPr>
            <w:r>
              <w:rPr>
                <w:rFonts w:ascii="Arial" w:hAnsi="Arial" w:cs="Arial"/>
                <w:sz w:val="16"/>
                <w:szCs w:val="16"/>
                <w:lang w:val="de-DE"/>
              </w:rPr>
              <w:t>(</w:t>
            </w:r>
            <w:r w:rsidR="00CC707E" w:rsidRPr="00CC707E">
              <w:rPr>
                <w:rFonts w:ascii="Arial" w:hAnsi="Arial" w:cs="Arial"/>
                <w:sz w:val="16"/>
                <w:szCs w:val="16"/>
                <w:lang w:val="de-DE"/>
              </w:rPr>
              <w:t>0.039957</w:t>
            </w:r>
            <w:r w:rsidRPr="00A51255">
              <w:rPr>
                <w:rFonts w:ascii="Arial" w:hAnsi="Arial" w:cs="Arial"/>
                <w:sz w:val="16"/>
                <w:szCs w:val="16"/>
                <w:lang w:val="de-DE"/>
              </w:rPr>
              <w:t>)</w:t>
            </w:r>
          </w:p>
        </w:tc>
        <w:tc>
          <w:tcPr>
            <w:tcW w:w="1817" w:type="dxa"/>
            <w:vAlign w:val="center"/>
          </w:tcPr>
          <w:p w:rsidR="00BA647F" w:rsidRPr="00A51255" w:rsidRDefault="00C730D9" w:rsidP="008055CD">
            <w:pPr>
              <w:jc w:val="center"/>
              <w:rPr>
                <w:rFonts w:ascii="Arial" w:hAnsi="Arial" w:cs="Arial"/>
                <w:sz w:val="20"/>
                <w:szCs w:val="20"/>
                <w:lang w:val="de-DE"/>
              </w:rPr>
            </w:pPr>
            <w:r w:rsidRPr="00C730D9">
              <w:rPr>
                <w:rFonts w:ascii="Arial" w:hAnsi="Arial" w:cs="Arial"/>
                <w:sz w:val="20"/>
                <w:szCs w:val="20"/>
                <w:lang w:val="de-DE"/>
              </w:rPr>
              <w:t>-0.356986</w:t>
            </w:r>
            <w:r w:rsidR="005524A6">
              <w:rPr>
                <w:rFonts w:ascii="Arial" w:hAnsi="Arial" w:cs="Arial"/>
                <w:sz w:val="20"/>
                <w:szCs w:val="20"/>
                <w:lang w:val="de-DE"/>
              </w:rPr>
              <w:t xml:space="preserve"> ***</w:t>
            </w:r>
          </w:p>
          <w:p w:rsidR="00BA647F" w:rsidRPr="00A51255" w:rsidRDefault="00BA647F" w:rsidP="008055CD">
            <w:pPr>
              <w:jc w:val="center"/>
              <w:rPr>
                <w:lang w:val="en-US"/>
              </w:rPr>
            </w:pPr>
            <w:r>
              <w:rPr>
                <w:rFonts w:ascii="Arial" w:hAnsi="Arial" w:cs="Arial"/>
                <w:sz w:val="16"/>
                <w:szCs w:val="16"/>
                <w:lang w:val="de-DE"/>
              </w:rPr>
              <w:t>(</w:t>
            </w:r>
            <w:r w:rsidR="00C730D9" w:rsidRPr="00C730D9">
              <w:rPr>
                <w:rFonts w:ascii="Arial" w:hAnsi="Arial" w:cs="Arial"/>
                <w:sz w:val="16"/>
                <w:szCs w:val="16"/>
                <w:lang w:val="de-DE"/>
              </w:rPr>
              <w:t>0.049574</w:t>
            </w:r>
            <w:r w:rsidRPr="00A51255">
              <w:rPr>
                <w:rFonts w:ascii="Arial" w:hAnsi="Arial" w:cs="Arial"/>
                <w:sz w:val="16"/>
                <w:szCs w:val="16"/>
                <w:lang w:val="de-DE"/>
              </w:rPr>
              <w:t>)</w:t>
            </w:r>
          </w:p>
        </w:tc>
      </w:tr>
      <w:tr w:rsidR="00AF2496" w:rsidRPr="00647145" w:rsidTr="00AF2496">
        <w:trPr>
          <w:jc w:val="center"/>
        </w:trPr>
        <w:tc>
          <w:tcPr>
            <w:tcW w:w="451" w:type="dxa"/>
            <w:vAlign w:val="center"/>
          </w:tcPr>
          <w:p w:rsidR="00BA647F" w:rsidRPr="00A51255" w:rsidRDefault="00BA647F" w:rsidP="008055CD">
            <w:pPr>
              <w:spacing w:line="360" w:lineRule="auto"/>
              <w:jc w:val="center"/>
              <w:rPr>
                <w:rFonts w:ascii="Arial" w:hAnsi="Arial" w:cs="Arial"/>
                <w:sz w:val="16"/>
                <w:szCs w:val="16"/>
                <w:lang w:val="de-DE"/>
              </w:rPr>
            </w:pPr>
          </w:p>
        </w:tc>
        <w:tc>
          <w:tcPr>
            <w:tcW w:w="2134" w:type="dxa"/>
            <w:gridSpan w:val="2"/>
            <w:vAlign w:val="center"/>
          </w:tcPr>
          <w:p w:rsidR="00BA647F" w:rsidRPr="004F48F0" w:rsidRDefault="00BA647F" w:rsidP="008055CD">
            <w:pPr>
              <w:spacing w:line="360" w:lineRule="auto"/>
              <w:ind w:left="98"/>
              <w:jc w:val="center"/>
              <w:rPr>
                <w:b/>
                <w:i/>
                <w:sz w:val="18"/>
                <w:szCs w:val="18"/>
                <w:lang w:val="en-US"/>
              </w:rPr>
            </w:pPr>
          </w:p>
        </w:tc>
        <w:tc>
          <w:tcPr>
            <w:tcW w:w="1842" w:type="dxa"/>
            <w:vAlign w:val="center"/>
          </w:tcPr>
          <w:p w:rsidR="00BA647F" w:rsidRPr="00C673F3" w:rsidRDefault="00BA647F" w:rsidP="008055CD">
            <w:pPr>
              <w:jc w:val="center"/>
              <w:rPr>
                <w:rFonts w:ascii="Arial" w:hAnsi="Arial" w:cs="Arial"/>
                <w:sz w:val="10"/>
                <w:szCs w:val="10"/>
                <w:lang w:val="en-US"/>
              </w:rPr>
            </w:pPr>
            <w:r w:rsidRPr="00C673F3">
              <w:rPr>
                <w:rFonts w:ascii="Arial" w:hAnsi="Arial" w:cs="Arial"/>
                <w:sz w:val="10"/>
                <w:szCs w:val="10"/>
                <w:lang w:val="en-US"/>
              </w:rPr>
              <w:t xml:space="preserve">Q(10) = </w:t>
            </w:r>
            <w:r w:rsidR="00002504" w:rsidRPr="00C673F3">
              <w:rPr>
                <w:rFonts w:ascii="Arial" w:hAnsi="Arial" w:cs="Arial"/>
                <w:sz w:val="10"/>
                <w:szCs w:val="10"/>
                <w:lang w:val="en-US"/>
              </w:rPr>
              <w:t>4.6586</w:t>
            </w:r>
            <w:r w:rsidRPr="00C673F3">
              <w:rPr>
                <w:rFonts w:ascii="Arial" w:hAnsi="Arial" w:cs="Arial"/>
                <w:sz w:val="10"/>
                <w:szCs w:val="10"/>
                <w:lang w:val="en-US"/>
              </w:rPr>
              <w:t xml:space="preserve"> (p = </w:t>
            </w:r>
            <w:r w:rsidR="00002504" w:rsidRPr="00C673F3">
              <w:rPr>
                <w:rFonts w:ascii="Arial" w:hAnsi="Arial" w:cs="Arial"/>
                <w:sz w:val="10"/>
                <w:szCs w:val="10"/>
                <w:lang w:val="en-US"/>
              </w:rPr>
              <w:t>0.863</w:t>
            </w:r>
            <w:r w:rsidRPr="00C673F3">
              <w:rPr>
                <w:rFonts w:ascii="Arial" w:hAnsi="Arial" w:cs="Arial"/>
                <w:sz w:val="10"/>
                <w:szCs w:val="10"/>
                <w:lang w:val="en-US"/>
              </w:rPr>
              <w:t>)</w:t>
            </w:r>
          </w:p>
          <w:p w:rsidR="00BA647F" w:rsidRPr="00C673F3" w:rsidRDefault="009E54C0" w:rsidP="008055CD">
            <w:pPr>
              <w:jc w:val="center"/>
              <w:rPr>
                <w:rFonts w:ascii="Arial" w:hAnsi="Arial" w:cs="Arial"/>
                <w:sz w:val="10"/>
                <w:szCs w:val="10"/>
                <w:lang w:val="en-US"/>
              </w:rPr>
            </w:pPr>
            <w:r w:rsidRPr="00C673F3">
              <w:rPr>
                <w:rFonts w:ascii="Arial" w:hAnsi="Arial" w:cs="Arial"/>
                <w:sz w:val="10"/>
                <w:szCs w:val="10"/>
                <w:lang w:val="en-US"/>
              </w:rPr>
              <w:t>LM(10) = 1.334156</w:t>
            </w:r>
            <w:r w:rsidR="00BA647F" w:rsidRPr="00C673F3">
              <w:rPr>
                <w:rFonts w:ascii="Arial" w:hAnsi="Arial" w:cs="Arial"/>
                <w:sz w:val="10"/>
                <w:szCs w:val="10"/>
                <w:lang w:val="en-US"/>
              </w:rPr>
              <w:t xml:space="preserve"> (p = </w:t>
            </w:r>
            <w:r w:rsidRPr="00C673F3">
              <w:rPr>
                <w:rFonts w:ascii="Arial" w:hAnsi="Arial" w:cs="Arial"/>
                <w:sz w:val="10"/>
                <w:szCs w:val="10"/>
                <w:lang w:val="en-US"/>
              </w:rPr>
              <w:t>0.2076</w:t>
            </w:r>
            <w:r w:rsidR="00BA647F" w:rsidRPr="00C673F3">
              <w:rPr>
                <w:rFonts w:ascii="Arial" w:hAnsi="Arial" w:cs="Arial"/>
                <w:sz w:val="10"/>
                <w:szCs w:val="10"/>
                <w:lang w:val="en-US"/>
              </w:rPr>
              <w:t>)</w:t>
            </w:r>
          </w:p>
          <w:p w:rsidR="00BA647F" w:rsidRPr="00C673F3" w:rsidRDefault="00BA647F" w:rsidP="008055CD">
            <w:pPr>
              <w:jc w:val="center"/>
              <w:rPr>
                <w:rFonts w:ascii="Arial" w:hAnsi="Arial" w:cs="Arial"/>
                <w:sz w:val="10"/>
                <w:szCs w:val="10"/>
                <w:lang w:val="en-US"/>
              </w:rPr>
            </w:pPr>
            <w:r w:rsidRPr="00C673F3">
              <w:rPr>
                <w:rFonts w:ascii="Arial" w:hAnsi="Arial" w:cs="Arial"/>
                <w:sz w:val="10"/>
                <w:szCs w:val="10"/>
                <w:lang w:val="en-US"/>
              </w:rPr>
              <w:t xml:space="preserve">Log likelihood = </w:t>
            </w:r>
            <w:r w:rsidR="009E54C0" w:rsidRPr="00C673F3">
              <w:rPr>
                <w:rFonts w:ascii="Arial" w:hAnsi="Arial" w:cs="Arial"/>
                <w:sz w:val="10"/>
                <w:szCs w:val="10"/>
                <w:lang w:val="en-US"/>
              </w:rPr>
              <w:t>-704.7330</w:t>
            </w:r>
          </w:p>
        </w:tc>
        <w:tc>
          <w:tcPr>
            <w:tcW w:w="1738" w:type="dxa"/>
            <w:vAlign w:val="center"/>
          </w:tcPr>
          <w:p w:rsidR="00BA647F" w:rsidRPr="00C673F3" w:rsidRDefault="00BA647F" w:rsidP="008055CD">
            <w:pPr>
              <w:jc w:val="center"/>
              <w:rPr>
                <w:rFonts w:ascii="Arial" w:hAnsi="Arial" w:cs="Arial"/>
                <w:sz w:val="10"/>
                <w:szCs w:val="10"/>
                <w:lang w:val="en-US"/>
              </w:rPr>
            </w:pPr>
            <w:r w:rsidRPr="00C673F3">
              <w:rPr>
                <w:rFonts w:ascii="Arial" w:hAnsi="Arial" w:cs="Arial"/>
                <w:sz w:val="10"/>
                <w:szCs w:val="10"/>
                <w:lang w:val="en-US"/>
              </w:rPr>
              <w:t xml:space="preserve">Q(10) = </w:t>
            </w:r>
            <w:r w:rsidR="00473DAD" w:rsidRPr="00C673F3">
              <w:rPr>
                <w:rFonts w:ascii="Arial" w:hAnsi="Arial" w:cs="Arial"/>
                <w:sz w:val="10"/>
                <w:szCs w:val="10"/>
                <w:lang w:val="en-US"/>
              </w:rPr>
              <w:t>4.9874</w:t>
            </w:r>
            <w:r w:rsidRPr="00C673F3">
              <w:rPr>
                <w:rFonts w:ascii="Arial" w:hAnsi="Arial" w:cs="Arial"/>
                <w:sz w:val="10"/>
                <w:szCs w:val="10"/>
                <w:lang w:val="en-US"/>
              </w:rPr>
              <w:t xml:space="preserve"> (p = </w:t>
            </w:r>
            <w:r w:rsidR="00473DAD" w:rsidRPr="00C673F3">
              <w:rPr>
                <w:rFonts w:ascii="Arial" w:hAnsi="Arial" w:cs="Arial"/>
                <w:sz w:val="10"/>
                <w:szCs w:val="10"/>
                <w:lang w:val="en-US"/>
              </w:rPr>
              <w:t>0.835</w:t>
            </w:r>
            <w:r w:rsidRPr="00C673F3">
              <w:rPr>
                <w:rFonts w:ascii="Arial" w:hAnsi="Arial" w:cs="Arial"/>
                <w:sz w:val="10"/>
                <w:szCs w:val="10"/>
                <w:lang w:val="en-US"/>
              </w:rPr>
              <w:t>)</w:t>
            </w:r>
          </w:p>
          <w:p w:rsidR="00BA647F" w:rsidRPr="00C673F3" w:rsidRDefault="00EC08C7" w:rsidP="008055CD">
            <w:pPr>
              <w:jc w:val="center"/>
              <w:rPr>
                <w:rFonts w:ascii="Arial" w:hAnsi="Arial" w:cs="Arial"/>
                <w:sz w:val="10"/>
                <w:szCs w:val="10"/>
                <w:lang w:val="en-US"/>
              </w:rPr>
            </w:pPr>
            <w:r w:rsidRPr="00C673F3">
              <w:rPr>
                <w:rFonts w:ascii="Arial" w:hAnsi="Arial" w:cs="Arial"/>
                <w:sz w:val="10"/>
                <w:szCs w:val="10"/>
                <w:lang w:val="en-US"/>
              </w:rPr>
              <w:t xml:space="preserve">LM(10) = </w:t>
            </w:r>
            <w:r w:rsidR="00473DAD" w:rsidRPr="00C673F3">
              <w:rPr>
                <w:rFonts w:ascii="Arial" w:hAnsi="Arial" w:cs="Arial"/>
                <w:sz w:val="10"/>
                <w:szCs w:val="10"/>
                <w:lang w:val="en-US"/>
              </w:rPr>
              <w:t>0.691786</w:t>
            </w:r>
            <w:r w:rsidR="00BA647F" w:rsidRPr="00C673F3">
              <w:rPr>
                <w:rFonts w:ascii="Arial" w:hAnsi="Arial" w:cs="Arial"/>
                <w:sz w:val="10"/>
                <w:szCs w:val="10"/>
                <w:lang w:val="en-US"/>
              </w:rPr>
              <w:t xml:space="preserve"> (p = </w:t>
            </w:r>
            <w:r w:rsidR="00473DAD" w:rsidRPr="00C673F3">
              <w:rPr>
                <w:rFonts w:ascii="Arial" w:hAnsi="Arial" w:cs="Arial"/>
                <w:sz w:val="10"/>
                <w:szCs w:val="10"/>
                <w:lang w:val="en-US"/>
              </w:rPr>
              <w:t>0.7327</w:t>
            </w:r>
            <w:r w:rsidR="00BA647F" w:rsidRPr="00C673F3">
              <w:rPr>
                <w:rFonts w:ascii="Arial" w:hAnsi="Arial" w:cs="Arial"/>
                <w:sz w:val="10"/>
                <w:szCs w:val="10"/>
                <w:lang w:val="en-US"/>
              </w:rPr>
              <w:t>)</w:t>
            </w:r>
          </w:p>
          <w:p w:rsidR="00BA647F" w:rsidRPr="00C673F3" w:rsidRDefault="00BA647F" w:rsidP="008055CD">
            <w:pPr>
              <w:jc w:val="center"/>
              <w:rPr>
                <w:rFonts w:ascii="Arial" w:hAnsi="Arial" w:cs="Arial"/>
                <w:sz w:val="10"/>
                <w:szCs w:val="10"/>
                <w:lang w:val="en-US"/>
              </w:rPr>
            </w:pPr>
            <w:r w:rsidRPr="00C673F3">
              <w:rPr>
                <w:rFonts w:ascii="Arial" w:hAnsi="Arial" w:cs="Arial"/>
                <w:sz w:val="10"/>
                <w:szCs w:val="10"/>
                <w:lang w:val="en-US"/>
              </w:rPr>
              <w:t xml:space="preserve">Log likelihood = </w:t>
            </w:r>
            <w:r w:rsidR="00473DAD" w:rsidRPr="00C673F3">
              <w:rPr>
                <w:rFonts w:ascii="Arial" w:hAnsi="Arial" w:cs="Arial"/>
                <w:sz w:val="10"/>
                <w:szCs w:val="10"/>
                <w:lang w:val="en-US"/>
              </w:rPr>
              <w:t>-702.1462</w:t>
            </w:r>
          </w:p>
        </w:tc>
        <w:tc>
          <w:tcPr>
            <w:tcW w:w="1848" w:type="dxa"/>
            <w:vAlign w:val="center"/>
          </w:tcPr>
          <w:p w:rsidR="00BA647F" w:rsidRPr="00C673F3" w:rsidRDefault="00BA647F" w:rsidP="008055CD">
            <w:pPr>
              <w:jc w:val="center"/>
              <w:rPr>
                <w:rFonts w:ascii="Arial" w:hAnsi="Arial" w:cs="Arial"/>
                <w:sz w:val="10"/>
                <w:szCs w:val="10"/>
                <w:lang w:val="en-US"/>
              </w:rPr>
            </w:pPr>
            <w:r w:rsidRPr="00C673F3">
              <w:rPr>
                <w:rFonts w:ascii="Arial" w:hAnsi="Arial" w:cs="Arial"/>
                <w:sz w:val="10"/>
                <w:szCs w:val="10"/>
                <w:lang w:val="en-US"/>
              </w:rPr>
              <w:t xml:space="preserve">Q(10) = </w:t>
            </w:r>
            <w:r w:rsidR="008849BB" w:rsidRPr="00C673F3">
              <w:rPr>
                <w:rFonts w:ascii="Arial" w:hAnsi="Arial" w:cs="Arial"/>
                <w:sz w:val="10"/>
                <w:szCs w:val="10"/>
                <w:lang w:val="en-US"/>
              </w:rPr>
              <w:t>6.4297</w:t>
            </w:r>
            <w:r w:rsidRPr="00C673F3">
              <w:rPr>
                <w:rFonts w:ascii="Arial" w:hAnsi="Arial" w:cs="Arial"/>
                <w:sz w:val="10"/>
                <w:szCs w:val="10"/>
                <w:lang w:val="en-US"/>
              </w:rPr>
              <w:t xml:space="preserve"> (p = </w:t>
            </w:r>
            <w:r w:rsidR="008849BB" w:rsidRPr="00C673F3">
              <w:rPr>
                <w:rFonts w:ascii="Arial" w:hAnsi="Arial" w:cs="Arial"/>
                <w:sz w:val="10"/>
                <w:szCs w:val="10"/>
                <w:lang w:val="en-US"/>
              </w:rPr>
              <w:t>0.696</w:t>
            </w:r>
            <w:r w:rsidRPr="00C673F3">
              <w:rPr>
                <w:rFonts w:ascii="Arial" w:hAnsi="Arial" w:cs="Arial"/>
                <w:sz w:val="10"/>
                <w:szCs w:val="10"/>
                <w:lang w:val="en-US"/>
              </w:rPr>
              <w:t>)</w:t>
            </w:r>
          </w:p>
          <w:p w:rsidR="00BA647F" w:rsidRPr="00C673F3" w:rsidRDefault="00BA647F" w:rsidP="008055CD">
            <w:pPr>
              <w:jc w:val="center"/>
              <w:rPr>
                <w:rFonts w:ascii="Arial" w:hAnsi="Arial" w:cs="Arial"/>
                <w:sz w:val="10"/>
                <w:szCs w:val="10"/>
                <w:lang w:val="en-US"/>
              </w:rPr>
            </w:pPr>
            <w:r w:rsidRPr="00C673F3">
              <w:rPr>
                <w:rFonts w:ascii="Arial" w:hAnsi="Arial" w:cs="Arial"/>
                <w:sz w:val="10"/>
                <w:szCs w:val="10"/>
                <w:lang w:val="en-US"/>
              </w:rPr>
              <w:t xml:space="preserve">LM(10) = </w:t>
            </w:r>
            <w:r w:rsidR="008849BB" w:rsidRPr="00C673F3">
              <w:rPr>
                <w:rFonts w:ascii="Arial" w:hAnsi="Arial" w:cs="Arial"/>
                <w:sz w:val="10"/>
                <w:szCs w:val="10"/>
                <w:lang w:val="en-US"/>
              </w:rPr>
              <w:t>1.151769</w:t>
            </w:r>
            <w:r w:rsidRPr="00C673F3">
              <w:rPr>
                <w:rFonts w:ascii="Arial" w:hAnsi="Arial" w:cs="Arial"/>
                <w:sz w:val="10"/>
                <w:szCs w:val="10"/>
                <w:lang w:val="en-US"/>
              </w:rPr>
              <w:t xml:space="preserve"> (p = </w:t>
            </w:r>
            <w:r w:rsidR="008849BB" w:rsidRPr="00C673F3">
              <w:rPr>
                <w:rFonts w:ascii="Arial" w:hAnsi="Arial" w:cs="Arial"/>
                <w:sz w:val="10"/>
                <w:szCs w:val="10"/>
                <w:lang w:val="en-US"/>
              </w:rPr>
              <w:t>0.3205</w:t>
            </w:r>
            <w:r w:rsidRPr="00C673F3">
              <w:rPr>
                <w:rFonts w:ascii="Arial" w:hAnsi="Arial" w:cs="Arial"/>
                <w:sz w:val="10"/>
                <w:szCs w:val="10"/>
                <w:lang w:val="en-US"/>
              </w:rPr>
              <w:t>)</w:t>
            </w:r>
          </w:p>
          <w:p w:rsidR="00BA647F" w:rsidRPr="00C673F3" w:rsidRDefault="00BA647F" w:rsidP="008055CD">
            <w:pPr>
              <w:jc w:val="center"/>
              <w:rPr>
                <w:rFonts w:ascii="Arial" w:hAnsi="Arial" w:cs="Arial"/>
                <w:sz w:val="10"/>
                <w:szCs w:val="10"/>
                <w:lang w:val="en-US"/>
              </w:rPr>
            </w:pPr>
            <w:r w:rsidRPr="00C673F3">
              <w:rPr>
                <w:rFonts w:ascii="Arial" w:hAnsi="Arial" w:cs="Arial"/>
                <w:sz w:val="10"/>
                <w:szCs w:val="10"/>
                <w:lang w:val="en-US"/>
              </w:rPr>
              <w:t xml:space="preserve">Log likelihood = </w:t>
            </w:r>
            <w:r w:rsidR="008849BB" w:rsidRPr="00C673F3">
              <w:rPr>
                <w:rFonts w:ascii="Arial" w:hAnsi="Arial" w:cs="Arial"/>
                <w:sz w:val="10"/>
                <w:szCs w:val="10"/>
                <w:lang w:val="en-US"/>
              </w:rPr>
              <w:t>-713.9327</w:t>
            </w:r>
          </w:p>
        </w:tc>
        <w:tc>
          <w:tcPr>
            <w:tcW w:w="1817" w:type="dxa"/>
            <w:vAlign w:val="center"/>
          </w:tcPr>
          <w:p w:rsidR="00BA647F" w:rsidRPr="00C673F3" w:rsidRDefault="00BA647F" w:rsidP="008055CD">
            <w:pPr>
              <w:jc w:val="center"/>
              <w:rPr>
                <w:rFonts w:ascii="Arial" w:hAnsi="Arial" w:cs="Arial"/>
                <w:sz w:val="10"/>
                <w:szCs w:val="10"/>
                <w:lang w:val="en-US"/>
              </w:rPr>
            </w:pPr>
            <w:r w:rsidRPr="00C673F3">
              <w:rPr>
                <w:rFonts w:ascii="Arial" w:hAnsi="Arial" w:cs="Arial"/>
                <w:sz w:val="10"/>
                <w:szCs w:val="10"/>
                <w:lang w:val="en-US"/>
              </w:rPr>
              <w:t xml:space="preserve">Q(10) = </w:t>
            </w:r>
            <w:r w:rsidR="00553439" w:rsidRPr="00C673F3">
              <w:rPr>
                <w:rFonts w:ascii="Arial" w:hAnsi="Arial" w:cs="Arial"/>
                <w:sz w:val="10"/>
                <w:szCs w:val="10"/>
                <w:lang w:val="en-US"/>
              </w:rPr>
              <w:t>10.249</w:t>
            </w:r>
            <w:r w:rsidRPr="00C673F3">
              <w:rPr>
                <w:rFonts w:ascii="Arial" w:hAnsi="Arial" w:cs="Arial"/>
                <w:sz w:val="10"/>
                <w:szCs w:val="10"/>
                <w:lang w:val="en-US"/>
              </w:rPr>
              <w:t xml:space="preserve"> (p = </w:t>
            </w:r>
            <w:r w:rsidR="00553439" w:rsidRPr="00C673F3">
              <w:rPr>
                <w:rFonts w:ascii="Arial" w:hAnsi="Arial" w:cs="Arial"/>
                <w:sz w:val="10"/>
                <w:szCs w:val="10"/>
                <w:lang w:val="en-US"/>
              </w:rPr>
              <w:t>0.331</w:t>
            </w:r>
            <w:r w:rsidRPr="00C673F3">
              <w:rPr>
                <w:rFonts w:ascii="Arial" w:hAnsi="Arial" w:cs="Arial"/>
                <w:sz w:val="10"/>
                <w:szCs w:val="10"/>
                <w:lang w:val="en-US"/>
              </w:rPr>
              <w:t>)</w:t>
            </w:r>
          </w:p>
          <w:p w:rsidR="00BA647F" w:rsidRPr="00C673F3" w:rsidRDefault="00BA647F" w:rsidP="008055CD">
            <w:pPr>
              <w:jc w:val="center"/>
              <w:rPr>
                <w:rFonts w:ascii="Arial" w:hAnsi="Arial" w:cs="Arial"/>
                <w:sz w:val="10"/>
                <w:szCs w:val="10"/>
                <w:lang w:val="en-US"/>
              </w:rPr>
            </w:pPr>
            <w:r w:rsidRPr="00C673F3">
              <w:rPr>
                <w:rFonts w:ascii="Arial" w:hAnsi="Arial" w:cs="Arial"/>
                <w:sz w:val="10"/>
                <w:szCs w:val="10"/>
                <w:lang w:val="en-US"/>
              </w:rPr>
              <w:t xml:space="preserve">LM(10) = </w:t>
            </w:r>
            <w:r w:rsidR="00553439" w:rsidRPr="00C673F3">
              <w:rPr>
                <w:rFonts w:ascii="Arial" w:hAnsi="Arial" w:cs="Arial"/>
                <w:sz w:val="10"/>
                <w:szCs w:val="10"/>
                <w:lang w:val="en-US"/>
              </w:rPr>
              <w:t>0.806134</w:t>
            </w:r>
            <w:r w:rsidRPr="00C673F3">
              <w:rPr>
                <w:rFonts w:ascii="Arial" w:hAnsi="Arial" w:cs="Arial"/>
                <w:sz w:val="10"/>
                <w:szCs w:val="10"/>
                <w:lang w:val="en-US"/>
              </w:rPr>
              <w:t xml:space="preserve"> (p = </w:t>
            </w:r>
            <w:r w:rsidR="00553439" w:rsidRPr="00C673F3">
              <w:rPr>
                <w:rFonts w:ascii="Arial" w:hAnsi="Arial" w:cs="Arial"/>
                <w:sz w:val="10"/>
                <w:szCs w:val="10"/>
                <w:lang w:val="en-US"/>
              </w:rPr>
              <w:t>0.6229</w:t>
            </w:r>
            <w:r w:rsidRPr="00C673F3">
              <w:rPr>
                <w:rFonts w:ascii="Arial" w:hAnsi="Arial" w:cs="Arial"/>
                <w:sz w:val="10"/>
                <w:szCs w:val="10"/>
                <w:lang w:val="en-US"/>
              </w:rPr>
              <w:t>)</w:t>
            </w:r>
          </w:p>
          <w:p w:rsidR="00BA647F" w:rsidRPr="00C673F3" w:rsidRDefault="00BA647F" w:rsidP="008055CD">
            <w:pPr>
              <w:jc w:val="center"/>
              <w:rPr>
                <w:rFonts w:ascii="Arial" w:hAnsi="Arial" w:cs="Arial"/>
                <w:sz w:val="10"/>
                <w:szCs w:val="10"/>
                <w:lang w:val="en-US"/>
              </w:rPr>
            </w:pPr>
            <w:r w:rsidRPr="00C673F3">
              <w:rPr>
                <w:rFonts w:ascii="Arial" w:hAnsi="Arial" w:cs="Arial"/>
                <w:sz w:val="10"/>
                <w:szCs w:val="10"/>
                <w:lang w:val="en-US"/>
              </w:rPr>
              <w:t xml:space="preserve">Log likelihood = </w:t>
            </w:r>
            <w:r w:rsidR="00553439" w:rsidRPr="00C673F3">
              <w:rPr>
                <w:rFonts w:ascii="Arial" w:hAnsi="Arial" w:cs="Arial"/>
                <w:sz w:val="10"/>
                <w:szCs w:val="10"/>
                <w:lang w:val="en-US"/>
              </w:rPr>
              <w:t>-703.3887</w:t>
            </w:r>
          </w:p>
        </w:tc>
      </w:tr>
    </w:tbl>
    <w:p w:rsidR="00BA647F" w:rsidRDefault="00BA647F" w:rsidP="00BA647F">
      <w:pPr>
        <w:ind w:left="284" w:right="282"/>
        <w:jc w:val="both"/>
        <w:rPr>
          <w:rFonts w:ascii="Arial" w:hAnsi="Arial" w:cs="Arial"/>
          <w:sz w:val="16"/>
          <w:szCs w:val="16"/>
          <w:lang w:val="en-US"/>
        </w:rPr>
      </w:pPr>
    </w:p>
    <w:p w:rsidR="00BA647F" w:rsidRPr="00A51255" w:rsidRDefault="00BA647F" w:rsidP="008C4FCD">
      <w:pPr>
        <w:ind w:left="1701" w:right="1812"/>
        <w:jc w:val="both"/>
        <w:rPr>
          <w:rFonts w:ascii="Arial" w:hAnsi="Arial" w:cs="Arial"/>
          <w:sz w:val="16"/>
          <w:szCs w:val="16"/>
          <w:lang w:val="en-US"/>
        </w:rPr>
      </w:pPr>
    </w:p>
    <w:p w:rsidR="00202C17" w:rsidRPr="00A51255" w:rsidRDefault="00202C17" w:rsidP="000701C4">
      <w:pPr>
        <w:tabs>
          <w:tab w:val="left" w:pos="9781"/>
        </w:tabs>
        <w:ind w:right="-1"/>
        <w:jc w:val="both"/>
        <w:rPr>
          <w:rFonts w:ascii="Arial" w:hAnsi="Arial" w:cs="Arial"/>
          <w:sz w:val="16"/>
          <w:szCs w:val="16"/>
          <w:lang w:val="en-US"/>
        </w:rPr>
      </w:pPr>
      <w:r w:rsidRPr="00A51255">
        <w:rPr>
          <w:rFonts w:ascii="Arial" w:hAnsi="Arial" w:cs="Arial"/>
          <w:sz w:val="16"/>
          <w:szCs w:val="16"/>
          <w:lang w:val="en-US"/>
        </w:rPr>
        <w:t>Notes: Values of the standard errors in the brackets. The value of the Q(10) test for autocorrelation, the LM(10) test for any remaining ARCH effects and the log likelihood are reported in the bottom rows of every panel. Number of equation in the first column indicates whether the estimated parameters relate to the variables in the mean equation or in the conditional variance equation of the GARCH model.</w:t>
      </w:r>
    </w:p>
    <w:p w:rsidR="00202C17" w:rsidRPr="00A51255" w:rsidRDefault="00202C17" w:rsidP="000701C4">
      <w:pPr>
        <w:tabs>
          <w:tab w:val="left" w:pos="9781"/>
        </w:tabs>
        <w:ind w:right="-1"/>
        <w:jc w:val="both"/>
        <w:rPr>
          <w:rFonts w:ascii="Arial" w:hAnsi="Arial" w:cs="Arial"/>
          <w:sz w:val="16"/>
          <w:szCs w:val="16"/>
          <w:lang w:val="en-US"/>
        </w:rPr>
      </w:pPr>
    </w:p>
    <w:p w:rsidR="00202C17" w:rsidRPr="00A51255" w:rsidRDefault="00202C17" w:rsidP="000701C4">
      <w:pPr>
        <w:tabs>
          <w:tab w:val="left" w:pos="9781"/>
        </w:tabs>
        <w:ind w:right="-1"/>
        <w:jc w:val="both"/>
        <w:rPr>
          <w:rFonts w:ascii="Arial" w:hAnsi="Arial" w:cs="Arial"/>
          <w:sz w:val="16"/>
          <w:szCs w:val="16"/>
          <w:lang w:val="en-US"/>
        </w:rPr>
      </w:pPr>
      <w:r w:rsidRPr="00A51255">
        <w:rPr>
          <w:rFonts w:ascii="Arial" w:hAnsi="Arial" w:cs="Arial"/>
          <w:sz w:val="16"/>
          <w:szCs w:val="16"/>
          <w:lang w:val="en-US"/>
        </w:rPr>
        <w:t>* - denotes significance at the 0.1 level; ** - denotes significance at the 0.05 level; *** - denotes significance at the 0.01 level</w:t>
      </w:r>
    </w:p>
    <w:p w:rsidR="00202C17" w:rsidRPr="00A51255" w:rsidRDefault="00202C17" w:rsidP="00202C17">
      <w:pPr>
        <w:spacing w:line="360" w:lineRule="auto"/>
        <w:jc w:val="both"/>
        <w:rPr>
          <w:rFonts w:ascii="Arial" w:hAnsi="Arial" w:cs="Arial"/>
          <w:lang w:val="en-US"/>
        </w:rPr>
      </w:pPr>
    </w:p>
    <w:p w:rsidR="00331C0F" w:rsidRDefault="00331C0F" w:rsidP="00FA2BEC">
      <w:pPr>
        <w:spacing w:line="360" w:lineRule="auto"/>
        <w:jc w:val="both"/>
        <w:rPr>
          <w:rFonts w:ascii="Arial" w:hAnsi="Arial" w:cs="Arial"/>
          <w:sz w:val="20"/>
          <w:szCs w:val="20"/>
          <w:lang w:val="en-US"/>
        </w:rPr>
      </w:pPr>
    </w:p>
    <w:p w:rsidR="0014213E" w:rsidRDefault="0014213E" w:rsidP="00FA2BEC">
      <w:pPr>
        <w:spacing w:line="360" w:lineRule="auto"/>
        <w:jc w:val="both"/>
        <w:rPr>
          <w:rFonts w:ascii="Arial" w:hAnsi="Arial" w:cs="Arial"/>
          <w:sz w:val="20"/>
          <w:szCs w:val="20"/>
          <w:lang w:val="en-US"/>
        </w:rPr>
      </w:pPr>
    </w:p>
    <w:p w:rsidR="0014213E" w:rsidRDefault="0014213E" w:rsidP="00FA2BEC">
      <w:pPr>
        <w:spacing w:line="360" w:lineRule="auto"/>
        <w:jc w:val="both"/>
        <w:rPr>
          <w:rFonts w:ascii="Arial" w:hAnsi="Arial" w:cs="Arial"/>
          <w:sz w:val="20"/>
          <w:szCs w:val="20"/>
          <w:lang w:val="en-US"/>
        </w:rPr>
      </w:pPr>
    </w:p>
    <w:p w:rsidR="0014213E" w:rsidRDefault="0014213E" w:rsidP="00FA2BEC">
      <w:pPr>
        <w:spacing w:line="360" w:lineRule="auto"/>
        <w:jc w:val="both"/>
        <w:rPr>
          <w:rFonts w:ascii="Arial" w:hAnsi="Arial" w:cs="Arial"/>
          <w:sz w:val="20"/>
          <w:szCs w:val="20"/>
          <w:lang w:val="en-US"/>
        </w:rPr>
      </w:pPr>
      <w:r>
        <w:rPr>
          <w:rFonts w:ascii="Arial" w:hAnsi="Arial" w:cs="Arial"/>
          <w:sz w:val="20"/>
          <w:szCs w:val="20"/>
          <w:lang w:val="en-US"/>
        </w:rPr>
        <w:br w:type="page"/>
      </w:r>
    </w:p>
    <w:p w:rsidR="00481658" w:rsidRDefault="00481658" w:rsidP="00FA2BEC">
      <w:pPr>
        <w:spacing w:line="360" w:lineRule="auto"/>
        <w:jc w:val="both"/>
        <w:rPr>
          <w:rFonts w:ascii="Arial" w:hAnsi="Arial" w:cs="Arial"/>
          <w:sz w:val="20"/>
          <w:szCs w:val="20"/>
          <w:lang w:val="en-US"/>
        </w:rPr>
      </w:pPr>
    </w:p>
    <w:p w:rsidR="00481658" w:rsidRDefault="00481658" w:rsidP="00FA2BEC">
      <w:pPr>
        <w:spacing w:line="360" w:lineRule="auto"/>
        <w:jc w:val="both"/>
        <w:rPr>
          <w:rFonts w:ascii="Arial" w:hAnsi="Arial" w:cs="Arial"/>
          <w:sz w:val="20"/>
          <w:szCs w:val="20"/>
          <w:lang w:val="en-US"/>
        </w:rPr>
      </w:pPr>
    </w:p>
    <w:p w:rsidR="0090662F" w:rsidRDefault="0090662F" w:rsidP="00FA2BEC">
      <w:pPr>
        <w:spacing w:line="360" w:lineRule="auto"/>
        <w:jc w:val="both"/>
        <w:rPr>
          <w:rFonts w:ascii="Arial" w:hAnsi="Arial" w:cs="Arial"/>
          <w:sz w:val="20"/>
          <w:szCs w:val="20"/>
          <w:lang w:val="en-US"/>
        </w:rPr>
      </w:pPr>
    </w:p>
    <w:p w:rsidR="009B2403" w:rsidRDefault="0063181F" w:rsidP="009C547B">
      <w:pPr>
        <w:tabs>
          <w:tab w:val="left" w:pos="9780"/>
        </w:tabs>
        <w:spacing w:line="240" w:lineRule="atLeast"/>
        <w:ind w:right="-1"/>
        <w:jc w:val="both"/>
        <w:rPr>
          <w:rFonts w:ascii="Arial" w:hAnsi="Arial" w:cs="Arial"/>
          <w:sz w:val="20"/>
          <w:szCs w:val="20"/>
          <w:lang w:val="en-US"/>
        </w:rPr>
      </w:pPr>
      <w:r w:rsidRPr="007E0364">
        <w:rPr>
          <w:rFonts w:ascii="Arial" w:hAnsi="Arial" w:cs="Arial"/>
          <w:sz w:val="20"/>
          <w:szCs w:val="20"/>
          <w:lang w:val="en-US"/>
        </w:rPr>
        <w:t xml:space="preserve">Table </w:t>
      </w:r>
      <w:r w:rsidR="0014213E" w:rsidRPr="007E0364">
        <w:rPr>
          <w:rFonts w:ascii="Arial" w:hAnsi="Arial" w:cs="Arial"/>
          <w:sz w:val="20"/>
          <w:szCs w:val="20"/>
          <w:lang w:val="en-US"/>
        </w:rPr>
        <w:t>4</w:t>
      </w:r>
      <w:r w:rsidR="00B90557" w:rsidRPr="007E0364">
        <w:rPr>
          <w:rFonts w:ascii="Arial" w:hAnsi="Arial" w:cs="Arial"/>
          <w:sz w:val="20"/>
          <w:szCs w:val="20"/>
          <w:lang w:val="en-US"/>
        </w:rPr>
        <w:t>a</w:t>
      </w:r>
      <w:r w:rsidR="0014213E" w:rsidRPr="007E0364">
        <w:rPr>
          <w:rFonts w:ascii="Arial" w:hAnsi="Arial" w:cs="Arial"/>
          <w:sz w:val="20"/>
          <w:szCs w:val="20"/>
          <w:lang w:val="en-US"/>
        </w:rPr>
        <w:t xml:space="preserve">. </w:t>
      </w:r>
      <w:r w:rsidR="009B2403" w:rsidRPr="007E0364">
        <w:rPr>
          <w:rFonts w:ascii="Arial" w:hAnsi="Arial" w:cs="Arial"/>
          <w:sz w:val="20"/>
          <w:szCs w:val="20"/>
          <w:lang w:val="en-US"/>
        </w:rPr>
        <w:t>Results for the volume of trade (percentage change)</w:t>
      </w:r>
      <w:r w:rsidR="007E0364" w:rsidRPr="007E0364">
        <w:rPr>
          <w:rFonts w:ascii="Arial" w:hAnsi="Arial" w:cs="Arial"/>
          <w:sz w:val="20"/>
          <w:szCs w:val="20"/>
          <w:lang w:val="en-US"/>
        </w:rPr>
        <w:t xml:space="preserve"> models on day </w:t>
      </w:r>
      <w:r w:rsidR="007E0364" w:rsidRPr="007E0364">
        <w:rPr>
          <w:i/>
          <w:sz w:val="20"/>
          <w:szCs w:val="20"/>
          <w:lang w:val="en-US"/>
        </w:rPr>
        <w:t>t</w:t>
      </w:r>
      <w:r w:rsidR="007E0364" w:rsidRPr="007E0364">
        <w:rPr>
          <w:rFonts w:ascii="Arial" w:hAnsi="Arial" w:cs="Arial"/>
          <w:sz w:val="20"/>
          <w:szCs w:val="20"/>
          <w:lang w:val="en-US"/>
        </w:rPr>
        <w:t>.</w:t>
      </w:r>
    </w:p>
    <w:p w:rsidR="009B2403" w:rsidRDefault="009B2403" w:rsidP="009C547B">
      <w:pPr>
        <w:tabs>
          <w:tab w:val="left" w:pos="9780"/>
        </w:tabs>
        <w:spacing w:line="240" w:lineRule="atLeast"/>
        <w:ind w:right="-1"/>
        <w:jc w:val="both"/>
        <w:rPr>
          <w:rFonts w:ascii="Arial" w:hAnsi="Arial" w:cs="Arial"/>
          <w:sz w:val="20"/>
          <w:szCs w:val="20"/>
          <w:lang w:val="en-US"/>
        </w:rPr>
      </w:pPr>
    </w:p>
    <w:p w:rsidR="0014213E" w:rsidRDefault="009B2403" w:rsidP="009C547B">
      <w:pPr>
        <w:tabs>
          <w:tab w:val="left" w:pos="9780"/>
        </w:tabs>
        <w:spacing w:line="240" w:lineRule="atLeast"/>
        <w:ind w:right="-1"/>
        <w:jc w:val="both"/>
        <w:rPr>
          <w:rFonts w:ascii="Arial" w:hAnsi="Arial" w:cs="Arial"/>
          <w:sz w:val="20"/>
          <w:szCs w:val="20"/>
          <w:lang w:val="en-US"/>
        </w:rPr>
      </w:pPr>
      <w:r>
        <w:rPr>
          <w:rFonts w:ascii="Arial" w:hAnsi="Arial" w:cs="Arial"/>
          <w:sz w:val="20"/>
          <w:szCs w:val="20"/>
          <w:lang w:val="en-US"/>
        </w:rPr>
        <w:t>This table reports e</w:t>
      </w:r>
      <w:r w:rsidR="0014213E" w:rsidRPr="00A51255">
        <w:rPr>
          <w:rFonts w:ascii="Arial" w:hAnsi="Arial" w:cs="Arial"/>
          <w:sz w:val="20"/>
          <w:szCs w:val="20"/>
          <w:lang w:val="en-US"/>
        </w:rPr>
        <w:t xml:space="preserve">stimates of dummy variables for the NBP announcements days with unexpected announcements of different strength </w:t>
      </w:r>
      <w:r w:rsidR="00B90557">
        <w:rPr>
          <w:rFonts w:ascii="Arial" w:hAnsi="Arial" w:cs="Arial"/>
          <w:sz w:val="20"/>
          <w:szCs w:val="20"/>
          <w:lang w:val="en-US"/>
        </w:rPr>
        <w:t xml:space="preserve">on day </w:t>
      </w:r>
      <w:r w:rsidR="00B90557" w:rsidRPr="00731796">
        <w:rPr>
          <w:i/>
          <w:sz w:val="18"/>
          <w:szCs w:val="18"/>
          <w:lang w:val="en-GB"/>
        </w:rPr>
        <w:t>t</w:t>
      </w:r>
      <w:r w:rsidR="00B90557">
        <w:rPr>
          <w:rFonts w:ascii="Arial" w:hAnsi="Arial" w:cs="Arial"/>
          <w:sz w:val="20"/>
          <w:szCs w:val="20"/>
          <w:lang w:val="en-US"/>
        </w:rPr>
        <w:t xml:space="preserve"> </w:t>
      </w:r>
      <w:r w:rsidR="0014213E" w:rsidRPr="00A51255">
        <w:rPr>
          <w:rFonts w:ascii="Arial" w:hAnsi="Arial" w:cs="Arial"/>
          <w:sz w:val="20"/>
          <w:szCs w:val="20"/>
          <w:lang w:val="en-US"/>
        </w:rPr>
        <w:t xml:space="preserve">in the </w:t>
      </w:r>
      <w:r w:rsidR="0014213E">
        <w:rPr>
          <w:rFonts w:ascii="Arial" w:hAnsi="Arial" w:cs="Arial"/>
          <w:sz w:val="20"/>
          <w:szCs w:val="20"/>
          <w:lang w:val="en-US"/>
        </w:rPr>
        <w:t>mean e</w:t>
      </w:r>
      <w:r w:rsidR="0014213E" w:rsidRPr="00A51255">
        <w:rPr>
          <w:rFonts w:ascii="Arial" w:hAnsi="Arial" w:cs="Arial"/>
          <w:sz w:val="20"/>
          <w:szCs w:val="20"/>
          <w:lang w:val="en-US"/>
        </w:rPr>
        <w:t xml:space="preserve">quation </w:t>
      </w:r>
      <w:r w:rsidR="00C65448">
        <w:rPr>
          <w:rFonts w:ascii="Arial" w:hAnsi="Arial" w:cs="Arial"/>
          <w:sz w:val="20"/>
          <w:szCs w:val="20"/>
          <w:lang w:val="en-US"/>
        </w:rPr>
        <w:t>(</w:t>
      </w:r>
      <w:r w:rsidR="0014213E">
        <w:rPr>
          <w:rFonts w:ascii="Arial" w:hAnsi="Arial" w:cs="Arial"/>
          <w:sz w:val="20"/>
          <w:szCs w:val="20"/>
          <w:lang w:val="en-US"/>
        </w:rPr>
        <w:t>3)</w:t>
      </w:r>
      <w:r w:rsidR="0014213E" w:rsidRPr="00A51255">
        <w:rPr>
          <w:rFonts w:ascii="Arial" w:hAnsi="Arial" w:cs="Arial"/>
          <w:sz w:val="20"/>
          <w:szCs w:val="20"/>
          <w:lang w:val="en-US"/>
        </w:rPr>
        <w:t>:</w:t>
      </w:r>
    </w:p>
    <w:p w:rsidR="0014213E" w:rsidRDefault="00EF5112" w:rsidP="009C547B">
      <w:pPr>
        <w:tabs>
          <w:tab w:val="left" w:pos="9780"/>
        </w:tabs>
        <w:spacing w:line="240" w:lineRule="atLeast"/>
        <w:ind w:right="-1"/>
        <w:jc w:val="center"/>
        <w:rPr>
          <w:rFonts w:ascii="Arial" w:hAnsi="Arial" w:cs="Arial"/>
          <w:lang w:val="en-US"/>
        </w:rPr>
      </w:pPr>
      <w:r w:rsidRPr="00A51255">
        <w:rPr>
          <w:rFonts w:ascii="Arial" w:hAnsi="Arial" w:cs="Arial"/>
          <w:position w:val="-28"/>
          <w:lang w:val="en-US"/>
        </w:rPr>
        <w:object w:dxaOrig="6619" w:dyaOrig="680">
          <v:shape id="_x0000_i1109" type="#_x0000_t75" style="width:298.3pt;height:29.55pt" o:ole="">
            <v:imagedata r:id="rId145" o:title=""/>
          </v:shape>
          <o:OLEObject Type="Embed" ProgID="Equation.3" ShapeID="_x0000_i1109" DrawAspect="Content" ObjectID="_1507543456" r:id="rId146"/>
        </w:object>
      </w:r>
    </w:p>
    <w:p w:rsidR="0014213E" w:rsidRPr="00A51255" w:rsidRDefault="0014213E" w:rsidP="009C547B">
      <w:pPr>
        <w:tabs>
          <w:tab w:val="left" w:pos="9780"/>
        </w:tabs>
        <w:spacing w:line="240" w:lineRule="atLeast"/>
        <w:ind w:right="-1"/>
        <w:jc w:val="both"/>
        <w:rPr>
          <w:rFonts w:ascii="Arial" w:hAnsi="Arial" w:cs="Arial"/>
          <w:sz w:val="20"/>
          <w:szCs w:val="20"/>
          <w:lang w:val="en-US"/>
        </w:rPr>
      </w:pPr>
      <w:r>
        <w:rPr>
          <w:rFonts w:ascii="Arial" w:hAnsi="Arial" w:cs="Arial"/>
          <w:sz w:val="20"/>
          <w:szCs w:val="20"/>
          <w:lang w:val="en-US"/>
        </w:rPr>
        <w:t xml:space="preserve">and in the </w:t>
      </w:r>
      <w:r w:rsidRPr="00A51255">
        <w:rPr>
          <w:rFonts w:ascii="Arial" w:hAnsi="Arial" w:cs="Arial"/>
          <w:sz w:val="20"/>
          <w:szCs w:val="20"/>
          <w:lang w:val="en-US"/>
        </w:rPr>
        <w:t>conditional variance equation</w:t>
      </w:r>
      <w:r>
        <w:rPr>
          <w:rFonts w:ascii="Arial" w:hAnsi="Arial" w:cs="Arial"/>
          <w:sz w:val="20"/>
          <w:szCs w:val="20"/>
          <w:lang w:val="en-US"/>
        </w:rPr>
        <w:t xml:space="preserve"> </w:t>
      </w:r>
      <w:r w:rsidR="00C65448">
        <w:rPr>
          <w:rFonts w:ascii="Arial" w:hAnsi="Arial" w:cs="Arial"/>
          <w:sz w:val="20"/>
          <w:szCs w:val="20"/>
          <w:lang w:val="en-US"/>
        </w:rPr>
        <w:t>(</w:t>
      </w:r>
      <w:r>
        <w:rPr>
          <w:rFonts w:ascii="Arial" w:hAnsi="Arial" w:cs="Arial"/>
          <w:sz w:val="20"/>
          <w:szCs w:val="20"/>
          <w:lang w:val="en-US"/>
        </w:rPr>
        <w:t>4)</w:t>
      </w:r>
      <w:r w:rsidRPr="00A51255">
        <w:rPr>
          <w:rFonts w:ascii="Arial" w:hAnsi="Arial" w:cs="Arial"/>
          <w:sz w:val="20"/>
          <w:szCs w:val="20"/>
          <w:lang w:val="en-US"/>
        </w:rPr>
        <w:t>:</w:t>
      </w:r>
    </w:p>
    <w:p w:rsidR="0014213E" w:rsidRPr="00A51255" w:rsidRDefault="000622A0" w:rsidP="009C547B">
      <w:pPr>
        <w:tabs>
          <w:tab w:val="left" w:pos="9780"/>
        </w:tabs>
        <w:spacing w:line="240" w:lineRule="atLeast"/>
        <w:ind w:right="-1"/>
        <w:jc w:val="center"/>
        <w:rPr>
          <w:lang w:val="en-US"/>
        </w:rPr>
      </w:pPr>
      <w:r w:rsidRPr="003C1508">
        <w:rPr>
          <w:position w:val="-30"/>
        </w:rPr>
        <w:object w:dxaOrig="5960" w:dyaOrig="700">
          <v:shape id="_x0000_i1110" type="#_x0000_t75" style="width:273.85pt;height:32.15pt" o:ole="">
            <v:imagedata r:id="rId147" o:title=""/>
          </v:shape>
          <o:OLEObject Type="Embed" ProgID="Equation.3" ShapeID="_x0000_i1110" DrawAspect="Content" ObjectID="_1507543457" r:id="rId148"/>
        </w:object>
      </w:r>
    </w:p>
    <w:p w:rsidR="0014213E" w:rsidRPr="00A51255" w:rsidRDefault="0014213E" w:rsidP="009C547B">
      <w:pPr>
        <w:tabs>
          <w:tab w:val="left" w:pos="9780"/>
        </w:tabs>
        <w:spacing w:line="240" w:lineRule="atLeast"/>
        <w:ind w:right="-1"/>
        <w:jc w:val="both"/>
        <w:rPr>
          <w:rFonts w:ascii="Arial" w:hAnsi="Arial" w:cs="Arial"/>
          <w:sz w:val="20"/>
          <w:szCs w:val="20"/>
          <w:lang w:val="en-US"/>
        </w:rPr>
      </w:pPr>
      <w:r w:rsidRPr="00A51255">
        <w:rPr>
          <w:rFonts w:ascii="Arial" w:hAnsi="Arial" w:cs="Arial"/>
          <w:sz w:val="20"/>
          <w:szCs w:val="20"/>
          <w:lang w:val="en-US"/>
        </w:rPr>
        <w:t xml:space="preserve">from the GARCH model </w:t>
      </w:r>
      <w:r w:rsidR="00C65448">
        <w:rPr>
          <w:rFonts w:ascii="Arial" w:hAnsi="Arial" w:cs="Arial"/>
          <w:sz w:val="20"/>
          <w:szCs w:val="20"/>
          <w:lang w:val="en-US"/>
        </w:rPr>
        <w:t>(</w:t>
      </w:r>
      <w:r>
        <w:rPr>
          <w:rFonts w:ascii="Arial" w:hAnsi="Arial" w:cs="Arial"/>
          <w:sz w:val="20"/>
          <w:szCs w:val="20"/>
          <w:lang w:val="en-US"/>
        </w:rPr>
        <w:t xml:space="preserve">3) - </w:t>
      </w:r>
      <w:r w:rsidR="00C65448">
        <w:rPr>
          <w:rFonts w:ascii="Arial" w:hAnsi="Arial" w:cs="Arial"/>
          <w:sz w:val="20"/>
          <w:szCs w:val="20"/>
          <w:lang w:val="en-US"/>
        </w:rPr>
        <w:t>(</w:t>
      </w:r>
      <w:r>
        <w:rPr>
          <w:rFonts w:ascii="Arial" w:hAnsi="Arial" w:cs="Arial"/>
          <w:sz w:val="20"/>
          <w:szCs w:val="20"/>
          <w:lang w:val="en-US"/>
        </w:rPr>
        <w:t>4)</w:t>
      </w:r>
      <w:r w:rsidRPr="00A51255">
        <w:rPr>
          <w:rFonts w:ascii="Arial" w:hAnsi="Arial" w:cs="Arial"/>
          <w:sz w:val="20"/>
          <w:szCs w:val="20"/>
          <w:lang w:val="en-US"/>
        </w:rPr>
        <w:t xml:space="preserve"> of the PLN/USD volume of trade percentage changes.</w:t>
      </w:r>
    </w:p>
    <w:p w:rsidR="0014213E" w:rsidRDefault="0014213E" w:rsidP="0014213E">
      <w:pPr>
        <w:tabs>
          <w:tab w:val="left" w:pos="13183"/>
        </w:tabs>
        <w:spacing w:line="0" w:lineRule="atLeast"/>
        <w:ind w:left="1134" w:right="1389"/>
        <w:jc w:val="both"/>
        <w:rPr>
          <w:rFonts w:ascii="Arial" w:hAnsi="Arial" w:cs="Arial"/>
          <w:sz w:val="20"/>
          <w:szCs w:val="20"/>
          <w:lang w:val="en-US"/>
        </w:rPr>
      </w:pPr>
    </w:p>
    <w:p w:rsidR="001B0D36" w:rsidRDefault="001B0D36" w:rsidP="0014213E">
      <w:pPr>
        <w:tabs>
          <w:tab w:val="left" w:pos="13183"/>
        </w:tabs>
        <w:spacing w:line="0" w:lineRule="atLeast"/>
        <w:ind w:left="1134" w:right="1389"/>
        <w:jc w:val="both"/>
        <w:rPr>
          <w:rFonts w:ascii="Arial" w:hAnsi="Arial" w:cs="Arial"/>
          <w:sz w:val="20"/>
          <w:szCs w:val="20"/>
          <w:lang w:val="en-US"/>
        </w:rPr>
      </w:pPr>
    </w:p>
    <w:p w:rsidR="0014213E" w:rsidRPr="00A51255" w:rsidRDefault="0014213E" w:rsidP="0014213E">
      <w:pPr>
        <w:spacing w:line="360" w:lineRule="auto"/>
        <w:ind w:left="284" w:right="253"/>
        <w:jc w:val="both"/>
        <w:rPr>
          <w:rFonts w:ascii="Arial" w:hAnsi="Arial" w:cs="Arial"/>
          <w:sz w:val="20"/>
          <w:szCs w:val="20"/>
          <w:lang w:val="en-US"/>
        </w:rPr>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829"/>
        <w:gridCol w:w="1845"/>
        <w:gridCol w:w="1746"/>
        <w:gridCol w:w="1996"/>
        <w:gridCol w:w="1808"/>
      </w:tblGrid>
      <w:tr w:rsidR="0014213E" w:rsidRPr="00A51255" w:rsidTr="00292431">
        <w:trPr>
          <w:jc w:val="center"/>
        </w:trPr>
        <w:tc>
          <w:tcPr>
            <w:tcW w:w="283" w:type="dxa"/>
            <w:vAlign w:val="center"/>
          </w:tcPr>
          <w:p w:rsidR="0014213E" w:rsidRPr="00124F83" w:rsidRDefault="0014213E" w:rsidP="00D63A00">
            <w:pPr>
              <w:spacing w:line="360" w:lineRule="auto"/>
              <w:jc w:val="center"/>
              <w:rPr>
                <w:rFonts w:ascii="Arial" w:hAnsi="Arial" w:cs="Arial"/>
                <w:sz w:val="16"/>
                <w:szCs w:val="16"/>
                <w:lang w:val="de-DE"/>
              </w:rPr>
            </w:pPr>
            <w:r w:rsidRPr="00A51255">
              <w:rPr>
                <w:rFonts w:ascii="Arial" w:hAnsi="Arial" w:cs="Arial"/>
                <w:sz w:val="16"/>
                <w:szCs w:val="16"/>
                <w:lang w:val="de-DE"/>
              </w:rPr>
              <w:t>Eq.</w:t>
            </w:r>
          </w:p>
        </w:tc>
        <w:tc>
          <w:tcPr>
            <w:tcW w:w="9398" w:type="dxa"/>
            <w:gridSpan w:val="5"/>
            <w:vAlign w:val="center"/>
          </w:tcPr>
          <w:p w:rsidR="00FF6566" w:rsidRDefault="00FF6566" w:rsidP="00D63A00">
            <w:pPr>
              <w:jc w:val="center"/>
              <w:rPr>
                <w:rFonts w:ascii="Arial" w:hAnsi="Arial" w:cs="Arial"/>
                <w:b/>
                <w:sz w:val="18"/>
                <w:szCs w:val="18"/>
                <w:lang w:val="de-DE"/>
              </w:rPr>
            </w:pPr>
          </w:p>
          <w:p w:rsidR="0014213E" w:rsidRDefault="0014213E" w:rsidP="00D63A00">
            <w:pPr>
              <w:jc w:val="center"/>
              <w:rPr>
                <w:b/>
                <w:i/>
                <w:sz w:val="18"/>
                <w:szCs w:val="18"/>
                <w:lang w:val="de-DE"/>
              </w:rPr>
            </w:pPr>
            <w:r w:rsidRPr="004F48F0">
              <w:rPr>
                <w:rFonts w:ascii="Arial" w:hAnsi="Arial" w:cs="Arial"/>
                <w:b/>
                <w:sz w:val="18"/>
                <w:szCs w:val="18"/>
                <w:lang w:val="de-DE"/>
              </w:rPr>
              <w:t xml:space="preserve">On day </w:t>
            </w:r>
            <w:r w:rsidRPr="004F48F0">
              <w:rPr>
                <w:b/>
                <w:i/>
                <w:sz w:val="18"/>
                <w:szCs w:val="18"/>
                <w:lang w:val="de-DE"/>
              </w:rPr>
              <w:t>t</w:t>
            </w:r>
          </w:p>
          <w:p w:rsidR="00FF6566" w:rsidRPr="004F48F0" w:rsidRDefault="00FF6566" w:rsidP="00D63A00">
            <w:pPr>
              <w:jc w:val="center"/>
              <w:rPr>
                <w:rFonts w:ascii="Arial" w:hAnsi="Arial" w:cs="Arial"/>
                <w:b/>
                <w:sz w:val="18"/>
                <w:szCs w:val="18"/>
                <w:lang w:val="de-DE"/>
              </w:rPr>
            </w:pPr>
          </w:p>
        </w:tc>
      </w:tr>
      <w:tr w:rsidR="0014213E" w:rsidRPr="00A51255" w:rsidTr="00292431">
        <w:trPr>
          <w:jc w:val="center"/>
        </w:trPr>
        <w:tc>
          <w:tcPr>
            <w:tcW w:w="9681" w:type="dxa"/>
            <w:gridSpan w:val="6"/>
            <w:vAlign w:val="center"/>
          </w:tcPr>
          <w:p w:rsidR="00FF6566" w:rsidRDefault="00FF6566" w:rsidP="00D63A00">
            <w:pPr>
              <w:jc w:val="center"/>
              <w:rPr>
                <w:rFonts w:ascii="Arial" w:hAnsi="Arial" w:cs="Arial"/>
                <w:b/>
                <w:sz w:val="18"/>
                <w:szCs w:val="18"/>
                <w:lang w:val="de-DE"/>
              </w:rPr>
            </w:pPr>
          </w:p>
          <w:p w:rsidR="0014213E" w:rsidRDefault="0014213E" w:rsidP="00D63A00">
            <w:pPr>
              <w:jc w:val="center"/>
              <w:rPr>
                <w:rFonts w:ascii="Arial" w:hAnsi="Arial" w:cs="Arial"/>
                <w:b/>
                <w:sz w:val="18"/>
                <w:szCs w:val="18"/>
                <w:lang w:val="de-DE"/>
              </w:rPr>
            </w:pPr>
            <w:r w:rsidRPr="009D3E6A">
              <w:rPr>
                <w:rFonts w:ascii="Arial" w:hAnsi="Arial" w:cs="Arial"/>
                <w:b/>
                <w:sz w:val="18"/>
                <w:szCs w:val="18"/>
                <w:lang w:val="de-DE"/>
              </w:rPr>
              <w:t>Mean equation:</w:t>
            </w:r>
          </w:p>
          <w:p w:rsidR="00FF6566" w:rsidRDefault="00FF6566" w:rsidP="00D63A00">
            <w:pPr>
              <w:jc w:val="center"/>
              <w:rPr>
                <w:rFonts w:ascii="Arial" w:hAnsi="Arial" w:cs="Arial"/>
                <w:sz w:val="20"/>
                <w:szCs w:val="20"/>
                <w:lang w:val="de-DE"/>
              </w:rPr>
            </w:pPr>
          </w:p>
        </w:tc>
      </w:tr>
      <w:tr w:rsidR="0014213E" w:rsidRPr="00A51255" w:rsidTr="00292431">
        <w:trPr>
          <w:jc w:val="center"/>
        </w:trPr>
        <w:tc>
          <w:tcPr>
            <w:tcW w:w="283" w:type="dxa"/>
            <w:vAlign w:val="center"/>
          </w:tcPr>
          <w:p w:rsidR="0014213E" w:rsidRPr="00A51255" w:rsidRDefault="00C65448" w:rsidP="00D63A00">
            <w:pPr>
              <w:spacing w:line="360" w:lineRule="auto"/>
              <w:jc w:val="center"/>
              <w:rPr>
                <w:rFonts w:ascii="Arial" w:hAnsi="Arial" w:cs="Arial"/>
                <w:sz w:val="16"/>
                <w:szCs w:val="16"/>
                <w:lang w:val="de-DE"/>
              </w:rPr>
            </w:pPr>
            <w:r>
              <w:rPr>
                <w:rFonts w:ascii="Arial" w:hAnsi="Arial" w:cs="Arial"/>
                <w:sz w:val="16"/>
                <w:szCs w:val="16"/>
                <w:lang w:val="de-DE"/>
              </w:rPr>
              <w:t>(</w:t>
            </w:r>
            <w:r w:rsidR="00EC6E8E">
              <w:rPr>
                <w:rFonts w:ascii="Arial" w:hAnsi="Arial" w:cs="Arial"/>
                <w:sz w:val="16"/>
                <w:szCs w:val="16"/>
                <w:lang w:val="de-DE"/>
              </w:rPr>
              <w:t>3</w:t>
            </w:r>
            <w:r w:rsidR="0014213E">
              <w:rPr>
                <w:rFonts w:ascii="Arial" w:hAnsi="Arial" w:cs="Arial"/>
                <w:sz w:val="16"/>
                <w:szCs w:val="16"/>
                <w:lang w:val="de-DE"/>
              </w:rPr>
              <w:t>)</w:t>
            </w:r>
          </w:p>
        </w:tc>
        <w:tc>
          <w:tcPr>
            <w:tcW w:w="1843" w:type="dxa"/>
            <w:vAlign w:val="center"/>
          </w:tcPr>
          <w:p w:rsidR="0014213E" w:rsidRPr="004F48F0" w:rsidRDefault="0014213E" w:rsidP="00D63A00">
            <w:pPr>
              <w:jc w:val="center"/>
              <w:rPr>
                <w:rFonts w:ascii="Arial" w:hAnsi="Arial" w:cs="Arial"/>
                <w:b/>
                <w:sz w:val="18"/>
                <w:szCs w:val="18"/>
                <w:lang w:val="de-DE"/>
              </w:rPr>
            </w:pPr>
            <w:r w:rsidRPr="00067CE5">
              <w:rPr>
                <w:position w:val="-12"/>
              </w:rPr>
              <w:object w:dxaOrig="300" w:dyaOrig="360">
                <v:shape id="_x0000_i1111" type="#_x0000_t75" style="width:14.15pt;height:18pt" o:ole="">
                  <v:imagedata r:id="rId94" o:title=""/>
                </v:shape>
                <o:OLEObject Type="Embed" ProgID="Equation.3" ShapeID="_x0000_i1111" DrawAspect="Content" ObjectID="_1507543458" r:id="rId149"/>
              </w:object>
            </w:r>
          </w:p>
        </w:tc>
        <w:tc>
          <w:tcPr>
            <w:tcW w:w="1885" w:type="dxa"/>
            <w:vAlign w:val="center"/>
          </w:tcPr>
          <w:p w:rsidR="00782238" w:rsidRPr="00782238" w:rsidRDefault="00495692" w:rsidP="00D63A00">
            <w:pPr>
              <w:jc w:val="center"/>
              <w:rPr>
                <w:rFonts w:ascii="Arial" w:hAnsi="Arial" w:cs="Arial"/>
                <w:sz w:val="20"/>
                <w:szCs w:val="20"/>
                <w:lang w:val="de-DE"/>
              </w:rPr>
            </w:pPr>
            <w:r w:rsidRPr="00495692">
              <w:rPr>
                <w:rFonts w:ascii="Arial" w:hAnsi="Arial" w:cs="Arial"/>
                <w:sz w:val="20"/>
                <w:szCs w:val="20"/>
                <w:lang w:val="de-DE"/>
              </w:rPr>
              <w:t>23.04539</w:t>
            </w:r>
            <w:r>
              <w:rPr>
                <w:rFonts w:ascii="Arial" w:hAnsi="Arial" w:cs="Arial"/>
                <w:sz w:val="20"/>
                <w:szCs w:val="20"/>
                <w:lang w:val="de-DE"/>
              </w:rPr>
              <w:t xml:space="preserve"> ***</w:t>
            </w:r>
          </w:p>
          <w:p w:rsidR="0014213E" w:rsidRPr="00782238" w:rsidRDefault="00782238" w:rsidP="00D63A00">
            <w:pPr>
              <w:jc w:val="center"/>
              <w:rPr>
                <w:rFonts w:ascii="Arial" w:hAnsi="Arial" w:cs="Arial"/>
                <w:sz w:val="20"/>
                <w:szCs w:val="20"/>
                <w:lang w:val="de-DE"/>
              </w:rPr>
            </w:pPr>
            <w:r w:rsidRPr="00782238">
              <w:rPr>
                <w:rFonts w:ascii="Arial" w:hAnsi="Arial" w:cs="Arial"/>
                <w:sz w:val="16"/>
                <w:szCs w:val="16"/>
                <w:lang w:val="de-DE"/>
              </w:rPr>
              <w:t xml:space="preserve"> </w:t>
            </w:r>
            <w:r w:rsidR="0014213E" w:rsidRPr="00782238">
              <w:rPr>
                <w:rFonts w:ascii="Arial" w:hAnsi="Arial" w:cs="Arial"/>
                <w:sz w:val="16"/>
                <w:szCs w:val="16"/>
                <w:lang w:val="de-DE"/>
              </w:rPr>
              <w:t>(</w:t>
            </w:r>
            <w:r w:rsidR="00495692" w:rsidRPr="00495692">
              <w:rPr>
                <w:rFonts w:ascii="Arial" w:hAnsi="Arial" w:cs="Arial"/>
                <w:sz w:val="16"/>
                <w:szCs w:val="16"/>
                <w:lang w:val="de-DE"/>
              </w:rPr>
              <w:t>5.730667</w:t>
            </w:r>
            <w:r w:rsidR="0014213E" w:rsidRPr="00782238">
              <w:rPr>
                <w:rFonts w:ascii="Arial" w:hAnsi="Arial" w:cs="Arial"/>
                <w:sz w:val="16"/>
                <w:szCs w:val="16"/>
                <w:lang w:val="de-DE"/>
              </w:rPr>
              <w:t>)</w:t>
            </w:r>
          </w:p>
        </w:tc>
        <w:tc>
          <w:tcPr>
            <w:tcW w:w="1781" w:type="dxa"/>
            <w:vAlign w:val="center"/>
          </w:tcPr>
          <w:p w:rsidR="00782238" w:rsidRPr="00782238" w:rsidRDefault="00E25450" w:rsidP="00782238">
            <w:pPr>
              <w:jc w:val="center"/>
              <w:rPr>
                <w:rFonts w:ascii="Arial" w:hAnsi="Arial" w:cs="Arial"/>
                <w:sz w:val="20"/>
                <w:szCs w:val="20"/>
                <w:lang w:val="de-DE"/>
              </w:rPr>
            </w:pPr>
            <w:r w:rsidRPr="00E25450">
              <w:rPr>
                <w:rFonts w:ascii="Arial" w:hAnsi="Arial" w:cs="Arial"/>
                <w:sz w:val="20"/>
                <w:szCs w:val="20"/>
                <w:lang w:val="de-DE"/>
              </w:rPr>
              <w:t>17.47225</w:t>
            </w:r>
            <w:r>
              <w:rPr>
                <w:rFonts w:ascii="Arial" w:hAnsi="Arial" w:cs="Arial"/>
                <w:sz w:val="20"/>
                <w:szCs w:val="20"/>
                <w:lang w:val="de-DE"/>
              </w:rPr>
              <w:t xml:space="preserve"> ***</w:t>
            </w:r>
          </w:p>
          <w:p w:rsidR="0014213E" w:rsidRPr="00A51255" w:rsidRDefault="00782238" w:rsidP="00782238">
            <w:pPr>
              <w:jc w:val="center"/>
              <w:rPr>
                <w:lang w:val="en-US"/>
              </w:rPr>
            </w:pPr>
            <w:r w:rsidRPr="00782238">
              <w:rPr>
                <w:rFonts w:ascii="Arial" w:hAnsi="Arial" w:cs="Arial"/>
                <w:sz w:val="16"/>
                <w:szCs w:val="16"/>
                <w:lang w:val="de-DE"/>
              </w:rPr>
              <w:t xml:space="preserve"> (</w:t>
            </w:r>
            <w:r w:rsidR="00E25450" w:rsidRPr="00E25450">
              <w:rPr>
                <w:rFonts w:ascii="Arial" w:hAnsi="Arial" w:cs="Arial"/>
                <w:sz w:val="16"/>
                <w:szCs w:val="16"/>
                <w:lang w:val="de-DE"/>
              </w:rPr>
              <w:t>6.197713</w:t>
            </w:r>
            <w:r w:rsidRPr="00782238">
              <w:rPr>
                <w:rFonts w:ascii="Arial" w:hAnsi="Arial" w:cs="Arial"/>
                <w:sz w:val="16"/>
                <w:szCs w:val="16"/>
                <w:lang w:val="de-DE"/>
              </w:rPr>
              <w:t>)</w:t>
            </w:r>
          </w:p>
        </w:tc>
        <w:tc>
          <w:tcPr>
            <w:tcW w:w="2043" w:type="dxa"/>
            <w:vAlign w:val="center"/>
          </w:tcPr>
          <w:p w:rsidR="00782238" w:rsidRPr="00782238" w:rsidRDefault="00304E8E" w:rsidP="00782238">
            <w:pPr>
              <w:jc w:val="center"/>
              <w:rPr>
                <w:rFonts w:ascii="Arial" w:hAnsi="Arial" w:cs="Arial"/>
                <w:sz w:val="20"/>
                <w:szCs w:val="20"/>
                <w:lang w:val="de-DE"/>
              </w:rPr>
            </w:pPr>
            <w:r w:rsidRPr="00304E8E">
              <w:rPr>
                <w:rFonts w:ascii="Arial" w:hAnsi="Arial" w:cs="Arial"/>
                <w:sz w:val="20"/>
                <w:szCs w:val="20"/>
                <w:lang w:val="de-DE"/>
              </w:rPr>
              <w:t>20.75458</w:t>
            </w:r>
            <w:r>
              <w:rPr>
                <w:rFonts w:ascii="Arial" w:hAnsi="Arial" w:cs="Arial"/>
                <w:sz w:val="20"/>
                <w:szCs w:val="20"/>
                <w:lang w:val="de-DE"/>
              </w:rPr>
              <w:t xml:space="preserve"> ***</w:t>
            </w:r>
          </w:p>
          <w:p w:rsidR="0014213E" w:rsidRPr="00A51255" w:rsidRDefault="00782238" w:rsidP="00782238">
            <w:pPr>
              <w:jc w:val="center"/>
              <w:rPr>
                <w:lang w:val="en-US"/>
              </w:rPr>
            </w:pPr>
            <w:r w:rsidRPr="00782238">
              <w:rPr>
                <w:rFonts w:ascii="Arial" w:hAnsi="Arial" w:cs="Arial"/>
                <w:sz w:val="16"/>
                <w:szCs w:val="16"/>
                <w:lang w:val="de-DE"/>
              </w:rPr>
              <w:t xml:space="preserve"> (</w:t>
            </w:r>
            <w:r w:rsidR="00A81508" w:rsidRPr="00A81508">
              <w:rPr>
                <w:rFonts w:ascii="Arial" w:hAnsi="Arial" w:cs="Arial"/>
                <w:sz w:val="16"/>
                <w:szCs w:val="16"/>
                <w:lang w:val="de-DE"/>
              </w:rPr>
              <w:t>5.494284</w:t>
            </w:r>
            <w:r w:rsidRPr="00782238">
              <w:rPr>
                <w:rFonts w:ascii="Arial" w:hAnsi="Arial" w:cs="Arial"/>
                <w:sz w:val="16"/>
                <w:szCs w:val="16"/>
                <w:lang w:val="de-DE"/>
              </w:rPr>
              <w:t>)</w:t>
            </w:r>
          </w:p>
        </w:tc>
        <w:tc>
          <w:tcPr>
            <w:tcW w:w="1846" w:type="dxa"/>
            <w:vAlign w:val="center"/>
          </w:tcPr>
          <w:p w:rsidR="00A04E5D" w:rsidRPr="00782238" w:rsidRDefault="00D866CE" w:rsidP="00A04E5D">
            <w:pPr>
              <w:jc w:val="center"/>
              <w:rPr>
                <w:rFonts w:ascii="Arial" w:hAnsi="Arial" w:cs="Arial"/>
                <w:sz w:val="20"/>
                <w:szCs w:val="20"/>
                <w:lang w:val="de-DE"/>
              </w:rPr>
            </w:pPr>
            <w:r w:rsidRPr="00D866CE">
              <w:rPr>
                <w:rFonts w:ascii="Arial" w:hAnsi="Arial" w:cs="Arial"/>
                <w:sz w:val="20"/>
                <w:szCs w:val="20"/>
                <w:lang w:val="de-DE"/>
              </w:rPr>
              <w:t>21.78080</w:t>
            </w:r>
            <w:r>
              <w:rPr>
                <w:rFonts w:ascii="Arial" w:hAnsi="Arial" w:cs="Arial"/>
                <w:sz w:val="20"/>
                <w:szCs w:val="20"/>
                <w:lang w:val="de-DE"/>
              </w:rPr>
              <w:t xml:space="preserve"> ***</w:t>
            </w:r>
          </w:p>
          <w:p w:rsidR="0014213E" w:rsidRPr="00A51255" w:rsidRDefault="00A04E5D" w:rsidP="00A04E5D">
            <w:pPr>
              <w:jc w:val="center"/>
              <w:rPr>
                <w:lang w:val="en-US"/>
              </w:rPr>
            </w:pPr>
            <w:r w:rsidRPr="00782238">
              <w:rPr>
                <w:rFonts w:ascii="Arial" w:hAnsi="Arial" w:cs="Arial"/>
                <w:sz w:val="16"/>
                <w:szCs w:val="16"/>
                <w:lang w:val="de-DE"/>
              </w:rPr>
              <w:t xml:space="preserve"> (</w:t>
            </w:r>
            <w:r w:rsidR="00D866CE" w:rsidRPr="00D866CE">
              <w:rPr>
                <w:rFonts w:ascii="Arial" w:hAnsi="Arial" w:cs="Arial"/>
                <w:sz w:val="16"/>
                <w:szCs w:val="16"/>
                <w:lang w:val="de-DE"/>
              </w:rPr>
              <w:t>4.840040</w:t>
            </w:r>
            <w:r w:rsidRPr="00782238">
              <w:rPr>
                <w:rFonts w:ascii="Arial" w:hAnsi="Arial" w:cs="Arial"/>
                <w:sz w:val="16"/>
                <w:szCs w:val="16"/>
                <w:lang w:val="de-DE"/>
              </w:rPr>
              <w:t>)</w:t>
            </w:r>
          </w:p>
        </w:tc>
      </w:tr>
      <w:tr w:rsidR="00782238" w:rsidRPr="00A51255" w:rsidTr="00292431">
        <w:trPr>
          <w:jc w:val="center"/>
        </w:trPr>
        <w:tc>
          <w:tcPr>
            <w:tcW w:w="283" w:type="dxa"/>
            <w:vAlign w:val="center"/>
          </w:tcPr>
          <w:p w:rsidR="00782238" w:rsidRPr="00A51255" w:rsidRDefault="00C65448" w:rsidP="00D63A00">
            <w:pPr>
              <w:spacing w:line="360" w:lineRule="auto"/>
              <w:jc w:val="center"/>
              <w:rPr>
                <w:rFonts w:ascii="Arial" w:hAnsi="Arial" w:cs="Arial"/>
                <w:lang w:val="en-US"/>
              </w:rPr>
            </w:pPr>
            <w:r>
              <w:rPr>
                <w:rFonts w:ascii="Arial" w:hAnsi="Arial" w:cs="Arial"/>
                <w:sz w:val="16"/>
                <w:szCs w:val="16"/>
                <w:lang w:val="de-DE"/>
              </w:rPr>
              <w:t>(</w:t>
            </w:r>
            <w:r w:rsidR="00782238">
              <w:rPr>
                <w:rFonts w:ascii="Arial" w:hAnsi="Arial" w:cs="Arial"/>
                <w:sz w:val="16"/>
                <w:szCs w:val="16"/>
                <w:lang w:val="de-DE"/>
              </w:rPr>
              <w:t>3)</w:t>
            </w:r>
          </w:p>
        </w:tc>
        <w:tc>
          <w:tcPr>
            <w:tcW w:w="1843" w:type="dxa"/>
            <w:vAlign w:val="center"/>
          </w:tcPr>
          <w:p w:rsidR="00782238" w:rsidRPr="004F48F0" w:rsidRDefault="00782238" w:rsidP="00D63A00">
            <w:pPr>
              <w:jc w:val="center"/>
              <w:rPr>
                <w:rFonts w:ascii="Arial" w:hAnsi="Arial" w:cs="Arial"/>
                <w:b/>
                <w:sz w:val="18"/>
                <w:szCs w:val="18"/>
                <w:lang w:val="de-DE"/>
              </w:rPr>
            </w:pPr>
            <w:r w:rsidRPr="00067CE5">
              <w:rPr>
                <w:position w:val="-10"/>
              </w:rPr>
              <w:object w:dxaOrig="279" w:dyaOrig="340">
                <v:shape id="_x0000_i1112" type="#_x0000_t75" style="width:12.85pt;height:16.7pt" o:ole="">
                  <v:imagedata r:id="rId96" o:title=""/>
                </v:shape>
                <o:OLEObject Type="Embed" ProgID="Equation.3" ShapeID="_x0000_i1112" DrawAspect="Content" ObjectID="_1507543459" r:id="rId150"/>
              </w:object>
            </w:r>
          </w:p>
        </w:tc>
        <w:tc>
          <w:tcPr>
            <w:tcW w:w="1885" w:type="dxa"/>
            <w:vAlign w:val="center"/>
          </w:tcPr>
          <w:p w:rsidR="00782238" w:rsidRPr="00782238" w:rsidRDefault="003E501D" w:rsidP="00076908">
            <w:pPr>
              <w:jc w:val="center"/>
              <w:rPr>
                <w:rFonts w:ascii="Arial" w:hAnsi="Arial" w:cs="Arial"/>
                <w:sz w:val="20"/>
                <w:szCs w:val="20"/>
                <w:lang w:val="de-DE"/>
              </w:rPr>
            </w:pPr>
            <w:r w:rsidRPr="003E501D">
              <w:rPr>
                <w:rFonts w:ascii="Arial" w:hAnsi="Arial" w:cs="Arial"/>
                <w:sz w:val="20"/>
                <w:szCs w:val="20"/>
                <w:lang w:val="de-DE"/>
              </w:rPr>
              <w:t>3.889681</w:t>
            </w:r>
            <w:r>
              <w:rPr>
                <w:rFonts w:ascii="Arial" w:hAnsi="Arial" w:cs="Arial"/>
                <w:sz w:val="20"/>
                <w:szCs w:val="20"/>
                <w:lang w:val="de-DE"/>
              </w:rPr>
              <w:t xml:space="preserve"> *</w:t>
            </w:r>
          </w:p>
          <w:p w:rsidR="00782238" w:rsidRPr="00782238" w:rsidRDefault="00782238" w:rsidP="00076908">
            <w:pPr>
              <w:jc w:val="center"/>
              <w:rPr>
                <w:rFonts w:ascii="Arial" w:hAnsi="Arial" w:cs="Arial"/>
                <w:sz w:val="20"/>
                <w:szCs w:val="20"/>
                <w:lang w:val="de-DE"/>
              </w:rPr>
            </w:pPr>
            <w:r w:rsidRPr="00782238">
              <w:rPr>
                <w:rFonts w:ascii="Arial" w:hAnsi="Arial" w:cs="Arial"/>
                <w:sz w:val="16"/>
                <w:szCs w:val="16"/>
                <w:lang w:val="de-DE"/>
              </w:rPr>
              <w:t xml:space="preserve"> (</w:t>
            </w:r>
            <w:r w:rsidR="003E501D" w:rsidRPr="003E501D">
              <w:rPr>
                <w:rFonts w:ascii="Arial" w:hAnsi="Arial" w:cs="Arial"/>
                <w:sz w:val="16"/>
                <w:szCs w:val="16"/>
                <w:lang w:val="de-DE"/>
              </w:rPr>
              <w:t>2.346580</w:t>
            </w:r>
            <w:r w:rsidRPr="00782238">
              <w:rPr>
                <w:rFonts w:ascii="Arial" w:hAnsi="Arial" w:cs="Arial"/>
                <w:sz w:val="16"/>
                <w:szCs w:val="16"/>
                <w:lang w:val="de-DE"/>
              </w:rPr>
              <w:t>)</w:t>
            </w:r>
          </w:p>
        </w:tc>
        <w:tc>
          <w:tcPr>
            <w:tcW w:w="1781" w:type="dxa"/>
            <w:vAlign w:val="center"/>
          </w:tcPr>
          <w:p w:rsidR="00782238" w:rsidRPr="00782238" w:rsidRDefault="00E25450" w:rsidP="00076908">
            <w:pPr>
              <w:jc w:val="center"/>
              <w:rPr>
                <w:rFonts w:ascii="Arial" w:hAnsi="Arial" w:cs="Arial"/>
                <w:sz w:val="20"/>
                <w:szCs w:val="20"/>
                <w:lang w:val="de-DE"/>
              </w:rPr>
            </w:pPr>
            <w:r w:rsidRPr="00E25450">
              <w:rPr>
                <w:rFonts w:ascii="Arial" w:hAnsi="Arial" w:cs="Arial"/>
                <w:sz w:val="20"/>
                <w:szCs w:val="20"/>
                <w:lang w:val="de-DE"/>
              </w:rPr>
              <w:t>4.921102</w:t>
            </w:r>
            <w:r>
              <w:rPr>
                <w:rFonts w:ascii="Arial" w:hAnsi="Arial" w:cs="Arial"/>
                <w:sz w:val="20"/>
                <w:szCs w:val="20"/>
                <w:lang w:val="de-DE"/>
              </w:rPr>
              <w:t xml:space="preserve"> **</w:t>
            </w:r>
          </w:p>
          <w:p w:rsidR="00782238" w:rsidRPr="00A51255" w:rsidRDefault="00782238" w:rsidP="00076908">
            <w:pPr>
              <w:jc w:val="center"/>
              <w:rPr>
                <w:lang w:val="en-US"/>
              </w:rPr>
            </w:pPr>
            <w:r w:rsidRPr="00782238">
              <w:rPr>
                <w:rFonts w:ascii="Arial" w:hAnsi="Arial" w:cs="Arial"/>
                <w:sz w:val="16"/>
                <w:szCs w:val="16"/>
                <w:lang w:val="de-DE"/>
              </w:rPr>
              <w:t xml:space="preserve"> (</w:t>
            </w:r>
            <w:r w:rsidR="00E25450" w:rsidRPr="00E25450">
              <w:rPr>
                <w:rFonts w:ascii="Arial" w:hAnsi="Arial" w:cs="Arial"/>
                <w:sz w:val="16"/>
                <w:szCs w:val="16"/>
                <w:lang w:val="de-DE"/>
              </w:rPr>
              <w:t>2.413227</w:t>
            </w:r>
            <w:r w:rsidRPr="00782238">
              <w:rPr>
                <w:rFonts w:ascii="Arial" w:hAnsi="Arial" w:cs="Arial"/>
                <w:sz w:val="16"/>
                <w:szCs w:val="16"/>
                <w:lang w:val="de-DE"/>
              </w:rPr>
              <w:t>)</w:t>
            </w:r>
          </w:p>
        </w:tc>
        <w:tc>
          <w:tcPr>
            <w:tcW w:w="2043" w:type="dxa"/>
            <w:vAlign w:val="center"/>
          </w:tcPr>
          <w:p w:rsidR="00A04E5D" w:rsidRPr="00782238" w:rsidRDefault="002B3910" w:rsidP="00A04E5D">
            <w:pPr>
              <w:jc w:val="center"/>
              <w:rPr>
                <w:rFonts w:ascii="Arial" w:hAnsi="Arial" w:cs="Arial"/>
                <w:sz w:val="20"/>
                <w:szCs w:val="20"/>
                <w:lang w:val="de-DE"/>
              </w:rPr>
            </w:pPr>
            <w:r w:rsidRPr="002B3910">
              <w:rPr>
                <w:rFonts w:ascii="Arial" w:hAnsi="Arial" w:cs="Arial"/>
                <w:sz w:val="20"/>
                <w:szCs w:val="20"/>
                <w:lang w:val="de-DE"/>
              </w:rPr>
              <w:t>3.326238</w:t>
            </w:r>
          </w:p>
          <w:p w:rsidR="00782238" w:rsidRPr="00A51255" w:rsidRDefault="00A04E5D" w:rsidP="00A04E5D">
            <w:pPr>
              <w:jc w:val="center"/>
              <w:rPr>
                <w:lang w:val="en-US"/>
              </w:rPr>
            </w:pPr>
            <w:r w:rsidRPr="00782238">
              <w:rPr>
                <w:rFonts w:ascii="Arial" w:hAnsi="Arial" w:cs="Arial"/>
                <w:sz w:val="16"/>
                <w:szCs w:val="16"/>
                <w:lang w:val="de-DE"/>
              </w:rPr>
              <w:t xml:space="preserve"> (</w:t>
            </w:r>
            <w:r w:rsidR="002B3910" w:rsidRPr="002B3910">
              <w:rPr>
                <w:rFonts w:ascii="Arial" w:hAnsi="Arial" w:cs="Arial"/>
                <w:sz w:val="16"/>
                <w:szCs w:val="16"/>
                <w:lang w:val="de-DE"/>
              </w:rPr>
              <w:t>2.207625</w:t>
            </w:r>
            <w:r w:rsidRPr="00782238">
              <w:rPr>
                <w:rFonts w:ascii="Arial" w:hAnsi="Arial" w:cs="Arial"/>
                <w:sz w:val="16"/>
                <w:szCs w:val="16"/>
                <w:lang w:val="de-DE"/>
              </w:rPr>
              <w:t>)</w:t>
            </w:r>
          </w:p>
        </w:tc>
        <w:tc>
          <w:tcPr>
            <w:tcW w:w="1846" w:type="dxa"/>
            <w:vAlign w:val="center"/>
          </w:tcPr>
          <w:p w:rsidR="00A04E5D" w:rsidRPr="00782238" w:rsidRDefault="00D866CE" w:rsidP="00A04E5D">
            <w:pPr>
              <w:jc w:val="center"/>
              <w:rPr>
                <w:rFonts w:ascii="Arial" w:hAnsi="Arial" w:cs="Arial"/>
                <w:sz w:val="20"/>
                <w:szCs w:val="20"/>
                <w:lang w:val="de-DE"/>
              </w:rPr>
            </w:pPr>
            <w:r w:rsidRPr="00D866CE">
              <w:rPr>
                <w:rFonts w:ascii="Arial" w:hAnsi="Arial" w:cs="Arial"/>
                <w:sz w:val="20"/>
                <w:szCs w:val="20"/>
                <w:lang w:val="de-DE"/>
              </w:rPr>
              <w:t>4.496834</w:t>
            </w:r>
            <w:r>
              <w:rPr>
                <w:rFonts w:ascii="Arial" w:hAnsi="Arial" w:cs="Arial"/>
                <w:sz w:val="20"/>
                <w:szCs w:val="20"/>
                <w:lang w:val="de-DE"/>
              </w:rPr>
              <w:t xml:space="preserve"> ***</w:t>
            </w:r>
          </w:p>
          <w:p w:rsidR="00782238" w:rsidRPr="00A51255" w:rsidRDefault="00A04E5D" w:rsidP="00A04E5D">
            <w:pPr>
              <w:jc w:val="center"/>
              <w:rPr>
                <w:lang w:val="en-US"/>
              </w:rPr>
            </w:pPr>
            <w:r w:rsidRPr="00782238">
              <w:rPr>
                <w:rFonts w:ascii="Arial" w:hAnsi="Arial" w:cs="Arial"/>
                <w:sz w:val="16"/>
                <w:szCs w:val="16"/>
                <w:lang w:val="de-DE"/>
              </w:rPr>
              <w:t xml:space="preserve"> (</w:t>
            </w:r>
            <w:r w:rsidR="00E16F7D" w:rsidRPr="00E16F7D">
              <w:rPr>
                <w:rFonts w:ascii="Arial" w:hAnsi="Arial" w:cs="Arial"/>
                <w:sz w:val="16"/>
                <w:szCs w:val="16"/>
                <w:lang w:val="de-DE"/>
              </w:rPr>
              <w:t>1.713976</w:t>
            </w:r>
            <w:r w:rsidRPr="00782238">
              <w:rPr>
                <w:rFonts w:ascii="Arial" w:hAnsi="Arial" w:cs="Arial"/>
                <w:sz w:val="16"/>
                <w:szCs w:val="16"/>
                <w:lang w:val="de-DE"/>
              </w:rPr>
              <w:t>)</w:t>
            </w:r>
          </w:p>
        </w:tc>
      </w:tr>
      <w:tr w:rsidR="00782238" w:rsidRPr="00A51255" w:rsidTr="00292431">
        <w:trPr>
          <w:jc w:val="center"/>
        </w:trPr>
        <w:tc>
          <w:tcPr>
            <w:tcW w:w="283" w:type="dxa"/>
            <w:vAlign w:val="center"/>
          </w:tcPr>
          <w:p w:rsidR="00782238" w:rsidRPr="00A51255" w:rsidRDefault="00C65448" w:rsidP="00D63A00">
            <w:pPr>
              <w:spacing w:line="360" w:lineRule="auto"/>
              <w:jc w:val="center"/>
              <w:rPr>
                <w:rFonts w:ascii="Arial" w:hAnsi="Arial" w:cs="Arial"/>
                <w:lang w:val="en-US"/>
              </w:rPr>
            </w:pPr>
            <w:r>
              <w:rPr>
                <w:rFonts w:ascii="Arial" w:hAnsi="Arial" w:cs="Arial"/>
                <w:sz w:val="16"/>
                <w:szCs w:val="16"/>
                <w:lang w:val="de-DE"/>
              </w:rPr>
              <w:t>(</w:t>
            </w:r>
            <w:r w:rsidR="00782238">
              <w:rPr>
                <w:rFonts w:ascii="Arial" w:hAnsi="Arial" w:cs="Arial"/>
                <w:sz w:val="16"/>
                <w:szCs w:val="16"/>
                <w:lang w:val="de-DE"/>
              </w:rPr>
              <w:t>3)</w:t>
            </w:r>
          </w:p>
        </w:tc>
        <w:tc>
          <w:tcPr>
            <w:tcW w:w="1843" w:type="dxa"/>
            <w:vAlign w:val="center"/>
          </w:tcPr>
          <w:p w:rsidR="00782238" w:rsidRPr="004F48F0" w:rsidRDefault="00782238" w:rsidP="00D63A00">
            <w:pPr>
              <w:jc w:val="center"/>
              <w:rPr>
                <w:rFonts w:ascii="Arial" w:hAnsi="Arial" w:cs="Arial"/>
                <w:b/>
                <w:sz w:val="18"/>
                <w:szCs w:val="18"/>
                <w:lang w:val="de-DE"/>
              </w:rPr>
            </w:pPr>
            <w:r w:rsidRPr="00067CE5">
              <w:rPr>
                <w:position w:val="-10"/>
              </w:rPr>
              <w:object w:dxaOrig="300" w:dyaOrig="340">
                <v:shape id="_x0000_i1113" type="#_x0000_t75" style="width:14.15pt;height:16.7pt" o:ole="">
                  <v:imagedata r:id="rId98" o:title=""/>
                </v:shape>
                <o:OLEObject Type="Embed" ProgID="Equation.3" ShapeID="_x0000_i1113" DrawAspect="Content" ObjectID="_1507543460" r:id="rId151"/>
              </w:object>
            </w:r>
          </w:p>
        </w:tc>
        <w:tc>
          <w:tcPr>
            <w:tcW w:w="1885" w:type="dxa"/>
            <w:vAlign w:val="center"/>
          </w:tcPr>
          <w:p w:rsidR="00782238" w:rsidRPr="00782238" w:rsidRDefault="001C0340" w:rsidP="00076908">
            <w:pPr>
              <w:jc w:val="center"/>
              <w:rPr>
                <w:rFonts w:ascii="Arial" w:hAnsi="Arial" w:cs="Arial"/>
                <w:sz w:val="20"/>
                <w:szCs w:val="20"/>
                <w:lang w:val="de-DE"/>
              </w:rPr>
            </w:pPr>
            <w:r w:rsidRPr="001C0340">
              <w:rPr>
                <w:rFonts w:ascii="Arial" w:hAnsi="Arial" w:cs="Arial"/>
                <w:sz w:val="20"/>
                <w:szCs w:val="20"/>
                <w:lang w:val="de-DE"/>
              </w:rPr>
              <w:t>-19.70514</w:t>
            </w:r>
            <w:r>
              <w:rPr>
                <w:rFonts w:ascii="Arial" w:hAnsi="Arial" w:cs="Arial"/>
                <w:sz w:val="20"/>
                <w:szCs w:val="20"/>
                <w:lang w:val="de-DE"/>
              </w:rPr>
              <w:t xml:space="preserve"> **</w:t>
            </w:r>
          </w:p>
          <w:p w:rsidR="00782238" w:rsidRPr="00782238" w:rsidRDefault="00782238" w:rsidP="00076908">
            <w:pPr>
              <w:jc w:val="center"/>
              <w:rPr>
                <w:rFonts w:ascii="Arial" w:hAnsi="Arial" w:cs="Arial"/>
                <w:sz w:val="20"/>
                <w:szCs w:val="20"/>
                <w:lang w:val="de-DE"/>
              </w:rPr>
            </w:pPr>
            <w:r w:rsidRPr="00782238">
              <w:rPr>
                <w:rFonts w:ascii="Arial" w:hAnsi="Arial" w:cs="Arial"/>
                <w:sz w:val="16"/>
                <w:szCs w:val="16"/>
                <w:lang w:val="de-DE"/>
              </w:rPr>
              <w:t xml:space="preserve"> (</w:t>
            </w:r>
            <w:r w:rsidR="001C0340" w:rsidRPr="001C0340">
              <w:rPr>
                <w:rFonts w:ascii="Arial" w:hAnsi="Arial" w:cs="Arial"/>
                <w:sz w:val="16"/>
                <w:szCs w:val="16"/>
                <w:lang w:val="de-DE"/>
              </w:rPr>
              <w:t>8.974566</w:t>
            </w:r>
            <w:r w:rsidRPr="00782238">
              <w:rPr>
                <w:rFonts w:ascii="Arial" w:hAnsi="Arial" w:cs="Arial"/>
                <w:sz w:val="16"/>
                <w:szCs w:val="16"/>
                <w:lang w:val="de-DE"/>
              </w:rPr>
              <w:t>)</w:t>
            </w:r>
          </w:p>
        </w:tc>
        <w:tc>
          <w:tcPr>
            <w:tcW w:w="1781" w:type="dxa"/>
            <w:vAlign w:val="center"/>
          </w:tcPr>
          <w:p w:rsidR="00782238" w:rsidRPr="00782238" w:rsidRDefault="00E25450" w:rsidP="00076908">
            <w:pPr>
              <w:jc w:val="center"/>
              <w:rPr>
                <w:rFonts w:ascii="Arial" w:hAnsi="Arial" w:cs="Arial"/>
                <w:sz w:val="20"/>
                <w:szCs w:val="20"/>
                <w:lang w:val="de-DE"/>
              </w:rPr>
            </w:pPr>
            <w:r w:rsidRPr="00E25450">
              <w:rPr>
                <w:rFonts w:ascii="Arial" w:hAnsi="Arial" w:cs="Arial"/>
                <w:sz w:val="20"/>
                <w:szCs w:val="20"/>
                <w:lang w:val="de-DE"/>
              </w:rPr>
              <w:t>-11.14013</w:t>
            </w:r>
          </w:p>
          <w:p w:rsidR="00782238" w:rsidRPr="00A51255" w:rsidRDefault="00782238" w:rsidP="00076908">
            <w:pPr>
              <w:jc w:val="center"/>
              <w:rPr>
                <w:lang w:val="en-US"/>
              </w:rPr>
            </w:pPr>
            <w:r w:rsidRPr="00782238">
              <w:rPr>
                <w:rFonts w:ascii="Arial" w:hAnsi="Arial" w:cs="Arial"/>
                <w:sz w:val="16"/>
                <w:szCs w:val="16"/>
                <w:lang w:val="de-DE"/>
              </w:rPr>
              <w:t xml:space="preserve"> (</w:t>
            </w:r>
            <w:r w:rsidR="00E25450" w:rsidRPr="00E25450">
              <w:rPr>
                <w:rFonts w:ascii="Arial" w:hAnsi="Arial" w:cs="Arial"/>
                <w:sz w:val="16"/>
                <w:szCs w:val="16"/>
                <w:lang w:val="de-DE"/>
              </w:rPr>
              <w:t>9.451737</w:t>
            </w:r>
            <w:r w:rsidRPr="00782238">
              <w:rPr>
                <w:rFonts w:ascii="Arial" w:hAnsi="Arial" w:cs="Arial"/>
                <w:sz w:val="16"/>
                <w:szCs w:val="16"/>
                <w:lang w:val="de-DE"/>
              </w:rPr>
              <w:t>)</w:t>
            </w:r>
          </w:p>
        </w:tc>
        <w:tc>
          <w:tcPr>
            <w:tcW w:w="2043" w:type="dxa"/>
            <w:vAlign w:val="center"/>
          </w:tcPr>
          <w:p w:rsidR="00A04E5D" w:rsidRPr="00782238" w:rsidRDefault="002B3910" w:rsidP="00A04E5D">
            <w:pPr>
              <w:jc w:val="center"/>
              <w:rPr>
                <w:rFonts w:ascii="Arial" w:hAnsi="Arial" w:cs="Arial"/>
                <w:sz w:val="20"/>
                <w:szCs w:val="20"/>
                <w:lang w:val="de-DE"/>
              </w:rPr>
            </w:pPr>
            <w:r w:rsidRPr="002B3910">
              <w:rPr>
                <w:rFonts w:ascii="Arial" w:hAnsi="Arial" w:cs="Arial"/>
                <w:sz w:val="20"/>
                <w:szCs w:val="20"/>
                <w:lang w:val="de-DE"/>
              </w:rPr>
              <w:t>-17.10362</w:t>
            </w:r>
            <w:r>
              <w:rPr>
                <w:rFonts w:ascii="Arial" w:hAnsi="Arial" w:cs="Arial"/>
                <w:sz w:val="20"/>
                <w:szCs w:val="20"/>
                <w:lang w:val="de-DE"/>
              </w:rPr>
              <w:t xml:space="preserve"> **</w:t>
            </w:r>
          </w:p>
          <w:p w:rsidR="00782238" w:rsidRPr="00A51255" w:rsidRDefault="00A04E5D" w:rsidP="00A04E5D">
            <w:pPr>
              <w:jc w:val="center"/>
              <w:rPr>
                <w:lang w:val="en-US"/>
              </w:rPr>
            </w:pPr>
            <w:r w:rsidRPr="00782238">
              <w:rPr>
                <w:rFonts w:ascii="Arial" w:hAnsi="Arial" w:cs="Arial"/>
                <w:sz w:val="16"/>
                <w:szCs w:val="16"/>
                <w:lang w:val="de-DE"/>
              </w:rPr>
              <w:t xml:space="preserve"> (</w:t>
            </w:r>
            <w:r w:rsidR="002B3910" w:rsidRPr="002B3910">
              <w:rPr>
                <w:rFonts w:ascii="Arial" w:hAnsi="Arial" w:cs="Arial"/>
                <w:sz w:val="16"/>
                <w:szCs w:val="16"/>
                <w:lang w:val="de-DE"/>
              </w:rPr>
              <w:t>8.553098</w:t>
            </w:r>
            <w:r w:rsidRPr="00782238">
              <w:rPr>
                <w:rFonts w:ascii="Arial" w:hAnsi="Arial" w:cs="Arial"/>
                <w:sz w:val="16"/>
                <w:szCs w:val="16"/>
                <w:lang w:val="de-DE"/>
              </w:rPr>
              <w:t>)</w:t>
            </w:r>
          </w:p>
        </w:tc>
        <w:tc>
          <w:tcPr>
            <w:tcW w:w="1846" w:type="dxa"/>
            <w:vAlign w:val="center"/>
          </w:tcPr>
          <w:p w:rsidR="00A04E5D" w:rsidRPr="00782238" w:rsidRDefault="00E16F7D" w:rsidP="00A04E5D">
            <w:pPr>
              <w:jc w:val="center"/>
              <w:rPr>
                <w:rFonts w:ascii="Arial" w:hAnsi="Arial" w:cs="Arial"/>
                <w:sz w:val="20"/>
                <w:szCs w:val="20"/>
                <w:lang w:val="de-DE"/>
              </w:rPr>
            </w:pPr>
            <w:r w:rsidRPr="00E16F7D">
              <w:rPr>
                <w:rFonts w:ascii="Arial" w:hAnsi="Arial" w:cs="Arial"/>
                <w:sz w:val="20"/>
                <w:szCs w:val="20"/>
                <w:lang w:val="de-DE"/>
              </w:rPr>
              <w:t>-18.66156</w:t>
            </w:r>
            <w:r>
              <w:rPr>
                <w:rFonts w:ascii="Arial" w:hAnsi="Arial" w:cs="Arial"/>
                <w:sz w:val="20"/>
                <w:szCs w:val="20"/>
                <w:lang w:val="de-DE"/>
              </w:rPr>
              <w:t xml:space="preserve"> **</w:t>
            </w:r>
          </w:p>
          <w:p w:rsidR="00782238" w:rsidRPr="00A51255" w:rsidRDefault="00A04E5D" w:rsidP="00A04E5D">
            <w:pPr>
              <w:jc w:val="center"/>
              <w:rPr>
                <w:lang w:val="en-US"/>
              </w:rPr>
            </w:pPr>
            <w:r w:rsidRPr="00782238">
              <w:rPr>
                <w:rFonts w:ascii="Arial" w:hAnsi="Arial" w:cs="Arial"/>
                <w:sz w:val="16"/>
                <w:szCs w:val="16"/>
                <w:lang w:val="de-DE"/>
              </w:rPr>
              <w:t xml:space="preserve"> (</w:t>
            </w:r>
            <w:r w:rsidR="00E16F7D" w:rsidRPr="00E16F7D">
              <w:rPr>
                <w:rFonts w:ascii="Arial" w:hAnsi="Arial" w:cs="Arial"/>
                <w:sz w:val="16"/>
                <w:szCs w:val="16"/>
                <w:lang w:val="de-DE"/>
              </w:rPr>
              <w:t>7.329174</w:t>
            </w:r>
            <w:r w:rsidRPr="00782238">
              <w:rPr>
                <w:rFonts w:ascii="Arial" w:hAnsi="Arial" w:cs="Arial"/>
                <w:sz w:val="16"/>
                <w:szCs w:val="16"/>
                <w:lang w:val="de-DE"/>
              </w:rPr>
              <w:t>)</w:t>
            </w:r>
          </w:p>
        </w:tc>
      </w:tr>
      <w:tr w:rsidR="0014213E" w:rsidRPr="00647145" w:rsidTr="00292431">
        <w:trPr>
          <w:jc w:val="center"/>
        </w:trPr>
        <w:tc>
          <w:tcPr>
            <w:tcW w:w="283" w:type="dxa"/>
            <w:vAlign w:val="center"/>
          </w:tcPr>
          <w:p w:rsidR="0014213E" w:rsidRPr="00A51255" w:rsidRDefault="0014213E" w:rsidP="00D63A00">
            <w:pPr>
              <w:spacing w:line="360" w:lineRule="auto"/>
              <w:jc w:val="center"/>
              <w:rPr>
                <w:rFonts w:ascii="Arial" w:hAnsi="Arial" w:cs="Arial"/>
                <w:sz w:val="16"/>
                <w:szCs w:val="16"/>
                <w:lang w:val="de-DE"/>
              </w:rPr>
            </w:pPr>
          </w:p>
        </w:tc>
        <w:tc>
          <w:tcPr>
            <w:tcW w:w="1843" w:type="dxa"/>
            <w:vAlign w:val="center"/>
          </w:tcPr>
          <w:p w:rsidR="0014213E" w:rsidRPr="004F48F0" w:rsidRDefault="0014213E" w:rsidP="00D63A00">
            <w:pPr>
              <w:jc w:val="center"/>
              <w:rPr>
                <w:rFonts w:ascii="Arial" w:hAnsi="Arial" w:cs="Arial"/>
                <w:b/>
                <w:sz w:val="18"/>
                <w:szCs w:val="18"/>
                <w:lang w:val="de-DE"/>
              </w:rPr>
            </w:pPr>
            <w:r w:rsidRPr="004F48F0">
              <w:rPr>
                <w:rFonts w:ascii="Arial" w:hAnsi="Arial" w:cs="Arial"/>
                <w:b/>
                <w:sz w:val="18"/>
                <w:szCs w:val="18"/>
                <w:lang w:val="de-DE"/>
              </w:rPr>
              <w:t>Unexpected announcement:</w:t>
            </w:r>
          </w:p>
        </w:tc>
        <w:tc>
          <w:tcPr>
            <w:tcW w:w="1885" w:type="dxa"/>
            <w:vAlign w:val="center"/>
          </w:tcPr>
          <w:p w:rsidR="0014213E" w:rsidRPr="004F48F0" w:rsidRDefault="0014213E" w:rsidP="00D63A00">
            <w:pPr>
              <w:jc w:val="center"/>
              <w:rPr>
                <w:rFonts w:ascii="Arial" w:hAnsi="Arial" w:cs="Arial"/>
                <w:b/>
                <w:sz w:val="18"/>
                <w:szCs w:val="18"/>
                <w:lang w:val="de-DE"/>
              </w:rPr>
            </w:pPr>
            <w:r w:rsidRPr="004F48F0">
              <w:rPr>
                <w:rFonts w:ascii="Arial" w:hAnsi="Arial" w:cs="Arial"/>
                <w:b/>
                <w:sz w:val="18"/>
                <w:szCs w:val="18"/>
                <w:lang w:val="de-DE"/>
              </w:rPr>
              <w:t>Money Supply</w:t>
            </w:r>
          </w:p>
          <w:p w:rsidR="0014213E" w:rsidRPr="00CA2C53" w:rsidRDefault="0014213E" w:rsidP="00D63A00">
            <w:pPr>
              <w:jc w:val="center"/>
              <w:rPr>
                <w:rFonts w:ascii="Arial" w:hAnsi="Arial" w:cs="Arial"/>
                <w:b/>
                <w:sz w:val="2"/>
                <w:szCs w:val="2"/>
                <w:lang w:val="de-DE"/>
              </w:rPr>
            </w:pPr>
          </w:p>
          <w:p w:rsidR="0014213E" w:rsidRPr="004F48F0" w:rsidRDefault="0014213E" w:rsidP="00D63A00">
            <w:pPr>
              <w:jc w:val="center"/>
              <w:rPr>
                <w:rFonts w:ascii="Arial" w:hAnsi="Arial" w:cs="Arial"/>
                <w:b/>
                <w:sz w:val="20"/>
                <w:szCs w:val="20"/>
                <w:lang w:val="de-DE"/>
              </w:rPr>
            </w:pPr>
            <w:r w:rsidRPr="009F1BCD">
              <w:rPr>
                <w:b/>
                <w:sz w:val="20"/>
                <w:szCs w:val="20"/>
                <w:lang w:val="de-DE"/>
              </w:rPr>
              <w:t>(</w:t>
            </w:r>
            <w:r w:rsidRPr="004F48F0">
              <w:rPr>
                <w:b/>
                <w:i/>
                <w:sz w:val="20"/>
                <w:szCs w:val="20"/>
                <w:lang w:val="de-DE"/>
              </w:rPr>
              <w:t>MS</w:t>
            </w:r>
            <w:r w:rsidRPr="009F1BCD">
              <w:rPr>
                <w:b/>
                <w:sz w:val="20"/>
                <w:szCs w:val="20"/>
                <w:lang w:val="de-DE"/>
              </w:rPr>
              <w:t>)</w:t>
            </w:r>
          </w:p>
        </w:tc>
        <w:tc>
          <w:tcPr>
            <w:tcW w:w="1781" w:type="dxa"/>
            <w:vAlign w:val="center"/>
          </w:tcPr>
          <w:p w:rsidR="0014213E" w:rsidRDefault="0014213E" w:rsidP="00D63A00">
            <w:pPr>
              <w:jc w:val="center"/>
              <w:rPr>
                <w:rFonts w:ascii="Arial" w:hAnsi="Arial" w:cs="Arial"/>
                <w:b/>
                <w:sz w:val="18"/>
                <w:szCs w:val="18"/>
                <w:lang w:val="de-DE"/>
              </w:rPr>
            </w:pPr>
            <w:r w:rsidRPr="004F48F0">
              <w:rPr>
                <w:rFonts w:ascii="Arial" w:hAnsi="Arial" w:cs="Arial"/>
                <w:b/>
                <w:sz w:val="18"/>
                <w:szCs w:val="18"/>
                <w:lang w:val="de-DE"/>
              </w:rPr>
              <w:t>Reserve Money</w:t>
            </w:r>
          </w:p>
          <w:p w:rsidR="0014213E" w:rsidRPr="00CA2C53" w:rsidRDefault="0014213E" w:rsidP="00D63A00">
            <w:pPr>
              <w:jc w:val="center"/>
              <w:rPr>
                <w:rFonts w:ascii="Arial" w:hAnsi="Arial" w:cs="Arial"/>
                <w:b/>
                <w:sz w:val="2"/>
                <w:szCs w:val="2"/>
                <w:lang w:val="de-DE"/>
              </w:rPr>
            </w:pPr>
          </w:p>
          <w:p w:rsidR="0014213E" w:rsidRPr="004F48F0" w:rsidRDefault="0014213E" w:rsidP="00D63A00">
            <w:pPr>
              <w:jc w:val="center"/>
              <w:rPr>
                <w:b/>
                <w:i/>
                <w:sz w:val="20"/>
                <w:szCs w:val="20"/>
                <w:lang w:val="en-US"/>
              </w:rPr>
            </w:pPr>
            <w:r w:rsidRPr="009F1BCD">
              <w:rPr>
                <w:b/>
                <w:sz w:val="20"/>
                <w:szCs w:val="20"/>
                <w:lang w:val="en-US"/>
              </w:rPr>
              <w:t>(</w:t>
            </w:r>
            <w:r w:rsidRPr="004F48F0">
              <w:rPr>
                <w:b/>
                <w:i/>
                <w:sz w:val="20"/>
                <w:szCs w:val="20"/>
                <w:lang w:val="en-US"/>
              </w:rPr>
              <w:t>RM</w:t>
            </w:r>
            <w:r w:rsidRPr="009F1BCD">
              <w:rPr>
                <w:b/>
                <w:sz w:val="20"/>
                <w:szCs w:val="20"/>
                <w:lang w:val="en-US"/>
              </w:rPr>
              <w:t>)</w:t>
            </w:r>
          </w:p>
        </w:tc>
        <w:tc>
          <w:tcPr>
            <w:tcW w:w="2043" w:type="dxa"/>
            <w:vAlign w:val="center"/>
          </w:tcPr>
          <w:p w:rsidR="0014213E" w:rsidRDefault="0014213E" w:rsidP="00D63A00">
            <w:pPr>
              <w:jc w:val="center"/>
              <w:rPr>
                <w:rFonts w:ascii="Arial" w:hAnsi="Arial" w:cs="Arial"/>
                <w:b/>
                <w:sz w:val="18"/>
                <w:szCs w:val="18"/>
                <w:lang w:val="de-DE"/>
              </w:rPr>
            </w:pPr>
            <w:r>
              <w:rPr>
                <w:rFonts w:ascii="Arial" w:hAnsi="Arial" w:cs="Arial"/>
                <w:b/>
                <w:sz w:val="18"/>
                <w:szCs w:val="18"/>
                <w:lang w:val="de-DE"/>
              </w:rPr>
              <w:t>Balance of Payments</w:t>
            </w:r>
          </w:p>
          <w:p w:rsidR="0014213E" w:rsidRPr="00CA2C53" w:rsidRDefault="0014213E" w:rsidP="00D63A00">
            <w:pPr>
              <w:jc w:val="center"/>
              <w:rPr>
                <w:b/>
                <w:i/>
                <w:sz w:val="2"/>
                <w:szCs w:val="2"/>
                <w:lang w:val="en-US"/>
              </w:rPr>
            </w:pPr>
          </w:p>
          <w:p w:rsidR="0014213E" w:rsidRPr="004F48F0" w:rsidRDefault="0014213E" w:rsidP="00D63A00">
            <w:pPr>
              <w:jc w:val="center"/>
              <w:rPr>
                <w:b/>
                <w:i/>
                <w:sz w:val="20"/>
                <w:szCs w:val="20"/>
                <w:lang w:val="en-US"/>
              </w:rPr>
            </w:pPr>
            <w:r w:rsidRPr="009F1BCD">
              <w:rPr>
                <w:b/>
                <w:sz w:val="20"/>
                <w:szCs w:val="20"/>
                <w:lang w:val="en-US"/>
              </w:rPr>
              <w:t>(</w:t>
            </w:r>
            <w:r w:rsidRPr="004F48F0">
              <w:rPr>
                <w:b/>
                <w:i/>
                <w:sz w:val="20"/>
                <w:szCs w:val="20"/>
                <w:lang w:val="en-US"/>
              </w:rPr>
              <w:t>BOP</w:t>
            </w:r>
            <w:r w:rsidRPr="009F1BCD">
              <w:rPr>
                <w:b/>
                <w:sz w:val="20"/>
                <w:szCs w:val="20"/>
                <w:lang w:val="en-US"/>
              </w:rPr>
              <w:t>)</w:t>
            </w:r>
          </w:p>
        </w:tc>
        <w:tc>
          <w:tcPr>
            <w:tcW w:w="1846" w:type="dxa"/>
            <w:vAlign w:val="center"/>
          </w:tcPr>
          <w:p w:rsidR="00EF2553" w:rsidRPr="000E3558" w:rsidRDefault="0014213E" w:rsidP="00D63A00">
            <w:pPr>
              <w:jc w:val="center"/>
              <w:rPr>
                <w:rFonts w:ascii="Arial" w:hAnsi="Arial" w:cs="Arial"/>
                <w:b/>
                <w:sz w:val="18"/>
                <w:szCs w:val="18"/>
                <w:lang w:val="en-US"/>
              </w:rPr>
            </w:pPr>
            <w:r w:rsidRPr="000E3558">
              <w:rPr>
                <w:rFonts w:ascii="Arial" w:hAnsi="Arial" w:cs="Arial"/>
                <w:b/>
                <w:sz w:val="18"/>
                <w:szCs w:val="18"/>
                <w:lang w:val="en-US"/>
              </w:rPr>
              <w:t xml:space="preserve">Liquid Assets </w:t>
            </w:r>
          </w:p>
          <w:p w:rsidR="0014213E" w:rsidRPr="009F1BCD" w:rsidRDefault="0014213E" w:rsidP="00EF2553">
            <w:pPr>
              <w:jc w:val="center"/>
              <w:rPr>
                <w:b/>
                <w:i/>
                <w:sz w:val="20"/>
                <w:szCs w:val="20"/>
                <w:lang w:val="en-US"/>
              </w:rPr>
            </w:pPr>
            <w:r w:rsidRPr="000E3558">
              <w:rPr>
                <w:rFonts w:ascii="Arial" w:hAnsi="Arial" w:cs="Arial"/>
                <w:b/>
                <w:sz w:val="18"/>
                <w:szCs w:val="18"/>
                <w:lang w:val="en-US"/>
              </w:rPr>
              <w:t>and Liabilities (</w:t>
            </w:r>
            <w:r w:rsidRPr="009F1BCD">
              <w:rPr>
                <w:b/>
                <w:i/>
                <w:sz w:val="20"/>
                <w:szCs w:val="20"/>
                <w:lang w:val="en-US"/>
              </w:rPr>
              <w:t>AL</w:t>
            </w:r>
            <w:r w:rsidRPr="009F1BCD">
              <w:rPr>
                <w:b/>
                <w:sz w:val="20"/>
                <w:szCs w:val="20"/>
                <w:lang w:val="en-US"/>
              </w:rPr>
              <w:t>)</w:t>
            </w:r>
          </w:p>
        </w:tc>
      </w:tr>
      <w:tr w:rsidR="00782238" w:rsidRPr="00A51255" w:rsidTr="00292431">
        <w:trPr>
          <w:jc w:val="center"/>
        </w:trPr>
        <w:tc>
          <w:tcPr>
            <w:tcW w:w="283" w:type="dxa"/>
            <w:vAlign w:val="center"/>
          </w:tcPr>
          <w:p w:rsidR="00782238" w:rsidRPr="00A51255" w:rsidRDefault="00C65448" w:rsidP="00D63A00">
            <w:pPr>
              <w:spacing w:line="360" w:lineRule="auto"/>
              <w:jc w:val="center"/>
              <w:rPr>
                <w:rFonts w:ascii="Arial" w:hAnsi="Arial" w:cs="Arial"/>
                <w:sz w:val="16"/>
                <w:szCs w:val="16"/>
                <w:lang w:val="de-DE"/>
              </w:rPr>
            </w:pPr>
            <w:r>
              <w:rPr>
                <w:rFonts w:ascii="Arial" w:hAnsi="Arial" w:cs="Arial"/>
                <w:sz w:val="16"/>
                <w:szCs w:val="16"/>
                <w:lang w:val="de-DE"/>
              </w:rPr>
              <w:t>(</w:t>
            </w:r>
            <w:r w:rsidR="00782238">
              <w:rPr>
                <w:rFonts w:ascii="Arial" w:hAnsi="Arial" w:cs="Arial"/>
                <w:sz w:val="16"/>
                <w:szCs w:val="16"/>
                <w:lang w:val="de-DE"/>
              </w:rPr>
              <w:t>3)</w:t>
            </w:r>
          </w:p>
        </w:tc>
        <w:tc>
          <w:tcPr>
            <w:tcW w:w="1843" w:type="dxa"/>
            <w:vAlign w:val="center"/>
          </w:tcPr>
          <w:p w:rsidR="000701C4" w:rsidRDefault="00782238" w:rsidP="000701C4">
            <w:pPr>
              <w:ind w:left="87"/>
              <w:jc w:val="center"/>
            </w:pPr>
            <w:r w:rsidRPr="00B3604A">
              <w:rPr>
                <w:position w:val="-12"/>
              </w:rPr>
              <w:object w:dxaOrig="279" w:dyaOrig="360">
                <v:shape id="_x0000_i1114" type="#_x0000_t75" style="width:12.85pt;height:18pt" o:ole="">
                  <v:imagedata r:id="rId100" o:title=""/>
                </v:shape>
                <o:OLEObject Type="Embed" ProgID="Equation.3" ShapeID="_x0000_i1114" DrawAspect="Content" ObjectID="_1507543461" r:id="rId152"/>
              </w:object>
            </w:r>
          </w:p>
          <w:p w:rsidR="00782238" w:rsidRPr="004F48F0" w:rsidRDefault="00782238" w:rsidP="000701C4">
            <w:pPr>
              <w:ind w:left="87"/>
              <w:jc w:val="center"/>
              <w:rPr>
                <w:b/>
                <w:sz w:val="18"/>
                <w:szCs w:val="18"/>
                <w:lang w:val="de-DE"/>
              </w:rPr>
            </w:pPr>
            <w:r>
              <w:rPr>
                <w:rFonts w:ascii="Arial" w:hAnsi="Arial" w:cs="Arial"/>
                <w:b/>
                <w:sz w:val="18"/>
                <w:szCs w:val="18"/>
                <w:lang w:val="de-DE"/>
              </w:rPr>
              <w:t xml:space="preserve">strongly </w:t>
            </w:r>
            <w:r w:rsidRPr="004F48F0">
              <w:rPr>
                <w:rFonts w:ascii="Arial" w:hAnsi="Arial" w:cs="Arial"/>
                <w:b/>
                <w:sz w:val="18"/>
                <w:szCs w:val="18"/>
                <w:lang w:val="de-DE"/>
              </w:rPr>
              <w:t>positive</w:t>
            </w:r>
          </w:p>
        </w:tc>
        <w:tc>
          <w:tcPr>
            <w:tcW w:w="1885" w:type="dxa"/>
            <w:vAlign w:val="center"/>
          </w:tcPr>
          <w:p w:rsidR="00782238" w:rsidRPr="00782238" w:rsidRDefault="001C0340" w:rsidP="00076908">
            <w:pPr>
              <w:jc w:val="center"/>
              <w:rPr>
                <w:rFonts w:ascii="Arial" w:hAnsi="Arial" w:cs="Arial"/>
                <w:sz w:val="20"/>
                <w:szCs w:val="20"/>
                <w:lang w:val="de-DE"/>
              </w:rPr>
            </w:pPr>
            <w:r w:rsidRPr="001C0340">
              <w:rPr>
                <w:rFonts w:ascii="Arial" w:hAnsi="Arial" w:cs="Arial"/>
                <w:sz w:val="20"/>
                <w:szCs w:val="20"/>
                <w:lang w:val="de-DE"/>
              </w:rPr>
              <w:t>18.44304</w:t>
            </w:r>
            <w:r>
              <w:rPr>
                <w:rFonts w:ascii="Arial" w:hAnsi="Arial" w:cs="Arial"/>
                <w:sz w:val="20"/>
                <w:szCs w:val="20"/>
                <w:lang w:val="de-DE"/>
              </w:rPr>
              <w:t xml:space="preserve"> **</w:t>
            </w:r>
          </w:p>
          <w:p w:rsidR="00782238" w:rsidRPr="00782238" w:rsidRDefault="00782238" w:rsidP="00076908">
            <w:pPr>
              <w:jc w:val="center"/>
              <w:rPr>
                <w:rFonts w:ascii="Arial" w:hAnsi="Arial" w:cs="Arial"/>
                <w:sz w:val="20"/>
                <w:szCs w:val="20"/>
                <w:lang w:val="de-DE"/>
              </w:rPr>
            </w:pPr>
            <w:r w:rsidRPr="00782238">
              <w:rPr>
                <w:rFonts w:ascii="Arial" w:hAnsi="Arial" w:cs="Arial"/>
                <w:sz w:val="16"/>
                <w:szCs w:val="16"/>
                <w:lang w:val="de-DE"/>
              </w:rPr>
              <w:t xml:space="preserve"> (</w:t>
            </w:r>
            <w:r w:rsidR="001C0340" w:rsidRPr="001C0340">
              <w:rPr>
                <w:rFonts w:ascii="Arial" w:hAnsi="Arial" w:cs="Arial"/>
                <w:sz w:val="16"/>
                <w:szCs w:val="16"/>
                <w:lang w:val="de-DE"/>
              </w:rPr>
              <w:t>8.072167</w:t>
            </w:r>
            <w:r w:rsidRPr="00782238">
              <w:rPr>
                <w:rFonts w:ascii="Arial" w:hAnsi="Arial" w:cs="Arial"/>
                <w:sz w:val="16"/>
                <w:szCs w:val="16"/>
                <w:lang w:val="de-DE"/>
              </w:rPr>
              <w:t>)</w:t>
            </w:r>
          </w:p>
        </w:tc>
        <w:tc>
          <w:tcPr>
            <w:tcW w:w="1781" w:type="dxa"/>
            <w:vAlign w:val="center"/>
          </w:tcPr>
          <w:p w:rsidR="00782238" w:rsidRPr="00782238" w:rsidRDefault="00E03A26" w:rsidP="00076908">
            <w:pPr>
              <w:jc w:val="center"/>
              <w:rPr>
                <w:rFonts w:ascii="Arial" w:hAnsi="Arial" w:cs="Arial"/>
                <w:sz w:val="20"/>
                <w:szCs w:val="20"/>
                <w:lang w:val="de-DE"/>
              </w:rPr>
            </w:pPr>
            <w:r w:rsidRPr="00E03A26">
              <w:rPr>
                <w:rFonts w:ascii="Arial" w:hAnsi="Arial" w:cs="Arial"/>
                <w:sz w:val="20"/>
                <w:szCs w:val="20"/>
                <w:lang w:val="de-DE"/>
              </w:rPr>
              <w:t>-7.120074</w:t>
            </w:r>
          </w:p>
          <w:p w:rsidR="00782238" w:rsidRPr="00A51255" w:rsidRDefault="00782238" w:rsidP="00076908">
            <w:pPr>
              <w:jc w:val="center"/>
              <w:rPr>
                <w:lang w:val="en-US"/>
              </w:rPr>
            </w:pPr>
            <w:r w:rsidRPr="00782238">
              <w:rPr>
                <w:rFonts w:ascii="Arial" w:hAnsi="Arial" w:cs="Arial"/>
                <w:sz w:val="16"/>
                <w:szCs w:val="16"/>
                <w:lang w:val="de-DE"/>
              </w:rPr>
              <w:t xml:space="preserve"> (</w:t>
            </w:r>
            <w:r w:rsidR="00E03A26" w:rsidRPr="00E03A26">
              <w:rPr>
                <w:rFonts w:ascii="Arial" w:hAnsi="Arial" w:cs="Arial"/>
                <w:sz w:val="16"/>
                <w:szCs w:val="16"/>
                <w:lang w:val="de-DE"/>
              </w:rPr>
              <w:t>9.878211</w:t>
            </w:r>
            <w:r w:rsidRPr="00782238">
              <w:rPr>
                <w:rFonts w:ascii="Arial" w:hAnsi="Arial" w:cs="Arial"/>
                <w:sz w:val="16"/>
                <w:szCs w:val="16"/>
                <w:lang w:val="de-DE"/>
              </w:rPr>
              <w:t>)</w:t>
            </w:r>
          </w:p>
        </w:tc>
        <w:tc>
          <w:tcPr>
            <w:tcW w:w="2043" w:type="dxa"/>
            <w:vAlign w:val="center"/>
          </w:tcPr>
          <w:p w:rsidR="00A04E5D" w:rsidRPr="00782238" w:rsidRDefault="00F7514C" w:rsidP="00A04E5D">
            <w:pPr>
              <w:jc w:val="center"/>
              <w:rPr>
                <w:rFonts w:ascii="Arial" w:hAnsi="Arial" w:cs="Arial"/>
                <w:sz w:val="20"/>
                <w:szCs w:val="20"/>
                <w:lang w:val="de-DE"/>
              </w:rPr>
            </w:pPr>
            <w:r w:rsidRPr="00F7514C">
              <w:rPr>
                <w:rFonts w:ascii="Arial" w:hAnsi="Arial" w:cs="Arial"/>
                <w:sz w:val="20"/>
                <w:szCs w:val="20"/>
                <w:lang w:val="de-DE"/>
              </w:rPr>
              <w:t>4.837109</w:t>
            </w:r>
          </w:p>
          <w:p w:rsidR="00782238" w:rsidRPr="00A51255" w:rsidRDefault="00A04E5D" w:rsidP="00A04E5D">
            <w:pPr>
              <w:jc w:val="center"/>
              <w:rPr>
                <w:lang w:val="en-US"/>
              </w:rPr>
            </w:pPr>
            <w:r w:rsidRPr="00782238">
              <w:rPr>
                <w:rFonts w:ascii="Arial" w:hAnsi="Arial" w:cs="Arial"/>
                <w:sz w:val="16"/>
                <w:szCs w:val="16"/>
                <w:lang w:val="de-DE"/>
              </w:rPr>
              <w:t xml:space="preserve"> (</w:t>
            </w:r>
            <w:r w:rsidR="00F7514C" w:rsidRPr="00F7514C">
              <w:rPr>
                <w:rFonts w:ascii="Arial" w:hAnsi="Arial" w:cs="Arial"/>
                <w:sz w:val="16"/>
                <w:szCs w:val="16"/>
                <w:lang w:val="de-DE"/>
              </w:rPr>
              <w:t>65.78572</w:t>
            </w:r>
            <w:r w:rsidRPr="00782238">
              <w:rPr>
                <w:rFonts w:ascii="Arial" w:hAnsi="Arial" w:cs="Arial"/>
                <w:sz w:val="16"/>
                <w:szCs w:val="16"/>
                <w:lang w:val="de-DE"/>
              </w:rPr>
              <w:t>)</w:t>
            </w:r>
          </w:p>
        </w:tc>
        <w:tc>
          <w:tcPr>
            <w:tcW w:w="1846" w:type="dxa"/>
            <w:vAlign w:val="center"/>
          </w:tcPr>
          <w:p w:rsidR="00A04E5D" w:rsidRPr="00782238" w:rsidRDefault="00A00002" w:rsidP="00A04E5D">
            <w:pPr>
              <w:jc w:val="center"/>
              <w:rPr>
                <w:rFonts w:ascii="Arial" w:hAnsi="Arial" w:cs="Arial"/>
                <w:sz w:val="20"/>
                <w:szCs w:val="20"/>
                <w:lang w:val="de-DE"/>
              </w:rPr>
            </w:pPr>
            <w:r w:rsidRPr="00A00002">
              <w:rPr>
                <w:rFonts w:ascii="Arial" w:hAnsi="Arial" w:cs="Arial"/>
                <w:sz w:val="20"/>
                <w:szCs w:val="20"/>
                <w:lang w:val="de-DE"/>
              </w:rPr>
              <w:t>-25.50667</w:t>
            </w:r>
          </w:p>
          <w:p w:rsidR="00782238" w:rsidRPr="00A51255" w:rsidRDefault="00A04E5D" w:rsidP="00A04E5D">
            <w:pPr>
              <w:jc w:val="center"/>
              <w:rPr>
                <w:lang w:val="en-US"/>
              </w:rPr>
            </w:pPr>
            <w:r w:rsidRPr="00782238">
              <w:rPr>
                <w:rFonts w:ascii="Arial" w:hAnsi="Arial" w:cs="Arial"/>
                <w:sz w:val="16"/>
                <w:szCs w:val="16"/>
                <w:lang w:val="de-DE"/>
              </w:rPr>
              <w:t xml:space="preserve"> (</w:t>
            </w:r>
            <w:r w:rsidR="00A00002" w:rsidRPr="00A00002">
              <w:rPr>
                <w:rFonts w:ascii="Arial" w:hAnsi="Arial" w:cs="Arial"/>
                <w:sz w:val="16"/>
                <w:szCs w:val="16"/>
                <w:lang w:val="de-DE"/>
              </w:rPr>
              <w:t>25.74529</w:t>
            </w:r>
            <w:r w:rsidRPr="00782238">
              <w:rPr>
                <w:rFonts w:ascii="Arial" w:hAnsi="Arial" w:cs="Arial"/>
                <w:sz w:val="16"/>
                <w:szCs w:val="16"/>
                <w:lang w:val="de-DE"/>
              </w:rPr>
              <w:t>)</w:t>
            </w:r>
          </w:p>
        </w:tc>
      </w:tr>
      <w:tr w:rsidR="00A04E5D" w:rsidRPr="00A51255" w:rsidTr="00292431">
        <w:trPr>
          <w:jc w:val="center"/>
        </w:trPr>
        <w:tc>
          <w:tcPr>
            <w:tcW w:w="283" w:type="dxa"/>
            <w:vAlign w:val="center"/>
          </w:tcPr>
          <w:p w:rsidR="00A04E5D" w:rsidRPr="00A51255" w:rsidRDefault="00C65448" w:rsidP="00D63A00">
            <w:pPr>
              <w:spacing w:line="360" w:lineRule="auto"/>
              <w:jc w:val="center"/>
              <w:rPr>
                <w:rFonts w:ascii="Arial" w:hAnsi="Arial" w:cs="Arial"/>
                <w:sz w:val="16"/>
                <w:szCs w:val="16"/>
                <w:lang w:val="de-DE"/>
              </w:rPr>
            </w:pPr>
            <w:r>
              <w:rPr>
                <w:rFonts w:ascii="Arial" w:hAnsi="Arial" w:cs="Arial"/>
                <w:sz w:val="16"/>
                <w:szCs w:val="16"/>
                <w:lang w:val="de-DE"/>
              </w:rPr>
              <w:t>(</w:t>
            </w:r>
            <w:r w:rsidR="00A04E5D">
              <w:rPr>
                <w:rFonts w:ascii="Arial" w:hAnsi="Arial" w:cs="Arial"/>
                <w:sz w:val="16"/>
                <w:szCs w:val="16"/>
                <w:lang w:val="de-DE"/>
              </w:rPr>
              <w:t>3)</w:t>
            </w:r>
          </w:p>
        </w:tc>
        <w:tc>
          <w:tcPr>
            <w:tcW w:w="1843" w:type="dxa"/>
            <w:vAlign w:val="center"/>
          </w:tcPr>
          <w:p w:rsidR="000701C4" w:rsidRDefault="00A04E5D" w:rsidP="000701C4">
            <w:pPr>
              <w:ind w:left="87"/>
              <w:jc w:val="center"/>
            </w:pPr>
            <w:r w:rsidRPr="00B3604A">
              <w:rPr>
                <w:position w:val="-10"/>
              </w:rPr>
              <w:object w:dxaOrig="300" w:dyaOrig="340">
                <v:shape id="_x0000_i1115" type="#_x0000_t75" style="width:14.15pt;height:16.7pt" o:ole="">
                  <v:imagedata r:id="rId102" o:title=""/>
                </v:shape>
                <o:OLEObject Type="Embed" ProgID="Equation.3" ShapeID="_x0000_i1115" DrawAspect="Content" ObjectID="_1507543462" r:id="rId153"/>
              </w:object>
            </w:r>
          </w:p>
          <w:p w:rsidR="00A04E5D" w:rsidRPr="004F48F0" w:rsidRDefault="009B50E4" w:rsidP="000701C4">
            <w:pPr>
              <w:ind w:left="87"/>
              <w:jc w:val="center"/>
              <w:rPr>
                <w:rFonts w:ascii="Arial" w:hAnsi="Arial" w:cs="Arial"/>
                <w:b/>
                <w:sz w:val="18"/>
                <w:szCs w:val="18"/>
                <w:lang w:val="de-DE"/>
              </w:rPr>
            </w:pPr>
            <w:r>
              <w:rPr>
                <w:rFonts w:ascii="Arial" w:hAnsi="Arial" w:cs="Arial"/>
                <w:b/>
                <w:sz w:val="18"/>
                <w:szCs w:val="18"/>
                <w:lang w:val="de-DE"/>
              </w:rPr>
              <w:t>P</w:t>
            </w:r>
            <w:r w:rsidR="00A04E5D" w:rsidRPr="004F48F0">
              <w:rPr>
                <w:rFonts w:ascii="Arial" w:hAnsi="Arial" w:cs="Arial"/>
                <w:b/>
                <w:sz w:val="18"/>
                <w:szCs w:val="18"/>
                <w:lang w:val="de-DE"/>
              </w:rPr>
              <w:t>ositive</w:t>
            </w:r>
          </w:p>
        </w:tc>
        <w:tc>
          <w:tcPr>
            <w:tcW w:w="1885" w:type="dxa"/>
            <w:vAlign w:val="center"/>
          </w:tcPr>
          <w:p w:rsidR="00A04E5D" w:rsidRPr="00782238" w:rsidRDefault="00A04E5D" w:rsidP="00076908">
            <w:pPr>
              <w:jc w:val="center"/>
              <w:rPr>
                <w:rFonts w:ascii="Arial" w:hAnsi="Arial" w:cs="Arial"/>
                <w:sz w:val="20"/>
                <w:szCs w:val="20"/>
                <w:lang w:val="de-DE"/>
              </w:rPr>
            </w:pPr>
            <w:r w:rsidRPr="001C0340">
              <w:rPr>
                <w:rFonts w:ascii="Arial" w:hAnsi="Arial" w:cs="Arial"/>
                <w:sz w:val="20"/>
                <w:szCs w:val="20"/>
                <w:lang w:val="de-DE"/>
              </w:rPr>
              <w:t>-12.02899</w:t>
            </w:r>
          </w:p>
          <w:p w:rsidR="00A04E5D" w:rsidRPr="00782238" w:rsidRDefault="00A04E5D" w:rsidP="00076908">
            <w:pPr>
              <w:jc w:val="center"/>
              <w:rPr>
                <w:rFonts w:ascii="Arial" w:hAnsi="Arial" w:cs="Arial"/>
                <w:sz w:val="20"/>
                <w:szCs w:val="20"/>
                <w:lang w:val="de-DE"/>
              </w:rPr>
            </w:pPr>
            <w:r w:rsidRPr="00782238">
              <w:rPr>
                <w:rFonts w:ascii="Arial" w:hAnsi="Arial" w:cs="Arial"/>
                <w:sz w:val="16"/>
                <w:szCs w:val="16"/>
                <w:lang w:val="de-DE"/>
              </w:rPr>
              <w:t xml:space="preserve"> (</w:t>
            </w:r>
            <w:r w:rsidRPr="001C0340">
              <w:rPr>
                <w:rFonts w:ascii="Arial" w:hAnsi="Arial" w:cs="Arial"/>
                <w:sz w:val="16"/>
                <w:szCs w:val="16"/>
                <w:lang w:val="de-DE"/>
              </w:rPr>
              <w:t>7.684704</w:t>
            </w:r>
            <w:r w:rsidRPr="00782238">
              <w:rPr>
                <w:rFonts w:ascii="Arial" w:hAnsi="Arial" w:cs="Arial"/>
                <w:sz w:val="16"/>
                <w:szCs w:val="16"/>
                <w:lang w:val="de-DE"/>
              </w:rPr>
              <w:t>)</w:t>
            </w:r>
          </w:p>
        </w:tc>
        <w:tc>
          <w:tcPr>
            <w:tcW w:w="1781" w:type="dxa"/>
            <w:vAlign w:val="center"/>
          </w:tcPr>
          <w:p w:rsidR="00A04E5D" w:rsidRPr="00782238" w:rsidRDefault="00A04E5D" w:rsidP="00076908">
            <w:pPr>
              <w:jc w:val="center"/>
              <w:rPr>
                <w:rFonts w:ascii="Arial" w:hAnsi="Arial" w:cs="Arial"/>
                <w:sz w:val="20"/>
                <w:szCs w:val="20"/>
                <w:lang w:val="de-DE"/>
              </w:rPr>
            </w:pPr>
            <w:r w:rsidRPr="00E03A26">
              <w:rPr>
                <w:rFonts w:ascii="Arial" w:hAnsi="Arial" w:cs="Arial"/>
                <w:sz w:val="20"/>
                <w:szCs w:val="20"/>
                <w:lang w:val="de-DE"/>
              </w:rPr>
              <w:t>0.886836</w:t>
            </w:r>
          </w:p>
          <w:p w:rsidR="00A04E5D" w:rsidRPr="00A51255" w:rsidRDefault="00A04E5D" w:rsidP="00076908">
            <w:pPr>
              <w:jc w:val="center"/>
              <w:rPr>
                <w:lang w:val="en-US"/>
              </w:rPr>
            </w:pPr>
            <w:r w:rsidRPr="00782238">
              <w:rPr>
                <w:rFonts w:ascii="Arial" w:hAnsi="Arial" w:cs="Arial"/>
                <w:sz w:val="16"/>
                <w:szCs w:val="16"/>
                <w:lang w:val="de-DE"/>
              </w:rPr>
              <w:t xml:space="preserve"> (</w:t>
            </w:r>
            <w:r w:rsidRPr="00E03A26">
              <w:rPr>
                <w:rFonts w:ascii="Arial" w:hAnsi="Arial" w:cs="Arial"/>
                <w:sz w:val="16"/>
                <w:szCs w:val="16"/>
                <w:lang w:val="de-DE"/>
              </w:rPr>
              <w:t>11.11062</w:t>
            </w:r>
            <w:r w:rsidRPr="00782238">
              <w:rPr>
                <w:rFonts w:ascii="Arial" w:hAnsi="Arial" w:cs="Arial"/>
                <w:sz w:val="16"/>
                <w:szCs w:val="16"/>
                <w:lang w:val="de-DE"/>
              </w:rPr>
              <w:t>)</w:t>
            </w:r>
          </w:p>
        </w:tc>
        <w:tc>
          <w:tcPr>
            <w:tcW w:w="2043" w:type="dxa"/>
            <w:vAlign w:val="center"/>
          </w:tcPr>
          <w:p w:rsidR="00A04E5D" w:rsidRPr="00782238" w:rsidRDefault="00F7514C" w:rsidP="00B76BD7">
            <w:pPr>
              <w:jc w:val="center"/>
              <w:rPr>
                <w:rFonts w:ascii="Arial" w:hAnsi="Arial" w:cs="Arial"/>
                <w:sz w:val="20"/>
                <w:szCs w:val="20"/>
                <w:lang w:val="de-DE"/>
              </w:rPr>
            </w:pPr>
            <w:r w:rsidRPr="00F7514C">
              <w:rPr>
                <w:rFonts w:ascii="Arial" w:hAnsi="Arial" w:cs="Arial"/>
                <w:sz w:val="20"/>
                <w:szCs w:val="20"/>
                <w:lang w:val="de-DE"/>
              </w:rPr>
              <w:t>5.175269</w:t>
            </w:r>
          </w:p>
          <w:p w:rsidR="00A04E5D" w:rsidRPr="00A51255" w:rsidRDefault="00A04E5D" w:rsidP="00B76BD7">
            <w:pPr>
              <w:jc w:val="center"/>
              <w:rPr>
                <w:lang w:val="en-US"/>
              </w:rPr>
            </w:pPr>
            <w:r w:rsidRPr="00782238">
              <w:rPr>
                <w:rFonts w:ascii="Arial" w:hAnsi="Arial" w:cs="Arial"/>
                <w:sz w:val="16"/>
                <w:szCs w:val="16"/>
                <w:lang w:val="de-DE"/>
              </w:rPr>
              <w:t xml:space="preserve"> (</w:t>
            </w:r>
            <w:r w:rsidR="00F7514C" w:rsidRPr="00F7514C">
              <w:rPr>
                <w:rFonts w:ascii="Arial" w:hAnsi="Arial" w:cs="Arial"/>
                <w:sz w:val="16"/>
                <w:szCs w:val="16"/>
                <w:lang w:val="de-DE"/>
              </w:rPr>
              <w:t>21.92043</w:t>
            </w:r>
            <w:r w:rsidRPr="00782238">
              <w:rPr>
                <w:rFonts w:ascii="Arial" w:hAnsi="Arial" w:cs="Arial"/>
                <w:sz w:val="16"/>
                <w:szCs w:val="16"/>
                <w:lang w:val="de-DE"/>
              </w:rPr>
              <w:t>)</w:t>
            </w:r>
          </w:p>
        </w:tc>
        <w:tc>
          <w:tcPr>
            <w:tcW w:w="1846" w:type="dxa"/>
            <w:vAlign w:val="center"/>
          </w:tcPr>
          <w:p w:rsidR="00A04E5D" w:rsidRPr="00782238" w:rsidRDefault="00A00002" w:rsidP="00B76BD7">
            <w:pPr>
              <w:jc w:val="center"/>
              <w:rPr>
                <w:rFonts w:ascii="Arial" w:hAnsi="Arial" w:cs="Arial"/>
                <w:sz w:val="20"/>
                <w:szCs w:val="20"/>
                <w:lang w:val="de-DE"/>
              </w:rPr>
            </w:pPr>
            <w:r w:rsidRPr="00A00002">
              <w:rPr>
                <w:rFonts w:ascii="Arial" w:hAnsi="Arial" w:cs="Arial"/>
                <w:sz w:val="20"/>
                <w:szCs w:val="20"/>
                <w:lang w:val="de-DE"/>
              </w:rPr>
              <w:t>38.46860</w:t>
            </w:r>
            <w:r>
              <w:rPr>
                <w:rFonts w:ascii="Arial" w:hAnsi="Arial" w:cs="Arial"/>
                <w:sz w:val="20"/>
                <w:szCs w:val="20"/>
                <w:lang w:val="de-DE"/>
              </w:rPr>
              <w:t xml:space="preserve"> **</w:t>
            </w:r>
          </w:p>
          <w:p w:rsidR="00A04E5D" w:rsidRPr="00A51255" w:rsidRDefault="00A04E5D" w:rsidP="00B76BD7">
            <w:pPr>
              <w:jc w:val="center"/>
              <w:rPr>
                <w:lang w:val="en-US"/>
              </w:rPr>
            </w:pPr>
            <w:r w:rsidRPr="00782238">
              <w:rPr>
                <w:rFonts w:ascii="Arial" w:hAnsi="Arial" w:cs="Arial"/>
                <w:sz w:val="16"/>
                <w:szCs w:val="16"/>
                <w:lang w:val="de-DE"/>
              </w:rPr>
              <w:t xml:space="preserve"> (</w:t>
            </w:r>
            <w:r w:rsidR="00A00002" w:rsidRPr="00A00002">
              <w:rPr>
                <w:rFonts w:ascii="Arial" w:hAnsi="Arial" w:cs="Arial"/>
                <w:sz w:val="16"/>
                <w:szCs w:val="16"/>
                <w:lang w:val="de-DE"/>
              </w:rPr>
              <w:t>16.54673</w:t>
            </w:r>
            <w:r w:rsidRPr="00782238">
              <w:rPr>
                <w:rFonts w:ascii="Arial" w:hAnsi="Arial" w:cs="Arial"/>
                <w:sz w:val="16"/>
                <w:szCs w:val="16"/>
                <w:lang w:val="de-DE"/>
              </w:rPr>
              <w:t>)</w:t>
            </w:r>
          </w:p>
        </w:tc>
      </w:tr>
      <w:tr w:rsidR="00A04E5D" w:rsidRPr="00A51255" w:rsidTr="00292431">
        <w:trPr>
          <w:jc w:val="center"/>
        </w:trPr>
        <w:tc>
          <w:tcPr>
            <w:tcW w:w="283" w:type="dxa"/>
            <w:vAlign w:val="center"/>
          </w:tcPr>
          <w:p w:rsidR="00A04E5D" w:rsidRPr="00A51255" w:rsidRDefault="00C65448" w:rsidP="00D63A00">
            <w:pPr>
              <w:spacing w:line="360" w:lineRule="auto"/>
              <w:jc w:val="center"/>
              <w:rPr>
                <w:rFonts w:ascii="Arial" w:hAnsi="Arial" w:cs="Arial"/>
                <w:sz w:val="16"/>
                <w:szCs w:val="16"/>
                <w:lang w:val="de-DE"/>
              </w:rPr>
            </w:pPr>
            <w:r>
              <w:rPr>
                <w:rFonts w:ascii="Arial" w:hAnsi="Arial" w:cs="Arial"/>
                <w:sz w:val="16"/>
                <w:szCs w:val="16"/>
                <w:lang w:val="de-DE"/>
              </w:rPr>
              <w:t>(</w:t>
            </w:r>
            <w:r w:rsidR="00A04E5D">
              <w:rPr>
                <w:rFonts w:ascii="Arial" w:hAnsi="Arial" w:cs="Arial"/>
                <w:sz w:val="16"/>
                <w:szCs w:val="16"/>
                <w:lang w:val="de-DE"/>
              </w:rPr>
              <w:t>3)</w:t>
            </w:r>
          </w:p>
        </w:tc>
        <w:tc>
          <w:tcPr>
            <w:tcW w:w="1843" w:type="dxa"/>
            <w:vAlign w:val="center"/>
          </w:tcPr>
          <w:p w:rsidR="000701C4" w:rsidRDefault="00A04E5D" w:rsidP="000701C4">
            <w:pPr>
              <w:ind w:left="87"/>
              <w:jc w:val="center"/>
            </w:pPr>
            <w:r w:rsidRPr="00B3604A">
              <w:rPr>
                <w:position w:val="-12"/>
              </w:rPr>
              <w:object w:dxaOrig="300" w:dyaOrig="360">
                <v:shape id="_x0000_i1116" type="#_x0000_t75" style="width:14.15pt;height:18pt" o:ole="">
                  <v:imagedata r:id="rId104" o:title=""/>
                </v:shape>
                <o:OLEObject Type="Embed" ProgID="Equation.3" ShapeID="_x0000_i1116" DrawAspect="Content" ObjectID="_1507543463" r:id="rId154"/>
              </w:object>
            </w:r>
          </w:p>
          <w:p w:rsidR="00A04E5D" w:rsidRPr="004F48F0" w:rsidRDefault="00A04E5D" w:rsidP="000701C4">
            <w:pPr>
              <w:ind w:left="87"/>
              <w:jc w:val="center"/>
              <w:rPr>
                <w:rFonts w:ascii="Arial" w:hAnsi="Arial" w:cs="Arial"/>
                <w:b/>
                <w:sz w:val="18"/>
                <w:szCs w:val="18"/>
                <w:lang w:val="de-DE"/>
              </w:rPr>
            </w:pPr>
            <w:r>
              <w:rPr>
                <w:rFonts w:ascii="Arial" w:hAnsi="Arial" w:cs="Arial"/>
                <w:b/>
                <w:sz w:val="18"/>
                <w:szCs w:val="18"/>
                <w:lang w:val="de-DE"/>
              </w:rPr>
              <w:t>n</w:t>
            </w:r>
            <w:r w:rsidRPr="004F48F0">
              <w:rPr>
                <w:rFonts w:ascii="Arial" w:hAnsi="Arial" w:cs="Arial"/>
                <w:b/>
                <w:sz w:val="18"/>
                <w:szCs w:val="18"/>
                <w:lang w:val="de-DE"/>
              </w:rPr>
              <w:t>egative</w:t>
            </w:r>
          </w:p>
        </w:tc>
        <w:tc>
          <w:tcPr>
            <w:tcW w:w="1885" w:type="dxa"/>
            <w:vAlign w:val="center"/>
          </w:tcPr>
          <w:p w:rsidR="00A04E5D" w:rsidRPr="00782238" w:rsidRDefault="00A04E5D" w:rsidP="00076908">
            <w:pPr>
              <w:jc w:val="center"/>
              <w:rPr>
                <w:rFonts w:ascii="Arial" w:hAnsi="Arial" w:cs="Arial"/>
                <w:sz w:val="20"/>
                <w:szCs w:val="20"/>
                <w:lang w:val="de-DE"/>
              </w:rPr>
            </w:pPr>
            <w:r w:rsidRPr="001C0340">
              <w:rPr>
                <w:rFonts w:ascii="Arial" w:hAnsi="Arial" w:cs="Arial"/>
                <w:sz w:val="20"/>
                <w:szCs w:val="20"/>
                <w:lang w:val="de-DE"/>
              </w:rPr>
              <w:t>-4.290514</w:t>
            </w:r>
          </w:p>
          <w:p w:rsidR="00A04E5D" w:rsidRPr="00782238" w:rsidRDefault="00A04E5D" w:rsidP="00076908">
            <w:pPr>
              <w:jc w:val="center"/>
              <w:rPr>
                <w:rFonts w:ascii="Arial" w:hAnsi="Arial" w:cs="Arial"/>
                <w:sz w:val="20"/>
                <w:szCs w:val="20"/>
                <w:lang w:val="de-DE"/>
              </w:rPr>
            </w:pPr>
            <w:r w:rsidRPr="00782238">
              <w:rPr>
                <w:rFonts w:ascii="Arial" w:hAnsi="Arial" w:cs="Arial"/>
                <w:sz w:val="16"/>
                <w:szCs w:val="16"/>
                <w:lang w:val="de-DE"/>
              </w:rPr>
              <w:t xml:space="preserve"> (</w:t>
            </w:r>
            <w:r w:rsidRPr="001C0340">
              <w:rPr>
                <w:rFonts w:ascii="Arial" w:hAnsi="Arial" w:cs="Arial"/>
                <w:sz w:val="16"/>
                <w:szCs w:val="16"/>
                <w:lang w:val="de-DE"/>
              </w:rPr>
              <w:t>31.30227</w:t>
            </w:r>
            <w:r w:rsidRPr="00782238">
              <w:rPr>
                <w:rFonts w:ascii="Arial" w:hAnsi="Arial" w:cs="Arial"/>
                <w:sz w:val="16"/>
                <w:szCs w:val="16"/>
                <w:lang w:val="de-DE"/>
              </w:rPr>
              <w:t>)</w:t>
            </w:r>
          </w:p>
        </w:tc>
        <w:tc>
          <w:tcPr>
            <w:tcW w:w="1781" w:type="dxa"/>
            <w:vAlign w:val="center"/>
          </w:tcPr>
          <w:p w:rsidR="00A04E5D" w:rsidRPr="00782238" w:rsidRDefault="00A04E5D" w:rsidP="00076908">
            <w:pPr>
              <w:jc w:val="center"/>
              <w:rPr>
                <w:rFonts w:ascii="Arial" w:hAnsi="Arial" w:cs="Arial"/>
                <w:sz w:val="20"/>
                <w:szCs w:val="20"/>
                <w:lang w:val="de-DE"/>
              </w:rPr>
            </w:pPr>
            <w:r w:rsidRPr="00E03A26">
              <w:rPr>
                <w:rFonts w:ascii="Arial" w:hAnsi="Arial" w:cs="Arial"/>
                <w:sz w:val="20"/>
                <w:szCs w:val="20"/>
                <w:lang w:val="de-DE"/>
              </w:rPr>
              <w:t>19.87689</w:t>
            </w:r>
          </w:p>
          <w:p w:rsidR="00A04E5D" w:rsidRPr="00A51255" w:rsidRDefault="00A04E5D" w:rsidP="00076908">
            <w:pPr>
              <w:jc w:val="center"/>
              <w:rPr>
                <w:lang w:val="en-US"/>
              </w:rPr>
            </w:pPr>
            <w:r w:rsidRPr="00782238">
              <w:rPr>
                <w:rFonts w:ascii="Arial" w:hAnsi="Arial" w:cs="Arial"/>
                <w:sz w:val="16"/>
                <w:szCs w:val="16"/>
                <w:lang w:val="de-DE"/>
              </w:rPr>
              <w:t xml:space="preserve"> (</w:t>
            </w:r>
            <w:r w:rsidRPr="00E03A26">
              <w:rPr>
                <w:rFonts w:ascii="Arial" w:hAnsi="Arial" w:cs="Arial"/>
                <w:sz w:val="16"/>
                <w:szCs w:val="16"/>
                <w:lang w:val="de-DE"/>
              </w:rPr>
              <w:t>15.70590</w:t>
            </w:r>
            <w:r w:rsidRPr="00782238">
              <w:rPr>
                <w:rFonts w:ascii="Arial" w:hAnsi="Arial" w:cs="Arial"/>
                <w:sz w:val="16"/>
                <w:szCs w:val="16"/>
                <w:lang w:val="de-DE"/>
              </w:rPr>
              <w:t>)</w:t>
            </w:r>
          </w:p>
        </w:tc>
        <w:tc>
          <w:tcPr>
            <w:tcW w:w="2043" w:type="dxa"/>
            <w:vAlign w:val="center"/>
          </w:tcPr>
          <w:p w:rsidR="00A04E5D" w:rsidRPr="00782238" w:rsidRDefault="00F7514C" w:rsidP="00B76BD7">
            <w:pPr>
              <w:jc w:val="center"/>
              <w:rPr>
                <w:rFonts w:ascii="Arial" w:hAnsi="Arial" w:cs="Arial"/>
                <w:sz w:val="20"/>
                <w:szCs w:val="20"/>
                <w:lang w:val="de-DE"/>
              </w:rPr>
            </w:pPr>
            <w:r w:rsidRPr="00F7514C">
              <w:rPr>
                <w:rFonts w:ascii="Arial" w:hAnsi="Arial" w:cs="Arial"/>
                <w:sz w:val="20"/>
                <w:szCs w:val="20"/>
                <w:lang w:val="de-DE"/>
              </w:rPr>
              <w:t>19.58404</w:t>
            </w:r>
          </w:p>
          <w:p w:rsidR="00A04E5D" w:rsidRPr="00A51255" w:rsidRDefault="00A04E5D" w:rsidP="00B76BD7">
            <w:pPr>
              <w:jc w:val="center"/>
              <w:rPr>
                <w:lang w:val="en-US"/>
              </w:rPr>
            </w:pPr>
            <w:r w:rsidRPr="00782238">
              <w:rPr>
                <w:rFonts w:ascii="Arial" w:hAnsi="Arial" w:cs="Arial"/>
                <w:sz w:val="16"/>
                <w:szCs w:val="16"/>
                <w:lang w:val="de-DE"/>
              </w:rPr>
              <w:t xml:space="preserve"> (</w:t>
            </w:r>
            <w:r w:rsidR="00F7514C" w:rsidRPr="00F7514C">
              <w:rPr>
                <w:rFonts w:ascii="Arial" w:hAnsi="Arial" w:cs="Arial"/>
                <w:sz w:val="16"/>
                <w:szCs w:val="16"/>
                <w:lang w:val="de-DE"/>
              </w:rPr>
              <w:t>13.36013</w:t>
            </w:r>
            <w:r w:rsidRPr="00782238">
              <w:rPr>
                <w:rFonts w:ascii="Arial" w:hAnsi="Arial" w:cs="Arial"/>
                <w:sz w:val="16"/>
                <w:szCs w:val="16"/>
                <w:lang w:val="de-DE"/>
              </w:rPr>
              <w:t>)</w:t>
            </w:r>
          </w:p>
        </w:tc>
        <w:tc>
          <w:tcPr>
            <w:tcW w:w="1846" w:type="dxa"/>
            <w:vAlign w:val="center"/>
          </w:tcPr>
          <w:p w:rsidR="00A04E5D" w:rsidRPr="00782238" w:rsidRDefault="00983DBB" w:rsidP="00B76BD7">
            <w:pPr>
              <w:jc w:val="center"/>
              <w:rPr>
                <w:rFonts w:ascii="Arial" w:hAnsi="Arial" w:cs="Arial"/>
                <w:sz w:val="20"/>
                <w:szCs w:val="20"/>
                <w:lang w:val="de-DE"/>
              </w:rPr>
            </w:pPr>
            <w:r w:rsidRPr="00983DBB">
              <w:rPr>
                <w:rFonts w:ascii="Arial" w:hAnsi="Arial" w:cs="Arial"/>
                <w:sz w:val="20"/>
                <w:szCs w:val="20"/>
                <w:lang w:val="de-DE"/>
              </w:rPr>
              <w:t>-26.63974</w:t>
            </w:r>
          </w:p>
          <w:p w:rsidR="00A04E5D" w:rsidRPr="00A51255" w:rsidRDefault="00A04E5D" w:rsidP="00B76BD7">
            <w:pPr>
              <w:jc w:val="center"/>
              <w:rPr>
                <w:lang w:val="en-US"/>
              </w:rPr>
            </w:pPr>
            <w:r w:rsidRPr="00782238">
              <w:rPr>
                <w:rFonts w:ascii="Arial" w:hAnsi="Arial" w:cs="Arial"/>
                <w:sz w:val="16"/>
                <w:szCs w:val="16"/>
                <w:lang w:val="de-DE"/>
              </w:rPr>
              <w:t xml:space="preserve"> (</w:t>
            </w:r>
            <w:r w:rsidR="00983DBB" w:rsidRPr="00983DBB">
              <w:rPr>
                <w:rFonts w:ascii="Arial" w:hAnsi="Arial" w:cs="Arial"/>
                <w:sz w:val="16"/>
                <w:szCs w:val="16"/>
                <w:lang w:val="de-DE"/>
              </w:rPr>
              <w:t>18.57744</w:t>
            </w:r>
            <w:r w:rsidRPr="00782238">
              <w:rPr>
                <w:rFonts w:ascii="Arial" w:hAnsi="Arial" w:cs="Arial"/>
                <w:sz w:val="16"/>
                <w:szCs w:val="16"/>
                <w:lang w:val="de-DE"/>
              </w:rPr>
              <w:t>)</w:t>
            </w:r>
          </w:p>
        </w:tc>
      </w:tr>
      <w:tr w:rsidR="00A04E5D" w:rsidRPr="00A51255" w:rsidTr="00292431">
        <w:trPr>
          <w:jc w:val="center"/>
        </w:trPr>
        <w:tc>
          <w:tcPr>
            <w:tcW w:w="283" w:type="dxa"/>
            <w:vAlign w:val="center"/>
          </w:tcPr>
          <w:p w:rsidR="00A04E5D" w:rsidRPr="00A51255" w:rsidRDefault="00C65448" w:rsidP="00D63A00">
            <w:pPr>
              <w:spacing w:line="360" w:lineRule="auto"/>
              <w:jc w:val="center"/>
              <w:rPr>
                <w:rFonts w:ascii="Arial" w:hAnsi="Arial" w:cs="Arial"/>
                <w:sz w:val="16"/>
                <w:szCs w:val="16"/>
                <w:lang w:val="de-DE"/>
              </w:rPr>
            </w:pPr>
            <w:r>
              <w:rPr>
                <w:rFonts w:ascii="Arial" w:hAnsi="Arial" w:cs="Arial"/>
                <w:sz w:val="16"/>
                <w:szCs w:val="16"/>
                <w:lang w:val="de-DE"/>
              </w:rPr>
              <w:t>(</w:t>
            </w:r>
            <w:r w:rsidR="00A04E5D">
              <w:rPr>
                <w:rFonts w:ascii="Arial" w:hAnsi="Arial" w:cs="Arial"/>
                <w:sz w:val="16"/>
                <w:szCs w:val="16"/>
                <w:lang w:val="de-DE"/>
              </w:rPr>
              <w:t>3)</w:t>
            </w:r>
          </w:p>
        </w:tc>
        <w:tc>
          <w:tcPr>
            <w:tcW w:w="1843" w:type="dxa"/>
            <w:vAlign w:val="center"/>
          </w:tcPr>
          <w:p w:rsidR="000701C4" w:rsidRDefault="00A04E5D" w:rsidP="000701C4">
            <w:pPr>
              <w:ind w:left="87"/>
              <w:jc w:val="center"/>
            </w:pPr>
            <w:r w:rsidRPr="00B3604A">
              <w:rPr>
                <w:position w:val="-12"/>
              </w:rPr>
              <w:object w:dxaOrig="300" w:dyaOrig="360">
                <v:shape id="_x0000_i1117" type="#_x0000_t75" style="width:14.15pt;height:18pt" o:ole="">
                  <v:imagedata r:id="rId106" o:title=""/>
                </v:shape>
                <o:OLEObject Type="Embed" ProgID="Equation.3" ShapeID="_x0000_i1117" DrawAspect="Content" ObjectID="_1507543464" r:id="rId155"/>
              </w:object>
            </w:r>
          </w:p>
          <w:p w:rsidR="00A04E5D" w:rsidRPr="004F48F0" w:rsidRDefault="00A04E5D" w:rsidP="000701C4">
            <w:pPr>
              <w:ind w:left="87"/>
              <w:jc w:val="center"/>
              <w:rPr>
                <w:rFonts w:ascii="Arial" w:hAnsi="Arial" w:cs="Arial"/>
                <w:b/>
                <w:sz w:val="18"/>
                <w:szCs w:val="18"/>
                <w:lang w:val="de-DE"/>
              </w:rPr>
            </w:pPr>
            <w:r>
              <w:rPr>
                <w:rFonts w:ascii="Arial" w:hAnsi="Arial" w:cs="Arial"/>
                <w:b/>
                <w:sz w:val="18"/>
                <w:szCs w:val="18"/>
                <w:lang w:val="de-DE"/>
              </w:rPr>
              <w:t xml:space="preserve">strongly </w:t>
            </w:r>
            <w:r w:rsidRPr="004F48F0">
              <w:rPr>
                <w:rFonts w:ascii="Arial" w:hAnsi="Arial" w:cs="Arial"/>
                <w:b/>
                <w:sz w:val="18"/>
                <w:szCs w:val="18"/>
                <w:lang w:val="de-DE"/>
              </w:rPr>
              <w:t>negative</w:t>
            </w:r>
          </w:p>
        </w:tc>
        <w:tc>
          <w:tcPr>
            <w:tcW w:w="1885" w:type="dxa"/>
            <w:vAlign w:val="center"/>
          </w:tcPr>
          <w:p w:rsidR="00A04E5D" w:rsidRPr="00782238" w:rsidRDefault="00A04E5D" w:rsidP="00076908">
            <w:pPr>
              <w:jc w:val="center"/>
              <w:rPr>
                <w:rFonts w:ascii="Arial" w:hAnsi="Arial" w:cs="Arial"/>
                <w:sz w:val="20"/>
                <w:szCs w:val="20"/>
                <w:lang w:val="de-DE"/>
              </w:rPr>
            </w:pPr>
            <w:r w:rsidRPr="001C0340">
              <w:rPr>
                <w:rFonts w:ascii="Arial" w:hAnsi="Arial" w:cs="Arial"/>
                <w:sz w:val="20"/>
                <w:szCs w:val="20"/>
                <w:lang w:val="de-DE"/>
              </w:rPr>
              <w:t>-25.92982</w:t>
            </w:r>
          </w:p>
          <w:p w:rsidR="00A04E5D" w:rsidRPr="00782238" w:rsidRDefault="00A04E5D" w:rsidP="00076908">
            <w:pPr>
              <w:jc w:val="center"/>
              <w:rPr>
                <w:rFonts w:ascii="Arial" w:hAnsi="Arial" w:cs="Arial"/>
                <w:sz w:val="20"/>
                <w:szCs w:val="20"/>
                <w:lang w:val="de-DE"/>
              </w:rPr>
            </w:pPr>
            <w:r w:rsidRPr="00782238">
              <w:rPr>
                <w:rFonts w:ascii="Arial" w:hAnsi="Arial" w:cs="Arial"/>
                <w:sz w:val="16"/>
                <w:szCs w:val="16"/>
                <w:lang w:val="de-DE"/>
              </w:rPr>
              <w:t xml:space="preserve"> (</w:t>
            </w:r>
            <w:r w:rsidRPr="001C0340">
              <w:rPr>
                <w:rFonts w:ascii="Arial" w:hAnsi="Arial" w:cs="Arial"/>
                <w:sz w:val="16"/>
                <w:szCs w:val="16"/>
                <w:lang w:val="de-DE"/>
              </w:rPr>
              <w:t>110.8539</w:t>
            </w:r>
            <w:r w:rsidRPr="00782238">
              <w:rPr>
                <w:rFonts w:ascii="Arial" w:hAnsi="Arial" w:cs="Arial"/>
                <w:sz w:val="16"/>
                <w:szCs w:val="16"/>
                <w:lang w:val="de-DE"/>
              </w:rPr>
              <w:t>)</w:t>
            </w:r>
          </w:p>
        </w:tc>
        <w:tc>
          <w:tcPr>
            <w:tcW w:w="1781" w:type="dxa"/>
            <w:vAlign w:val="center"/>
          </w:tcPr>
          <w:p w:rsidR="00A04E5D" w:rsidRPr="00782238" w:rsidRDefault="00A04E5D" w:rsidP="00076908">
            <w:pPr>
              <w:jc w:val="center"/>
              <w:rPr>
                <w:rFonts w:ascii="Arial" w:hAnsi="Arial" w:cs="Arial"/>
                <w:sz w:val="20"/>
                <w:szCs w:val="20"/>
                <w:lang w:val="de-DE"/>
              </w:rPr>
            </w:pPr>
            <w:r w:rsidRPr="00E03A26">
              <w:rPr>
                <w:rFonts w:ascii="Arial" w:hAnsi="Arial" w:cs="Arial"/>
                <w:sz w:val="20"/>
                <w:szCs w:val="20"/>
                <w:lang w:val="de-DE"/>
              </w:rPr>
              <w:t>31.57786</w:t>
            </w:r>
            <w:r>
              <w:rPr>
                <w:rFonts w:ascii="Arial" w:hAnsi="Arial" w:cs="Arial"/>
                <w:sz w:val="20"/>
                <w:szCs w:val="20"/>
                <w:lang w:val="de-DE"/>
              </w:rPr>
              <w:t xml:space="preserve"> ***</w:t>
            </w:r>
          </w:p>
          <w:p w:rsidR="00A04E5D" w:rsidRPr="00A51255" w:rsidRDefault="00A04E5D" w:rsidP="00076908">
            <w:pPr>
              <w:jc w:val="center"/>
              <w:rPr>
                <w:lang w:val="en-US"/>
              </w:rPr>
            </w:pPr>
            <w:r w:rsidRPr="00782238">
              <w:rPr>
                <w:rFonts w:ascii="Arial" w:hAnsi="Arial" w:cs="Arial"/>
                <w:sz w:val="16"/>
                <w:szCs w:val="16"/>
                <w:lang w:val="de-DE"/>
              </w:rPr>
              <w:t xml:space="preserve"> (</w:t>
            </w:r>
            <w:r w:rsidRPr="00E03A26">
              <w:rPr>
                <w:rFonts w:ascii="Arial" w:hAnsi="Arial" w:cs="Arial"/>
                <w:sz w:val="16"/>
                <w:szCs w:val="16"/>
                <w:lang w:val="de-DE"/>
              </w:rPr>
              <w:t>4.329668</w:t>
            </w:r>
            <w:r w:rsidRPr="00782238">
              <w:rPr>
                <w:rFonts w:ascii="Arial" w:hAnsi="Arial" w:cs="Arial"/>
                <w:sz w:val="16"/>
                <w:szCs w:val="16"/>
                <w:lang w:val="de-DE"/>
              </w:rPr>
              <w:t>)</w:t>
            </w:r>
          </w:p>
        </w:tc>
        <w:tc>
          <w:tcPr>
            <w:tcW w:w="2043" w:type="dxa"/>
            <w:vAlign w:val="center"/>
          </w:tcPr>
          <w:p w:rsidR="00A04E5D" w:rsidRPr="00782238" w:rsidRDefault="00F7514C" w:rsidP="00B76BD7">
            <w:pPr>
              <w:jc w:val="center"/>
              <w:rPr>
                <w:rFonts w:ascii="Arial" w:hAnsi="Arial" w:cs="Arial"/>
                <w:sz w:val="20"/>
                <w:szCs w:val="20"/>
                <w:lang w:val="de-DE"/>
              </w:rPr>
            </w:pPr>
            <w:r w:rsidRPr="00F7514C">
              <w:rPr>
                <w:rFonts w:ascii="Arial" w:hAnsi="Arial" w:cs="Arial"/>
                <w:sz w:val="20"/>
                <w:szCs w:val="20"/>
                <w:lang w:val="de-DE"/>
              </w:rPr>
              <w:t>-38.09548</w:t>
            </w:r>
          </w:p>
          <w:p w:rsidR="00A04E5D" w:rsidRPr="00A51255" w:rsidRDefault="00A04E5D" w:rsidP="00B76BD7">
            <w:pPr>
              <w:jc w:val="center"/>
              <w:rPr>
                <w:lang w:val="en-US"/>
              </w:rPr>
            </w:pPr>
            <w:r w:rsidRPr="00782238">
              <w:rPr>
                <w:rFonts w:ascii="Arial" w:hAnsi="Arial" w:cs="Arial"/>
                <w:sz w:val="16"/>
                <w:szCs w:val="16"/>
                <w:lang w:val="de-DE"/>
              </w:rPr>
              <w:t xml:space="preserve"> (</w:t>
            </w:r>
            <w:r w:rsidR="00F7514C" w:rsidRPr="00F7514C">
              <w:rPr>
                <w:rFonts w:ascii="Arial" w:hAnsi="Arial" w:cs="Arial"/>
                <w:sz w:val="16"/>
                <w:szCs w:val="16"/>
                <w:lang w:val="de-DE"/>
              </w:rPr>
              <w:t>45.61772</w:t>
            </w:r>
            <w:r w:rsidRPr="00782238">
              <w:rPr>
                <w:rFonts w:ascii="Arial" w:hAnsi="Arial" w:cs="Arial"/>
                <w:sz w:val="16"/>
                <w:szCs w:val="16"/>
                <w:lang w:val="de-DE"/>
              </w:rPr>
              <w:t>)</w:t>
            </w:r>
          </w:p>
        </w:tc>
        <w:tc>
          <w:tcPr>
            <w:tcW w:w="1846" w:type="dxa"/>
            <w:vAlign w:val="center"/>
          </w:tcPr>
          <w:p w:rsidR="00A04E5D" w:rsidRPr="00782238" w:rsidRDefault="00983DBB" w:rsidP="00B76BD7">
            <w:pPr>
              <w:jc w:val="center"/>
              <w:rPr>
                <w:rFonts w:ascii="Arial" w:hAnsi="Arial" w:cs="Arial"/>
                <w:sz w:val="20"/>
                <w:szCs w:val="20"/>
                <w:lang w:val="de-DE"/>
              </w:rPr>
            </w:pPr>
            <w:r w:rsidRPr="00983DBB">
              <w:rPr>
                <w:rFonts w:ascii="Arial" w:hAnsi="Arial" w:cs="Arial"/>
                <w:sz w:val="20"/>
                <w:szCs w:val="20"/>
                <w:lang w:val="de-DE"/>
              </w:rPr>
              <w:t>40.96724</w:t>
            </w:r>
          </w:p>
          <w:p w:rsidR="00A04E5D" w:rsidRPr="00A51255" w:rsidRDefault="00A04E5D" w:rsidP="00B76BD7">
            <w:pPr>
              <w:jc w:val="center"/>
              <w:rPr>
                <w:lang w:val="en-US"/>
              </w:rPr>
            </w:pPr>
            <w:r w:rsidRPr="00782238">
              <w:rPr>
                <w:rFonts w:ascii="Arial" w:hAnsi="Arial" w:cs="Arial"/>
                <w:sz w:val="16"/>
                <w:szCs w:val="16"/>
                <w:lang w:val="de-DE"/>
              </w:rPr>
              <w:t xml:space="preserve"> (</w:t>
            </w:r>
            <w:r w:rsidR="00983DBB" w:rsidRPr="00983DBB">
              <w:rPr>
                <w:rFonts w:ascii="Arial" w:hAnsi="Arial" w:cs="Arial"/>
                <w:sz w:val="16"/>
                <w:szCs w:val="16"/>
                <w:lang w:val="de-DE"/>
              </w:rPr>
              <w:t>29.85069</w:t>
            </w:r>
            <w:r w:rsidRPr="00782238">
              <w:rPr>
                <w:rFonts w:ascii="Arial" w:hAnsi="Arial" w:cs="Arial"/>
                <w:sz w:val="16"/>
                <w:szCs w:val="16"/>
                <w:lang w:val="de-DE"/>
              </w:rPr>
              <w:t>)</w:t>
            </w:r>
          </w:p>
        </w:tc>
      </w:tr>
    </w:tbl>
    <w:p w:rsidR="0014213E" w:rsidRDefault="0014213E" w:rsidP="00EC6E8E">
      <w:pPr>
        <w:ind w:right="282"/>
        <w:jc w:val="both"/>
        <w:rPr>
          <w:rFonts w:ascii="Arial" w:hAnsi="Arial" w:cs="Arial"/>
          <w:sz w:val="16"/>
          <w:szCs w:val="16"/>
          <w:lang w:val="en-US"/>
        </w:rPr>
      </w:pPr>
    </w:p>
    <w:p w:rsidR="0021434A" w:rsidRDefault="0021434A" w:rsidP="0014213E">
      <w:pPr>
        <w:ind w:left="1134" w:right="282"/>
        <w:jc w:val="both"/>
        <w:rPr>
          <w:rFonts w:ascii="Arial" w:hAnsi="Arial" w:cs="Arial"/>
          <w:sz w:val="16"/>
          <w:szCs w:val="16"/>
          <w:lang w:val="en-US"/>
        </w:rPr>
      </w:pPr>
    </w:p>
    <w:p w:rsidR="0021434A" w:rsidRDefault="0021434A" w:rsidP="0021434A">
      <w:pPr>
        <w:ind w:right="282" w:firstLine="708"/>
        <w:jc w:val="both"/>
        <w:rPr>
          <w:rFonts w:ascii="Arial" w:hAnsi="Arial" w:cs="Arial"/>
          <w:sz w:val="20"/>
          <w:szCs w:val="20"/>
          <w:lang w:val="en-US"/>
        </w:rPr>
      </w:pPr>
      <w:r>
        <w:rPr>
          <w:rFonts w:ascii="Arial" w:hAnsi="Arial" w:cs="Arial"/>
          <w:sz w:val="16"/>
          <w:szCs w:val="16"/>
          <w:lang w:val="en-US"/>
        </w:rPr>
        <w:t>(</w:t>
      </w:r>
      <w:r w:rsidRPr="0063181F">
        <w:rPr>
          <w:rFonts w:ascii="Arial" w:hAnsi="Arial" w:cs="Arial"/>
          <w:sz w:val="20"/>
          <w:szCs w:val="20"/>
          <w:lang w:val="en-US"/>
        </w:rPr>
        <w:t>continued</w:t>
      </w:r>
      <w:r>
        <w:rPr>
          <w:rFonts w:ascii="Arial" w:hAnsi="Arial" w:cs="Arial"/>
          <w:sz w:val="20"/>
          <w:szCs w:val="20"/>
          <w:lang w:val="en-US"/>
        </w:rPr>
        <w:t xml:space="preserve"> on next page</w:t>
      </w:r>
      <w:r w:rsidRPr="0063181F">
        <w:rPr>
          <w:rFonts w:ascii="Arial" w:hAnsi="Arial" w:cs="Arial"/>
          <w:sz w:val="20"/>
          <w:szCs w:val="20"/>
          <w:lang w:val="en-US"/>
        </w:rPr>
        <w:t>)</w:t>
      </w:r>
    </w:p>
    <w:p w:rsidR="0090662F" w:rsidRDefault="0014213E" w:rsidP="0014213E">
      <w:pPr>
        <w:ind w:left="1134" w:right="282"/>
        <w:jc w:val="both"/>
        <w:rPr>
          <w:rFonts w:ascii="Arial" w:hAnsi="Arial" w:cs="Arial"/>
          <w:sz w:val="16"/>
          <w:szCs w:val="16"/>
          <w:lang w:val="en-US"/>
        </w:rPr>
      </w:pPr>
      <w:r>
        <w:rPr>
          <w:rFonts w:ascii="Arial" w:hAnsi="Arial" w:cs="Arial"/>
          <w:sz w:val="16"/>
          <w:szCs w:val="16"/>
          <w:lang w:val="en-US"/>
        </w:rPr>
        <w:br w:type="page"/>
      </w:r>
    </w:p>
    <w:p w:rsidR="0090662F" w:rsidRDefault="0090662F" w:rsidP="0014213E">
      <w:pPr>
        <w:ind w:left="1134" w:right="282"/>
        <w:jc w:val="both"/>
        <w:rPr>
          <w:rFonts w:ascii="Arial" w:hAnsi="Arial" w:cs="Arial"/>
          <w:sz w:val="16"/>
          <w:szCs w:val="16"/>
          <w:lang w:val="en-US"/>
        </w:rPr>
      </w:pPr>
    </w:p>
    <w:p w:rsidR="00481658" w:rsidRDefault="00481658" w:rsidP="0014213E">
      <w:pPr>
        <w:ind w:left="1134" w:right="282"/>
        <w:jc w:val="both"/>
        <w:rPr>
          <w:rFonts w:ascii="Arial" w:hAnsi="Arial" w:cs="Arial"/>
          <w:sz w:val="20"/>
          <w:szCs w:val="20"/>
          <w:highlight w:val="green"/>
          <w:lang w:val="en-US"/>
        </w:rPr>
      </w:pPr>
    </w:p>
    <w:p w:rsidR="00481658" w:rsidRDefault="00481658" w:rsidP="0014213E">
      <w:pPr>
        <w:ind w:left="1134" w:right="282"/>
        <w:jc w:val="both"/>
        <w:rPr>
          <w:rFonts w:ascii="Arial" w:hAnsi="Arial" w:cs="Arial"/>
          <w:sz w:val="20"/>
          <w:szCs w:val="20"/>
          <w:highlight w:val="green"/>
          <w:lang w:val="en-US"/>
        </w:rPr>
      </w:pPr>
    </w:p>
    <w:p w:rsidR="00481658" w:rsidRDefault="00481658" w:rsidP="0014213E">
      <w:pPr>
        <w:ind w:left="1134" w:right="282"/>
        <w:jc w:val="both"/>
        <w:rPr>
          <w:rFonts w:ascii="Arial" w:hAnsi="Arial" w:cs="Arial"/>
          <w:sz w:val="20"/>
          <w:szCs w:val="20"/>
          <w:highlight w:val="green"/>
          <w:lang w:val="en-US"/>
        </w:rPr>
      </w:pPr>
    </w:p>
    <w:p w:rsidR="00481658" w:rsidRDefault="00481658" w:rsidP="0014213E">
      <w:pPr>
        <w:ind w:left="1134" w:right="282"/>
        <w:jc w:val="both"/>
        <w:rPr>
          <w:rFonts w:ascii="Arial" w:hAnsi="Arial" w:cs="Arial"/>
          <w:sz w:val="20"/>
          <w:szCs w:val="20"/>
          <w:highlight w:val="green"/>
          <w:lang w:val="en-US"/>
        </w:rPr>
      </w:pPr>
    </w:p>
    <w:p w:rsidR="00481658" w:rsidRDefault="00481658" w:rsidP="0014213E">
      <w:pPr>
        <w:ind w:left="1134" w:right="282"/>
        <w:jc w:val="both"/>
        <w:rPr>
          <w:rFonts w:ascii="Arial" w:hAnsi="Arial" w:cs="Arial"/>
          <w:sz w:val="20"/>
          <w:szCs w:val="20"/>
          <w:highlight w:val="green"/>
          <w:lang w:val="en-US"/>
        </w:rPr>
      </w:pPr>
    </w:p>
    <w:p w:rsidR="00481658" w:rsidRDefault="00481658" w:rsidP="0014213E">
      <w:pPr>
        <w:ind w:left="1134" w:right="282"/>
        <w:jc w:val="both"/>
        <w:rPr>
          <w:rFonts w:ascii="Arial" w:hAnsi="Arial" w:cs="Arial"/>
          <w:sz w:val="20"/>
          <w:szCs w:val="20"/>
          <w:highlight w:val="green"/>
          <w:lang w:val="en-US"/>
        </w:rPr>
      </w:pPr>
    </w:p>
    <w:p w:rsidR="0014213E" w:rsidRDefault="0063181F" w:rsidP="00F15E21">
      <w:pPr>
        <w:ind w:right="282"/>
        <w:jc w:val="both"/>
        <w:rPr>
          <w:rFonts w:ascii="Arial" w:hAnsi="Arial" w:cs="Arial"/>
          <w:sz w:val="20"/>
          <w:szCs w:val="20"/>
          <w:lang w:val="en-US"/>
        </w:rPr>
      </w:pPr>
      <w:r>
        <w:rPr>
          <w:rFonts w:ascii="Arial" w:hAnsi="Arial" w:cs="Arial"/>
          <w:sz w:val="20"/>
          <w:szCs w:val="20"/>
          <w:lang w:val="en-US"/>
        </w:rPr>
        <w:t xml:space="preserve">Table </w:t>
      </w:r>
      <w:r w:rsidR="0014213E" w:rsidRPr="0063181F">
        <w:rPr>
          <w:rFonts w:ascii="Arial" w:hAnsi="Arial" w:cs="Arial"/>
          <w:sz w:val="20"/>
          <w:szCs w:val="20"/>
          <w:lang w:val="en-US"/>
        </w:rPr>
        <w:t>4</w:t>
      </w:r>
      <w:r w:rsidR="00E248F1" w:rsidRPr="0063181F">
        <w:rPr>
          <w:rFonts w:ascii="Arial" w:hAnsi="Arial" w:cs="Arial"/>
          <w:sz w:val="20"/>
          <w:szCs w:val="20"/>
          <w:lang w:val="en-US"/>
        </w:rPr>
        <w:t>a</w:t>
      </w:r>
      <w:r w:rsidR="0014213E" w:rsidRPr="0063181F">
        <w:rPr>
          <w:rFonts w:ascii="Arial" w:hAnsi="Arial" w:cs="Arial"/>
          <w:sz w:val="20"/>
          <w:szCs w:val="20"/>
          <w:lang w:val="en-US"/>
        </w:rPr>
        <w:t xml:space="preserve"> (continued):</w:t>
      </w:r>
    </w:p>
    <w:p w:rsidR="001B0D36" w:rsidRDefault="001B0D36" w:rsidP="00F15E21">
      <w:pPr>
        <w:ind w:right="282"/>
        <w:jc w:val="both"/>
        <w:rPr>
          <w:rFonts w:ascii="Arial" w:hAnsi="Arial" w:cs="Arial"/>
          <w:sz w:val="20"/>
          <w:szCs w:val="20"/>
          <w:lang w:val="en-US"/>
        </w:rPr>
      </w:pPr>
    </w:p>
    <w:p w:rsidR="00AF2496" w:rsidRDefault="00AF2496" w:rsidP="00F15E21">
      <w:pPr>
        <w:ind w:right="282"/>
        <w:jc w:val="both"/>
        <w:rPr>
          <w:rFonts w:ascii="Arial" w:hAnsi="Arial" w:cs="Arial"/>
          <w:sz w:val="20"/>
          <w:szCs w:val="20"/>
          <w:lang w:val="en-US"/>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35"/>
        <w:gridCol w:w="1933"/>
        <w:gridCol w:w="1942"/>
        <w:gridCol w:w="1728"/>
        <w:gridCol w:w="1897"/>
        <w:gridCol w:w="1820"/>
      </w:tblGrid>
      <w:tr w:rsidR="00AF2496" w:rsidRPr="004F48F0" w:rsidTr="00AF2496">
        <w:trPr>
          <w:jc w:val="center"/>
        </w:trPr>
        <w:tc>
          <w:tcPr>
            <w:tcW w:w="458" w:type="dxa"/>
            <w:gridSpan w:val="2"/>
            <w:vAlign w:val="center"/>
          </w:tcPr>
          <w:p w:rsidR="00AF2496" w:rsidRPr="00124F83" w:rsidRDefault="00AF2496" w:rsidP="002C594D">
            <w:pPr>
              <w:spacing w:line="360" w:lineRule="auto"/>
              <w:jc w:val="center"/>
              <w:rPr>
                <w:rFonts w:ascii="Arial" w:hAnsi="Arial" w:cs="Arial"/>
                <w:sz w:val="16"/>
                <w:szCs w:val="16"/>
                <w:lang w:val="de-DE"/>
              </w:rPr>
            </w:pPr>
            <w:r w:rsidRPr="00A51255">
              <w:rPr>
                <w:rFonts w:ascii="Arial" w:hAnsi="Arial" w:cs="Arial"/>
                <w:sz w:val="16"/>
                <w:szCs w:val="16"/>
                <w:lang w:val="de-DE"/>
              </w:rPr>
              <w:t>Eq.</w:t>
            </w:r>
          </w:p>
        </w:tc>
        <w:tc>
          <w:tcPr>
            <w:tcW w:w="9320" w:type="dxa"/>
            <w:gridSpan w:val="5"/>
            <w:vAlign w:val="center"/>
          </w:tcPr>
          <w:p w:rsidR="00AF2496" w:rsidRDefault="00AF2496" w:rsidP="002C594D">
            <w:pPr>
              <w:jc w:val="center"/>
              <w:rPr>
                <w:rFonts w:ascii="Arial" w:hAnsi="Arial" w:cs="Arial"/>
                <w:b/>
                <w:sz w:val="18"/>
                <w:szCs w:val="18"/>
                <w:lang w:val="de-DE"/>
              </w:rPr>
            </w:pPr>
          </w:p>
          <w:p w:rsidR="00AF2496" w:rsidRDefault="00AF2496" w:rsidP="002C594D">
            <w:pPr>
              <w:jc w:val="center"/>
              <w:rPr>
                <w:b/>
                <w:i/>
                <w:sz w:val="18"/>
                <w:szCs w:val="18"/>
                <w:lang w:val="de-DE"/>
              </w:rPr>
            </w:pPr>
            <w:r w:rsidRPr="004F48F0">
              <w:rPr>
                <w:rFonts w:ascii="Arial" w:hAnsi="Arial" w:cs="Arial"/>
                <w:b/>
                <w:sz w:val="18"/>
                <w:szCs w:val="18"/>
                <w:lang w:val="de-DE"/>
              </w:rPr>
              <w:t xml:space="preserve">On day </w:t>
            </w:r>
            <w:r w:rsidRPr="004F48F0">
              <w:rPr>
                <w:b/>
                <w:i/>
                <w:sz w:val="18"/>
                <w:szCs w:val="18"/>
                <w:lang w:val="de-DE"/>
              </w:rPr>
              <w:t>t</w:t>
            </w:r>
          </w:p>
          <w:p w:rsidR="00AF2496" w:rsidRPr="004F48F0" w:rsidRDefault="00AF2496" w:rsidP="002C594D">
            <w:pPr>
              <w:jc w:val="center"/>
              <w:rPr>
                <w:rFonts w:ascii="Arial" w:hAnsi="Arial" w:cs="Arial"/>
                <w:b/>
                <w:sz w:val="18"/>
                <w:szCs w:val="18"/>
                <w:lang w:val="de-DE"/>
              </w:rPr>
            </w:pPr>
          </w:p>
        </w:tc>
      </w:tr>
      <w:tr w:rsidR="0090662F" w:rsidTr="00AF2496">
        <w:trPr>
          <w:jc w:val="center"/>
        </w:trPr>
        <w:tc>
          <w:tcPr>
            <w:tcW w:w="9773" w:type="dxa"/>
            <w:gridSpan w:val="7"/>
            <w:vAlign w:val="center"/>
          </w:tcPr>
          <w:p w:rsidR="007A3E86" w:rsidRDefault="007A3E86" w:rsidP="002C594D">
            <w:pPr>
              <w:jc w:val="center"/>
              <w:rPr>
                <w:rFonts w:ascii="Arial" w:hAnsi="Arial" w:cs="Arial"/>
                <w:b/>
                <w:sz w:val="18"/>
                <w:szCs w:val="18"/>
                <w:lang w:val="de-DE"/>
              </w:rPr>
            </w:pPr>
          </w:p>
          <w:p w:rsidR="0090662F" w:rsidRDefault="0090662F" w:rsidP="002C594D">
            <w:pPr>
              <w:jc w:val="center"/>
              <w:rPr>
                <w:rFonts w:ascii="Arial" w:hAnsi="Arial" w:cs="Arial"/>
                <w:b/>
                <w:sz w:val="18"/>
                <w:szCs w:val="18"/>
                <w:lang w:val="de-DE"/>
              </w:rPr>
            </w:pPr>
            <w:r>
              <w:rPr>
                <w:rFonts w:ascii="Arial" w:hAnsi="Arial" w:cs="Arial"/>
                <w:b/>
                <w:sz w:val="18"/>
                <w:szCs w:val="18"/>
                <w:lang w:val="de-DE"/>
              </w:rPr>
              <w:t>Conditional variance</w:t>
            </w:r>
            <w:r w:rsidRPr="009D3E6A">
              <w:rPr>
                <w:rFonts w:ascii="Arial" w:hAnsi="Arial" w:cs="Arial"/>
                <w:b/>
                <w:sz w:val="18"/>
                <w:szCs w:val="18"/>
                <w:lang w:val="de-DE"/>
              </w:rPr>
              <w:t xml:space="preserve"> equation:</w:t>
            </w:r>
          </w:p>
          <w:p w:rsidR="007A3E86" w:rsidRDefault="007A3E86" w:rsidP="002C594D">
            <w:pPr>
              <w:jc w:val="center"/>
              <w:rPr>
                <w:rFonts w:ascii="Arial" w:hAnsi="Arial" w:cs="Arial"/>
                <w:sz w:val="20"/>
                <w:szCs w:val="20"/>
                <w:lang w:val="de-DE"/>
              </w:rPr>
            </w:pPr>
          </w:p>
        </w:tc>
      </w:tr>
      <w:tr w:rsidR="00AF2496" w:rsidRPr="00A51255" w:rsidTr="00AF2496">
        <w:trPr>
          <w:jc w:val="center"/>
        </w:trPr>
        <w:tc>
          <w:tcPr>
            <w:tcW w:w="423" w:type="dxa"/>
            <w:vAlign w:val="center"/>
          </w:tcPr>
          <w:p w:rsidR="0090662F" w:rsidRPr="00A51255" w:rsidRDefault="00C65448" w:rsidP="002C594D">
            <w:pPr>
              <w:spacing w:line="360" w:lineRule="auto"/>
              <w:jc w:val="center"/>
              <w:rPr>
                <w:rFonts w:ascii="Arial" w:hAnsi="Arial" w:cs="Arial"/>
                <w:sz w:val="16"/>
                <w:szCs w:val="16"/>
                <w:lang w:val="de-DE"/>
              </w:rPr>
            </w:pPr>
            <w:r>
              <w:rPr>
                <w:rFonts w:ascii="Arial" w:hAnsi="Arial" w:cs="Arial"/>
                <w:sz w:val="16"/>
                <w:szCs w:val="16"/>
                <w:lang w:val="de-DE"/>
              </w:rPr>
              <w:t>(</w:t>
            </w:r>
            <w:r w:rsidR="0090662F">
              <w:rPr>
                <w:rFonts w:ascii="Arial" w:hAnsi="Arial" w:cs="Arial"/>
                <w:sz w:val="16"/>
                <w:szCs w:val="16"/>
                <w:lang w:val="de-DE"/>
              </w:rPr>
              <w:t>4)</w:t>
            </w:r>
          </w:p>
        </w:tc>
        <w:tc>
          <w:tcPr>
            <w:tcW w:w="1968" w:type="dxa"/>
            <w:gridSpan w:val="2"/>
            <w:vAlign w:val="center"/>
          </w:tcPr>
          <w:p w:rsidR="0090662F" w:rsidRPr="004F48F0" w:rsidRDefault="0090662F" w:rsidP="002C594D">
            <w:pPr>
              <w:jc w:val="center"/>
              <w:rPr>
                <w:rFonts w:ascii="Arial" w:hAnsi="Arial" w:cs="Arial"/>
                <w:b/>
                <w:sz w:val="18"/>
                <w:szCs w:val="18"/>
                <w:lang w:val="de-DE"/>
              </w:rPr>
            </w:pPr>
            <w:r w:rsidRPr="002163BB">
              <w:rPr>
                <w:rFonts w:ascii="Garamond" w:hAnsi="Garamond"/>
                <w:i/>
                <w:position w:val="-12"/>
                <w:lang w:val="de-DE"/>
              </w:rPr>
              <w:object w:dxaOrig="300" w:dyaOrig="400">
                <v:shape id="_x0000_i1118" type="#_x0000_t75" style="width:12.85pt;height:18pt" o:ole="">
                  <v:imagedata r:id="rId110" o:title=""/>
                </v:shape>
                <o:OLEObject Type="Embed" ProgID="Equation.3" ShapeID="_x0000_i1118" DrawAspect="Content" ObjectID="_1507543465" r:id="rId156"/>
              </w:object>
            </w:r>
          </w:p>
        </w:tc>
        <w:tc>
          <w:tcPr>
            <w:tcW w:w="1942" w:type="dxa"/>
            <w:vAlign w:val="center"/>
          </w:tcPr>
          <w:p w:rsidR="0090662F" w:rsidRPr="00782238" w:rsidRDefault="0090662F" w:rsidP="002C594D">
            <w:pPr>
              <w:jc w:val="center"/>
              <w:rPr>
                <w:rFonts w:ascii="Arial" w:hAnsi="Arial" w:cs="Arial"/>
                <w:sz w:val="20"/>
                <w:szCs w:val="20"/>
                <w:lang w:val="de-DE"/>
              </w:rPr>
            </w:pPr>
            <w:r w:rsidRPr="009D0CA4">
              <w:rPr>
                <w:rFonts w:ascii="Arial" w:hAnsi="Arial" w:cs="Arial"/>
                <w:sz w:val="20"/>
                <w:szCs w:val="20"/>
                <w:lang w:val="de-DE"/>
              </w:rPr>
              <w:t>1193.164</w:t>
            </w:r>
            <w:r>
              <w:rPr>
                <w:rFonts w:ascii="Arial" w:hAnsi="Arial" w:cs="Arial"/>
                <w:sz w:val="20"/>
                <w:szCs w:val="20"/>
                <w:lang w:val="de-DE"/>
              </w:rPr>
              <w:t xml:space="preserve"> ***</w:t>
            </w:r>
          </w:p>
          <w:p w:rsidR="0090662F" w:rsidRPr="00782238" w:rsidRDefault="0090662F" w:rsidP="002C594D">
            <w:pPr>
              <w:jc w:val="center"/>
              <w:rPr>
                <w:rFonts w:ascii="Arial" w:hAnsi="Arial" w:cs="Arial"/>
                <w:sz w:val="20"/>
                <w:szCs w:val="20"/>
                <w:lang w:val="de-DE"/>
              </w:rPr>
            </w:pPr>
            <w:r w:rsidRPr="00782238">
              <w:rPr>
                <w:rFonts w:ascii="Arial" w:hAnsi="Arial" w:cs="Arial"/>
                <w:sz w:val="16"/>
                <w:szCs w:val="16"/>
                <w:lang w:val="de-DE"/>
              </w:rPr>
              <w:t xml:space="preserve"> (</w:t>
            </w:r>
            <w:r w:rsidRPr="009D0CA4">
              <w:rPr>
                <w:rFonts w:ascii="Arial" w:hAnsi="Arial" w:cs="Arial"/>
                <w:sz w:val="16"/>
                <w:szCs w:val="16"/>
                <w:lang w:val="de-DE"/>
              </w:rPr>
              <w:t>199.6763</w:t>
            </w:r>
            <w:r w:rsidRPr="00782238">
              <w:rPr>
                <w:rFonts w:ascii="Arial" w:hAnsi="Arial" w:cs="Arial"/>
                <w:sz w:val="16"/>
                <w:szCs w:val="16"/>
                <w:lang w:val="de-DE"/>
              </w:rPr>
              <w:t>)</w:t>
            </w:r>
          </w:p>
        </w:tc>
        <w:tc>
          <w:tcPr>
            <w:tcW w:w="1728" w:type="dxa"/>
            <w:vAlign w:val="center"/>
          </w:tcPr>
          <w:p w:rsidR="0090662F" w:rsidRPr="00782238" w:rsidRDefault="0090662F" w:rsidP="002C594D">
            <w:pPr>
              <w:jc w:val="center"/>
              <w:rPr>
                <w:rFonts w:ascii="Arial" w:hAnsi="Arial" w:cs="Arial"/>
                <w:sz w:val="20"/>
                <w:szCs w:val="20"/>
                <w:lang w:val="de-DE"/>
              </w:rPr>
            </w:pPr>
            <w:r w:rsidRPr="002824BA">
              <w:rPr>
                <w:rFonts w:ascii="Arial" w:hAnsi="Arial" w:cs="Arial"/>
                <w:sz w:val="20"/>
                <w:szCs w:val="20"/>
                <w:lang w:val="de-DE"/>
              </w:rPr>
              <w:t>1670.550</w:t>
            </w:r>
            <w:r>
              <w:rPr>
                <w:rFonts w:ascii="Arial" w:hAnsi="Arial" w:cs="Arial"/>
                <w:sz w:val="20"/>
                <w:szCs w:val="20"/>
                <w:lang w:val="de-DE"/>
              </w:rPr>
              <w:t xml:space="preserve"> ***</w:t>
            </w:r>
          </w:p>
          <w:p w:rsidR="0090662F" w:rsidRPr="00A51255" w:rsidRDefault="0090662F" w:rsidP="002C594D">
            <w:pPr>
              <w:jc w:val="center"/>
              <w:rPr>
                <w:lang w:val="en-US"/>
              </w:rPr>
            </w:pPr>
            <w:r w:rsidRPr="00782238">
              <w:rPr>
                <w:rFonts w:ascii="Arial" w:hAnsi="Arial" w:cs="Arial"/>
                <w:sz w:val="16"/>
                <w:szCs w:val="16"/>
                <w:lang w:val="de-DE"/>
              </w:rPr>
              <w:t xml:space="preserve"> (</w:t>
            </w:r>
            <w:r w:rsidRPr="002824BA">
              <w:rPr>
                <w:rFonts w:ascii="Arial" w:hAnsi="Arial" w:cs="Arial"/>
                <w:sz w:val="16"/>
                <w:szCs w:val="16"/>
                <w:lang w:val="de-DE"/>
              </w:rPr>
              <w:t>142.2296</w:t>
            </w:r>
            <w:r w:rsidRPr="00782238">
              <w:rPr>
                <w:rFonts w:ascii="Arial" w:hAnsi="Arial" w:cs="Arial"/>
                <w:sz w:val="16"/>
                <w:szCs w:val="16"/>
                <w:lang w:val="de-DE"/>
              </w:rPr>
              <w:t>)</w:t>
            </w:r>
          </w:p>
        </w:tc>
        <w:tc>
          <w:tcPr>
            <w:tcW w:w="1897" w:type="dxa"/>
            <w:vAlign w:val="center"/>
          </w:tcPr>
          <w:p w:rsidR="0090662F" w:rsidRPr="00782238" w:rsidRDefault="0090662F" w:rsidP="002C594D">
            <w:pPr>
              <w:jc w:val="center"/>
              <w:rPr>
                <w:rFonts w:ascii="Arial" w:hAnsi="Arial" w:cs="Arial"/>
                <w:sz w:val="20"/>
                <w:szCs w:val="20"/>
                <w:lang w:val="de-DE"/>
              </w:rPr>
            </w:pPr>
            <w:r w:rsidRPr="001E5787">
              <w:rPr>
                <w:rFonts w:ascii="Arial" w:hAnsi="Arial" w:cs="Arial"/>
                <w:sz w:val="20"/>
                <w:szCs w:val="20"/>
                <w:lang w:val="de-DE"/>
              </w:rPr>
              <w:t>1469.826</w:t>
            </w:r>
            <w:r>
              <w:rPr>
                <w:rFonts w:ascii="Arial" w:hAnsi="Arial" w:cs="Arial"/>
                <w:sz w:val="20"/>
                <w:szCs w:val="20"/>
                <w:lang w:val="de-DE"/>
              </w:rPr>
              <w:t xml:space="preserve"> ***</w:t>
            </w:r>
          </w:p>
          <w:p w:rsidR="0090662F" w:rsidRPr="00A51255" w:rsidRDefault="0090662F" w:rsidP="002C594D">
            <w:pPr>
              <w:jc w:val="center"/>
              <w:rPr>
                <w:lang w:val="en-US"/>
              </w:rPr>
            </w:pPr>
            <w:r w:rsidRPr="00782238">
              <w:rPr>
                <w:rFonts w:ascii="Arial" w:hAnsi="Arial" w:cs="Arial"/>
                <w:sz w:val="16"/>
                <w:szCs w:val="16"/>
                <w:lang w:val="de-DE"/>
              </w:rPr>
              <w:t xml:space="preserve"> (</w:t>
            </w:r>
            <w:r w:rsidRPr="001E5787">
              <w:rPr>
                <w:rFonts w:ascii="Arial" w:hAnsi="Arial" w:cs="Arial"/>
                <w:sz w:val="16"/>
                <w:szCs w:val="16"/>
                <w:lang w:val="de-DE"/>
              </w:rPr>
              <w:t>118.8482</w:t>
            </w:r>
            <w:r w:rsidRPr="00782238">
              <w:rPr>
                <w:rFonts w:ascii="Arial" w:hAnsi="Arial" w:cs="Arial"/>
                <w:sz w:val="16"/>
                <w:szCs w:val="16"/>
                <w:lang w:val="de-DE"/>
              </w:rPr>
              <w:t>)</w:t>
            </w:r>
          </w:p>
        </w:tc>
        <w:tc>
          <w:tcPr>
            <w:tcW w:w="1815" w:type="dxa"/>
            <w:vAlign w:val="center"/>
          </w:tcPr>
          <w:p w:rsidR="0090662F" w:rsidRPr="00782238" w:rsidRDefault="0090662F" w:rsidP="002C594D">
            <w:pPr>
              <w:jc w:val="center"/>
              <w:rPr>
                <w:rFonts w:ascii="Arial" w:hAnsi="Arial" w:cs="Arial"/>
                <w:sz w:val="20"/>
                <w:szCs w:val="20"/>
                <w:lang w:val="de-DE"/>
              </w:rPr>
            </w:pPr>
            <w:r w:rsidRPr="00230912">
              <w:rPr>
                <w:rFonts w:ascii="Arial" w:hAnsi="Arial" w:cs="Arial"/>
                <w:sz w:val="20"/>
                <w:szCs w:val="20"/>
                <w:lang w:val="de-DE"/>
              </w:rPr>
              <w:t>1566.930</w:t>
            </w:r>
            <w:r>
              <w:rPr>
                <w:rFonts w:ascii="Arial" w:hAnsi="Arial" w:cs="Arial"/>
                <w:sz w:val="20"/>
                <w:szCs w:val="20"/>
                <w:lang w:val="de-DE"/>
              </w:rPr>
              <w:t xml:space="preserve"> ***</w:t>
            </w:r>
          </w:p>
          <w:p w:rsidR="0090662F" w:rsidRPr="00A51255" w:rsidRDefault="0090662F" w:rsidP="002C594D">
            <w:pPr>
              <w:jc w:val="center"/>
              <w:rPr>
                <w:lang w:val="en-US"/>
              </w:rPr>
            </w:pPr>
            <w:r w:rsidRPr="00782238">
              <w:rPr>
                <w:rFonts w:ascii="Arial" w:hAnsi="Arial" w:cs="Arial"/>
                <w:sz w:val="16"/>
                <w:szCs w:val="16"/>
                <w:lang w:val="de-DE"/>
              </w:rPr>
              <w:t xml:space="preserve"> (</w:t>
            </w:r>
            <w:r w:rsidRPr="00230912">
              <w:rPr>
                <w:rFonts w:ascii="Arial" w:hAnsi="Arial" w:cs="Arial"/>
                <w:sz w:val="16"/>
                <w:szCs w:val="16"/>
                <w:lang w:val="de-DE"/>
              </w:rPr>
              <w:t>165.5930</w:t>
            </w:r>
            <w:r w:rsidRPr="00782238">
              <w:rPr>
                <w:rFonts w:ascii="Arial" w:hAnsi="Arial" w:cs="Arial"/>
                <w:sz w:val="16"/>
                <w:szCs w:val="16"/>
                <w:lang w:val="de-DE"/>
              </w:rPr>
              <w:t>)</w:t>
            </w:r>
          </w:p>
        </w:tc>
      </w:tr>
      <w:tr w:rsidR="00AF2496" w:rsidRPr="00A51255" w:rsidTr="00AF2496">
        <w:trPr>
          <w:jc w:val="center"/>
        </w:trPr>
        <w:tc>
          <w:tcPr>
            <w:tcW w:w="423" w:type="dxa"/>
            <w:vAlign w:val="center"/>
          </w:tcPr>
          <w:p w:rsidR="0090662F" w:rsidRPr="00A51255" w:rsidRDefault="00C65448" w:rsidP="002C594D">
            <w:pPr>
              <w:spacing w:line="360" w:lineRule="auto"/>
              <w:jc w:val="center"/>
              <w:rPr>
                <w:rFonts w:ascii="Arial" w:hAnsi="Arial" w:cs="Arial"/>
                <w:lang w:val="en-US"/>
              </w:rPr>
            </w:pPr>
            <w:r>
              <w:rPr>
                <w:rFonts w:ascii="Arial" w:hAnsi="Arial" w:cs="Arial"/>
                <w:sz w:val="16"/>
                <w:szCs w:val="16"/>
                <w:lang w:val="de-DE"/>
              </w:rPr>
              <w:t>(</w:t>
            </w:r>
            <w:r w:rsidR="0090662F">
              <w:rPr>
                <w:rFonts w:ascii="Arial" w:hAnsi="Arial" w:cs="Arial"/>
                <w:sz w:val="16"/>
                <w:szCs w:val="16"/>
                <w:lang w:val="de-DE"/>
              </w:rPr>
              <w:t>4)</w:t>
            </w:r>
          </w:p>
        </w:tc>
        <w:tc>
          <w:tcPr>
            <w:tcW w:w="1968" w:type="dxa"/>
            <w:gridSpan w:val="2"/>
            <w:vAlign w:val="center"/>
          </w:tcPr>
          <w:p w:rsidR="0090662F" w:rsidRPr="004F48F0" w:rsidRDefault="0090662F" w:rsidP="002C594D">
            <w:pPr>
              <w:jc w:val="center"/>
              <w:rPr>
                <w:rFonts w:ascii="Arial" w:hAnsi="Arial" w:cs="Arial"/>
                <w:b/>
                <w:sz w:val="18"/>
                <w:szCs w:val="18"/>
                <w:lang w:val="de-DE"/>
              </w:rPr>
            </w:pPr>
            <w:r w:rsidRPr="00B3604A">
              <w:rPr>
                <w:rFonts w:ascii="Garamond" w:hAnsi="Garamond"/>
                <w:i/>
                <w:position w:val="-10"/>
                <w:lang w:val="de-DE"/>
              </w:rPr>
              <w:object w:dxaOrig="279" w:dyaOrig="380">
                <v:shape id="_x0000_i1119" type="#_x0000_t75" style="width:11.55pt;height:16.7pt" o:ole="">
                  <v:imagedata r:id="rId112" o:title=""/>
                </v:shape>
                <o:OLEObject Type="Embed" ProgID="Equation.3" ShapeID="_x0000_i1119" DrawAspect="Content" ObjectID="_1507543466" r:id="rId157"/>
              </w:object>
            </w:r>
          </w:p>
        </w:tc>
        <w:tc>
          <w:tcPr>
            <w:tcW w:w="1942" w:type="dxa"/>
            <w:vAlign w:val="center"/>
          </w:tcPr>
          <w:p w:rsidR="0090662F" w:rsidRPr="00782238" w:rsidRDefault="0090662F" w:rsidP="002C594D">
            <w:pPr>
              <w:jc w:val="center"/>
              <w:rPr>
                <w:rFonts w:ascii="Arial" w:hAnsi="Arial" w:cs="Arial"/>
                <w:sz w:val="20"/>
                <w:szCs w:val="20"/>
                <w:lang w:val="de-DE"/>
              </w:rPr>
            </w:pPr>
            <w:r w:rsidRPr="009D0CA4">
              <w:rPr>
                <w:rFonts w:ascii="Arial" w:hAnsi="Arial" w:cs="Arial"/>
                <w:sz w:val="20"/>
                <w:szCs w:val="20"/>
                <w:lang w:val="de-DE"/>
              </w:rPr>
              <w:t>0.263912</w:t>
            </w:r>
            <w:r>
              <w:rPr>
                <w:rFonts w:ascii="Arial" w:hAnsi="Arial" w:cs="Arial"/>
                <w:sz w:val="20"/>
                <w:szCs w:val="20"/>
                <w:lang w:val="de-DE"/>
              </w:rPr>
              <w:t xml:space="preserve"> ***</w:t>
            </w:r>
          </w:p>
          <w:p w:rsidR="0090662F" w:rsidRPr="00782238" w:rsidRDefault="0090662F" w:rsidP="002C594D">
            <w:pPr>
              <w:jc w:val="center"/>
              <w:rPr>
                <w:rFonts w:ascii="Arial" w:hAnsi="Arial" w:cs="Arial"/>
                <w:sz w:val="20"/>
                <w:szCs w:val="20"/>
                <w:lang w:val="de-DE"/>
              </w:rPr>
            </w:pPr>
            <w:r w:rsidRPr="00782238">
              <w:rPr>
                <w:rFonts w:ascii="Arial" w:hAnsi="Arial" w:cs="Arial"/>
                <w:sz w:val="16"/>
                <w:szCs w:val="16"/>
                <w:lang w:val="de-DE"/>
              </w:rPr>
              <w:t xml:space="preserve"> (</w:t>
            </w:r>
            <w:r w:rsidRPr="009D0CA4">
              <w:rPr>
                <w:rFonts w:ascii="Arial" w:hAnsi="Arial" w:cs="Arial"/>
                <w:sz w:val="16"/>
                <w:szCs w:val="16"/>
                <w:lang w:val="de-DE"/>
              </w:rPr>
              <w:t>0.044763</w:t>
            </w:r>
            <w:r w:rsidRPr="00782238">
              <w:rPr>
                <w:rFonts w:ascii="Arial" w:hAnsi="Arial" w:cs="Arial"/>
                <w:sz w:val="16"/>
                <w:szCs w:val="16"/>
                <w:lang w:val="de-DE"/>
              </w:rPr>
              <w:t>)</w:t>
            </w:r>
          </w:p>
        </w:tc>
        <w:tc>
          <w:tcPr>
            <w:tcW w:w="1728" w:type="dxa"/>
            <w:vAlign w:val="center"/>
          </w:tcPr>
          <w:p w:rsidR="0090662F" w:rsidRPr="00782238" w:rsidRDefault="0090662F" w:rsidP="002C594D">
            <w:pPr>
              <w:jc w:val="center"/>
              <w:rPr>
                <w:rFonts w:ascii="Arial" w:hAnsi="Arial" w:cs="Arial"/>
                <w:sz w:val="20"/>
                <w:szCs w:val="20"/>
                <w:lang w:val="de-DE"/>
              </w:rPr>
            </w:pPr>
            <w:r w:rsidRPr="005C7ECD">
              <w:rPr>
                <w:rFonts w:ascii="Arial" w:hAnsi="Arial" w:cs="Arial"/>
                <w:sz w:val="20"/>
                <w:szCs w:val="20"/>
                <w:lang w:val="de-DE"/>
              </w:rPr>
              <w:t>0.268485</w:t>
            </w:r>
            <w:r>
              <w:rPr>
                <w:rFonts w:ascii="Arial" w:hAnsi="Arial" w:cs="Arial"/>
                <w:sz w:val="20"/>
                <w:szCs w:val="20"/>
                <w:lang w:val="de-DE"/>
              </w:rPr>
              <w:t xml:space="preserve"> ***</w:t>
            </w:r>
          </w:p>
          <w:p w:rsidR="0090662F" w:rsidRPr="00A51255" w:rsidRDefault="0090662F" w:rsidP="002C594D">
            <w:pPr>
              <w:jc w:val="center"/>
              <w:rPr>
                <w:lang w:val="en-US"/>
              </w:rPr>
            </w:pPr>
            <w:r w:rsidRPr="00782238">
              <w:rPr>
                <w:rFonts w:ascii="Arial" w:hAnsi="Arial" w:cs="Arial"/>
                <w:sz w:val="16"/>
                <w:szCs w:val="16"/>
                <w:lang w:val="de-DE"/>
              </w:rPr>
              <w:t xml:space="preserve"> (</w:t>
            </w:r>
            <w:r w:rsidRPr="005C7ECD">
              <w:rPr>
                <w:rFonts w:ascii="Arial" w:hAnsi="Arial" w:cs="Arial"/>
                <w:sz w:val="16"/>
                <w:szCs w:val="16"/>
                <w:lang w:val="de-DE"/>
              </w:rPr>
              <w:t>0.090932</w:t>
            </w:r>
            <w:r w:rsidRPr="00782238">
              <w:rPr>
                <w:rFonts w:ascii="Arial" w:hAnsi="Arial" w:cs="Arial"/>
                <w:sz w:val="16"/>
                <w:szCs w:val="16"/>
                <w:lang w:val="de-DE"/>
              </w:rPr>
              <w:t>)</w:t>
            </w:r>
          </w:p>
        </w:tc>
        <w:tc>
          <w:tcPr>
            <w:tcW w:w="1897" w:type="dxa"/>
            <w:vAlign w:val="center"/>
          </w:tcPr>
          <w:p w:rsidR="0090662F" w:rsidRDefault="0090662F" w:rsidP="002C594D">
            <w:pPr>
              <w:jc w:val="center"/>
              <w:rPr>
                <w:rFonts w:ascii="Arial" w:hAnsi="Arial" w:cs="Arial"/>
                <w:sz w:val="20"/>
                <w:szCs w:val="20"/>
                <w:lang w:val="de-DE"/>
              </w:rPr>
            </w:pPr>
            <w:r w:rsidRPr="00005659">
              <w:rPr>
                <w:rFonts w:ascii="Arial" w:hAnsi="Arial" w:cs="Arial"/>
                <w:sz w:val="20"/>
                <w:szCs w:val="20"/>
                <w:lang w:val="de-DE"/>
              </w:rPr>
              <w:t>0.266339</w:t>
            </w:r>
            <w:r>
              <w:rPr>
                <w:rFonts w:ascii="Arial" w:hAnsi="Arial" w:cs="Arial"/>
                <w:sz w:val="20"/>
                <w:szCs w:val="20"/>
                <w:lang w:val="de-DE"/>
              </w:rPr>
              <w:t xml:space="preserve"> ***</w:t>
            </w:r>
          </w:p>
          <w:p w:rsidR="0090662F" w:rsidRPr="00A51255" w:rsidRDefault="0090662F" w:rsidP="002C594D">
            <w:pPr>
              <w:jc w:val="center"/>
              <w:rPr>
                <w:lang w:val="en-US"/>
              </w:rPr>
            </w:pPr>
            <w:r w:rsidRPr="00782238">
              <w:rPr>
                <w:rFonts w:ascii="Arial" w:hAnsi="Arial" w:cs="Arial"/>
                <w:sz w:val="16"/>
                <w:szCs w:val="16"/>
                <w:lang w:val="de-DE"/>
              </w:rPr>
              <w:t xml:space="preserve"> (</w:t>
            </w:r>
            <w:r w:rsidRPr="00005659">
              <w:rPr>
                <w:rFonts w:ascii="Arial" w:hAnsi="Arial" w:cs="Arial"/>
                <w:sz w:val="16"/>
                <w:szCs w:val="16"/>
                <w:lang w:val="de-DE"/>
              </w:rPr>
              <w:t>0.041060</w:t>
            </w:r>
            <w:r w:rsidRPr="00782238">
              <w:rPr>
                <w:rFonts w:ascii="Arial" w:hAnsi="Arial" w:cs="Arial"/>
                <w:sz w:val="16"/>
                <w:szCs w:val="16"/>
                <w:lang w:val="de-DE"/>
              </w:rPr>
              <w:t>)</w:t>
            </w:r>
          </w:p>
        </w:tc>
        <w:tc>
          <w:tcPr>
            <w:tcW w:w="1815" w:type="dxa"/>
            <w:vAlign w:val="center"/>
          </w:tcPr>
          <w:p w:rsidR="0090662F" w:rsidRPr="00782238" w:rsidRDefault="0090662F" w:rsidP="002C594D">
            <w:pPr>
              <w:jc w:val="center"/>
              <w:rPr>
                <w:rFonts w:ascii="Arial" w:hAnsi="Arial" w:cs="Arial"/>
                <w:sz w:val="20"/>
                <w:szCs w:val="20"/>
                <w:lang w:val="de-DE"/>
              </w:rPr>
            </w:pPr>
            <w:r w:rsidRPr="00230912">
              <w:rPr>
                <w:rFonts w:ascii="Arial" w:hAnsi="Arial" w:cs="Arial"/>
                <w:sz w:val="20"/>
                <w:szCs w:val="20"/>
                <w:lang w:val="de-DE"/>
              </w:rPr>
              <w:t>0.246403</w:t>
            </w:r>
            <w:r>
              <w:rPr>
                <w:rFonts w:ascii="Arial" w:hAnsi="Arial" w:cs="Arial"/>
                <w:sz w:val="20"/>
                <w:szCs w:val="20"/>
                <w:lang w:val="de-DE"/>
              </w:rPr>
              <w:t xml:space="preserve"> ***</w:t>
            </w:r>
          </w:p>
          <w:p w:rsidR="0090662F" w:rsidRPr="00A51255" w:rsidRDefault="0090662F" w:rsidP="002C594D">
            <w:pPr>
              <w:jc w:val="center"/>
              <w:rPr>
                <w:lang w:val="en-US"/>
              </w:rPr>
            </w:pPr>
            <w:r w:rsidRPr="00782238">
              <w:rPr>
                <w:rFonts w:ascii="Arial" w:hAnsi="Arial" w:cs="Arial"/>
                <w:sz w:val="16"/>
                <w:szCs w:val="16"/>
                <w:lang w:val="de-DE"/>
              </w:rPr>
              <w:t xml:space="preserve"> (</w:t>
            </w:r>
            <w:r w:rsidRPr="00230912">
              <w:rPr>
                <w:rFonts w:ascii="Arial" w:hAnsi="Arial" w:cs="Arial"/>
                <w:sz w:val="16"/>
                <w:szCs w:val="16"/>
                <w:lang w:val="de-DE"/>
              </w:rPr>
              <w:t>0.088980</w:t>
            </w:r>
            <w:r w:rsidRPr="00782238">
              <w:rPr>
                <w:rFonts w:ascii="Arial" w:hAnsi="Arial" w:cs="Arial"/>
                <w:sz w:val="16"/>
                <w:szCs w:val="16"/>
                <w:lang w:val="de-DE"/>
              </w:rPr>
              <w:t>)</w:t>
            </w:r>
          </w:p>
        </w:tc>
      </w:tr>
      <w:tr w:rsidR="00AF2496" w:rsidRPr="00A51255" w:rsidTr="00AF2496">
        <w:trPr>
          <w:jc w:val="center"/>
        </w:trPr>
        <w:tc>
          <w:tcPr>
            <w:tcW w:w="423" w:type="dxa"/>
            <w:vAlign w:val="center"/>
          </w:tcPr>
          <w:p w:rsidR="0090662F" w:rsidRPr="00A51255" w:rsidRDefault="00C65448" w:rsidP="002C594D">
            <w:pPr>
              <w:spacing w:line="360" w:lineRule="auto"/>
              <w:jc w:val="center"/>
              <w:rPr>
                <w:rFonts w:ascii="Arial" w:hAnsi="Arial" w:cs="Arial"/>
                <w:lang w:val="en-US"/>
              </w:rPr>
            </w:pPr>
            <w:r>
              <w:rPr>
                <w:rFonts w:ascii="Arial" w:hAnsi="Arial" w:cs="Arial"/>
                <w:sz w:val="16"/>
                <w:szCs w:val="16"/>
                <w:lang w:val="de-DE"/>
              </w:rPr>
              <w:t>(</w:t>
            </w:r>
            <w:r w:rsidR="0090662F">
              <w:rPr>
                <w:rFonts w:ascii="Arial" w:hAnsi="Arial" w:cs="Arial"/>
                <w:sz w:val="16"/>
                <w:szCs w:val="16"/>
                <w:lang w:val="de-DE"/>
              </w:rPr>
              <w:t>4)</w:t>
            </w:r>
          </w:p>
        </w:tc>
        <w:tc>
          <w:tcPr>
            <w:tcW w:w="1968" w:type="dxa"/>
            <w:gridSpan w:val="2"/>
            <w:vAlign w:val="center"/>
          </w:tcPr>
          <w:p w:rsidR="0090662F" w:rsidRPr="004F48F0" w:rsidRDefault="0090662F" w:rsidP="002C594D">
            <w:pPr>
              <w:jc w:val="center"/>
              <w:rPr>
                <w:rFonts w:ascii="Arial" w:hAnsi="Arial" w:cs="Arial"/>
                <w:b/>
                <w:sz w:val="18"/>
                <w:szCs w:val="18"/>
                <w:lang w:val="de-DE"/>
              </w:rPr>
            </w:pPr>
            <w:r w:rsidRPr="002C5A6B">
              <w:rPr>
                <w:rFonts w:ascii="Garamond" w:hAnsi="Garamond"/>
                <w:i/>
                <w:position w:val="-10"/>
                <w:lang w:val="de-DE"/>
              </w:rPr>
              <w:object w:dxaOrig="300" w:dyaOrig="380">
                <v:shape id="_x0000_i1120" type="#_x0000_t75" style="width:12.85pt;height:16.7pt" o:ole="">
                  <v:imagedata r:id="rId114" o:title=""/>
                </v:shape>
                <o:OLEObject Type="Embed" ProgID="Equation.3" ShapeID="_x0000_i1120" DrawAspect="Content" ObjectID="_1507543467" r:id="rId158"/>
              </w:object>
            </w:r>
          </w:p>
        </w:tc>
        <w:tc>
          <w:tcPr>
            <w:tcW w:w="1942" w:type="dxa"/>
            <w:vAlign w:val="center"/>
          </w:tcPr>
          <w:p w:rsidR="0090662F" w:rsidRPr="00782238" w:rsidRDefault="0090662F" w:rsidP="002C594D">
            <w:pPr>
              <w:jc w:val="center"/>
              <w:rPr>
                <w:rFonts w:ascii="Arial" w:hAnsi="Arial" w:cs="Arial"/>
                <w:sz w:val="20"/>
                <w:szCs w:val="20"/>
                <w:lang w:val="de-DE"/>
              </w:rPr>
            </w:pPr>
            <w:r w:rsidRPr="009D0CA4">
              <w:rPr>
                <w:rFonts w:ascii="Arial" w:hAnsi="Arial" w:cs="Arial"/>
                <w:sz w:val="20"/>
                <w:szCs w:val="20"/>
                <w:lang w:val="de-DE"/>
              </w:rPr>
              <w:t>0.101710</w:t>
            </w:r>
          </w:p>
          <w:p w:rsidR="0090662F" w:rsidRPr="00782238" w:rsidRDefault="0090662F" w:rsidP="002C594D">
            <w:pPr>
              <w:jc w:val="center"/>
              <w:rPr>
                <w:rFonts w:ascii="Arial" w:hAnsi="Arial" w:cs="Arial"/>
                <w:sz w:val="20"/>
                <w:szCs w:val="20"/>
                <w:lang w:val="de-DE"/>
              </w:rPr>
            </w:pPr>
            <w:r w:rsidRPr="00782238">
              <w:rPr>
                <w:rFonts w:ascii="Arial" w:hAnsi="Arial" w:cs="Arial"/>
                <w:sz w:val="16"/>
                <w:szCs w:val="16"/>
                <w:lang w:val="de-DE"/>
              </w:rPr>
              <w:t xml:space="preserve"> (</w:t>
            </w:r>
            <w:r w:rsidRPr="009D0CA4">
              <w:rPr>
                <w:rFonts w:ascii="Arial" w:hAnsi="Arial" w:cs="Arial"/>
                <w:sz w:val="16"/>
                <w:szCs w:val="16"/>
                <w:lang w:val="de-DE"/>
              </w:rPr>
              <w:t>0.105034</w:t>
            </w:r>
            <w:r w:rsidRPr="00782238">
              <w:rPr>
                <w:rFonts w:ascii="Arial" w:hAnsi="Arial" w:cs="Arial"/>
                <w:sz w:val="16"/>
                <w:szCs w:val="16"/>
                <w:lang w:val="de-DE"/>
              </w:rPr>
              <w:t>)</w:t>
            </w:r>
          </w:p>
        </w:tc>
        <w:tc>
          <w:tcPr>
            <w:tcW w:w="1728" w:type="dxa"/>
            <w:vAlign w:val="center"/>
          </w:tcPr>
          <w:p w:rsidR="0090662F" w:rsidRPr="00A51255" w:rsidRDefault="0090662F" w:rsidP="002C594D">
            <w:pPr>
              <w:jc w:val="center"/>
              <w:rPr>
                <w:lang w:val="en-US"/>
              </w:rPr>
            </w:pPr>
            <w:r>
              <w:rPr>
                <w:lang w:val="en-US"/>
              </w:rPr>
              <w:t>-</w:t>
            </w:r>
          </w:p>
        </w:tc>
        <w:tc>
          <w:tcPr>
            <w:tcW w:w="1897" w:type="dxa"/>
            <w:vAlign w:val="center"/>
          </w:tcPr>
          <w:p w:rsidR="0090662F" w:rsidRPr="00A51255" w:rsidRDefault="0090662F" w:rsidP="002C594D">
            <w:pPr>
              <w:jc w:val="center"/>
              <w:rPr>
                <w:lang w:val="en-US"/>
              </w:rPr>
            </w:pPr>
            <w:r>
              <w:rPr>
                <w:lang w:val="en-US"/>
              </w:rPr>
              <w:t>-</w:t>
            </w:r>
          </w:p>
        </w:tc>
        <w:tc>
          <w:tcPr>
            <w:tcW w:w="1815" w:type="dxa"/>
            <w:vAlign w:val="center"/>
          </w:tcPr>
          <w:p w:rsidR="0090662F" w:rsidRPr="00A51255" w:rsidRDefault="0090662F" w:rsidP="002C594D">
            <w:pPr>
              <w:jc w:val="center"/>
              <w:rPr>
                <w:lang w:val="en-US"/>
              </w:rPr>
            </w:pPr>
            <w:r>
              <w:rPr>
                <w:rFonts w:ascii="Arial" w:hAnsi="Arial" w:cs="Arial"/>
                <w:sz w:val="20"/>
                <w:szCs w:val="20"/>
                <w:lang w:val="de-DE"/>
              </w:rPr>
              <w:t>-</w:t>
            </w:r>
          </w:p>
        </w:tc>
      </w:tr>
      <w:tr w:rsidR="00AF2496" w:rsidRPr="00A51255" w:rsidTr="00AF2496">
        <w:trPr>
          <w:jc w:val="center"/>
        </w:trPr>
        <w:tc>
          <w:tcPr>
            <w:tcW w:w="423" w:type="dxa"/>
            <w:tcBorders>
              <w:top w:val="single" w:sz="4" w:space="0" w:color="auto"/>
              <w:left w:val="single" w:sz="4" w:space="0" w:color="auto"/>
              <w:bottom w:val="single" w:sz="4" w:space="0" w:color="auto"/>
              <w:right w:val="single" w:sz="4" w:space="0" w:color="auto"/>
            </w:tcBorders>
            <w:vAlign w:val="center"/>
          </w:tcPr>
          <w:p w:rsidR="0090662F" w:rsidRPr="00326E18" w:rsidRDefault="00C65448" w:rsidP="002C594D">
            <w:pPr>
              <w:spacing w:line="360" w:lineRule="auto"/>
              <w:jc w:val="center"/>
              <w:rPr>
                <w:rFonts w:ascii="Arial" w:hAnsi="Arial" w:cs="Arial"/>
                <w:sz w:val="16"/>
                <w:szCs w:val="16"/>
                <w:lang w:val="de-DE"/>
              </w:rPr>
            </w:pPr>
            <w:r>
              <w:rPr>
                <w:rFonts w:ascii="Arial" w:hAnsi="Arial" w:cs="Arial"/>
                <w:sz w:val="16"/>
                <w:szCs w:val="16"/>
                <w:lang w:val="de-DE"/>
              </w:rPr>
              <w:t>(</w:t>
            </w:r>
            <w:r w:rsidR="0090662F">
              <w:rPr>
                <w:rFonts w:ascii="Arial" w:hAnsi="Arial" w:cs="Arial"/>
                <w:sz w:val="16"/>
                <w:szCs w:val="16"/>
                <w:lang w:val="de-DE"/>
              </w:rPr>
              <w:t>4)</w:t>
            </w:r>
          </w:p>
        </w:tc>
        <w:tc>
          <w:tcPr>
            <w:tcW w:w="1968" w:type="dxa"/>
            <w:gridSpan w:val="2"/>
            <w:tcBorders>
              <w:top w:val="single" w:sz="4" w:space="0" w:color="auto"/>
              <w:left w:val="single" w:sz="4" w:space="0" w:color="auto"/>
              <w:bottom w:val="single" w:sz="4" w:space="0" w:color="auto"/>
              <w:right w:val="single" w:sz="4" w:space="0" w:color="auto"/>
            </w:tcBorders>
            <w:vAlign w:val="center"/>
          </w:tcPr>
          <w:p w:rsidR="0090662F" w:rsidRPr="00326E18" w:rsidRDefault="0090662F" w:rsidP="002C594D">
            <w:pPr>
              <w:jc w:val="center"/>
              <w:rPr>
                <w:rFonts w:ascii="Garamond" w:hAnsi="Garamond"/>
                <w:i/>
                <w:lang w:val="de-DE"/>
              </w:rPr>
            </w:pPr>
            <w:r w:rsidRPr="00326E18">
              <w:rPr>
                <w:rFonts w:ascii="Garamond" w:hAnsi="Garamond"/>
                <w:i/>
                <w:position w:val="-12"/>
                <w:lang w:val="de-DE"/>
              </w:rPr>
              <w:object w:dxaOrig="300" w:dyaOrig="400">
                <v:shape id="_x0000_i1121" type="#_x0000_t75" style="width:12.85pt;height:18pt" o:ole="">
                  <v:imagedata r:id="rId159" o:title=""/>
                </v:shape>
                <o:OLEObject Type="Embed" ProgID="Equation.3" ShapeID="_x0000_i1121" DrawAspect="Content" ObjectID="_1507543468" r:id="rId160"/>
              </w:object>
            </w:r>
          </w:p>
        </w:tc>
        <w:tc>
          <w:tcPr>
            <w:tcW w:w="1942" w:type="dxa"/>
            <w:tcBorders>
              <w:top w:val="single" w:sz="4" w:space="0" w:color="auto"/>
              <w:left w:val="single" w:sz="4" w:space="0" w:color="auto"/>
              <w:bottom w:val="single" w:sz="4" w:space="0" w:color="auto"/>
              <w:right w:val="single" w:sz="4" w:space="0" w:color="auto"/>
            </w:tcBorders>
            <w:vAlign w:val="center"/>
          </w:tcPr>
          <w:p w:rsidR="0090662F" w:rsidRPr="00782238" w:rsidRDefault="0090662F" w:rsidP="002C594D">
            <w:pPr>
              <w:jc w:val="center"/>
              <w:rPr>
                <w:rFonts w:ascii="Arial" w:hAnsi="Arial" w:cs="Arial"/>
                <w:sz w:val="20"/>
                <w:szCs w:val="20"/>
                <w:lang w:val="de-DE"/>
              </w:rPr>
            </w:pPr>
            <w:r w:rsidRPr="009D0CA4">
              <w:rPr>
                <w:rFonts w:ascii="Arial" w:hAnsi="Arial" w:cs="Arial"/>
                <w:sz w:val="20"/>
                <w:szCs w:val="20"/>
                <w:lang w:val="de-DE"/>
              </w:rPr>
              <w:t>75.96113</w:t>
            </w:r>
          </w:p>
          <w:p w:rsidR="0090662F" w:rsidRPr="00782238" w:rsidRDefault="0090662F" w:rsidP="002C594D">
            <w:pPr>
              <w:jc w:val="center"/>
              <w:rPr>
                <w:rFonts w:ascii="Arial" w:hAnsi="Arial" w:cs="Arial"/>
                <w:sz w:val="20"/>
                <w:szCs w:val="20"/>
                <w:lang w:val="de-DE"/>
              </w:rPr>
            </w:pPr>
            <w:r w:rsidRPr="00326E18">
              <w:rPr>
                <w:rFonts w:ascii="Arial" w:hAnsi="Arial" w:cs="Arial"/>
                <w:sz w:val="20"/>
                <w:szCs w:val="20"/>
                <w:lang w:val="de-DE"/>
              </w:rPr>
              <w:t xml:space="preserve"> (</w:t>
            </w:r>
            <w:r w:rsidRPr="009D0CA4">
              <w:rPr>
                <w:rFonts w:ascii="Arial" w:hAnsi="Arial" w:cs="Arial"/>
                <w:sz w:val="20"/>
                <w:szCs w:val="20"/>
                <w:lang w:val="de-DE"/>
              </w:rPr>
              <w:t>156.7567</w:t>
            </w:r>
            <w:r w:rsidRPr="00326E18">
              <w:rPr>
                <w:rFonts w:ascii="Arial" w:hAnsi="Arial" w:cs="Arial"/>
                <w:sz w:val="20"/>
                <w:szCs w:val="20"/>
                <w:lang w:val="de-DE"/>
              </w:rPr>
              <w:t>)</w:t>
            </w:r>
          </w:p>
        </w:tc>
        <w:tc>
          <w:tcPr>
            <w:tcW w:w="1728" w:type="dxa"/>
            <w:tcBorders>
              <w:top w:val="single" w:sz="4" w:space="0" w:color="auto"/>
              <w:left w:val="single" w:sz="4" w:space="0" w:color="auto"/>
              <w:bottom w:val="single" w:sz="4" w:space="0" w:color="auto"/>
              <w:right w:val="single" w:sz="4" w:space="0" w:color="auto"/>
            </w:tcBorders>
            <w:vAlign w:val="center"/>
          </w:tcPr>
          <w:p w:rsidR="0090662F" w:rsidRPr="00782238" w:rsidRDefault="0090662F" w:rsidP="002C594D">
            <w:pPr>
              <w:jc w:val="center"/>
              <w:rPr>
                <w:rFonts w:ascii="Arial" w:hAnsi="Arial" w:cs="Arial"/>
                <w:sz w:val="20"/>
                <w:szCs w:val="20"/>
                <w:lang w:val="de-DE"/>
              </w:rPr>
            </w:pPr>
            <w:r w:rsidRPr="002965EB">
              <w:rPr>
                <w:rFonts w:ascii="Arial" w:hAnsi="Arial" w:cs="Arial"/>
                <w:sz w:val="20"/>
                <w:szCs w:val="20"/>
                <w:lang w:val="de-DE"/>
              </w:rPr>
              <w:t>382.9162</w:t>
            </w:r>
            <w:r>
              <w:rPr>
                <w:rFonts w:ascii="Arial" w:hAnsi="Arial" w:cs="Arial"/>
                <w:sz w:val="20"/>
                <w:szCs w:val="20"/>
                <w:lang w:val="de-DE"/>
              </w:rPr>
              <w:t xml:space="preserve"> **</w:t>
            </w:r>
          </w:p>
          <w:p w:rsidR="0090662F" w:rsidRPr="00326E18" w:rsidRDefault="0090662F" w:rsidP="002C594D">
            <w:pPr>
              <w:jc w:val="center"/>
              <w:rPr>
                <w:rFonts w:ascii="Arial" w:hAnsi="Arial" w:cs="Arial"/>
                <w:sz w:val="20"/>
                <w:szCs w:val="20"/>
                <w:lang w:val="de-DE"/>
              </w:rPr>
            </w:pPr>
            <w:r w:rsidRPr="00326E18">
              <w:rPr>
                <w:rFonts w:ascii="Arial" w:hAnsi="Arial" w:cs="Arial"/>
                <w:sz w:val="20"/>
                <w:szCs w:val="20"/>
                <w:lang w:val="de-DE"/>
              </w:rPr>
              <w:t xml:space="preserve"> (</w:t>
            </w:r>
            <w:r w:rsidRPr="002965EB">
              <w:rPr>
                <w:rFonts w:ascii="Arial" w:hAnsi="Arial" w:cs="Arial"/>
                <w:sz w:val="20"/>
                <w:szCs w:val="20"/>
                <w:lang w:val="de-DE"/>
              </w:rPr>
              <w:t>186.0196</w:t>
            </w:r>
            <w:r w:rsidRPr="00326E18">
              <w:rPr>
                <w:rFonts w:ascii="Arial" w:hAnsi="Arial" w:cs="Arial"/>
                <w:sz w:val="20"/>
                <w:szCs w:val="20"/>
                <w:lang w:val="de-DE"/>
              </w:rPr>
              <w:t>)</w:t>
            </w:r>
          </w:p>
        </w:tc>
        <w:tc>
          <w:tcPr>
            <w:tcW w:w="1897" w:type="dxa"/>
            <w:tcBorders>
              <w:top w:val="single" w:sz="4" w:space="0" w:color="auto"/>
              <w:left w:val="single" w:sz="4" w:space="0" w:color="auto"/>
              <w:bottom w:val="single" w:sz="4" w:space="0" w:color="auto"/>
              <w:right w:val="single" w:sz="4" w:space="0" w:color="auto"/>
            </w:tcBorders>
            <w:vAlign w:val="center"/>
          </w:tcPr>
          <w:p w:rsidR="0090662F" w:rsidRPr="00782238" w:rsidRDefault="0090662F" w:rsidP="002C594D">
            <w:pPr>
              <w:jc w:val="center"/>
              <w:rPr>
                <w:rFonts w:ascii="Arial" w:hAnsi="Arial" w:cs="Arial"/>
                <w:sz w:val="20"/>
                <w:szCs w:val="20"/>
                <w:lang w:val="de-DE"/>
              </w:rPr>
            </w:pPr>
            <w:r w:rsidRPr="00210015">
              <w:rPr>
                <w:rFonts w:ascii="Arial" w:hAnsi="Arial" w:cs="Arial"/>
                <w:sz w:val="20"/>
                <w:szCs w:val="20"/>
                <w:lang w:val="de-DE"/>
              </w:rPr>
              <w:t>275.5187</w:t>
            </w:r>
            <w:r>
              <w:rPr>
                <w:rFonts w:ascii="Arial" w:hAnsi="Arial" w:cs="Arial"/>
                <w:sz w:val="20"/>
                <w:szCs w:val="20"/>
                <w:lang w:val="de-DE"/>
              </w:rPr>
              <w:t xml:space="preserve"> **</w:t>
            </w:r>
          </w:p>
          <w:p w:rsidR="0090662F" w:rsidRPr="00A51255" w:rsidRDefault="0090662F" w:rsidP="002C594D">
            <w:pPr>
              <w:jc w:val="center"/>
              <w:rPr>
                <w:lang w:val="en-US"/>
              </w:rPr>
            </w:pPr>
            <w:r w:rsidRPr="00782238">
              <w:rPr>
                <w:rFonts w:ascii="Arial" w:hAnsi="Arial" w:cs="Arial"/>
                <w:sz w:val="16"/>
                <w:szCs w:val="16"/>
                <w:lang w:val="de-DE"/>
              </w:rPr>
              <w:t xml:space="preserve"> (</w:t>
            </w:r>
            <w:r w:rsidRPr="00210015">
              <w:rPr>
                <w:rFonts w:ascii="Arial" w:hAnsi="Arial" w:cs="Arial"/>
                <w:sz w:val="16"/>
                <w:szCs w:val="16"/>
                <w:lang w:val="de-DE"/>
              </w:rPr>
              <w:t>126.8411</w:t>
            </w:r>
            <w:r w:rsidRPr="00782238">
              <w:rPr>
                <w:rFonts w:ascii="Arial" w:hAnsi="Arial" w:cs="Arial"/>
                <w:sz w:val="16"/>
                <w:szCs w:val="16"/>
                <w:lang w:val="de-DE"/>
              </w:rPr>
              <w:t>)</w:t>
            </w:r>
          </w:p>
        </w:tc>
        <w:tc>
          <w:tcPr>
            <w:tcW w:w="1815" w:type="dxa"/>
            <w:tcBorders>
              <w:top w:val="single" w:sz="4" w:space="0" w:color="auto"/>
              <w:left w:val="single" w:sz="4" w:space="0" w:color="auto"/>
              <w:bottom w:val="single" w:sz="4" w:space="0" w:color="auto"/>
              <w:right w:val="single" w:sz="4" w:space="0" w:color="auto"/>
            </w:tcBorders>
            <w:vAlign w:val="center"/>
          </w:tcPr>
          <w:p w:rsidR="0090662F" w:rsidRPr="00782238" w:rsidRDefault="0090662F" w:rsidP="002C594D">
            <w:pPr>
              <w:jc w:val="center"/>
              <w:rPr>
                <w:rFonts w:ascii="Arial" w:hAnsi="Arial" w:cs="Arial"/>
                <w:sz w:val="20"/>
                <w:szCs w:val="20"/>
                <w:lang w:val="de-DE"/>
              </w:rPr>
            </w:pPr>
            <w:r w:rsidRPr="00424720">
              <w:rPr>
                <w:rFonts w:ascii="Arial" w:hAnsi="Arial" w:cs="Arial"/>
                <w:sz w:val="20"/>
                <w:szCs w:val="20"/>
                <w:lang w:val="de-DE"/>
              </w:rPr>
              <w:t>61.98665</w:t>
            </w:r>
          </w:p>
          <w:p w:rsidR="0090662F" w:rsidRPr="00A51255" w:rsidRDefault="0090662F" w:rsidP="002C594D">
            <w:pPr>
              <w:jc w:val="center"/>
              <w:rPr>
                <w:lang w:val="en-US"/>
              </w:rPr>
            </w:pPr>
            <w:r w:rsidRPr="00782238">
              <w:rPr>
                <w:rFonts w:ascii="Arial" w:hAnsi="Arial" w:cs="Arial"/>
                <w:sz w:val="16"/>
                <w:szCs w:val="16"/>
                <w:lang w:val="de-DE"/>
              </w:rPr>
              <w:t xml:space="preserve"> (</w:t>
            </w:r>
            <w:r w:rsidRPr="00CE7FC7">
              <w:rPr>
                <w:rFonts w:ascii="Arial" w:hAnsi="Arial" w:cs="Arial"/>
                <w:sz w:val="16"/>
                <w:szCs w:val="16"/>
                <w:lang w:val="de-DE"/>
              </w:rPr>
              <w:t>203.2324</w:t>
            </w:r>
            <w:r w:rsidRPr="00782238">
              <w:rPr>
                <w:rFonts w:ascii="Arial" w:hAnsi="Arial" w:cs="Arial"/>
                <w:sz w:val="16"/>
                <w:szCs w:val="16"/>
                <w:lang w:val="de-DE"/>
              </w:rPr>
              <w:t>)</w:t>
            </w:r>
          </w:p>
        </w:tc>
      </w:tr>
      <w:tr w:rsidR="00AF2496" w:rsidRPr="00647145" w:rsidTr="00AF2496">
        <w:trPr>
          <w:jc w:val="center"/>
        </w:trPr>
        <w:tc>
          <w:tcPr>
            <w:tcW w:w="423" w:type="dxa"/>
            <w:vAlign w:val="center"/>
          </w:tcPr>
          <w:p w:rsidR="0014213E" w:rsidRPr="00DC1EA3" w:rsidRDefault="0014213E" w:rsidP="00D63A00">
            <w:pPr>
              <w:spacing w:line="360" w:lineRule="auto"/>
              <w:jc w:val="center"/>
              <w:rPr>
                <w:rFonts w:ascii="Arial" w:hAnsi="Arial" w:cs="Arial"/>
                <w:sz w:val="16"/>
                <w:szCs w:val="16"/>
                <w:lang w:val="en-GB"/>
              </w:rPr>
            </w:pPr>
          </w:p>
        </w:tc>
        <w:tc>
          <w:tcPr>
            <w:tcW w:w="1968" w:type="dxa"/>
            <w:gridSpan w:val="2"/>
            <w:vAlign w:val="center"/>
          </w:tcPr>
          <w:p w:rsidR="0014213E" w:rsidRPr="00DC1EA3" w:rsidRDefault="0014213E" w:rsidP="00D63A00">
            <w:pPr>
              <w:jc w:val="center"/>
              <w:rPr>
                <w:rFonts w:ascii="Arial" w:hAnsi="Arial" w:cs="Arial"/>
                <w:b/>
                <w:sz w:val="18"/>
                <w:szCs w:val="18"/>
                <w:lang w:val="en-GB"/>
              </w:rPr>
            </w:pPr>
            <w:r w:rsidRPr="00DC1EA3">
              <w:rPr>
                <w:rFonts w:ascii="Arial" w:hAnsi="Arial" w:cs="Arial"/>
                <w:b/>
                <w:sz w:val="18"/>
                <w:szCs w:val="18"/>
                <w:lang w:val="en-GB"/>
              </w:rPr>
              <w:t>Unexpected announcement:</w:t>
            </w:r>
          </w:p>
        </w:tc>
        <w:tc>
          <w:tcPr>
            <w:tcW w:w="1942" w:type="dxa"/>
            <w:vAlign w:val="center"/>
          </w:tcPr>
          <w:p w:rsidR="0014213E" w:rsidRPr="00DC1EA3" w:rsidRDefault="0014213E" w:rsidP="00D63A00">
            <w:pPr>
              <w:jc w:val="center"/>
              <w:rPr>
                <w:rFonts w:ascii="Arial" w:hAnsi="Arial" w:cs="Arial"/>
                <w:b/>
                <w:sz w:val="18"/>
                <w:szCs w:val="18"/>
                <w:lang w:val="en-GB"/>
              </w:rPr>
            </w:pPr>
            <w:r w:rsidRPr="00DC1EA3">
              <w:rPr>
                <w:rFonts w:ascii="Arial" w:hAnsi="Arial" w:cs="Arial"/>
                <w:b/>
                <w:sz w:val="18"/>
                <w:szCs w:val="18"/>
                <w:lang w:val="en-GB"/>
              </w:rPr>
              <w:t>Money Supply</w:t>
            </w:r>
          </w:p>
          <w:p w:rsidR="0014213E" w:rsidRPr="00DC1EA3" w:rsidRDefault="0014213E" w:rsidP="00D63A00">
            <w:pPr>
              <w:jc w:val="center"/>
              <w:rPr>
                <w:rFonts w:ascii="Arial" w:hAnsi="Arial" w:cs="Arial"/>
                <w:b/>
                <w:sz w:val="2"/>
                <w:szCs w:val="2"/>
                <w:lang w:val="en-GB"/>
              </w:rPr>
            </w:pPr>
          </w:p>
          <w:p w:rsidR="0014213E" w:rsidRPr="00DC1EA3" w:rsidRDefault="0014213E" w:rsidP="00D63A00">
            <w:pPr>
              <w:jc w:val="center"/>
              <w:rPr>
                <w:rFonts w:ascii="Arial" w:hAnsi="Arial" w:cs="Arial"/>
                <w:b/>
                <w:sz w:val="20"/>
                <w:szCs w:val="20"/>
                <w:lang w:val="en-GB"/>
              </w:rPr>
            </w:pPr>
            <w:r w:rsidRPr="00DC1EA3">
              <w:rPr>
                <w:b/>
                <w:sz w:val="20"/>
                <w:szCs w:val="20"/>
                <w:lang w:val="en-GB"/>
              </w:rPr>
              <w:t>(</w:t>
            </w:r>
            <w:r w:rsidRPr="00DC1EA3">
              <w:rPr>
                <w:b/>
                <w:i/>
                <w:sz w:val="20"/>
                <w:szCs w:val="20"/>
                <w:lang w:val="en-GB"/>
              </w:rPr>
              <w:t>MS</w:t>
            </w:r>
            <w:r w:rsidRPr="00DC1EA3">
              <w:rPr>
                <w:b/>
                <w:sz w:val="20"/>
                <w:szCs w:val="20"/>
                <w:lang w:val="en-GB"/>
              </w:rPr>
              <w:t>)</w:t>
            </w:r>
          </w:p>
        </w:tc>
        <w:tc>
          <w:tcPr>
            <w:tcW w:w="1728" w:type="dxa"/>
            <w:vAlign w:val="center"/>
          </w:tcPr>
          <w:p w:rsidR="0014213E" w:rsidRPr="00DC1EA3" w:rsidRDefault="0014213E" w:rsidP="00D63A00">
            <w:pPr>
              <w:jc w:val="center"/>
              <w:rPr>
                <w:rFonts w:ascii="Arial" w:hAnsi="Arial" w:cs="Arial"/>
                <w:b/>
                <w:sz w:val="18"/>
                <w:szCs w:val="18"/>
                <w:lang w:val="en-GB"/>
              </w:rPr>
            </w:pPr>
            <w:r w:rsidRPr="00DC1EA3">
              <w:rPr>
                <w:rFonts w:ascii="Arial" w:hAnsi="Arial" w:cs="Arial"/>
                <w:b/>
                <w:sz w:val="18"/>
                <w:szCs w:val="18"/>
                <w:lang w:val="en-GB"/>
              </w:rPr>
              <w:t>Reserve Money</w:t>
            </w:r>
          </w:p>
          <w:p w:rsidR="0014213E" w:rsidRPr="00DC1EA3" w:rsidRDefault="0014213E" w:rsidP="00D63A00">
            <w:pPr>
              <w:jc w:val="center"/>
              <w:rPr>
                <w:rFonts w:ascii="Arial" w:hAnsi="Arial" w:cs="Arial"/>
                <w:b/>
                <w:sz w:val="2"/>
                <w:szCs w:val="2"/>
                <w:lang w:val="en-GB"/>
              </w:rPr>
            </w:pPr>
          </w:p>
          <w:p w:rsidR="0014213E" w:rsidRPr="004F48F0" w:rsidRDefault="0014213E" w:rsidP="00D63A00">
            <w:pPr>
              <w:jc w:val="center"/>
              <w:rPr>
                <w:b/>
                <w:i/>
                <w:sz w:val="20"/>
                <w:szCs w:val="20"/>
                <w:lang w:val="en-US"/>
              </w:rPr>
            </w:pPr>
            <w:r w:rsidRPr="009F1BCD">
              <w:rPr>
                <w:b/>
                <w:sz w:val="20"/>
                <w:szCs w:val="20"/>
                <w:lang w:val="en-US"/>
              </w:rPr>
              <w:t>(</w:t>
            </w:r>
            <w:r w:rsidRPr="004F48F0">
              <w:rPr>
                <w:b/>
                <w:i/>
                <w:sz w:val="20"/>
                <w:szCs w:val="20"/>
                <w:lang w:val="en-US"/>
              </w:rPr>
              <w:t>RM</w:t>
            </w:r>
            <w:r w:rsidRPr="009F1BCD">
              <w:rPr>
                <w:b/>
                <w:sz w:val="20"/>
                <w:szCs w:val="20"/>
                <w:lang w:val="en-US"/>
              </w:rPr>
              <w:t>)</w:t>
            </w:r>
          </w:p>
        </w:tc>
        <w:tc>
          <w:tcPr>
            <w:tcW w:w="1897" w:type="dxa"/>
            <w:vAlign w:val="center"/>
          </w:tcPr>
          <w:p w:rsidR="0014213E" w:rsidRPr="00DC1EA3" w:rsidRDefault="0014213E" w:rsidP="00D63A00">
            <w:pPr>
              <w:jc w:val="center"/>
              <w:rPr>
                <w:rFonts w:ascii="Arial" w:hAnsi="Arial" w:cs="Arial"/>
                <w:b/>
                <w:sz w:val="18"/>
                <w:szCs w:val="18"/>
                <w:lang w:val="en-GB"/>
              </w:rPr>
            </w:pPr>
            <w:r w:rsidRPr="00DC1EA3">
              <w:rPr>
                <w:rFonts w:ascii="Arial" w:hAnsi="Arial" w:cs="Arial"/>
                <w:b/>
                <w:sz w:val="18"/>
                <w:szCs w:val="18"/>
                <w:lang w:val="en-GB"/>
              </w:rPr>
              <w:t>Balance of Payments</w:t>
            </w:r>
          </w:p>
          <w:p w:rsidR="0014213E" w:rsidRPr="00CA2C53" w:rsidRDefault="0014213E" w:rsidP="00D63A00">
            <w:pPr>
              <w:jc w:val="center"/>
              <w:rPr>
                <w:b/>
                <w:i/>
                <w:sz w:val="2"/>
                <w:szCs w:val="2"/>
                <w:lang w:val="en-US"/>
              </w:rPr>
            </w:pPr>
          </w:p>
          <w:p w:rsidR="0014213E" w:rsidRPr="004F48F0" w:rsidRDefault="0014213E" w:rsidP="00D63A00">
            <w:pPr>
              <w:jc w:val="center"/>
              <w:rPr>
                <w:b/>
                <w:i/>
                <w:sz w:val="20"/>
                <w:szCs w:val="20"/>
                <w:lang w:val="en-US"/>
              </w:rPr>
            </w:pPr>
            <w:r w:rsidRPr="009F1BCD">
              <w:rPr>
                <w:b/>
                <w:sz w:val="20"/>
                <w:szCs w:val="20"/>
                <w:lang w:val="en-US"/>
              </w:rPr>
              <w:t>(</w:t>
            </w:r>
            <w:r w:rsidRPr="004F48F0">
              <w:rPr>
                <w:b/>
                <w:i/>
                <w:sz w:val="20"/>
                <w:szCs w:val="20"/>
                <w:lang w:val="en-US"/>
              </w:rPr>
              <w:t>BOP</w:t>
            </w:r>
            <w:r w:rsidRPr="009F1BCD">
              <w:rPr>
                <w:b/>
                <w:sz w:val="20"/>
                <w:szCs w:val="20"/>
                <w:lang w:val="en-US"/>
              </w:rPr>
              <w:t>)</w:t>
            </w:r>
          </w:p>
        </w:tc>
        <w:tc>
          <w:tcPr>
            <w:tcW w:w="1815" w:type="dxa"/>
            <w:vAlign w:val="center"/>
          </w:tcPr>
          <w:p w:rsidR="00EF2553" w:rsidRDefault="0014213E" w:rsidP="00D63A00">
            <w:pPr>
              <w:jc w:val="center"/>
              <w:rPr>
                <w:rFonts w:ascii="Arial" w:hAnsi="Arial" w:cs="Arial"/>
                <w:b/>
                <w:sz w:val="18"/>
                <w:szCs w:val="18"/>
                <w:lang w:val="en-GB"/>
              </w:rPr>
            </w:pPr>
            <w:r w:rsidRPr="00DC1EA3">
              <w:rPr>
                <w:rFonts w:ascii="Arial" w:hAnsi="Arial" w:cs="Arial"/>
                <w:b/>
                <w:sz w:val="18"/>
                <w:szCs w:val="18"/>
                <w:lang w:val="en-GB"/>
              </w:rPr>
              <w:t xml:space="preserve">Liquid Assets </w:t>
            </w:r>
          </w:p>
          <w:p w:rsidR="0014213E" w:rsidRPr="009F1BCD" w:rsidRDefault="0014213E" w:rsidP="00EF2553">
            <w:pPr>
              <w:jc w:val="center"/>
              <w:rPr>
                <w:b/>
                <w:i/>
                <w:sz w:val="20"/>
                <w:szCs w:val="20"/>
                <w:lang w:val="en-US"/>
              </w:rPr>
            </w:pPr>
            <w:r w:rsidRPr="00DC1EA3">
              <w:rPr>
                <w:rFonts w:ascii="Arial" w:hAnsi="Arial" w:cs="Arial"/>
                <w:b/>
                <w:sz w:val="18"/>
                <w:szCs w:val="18"/>
                <w:lang w:val="en-GB"/>
              </w:rPr>
              <w:t>and Liabilities (</w:t>
            </w:r>
            <w:r w:rsidRPr="009F1BCD">
              <w:rPr>
                <w:b/>
                <w:i/>
                <w:sz w:val="20"/>
                <w:szCs w:val="20"/>
                <w:lang w:val="en-US"/>
              </w:rPr>
              <w:t>AL</w:t>
            </w:r>
            <w:r w:rsidRPr="009F1BCD">
              <w:rPr>
                <w:b/>
                <w:sz w:val="20"/>
                <w:szCs w:val="20"/>
                <w:lang w:val="en-US"/>
              </w:rPr>
              <w:t>)</w:t>
            </w:r>
          </w:p>
        </w:tc>
      </w:tr>
      <w:tr w:rsidR="00AF2496" w:rsidRPr="00A51255" w:rsidTr="00AF2496">
        <w:trPr>
          <w:jc w:val="center"/>
        </w:trPr>
        <w:tc>
          <w:tcPr>
            <w:tcW w:w="423" w:type="dxa"/>
            <w:vAlign w:val="center"/>
          </w:tcPr>
          <w:p w:rsidR="00A04E5D" w:rsidRPr="00A51255" w:rsidRDefault="00C65448" w:rsidP="00D63A00">
            <w:pPr>
              <w:spacing w:line="360" w:lineRule="auto"/>
              <w:jc w:val="center"/>
              <w:rPr>
                <w:rFonts w:ascii="Arial" w:hAnsi="Arial" w:cs="Arial"/>
                <w:sz w:val="16"/>
                <w:szCs w:val="16"/>
                <w:lang w:val="de-DE"/>
              </w:rPr>
            </w:pPr>
            <w:r>
              <w:rPr>
                <w:rFonts w:ascii="Arial" w:hAnsi="Arial" w:cs="Arial"/>
                <w:sz w:val="16"/>
                <w:szCs w:val="16"/>
                <w:lang w:val="de-DE"/>
              </w:rPr>
              <w:t>(</w:t>
            </w:r>
            <w:r w:rsidR="00A04E5D">
              <w:rPr>
                <w:rFonts w:ascii="Arial" w:hAnsi="Arial" w:cs="Arial"/>
                <w:sz w:val="16"/>
                <w:szCs w:val="16"/>
                <w:lang w:val="de-DE"/>
              </w:rPr>
              <w:t>4)</w:t>
            </w:r>
          </w:p>
        </w:tc>
        <w:tc>
          <w:tcPr>
            <w:tcW w:w="1968" w:type="dxa"/>
            <w:gridSpan w:val="2"/>
            <w:vAlign w:val="center"/>
          </w:tcPr>
          <w:p w:rsidR="0090662F" w:rsidRDefault="00A04E5D" w:rsidP="0090662F">
            <w:pPr>
              <w:ind w:left="105"/>
              <w:jc w:val="center"/>
              <w:rPr>
                <w:rFonts w:ascii="Garamond" w:hAnsi="Garamond"/>
                <w:lang w:val="de-DE"/>
              </w:rPr>
            </w:pPr>
            <w:r w:rsidRPr="002C5A6B">
              <w:rPr>
                <w:rFonts w:ascii="Garamond" w:hAnsi="Garamond"/>
                <w:i/>
                <w:position w:val="-10"/>
                <w:lang w:val="de-DE"/>
              </w:rPr>
              <w:object w:dxaOrig="300" w:dyaOrig="380">
                <v:shape id="_x0000_i1122" type="#_x0000_t75" style="width:12.85pt;height:16.7pt" o:ole="">
                  <v:imagedata r:id="rId118" o:title=""/>
                </v:shape>
                <o:OLEObject Type="Embed" ProgID="Equation.3" ShapeID="_x0000_i1122" DrawAspect="Content" ObjectID="_1507543469" r:id="rId161"/>
              </w:object>
            </w:r>
          </w:p>
          <w:p w:rsidR="00A04E5D" w:rsidRPr="0007792B" w:rsidRDefault="00A04E5D" w:rsidP="0090662F">
            <w:pPr>
              <w:ind w:left="105"/>
              <w:jc w:val="center"/>
              <w:rPr>
                <w:b/>
                <w:sz w:val="18"/>
                <w:szCs w:val="18"/>
                <w:lang w:val="de-DE"/>
              </w:rPr>
            </w:pPr>
            <w:r>
              <w:rPr>
                <w:rFonts w:ascii="Arial" w:hAnsi="Arial" w:cs="Arial"/>
                <w:b/>
                <w:sz w:val="18"/>
                <w:szCs w:val="18"/>
                <w:lang w:val="de-DE"/>
              </w:rPr>
              <w:t xml:space="preserve">strongly </w:t>
            </w:r>
            <w:r w:rsidRPr="004F48F0">
              <w:rPr>
                <w:rFonts w:ascii="Arial" w:hAnsi="Arial" w:cs="Arial"/>
                <w:b/>
                <w:sz w:val="18"/>
                <w:szCs w:val="18"/>
                <w:lang w:val="de-DE"/>
              </w:rPr>
              <w:t>positive</w:t>
            </w:r>
          </w:p>
        </w:tc>
        <w:tc>
          <w:tcPr>
            <w:tcW w:w="1942" w:type="dxa"/>
            <w:vAlign w:val="center"/>
          </w:tcPr>
          <w:p w:rsidR="00A04E5D" w:rsidRPr="00782238" w:rsidRDefault="00A04E5D" w:rsidP="00076908">
            <w:pPr>
              <w:jc w:val="center"/>
              <w:rPr>
                <w:rFonts w:ascii="Arial" w:hAnsi="Arial" w:cs="Arial"/>
                <w:sz w:val="20"/>
                <w:szCs w:val="20"/>
                <w:lang w:val="de-DE"/>
              </w:rPr>
            </w:pPr>
            <w:r w:rsidRPr="00EE7180">
              <w:rPr>
                <w:rFonts w:ascii="Arial" w:hAnsi="Arial" w:cs="Arial"/>
                <w:sz w:val="20"/>
                <w:szCs w:val="20"/>
                <w:lang w:val="de-DE"/>
              </w:rPr>
              <w:t>-1633.327</w:t>
            </w:r>
            <w:r>
              <w:rPr>
                <w:rFonts w:ascii="Arial" w:hAnsi="Arial" w:cs="Arial"/>
                <w:sz w:val="20"/>
                <w:szCs w:val="20"/>
                <w:lang w:val="de-DE"/>
              </w:rPr>
              <w:t xml:space="preserve"> ***</w:t>
            </w:r>
          </w:p>
          <w:p w:rsidR="00A04E5D" w:rsidRPr="00782238" w:rsidRDefault="00A04E5D" w:rsidP="00076908">
            <w:pPr>
              <w:jc w:val="center"/>
              <w:rPr>
                <w:rFonts w:ascii="Arial" w:hAnsi="Arial" w:cs="Arial"/>
                <w:sz w:val="20"/>
                <w:szCs w:val="20"/>
                <w:lang w:val="de-DE"/>
              </w:rPr>
            </w:pPr>
            <w:r w:rsidRPr="00782238">
              <w:rPr>
                <w:rFonts w:ascii="Arial" w:hAnsi="Arial" w:cs="Arial"/>
                <w:sz w:val="16"/>
                <w:szCs w:val="16"/>
                <w:lang w:val="de-DE"/>
              </w:rPr>
              <w:t xml:space="preserve"> (</w:t>
            </w:r>
            <w:r w:rsidRPr="00EE7180">
              <w:rPr>
                <w:rFonts w:ascii="Arial" w:hAnsi="Arial" w:cs="Arial"/>
                <w:sz w:val="16"/>
                <w:szCs w:val="16"/>
                <w:lang w:val="de-DE"/>
              </w:rPr>
              <w:t>337.9631</w:t>
            </w:r>
            <w:r w:rsidRPr="00782238">
              <w:rPr>
                <w:rFonts w:ascii="Arial" w:hAnsi="Arial" w:cs="Arial"/>
                <w:sz w:val="16"/>
                <w:szCs w:val="16"/>
                <w:lang w:val="de-DE"/>
              </w:rPr>
              <w:t>)</w:t>
            </w:r>
          </w:p>
        </w:tc>
        <w:tc>
          <w:tcPr>
            <w:tcW w:w="1728" w:type="dxa"/>
            <w:vAlign w:val="center"/>
          </w:tcPr>
          <w:p w:rsidR="00A04E5D" w:rsidRPr="00782238" w:rsidRDefault="00A04E5D" w:rsidP="00076908">
            <w:pPr>
              <w:jc w:val="center"/>
              <w:rPr>
                <w:rFonts w:ascii="Arial" w:hAnsi="Arial" w:cs="Arial"/>
                <w:sz w:val="20"/>
                <w:szCs w:val="20"/>
                <w:lang w:val="de-DE"/>
              </w:rPr>
            </w:pPr>
            <w:r w:rsidRPr="00555427">
              <w:rPr>
                <w:rFonts w:ascii="Arial" w:hAnsi="Arial" w:cs="Arial"/>
                <w:sz w:val="20"/>
                <w:szCs w:val="20"/>
                <w:lang w:val="de-DE"/>
              </w:rPr>
              <w:t>-1657.062</w:t>
            </w:r>
            <w:r>
              <w:rPr>
                <w:rFonts w:ascii="Arial" w:hAnsi="Arial" w:cs="Arial"/>
                <w:sz w:val="20"/>
                <w:szCs w:val="20"/>
                <w:lang w:val="de-DE"/>
              </w:rPr>
              <w:t xml:space="preserve"> ***</w:t>
            </w:r>
          </w:p>
          <w:p w:rsidR="00A04E5D" w:rsidRPr="00A51255" w:rsidRDefault="00A04E5D" w:rsidP="00076908">
            <w:pPr>
              <w:jc w:val="center"/>
              <w:rPr>
                <w:lang w:val="en-US"/>
              </w:rPr>
            </w:pPr>
            <w:r w:rsidRPr="00782238">
              <w:rPr>
                <w:rFonts w:ascii="Arial" w:hAnsi="Arial" w:cs="Arial"/>
                <w:sz w:val="16"/>
                <w:szCs w:val="16"/>
                <w:lang w:val="de-DE"/>
              </w:rPr>
              <w:t xml:space="preserve"> (</w:t>
            </w:r>
            <w:r w:rsidRPr="00555427">
              <w:rPr>
                <w:rFonts w:ascii="Arial" w:hAnsi="Arial" w:cs="Arial"/>
                <w:sz w:val="16"/>
                <w:szCs w:val="16"/>
                <w:lang w:val="de-DE"/>
              </w:rPr>
              <w:t>151.1809</w:t>
            </w:r>
            <w:r w:rsidRPr="00782238">
              <w:rPr>
                <w:rFonts w:ascii="Arial" w:hAnsi="Arial" w:cs="Arial"/>
                <w:sz w:val="16"/>
                <w:szCs w:val="16"/>
                <w:lang w:val="de-DE"/>
              </w:rPr>
              <w:t>)</w:t>
            </w:r>
          </w:p>
        </w:tc>
        <w:tc>
          <w:tcPr>
            <w:tcW w:w="1897" w:type="dxa"/>
            <w:vAlign w:val="center"/>
          </w:tcPr>
          <w:p w:rsidR="00A04E5D" w:rsidRPr="00782238" w:rsidRDefault="007807A4" w:rsidP="00B76BD7">
            <w:pPr>
              <w:jc w:val="center"/>
              <w:rPr>
                <w:rFonts w:ascii="Arial" w:hAnsi="Arial" w:cs="Arial"/>
                <w:sz w:val="20"/>
                <w:szCs w:val="20"/>
                <w:lang w:val="de-DE"/>
              </w:rPr>
            </w:pPr>
            <w:r w:rsidRPr="007807A4">
              <w:rPr>
                <w:rFonts w:ascii="Arial" w:hAnsi="Arial" w:cs="Arial"/>
                <w:sz w:val="20"/>
                <w:szCs w:val="20"/>
                <w:lang w:val="de-DE"/>
              </w:rPr>
              <w:t>-333.2671</w:t>
            </w:r>
          </w:p>
          <w:p w:rsidR="00A04E5D" w:rsidRPr="00A51255" w:rsidRDefault="00A04E5D" w:rsidP="00B76BD7">
            <w:pPr>
              <w:jc w:val="center"/>
              <w:rPr>
                <w:lang w:val="en-US"/>
              </w:rPr>
            </w:pPr>
            <w:r w:rsidRPr="00782238">
              <w:rPr>
                <w:rFonts w:ascii="Arial" w:hAnsi="Arial" w:cs="Arial"/>
                <w:sz w:val="16"/>
                <w:szCs w:val="16"/>
                <w:lang w:val="de-DE"/>
              </w:rPr>
              <w:t xml:space="preserve"> (</w:t>
            </w:r>
            <w:r w:rsidR="007807A4" w:rsidRPr="007807A4">
              <w:rPr>
                <w:rFonts w:ascii="Arial" w:hAnsi="Arial" w:cs="Arial"/>
                <w:sz w:val="16"/>
                <w:szCs w:val="16"/>
                <w:lang w:val="de-DE"/>
              </w:rPr>
              <w:t>9011.827</w:t>
            </w:r>
            <w:r w:rsidRPr="00782238">
              <w:rPr>
                <w:rFonts w:ascii="Arial" w:hAnsi="Arial" w:cs="Arial"/>
                <w:sz w:val="16"/>
                <w:szCs w:val="16"/>
                <w:lang w:val="de-DE"/>
              </w:rPr>
              <w:t>)</w:t>
            </w:r>
          </w:p>
        </w:tc>
        <w:tc>
          <w:tcPr>
            <w:tcW w:w="1815" w:type="dxa"/>
            <w:vAlign w:val="center"/>
          </w:tcPr>
          <w:p w:rsidR="00FF6566" w:rsidRDefault="002411FD" w:rsidP="00B76BD7">
            <w:pPr>
              <w:jc w:val="center"/>
              <w:rPr>
                <w:rFonts w:ascii="Arial" w:hAnsi="Arial" w:cs="Arial"/>
                <w:sz w:val="16"/>
                <w:szCs w:val="16"/>
                <w:lang w:val="de-DE"/>
              </w:rPr>
            </w:pPr>
            <w:r w:rsidRPr="002411FD">
              <w:rPr>
                <w:rFonts w:ascii="Arial" w:hAnsi="Arial" w:cs="Arial"/>
                <w:sz w:val="20"/>
                <w:szCs w:val="20"/>
                <w:lang w:val="de-DE"/>
              </w:rPr>
              <w:t>-26.33892</w:t>
            </w:r>
            <w:r w:rsidR="00A04E5D" w:rsidRPr="00782238">
              <w:rPr>
                <w:rFonts w:ascii="Arial" w:hAnsi="Arial" w:cs="Arial"/>
                <w:sz w:val="16"/>
                <w:szCs w:val="16"/>
                <w:lang w:val="de-DE"/>
              </w:rPr>
              <w:t xml:space="preserve"> </w:t>
            </w:r>
          </w:p>
          <w:p w:rsidR="00A04E5D" w:rsidRPr="00A51255" w:rsidRDefault="00A04E5D" w:rsidP="00B76BD7">
            <w:pPr>
              <w:jc w:val="center"/>
              <w:rPr>
                <w:lang w:val="en-US"/>
              </w:rPr>
            </w:pPr>
            <w:r w:rsidRPr="00782238">
              <w:rPr>
                <w:rFonts w:ascii="Arial" w:hAnsi="Arial" w:cs="Arial"/>
                <w:sz w:val="16"/>
                <w:szCs w:val="16"/>
                <w:lang w:val="de-DE"/>
              </w:rPr>
              <w:t>(</w:t>
            </w:r>
            <w:r w:rsidR="002411FD" w:rsidRPr="002411FD">
              <w:rPr>
                <w:rFonts w:ascii="Arial" w:hAnsi="Arial" w:cs="Arial"/>
                <w:sz w:val="16"/>
                <w:szCs w:val="16"/>
                <w:lang w:val="de-DE"/>
              </w:rPr>
              <w:t>794.0803</w:t>
            </w:r>
            <w:r w:rsidRPr="00782238">
              <w:rPr>
                <w:rFonts w:ascii="Arial" w:hAnsi="Arial" w:cs="Arial"/>
                <w:sz w:val="16"/>
                <w:szCs w:val="16"/>
                <w:lang w:val="de-DE"/>
              </w:rPr>
              <w:t>)</w:t>
            </w:r>
          </w:p>
        </w:tc>
      </w:tr>
      <w:tr w:rsidR="00AF2496" w:rsidRPr="00A51255" w:rsidTr="00AF2496">
        <w:trPr>
          <w:jc w:val="center"/>
        </w:trPr>
        <w:tc>
          <w:tcPr>
            <w:tcW w:w="423" w:type="dxa"/>
            <w:vAlign w:val="center"/>
          </w:tcPr>
          <w:p w:rsidR="00A04E5D" w:rsidRPr="00A51255" w:rsidRDefault="00C65448" w:rsidP="00D63A00">
            <w:pPr>
              <w:spacing w:line="360" w:lineRule="auto"/>
              <w:jc w:val="center"/>
              <w:rPr>
                <w:rFonts w:ascii="Arial" w:hAnsi="Arial" w:cs="Arial"/>
                <w:sz w:val="16"/>
                <w:szCs w:val="16"/>
                <w:lang w:val="de-DE"/>
              </w:rPr>
            </w:pPr>
            <w:r>
              <w:rPr>
                <w:rFonts w:ascii="Arial" w:hAnsi="Arial" w:cs="Arial"/>
                <w:sz w:val="16"/>
                <w:szCs w:val="16"/>
                <w:lang w:val="de-DE"/>
              </w:rPr>
              <w:t>(</w:t>
            </w:r>
            <w:r w:rsidR="00A04E5D">
              <w:rPr>
                <w:rFonts w:ascii="Arial" w:hAnsi="Arial" w:cs="Arial"/>
                <w:sz w:val="16"/>
                <w:szCs w:val="16"/>
                <w:lang w:val="de-DE"/>
              </w:rPr>
              <w:t>4)</w:t>
            </w:r>
          </w:p>
        </w:tc>
        <w:tc>
          <w:tcPr>
            <w:tcW w:w="1968" w:type="dxa"/>
            <w:gridSpan w:val="2"/>
            <w:vAlign w:val="center"/>
          </w:tcPr>
          <w:p w:rsidR="0090662F" w:rsidRDefault="00A04E5D" w:rsidP="0090662F">
            <w:pPr>
              <w:ind w:left="105"/>
              <w:jc w:val="center"/>
              <w:rPr>
                <w:rFonts w:ascii="Garamond" w:hAnsi="Garamond"/>
                <w:lang w:val="de-DE"/>
              </w:rPr>
            </w:pPr>
            <w:r w:rsidRPr="002C5A6B">
              <w:rPr>
                <w:rFonts w:ascii="Garamond" w:hAnsi="Garamond"/>
                <w:i/>
                <w:position w:val="-12"/>
                <w:lang w:val="de-DE"/>
              </w:rPr>
              <w:object w:dxaOrig="300" w:dyaOrig="400">
                <v:shape id="_x0000_i1123" type="#_x0000_t75" style="width:12.85pt;height:18pt" o:ole="">
                  <v:imagedata r:id="rId120" o:title=""/>
                </v:shape>
                <o:OLEObject Type="Embed" ProgID="Equation.3" ShapeID="_x0000_i1123" DrawAspect="Content" ObjectID="_1507543470" r:id="rId162"/>
              </w:object>
            </w:r>
          </w:p>
          <w:p w:rsidR="00A04E5D" w:rsidRPr="0007792B" w:rsidRDefault="00A04E5D" w:rsidP="0090662F">
            <w:pPr>
              <w:ind w:left="105"/>
              <w:jc w:val="center"/>
              <w:rPr>
                <w:rFonts w:ascii="Arial" w:hAnsi="Arial" w:cs="Arial"/>
                <w:b/>
                <w:sz w:val="18"/>
                <w:szCs w:val="18"/>
                <w:lang w:val="de-DE"/>
              </w:rPr>
            </w:pPr>
            <w:r>
              <w:rPr>
                <w:rFonts w:ascii="Arial" w:hAnsi="Arial" w:cs="Arial"/>
                <w:b/>
                <w:sz w:val="18"/>
                <w:szCs w:val="18"/>
                <w:lang w:val="de-DE"/>
              </w:rPr>
              <w:t>p</w:t>
            </w:r>
            <w:r w:rsidRPr="004F48F0">
              <w:rPr>
                <w:rFonts w:ascii="Arial" w:hAnsi="Arial" w:cs="Arial"/>
                <w:b/>
                <w:sz w:val="18"/>
                <w:szCs w:val="18"/>
                <w:lang w:val="de-DE"/>
              </w:rPr>
              <w:t>ositive</w:t>
            </w:r>
          </w:p>
        </w:tc>
        <w:tc>
          <w:tcPr>
            <w:tcW w:w="1942" w:type="dxa"/>
            <w:vAlign w:val="center"/>
          </w:tcPr>
          <w:p w:rsidR="00A04E5D" w:rsidRPr="00782238" w:rsidRDefault="00A04E5D" w:rsidP="00076908">
            <w:pPr>
              <w:jc w:val="center"/>
              <w:rPr>
                <w:rFonts w:ascii="Arial" w:hAnsi="Arial" w:cs="Arial"/>
                <w:sz w:val="20"/>
                <w:szCs w:val="20"/>
                <w:lang w:val="de-DE"/>
              </w:rPr>
            </w:pPr>
            <w:r w:rsidRPr="00EE7180">
              <w:rPr>
                <w:rFonts w:ascii="Arial" w:hAnsi="Arial" w:cs="Arial"/>
                <w:sz w:val="20"/>
                <w:szCs w:val="20"/>
                <w:lang w:val="de-DE"/>
              </w:rPr>
              <w:t>-1009.098</w:t>
            </w:r>
            <w:r>
              <w:rPr>
                <w:rFonts w:ascii="Arial" w:hAnsi="Arial" w:cs="Arial"/>
                <w:sz w:val="20"/>
                <w:szCs w:val="20"/>
                <w:lang w:val="de-DE"/>
              </w:rPr>
              <w:t xml:space="preserve"> ***</w:t>
            </w:r>
          </w:p>
          <w:p w:rsidR="00A04E5D" w:rsidRPr="00782238" w:rsidRDefault="00A04E5D" w:rsidP="00076908">
            <w:pPr>
              <w:jc w:val="center"/>
              <w:rPr>
                <w:rFonts w:ascii="Arial" w:hAnsi="Arial" w:cs="Arial"/>
                <w:sz w:val="20"/>
                <w:szCs w:val="20"/>
                <w:lang w:val="de-DE"/>
              </w:rPr>
            </w:pPr>
            <w:r w:rsidRPr="00782238">
              <w:rPr>
                <w:rFonts w:ascii="Arial" w:hAnsi="Arial" w:cs="Arial"/>
                <w:sz w:val="16"/>
                <w:szCs w:val="16"/>
                <w:lang w:val="de-DE"/>
              </w:rPr>
              <w:t xml:space="preserve"> (</w:t>
            </w:r>
            <w:r w:rsidRPr="00EE7180">
              <w:rPr>
                <w:rFonts w:ascii="Arial" w:hAnsi="Arial" w:cs="Arial"/>
                <w:sz w:val="16"/>
                <w:szCs w:val="16"/>
                <w:lang w:val="de-DE"/>
              </w:rPr>
              <w:t>369.2228</w:t>
            </w:r>
            <w:r w:rsidRPr="00782238">
              <w:rPr>
                <w:rFonts w:ascii="Arial" w:hAnsi="Arial" w:cs="Arial"/>
                <w:sz w:val="16"/>
                <w:szCs w:val="16"/>
                <w:lang w:val="de-DE"/>
              </w:rPr>
              <w:t>)</w:t>
            </w:r>
          </w:p>
        </w:tc>
        <w:tc>
          <w:tcPr>
            <w:tcW w:w="1728" w:type="dxa"/>
            <w:vAlign w:val="center"/>
          </w:tcPr>
          <w:p w:rsidR="00A04E5D" w:rsidRPr="00782238" w:rsidRDefault="00A04E5D" w:rsidP="00076908">
            <w:pPr>
              <w:jc w:val="center"/>
              <w:rPr>
                <w:rFonts w:ascii="Arial" w:hAnsi="Arial" w:cs="Arial"/>
                <w:sz w:val="20"/>
                <w:szCs w:val="20"/>
                <w:lang w:val="de-DE"/>
              </w:rPr>
            </w:pPr>
            <w:r w:rsidRPr="00555427">
              <w:rPr>
                <w:rFonts w:ascii="Arial" w:hAnsi="Arial" w:cs="Arial"/>
                <w:sz w:val="20"/>
                <w:szCs w:val="20"/>
                <w:lang w:val="de-DE"/>
              </w:rPr>
              <w:t>-755.9774</w:t>
            </w:r>
            <w:r>
              <w:rPr>
                <w:rFonts w:ascii="Arial" w:hAnsi="Arial" w:cs="Arial"/>
                <w:sz w:val="20"/>
                <w:szCs w:val="20"/>
                <w:lang w:val="de-DE"/>
              </w:rPr>
              <w:t xml:space="preserve"> *</w:t>
            </w:r>
          </w:p>
          <w:p w:rsidR="00A04E5D" w:rsidRPr="00A51255" w:rsidRDefault="00A04E5D" w:rsidP="00076908">
            <w:pPr>
              <w:jc w:val="center"/>
              <w:rPr>
                <w:lang w:val="en-US"/>
              </w:rPr>
            </w:pPr>
            <w:r w:rsidRPr="00782238">
              <w:rPr>
                <w:rFonts w:ascii="Arial" w:hAnsi="Arial" w:cs="Arial"/>
                <w:sz w:val="16"/>
                <w:szCs w:val="16"/>
                <w:lang w:val="de-DE"/>
              </w:rPr>
              <w:t xml:space="preserve"> (</w:t>
            </w:r>
            <w:r w:rsidRPr="00555427">
              <w:rPr>
                <w:rFonts w:ascii="Arial" w:hAnsi="Arial" w:cs="Arial"/>
                <w:sz w:val="16"/>
                <w:szCs w:val="16"/>
                <w:lang w:val="de-DE"/>
              </w:rPr>
              <w:t>438.1545</w:t>
            </w:r>
            <w:r w:rsidRPr="00782238">
              <w:rPr>
                <w:rFonts w:ascii="Arial" w:hAnsi="Arial" w:cs="Arial"/>
                <w:sz w:val="16"/>
                <w:szCs w:val="16"/>
                <w:lang w:val="de-DE"/>
              </w:rPr>
              <w:t>)</w:t>
            </w:r>
          </w:p>
        </w:tc>
        <w:tc>
          <w:tcPr>
            <w:tcW w:w="1897" w:type="dxa"/>
            <w:vAlign w:val="center"/>
          </w:tcPr>
          <w:p w:rsidR="00A04E5D" w:rsidRPr="00782238" w:rsidRDefault="007807A4" w:rsidP="00B76BD7">
            <w:pPr>
              <w:jc w:val="center"/>
              <w:rPr>
                <w:rFonts w:ascii="Arial" w:hAnsi="Arial" w:cs="Arial"/>
                <w:sz w:val="20"/>
                <w:szCs w:val="20"/>
                <w:lang w:val="de-DE"/>
              </w:rPr>
            </w:pPr>
            <w:r w:rsidRPr="007807A4">
              <w:rPr>
                <w:rFonts w:ascii="Arial" w:hAnsi="Arial" w:cs="Arial"/>
                <w:sz w:val="20"/>
                <w:szCs w:val="20"/>
                <w:lang w:val="de-DE"/>
              </w:rPr>
              <w:t>1422.305</w:t>
            </w:r>
          </w:p>
          <w:p w:rsidR="00A04E5D" w:rsidRPr="00A51255" w:rsidRDefault="00A04E5D" w:rsidP="00B76BD7">
            <w:pPr>
              <w:jc w:val="center"/>
              <w:rPr>
                <w:lang w:val="en-US"/>
              </w:rPr>
            </w:pPr>
            <w:r w:rsidRPr="00782238">
              <w:rPr>
                <w:rFonts w:ascii="Arial" w:hAnsi="Arial" w:cs="Arial"/>
                <w:sz w:val="16"/>
                <w:szCs w:val="16"/>
                <w:lang w:val="de-DE"/>
              </w:rPr>
              <w:t xml:space="preserve"> (</w:t>
            </w:r>
            <w:r w:rsidR="007807A4" w:rsidRPr="007807A4">
              <w:rPr>
                <w:rFonts w:ascii="Arial" w:hAnsi="Arial" w:cs="Arial"/>
                <w:sz w:val="16"/>
                <w:szCs w:val="16"/>
                <w:lang w:val="de-DE"/>
              </w:rPr>
              <w:t>1840.030</w:t>
            </w:r>
            <w:r w:rsidRPr="00782238">
              <w:rPr>
                <w:rFonts w:ascii="Arial" w:hAnsi="Arial" w:cs="Arial"/>
                <w:sz w:val="16"/>
                <w:szCs w:val="16"/>
                <w:lang w:val="de-DE"/>
              </w:rPr>
              <w:t>)</w:t>
            </w:r>
          </w:p>
        </w:tc>
        <w:tc>
          <w:tcPr>
            <w:tcW w:w="1815" w:type="dxa"/>
            <w:vAlign w:val="center"/>
          </w:tcPr>
          <w:p w:rsidR="00A04E5D" w:rsidRPr="00782238" w:rsidRDefault="002411FD" w:rsidP="00B76BD7">
            <w:pPr>
              <w:jc w:val="center"/>
              <w:rPr>
                <w:rFonts w:ascii="Arial" w:hAnsi="Arial" w:cs="Arial"/>
                <w:sz w:val="20"/>
                <w:szCs w:val="20"/>
                <w:lang w:val="de-DE"/>
              </w:rPr>
            </w:pPr>
            <w:r w:rsidRPr="002411FD">
              <w:rPr>
                <w:rFonts w:ascii="Arial" w:hAnsi="Arial" w:cs="Arial"/>
                <w:sz w:val="20"/>
                <w:szCs w:val="20"/>
                <w:lang w:val="de-DE"/>
              </w:rPr>
              <w:t>390.0906</w:t>
            </w:r>
          </w:p>
          <w:p w:rsidR="00A04E5D" w:rsidRPr="00A51255" w:rsidRDefault="00A04E5D" w:rsidP="00B76BD7">
            <w:pPr>
              <w:jc w:val="center"/>
              <w:rPr>
                <w:lang w:val="en-US"/>
              </w:rPr>
            </w:pPr>
            <w:r w:rsidRPr="00782238">
              <w:rPr>
                <w:rFonts w:ascii="Arial" w:hAnsi="Arial" w:cs="Arial"/>
                <w:sz w:val="16"/>
                <w:szCs w:val="16"/>
                <w:lang w:val="de-DE"/>
              </w:rPr>
              <w:t xml:space="preserve"> (</w:t>
            </w:r>
            <w:r w:rsidR="002411FD" w:rsidRPr="002411FD">
              <w:rPr>
                <w:rFonts w:ascii="Arial" w:hAnsi="Arial" w:cs="Arial"/>
                <w:sz w:val="16"/>
                <w:szCs w:val="16"/>
                <w:lang w:val="de-DE"/>
              </w:rPr>
              <w:t>1384.454</w:t>
            </w:r>
            <w:r w:rsidRPr="00782238">
              <w:rPr>
                <w:rFonts w:ascii="Arial" w:hAnsi="Arial" w:cs="Arial"/>
                <w:sz w:val="16"/>
                <w:szCs w:val="16"/>
                <w:lang w:val="de-DE"/>
              </w:rPr>
              <w:t>)</w:t>
            </w:r>
          </w:p>
        </w:tc>
      </w:tr>
      <w:tr w:rsidR="00AF2496" w:rsidRPr="00A51255" w:rsidTr="00AF2496">
        <w:trPr>
          <w:jc w:val="center"/>
        </w:trPr>
        <w:tc>
          <w:tcPr>
            <w:tcW w:w="423" w:type="dxa"/>
            <w:vAlign w:val="center"/>
          </w:tcPr>
          <w:p w:rsidR="00A04E5D" w:rsidRPr="00A51255" w:rsidRDefault="00C65448" w:rsidP="00D63A00">
            <w:pPr>
              <w:spacing w:line="360" w:lineRule="auto"/>
              <w:jc w:val="center"/>
              <w:rPr>
                <w:rFonts w:ascii="Arial" w:hAnsi="Arial" w:cs="Arial"/>
                <w:sz w:val="16"/>
                <w:szCs w:val="16"/>
                <w:lang w:val="de-DE"/>
              </w:rPr>
            </w:pPr>
            <w:r>
              <w:rPr>
                <w:rFonts w:ascii="Arial" w:hAnsi="Arial" w:cs="Arial"/>
                <w:sz w:val="16"/>
                <w:szCs w:val="16"/>
                <w:lang w:val="de-DE"/>
              </w:rPr>
              <w:t>(</w:t>
            </w:r>
            <w:r w:rsidR="00A04E5D">
              <w:rPr>
                <w:rFonts w:ascii="Arial" w:hAnsi="Arial" w:cs="Arial"/>
                <w:sz w:val="16"/>
                <w:szCs w:val="16"/>
                <w:lang w:val="de-DE"/>
              </w:rPr>
              <w:t>4)</w:t>
            </w:r>
          </w:p>
        </w:tc>
        <w:tc>
          <w:tcPr>
            <w:tcW w:w="1968" w:type="dxa"/>
            <w:gridSpan w:val="2"/>
            <w:vAlign w:val="center"/>
          </w:tcPr>
          <w:p w:rsidR="0090662F" w:rsidRDefault="00A04E5D" w:rsidP="0090662F">
            <w:pPr>
              <w:ind w:left="105"/>
              <w:jc w:val="center"/>
              <w:rPr>
                <w:rFonts w:ascii="Garamond" w:hAnsi="Garamond"/>
                <w:lang w:val="de-DE"/>
              </w:rPr>
            </w:pPr>
            <w:r w:rsidRPr="002C5A6B">
              <w:rPr>
                <w:rFonts w:ascii="Garamond" w:hAnsi="Garamond"/>
                <w:i/>
                <w:position w:val="-12"/>
                <w:lang w:val="de-DE"/>
              </w:rPr>
              <w:object w:dxaOrig="300" w:dyaOrig="400">
                <v:shape id="_x0000_i1124" type="#_x0000_t75" style="width:12.85pt;height:18pt" o:ole="">
                  <v:imagedata r:id="rId122" o:title=""/>
                </v:shape>
                <o:OLEObject Type="Embed" ProgID="Equation.3" ShapeID="_x0000_i1124" DrawAspect="Content" ObjectID="_1507543471" r:id="rId163"/>
              </w:object>
            </w:r>
          </w:p>
          <w:p w:rsidR="00A04E5D" w:rsidRPr="0007792B" w:rsidRDefault="00A04E5D" w:rsidP="0090662F">
            <w:pPr>
              <w:ind w:left="105"/>
              <w:jc w:val="center"/>
              <w:rPr>
                <w:rFonts w:ascii="Arial" w:hAnsi="Arial" w:cs="Arial"/>
                <w:b/>
                <w:sz w:val="18"/>
                <w:szCs w:val="18"/>
                <w:lang w:val="de-DE"/>
              </w:rPr>
            </w:pPr>
            <w:r>
              <w:rPr>
                <w:rFonts w:ascii="Arial" w:hAnsi="Arial" w:cs="Arial"/>
                <w:b/>
                <w:sz w:val="18"/>
                <w:szCs w:val="18"/>
                <w:lang w:val="de-DE"/>
              </w:rPr>
              <w:t>n</w:t>
            </w:r>
            <w:r w:rsidRPr="004F48F0">
              <w:rPr>
                <w:rFonts w:ascii="Arial" w:hAnsi="Arial" w:cs="Arial"/>
                <w:b/>
                <w:sz w:val="18"/>
                <w:szCs w:val="18"/>
                <w:lang w:val="de-DE"/>
              </w:rPr>
              <w:t>egative</w:t>
            </w:r>
          </w:p>
        </w:tc>
        <w:tc>
          <w:tcPr>
            <w:tcW w:w="1942" w:type="dxa"/>
            <w:vAlign w:val="center"/>
          </w:tcPr>
          <w:p w:rsidR="00A04E5D" w:rsidRPr="00782238" w:rsidRDefault="00A04E5D" w:rsidP="00076908">
            <w:pPr>
              <w:jc w:val="center"/>
              <w:rPr>
                <w:rFonts w:ascii="Arial" w:hAnsi="Arial" w:cs="Arial"/>
                <w:sz w:val="20"/>
                <w:szCs w:val="20"/>
                <w:lang w:val="de-DE"/>
              </w:rPr>
            </w:pPr>
            <w:r w:rsidRPr="00EE7180">
              <w:rPr>
                <w:rFonts w:ascii="Arial" w:hAnsi="Arial" w:cs="Arial"/>
                <w:sz w:val="20"/>
                <w:szCs w:val="20"/>
                <w:lang w:val="de-DE"/>
              </w:rPr>
              <w:t>2320.286</w:t>
            </w:r>
          </w:p>
          <w:p w:rsidR="00A04E5D" w:rsidRPr="00782238" w:rsidRDefault="00A04E5D" w:rsidP="00076908">
            <w:pPr>
              <w:jc w:val="center"/>
              <w:rPr>
                <w:rFonts w:ascii="Arial" w:hAnsi="Arial" w:cs="Arial"/>
                <w:sz w:val="20"/>
                <w:szCs w:val="20"/>
                <w:lang w:val="de-DE"/>
              </w:rPr>
            </w:pPr>
            <w:r w:rsidRPr="00782238">
              <w:rPr>
                <w:rFonts w:ascii="Arial" w:hAnsi="Arial" w:cs="Arial"/>
                <w:sz w:val="16"/>
                <w:szCs w:val="16"/>
                <w:lang w:val="de-DE"/>
              </w:rPr>
              <w:t xml:space="preserve"> (</w:t>
            </w:r>
            <w:r w:rsidRPr="00EE7180">
              <w:rPr>
                <w:rFonts w:ascii="Arial" w:hAnsi="Arial" w:cs="Arial"/>
                <w:sz w:val="16"/>
                <w:szCs w:val="16"/>
                <w:lang w:val="de-DE"/>
              </w:rPr>
              <w:t>2023.475</w:t>
            </w:r>
            <w:r w:rsidRPr="00782238">
              <w:rPr>
                <w:rFonts w:ascii="Arial" w:hAnsi="Arial" w:cs="Arial"/>
                <w:sz w:val="16"/>
                <w:szCs w:val="16"/>
                <w:lang w:val="de-DE"/>
              </w:rPr>
              <w:t>)</w:t>
            </w:r>
          </w:p>
        </w:tc>
        <w:tc>
          <w:tcPr>
            <w:tcW w:w="1728" w:type="dxa"/>
            <w:vAlign w:val="center"/>
          </w:tcPr>
          <w:p w:rsidR="00A04E5D" w:rsidRPr="00782238" w:rsidRDefault="00A04E5D" w:rsidP="00076908">
            <w:pPr>
              <w:jc w:val="center"/>
              <w:rPr>
                <w:rFonts w:ascii="Arial" w:hAnsi="Arial" w:cs="Arial"/>
                <w:sz w:val="20"/>
                <w:szCs w:val="20"/>
                <w:lang w:val="de-DE"/>
              </w:rPr>
            </w:pPr>
            <w:r w:rsidRPr="00555427">
              <w:rPr>
                <w:rFonts w:ascii="Arial" w:hAnsi="Arial" w:cs="Arial"/>
                <w:sz w:val="20"/>
                <w:szCs w:val="20"/>
                <w:lang w:val="de-DE"/>
              </w:rPr>
              <w:t>1914.343</w:t>
            </w:r>
          </w:p>
          <w:p w:rsidR="00A04E5D" w:rsidRPr="00A51255" w:rsidRDefault="00A04E5D" w:rsidP="00076908">
            <w:pPr>
              <w:jc w:val="center"/>
              <w:rPr>
                <w:lang w:val="en-US"/>
              </w:rPr>
            </w:pPr>
            <w:r w:rsidRPr="00782238">
              <w:rPr>
                <w:rFonts w:ascii="Arial" w:hAnsi="Arial" w:cs="Arial"/>
                <w:sz w:val="16"/>
                <w:szCs w:val="16"/>
                <w:lang w:val="de-DE"/>
              </w:rPr>
              <w:t xml:space="preserve"> (</w:t>
            </w:r>
            <w:r w:rsidRPr="00555427">
              <w:rPr>
                <w:rFonts w:ascii="Arial" w:hAnsi="Arial" w:cs="Arial"/>
                <w:sz w:val="16"/>
                <w:szCs w:val="16"/>
                <w:lang w:val="de-DE"/>
              </w:rPr>
              <w:t>1431.36</w:t>
            </w:r>
            <w:r w:rsidRPr="00782238">
              <w:rPr>
                <w:rFonts w:ascii="Arial" w:hAnsi="Arial" w:cs="Arial"/>
                <w:sz w:val="16"/>
                <w:szCs w:val="16"/>
                <w:lang w:val="de-DE"/>
              </w:rPr>
              <w:t>)</w:t>
            </w:r>
          </w:p>
        </w:tc>
        <w:tc>
          <w:tcPr>
            <w:tcW w:w="1897" w:type="dxa"/>
            <w:vAlign w:val="center"/>
          </w:tcPr>
          <w:p w:rsidR="00A04E5D" w:rsidRPr="00782238" w:rsidRDefault="00D44285" w:rsidP="00B76BD7">
            <w:pPr>
              <w:jc w:val="center"/>
              <w:rPr>
                <w:rFonts w:ascii="Arial" w:hAnsi="Arial" w:cs="Arial"/>
                <w:sz w:val="20"/>
                <w:szCs w:val="20"/>
                <w:lang w:val="de-DE"/>
              </w:rPr>
            </w:pPr>
            <w:r w:rsidRPr="00D44285">
              <w:rPr>
                <w:rFonts w:ascii="Arial" w:hAnsi="Arial" w:cs="Arial"/>
                <w:sz w:val="20"/>
                <w:szCs w:val="20"/>
                <w:lang w:val="de-DE"/>
              </w:rPr>
              <w:t>-494.6698</w:t>
            </w:r>
          </w:p>
          <w:p w:rsidR="00A04E5D" w:rsidRPr="00A51255" w:rsidRDefault="00A04E5D" w:rsidP="00B76BD7">
            <w:pPr>
              <w:jc w:val="center"/>
              <w:rPr>
                <w:lang w:val="en-US"/>
              </w:rPr>
            </w:pPr>
            <w:r w:rsidRPr="00782238">
              <w:rPr>
                <w:rFonts w:ascii="Arial" w:hAnsi="Arial" w:cs="Arial"/>
                <w:sz w:val="16"/>
                <w:szCs w:val="16"/>
                <w:lang w:val="de-DE"/>
              </w:rPr>
              <w:t xml:space="preserve"> (</w:t>
            </w:r>
            <w:r w:rsidR="00D44285" w:rsidRPr="00D44285">
              <w:rPr>
                <w:rFonts w:ascii="Arial" w:hAnsi="Arial" w:cs="Arial"/>
                <w:sz w:val="16"/>
                <w:szCs w:val="16"/>
                <w:lang w:val="de-DE"/>
              </w:rPr>
              <w:t>1038.535</w:t>
            </w:r>
            <w:r w:rsidRPr="00782238">
              <w:rPr>
                <w:rFonts w:ascii="Arial" w:hAnsi="Arial" w:cs="Arial"/>
                <w:sz w:val="16"/>
                <w:szCs w:val="16"/>
                <w:lang w:val="de-DE"/>
              </w:rPr>
              <w:t>)</w:t>
            </w:r>
          </w:p>
        </w:tc>
        <w:tc>
          <w:tcPr>
            <w:tcW w:w="1815" w:type="dxa"/>
            <w:vAlign w:val="center"/>
          </w:tcPr>
          <w:p w:rsidR="00A04E5D" w:rsidRPr="00782238" w:rsidRDefault="002411FD" w:rsidP="00B76BD7">
            <w:pPr>
              <w:jc w:val="center"/>
              <w:rPr>
                <w:rFonts w:ascii="Arial" w:hAnsi="Arial" w:cs="Arial"/>
                <w:sz w:val="20"/>
                <w:szCs w:val="20"/>
                <w:lang w:val="de-DE"/>
              </w:rPr>
            </w:pPr>
            <w:r w:rsidRPr="002411FD">
              <w:rPr>
                <w:rFonts w:ascii="Arial" w:hAnsi="Arial" w:cs="Arial"/>
                <w:sz w:val="20"/>
                <w:szCs w:val="20"/>
                <w:lang w:val="de-DE"/>
              </w:rPr>
              <w:t>-129.9643</w:t>
            </w:r>
          </w:p>
          <w:p w:rsidR="00A04E5D" w:rsidRPr="00A51255" w:rsidRDefault="00A04E5D" w:rsidP="00B76BD7">
            <w:pPr>
              <w:jc w:val="center"/>
              <w:rPr>
                <w:lang w:val="en-US"/>
              </w:rPr>
            </w:pPr>
            <w:r w:rsidRPr="00782238">
              <w:rPr>
                <w:rFonts w:ascii="Arial" w:hAnsi="Arial" w:cs="Arial"/>
                <w:sz w:val="16"/>
                <w:szCs w:val="16"/>
                <w:lang w:val="de-DE"/>
              </w:rPr>
              <w:t xml:space="preserve"> (</w:t>
            </w:r>
            <w:r w:rsidR="002411FD" w:rsidRPr="002411FD">
              <w:rPr>
                <w:rFonts w:ascii="Arial" w:hAnsi="Arial" w:cs="Arial"/>
                <w:sz w:val="16"/>
                <w:szCs w:val="16"/>
                <w:lang w:val="de-DE"/>
              </w:rPr>
              <w:t>679.1327</w:t>
            </w:r>
            <w:r w:rsidRPr="00782238">
              <w:rPr>
                <w:rFonts w:ascii="Arial" w:hAnsi="Arial" w:cs="Arial"/>
                <w:sz w:val="16"/>
                <w:szCs w:val="16"/>
                <w:lang w:val="de-DE"/>
              </w:rPr>
              <w:t>)</w:t>
            </w:r>
          </w:p>
        </w:tc>
      </w:tr>
      <w:tr w:rsidR="00AF2496" w:rsidRPr="00A51255" w:rsidTr="00AF2496">
        <w:trPr>
          <w:jc w:val="center"/>
        </w:trPr>
        <w:tc>
          <w:tcPr>
            <w:tcW w:w="423" w:type="dxa"/>
            <w:vAlign w:val="center"/>
          </w:tcPr>
          <w:p w:rsidR="00A04E5D" w:rsidRPr="00A51255" w:rsidRDefault="00C65448" w:rsidP="00D63A00">
            <w:pPr>
              <w:spacing w:line="360" w:lineRule="auto"/>
              <w:jc w:val="center"/>
              <w:rPr>
                <w:rFonts w:ascii="Arial" w:hAnsi="Arial" w:cs="Arial"/>
                <w:sz w:val="16"/>
                <w:szCs w:val="16"/>
                <w:lang w:val="de-DE"/>
              </w:rPr>
            </w:pPr>
            <w:r>
              <w:rPr>
                <w:rFonts w:ascii="Arial" w:hAnsi="Arial" w:cs="Arial"/>
                <w:sz w:val="16"/>
                <w:szCs w:val="16"/>
                <w:lang w:val="de-DE"/>
              </w:rPr>
              <w:t>(</w:t>
            </w:r>
            <w:r w:rsidR="00A04E5D">
              <w:rPr>
                <w:rFonts w:ascii="Arial" w:hAnsi="Arial" w:cs="Arial"/>
                <w:sz w:val="16"/>
                <w:szCs w:val="16"/>
                <w:lang w:val="de-DE"/>
              </w:rPr>
              <w:t>4)</w:t>
            </w:r>
          </w:p>
        </w:tc>
        <w:tc>
          <w:tcPr>
            <w:tcW w:w="1968" w:type="dxa"/>
            <w:gridSpan w:val="2"/>
            <w:vAlign w:val="center"/>
          </w:tcPr>
          <w:p w:rsidR="0090662F" w:rsidRDefault="00A04E5D" w:rsidP="0090662F">
            <w:pPr>
              <w:ind w:left="105"/>
              <w:jc w:val="center"/>
            </w:pPr>
            <w:r w:rsidRPr="00326E18">
              <w:rPr>
                <w:rFonts w:ascii="Garamond" w:hAnsi="Garamond"/>
                <w:i/>
                <w:position w:val="-12"/>
                <w:lang w:val="de-DE"/>
              </w:rPr>
              <w:object w:dxaOrig="300" w:dyaOrig="400">
                <v:shape id="_x0000_i1125" type="#_x0000_t75" style="width:12.85pt;height:18pt" o:ole="">
                  <v:imagedata r:id="rId164" o:title=""/>
                </v:shape>
                <o:OLEObject Type="Embed" ProgID="Equation.3" ShapeID="_x0000_i1125" DrawAspect="Content" ObjectID="_1507543472" r:id="rId165"/>
              </w:object>
            </w:r>
          </w:p>
          <w:p w:rsidR="00A04E5D" w:rsidRPr="004F48F0" w:rsidRDefault="00A04E5D" w:rsidP="0090662F">
            <w:pPr>
              <w:ind w:left="105"/>
              <w:jc w:val="center"/>
              <w:rPr>
                <w:rFonts w:ascii="Arial" w:hAnsi="Arial" w:cs="Arial"/>
                <w:b/>
                <w:sz w:val="18"/>
                <w:szCs w:val="18"/>
                <w:lang w:val="de-DE"/>
              </w:rPr>
            </w:pPr>
            <w:r>
              <w:rPr>
                <w:rFonts w:ascii="Arial" w:hAnsi="Arial" w:cs="Arial"/>
                <w:b/>
                <w:sz w:val="18"/>
                <w:szCs w:val="18"/>
                <w:lang w:val="de-DE"/>
              </w:rPr>
              <w:t xml:space="preserve">strongly </w:t>
            </w:r>
            <w:r w:rsidRPr="004F48F0">
              <w:rPr>
                <w:rFonts w:ascii="Arial" w:hAnsi="Arial" w:cs="Arial"/>
                <w:b/>
                <w:sz w:val="18"/>
                <w:szCs w:val="18"/>
                <w:lang w:val="de-DE"/>
              </w:rPr>
              <w:t>negative</w:t>
            </w:r>
          </w:p>
        </w:tc>
        <w:tc>
          <w:tcPr>
            <w:tcW w:w="1942" w:type="dxa"/>
            <w:vAlign w:val="center"/>
          </w:tcPr>
          <w:p w:rsidR="00A04E5D" w:rsidRPr="00782238" w:rsidRDefault="00A04E5D" w:rsidP="00076908">
            <w:pPr>
              <w:jc w:val="center"/>
              <w:rPr>
                <w:rFonts w:ascii="Arial" w:hAnsi="Arial" w:cs="Arial"/>
                <w:sz w:val="20"/>
                <w:szCs w:val="20"/>
                <w:lang w:val="de-DE"/>
              </w:rPr>
            </w:pPr>
            <w:r w:rsidRPr="00663917">
              <w:rPr>
                <w:rFonts w:ascii="Arial" w:hAnsi="Arial" w:cs="Arial"/>
                <w:sz w:val="20"/>
                <w:szCs w:val="20"/>
                <w:lang w:val="de-DE"/>
              </w:rPr>
              <w:t>-227.3521</w:t>
            </w:r>
          </w:p>
          <w:p w:rsidR="00A04E5D" w:rsidRPr="00782238" w:rsidRDefault="00A04E5D" w:rsidP="00076908">
            <w:pPr>
              <w:jc w:val="center"/>
              <w:rPr>
                <w:rFonts w:ascii="Arial" w:hAnsi="Arial" w:cs="Arial"/>
                <w:sz w:val="20"/>
                <w:szCs w:val="20"/>
                <w:lang w:val="de-DE"/>
              </w:rPr>
            </w:pPr>
            <w:r w:rsidRPr="00782238">
              <w:rPr>
                <w:rFonts w:ascii="Arial" w:hAnsi="Arial" w:cs="Arial"/>
                <w:sz w:val="16"/>
                <w:szCs w:val="16"/>
                <w:lang w:val="de-DE"/>
              </w:rPr>
              <w:t xml:space="preserve"> (</w:t>
            </w:r>
            <w:r w:rsidRPr="00663917">
              <w:rPr>
                <w:rFonts w:ascii="Arial" w:hAnsi="Arial" w:cs="Arial"/>
                <w:sz w:val="16"/>
                <w:szCs w:val="16"/>
                <w:lang w:val="de-DE"/>
              </w:rPr>
              <w:t>5448.854</w:t>
            </w:r>
            <w:r w:rsidRPr="00782238">
              <w:rPr>
                <w:rFonts w:ascii="Arial" w:hAnsi="Arial" w:cs="Arial"/>
                <w:sz w:val="16"/>
                <w:szCs w:val="16"/>
                <w:lang w:val="de-DE"/>
              </w:rPr>
              <w:t>)</w:t>
            </w:r>
          </w:p>
        </w:tc>
        <w:tc>
          <w:tcPr>
            <w:tcW w:w="1728" w:type="dxa"/>
            <w:vAlign w:val="center"/>
          </w:tcPr>
          <w:p w:rsidR="00A04E5D" w:rsidRPr="00782238" w:rsidRDefault="00A04E5D" w:rsidP="00076908">
            <w:pPr>
              <w:jc w:val="center"/>
              <w:rPr>
                <w:rFonts w:ascii="Arial" w:hAnsi="Arial" w:cs="Arial"/>
                <w:sz w:val="20"/>
                <w:szCs w:val="20"/>
                <w:lang w:val="de-DE"/>
              </w:rPr>
            </w:pPr>
            <w:r w:rsidRPr="00555427">
              <w:rPr>
                <w:rFonts w:ascii="Arial" w:hAnsi="Arial" w:cs="Arial"/>
                <w:sz w:val="20"/>
                <w:szCs w:val="20"/>
                <w:lang w:val="de-DE"/>
              </w:rPr>
              <w:t>-1392.842</w:t>
            </w:r>
            <w:r>
              <w:rPr>
                <w:rFonts w:ascii="Arial" w:hAnsi="Arial" w:cs="Arial"/>
                <w:sz w:val="20"/>
                <w:szCs w:val="20"/>
                <w:lang w:val="de-DE"/>
              </w:rPr>
              <w:t xml:space="preserve"> ***</w:t>
            </w:r>
          </w:p>
          <w:p w:rsidR="00A04E5D" w:rsidRPr="00A51255" w:rsidRDefault="00A04E5D" w:rsidP="00076908">
            <w:pPr>
              <w:jc w:val="center"/>
              <w:rPr>
                <w:lang w:val="en-US"/>
              </w:rPr>
            </w:pPr>
            <w:r w:rsidRPr="00782238">
              <w:rPr>
                <w:rFonts w:ascii="Arial" w:hAnsi="Arial" w:cs="Arial"/>
                <w:sz w:val="16"/>
                <w:szCs w:val="16"/>
                <w:lang w:val="de-DE"/>
              </w:rPr>
              <w:t xml:space="preserve"> (</w:t>
            </w:r>
            <w:r w:rsidRPr="00555427">
              <w:rPr>
                <w:rFonts w:ascii="Arial" w:hAnsi="Arial" w:cs="Arial"/>
                <w:sz w:val="16"/>
                <w:szCs w:val="16"/>
                <w:lang w:val="de-DE"/>
              </w:rPr>
              <w:t>175.9095</w:t>
            </w:r>
            <w:r w:rsidRPr="00782238">
              <w:rPr>
                <w:rFonts w:ascii="Arial" w:hAnsi="Arial" w:cs="Arial"/>
                <w:sz w:val="16"/>
                <w:szCs w:val="16"/>
                <w:lang w:val="de-DE"/>
              </w:rPr>
              <w:t>)</w:t>
            </w:r>
          </w:p>
        </w:tc>
        <w:tc>
          <w:tcPr>
            <w:tcW w:w="1897" w:type="dxa"/>
            <w:vAlign w:val="center"/>
          </w:tcPr>
          <w:p w:rsidR="00A04E5D" w:rsidRPr="00782238" w:rsidRDefault="003B5DDC" w:rsidP="00B76BD7">
            <w:pPr>
              <w:jc w:val="center"/>
              <w:rPr>
                <w:rFonts w:ascii="Arial" w:hAnsi="Arial" w:cs="Arial"/>
                <w:sz w:val="20"/>
                <w:szCs w:val="20"/>
                <w:lang w:val="de-DE"/>
              </w:rPr>
            </w:pPr>
            <w:r w:rsidRPr="003B5DDC">
              <w:rPr>
                <w:rFonts w:ascii="Arial" w:hAnsi="Arial" w:cs="Arial"/>
                <w:sz w:val="20"/>
                <w:szCs w:val="20"/>
                <w:lang w:val="de-DE"/>
              </w:rPr>
              <w:t>-1529.846</w:t>
            </w:r>
            <w:r>
              <w:rPr>
                <w:rFonts w:ascii="Arial" w:hAnsi="Arial" w:cs="Arial"/>
                <w:sz w:val="20"/>
                <w:szCs w:val="20"/>
                <w:lang w:val="de-DE"/>
              </w:rPr>
              <w:t xml:space="preserve"> ***</w:t>
            </w:r>
          </w:p>
          <w:p w:rsidR="00A04E5D" w:rsidRPr="00A51255" w:rsidRDefault="00A04E5D" w:rsidP="00B76BD7">
            <w:pPr>
              <w:jc w:val="center"/>
              <w:rPr>
                <w:lang w:val="en-US"/>
              </w:rPr>
            </w:pPr>
            <w:r w:rsidRPr="00782238">
              <w:rPr>
                <w:rFonts w:ascii="Arial" w:hAnsi="Arial" w:cs="Arial"/>
                <w:sz w:val="16"/>
                <w:szCs w:val="16"/>
                <w:lang w:val="de-DE"/>
              </w:rPr>
              <w:t xml:space="preserve"> (</w:t>
            </w:r>
            <w:r w:rsidR="003B5DDC" w:rsidRPr="003B5DDC">
              <w:rPr>
                <w:rFonts w:ascii="Arial" w:hAnsi="Arial" w:cs="Arial"/>
                <w:sz w:val="16"/>
                <w:szCs w:val="16"/>
                <w:lang w:val="de-DE"/>
              </w:rPr>
              <w:t>154.6102</w:t>
            </w:r>
            <w:r w:rsidRPr="00782238">
              <w:rPr>
                <w:rFonts w:ascii="Arial" w:hAnsi="Arial" w:cs="Arial"/>
                <w:sz w:val="16"/>
                <w:szCs w:val="16"/>
                <w:lang w:val="de-DE"/>
              </w:rPr>
              <w:t>)</w:t>
            </w:r>
          </w:p>
        </w:tc>
        <w:tc>
          <w:tcPr>
            <w:tcW w:w="1815" w:type="dxa"/>
            <w:vAlign w:val="center"/>
          </w:tcPr>
          <w:p w:rsidR="00A04E5D" w:rsidRPr="00782238" w:rsidRDefault="002411FD" w:rsidP="00B76BD7">
            <w:pPr>
              <w:jc w:val="center"/>
              <w:rPr>
                <w:rFonts w:ascii="Arial" w:hAnsi="Arial" w:cs="Arial"/>
                <w:sz w:val="20"/>
                <w:szCs w:val="20"/>
                <w:lang w:val="de-DE"/>
              </w:rPr>
            </w:pPr>
            <w:r w:rsidRPr="002411FD">
              <w:rPr>
                <w:rFonts w:ascii="Arial" w:hAnsi="Arial" w:cs="Arial"/>
                <w:sz w:val="20"/>
                <w:szCs w:val="20"/>
                <w:lang w:val="de-DE"/>
              </w:rPr>
              <w:t>-31.88864</w:t>
            </w:r>
          </w:p>
          <w:p w:rsidR="00A04E5D" w:rsidRPr="00A51255" w:rsidRDefault="00A04E5D" w:rsidP="00B76BD7">
            <w:pPr>
              <w:jc w:val="center"/>
              <w:rPr>
                <w:lang w:val="en-US"/>
              </w:rPr>
            </w:pPr>
            <w:r w:rsidRPr="00782238">
              <w:rPr>
                <w:rFonts w:ascii="Arial" w:hAnsi="Arial" w:cs="Arial"/>
                <w:sz w:val="16"/>
                <w:szCs w:val="16"/>
                <w:lang w:val="de-DE"/>
              </w:rPr>
              <w:t xml:space="preserve"> (</w:t>
            </w:r>
            <w:r w:rsidR="002411FD" w:rsidRPr="002411FD">
              <w:rPr>
                <w:rFonts w:ascii="Arial" w:hAnsi="Arial" w:cs="Arial"/>
                <w:sz w:val="16"/>
                <w:szCs w:val="16"/>
                <w:lang w:val="de-DE"/>
              </w:rPr>
              <w:t>1329.626</w:t>
            </w:r>
            <w:r w:rsidRPr="00782238">
              <w:rPr>
                <w:rFonts w:ascii="Arial" w:hAnsi="Arial" w:cs="Arial"/>
                <w:sz w:val="16"/>
                <w:szCs w:val="16"/>
                <w:lang w:val="de-DE"/>
              </w:rPr>
              <w:t>)</w:t>
            </w:r>
          </w:p>
        </w:tc>
      </w:tr>
      <w:tr w:rsidR="00AF2496" w:rsidRPr="00647145" w:rsidTr="00AF2496">
        <w:trPr>
          <w:jc w:val="center"/>
        </w:trPr>
        <w:tc>
          <w:tcPr>
            <w:tcW w:w="423" w:type="dxa"/>
            <w:vAlign w:val="center"/>
          </w:tcPr>
          <w:p w:rsidR="0014213E" w:rsidRPr="00A51255" w:rsidRDefault="0014213E" w:rsidP="00D63A00">
            <w:pPr>
              <w:spacing w:line="360" w:lineRule="auto"/>
              <w:jc w:val="center"/>
              <w:rPr>
                <w:rFonts w:ascii="Arial" w:hAnsi="Arial" w:cs="Arial"/>
                <w:sz w:val="16"/>
                <w:szCs w:val="16"/>
                <w:lang w:val="de-DE"/>
              </w:rPr>
            </w:pPr>
          </w:p>
        </w:tc>
        <w:tc>
          <w:tcPr>
            <w:tcW w:w="1968" w:type="dxa"/>
            <w:gridSpan w:val="2"/>
            <w:vAlign w:val="center"/>
          </w:tcPr>
          <w:p w:rsidR="0014213E" w:rsidRPr="004F48F0" w:rsidRDefault="0014213E" w:rsidP="00D63A00">
            <w:pPr>
              <w:spacing w:line="360" w:lineRule="auto"/>
              <w:ind w:left="98"/>
              <w:jc w:val="center"/>
              <w:rPr>
                <w:b/>
                <w:i/>
                <w:sz w:val="18"/>
                <w:szCs w:val="18"/>
                <w:lang w:val="en-US"/>
              </w:rPr>
            </w:pPr>
          </w:p>
        </w:tc>
        <w:tc>
          <w:tcPr>
            <w:tcW w:w="1942" w:type="dxa"/>
            <w:vAlign w:val="center"/>
          </w:tcPr>
          <w:p w:rsidR="0014213E" w:rsidRPr="00C673F3" w:rsidRDefault="0014213E" w:rsidP="00D63A00">
            <w:pPr>
              <w:jc w:val="center"/>
              <w:rPr>
                <w:rFonts w:ascii="Arial" w:hAnsi="Arial" w:cs="Arial"/>
                <w:sz w:val="10"/>
                <w:szCs w:val="10"/>
                <w:lang w:val="en-US"/>
              </w:rPr>
            </w:pPr>
            <w:r w:rsidRPr="00C673F3">
              <w:rPr>
                <w:rFonts w:ascii="Arial" w:hAnsi="Arial" w:cs="Arial"/>
                <w:sz w:val="10"/>
                <w:szCs w:val="10"/>
                <w:lang w:val="en-US"/>
              </w:rPr>
              <w:t xml:space="preserve">Q(10) = </w:t>
            </w:r>
            <w:r w:rsidR="004B1075" w:rsidRPr="00C673F3">
              <w:rPr>
                <w:rFonts w:ascii="Arial" w:hAnsi="Arial" w:cs="Arial"/>
                <w:sz w:val="10"/>
                <w:szCs w:val="10"/>
                <w:lang w:val="en-US"/>
              </w:rPr>
              <w:t>4.2372</w:t>
            </w:r>
            <w:r w:rsidRPr="00C673F3">
              <w:rPr>
                <w:rFonts w:ascii="Arial" w:hAnsi="Arial" w:cs="Arial"/>
                <w:sz w:val="10"/>
                <w:szCs w:val="10"/>
                <w:lang w:val="en-US"/>
              </w:rPr>
              <w:t xml:space="preserve"> (p = </w:t>
            </w:r>
            <w:r w:rsidR="004B1075" w:rsidRPr="00C673F3">
              <w:rPr>
                <w:rFonts w:ascii="Arial" w:hAnsi="Arial" w:cs="Arial"/>
                <w:sz w:val="10"/>
                <w:szCs w:val="10"/>
                <w:lang w:val="en-US"/>
              </w:rPr>
              <w:t>0.120</w:t>
            </w:r>
            <w:r w:rsidRPr="00C673F3">
              <w:rPr>
                <w:rFonts w:ascii="Arial" w:hAnsi="Arial" w:cs="Arial"/>
                <w:sz w:val="10"/>
                <w:szCs w:val="10"/>
                <w:lang w:val="en-US"/>
              </w:rPr>
              <w:t>)</w:t>
            </w:r>
          </w:p>
          <w:p w:rsidR="0014213E" w:rsidRPr="00C673F3" w:rsidRDefault="0014213E" w:rsidP="00D63A00">
            <w:pPr>
              <w:jc w:val="center"/>
              <w:rPr>
                <w:rFonts w:ascii="Arial" w:hAnsi="Arial" w:cs="Arial"/>
                <w:sz w:val="10"/>
                <w:szCs w:val="10"/>
                <w:lang w:val="en-US"/>
              </w:rPr>
            </w:pPr>
            <w:r w:rsidRPr="00C673F3">
              <w:rPr>
                <w:rFonts w:ascii="Arial" w:hAnsi="Arial" w:cs="Arial"/>
                <w:sz w:val="10"/>
                <w:szCs w:val="10"/>
                <w:lang w:val="en-US"/>
              </w:rPr>
              <w:t xml:space="preserve">LM(10) = </w:t>
            </w:r>
            <w:r w:rsidR="007136A4" w:rsidRPr="00C673F3">
              <w:rPr>
                <w:rFonts w:ascii="Arial" w:hAnsi="Arial" w:cs="Arial"/>
                <w:sz w:val="10"/>
                <w:szCs w:val="10"/>
                <w:lang w:val="en-US"/>
              </w:rPr>
              <w:t>0.408990</w:t>
            </w:r>
            <w:r w:rsidRPr="00C673F3">
              <w:rPr>
                <w:rFonts w:ascii="Arial" w:hAnsi="Arial" w:cs="Arial"/>
                <w:sz w:val="10"/>
                <w:szCs w:val="10"/>
                <w:lang w:val="en-US"/>
              </w:rPr>
              <w:t xml:space="preserve"> (p = </w:t>
            </w:r>
            <w:r w:rsidR="007136A4" w:rsidRPr="00C673F3">
              <w:rPr>
                <w:rFonts w:ascii="Arial" w:hAnsi="Arial" w:cs="Arial"/>
                <w:sz w:val="10"/>
                <w:szCs w:val="10"/>
                <w:lang w:val="en-US"/>
              </w:rPr>
              <w:t>0.9427</w:t>
            </w:r>
            <w:r w:rsidRPr="00C673F3">
              <w:rPr>
                <w:rFonts w:ascii="Arial" w:hAnsi="Arial" w:cs="Arial"/>
                <w:sz w:val="10"/>
                <w:szCs w:val="10"/>
                <w:lang w:val="en-US"/>
              </w:rPr>
              <w:t>)</w:t>
            </w:r>
          </w:p>
          <w:p w:rsidR="0014213E" w:rsidRPr="00C673F3" w:rsidRDefault="0014213E" w:rsidP="00D63A00">
            <w:pPr>
              <w:jc w:val="center"/>
              <w:rPr>
                <w:rFonts w:ascii="Arial" w:hAnsi="Arial" w:cs="Arial"/>
                <w:sz w:val="10"/>
                <w:szCs w:val="10"/>
                <w:lang w:val="en-US"/>
              </w:rPr>
            </w:pPr>
            <w:r w:rsidRPr="00C673F3">
              <w:rPr>
                <w:rFonts w:ascii="Arial" w:hAnsi="Arial" w:cs="Arial"/>
                <w:sz w:val="10"/>
                <w:szCs w:val="10"/>
                <w:lang w:val="en-US"/>
              </w:rPr>
              <w:t xml:space="preserve">Log likelihood = </w:t>
            </w:r>
            <w:r w:rsidR="007136A4" w:rsidRPr="00C673F3">
              <w:rPr>
                <w:rFonts w:ascii="Arial" w:hAnsi="Arial" w:cs="Arial"/>
                <w:sz w:val="10"/>
                <w:szCs w:val="10"/>
                <w:lang w:val="en-US"/>
              </w:rPr>
              <w:t>-4091.128</w:t>
            </w:r>
          </w:p>
        </w:tc>
        <w:tc>
          <w:tcPr>
            <w:tcW w:w="1728" w:type="dxa"/>
            <w:vAlign w:val="center"/>
          </w:tcPr>
          <w:p w:rsidR="0014213E" w:rsidRPr="00C673F3" w:rsidRDefault="0014213E" w:rsidP="00D63A00">
            <w:pPr>
              <w:jc w:val="center"/>
              <w:rPr>
                <w:rFonts w:ascii="Arial" w:hAnsi="Arial" w:cs="Arial"/>
                <w:sz w:val="10"/>
                <w:szCs w:val="10"/>
                <w:lang w:val="en-US"/>
              </w:rPr>
            </w:pPr>
            <w:r w:rsidRPr="00C673F3">
              <w:rPr>
                <w:rFonts w:ascii="Arial" w:hAnsi="Arial" w:cs="Arial"/>
                <w:sz w:val="10"/>
                <w:szCs w:val="10"/>
                <w:lang w:val="en-US"/>
              </w:rPr>
              <w:t xml:space="preserve">Q(10) = </w:t>
            </w:r>
            <w:r w:rsidR="00337E50" w:rsidRPr="00C673F3">
              <w:rPr>
                <w:rFonts w:ascii="Arial" w:hAnsi="Arial" w:cs="Arial"/>
                <w:sz w:val="10"/>
                <w:szCs w:val="10"/>
                <w:lang w:val="en-US"/>
              </w:rPr>
              <w:t>4.6899</w:t>
            </w:r>
            <w:r w:rsidRPr="00C673F3">
              <w:rPr>
                <w:rFonts w:ascii="Arial" w:hAnsi="Arial" w:cs="Arial"/>
                <w:sz w:val="10"/>
                <w:szCs w:val="10"/>
                <w:lang w:val="en-US"/>
              </w:rPr>
              <w:t xml:space="preserve"> (p = </w:t>
            </w:r>
            <w:r w:rsidR="00337E50" w:rsidRPr="00C673F3">
              <w:rPr>
                <w:rFonts w:ascii="Arial" w:hAnsi="Arial" w:cs="Arial"/>
                <w:sz w:val="10"/>
                <w:szCs w:val="10"/>
                <w:lang w:val="en-US"/>
              </w:rPr>
              <w:t>0.196</w:t>
            </w:r>
            <w:r w:rsidRPr="00C673F3">
              <w:rPr>
                <w:rFonts w:ascii="Arial" w:hAnsi="Arial" w:cs="Arial"/>
                <w:sz w:val="10"/>
                <w:szCs w:val="10"/>
                <w:lang w:val="en-US"/>
              </w:rPr>
              <w:t>)</w:t>
            </w:r>
          </w:p>
          <w:p w:rsidR="0014213E" w:rsidRPr="00C673F3" w:rsidRDefault="00EC08C7" w:rsidP="00D63A00">
            <w:pPr>
              <w:jc w:val="center"/>
              <w:rPr>
                <w:rFonts w:ascii="Arial" w:hAnsi="Arial" w:cs="Arial"/>
                <w:sz w:val="10"/>
                <w:szCs w:val="10"/>
                <w:lang w:val="en-US"/>
              </w:rPr>
            </w:pPr>
            <w:r w:rsidRPr="00C673F3">
              <w:rPr>
                <w:rFonts w:ascii="Arial" w:hAnsi="Arial" w:cs="Arial"/>
                <w:sz w:val="10"/>
                <w:szCs w:val="10"/>
                <w:lang w:val="en-US"/>
              </w:rPr>
              <w:t xml:space="preserve">LM(10) = </w:t>
            </w:r>
            <w:r w:rsidR="00337E50" w:rsidRPr="00C673F3">
              <w:rPr>
                <w:rFonts w:ascii="Arial" w:hAnsi="Arial" w:cs="Arial"/>
                <w:sz w:val="10"/>
                <w:szCs w:val="10"/>
                <w:lang w:val="en-US"/>
              </w:rPr>
              <w:t>0.676120</w:t>
            </w:r>
            <w:r w:rsidR="0014213E" w:rsidRPr="00C673F3">
              <w:rPr>
                <w:rFonts w:ascii="Arial" w:hAnsi="Arial" w:cs="Arial"/>
                <w:sz w:val="10"/>
                <w:szCs w:val="10"/>
                <w:lang w:val="en-US"/>
              </w:rPr>
              <w:t xml:space="preserve"> (p = </w:t>
            </w:r>
            <w:r w:rsidR="00337E50" w:rsidRPr="00C673F3">
              <w:rPr>
                <w:rFonts w:ascii="Arial" w:hAnsi="Arial" w:cs="Arial"/>
                <w:sz w:val="10"/>
                <w:szCs w:val="10"/>
                <w:lang w:val="en-US"/>
              </w:rPr>
              <w:t>0.7473</w:t>
            </w:r>
            <w:r w:rsidR="0014213E" w:rsidRPr="00C673F3">
              <w:rPr>
                <w:rFonts w:ascii="Arial" w:hAnsi="Arial" w:cs="Arial"/>
                <w:sz w:val="10"/>
                <w:szCs w:val="10"/>
                <w:lang w:val="en-US"/>
              </w:rPr>
              <w:t>)</w:t>
            </w:r>
          </w:p>
          <w:p w:rsidR="0014213E" w:rsidRPr="00C673F3" w:rsidRDefault="0014213E" w:rsidP="00D63A00">
            <w:pPr>
              <w:jc w:val="center"/>
              <w:rPr>
                <w:rFonts w:ascii="Arial" w:hAnsi="Arial" w:cs="Arial"/>
                <w:sz w:val="10"/>
                <w:szCs w:val="10"/>
                <w:lang w:val="en-US"/>
              </w:rPr>
            </w:pPr>
            <w:r w:rsidRPr="00C673F3">
              <w:rPr>
                <w:rFonts w:ascii="Arial" w:hAnsi="Arial" w:cs="Arial"/>
                <w:sz w:val="10"/>
                <w:szCs w:val="10"/>
                <w:lang w:val="en-US"/>
              </w:rPr>
              <w:t xml:space="preserve">Log likelihood = </w:t>
            </w:r>
            <w:r w:rsidR="00337E50" w:rsidRPr="00C673F3">
              <w:rPr>
                <w:rFonts w:ascii="Arial" w:hAnsi="Arial" w:cs="Arial"/>
                <w:sz w:val="10"/>
                <w:szCs w:val="10"/>
                <w:lang w:val="en-US"/>
              </w:rPr>
              <w:t>-4112.028</w:t>
            </w:r>
          </w:p>
        </w:tc>
        <w:tc>
          <w:tcPr>
            <w:tcW w:w="1897" w:type="dxa"/>
            <w:vAlign w:val="center"/>
          </w:tcPr>
          <w:p w:rsidR="0014213E" w:rsidRPr="00C673F3" w:rsidRDefault="0014213E" w:rsidP="00D63A00">
            <w:pPr>
              <w:jc w:val="center"/>
              <w:rPr>
                <w:rFonts w:ascii="Arial" w:hAnsi="Arial" w:cs="Arial"/>
                <w:sz w:val="10"/>
                <w:szCs w:val="10"/>
                <w:lang w:val="en-US"/>
              </w:rPr>
            </w:pPr>
            <w:r w:rsidRPr="00C673F3">
              <w:rPr>
                <w:rFonts w:ascii="Arial" w:hAnsi="Arial" w:cs="Arial"/>
                <w:sz w:val="10"/>
                <w:szCs w:val="10"/>
                <w:lang w:val="en-US"/>
              </w:rPr>
              <w:t xml:space="preserve">Q(10) = </w:t>
            </w:r>
            <w:r w:rsidR="001B2FD3" w:rsidRPr="00C673F3">
              <w:rPr>
                <w:rFonts w:ascii="Arial" w:hAnsi="Arial" w:cs="Arial"/>
                <w:sz w:val="10"/>
                <w:szCs w:val="10"/>
                <w:lang w:val="en-US"/>
              </w:rPr>
              <w:t>6.4534</w:t>
            </w:r>
            <w:r w:rsidRPr="00C673F3">
              <w:rPr>
                <w:rFonts w:ascii="Arial" w:hAnsi="Arial" w:cs="Arial"/>
                <w:sz w:val="10"/>
                <w:szCs w:val="10"/>
                <w:lang w:val="en-US"/>
              </w:rPr>
              <w:t xml:space="preserve"> (p = </w:t>
            </w:r>
            <w:r w:rsidR="001B2FD3" w:rsidRPr="00C673F3">
              <w:rPr>
                <w:rFonts w:ascii="Arial" w:hAnsi="Arial" w:cs="Arial"/>
                <w:sz w:val="10"/>
                <w:szCs w:val="10"/>
                <w:lang w:val="en-US"/>
              </w:rPr>
              <w:t>0.374</w:t>
            </w:r>
            <w:r w:rsidR="00A04E5D" w:rsidRPr="00C673F3">
              <w:rPr>
                <w:rFonts w:ascii="Arial" w:hAnsi="Arial" w:cs="Arial"/>
                <w:sz w:val="10"/>
                <w:szCs w:val="10"/>
                <w:lang w:val="en-US"/>
              </w:rPr>
              <w:t>)</w:t>
            </w:r>
          </w:p>
          <w:p w:rsidR="0014213E" w:rsidRPr="00C673F3" w:rsidRDefault="0014213E" w:rsidP="00D63A00">
            <w:pPr>
              <w:jc w:val="center"/>
              <w:rPr>
                <w:rFonts w:ascii="Arial" w:hAnsi="Arial" w:cs="Arial"/>
                <w:sz w:val="10"/>
                <w:szCs w:val="10"/>
                <w:lang w:val="en-US"/>
              </w:rPr>
            </w:pPr>
            <w:r w:rsidRPr="00C673F3">
              <w:rPr>
                <w:rFonts w:ascii="Arial" w:hAnsi="Arial" w:cs="Arial"/>
                <w:sz w:val="10"/>
                <w:szCs w:val="10"/>
                <w:lang w:val="en-US"/>
              </w:rPr>
              <w:t xml:space="preserve">LM(10) = </w:t>
            </w:r>
            <w:r w:rsidR="001B2FD3" w:rsidRPr="00C673F3">
              <w:rPr>
                <w:rFonts w:ascii="Arial" w:hAnsi="Arial" w:cs="Arial"/>
                <w:sz w:val="10"/>
                <w:szCs w:val="10"/>
                <w:lang w:val="en-US"/>
              </w:rPr>
              <w:t>0.510802</w:t>
            </w:r>
            <w:r w:rsidRPr="00C673F3">
              <w:rPr>
                <w:rFonts w:ascii="Arial" w:hAnsi="Arial" w:cs="Arial"/>
                <w:sz w:val="10"/>
                <w:szCs w:val="10"/>
                <w:lang w:val="en-US"/>
              </w:rPr>
              <w:t xml:space="preserve"> (p = </w:t>
            </w:r>
            <w:r w:rsidR="001B2FD3" w:rsidRPr="00C673F3">
              <w:rPr>
                <w:rFonts w:ascii="Arial" w:hAnsi="Arial" w:cs="Arial"/>
                <w:sz w:val="10"/>
                <w:szCs w:val="10"/>
                <w:lang w:val="en-US"/>
              </w:rPr>
              <w:t>0.8832</w:t>
            </w:r>
            <w:r w:rsidRPr="00C673F3">
              <w:rPr>
                <w:rFonts w:ascii="Arial" w:hAnsi="Arial" w:cs="Arial"/>
                <w:sz w:val="10"/>
                <w:szCs w:val="10"/>
                <w:lang w:val="en-US"/>
              </w:rPr>
              <w:t>)</w:t>
            </w:r>
          </w:p>
          <w:p w:rsidR="0014213E" w:rsidRPr="00C673F3" w:rsidRDefault="0014213E" w:rsidP="00D63A00">
            <w:pPr>
              <w:jc w:val="center"/>
              <w:rPr>
                <w:rFonts w:ascii="Arial" w:hAnsi="Arial" w:cs="Arial"/>
                <w:sz w:val="10"/>
                <w:szCs w:val="10"/>
                <w:lang w:val="en-US"/>
              </w:rPr>
            </w:pPr>
            <w:r w:rsidRPr="00C673F3">
              <w:rPr>
                <w:rFonts w:ascii="Arial" w:hAnsi="Arial" w:cs="Arial"/>
                <w:sz w:val="10"/>
                <w:szCs w:val="10"/>
                <w:lang w:val="en-US"/>
              </w:rPr>
              <w:t xml:space="preserve">Log likelihood = </w:t>
            </w:r>
            <w:r w:rsidR="00224738" w:rsidRPr="00C673F3">
              <w:rPr>
                <w:rFonts w:ascii="Arial" w:hAnsi="Arial" w:cs="Arial"/>
                <w:sz w:val="10"/>
                <w:szCs w:val="10"/>
                <w:lang w:val="en-US"/>
              </w:rPr>
              <w:t>-4108.896</w:t>
            </w:r>
          </w:p>
        </w:tc>
        <w:tc>
          <w:tcPr>
            <w:tcW w:w="1815" w:type="dxa"/>
            <w:vAlign w:val="center"/>
          </w:tcPr>
          <w:p w:rsidR="00A04E5D" w:rsidRPr="00C673F3" w:rsidRDefault="00A04E5D" w:rsidP="00A04E5D">
            <w:pPr>
              <w:jc w:val="center"/>
              <w:rPr>
                <w:rFonts w:ascii="Arial" w:hAnsi="Arial" w:cs="Arial"/>
                <w:sz w:val="10"/>
                <w:szCs w:val="10"/>
                <w:lang w:val="en-US"/>
              </w:rPr>
            </w:pPr>
            <w:r w:rsidRPr="00C673F3">
              <w:rPr>
                <w:rFonts w:ascii="Arial" w:hAnsi="Arial" w:cs="Arial"/>
                <w:sz w:val="10"/>
                <w:szCs w:val="10"/>
                <w:lang w:val="en-US"/>
              </w:rPr>
              <w:t xml:space="preserve">Q(10) = </w:t>
            </w:r>
            <w:r w:rsidR="00375011" w:rsidRPr="00C673F3">
              <w:rPr>
                <w:rFonts w:ascii="Arial" w:hAnsi="Arial" w:cs="Arial"/>
                <w:sz w:val="10"/>
                <w:szCs w:val="10"/>
                <w:lang w:val="en-US"/>
              </w:rPr>
              <w:t>7.3562</w:t>
            </w:r>
            <w:r w:rsidRPr="00C673F3">
              <w:rPr>
                <w:rFonts w:ascii="Arial" w:hAnsi="Arial" w:cs="Arial"/>
                <w:sz w:val="10"/>
                <w:szCs w:val="10"/>
                <w:lang w:val="en-US"/>
              </w:rPr>
              <w:t xml:space="preserve"> (p = </w:t>
            </w:r>
            <w:r w:rsidR="00375011" w:rsidRPr="00C673F3">
              <w:rPr>
                <w:rFonts w:ascii="Arial" w:hAnsi="Arial" w:cs="Arial"/>
                <w:sz w:val="10"/>
                <w:szCs w:val="10"/>
                <w:lang w:val="en-US"/>
              </w:rPr>
              <w:t>0.289</w:t>
            </w:r>
            <w:r w:rsidRPr="00C673F3">
              <w:rPr>
                <w:rFonts w:ascii="Arial" w:hAnsi="Arial" w:cs="Arial"/>
                <w:sz w:val="10"/>
                <w:szCs w:val="10"/>
                <w:lang w:val="en-US"/>
              </w:rPr>
              <w:t>)</w:t>
            </w:r>
          </w:p>
          <w:p w:rsidR="00A04E5D" w:rsidRPr="00C673F3" w:rsidRDefault="00A04E5D" w:rsidP="00A04E5D">
            <w:pPr>
              <w:jc w:val="center"/>
              <w:rPr>
                <w:rFonts w:ascii="Arial" w:hAnsi="Arial" w:cs="Arial"/>
                <w:sz w:val="10"/>
                <w:szCs w:val="10"/>
                <w:lang w:val="en-US"/>
              </w:rPr>
            </w:pPr>
            <w:r w:rsidRPr="00C673F3">
              <w:rPr>
                <w:rFonts w:ascii="Arial" w:hAnsi="Arial" w:cs="Arial"/>
                <w:sz w:val="10"/>
                <w:szCs w:val="10"/>
                <w:lang w:val="en-US"/>
              </w:rPr>
              <w:t xml:space="preserve">LM(10) = </w:t>
            </w:r>
            <w:r w:rsidR="00350F7C" w:rsidRPr="00C673F3">
              <w:rPr>
                <w:rFonts w:ascii="Arial" w:hAnsi="Arial" w:cs="Arial"/>
                <w:sz w:val="10"/>
                <w:szCs w:val="10"/>
                <w:lang w:val="en-US"/>
              </w:rPr>
              <w:t>0.408547</w:t>
            </w:r>
            <w:r w:rsidRPr="00C673F3">
              <w:rPr>
                <w:rFonts w:ascii="Arial" w:hAnsi="Arial" w:cs="Arial"/>
                <w:sz w:val="10"/>
                <w:szCs w:val="10"/>
                <w:lang w:val="en-US"/>
              </w:rPr>
              <w:t xml:space="preserve"> (p = </w:t>
            </w:r>
            <w:r w:rsidR="00350F7C" w:rsidRPr="00C673F3">
              <w:rPr>
                <w:rFonts w:ascii="Arial" w:hAnsi="Arial" w:cs="Arial"/>
                <w:sz w:val="10"/>
                <w:szCs w:val="10"/>
                <w:lang w:val="en-US"/>
              </w:rPr>
              <w:t>0.9429</w:t>
            </w:r>
            <w:r w:rsidRPr="00C673F3">
              <w:rPr>
                <w:rFonts w:ascii="Arial" w:hAnsi="Arial" w:cs="Arial"/>
                <w:sz w:val="10"/>
                <w:szCs w:val="10"/>
                <w:lang w:val="en-US"/>
              </w:rPr>
              <w:t>)</w:t>
            </w:r>
          </w:p>
          <w:p w:rsidR="0014213E" w:rsidRPr="00C673F3" w:rsidRDefault="00A04E5D" w:rsidP="00A04E5D">
            <w:pPr>
              <w:jc w:val="center"/>
              <w:rPr>
                <w:rFonts w:ascii="Arial" w:hAnsi="Arial" w:cs="Arial"/>
                <w:sz w:val="10"/>
                <w:szCs w:val="10"/>
                <w:lang w:val="en-US"/>
              </w:rPr>
            </w:pPr>
            <w:r w:rsidRPr="00C673F3">
              <w:rPr>
                <w:rFonts w:ascii="Arial" w:hAnsi="Arial" w:cs="Arial"/>
                <w:sz w:val="10"/>
                <w:szCs w:val="10"/>
                <w:lang w:val="en-US"/>
              </w:rPr>
              <w:t xml:space="preserve">Log likelihood = </w:t>
            </w:r>
            <w:r w:rsidR="00350F7C" w:rsidRPr="00C673F3">
              <w:rPr>
                <w:rFonts w:ascii="Arial" w:hAnsi="Arial" w:cs="Arial"/>
                <w:sz w:val="10"/>
                <w:szCs w:val="10"/>
                <w:lang w:val="en-US"/>
              </w:rPr>
              <w:t>-4103.452</w:t>
            </w:r>
          </w:p>
        </w:tc>
      </w:tr>
    </w:tbl>
    <w:p w:rsidR="0014213E" w:rsidRDefault="0014213E" w:rsidP="0014213E">
      <w:pPr>
        <w:ind w:left="284" w:right="282"/>
        <w:jc w:val="both"/>
        <w:rPr>
          <w:rFonts w:ascii="Arial" w:hAnsi="Arial" w:cs="Arial"/>
          <w:sz w:val="16"/>
          <w:szCs w:val="16"/>
          <w:lang w:val="en-US"/>
        </w:rPr>
      </w:pPr>
    </w:p>
    <w:p w:rsidR="00B51E50" w:rsidRPr="00A51255" w:rsidRDefault="00B51E50" w:rsidP="00B51E50">
      <w:pPr>
        <w:ind w:left="1701" w:right="1812"/>
        <w:jc w:val="both"/>
        <w:rPr>
          <w:rFonts w:ascii="Arial" w:hAnsi="Arial" w:cs="Arial"/>
          <w:sz w:val="16"/>
          <w:szCs w:val="16"/>
          <w:lang w:val="en-US"/>
        </w:rPr>
      </w:pPr>
    </w:p>
    <w:p w:rsidR="00B51E50" w:rsidRPr="00A51255" w:rsidRDefault="00B51E50" w:rsidP="00B51E50">
      <w:pPr>
        <w:tabs>
          <w:tab w:val="left" w:pos="9781"/>
        </w:tabs>
        <w:ind w:right="-1"/>
        <w:jc w:val="both"/>
        <w:rPr>
          <w:rFonts w:ascii="Arial" w:hAnsi="Arial" w:cs="Arial"/>
          <w:sz w:val="16"/>
          <w:szCs w:val="16"/>
          <w:lang w:val="en-US"/>
        </w:rPr>
      </w:pPr>
      <w:r w:rsidRPr="00A51255">
        <w:rPr>
          <w:rFonts w:ascii="Arial" w:hAnsi="Arial" w:cs="Arial"/>
          <w:sz w:val="16"/>
          <w:szCs w:val="16"/>
          <w:lang w:val="en-US"/>
        </w:rPr>
        <w:t>Notes: Values of the standard errors in the brackets. The value of the Q(10) test for autocorrelation, the LM(10) test for any remaining ARCH effects and the log likelihood are reported in the bottom rows of every panel. Number of equation in the first column indicates whether the estimated parameters relate to the variables in the mean equation or in the conditional variance equation of the GARCH model.</w:t>
      </w:r>
    </w:p>
    <w:p w:rsidR="00B51E50" w:rsidRPr="00A51255" w:rsidRDefault="00B51E50" w:rsidP="00B51E50">
      <w:pPr>
        <w:tabs>
          <w:tab w:val="left" w:pos="9781"/>
        </w:tabs>
        <w:ind w:right="-1"/>
        <w:jc w:val="both"/>
        <w:rPr>
          <w:rFonts w:ascii="Arial" w:hAnsi="Arial" w:cs="Arial"/>
          <w:sz w:val="16"/>
          <w:szCs w:val="16"/>
          <w:lang w:val="en-US"/>
        </w:rPr>
      </w:pPr>
    </w:p>
    <w:p w:rsidR="00B51E50" w:rsidRPr="00A51255" w:rsidRDefault="00B51E50" w:rsidP="00B51E50">
      <w:pPr>
        <w:tabs>
          <w:tab w:val="left" w:pos="9781"/>
        </w:tabs>
        <w:ind w:right="-1"/>
        <w:jc w:val="both"/>
        <w:rPr>
          <w:rFonts w:ascii="Arial" w:hAnsi="Arial" w:cs="Arial"/>
          <w:sz w:val="16"/>
          <w:szCs w:val="16"/>
          <w:lang w:val="en-US"/>
        </w:rPr>
      </w:pPr>
      <w:r w:rsidRPr="00A51255">
        <w:rPr>
          <w:rFonts w:ascii="Arial" w:hAnsi="Arial" w:cs="Arial"/>
          <w:sz w:val="16"/>
          <w:szCs w:val="16"/>
          <w:lang w:val="en-US"/>
        </w:rPr>
        <w:t>* - denotes significance at the 0.1 level; ** - denotes significance at the 0.05 level; *** - denotes significance at the 0.01 level</w:t>
      </w:r>
    </w:p>
    <w:p w:rsidR="00B51E50" w:rsidRPr="00A51255" w:rsidRDefault="00B51E50" w:rsidP="00B51E50">
      <w:pPr>
        <w:spacing w:line="360" w:lineRule="auto"/>
        <w:jc w:val="both"/>
        <w:rPr>
          <w:rFonts w:ascii="Arial" w:hAnsi="Arial" w:cs="Arial"/>
          <w:lang w:val="en-US"/>
        </w:rPr>
      </w:pPr>
    </w:p>
    <w:p w:rsidR="0090662F" w:rsidRDefault="0090662F" w:rsidP="0014213E">
      <w:pPr>
        <w:ind w:left="284" w:right="282"/>
        <w:jc w:val="both"/>
        <w:rPr>
          <w:rFonts w:ascii="Arial" w:hAnsi="Arial" w:cs="Arial"/>
          <w:sz w:val="16"/>
          <w:szCs w:val="16"/>
          <w:lang w:val="en-US"/>
        </w:rPr>
      </w:pPr>
    </w:p>
    <w:p w:rsidR="0090662F" w:rsidRDefault="0090662F" w:rsidP="0014213E">
      <w:pPr>
        <w:ind w:left="284" w:right="282"/>
        <w:jc w:val="both"/>
        <w:rPr>
          <w:rFonts w:ascii="Arial" w:hAnsi="Arial" w:cs="Arial"/>
          <w:sz w:val="16"/>
          <w:szCs w:val="16"/>
          <w:lang w:val="en-US"/>
        </w:rPr>
      </w:pPr>
      <w:r>
        <w:rPr>
          <w:rFonts w:ascii="Arial" w:hAnsi="Arial" w:cs="Arial"/>
          <w:sz w:val="16"/>
          <w:szCs w:val="16"/>
          <w:lang w:val="en-US"/>
        </w:rPr>
        <w:br w:type="page"/>
      </w:r>
    </w:p>
    <w:p w:rsidR="0090662F" w:rsidRDefault="0090662F" w:rsidP="0014213E">
      <w:pPr>
        <w:ind w:left="284" w:right="282"/>
        <w:jc w:val="both"/>
        <w:rPr>
          <w:rFonts w:ascii="Arial" w:hAnsi="Arial" w:cs="Arial"/>
          <w:sz w:val="16"/>
          <w:szCs w:val="16"/>
          <w:lang w:val="en-US"/>
        </w:rPr>
      </w:pPr>
    </w:p>
    <w:p w:rsidR="00481658" w:rsidRDefault="00481658" w:rsidP="0014213E">
      <w:pPr>
        <w:ind w:left="284" w:right="282"/>
        <w:jc w:val="both"/>
        <w:rPr>
          <w:rFonts w:ascii="Arial" w:hAnsi="Arial" w:cs="Arial"/>
          <w:sz w:val="16"/>
          <w:szCs w:val="16"/>
          <w:lang w:val="en-US"/>
        </w:rPr>
      </w:pPr>
    </w:p>
    <w:p w:rsidR="00481658" w:rsidRDefault="00481658" w:rsidP="0014213E">
      <w:pPr>
        <w:ind w:left="284" w:right="282"/>
        <w:jc w:val="both"/>
        <w:rPr>
          <w:rFonts w:ascii="Arial" w:hAnsi="Arial" w:cs="Arial"/>
          <w:sz w:val="16"/>
          <w:szCs w:val="16"/>
          <w:lang w:val="en-US"/>
        </w:rPr>
      </w:pPr>
    </w:p>
    <w:p w:rsidR="00363846" w:rsidRDefault="00363846" w:rsidP="0014213E">
      <w:pPr>
        <w:ind w:left="284" w:right="282"/>
        <w:jc w:val="both"/>
        <w:rPr>
          <w:rFonts w:ascii="Arial" w:hAnsi="Arial" w:cs="Arial"/>
          <w:sz w:val="16"/>
          <w:szCs w:val="16"/>
          <w:lang w:val="en-US"/>
        </w:rPr>
      </w:pPr>
    </w:p>
    <w:p w:rsidR="00363846" w:rsidRDefault="00363846" w:rsidP="0014213E">
      <w:pPr>
        <w:ind w:left="284" w:right="282"/>
        <w:jc w:val="both"/>
        <w:rPr>
          <w:rFonts w:ascii="Arial" w:hAnsi="Arial" w:cs="Arial"/>
          <w:sz w:val="16"/>
          <w:szCs w:val="16"/>
          <w:lang w:val="en-US"/>
        </w:rPr>
      </w:pPr>
    </w:p>
    <w:p w:rsidR="00363846" w:rsidRDefault="00363846" w:rsidP="0014213E">
      <w:pPr>
        <w:ind w:left="284" w:right="282"/>
        <w:jc w:val="both"/>
        <w:rPr>
          <w:rFonts w:ascii="Arial" w:hAnsi="Arial" w:cs="Arial"/>
          <w:sz w:val="16"/>
          <w:szCs w:val="16"/>
          <w:lang w:val="en-US"/>
        </w:rPr>
      </w:pPr>
    </w:p>
    <w:p w:rsidR="009B2403" w:rsidRDefault="0063181F" w:rsidP="00B90557">
      <w:pPr>
        <w:tabs>
          <w:tab w:val="left" w:pos="9780"/>
        </w:tabs>
        <w:spacing w:line="240" w:lineRule="atLeast"/>
        <w:ind w:right="-1"/>
        <w:jc w:val="both"/>
        <w:rPr>
          <w:rFonts w:ascii="Arial" w:hAnsi="Arial" w:cs="Arial"/>
          <w:sz w:val="20"/>
          <w:szCs w:val="20"/>
          <w:lang w:val="en-US"/>
        </w:rPr>
      </w:pPr>
      <w:r w:rsidRPr="001535BA">
        <w:rPr>
          <w:rFonts w:ascii="Arial" w:hAnsi="Arial" w:cs="Arial"/>
          <w:sz w:val="20"/>
          <w:szCs w:val="20"/>
          <w:lang w:val="en-US"/>
        </w:rPr>
        <w:t xml:space="preserve">Table </w:t>
      </w:r>
      <w:r w:rsidR="00B90557" w:rsidRPr="001535BA">
        <w:rPr>
          <w:rFonts w:ascii="Arial" w:hAnsi="Arial" w:cs="Arial"/>
          <w:sz w:val="20"/>
          <w:szCs w:val="20"/>
          <w:lang w:val="en-US"/>
        </w:rPr>
        <w:t>4</w:t>
      </w:r>
      <w:r w:rsidR="008B4F92" w:rsidRPr="001535BA">
        <w:rPr>
          <w:rFonts w:ascii="Arial" w:hAnsi="Arial" w:cs="Arial"/>
          <w:sz w:val="20"/>
          <w:szCs w:val="20"/>
          <w:lang w:val="en-US"/>
        </w:rPr>
        <w:t>b</w:t>
      </w:r>
      <w:r w:rsidR="00B90557" w:rsidRPr="001535BA">
        <w:rPr>
          <w:rFonts w:ascii="Arial" w:hAnsi="Arial" w:cs="Arial"/>
          <w:sz w:val="20"/>
          <w:szCs w:val="20"/>
          <w:lang w:val="en-US"/>
        </w:rPr>
        <w:t xml:space="preserve">. </w:t>
      </w:r>
      <w:r w:rsidR="009B2403" w:rsidRPr="001535BA">
        <w:rPr>
          <w:rFonts w:ascii="Arial" w:hAnsi="Arial" w:cs="Arial"/>
          <w:sz w:val="20"/>
          <w:szCs w:val="20"/>
          <w:lang w:val="en-US"/>
        </w:rPr>
        <w:t>Results for the volume of trade (percentage change)</w:t>
      </w:r>
      <w:r w:rsidR="00A40F04" w:rsidRPr="001535BA">
        <w:rPr>
          <w:rFonts w:ascii="Arial" w:hAnsi="Arial" w:cs="Arial"/>
          <w:sz w:val="20"/>
          <w:szCs w:val="20"/>
          <w:lang w:val="en-US"/>
        </w:rPr>
        <w:t xml:space="preserve"> models on day </w:t>
      </w:r>
      <w:r w:rsidR="00A40F04" w:rsidRPr="001535BA">
        <w:rPr>
          <w:i/>
          <w:sz w:val="20"/>
          <w:szCs w:val="20"/>
          <w:lang w:val="en-US"/>
        </w:rPr>
        <w:t>t+1</w:t>
      </w:r>
      <w:r w:rsidR="00A40F04" w:rsidRPr="001535BA">
        <w:rPr>
          <w:rFonts w:ascii="Arial" w:hAnsi="Arial" w:cs="Arial"/>
          <w:sz w:val="20"/>
          <w:szCs w:val="20"/>
          <w:lang w:val="en-US"/>
        </w:rPr>
        <w:t>.</w:t>
      </w:r>
    </w:p>
    <w:p w:rsidR="009B2403" w:rsidRDefault="009B2403" w:rsidP="00B90557">
      <w:pPr>
        <w:tabs>
          <w:tab w:val="left" w:pos="9780"/>
        </w:tabs>
        <w:spacing w:line="240" w:lineRule="atLeast"/>
        <w:ind w:right="-1"/>
        <w:jc w:val="both"/>
        <w:rPr>
          <w:rFonts w:ascii="Arial" w:hAnsi="Arial" w:cs="Arial"/>
          <w:sz w:val="20"/>
          <w:szCs w:val="20"/>
          <w:lang w:val="en-US"/>
        </w:rPr>
      </w:pPr>
    </w:p>
    <w:p w:rsidR="00B90557" w:rsidRDefault="009B2403" w:rsidP="00B90557">
      <w:pPr>
        <w:tabs>
          <w:tab w:val="left" w:pos="9780"/>
        </w:tabs>
        <w:spacing w:line="240" w:lineRule="atLeast"/>
        <w:ind w:right="-1"/>
        <w:jc w:val="both"/>
        <w:rPr>
          <w:rFonts w:ascii="Arial" w:hAnsi="Arial" w:cs="Arial"/>
          <w:sz w:val="20"/>
          <w:szCs w:val="20"/>
          <w:lang w:val="en-US"/>
        </w:rPr>
      </w:pPr>
      <w:r>
        <w:rPr>
          <w:rFonts w:ascii="Arial" w:hAnsi="Arial" w:cs="Arial"/>
          <w:sz w:val="20"/>
          <w:szCs w:val="20"/>
          <w:lang w:val="en-US"/>
        </w:rPr>
        <w:t>This table reports e</w:t>
      </w:r>
      <w:r w:rsidR="00B90557" w:rsidRPr="0063181F">
        <w:rPr>
          <w:rFonts w:ascii="Arial" w:hAnsi="Arial" w:cs="Arial"/>
          <w:sz w:val="20"/>
          <w:szCs w:val="20"/>
          <w:lang w:val="en-US"/>
        </w:rPr>
        <w:t>stimates</w:t>
      </w:r>
      <w:r w:rsidR="00B90557" w:rsidRPr="00A51255">
        <w:rPr>
          <w:rFonts w:ascii="Arial" w:hAnsi="Arial" w:cs="Arial"/>
          <w:sz w:val="20"/>
          <w:szCs w:val="20"/>
          <w:lang w:val="en-US"/>
        </w:rPr>
        <w:t xml:space="preserve"> of dummy variables for the NBP announcements days with unexpected announcements of different strength </w:t>
      </w:r>
      <w:r w:rsidR="00B90557">
        <w:rPr>
          <w:rFonts w:ascii="Arial" w:hAnsi="Arial" w:cs="Arial"/>
          <w:sz w:val="20"/>
          <w:szCs w:val="20"/>
          <w:lang w:val="en-US"/>
        </w:rPr>
        <w:t xml:space="preserve">on day </w:t>
      </w:r>
      <w:r w:rsidR="00B90557" w:rsidRPr="00731796">
        <w:rPr>
          <w:i/>
          <w:sz w:val="18"/>
          <w:szCs w:val="18"/>
          <w:lang w:val="en-GB"/>
        </w:rPr>
        <w:t>t+1</w:t>
      </w:r>
      <w:r w:rsidR="00B90557">
        <w:rPr>
          <w:rFonts w:ascii="Arial" w:hAnsi="Arial" w:cs="Arial"/>
          <w:sz w:val="20"/>
          <w:szCs w:val="20"/>
          <w:lang w:val="en-US"/>
        </w:rPr>
        <w:t xml:space="preserve"> </w:t>
      </w:r>
      <w:r w:rsidR="00B90557" w:rsidRPr="00A51255">
        <w:rPr>
          <w:rFonts w:ascii="Arial" w:hAnsi="Arial" w:cs="Arial"/>
          <w:sz w:val="20"/>
          <w:szCs w:val="20"/>
          <w:lang w:val="en-US"/>
        </w:rPr>
        <w:t xml:space="preserve">in the </w:t>
      </w:r>
      <w:r w:rsidR="00B90557">
        <w:rPr>
          <w:rFonts w:ascii="Arial" w:hAnsi="Arial" w:cs="Arial"/>
          <w:sz w:val="20"/>
          <w:szCs w:val="20"/>
          <w:lang w:val="en-US"/>
        </w:rPr>
        <w:t>mean e</w:t>
      </w:r>
      <w:r w:rsidR="00B90557" w:rsidRPr="00A51255">
        <w:rPr>
          <w:rFonts w:ascii="Arial" w:hAnsi="Arial" w:cs="Arial"/>
          <w:sz w:val="20"/>
          <w:szCs w:val="20"/>
          <w:lang w:val="en-US"/>
        </w:rPr>
        <w:t xml:space="preserve">quation </w:t>
      </w:r>
      <w:r w:rsidR="00C65448">
        <w:rPr>
          <w:rFonts w:ascii="Arial" w:hAnsi="Arial" w:cs="Arial"/>
          <w:sz w:val="20"/>
          <w:szCs w:val="20"/>
          <w:lang w:val="en-US"/>
        </w:rPr>
        <w:t>(</w:t>
      </w:r>
      <w:r w:rsidR="00B90557">
        <w:rPr>
          <w:rFonts w:ascii="Arial" w:hAnsi="Arial" w:cs="Arial"/>
          <w:sz w:val="20"/>
          <w:szCs w:val="20"/>
          <w:lang w:val="en-US"/>
        </w:rPr>
        <w:t>3)</w:t>
      </w:r>
      <w:r w:rsidR="00B90557" w:rsidRPr="00A51255">
        <w:rPr>
          <w:rFonts w:ascii="Arial" w:hAnsi="Arial" w:cs="Arial"/>
          <w:sz w:val="20"/>
          <w:szCs w:val="20"/>
          <w:lang w:val="en-US"/>
        </w:rPr>
        <w:t>:</w:t>
      </w:r>
    </w:p>
    <w:p w:rsidR="00B90557" w:rsidRDefault="00B90557" w:rsidP="00B90557">
      <w:pPr>
        <w:tabs>
          <w:tab w:val="left" w:pos="9780"/>
        </w:tabs>
        <w:spacing w:line="240" w:lineRule="atLeast"/>
        <w:ind w:right="-1"/>
        <w:jc w:val="center"/>
        <w:rPr>
          <w:rFonts w:ascii="Arial" w:hAnsi="Arial" w:cs="Arial"/>
          <w:lang w:val="en-US"/>
        </w:rPr>
      </w:pPr>
      <w:r w:rsidRPr="00A51255">
        <w:rPr>
          <w:rFonts w:ascii="Arial" w:hAnsi="Arial" w:cs="Arial"/>
          <w:position w:val="-28"/>
          <w:lang w:val="en-US"/>
        </w:rPr>
        <w:object w:dxaOrig="6619" w:dyaOrig="680">
          <v:shape id="_x0000_i1126" type="#_x0000_t75" style="width:298.3pt;height:29.55pt" o:ole="">
            <v:imagedata r:id="rId145" o:title=""/>
          </v:shape>
          <o:OLEObject Type="Embed" ProgID="Equation.3" ShapeID="_x0000_i1126" DrawAspect="Content" ObjectID="_1507543473" r:id="rId166"/>
        </w:object>
      </w:r>
    </w:p>
    <w:p w:rsidR="00B90557" w:rsidRPr="00A51255" w:rsidRDefault="00B90557" w:rsidP="00B90557">
      <w:pPr>
        <w:tabs>
          <w:tab w:val="left" w:pos="9780"/>
        </w:tabs>
        <w:spacing w:line="240" w:lineRule="atLeast"/>
        <w:ind w:right="-1"/>
        <w:jc w:val="both"/>
        <w:rPr>
          <w:rFonts w:ascii="Arial" w:hAnsi="Arial" w:cs="Arial"/>
          <w:sz w:val="20"/>
          <w:szCs w:val="20"/>
          <w:lang w:val="en-US"/>
        </w:rPr>
      </w:pPr>
      <w:r>
        <w:rPr>
          <w:rFonts w:ascii="Arial" w:hAnsi="Arial" w:cs="Arial"/>
          <w:sz w:val="20"/>
          <w:szCs w:val="20"/>
          <w:lang w:val="en-US"/>
        </w:rPr>
        <w:t xml:space="preserve">and in the </w:t>
      </w:r>
      <w:r w:rsidRPr="00A51255">
        <w:rPr>
          <w:rFonts w:ascii="Arial" w:hAnsi="Arial" w:cs="Arial"/>
          <w:sz w:val="20"/>
          <w:szCs w:val="20"/>
          <w:lang w:val="en-US"/>
        </w:rPr>
        <w:t>conditional variance equation</w:t>
      </w:r>
      <w:r>
        <w:rPr>
          <w:rFonts w:ascii="Arial" w:hAnsi="Arial" w:cs="Arial"/>
          <w:sz w:val="20"/>
          <w:szCs w:val="20"/>
          <w:lang w:val="en-US"/>
        </w:rPr>
        <w:t xml:space="preserve"> </w:t>
      </w:r>
      <w:r w:rsidR="00C65448">
        <w:rPr>
          <w:rFonts w:ascii="Arial" w:hAnsi="Arial" w:cs="Arial"/>
          <w:sz w:val="20"/>
          <w:szCs w:val="20"/>
          <w:lang w:val="en-US"/>
        </w:rPr>
        <w:t>(</w:t>
      </w:r>
      <w:r>
        <w:rPr>
          <w:rFonts w:ascii="Arial" w:hAnsi="Arial" w:cs="Arial"/>
          <w:sz w:val="20"/>
          <w:szCs w:val="20"/>
          <w:lang w:val="en-US"/>
        </w:rPr>
        <w:t>4)</w:t>
      </w:r>
      <w:r w:rsidRPr="00A51255">
        <w:rPr>
          <w:rFonts w:ascii="Arial" w:hAnsi="Arial" w:cs="Arial"/>
          <w:sz w:val="20"/>
          <w:szCs w:val="20"/>
          <w:lang w:val="en-US"/>
        </w:rPr>
        <w:t>:</w:t>
      </w:r>
    </w:p>
    <w:p w:rsidR="00B90557" w:rsidRPr="00A51255" w:rsidRDefault="00036E0B" w:rsidP="00B90557">
      <w:pPr>
        <w:tabs>
          <w:tab w:val="left" w:pos="9780"/>
        </w:tabs>
        <w:spacing w:line="240" w:lineRule="atLeast"/>
        <w:ind w:right="-1"/>
        <w:jc w:val="center"/>
        <w:rPr>
          <w:lang w:val="en-US"/>
        </w:rPr>
      </w:pPr>
      <w:r w:rsidRPr="00426C6C">
        <w:rPr>
          <w:position w:val="-30"/>
        </w:rPr>
        <w:object w:dxaOrig="5960" w:dyaOrig="700">
          <v:shape id="_x0000_i1127" type="#_x0000_t75" style="width:273.85pt;height:32.15pt" o:ole="">
            <v:imagedata r:id="rId167" o:title=""/>
          </v:shape>
          <o:OLEObject Type="Embed" ProgID="Equation.3" ShapeID="_x0000_i1127" DrawAspect="Content" ObjectID="_1507543474" r:id="rId168"/>
        </w:object>
      </w:r>
    </w:p>
    <w:p w:rsidR="00B90557" w:rsidRPr="00A51255" w:rsidRDefault="00B90557" w:rsidP="00B90557">
      <w:pPr>
        <w:tabs>
          <w:tab w:val="left" w:pos="9780"/>
        </w:tabs>
        <w:spacing w:line="240" w:lineRule="atLeast"/>
        <w:ind w:right="-1"/>
        <w:jc w:val="both"/>
        <w:rPr>
          <w:rFonts w:ascii="Arial" w:hAnsi="Arial" w:cs="Arial"/>
          <w:sz w:val="20"/>
          <w:szCs w:val="20"/>
          <w:lang w:val="en-US"/>
        </w:rPr>
      </w:pPr>
      <w:r w:rsidRPr="00A51255">
        <w:rPr>
          <w:rFonts w:ascii="Arial" w:hAnsi="Arial" w:cs="Arial"/>
          <w:sz w:val="20"/>
          <w:szCs w:val="20"/>
          <w:lang w:val="en-US"/>
        </w:rPr>
        <w:t xml:space="preserve">from the GARCH model </w:t>
      </w:r>
      <w:r w:rsidR="00C65448">
        <w:rPr>
          <w:rFonts w:ascii="Arial" w:hAnsi="Arial" w:cs="Arial"/>
          <w:sz w:val="20"/>
          <w:szCs w:val="20"/>
          <w:lang w:val="en-US"/>
        </w:rPr>
        <w:t>(</w:t>
      </w:r>
      <w:r>
        <w:rPr>
          <w:rFonts w:ascii="Arial" w:hAnsi="Arial" w:cs="Arial"/>
          <w:sz w:val="20"/>
          <w:szCs w:val="20"/>
          <w:lang w:val="en-US"/>
        </w:rPr>
        <w:t xml:space="preserve">3) - </w:t>
      </w:r>
      <w:r w:rsidR="00C65448">
        <w:rPr>
          <w:rFonts w:ascii="Arial" w:hAnsi="Arial" w:cs="Arial"/>
          <w:sz w:val="20"/>
          <w:szCs w:val="20"/>
          <w:lang w:val="en-US"/>
        </w:rPr>
        <w:t>(</w:t>
      </w:r>
      <w:r>
        <w:rPr>
          <w:rFonts w:ascii="Arial" w:hAnsi="Arial" w:cs="Arial"/>
          <w:sz w:val="20"/>
          <w:szCs w:val="20"/>
          <w:lang w:val="en-US"/>
        </w:rPr>
        <w:t>4)</w:t>
      </w:r>
      <w:r w:rsidRPr="00A51255">
        <w:rPr>
          <w:rFonts w:ascii="Arial" w:hAnsi="Arial" w:cs="Arial"/>
          <w:sz w:val="20"/>
          <w:szCs w:val="20"/>
          <w:lang w:val="en-US"/>
        </w:rPr>
        <w:t xml:space="preserve"> of the PLN/USD volume of trade percentage changes.</w:t>
      </w:r>
    </w:p>
    <w:p w:rsidR="0090662F" w:rsidRDefault="0090662F" w:rsidP="0014213E">
      <w:pPr>
        <w:ind w:left="284" w:right="282"/>
        <w:jc w:val="both"/>
        <w:rPr>
          <w:rFonts w:ascii="Arial" w:hAnsi="Arial" w:cs="Arial"/>
          <w:sz w:val="16"/>
          <w:szCs w:val="16"/>
          <w:lang w:val="en-US"/>
        </w:rPr>
      </w:pPr>
    </w:p>
    <w:p w:rsidR="0090662F" w:rsidRDefault="0090662F" w:rsidP="0014213E">
      <w:pPr>
        <w:ind w:left="284" w:right="282"/>
        <w:jc w:val="both"/>
        <w:rPr>
          <w:rFonts w:ascii="Arial" w:hAnsi="Arial" w:cs="Arial"/>
          <w:sz w:val="16"/>
          <w:szCs w:val="16"/>
          <w:lang w:val="en-US"/>
        </w:rPr>
      </w:pPr>
    </w:p>
    <w:p w:rsidR="0090662F" w:rsidRDefault="0090662F" w:rsidP="0014213E">
      <w:pPr>
        <w:ind w:left="284" w:right="282"/>
        <w:jc w:val="both"/>
        <w:rPr>
          <w:rFonts w:ascii="Arial" w:hAnsi="Arial" w:cs="Arial"/>
          <w:sz w:val="16"/>
          <w:szCs w:val="16"/>
          <w:lang w:val="en-US"/>
        </w:rPr>
      </w:pPr>
    </w:p>
    <w:p w:rsidR="001B0D36" w:rsidRDefault="001B0D36" w:rsidP="0014213E">
      <w:pPr>
        <w:ind w:left="284" w:right="282"/>
        <w:jc w:val="both"/>
        <w:rPr>
          <w:rFonts w:ascii="Arial" w:hAnsi="Arial" w:cs="Arial"/>
          <w:sz w:val="16"/>
          <w:szCs w:val="16"/>
          <w:lang w:val="en-US"/>
        </w:rPr>
      </w:pP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005"/>
        <w:gridCol w:w="1599"/>
        <w:gridCol w:w="1771"/>
        <w:gridCol w:w="1636"/>
        <w:gridCol w:w="1671"/>
      </w:tblGrid>
      <w:tr w:rsidR="007A3E86" w:rsidRPr="00A51255" w:rsidTr="007A3E86">
        <w:trPr>
          <w:jc w:val="center"/>
        </w:trPr>
        <w:tc>
          <w:tcPr>
            <w:tcW w:w="247" w:type="dxa"/>
            <w:vAlign w:val="center"/>
          </w:tcPr>
          <w:p w:rsidR="0014213E" w:rsidRPr="00124F83" w:rsidRDefault="0014213E" w:rsidP="00D63A00">
            <w:pPr>
              <w:spacing w:line="360" w:lineRule="auto"/>
              <w:jc w:val="center"/>
              <w:rPr>
                <w:rFonts w:ascii="Arial" w:hAnsi="Arial" w:cs="Arial"/>
                <w:sz w:val="16"/>
                <w:szCs w:val="16"/>
                <w:lang w:val="de-DE"/>
              </w:rPr>
            </w:pPr>
            <w:r w:rsidRPr="00A51255">
              <w:rPr>
                <w:rFonts w:ascii="Arial" w:hAnsi="Arial" w:cs="Arial"/>
                <w:sz w:val="16"/>
                <w:szCs w:val="16"/>
                <w:lang w:val="de-DE"/>
              </w:rPr>
              <w:t>Eq.</w:t>
            </w:r>
          </w:p>
        </w:tc>
        <w:tc>
          <w:tcPr>
            <w:tcW w:w="8892" w:type="dxa"/>
            <w:gridSpan w:val="5"/>
            <w:vAlign w:val="center"/>
          </w:tcPr>
          <w:p w:rsidR="007A3E86" w:rsidRDefault="007A3E86" w:rsidP="00D63A00">
            <w:pPr>
              <w:jc w:val="center"/>
              <w:rPr>
                <w:rFonts w:ascii="Arial" w:hAnsi="Arial" w:cs="Arial"/>
                <w:b/>
                <w:sz w:val="18"/>
                <w:szCs w:val="18"/>
                <w:lang w:val="de-DE"/>
              </w:rPr>
            </w:pPr>
          </w:p>
          <w:p w:rsidR="0014213E" w:rsidRDefault="0014213E" w:rsidP="00D63A00">
            <w:pPr>
              <w:jc w:val="center"/>
              <w:rPr>
                <w:b/>
                <w:i/>
                <w:sz w:val="18"/>
                <w:szCs w:val="18"/>
                <w:lang w:val="de-DE"/>
              </w:rPr>
            </w:pPr>
            <w:r w:rsidRPr="004F48F0">
              <w:rPr>
                <w:rFonts w:ascii="Arial" w:hAnsi="Arial" w:cs="Arial"/>
                <w:b/>
                <w:sz w:val="18"/>
                <w:szCs w:val="18"/>
                <w:lang w:val="de-DE"/>
              </w:rPr>
              <w:t xml:space="preserve">On day </w:t>
            </w:r>
            <w:r w:rsidRPr="004F48F0">
              <w:rPr>
                <w:b/>
                <w:i/>
                <w:sz w:val="18"/>
                <w:szCs w:val="18"/>
                <w:lang w:val="de-DE"/>
              </w:rPr>
              <w:t>t</w:t>
            </w:r>
            <w:r>
              <w:rPr>
                <w:b/>
                <w:i/>
                <w:sz w:val="18"/>
                <w:szCs w:val="18"/>
                <w:lang w:val="de-DE"/>
              </w:rPr>
              <w:t>+1</w:t>
            </w:r>
          </w:p>
          <w:p w:rsidR="007A3E86" w:rsidRPr="004F48F0" w:rsidRDefault="007A3E86" w:rsidP="00D63A00">
            <w:pPr>
              <w:jc w:val="center"/>
              <w:rPr>
                <w:rFonts w:ascii="Arial" w:hAnsi="Arial" w:cs="Arial"/>
                <w:b/>
                <w:sz w:val="18"/>
                <w:szCs w:val="18"/>
                <w:lang w:val="de-DE"/>
              </w:rPr>
            </w:pPr>
          </w:p>
        </w:tc>
      </w:tr>
      <w:tr w:rsidR="0014213E" w:rsidRPr="00A51255" w:rsidTr="007A3E86">
        <w:trPr>
          <w:jc w:val="center"/>
        </w:trPr>
        <w:tc>
          <w:tcPr>
            <w:tcW w:w="9139" w:type="dxa"/>
            <w:gridSpan w:val="6"/>
            <w:vAlign w:val="center"/>
          </w:tcPr>
          <w:p w:rsidR="007A3E86" w:rsidRDefault="007A3E86" w:rsidP="00D63A00">
            <w:pPr>
              <w:jc w:val="center"/>
              <w:rPr>
                <w:rFonts w:ascii="Arial" w:hAnsi="Arial" w:cs="Arial"/>
                <w:b/>
                <w:sz w:val="18"/>
                <w:szCs w:val="18"/>
                <w:lang w:val="de-DE"/>
              </w:rPr>
            </w:pPr>
          </w:p>
          <w:p w:rsidR="0014213E" w:rsidRDefault="0014213E" w:rsidP="00D63A00">
            <w:pPr>
              <w:jc w:val="center"/>
              <w:rPr>
                <w:rFonts w:ascii="Arial" w:hAnsi="Arial" w:cs="Arial"/>
                <w:b/>
                <w:sz w:val="18"/>
                <w:szCs w:val="18"/>
                <w:lang w:val="de-DE"/>
              </w:rPr>
            </w:pPr>
            <w:r w:rsidRPr="009D3E6A">
              <w:rPr>
                <w:rFonts w:ascii="Arial" w:hAnsi="Arial" w:cs="Arial"/>
                <w:b/>
                <w:sz w:val="18"/>
                <w:szCs w:val="18"/>
                <w:lang w:val="de-DE"/>
              </w:rPr>
              <w:t>Mean equation:</w:t>
            </w:r>
          </w:p>
          <w:p w:rsidR="007A3E86" w:rsidRDefault="007A3E86" w:rsidP="00D63A00">
            <w:pPr>
              <w:jc w:val="center"/>
              <w:rPr>
                <w:rFonts w:ascii="Arial" w:hAnsi="Arial" w:cs="Arial"/>
                <w:sz w:val="20"/>
                <w:szCs w:val="20"/>
                <w:lang w:val="de-DE"/>
              </w:rPr>
            </w:pPr>
          </w:p>
        </w:tc>
      </w:tr>
      <w:tr w:rsidR="007A3E86" w:rsidRPr="00A51255" w:rsidTr="007A3E86">
        <w:trPr>
          <w:jc w:val="center"/>
        </w:trPr>
        <w:tc>
          <w:tcPr>
            <w:tcW w:w="247" w:type="dxa"/>
            <w:vAlign w:val="center"/>
          </w:tcPr>
          <w:p w:rsidR="00851198" w:rsidRPr="00A51255" w:rsidRDefault="00C65448" w:rsidP="00D63A00">
            <w:pPr>
              <w:spacing w:line="360" w:lineRule="auto"/>
              <w:jc w:val="center"/>
              <w:rPr>
                <w:rFonts w:ascii="Arial" w:hAnsi="Arial" w:cs="Arial"/>
                <w:sz w:val="16"/>
                <w:szCs w:val="16"/>
                <w:lang w:val="de-DE"/>
              </w:rPr>
            </w:pPr>
            <w:r>
              <w:rPr>
                <w:rFonts w:ascii="Arial" w:hAnsi="Arial" w:cs="Arial"/>
                <w:sz w:val="16"/>
                <w:szCs w:val="16"/>
                <w:lang w:val="de-DE"/>
              </w:rPr>
              <w:t>(</w:t>
            </w:r>
            <w:r w:rsidR="00851198">
              <w:rPr>
                <w:rFonts w:ascii="Arial" w:hAnsi="Arial" w:cs="Arial"/>
                <w:sz w:val="16"/>
                <w:szCs w:val="16"/>
                <w:lang w:val="de-DE"/>
              </w:rPr>
              <w:t>3)</w:t>
            </w:r>
          </w:p>
        </w:tc>
        <w:tc>
          <w:tcPr>
            <w:tcW w:w="2037" w:type="dxa"/>
            <w:vAlign w:val="center"/>
          </w:tcPr>
          <w:p w:rsidR="00851198" w:rsidRPr="004F48F0" w:rsidRDefault="00851198" w:rsidP="00D63A00">
            <w:pPr>
              <w:jc w:val="center"/>
              <w:rPr>
                <w:rFonts w:ascii="Arial" w:hAnsi="Arial" w:cs="Arial"/>
                <w:b/>
                <w:sz w:val="18"/>
                <w:szCs w:val="18"/>
                <w:lang w:val="de-DE"/>
              </w:rPr>
            </w:pPr>
            <w:r w:rsidRPr="00067CE5">
              <w:rPr>
                <w:position w:val="-12"/>
              </w:rPr>
              <w:object w:dxaOrig="300" w:dyaOrig="360">
                <v:shape id="_x0000_i1128" type="#_x0000_t75" style="width:14.15pt;height:18pt" o:ole="">
                  <v:imagedata r:id="rId94" o:title=""/>
                </v:shape>
                <o:OLEObject Type="Embed" ProgID="Equation.3" ShapeID="_x0000_i1128" DrawAspect="Content" ObjectID="_1507543475" r:id="rId169"/>
              </w:object>
            </w:r>
          </w:p>
        </w:tc>
        <w:tc>
          <w:tcPr>
            <w:tcW w:w="1639" w:type="dxa"/>
            <w:vAlign w:val="center"/>
          </w:tcPr>
          <w:p w:rsidR="00851198" w:rsidRPr="00782238" w:rsidRDefault="00851198" w:rsidP="00076908">
            <w:pPr>
              <w:jc w:val="center"/>
              <w:rPr>
                <w:rFonts w:ascii="Arial" w:hAnsi="Arial" w:cs="Arial"/>
                <w:sz w:val="20"/>
                <w:szCs w:val="20"/>
                <w:lang w:val="de-DE"/>
              </w:rPr>
            </w:pPr>
            <w:r w:rsidRPr="00597EF9">
              <w:rPr>
                <w:rFonts w:ascii="Arial" w:hAnsi="Arial" w:cs="Arial"/>
                <w:sz w:val="20"/>
                <w:szCs w:val="20"/>
                <w:lang w:val="de-DE"/>
              </w:rPr>
              <w:t>21.92496</w:t>
            </w:r>
            <w:r>
              <w:rPr>
                <w:rFonts w:ascii="Arial" w:hAnsi="Arial" w:cs="Arial"/>
                <w:sz w:val="20"/>
                <w:szCs w:val="20"/>
                <w:lang w:val="de-DE"/>
              </w:rPr>
              <w:t xml:space="preserve"> ***</w:t>
            </w:r>
          </w:p>
          <w:p w:rsidR="00851198" w:rsidRPr="00782238" w:rsidRDefault="00851198" w:rsidP="00076908">
            <w:pPr>
              <w:jc w:val="center"/>
              <w:rPr>
                <w:rFonts w:ascii="Arial" w:hAnsi="Arial" w:cs="Arial"/>
                <w:sz w:val="20"/>
                <w:szCs w:val="20"/>
                <w:lang w:val="de-DE"/>
              </w:rPr>
            </w:pPr>
            <w:r w:rsidRPr="00782238">
              <w:rPr>
                <w:rFonts w:ascii="Arial" w:hAnsi="Arial" w:cs="Arial"/>
                <w:sz w:val="16"/>
                <w:szCs w:val="16"/>
                <w:lang w:val="de-DE"/>
              </w:rPr>
              <w:t xml:space="preserve"> (</w:t>
            </w:r>
            <w:r w:rsidRPr="00597EF9">
              <w:rPr>
                <w:rFonts w:ascii="Arial" w:hAnsi="Arial" w:cs="Arial"/>
                <w:sz w:val="16"/>
                <w:szCs w:val="16"/>
                <w:lang w:val="de-DE"/>
              </w:rPr>
              <w:t>3.984464</w:t>
            </w:r>
            <w:r w:rsidRPr="00782238">
              <w:rPr>
                <w:rFonts w:ascii="Arial" w:hAnsi="Arial" w:cs="Arial"/>
                <w:sz w:val="16"/>
                <w:szCs w:val="16"/>
                <w:lang w:val="de-DE"/>
              </w:rPr>
              <w:t>)</w:t>
            </w:r>
          </w:p>
        </w:tc>
        <w:tc>
          <w:tcPr>
            <w:tcW w:w="1823" w:type="dxa"/>
            <w:vAlign w:val="center"/>
          </w:tcPr>
          <w:p w:rsidR="00851198" w:rsidRPr="00782238" w:rsidRDefault="00CA580F" w:rsidP="00E106A5">
            <w:pPr>
              <w:jc w:val="center"/>
              <w:rPr>
                <w:rFonts w:ascii="Arial" w:hAnsi="Arial" w:cs="Arial"/>
                <w:sz w:val="20"/>
                <w:szCs w:val="20"/>
                <w:lang w:val="de-DE"/>
              </w:rPr>
            </w:pPr>
            <w:r w:rsidRPr="00CA580F">
              <w:rPr>
                <w:rFonts w:ascii="Arial" w:hAnsi="Arial" w:cs="Arial"/>
                <w:sz w:val="20"/>
                <w:szCs w:val="20"/>
                <w:lang w:val="de-DE"/>
              </w:rPr>
              <w:t>19.91369</w:t>
            </w:r>
            <w:r>
              <w:rPr>
                <w:rFonts w:ascii="Arial" w:hAnsi="Arial" w:cs="Arial"/>
                <w:sz w:val="20"/>
                <w:szCs w:val="20"/>
                <w:lang w:val="de-DE"/>
              </w:rPr>
              <w:t xml:space="preserve"> ***</w:t>
            </w:r>
          </w:p>
          <w:p w:rsidR="00851198" w:rsidRPr="00A51255" w:rsidRDefault="00851198" w:rsidP="00E106A5">
            <w:pPr>
              <w:jc w:val="center"/>
              <w:rPr>
                <w:lang w:val="en-US"/>
              </w:rPr>
            </w:pPr>
            <w:r w:rsidRPr="00782238">
              <w:rPr>
                <w:rFonts w:ascii="Arial" w:hAnsi="Arial" w:cs="Arial"/>
                <w:sz w:val="16"/>
                <w:szCs w:val="16"/>
                <w:lang w:val="de-DE"/>
              </w:rPr>
              <w:t xml:space="preserve"> (</w:t>
            </w:r>
            <w:r w:rsidR="00CA580F" w:rsidRPr="00CA580F">
              <w:rPr>
                <w:rFonts w:ascii="Arial" w:hAnsi="Arial" w:cs="Arial"/>
                <w:sz w:val="16"/>
                <w:szCs w:val="16"/>
                <w:lang w:val="de-DE"/>
              </w:rPr>
              <w:t>4.826570</w:t>
            </w:r>
            <w:r w:rsidRPr="00782238">
              <w:rPr>
                <w:rFonts w:ascii="Arial" w:hAnsi="Arial" w:cs="Arial"/>
                <w:sz w:val="16"/>
                <w:szCs w:val="16"/>
                <w:lang w:val="de-DE"/>
              </w:rPr>
              <w:t>)</w:t>
            </w:r>
          </w:p>
        </w:tc>
        <w:tc>
          <w:tcPr>
            <w:tcW w:w="1677" w:type="dxa"/>
            <w:vAlign w:val="center"/>
          </w:tcPr>
          <w:p w:rsidR="00851198" w:rsidRPr="00782238" w:rsidRDefault="002C7A77" w:rsidP="00B76BD7">
            <w:pPr>
              <w:jc w:val="center"/>
              <w:rPr>
                <w:rFonts w:ascii="Arial" w:hAnsi="Arial" w:cs="Arial"/>
                <w:sz w:val="20"/>
                <w:szCs w:val="20"/>
                <w:lang w:val="de-DE"/>
              </w:rPr>
            </w:pPr>
            <w:r w:rsidRPr="002C7A77">
              <w:rPr>
                <w:rFonts w:ascii="Arial" w:hAnsi="Arial" w:cs="Arial"/>
                <w:sz w:val="20"/>
                <w:szCs w:val="20"/>
                <w:lang w:val="de-DE"/>
              </w:rPr>
              <w:t>21.46183</w:t>
            </w:r>
            <w:r>
              <w:rPr>
                <w:rFonts w:ascii="Arial" w:hAnsi="Arial" w:cs="Arial"/>
                <w:sz w:val="20"/>
                <w:szCs w:val="20"/>
                <w:lang w:val="de-DE"/>
              </w:rPr>
              <w:t xml:space="preserve"> ***</w:t>
            </w:r>
          </w:p>
          <w:p w:rsidR="00851198" w:rsidRPr="00A51255" w:rsidRDefault="00851198" w:rsidP="00B76BD7">
            <w:pPr>
              <w:jc w:val="center"/>
              <w:rPr>
                <w:lang w:val="en-US"/>
              </w:rPr>
            </w:pPr>
            <w:r w:rsidRPr="00782238">
              <w:rPr>
                <w:rFonts w:ascii="Arial" w:hAnsi="Arial" w:cs="Arial"/>
                <w:sz w:val="16"/>
                <w:szCs w:val="16"/>
                <w:lang w:val="de-DE"/>
              </w:rPr>
              <w:t xml:space="preserve"> (</w:t>
            </w:r>
            <w:r w:rsidR="002C7A77" w:rsidRPr="002C7A77">
              <w:rPr>
                <w:rFonts w:ascii="Arial" w:hAnsi="Arial" w:cs="Arial"/>
                <w:sz w:val="16"/>
                <w:szCs w:val="16"/>
                <w:lang w:val="de-DE"/>
              </w:rPr>
              <w:t>5.069143</w:t>
            </w:r>
            <w:r w:rsidRPr="00782238">
              <w:rPr>
                <w:rFonts w:ascii="Arial" w:hAnsi="Arial" w:cs="Arial"/>
                <w:sz w:val="16"/>
                <w:szCs w:val="16"/>
                <w:lang w:val="de-DE"/>
              </w:rPr>
              <w:t>)</w:t>
            </w:r>
          </w:p>
        </w:tc>
        <w:tc>
          <w:tcPr>
            <w:tcW w:w="1716" w:type="dxa"/>
            <w:vAlign w:val="center"/>
          </w:tcPr>
          <w:p w:rsidR="00851198" w:rsidRPr="00782238" w:rsidRDefault="00851198" w:rsidP="00076908">
            <w:pPr>
              <w:jc w:val="center"/>
              <w:rPr>
                <w:rFonts w:ascii="Arial" w:hAnsi="Arial" w:cs="Arial"/>
                <w:sz w:val="20"/>
                <w:szCs w:val="20"/>
                <w:lang w:val="de-DE"/>
              </w:rPr>
            </w:pPr>
            <w:r w:rsidRPr="00F81620">
              <w:rPr>
                <w:rFonts w:ascii="Arial" w:hAnsi="Arial" w:cs="Arial"/>
                <w:sz w:val="20"/>
                <w:szCs w:val="20"/>
                <w:lang w:val="de-DE"/>
              </w:rPr>
              <w:t>23.95733</w:t>
            </w:r>
            <w:r>
              <w:rPr>
                <w:rFonts w:ascii="Arial" w:hAnsi="Arial" w:cs="Arial"/>
                <w:sz w:val="20"/>
                <w:szCs w:val="20"/>
                <w:lang w:val="de-DE"/>
              </w:rPr>
              <w:t xml:space="preserve"> ***</w:t>
            </w:r>
          </w:p>
          <w:p w:rsidR="00851198" w:rsidRPr="00A51255" w:rsidRDefault="00851198" w:rsidP="00076908">
            <w:pPr>
              <w:jc w:val="center"/>
              <w:rPr>
                <w:lang w:val="en-US"/>
              </w:rPr>
            </w:pPr>
            <w:r w:rsidRPr="00782238">
              <w:rPr>
                <w:rFonts w:ascii="Arial" w:hAnsi="Arial" w:cs="Arial"/>
                <w:sz w:val="16"/>
                <w:szCs w:val="16"/>
                <w:lang w:val="de-DE"/>
              </w:rPr>
              <w:t xml:space="preserve"> (</w:t>
            </w:r>
            <w:r w:rsidRPr="00F81620">
              <w:rPr>
                <w:rFonts w:ascii="Arial" w:hAnsi="Arial" w:cs="Arial"/>
                <w:sz w:val="16"/>
                <w:szCs w:val="16"/>
                <w:lang w:val="de-DE"/>
              </w:rPr>
              <w:t>3.825664</w:t>
            </w:r>
            <w:r w:rsidRPr="00782238">
              <w:rPr>
                <w:rFonts w:ascii="Arial" w:hAnsi="Arial" w:cs="Arial"/>
                <w:sz w:val="16"/>
                <w:szCs w:val="16"/>
                <w:lang w:val="de-DE"/>
              </w:rPr>
              <w:t>)</w:t>
            </w:r>
          </w:p>
        </w:tc>
      </w:tr>
      <w:tr w:rsidR="007A3E86" w:rsidRPr="00A51255" w:rsidTr="007A3E86">
        <w:trPr>
          <w:jc w:val="center"/>
        </w:trPr>
        <w:tc>
          <w:tcPr>
            <w:tcW w:w="247" w:type="dxa"/>
            <w:vAlign w:val="center"/>
          </w:tcPr>
          <w:p w:rsidR="00851198" w:rsidRPr="00A51255" w:rsidRDefault="00C65448" w:rsidP="00D63A00">
            <w:pPr>
              <w:spacing w:line="360" w:lineRule="auto"/>
              <w:jc w:val="center"/>
              <w:rPr>
                <w:rFonts w:ascii="Arial" w:hAnsi="Arial" w:cs="Arial"/>
                <w:lang w:val="en-US"/>
              </w:rPr>
            </w:pPr>
            <w:r>
              <w:rPr>
                <w:rFonts w:ascii="Arial" w:hAnsi="Arial" w:cs="Arial"/>
                <w:sz w:val="16"/>
                <w:szCs w:val="16"/>
                <w:lang w:val="de-DE"/>
              </w:rPr>
              <w:t>(</w:t>
            </w:r>
            <w:r w:rsidR="00851198">
              <w:rPr>
                <w:rFonts w:ascii="Arial" w:hAnsi="Arial" w:cs="Arial"/>
                <w:sz w:val="16"/>
                <w:szCs w:val="16"/>
                <w:lang w:val="de-DE"/>
              </w:rPr>
              <w:t>3)</w:t>
            </w:r>
          </w:p>
        </w:tc>
        <w:tc>
          <w:tcPr>
            <w:tcW w:w="2037" w:type="dxa"/>
            <w:vAlign w:val="center"/>
          </w:tcPr>
          <w:p w:rsidR="00851198" w:rsidRPr="004F48F0" w:rsidRDefault="00851198" w:rsidP="00D63A00">
            <w:pPr>
              <w:jc w:val="center"/>
              <w:rPr>
                <w:rFonts w:ascii="Arial" w:hAnsi="Arial" w:cs="Arial"/>
                <w:b/>
                <w:sz w:val="18"/>
                <w:szCs w:val="18"/>
                <w:lang w:val="de-DE"/>
              </w:rPr>
            </w:pPr>
            <w:r w:rsidRPr="00067CE5">
              <w:rPr>
                <w:position w:val="-10"/>
              </w:rPr>
              <w:object w:dxaOrig="279" w:dyaOrig="340">
                <v:shape id="_x0000_i1129" type="#_x0000_t75" style="width:12.85pt;height:16.7pt" o:ole="">
                  <v:imagedata r:id="rId96" o:title=""/>
                </v:shape>
                <o:OLEObject Type="Embed" ProgID="Equation.3" ShapeID="_x0000_i1129" DrawAspect="Content" ObjectID="_1507543476" r:id="rId170"/>
              </w:object>
            </w:r>
          </w:p>
        </w:tc>
        <w:tc>
          <w:tcPr>
            <w:tcW w:w="1639" w:type="dxa"/>
            <w:vAlign w:val="center"/>
          </w:tcPr>
          <w:p w:rsidR="00851198" w:rsidRPr="00782238" w:rsidRDefault="00851198" w:rsidP="00076908">
            <w:pPr>
              <w:jc w:val="center"/>
              <w:rPr>
                <w:rFonts w:ascii="Arial" w:hAnsi="Arial" w:cs="Arial"/>
                <w:sz w:val="20"/>
                <w:szCs w:val="20"/>
                <w:lang w:val="de-DE"/>
              </w:rPr>
            </w:pPr>
            <w:r w:rsidRPr="00597EF9">
              <w:rPr>
                <w:rFonts w:ascii="Arial" w:hAnsi="Arial" w:cs="Arial"/>
                <w:sz w:val="20"/>
                <w:szCs w:val="20"/>
                <w:lang w:val="de-DE"/>
              </w:rPr>
              <w:t>3.630350</w:t>
            </w:r>
            <w:r>
              <w:rPr>
                <w:rFonts w:ascii="Arial" w:hAnsi="Arial" w:cs="Arial"/>
                <w:sz w:val="20"/>
                <w:szCs w:val="20"/>
                <w:lang w:val="de-DE"/>
              </w:rPr>
              <w:t xml:space="preserve"> **</w:t>
            </w:r>
          </w:p>
          <w:p w:rsidR="00851198" w:rsidRPr="00782238" w:rsidRDefault="00851198" w:rsidP="00076908">
            <w:pPr>
              <w:jc w:val="center"/>
              <w:rPr>
                <w:rFonts w:ascii="Arial" w:hAnsi="Arial" w:cs="Arial"/>
                <w:sz w:val="20"/>
                <w:szCs w:val="20"/>
                <w:lang w:val="de-DE"/>
              </w:rPr>
            </w:pPr>
            <w:r w:rsidRPr="00782238">
              <w:rPr>
                <w:rFonts w:ascii="Arial" w:hAnsi="Arial" w:cs="Arial"/>
                <w:sz w:val="16"/>
                <w:szCs w:val="16"/>
                <w:lang w:val="de-DE"/>
              </w:rPr>
              <w:t xml:space="preserve"> (</w:t>
            </w:r>
            <w:r w:rsidRPr="00597EF9">
              <w:rPr>
                <w:rFonts w:ascii="Arial" w:hAnsi="Arial" w:cs="Arial"/>
                <w:sz w:val="16"/>
                <w:szCs w:val="16"/>
                <w:lang w:val="de-DE"/>
              </w:rPr>
              <w:t>1.783016</w:t>
            </w:r>
            <w:r w:rsidRPr="00782238">
              <w:rPr>
                <w:rFonts w:ascii="Arial" w:hAnsi="Arial" w:cs="Arial"/>
                <w:sz w:val="16"/>
                <w:szCs w:val="16"/>
                <w:lang w:val="de-DE"/>
              </w:rPr>
              <w:t>)</w:t>
            </w:r>
          </w:p>
        </w:tc>
        <w:tc>
          <w:tcPr>
            <w:tcW w:w="1823" w:type="dxa"/>
            <w:vAlign w:val="center"/>
          </w:tcPr>
          <w:p w:rsidR="00851198" w:rsidRPr="00A51255" w:rsidRDefault="00FA4FDC" w:rsidP="00E106A5">
            <w:pPr>
              <w:jc w:val="center"/>
              <w:rPr>
                <w:lang w:val="en-US"/>
              </w:rPr>
            </w:pPr>
            <w:r w:rsidRPr="00FA4FDC">
              <w:rPr>
                <w:rFonts w:ascii="Arial" w:hAnsi="Arial" w:cs="Arial"/>
                <w:sz w:val="20"/>
                <w:szCs w:val="20"/>
                <w:lang w:val="de-DE"/>
              </w:rPr>
              <w:t>4.428460</w:t>
            </w:r>
            <w:r>
              <w:rPr>
                <w:rFonts w:ascii="Arial" w:hAnsi="Arial" w:cs="Arial"/>
                <w:sz w:val="20"/>
                <w:szCs w:val="20"/>
                <w:lang w:val="de-DE"/>
              </w:rPr>
              <w:t xml:space="preserve"> **</w:t>
            </w:r>
            <w:r w:rsidR="00851198" w:rsidRPr="00782238">
              <w:rPr>
                <w:rFonts w:ascii="Arial" w:hAnsi="Arial" w:cs="Arial"/>
                <w:sz w:val="16"/>
                <w:szCs w:val="16"/>
                <w:lang w:val="de-DE"/>
              </w:rPr>
              <w:t xml:space="preserve"> (</w:t>
            </w:r>
            <w:r w:rsidRPr="00FA4FDC">
              <w:rPr>
                <w:rFonts w:ascii="Arial" w:hAnsi="Arial" w:cs="Arial"/>
                <w:sz w:val="16"/>
                <w:szCs w:val="16"/>
                <w:lang w:val="de-DE"/>
              </w:rPr>
              <w:t>2.222635</w:t>
            </w:r>
            <w:r w:rsidR="00851198" w:rsidRPr="00782238">
              <w:rPr>
                <w:rFonts w:ascii="Arial" w:hAnsi="Arial" w:cs="Arial"/>
                <w:sz w:val="16"/>
                <w:szCs w:val="16"/>
                <w:lang w:val="de-DE"/>
              </w:rPr>
              <w:t>)</w:t>
            </w:r>
          </w:p>
        </w:tc>
        <w:tc>
          <w:tcPr>
            <w:tcW w:w="1677" w:type="dxa"/>
            <w:vAlign w:val="center"/>
          </w:tcPr>
          <w:p w:rsidR="00325087" w:rsidRDefault="00325087" w:rsidP="00B76BD7">
            <w:pPr>
              <w:jc w:val="center"/>
              <w:rPr>
                <w:rFonts w:ascii="Arial" w:hAnsi="Arial" w:cs="Arial"/>
                <w:sz w:val="20"/>
                <w:szCs w:val="20"/>
                <w:lang w:val="de-DE"/>
              </w:rPr>
            </w:pPr>
            <w:r w:rsidRPr="00325087">
              <w:rPr>
                <w:rFonts w:ascii="Arial" w:hAnsi="Arial" w:cs="Arial"/>
                <w:sz w:val="20"/>
                <w:szCs w:val="20"/>
                <w:lang w:val="de-DE"/>
              </w:rPr>
              <w:t>4.719162</w:t>
            </w:r>
            <w:r>
              <w:rPr>
                <w:rFonts w:ascii="Arial" w:hAnsi="Arial" w:cs="Arial"/>
                <w:sz w:val="20"/>
                <w:szCs w:val="20"/>
                <w:lang w:val="de-DE"/>
              </w:rPr>
              <w:t xml:space="preserve"> **</w:t>
            </w:r>
          </w:p>
          <w:p w:rsidR="00851198" w:rsidRPr="00A51255" w:rsidRDefault="00851198" w:rsidP="00B76BD7">
            <w:pPr>
              <w:jc w:val="center"/>
              <w:rPr>
                <w:lang w:val="en-US"/>
              </w:rPr>
            </w:pPr>
            <w:r w:rsidRPr="00782238">
              <w:rPr>
                <w:rFonts w:ascii="Arial" w:hAnsi="Arial" w:cs="Arial"/>
                <w:sz w:val="16"/>
                <w:szCs w:val="16"/>
                <w:lang w:val="de-DE"/>
              </w:rPr>
              <w:t xml:space="preserve"> (</w:t>
            </w:r>
            <w:r w:rsidR="00325087" w:rsidRPr="00325087">
              <w:rPr>
                <w:rFonts w:ascii="Arial" w:hAnsi="Arial" w:cs="Arial"/>
                <w:sz w:val="16"/>
                <w:szCs w:val="16"/>
                <w:lang w:val="de-DE"/>
              </w:rPr>
              <w:t>2.182056</w:t>
            </w:r>
            <w:r w:rsidRPr="00782238">
              <w:rPr>
                <w:rFonts w:ascii="Arial" w:hAnsi="Arial" w:cs="Arial"/>
                <w:sz w:val="16"/>
                <w:szCs w:val="16"/>
                <w:lang w:val="de-DE"/>
              </w:rPr>
              <w:t>)</w:t>
            </w:r>
          </w:p>
        </w:tc>
        <w:tc>
          <w:tcPr>
            <w:tcW w:w="1716" w:type="dxa"/>
            <w:vAlign w:val="center"/>
          </w:tcPr>
          <w:p w:rsidR="00851198" w:rsidRDefault="00851198" w:rsidP="00076908">
            <w:pPr>
              <w:jc w:val="center"/>
              <w:rPr>
                <w:rFonts w:ascii="Arial" w:hAnsi="Arial" w:cs="Arial"/>
                <w:sz w:val="20"/>
                <w:szCs w:val="20"/>
                <w:lang w:val="de-DE"/>
              </w:rPr>
            </w:pPr>
            <w:r w:rsidRPr="00F81620">
              <w:rPr>
                <w:rFonts w:ascii="Arial" w:hAnsi="Arial" w:cs="Arial"/>
                <w:sz w:val="20"/>
                <w:szCs w:val="20"/>
                <w:lang w:val="de-DE"/>
              </w:rPr>
              <w:t>4.151796</w:t>
            </w:r>
            <w:r>
              <w:rPr>
                <w:rFonts w:ascii="Arial" w:hAnsi="Arial" w:cs="Arial"/>
                <w:sz w:val="20"/>
                <w:szCs w:val="20"/>
                <w:lang w:val="de-DE"/>
              </w:rPr>
              <w:t xml:space="preserve"> **</w:t>
            </w:r>
          </w:p>
          <w:p w:rsidR="00851198" w:rsidRPr="00A51255" w:rsidRDefault="00851198" w:rsidP="00076908">
            <w:pPr>
              <w:jc w:val="center"/>
              <w:rPr>
                <w:lang w:val="en-US"/>
              </w:rPr>
            </w:pPr>
            <w:r w:rsidRPr="00782238">
              <w:rPr>
                <w:rFonts w:ascii="Arial" w:hAnsi="Arial" w:cs="Arial"/>
                <w:sz w:val="16"/>
                <w:szCs w:val="16"/>
                <w:lang w:val="de-DE"/>
              </w:rPr>
              <w:t xml:space="preserve"> (</w:t>
            </w:r>
            <w:r w:rsidRPr="00F81620">
              <w:rPr>
                <w:rFonts w:ascii="Arial" w:hAnsi="Arial" w:cs="Arial"/>
                <w:sz w:val="16"/>
                <w:szCs w:val="16"/>
                <w:lang w:val="de-DE"/>
              </w:rPr>
              <w:t>1.715350</w:t>
            </w:r>
            <w:r w:rsidRPr="00782238">
              <w:rPr>
                <w:rFonts w:ascii="Arial" w:hAnsi="Arial" w:cs="Arial"/>
                <w:sz w:val="16"/>
                <w:szCs w:val="16"/>
                <w:lang w:val="de-DE"/>
              </w:rPr>
              <w:t>)</w:t>
            </w:r>
          </w:p>
        </w:tc>
      </w:tr>
      <w:tr w:rsidR="007A3E86" w:rsidRPr="00A51255" w:rsidTr="007A3E86">
        <w:trPr>
          <w:jc w:val="center"/>
        </w:trPr>
        <w:tc>
          <w:tcPr>
            <w:tcW w:w="247" w:type="dxa"/>
            <w:vAlign w:val="center"/>
          </w:tcPr>
          <w:p w:rsidR="00851198" w:rsidRPr="00A51255" w:rsidRDefault="00C65448" w:rsidP="00D63A00">
            <w:pPr>
              <w:spacing w:line="360" w:lineRule="auto"/>
              <w:jc w:val="center"/>
              <w:rPr>
                <w:rFonts w:ascii="Arial" w:hAnsi="Arial" w:cs="Arial"/>
                <w:lang w:val="en-US"/>
              </w:rPr>
            </w:pPr>
            <w:r>
              <w:rPr>
                <w:rFonts w:ascii="Arial" w:hAnsi="Arial" w:cs="Arial"/>
                <w:sz w:val="16"/>
                <w:szCs w:val="16"/>
                <w:lang w:val="de-DE"/>
              </w:rPr>
              <w:t>(</w:t>
            </w:r>
            <w:r w:rsidR="00851198">
              <w:rPr>
                <w:rFonts w:ascii="Arial" w:hAnsi="Arial" w:cs="Arial"/>
                <w:sz w:val="16"/>
                <w:szCs w:val="16"/>
                <w:lang w:val="de-DE"/>
              </w:rPr>
              <w:t>3)</w:t>
            </w:r>
          </w:p>
        </w:tc>
        <w:tc>
          <w:tcPr>
            <w:tcW w:w="2037" w:type="dxa"/>
            <w:vAlign w:val="center"/>
          </w:tcPr>
          <w:p w:rsidR="00851198" w:rsidRPr="004F48F0" w:rsidRDefault="00851198" w:rsidP="00D63A00">
            <w:pPr>
              <w:jc w:val="center"/>
              <w:rPr>
                <w:rFonts w:ascii="Arial" w:hAnsi="Arial" w:cs="Arial"/>
                <w:b/>
                <w:sz w:val="18"/>
                <w:szCs w:val="18"/>
                <w:lang w:val="de-DE"/>
              </w:rPr>
            </w:pPr>
            <w:r w:rsidRPr="00067CE5">
              <w:rPr>
                <w:position w:val="-10"/>
              </w:rPr>
              <w:object w:dxaOrig="300" w:dyaOrig="340">
                <v:shape id="_x0000_i1130" type="#_x0000_t75" style="width:14.15pt;height:16.7pt" o:ole="">
                  <v:imagedata r:id="rId98" o:title=""/>
                </v:shape>
                <o:OLEObject Type="Embed" ProgID="Equation.3" ShapeID="_x0000_i1130" DrawAspect="Content" ObjectID="_1507543477" r:id="rId171"/>
              </w:object>
            </w:r>
          </w:p>
        </w:tc>
        <w:tc>
          <w:tcPr>
            <w:tcW w:w="1639" w:type="dxa"/>
            <w:vAlign w:val="center"/>
          </w:tcPr>
          <w:p w:rsidR="00851198" w:rsidRPr="00782238" w:rsidRDefault="00851198" w:rsidP="00076908">
            <w:pPr>
              <w:jc w:val="center"/>
              <w:rPr>
                <w:rFonts w:ascii="Arial" w:hAnsi="Arial" w:cs="Arial"/>
                <w:sz w:val="20"/>
                <w:szCs w:val="20"/>
                <w:lang w:val="de-DE"/>
              </w:rPr>
            </w:pPr>
            <w:r w:rsidRPr="00A2023B">
              <w:rPr>
                <w:rFonts w:ascii="Arial" w:hAnsi="Arial" w:cs="Arial"/>
                <w:sz w:val="20"/>
                <w:szCs w:val="20"/>
                <w:lang w:val="de-DE"/>
              </w:rPr>
              <w:t>-18.35161</w:t>
            </w:r>
            <w:r>
              <w:rPr>
                <w:rFonts w:ascii="Arial" w:hAnsi="Arial" w:cs="Arial"/>
                <w:sz w:val="20"/>
                <w:szCs w:val="20"/>
                <w:lang w:val="de-DE"/>
              </w:rPr>
              <w:t xml:space="preserve"> ***</w:t>
            </w:r>
          </w:p>
          <w:p w:rsidR="00851198" w:rsidRPr="00782238" w:rsidRDefault="00851198" w:rsidP="00076908">
            <w:pPr>
              <w:jc w:val="center"/>
              <w:rPr>
                <w:rFonts w:ascii="Arial" w:hAnsi="Arial" w:cs="Arial"/>
                <w:sz w:val="20"/>
                <w:szCs w:val="20"/>
                <w:lang w:val="de-DE"/>
              </w:rPr>
            </w:pPr>
            <w:r w:rsidRPr="00782238">
              <w:rPr>
                <w:rFonts w:ascii="Arial" w:hAnsi="Arial" w:cs="Arial"/>
                <w:sz w:val="16"/>
                <w:szCs w:val="16"/>
                <w:lang w:val="de-DE"/>
              </w:rPr>
              <w:t xml:space="preserve"> (</w:t>
            </w:r>
            <w:r w:rsidRPr="00A2023B">
              <w:rPr>
                <w:rFonts w:ascii="Arial" w:hAnsi="Arial" w:cs="Arial"/>
                <w:sz w:val="16"/>
                <w:szCs w:val="16"/>
                <w:lang w:val="de-DE"/>
              </w:rPr>
              <w:t>5.869164</w:t>
            </w:r>
            <w:r w:rsidRPr="00782238">
              <w:rPr>
                <w:rFonts w:ascii="Arial" w:hAnsi="Arial" w:cs="Arial"/>
                <w:sz w:val="16"/>
                <w:szCs w:val="16"/>
                <w:lang w:val="de-DE"/>
              </w:rPr>
              <w:t>)</w:t>
            </w:r>
          </w:p>
        </w:tc>
        <w:tc>
          <w:tcPr>
            <w:tcW w:w="1823" w:type="dxa"/>
            <w:vAlign w:val="center"/>
          </w:tcPr>
          <w:p w:rsidR="00851198" w:rsidRPr="00782238" w:rsidRDefault="00901B79" w:rsidP="00E106A5">
            <w:pPr>
              <w:jc w:val="center"/>
              <w:rPr>
                <w:rFonts w:ascii="Arial" w:hAnsi="Arial" w:cs="Arial"/>
                <w:sz w:val="20"/>
                <w:szCs w:val="20"/>
                <w:lang w:val="de-DE"/>
              </w:rPr>
            </w:pPr>
            <w:r w:rsidRPr="00901B79">
              <w:rPr>
                <w:rFonts w:ascii="Arial" w:hAnsi="Arial" w:cs="Arial"/>
                <w:sz w:val="20"/>
                <w:szCs w:val="20"/>
                <w:lang w:val="de-DE"/>
              </w:rPr>
              <w:t>-15.81085</w:t>
            </w:r>
            <w:r>
              <w:rPr>
                <w:rFonts w:ascii="Arial" w:hAnsi="Arial" w:cs="Arial"/>
                <w:sz w:val="20"/>
                <w:szCs w:val="20"/>
                <w:lang w:val="de-DE"/>
              </w:rPr>
              <w:t xml:space="preserve"> **</w:t>
            </w:r>
          </w:p>
          <w:p w:rsidR="00851198" w:rsidRPr="00A51255" w:rsidRDefault="00851198" w:rsidP="00E106A5">
            <w:pPr>
              <w:jc w:val="center"/>
              <w:rPr>
                <w:lang w:val="en-US"/>
              </w:rPr>
            </w:pPr>
            <w:r w:rsidRPr="00782238">
              <w:rPr>
                <w:rFonts w:ascii="Arial" w:hAnsi="Arial" w:cs="Arial"/>
                <w:sz w:val="16"/>
                <w:szCs w:val="16"/>
                <w:lang w:val="de-DE"/>
              </w:rPr>
              <w:t xml:space="preserve"> (</w:t>
            </w:r>
            <w:r w:rsidR="00901B79" w:rsidRPr="00901B79">
              <w:rPr>
                <w:rFonts w:ascii="Arial" w:hAnsi="Arial" w:cs="Arial"/>
                <w:sz w:val="16"/>
                <w:szCs w:val="16"/>
                <w:lang w:val="de-DE"/>
              </w:rPr>
              <w:t>7.533660</w:t>
            </w:r>
            <w:r w:rsidRPr="00782238">
              <w:rPr>
                <w:rFonts w:ascii="Arial" w:hAnsi="Arial" w:cs="Arial"/>
                <w:sz w:val="16"/>
                <w:szCs w:val="16"/>
                <w:lang w:val="de-DE"/>
              </w:rPr>
              <w:t>)</w:t>
            </w:r>
          </w:p>
        </w:tc>
        <w:tc>
          <w:tcPr>
            <w:tcW w:w="1677" w:type="dxa"/>
            <w:vAlign w:val="center"/>
          </w:tcPr>
          <w:p w:rsidR="00851198" w:rsidRPr="00782238" w:rsidRDefault="00D56C41" w:rsidP="00B76BD7">
            <w:pPr>
              <w:jc w:val="center"/>
              <w:rPr>
                <w:rFonts w:ascii="Arial" w:hAnsi="Arial" w:cs="Arial"/>
                <w:sz w:val="20"/>
                <w:szCs w:val="20"/>
                <w:lang w:val="de-DE"/>
              </w:rPr>
            </w:pPr>
            <w:r w:rsidRPr="00D56C41">
              <w:rPr>
                <w:rFonts w:ascii="Arial" w:hAnsi="Arial" w:cs="Arial"/>
                <w:sz w:val="20"/>
                <w:szCs w:val="20"/>
                <w:lang w:val="de-DE"/>
              </w:rPr>
              <w:t>-17.55960</w:t>
            </w:r>
            <w:r>
              <w:rPr>
                <w:rFonts w:ascii="Arial" w:hAnsi="Arial" w:cs="Arial"/>
                <w:sz w:val="20"/>
                <w:szCs w:val="20"/>
                <w:lang w:val="de-DE"/>
              </w:rPr>
              <w:t xml:space="preserve"> **</w:t>
            </w:r>
          </w:p>
          <w:p w:rsidR="00851198" w:rsidRPr="00A51255" w:rsidRDefault="00851198" w:rsidP="00B76BD7">
            <w:pPr>
              <w:jc w:val="center"/>
              <w:rPr>
                <w:lang w:val="en-US"/>
              </w:rPr>
            </w:pPr>
            <w:r w:rsidRPr="00782238">
              <w:rPr>
                <w:rFonts w:ascii="Arial" w:hAnsi="Arial" w:cs="Arial"/>
                <w:sz w:val="16"/>
                <w:szCs w:val="16"/>
                <w:lang w:val="de-DE"/>
              </w:rPr>
              <w:t xml:space="preserve"> (</w:t>
            </w:r>
            <w:r w:rsidR="00A82E36" w:rsidRPr="00A82E36">
              <w:rPr>
                <w:rFonts w:ascii="Arial" w:hAnsi="Arial" w:cs="Arial"/>
                <w:sz w:val="16"/>
                <w:szCs w:val="16"/>
                <w:lang w:val="de-DE"/>
              </w:rPr>
              <w:t>7.893278</w:t>
            </w:r>
            <w:r w:rsidRPr="00782238">
              <w:rPr>
                <w:rFonts w:ascii="Arial" w:hAnsi="Arial" w:cs="Arial"/>
                <w:sz w:val="16"/>
                <w:szCs w:val="16"/>
                <w:lang w:val="de-DE"/>
              </w:rPr>
              <w:t>)</w:t>
            </w:r>
          </w:p>
        </w:tc>
        <w:tc>
          <w:tcPr>
            <w:tcW w:w="1716" w:type="dxa"/>
            <w:vAlign w:val="center"/>
          </w:tcPr>
          <w:p w:rsidR="00851198" w:rsidRPr="00782238" w:rsidRDefault="00851198" w:rsidP="00076908">
            <w:pPr>
              <w:jc w:val="center"/>
              <w:rPr>
                <w:rFonts w:ascii="Arial" w:hAnsi="Arial" w:cs="Arial"/>
                <w:sz w:val="20"/>
                <w:szCs w:val="20"/>
                <w:lang w:val="de-DE"/>
              </w:rPr>
            </w:pPr>
            <w:r w:rsidRPr="00B04AA1">
              <w:rPr>
                <w:rFonts w:ascii="Arial" w:hAnsi="Arial" w:cs="Arial"/>
                <w:sz w:val="20"/>
                <w:szCs w:val="20"/>
                <w:lang w:val="de-DE"/>
              </w:rPr>
              <w:t>-21.96662</w:t>
            </w:r>
            <w:r>
              <w:rPr>
                <w:rFonts w:ascii="Arial" w:hAnsi="Arial" w:cs="Arial"/>
                <w:sz w:val="20"/>
                <w:szCs w:val="20"/>
                <w:lang w:val="de-DE"/>
              </w:rPr>
              <w:t xml:space="preserve"> ***</w:t>
            </w:r>
          </w:p>
          <w:p w:rsidR="00851198" w:rsidRPr="00A51255" w:rsidRDefault="00851198" w:rsidP="00076908">
            <w:pPr>
              <w:jc w:val="center"/>
              <w:rPr>
                <w:lang w:val="en-US"/>
              </w:rPr>
            </w:pPr>
            <w:r w:rsidRPr="00782238">
              <w:rPr>
                <w:rFonts w:ascii="Arial" w:hAnsi="Arial" w:cs="Arial"/>
                <w:sz w:val="16"/>
                <w:szCs w:val="16"/>
                <w:lang w:val="de-DE"/>
              </w:rPr>
              <w:t xml:space="preserve"> (</w:t>
            </w:r>
            <w:r w:rsidRPr="00B04AA1">
              <w:rPr>
                <w:rFonts w:ascii="Arial" w:hAnsi="Arial" w:cs="Arial"/>
                <w:sz w:val="16"/>
                <w:szCs w:val="16"/>
                <w:lang w:val="de-DE"/>
              </w:rPr>
              <w:t>5.794426</w:t>
            </w:r>
            <w:r w:rsidRPr="00782238">
              <w:rPr>
                <w:rFonts w:ascii="Arial" w:hAnsi="Arial" w:cs="Arial"/>
                <w:sz w:val="16"/>
                <w:szCs w:val="16"/>
                <w:lang w:val="de-DE"/>
              </w:rPr>
              <w:t>)</w:t>
            </w:r>
          </w:p>
        </w:tc>
      </w:tr>
      <w:tr w:rsidR="007A3E86" w:rsidRPr="00647145" w:rsidTr="007A3E86">
        <w:trPr>
          <w:jc w:val="center"/>
        </w:trPr>
        <w:tc>
          <w:tcPr>
            <w:tcW w:w="247" w:type="dxa"/>
            <w:vAlign w:val="center"/>
          </w:tcPr>
          <w:p w:rsidR="0014213E" w:rsidRPr="00A51255" w:rsidRDefault="0014213E" w:rsidP="00D63A00">
            <w:pPr>
              <w:spacing w:line="360" w:lineRule="auto"/>
              <w:jc w:val="center"/>
              <w:rPr>
                <w:rFonts w:ascii="Arial" w:hAnsi="Arial" w:cs="Arial"/>
                <w:sz w:val="16"/>
                <w:szCs w:val="16"/>
                <w:lang w:val="de-DE"/>
              </w:rPr>
            </w:pPr>
          </w:p>
        </w:tc>
        <w:tc>
          <w:tcPr>
            <w:tcW w:w="2037" w:type="dxa"/>
            <w:vAlign w:val="center"/>
          </w:tcPr>
          <w:p w:rsidR="0014213E" w:rsidRPr="004F48F0" w:rsidRDefault="0014213E" w:rsidP="00D63A00">
            <w:pPr>
              <w:jc w:val="center"/>
              <w:rPr>
                <w:rFonts w:ascii="Arial" w:hAnsi="Arial" w:cs="Arial"/>
                <w:b/>
                <w:sz w:val="18"/>
                <w:szCs w:val="18"/>
                <w:lang w:val="de-DE"/>
              </w:rPr>
            </w:pPr>
            <w:r w:rsidRPr="004F48F0">
              <w:rPr>
                <w:rFonts w:ascii="Arial" w:hAnsi="Arial" w:cs="Arial"/>
                <w:b/>
                <w:sz w:val="18"/>
                <w:szCs w:val="18"/>
                <w:lang w:val="de-DE"/>
              </w:rPr>
              <w:t>Unexpected announcement:</w:t>
            </w:r>
          </w:p>
        </w:tc>
        <w:tc>
          <w:tcPr>
            <w:tcW w:w="1639" w:type="dxa"/>
            <w:vAlign w:val="center"/>
          </w:tcPr>
          <w:p w:rsidR="0014213E" w:rsidRPr="004F48F0" w:rsidRDefault="0014213E" w:rsidP="00D63A00">
            <w:pPr>
              <w:jc w:val="center"/>
              <w:rPr>
                <w:rFonts w:ascii="Arial" w:hAnsi="Arial" w:cs="Arial"/>
                <w:b/>
                <w:sz w:val="18"/>
                <w:szCs w:val="18"/>
                <w:lang w:val="de-DE"/>
              </w:rPr>
            </w:pPr>
            <w:r w:rsidRPr="004F48F0">
              <w:rPr>
                <w:rFonts w:ascii="Arial" w:hAnsi="Arial" w:cs="Arial"/>
                <w:b/>
                <w:sz w:val="18"/>
                <w:szCs w:val="18"/>
                <w:lang w:val="de-DE"/>
              </w:rPr>
              <w:t>Money Supply</w:t>
            </w:r>
          </w:p>
          <w:p w:rsidR="0014213E" w:rsidRPr="00CA2C53" w:rsidRDefault="0014213E" w:rsidP="00D63A00">
            <w:pPr>
              <w:jc w:val="center"/>
              <w:rPr>
                <w:rFonts w:ascii="Arial" w:hAnsi="Arial" w:cs="Arial"/>
                <w:b/>
                <w:sz w:val="2"/>
                <w:szCs w:val="2"/>
                <w:lang w:val="de-DE"/>
              </w:rPr>
            </w:pPr>
          </w:p>
          <w:p w:rsidR="0014213E" w:rsidRPr="004F48F0" w:rsidRDefault="0014213E" w:rsidP="00D63A00">
            <w:pPr>
              <w:jc w:val="center"/>
              <w:rPr>
                <w:rFonts w:ascii="Arial" w:hAnsi="Arial" w:cs="Arial"/>
                <w:b/>
                <w:sz w:val="20"/>
                <w:szCs w:val="20"/>
                <w:lang w:val="de-DE"/>
              </w:rPr>
            </w:pPr>
            <w:r w:rsidRPr="009F1BCD">
              <w:rPr>
                <w:b/>
                <w:sz w:val="20"/>
                <w:szCs w:val="20"/>
                <w:lang w:val="de-DE"/>
              </w:rPr>
              <w:t>(</w:t>
            </w:r>
            <w:r w:rsidRPr="004F48F0">
              <w:rPr>
                <w:b/>
                <w:i/>
                <w:sz w:val="20"/>
                <w:szCs w:val="20"/>
                <w:lang w:val="de-DE"/>
              </w:rPr>
              <w:t>MS</w:t>
            </w:r>
            <w:r w:rsidRPr="009F1BCD">
              <w:rPr>
                <w:b/>
                <w:sz w:val="20"/>
                <w:szCs w:val="20"/>
                <w:lang w:val="de-DE"/>
              </w:rPr>
              <w:t>)</w:t>
            </w:r>
          </w:p>
        </w:tc>
        <w:tc>
          <w:tcPr>
            <w:tcW w:w="1823" w:type="dxa"/>
            <w:vAlign w:val="center"/>
          </w:tcPr>
          <w:p w:rsidR="0014213E" w:rsidRDefault="0014213E" w:rsidP="00D63A00">
            <w:pPr>
              <w:jc w:val="center"/>
              <w:rPr>
                <w:rFonts w:ascii="Arial" w:hAnsi="Arial" w:cs="Arial"/>
                <w:b/>
                <w:sz w:val="18"/>
                <w:szCs w:val="18"/>
                <w:lang w:val="de-DE"/>
              </w:rPr>
            </w:pPr>
            <w:r w:rsidRPr="004F48F0">
              <w:rPr>
                <w:rFonts w:ascii="Arial" w:hAnsi="Arial" w:cs="Arial"/>
                <w:b/>
                <w:sz w:val="18"/>
                <w:szCs w:val="18"/>
                <w:lang w:val="de-DE"/>
              </w:rPr>
              <w:t>Reserve Money</w:t>
            </w:r>
          </w:p>
          <w:p w:rsidR="0014213E" w:rsidRPr="00CA2C53" w:rsidRDefault="0014213E" w:rsidP="00D63A00">
            <w:pPr>
              <w:jc w:val="center"/>
              <w:rPr>
                <w:rFonts w:ascii="Arial" w:hAnsi="Arial" w:cs="Arial"/>
                <w:b/>
                <w:sz w:val="2"/>
                <w:szCs w:val="2"/>
                <w:lang w:val="de-DE"/>
              </w:rPr>
            </w:pPr>
          </w:p>
          <w:p w:rsidR="0014213E" w:rsidRPr="004F48F0" w:rsidRDefault="0014213E" w:rsidP="00D63A00">
            <w:pPr>
              <w:jc w:val="center"/>
              <w:rPr>
                <w:b/>
                <w:i/>
                <w:sz w:val="20"/>
                <w:szCs w:val="20"/>
                <w:lang w:val="en-US"/>
              </w:rPr>
            </w:pPr>
            <w:r w:rsidRPr="009F1BCD">
              <w:rPr>
                <w:b/>
                <w:sz w:val="20"/>
                <w:szCs w:val="20"/>
                <w:lang w:val="en-US"/>
              </w:rPr>
              <w:t>(</w:t>
            </w:r>
            <w:r w:rsidRPr="004F48F0">
              <w:rPr>
                <w:b/>
                <w:i/>
                <w:sz w:val="20"/>
                <w:szCs w:val="20"/>
                <w:lang w:val="en-US"/>
              </w:rPr>
              <w:t>RM</w:t>
            </w:r>
            <w:r w:rsidRPr="009F1BCD">
              <w:rPr>
                <w:b/>
                <w:sz w:val="20"/>
                <w:szCs w:val="20"/>
                <w:lang w:val="en-US"/>
              </w:rPr>
              <w:t>)</w:t>
            </w:r>
          </w:p>
        </w:tc>
        <w:tc>
          <w:tcPr>
            <w:tcW w:w="1677" w:type="dxa"/>
            <w:vAlign w:val="center"/>
          </w:tcPr>
          <w:p w:rsidR="0014213E" w:rsidRDefault="0014213E" w:rsidP="00D63A00">
            <w:pPr>
              <w:jc w:val="center"/>
              <w:rPr>
                <w:rFonts w:ascii="Arial" w:hAnsi="Arial" w:cs="Arial"/>
                <w:b/>
                <w:sz w:val="18"/>
                <w:szCs w:val="18"/>
                <w:lang w:val="de-DE"/>
              </w:rPr>
            </w:pPr>
            <w:r>
              <w:rPr>
                <w:rFonts w:ascii="Arial" w:hAnsi="Arial" w:cs="Arial"/>
                <w:b/>
                <w:sz w:val="18"/>
                <w:szCs w:val="18"/>
                <w:lang w:val="de-DE"/>
              </w:rPr>
              <w:t>Balance of Payments</w:t>
            </w:r>
          </w:p>
          <w:p w:rsidR="0014213E" w:rsidRPr="00CA2C53" w:rsidRDefault="0014213E" w:rsidP="00D63A00">
            <w:pPr>
              <w:jc w:val="center"/>
              <w:rPr>
                <w:b/>
                <w:i/>
                <w:sz w:val="2"/>
                <w:szCs w:val="2"/>
                <w:lang w:val="en-US"/>
              </w:rPr>
            </w:pPr>
          </w:p>
          <w:p w:rsidR="0014213E" w:rsidRPr="004F48F0" w:rsidRDefault="0014213E" w:rsidP="00D63A00">
            <w:pPr>
              <w:jc w:val="center"/>
              <w:rPr>
                <w:b/>
                <w:i/>
                <w:sz w:val="20"/>
                <w:szCs w:val="20"/>
                <w:lang w:val="en-US"/>
              </w:rPr>
            </w:pPr>
            <w:r w:rsidRPr="009F1BCD">
              <w:rPr>
                <w:b/>
                <w:sz w:val="20"/>
                <w:szCs w:val="20"/>
                <w:lang w:val="en-US"/>
              </w:rPr>
              <w:t>(</w:t>
            </w:r>
            <w:r w:rsidRPr="004F48F0">
              <w:rPr>
                <w:b/>
                <w:i/>
                <w:sz w:val="20"/>
                <w:szCs w:val="20"/>
                <w:lang w:val="en-US"/>
              </w:rPr>
              <w:t>BOP</w:t>
            </w:r>
            <w:r w:rsidRPr="009F1BCD">
              <w:rPr>
                <w:b/>
                <w:sz w:val="20"/>
                <w:szCs w:val="20"/>
                <w:lang w:val="en-US"/>
              </w:rPr>
              <w:t>)</w:t>
            </w:r>
          </w:p>
        </w:tc>
        <w:tc>
          <w:tcPr>
            <w:tcW w:w="1716" w:type="dxa"/>
            <w:vAlign w:val="center"/>
          </w:tcPr>
          <w:p w:rsidR="0014213E" w:rsidRPr="009F1BCD" w:rsidRDefault="0014213E" w:rsidP="00EF2553">
            <w:pPr>
              <w:jc w:val="center"/>
              <w:rPr>
                <w:b/>
                <w:i/>
                <w:sz w:val="20"/>
                <w:szCs w:val="20"/>
                <w:lang w:val="en-US"/>
              </w:rPr>
            </w:pPr>
            <w:r w:rsidRPr="000E3558">
              <w:rPr>
                <w:rFonts w:ascii="Arial" w:hAnsi="Arial" w:cs="Arial"/>
                <w:b/>
                <w:sz w:val="18"/>
                <w:szCs w:val="18"/>
                <w:lang w:val="en-US"/>
              </w:rPr>
              <w:t>Liquid Assets and Liabilities (</w:t>
            </w:r>
            <w:r w:rsidRPr="009F1BCD">
              <w:rPr>
                <w:b/>
                <w:i/>
                <w:sz w:val="20"/>
                <w:szCs w:val="20"/>
                <w:lang w:val="en-US"/>
              </w:rPr>
              <w:t>AL</w:t>
            </w:r>
            <w:r w:rsidRPr="009F1BCD">
              <w:rPr>
                <w:b/>
                <w:sz w:val="20"/>
                <w:szCs w:val="20"/>
                <w:lang w:val="en-US"/>
              </w:rPr>
              <w:t>)</w:t>
            </w:r>
          </w:p>
        </w:tc>
      </w:tr>
      <w:tr w:rsidR="007A3E86" w:rsidRPr="00A51255" w:rsidTr="007A3E86">
        <w:trPr>
          <w:jc w:val="center"/>
        </w:trPr>
        <w:tc>
          <w:tcPr>
            <w:tcW w:w="247" w:type="dxa"/>
            <w:vAlign w:val="center"/>
          </w:tcPr>
          <w:p w:rsidR="00851198" w:rsidRPr="00A51255" w:rsidRDefault="00C65448" w:rsidP="00D63A00">
            <w:pPr>
              <w:spacing w:line="360" w:lineRule="auto"/>
              <w:jc w:val="center"/>
              <w:rPr>
                <w:rFonts w:ascii="Arial" w:hAnsi="Arial" w:cs="Arial"/>
                <w:sz w:val="16"/>
                <w:szCs w:val="16"/>
                <w:lang w:val="de-DE"/>
              </w:rPr>
            </w:pPr>
            <w:r>
              <w:rPr>
                <w:rFonts w:ascii="Arial" w:hAnsi="Arial" w:cs="Arial"/>
                <w:sz w:val="16"/>
                <w:szCs w:val="16"/>
                <w:lang w:val="de-DE"/>
              </w:rPr>
              <w:t>(</w:t>
            </w:r>
            <w:r w:rsidR="00851198">
              <w:rPr>
                <w:rFonts w:ascii="Arial" w:hAnsi="Arial" w:cs="Arial"/>
                <w:sz w:val="16"/>
                <w:szCs w:val="16"/>
                <w:lang w:val="de-DE"/>
              </w:rPr>
              <w:t>3)</w:t>
            </w:r>
          </w:p>
        </w:tc>
        <w:tc>
          <w:tcPr>
            <w:tcW w:w="2037" w:type="dxa"/>
            <w:vAlign w:val="center"/>
          </w:tcPr>
          <w:p w:rsidR="0090662F" w:rsidRDefault="00851198" w:rsidP="0090662F">
            <w:pPr>
              <w:ind w:left="123"/>
              <w:jc w:val="center"/>
            </w:pPr>
            <w:r w:rsidRPr="00B3604A">
              <w:rPr>
                <w:position w:val="-12"/>
              </w:rPr>
              <w:object w:dxaOrig="279" w:dyaOrig="360">
                <v:shape id="_x0000_i1131" type="#_x0000_t75" style="width:12.85pt;height:18pt" o:ole="">
                  <v:imagedata r:id="rId100" o:title=""/>
                </v:shape>
                <o:OLEObject Type="Embed" ProgID="Equation.3" ShapeID="_x0000_i1131" DrawAspect="Content" ObjectID="_1507543478" r:id="rId172"/>
              </w:object>
            </w:r>
          </w:p>
          <w:p w:rsidR="00851198" w:rsidRPr="004F48F0" w:rsidRDefault="00851198" w:rsidP="0090662F">
            <w:pPr>
              <w:ind w:left="123"/>
              <w:jc w:val="center"/>
              <w:rPr>
                <w:b/>
                <w:sz w:val="18"/>
                <w:szCs w:val="18"/>
                <w:lang w:val="de-DE"/>
              </w:rPr>
            </w:pPr>
            <w:r>
              <w:rPr>
                <w:rFonts w:ascii="Arial" w:hAnsi="Arial" w:cs="Arial"/>
                <w:b/>
                <w:sz w:val="18"/>
                <w:szCs w:val="18"/>
                <w:lang w:val="de-DE"/>
              </w:rPr>
              <w:t xml:space="preserve">strongly </w:t>
            </w:r>
            <w:r w:rsidRPr="004F48F0">
              <w:rPr>
                <w:rFonts w:ascii="Arial" w:hAnsi="Arial" w:cs="Arial"/>
                <w:b/>
                <w:sz w:val="18"/>
                <w:szCs w:val="18"/>
                <w:lang w:val="de-DE"/>
              </w:rPr>
              <w:t>positive</w:t>
            </w:r>
          </w:p>
        </w:tc>
        <w:tc>
          <w:tcPr>
            <w:tcW w:w="1639" w:type="dxa"/>
            <w:vAlign w:val="center"/>
          </w:tcPr>
          <w:p w:rsidR="00851198" w:rsidRPr="00782238" w:rsidRDefault="00851198" w:rsidP="00076908">
            <w:pPr>
              <w:jc w:val="center"/>
              <w:rPr>
                <w:rFonts w:ascii="Arial" w:hAnsi="Arial" w:cs="Arial"/>
                <w:sz w:val="20"/>
                <w:szCs w:val="20"/>
                <w:lang w:val="de-DE"/>
              </w:rPr>
            </w:pPr>
            <w:r w:rsidRPr="000B3F0F">
              <w:rPr>
                <w:rFonts w:ascii="Arial" w:hAnsi="Arial" w:cs="Arial"/>
                <w:sz w:val="20"/>
                <w:szCs w:val="20"/>
                <w:lang w:val="de-DE"/>
              </w:rPr>
              <w:t>-13.32158</w:t>
            </w:r>
          </w:p>
          <w:p w:rsidR="00851198" w:rsidRPr="00782238" w:rsidRDefault="00851198" w:rsidP="00076908">
            <w:pPr>
              <w:jc w:val="center"/>
              <w:rPr>
                <w:rFonts w:ascii="Arial" w:hAnsi="Arial" w:cs="Arial"/>
                <w:sz w:val="20"/>
                <w:szCs w:val="20"/>
                <w:lang w:val="de-DE"/>
              </w:rPr>
            </w:pPr>
            <w:r w:rsidRPr="00782238">
              <w:rPr>
                <w:rFonts w:ascii="Arial" w:hAnsi="Arial" w:cs="Arial"/>
                <w:sz w:val="16"/>
                <w:szCs w:val="16"/>
                <w:lang w:val="de-DE"/>
              </w:rPr>
              <w:t xml:space="preserve"> (</w:t>
            </w:r>
            <w:r w:rsidRPr="000B3F0F">
              <w:rPr>
                <w:rFonts w:ascii="Arial" w:hAnsi="Arial" w:cs="Arial"/>
                <w:sz w:val="16"/>
                <w:szCs w:val="16"/>
                <w:lang w:val="de-DE"/>
              </w:rPr>
              <w:t>14.26268</w:t>
            </w:r>
            <w:r w:rsidRPr="00782238">
              <w:rPr>
                <w:rFonts w:ascii="Arial" w:hAnsi="Arial" w:cs="Arial"/>
                <w:sz w:val="16"/>
                <w:szCs w:val="16"/>
                <w:lang w:val="de-DE"/>
              </w:rPr>
              <w:t>)</w:t>
            </w:r>
          </w:p>
        </w:tc>
        <w:tc>
          <w:tcPr>
            <w:tcW w:w="1823" w:type="dxa"/>
            <w:vAlign w:val="center"/>
          </w:tcPr>
          <w:p w:rsidR="00851198" w:rsidRPr="00782238" w:rsidRDefault="00901B79" w:rsidP="00E106A5">
            <w:pPr>
              <w:jc w:val="center"/>
              <w:rPr>
                <w:rFonts w:ascii="Arial" w:hAnsi="Arial" w:cs="Arial"/>
                <w:sz w:val="20"/>
                <w:szCs w:val="20"/>
                <w:lang w:val="de-DE"/>
              </w:rPr>
            </w:pPr>
            <w:r w:rsidRPr="00901B79">
              <w:rPr>
                <w:rFonts w:ascii="Arial" w:hAnsi="Arial" w:cs="Arial"/>
                <w:sz w:val="20"/>
                <w:szCs w:val="20"/>
                <w:lang w:val="de-DE"/>
              </w:rPr>
              <w:t>-0.568648</w:t>
            </w:r>
          </w:p>
          <w:p w:rsidR="00851198" w:rsidRPr="00A51255" w:rsidRDefault="00851198" w:rsidP="00E106A5">
            <w:pPr>
              <w:jc w:val="center"/>
              <w:rPr>
                <w:lang w:val="en-US"/>
              </w:rPr>
            </w:pPr>
            <w:r w:rsidRPr="00782238">
              <w:rPr>
                <w:rFonts w:ascii="Arial" w:hAnsi="Arial" w:cs="Arial"/>
                <w:sz w:val="16"/>
                <w:szCs w:val="16"/>
                <w:lang w:val="de-DE"/>
              </w:rPr>
              <w:t xml:space="preserve"> (</w:t>
            </w:r>
            <w:r w:rsidR="00901B79" w:rsidRPr="00901B79">
              <w:rPr>
                <w:rFonts w:ascii="Arial" w:hAnsi="Arial" w:cs="Arial"/>
                <w:sz w:val="16"/>
                <w:szCs w:val="16"/>
                <w:lang w:val="de-DE"/>
              </w:rPr>
              <w:t>19.10034</w:t>
            </w:r>
            <w:r w:rsidRPr="00782238">
              <w:rPr>
                <w:rFonts w:ascii="Arial" w:hAnsi="Arial" w:cs="Arial"/>
                <w:sz w:val="16"/>
                <w:szCs w:val="16"/>
                <w:lang w:val="de-DE"/>
              </w:rPr>
              <w:t>)</w:t>
            </w:r>
          </w:p>
        </w:tc>
        <w:tc>
          <w:tcPr>
            <w:tcW w:w="1677" w:type="dxa"/>
            <w:vAlign w:val="center"/>
          </w:tcPr>
          <w:p w:rsidR="00851198" w:rsidRPr="00782238" w:rsidRDefault="00E61DDF" w:rsidP="00E106A5">
            <w:pPr>
              <w:jc w:val="center"/>
              <w:rPr>
                <w:rFonts w:ascii="Arial" w:hAnsi="Arial" w:cs="Arial"/>
                <w:sz w:val="20"/>
                <w:szCs w:val="20"/>
                <w:lang w:val="de-DE"/>
              </w:rPr>
            </w:pPr>
            <w:r w:rsidRPr="00E61DDF">
              <w:rPr>
                <w:rFonts w:ascii="Arial" w:hAnsi="Arial" w:cs="Arial"/>
                <w:sz w:val="20"/>
                <w:szCs w:val="20"/>
                <w:lang w:val="de-DE"/>
              </w:rPr>
              <w:t>-63.43110</w:t>
            </w:r>
          </w:p>
          <w:p w:rsidR="00851198" w:rsidRPr="00A51255" w:rsidRDefault="00851198" w:rsidP="00E106A5">
            <w:pPr>
              <w:jc w:val="center"/>
              <w:rPr>
                <w:lang w:val="en-US"/>
              </w:rPr>
            </w:pPr>
            <w:r w:rsidRPr="00782238">
              <w:rPr>
                <w:rFonts w:ascii="Arial" w:hAnsi="Arial" w:cs="Arial"/>
                <w:sz w:val="16"/>
                <w:szCs w:val="16"/>
                <w:lang w:val="de-DE"/>
              </w:rPr>
              <w:t xml:space="preserve"> (</w:t>
            </w:r>
            <w:r w:rsidR="00E61DDF" w:rsidRPr="00E61DDF">
              <w:rPr>
                <w:rFonts w:ascii="Arial" w:hAnsi="Arial" w:cs="Arial"/>
                <w:sz w:val="16"/>
                <w:szCs w:val="16"/>
                <w:lang w:val="de-DE"/>
              </w:rPr>
              <w:t>57.52240</w:t>
            </w:r>
            <w:r w:rsidRPr="00782238">
              <w:rPr>
                <w:rFonts w:ascii="Arial" w:hAnsi="Arial" w:cs="Arial"/>
                <w:sz w:val="16"/>
                <w:szCs w:val="16"/>
                <w:lang w:val="de-DE"/>
              </w:rPr>
              <w:t>)</w:t>
            </w:r>
          </w:p>
        </w:tc>
        <w:tc>
          <w:tcPr>
            <w:tcW w:w="1716" w:type="dxa"/>
            <w:vAlign w:val="center"/>
          </w:tcPr>
          <w:p w:rsidR="00851198" w:rsidRPr="00782238" w:rsidRDefault="00851198" w:rsidP="00076908">
            <w:pPr>
              <w:jc w:val="center"/>
              <w:rPr>
                <w:rFonts w:ascii="Arial" w:hAnsi="Arial" w:cs="Arial"/>
                <w:sz w:val="20"/>
                <w:szCs w:val="20"/>
                <w:lang w:val="de-DE"/>
              </w:rPr>
            </w:pPr>
            <w:r w:rsidRPr="00017E08">
              <w:rPr>
                <w:rFonts w:ascii="Arial" w:hAnsi="Arial" w:cs="Arial"/>
                <w:sz w:val="20"/>
                <w:szCs w:val="20"/>
                <w:lang w:val="de-DE"/>
              </w:rPr>
              <w:t>-2.896642</w:t>
            </w:r>
          </w:p>
          <w:p w:rsidR="00851198" w:rsidRPr="00A51255" w:rsidRDefault="00851198" w:rsidP="00076908">
            <w:pPr>
              <w:jc w:val="center"/>
              <w:rPr>
                <w:lang w:val="en-US"/>
              </w:rPr>
            </w:pPr>
            <w:r w:rsidRPr="00782238">
              <w:rPr>
                <w:rFonts w:ascii="Arial" w:hAnsi="Arial" w:cs="Arial"/>
                <w:sz w:val="16"/>
                <w:szCs w:val="16"/>
                <w:lang w:val="de-DE"/>
              </w:rPr>
              <w:t xml:space="preserve"> (</w:t>
            </w:r>
            <w:r w:rsidRPr="00017E08">
              <w:rPr>
                <w:rFonts w:ascii="Arial" w:hAnsi="Arial" w:cs="Arial"/>
                <w:sz w:val="16"/>
                <w:szCs w:val="16"/>
                <w:lang w:val="de-DE"/>
              </w:rPr>
              <w:t>3.456016</w:t>
            </w:r>
            <w:r w:rsidRPr="00782238">
              <w:rPr>
                <w:rFonts w:ascii="Arial" w:hAnsi="Arial" w:cs="Arial"/>
                <w:sz w:val="16"/>
                <w:szCs w:val="16"/>
                <w:lang w:val="de-DE"/>
              </w:rPr>
              <w:t>)</w:t>
            </w:r>
          </w:p>
        </w:tc>
      </w:tr>
      <w:tr w:rsidR="007A3E86" w:rsidRPr="00A51255" w:rsidTr="007A3E86">
        <w:trPr>
          <w:jc w:val="center"/>
        </w:trPr>
        <w:tc>
          <w:tcPr>
            <w:tcW w:w="247" w:type="dxa"/>
            <w:vAlign w:val="center"/>
          </w:tcPr>
          <w:p w:rsidR="00851198" w:rsidRPr="00A51255" w:rsidRDefault="00C65448" w:rsidP="00D63A00">
            <w:pPr>
              <w:spacing w:line="360" w:lineRule="auto"/>
              <w:jc w:val="center"/>
              <w:rPr>
                <w:rFonts w:ascii="Arial" w:hAnsi="Arial" w:cs="Arial"/>
                <w:sz w:val="16"/>
                <w:szCs w:val="16"/>
                <w:lang w:val="de-DE"/>
              </w:rPr>
            </w:pPr>
            <w:r>
              <w:rPr>
                <w:rFonts w:ascii="Arial" w:hAnsi="Arial" w:cs="Arial"/>
                <w:sz w:val="16"/>
                <w:szCs w:val="16"/>
                <w:lang w:val="de-DE"/>
              </w:rPr>
              <w:t>(</w:t>
            </w:r>
            <w:r w:rsidR="00851198">
              <w:rPr>
                <w:rFonts w:ascii="Arial" w:hAnsi="Arial" w:cs="Arial"/>
                <w:sz w:val="16"/>
                <w:szCs w:val="16"/>
                <w:lang w:val="de-DE"/>
              </w:rPr>
              <w:t>3)</w:t>
            </w:r>
          </w:p>
        </w:tc>
        <w:tc>
          <w:tcPr>
            <w:tcW w:w="2037" w:type="dxa"/>
            <w:vAlign w:val="center"/>
          </w:tcPr>
          <w:p w:rsidR="0090662F" w:rsidRDefault="00851198" w:rsidP="0090662F">
            <w:pPr>
              <w:ind w:left="123"/>
              <w:jc w:val="center"/>
            </w:pPr>
            <w:r w:rsidRPr="00B3604A">
              <w:rPr>
                <w:position w:val="-10"/>
              </w:rPr>
              <w:object w:dxaOrig="300" w:dyaOrig="340">
                <v:shape id="_x0000_i1132" type="#_x0000_t75" style="width:14.15pt;height:16.7pt" o:ole="">
                  <v:imagedata r:id="rId102" o:title=""/>
                </v:shape>
                <o:OLEObject Type="Embed" ProgID="Equation.3" ShapeID="_x0000_i1132" DrawAspect="Content" ObjectID="_1507543479" r:id="rId173"/>
              </w:object>
            </w:r>
          </w:p>
          <w:p w:rsidR="00851198" w:rsidRPr="004F48F0" w:rsidRDefault="00851198" w:rsidP="0090662F">
            <w:pPr>
              <w:ind w:left="123"/>
              <w:jc w:val="center"/>
              <w:rPr>
                <w:rFonts w:ascii="Arial" w:hAnsi="Arial" w:cs="Arial"/>
                <w:b/>
                <w:sz w:val="18"/>
                <w:szCs w:val="18"/>
                <w:lang w:val="de-DE"/>
              </w:rPr>
            </w:pPr>
            <w:r>
              <w:rPr>
                <w:rFonts w:ascii="Arial" w:hAnsi="Arial" w:cs="Arial"/>
                <w:b/>
                <w:sz w:val="18"/>
                <w:szCs w:val="18"/>
                <w:lang w:val="de-DE"/>
              </w:rPr>
              <w:t>p</w:t>
            </w:r>
            <w:r w:rsidRPr="004F48F0">
              <w:rPr>
                <w:rFonts w:ascii="Arial" w:hAnsi="Arial" w:cs="Arial"/>
                <w:b/>
                <w:sz w:val="18"/>
                <w:szCs w:val="18"/>
                <w:lang w:val="de-DE"/>
              </w:rPr>
              <w:t>ositive</w:t>
            </w:r>
          </w:p>
        </w:tc>
        <w:tc>
          <w:tcPr>
            <w:tcW w:w="1639" w:type="dxa"/>
            <w:vAlign w:val="center"/>
          </w:tcPr>
          <w:p w:rsidR="00851198" w:rsidRPr="00782238" w:rsidRDefault="00851198" w:rsidP="00076908">
            <w:pPr>
              <w:jc w:val="center"/>
              <w:rPr>
                <w:rFonts w:ascii="Arial" w:hAnsi="Arial" w:cs="Arial"/>
                <w:sz w:val="20"/>
                <w:szCs w:val="20"/>
                <w:lang w:val="de-DE"/>
              </w:rPr>
            </w:pPr>
            <w:r w:rsidRPr="000B3F0F">
              <w:rPr>
                <w:rFonts w:ascii="Arial" w:hAnsi="Arial" w:cs="Arial"/>
                <w:sz w:val="20"/>
                <w:szCs w:val="20"/>
                <w:lang w:val="de-DE"/>
              </w:rPr>
              <w:t>-6.606596</w:t>
            </w:r>
          </w:p>
          <w:p w:rsidR="00851198" w:rsidRPr="00782238" w:rsidRDefault="00851198" w:rsidP="00076908">
            <w:pPr>
              <w:jc w:val="center"/>
              <w:rPr>
                <w:rFonts w:ascii="Arial" w:hAnsi="Arial" w:cs="Arial"/>
                <w:sz w:val="20"/>
                <w:szCs w:val="20"/>
                <w:lang w:val="de-DE"/>
              </w:rPr>
            </w:pPr>
            <w:r w:rsidRPr="00782238">
              <w:rPr>
                <w:rFonts w:ascii="Arial" w:hAnsi="Arial" w:cs="Arial"/>
                <w:sz w:val="16"/>
                <w:szCs w:val="16"/>
                <w:lang w:val="de-DE"/>
              </w:rPr>
              <w:t xml:space="preserve"> (</w:t>
            </w:r>
            <w:r w:rsidRPr="000B3F0F">
              <w:rPr>
                <w:rFonts w:ascii="Arial" w:hAnsi="Arial" w:cs="Arial"/>
                <w:sz w:val="16"/>
                <w:szCs w:val="16"/>
                <w:lang w:val="de-DE"/>
              </w:rPr>
              <w:t>7.783051</w:t>
            </w:r>
            <w:r w:rsidRPr="00782238">
              <w:rPr>
                <w:rFonts w:ascii="Arial" w:hAnsi="Arial" w:cs="Arial"/>
                <w:sz w:val="16"/>
                <w:szCs w:val="16"/>
                <w:lang w:val="de-DE"/>
              </w:rPr>
              <w:t>)</w:t>
            </w:r>
          </w:p>
        </w:tc>
        <w:tc>
          <w:tcPr>
            <w:tcW w:w="1823" w:type="dxa"/>
            <w:vAlign w:val="center"/>
          </w:tcPr>
          <w:p w:rsidR="00851198" w:rsidRPr="00782238" w:rsidRDefault="00901B79" w:rsidP="00E106A5">
            <w:pPr>
              <w:jc w:val="center"/>
              <w:rPr>
                <w:rFonts w:ascii="Arial" w:hAnsi="Arial" w:cs="Arial"/>
                <w:sz w:val="20"/>
                <w:szCs w:val="20"/>
                <w:lang w:val="de-DE"/>
              </w:rPr>
            </w:pPr>
            <w:r w:rsidRPr="00901B79">
              <w:rPr>
                <w:rFonts w:ascii="Arial" w:hAnsi="Arial" w:cs="Arial"/>
                <w:sz w:val="20"/>
                <w:szCs w:val="20"/>
                <w:lang w:val="de-DE"/>
              </w:rPr>
              <w:t>6.467447</w:t>
            </w:r>
          </w:p>
          <w:p w:rsidR="00851198" w:rsidRPr="00A51255" w:rsidRDefault="00851198" w:rsidP="00E106A5">
            <w:pPr>
              <w:jc w:val="center"/>
              <w:rPr>
                <w:lang w:val="en-US"/>
              </w:rPr>
            </w:pPr>
            <w:r w:rsidRPr="00782238">
              <w:rPr>
                <w:rFonts w:ascii="Arial" w:hAnsi="Arial" w:cs="Arial"/>
                <w:sz w:val="16"/>
                <w:szCs w:val="16"/>
                <w:lang w:val="de-DE"/>
              </w:rPr>
              <w:t xml:space="preserve"> (</w:t>
            </w:r>
            <w:r w:rsidR="00901B79" w:rsidRPr="00901B79">
              <w:rPr>
                <w:rFonts w:ascii="Arial" w:hAnsi="Arial" w:cs="Arial"/>
                <w:sz w:val="16"/>
                <w:szCs w:val="16"/>
                <w:lang w:val="de-DE"/>
              </w:rPr>
              <w:t>11.55464</w:t>
            </w:r>
            <w:r w:rsidRPr="00782238">
              <w:rPr>
                <w:rFonts w:ascii="Arial" w:hAnsi="Arial" w:cs="Arial"/>
                <w:sz w:val="16"/>
                <w:szCs w:val="16"/>
                <w:lang w:val="de-DE"/>
              </w:rPr>
              <w:t>)</w:t>
            </w:r>
          </w:p>
        </w:tc>
        <w:tc>
          <w:tcPr>
            <w:tcW w:w="1677" w:type="dxa"/>
            <w:vAlign w:val="center"/>
          </w:tcPr>
          <w:p w:rsidR="00851198" w:rsidRPr="00782238" w:rsidRDefault="000236B7" w:rsidP="00E106A5">
            <w:pPr>
              <w:jc w:val="center"/>
              <w:rPr>
                <w:rFonts w:ascii="Arial" w:hAnsi="Arial" w:cs="Arial"/>
                <w:sz w:val="20"/>
                <w:szCs w:val="20"/>
                <w:lang w:val="de-DE"/>
              </w:rPr>
            </w:pPr>
            <w:r w:rsidRPr="000236B7">
              <w:rPr>
                <w:rFonts w:ascii="Arial" w:hAnsi="Arial" w:cs="Arial"/>
                <w:sz w:val="20"/>
                <w:szCs w:val="20"/>
                <w:lang w:val="de-DE"/>
              </w:rPr>
              <w:t>14.00297</w:t>
            </w:r>
          </w:p>
          <w:p w:rsidR="00851198" w:rsidRPr="00A51255" w:rsidRDefault="00851198" w:rsidP="00E106A5">
            <w:pPr>
              <w:jc w:val="center"/>
              <w:rPr>
                <w:lang w:val="en-US"/>
              </w:rPr>
            </w:pPr>
            <w:r w:rsidRPr="00782238">
              <w:rPr>
                <w:rFonts w:ascii="Arial" w:hAnsi="Arial" w:cs="Arial"/>
                <w:sz w:val="16"/>
                <w:szCs w:val="16"/>
                <w:lang w:val="de-DE"/>
              </w:rPr>
              <w:t xml:space="preserve"> (</w:t>
            </w:r>
            <w:r w:rsidR="000236B7" w:rsidRPr="000236B7">
              <w:rPr>
                <w:rFonts w:ascii="Arial" w:hAnsi="Arial" w:cs="Arial"/>
                <w:sz w:val="16"/>
                <w:szCs w:val="16"/>
                <w:lang w:val="de-DE"/>
              </w:rPr>
              <w:t>9.559686</w:t>
            </w:r>
            <w:r w:rsidRPr="00782238">
              <w:rPr>
                <w:rFonts w:ascii="Arial" w:hAnsi="Arial" w:cs="Arial"/>
                <w:sz w:val="16"/>
                <w:szCs w:val="16"/>
                <w:lang w:val="de-DE"/>
              </w:rPr>
              <w:t>)</w:t>
            </w:r>
          </w:p>
        </w:tc>
        <w:tc>
          <w:tcPr>
            <w:tcW w:w="1716" w:type="dxa"/>
            <w:vAlign w:val="center"/>
          </w:tcPr>
          <w:p w:rsidR="00851198" w:rsidRPr="00782238" w:rsidRDefault="00851198" w:rsidP="00076908">
            <w:pPr>
              <w:jc w:val="center"/>
              <w:rPr>
                <w:rFonts w:ascii="Arial" w:hAnsi="Arial" w:cs="Arial"/>
                <w:sz w:val="20"/>
                <w:szCs w:val="20"/>
                <w:lang w:val="de-DE"/>
              </w:rPr>
            </w:pPr>
            <w:r w:rsidRPr="00017E08">
              <w:rPr>
                <w:rFonts w:ascii="Arial" w:hAnsi="Arial" w:cs="Arial"/>
                <w:sz w:val="20"/>
                <w:szCs w:val="20"/>
                <w:lang w:val="de-DE"/>
              </w:rPr>
              <w:t>0.639041</w:t>
            </w:r>
          </w:p>
          <w:p w:rsidR="00851198" w:rsidRPr="00A51255" w:rsidRDefault="00851198" w:rsidP="00076908">
            <w:pPr>
              <w:jc w:val="center"/>
              <w:rPr>
                <w:lang w:val="en-US"/>
              </w:rPr>
            </w:pPr>
            <w:r w:rsidRPr="00782238">
              <w:rPr>
                <w:rFonts w:ascii="Arial" w:hAnsi="Arial" w:cs="Arial"/>
                <w:sz w:val="16"/>
                <w:szCs w:val="16"/>
                <w:lang w:val="de-DE"/>
              </w:rPr>
              <w:t xml:space="preserve"> (</w:t>
            </w:r>
            <w:r w:rsidRPr="00017E08">
              <w:rPr>
                <w:rFonts w:ascii="Arial" w:hAnsi="Arial" w:cs="Arial"/>
                <w:sz w:val="16"/>
                <w:szCs w:val="16"/>
                <w:lang w:val="de-DE"/>
              </w:rPr>
              <w:t>11.28417</w:t>
            </w:r>
            <w:r w:rsidRPr="00782238">
              <w:rPr>
                <w:rFonts w:ascii="Arial" w:hAnsi="Arial" w:cs="Arial"/>
                <w:sz w:val="16"/>
                <w:szCs w:val="16"/>
                <w:lang w:val="de-DE"/>
              </w:rPr>
              <w:t>)</w:t>
            </w:r>
          </w:p>
        </w:tc>
      </w:tr>
      <w:tr w:rsidR="007A3E86" w:rsidRPr="00A51255" w:rsidTr="007A3E86">
        <w:trPr>
          <w:jc w:val="center"/>
        </w:trPr>
        <w:tc>
          <w:tcPr>
            <w:tcW w:w="247" w:type="dxa"/>
            <w:vAlign w:val="center"/>
          </w:tcPr>
          <w:p w:rsidR="00752393" w:rsidRPr="00A51255" w:rsidRDefault="00C65448" w:rsidP="00D63A00">
            <w:pPr>
              <w:spacing w:line="360" w:lineRule="auto"/>
              <w:jc w:val="center"/>
              <w:rPr>
                <w:rFonts w:ascii="Arial" w:hAnsi="Arial" w:cs="Arial"/>
                <w:sz w:val="16"/>
                <w:szCs w:val="16"/>
                <w:lang w:val="de-DE"/>
              </w:rPr>
            </w:pPr>
            <w:r>
              <w:rPr>
                <w:rFonts w:ascii="Arial" w:hAnsi="Arial" w:cs="Arial"/>
                <w:sz w:val="16"/>
                <w:szCs w:val="16"/>
                <w:lang w:val="de-DE"/>
              </w:rPr>
              <w:t>(</w:t>
            </w:r>
            <w:r w:rsidR="00752393">
              <w:rPr>
                <w:rFonts w:ascii="Arial" w:hAnsi="Arial" w:cs="Arial"/>
                <w:sz w:val="16"/>
                <w:szCs w:val="16"/>
                <w:lang w:val="de-DE"/>
              </w:rPr>
              <w:t>3)</w:t>
            </w:r>
          </w:p>
        </w:tc>
        <w:tc>
          <w:tcPr>
            <w:tcW w:w="2037" w:type="dxa"/>
            <w:vAlign w:val="center"/>
          </w:tcPr>
          <w:p w:rsidR="0090662F" w:rsidRDefault="00752393" w:rsidP="0090662F">
            <w:pPr>
              <w:ind w:left="123"/>
              <w:jc w:val="center"/>
            </w:pPr>
            <w:r w:rsidRPr="00B3604A">
              <w:rPr>
                <w:position w:val="-12"/>
              </w:rPr>
              <w:object w:dxaOrig="300" w:dyaOrig="360">
                <v:shape id="_x0000_i1133" type="#_x0000_t75" style="width:14.15pt;height:18pt" o:ole="">
                  <v:imagedata r:id="rId104" o:title=""/>
                </v:shape>
                <o:OLEObject Type="Embed" ProgID="Equation.3" ShapeID="_x0000_i1133" DrawAspect="Content" ObjectID="_1507543480" r:id="rId174"/>
              </w:object>
            </w:r>
          </w:p>
          <w:p w:rsidR="00752393" w:rsidRPr="004F48F0" w:rsidRDefault="00752393" w:rsidP="0090662F">
            <w:pPr>
              <w:ind w:left="123"/>
              <w:jc w:val="center"/>
              <w:rPr>
                <w:rFonts w:ascii="Arial" w:hAnsi="Arial" w:cs="Arial"/>
                <w:b/>
                <w:sz w:val="18"/>
                <w:szCs w:val="18"/>
                <w:lang w:val="de-DE"/>
              </w:rPr>
            </w:pPr>
            <w:r>
              <w:rPr>
                <w:rFonts w:ascii="Arial" w:hAnsi="Arial" w:cs="Arial"/>
                <w:b/>
                <w:sz w:val="18"/>
                <w:szCs w:val="18"/>
                <w:lang w:val="de-DE"/>
              </w:rPr>
              <w:t>n</w:t>
            </w:r>
            <w:r w:rsidRPr="004F48F0">
              <w:rPr>
                <w:rFonts w:ascii="Arial" w:hAnsi="Arial" w:cs="Arial"/>
                <w:b/>
                <w:sz w:val="18"/>
                <w:szCs w:val="18"/>
                <w:lang w:val="de-DE"/>
              </w:rPr>
              <w:t>egative</w:t>
            </w:r>
          </w:p>
        </w:tc>
        <w:tc>
          <w:tcPr>
            <w:tcW w:w="1639" w:type="dxa"/>
            <w:vAlign w:val="center"/>
          </w:tcPr>
          <w:p w:rsidR="00752393" w:rsidRPr="00782238" w:rsidRDefault="00752393" w:rsidP="00076908">
            <w:pPr>
              <w:jc w:val="center"/>
              <w:rPr>
                <w:rFonts w:ascii="Arial" w:hAnsi="Arial" w:cs="Arial"/>
                <w:sz w:val="20"/>
                <w:szCs w:val="20"/>
                <w:lang w:val="de-DE"/>
              </w:rPr>
            </w:pPr>
            <w:r w:rsidRPr="000B3F0F">
              <w:rPr>
                <w:rFonts w:ascii="Arial" w:hAnsi="Arial" w:cs="Arial"/>
                <w:sz w:val="20"/>
                <w:szCs w:val="20"/>
                <w:lang w:val="de-DE"/>
              </w:rPr>
              <w:t>17.81411</w:t>
            </w:r>
          </w:p>
          <w:p w:rsidR="00752393" w:rsidRPr="00782238" w:rsidRDefault="00752393" w:rsidP="00076908">
            <w:pPr>
              <w:jc w:val="center"/>
              <w:rPr>
                <w:rFonts w:ascii="Arial" w:hAnsi="Arial" w:cs="Arial"/>
                <w:sz w:val="20"/>
                <w:szCs w:val="20"/>
                <w:lang w:val="de-DE"/>
              </w:rPr>
            </w:pPr>
            <w:r w:rsidRPr="00782238">
              <w:rPr>
                <w:rFonts w:ascii="Arial" w:hAnsi="Arial" w:cs="Arial"/>
                <w:sz w:val="16"/>
                <w:szCs w:val="16"/>
                <w:lang w:val="de-DE"/>
              </w:rPr>
              <w:t xml:space="preserve"> (</w:t>
            </w:r>
            <w:r w:rsidRPr="000B3F0F">
              <w:rPr>
                <w:rFonts w:ascii="Arial" w:hAnsi="Arial" w:cs="Arial"/>
                <w:sz w:val="16"/>
                <w:szCs w:val="16"/>
                <w:lang w:val="de-DE"/>
              </w:rPr>
              <w:t>19.88561</w:t>
            </w:r>
            <w:r w:rsidRPr="00782238">
              <w:rPr>
                <w:rFonts w:ascii="Arial" w:hAnsi="Arial" w:cs="Arial"/>
                <w:sz w:val="16"/>
                <w:szCs w:val="16"/>
                <w:lang w:val="de-DE"/>
              </w:rPr>
              <w:t>)</w:t>
            </w:r>
          </w:p>
        </w:tc>
        <w:tc>
          <w:tcPr>
            <w:tcW w:w="1823" w:type="dxa"/>
            <w:vAlign w:val="center"/>
          </w:tcPr>
          <w:p w:rsidR="00752393" w:rsidRPr="00782238" w:rsidRDefault="00DE3042" w:rsidP="00B76BD7">
            <w:pPr>
              <w:jc w:val="center"/>
              <w:rPr>
                <w:rFonts w:ascii="Arial" w:hAnsi="Arial" w:cs="Arial"/>
                <w:sz w:val="20"/>
                <w:szCs w:val="20"/>
                <w:lang w:val="de-DE"/>
              </w:rPr>
            </w:pPr>
            <w:r w:rsidRPr="00DE3042">
              <w:rPr>
                <w:rFonts w:ascii="Arial" w:hAnsi="Arial" w:cs="Arial"/>
                <w:sz w:val="20"/>
                <w:szCs w:val="20"/>
                <w:lang w:val="de-DE"/>
              </w:rPr>
              <w:t>29.13365</w:t>
            </w:r>
            <w:r>
              <w:rPr>
                <w:rFonts w:ascii="Arial" w:hAnsi="Arial" w:cs="Arial"/>
                <w:sz w:val="20"/>
                <w:szCs w:val="20"/>
                <w:lang w:val="de-DE"/>
              </w:rPr>
              <w:t xml:space="preserve"> *</w:t>
            </w:r>
          </w:p>
          <w:p w:rsidR="00752393" w:rsidRPr="00A51255" w:rsidRDefault="00752393" w:rsidP="00B76BD7">
            <w:pPr>
              <w:jc w:val="center"/>
              <w:rPr>
                <w:lang w:val="en-US"/>
              </w:rPr>
            </w:pPr>
            <w:r w:rsidRPr="00782238">
              <w:rPr>
                <w:rFonts w:ascii="Arial" w:hAnsi="Arial" w:cs="Arial"/>
                <w:sz w:val="16"/>
                <w:szCs w:val="16"/>
                <w:lang w:val="de-DE"/>
              </w:rPr>
              <w:t xml:space="preserve"> (</w:t>
            </w:r>
            <w:r w:rsidR="00DE3042" w:rsidRPr="00DE3042">
              <w:rPr>
                <w:rFonts w:ascii="Arial" w:hAnsi="Arial" w:cs="Arial"/>
                <w:sz w:val="16"/>
                <w:szCs w:val="16"/>
                <w:lang w:val="de-DE"/>
              </w:rPr>
              <w:t>15.75412</w:t>
            </w:r>
            <w:r w:rsidRPr="00782238">
              <w:rPr>
                <w:rFonts w:ascii="Arial" w:hAnsi="Arial" w:cs="Arial"/>
                <w:sz w:val="16"/>
                <w:szCs w:val="16"/>
                <w:lang w:val="de-DE"/>
              </w:rPr>
              <w:t>)</w:t>
            </w:r>
          </w:p>
        </w:tc>
        <w:tc>
          <w:tcPr>
            <w:tcW w:w="1677" w:type="dxa"/>
            <w:vAlign w:val="center"/>
          </w:tcPr>
          <w:p w:rsidR="00752393" w:rsidRPr="00782238" w:rsidRDefault="00D210D4" w:rsidP="00B76BD7">
            <w:pPr>
              <w:jc w:val="center"/>
              <w:rPr>
                <w:rFonts w:ascii="Arial" w:hAnsi="Arial" w:cs="Arial"/>
                <w:sz w:val="20"/>
                <w:szCs w:val="20"/>
                <w:lang w:val="de-DE"/>
              </w:rPr>
            </w:pPr>
            <w:r w:rsidRPr="00D210D4">
              <w:rPr>
                <w:rFonts w:ascii="Arial" w:hAnsi="Arial" w:cs="Arial"/>
                <w:sz w:val="20"/>
                <w:szCs w:val="20"/>
                <w:lang w:val="de-DE"/>
              </w:rPr>
              <w:t>-5.007828</w:t>
            </w:r>
          </w:p>
          <w:p w:rsidR="00752393" w:rsidRPr="00A51255" w:rsidRDefault="00752393" w:rsidP="00B76BD7">
            <w:pPr>
              <w:jc w:val="center"/>
              <w:rPr>
                <w:lang w:val="en-US"/>
              </w:rPr>
            </w:pPr>
            <w:r w:rsidRPr="00782238">
              <w:rPr>
                <w:rFonts w:ascii="Arial" w:hAnsi="Arial" w:cs="Arial"/>
                <w:sz w:val="16"/>
                <w:szCs w:val="16"/>
                <w:lang w:val="de-DE"/>
              </w:rPr>
              <w:t xml:space="preserve"> (</w:t>
            </w:r>
            <w:r w:rsidR="00D210D4" w:rsidRPr="00D210D4">
              <w:rPr>
                <w:rFonts w:ascii="Arial" w:hAnsi="Arial" w:cs="Arial"/>
                <w:sz w:val="16"/>
                <w:szCs w:val="16"/>
                <w:lang w:val="de-DE"/>
              </w:rPr>
              <w:t>8.512196</w:t>
            </w:r>
            <w:r w:rsidRPr="00782238">
              <w:rPr>
                <w:rFonts w:ascii="Arial" w:hAnsi="Arial" w:cs="Arial"/>
                <w:sz w:val="16"/>
                <w:szCs w:val="16"/>
                <w:lang w:val="de-DE"/>
              </w:rPr>
              <w:t>)</w:t>
            </w:r>
          </w:p>
        </w:tc>
        <w:tc>
          <w:tcPr>
            <w:tcW w:w="1716" w:type="dxa"/>
            <w:vAlign w:val="center"/>
          </w:tcPr>
          <w:p w:rsidR="00752393" w:rsidRPr="00782238" w:rsidRDefault="00752393" w:rsidP="00076908">
            <w:pPr>
              <w:jc w:val="center"/>
              <w:rPr>
                <w:rFonts w:ascii="Arial" w:hAnsi="Arial" w:cs="Arial"/>
                <w:sz w:val="20"/>
                <w:szCs w:val="20"/>
                <w:lang w:val="de-DE"/>
              </w:rPr>
            </w:pPr>
            <w:r w:rsidRPr="004C6ACC">
              <w:rPr>
                <w:rFonts w:ascii="Arial" w:hAnsi="Arial" w:cs="Arial"/>
                <w:sz w:val="20"/>
                <w:szCs w:val="20"/>
                <w:lang w:val="de-DE"/>
              </w:rPr>
              <w:t>0.899323</w:t>
            </w:r>
          </w:p>
          <w:p w:rsidR="00752393" w:rsidRPr="00A51255" w:rsidRDefault="00752393" w:rsidP="00076908">
            <w:pPr>
              <w:jc w:val="center"/>
              <w:rPr>
                <w:lang w:val="en-US"/>
              </w:rPr>
            </w:pPr>
            <w:r w:rsidRPr="00782238">
              <w:rPr>
                <w:rFonts w:ascii="Arial" w:hAnsi="Arial" w:cs="Arial"/>
                <w:sz w:val="16"/>
                <w:szCs w:val="16"/>
                <w:lang w:val="de-DE"/>
              </w:rPr>
              <w:t xml:space="preserve"> (</w:t>
            </w:r>
            <w:r w:rsidRPr="004C6ACC">
              <w:rPr>
                <w:rFonts w:ascii="Arial" w:hAnsi="Arial" w:cs="Arial"/>
                <w:sz w:val="16"/>
                <w:szCs w:val="16"/>
                <w:lang w:val="de-DE"/>
              </w:rPr>
              <w:t>12.48134</w:t>
            </w:r>
            <w:r w:rsidRPr="00782238">
              <w:rPr>
                <w:rFonts w:ascii="Arial" w:hAnsi="Arial" w:cs="Arial"/>
                <w:sz w:val="16"/>
                <w:szCs w:val="16"/>
                <w:lang w:val="de-DE"/>
              </w:rPr>
              <w:t>)</w:t>
            </w:r>
          </w:p>
        </w:tc>
      </w:tr>
      <w:tr w:rsidR="007A3E86" w:rsidRPr="00A51255" w:rsidTr="007A3E86">
        <w:trPr>
          <w:trHeight w:val="489"/>
          <w:jc w:val="center"/>
        </w:trPr>
        <w:tc>
          <w:tcPr>
            <w:tcW w:w="247" w:type="dxa"/>
            <w:vAlign w:val="center"/>
          </w:tcPr>
          <w:p w:rsidR="00752393" w:rsidRPr="00A51255" w:rsidRDefault="00C65448" w:rsidP="00D63A00">
            <w:pPr>
              <w:spacing w:line="360" w:lineRule="auto"/>
              <w:jc w:val="center"/>
              <w:rPr>
                <w:rFonts w:ascii="Arial" w:hAnsi="Arial" w:cs="Arial"/>
                <w:sz w:val="16"/>
                <w:szCs w:val="16"/>
                <w:lang w:val="de-DE"/>
              </w:rPr>
            </w:pPr>
            <w:r>
              <w:rPr>
                <w:rFonts w:ascii="Arial" w:hAnsi="Arial" w:cs="Arial"/>
                <w:sz w:val="16"/>
                <w:szCs w:val="16"/>
                <w:lang w:val="de-DE"/>
              </w:rPr>
              <w:t>(</w:t>
            </w:r>
            <w:r w:rsidR="00752393">
              <w:rPr>
                <w:rFonts w:ascii="Arial" w:hAnsi="Arial" w:cs="Arial"/>
                <w:sz w:val="16"/>
                <w:szCs w:val="16"/>
                <w:lang w:val="de-DE"/>
              </w:rPr>
              <w:t>3)</w:t>
            </w:r>
          </w:p>
        </w:tc>
        <w:tc>
          <w:tcPr>
            <w:tcW w:w="2037" w:type="dxa"/>
            <w:vAlign w:val="center"/>
          </w:tcPr>
          <w:p w:rsidR="0090662F" w:rsidRDefault="00752393" w:rsidP="0090662F">
            <w:pPr>
              <w:ind w:left="123"/>
              <w:jc w:val="center"/>
            </w:pPr>
            <w:r w:rsidRPr="00B3604A">
              <w:rPr>
                <w:position w:val="-12"/>
              </w:rPr>
              <w:object w:dxaOrig="300" w:dyaOrig="360">
                <v:shape id="_x0000_i1134" type="#_x0000_t75" style="width:14.15pt;height:18pt" o:ole="">
                  <v:imagedata r:id="rId106" o:title=""/>
                </v:shape>
                <o:OLEObject Type="Embed" ProgID="Equation.3" ShapeID="_x0000_i1134" DrawAspect="Content" ObjectID="_1507543481" r:id="rId175"/>
              </w:object>
            </w:r>
          </w:p>
          <w:p w:rsidR="00752393" w:rsidRPr="004F48F0" w:rsidRDefault="00752393" w:rsidP="0090662F">
            <w:pPr>
              <w:ind w:left="123"/>
              <w:jc w:val="center"/>
              <w:rPr>
                <w:rFonts w:ascii="Arial" w:hAnsi="Arial" w:cs="Arial"/>
                <w:b/>
                <w:sz w:val="18"/>
                <w:szCs w:val="18"/>
                <w:lang w:val="de-DE"/>
              </w:rPr>
            </w:pPr>
            <w:r>
              <w:rPr>
                <w:rFonts w:ascii="Arial" w:hAnsi="Arial" w:cs="Arial"/>
                <w:b/>
                <w:sz w:val="18"/>
                <w:szCs w:val="18"/>
                <w:lang w:val="de-DE"/>
              </w:rPr>
              <w:t xml:space="preserve">strongly </w:t>
            </w:r>
            <w:r w:rsidRPr="004F48F0">
              <w:rPr>
                <w:rFonts w:ascii="Arial" w:hAnsi="Arial" w:cs="Arial"/>
                <w:b/>
                <w:sz w:val="18"/>
                <w:szCs w:val="18"/>
                <w:lang w:val="de-DE"/>
              </w:rPr>
              <w:t>negative</w:t>
            </w:r>
          </w:p>
        </w:tc>
        <w:tc>
          <w:tcPr>
            <w:tcW w:w="1639" w:type="dxa"/>
            <w:vAlign w:val="center"/>
          </w:tcPr>
          <w:p w:rsidR="00752393" w:rsidRPr="00782238" w:rsidRDefault="00752393" w:rsidP="00076908">
            <w:pPr>
              <w:jc w:val="center"/>
              <w:rPr>
                <w:rFonts w:ascii="Arial" w:hAnsi="Arial" w:cs="Arial"/>
                <w:sz w:val="20"/>
                <w:szCs w:val="20"/>
                <w:lang w:val="de-DE"/>
              </w:rPr>
            </w:pPr>
            <w:r w:rsidRPr="000B3F0F">
              <w:rPr>
                <w:rFonts w:ascii="Arial" w:hAnsi="Arial" w:cs="Arial"/>
                <w:sz w:val="20"/>
                <w:szCs w:val="20"/>
                <w:lang w:val="de-DE"/>
              </w:rPr>
              <w:t>23.33104</w:t>
            </w:r>
            <w:r>
              <w:rPr>
                <w:rFonts w:ascii="Arial" w:hAnsi="Arial" w:cs="Arial"/>
                <w:sz w:val="20"/>
                <w:szCs w:val="20"/>
                <w:lang w:val="de-DE"/>
              </w:rPr>
              <w:t xml:space="preserve"> ***</w:t>
            </w:r>
          </w:p>
          <w:p w:rsidR="00752393" w:rsidRPr="00782238" w:rsidRDefault="00752393" w:rsidP="00076908">
            <w:pPr>
              <w:jc w:val="center"/>
              <w:rPr>
                <w:rFonts w:ascii="Arial" w:hAnsi="Arial" w:cs="Arial"/>
                <w:sz w:val="20"/>
                <w:szCs w:val="20"/>
                <w:lang w:val="de-DE"/>
              </w:rPr>
            </w:pPr>
            <w:r w:rsidRPr="00782238">
              <w:rPr>
                <w:rFonts w:ascii="Arial" w:hAnsi="Arial" w:cs="Arial"/>
                <w:sz w:val="16"/>
                <w:szCs w:val="16"/>
                <w:lang w:val="de-DE"/>
              </w:rPr>
              <w:t xml:space="preserve"> (</w:t>
            </w:r>
            <w:r w:rsidRPr="000B3F0F">
              <w:rPr>
                <w:rFonts w:ascii="Arial" w:hAnsi="Arial" w:cs="Arial"/>
                <w:sz w:val="16"/>
                <w:szCs w:val="16"/>
                <w:lang w:val="de-DE"/>
              </w:rPr>
              <w:t>5.092421</w:t>
            </w:r>
            <w:r w:rsidRPr="00782238">
              <w:rPr>
                <w:rFonts w:ascii="Arial" w:hAnsi="Arial" w:cs="Arial"/>
                <w:sz w:val="16"/>
                <w:szCs w:val="16"/>
                <w:lang w:val="de-DE"/>
              </w:rPr>
              <w:t>)</w:t>
            </w:r>
          </w:p>
        </w:tc>
        <w:tc>
          <w:tcPr>
            <w:tcW w:w="1823" w:type="dxa"/>
            <w:vAlign w:val="center"/>
          </w:tcPr>
          <w:p w:rsidR="00752393" w:rsidRPr="00782238" w:rsidRDefault="00E0392F" w:rsidP="00B76BD7">
            <w:pPr>
              <w:jc w:val="center"/>
              <w:rPr>
                <w:rFonts w:ascii="Arial" w:hAnsi="Arial" w:cs="Arial"/>
                <w:sz w:val="20"/>
                <w:szCs w:val="20"/>
                <w:lang w:val="de-DE"/>
              </w:rPr>
            </w:pPr>
            <w:r w:rsidRPr="00E0392F">
              <w:rPr>
                <w:rFonts w:ascii="Arial" w:hAnsi="Arial" w:cs="Arial"/>
                <w:sz w:val="20"/>
                <w:szCs w:val="20"/>
                <w:lang w:val="de-DE"/>
              </w:rPr>
              <w:t>14.34723</w:t>
            </w:r>
          </w:p>
          <w:p w:rsidR="00752393" w:rsidRPr="00A51255" w:rsidRDefault="00752393" w:rsidP="00B76BD7">
            <w:pPr>
              <w:jc w:val="center"/>
              <w:rPr>
                <w:lang w:val="en-US"/>
              </w:rPr>
            </w:pPr>
            <w:r w:rsidRPr="00782238">
              <w:rPr>
                <w:rFonts w:ascii="Arial" w:hAnsi="Arial" w:cs="Arial"/>
                <w:sz w:val="16"/>
                <w:szCs w:val="16"/>
                <w:lang w:val="de-DE"/>
              </w:rPr>
              <w:t xml:space="preserve"> (</w:t>
            </w:r>
            <w:r w:rsidR="00E0392F" w:rsidRPr="00E0392F">
              <w:rPr>
                <w:rFonts w:ascii="Arial" w:hAnsi="Arial" w:cs="Arial"/>
                <w:sz w:val="16"/>
                <w:szCs w:val="16"/>
                <w:lang w:val="de-DE"/>
              </w:rPr>
              <w:t>61.24580</w:t>
            </w:r>
            <w:r w:rsidRPr="00782238">
              <w:rPr>
                <w:rFonts w:ascii="Arial" w:hAnsi="Arial" w:cs="Arial"/>
                <w:sz w:val="16"/>
                <w:szCs w:val="16"/>
                <w:lang w:val="de-DE"/>
              </w:rPr>
              <w:t>)</w:t>
            </w:r>
          </w:p>
        </w:tc>
        <w:tc>
          <w:tcPr>
            <w:tcW w:w="1677" w:type="dxa"/>
            <w:vAlign w:val="center"/>
          </w:tcPr>
          <w:p w:rsidR="00752393" w:rsidRPr="00782238" w:rsidRDefault="001310E8" w:rsidP="00B76BD7">
            <w:pPr>
              <w:jc w:val="center"/>
              <w:rPr>
                <w:rFonts w:ascii="Arial" w:hAnsi="Arial" w:cs="Arial"/>
                <w:sz w:val="20"/>
                <w:szCs w:val="20"/>
                <w:lang w:val="de-DE"/>
              </w:rPr>
            </w:pPr>
            <w:r w:rsidRPr="001310E8">
              <w:rPr>
                <w:rFonts w:ascii="Arial" w:hAnsi="Arial" w:cs="Arial"/>
                <w:sz w:val="20"/>
                <w:szCs w:val="20"/>
                <w:lang w:val="de-DE"/>
              </w:rPr>
              <w:t>-24.53733</w:t>
            </w:r>
          </w:p>
          <w:p w:rsidR="00752393" w:rsidRPr="00A51255" w:rsidRDefault="00752393" w:rsidP="00B76BD7">
            <w:pPr>
              <w:jc w:val="center"/>
              <w:rPr>
                <w:lang w:val="en-US"/>
              </w:rPr>
            </w:pPr>
            <w:r w:rsidRPr="00782238">
              <w:rPr>
                <w:rFonts w:ascii="Arial" w:hAnsi="Arial" w:cs="Arial"/>
                <w:sz w:val="16"/>
                <w:szCs w:val="16"/>
                <w:lang w:val="de-DE"/>
              </w:rPr>
              <w:t xml:space="preserve"> (</w:t>
            </w:r>
            <w:r w:rsidR="001310E8" w:rsidRPr="001310E8">
              <w:rPr>
                <w:rFonts w:ascii="Arial" w:hAnsi="Arial" w:cs="Arial"/>
                <w:sz w:val="16"/>
                <w:szCs w:val="16"/>
                <w:lang w:val="de-DE"/>
              </w:rPr>
              <w:t>58.55872</w:t>
            </w:r>
            <w:r w:rsidRPr="00782238">
              <w:rPr>
                <w:rFonts w:ascii="Arial" w:hAnsi="Arial" w:cs="Arial"/>
                <w:sz w:val="16"/>
                <w:szCs w:val="16"/>
                <w:lang w:val="de-DE"/>
              </w:rPr>
              <w:t>)</w:t>
            </w:r>
          </w:p>
        </w:tc>
        <w:tc>
          <w:tcPr>
            <w:tcW w:w="1716" w:type="dxa"/>
            <w:vAlign w:val="center"/>
          </w:tcPr>
          <w:p w:rsidR="00752393" w:rsidRPr="00782238" w:rsidRDefault="00752393" w:rsidP="00076908">
            <w:pPr>
              <w:jc w:val="center"/>
              <w:rPr>
                <w:rFonts w:ascii="Arial" w:hAnsi="Arial" w:cs="Arial"/>
                <w:sz w:val="20"/>
                <w:szCs w:val="20"/>
                <w:lang w:val="de-DE"/>
              </w:rPr>
            </w:pPr>
            <w:r w:rsidRPr="009D10A9">
              <w:rPr>
                <w:rFonts w:ascii="Arial" w:hAnsi="Arial" w:cs="Arial"/>
                <w:sz w:val="20"/>
                <w:szCs w:val="20"/>
                <w:lang w:val="de-DE"/>
              </w:rPr>
              <w:t>15.31677</w:t>
            </w:r>
          </w:p>
          <w:p w:rsidR="00752393" w:rsidRPr="00A51255" w:rsidRDefault="00752393" w:rsidP="00076908">
            <w:pPr>
              <w:jc w:val="center"/>
              <w:rPr>
                <w:lang w:val="en-US"/>
              </w:rPr>
            </w:pPr>
            <w:r w:rsidRPr="00782238">
              <w:rPr>
                <w:rFonts w:ascii="Arial" w:hAnsi="Arial" w:cs="Arial"/>
                <w:sz w:val="16"/>
                <w:szCs w:val="16"/>
                <w:lang w:val="de-DE"/>
              </w:rPr>
              <w:t xml:space="preserve"> (</w:t>
            </w:r>
            <w:r w:rsidRPr="009D10A9">
              <w:rPr>
                <w:rFonts w:ascii="Arial" w:hAnsi="Arial" w:cs="Arial"/>
                <w:sz w:val="16"/>
                <w:szCs w:val="16"/>
                <w:lang w:val="de-DE"/>
              </w:rPr>
              <w:t>33.22114</w:t>
            </w:r>
            <w:r w:rsidRPr="00782238">
              <w:rPr>
                <w:rFonts w:ascii="Arial" w:hAnsi="Arial" w:cs="Arial"/>
                <w:sz w:val="16"/>
                <w:szCs w:val="16"/>
                <w:lang w:val="de-DE"/>
              </w:rPr>
              <w:t>)</w:t>
            </w:r>
          </w:p>
        </w:tc>
      </w:tr>
    </w:tbl>
    <w:p w:rsidR="00D02528" w:rsidRDefault="00D02528" w:rsidP="0014213E">
      <w:pPr>
        <w:ind w:left="1134" w:right="282"/>
        <w:jc w:val="both"/>
        <w:rPr>
          <w:rFonts w:ascii="Arial" w:hAnsi="Arial" w:cs="Arial"/>
          <w:sz w:val="20"/>
          <w:szCs w:val="20"/>
          <w:lang w:val="en-US"/>
        </w:rPr>
      </w:pPr>
    </w:p>
    <w:p w:rsidR="0021434A" w:rsidRDefault="0021434A" w:rsidP="0014213E">
      <w:pPr>
        <w:ind w:left="1134" w:right="282"/>
        <w:jc w:val="both"/>
        <w:rPr>
          <w:rFonts w:ascii="Arial" w:hAnsi="Arial" w:cs="Arial"/>
          <w:sz w:val="20"/>
          <w:szCs w:val="20"/>
          <w:lang w:val="en-US"/>
        </w:rPr>
      </w:pPr>
    </w:p>
    <w:p w:rsidR="0021434A" w:rsidRDefault="0021434A" w:rsidP="0021434A">
      <w:pPr>
        <w:ind w:right="282" w:firstLine="708"/>
        <w:jc w:val="both"/>
        <w:rPr>
          <w:rFonts w:ascii="Arial" w:hAnsi="Arial" w:cs="Arial"/>
          <w:sz w:val="20"/>
          <w:szCs w:val="20"/>
          <w:lang w:val="en-US"/>
        </w:rPr>
      </w:pPr>
      <w:r>
        <w:rPr>
          <w:rFonts w:ascii="Arial" w:hAnsi="Arial" w:cs="Arial"/>
          <w:sz w:val="16"/>
          <w:szCs w:val="16"/>
          <w:lang w:val="en-US"/>
        </w:rPr>
        <w:t>(</w:t>
      </w:r>
      <w:r w:rsidRPr="0063181F">
        <w:rPr>
          <w:rFonts w:ascii="Arial" w:hAnsi="Arial" w:cs="Arial"/>
          <w:sz w:val="20"/>
          <w:szCs w:val="20"/>
          <w:lang w:val="en-US"/>
        </w:rPr>
        <w:t>continued</w:t>
      </w:r>
      <w:r>
        <w:rPr>
          <w:rFonts w:ascii="Arial" w:hAnsi="Arial" w:cs="Arial"/>
          <w:sz w:val="20"/>
          <w:szCs w:val="20"/>
          <w:lang w:val="en-US"/>
        </w:rPr>
        <w:t xml:space="preserve"> on next page</w:t>
      </w:r>
      <w:r w:rsidRPr="0063181F">
        <w:rPr>
          <w:rFonts w:ascii="Arial" w:hAnsi="Arial" w:cs="Arial"/>
          <w:sz w:val="20"/>
          <w:szCs w:val="20"/>
          <w:lang w:val="en-US"/>
        </w:rPr>
        <w:t>)</w:t>
      </w:r>
    </w:p>
    <w:p w:rsidR="00D02528" w:rsidRDefault="00D02528" w:rsidP="0014213E">
      <w:pPr>
        <w:ind w:left="1134" w:right="282"/>
        <w:jc w:val="both"/>
        <w:rPr>
          <w:rFonts w:ascii="Arial" w:hAnsi="Arial" w:cs="Arial"/>
          <w:sz w:val="20"/>
          <w:szCs w:val="20"/>
          <w:lang w:val="en-US"/>
        </w:rPr>
      </w:pPr>
      <w:r>
        <w:rPr>
          <w:rFonts w:ascii="Arial" w:hAnsi="Arial" w:cs="Arial"/>
          <w:sz w:val="20"/>
          <w:szCs w:val="20"/>
          <w:lang w:val="en-US"/>
        </w:rPr>
        <w:br w:type="page"/>
      </w:r>
    </w:p>
    <w:p w:rsidR="00835328" w:rsidRDefault="00835328" w:rsidP="0014213E">
      <w:pPr>
        <w:ind w:left="1134" w:right="282"/>
        <w:jc w:val="both"/>
        <w:rPr>
          <w:rFonts w:ascii="Arial" w:hAnsi="Arial" w:cs="Arial"/>
          <w:sz w:val="20"/>
          <w:szCs w:val="20"/>
          <w:lang w:val="en-US"/>
        </w:rPr>
      </w:pPr>
    </w:p>
    <w:p w:rsidR="00481658" w:rsidRDefault="00481658" w:rsidP="0014213E">
      <w:pPr>
        <w:ind w:left="1134" w:right="282"/>
        <w:jc w:val="both"/>
        <w:rPr>
          <w:rFonts w:ascii="Arial" w:hAnsi="Arial" w:cs="Arial"/>
          <w:sz w:val="20"/>
          <w:szCs w:val="20"/>
          <w:lang w:val="en-US"/>
        </w:rPr>
      </w:pPr>
    </w:p>
    <w:p w:rsidR="00481658" w:rsidRDefault="00481658" w:rsidP="0014213E">
      <w:pPr>
        <w:ind w:left="1134" w:right="282"/>
        <w:jc w:val="both"/>
        <w:rPr>
          <w:rFonts w:ascii="Arial" w:hAnsi="Arial" w:cs="Arial"/>
          <w:sz w:val="20"/>
          <w:szCs w:val="20"/>
          <w:lang w:val="en-US"/>
        </w:rPr>
      </w:pPr>
    </w:p>
    <w:p w:rsidR="005923E4" w:rsidRDefault="005923E4" w:rsidP="0014213E">
      <w:pPr>
        <w:ind w:left="1134" w:right="282"/>
        <w:jc w:val="both"/>
        <w:rPr>
          <w:rFonts w:ascii="Arial" w:hAnsi="Arial" w:cs="Arial"/>
          <w:sz w:val="20"/>
          <w:szCs w:val="20"/>
          <w:lang w:val="en-US"/>
        </w:rPr>
      </w:pPr>
    </w:p>
    <w:p w:rsidR="00B114AB" w:rsidRDefault="00B114AB" w:rsidP="0014213E">
      <w:pPr>
        <w:ind w:left="1134" w:right="282"/>
        <w:jc w:val="both"/>
        <w:rPr>
          <w:rFonts w:ascii="Arial" w:hAnsi="Arial" w:cs="Arial"/>
          <w:sz w:val="20"/>
          <w:szCs w:val="20"/>
          <w:lang w:val="en-US"/>
        </w:rPr>
      </w:pPr>
    </w:p>
    <w:p w:rsidR="0014213E" w:rsidRDefault="0063181F" w:rsidP="00F15E21">
      <w:pPr>
        <w:ind w:right="282"/>
        <w:jc w:val="both"/>
        <w:rPr>
          <w:rFonts w:ascii="Arial" w:hAnsi="Arial" w:cs="Arial"/>
          <w:sz w:val="20"/>
          <w:szCs w:val="20"/>
          <w:lang w:val="en-US"/>
        </w:rPr>
      </w:pPr>
      <w:r>
        <w:rPr>
          <w:rFonts w:ascii="Arial" w:hAnsi="Arial" w:cs="Arial"/>
          <w:sz w:val="20"/>
          <w:szCs w:val="20"/>
          <w:lang w:val="en-US"/>
        </w:rPr>
        <w:t xml:space="preserve">Table </w:t>
      </w:r>
      <w:r w:rsidR="0014213E" w:rsidRPr="0063181F">
        <w:rPr>
          <w:rFonts w:ascii="Arial" w:hAnsi="Arial" w:cs="Arial"/>
          <w:sz w:val="20"/>
          <w:szCs w:val="20"/>
          <w:lang w:val="en-US"/>
        </w:rPr>
        <w:t>4</w:t>
      </w:r>
      <w:r w:rsidR="00E248F1" w:rsidRPr="0063181F">
        <w:rPr>
          <w:rFonts w:ascii="Arial" w:hAnsi="Arial" w:cs="Arial"/>
          <w:sz w:val="20"/>
          <w:szCs w:val="20"/>
          <w:lang w:val="en-US"/>
        </w:rPr>
        <w:t>b</w:t>
      </w:r>
      <w:r w:rsidR="0014213E" w:rsidRPr="0063181F">
        <w:rPr>
          <w:rFonts w:ascii="Arial" w:hAnsi="Arial" w:cs="Arial"/>
          <w:sz w:val="20"/>
          <w:szCs w:val="20"/>
          <w:lang w:val="en-US"/>
        </w:rPr>
        <w:t xml:space="preserve"> (continued):</w:t>
      </w:r>
    </w:p>
    <w:p w:rsidR="001B0D36" w:rsidRDefault="001B0D36" w:rsidP="00F15E21">
      <w:pPr>
        <w:ind w:right="282"/>
        <w:jc w:val="both"/>
        <w:rPr>
          <w:rFonts w:ascii="Arial" w:hAnsi="Arial" w:cs="Arial"/>
          <w:sz w:val="20"/>
          <w:szCs w:val="20"/>
          <w:lang w:val="en-US"/>
        </w:rPr>
      </w:pPr>
    </w:p>
    <w:p w:rsidR="00AF2496" w:rsidRDefault="00AF2496" w:rsidP="00F15E21">
      <w:pPr>
        <w:ind w:right="282"/>
        <w:jc w:val="both"/>
        <w:rPr>
          <w:rFonts w:ascii="Arial" w:hAnsi="Arial" w:cs="Arial"/>
          <w:sz w:val="20"/>
          <w:szCs w:val="20"/>
          <w:lang w:val="en-US"/>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855"/>
        <w:gridCol w:w="1938"/>
        <w:gridCol w:w="1686"/>
        <w:gridCol w:w="1832"/>
        <w:gridCol w:w="1824"/>
      </w:tblGrid>
      <w:tr w:rsidR="00AF2496" w:rsidRPr="004F48F0" w:rsidTr="00AF2496">
        <w:trPr>
          <w:jc w:val="center"/>
        </w:trPr>
        <w:tc>
          <w:tcPr>
            <w:tcW w:w="489" w:type="dxa"/>
            <w:vAlign w:val="center"/>
          </w:tcPr>
          <w:p w:rsidR="00AF2496" w:rsidRPr="00124F83" w:rsidRDefault="00AF2496" w:rsidP="002C594D">
            <w:pPr>
              <w:spacing w:line="360" w:lineRule="auto"/>
              <w:jc w:val="center"/>
              <w:rPr>
                <w:rFonts w:ascii="Arial" w:hAnsi="Arial" w:cs="Arial"/>
                <w:sz w:val="16"/>
                <w:szCs w:val="16"/>
                <w:lang w:val="de-DE"/>
              </w:rPr>
            </w:pPr>
            <w:r w:rsidRPr="00A51255">
              <w:rPr>
                <w:rFonts w:ascii="Arial" w:hAnsi="Arial" w:cs="Arial"/>
                <w:sz w:val="16"/>
                <w:szCs w:val="16"/>
                <w:lang w:val="de-DE"/>
              </w:rPr>
              <w:t>Eq.</w:t>
            </w:r>
          </w:p>
        </w:tc>
        <w:tc>
          <w:tcPr>
            <w:tcW w:w="9135" w:type="dxa"/>
            <w:gridSpan w:val="5"/>
            <w:vAlign w:val="center"/>
          </w:tcPr>
          <w:p w:rsidR="00AF2496" w:rsidRDefault="00AF2496" w:rsidP="002C594D">
            <w:pPr>
              <w:jc w:val="center"/>
              <w:rPr>
                <w:rFonts w:ascii="Arial" w:hAnsi="Arial" w:cs="Arial"/>
                <w:b/>
                <w:sz w:val="18"/>
                <w:szCs w:val="18"/>
                <w:lang w:val="de-DE"/>
              </w:rPr>
            </w:pPr>
          </w:p>
          <w:p w:rsidR="00AF2496" w:rsidRDefault="00AF2496" w:rsidP="002C594D">
            <w:pPr>
              <w:jc w:val="center"/>
              <w:rPr>
                <w:b/>
                <w:i/>
                <w:sz w:val="18"/>
                <w:szCs w:val="18"/>
                <w:lang w:val="de-DE"/>
              </w:rPr>
            </w:pPr>
            <w:r w:rsidRPr="004F48F0">
              <w:rPr>
                <w:rFonts w:ascii="Arial" w:hAnsi="Arial" w:cs="Arial"/>
                <w:b/>
                <w:sz w:val="18"/>
                <w:szCs w:val="18"/>
                <w:lang w:val="de-DE"/>
              </w:rPr>
              <w:t xml:space="preserve">On day </w:t>
            </w:r>
            <w:r w:rsidRPr="004F48F0">
              <w:rPr>
                <w:b/>
                <w:i/>
                <w:sz w:val="18"/>
                <w:szCs w:val="18"/>
                <w:lang w:val="de-DE"/>
              </w:rPr>
              <w:t>t</w:t>
            </w:r>
            <w:r>
              <w:rPr>
                <w:b/>
                <w:i/>
                <w:sz w:val="18"/>
                <w:szCs w:val="18"/>
                <w:lang w:val="de-DE"/>
              </w:rPr>
              <w:t>+1</w:t>
            </w:r>
          </w:p>
          <w:p w:rsidR="00AF2496" w:rsidRPr="004F48F0" w:rsidRDefault="00AF2496" w:rsidP="002C594D">
            <w:pPr>
              <w:jc w:val="center"/>
              <w:rPr>
                <w:rFonts w:ascii="Arial" w:hAnsi="Arial" w:cs="Arial"/>
                <w:b/>
                <w:sz w:val="18"/>
                <w:szCs w:val="18"/>
                <w:lang w:val="de-DE"/>
              </w:rPr>
            </w:pPr>
          </w:p>
        </w:tc>
      </w:tr>
      <w:tr w:rsidR="00CE5762" w:rsidTr="00AF2496">
        <w:trPr>
          <w:jc w:val="center"/>
        </w:trPr>
        <w:tc>
          <w:tcPr>
            <w:tcW w:w="9624" w:type="dxa"/>
            <w:gridSpan w:val="6"/>
            <w:vAlign w:val="center"/>
          </w:tcPr>
          <w:p w:rsidR="00635763" w:rsidRDefault="00635763" w:rsidP="00076908">
            <w:pPr>
              <w:jc w:val="center"/>
              <w:rPr>
                <w:rFonts w:ascii="Arial" w:hAnsi="Arial" w:cs="Arial"/>
                <w:b/>
                <w:sz w:val="18"/>
                <w:szCs w:val="18"/>
                <w:lang w:val="de-DE"/>
              </w:rPr>
            </w:pPr>
          </w:p>
          <w:p w:rsidR="00CE5762" w:rsidRDefault="00CE5762" w:rsidP="00076908">
            <w:pPr>
              <w:jc w:val="center"/>
              <w:rPr>
                <w:rFonts w:ascii="Arial" w:hAnsi="Arial" w:cs="Arial"/>
                <w:b/>
                <w:sz w:val="18"/>
                <w:szCs w:val="18"/>
                <w:lang w:val="de-DE"/>
              </w:rPr>
            </w:pPr>
            <w:r>
              <w:rPr>
                <w:rFonts w:ascii="Arial" w:hAnsi="Arial" w:cs="Arial"/>
                <w:b/>
                <w:sz w:val="18"/>
                <w:szCs w:val="18"/>
                <w:lang w:val="de-DE"/>
              </w:rPr>
              <w:t>Conditional variance</w:t>
            </w:r>
            <w:r w:rsidRPr="009D3E6A">
              <w:rPr>
                <w:rFonts w:ascii="Arial" w:hAnsi="Arial" w:cs="Arial"/>
                <w:b/>
                <w:sz w:val="18"/>
                <w:szCs w:val="18"/>
                <w:lang w:val="de-DE"/>
              </w:rPr>
              <w:t xml:space="preserve"> equation:</w:t>
            </w:r>
          </w:p>
          <w:p w:rsidR="00635763" w:rsidRDefault="00635763" w:rsidP="00076908">
            <w:pPr>
              <w:jc w:val="center"/>
              <w:rPr>
                <w:rFonts w:ascii="Arial" w:hAnsi="Arial" w:cs="Arial"/>
                <w:sz w:val="20"/>
                <w:szCs w:val="20"/>
                <w:lang w:val="de-DE"/>
              </w:rPr>
            </w:pPr>
          </w:p>
        </w:tc>
      </w:tr>
      <w:tr w:rsidR="00635763" w:rsidRPr="00A51255" w:rsidTr="00AF2496">
        <w:trPr>
          <w:jc w:val="center"/>
        </w:trPr>
        <w:tc>
          <w:tcPr>
            <w:tcW w:w="489" w:type="dxa"/>
            <w:vAlign w:val="center"/>
          </w:tcPr>
          <w:p w:rsidR="00752393" w:rsidRPr="00A51255" w:rsidRDefault="00C65448" w:rsidP="00076908">
            <w:pPr>
              <w:spacing w:line="360" w:lineRule="auto"/>
              <w:jc w:val="center"/>
              <w:rPr>
                <w:rFonts w:ascii="Arial" w:hAnsi="Arial" w:cs="Arial"/>
                <w:sz w:val="16"/>
                <w:szCs w:val="16"/>
                <w:lang w:val="de-DE"/>
              </w:rPr>
            </w:pPr>
            <w:r>
              <w:rPr>
                <w:rFonts w:ascii="Arial" w:hAnsi="Arial" w:cs="Arial"/>
                <w:sz w:val="16"/>
                <w:szCs w:val="16"/>
                <w:lang w:val="de-DE"/>
              </w:rPr>
              <w:t>(</w:t>
            </w:r>
            <w:r w:rsidR="00752393">
              <w:rPr>
                <w:rFonts w:ascii="Arial" w:hAnsi="Arial" w:cs="Arial"/>
                <w:sz w:val="16"/>
                <w:szCs w:val="16"/>
                <w:lang w:val="de-DE"/>
              </w:rPr>
              <w:t>4)</w:t>
            </w:r>
          </w:p>
        </w:tc>
        <w:tc>
          <w:tcPr>
            <w:tcW w:w="1855" w:type="dxa"/>
            <w:vAlign w:val="center"/>
          </w:tcPr>
          <w:p w:rsidR="00752393" w:rsidRPr="004F48F0" w:rsidRDefault="00752393" w:rsidP="00076908">
            <w:pPr>
              <w:jc w:val="center"/>
              <w:rPr>
                <w:rFonts w:ascii="Arial" w:hAnsi="Arial" w:cs="Arial"/>
                <w:b/>
                <w:sz w:val="18"/>
                <w:szCs w:val="18"/>
                <w:lang w:val="de-DE"/>
              </w:rPr>
            </w:pPr>
            <w:r w:rsidRPr="002163BB">
              <w:rPr>
                <w:rFonts w:ascii="Garamond" w:hAnsi="Garamond"/>
                <w:i/>
                <w:position w:val="-12"/>
                <w:lang w:val="de-DE"/>
              </w:rPr>
              <w:object w:dxaOrig="300" w:dyaOrig="400">
                <v:shape id="_x0000_i1135" type="#_x0000_t75" style="width:12.85pt;height:18pt" o:ole="">
                  <v:imagedata r:id="rId110" o:title=""/>
                </v:shape>
                <o:OLEObject Type="Embed" ProgID="Equation.3" ShapeID="_x0000_i1135" DrawAspect="Content" ObjectID="_1507543482" r:id="rId176"/>
              </w:object>
            </w:r>
          </w:p>
        </w:tc>
        <w:tc>
          <w:tcPr>
            <w:tcW w:w="1938" w:type="dxa"/>
            <w:vAlign w:val="center"/>
          </w:tcPr>
          <w:p w:rsidR="00752393" w:rsidRPr="00782238" w:rsidRDefault="00752393" w:rsidP="00076908">
            <w:pPr>
              <w:jc w:val="center"/>
              <w:rPr>
                <w:rFonts w:ascii="Arial" w:hAnsi="Arial" w:cs="Arial"/>
                <w:sz w:val="20"/>
                <w:szCs w:val="20"/>
                <w:lang w:val="de-DE"/>
              </w:rPr>
            </w:pPr>
            <w:r w:rsidRPr="003F385C">
              <w:rPr>
                <w:rFonts w:ascii="Arial" w:hAnsi="Arial" w:cs="Arial"/>
                <w:sz w:val="20"/>
                <w:szCs w:val="20"/>
                <w:lang w:val="de-DE"/>
              </w:rPr>
              <w:t>1527.012</w:t>
            </w:r>
            <w:r>
              <w:rPr>
                <w:rFonts w:ascii="Arial" w:hAnsi="Arial" w:cs="Arial"/>
                <w:sz w:val="20"/>
                <w:szCs w:val="20"/>
                <w:lang w:val="de-DE"/>
              </w:rPr>
              <w:t xml:space="preserve"> ***</w:t>
            </w:r>
          </w:p>
          <w:p w:rsidR="00752393" w:rsidRPr="00782238" w:rsidRDefault="00752393" w:rsidP="00076908">
            <w:pPr>
              <w:jc w:val="center"/>
              <w:rPr>
                <w:rFonts w:ascii="Arial" w:hAnsi="Arial" w:cs="Arial"/>
                <w:sz w:val="20"/>
                <w:szCs w:val="20"/>
                <w:lang w:val="de-DE"/>
              </w:rPr>
            </w:pPr>
            <w:r w:rsidRPr="00782238">
              <w:rPr>
                <w:rFonts w:ascii="Arial" w:hAnsi="Arial" w:cs="Arial"/>
                <w:sz w:val="16"/>
                <w:szCs w:val="16"/>
                <w:lang w:val="de-DE"/>
              </w:rPr>
              <w:t xml:space="preserve"> (</w:t>
            </w:r>
            <w:r w:rsidRPr="003F385C">
              <w:rPr>
                <w:rFonts w:ascii="Arial" w:hAnsi="Arial" w:cs="Arial"/>
                <w:sz w:val="16"/>
                <w:szCs w:val="16"/>
                <w:lang w:val="de-DE"/>
              </w:rPr>
              <w:t>138.1736</w:t>
            </w:r>
            <w:r w:rsidRPr="00782238">
              <w:rPr>
                <w:rFonts w:ascii="Arial" w:hAnsi="Arial" w:cs="Arial"/>
                <w:sz w:val="16"/>
                <w:szCs w:val="16"/>
                <w:lang w:val="de-DE"/>
              </w:rPr>
              <w:t>)</w:t>
            </w:r>
          </w:p>
        </w:tc>
        <w:tc>
          <w:tcPr>
            <w:tcW w:w="1686" w:type="dxa"/>
            <w:vAlign w:val="center"/>
          </w:tcPr>
          <w:p w:rsidR="00752393" w:rsidRPr="00782238" w:rsidRDefault="001D41FB" w:rsidP="00B76BD7">
            <w:pPr>
              <w:jc w:val="center"/>
              <w:rPr>
                <w:rFonts w:ascii="Arial" w:hAnsi="Arial" w:cs="Arial"/>
                <w:sz w:val="20"/>
                <w:szCs w:val="20"/>
                <w:lang w:val="de-DE"/>
              </w:rPr>
            </w:pPr>
            <w:r w:rsidRPr="001D41FB">
              <w:rPr>
                <w:rFonts w:ascii="Arial" w:hAnsi="Arial" w:cs="Arial"/>
                <w:sz w:val="20"/>
                <w:szCs w:val="20"/>
                <w:lang w:val="de-DE"/>
              </w:rPr>
              <w:t>994.4989</w:t>
            </w:r>
            <w:r>
              <w:rPr>
                <w:rFonts w:ascii="Arial" w:hAnsi="Arial" w:cs="Arial"/>
                <w:sz w:val="20"/>
                <w:szCs w:val="20"/>
                <w:lang w:val="de-DE"/>
              </w:rPr>
              <w:t xml:space="preserve"> ***</w:t>
            </w:r>
          </w:p>
          <w:p w:rsidR="00752393" w:rsidRPr="00A51255" w:rsidRDefault="00752393" w:rsidP="00B76BD7">
            <w:pPr>
              <w:jc w:val="center"/>
              <w:rPr>
                <w:lang w:val="en-US"/>
              </w:rPr>
            </w:pPr>
            <w:r w:rsidRPr="00782238">
              <w:rPr>
                <w:rFonts w:ascii="Arial" w:hAnsi="Arial" w:cs="Arial"/>
                <w:sz w:val="16"/>
                <w:szCs w:val="16"/>
                <w:lang w:val="de-DE"/>
              </w:rPr>
              <w:t xml:space="preserve"> (</w:t>
            </w:r>
            <w:r w:rsidR="001D41FB" w:rsidRPr="001D41FB">
              <w:rPr>
                <w:rFonts w:ascii="Arial" w:hAnsi="Arial" w:cs="Arial"/>
                <w:sz w:val="16"/>
                <w:szCs w:val="16"/>
                <w:lang w:val="de-DE"/>
              </w:rPr>
              <w:t>171.4258</w:t>
            </w:r>
            <w:r w:rsidRPr="00782238">
              <w:rPr>
                <w:rFonts w:ascii="Arial" w:hAnsi="Arial" w:cs="Arial"/>
                <w:sz w:val="16"/>
                <w:szCs w:val="16"/>
                <w:lang w:val="de-DE"/>
              </w:rPr>
              <w:t>)</w:t>
            </w:r>
          </w:p>
        </w:tc>
        <w:tc>
          <w:tcPr>
            <w:tcW w:w="1832" w:type="dxa"/>
            <w:vAlign w:val="center"/>
          </w:tcPr>
          <w:p w:rsidR="00752393" w:rsidRPr="00782238" w:rsidRDefault="000B2170" w:rsidP="00B76BD7">
            <w:pPr>
              <w:jc w:val="center"/>
              <w:rPr>
                <w:rFonts w:ascii="Arial" w:hAnsi="Arial" w:cs="Arial"/>
                <w:sz w:val="20"/>
                <w:szCs w:val="20"/>
                <w:lang w:val="de-DE"/>
              </w:rPr>
            </w:pPr>
            <w:r w:rsidRPr="000B2170">
              <w:rPr>
                <w:rFonts w:ascii="Arial" w:hAnsi="Arial" w:cs="Arial"/>
                <w:sz w:val="20"/>
                <w:szCs w:val="20"/>
                <w:lang w:val="de-DE"/>
              </w:rPr>
              <w:t>1415.079</w:t>
            </w:r>
            <w:r w:rsidR="008C5FFF">
              <w:rPr>
                <w:rFonts w:ascii="Arial" w:hAnsi="Arial" w:cs="Arial"/>
                <w:sz w:val="20"/>
                <w:szCs w:val="20"/>
                <w:lang w:val="de-DE"/>
              </w:rPr>
              <w:t xml:space="preserve"> ***</w:t>
            </w:r>
          </w:p>
          <w:p w:rsidR="00752393" w:rsidRPr="00A51255" w:rsidRDefault="00752393" w:rsidP="00B76BD7">
            <w:pPr>
              <w:jc w:val="center"/>
              <w:rPr>
                <w:lang w:val="en-US"/>
              </w:rPr>
            </w:pPr>
            <w:r w:rsidRPr="00782238">
              <w:rPr>
                <w:rFonts w:ascii="Arial" w:hAnsi="Arial" w:cs="Arial"/>
                <w:sz w:val="16"/>
                <w:szCs w:val="16"/>
                <w:lang w:val="de-DE"/>
              </w:rPr>
              <w:t xml:space="preserve"> (</w:t>
            </w:r>
            <w:r w:rsidR="000B2170" w:rsidRPr="000B2170">
              <w:rPr>
                <w:rFonts w:ascii="Arial" w:hAnsi="Arial" w:cs="Arial"/>
                <w:sz w:val="16"/>
                <w:szCs w:val="16"/>
                <w:lang w:val="de-DE"/>
              </w:rPr>
              <w:t>181.0571</w:t>
            </w:r>
            <w:r w:rsidRPr="00782238">
              <w:rPr>
                <w:rFonts w:ascii="Arial" w:hAnsi="Arial" w:cs="Arial"/>
                <w:sz w:val="16"/>
                <w:szCs w:val="16"/>
                <w:lang w:val="de-DE"/>
              </w:rPr>
              <w:t>)</w:t>
            </w:r>
          </w:p>
        </w:tc>
        <w:tc>
          <w:tcPr>
            <w:tcW w:w="1824" w:type="dxa"/>
            <w:vAlign w:val="center"/>
          </w:tcPr>
          <w:p w:rsidR="00752393" w:rsidRPr="00782238" w:rsidRDefault="00752393" w:rsidP="00076908">
            <w:pPr>
              <w:jc w:val="center"/>
              <w:rPr>
                <w:rFonts w:ascii="Arial" w:hAnsi="Arial" w:cs="Arial"/>
                <w:sz w:val="20"/>
                <w:szCs w:val="20"/>
                <w:lang w:val="de-DE"/>
              </w:rPr>
            </w:pPr>
            <w:r w:rsidRPr="00693B5E">
              <w:rPr>
                <w:rFonts w:ascii="Arial" w:hAnsi="Arial" w:cs="Arial"/>
                <w:sz w:val="20"/>
                <w:szCs w:val="20"/>
                <w:lang w:val="de-DE"/>
              </w:rPr>
              <w:t>1344.115</w:t>
            </w:r>
            <w:r>
              <w:rPr>
                <w:rFonts w:ascii="Arial" w:hAnsi="Arial" w:cs="Arial"/>
                <w:sz w:val="20"/>
                <w:szCs w:val="20"/>
                <w:lang w:val="de-DE"/>
              </w:rPr>
              <w:t xml:space="preserve"> ****</w:t>
            </w:r>
          </w:p>
          <w:p w:rsidR="00752393" w:rsidRPr="00A51255" w:rsidRDefault="00752393" w:rsidP="00076908">
            <w:pPr>
              <w:jc w:val="center"/>
              <w:rPr>
                <w:lang w:val="en-US"/>
              </w:rPr>
            </w:pPr>
            <w:r w:rsidRPr="00782238">
              <w:rPr>
                <w:rFonts w:ascii="Arial" w:hAnsi="Arial" w:cs="Arial"/>
                <w:sz w:val="16"/>
                <w:szCs w:val="16"/>
                <w:lang w:val="de-DE"/>
              </w:rPr>
              <w:t xml:space="preserve"> (</w:t>
            </w:r>
            <w:r w:rsidRPr="00693B5E">
              <w:rPr>
                <w:rFonts w:ascii="Arial" w:hAnsi="Arial" w:cs="Arial"/>
                <w:sz w:val="16"/>
                <w:szCs w:val="16"/>
                <w:lang w:val="de-DE"/>
              </w:rPr>
              <w:t>232.1394</w:t>
            </w:r>
            <w:r w:rsidRPr="00782238">
              <w:rPr>
                <w:rFonts w:ascii="Arial" w:hAnsi="Arial" w:cs="Arial"/>
                <w:sz w:val="16"/>
                <w:szCs w:val="16"/>
                <w:lang w:val="de-DE"/>
              </w:rPr>
              <w:t>)</w:t>
            </w:r>
          </w:p>
        </w:tc>
      </w:tr>
      <w:tr w:rsidR="00635763" w:rsidRPr="00A51255" w:rsidTr="00AF2496">
        <w:trPr>
          <w:jc w:val="center"/>
        </w:trPr>
        <w:tc>
          <w:tcPr>
            <w:tcW w:w="489" w:type="dxa"/>
            <w:vAlign w:val="center"/>
          </w:tcPr>
          <w:p w:rsidR="00752393" w:rsidRPr="00A51255" w:rsidRDefault="00C65448" w:rsidP="00076908">
            <w:pPr>
              <w:spacing w:line="360" w:lineRule="auto"/>
              <w:jc w:val="center"/>
              <w:rPr>
                <w:rFonts w:ascii="Arial" w:hAnsi="Arial" w:cs="Arial"/>
                <w:lang w:val="en-US"/>
              </w:rPr>
            </w:pPr>
            <w:r>
              <w:rPr>
                <w:rFonts w:ascii="Arial" w:hAnsi="Arial" w:cs="Arial"/>
                <w:sz w:val="16"/>
                <w:szCs w:val="16"/>
                <w:lang w:val="de-DE"/>
              </w:rPr>
              <w:t>(</w:t>
            </w:r>
            <w:r w:rsidR="00752393">
              <w:rPr>
                <w:rFonts w:ascii="Arial" w:hAnsi="Arial" w:cs="Arial"/>
                <w:sz w:val="16"/>
                <w:szCs w:val="16"/>
                <w:lang w:val="de-DE"/>
              </w:rPr>
              <w:t>4)</w:t>
            </w:r>
          </w:p>
        </w:tc>
        <w:tc>
          <w:tcPr>
            <w:tcW w:w="1855" w:type="dxa"/>
            <w:vAlign w:val="center"/>
          </w:tcPr>
          <w:p w:rsidR="00752393" w:rsidRPr="004F48F0" w:rsidRDefault="00752393" w:rsidP="00076908">
            <w:pPr>
              <w:jc w:val="center"/>
              <w:rPr>
                <w:rFonts w:ascii="Arial" w:hAnsi="Arial" w:cs="Arial"/>
                <w:b/>
                <w:sz w:val="18"/>
                <w:szCs w:val="18"/>
                <w:lang w:val="de-DE"/>
              </w:rPr>
            </w:pPr>
            <w:r w:rsidRPr="00B3604A">
              <w:rPr>
                <w:rFonts w:ascii="Garamond" w:hAnsi="Garamond"/>
                <w:i/>
                <w:position w:val="-10"/>
                <w:lang w:val="de-DE"/>
              </w:rPr>
              <w:object w:dxaOrig="279" w:dyaOrig="380">
                <v:shape id="_x0000_i1136" type="#_x0000_t75" style="width:11.55pt;height:16.7pt" o:ole="">
                  <v:imagedata r:id="rId112" o:title=""/>
                </v:shape>
                <o:OLEObject Type="Embed" ProgID="Equation.3" ShapeID="_x0000_i1136" DrawAspect="Content" ObjectID="_1507543483" r:id="rId177"/>
              </w:object>
            </w:r>
          </w:p>
        </w:tc>
        <w:tc>
          <w:tcPr>
            <w:tcW w:w="1938" w:type="dxa"/>
            <w:vAlign w:val="center"/>
          </w:tcPr>
          <w:p w:rsidR="00752393" w:rsidRPr="00782238" w:rsidRDefault="00752393" w:rsidP="00076908">
            <w:pPr>
              <w:jc w:val="center"/>
              <w:rPr>
                <w:rFonts w:ascii="Arial" w:hAnsi="Arial" w:cs="Arial"/>
                <w:sz w:val="20"/>
                <w:szCs w:val="20"/>
                <w:lang w:val="de-DE"/>
              </w:rPr>
            </w:pPr>
            <w:r w:rsidRPr="003F385C">
              <w:rPr>
                <w:rFonts w:ascii="Arial" w:hAnsi="Arial" w:cs="Arial"/>
                <w:sz w:val="20"/>
                <w:szCs w:val="20"/>
                <w:lang w:val="de-DE"/>
              </w:rPr>
              <w:t>0.254579</w:t>
            </w:r>
            <w:r>
              <w:rPr>
                <w:rFonts w:ascii="Arial" w:hAnsi="Arial" w:cs="Arial"/>
                <w:sz w:val="20"/>
                <w:szCs w:val="20"/>
                <w:lang w:val="de-DE"/>
              </w:rPr>
              <w:t xml:space="preserve"> ***</w:t>
            </w:r>
          </w:p>
          <w:p w:rsidR="00752393" w:rsidRPr="00782238" w:rsidRDefault="00752393" w:rsidP="00076908">
            <w:pPr>
              <w:jc w:val="center"/>
              <w:rPr>
                <w:rFonts w:ascii="Arial" w:hAnsi="Arial" w:cs="Arial"/>
                <w:sz w:val="20"/>
                <w:szCs w:val="20"/>
                <w:lang w:val="de-DE"/>
              </w:rPr>
            </w:pPr>
            <w:r w:rsidRPr="00782238">
              <w:rPr>
                <w:rFonts w:ascii="Arial" w:hAnsi="Arial" w:cs="Arial"/>
                <w:sz w:val="16"/>
                <w:szCs w:val="16"/>
                <w:lang w:val="de-DE"/>
              </w:rPr>
              <w:t xml:space="preserve"> (</w:t>
            </w:r>
            <w:r w:rsidRPr="003F385C">
              <w:rPr>
                <w:rFonts w:ascii="Arial" w:hAnsi="Arial" w:cs="Arial"/>
                <w:sz w:val="16"/>
                <w:szCs w:val="16"/>
                <w:lang w:val="de-DE"/>
              </w:rPr>
              <w:t>0.095084</w:t>
            </w:r>
            <w:r w:rsidRPr="00782238">
              <w:rPr>
                <w:rFonts w:ascii="Arial" w:hAnsi="Arial" w:cs="Arial"/>
                <w:sz w:val="16"/>
                <w:szCs w:val="16"/>
                <w:lang w:val="de-DE"/>
              </w:rPr>
              <w:t>)</w:t>
            </w:r>
          </w:p>
        </w:tc>
        <w:tc>
          <w:tcPr>
            <w:tcW w:w="1686" w:type="dxa"/>
            <w:vAlign w:val="center"/>
          </w:tcPr>
          <w:p w:rsidR="00752393" w:rsidRPr="00782238" w:rsidRDefault="001D41FB" w:rsidP="00B76BD7">
            <w:pPr>
              <w:jc w:val="center"/>
              <w:rPr>
                <w:rFonts w:ascii="Arial" w:hAnsi="Arial" w:cs="Arial"/>
                <w:sz w:val="20"/>
                <w:szCs w:val="20"/>
                <w:lang w:val="de-DE"/>
              </w:rPr>
            </w:pPr>
            <w:r w:rsidRPr="001D41FB">
              <w:rPr>
                <w:rFonts w:ascii="Arial" w:hAnsi="Arial" w:cs="Arial"/>
                <w:sz w:val="20"/>
                <w:szCs w:val="20"/>
                <w:lang w:val="de-DE"/>
              </w:rPr>
              <w:t>0.251314</w:t>
            </w:r>
            <w:r>
              <w:rPr>
                <w:rFonts w:ascii="Arial" w:hAnsi="Arial" w:cs="Arial"/>
                <w:sz w:val="20"/>
                <w:szCs w:val="20"/>
                <w:lang w:val="de-DE"/>
              </w:rPr>
              <w:t xml:space="preserve"> ***</w:t>
            </w:r>
          </w:p>
          <w:p w:rsidR="00752393" w:rsidRPr="00A51255" w:rsidRDefault="00752393" w:rsidP="00B76BD7">
            <w:pPr>
              <w:jc w:val="center"/>
              <w:rPr>
                <w:lang w:val="en-US"/>
              </w:rPr>
            </w:pPr>
            <w:r w:rsidRPr="00782238">
              <w:rPr>
                <w:rFonts w:ascii="Arial" w:hAnsi="Arial" w:cs="Arial"/>
                <w:sz w:val="16"/>
                <w:szCs w:val="16"/>
                <w:lang w:val="de-DE"/>
              </w:rPr>
              <w:t xml:space="preserve"> (</w:t>
            </w:r>
            <w:r w:rsidR="001D41FB" w:rsidRPr="001D41FB">
              <w:rPr>
                <w:rFonts w:ascii="Arial" w:hAnsi="Arial" w:cs="Arial"/>
                <w:sz w:val="16"/>
                <w:szCs w:val="16"/>
                <w:lang w:val="de-DE"/>
              </w:rPr>
              <w:t>0.039900</w:t>
            </w:r>
            <w:r w:rsidRPr="00782238">
              <w:rPr>
                <w:rFonts w:ascii="Arial" w:hAnsi="Arial" w:cs="Arial"/>
                <w:sz w:val="16"/>
                <w:szCs w:val="16"/>
                <w:lang w:val="de-DE"/>
              </w:rPr>
              <w:t>)</w:t>
            </w:r>
          </w:p>
        </w:tc>
        <w:tc>
          <w:tcPr>
            <w:tcW w:w="1832" w:type="dxa"/>
            <w:vAlign w:val="center"/>
          </w:tcPr>
          <w:p w:rsidR="00752393" w:rsidRPr="00782238" w:rsidRDefault="000501C1" w:rsidP="00B76BD7">
            <w:pPr>
              <w:jc w:val="center"/>
              <w:rPr>
                <w:rFonts w:ascii="Arial" w:hAnsi="Arial" w:cs="Arial"/>
                <w:sz w:val="20"/>
                <w:szCs w:val="20"/>
                <w:lang w:val="de-DE"/>
              </w:rPr>
            </w:pPr>
            <w:r w:rsidRPr="000501C1">
              <w:rPr>
                <w:rFonts w:ascii="Arial" w:hAnsi="Arial" w:cs="Arial"/>
                <w:sz w:val="20"/>
                <w:szCs w:val="20"/>
                <w:lang w:val="de-DE"/>
              </w:rPr>
              <w:t>0.270622</w:t>
            </w:r>
            <w:r>
              <w:rPr>
                <w:rFonts w:ascii="Arial" w:hAnsi="Arial" w:cs="Arial"/>
                <w:sz w:val="20"/>
                <w:szCs w:val="20"/>
                <w:lang w:val="de-DE"/>
              </w:rPr>
              <w:t xml:space="preserve"> ***</w:t>
            </w:r>
          </w:p>
          <w:p w:rsidR="00752393" w:rsidRPr="00A51255" w:rsidRDefault="00752393" w:rsidP="00B76BD7">
            <w:pPr>
              <w:jc w:val="center"/>
              <w:rPr>
                <w:lang w:val="en-US"/>
              </w:rPr>
            </w:pPr>
            <w:r w:rsidRPr="00782238">
              <w:rPr>
                <w:rFonts w:ascii="Arial" w:hAnsi="Arial" w:cs="Arial"/>
                <w:sz w:val="16"/>
                <w:szCs w:val="16"/>
                <w:lang w:val="de-DE"/>
              </w:rPr>
              <w:t xml:space="preserve"> (</w:t>
            </w:r>
            <w:r w:rsidR="000501C1" w:rsidRPr="000501C1">
              <w:rPr>
                <w:rFonts w:ascii="Arial" w:hAnsi="Arial" w:cs="Arial"/>
                <w:sz w:val="16"/>
                <w:szCs w:val="16"/>
                <w:lang w:val="de-DE"/>
              </w:rPr>
              <w:t>0.047464</w:t>
            </w:r>
            <w:r w:rsidRPr="00782238">
              <w:rPr>
                <w:rFonts w:ascii="Arial" w:hAnsi="Arial" w:cs="Arial"/>
                <w:sz w:val="16"/>
                <w:szCs w:val="16"/>
                <w:lang w:val="de-DE"/>
              </w:rPr>
              <w:t>)</w:t>
            </w:r>
          </w:p>
        </w:tc>
        <w:tc>
          <w:tcPr>
            <w:tcW w:w="1824" w:type="dxa"/>
            <w:vAlign w:val="center"/>
          </w:tcPr>
          <w:p w:rsidR="00752393" w:rsidRPr="00782238" w:rsidRDefault="00752393" w:rsidP="00076908">
            <w:pPr>
              <w:jc w:val="center"/>
              <w:rPr>
                <w:rFonts w:ascii="Arial" w:hAnsi="Arial" w:cs="Arial"/>
                <w:sz w:val="20"/>
                <w:szCs w:val="20"/>
                <w:lang w:val="de-DE"/>
              </w:rPr>
            </w:pPr>
            <w:r w:rsidRPr="001E66B3">
              <w:rPr>
                <w:rFonts w:ascii="Arial" w:hAnsi="Arial" w:cs="Arial"/>
                <w:sz w:val="20"/>
                <w:szCs w:val="20"/>
                <w:lang w:val="de-DE"/>
              </w:rPr>
              <w:t>0.290202</w:t>
            </w:r>
            <w:r>
              <w:rPr>
                <w:rFonts w:ascii="Arial" w:hAnsi="Arial" w:cs="Arial"/>
                <w:sz w:val="20"/>
                <w:szCs w:val="20"/>
                <w:lang w:val="de-DE"/>
              </w:rPr>
              <w:t xml:space="preserve"> ***</w:t>
            </w:r>
          </w:p>
          <w:p w:rsidR="00752393" w:rsidRPr="00A51255" w:rsidRDefault="00752393" w:rsidP="00076908">
            <w:pPr>
              <w:jc w:val="center"/>
              <w:rPr>
                <w:lang w:val="en-US"/>
              </w:rPr>
            </w:pPr>
            <w:r w:rsidRPr="00782238">
              <w:rPr>
                <w:rFonts w:ascii="Arial" w:hAnsi="Arial" w:cs="Arial"/>
                <w:sz w:val="16"/>
                <w:szCs w:val="16"/>
                <w:lang w:val="de-DE"/>
              </w:rPr>
              <w:t xml:space="preserve"> (</w:t>
            </w:r>
            <w:r w:rsidRPr="001E66B3">
              <w:rPr>
                <w:rFonts w:ascii="Arial" w:hAnsi="Arial" w:cs="Arial"/>
                <w:sz w:val="16"/>
                <w:szCs w:val="16"/>
                <w:lang w:val="de-DE"/>
              </w:rPr>
              <w:t>0.078924</w:t>
            </w:r>
            <w:r w:rsidRPr="00782238">
              <w:rPr>
                <w:rFonts w:ascii="Arial" w:hAnsi="Arial" w:cs="Arial"/>
                <w:sz w:val="16"/>
                <w:szCs w:val="16"/>
                <w:lang w:val="de-DE"/>
              </w:rPr>
              <w:t>)</w:t>
            </w:r>
          </w:p>
        </w:tc>
      </w:tr>
      <w:tr w:rsidR="00635763" w:rsidRPr="00A51255" w:rsidTr="00AF2496">
        <w:trPr>
          <w:jc w:val="center"/>
        </w:trPr>
        <w:tc>
          <w:tcPr>
            <w:tcW w:w="489" w:type="dxa"/>
            <w:vAlign w:val="center"/>
          </w:tcPr>
          <w:p w:rsidR="00752393" w:rsidRPr="00A51255" w:rsidRDefault="00C65448" w:rsidP="00076908">
            <w:pPr>
              <w:spacing w:line="360" w:lineRule="auto"/>
              <w:jc w:val="center"/>
              <w:rPr>
                <w:rFonts w:ascii="Arial" w:hAnsi="Arial" w:cs="Arial"/>
                <w:lang w:val="en-US"/>
              </w:rPr>
            </w:pPr>
            <w:r>
              <w:rPr>
                <w:rFonts w:ascii="Arial" w:hAnsi="Arial" w:cs="Arial"/>
                <w:sz w:val="16"/>
                <w:szCs w:val="16"/>
                <w:lang w:val="de-DE"/>
              </w:rPr>
              <w:t>(</w:t>
            </w:r>
            <w:r w:rsidR="00752393">
              <w:rPr>
                <w:rFonts w:ascii="Arial" w:hAnsi="Arial" w:cs="Arial"/>
                <w:sz w:val="16"/>
                <w:szCs w:val="16"/>
                <w:lang w:val="de-DE"/>
              </w:rPr>
              <w:t>4)</w:t>
            </w:r>
          </w:p>
        </w:tc>
        <w:tc>
          <w:tcPr>
            <w:tcW w:w="1855" w:type="dxa"/>
            <w:vAlign w:val="center"/>
          </w:tcPr>
          <w:p w:rsidR="00752393" w:rsidRPr="004F48F0" w:rsidRDefault="00752393" w:rsidP="00076908">
            <w:pPr>
              <w:jc w:val="center"/>
              <w:rPr>
                <w:rFonts w:ascii="Arial" w:hAnsi="Arial" w:cs="Arial"/>
                <w:b/>
                <w:sz w:val="18"/>
                <w:szCs w:val="18"/>
                <w:lang w:val="de-DE"/>
              </w:rPr>
            </w:pPr>
            <w:r w:rsidRPr="002C5A6B">
              <w:rPr>
                <w:rFonts w:ascii="Garamond" w:hAnsi="Garamond"/>
                <w:i/>
                <w:position w:val="-10"/>
                <w:lang w:val="de-DE"/>
              </w:rPr>
              <w:object w:dxaOrig="300" w:dyaOrig="380">
                <v:shape id="_x0000_i1137" type="#_x0000_t75" style="width:12.85pt;height:16.7pt" o:ole="">
                  <v:imagedata r:id="rId114" o:title=""/>
                </v:shape>
                <o:OLEObject Type="Embed" ProgID="Equation.3" ShapeID="_x0000_i1137" DrawAspect="Content" ObjectID="_1507543484" r:id="rId178"/>
              </w:object>
            </w:r>
          </w:p>
        </w:tc>
        <w:tc>
          <w:tcPr>
            <w:tcW w:w="1938" w:type="dxa"/>
            <w:vAlign w:val="center"/>
          </w:tcPr>
          <w:p w:rsidR="00752393" w:rsidRPr="00782238" w:rsidRDefault="00752393" w:rsidP="00076908">
            <w:pPr>
              <w:jc w:val="center"/>
              <w:rPr>
                <w:rFonts w:ascii="Arial" w:hAnsi="Arial" w:cs="Arial"/>
                <w:sz w:val="20"/>
                <w:szCs w:val="20"/>
                <w:lang w:val="de-DE"/>
              </w:rPr>
            </w:pPr>
            <w:r>
              <w:rPr>
                <w:rFonts w:ascii="Arial" w:hAnsi="Arial" w:cs="Arial"/>
                <w:sz w:val="20"/>
                <w:szCs w:val="20"/>
                <w:lang w:val="de-DE"/>
              </w:rPr>
              <w:t>-</w:t>
            </w:r>
          </w:p>
        </w:tc>
        <w:tc>
          <w:tcPr>
            <w:tcW w:w="1686" w:type="dxa"/>
            <w:vAlign w:val="center"/>
          </w:tcPr>
          <w:p w:rsidR="00752393" w:rsidRPr="00782238" w:rsidRDefault="001D41FB" w:rsidP="00B76BD7">
            <w:pPr>
              <w:jc w:val="center"/>
              <w:rPr>
                <w:rFonts w:ascii="Arial" w:hAnsi="Arial" w:cs="Arial"/>
                <w:sz w:val="20"/>
                <w:szCs w:val="20"/>
                <w:lang w:val="de-DE"/>
              </w:rPr>
            </w:pPr>
            <w:r w:rsidRPr="001D41FB">
              <w:rPr>
                <w:rFonts w:ascii="Arial" w:hAnsi="Arial" w:cs="Arial"/>
                <w:sz w:val="20"/>
                <w:szCs w:val="20"/>
                <w:lang w:val="de-DE"/>
              </w:rPr>
              <w:t>0.315820</w:t>
            </w:r>
            <w:r>
              <w:rPr>
                <w:rFonts w:ascii="Arial" w:hAnsi="Arial" w:cs="Arial"/>
                <w:sz w:val="20"/>
                <w:szCs w:val="20"/>
                <w:lang w:val="de-DE"/>
              </w:rPr>
              <w:t xml:space="preserve"> ***</w:t>
            </w:r>
          </w:p>
          <w:p w:rsidR="00752393" w:rsidRPr="00A51255" w:rsidRDefault="00752393" w:rsidP="00B76BD7">
            <w:pPr>
              <w:jc w:val="center"/>
              <w:rPr>
                <w:lang w:val="en-US"/>
              </w:rPr>
            </w:pPr>
            <w:r w:rsidRPr="00782238">
              <w:rPr>
                <w:rFonts w:ascii="Arial" w:hAnsi="Arial" w:cs="Arial"/>
                <w:sz w:val="16"/>
                <w:szCs w:val="16"/>
                <w:lang w:val="de-DE"/>
              </w:rPr>
              <w:t xml:space="preserve"> (</w:t>
            </w:r>
            <w:r w:rsidR="001D41FB" w:rsidRPr="001D41FB">
              <w:rPr>
                <w:rFonts w:ascii="Arial" w:hAnsi="Arial" w:cs="Arial"/>
                <w:sz w:val="16"/>
                <w:szCs w:val="16"/>
                <w:lang w:val="de-DE"/>
              </w:rPr>
              <w:t>0.080866</w:t>
            </w:r>
            <w:r w:rsidRPr="00782238">
              <w:rPr>
                <w:rFonts w:ascii="Arial" w:hAnsi="Arial" w:cs="Arial"/>
                <w:sz w:val="16"/>
                <w:szCs w:val="16"/>
                <w:lang w:val="de-DE"/>
              </w:rPr>
              <w:t>)</w:t>
            </w:r>
          </w:p>
        </w:tc>
        <w:tc>
          <w:tcPr>
            <w:tcW w:w="1832" w:type="dxa"/>
            <w:vAlign w:val="center"/>
          </w:tcPr>
          <w:p w:rsidR="00752393" w:rsidRPr="00782238" w:rsidRDefault="000501C1" w:rsidP="00B76BD7">
            <w:pPr>
              <w:jc w:val="center"/>
              <w:rPr>
                <w:rFonts w:ascii="Arial" w:hAnsi="Arial" w:cs="Arial"/>
                <w:sz w:val="20"/>
                <w:szCs w:val="20"/>
                <w:lang w:val="de-DE"/>
              </w:rPr>
            </w:pPr>
            <w:r w:rsidRPr="000501C1">
              <w:rPr>
                <w:rFonts w:ascii="Arial" w:hAnsi="Arial" w:cs="Arial"/>
                <w:sz w:val="20"/>
                <w:szCs w:val="20"/>
                <w:lang w:val="de-DE"/>
              </w:rPr>
              <w:t>0.129131</w:t>
            </w:r>
            <w:r>
              <w:rPr>
                <w:rFonts w:ascii="Arial" w:hAnsi="Arial" w:cs="Arial"/>
                <w:sz w:val="20"/>
                <w:szCs w:val="20"/>
                <w:lang w:val="de-DE"/>
              </w:rPr>
              <w:t xml:space="preserve"> *</w:t>
            </w:r>
          </w:p>
          <w:p w:rsidR="00752393" w:rsidRPr="00A51255" w:rsidRDefault="00752393" w:rsidP="00B76BD7">
            <w:pPr>
              <w:jc w:val="center"/>
              <w:rPr>
                <w:lang w:val="en-US"/>
              </w:rPr>
            </w:pPr>
            <w:r w:rsidRPr="00782238">
              <w:rPr>
                <w:rFonts w:ascii="Arial" w:hAnsi="Arial" w:cs="Arial"/>
                <w:sz w:val="16"/>
                <w:szCs w:val="16"/>
                <w:lang w:val="de-DE"/>
              </w:rPr>
              <w:t xml:space="preserve"> (</w:t>
            </w:r>
            <w:r w:rsidR="000501C1" w:rsidRPr="000501C1">
              <w:rPr>
                <w:rFonts w:ascii="Arial" w:hAnsi="Arial" w:cs="Arial"/>
                <w:sz w:val="16"/>
                <w:szCs w:val="16"/>
                <w:lang w:val="de-DE"/>
              </w:rPr>
              <w:t>0.069902</w:t>
            </w:r>
            <w:r w:rsidRPr="00782238">
              <w:rPr>
                <w:rFonts w:ascii="Arial" w:hAnsi="Arial" w:cs="Arial"/>
                <w:sz w:val="16"/>
                <w:szCs w:val="16"/>
                <w:lang w:val="de-DE"/>
              </w:rPr>
              <w:t>)</w:t>
            </w:r>
          </w:p>
        </w:tc>
        <w:tc>
          <w:tcPr>
            <w:tcW w:w="1824" w:type="dxa"/>
            <w:vAlign w:val="center"/>
          </w:tcPr>
          <w:p w:rsidR="00752393" w:rsidRPr="00782238" w:rsidRDefault="00752393" w:rsidP="00076908">
            <w:pPr>
              <w:jc w:val="center"/>
              <w:rPr>
                <w:rFonts w:ascii="Arial" w:hAnsi="Arial" w:cs="Arial"/>
                <w:sz w:val="20"/>
                <w:szCs w:val="20"/>
                <w:lang w:val="de-DE"/>
              </w:rPr>
            </w:pPr>
            <w:r w:rsidRPr="001E66B3">
              <w:rPr>
                <w:rFonts w:ascii="Arial" w:hAnsi="Arial" w:cs="Arial"/>
                <w:sz w:val="20"/>
                <w:szCs w:val="20"/>
                <w:lang w:val="de-DE"/>
              </w:rPr>
              <w:t>0.084959</w:t>
            </w:r>
          </w:p>
          <w:p w:rsidR="00752393" w:rsidRPr="00A51255" w:rsidRDefault="00752393" w:rsidP="00076908">
            <w:pPr>
              <w:jc w:val="center"/>
              <w:rPr>
                <w:lang w:val="en-US"/>
              </w:rPr>
            </w:pPr>
            <w:r w:rsidRPr="00782238">
              <w:rPr>
                <w:rFonts w:ascii="Arial" w:hAnsi="Arial" w:cs="Arial"/>
                <w:sz w:val="16"/>
                <w:szCs w:val="16"/>
                <w:lang w:val="de-DE"/>
              </w:rPr>
              <w:t xml:space="preserve"> (</w:t>
            </w:r>
            <w:r w:rsidRPr="001E66B3">
              <w:rPr>
                <w:rFonts w:ascii="Arial" w:hAnsi="Arial" w:cs="Arial"/>
                <w:sz w:val="16"/>
                <w:szCs w:val="16"/>
                <w:lang w:val="de-DE"/>
              </w:rPr>
              <w:t>0.4946</w:t>
            </w:r>
            <w:r w:rsidRPr="00782238">
              <w:rPr>
                <w:rFonts w:ascii="Arial" w:hAnsi="Arial" w:cs="Arial"/>
                <w:sz w:val="16"/>
                <w:szCs w:val="16"/>
                <w:lang w:val="de-DE"/>
              </w:rPr>
              <w:t>)</w:t>
            </w:r>
          </w:p>
        </w:tc>
      </w:tr>
      <w:tr w:rsidR="00635763" w:rsidRPr="00326E18" w:rsidTr="00AF2496">
        <w:trPr>
          <w:jc w:val="center"/>
        </w:trPr>
        <w:tc>
          <w:tcPr>
            <w:tcW w:w="489" w:type="dxa"/>
            <w:tcBorders>
              <w:top w:val="single" w:sz="4" w:space="0" w:color="auto"/>
              <w:left w:val="single" w:sz="4" w:space="0" w:color="auto"/>
              <w:bottom w:val="single" w:sz="4" w:space="0" w:color="auto"/>
              <w:right w:val="single" w:sz="4" w:space="0" w:color="auto"/>
            </w:tcBorders>
            <w:vAlign w:val="center"/>
          </w:tcPr>
          <w:p w:rsidR="00752393" w:rsidRPr="00326E18" w:rsidRDefault="00C65448" w:rsidP="00076908">
            <w:pPr>
              <w:spacing w:line="360" w:lineRule="auto"/>
              <w:jc w:val="center"/>
              <w:rPr>
                <w:rFonts w:ascii="Arial" w:hAnsi="Arial" w:cs="Arial"/>
                <w:sz w:val="16"/>
                <w:szCs w:val="16"/>
                <w:lang w:val="de-DE"/>
              </w:rPr>
            </w:pPr>
            <w:r>
              <w:rPr>
                <w:rFonts w:ascii="Arial" w:hAnsi="Arial" w:cs="Arial"/>
                <w:sz w:val="16"/>
                <w:szCs w:val="16"/>
                <w:lang w:val="de-DE"/>
              </w:rPr>
              <w:t>(</w:t>
            </w:r>
            <w:r w:rsidR="00752393">
              <w:rPr>
                <w:rFonts w:ascii="Arial" w:hAnsi="Arial" w:cs="Arial"/>
                <w:sz w:val="16"/>
                <w:szCs w:val="16"/>
                <w:lang w:val="de-DE"/>
              </w:rPr>
              <w:t>4)</w:t>
            </w:r>
          </w:p>
        </w:tc>
        <w:tc>
          <w:tcPr>
            <w:tcW w:w="1855" w:type="dxa"/>
            <w:tcBorders>
              <w:top w:val="single" w:sz="4" w:space="0" w:color="auto"/>
              <w:left w:val="single" w:sz="4" w:space="0" w:color="auto"/>
              <w:bottom w:val="single" w:sz="4" w:space="0" w:color="auto"/>
              <w:right w:val="single" w:sz="4" w:space="0" w:color="auto"/>
            </w:tcBorders>
            <w:vAlign w:val="center"/>
          </w:tcPr>
          <w:p w:rsidR="00752393" w:rsidRPr="00326E18" w:rsidRDefault="00752393" w:rsidP="00076908">
            <w:pPr>
              <w:jc w:val="center"/>
              <w:rPr>
                <w:rFonts w:ascii="Garamond" w:hAnsi="Garamond"/>
                <w:i/>
                <w:lang w:val="de-DE"/>
              </w:rPr>
            </w:pPr>
            <w:r w:rsidRPr="00326E18">
              <w:rPr>
                <w:rFonts w:ascii="Garamond" w:hAnsi="Garamond"/>
                <w:i/>
                <w:lang w:val="de-DE"/>
              </w:rPr>
              <w:object w:dxaOrig="300" w:dyaOrig="400">
                <v:shape id="_x0000_i1138" type="#_x0000_t75" style="width:12.85pt;height:18pt" o:ole="">
                  <v:imagedata r:id="rId179" o:title=""/>
                </v:shape>
                <o:OLEObject Type="Embed" ProgID="Equation.3" ShapeID="_x0000_i1138" DrawAspect="Content" ObjectID="_1507543485" r:id="rId180"/>
              </w:object>
            </w:r>
          </w:p>
        </w:tc>
        <w:tc>
          <w:tcPr>
            <w:tcW w:w="1938" w:type="dxa"/>
            <w:tcBorders>
              <w:top w:val="single" w:sz="4" w:space="0" w:color="auto"/>
              <w:left w:val="single" w:sz="4" w:space="0" w:color="auto"/>
              <w:bottom w:val="single" w:sz="4" w:space="0" w:color="auto"/>
              <w:right w:val="single" w:sz="4" w:space="0" w:color="auto"/>
            </w:tcBorders>
            <w:vAlign w:val="center"/>
          </w:tcPr>
          <w:p w:rsidR="00752393" w:rsidRPr="00782238" w:rsidRDefault="00752393" w:rsidP="00076908">
            <w:pPr>
              <w:jc w:val="center"/>
              <w:rPr>
                <w:rFonts w:ascii="Arial" w:hAnsi="Arial" w:cs="Arial"/>
                <w:sz w:val="20"/>
                <w:szCs w:val="20"/>
                <w:lang w:val="de-DE"/>
              </w:rPr>
            </w:pPr>
            <w:r w:rsidRPr="00E72FAD">
              <w:rPr>
                <w:rFonts w:ascii="Arial" w:hAnsi="Arial" w:cs="Arial"/>
                <w:sz w:val="20"/>
                <w:szCs w:val="20"/>
                <w:lang w:val="de-DE"/>
              </w:rPr>
              <w:t>312.1672</w:t>
            </w:r>
          </w:p>
          <w:p w:rsidR="00752393" w:rsidRPr="00782238" w:rsidRDefault="00752393" w:rsidP="00076908">
            <w:pPr>
              <w:jc w:val="center"/>
              <w:rPr>
                <w:rFonts w:ascii="Arial" w:hAnsi="Arial" w:cs="Arial"/>
                <w:sz w:val="20"/>
                <w:szCs w:val="20"/>
                <w:lang w:val="de-DE"/>
              </w:rPr>
            </w:pPr>
            <w:r w:rsidRPr="00326E18">
              <w:rPr>
                <w:rFonts w:ascii="Arial" w:hAnsi="Arial" w:cs="Arial"/>
                <w:sz w:val="20"/>
                <w:szCs w:val="20"/>
                <w:lang w:val="de-DE"/>
              </w:rPr>
              <w:t xml:space="preserve"> (</w:t>
            </w:r>
            <w:r w:rsidRPr="00E72FAD">
              <w:rPr>
                <w:rFonts w:ascii="Arial" w:hAnsi="Arial" w:cs="Arial"/>
                <w:sz w:val="20"/>
                <w:szCs w:val="20"/>
                <w:lang w:val="de-DE"/>
              </w:rPr>
              <w:t>194.5050</w:t>
            </w:r>
            <w:r w:rsidRPr="00326E18">
              <w:rPr>
                <w:rFonts w:ascii="Arial" w:hAnsi="Arial" w:cs="Arial"/>
                <w:sz w:val="20"/>
                <w:szCs w:val="20"/>
                <w:lang w:val="de-DE"/>
              </w:rPr>
              <w:t>)</w:t>
            </w:r>
          </w:p>
        </w:tc>
        <w:tc>
          <w:tcPr>
            <w:tcW w:w="1686" w:type="dxa"/>
            <w:tcBorders>
              <w:top w:val="single" w:sz="4" w:space="0" w:color="auto"/>
              <w:left w:val="single" w:sz="4" w:space="0" w:color="auto"/>
              <w:bottom w:val="single" w:sz="4" w:space="0" w:color="auto"/>
              <w:right w:val="single" w:sz="4" w:space="0" w:color="auto"/>
            </w:tcBorders>
            <w:vAlign w:val="center"/>
          </w:tcPr>
          <w:p w:rsidR="00752393" w:rsidRPr="00782238" w:rsidRDefault="00E95F50" w:rsidP="00B76BD7">
            <w:pPr>
              <w:jc w:val="center"/>
              <w:rPr>
                <w:rFonts w:ascii="Arial" w:hAnsi="Arial" w:cs="Arial"/>
                <w:sz w:val="20"/>
                <w:szCs w:val="20"/>
                <w:lang w:val="de-DE"/>
              </w:rPr>
            </w:pPr>
            <w:r w:rsidRPr="00E95F50">
              <w:rPr>
                <w:rFonts w:ascii="Arial" w:hAnsi="Arial" w:cs="Arial"/>
                <w:sz w:val="20"/>
                <w:szCs w:val="20"/>
                <w:lang w:val="de-DE"/>
              </w:rPr>
              <w:t>174.3411</w:t>
            </w:r>
          </w:p>
          <w:p w:rsidR="00752393" w:rsidRPr="00A51255" w:rsidRDefault="00752393" w:rsidP="00B76BD7">
            <w:pPr>
              <w:jc w:val="center"/>
              <w:rPr>
                <w:lang w:val="en-US"/>
              </w:rPr>
            </w:pPr>
            <w:r w:rsidRPr="00782238">
              <w:rPr>
                <w:rFonts w:ascii="Arial" w:hAnsi="Arial" w:cs="Arial"/>
                <w:sz w:val="16"/>
                <w:szCs w:val="16"/>
                <w:lang w:val="de-DE"/>
              </w:rPr>
              <w:t xml:space="preserve"> (</w:t>
            </w:r>
            <w:r w:rsidR="00E95F50" w:rsidRPr="00E95F50">
              <w:rPr>
                <w:rFonts w:ascii="Arial" w:hAnsi="Arial" w:cs="Arial"/>
                <w:sz w:val="16"/>
                <w:szCs w:val="16"/>
                <w:lang w:val="de-DE"/>
              </w:rPr>
              <w:t>129.1036</w:t>
            </w:r>
            <w:r w:rsidRPr="00782238">
              <w:rPr>
                <w:rFonts w:ascii="Arial" w:hAnsi="Arial" w:cs="Arial"/>
                <w:sz w:val="16"/>
                <w:szCs w:val="16"/>
                <w:lang w:val="de-DE"/>
              </w:rPr>
              <w:t>)</w:t>
            </w:r>
          </w:p>
        </w:tc>
        <w:tc>
          <w:tcPr>
            <w:tcW w:w="1832" w:type="dxa"/>
            <w:tcBorders>
              <w:top w:val="single" w:sz="4" w:space="0" w:color="auto"/>
              <w:left w:val="single" w:sz="4" w:space="0" w:color="auto"/>
              <w:bottom w:val="single" w:sz="4" w:space="0" w:color="auto"/>
              <w:right w:val="single" w:sz="4" w:space="0" w:color="auto"/>
            </w:tcBorders>
            <w:vAlign w:val="center"/>
          </w:tcPr>
          <w:p w:rsidR="00752393" w:rsidRPr="00782238" w:rsidRDefault="000946E5" w:rsidP="00B76BD7">
            <w:pPr>
              <w:jc w:val="center"/>
              <w:rPr>
                <w:rFonts w:ascii="Arial" w:hAnsi="Arial" w:cs="Arial"/>
                <w:sz w:val="20"/>
                <w:szCs w:val="20"/>
                <w:lang w:val="de-DE"/>
              </w:rPr>
            </w:pPr>
            <w:r w:rsidRPr="000946E5">
              <w:rPr>
                <w:rFonts w:ascii="Arial" w:hAnsi="Arial" w:cs="Arial"/>
                <w:sz w:val="20"/>
                <w:szCs w:val="20"/>
                <w:lang w:val="de-DE"/>
              </w:rPr>
              <w:t>369.8170</w:t>
            </w:r>
            <w:r>
              <w:rPr>
                <w:rFonts w:ascii="Arial" w:hAnsi="Arial" w:cs="Arial"/>
                <w:sz w:val="20"/>
                <w:szCs w:val="20"/>
                <w:lang w:val="de-DE"/>
              </w:rPr>
              <w:t xml:space="preserve"> ***</w:t>
            </w:r>
          </w:p>
          <w:p w:rsidR="00752393" w:rsidRPr="00A51255" w:rsidRDefault="00752393" w:rsidP="00B76BD7">
            <w:pPr>
              <w:jc w:val="center"/>
              <w:rPr>
                <w:lang w:val="en-US"/>
              </w:rPr>
            </w:pPr>
            <w:r w:rsidRPr="00782238">
              <w:rPr>
                <w:rFonts w:ascii="Arial" w:hAnsi="Arial" w:cs="Arial"/>
                <w:sz w:val="16"/>
                <w:szCs w:val="16"/>
                <w:lang w:val="de-DE"/>
              </w:rPr>
              <w:t xml:space="preserve"> (</w:t>
            </w:r>
            <w:r w:rsidR="000946E5" w:rsidRPr="000946E5">
              <w:rPr>
                <w:rFonts w:ascii="Arial" w:hAnsi="Arial" w:cs="Arial"/>
                <w:sz w:val="16"/>
                <w:szCs w:val="16"/>
                <w:lang w:val="de-DE"/>
              </w:rPr>
              <w:t>135.3813</w:t>
            </w:r>
            <w:r w:rsidRPr="00782238">
              <w:rPr>
                <w:rFonts w:ascii="Arial" w:hAnsi="Arial" w:cs="Arial"/>
                <w:sz w:val="16"/>
                <w:szCs w:val="16"/>
                <w:lang w:val="de-DE"/>
              </w:rPr>
              <w:t>)</w:t>
            </w:r>
          </w:p>
        </w:tc>
        <w:tc>
          <w:tcPr>
            <w:tcW w:w="1824" w:type="dxa"/>
            <w:tcBorders>
              <w:top w:val="single" w:sz="4" w:space="0" w:color="auto"/>
              <w:left w:val="single" w:sz="4" w:space="0" w:color="auto"/>
              <w:bottom w:val="single" w:sz="4" w:space="0" w:color="auto"/>
              <w:right w:val="single" w:sz="4" w:space="0" w:color="auto"/>
            </w:tcBorders>
            <w:vAlign w:val="center"/>
          </w:tcPr>
          <w:p w:rsidR="00752393" w:rsidRPr="00782238" w:rsidRDefault="00752393" w:rsidP="00076908">
            <w:pPr>
              <w:jc w:val="center"/>
              <w:rPr>
                <w:rFonts w:ascii="Arial" w:hAnsi="Arial" w:cs="Arial"/>
                <w:sz w:val="20"/>
                <w:szCs w:val="20"/>
                <w:lang w:val="de-DE"/>
              </w:rPr>
            </w:pPr>
            <w:r w:rsidRPr="005A6E0D">
              <w:rPr>
                <w:rFonts w:ascii="Arial" w:hAnsi="Arial" w:cs="Arial"/>
                <w:sz w:val="20"/>
                <w:szCs w:val="20"/>
                <w:lang w:val="de-DE"/>
              </w:rPr>
              <w:t>135.8383</w:t>
            </w:r>
          </w:p>
          <w:p w:rsidR="00752393" w:rsidRPr="00326E18" w:rsidRDefault="00752393" w:rsidP="00076908">
            <w:pPr>
              <w:jc w:val="center"/>
              <w:rPr>
                <w:rFonts w:ascii="Arial" w:hAnsi="Arial" w:cs="Arial"/>
                <w:sz w:val="20"/>
                <w:szCs w:val="20"/>
                <w:lang w:val="de-DE"/>
              </w:rPr>
            </w:pPr>
            <w:r w:rsidRPr="00326E18">
              <w:rPr>
                <w:rFonts w:ascii="Arial" w:hAnsi="Arial" w:cs="Arial"/>
                <w:sz w:val="20"/>
                <w:szCs w:val="20"/>
                <w:lang w:val="de-DE"/>
              </w:rPr>
              <w:t xml:space="preserve"> (</w:t>
            </w:r>
            <w:r w:rsidRPr="005A6E0D">
              <w:rPr>
                <w:rFonts w:ascii="Arial" w:hAnsi="Arial" w:cs="Arial"/>
                <w:sz w:val="20"/>
                <w:szCs w:val="20"/>
                <w:lang w:val="de-DE"/>
              </w:rPr>
              <w:t>189.4862</w:t>
            </w:r>
            <w:r w:rsidRPr="00326E18">
              <w:rPr>
                <w:rFonts w:ascii="Arial" w:hAnsi="Arial" w:cs="Arial"/>
                <w:sz w:val="20"/>
                <w:szCs w:val="20"/>
                <w:lang w:val="de-DE"/>
              </w:rPr>
              <w:t>)</w:t>
            </w:r>
          </w:p>
        </w:tc>
      </w:tr>
      <w:tr w:rsidR="00635763" w:rsidRPr="00647145" w:rsidTr="00AF2496">
        <w:trPr>
          <w:jc w:val="center"/>
        </w:trPr>
        <w:tc>
          <w:tcPr>
            <w:tcW w:w="489" w:type="dxa"/>
            <w:vAlign w:val="center"/>
          </w:tcPr>
          <w:p w:rsidR="0014213E" w:rsidRPr="00A51255" w:rsidRDefault="0014213E" w:rsidP="00D63A00">
            <w:pPr>
              <w:spacing w:line="360" w:lineRule="auto"/>
              <w:jc w:val="center"/>
              <w:rPr>
                <w:rFonts w:ascii="Arial" w:hAnsi="Arial" w:cs="Arial"/>
                <w:sz w:val="16"/>
                <w:szCs w:val="16"/>
                <w:lang w:val="de-DE"/>
              </w:rPr>
            </w:pPr>
          </w:p>
        </w:tc>
        <w:tc>
          <w:tcPr>
            <w:tcW w:w="1855" w:type="dxa"/>
            <w:vAlign w:val="center"/>
          </w:tcPr>
          <w:p w:rsidR="0014213E" w:rsidRPr="004F48F0" w:rsidRDefault="0014213E" w:rsidP="00D63A00">
            <w:pPr>
              <w:jc w:val="center"/>
              <w:rPr>
                <w:rFonts w:ascii="Arial" w:hAnsi="Arial" w:cs="Arial"/>
                <w:b/>
                <w:sz w:val="18"/>
                <w:szCs w:val="18"/>
                <w:lang w:val="de-DE"/>
              </w:rPr>
            </w:pPr>
            <w:r w:rsidRPr="004F48F0">
              <w:rPr>
                <w:rFonts w:ascii="Arial" w:hAnsi="Arial" w:cs="Arial"/>
                <w:b/>
                <w:sz w:val="18"/>
                <w:szCs w:val="18"/>
                <w:lang w:val="de-DE"/>
              </w:rPr>
              <w:t>Unexpected announcement:</w:t>
            </w:r>
          </w:p>
        </w:tc>
        <w:tc>
          <w:tcPr>
            <w:tcW w:w="1938" w:type="dxa"/>
            <w:vAlign w:val="center"/>
          </w:tcPr>
          <w:p w:rsidR="0014213E" w:rsidRPr="004F48F0" w:rsidRDefault="0014213E" w:rsidP="00D63A00">
            <w:pPr>
              <w:jc w:val="center"/>
              <w:rPr>
                <w:rFonts w:ascii="Arial" w:hAnsi="Arial" w:cs="Arial"/>
                <w:b/>
                <w:sz w:val="18"/>
                <w:szCs w:val="18"/>
                <w:lang w:val="de-DE"/>
              </w:rPr>
            </w:pPr>
            <w:r w:rsidRPr="004F48F0">
              <w:rPr>
                <w:rFonts w:ascii="Arial" w:hAnsi="Arial" w:cs="Arial"/>
                <w:b/>
                <w:sz w:val="18"/>
                <w:szCs w:val="18"/>
                <w:lang w:val="de-DE"/>
              </w:rPr>
              <w:t>Money Supply</w:t>
            </w:r>
          </w:p>
          <w:p w:rsidR="0014213E" w:rsidRPr="00CA2C53" w:rsidRDefault="0014213E" w:rsidP="00D63A00">
            <w:pPr>
              <w:jc w:val="center"/>
              <w:rPr>
                <w:rFonts w:ascii="Arial" w:hAnsi="Arial" w:cs="Arial"/>
                <w:b/>
                <w:sz w:val="2"/>
                <w:szCs w:val="2"/>
                <w:lang w:val="de-DE"/>
              </w:rPr>
            </w:pPr>
          </w:p>
          <w:p w:rsidR="0014213E" w:rsidRPr="004F48F0" w:rsidRDefault="0014213E" w:rsidP="00D63A00">
            <w:pPr>
              <w:jc w:val="center"/>
              <w:rPr>
                <w:rFonts w:ascii="Arial" w:hAnsi="Arial" w:cs="Arial"/>
                <w:b/>
                <w:sz w:val="20"/>
                <w:szCs w:val="20"/>
                <w:lang w:val="de-DE"/>
              </w:rPr>
            </w:pPr>
            <w:r w:rsidRPr="009F1BCD">
              <w:rPr>
                <w:b/>
                <w:sz w:val="20"/>
                <w:szCs w:val="20"/>
                <w:lang w:val="de-DE"/>
              </w:rPr>
              <w:t>(</w:t>
            </w:r>
            <w:r w:rsidRPr="004F48F0">
              <w:rPr>
                <w:b/>
                <w:i/>
                <w:sz w:val="20"/>
                <w:szCs w:val="20"/>
                <w:lang w:val="de-DE"/>
              </w:rPr>
              <w:t>MS</w:t>
            </w:r>
            <w:r w:rsidRPr="009F1BCD">
              <w:rPr>
                <w:b/>
                <w:sz w:val="20"/>
                <w:szCs w:val="20"/>
                <w:lang w:val="de-DE"/>
              </w:rPr>
              <w:t>)</w:t>
            </w:r>
          </w:p>
        </w:tc>
        <w:tc>
          <w:tcPr>
            <w:tcW w:w="1686" w:type="dxa"/>
            <w:vAlign w:val="center"/>
          </w:tcPr>
          <w:p w:rsidR="0014213E" w:rsidRDefault="0014213E" w:rsidP="00D63A00">
            <w:pPr>
              <w:jc w:val="center"/>
              <w:rPr>
                <w:rFonts w:ascii="Arial" w:hAnsi="Arial" w:cs="Arial"/>
                <w:b/>
                <w:sz w:val="18"/>
                <w:szCs w:val="18"/>
                <w:lang w:val="de-DE"/>
              </w:rPr>
            </w:pPr>
            <w:r w:rsidRPr="004F48F0">
              <w:rPr>
                <w:rFonts w:ascii="Arial" w:hAnsi="Arial" w:cs="Arial"/>
                <w:b/>
                <w:sz w:val="18"/>
                <w:szCs w:val="18"/>
                <w:lang w:val="de-DE"/>
              </w:rPr>
              <w:t>Reserve Money</w:t>
            </w:r>
          </w:p>
          <w:p w:rsidR="0014213E" w:rsidRPr="00CA2C53" w:rsidRDefault="0014213E" w:rsidP="00D63A00">
            <w:pPr>
              <w:jc w:val="center"/>
              <w:rPr>
                <w:rFonts w:ascii="Arial" w:hAnsi="Arial" w:cs="Arial"/>
                <w:b/>
                <w:sz w:val="2"/>
                <w:szCs w:val="2"/>
                <w:lang w:val="de-DE"/>
              </w:rPr>
            </w:pPr>
          </w:p>
          <w:p w:rsidR="0014213E" w:rsidRPr="004F48F0" w:rsidRDefault="0014213E" w:rsidP="00D63A00">
            <w:pPr>
              <w:jc w:val="center"/>
              <w:rPr>
                <w:b/>
                <w:i/>
                <w:sz w:val="20"/>
                <w:szCs w:val="20"/>
                <w:lang w:val="en-US"/>
              </w:rPr>
            </w:pPr>
            <w:r w:rsidRPr="009F1BCD">
              <w:rPr>
                <w:b/>
                <w:sz w:val="20"/>
                <w:szCs w:val="20"/>
                <w:lang w:val="en-US"/>
              </w:rPr>
              <w:t>(</w:t>
            </w:r>
            <w:r w:rsidRPr="004F48F0">
              <w:rPr>
                <w:b/>
                <w:i/>
                <w:sz w:val="20"/>
                <w:szCs w:val="20"/>
                <w:lang w:val="en-US"/>
              </w:rPr>
              <w:t>RM</w:t>
            </w:r>
            <w:r w:rsidRPr="009F1BCD">
              <w:rPr>
                <w:b/>
                <w:sz w:val="20"/>
                <w:szCs w:val="20"/>
                <w:lang w:val="en-US"/>
              </w:rPr>
              <w:t>)</w:t>
            </w:r>
          </w:p>
        </w:tc>
        <w:tc>
          <w:tcPr>
            <w:tcW w:w="1832" w:type="dxa"/>
            <w:vAlign w:val="center"/>
          </w:tcPr>
          <w:p w:rsidR="0014213E" w:rsidRDefault="0014213E" w:rsidP="00D63A00">
            <w:pPr>
              <w:jc w:val="center"/>
              <w:rPr>
                <w:rFonts w:ascii="Arial" w:hAnsi="Arial" w:cs="Arial"/>
                <w:b/>
                <w:sz w:val="18"/>
                <w:szCs w:val="18"/>
                <w:lang w:val="de-DE"/>
              </w:rPr>
            </w:pPr>
            <w:r>
              <w:rPr>
                <w:rFonts w:ascii="Arial" w:hAnsi="Arial" w:cs="Arial"/>
                <w:b/>
                <w:sz w:val="18"/>
                <w:szCs w:val="18"/>
                <w:lang w:val="de-DE"/>
              </w:rPr>
              <w:t>Balance of Payments</w:t>
            </w:r>
          </w:p>
          <w:p w:rsidR="0014213E" w:rsidRPr="00CA2C53" w:rsidRDefault="0014213E" w:rsidP="00D63A00">
            <w:pPr>
              <w:jc w:val="center"/>
              <w:rPr>
                <w:b/>
                <w:i/>
                <w:sz w:val="2"/>
                <w:szCs w:val="2"/>
                <w:lang w:val="en-US"/>
              </w:rPr>
            </w:pPr>
          </w:p>
          <w:p w:rsidR="0014213E" w:rsidRPr="004F48F0" w:rsidRDefault="0014213E" w:rsidP="00D63A00">
            <w:pPr>
              <w:jc w:val="center"/>
              <w:rPr>
                <w:b/>
                <w:i/>
                <w:sz w:val="20"/>
                <w:szCs w:val="20"/>
                <w:lang w:val="en-US"/>
              </w:rPr>
            </w:pPr>
            <w:r w:rsidRPr="009F1BCD">
              <w:rPr>
                <w:b/>
                <w:sz w:val="20"/>
                <w:szCs w:val="20"/>
                <w:lang w:val="en-US"/>
              </w:rPr>
              <w:t>(</w:t>
            </w:r>
            <w:r w:rsidRPr="004F48F0">
              <w:rPr>
                <w:b/>
                <w:i/>
                <w:sz w:val="20"/>
                <w:szCs w:val="20"/>
                <w:lang w:val="en-US"/>
              </w:rPr>
              <w:t>BOP</w:t>
            </w:r>
            <w:r w:rsidRPr="009F1BCD">
              <w:rPr>
                <w:b/>
                <w:sz w:val="20"/>
                <w:szCs w:val="20"/>
                <w:lang w:val="en-US"/>
              </w:rPr>
              <w:t>)</w:t>
            </w:r>
          </w:p>
        </w:tc>
        <w:tc>
          <w:tcPr>
            <w:tcW w:w="1824" w:type="dxa"/>
            <w:vAlign w:val="center"/>
          </w:tcPr>
          <w:p w:rsidR="00EF2553" w:rsidRPr="000E3558" w:rsidRDefault="0014213E" w:rsidP="00D63A00">
            <w:pPr>
              <w:jc w:val="center"/>
              <w:rPr>
                <w:rFonts w:ascii="Arial" w:hAnsi="Arial" w:cs="Arial"/>
                <w:b/>
                <w:sz w:val="18"/>
                <w:szCs w:val="18"/>
                <w:lang w:val="en-US"/>
              </w:rPr>
            </w:pPr>
            <w:r w:rsidRPr="000E3558">
              <w:rPr>
                <w:rFonts w:ascii="Arial" w:hAnsi="Arial" w:cs="Arial"/>
                <w:b/>
                <w:sz w:val="18"/>
                <w:szCs w:val="18"/>
                <w:lang w:val="en-US"/>
              </w:rPr>
              <w:t xml:space="preserve">Liquid Assets </w:t>
            </w:r>
          </w:p>
          <w:p w:rsidR="0014213E" w:rsidRPr="009F1BCD" w:rsidRDefault="0014213E" w:rsidP="00EF2553">
            <w:pPr>
              <w:jc w:val="center"/>
              <w:rPr>
                <w:b/>
                <w:i/>
                <w:sz w:val="20"/>
                <w:szCs w:val="20"/>
                <w:lang w:val="en-US"/>
              </w:rPr>
            </w:pPr>
            <w:r w:rsidRPr="000E3558">
              <w:rPr>
                <w:rFonts w:ascii="Arial" w:hAnsi="Arial" w:cs="Arial"/>
                <w:b/>
                <w:sz w:val="18"/>
                <w:szCs w:val="18"/>
                <w:lang w:val="en-US"/>
              </w:rPr>
              <w:t>and Liabilities (</w:t>
            </w:r>
            <w:r w:rsidRPr="009F1BCD">
              <w:rPr>
                <w:b/>
                <w:i/>
                <w:sz w:val="20"/>
                <w:szCs w:val="20"/>
                <w:lang w:val="en-US"/>
              </w:rPr>
              <w:t>AL</w:t>
            </w:r>
            <w:r w:rsidRPr="009F1BCD">
              <w:rPr>
                <w:b/>
                <w:sz w:val="20"/>
                <w:szCs w:val="20"/>
                <w:lang w:val="en-US"/>
              </w:rPr>
              <w:t>)</w:t>
            </w:r>
          </w:p>
        </w:tc>
      </w:tr>
      <w:tr w:rsidR="00635763" w:rsidRPr="00A51255" w:rsidTr="00AF2496">
        <w:trPr>
          <w:jc w:val="center"/>
        </w:trPr>
        <w:tc>
          <w:tcPr>
            <w:tcW w:w="489" w:type="dxa"/>
            <w:vAlign w:val="center"/>
          </w:tcPr>
          <w:p w:rsidR="00752393" w:rsidRPr="00A51255" w:rsidRDefault="00C65448" w:rsidP="00D63A00">
            <w:pPr>
              <w:spacing w:line="360" w:lineRule="auto"/>
              <w:jc w:val="center"/>
              <w:rPr>
                <w:rFonts w:ascii="Arial" w:hAnsi="Arial" w:cs="Arial"/>
                <w:sz w:val="16"/>
                <w:szCs w:val="16"/>
                <w:lang w:val="de-DE"/>
              </w:rPr>
            </w:pPr>
            <w:r>
              <w:rPr>
                <w:rFonts w:ascii="Arial" w:hAnsi="Arial" w:cs="Arial"/>
                <w:sz w:val="16"/>
                <w:szCs w:val="16"/>
                <w:lang w:val="de-DE"/>
              </w:rPr>
              <w:t>(</w:t>
            </w:r>
            <w:r w:rsidR="00752393">
              <w:rPr>
                <w:rFonts w:ascii="Arial" w:hAnsi="Arial" w:cs="Arial"/>
                <w:sz w:val="16"/>
                <w:szCs w:val="16"/>
                <w:lang w:val="de-DE"/>
              </w:rPr>
              <w:t>4)</w:t>
            </w:r>
          </w:p>
        </w:tc>
        <w:tc>
          <w:tcPr>
            <w:tcW w:w="1855" w:type="dxa"/>
            <w:vAlign w:val="center"/>
          </w:tcPr>
          <w:p w:rsidR="00EC19FD" w:rsidRDefault="00752393" w:rsidP="00EC19FD">
            <w:pPr>
              <w:ind w:left="105"/>
              <w:jc w:val="center"/>
              <w:rPr>
                <w:rFonts w:ascii="Garamond" w:hAnsi="Garamond"/>
                <w:lang w:val="de-DE"/>
              </w:rPr>
            </w:pPr>
            <w:r w:rsidRPr="002C5A6B">
              <w:rPr>
                <w:rFonts w:ascii="Garamond" w:hAnsi="Garamond"/>
                <w:i/>
                <w:position w:val="-10"/>
                <w:lang w:val="de-DE"/>
              </w:rPr>
              <w:object w:dxaOrig="300" w:dyaOrig="380">
                <v:shape id="_x0000_i1139" type="#_x0000_t75" style="width:12.85pt;height:16.7pt" o:ole="">
                  <v:imagedata r:id="rId118" o:title=""/>
                </v:shape>
                <o:OLEObject Type="Embed" ProgID="Equation.3" ShapeID="_x0000_i1139" DrawAspect="Content" ObjectID="_1507543486" r:id="rId181"/>
              </w:object>
            </w:r>
          </w:p>
          <w:p w:rsidR="00752393" w:rsidRPr="0007792B" w:rsidRDefault="00752393" w:rsidP="00EC19FD">
            <w:pPr>
              <w:ind w:left="105"/>
              <w:jc w:val="center"/>
              <w:rPr>
                <w:b/>
                <w:sz w:val="18"/>
                <w:szCs w:val="18"/>
                <w:lang w:val="de-DE"/>
              </w:rPr>
            </w:pPr>
            <w:r>
              <w:rPr>
                <w:rFonts w:ascii="Arial" w:hAnsi="Arial" w:cs="Arial"/>
                <w:b/>
                <w:sz w:val="18"/>
                <w:szCs w:val="18"/>
                <w:lang w:val="de-DE"/>
              </w:rPr>
              <w:t xml:space="preserve">strongly </w:t>
            </w:r>
            <w:r w:rsidRPr="004F48F0">
              <w:rPr>
                <w:rFonts w:ascii="Arial" w:hAnsi="Arial" w:cs="Arial"/>
                <w:b/>
                <w:sz w:val="18"/>
                <w:szCs w:val="18"/>
                <w:lang w:val="de-DE"/>
              </w:rPr>
              <w:t>positive</w:t>
            </w:r>
          </w:p>
        </w:tc>
        <w:tc>
          <w:tcPr>
            <w:tcW w:w="1938" w:type="dxa"/>
            <w:vAlign w:val="center"/>
          </w:tcPr>
          <w:p w:rsidR="00752393" w:rsidRPr="00782238" w:rsidRDefault="00752393" w:rsidP="00076908">
            <w:pPr>
              <w:jc w:val="center"/>
              <w:rPr>
                <w:rFonts w:ascii="Arial" w:hAnsi="Arial" w:cs="Arial"/>
                <w:sz w:val="20"/>
                <w:szCs w:val="20"/>
                <w:lang w:val="de-DE"/>
              </w:rPr>
            </w:pPr>
            <w:r w:rsidRPr="00184899">
              <w:rPr>
                <w:rFonts w:ascii="Arial" w:hAnsi="Arial" w:cs="Arial"/>
                <w:sz w:val="20"/>
                <w:szCs w:val="20"/>
                <w:lang w:val="de-DE"/>
              </w:rPr>
              <w:t>-462.1015</w:t>
            </w:r>
          </w:p>
          <w:p w:rsidR="00752393" w:rsidRPr="00782238" w:rsidRDefault="00752393" w:rsidP="00076908">
            <w:pPr>
              <w:jc w:val="center"/>
              <w:rPr>
                <w:rFonts w:ascii="Arial" w:hAnsi="Arial" w:cs="Arial"/>
                <w:sz w:val="20"/>
                <w:szCs w:val="20"/>
                <w:lang w:val="de-DE"/>
              </w:rPr>
            </w:pPr>
            <w:r w:rsidRPr="00782238">
              <w:rPr>
                <w:rFonts w:ascii="Arial" w:hAnsi="Arial" w:cs="Arial"/>
                <w:sz w:val="16"/>
                <w:szCs w:val="16"/>
                <w:lang w:val="de-DE"/>
              </w:rPr>
              <w:t xml:space="preserve"> (</w:t>
            </w:r>
            <w:r w:rsidRPr="00184899">
              <w:rPr>
                <w:rFonts w:ascii="Arial" w:hAnsi="Arial" w:cs="Arial"/>
                <w:sz w:val="16"/>
                <w:szCs w:val="16"/>
                <w:lang w:val="de-DE"/>
              </w:rPr>
              <w:t>766.5051</w:t>
            </w:r>
            <w:r w:rsidRPr="00782238">
              <w:rPr>
                <w:rFonts w:ascii="Arial" w:hAnsi="Arial" w:cs="Arial"/>
                <w:sz w:val="16"/>
                <w:szCs w:val="16"/>
                <w:lang w:val="de-DE"/>
              </w:rPr>
              <w:t>)</w:t>
            </w:r>
          </w:p>
        </w:tc>
        <w:tc>
          <w:tcPr>
            <w:tcW w:w="1686" w:type="dxa"/>
            <w:vAlign w:val="center"/>
          </w:tcPr>
          <w:p w:rsidR="00752393" w:rsidRPr="00782238" w:rsidRDefault="00267FA4" w:rsidP="00B76BD7">
            <w:pPr>
              <w:jc w:val="center"/>
              <w:rPr>
                <w:rFonts w:ascii="Arial" w:hAnsi="Arial" w:cs="Arial"/>
                <w:sz w:val="20"/>
                <w:szCs w:val="20"/>
                <w:lang w:val="de-DE"/>
              </w:rPr>
            </w:pPr>
            <w:r w:rsidRPr="00267FA4">
              <w:rPr>
                <w:rFonts w:ascii="Arial" w:hAnsi="Arial" w:cs="Arial"/>
                <w:sz w:val="20"/>
                <w:szCs w:val="20"/>
                <w:lang w:val="de-DE"/>
              </w:rPr>
              <w:t>-697.3829</w:t>
            </w:r>
          </w:p>
          <w:p w:rsidR="00752393" w:rsidRPr="00A51255" w:rsidRDefault="00752393" w:rsidP="00B76BD7">
            <w:pPr>
              <w:jc w:val="center"/>
              <w:rPr>
                <w:lang w:val="en-US"/>
              </w:rPr>
            </w:pPr>
            <w:r w:rsidRPr="00782238">
              <w:rPr>
                <w:rFonts w:ascii="Arial" w:hAnsi="Arial" w:cs="Arial"/>
                <w:sz w:val="16"/>
                <w:szCs w:val="16"/>
                <w:lang w:val="de-DE"/>
              </w:rPr>
              <w:t xml:space="preserve"> (</w:t>
            </w:r>
            <w:r w:rsidR="00267FA4" w:rsidRPr="00267FA4">
              <w:rPr>
                <w:rFonts w:ascii="Arial" w:hAnsi="Arial" w:cs="Arial"/>
                <w:sz w:val="16"/>
                <w:szCs w:val="16"/>
                <w:lang w:val="de-DE"/>
              </w:rPr>
              <w:t>2236.985</w:t>
            </w:r>
            <w:r w:rsidRPr="00782238">
              <w:rPr>
                <w:rFonts w:ascii="Arial" w:hAnsi="Arial" w:cs="Arial"/>
                <w:sz w:val="16"/>
                <w:szCs w:val="16"/>
                <w:lang w:val="de-DE"/>
              </w:rPr>
              <w:t>)</w:t>
            </w:r>
          </w:p>
        </w:tc>
        <w:tc>
          <w:tcPr>
            <w:tcW w:w="1832" w:type="dxa"/>
            <w:vAlign w:val="center"/>
          </w:tcPr>
          <w:p w:rsidR="00752393" w:rsidRPr="00782238" w:rsidRDefault="00764E35" w:rsidP="00B76BD7">
            <w:pPr>
              <w:jc w:val="center"/>
              <w:rPr>
                <w:rFonts w:ascii="Arial" w:hAnsi="Arial" w:cs="Arial"/>
                <w:sz w:val="20"/>
                <w:szCs w:val="20"/>
                <w:lang w:val="de-DE"/>
              </w:rPr>
            </w:pPr>
            <w:r w:rsidRPr="00764E35">
              <w:rPr>
                <w:rFonts w:ascii="Arial" w:hAnsi="Arial" w:cs="Arial"/>
                <w:sz w:val="20"/>
                <w:szCs w:val="20"/>
                <w:lang w:val="de-DE"/>
              </w:rPr>
              <w:t>-380.3082</w:t>
            </w:r>
          </w:p>
          <w:p w:rsidR="00752393" w:rsidRPr="00A51255" w:rsidRDefault="00752393" w:rsidP="00B76BD7">
            <w:pPr>
              <w:jc w:val="center"/>
              <w:rPr>
                <w:lang w:val="en-US"/>
              </w:rPr>
            </w:pPr>
            <w:r w:rsidRPr="00782238">
              <w:rPr>
                <w:rFonts w:ascii="Arial" w:hAnsi="Arial" w:cs="Arial"/>
                <w:sz w:val="16"/>
                <w:szCs w:val="16"/>
                <w:lang w:val="de-DE"/>
              </w:rPr>
              <w:t xml:space="preserve"> (</w:t>
            </w:r>
            <w:r w:rsidR="00764E35" w:rsidRPr="00764E35">
              <w:rPr>
                <w:rFonts w:ascii="Arial" w:hAnsi="Arial" w:cs="Arial"/>
                <w:sz w:val="16"/>
                <w:szCs w:val="16"/>
                <w:lang w:val="de-DE"/>
              </w:rPr>
              <w:t>9656.610</w:t>
            </w:r>
            <w:r w:rsidRPr="00782238">
              <w:rPr>
                <w:rFonts w:ascii="Arial" w:hAnsi="Arial" w:cs="Arial"/>
                <w:sz w:val="16"/>
                <w:szCs w:val="16"/>
                <w:lang w:val="de-DE"/>
              </w:rPr>
              <w:t>)</w:t>
            </w:r>
          </w:p>
        </w:tc>
        <w:tc>
          <w:tcPr>
            <w:tcW w:w="1824" w:type="dxa"/>
            <w:vAlign w:val="center"/>
          </w:tcPr>
          <w:p w:rsidR="00752393" w:rsidRPr="00782238" w:rsidRDefault="00752393" w:rsidP="00076908">
            <w:pPr>
              <w:jc w:val="center"/>
              <w:rPr>
                <w:rFonts w:ascii="Arial" w:hAnsi="Arial" w:cs="Arial"/>
                <w:sz w:val="20"/>
                <w:szCs w:val="20"/>
                <w:lang w:val="de-DE"/>
              </w:rPr>
            </w:pPr>
            <w:r w:rsidRPr="005B044A">
              <w:rPr>
                <w:rFonts w:ascii="Arial" w:hAnsi="Arial" w:cs="Arial"/>
                <w:sz w:val="20"/>
                <w:szCs w:val="20"/>
                <w:lang w:val="de-DE"/>
              </w:rPr>
              <w:t>-903.8164</w:t>
            </w:r>
            <w:r>
              <w:rPr>
                <w:rFonts w:ascii="Arial" w:hAnsi="Arial" w:cs="Arial"/>
                <w:sz w:val="20"/>
                <w:szCs w:val="20"/>
                <w:lang w:val="de-DE"/>
              </w:rPr>
              <w:t xml:space="preserve"> **</w:t>
            </w:r>
          </w:p>
          <w:p w:rsidR="00752393" w:rsidRPr="00A51255" w:rsidRDefault="00752393" w:rsidP="00076908">
            <w:pPr>
              <w:jc w:val="center"/>
              <w:rPr>
                <w:lang w:val="en-US"/>
              </w:rPr>
            </w:pPr>
            <w:r w:rsidRPr="00782238">
              <w:rPr>
                <w:rFonts w:ascii="Arial" w:hAnsi="Arial" w:cs="Arial"/>
                <w:sz w:val="16"/>
                <w:szCs w:val="16"/>
                <w:lang w:val="de-DE"/>
              </w:rPr>
              <w:t xml:space="preserve"> (</w:t>
            </w:r>
            <w:r w:rsidRPr="005B044A">
              <w:rPr>
                <w:rFonts w:ascii="Arial" w:hAnsi="Arial" w:cs="Arial"/>
                <w:sz w:val="16"/>
                <w:szCs w:val="16"/>
                <w:lang w:val="de-DE"/>
              </w:rPr>
              <w:t>403.1368</w:t>
            </w:r>
            <w:r w:rsidRPr="00782238">
              <w:rPr>
                <w:rFonts w:ascii="Arial" w:hAnsi="Arial" w:cs="Arial"/>
                <w:sz w:val="16"/>
                <w:szCs w:val="16"/>
                <w:lang w:val="de-DE"/>
              </w:rPr>
              <w:t>)</w:t>
            </w:r>
          </w:p>
        </w:tc>
      </w:tr>
      <w:tr w:rsidR="00635763" w:rsidRPr="00A51255" w:rsidTr="00AF2496">
        <w:trPr>
          <w:jc w:val="center"/>
        </w:trPr>
        <w:tc>
          <w:tcPr>
            <w:tcW w:w="489" w:type="dxa"/>
            <w:vAlign w:val="center"/>
          </w:tcPr>
          <w:p w:rsidR="00752393" w:rsidRPr="00A51255" w:rsidRDefault="00C65448" w:rsidP="00D63A00">
            <w:pPr>
              <w:spacing w:line="360" w:lineRule="auto"/>
              <w:jc w:val="center"/>
              <w:rPr>
                <w:rFonts w:ascii="Arial" w:hAnsi="Arial" w:cs="Arial"/>
                <w:sz w:val="16"/>
                <w:szCs w:val="16"/>
                <w:lang w:val="de-DE"/>
              </w:rPr>
            </w:pPr>
            <w:r>
              <w:rPr>
                <w:rFonts w:ascii="Arial" w:hAnsi="Arial" w:cs="Arial"/>
                <w:sz w:val="16"/>
                <w:szCs w:val="16"/>
                <w:lang w:val="de-DE"/>
              </w:rPr>
              <w:t>(</w:t>
            </w:r>
            <w:r w:rsidR="00752393">
              <w:rPr>
                <w:rFonts w:ascii="Arial" w:hAnsi="Arial" w:cs="Arial"/>
                <w:sz w:val="16"/>
                <w:szCs w:val="16"/>
                <w:lang w:val="de-DE"/>
              </w:rPr>
              <w:t>4)</w:t>
            </w:r>
          </w:p>
        </w:tc>
        <w:tc>
          <w:tcPr>
            <w:tcW w:w="1855" w:type="dxa"/>
            <w:vAlign w:val="center"/>
          </w:tcPr>
          <w:p w:rsidR="00EC19FD" w:rsidRDefault="00752393" w:rsidP="00EC19FD">
            <w:pPr>
              <w:ind w:left="105"/>
              <w:jc w:val="center"/>
              <w:rPr>
                <w:rFonts w:ascii="Garamond" w:hAnsi="Garamond"/>
                <w:lang w:val="de-DE"/>
              </w:rPr>
            </w:pPr>
            <w:r w:rsidRPr="002C5A6B">
              <w:rPr>
                <w:rFonts w:ascii="Garamond" w:hAnsi="Garamond"/>
                <w:i/>
                <w:position w:val="-12"/>
                <w:lang w:val="de-DE"/>
              </w:rPr>
              <w:object w:dxaOrig="300" w:dyaOrig="400">
                <v:shape id="_x0000_i1140" type="#_x0000_t75" style="width:12.85pt;height:18pt" o:ole="">
                  <v:imagedata r:id="rId120" o:title=""/>
                </v:shape>
                <o:OLEObject Type="Embed" ProgID="Equation.3" ShapeID="_x0000_i1140" DrawAspect="Content" ObjectID="_1507543487" r:id="rId182"/>
              </w:object>
            </w:r>
          </w:p>
          <w:p w:rsidR="00752393" w:rsidRPr="0007792B" w:rsidRDefault="00752393" w:rsidP="00EC19FD">
            <w:pPr>
              <w:ind w:left="105"/>
              <w:jc w:val="center"/>
              <w:rPr>
                <w:rFonts w:ascii="Arial" w:hAnsi="Arial" w:cs="Arial"/>
                <w:b/>
                <w:sz w:val="18"/>
                <w:szCs w:val="18"/>
                <w:lang w:val="de-DE"/>
              </w:rPr>
            </w:pPr>
            <w:r>
              <w:rPr>
                <w:rFonts w:ascii="Arial" w:hAnsi="Arial" w:cs="Arial"/>
                <w:b/>
                <w:sz w:val="18"/>
                <w:szCs w:val="18"/>
                <w:lang w:val="de-DE"/>
              </w:rPr>
              <w:t>p</w:t>
            </w:r>
            <w:r w:rsidRPr="004F48F0">
              <w:rPr>
                <w:rFonts w:ascii="Arial" w:hAnsi="Arial" w:cs="Arial"/>
                <w:b/>
                <w:sz w:val="18"/>
                <w:szCs w:val="18"/>
                <w:lang w:val="de-DE"/>
              </w:rPr>
              <w:t>ositive</w:t>
            </w:r>
          </w:p>
        </w:tc>
        <w:tc>
          <w:tcPr>
            <w:tcW w:w="1938" w:type="dxa"/>
            <w:vAlign w:val="center"/>
          </w:tcPr>
          <w:p w:rsidR="00752393" w:rsidRPr="00782238" w:rsidRDefault="00752393" w:rsidP="00076908">
            <w:pPr>
              <w:jc w:val="center"/>
              <w:rPr>
                <w:rFonts w:ascii="Arial" w:hAnsi="Arial" w:cs="Arial"/>
                <w:sz w:val="20"/>
                <w:szCs w:val="20"/>
                <w:lang w:val="de-DE"/>
              </w:rPr>
            </w:pPr>
            <w:r w:rsidRPr="00184899">
              <w:rPr>
                <w:rFonts w:ascii="Arial" w:hAnsi="Arial" w:cs="Arial"/>
                <w:sz w:val="20"/>
                <w:szCs w:val="20"/>
                <w:lang w:val="de-DE"/>
              </w:rPr>
              <w:t>-531.4078</w:t>
            </w:r>
          </w:p>
          <w:p w:rsidR="00752393" w:rsidRPr="00782238" w:rsidRDefault="00752393" w:rsidP="00076908">
            <w:pPr>
              <w:jc w:val="center"/>
              <w:rPr>
                <w:rFonts w:ascii="Arial" w:hAnsi="Arial" w:cs="Arial"/>
                <w:sz w:val="20"/>
                <w:szCs w:val="20"/>
                <w:lang w:val="de-DE"/>
              </w:rPr>
            </w:pPr>
            <w:r w:rsidRPr="00782238">
              <w:rPr>
                <w:rFonts w:ascii="Arial" w:hAnsi="Arial" w:cs="Arial"/>
                <w:sz w:val="16"/>
                <w:szCs w:val="16"/>
                <w:lang w:val="de-DE"/>
              </w:rPr>
              <w:t xml:space="preserve"> (</w:t>
            </w:r>
            <w:r w:rsidRPr="00184899">
              <w:rPr>
                <w:rFonts w:ascii="Arial" w:hAnsi="Arial" w:cs="Arial"/>
                <w:sz w:val="16"/>
                <w:szCs w:val="16"/>
                <w:lang w:val="de-DE"/>
              </w:rPr>
              <w:t>409.4024</w:t>
            </w:r>
            <w:r w:rsidRPr="00782238">
              <w:rPr>
                <w:rFonts w:ascii="Arial" w:hAnsi="Arial" w:cs="Arial"/>
                <w:sz w:val="16"/>
                <w:szCs w:val="16"/>
                <w:lang w:val="de-DE"/>
              </w:rPr>
              <w:t>)</w:t>
            </w:r>
          </w:p>
        </w:tc>
        <w:tc>
          <w:tcPr>
            <w:tcW w:w="1686" w:type="dxa"/>
            <w:vAlign w:val="center"/>
          </w:tcPr>
          <w:p w:rsidR="00752393" w:rsidRPr="00782238" w:rsidRDefault="00267FA4" w:rsidP="00B76BD7">
            <w:pPr>
              <w:jc w:val="center"/>
              <w:rPr>
                <w:rFonts w:ascii="Arial" w:hAnsi="Arial" w:cs="Arial"/>
                <w:sz w:val="20"/>
                <w:szCs w:val="20"/>
                <w:lang w:val="de-DE"/>
              </w:rPr>
            </w:pPr>
            <w:r w:rsidRPr="00267FA4">
              <w:rPr>
                <w:rFonts w:ascii="Arial" w:hAnsi="Arial" w:cs="Arial"/>
                <w:sz w:val="20"/>
                <w:szCs w:val="20"/>
                <w:lang w:val="de-DE"/>
              </w:rPr>
              <w:t>3.868011</w:t>
            </w:r>
          </w:p>
          <w:p w:rsidR="00752393" w:rsidRPr="00A51255" w:rsidRDefault="00752393" w:rsidP="00B76BD7">
            <w:pPr>
              <w:jc w:val="center"/>
              <w:rPr>
                <w:lang w:val="en-US"/>
              </w:rPr>
            </w:pPr>
            <w:r w:rsidRPr="00782238">
              <w:rPr>
                <w:rFonts w:ascii="Arial" w:hAnsi="Arial" w:cs="Arial"/>
                <w:sz w:val="16"/>
                <w:szCs w:val="16"/>
                <w:lang w:val="de-DE"/>
              </w:rPr>
              <w:t xml:space="preserve"> (</w:t>
            </w:r>
            <w:r w:rsidR="00267FA4" w:rsidRPr="00267FA4">
              <w:rPr>
                <w:rFonts w:ascii="Arial" w:hAnsi="Arial" w:cs="Arial"/>
                <w:sz w:val="16"/>
                <w:szCs w:val="16"/>
                <w:lang w:val="de-DE"/>
              </w:rPr>
              <w:t>1090.368</w:t>
            </w:r>
            <w:r w:rsidRPr="00782238">
              <w:rPr>
                <w:rFonts w:ascii="Arial" w:hAnsi="Arial" w:cs="Arial"/>
                <w:sz w:val="16"/>
                <w:szCs w:val="16"/>
                <w:lang w:val="de-DE"/>
              </w:rPr>
              <w:t>)</w:t>
            </w:r>
          </w:p>
        </w:tc>
        <w:tc>
          <w:tcPr>
            <w:tcW w:w="1832" w:type="dxa"/>
            <w:vAlign w:val="center"/>
          </w:tcPr>
          <w:p w:rsidR="00752393" w:rsidRPr="00782238" w:rsidRDefault="009F79D2" w:rsidP="00B76BD7">
            <w:pPr>
              <w:jc w:val="center"/>
              <w:rPr>
                <w:rFonts w:ascii="Arial" w:hAnsi="Arial" w:cs="Arial"/>
                <w:sz w:val="20"/>
                <w:szCs w:val="20"/>
                <w:lang w:val="de-DE"/>
              </w:rPr>
            </w:pPr>
            <w:r w:rsidRPr="009F79D2">
              <w:rPr>
                <w:rFonts w:ascii="Arial" w:hAnsi="Arial" w:cs="Arial"/>
                <w:sz w:val="20"/>
                <w:szCs w:val="20"/>
                <w:lang w:val="de-DE"/>
              </w:rPr>
              <w:t>-738.4327</w:t>
            </w:r>
          </w:p>
          <w:p w:rsidR="00752393" w:rsidRPr="00A51255" w:rsidRDefault="00752393" w:rsidP="00B76BD7">
            <w:pPr>
              <w:jc w:val="center"/>
              <w:rPr>
                <w:lang w:val="en-US"/>
              </w:rPr>
            </w:pPr>
            <w:r w:rsidRPr="00782238">
              <w:rPr>
                <w:rFonts w:ascii="Arial" w:hAnsi="Arial" w:cs="Arial"/>
                <w:sz w:val="16"/>
                <w:szCs w:val="16"/>
                <w:lang w:val="de-DE"/>
              </w:rPr>
              <w:t xml:space="preserve"> (</w:t>
            </w:r>
            <w:r w:rsidR="009F79D2" w:rsidRPr="009F79D2">
              <w:rPr>
                <w:rFonts w:ascii="Arial" w:hAnsi="Arial" w:cs="Arial"/>
                <w:sz w:val="16"/>
                <w:szCs w:val="16"/>
                <w:lang w:val="de-DE"/>
              </w:rPr>
              <w:t>979.1635</w:t>
            </w:r>
            <w:r w:rsidRPr="00782238">
              <w:rPr>
                <w:rFonts w:ascii="Arial" w:hAnsi="Arial" w:cs="Arial"/>
                <w:sz w:val="16"/>
                <w:szCs w:val="16"/>
                <w:lang w:val="de-DE"/>
              </w:rPr>
              <w:t>)</w:t>
            </w:r>
          </w:p>
        </w:tc>
        <w:tc>
          <w:tcPr>
            <w:tcW w:w="1824" w:type="dxa"/>
            <w:vAlign w:val="center"/>
          </w:tcPr>
          <w:p w:rsidR="00752393" w:rsidRPr="00782238" w:rsidRDefault="00752393" w:rsidP="00076908">
            <w:pPr>
              <w:jc w:val="center"/>
              <w:rPr>
                <w:rFonts w:ascii="Arial" w:hAnsi="Arial" w:cs="Arial"/>
                <w:sz w:val="20"/>
                <w:szCs w:val="20"/>
                <w:lang w:val="de-DE"/>
              </w:rPr>
            </w:pPr>
            <w:r w:rsidRPr="005B044A">
              <w:rPr>
                <w:rFonts w:ascii="Arial" w:hAnsi="Arial" w:cs="Arial"/>
                <w:sz w:val="20"/>
                <w:szCs w:val="20"/>
                <w:lang w:val="de-DE"/>
              </w:rPr>
              <w:t>-1133.503</w:t>
            </w:r>
            <w:r>
              <w:rPr>
                <w:rFonts w:ascii="Arial" w:hAnsi="Arial" w:cs="Arial"/>
                <w:sz w:val="20"/>
                <w:szCs w:val="20"/>
                <w:lang w:val="de-DE"/>
              </w:rPr>
              <w:t xml:space="preserve"> ***</w:t>
            </w:r>
          </w:p>
          <w:p w:rsidR="00752393" w:rsidRPr="00A51255" w:rsidRDefault="00752393" w:rsidP="00076908">
            <w:pPr>
              <w:jc w:val="center"/>
              <w:rPr>
                <w:lang w:val="en-US"/>
              </w:rPr>
            </w:pPr>
            <w:r w:rsidRPr="00782238">
              <w:rPr>
                <w:rFonts w:ascii="Arial" w:hAnsi="Arial" w:cs="Arial"/>
                <w:sz w:val="16"/>
                <w:szCs w:val="16"/>
                <w:lang w:val="de-DE"/>
              </w:rPr>
              <w:t xml:space="preserve"> (</w:t>
            </w:r>
            <w:r w:rsidRPr="005B044A">
              <w:rPr>
                <w:rFonts w:ascii="Arial" w:hAnsi="Arial" w:cs="Arial"/>
                <w:sz w:val="16"/>
                <w:szCs w:val="16"/>
                <w:lang w:val="de-DE"/>
              </w:rPr>
              <w:t>328.4502</w:t>
            </w:r>
            <w:r w:rsidRPr="00782238">
              <w:rPr>
                <w:rFonts w:ascii="Arial" w:hAnsi="Arial" w:cs="Arial"/>
                <w:sz w:val="16"/>
                <w:szCs w:val="16"/>
                <w:lang w:val="de-DE"/>
              </w:rPr>
              <w:t>)</w:t>
            </w:r>
          </w:p>
        </w:tc>
      </w:tr>
      <w:tr w:rsidR="00635763" w:rsidRPr="00A51255" w:rsidTr="00AF2496">
        <w:trPr>
          <w:jc w:val="center"/>
        </w:trPr>
        <w:tc>
          <w:tcPr>
            <w:tcW w:w="489" w:type="dxa"/>
            <w:vAlign w:val="center"/>
          </w:tcPr>
          <w:p w:rsidR="00752393" w:rsidRPr="00A51255" w:rsidRDefault="00C65448" w:rsidP="00D63A00">
            <w:pPr>
              <w:spacing w:line="360" w:lineRule="auto"/>
              <w:jc w:val="center"/>
              <w:rPr>
                <w:rFonts w:ascii="Arial" w:hAnsi="Arial" w:cs="Arial"/>
                <w:sz w:val="16"/>
                <w:szCs w:val="16"/>
                <w:lang w:val="de-DE"/>
              </w:rPr>
            </w:pPr>
            <w:r>
              <w:rPr>
                <w:rFonts w:ascii="Arial" w:hAnsi="Arial" w:cs="Arial"/>
                <w:sz w:val="16"/>
                <w:szCs w:val="16"/>
                <w:lang w:val="de-DE"/>
              </w:rPr>
              <w:t>(</w:t>
            </w:r>
            <w:r w:rsidR="00752393">
              <w:rPr>
                <w:rFonts w:ascii="Arial" w:hAnsi="Arial" w:cs="Arial"/>
                <w:sz w:val="16"/>
                <w:szCs w:val="16"/>
                <w:lang w:val="de-DE"/>
              </w:rPr>
              <w:t>4)</w:t>
            </w:r>
          </w:p>
        </w:tc>
        <w:tc>
          <w:tcPr>
            <w:tcW w:w="1855" w:type="dxa"/>
            <w:vAlign w:val="center"/>
          </w:tcPr>
          <w:p w:rsidR="00EC19FD" w:rsidRDefault="00752393" w:rsidP="00EC19FD">
            <w:pPr>
              <w:ind w:left="105"/>
              <w:jc w:val="center"/>
              <w:rPr>
                <w:rFonts w:ascii="Garamond" w:hAnsi="Garamond"/>
                <w:lang w:val="de-DE"/>
              </w:rPr>
            </w:pPr>
            <w:r w:rsidRPr="002C5A6B">
              <w:rPr>
                <w:rFonts w:ascii="Garamond" w:hAnsi="Garamond"/>
                <w:i/>
                <w:position w:val="-12"/>
                <w:lang w:val="de-DE"/>
              </w:rPr>
              <w:object w:dxaOrig="300" w:dyaOrig="400">
                <v:shape id="_x0000_i1141" type="#_x0000_t75" style="width:12.85pt;height:18pt" o:ole="">
                  <v:imagedata r:id="rId122" o:title=""/>
                </v:shape>
                <o:OLEObject Type="Embed" ProgID="Equation.3" ShapeID="_x0000_i1141" DrawAspect="Content" ObjectID="_1507543488" r:id="rId183"/>
              </w:object>
            </w:r>
          </w:p>
          <w:p w:rsidR="00752393" w:rsidRPr="0007792B" w:rsidRDefault="00752393" w:rsidP="00EC19FD">
            <w:pPr>
              <w:ind w:left="105"/>
              <w:jc w:val="center"/>
              <w:rPr>
                <w:rFonts w:ascii="Arial" w:hAnsi="Arial" w:cs="Arial"/>
                <w:b/>
                <w:sz w:val="18"/>
                <w:szCs w:val="18"/>
                <w:lang w:val="de-DE"/>
              </w:rPr>
            </w:pPr>
            <w:r>
              <w:rPr>
                <w:rFonts w:ascii="Arial" w:hAnsi="Arial" w:cs="Arial"/>
                <w:b/>
                <w:sz w:val="18"/>
                <w:szCs w:val="18"/>
                <w:lang w:val="de-DE"/>
              </w:rPr>
              <w:t>n</w:t>
            </w:r>
            <w:r w:rsidRPr="004F48F0">
              <w:rPr>
                <w:rFonts w:ascii="Arial" w:hAnsi="Arial" w:cs="Arial"/>
                <w:b/>
                <w:sz w:val="18"/>
                <w:szCs w:val="18"/>
                <w:lang w:val="de-DE"/>
              </w:rPr>
              <w:t>egative</w:t>
            </w:r>
          </w:p>
        </w:tc>
        <w:tc>
          <w:tcPr>
            <w:tcW w:w="1938" w:type="dxa"/>
            <w:vAlign w:val="center"/>
          </w:tcPr>
          <w:p w:rsidR="00752393" w:rsidRPr="00782238" w:rsidRDefault="00752393" w:rsidP="00076908">
            <w:pPr>
              <w:jc w:val="center"/>
              <w:rPr>
                <w:rFonts w:ascii="Arial" w:hAnsi="Arial" w:cs="Arial"/>
                <w:sz w:val="20"/>
                <w:szCs w:val="20"/>
                <w:lang w:val="de-DE"/>
              </w:rPr>
            </w:pPr>
            <w:r w:rsidRPr="00184899">
              <w:rPr>
                <w:rFonts w:ascii="Arial" w:hAnsi="Arial" w:cs="Arial"/>
                <w:sz w:val="20"/>
                <w:szCs w:val="20"/>
                <w:lang w:val="de-DE"/>
              </w:rPr>
              <w:t>692.0869</w:t>
            </w:r>
          </w:p>
          <w:p w:rsidR="00752393" w:rsidRPr="00782238" w:rsidRDefault="00752393" w:rsidP="00076908">
            <w:pPr>
              <w:jc w:val="center"/>
              <w:rPr>
                <w:rFonts w:ascii="Arial" w:hAnsi="Arial" w:cs="Arial"/>
                <w:sz w:val="20"/>
                <w:szCs w:val="20"/>
                <w:lang w:val="de-DE"/>
              </w:rPr>
            </w:pPr>
            <w:r w:rsidRPr="00782238">
              <w:rPr>
                <w:rFonts w:ascii="Arial" w:hAnsi="Arial" w:cs="Arial"/>
                <w:sz w:val="16"/>
                <w:szCs w:val="16"/>
                <w:lang w:val="de-DE"/>
              </w:rPr>
              <w:t xml:space="preserve"> (</w:t>
            </w:r>
            <w:r w:rsidRPr="00184899">
              <w:rPr>
                <w:rFonts w:ascii="Arial" w:hAnsi="Arial" w:cs="Arial"/>
                <w:sz w:val="16"/>
                <w:szCs w:val="16"/>
                <w:lang w:val="de-DE"/>
              </w:rPr>
              <w:t>745.8759</w:t>
            </w:r>
            <w:r w:rsidRPr="00782238">
              <w:rPr>
                <w:rFonts w:ascii="Arial" w:hAnsi="Arial" w:cs="Arial"/>
                <w:sz w:val="16"/>
                <w:szCs w:val="16"/>
                <w:lang w:val="de-DE"/>
              </w:rPr>
              <w:t>)</w:t>
            </w:r>
          </w:p>
        </w:tc>
        <w:tc>
          <w:tcPr>
            <w:tcW w:w="1686" w:type="dxa"/>
            <w:vAlign w:val="center"/>
          </w:tcPr>
          <w:p w:rsidR="00752393" w:rsidRPr="00782238" w:rsidRDefault="004F0A0E" w:rsidP="00B76BD7">
            <w:pPr>
              <w:jc w:val="center"/>
              <w:rPr>
                <w:rFonts w:ascii="Arial" w:hAnsi="Arial" w:cs="Arial"/>
                <w:sz w:val="20"/>
                <w:szCs w:val="20"/>
                <w:lang w:val="de-DE"/>
              </w:rPr>
            </w:pPr>
            <w:r w:rsidRPr="004F0A0E">
              <w:rPr>
                <w:rFonts w:ascii="Arial" w:hAnsi="Arial" w:cs="Arial"/>
                <w:sz w:val="20"/>
                <w:szCs w:val="20"/>
                <w:lang w:val="de-DE"/>
              </w:rPr>
              <w:t>1390.120</w:t>
            </w:r>
          </w:p>
          <w:p w:rsidR="00752393" w:rsidRPr="00A51255" w:rsidRDefault="00752393" w:rsidP="00B76BD7">
            <w:pPr>
              <w:jc w:val="center"/>
              <w:rPr>
                <w:lang w:val="en-US"/>
              </w:rPr>
            </w:pPr>
            <w:r w:rsidRPr="00782238">
              <w:rPr>
                <w:rFonts w:ascii="Arial" w:hAnsi="Arial" w:cs="Arial"/>
                <w:sz w:val="16"/>
                <w:szCs w:val="16"/>
                <w:lang w:val="de-DE"/>
              </w:rPr>
              <w:t xml:space="preserve"> (</w:t>
            </w:r>
            <w:r w:rsidR="004F0A0E" w:rsidRPr="004F0A0E">
              <w:rPr>
                <w:rFonts w:ascii="Arial" w:hAnsi="Arial" w:cs="Arial"/>
                <w:sz w:val="16"/>
                <w:szCs w:val="16"/>
                <w:lang w:val="de-DE"/>
              </w:rPr>
              <w:t>2222.501</w:t>
            </w:r>
            <w:r w:rsidRPr="00782238">
              <w:rPr>
                <w:rFonts w:ascii="Arial" w:hAnsi="Arial" w:cs="Arial"/>
                <w:sz w:val="16"/>
                <w:szCs w:val="16"/>
                <w:lang w:val="de-DE"/>
              </w:rPr>
              <w:t>)</w:t>
            </w:r>
          </w:p>
        </w:tc>
        <w:tc>
          <w:tcPr>
            <w:tcW w:w="1832" w:type="dxa"/>
            <w:vAlign w:val="center"/>
          </w:tcPr>
          <w:p w:rsidR="00752393" w:rsidRPr="00782238" w:rsidRDefault="0007579D" w:rsidP="00B76BD7">
            <w:pPr>
              <w:jc w:val="center"/>
              <w:rPr>
                <w:rFonts w:ascii="Arial" w:hAnsi="Arial" w:cs="Arial"/>
                <w:sz w:val="20"/>
                <w:szCs w:val="20"/>
                <w:lang w:val="de-DE"/>
              </w:rPr>
            </w:pPr>
            <w:r w:rsidRPr="0007579D">
              <w:rPr>
                <w:rFonts w:ascii="Arial" w:hAnsi="Arial" w:cs="Arial"/>
                <w:sz w:val="20"/>
                <w:szCs w:val="20"/>
                <w:lang w:val="de-DE"/>
              </w:rPr>
              <w:t>-1218.049</w:t>
            </w:r>
          </w:p>
          <w:p w:rsidR="00752393" w:rsidRPr="00A51255" w:rsidRDefault="00752393" w:rsidP="00B76BD7">
            <w:pPr>
              <w:jc w:val="center"/>
              <w:rPr>
                <w:lang w:val="en-US"/>
              </w:rPr>
            </w:pPr>
            <w:r w:rsidRPr="00782238">
              <w:rPr>
                <w:rFonts w:ascii="Arial" w:hAnsi="Arial" w:cs="Arial"/>
                <w:sz w:val="16"/>
                <w:szCs w:val="16"/>
                <w:lang w:val="de-DE"/>
              </w:rPr>
              <w:t xml:space="preserve"> (</w:t>
            </w:r>
            <w:r w:rsidR="00E8691B" w:rsidRPr="00E8691B">
              <w:rPr>
                <w:rFonts w:ascii="Arial" w:hAnsi="Arial" w:cs="Arial"/>
                <w:sz w:val="16"/>
                <w:szCs w:val="16"/>
                <w:lang w:val="de-DE"/>
              </w:rPr>
              <w:t>831.9350</w:t>
            </w:r>
            <w:r w:rsidRPr="00782238">
              <w:rPr>
                <w:rFonts w:ascii="Arial" w:hAnsi="Arial" w:cs="Arial"/>
                <w:sz w:val="16"/>
                <w:szCs w:val="16"/>
                <w:lang w:val="de-DE"/>
              </w:rPr>
              <w:t>)</w:t>
            </w:r>
          </w:p>
        </w:tc>
        <w:tc>
          <w:tcPr>
            <w:tcW w:w="1824" w:type="dxa"/>
            <w:vAlign w:val="center"/>
          </w:tcPr>
          <w:p w:rsidR="00752393" w:rsidRPr="00782238" w:rsidRDefault="00752393" w:rsidP="00076908">
            <w:pPr>
              <w:jc w:val="center"/>
              <w:rPr>
                <w:rFonts w:ascii="Arial" w:hAnsi="Arial" w:cs="Arial"/>
                <w:sz w:val="20"/>
                <w:szCs w:val="20"/>
                <w:lang w:val="de-DE"/>
              </w:rPr>
            </w:pPr>
            <w:r w:rsidRPr="00EB3038">
              <w:rPr>
                <w:rFonts w:ascii="Arial" w:hAnsi="Arial" w:cs="Arial"/>
                <w:sz w:val="20"/>
                <w:szCs w:val="20"/>
                <w:lang w:val="de-DE"/>
              </w:rPr>
              <w:t>-964.4794</w:t>
            </w:r>
            <w:r>
              <w:rPr>
                <w:rFonts w:ascii="Arial" w:hAnsi="Arial" w:cs="Arial"/>
                <w:sz w:val="20"/>
                <w:szCs w:val="20"/>
                <w:lang w:val="de-DE"/>
              </w:rPr>
              <w:t xml:space="preserve"> ***</w:t>
            </w:r>
          </w:p>
          <w:p w:rsidR="00752393" w:rsidRPr="00A51255" w:rsidRDefault="00752393" w:rsidP="00076908">
            <w:pPr>
              <w:jc w:val="center"/>
              <w:rPr>
                <w:lang w:val="en-US"/>
              </w:rPr>
            </w:pPr>
            <w:r w:rsidRPr="00782238">
              <w:rPr>
                <w:rFonts w:ascii="Arial" w:hAnsi="Arial" w:cs="Arial"/>
                <w:sz w:val="16"/>
                <w:szCs w:val="16"/>
                <w:lang w:val="de-DE"/>
              </w:rPr>
              <w:t xml:space="preserve"> (</w:t>
            </w:r>
            <w:r w:rsidRPr="00EB3038">
              <w:rPr>
                <w:rFonts w:ascii="Arial" w:hAnsi="Arial" w:cs="Arial"/>
                <w:sz w:val="16"/>
                <w:szCs w:val="16"/>
                <w:lang w:val="de-DE"/>
              </w:rPr>
              <w:t>192.5440</w:t>
            </w:r>
            <w:r w:rsidRPr="00782238">
              <w:rPr>
                <w:rFonts w:ascii="Arial" w:hAnsi="Arial" w:cs="Arial"/>
                <w:sz w:val="16"/>
                <w:szCs w:val="16"/>
                <w:lang w:val="de-DE"/>
              </w:rPr>
              <w:t>)</w:t>
            </w:r>
          </w:p>
        </w:tc>
      </w:tr>
      <w:tr w:rsidR="00635763" w:rsidRPr="00A51255" w:rsidTr="00AF2496">
        <w:trPr>
          <w:jc w:val="center"/>
        </w:trPr>
        <w:tc>
          <w:tcPr>
            <w:tcW w:w="489" w:type="dxa"/>
            <w:vAlign w:val="center"/>
          </w:tcPr>
          <w:p w:rsidR="00752393" w:rsidRPr="00A51255" w:rsidRDefault="00C65448" w:rsidP="00D63A00">
            <w:pPr>
              <w:spacing w:line="360" w:lineRule="auto"/>
              <w:jc w:val="center"/>
              <w:rPr>
                <w:rFonts w:ascii="Arial" w:hAnsi="Arial" w:cs="Arial"/>
                <w:sz w:val="16"/>
                <w:szCs w:val="16"/>
                <w:lang w:val="de-DE"/>
              </w:rPr>
            </w:pPr>
            <w:r>
              <w:rPr>
                <w:rFonts w:ascii="Arial" w:hAnsi="Arial" w:cs="Arial"/>
                <w:sz w:val="16"/>
                <w:szCs w:val="16"/>
                <w:lang w:val="de-DE"/>
              </w:rPr>
              <w:t>(</w:t>
            </w:r>
            <w:r w:rsidR="00752393">
              <w:rPr>
                <w:rFonts w:ascii="Arial" w:hAnsi="Arial" w:cs="Arial"/>
                <w:sz w:val="16"/>
                <w:szCs w:val="16"/>
                <w:lang w:val="de-DE"/>
              </w:rPr>
              <w:t>4)</w:t>
            </w:r>
          </w:p>
        </w:tc>
        <w:tc>
          <w:tcPr>
            <w:tcW w:w="1855" w:type="dxa"/>
            <w:vAlign w:val="center"/>
          </w:tcPr>
          <w:p w:rsidR="00EC19FD" w:rsidRDefault="00752393" w:rsidP="00EC19FD">
            <w:pPr>
              <w:ind w:left="105"/>
              <w:jc w:val="center"/>
            </w:pPr>
            <w:r w:rsidRPr="00326E18">
              <w:rPr>
                <w:rFonts w:ascii="Garamond" w:hAnsi="Garamond"/>
                <w:i/>
                <w:position w:val="-12"/>
                <w:lang w:val="de-DE"/>
              </w:rPr>
              <w:object w:dxaOrig="300" w:dyaOrig="400">
                <v:shape id="_x0000_i1142" type="#_x0000_t75" style="width:12.85pt;height:18pt" o:ole="">
                  <v:imagedata r:id="rId184" o:title=""/>
                </v:shape>
                <o:OLEObject Type="Embed" ProgID="Equation.3" ShapeID="_x0000_i1142" DrawAspect="Content" ObjectID="_1507543489" r:id="rId185"/>
              </w:object>
            </w:r>
          </w:p>
          <w:p w:rsidR="00752393" w:rsidRPr="004F48F0" w:rsidRDefault="00752393" w:rsidP="00EC19FD">
            <w:pPr>
              <w:ind w:left="105"/>
              <w:jc w:val="center"/>
              <w:rPr>
                <w:rFonts w:ascii="Arial" w:hAnsi="Arial" w:cs="Arial"/>
                <w:b/>
                <w:sz w:val="18"/>
                <w:szCs w:val="18"/>
                <w:lang w:val="de-DE"/>
              </w:rPr>
            </w:pPr>
            <w:r>
              <w:rPr>
                <w:rFonts w:ascii="Arial" w:hAnsi="Arial" w:cs="Arial"/>
                <w:b/>
                <w:sz w:val="18"/>
                <w:szCs w:val="18"/>
                <w:lang w:val="de-DE"/>
              </w:rPr>
              <w:t xml:space="preserve">strongly </w:t>
            </w:r>
            <w:r w:rsidRPr="004F48F0">
              <w:rPr>
                <w:rFonts w:ascii="Arial" w:hAnsi="Arial" w:cs="Arial"/>
                <w:b/>
                <w:sz w:val="18"/>
                <w:szCs w:val="18"/>
                <w:lang w:val="de-DE"/>
              </w:rPr>
              <w:t>negative</w:t>
            </w:r>
          </w:p>
        </w:tc>
        <w:tc>
          <w:tcPr>
            <w:tcW w:w="1938" w:type="dxa"/>
            <w:vAlign w:val="center"/>
          </w:tcPr>
          <w:p w:rsidR="00752393" w:rsidRPr="00782238" w:rsidRDefault="00752393" w:rsidP="00076908">
            <w:pPr>
              <w:jc w:val="center"/>
              <w:rPr>
                <w:rFonts w:ascii="Arial" w:hAnsi="Arial" w:cs="Arial"/>
                <w:sz w:val="20"/>
                <w:szCs w:val="20"/>
                <w:lang w:val="de-DE"/>
              </w:rPr>
            </w:pPr>
            <w:r w:rsidRPr="00184899">
              <w:rPr>
                <w:rFonts w:ascii="Arial" w:hAnsi="Arial" w:cs="Arial"/>
                <w:sz w:val="20"/>
                <w:szCs w:val="20"/>
                <w:lang w:val="de-DE"/>
              </w:rPr>
              <w:t>-1529.441</w:t>
            </w:r>
            <w:r>
              <w:rPr>
                <w:rFonts w:ascii="Arial" w:hAnsi="Arial" w:cs="Arial"/>
                <w:sz w:val="20"/>
                <w:szCs w:val="20"/>
                <w:lang w:val="de-DE"/>
              </w:rPr>
              <w:t xml:space="preserve"> ***</w:t>
            </w:r>
          </w:p>
          <w:p w:rsidR="00752393" w:rsidRPr="00782238" w:rsidRDefault="00752393" w:rsidP="00076908">
            <w:pPr>
              <w:jc w:val="center"/>
              <w:rPr>
                <w:rFonts w:ascii="Arial" w:hAnsi="Arial" w:cs="Arial"/>
                <w:sz w:val="20"/>
                <w:szCs w:val="20"/>
                <w:lang w:val="de-DE"/>
              </w:rPr>
            </w:pPr>
            <w:r w:rsidRPr="00782238">
              <w:rPr>
                <w:rFonts w:ascii="Arial" w:hAnsi="Arial" w:cs="Arial"/>
                <w:sz w:val="16"/>
                <w:szCs w:val="16"/>
                <w:lang w:val="de-DE"/>
              </w:rPr>
              <w:t xml:space="preserve"> (</w:t>
            </w:r>
            <w:r w:rsidRPr="00184899">
              <w:rPr>
                <w:rFonts w:ascii="Arial" w:hAnsi="Arial" w:cs="Arial"/>
                <w:sz w:val="16"/>
                <w:szCs w:val="16"/>
                <w:lang w:val="de-DE"/>
              </w:rPr>
              <w:t>316.3183</w:t>
            </w:r>
            <w:r w:rsidRPr="00782238">
              <w:rPr>
                <w:rFonts w:ascii="Arial" w:hAnsi="Arial" w:cs="Arial"/>
                <w:sz w:val="16"/>
                <w:szCs w:val="16"/>
                <w:lang w:val="de-DE"/>
              </w:rPr>
              <w:t>)</w:t>
            </w:r>
          </w:p>
        </w:tc>
        <w:tc>
          <w:tcPr>
            <w:tcW w:w="1686" w:type="dxa"/>
            <w:vAlign w:val="center"/>
          </w:tcPr>
          <w:p w:rsidR="00752393" w:rsidRPr="00782238" w:rsidRDefault="002B6B9B" w:rsidP="00B76BD7">
            <w:pPr>
              <w:jc w:val="center"/>
              <w:rPr>
                <w:rFonts w:ascii="Arial" w:hAnsi="Arial" w:cs="Arial"/>
                <w:sz w:val="20"/>
                <w:szCs w:val="20"/>
                <w:lang w:val="de-DE"/>
              </w:rPr>
            </w:pPr>
            <w:r w:rsidRPr="002B6B9B">
              <w:rPr>
                <w:rFonts w:ascii="Arial" w:hAnsi="Arial" w:cs="Arial"/>
                <w:sz w:val="20"/>
                <w:szCs w:val="20"/>
                <w:lang w:val="de-DE"/>
              </w:rPr>
              <w:t>-2390.543</w:t>
            </w:r>
            <w:r>
              <w:rPr>
                <w:rFonts w:ascii="Arial" w:hAnsi="Arial" w:cs="Arial"/>
                <w:sz w:val="20"/>
                <w:szCs w:val="20"/>
                <w:lang w:val="de-DE"/>
              </w:rPr>
              <w:t xml:space="preserve"> ***</w:t>
            </w:r>
          </w:p>
          <w:p w:rsidR="00752393" w:rsidRPr="00A51255" w:rsidRDefault="00752393" w:rsidP="00B76BD7">
            <w:pPr>
              <w:jc w:val="center"/>
              <w:rPr>
                <w:lang w:val="en-US"/>
              </w:rPr>
            </w:pPr>
            <w:r w:rsidRPr="00782238">
              <w:rPr>
                <w:rFonts w:ascii="Arial" w:hAnsi="Arial" w:cs="Arial"/>
                <w:sz w:val="16"/>
                <w:szCs w:val="16"/>
                <w:lang w:val="de-DE"/>
              </w:rPr>
              <w:t xml:space="preserve"> (</w:t>
            </w:r>
            <w:r w:rsidR="002B6B9B" w:rsidRPr="002B6B9B">
              <w:rPr>
                <w:rFonts w:ascii="Arial" w:hAnsi="Arial" w:cs="Arial"/>
                <w:sz w:val="16"/>
                <w:szCs w:val="16"/>
                <w:lang w:val="de-DE"/>
              </w:rPr>
              <w:t>135.2899</w:t>
            </w:r>
            <w:r w:rsidRPr="00782238">
              <w:rPr>
                <w:rFonts w:ascii="Arial" w:hAnsi="Arial" w:cs="Arial"/>
                <w:sz w:val="16"/>
                <w:szCs w:val="16"/>
                <w:lang w:val="de-DE"/>
              </w:rPr>
              <w:t>)</w:t>
            </w:r>
          </w:p>
        </w:tc>
        <w:tc>
          <w:tcPr>
            <w:tcW w:w="1832" w:type="dxa"/>
            <w:vAlign w:val="center"/>
          </w:tcPr>
          <w:p w:rsidR="00752393" w:rsidRPr="00782238" w:rsidRDefault="0047163F" w:rsidP="00B76BD7">
            <w:pPr>
              <w:jc w:val="center"/>
              <w:rPr>
                <w:rFonts w:ascii="Arial" w:hAnsi="Arial" w:cs="Arial"/>
                <w:sz w:val="20"/>
                <w:szCs w:val="20"/>
                <w:lang w:val="de-DE"/>
              </w:rPr>
            </w:pPr>
            <w:r w:rsidRPr="0047163F">
              <w:rPr>
                <w:rFonts w:ascii="Arial" w:hAnsi="Arial" w:cs="Arial"/>
                <w:sz w:val="20"/>
                <w:szCs w:val="20"/>
                <w:lang w:val="de-DE"/>
              </w:rPr>
              <w:t>-1944.087</w:t>
            </w:r>
            <w:r w:rsidR="00A07870">
              <w:rPr>
                <w:rFonts w:ascii="Arial" w:hAnsi="Arial" w:cs="Arial"/>
                <w:sz w:val="20"/>
                <w:szCs w:val="20"/>
                <w:lang w:val="de-DE"/>
              </w:rPr>
              <w:t xml:space="preserve"> ***</w:t>
            </w:r>
          </w:p>
          <w:p w:rsidR="00752393" w:rsidRPr="00A51255" w:rsidRDefault="00752393" w:rsidP="00B76BD7">
            <w:pPr>
              <w:jc w:val="center"/>
              <w:rPr>
                <w:lang w:val="en-US"/>
              </w:rPr>
            </w:pPr>
            <w:r w:rsidRPr="00782238">
              <w:rPr>
                <w:rFonts w:ascii="Arial" w:hAnsi="Arial" w:cs="Arial"/>
                <w:sz w:val="16"/>
                <w:szCs w:val="16"/>
                <w:lang w:val="de-DE"/>
              </w:rPr>
              <w:t xml:space="preserve"> (</w:t>
            </w:r>
            <w:r w:rsidR="0047163F" w:rsidRPr="0047163F">
              <w:rPr>
                <w:rFonts w:ascii="Arial" w:hAnsi="Arial" w:cs="Arial"/>
                <w:sz w:val="16"/>
                <w:szCs w:val="16"/>
                <w:lang w:val="de-DE"/>
              </w:rPr>
              <w:t>176.1636</w:t>
            </w:r>
            <w:r w:rsidRPr="00782238">
              <w:rPr>
                <w:rFonts w:ascii="Arial" w:hAnsi="Arial" w:cs="Arial"/>
                <w:sz w:val="16"/>
                <w:szCs w:val="16"/>
                <w:lang w:val="de-DE"/>
              </w:rPr>
              <w:t>)</w:t>
            </w:r>
          </w:p>
        </w:tc>
        <w:tc>
          <w:tcPr>
            <w:tcW w:w="1824" w:type="dxa"/>
            <w:vAlign w:val="center"/>
          </w:tcPr>
          <w:p w:rsidR="00752393" w:rsidRPr="00782238" w:rsidRDefault="00752393" w:rsidP="00076908">
            <w:pPr>
              <w:jc w:val="center"/>
              <w:rPr>
                <w:rFonts w:ascii="Arial" w:hAnsi="Arial" w:cs="Arial"/>
                <w:sz w:val="20"/>
                <w:szCs w:val="20"/>
                <w:lang w:val="de-DE"/>
              </w:rPr>
            </w:pPr>
            <w:r w:rsidRPr="00EB3038">
              <w:rPr>
                <w:rFonts w:ascii="Arial" w:hAnsi="Arial" w:cs="Arial"/>
                <w:sz w:val="20"/>
                <w:szCs w:val="20"/>
                <w:lang w:val="de-DE"/>
              </w:rPr>
              <w:t>1372.325</w:t>
            </w:r>
          </w:p>
          <w:p w:rsidR="00752393" w:rsidRPr="00A51255" w:rsidRDefault="00752393" w:rsidP="00076908">
            <w:pPr>
              <w:jc w:val="center"/>
              <w:rPr>
                <w:lang w:val="en-US"/>
              </w:rPr>
            </w:pPr>
            <w:r w:rsidRPr="00782238">
              <w:rPr>
                <w:rFonts w:ascii="Arial" w:hAnsi="Arial" w:cs="Arial"/>
                <w:sz w:val="16"/>
                <w:szCs w:val="16"/>
                <w:lang w:val="de-DE"/>
              </w:rPr>
              <w:t xml:space="preserve"> (</w:t>
            </w:r>
            <w:r w:rsidRPr="00EB3038">
              <w:rPr>
                <w:rFonts w:ascii="Arial" w:hAnsi="Arial" w:cs="Arial"/>
                <w:sz w:val="16"/>
                <w:szCs w:val="16"/>
                <w:lang w:val="de-DE"/>
              </w:rPr>
              <w:t>3087.387</w:t>
            </w:r>
            <w:r w:rsidRPr="00782238">
              <w:rPr>
                <w:rFonts w:ascii="Arial" w:hAnsi="Arial" w:cs="Arial"/>
                <w:sz w:val="16"/>
                <w:szCs w:val="16"/>
                <w:lang w:val="de-DE"/>
              </w:rPr>
              <w:t>)</w:t>
            </w:r>
          </w:p>
        </w:tc>
      </w:tr>
      <w:tr w:rsidR="00635763" w:rsidRPr="00647145" w:rsidTr="00AF2496">
        <w:trPr>
          <w:jc w:val="center"/>
        </w:trPr>
        <w:tc>
          <w:tcPr>
            <w:tcW w:w="489" w:type="dxa"/>
            <w:vAlign w:val="center"/>
          </w:tcPr>
          <w:p w:rsidR="0014213E" w:rsidRPr="00A51255" w:rsidRDefault="0014213E" w:rsidP="00D63A00">
            <w:pPr>
              <w:spacing w:line="360" w:lineRule="auto"/>
              <w:jc w:val="center"/>
              <w:rPr>
                <w:rFonts w:ascii="Arial" w:hAnsi="Arial" w:cs="Arial"/>
                <w:sz w:val="16"/>
                <w:szCs w:val="16"/>
                <w:lang w:val="de-DE"/>
              </w:rPr>
            </w:pPr>
          </w:p>
        </w:tc>
        <w:tc>
          <w:tcPr>
            <w:tcW w:w="1855" w:type="dxa"/>
            <w:vAlign w:val="center"/>
          </w:tcPr>
          <w:p w:rsidR="0014213E" w:rsidRPr="004F48F0" w:rsidRDefault="0014213E" w:rsidP="00D63A00">
            <w:pPr>
              <w:spacing w:line="360" w:lineRule="auto"/>
              <w:ind w:left="98"/>
              <w:jc w:val="center"/>
              <w:rPr>
                <w:b/>
                <w:i/>
                <w:sz w:val="18"/>
                <w:szCs w:val="18"/>
                <w:lang w:val="en-US"/>
              </w:rPr>
            </w:pPr>
          </w:p>
        </w:tc>
        <w:tc>
          <w:tcPr>
            <w:tcW w:w="1938" w:type="dxa"/>
            <w:vAlign w:val="center"/>
          </w:tcPr>
          <w:p w:rsidR="0014213E" w:rsidRPr="00C673F3" w:rsidRDefault="0014213E" w:rsidP="00D63A00">
            <w:pPr>
              <w:jc w:val="center"/>
              <w:rPr>
                <w:rFonts w:ascii="Arial" w:hAnsi="Arial" w:cs="Arial"/>
                <w:sz w:val="10"/>
                <w:szCs w:val="10"/>
                <w:lang w:val="en-US"/>
              </w:rPr>
            </w:pPr>
            <w:r w:rsidRPr="00C673F3">
              <w:rPr>
                <w:rFonts w:ascii="Arial" w:hAnsi="Arial" w:cs="Arial"/>
                <w:sz w:val="10"/>
                <w:szCs w:val="10"/>
                <w:lang w:val="en-US"/>
              </w:rPr>
              <w:t xml:space="preserve">Q(10) = </w:t>
            </w:r>
            <w:r w:rsidR="00BB498E" w:rsidRPr="00C673F3">
              <w:rPr>
                <w:rFonts w:ascii="Arial" w:hAnsi="Arial" w:cs="Arial"/>
                <w:sz w:val="10"/>
                <w:szCs w:val="10"/>
                <w:lang w:val="en-US"/>
              </w:rPr>
              <w:t>6.4625</w:t>
            </w:r>
            <w:r w:rsidRPr="00C673F3">
              <w:rPr>
                <w:rFonts w:ascii="Arial" w:hAnsi="Arial" w:cs="Arial"/>
                <w:sz w:val="10"/>
                <w:szCs w:val="10"/>
                <w:lang w:val="en-US"/>
              </w:rPr>
              <w:t xml:space="preserve"> (p = </w:t>
            </w:r>
            <w:r w:rsidR="00BB498E" w:rsidRPr="00C673F3">
              <w:rPr>
                <w:rFonts w:ascii="Arial" w:hAnsi="Arial" w:cs="Arial"/>
                <w:sz w:val="10"/>
                <w:szCs w:val="10"/>
                <w:lang w:val="en-US"/>
              </w:rPr>
              <w:t>0.167</w:t>
            </w:r>
            <w:r w:rsidRPr="00C673F3">
              <w:rPr>
                <w:rFonts w:ascii="Arial" w:hAnsi="Arial" w:cs="Arial"/>
                <w:sz w:val="10"/>
                <w:szCs w:val="10"/>
                <w:lang w:val="en-US"/>
              </w:rPr>
              <w:t>)</w:t>
            </w:r>
          </w:p>
          <w:p w:rsidR="0014213E" w:rsidRPr="00C673F3" w:rsidRDefault="0014213E" w:rsidP="00D63A00">
            <w:pPr>
              <w:jc w:val="center"/>
              <w:rPr>
                <w:rFonts w:ascii="Arial" w:hAnsi="Arial" w:cs="Arial"/>
                <w:sz w:val="10"/>
                <w:szCs w:val="10"/>
                <w:lang w:val="en-US"/>
              </w:rPr>
            </w:pPr>
            <w:r w:rsidRPr="00C673F3">
              <w:rPr>
                <w:rFonts w:ascii="Arial" w:hAnsi="Arial" w:cs="Arial"/>
                <w:sz w:val="10"/>
                <w:szCs w:val="10"/>
                <w:lang w:val="en-US"/>
              </w:rPr>
              <w:t xml:space="preserve">LM(10) = </w:t>
            </w:r>
            <w:r w:rsidR="00BB498E" w:rsidRPr="00C673F3">
              <w:rPr>
                <w:rFonts w:ascii="Arial" w:hAnsi="Arial" w:cs="Arial"/>
                <w:sz w:val="10"/>
                <w:szCs w:val="10"/>
                <w:lang w:val="en-US"/>
              </w:rPr>
              <w:t>0.408992</w:t>
            </w:r>
            <w:r w:rsidRPr="00C673F3">
              <w:rPr>
                <w:rFonts w:ascii="Arial" w:hAnsi="Arial" w:cs="Arial"/>
                <w:sz w:val="10"/>
                <w:szCs w:val="10"/>
                <w:lang w:val="en-US"/>
              </w:rPr>
              <w:t xml:space="preserve"> (p = </w:t>
            </w:r>
            <w:r w:rsidR="00BB498E" w:rsidRPr="00C673F3">
              <w:rPr>
                <w:rFonts w:ascii="Arial" w:hAnsi="Arial" w:cs="Arial"/>
                <w:sz w:val="10"/>
                <w:szCs w:val="10"/>
                <w:lang w:val="en-US"/>
              </w:rPr>
              <w:t>0.9427</w:t>
            </w:r>
            <w:r w:rsidRPr="00C673F3">
              <w:rPr>
                <w:rFonts w:ascii="Arial" w:hAnsi="Arial" w:cs="Arial"/>
                <w:sz w:val="10"/>
                <w:szCs w:val="10"/>
                <w:lang w:val="en-US"/>
              </w:rPr>
              <w:t>)</w:t>
            </w:r>
          </w:p>
          <w:p w:rsidR="0014213E" w:rsidRPr="00C673F3" w:rsidRDefault="0014213E" w:rsidP="00D63A00">
            <w:pPr>
              <w:jc w:val="center"/>
              <w:rPr>
                <w:rFonts w:ascii="Arial" w:hAnsi="Arial" w:cs="Arial"/>
                <w:sz w:val="10"/>
                <w:szCs w:val="10"/>
                <w:lang w:val="en-US"/>
              </w:rPr>
            </w:pPr>
            <w:r w:rsidRPr="00C673F3">
              <w:rPr>
                <w:rFonts w:ascii="Arial" w:hAnsi="Arial" w:cs="Arial"/>
                <w:sz w:val="10"/>
                <w:szCs w:val="10"/>
                <w:lang w:val="en-US"/>
              </w:rPr>
              <w:t xml:space="preserve">Log likelihood = </w:t>
            </w:r>
            <w:r w:rsidR="00BB498E" w:rsidRPr="00C673F3">
              <w:rPr>
                <w:rFonts w:ascii="Arial" w:hAnsi="Arial" w:cs="Arial"/>
                <w:sz w:val="10"/>
                <w:szCs w:val="10"/>
                <w:lang w:val="en-US"/>
              </w:rPr>
              <w:t>-4113.605</w:t>
            </w:r>
          </w:p>
        </w:tc>
        <w:tc>
          <w:tcPr>
            <w:tcW w:w="1686" w:type="dxa"/>
            <w:vAlign w:val="center"/>
          </w:tcPr>
          <w:p w:rsidR="00931B9B" w:rsidRPr="00C673F3" w:rsidRDefault="00931B9B" w:rsidP="00931B9B">
            <w:pPr>
              <w:jc w:val="center"/>
              <w:rPr>
                <w:rFonts w:ascii="Arial" w:hAnsi="Arial" w:cs="Arial"/>
                <w:sz w:val="10"/>
                <w:szCs w:val="10"/>
                <w:lang w:val="en-US"/>
              </w:rPr>
            </w:pPr>
            <w:r w:rsidRPr="00C673F3">
              <w:rPr>
                <w:rFonts w:ascii="Arial" w:hAnsi="Arial" w:cs="Arial"/>
                <w:sz w:val="10"/>
                <w:szCs w:val="10"/>
                <w:lang w:val="en-US"/>
              </w:rPr>
              <w:t xml:space="preserve">Q(10) = </w:t>
            </w:r>
            <w:r w:rsidR="00E96E3F" w:rsidRPr="00C673F3">
              <w:rPr>
                <w:rFonts w:ascii="Arial" w:hAnsi="Arial" w:cs="Arial"/>
                <w:sz w:val="10"/>
                <w:szCs w:val="10"/>
                <w:lang w:val="en-US"/>
              </w:rPr>
              <w:t>5.6386</w:t>
            </w:r>
            <w:r w:rsidRPr="00C673F3">
              <w:rPr>
                <w:rFonts w:ascii="Arial" w:hAnsi="Arial" w:cs="Arial"/>
                <w:sz w:val="10"/>
                <w:szCs w:val="10"/>
                <w:lang w:val="en-US"/>
              </w:rPr>
              <w:t xml:space="preserve"> (p = </w:t>
            </w:r>
            <w:r w:rsidR="00E96E3F" w:rsidRPr="00C673F3">
              <w:rPr>
                <w:rFonts w:ascii="Arial" w:hAnsi="Arial" w:cs="Arial"/>
                <w:sz w:val="10"/>
                <w:szCs w:val="10"/>
                <w:lang w:val="en-US"/>
              </w:rPr>
              <w:t>0.343</w:t>
            </w:r>
            <w:r w:rsidRPr="00C673F3">
              <w:rPr>
                <w:rFonts w:ascii="Arial" w:hAnsi="Arial" w:cs="Arial"/>
                <w:sz w:val="10"/>
                <w:szCs w:val="10"/>
                <w:lang w:val="en-US"/>
              </w:rPr>
              <w:t>)</w:t>
            </w:r>
          </w:p>
          <w:p w:rsidR="00931B9B" w:rsidRPr="00C673F3" w:rsidRDefault="00931B9B" w:rsidP="00931B9B">
            <w:pPr>
              <w:jc w:val="center"/>
              <w:rPr>
                <w:rFonts w:ascii="Arial" w:hAnsi="Arial" w:cs="Arial"/>
                <w:sz w:val="10"/>
                <w:szCs w:val="10"/>
                <w:lang w:val="en-US"/>
              </w:rPr>
            </w:pPr>
            <w:r w:rsidRPr="00C673F3">
              <w:rPr>
                <w:rFonts w:ascii="Arial" w:hAnsi="Arial" w:cs="Arial"/>
                <w:sz w:val="10"/>
                <w:szCs w:val="10"/>
                <w:lang w:val="en-US"/>
              </w:rPr>
              <w:t xml:space="preserve">LM(10) = </w:t>
            </w:r>
            <w:r w:rsidR="00E96E3F" w:rsidRPr="00C673F3">
              <w:rPr>
                <w:rFonts w:ascii="Arial" w:hAnsi="Arial" w:cs="Arial"/>
                <w:sz w:val="10"/>
                <w:szCs w:val="10"/>
                <w:lang w:val="en-US"/>
              </w:rPr>
              <w:t>0.429894</w:t>
            </w:r>
            <w:r w:rsidRPr="00C673F3">
              <w:rPr>
                <w:rFonts w:ascii="Arial" w:hAnsi="Arial" w:cs="Arial"/>
                <w:sz w:val="10"/>
                <w:szCs w:val="10"/>
                <w:lang w:val="en-US"/>
              </w:rPr>
              <w:t xml:space="preserve"> (p = </w:t>
            </w:r>
            <w:r w:rsidR="00E96E3F" w:rsidRPr="00C673F3">
              <w:rPr>
                <w:rFonts w:ascii="Arial" w:hAnsi="Arial" w:cs="Arial"/>
                <w:sz w:val="10"/>
                <w:szCs w:val="10"/>
                <w:lang w:val="en-US"/>
              </w:rPr>
              <w:t>0.9323</w:t>
            </w:r>
            <w:r w:rsidRPr="00C673F3">
              <w:rPr>
                <w:rFonts w:ascii="Arial" w:hAnsi="Arial" w:cs="Arial"/>
                <w:sz w:val="10"/>
                <w:szCs w:val="10"/>
                <w:lang w:val="en-US"/>
              </w:rPr>
              <w:t>)</w:t>
            </w:r>
          </w:p>
          <w:p w:rsidR="0014213E" w:rsidRPr="00C673F3" w:rsidRDefault="00931B9B" w:rsidP="00931B9B">
            <w:pPr>
              <w:jc w:val="center"/>
              <w:rPr>
                <w:rFonts w:ascii="Arial" w:hAnsi="Arial" w:cs="Arial"/>
                <w:sz w:val="10"/>
                <w:szCs w:val="10"/>
                <w:lang w:val="en-US"/>
              </w:rPr>
            </w:pPr>
            <w:r w:rsidRPr="00C673F3">
              <w:rPr>
                <w:rFonts w:ascii="Arial" w:hAnsi="Arial" w:cs="Arial"/>
                <w:sz w:val="10"/>
                <w:szCs w:val="10"/>
                <w:lang w:val="en-US"/>
              </w:rPr>
              <w:t xml:space="preserve">Log likelihood = </w:t>
            </w:r>
            <w:r w:rsidR="00064C93" w:rsidRPr="00C673F3">
              <w:rPr>
                <w:rFonts w:ascii="Arial" w:hAnsi="Arial" w:cs="Arial"/>
                <w:sz w:val="10"/>
                <w:szCs w:val="10"/>
                <w:lang w:val="en-US"/>
              </w:rPr>
              <w:t>-4117.180</w:t>
            </w:r>
          </w:p>
        </w:tc>
        <w:tc>
          <w:tcPr>
            <w:tcW w:w="1832" w:type="dxa"/>
            <w:vAlign w:val="center"/>
          </w:tcPr>
          <w:p w:rsidR="00931B9B" w:rsidRPr="00C673F3" w:rsidRDefault="00931B9B" w:rsidP="00931B9B">
            <w:pPr>
              <w:jc w:val="center"/>
              <w:rPr>
                <w:rFonts w:ascii="Arial" w:hAnsi="Arial" w:cs="Arial"/>
                <w:sz w:val="10"/>
                <w:szCs w:val="10"/>
                <w:lang w:val="en-US"/>
              </w:rPr>
            </w:pPr>
            <w:r w:rsidRPr="00C673F3">
              <w:rPr>
                <w:rFonts w:ascii="Arial" w:hAnsi="Arial" w:cs="Arial"/>
                <w:sz w:val="10"/>
                <w:szCs w:val="10"/>
                <w:lang w:val="en-US"/>
              </w:rPr>
              <w:t xml:space="preserve">Q(10) = </w:t>
            </w:r>
            <w:r w:rsidR="00055E94" w:rsidRPr="00C673F3">
              <w:rPr>
                <w:rFonts w:ascii="Arial" w:hAnsi="Arial" w:cs="Arial"/>
                <w:sz w:val="10"/>
                <w:szCs w:val="10"/>
                <w:lang w:val="en-US"/>
              </w:rPr>
              <w:t>6.0041</w:t>
            </w:r>
            <w:r w:rsidRPr="00C673F3">
              <w:rPr>
                <w:rFonts w:ascii="Arial" w:hAnsi="Arial" w:cs="Arial"/>
                <w:sz w:val="10"/>
                <w:szCs w:val="10"/>
                <w:lang w:val="en-US"/>
              </w:rPr>
              <w:t xml:space="preserve"> (p = </w:t>
            </w:r>
            <w:r w:rsidR="00055E94" w:rsidRPr="00C673F3">
              <w:rPr>
                <w:rFonts w:ascii="Arial" w:hAnsi="Arial" w:cs="Arial"/>
                <w:sz w:val="10"/>
                <w:szCs w:val="10"/>
                <w:lang w:val="en-US"/>
              </w:rPr>
              <w:t>0.111</w:t>
            </w:r>
            <w:r w:rsidRPr="00C673F3">
              <w:rPr>
                <w:rFonts w:ascii="Arial" w:hAnsi="Arial" w:cs="Arial"/>
                <w:sz w:val="10"/>
                <w:szCs w:val="10"/>
                <w:lang w:val="en-US"/>
              </w:rPr>
              <w:t>)</w:t>
            </w:r>
          </w:p>
          <w:p w:rsidR="00931B9B" w:rsidRPr="00C673F3" w:rsidRDefault="00931B9B" w:rsidP="00931B9B">
            <w:pPr>
              <w:jc w:val="center"/>
              <w:rPr>
                <w:rFonts w:ascii="Arial" w:hAnsi="Arial" w:cs="Arial"/>
                <w:sz w:val="10"/>
                <w:szCs w:val="10"/>
                <w:lang w:val="en-US"/>
              </w:rPr>
            </w:pPr>
            <w:r w:rsidRPr="00C673F3">
              <w:rPr>
                <w:rFonts w:ascii="Arial" w:hAnsi="Arial" w:cs="Arial"/>
                <w:sz w:val="10"/>
                <w:szCs w:val="10"/>
                <w:lang w:val="en-US"/>
              </w:rPr>
              <w:t xml:space="preserve">LM(10) = </w:t>
            </w:r>
            <w:r w:rsidR="00F67D3E" w:rsidRPr="00C673F3">
              <w:rPr>
                <w:rFonts w:ascii="Arial" w:hAnsi="Arial" w:cs="Arial"/>
                <w:sz w:val="10"/>
                <w:szCs w:val="10"/>
                <w:lang w:val="en-US"/>
              </w:rPr>
              <w:t>0.650906</w:t>
            </w:r>
            <w:r w:rsidRPr="00C673F3">
              <w:rPr>
                <w:rFonts w:ascii="Arial" w:hAnsi="Arial" w:cs="Arial"/>
                <w:sz w:val="10"/>
                <w:szCs w:val="10"/>
                <w:lang w:val="en-US"/>
              </w:rPr>
              <w:t xml:space="preserve"> (p = </w:t>
            </w:r>
            <w:r w:rsidR="00F67D3E" w:rsidRPr="00C673F3">
              <w:rPr>
                <w:rFonts w:ascii="Arial" w:hAnsi="Arial" w:cs="Arial"/>
                <w:sz w:val="10"/>
                <w:szCs w:val="10"/>
                <w:lang w:val="en-US"/>
              </w:rPr>
              <w:t>0.7703</w:t>
            </w:r>
            <w:r w:rsidRPr="00C673F3">
              <w:rPr>
                <w:rFonts w:ascii="Arial" w:hAnsi="Arial" w:cs="Arial"/>
                <w:sz w:val="10"/>
                <w:szCs w:val="10"/>
                <w:lang w:val="en-US"/>
              </w:rPr>
              <w:t>)</w:t>
            </w:r>
          </w:p>
          <w:p w:rsidR="0014213E" w:rsidRPr="00C673F3" w:rsidRDefault="00931B9B" w:rsidP="00931B9B">
            <w:pPr>
              <w:jc w:val="center"/>
              <w:rPr>
                <w:rFonts w:ascii="Arial" w:hAnsi="Arial" w:cs="Arial"/>
                <w:sz w:val="10"/>
                <w:szCs w:val="10"/>
                <w:lang w:val="en-US"/>
              </w:rPr>
            </w:pPr>
            <w:r w:rsidRPr="00C673F3">
              <w:rPr>
                <w:rFonts w:ascii="Arial" w:hAnsi="Arial" w:cs="Arial"/>
                <w:sz w:val="10"/>
                <w:szCs w:val="10"/>
                <w:lang w:val="en-US"/>
              </w:rPr>
              <w:t xml:space="preserve">Log likelihood = </w:t>
            </w:r>
            <w:r w:rsidR="00F67D3E" w:rsidRPr="00C673F3">
              <w:rPr>
                <w:rFonts w:ascii="Arial" w:hAnsi="Arial" w:cs="Arial"/>
                <w:sz w:val="10"/>
                <w:szCs w:val="10"/>
                <w:lang w:val="en-US"/>
              </w:rPr>
              <w:t>-4091.252</w:t>
            </w:r>
          </w:p>
        </w:tc>
        <w:tc>
          <w:tcPr>
            <w:tcW w:w="1824" w:type="dxa"/>
            <w:vAlign w:val="center"/>
          </w:tcPr>
          <w:p w:rsidR="0014213E" w:rsidRPr="00C673F3" w:rsidRDefault="0014213E" w:rsidP="00D63A00">
            <w:pPr>
              <w:jc w:val="center"/>
              <w:rPr>
                <w:rFonts w:ascii="Arial" w:hAnsi="Arial" w:cs="Arial"/>
                <w:sz w:val="10"/>
                <w:szCs w:val="10"/>
                <w:lang w:val="en-US"/>
              </w:rPr>
            </w:pPr>
            <w:r w:rsidRPr="00C673F3">
              <w:rPr>
                <w:rFonts w:ascii="Arial" w:hAnsi="Arial" w:cs="Arial"/>
                <w:sz w:val="10"/>
                <w:szCs w:val="10"/>
                <w:lang w:val="en-US"/>
              </w:rPr>
              <w:t xml:space="preserve">Q(10) = </w:t>
            </w:r>
            <w:r w:rsidR="000327AE" w:rsidRPr="00C673F3">
              <w:rPr>
                <w:rFonts w:ascii="Arial" w:hAnsi="Arial" w:cs="Arial"/>
                <w:sz w:val="10"/>
                <w:szCs w:val="10"/>
                <w:lang w:val="en-US"/>
              </w:rPr>
              <w:t>5.1047</w:t>
            </w:r>
            <w:r w:rsidRPr="00C673F3">
              <w:rPr>
                <w:rFonts w:ascii="Arial" w:hAnsi="Arial" w:cs="Arial"/>
                <w:sz w:val="10"/>
                <w:szCs w:val="10"/>
                <w:lang w:val="en-US"/>
              </w:rPr>
              <w:t xml:space="preserve"> (p = </w:t>
            </w:r>
            <w:r w:rsidR="000327AE" w:rsidRPr="00C673F3">
              <w:rPr>
                <w:rFonts w:ascii="Arial" w:hAnsi="Arial" w:cs="Arial"/>
                <w:sz w:val="10"/>
                <w:szCs w:val="10"/>
                <w:lang w:val="en-US"/>
              </w:rPr>
              <w:t>0.403</w:t>
            </w:r>
            <w:r w:rsidRPr="00C673F3">
              <w:rPr>
                <w:rFonts w:ascii="Arial" w:hAnsi="Arial" w:cs="Arial"/>
                <w:sz w:val="10"/>
                <w:szCs w:val="10"/>
                <w:lang w:val="en-US"/>
              </w:rPr>
              <w:t>)</w:t>
            </w:r>
          </w:p>
          <w:p w:rsidR="0014213E" w:rsidRPr="00C673F3" w:rsidRDefault="0014213E" w:rsidP="00D63A00">
            <w:pPr>
              <w:jc w:val="center"/>
              <w:rPr>
                <w:rFonts w:ascii="Arial" w:hAnsi="Arial" w:cs="Arial"/>
                <w:sz w:val="10"/>
                <w:szCs w:val="10"/>
                <w:lang w:val="en-US"/>
              </w:rPr>
            </w:pPr>
            <w:r w:rsidRPr="00C673F3">
              <w:rPr>
                <w:rFonts w:ascii="Arial" w:hAnsi="Arial" w:cs="Arial"/>
                <w:sz w:val="10"/>
                <w:szCs w:val="10"/>
                <w:lang w:val="en-US"/>
              </w:rPr>
              <w:t xml:space="preserve">LM(10) = </w:t>
            </w:r>
            <w:r w:rsidR="000327AE" w:rsidRPr="00C673F3">
              <w:rPr>
                <w:rFonts w:ascii="Arial" w:hAnsi="Arial" w:cs="Arial"/>
                <w:sz w:val="10"/>
                <w:szCs w:val="10"/>
                <w:lang w:val="en-US"/>
              </w:rPr>
              <w:t>0.212579</w:t>
            </w:r>
            <w:r w:rsidRPr="00C673F3">
              <w:rPr>
                <w:rFonts w:ascii="Arial" w:hAnsi="Arial" w:cs="Arial"/>
                <w:sz w:val="10"/>
                <w:szCs w:val="10"/>
                <w:lang w:val="en-US"/>
              </w:rPr>
              <w:t xml:space="preserve"> (p = </w:t>
            </w:r>
            <w:r w:rsidR="000327AE" w:rsidRPr="00C673F3">
              <w:rPr>
                <w:rFonts w:ascii="Arial" w:hAnsi="Arial" w:cs="Arial"/>
                <w:sz w:val="10"/>
                <w:szCs w:val="10"/>
                <w:lang w:val="en-US"/>
              </w:rPr>
              <w:t>0.9952</w:t>
            </w:r>
            <w:r w:rsidRPr="00C673F3">
              <w:rPr>
                <w:rFonts w:ascii="Arial" w:hAnsi="Arial" w:cs="Arial"/>
                <w:sz w:val="10"/>
                <w:szCs w:val="10"/>
                <w:lang w:val="en-US"/>
              </w:rPr>
              <w:t>)</w:t>
            </w:r>
          </w:p>
          <w:p w:rsidR="0014213E" w:rsidRPr="00C673F3" w:rsidRDefault="0014213E" w:rsidP="00D63A00">
            <w:pPr>
              <w:jc w:val="center"/>
              <w:rPr>
                <w:rFonts w:ascii="Arial" w:hAnsi="Arial" w:cs="Arial"/>
                <w:sz w:val="10"/>
                <w:szCs w:val="10"/>
                <w:lang w:val="en-US"/>
              </w:rPr>
            </w:pPr>
            <w:r w:rsidRPr="00C673F3">
              <w:rPr>
                <w:rFonts w:ascii="Arial" w:hAnsi="Arial" w:cs="Arial"/>
                <w:sz w:val="10"/>
                <w:szCs w:val="10"/>
                <w:lang w:val="en-US"/>
              </w:rPr>
              <w:t xml:space="preserve">Log likelihood = </w:t>
            </w:r>
            <w:r w:rsidR="000327AE" w:rsidRPr="00C673F3">
              <w:rPr>
                <w:rFonts w:ascii="Arial" w:hAnsi="Arial" w:cs="Arial"/>
                <w:sz w:val="10"/>
                <w:szCs w:val="10"/>
                <w:lang w:val="en-US"/>
              </w:rPr>
              <w:t>-4086.446</w:t>
            </w:r>
          </w:p>
        </w:tc>
      </w:tr>
    </w:tbl>
    <w:p w:rsidR="0014213E" w:rsidRDefault="0014213E" w:rsidP="0014213E">
      <w:pPr>
        <w:ind w:left="284" w:right="282"/>
        <w:jc w:val="both"/>
        <w:rPr>
          <w:rFonts w:ascii="Arial" w:hAnsi="Arial" w:cs="Arial"/>
          <w:sz w:val="16"/>
          <w:szCs w:val="16"/>
          <w:lang w:val="en-US"/>
        </w:rPr>
      </w:pPr>
    </w:p>
    <w:p w:rsidR="0014213E" w:rsidRPr="00A51255" w:rsidRDefault="0014213E" w:rsidP="0014213E">
      <w:pPr>
        <w:ind w:left="1701" w:right="1812"/>
        <w:jc w:val="both"/>
        <w:rPr>
          <w:rFonts w:ascii="Arial" w:hAnsi="Arial" w:cs="Arial"/>
          <w:sz w:val="16"/>
          <w:szCs w:val="16"/>
          <w:lang w:val="en-US"/>
        </w:rPr>
      </w:pPr>
    </w:p>
    <w:p w:rsidR="0014213E" w:rsidRPr="00A51255" w:rsidRDefault="0014213E" w:rsidP="000701C4">
      <w:pPr>
        <w:tabs>
          <w:tab w:val="left" w:pos="9781"/>
        </w:tabs>
        <w:ind w:right="-1"/>
        <w:jc w:val="both"/>
        <w:rPr>
          <w:rFonts w:ascii="Arial" w:hAnsi="Arial" w:cs="Arial"/>
          <w:sz w:val="16"/>
          <w:szCs w:val="16"/>
          <w:lang w:val="en-US"/>
        </w:rPr>
      </w:pPr>
      <w:r w:rsidRPr="00A51255">
        <w:rPr>
          <w:rFonts w:ascii="Arial" w:hAnsi="Arial" w:cs="Arial"/>
          <w:sz w:val="16"/>
          <w:szCs w:val="16"/>
          <w:lang w:val="en-US"/>
        </w:rPr>
        <w:t>Notes: Values of the standard errors in the brackets. The value of the Q(10) test for autocorrelation, the LM(10) test for any remaining ARCH effects and the log likelihood are reported in the bottom rows of every panel. Number of equation in the first column indicates whether the estimated parameters relate to the variables in the mean equation or in the conditional variance equation of the GARCH model.</w:t>
      </w:r>
    </w:p>
    <w:p w:rsidR="0014213E" w:rsidRPr="00A51255" w:rsidRDefault="0014213E" w:rsidP="000701C4">
      <w:pPr>
        <w:tabs>
          <w:tab w:val="left" w:pos="9781"/>
        </w:tabs>
        <w:ind w:right="-1"/>
        <w:jc w:val="both"/>
        <w:rPr>
          <w:rFonts w:ascii="Arial" w:hAnsi="Arial" w:cs="Arial"/>
          <w:sz w:val="16"/>
          <w:szCs w:val="16"/>
          <w:lang w:val="en-US"/>
        </w:rPr>
      </w:pPr>
    </w:p>
    <w:p w:rsidR="0014213E" w:rsidRPr="00A51255" w:rsidRDefault="0014213E" w:rsidP="000701C4">
      <w:pPr>
        <w:tabs>
          <w:tab w:val="left" w:pos="9781"/>
        </w:tabs>
        <w:ind w:right="-1"/>
        <w:jc w:val="both"/>
        <w:rPr>
          <w:rFonts w:ascii="Arial" w:hAnsi="Arial" w:cs="Arial"/>
          <w:sz w:val="16"/>
          <w:szCs w:val="16"/>
          <w:lang w:val="en-US"/>
        </w:rPr>
      </w:pPr>
      <w:r w:rsidRPr="00A51255">
        <w:rPr>
          <w:rFonts w:ascii="Arial" w:hAnsi="Arial" w:cs="Arial"/>
          <w:sz w:val="16"/>
          <w:szCs w:val="16"/>
          <w:lang w:val="en-US"/>
        </w:rPr>
        <w:t>* - denotes significance at the 0.1 level; ** - denotes significance at the 0.05 level; *** - denotes significance at the 0.01 level</w:t>
      </w:r>
    </w:p>
    <w:p w:rsidR="0014213E" w:rsidRPr="00A51255" w:rsidRDefault="0014213E" w:rsidP="0014213E">
      <w:pPr>
        <w:spacing w:line="360" w:lineRule="auto"/>
        <w:jc w:val="both"/>
        <w:rPr>
          <w:rFonts w:ascii="Arial" w:hAnsi="Arial" w:cs="Arial"/>
          <w:lang w:val="en-US"/>
        </w:rPr>
      </w:pPr>
    </w:p>
    <w:p w:rsidR="000D6D0E" w:rsidRDefault="000D6D0E">
      <w:pPr>
        <w:rPr>
          <w:rFonts w:ascii="Arial" w:hAnsi="Arial" w:cs="Arial"/>
          <w:sz w:val="20"/>
          <w:szCs w:val="20"/>
          <w:lang w:val="en-US"/>
        </w:rPr>
      </w:pPr>
      <w:r>
        <w:rPr>
          <w:rFonts w:ascii="Arial" w:hAnsi="Arial" w:cs="Arial"/>
          <w:sz w:val="20"/>
          <w:szCs w:val="20"/>
          <w:lang w:val="en-US"/>
        </w:rPr>
        <w:br w:type="page"/>
      </w:r>
    </w:p>
    <w:p w:rsidR="000D6D0E" w:rsidRDefault="000D6D0E">
      <w:pPr>
        <w:rPr>
          <w:rFonts w:ascii="Arial" w:hAnsi="Arial" w:cs="Arial"/>
          <w:sz w:val="20"/>
          <w:szCs w:val="20"/>
          <w:lang w:val="en-US"/>
        </w:rPr>
      </w:pPr>
    </w:p>
    <w:p w:rsidR="005A1829" w:rsidRDefault="005A1829">
      <w:pPr>
        <w:rPr>
          <w:rFonts w:ascii="Arial" w:hAnsi="Arial" w:cs="Arial"/>
          <w:sz w:val="20"/>
          <w:szCs w:val="20"/>
          <w:lang w:val="en-US"/>
        </w:rPr>
      </w:pPr>
    </w:p>
    <w:p w:rsidR="005A1829" w:rsidRDefault="005A1829" w:rsidP="005A1829">
      <w:pPr>
        <w:spacing w:line="360" w:lineRule="auto"/>
        <w:jc w:val="center"/>
        <w:rPr>
          <w:rFonts w:ascii="Arial" w:hAnsi="Arial" w:cs="Arial"/>
          <w:b/>
          <w:lang w:val="en-US"/>
        </w:rPr>
      </w:pPr>
    </w:p>
    <w:p w:rsidR="005A1829" w:rsidRDefault="005A1829" w:rsidP="005A1829">
      <w:pPr>
        <w:tabs>
          <w:tab w:val="left" w:pos="13183"/>
        </w:tabs>
        <w:spacing w:line="0" w:lineRule="atLeast"/>
        <w:ind w:right="-1"/>
        <w:jc w:val="both"/>
        <w:rPr>
          <w:rFonts w:ascii="Arial" w:hAnsi="Arial" w:cs="Arial"/>
          <w:sz w:val="20"/>
          <w:szCs w:val="20"/>
          <w:lang w:val="en-US"/>
        </w:rPr>
      </w:pPr>
      <w:r w:rsidRPr="0055678A">
        <w:rPr>
          <w:rFonts w:ascii="Arial" w:hAnsi="Arial" w:cs="Arial"/>
          <w:sz w:val="20"/>
          <w:szCs w:val="20"/>
          <w:lang w:val="en-US"/>
        </w:rPr>
        <w:t xml:space="preserve">Table </w:t>
      </w:r>
      <w:r>
        <w:rPr>
          <w:rFonts w:ascii="Arial" w:hAnsi="Arial" w:cs="Arial"/>
          <w:sz w:val="20"/>
          <w:szCs w:val="20"/>
          <w:lang w:val="en-US"/>
        </w:rPr>
        <w:t>5</w:t>
      </w:r>
      <w:r w:rsidRPr="0055678A">
        <w:rPr>
          <w:rFonts w:ascii="Arial" w:hAnsi="Arial" w:cs="Arial"/>
          <w:sz w:val="20"/>
          <w:szCs w:val="20"/>
          <w:lang w:val="en-US"/>
        </w:rPr>
        <w:t>. Results for foreign exchange rate returns models with neutral announcements on day</w:t>
      </w:r>
      <w:r>
        <w:rPr>
          <w:rFonts w:ascii="Arial" w:hAnsi="Arial" w:cs="Arial"/>
          <w:sz w:val="20"/>
          <w:szCs w:val="20"/>
          <w:lang w:val="en-US"/>
        </w:rPr>
        <w:t>s</w:t>
      </w:r>
      <w:r w:rsidRPr="0055678A">
        <w:rPr>
          <w:rFonts w:ascii="Arial" w:hAnsi="Arial" w:cs="Arial"/>
          <w:sz w:val="20"/>
          <w:szCs w:val="20"/>
          <w:lang w:val="en-US"/>
        </w:rPr>
        <w:t xml:space="preserve"> </w:t>
      </w:r>
      <w:r w:rsidRPr="0055678A">
        <w:rPr>
          <w:i/>
          <w:sz w:val="20"/>
          <w:szCs w:val="20"/>
          <w:lang w:val="en-US"/>
        </w:rPr>
        <w:t>t</w:t>
      </w:r>
      <w:r w:rsidRPr="0055678A">
        <w:rPr>
          <w:rFonts w:ascii="Arial" w:hAnsi="Arial" w:cs="Arial"/>
          <w:sz w:val="20"/>
          <w:szCs w:val="20"/>
          <w:lang w:val="en-US"/>
        </w:rPr>
        <w:t xml:space="preserve"> and</w:t>
      </w:r>
      <w:r w:rsidRPr="0055678A">
        <w:rPr>
          <w:i/>
          <w:sz w:val="20"/>
          <w:szCs w:val="20"/>
          <w:lang w:val="en-US"/>
        </w:rPr>
        <w:t xml:space="preserve">  t+1</w:t>
      </w:r>
      <w:r w:rsidRPr="0055678A">
        <w:rPr>
          <w:rFonts w:ascii="Arial" w:hAnsi="Arial" w:cs="Arial"/>
          <w:sz w:val="20"/>
          <w:szCs w:val="20"/>
          <w:lang w:val="en-US"/>
        </w:rPr>
        <w:t>.</w:t>
      </w:r>
    </w:p>
    <w:p w:rsidR="005A1829" w:rsidRDefault="005A1829" w:rsidP="005A1829">
      <w:pPr>
        <w:tabs>
          <w:tab w:val="left" w:pos="13183"/>
        </w:tabs>
        <w:spacing w:line="0" w:lineRule="atLeast"/>
        <w:ind w:right="-1"/>
        <w:jc w:val="both"/>
        <w:rPr>
          <w:rFonts w:ascii="Arial" w:hAnsi="Arial" w:cs="Arial"/>
          <w:sz w:val="20"/>
          <w:szCs w:val="20"/>
          <w:lang w:val="en-US"/>
        </w:rPr>
      </w:pPr>
    </w:p>
    <w:p w:rsidR="005A1829" w:rsidRDefault="005A1829" w:rsidP="005A1829">
      <w:pPr>
        <w:tabs>
          <w:tab w:val="left" w:pos="13183"/>
        </w:tabs>
        <w:spacing w:line="0" w:lineRule="atLeast"/>
        <w:ind w:right="-1"/>
        <w:jc w:val="both"/>
        <w:rPr>
          <w:rFonts w:ascii="Arial" w:hAnsi="Arial" w:cs="Arial"/>
          <w:sz w:val="20"/>
          <w:szCs w:val="20"/>
          <w:lang w:val="en-US"/>
        </w:rPr>
      </w:pPr>
      <w:r>
        <w:rPr>
          <w:rFonts w:ascii="Arial" w:hAnsi="Arial" w:cs="Arial"/>
          <w:sz w:val="20"/>
          <w:szCs w:val="20"/>
          <w:lang w:val="en-US"/>
        </w:rPr>
        <w:t>This table reports e</w:t>
      </w:r>
      <w:r w:rsidRPr="002F209E">
        <w:rPr>
          <w:rFonts w:ascii="Arial" w:hAnsi="Arial" w:cs="Arial"/>
          <w:sz w:val="20"/>
          <w:szCs w:val="20"/>
          <w:lang w:val="en-US"/>
        </w:rPr>
        <w:t>stimates of</w:t>
      </w:r>
      <w:r w:rsidRPr="00A51255">
        <w:rPr>
          <w:rFonts w:ascii="Arial" w:hAnsi="Arial" w:cs="Arial"/>
          <w:sz w:val="20"/>
          <w:szCs w:val="20"/>
          <w:lang w:val="en-US"/>
        </w:rPr>
        <w:t xml:space="preserve"> dummy variables for the NBP announcements days with unexpected announcements of </w:t>
      </w:r>
      <w:r>
        <w:rPr>
          <w:rFonts w:ascii="Arial" w:hAnsi="Arial" w:cs="Arial"/>
          <w:sz w:val="20"/>
          <w:szCs w:val="20"/>
          <w:lang w:val="en-US"/>
        </w:rPr>
        <w:t>neutral</w:t>
      </w:r>
      <w:r w:rsidRPr="00A51255">
        <w:rPr>
          <w:rFonts w:ascii="Arial" w:hAnsi="Arial" w:cs="Arial"/>
          <w:sz w:val="20"/>
          <w:szCs w:val="20"/>
          <w:lang w:val="en-US"/>
        </w:rPr>
        <w:t xml:space="preserve"> strength in the </w:t>
      </w:r>
      <w:r>
        <w:rPr>
          <w:rFonts w:ascii="Arial" w:hAnsi="Arial" w:cs="Arial"/>
          <w:sz w:val="20"/>
          <w:szCs w:val="20"/>
          <w:lang w:val="en-US"/>
        </w:rPr>
        <w:t>mean equation (1)</w:t>
      </w:r>
      <w:r w:rsidRPr="00A51255">
        <w:rPr>
          <w:rFonts w:ascii="Arial" w:hAnsi="Arial" w:cs="Arial"/>
          <w:sz w:val="20"/>
          <w:szCs w:val="20"/>
          <w:lang w:val="en-US"/>
        </w:rPr>
        <w:t xml:space="preserve">: </w:t>
      </w:r>
    </w:p>
    <w:p w:rsidR="005A1829" w:rsidRDefault="005A1829" w:rsidP="005A1829">
      <w:pPr>
        <w:tabs>
          <w:tab w:val="left" w:pos="13183"/>
        </w:tabs>
        <w:spacing w:line="0" w:lineRule="atLeast"/>
        <w:ind w:right="-1"/>
        <w:jc w:val="center"/>
        <w:rPr>
          <w:rFonts w:ascii="Arial" w:hAnsi="Arial" w:cs="Arial"/>
          <w:lang w:val="en-US"/>
        </w:rPr>
      </w:pPr>
      <w:r w:rsidRPr="00120014">
        <w:rPr>
          <w:rFonts w:ascii="Arial" w:hAnsi="Arial" w:cs="Arial"/>
          <w:position w:val="-14"/>
          <w:lang w:val="en-US"/>
        </w:rPr>
        <w:object w:dxaOrig="7699" w:dyaOrig="400">
          <v:shape id="_x0000_i1143" type="#_x0000_t75" style="width:336.85pt;height:18pt" o:ole="">
            <v:imagedata r:id="rId186" o:title=""/>
          </v:shape>
          <o:OLEObject Type="Embed" ProgID="Equation.3" ShapeID="_x0000_i1143" DrawAspect="Content" ObjectID="_1507543490" r:id="rId187"/>
        </w:object>
      </w:r>
    </w:p>
    <w:p w:rsidR="005A1829" w:rsidRPr="00A51255" w:rsidRDefault="005A1829" w:rsidP="005A1829">
      <w:pPr>
        <w:tabs>
          <w:tab w:val="left" w:pos="13183"/>
        </w:tabs>
        <w:spacing w:line="0" w:lineRule="atLeast"/>
        <w:ind w:right="-1"/>
        <w:rPr>
          <w:rFonts w:ascii="Arial" w:hAnsi="Arial" w:cs="Arial"/>
          <w:sz w:val="20"/>
          <w:szCs w:val="20"/>
          <w:lang w:val="en-US"/>
        </w:rPr>
      </w:pPr>
      <w:r>
        <w:rPr>
          <w:rFonts w:ascii="Arial" w:hAnsi="Arial" w:cs="Arial"/>
          <w:sz w:val="20"/>
          <w:szCs w:val="20"/>
          <w:lang w:val="en-US"/>
        </w:rPr>
        <w:t xml:space="preserve">and in the </w:t>
      </w:r>
      <w:r w:rsidRPr="00A51255">
        <w:rPr>
          <w:rFonts w:ascii="Arial" w:hAnsi="Arial" w:cs="Arial"/>
          <w:sz w:val="20"/>
          <w:szCs w:val="20"/>
          <w:lang w:val="en-US"/>
        </w:rPr>
        <w:t>conditional variance equation</w:t>
      </w:r>
      <w:r>
        <w:rPr>
          <w:rFonts w:ascii="Arial" w:hAnsi="Arial" w:cs="Arial"/>
          <w:sz w:val="20"/>
          <w:szCs w:val="20"/>
          <w:lang w:val="en-US"/>
        </w:rPr>
        <w:t xml:space="preserve"> (2)</w:t>
      </w:r>
      <w:r w:rsidRPr="00A51255">
        <w:rPr>
          <w:rFonts w:ascii="Arial" w:hAnsi="Arial" w:cs="Arial"/>
          <w:sz w:val="20"/>
          <w:szCs w:val="20"/>
          <w:lang w:val="en-US"/>
        </w:rPr>
        <w:t>:</w:t>
      </w:r>
    </w:p>
    <w:p w:rsidR="005A1829" w:rsidRPr="00A51255" w:rsidRDefault="005A1829" w:rsidP="005A1829">
      <w:pPr>
        <w:tabs>
          <w:tab w:val="left" w:pos="13183"/>
        </w:tabs>
        <w:spacing w:line="0" w:lineRule="atLeast"/>
        <w:ind w:right="-1"/>
        <w:jc w:val="center"/>
        <w:rPr>
          <w:rFonts w:ascii="Garamond" w:hAnsi="Garamond"/>
          <w:i/>
          <w:lang w:val="de-DE"/>
        </w:rPr>
      </w:pPr>
      <w:r w:rsidRPr="0015633A">
        <w:rPr>
          <w:rFonts w:ascii="Garamond" w:hAnsi="Garamond"/>
          <w:i/>
          <w:position w:val="-14"/>
          <w:lang w:val="de-DE"/>
        </w:rPr>
        <w:object w:dxaOrig="6240" w:dyaOrig="400">
          <v:shape id="_x0000_i1144" type="#_x0000_t75" style="width:284.15pt;height:18pt" o:ole="">
            <v:imagedata r:id="rId188" o:title=""/>
          </v:shape>
          <o:OLEObject Type="Embed" ProgID="Equation.3" ShapeID="_x0000_i1144" DrawAspect="Content" ObjectID="_1507543491" r:id="rId189"/>
        </w:object>
      </w:r>
    </w:p>
    <w:p w:rsidR="005A1829" w:rsidRDefault="005A1829" w:rsidP="005A1829">
      <w:pPr>
        <w:tabs>
          <w:tab w:val="left" w:pos="13183"/>
        </w:tabs>
        <w:spacing w:line="0" w:lineRule="atLeast"/>
        <w:ind w:right="-1"/>
        <w:jc w:val="both"/>
        <w:rPr>
          <w:rFonts w:ascii="Arial" w:hAnsi="Arial" w:cs="Arial"/>
          <w:sz w:val="20"/>
          <w:szCs w:val="20"/>
          <w:lang w:val="en-US"/>
        </w:rPr>
      </w:pPr>
      <w:r w:rsidRPr="007979AD">
        <w:rPr>
          <w:rFonts w:ascii="Arial" w:hAnsi="Arial" w:cs="Arial"/>
          <w:sz w:val="20"/>
          <w:szCs w:val="20"/>
          <w:lang w:val="en-GB"/>
        </w:rPr>
        <w:t>f</w:t>
      </w:r>
      <w:r w:rsidRPr="00A51255">
        <w:rPr>
          <w:rFonts w:ascii="Arial" w:hAnsi="Arial" w:cs="Arial"/>
          <w:sz w:val="20"/>
          <w:szCs w:val="20"/>
          <w:lang w:val="en-US"/>
        </w:rPr>
        <w:t xml:space="preserve">rom the GARCH model </w:t>
      </w:r>
      <w:r>
        <w:rPr>
          <w:rFonts w:ascii="Arial" w:hAnsi="Arial" w:cs="Arial"/>
          <w:sz w:val="20"/>
          <w:szCs w:val="20"/>
          <w:lang w:val="en-US"/>
        </w:rPr>
        <w:t>(1) - (2)</w:t>
      </w:r>
      <w:r w:rsidRPr="00A51255">
        <w:rPr>
          <w:rFonts w:ascii="Arial" w:hAnsi="Arial" w:cs="Arial"/>
          <w:sz w:val="20"/>
          <w:szCs w:val="20"/>
          <w:lang w:val="en-US"/>
        </w:rPr>
        <w:t xml:space="preserve"> of th</w:t>
      </w:r>
      <w:r>
        <w:rPr>
          <w:rFonts w:ascii="Arial" w:hAnsi="Arial" w:cs="Arial"/>
          <w:sz w:val="20"/>
          <w:szCs w:val="20"/>
          <w:lang w:val="en-US"/>
        </w:rPr>
        <w:t>e PLN/USD exchange rate returns.</w:t>
      </w:r>
    </w:p>
    <w:p w:rsidR="005A1829" w:rsidRDefault="005A1829" w:rsidP="005A1829">
      <w:pPr>
        <w:spacing w:line="360" w:lineRule="auto"/>
        <w:ind w:left="284" w:right="253"/>
        <w:jc w:val="both"/>
        <w:rPr>
          <w:rFonts w:ascii="Arial" w:hAnsi="Arial" w:cs="Arial"/>
          <w:sz w:val="20"/>
          <w:szCs w:val="20"/>
          <w:lang w:val="en-US"/>
        </w:rPr>
      </w:pPr>
    </w:p>
    <w:p w:rsidR="005A1829" w:rsidRPr="00A51255" w:rsidRDefault="005A1829" w:rsidP="005A1829">
      <w:pPr>
        <w:spacing w:line="360" w:lineRule="auto"/>
        <w:ind w:left="284" w:right="253"/>
        <w:jc w:val="both"/>
        <w:rPr>
          <w:rFonts w:ascii="Arial" w:hAnsi="Arial" w:cs="Arial"/>
          <w:sz w:val="20"/>
          <w:szCs w:val="20"/>
          <w:lang w:val="en-US"/>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602"/>
        <w:gridCol w:w="2034"/>
        <w:gridCol w:w="1929"/>
        <w:gridCol w:w="1881"/>
        <w:gridCol w:w="1906"/>
      </w:tblGrid>
      <w:tr w:rsidR="005A1829" w:rsidRPr="00A51255" w:rsidTr="00DC38C7">
        <w:trPr>
          <w:jc w:val="center"/>
        </w:trPr>
        <w:tc>
          <w:tcPr>
            <w:tcW w:w="284" w:type="dxa"/>
            <w:vAlign w:val="center"/>
          </w:tcPr>
          <w:p w:rsidR="005A1829" w:rsidRPr="00124F83" w:rsidRDefault="005A1829" w:rsidP="00DC38C7">
            <w:pPr>
              <w:spacing w:line="360" w:lineRule="auto"/>
              <w:jc w:val="center"/>
              <w:rPr>
                <w:rFonts w:ascii="Arial" w:hAnsi="Arial" w:cs="Arial"/>
                <w:sz w:val="16"/>
                <w:szCs w:val="16"/>
                <w:lang w:val="de-DE"/>
              </w:rPr>
            </w:pPr>
            <w:r w:rsidRPr="00A51255">
              <w:rPr>
                <w:rFonts w:ascii="Arial" w:hAnsi="Arial" w:cs="Arial"/>
                <w:sz w:val="16"/>
                <w:szCs w:val="16"/>
                <w:lang w:val="de-DE"/>
              </w:rPr>
              <w:t>Eq.</w:t>
            </w:r>
          </w:p>
        </w:tc>
        <w:tc>
          <w:tcPr>
            <w:tcW w:w="9525" w:type="dxa"/>
            <w:gridSpan w:val="5"/>
            <w:vAlign w:val="center"/>
          </w:tcPr>
          <w:p w:rsidR="005A1829" w:rsidRDefault="005A1829" w:rsidP="00DC38C7">
            <w:pPr>
              <w:jc w:val="center"/>
              <w:rPr>
                <w:rFonts w:ascii="Arial" w:hAnsi="Arial" w:cs="Arial"/>
                <w:b/>
                <w:sz w:val="18"/>
                <w:szCs w:val="18"/>
                <w:lang w:val="de-DE"/>
              </w:rPr>
            </w:pPr>
          </w:p>
          <w:p w:rsidR="005A1829" w:rsidRDefault="005A1829" w:rsidP="00DC38C7">
            <w:pPr>
              <w:jc w:val="center"/>
              <w:rPr>
                <w:b/>
                <w:i/>
                <w:sz w:val="18"/>
                <w:szCs w:val="18"/>
                <w:lang w:val="de-DE"/>
              </w:rPr>
            </w:pPr>
            <w:r w:rsidRPr="004F48F0">
              <w:rPr>
                <w:rFonts w:ascii="Arial" w:hAnsi="Arial" w:cs="Arial"/>
                <w:b/>
                <w:sz w:val="18"/>
                <w:szCs w:val="18"/>
                <w:lang w:val="de-DE"/>
              </w:rPr>
              <w:t xml:space="preserve">On day </w:t>
            </w:r>
            <w:r w:rsidRPr="004F48F0">
              <w:rPr>
                <w:b/>
                <w:i/>
                <w:sz w:val="18"/>
                <w:szCs w:val="18"/>
                <w:lang w:val="de-DE"/>
              </w:rPr>
              <w:t>t</w:t>
            </w:r>
          </w:p>
          <w:p w:rsidR="005A1829" w:rsidRPr="004F48F0" w:rsidRDefault="005A1829" w:rsidP="00DC38C7">
            <w:pPr>
              <w:jc w:val="center"/>
              <w:rPr>
                <w:rFonts w:ascii="Arial" w:hAnsi="Arial" w:cs="Arial"/>
                <w:b/>
                <w:sz w:val="18"/>
                <w:szCs w:val="18"/>
                <w:lang w:val="de-DE"/>
              </w:rPr>
            </w:pPr>
          </w:p>
        </w:tc>
      </w:tr>
      <w:tr w:rsidR="005A1829" w:rsidRPr="00A51255" w:rsidTr="00DC38C7">
        <w:trPr>
          <w:jc w:val="center"/>
        </w:trPr>
        <w:tc>
          <w:tcPr>
            <w:tcW w:w="9809" w:type="dxa"/>
            <w:gridSpan w:val="6"/>
            <w:vAlign w:val="center"/>
          </w:tcPr>
          <w:p w:rsidR="005A1829" w:rsidRDefault="005A1829" w:rsidP="00DC38C7">
            <w:pPr>
              <w:jc w:val="center"/>
              <w:rPr>
                <w:rFonts w:ascii="Arial" w:hAnsi="Arial" w:cs="Arial"/>
                <w:b/>
                <w:sz w:val="18"/>
                <w:szCs w:val="18"/>
                <w:lang w:val="de-DE"/>
              </w:rPr>
            </w:pPr>
          </w:p>
          <w:p w:rsidR="005A1829" w:rsidRDefault="005A1829" w:rsidP="00DC38C7">
            <w:pPr>
              <w:jc w:val="center"/>
              <w:rPr>
                <w:rFonts w:ascii="Arial" w:hAnsi="Arial" w:cs="Arial"/>
                <w:b/>
                <w:sz w:val="18"/>
                <w:szCs w:val="18"/>
                <w:lang w:val="de-DE"/>
              </w:rPr>
            </w:pPr>
            <w:r w:rsidRPr="009D3E6A">
              <w:rPr>
                <w:rFonts w:ascii="Arial" w:hAnsi="Arial" w:cs="Arial"/>
                <w:b/>
                <w:sz w:val="18"/>
                <w:szCs w:val="18"/>
                <w:lang w:val="de-DE"/>
              </w:rPr>
              <w:t>Mean equation:</w:t>
            </w:r>
          </w:p>
          <w:p w:rsidR="005A1829" w:rsidRDefault="005A1829" w:rsidP="00DC38C7">
            <w:pPr>
              <w:jc w:val="center"/>
              <w:rPr>
                <w:rFonts w:ascii="Arial" w:hAnsi="Arial" w:cs="Arial"/>
                <w:sz w:val="20"/>
                <w:szCs w:val="20"/>
                <w:lang w:val="de-DE"/>
              </w:rPr>
            </w:pPr>
          </w:p>
        </w:tc>
      </w:tr>
      <w:tr w:rsidR="005A1829" w:rsidRPr="00A51255" w:rsidTr="00DC38C7">
        <w:trPr>
          <w:jc w:val="center"/>
        </w:trPr>
        <w:tc>
          <w:tcPr>
            <w:tcW w:w="284" w:type="dxa"/>
            <w:vAlign w:val="center"/>
          </w:tcPr>
          <w:p w:rsidR="005A1829" w:rsidRPr="00A51255" w:rsidRDefault="005A1829" w:rsidP="00DC38C7">
            <w:pPr>
              <w:spacing w:line="360" w:lineRule="auto"/>
              <w:jc w:val="center"/>
              <w:rPr>
                <w:rFonts w:ascii="Arial" w:hAnsi="Arial" w:cs="Arial"/>
                <w:sz w:val="16"/>
                <w:szCs w:val="16"/>
                <w:lang w:val="de-DE"/>
              </w:rPr>
            </w:pPr>
            <w:r>
              <w:rPr>
                <w:rFonts w:ascii="Arial" w:hAnsi="Arial" w:cs="Arial"/>
                <w:sz w:val="16"/>
                <w:szCs w:val="16"/>
                <w:lang w:val="de-DE"/>
              </w:rPr>
              <w:t>(1)</w:t>
            </w:r>
          </w:p>
        </w:tc>
        <w:tc>
          <w:tcPr>
            <w:tcW w:w="1604" w:type="dxa"/>
            <w:vAlign w:val="center"/>
          </w:tcPr>
          <w:p w:rsidR="005A1829" w:rsidRPr="004F48F0" w:rsidRDefault="005A1829" w:rsidP="00DC38C7">
            <w:pPr>
              <w:jc w:val="center"/>
              <w:rPr>
                <w:rFonts w:ascii="Arial" w:hAnsi="Arial" w:cs="Arial"/>
                <w:b/>
                <w:sz w:val="18"/>
                <w:szCs w:val="18"/>
                <w:lang w:val="de-DE"/>
              </w:rPr>
            </w:pPr>
            <w:r w:rsidRPr="00067CE5">
              <w:rPr>
                <w:position w:val="-12"/>
              </w:rPr>
              <w:object w:dxaOrig="300" w:dyaOrig="360">
                <v:shape id="_x0000_i1145" type="#_x0000_t75" style="width:14.15pt;height:18pt" o:ole="">
                  <v:imagedata r:id="rId94" o:title=""/>
                </v:shape>
                <o:OLEObject Type="Embed" ProgID="Equation.3" ShapeID="_x0000_i1145" DrawAspect="Content" ObjectID="_1507543492" r:id="rId190"/>
              </w:object>
            </w:r>
          </w:p>
        </w:tc>
        <w:tc>
          <w:tcPr>
            <w:tcW w:w="2082" w:type="dxa"/>
            <w:vAlign w:val="center"/>
          </w:tcPr>
          <w:p w:rsidR="005A1829" w:rsidRPr="00A51255" w:rsidRDefault="005A1829" w:rsidP="00DC38C7">
            <w:pPr>
              <w:jc w:val="center"/>
              <w:rPr>
                <w:rFonts w:ascii="Arial" w:hAnsi="Arial" w:cs="Arial"/>
                <w:sz w:val="20"/>
                <w:szCs w:val="20"/>
                <w:lang w:val="de-DE"/>
              </w:rPr>
            </w:pPr>
            <w:r w:rsidRPr="00506BC1">
              <w:rPr>
                <w:rFonts w:ascii="Arial" w:hAnsi="Arial" w:cs="Arial"/>
                <w:sz w:val="20"/>
                <w:szCs w:val="20"/>
                <w:lang w:val="de-DE"/>
              </w:rPr>
              <w:t>0.052298</w:t>
            </w:r>
          </w:p>
          <w:p w:rsidR="005A1829" w:rsidRPr="00A51255" w:rsidRDefault="005A1829" w:rsidP="00DC38C7">
            <w:pPr>
              <w:jc w:val="center"/>
              <w:rPr>
                <w:lang w:val="en-US"/>
              </w:rPr>
            </w:pPr>
            <w:r>
              <w:rPr>
                <w:rFonts w:ascii="Arial" w:hAnsi="Arial" w:cs="Arial"/>
                <w:sz w:val="16"/>
                <w:szCs w:val="16"/>
                <w:lang w:val="de-DE"/>
              </w:rPr>
              <w:t>(</w:t>
            </w:r>
            <w:r w:rsidRPr="00506BC1">
              <w:rPr>
                <w:rFonts w:ascii="Arial" w:hAnsi="Arial" w:cs="Arial"/>
                <w:sz w:val="16"/>
                <w:szCs w:val="16"/>
                <w:lang w:val="de-DE"/>
              </w:rPr>
              <w:t>0.053873</w:t>
            </w:r>
            <w:r w:rsidRPr="00A51255">
              <w:rPr>
                <w:rFonts w:ascii="Arial" w:hAnsi="Arial" w:cs="Arial"/>
                <w:sz w:val="16"/>
                <w:szCs w:val="16"/>
                <w:lang w:val="de-DE"/>
              </w:rPr>
              <w:t>)</w:t>
            </w:r>
          </w:p>
        </w:tc>
        <w:tc>
          <w:tcPr>
            <w:tcW w:w="1972" w:type="dxa"/>
            <w:vAlign w:val="center"/>
          </w:tcPr>
          <w:p w:rsidR="005A1829" w:rsidRPr="00A51255" w:rsidRDefault="005A1829" w:rsidP="00DC38C7">
            <w:pPr>
              <w:jc w:val="center"/>
              <w:rPr>
                <w:rFonts w:ascii="Arial" w:hAnsi="Arial" w:cs="Arial"/>
                <w:sz w:val="20"/>
                <w:szCs w:val="20"/>
                <w:lang w:val="de-DE"/>
              </w:rPr>
            </w:pPr>
            <w:r w:rsidRPr="003C75C7">
              <w:rPr>
                <w:rFonts w:ascii="Arial" w:hAnsi="Arial" w:cs="Arial"/>
                <w:sz w:val="20"/>
                <w:szCs w:val="20"/>
                <w:lang w:val="de-DE"/>
              </w:rPr>
              <w:t>0.052632</w:t>
            </w:r>
          </w:p>
          <w:p w:rsidR="005A1829" w:rsidRPr="00A51255" w:rsidRDefault="005A1829" w:rsidP="00DC38C7">
            <w:pPr>
              <w:jc w:val="center"/>
              <w:rPr>
                <w:lang w:val="en-US"/>
              </w:rPr>
            </w:pPr>
            <w:r>
              <w:rPr>
                <w:rFonts w:ascii="Arial" w:hAnsi="Arial" w:cs="Arial"/>
                <w:sz w:val="16"/>
                <w:szCs w:val="16"/>
                <w:lang w:val="de-DE"/>
              </w:rPr>
              <w:t>(</w:t>
            </w:r>
            <w:r w:rsidRPr="003C75C7">
              <w:rPr>
                <w:rFonts w:ascii="Arial" w:hAnsi="Arial" w:cs="Arial"/>
                <w:sz w:val="16"/>
                <w:szCs w:val="16"/>
                <w:lang w:val="de-DE"/>
              </w:rPr>
              <w:t>0.054970</w:t>
            </w:r>
            <w:r w:rsidRPr="00A51255">
              <w:rPr>
                <w:rFonts w:ascii="Arial" w:hAnsi="Arial" w:cs="Arial"/>
                <w:sz w:val="16"/>
                <w:szCs w:val="16"/>
                <w:lang w:val="de-DE"/>
              </w:rPr>
              <w:t>)</w:t>
            </w:r>
          </w:p>
        </w:tc>
        <w:tc>
          <w:tcPr>
            <w:tcW w:w="1920" w:type="dxa"/>
            <w:vAlign w:val="center"/>
          </w:tcPr>
          <w:p w:rsidR="005A1829" w:rsidRPr="00A51255" w:rsidRDefault="005A1829" w:rsidP="00DC38C7">
            <w:pPr>
              <w:jc w:val="center"/>
              <w:rPr>
                <w:rFonts w:ascii="Arial" w:hAnsi="Arial" w:cs="Arial"/>
                <w:sz w:val="20"/>
                <w:szCs w:val="20"/>
                <w:lang w:val="de-DE"/>
              </w:rPr>
            </w:pPr>
            <w:r w:rsidRPr="009B01B3">
              <w:rPr>
                <w:rFonts w:ascii="Arial" w:hAnsi="Arial" w:cs="Arial"/>
                <w:sz w:val="20"/>
                <w:szCs w:val="20"/>
                <w:lang w:val="de-DE"/>
              </w:rPr>
              <w:t>0.049001</w:t>
            </w:r>
          </w:p>
          <w:p w:rsidR="005A1829" w:rsidRPr="00A51255" w:rsidRDefault="005A1829" w:rsidP="00DC38C7">
            <w:pPr>
              <w:jc w:val="center"/>
              <w:rPr>
                <w:lang w:val="en-US"/>
              </w:rPr>
            </w:pPr>
            <w:r>
              <w:rPr>
                <w:rFonts w:ascii="Arial" w:hAnsi="Arial" w:cs="Arial"/>
                <w:sz w:val="16"/>
                <w:szCs w:val="16"/>
                <w:lang w:val="de-DE"/>
              </w:rPr>
              <w:t>(</w:t>
            </w:r>
            <w:r w:rsidRPr="009B01B3">
              <w:rPr>
                <w:rFonts w:ascii="Arial" w:hAnsi="Arial" w:cs="Arial"/>
                <w:sz w:val="16"/>
                <w:szCs w:val="16"/>
                <w:lang w:val="de-DE"/>
              </w:rPr>
              <w:t>0.055288</w:t>
            </w:r>
            <w:r w:rsidRPr="00A51255">
              <w:rPr>
                <w:rFonts w:ascii="Arial" w:hAnsi="Arial" w:cs="Arial"/>
                <w:sz w:val="16"/>
                <w:szCs w:val="16"/>
                <w:lang w:val="de-DE"/>
              </w:rPr>
              <w:t>)</w:t>
            </w:r>
          </w:p>
        </w:tc>
        <w:tc>
          <w:tcPr>
            <w:tcW w:w="1947" w:type="dxa"/>
            <w:vAlign w:val="center"/>
          </w:tcPr>
          <w:p w:rsidR="005A1829" w:rsidRPr="00A51255" w:rsidRDefault="005A1829" w:rsidP="00DC38C7">
            <w:pPr>
              <w:jc w:val="center"/>
              <w:rPr>
                <w:rFonts w:ascii="Arial" w:hAnsi="Arial" w:cs="Arial"/>
                <w:sz w:val="20"/>
                <w:szCs w:val="20"/>
                <w:lang w:val="de-DE"/>
              </w:rPr>
            </w:pPr>
            <w:r w:rsidRPr="00111279">
              <w:rPr>
                <w:rFonts w:ascii="Arial" w:hAnsi="Arial" w:cs="Arial"/>
                <w:sz w:val="20"/>
                <w:szCs w:val="20"/>
                <w:lang w:val="de-DE"/>
              </w:rPr>
              <w:t>0.053675</w:t>
            </w:r>
          </w:p>
          <w:p w:rsidR="005A1829" w:rsidRPr="00A51255" w:rsidRDefault="005A1829" w:rsidP="00DC38C7">
            <w:pPr>
              <w:jc w:val="center"/>
              <w:rPr>
                <w:lang w:val="en-US"/>
              </w:rPr>
            </w:pPr>
            <w:r>
              <w:rPr>
                <w:rFonts w:ascii="Arial" w:hAnsi="Arial" w:cs="Arial"/>
                <w:sz w:val="16"/>
                <w:szCs w:val="16"/>
                <w:lang w:val="de-DE"/>
              </w:rPr>
              <w:t>(</w:t>
            </w:r>
            <w:r w:rsidRPr="00111279">
              <w:rPr>
                <w:rFonts w:ascii="Arial" w:hAnsi="Arial" w:cs="Arial"/>
                <w:sz w:val="16"/>
                <w:szCs w:val="16"/>
                <w:lang w:val="de-DE"/>
              </w:rPr>
              <w:t>0.056301</w:t>
            </w:r>
            <w:r w:rsidRPr="00A51255">
              <w:rPr>
                <w:rFonts w:ascii="Arial" w:hAnsi="Arial" w:cs="Arial"/>
                <w:sz w:val="16"/>
                <w:szCs w:val="16"/>
                <w:lang w:val="de-DE"/>
              </w:rPr>
              <w:t>)</w:t>
            </w:r>
          </w:p>
        </w:tc>
      </w:tr>
      <w:tr w:rsidR="005A1829" w:rsidRPr="00A51255" w:rsidTr="00DC38C7">
        <w:trPr>
          <w:jc w:val="center"/>
        </w:trPr>
        <w:tc>
          <w:tcPr>
            <w:tcW w:w="284" w:type="dxa"/>
            <w:vAlign w:val="center"/>
          </w:tcPr>
          <w:p w:rsidR="005A1829" w:rsidRPr="00A51255" w:rsidRDefault="005A1829" w:rsidP="00DC38C7">
            <w:pPr>
              <w:spacing w:line="360" w:lineRule="auto"/>
              <w:jc w:val="center"/>
              <w:rPr>
                <w:rFonts w:ascii="Arial" w:hAnsi="Arial" w:cs="Arial"/>
                <w:lang w:val="en-US"/>
              </w:rPr>
            </w:pPr>
            <w:r>
              <w:rPr>
                <w:rFonts w:ascii="Arial" w:hAnsi="Arial" w:cs="Arial"/>
                <w:sz w:val="16"/>
                <w:szCs w:val="16"/>
                <w:lang w:val="de-DE"/>
              </w:rPr>
              <w:t>(1)</w:t>
            </w:r>
          </w:p>
        </w:tc>
        <w:tc>
          <w:tcPr>
            <w:tcW w:w="1604" w:type="dxa"/>
            <w:vAlign w:val="center"/>
          </w:tcPr>
          <w:p w:rsidR="005A1829" w:rsidRPr="004F48F0" w:rsidRDefault="005A1829" w:rsidP="00DC38C7">
            <w:pPr>
              <w:jc w:val="center"/>
              <w:rPr>
                <w:rFonts w:ascii="Arial" w:hAnsi="Arial" w:cs="Arial"/>
                <w:b/>
                <w:sz w:val="18"/>
                <w:szCs w:val="18"/>
                <w:lang w:val="de-DE"/>
              </w:rPr>
            </w:pPr>
            <w:r w:rsidRPr="00067CE5">
              <w:rPr>
                <w:position w:val="-10"/>
              </w:rPr>
              <w:object w:dxaOrig="279" w:dyaOrig="340">
                <v:shape id="_x0000_i1146" type="#_x0000_t75" style="width:14.15pt;height:16.7pt" o:ole="">
                  <v:imagedata r:id="rId96" o:title=""/>
                </v:shape>
                <o:OLEObject Type="Embed" ProgID="Equation.3" ShapeID="_x0000_i1146" DrawAspect="Content" ObjectID="_1507543493" r:id="rId191"/>
              </w:object>
            </w:r>
          </w:p>
        </w:tc>
        <w:tc>
          <w:tcPr>
            <w:tcW w:w="2082" w:type="dxa"/>
            <w:vAlign w:val="center"/>
          </w:tcPr>
          <w:p w:rsidR="005A1829" w:rsidRPr="00A51255" w:rsidRDefault="005A1829" w:rsidP="00DC38C7">
            <w:pPr>
              <w:jc w:val="center"/>
              <w:rPr>
                <w:rFonts w:ascii="Arial" w:hAnsi="Arial" w:cs="Arial"/>
                <w:sz w:val="20"/>
                <w:szCs w:val="20"/>
                <w:lang w:val="de-DE"/>
              </w:rPr>
            </w:pPr>
            <w:r w:rsidRPr="006E5B39">
              <w:rPr>
                <w:rFonts w:ascii="Arial" w:hAnsi="Arial" w:cs="Arial"/>
                <w:sz w:val="20"/>
                <w:szCs w:val="20"/>
                <w:lang w:val="de-DE"/>
              </w:rPr>
              <w:t>0.000202</w:t>
            </w:r>
          </w:p>
          <w:p w:rsidR="005A1829" w:rsidRPr="00A51255" w:rsidRDefault="005A1829" w:rsidP="00DC38C7">
            <w:pPr>
              <w:jc w:val="center"/>
              <w:rPr>
                <w:lang w:val="en-US"/>
              </w:rPr>
            </w:pPr>
            <w:r>
              <w:rPr>
                <w:rFonts w:ascii="Arial" w:hAnsi="Arial" w:cs="Arial"/>
                <w:sz w:val="16"/>
                <w:szCs w:val="16"/>
                <w:lang w:val="de-DE"/>
              </w:rPr>
              <w:t>(</w:t>
            </w:r>
            <w:r w:rsidRPr="006E5B39">
              <w:rPr>
                <w:rFonts w:ascii="Arial" w:hAnsi="Arial" w:cs="Arial"/>
                <w:sz w:val="16"/>
                <w:szCs w:val="16"/>
                <w:lang w:val="de-DE"/>
              </w:rPr>
              <w:t>0.000575</w:t>
            </w:r>
            <w:r w:rsidRPr="00A51255">
              <w:rPr>
                <w:rFonts w:ascii="Arial" w:hAnsi="Arial" w:cs="Arial"/>
                <w:sz w:val="16"/>
                <w:szCs w:val="16"/>
                <w:lang w:val="de-DE"/>
              </w:rPr>
              <w:t>)</w:t>
            </w:r>
          </w:p>
        </w:tc>
        <w:tc>
          <w:tcPr>
            <w:tcW w:w="1972" w:type="dxa"/>
            <w:vAlign w:val="center"/>
          </w:tcPr>
          <w:p w:rsidR="005A1829" w:rsidRPr="00A51255" w:rsidRDefault="005A1829" w:rsidP="00DC38C7">
            <w:pPr>
              <w:jc w:val="center"/>
              <w:rPr>
                <w:rFonts w:ascii="Arial" w:hAnsi="Arial" w:cs="Arial"/>
                <w:sz w:val="20"/>
                <w:szCs w:val="20"/>
                <w:lang w:val="de-DE"/>
              </w:rPr>
            </w:pPr>
            <w:r w:rsidRPr="00E16190">
              <w:rPr>
                <w:rFonts w:ascii="Arial" w:hAnsi="Arial" w:cs="Arial"/>
                <w:sz w:val="20"/>
                <w:szCs w:val="20"/>
                <w:lang w:val="de-DE"/>
              </w:rPr>
              <w:t>-0.000122</w:t>
            </w:r>
          </w:p>
          <w:p w:rsidR="005A1829" w:rsidRPr="00A51255" w:rsidRDefault="005A1829" w:rsidP="00DC38C7">
            <w:pPr>
              <w:jc w:val="center"/>
              <w:rPr>
                <w:lang w:val="en-US"/>
              </w:rPr>
            </w:pPr>
            <w:r>
              <w:rPr>
                <w:rFonts w:ascii="Arial" w:hAnsi="Arial" w:cs="Arial"/>
                <w:sz w:val="16"/>
                <w:szCs w:val="16"/>
                <w:lang w:val="de-DE"/>
              </w:rPr>
              <w:t>(</w:t>
            </w:r>
            <w:r w:rsidRPr="00E16190">
              <w:rPr>
                <w:rFonts w:ascii="Arial" w:hAnsi="Arial" w:cs="Arial"/>
                <w:sz w:val="16"/>
                <w:szCs w:val="16"/>
                <w:lang w:val="de-DE"/>
              </w:rPr>
              <w:t>0.000394</w:t>
            </w:r>
            <w:r w:rsidRPr="00A51255">
              <w:rPr>
                <w:rFonts w:ascii="Arial" w:hAnsi="Arial" w:cs="Arial"/>
                <w:sz w:val="16"/>
                <w:szCs w:val="16"/>
                <w:lang w:val="de-DE"/>
              </w:rPr>
              <w:t>)</w:t>
            </w:r>
          </w:p>
        </w:tc>
        <w:tc>
          <w:tcPr>
            <w:tcW w:w="1920" w:type="dxa"/>
            <w:vAlign w:val="center"/>
          </w:tcPr>
          <w:p w:rsidR="005A1829" w:rsidRPr="00A51255" w:rsidRDefault="005A1829" w:rsidP="00DC38C7">
            <w:pPr>
              <w:jc w:val="center"/>
              <w:rPr>
                <w:rFonts w:ascii="Arial" w:hAnsi="Arial" w:cs="Arial"/>
                <w:sz w:val="20"/>
                <w:szCs w:val="20"/>
                <w:lang w:val="de-DE"/>
              </w:rPr>
            </w:pPr>
            <w:r w:rsidRPr="009B01B3">
              <w:rPr>
                <w:rFonts w:ascii="Arial" w:hAnsi="Arial" w:cs="Arial"/>
                <w:sz w:val="20"/>
                <w:szCs w:val="20"/>
                <w:lang w:val="de-DE"/>
              </w:rPr>
              <w:t>0.000110</w:t>
            </w:r>
          </w:p>
          <w:p w:rsidR="005A1829" w:rsidRPr="00A51255" w:rsidRDefault="005A1829" w:rsidP="00DC38C7">
            <w:pPr>
              <w:jc w:val="center"/>
              <w:rPr>
                <w:lang w:val="en-US"/>
              </w:rPr>
            </w:pPr>
            <w:r>
              <w:rPr>
                <w:rFonts w:ascii="Arial" w:hAnsi="Arial" w:cs="Arial"/>
                <w:sz w:val="16"/>
                <w:szCs w:val="16"/>
                <w:lang w:val="de-DE"/>
              </w:rPr>
              <w:t>(</w:t>
            </w:r>
            <w:r w:rsidRPr="009B01B3">
              <w:rPr>
                <w:rFonts w:ascii="Arial" w:hAnsi="Arial" w:cs="Arial"/>
                <w:sz w:val="16"/>
                <w:szCs w:val="16"/>
                <w:lang w:val="de-DE"/>
              </w:rPr>
              <w:t>0.000549</w:t>
            </w:r>
            <w:r w:rsidRPr="00A51255">
              <w:rPr>
                <w:rFonts w:ascii="Arial" w:hAnsi="Arial" w:cs="Arial"/>
                <w:sz w:val="16"/>
                <w:szCs w:val="16"/>
                <w:lang w:val="de-DE"/>
              </w:rPr>
              <w:t>)</w:t>
            </w:r>
          </w:p>
        </w:tc>
        <w:tc>
          <w:tcPr>
            <w:tcW w:w="1947" w:type="dxa"/>
            <w:vAlign w:val="center"/>
          </w:tcPr>
          <w:p w:rsidR="005A1829" w:rsidRPr="00A51255" w:rsidRDefault="005A1829" w:rsidP="00DC38C7">
            <w:pPr>
              <w:jc w:val="center"/>
              <w:rPr>
                <w:rFonts w:ascii="Arial" w:hAnsi="Arial" w:cs="Arial"/>
                <w:sz w:val="20"/>
                <w:szCs w:val="20"/>
                <w:lang w:val="de-DE"/>
              </w:rPr>
            </w:pPr>
            <w:r w:rsidRPr="00373F4C">
              <w:rPr>
                <w:rFonts w:ascii="Arial" w:hAnsi="Arial" w:cs="Arial"/>
                <w:sz w:val="20"/>
                <w:szCs w:val="20"/>
                <w:lang w:val="de-DE"/>
              </w:rPr>
              <w:t>0.000174</w:t>
            </w:r>
          </w:p>
          <w:p w:rsidR="005A1829" w:rsidRPr="00A51255" w:rsidRDefault="005A1829" w:rsidP="00DC38C7">
            <w:pPr>
              <w:jc w:val="center"/>
              <w:rPr>
                <w:lang w:val="en-US"/>
              </w:rPr>
            </w:pPr>
            <w:r>
              <w:rPr>
                <w:rFonts w:ascii="Arial" w:hAnsi="Arial" w:cs="Arial"/>
                <w:sz w:val="16"/>
                <w:szCs w:val="16"/>
                <w:lang w:val="de-DE"/>
              </w:rPr>
              <w:t>(</w:t>
            </w:r>
            <w:r w:rsidRPr="00373F4C">
              <w:rPr>
                <w:rFonts w:ascii="Arial" w:hAnsi="Arial" w:cs="Arial"/>
                <w:sz w:val="16"/>
                <w:szCs w:val="16"/>
                <w:lang w:val="de-DE"/>
              </w:rPr>
              <w:t>0.000574</w:t>
            </w:r>
            <w:r w:rsidRPr="00A51255">
              <w:rPr>
                <w:rFonts w:ascii="Arial" w:hAnsi="Arial" w:cs="Arial"/>
                <w:sz w:val="16"/>
                <w:szCs w:val="16"/>
                <w:lang w:val="de-DE"/>
              </w:rPr>
              <w:t>)</w:t>
            </w:r>
          </w:p>
        </w:tc>
      </w:tr>
      <w:tr w:rsidR="005A1829" w:rsidRPr="00A51255" w:rsidTr="00DC38C7">
        <w:trPr>
          <w:jc w:val="center"/>
        </w:trPr>
        <w:tc>
          <w:tcPr>
            <w:tcW w:w="284" w:type="dxa"/>
            <w:vAlign w:val="center"/>
          </w:tcPr>
          <w:p w:rsidR="005A1829" w:rsidRPr="00A51255" w:rsidRDefault="005A1829" w:rsidP="00DC38C7">
            <w:pPr>
              <w:spacing w:line="360" w:lineRule="auto"/>
              <w:jc w:val="center"/>
              <w:rPr>
                <w:rFonts w:ascii="Arial" w:hAnsi="Arial" w:cs="Arial"/>
                <w:lang w:val="en-US"/>
              </w:rPr>
            </w:pPr>
            <w:r>
              <w:rPr>
                <w:rFonts w:ascii="Arial" w:hAnsi="Arial" w:cs="Arial"/>
                <w:sz w:val="16"/>
                <w:szCs w:val="16"/>
                <w:lang w:val="de-DE"/>
              </w:rPr>
              <w:t>(1)</w:t>
            </w:r>
          </w:p>
        </w:tc>
        <w:tc>
          <w:tcPr>
            <w:tcW w:w="1604" w:type="dxa"/>
            <w:vAlign w:val="center"/>
          </w:tcPr>
          <w:p w:rsidR="005A1829" w:rsidRPr="004F48F0" w:rsidRDefault="005A1829" w:rsidP="00DC38C7">
            <w:pPr>
              <w:jc w:val="center"/>
              <w:rPr>
                <w:rFonts w:ascii="Arial" w:hAnsi="Arial" w:cs="Arial"/>
                <w:b/>
                <w:sz w:val="18"/>
                <w:szCs w:val="18"/>
                <w:lang w:val="de-DE"/>
              </w:rPr>
            </w:pPr>
            <w:r w:rsidRPr="00067CE5">
              <w:rPr>
                <w:position w:val="-10"/>
              </w:rPr>
              <w:object w:dxaOrig="300" w:dyaOrig="340">
                <v:shape id="_x0000_i1147" type="#_x0000_t75" style="width:14.15pt;height:16.7pt" o:ole="">
                  <v:imagedata r:id="rId98" o:title=""/>
                </v:shape>
                <o:OLEObject Type="Embed" ProgID="Equation.3" ShapeID="_x0000_i1147" DrawAspect="Content" ObjectID="_1507543494" r:id="rId192"/>
              </w:object>
            </w:r>
          </w:p>
        </w:tc>
        <w:tc>
          <w:tcPr>
            <w:tcW w:w="2082" w:type="dxa"/>
            <w:vAlign w:val="center"/>
          </w:tcPr>
          <w:p w:rsidR="005A1829" w:rsidRPr="00A51255" w:rsidRDefault="005A1829" w:rsidP="00DC38C7">
            <w:pPr>
              <w:jc w:val="center"/>
              <w:rPr>
                <w:rFonts w:ascii="Arial" w:hAnsi="Arial" w:cs="Arial"/>
                <w:sz w:val="20"/>
                <w:szCs w:val="20"/>
                <w:lang w:val="de-DE"/>
              </w:rPr>
            </w:pPr>
            <w:r w:rsidRPr="00C855A0">
              <w:rPr>
                <w:rFonts w:ascii="Arial" w:hAnsi="Arial" w:cs="Arial"/>
                <w:sz w:val="20"/>
                <w:szCs w:val="20"/>
                <w:lang w:val="de-DE"/>
              </w:rPr>
              <w:t>-0.349042</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C855A0">
              <w:rPr>
                <w:rFonts w:ascii="Arial" w:hAnsi="Arial" w:cs="Arial"/>
                <w:sz w:val="16"/>
                <w:szCs w:val="16"/>
                <w:lang w:val="de-DE"/>
              </w:rPr>
              <w:t>0.033218</w:t>
            </w:r>
            <w:r w:rsidRPr="00A51255">
              <w:rPr>
                <w:rFonts w:ascii="Arial" w:hAnsi="Arial" w:cs="Arial"/>
                <w:sz w:val="16"/>
                <w:szCs w:val="16"/>
                <w:lang w:val="de-DE"/>
              </w:rPr>
              <w:t>)</w:t>
            </w:r>
          </w:p>
        </w:tc>
        <w:tc>
          <w:tcPr>
            <w:tcW w:w="1972" w:type="dxa"/>
            <w:vAlign w:val="center"/>
          </w:tcPr>
          <w:p w:rsidR="005A1829" w:rsidRPr="00A51255" w:rsidRDefault="005A1829" w:rsidP="00DC38C7">
            <w:pPr>
              <w:jc w:val="center"/>
              <w:rPr>
                <w:rFonts w:ascii="Arial" w:hAnsi="Arial" w:cs="Arial"/>
                <w:sz w:val="20"/>
                <w:szCs w:val="20"/>
                <w:lang w:val="de-DE"/>
              </w:rPr>
            </w:pPr>
            <w:r w:rsidRPr="00696A2D">
              <w:rPr>
                <w:rFonts w:ascii="Arial" w:hAnsi="Arial" w:cs="Arial"/>
                <w:sz w:val="20"/>
                <w:szCs w:val="20"/>
                <w:lang w:val="de-DE"/>
              </w:rPr>
              <w:t>-0.364968</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696A2D">
              <w:rPr>
                <w:rFonts w:ascii="Arial" w:hAnsi="Arial" w:cs="Arial"/>
                <w:sz w:val="16"/>
                <w:szCs w:val="16"/>
                <w:lang w:val="de-DE"/>
              </w:rPr>
              <w:t>0.029537</w:t>
            </w:r>
            <w:r w:rsidRPr="00A51255">
              <w:rPr>
                <w:rFonts w:ascii="Arial" w:hAnsi="Arial" w:cs="Arial"/>
                <w:sz w:val="16"/>
                <w:szCs w:val="16"/>
                <w:lang w:val="de-DE"/>
              </w:rPr>
              <w:t>)</w:t>
            </w:r>
          </w:p>
        </w:tc>
        <w:tc>
          <w:tcPr>
            <w:tcW w:w="1920" w:type="dxa"/>
            <w:vAlign w:val="center"/>
          </w:tcPr>
          <w:p w:rsidR="005A1829" w:rsidRPr="00A51255" w:rsidRDefault="005A1829" w:rsidP="00DC38C7">
            <w:pPr>
              <w:jc w:val="center"/>
              <w:rPr>
                <w:rFonts w:ascii="Arial" w:hAnsi="Arial" w:cs="Arial"/>
                <w:sz w:val="20"/>
                <w:szCs w:val="20"/>
                <w:lang w:val="de-DE"/>
              </w:rPr>
            </w:pPr>
            <w:r w:rsidRPr="009B01B3">
              <w:rPr>
                <w:rFonts w:ascii="Arial" w:hAnsi="Arial" w:cs="Arial"/>
                <w:sz w:val="20"/>
                <w:szCs w:val="20"/>
                <w:lang w:val="de-DE"/>
              </w:rPr>
              <w:t>-0.356322</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9B01B3">
              <w:rPr>
                <w:rFonts w:ascii="Arial" w:hAnsi="Arial" w:cs="Arial"/>
                <w:sz w:val="16"/>
                <w:szCs w:val="16"/>
                <w:lang w:val="de-DE"/>
              </w:rPr>
              <w:t>0.032888</w:t>
            </w:r>
            <w:r w:rsidRPr="00A51255">
              <w:rPr>
                <w:rFonts w:ascii="Arial" w:hAnsi="Arial" w:cs="Arial"/>
                <w:sz w:val="16"/>
                <w:szCs w:val="16"/>
                <w:lang w:val="de-DE"/>
              </w:rPr>
              <w:t>)</w:t>
            </w:r>
          </w:p>
        </w:tc>
        <w:tc>
          <w:tcPr>
            <w:tcW w:w="1947" w:type="dxa"/>
            <w:vAlign w:val="center"/>
          </w:tcPr>
          <w:p w:rsidR="005A1829" w:rsidRPr="00A51255" w:rsidRDefault="005A1829" w:rsidP="00DC38C7">
            <w:pPr>
              <w:jc w:val="center"/>
              <w:rPr>
                <w:rFonts w:ascii="Arial" w:hAnsi="Arial" w:cs="Arial"/>
                <w:sz w:val="20"/>
                <w:szCs w:val="20"/>
                <w:lang w:val="de-DE"/>
              </w:rPr>
            </w:pPr>
            <w:r w:rsidRPr="00373F4C">
              <w:rPr>
                <w:rFonts w:ascii="Arial" w:hAnsi="Arial" w:cs="Arial"/>
                <w:sz w:val="20"/>
                <w:szCs w:val="20"/>
                <w:lang w:val="de-DE"/>
              </w:rPr>
              <w:t>-0.350310</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373F4C">
              <w:rPr>
                <w:rFonts w:ascii="Arial" w:hAnsi="Arial" w:cs="Arial"/>
                <w:sz w:val="16"/>
                <w:szCs w:val="16"/>
                <w:lang w:val="de-DE"/>
              </w:rPr>
              <w:t>0.033395</w:t>
            </w:r>
            <w:r w:rsidRPr="00A51255">
              <w:rPr>
                <w:rFonts w:ascii="Arial" w:hAnsi="Arial" w:cs="Arial"/>
                <w:sz w:val="16"/>
                <w:szCs w:val="16"/>
                <w:lang w:val="de-DE"/>
              </w:rPr>
              <w:t>)</w:t>
            </w:r>
          </w:p>
        </w:tc>
      </w:tr>
      <w:tr w:rsidR="005A1829" w:rsidRPr="00A51255" w:rsidTr="00DC38C7">
        <w:trPr>
          <w:jc w:val="center"/>
        </w:trPr>
        <w:tc>
          <w:tcPr>
            <w:tcW w:w="284" w:type="dxa"/>
            <w:vAlign w:val="center"/>
          </w:tcPr>
          <w:p w:rsidR="005A1829" w:rsidRPr="00A51255" w:rsidRDefault="005A1829" w:rsidP="00DC38C7">
            <w:pPr>
              <w:spacing w:line="360" w:lineRule="auto"/>
              <w:jc w:val="center"/>
              <w:rPr>
                <w:rFonts w:ascii="Arial" w:hAnsi="Arial" w:cs="Arial"/>
                <w:lang w:val="en-US"/>
              </w:rPr>
            </w:pPr>
            <w:r>
              <w:rPr>
                <w:rFonts w:ascii="Arial" w:hAnsi="Arial" w:cs="Arial"/>
                <w:sz w:val="16"/>
                <w:szCs w:val="16"/>
                <w:lang w:val="de-DE"/>
              </w:rPr>
              <w:t>(1)</w:t>
            </w:r>
          </w:p>
        </w:tc>
        <w:tc>
          <w:tcPr>
            <w:tcW w:w="1604" w:type="dxa"/>
            <w:vAlign w:val="center"/>
          </w:tcPr>
          <w:p w:rsidR="005A1829" w:rsidRPr="004F48F0" w:rsidRDefault="005A1829" w:rsidP="00DC38C7">
            <w:pPr>
              <w:jc w:val="center"/>
              <w:rPr>
                <w:rFonts w:ascii="Arial" w:hAnsi="Arial" w:cs="Arial"/>
                <w:b/>
                <w:sz w:val="18"/>
                <w:szCs w:val="18"/>
                <w:lang w:val="de-DE"/>
              </w:rPr>
            </w:pPr>
            <w:r w:rsidRPr="00B3604A">
              <w:rPr>
                <w:position w:val="-12"/>
              </w:rPr>
              <w:object w:dxaOrig="279" w:dyaOrig="360">
                <v:shape id="_x0000_i1148" type="#_x0000_t75" style="width:14.15pt;height:18pt" o:ole="">
                  <v:imagedata r:id="rId100" o:title=""/>
                </v:shape>
                <o:OLEObject Type="Embed" ProgID="Equation.3" ShapeID="_x0000_i1148" DrawAspect="Content" ObjectID="_1507543495" r:id="rId193"/>
              </w:object>
            </w:r>
          </w:p>
        </w:tc>
        <w:tc>
          <w:tcPr>
            <w:tcW w:w="2082" w:type="dxa"/>
            <w:vAlign w:val="center"/>
          </w:tcPr>
          <w:p w:rsidR="005A1829" w:rsidRPr="00A51255" w:rsidRDefault="005A1829" w:rsidP="00DC38C7">
            <w:pPr>
              <w:jc w:val="center"/>
              <w:rPr>
                <w:rFonts w:ascii="Arial" w:hAnsi="Arial" w:cs="Arial"/>
                <w:sz w:val="20"/>
                <w:szCs w:val="20"/>
                <w:lang w:val="de-DE"/>
              </w:rPr>
            </w:pPr>
            <w:r w:rsidRPr="006E5B39">
              <w:rPr>
                <w:rFonts w:ascii="Arial" w:hAnsi="Arial" w:cs="Arial"/>
                <w:sz w:val="20"/>
                <w:szCs w:val="20"/>
                <w:lang w:val="de-DE"/>
              </w:rPr>
              <w:t>-0.006139</w:t>
            </w:r>
          </w:p>
          <w:p w:rsidR="005A1829" w:rsidRPr="00A51255" w:rsidRDefault="005A1829" w:rsidP="00DC38C7">
            <w:pPr>
              <w:jc w:val="center"/>
              <w:rPr>
                <w:lang w:val="en-US"/>
              </w:rPr>
            </w:pPr>
            <w:r>
              <w:rPr>
                <w:rFonts w:ascii="Arial" w:hAnsi="Arial" w:cs="Arial"/>
                <w:sz w:val="16"/>
                <w:szCs w:val="16"/>
                <w:lang w:val="de-DE"/>
              </w:rPr>
              <w:t>(</w:t>
            </w:r>
            <w:r w:rsidRPr="006E5B39">
              <w:rPr>
                <w:rFonts w:ascii="Arial" w:hAnsi="Arial" w:cs="Arial"/>
                <w:sz w:val="16"/>
                <w:szCs w:val="16"/>
                <w:lang w:val="de-DE"/>
              </w:rPr>
              <w:t>0.005719</w:t>
            </w:r>
            <w:r w:rsidRPr="00A51255">
              <w:rPr>
                <w:rFonts w:ascii="Arial" w:hAnsi="Arial" w:cs="Arial"/>
                <w:sz w:val="16"/>
                <w:szCs w:val="16"/>
                <w:lang w:val="de-DE"/>
              </w:rPr>
              <w:t>)</w:t>
            </w:r>
          </w:p>
        </w:tc>
        <w:tc>
          <w:tcPr>
            <w:tcW w:w="1972" w:type="dxa"/>
            <w:vAlign w:val="center"/>
          </w:tcPr>
          <w:p w:rsidR="005A1829" w:rsidRPr="00A51255" w:rsidRDefault="005A1829" w:rsidP="00DC38C7">
            <w:pPr>
              <w:jc w:val="center"/>
              <w:rPr>
                <w:rFonts w:ascii="Arial" w:hAnsi="Arial" w:cs="Arial"/>
                <w:sz w:val="20"/>
                <w:szCs w:val="20"/>
                <w:lang w:val="de-DE"/>
              </w:rPr>
            </w:pPr>
            <w:r w:rsidRPr="000C50BE">
              <w:rPr>
                <w:rFonts w:ascii="Arial" w:hAnsi="Arial" w:cs="Arial"/>
                <w:sz w:val="20"/>
                <w:szCs w:val="20"/>
                <w:lang w:val="de-DE"/>
              </w:rPr>
              <w:t>-0.006793</w:t>
            </w:r>
          </w:p>
          <w:p w:rsidR="005A1829" w:rsidRPr="00A51255" w:rsidRDefault="005A1829" w:rsidP="00DC38C7">
            <w:pPr>
              <w:jc w:val="center"/>
              <w:rPr>
                <w:lang w:val="en-US"/>
              </w:rPr>
            </w:pPr>
            <w:r>
              <w:rPr>
                <w:rFonts w:ascii="Arial" w:hAnsi="Arial" w:cs="Arial"/>
                <w:sz w:val="16"/>
                <w:szCs w:val="16"/>
                <w:lang w:val="de-DE"/>
              </w:rPr>
              <w:t>(</w:t>
            </w:r>
            <w:r w:rsidRPr="000C50BE">
              <w:rPr>
                <w:rFonts w:ascii="Arial" w:hAnsi="Arial" w:cs="Arial"/>
                <w:sz w:val="16"/>
                <w:szCs w:val="16"/>
                <w:lang w:val="de-DE"/>
              </w:rPr>
              <w:t>0.005783</w:t>
            </w:r>
            <w:r w:rsidRPr="00A51255">
              <w:rPr>
                <w:rFonts w:ascii="Arial" w:hAnsi="Arial" w:cs="Arial"/>
                <w:sz w:val="16"/>
                <w:szCs w:val="16"/>
                <w:lang w:val="de-DE"/>
              </w:rPr>
              <w:t>)</w:t>
            </w:r>
          </w:p>
        </w:tc>
        <w:tc>
          <w:tcPr>
            <w:tcW w:w="1920" w:type="dxa"/>
            <w:vAlign w:val="center"/>
          </w:tcPr>
          <w:p w:rsidR="005A1829" w:rsidRPr="00A51255" w:rsidRDefault="005A1829" w:rsidP="00DC38C7">
            <w:pPr>
              <w:jc w:val="center"/>
              <w:rPr>
                <w:rFonts w:ascii="Arial" w:hAnsi="Arial" w:cs="Arial"/>
                <w:sz w:val="20"/>
                <w:szCs w:val="20"/>
                <w:lang w:val="de-DE"/>
              </w:rPr>
            </w:pPr>
            <w:r w:rsidRPr="009B01B3">
              <w:rPr>
                <w:rFonts w:ascii="Arial" w:hAnsi="Arial" w:cs="Arial"/>
                <w:sz w:val="20"/>
                <w:szCs w:val="20"/>
                <w:lang w:val="de-DE"/>
              </w:rPr>
              <w:t>-0.005806</w:t>
            </w:r>
          </w:p>
          <w:p w:rsidR="005A1829" w:rsidRPr="00A51255" w:rsidRDefault="005A1829" w:rsidP="00DC38C7">
            <w:pPr>
              <w:jc w:val="center"/>
              <w:rPr>
                <w:lang w:val="en-US"/>
              </w:rPr>
            </w:pPr>
            <w:r>
              <w:rPr>
                <w:rFonts w:ascii="Arial" w:hAnsi="Arial" w:cs="Arial"/>
                <w:sz w:val="16"/>
                <w:szCs w:val="16"/>
                <w:lang w:val="de-DE"/>
              </w:rPr>
              <w:t>(</w:t>
            </w:r>
            <w:r w:rsidRPr="009B01B3">
              <w:rPr>
                <w:rFonts w:ascii="Arial" w:hAnsi="Arial" w:cs="Arial"/>
                <w:sz w:val="16"/>
                <w:szCs w:val="16"/>
                <w:lang w:val="de-DE"/>
              </w:rPr>
              <w:t>0.005835</w:t>
            </w:r>
            <w:r w:rsidRPr="00A51255">
              <w:rPr>
                <w:rFonts w:ascii="Arial" w:hAnsi="Arial" w:cs="Arial"/>
                <w:sz w:val="16"/>
                <w:szCs w:val="16"/>
                <w:lang w:val="de-DE"/>
              </w:rPr>
              <w:t>)</w:t>
            </w:r>
          </w:p>
        </w:tc>
        <w:tc>
          <w:tcPr>
            <w:tcW w:w="1947" w:type="dxa"/>
            <w:vAlign w:val="center"/>
          </w:tcPr>
          <w:p w:rsidR="005A1829" w:rsidRPr="00A51255" w:rsidRDefault="005A1829" w:rsidP="00DC38C7">
            <w:pPr>
              <w:jc w:val="center"/>
              <w:rPr>
                <w:rFonts w:ascii="Arial" w:hAnsi="Arial" w:cs="Arial"/>
                <w:sz w:val="20"/>
                <w:szCs w:val="20"/>
                <w:lang w:val="de-DE"/>
              </w:rPr>
            </w:pPr>
            <w:r w:rsidRPr="00373F4C">
              <w:rPr>
                <w:rFonts w:ascii="Arial" w:hAnsi="Arial" w:cs="Arial"/>
                <w:sz w:val="20"/>
                <w:szCs w:val="20"/>
                <w:lang w:val="de-DE"/>
              </w:rPr>
              <w:t>-0.006314</w:t>
            </w:r>
          </w:p>
          <w:p w:rsidR="005A1829" w:rsidRPr="00A51255" w:rsidRDefault="005A1829" w:rsidP="00DC38C7">
            <w:pPr>
              <w:jc w:val="center"/>
              <w:rPr>
                <w:lang w:val="en-US"/>
              </w:rPr>
            </w:pPr>
            <w:r>
              <w:rPr>
                <w:rFonts w:ascii="Arial" w:hAnsi="Arial" w:cs="Arial"/>
                <w:sz w:val="16"/>
                <w:szCs w:val="16"/>
                <w:lang w:val="de-DE"/>
              </w:rPr>
              <w:t>(</w:t>
            </w:r>
            <w:r w:rsidRPr="00373F4C">
              <w:rPr>
                <w:rFonts w:ascii="Arial" w:hAnsi="Arial" w:cs="Arial"/>
                <w:sz w:val="16"/>
                <w:szCs w:val="16"/>
                <w:lang w:val="de-DE"/>
              </w:rPr>
              <w:t>0.005931</w:t>
            </w:r>
            <w:r w:rsidRPr="00A51255">
              <w:rPr>
                <w:rFonts w:ascii="Arial" w:hAnsi="Arial" w:cs="Arial"/>
                <w:sz w:val="16"/>
                <w:szCs w:val="16"/>
                <w:lang w:val="de-DE"/>
              </w:rPr>
              <w:t>)</w:t>
            </w:r>
          </w:p>
        </w:tc>
      </w:tr>
      <w:tr w:rsidR="005A1829" w:rsidRPr="00647145" w:rsidTr="00DC38C7">
        <w:trPr>
          <w:jc w:val="center"/>
        </w:trPr>
        <w:tc>
          <w:tcPr>
            <w:tcW w:w="284" w:type="dxa"/>
            <w:vAlign w:val="center"/>
          </w:tcPr>
          <w:p w:rsidR="005A1829" w:rsidRPr="00A51255" w:rsidRDefault="005A1829" w:rsidP="00DC38C7">
            <w:pPr>
              <w:spacing w:line="360" w:lineRule="auto"/>
              <w:jc w:val="center"/>
              <w:rPr>
                <w:rFonts w:ascii="Arial" w:hAnsi="Arial" w:cs="Arial"/>
                <w:sz w:val="16"/>
                <w:szCs w:val="16"/>
                <w:lang w:val="de-DE"/>
              </w:rPr>
            </w:pPr>
          </w:p>
        </w:tc>
        <w:tc>
          <w:tcPr>
            <w:tcW w:w="1604" w:type="dxa"/>
            <w:vAlign w:val="center"/>
          </w:tcPr>
          <w:p w:rsidR="005A1829" w:rsidRDefault="005A1829" w:rsidP="00DC38C7">
            <w:pPr>
              <w:jc w:val="center"/>
              <w:rPr>
                <w:rFonts w:ascii="Arial" w:hAnsi="Arial" w:cs="Arial"/>
                <w:b/>
                <w:sz w:val="18"/>
                <w:szCs w:val="18"/>
                <w:lang w:val="de-DE"/>
              </w:rPr>
            </w:pPr>
            <w:r w:rsidRPr="004F48F0">
              <w:rPr>
                <w:rFonts w:ascii="Arial" w:hAnsi="Arial" w:cs="Arial"/>
                <w:b/>
                <w:sz w:val="18"/>
                <w:szCs w:val="18"/>
                <w:lang w:val="de-DE"/>
              </w:rPr>
              <w:t xml:space="preserve">Unexpected </w:t>
            </w:r>
          </w:p>
          <w:p w:rsidR="005A1829" w:rsidRDefault="005A1829" w:rsidP="00DC38C7">
            <w:pPr>
              <w:jc w:val="center"/>
              <w:rPr>
                <w:rFonts w:ascii="Arial" w:hAnsi="Arial" w:cs="Arial"/>
                <w:b/>
                <w:sz w:val="18"/>
                <w:szCs w:val="18"/>
                <w:lang w:val="de-DE"/>
              </w:rPr>
            </w:pPr>
            <w:r>
              <w:rPr>
                <w:rFonts w:ascii="Arial" w:hAnsi="Arial" w:cs="Arial"/>
                <w:b/>
                <w:sz w:val="18"/>
                <w:szCs w:val="18"/>
                <w:lang w:val="de-DE"/>
              </w:rPr>
              <w:t xml:space="preserve">neutral </w:t>
            </w:r>
          </w:p>
          <w:p w:rsidR="005A1829" w:rsidRPr="004F48F0" w:rsidRDefault="005A1829" w:rsidP="00DC38C7">
            <w:pPr>
              <w:jc w:val="center"/>
              <w:rPr>
                <w:rFonts w:ascii="Arial" w:hAnsi="Arial" w:cs="Arial"/>
                <w:b/>
                <w:sz w:val="18"/>
                <w:szCs w:val="18"/>
                <w:lang w:val="de-DE"/>
              </w:rPr>
            </w:pPr>
            <w:r w:rsidRPr="004F48F0">
              <w:rPr>
                <w:rFonts w:ascii="Arial" w:hAnsi="Arial" w:cs="Arial"/>
                <w:b/>
                <w:sz w:val="18"/>
                <w:szCs w:val="18"/>
                <w:lang w:val="de-DE"/>
              </w:rPr>
              <w:t>announcement:</w:t>
            </w:r>
          </w:p>
        </w:tc>
        <w:tc>
          <w:tcPr>
            <w:tcW w:w="2082" w:type="dxa"/>
            <w:vAlign w:val="center"/>
          </w:tcPr>
          <w:p w:rsidR="005A1829" w:rsidRPr="004F48F0" w:rsidRDefault="005A1829" w:rsidP="00DC38C7">
            <w:pPr>
              <w:jc w:val="center"/>
              <w:rPr>
                <w:rFonts w:ascii="Arial" w:hAnsi="Arial" w:cs="Arial"/>
                <w:b/>
                <w:sz w:val="18"/>
                <w:szCs w:val="18"/>
                <w:lang w:val="de-DE"/>
              </w:rPr>
            </w:pPr>
            <w:r w:rsidRPr="004F48F0">
              <w:rPr>
                <w:rFonts w:ascii="Arial" w:hAnsi="Arial" w:cs="Arial"/>
                <w:b/>
                <w:sz w:val="18"/>
                <w:szCs w:val="18"/>
                <w:lang w:val="de-DE"/>
              </w:rPr>
              <w:t>Money Supply</w:t>
            </w:r>
          </w:p>
          <w:p w:rsidR="005A1829" w:rsidRPr="00CA2C53" w:rsidRDefault="005A1829" w:rsidP="00DC38C7">
            <w:pPr>
              <w:jc w:val="center"/>
              <w:rPr>
                <w:rFonts w:ascii="Arial" w:hAnsi="Arial" w:cs="Arial"/>
                <w:b/>
                <w:sz w:val="2"/>
                <w:szCs w:val="2"/>
                <w:lang w:val="de-DE"/>
              </w:rPr>
            </w:pPr>
          </w:p>
          <w:p w:rsidR="005A1829" w:rsidRPr="004F48F0" w:rsidRDefault="005A1829" w:rsidP="00DC38C7">
            <w:pPr>
              <w:jc w:val="center"/>
              <w:rPr>
                <w:rFonts w:ascii="Arial" w:hAnsi="Arial" w:cs="Arial"/>
                <w:b/>
                <w:sz w:val="20"/>
                <w:szCs w:val="20"/>
                <w:lang w:val="de-DE"/>
              </w:rPr>
            </w:pPr>
            <w:r w:rsidRPr="009F1BCD">
              <w:rPr>
                <w:b/>
                <w:sz w:val="20"/>
                <w:szCs w:val="20"/>
                <w:lang w:val="de-DE"/>
              </w:rPr>
              <w:t>(</w:t>
            </w:r>
            <w:r w:rsidRPr="004F48F0">
              <w:rPr>
                <w:b/>
                <w:i/>
                <w:sz w:val="20"/>
                <w:szCs w:val="20"/>
                <w:lang w:val="de-DE"/>
              </w:rPr>
              <w:t>MS</w:t>
            </w:r>
            <w:r w:rsidRPr="009F1BCD">
              <w:rPr>
                <w:b/>
                <w:sz w:val="20"/>
                <w:szCs w:val="20"/>
                <w:lang w:val="de-DE"/>
              </w:rPr>
              <w:t>)</w:t>
            </w:r>
          </w:p>
        </w:tc>
        <w:tc>
          <w:tcPr>
            <w:tcW w:w="1972" w:type="dxa"/>
            <w:vAlign w:val="center"/>
          </w:tcPr>
          <w:p w:rsidR="005A1829" w:rsidRDefault="005A1829" w:rsidP="00DC38C7">
            <w:pPr>
              <w:jc w:val="center"/>
              <w:rPr>
                <w:rFonts w:ascii="Arial" w:hAnsi="Arial" w:cs="Arial"/>
                <w:b/>
                <w:sz w:val="18"/>
                <w:szCs w:val="18"/>
                <w:lang w:val="de-DE"/>
              </w:rPr>
            </w:pPr>
            <w:r w:rsidRPr="004F48F0">
              <w:rPr>
                <w:rFonts w:ascii="Arial" w:hAnsi="Arial" w:cs="Arial"/>
                <w:b/>
                <w:sz w:val="18"/>
                <w:szCs w:val="18"/>
                <w:lang w:val="de-DE"/>
              </w:rPr>
              <w:t>Reserve Money</w:t>
            </w:r>
          </w:p>
          <w:p w:rsidR="005A1829" w:rsidRPr="00CA2C53" w:rsidRDefault="005A1829" w:rsidP="00DC38C7">
            <w:pPr>
              <w:jc w:val="center"/>
              <w:rPr>
                <w:rFonts w:ascii="Arial" w:hAnsi="Arial" w:cs="Arial"/>
                <w:b/>
                <w:sz w:val="2"/>
                <w:szCs w:val="2"/>
                <w:lang w:val="de-DE"/>
              </w:rPr>
            </w:pPr>
          </w:p>
          <w:p w:rsidR="005A1829" w:rsidRPr="004F48F0" w:rsidRDefault="005A1829" w:rsidP="00DC38C7">
            <w:pPr>
              <w:jc w:val="center"/>
              <w:rPr>
                <w:b/>
                <w:i/>
                <w:sz w:val="20"/>
                <w:szCs w:val="20"/>
                <w:lang w:val="en-US"/>
              </w:rPr>
            </w:pPr>
            <w:r w:rsidRPr="009F1BCD">
              <w:rPr>
                <w:b/>
                <w:sz w:val="20"/>
                <w:szCs w:val="20"/>
                <w:lang w:val="en-US"/>
              </w:rPr>
              <w:t>(</w:t>
            </w:r>
            <w:r w:rsidRPr="004F48F0">
              <w:rPr>
                <w:b/>
                <w:i/>
                <w:sz w:val="20"/>
                <w:szCs w:val="20"/>
                <w:lang w:val="en-US"/>
              </w:rPr>
              <w:t>RM</w:t>
            </w:r>
            <w:r w:rsidRPr="009F1BCD">
              <w:rPr>
                <w:b/>
                <w:sz w:val="20"/>
                <w:szCs w:val="20"/>
                <w:lang w:val="en-US"/>
              </w:rPr>
              <w:t>)</w:t>
            </w:r>
          </w:p>
        </w:tc>
        <w:tc>
          <w:tcPr>
            <w:tcW w:w="1920" w:type="dxa"/>
            <w:vAlign w:val="center"/>
          </w:tcPr>
          <w:p w:rsidR="005A1829" w:rsidRDefault="005A1829" w:rsidP="00DC38C7">
            <w:pPr>
              <w:jc w:val="center"/>
              <w:rPr>
                <w:rFonts w:ascii="Arial" w:hAnsi="Arial" w:cs="Arial"/>
                <w:b/>
                <w:sz w:val="18"/>
                <w:szCs w:val="18"/>
                <w:lang w:val="de-DE"/>
              </w:rPr>
            </w:pPr>
            <w:r>
              <w:rPr>
                <w:rFonts w:ascii="Arial" w:hAnsi="Arial" w:cs="Arial"/>
                <w:b/>
                <w:sz w:val="18"/>
                <w:szCs w:val="18"/>
                <w:lang w:val="de-DE"/>
              </w:rPr>
              <w:t>Balance of Payments</w:t>
            </w:r>
          </w:p>
          <w:p w:rsidR="005A1829" w:rsidRPr="00CA2C53" w:rsidRDefault="005A1829" w:rsidP="00DC38C7">
            <w:pPr>
              <w:jc w:val="center"/>
              <w:rPr>
                <w:b/>
                <w:i/>
                <w:sz w:val="2"/>
                <w:szCs w:val="2"/>
                <w:lang w:val="en-US"/>
              </w:rPr>
            </w:pPr>
          </w:p>
          <w:p w:rsidR="005A1829" w:rsidRPr="004F48F0" w:rsidRDefault="005A1829" w:rsidP="00DC38C7">
            <w:pPr>
              <w:jc w:val="center"/>
              <w:rPr>
                <w:b/>
                <w:i/>
                <w:sz w:val="20"/>
                <w:szCs w:val="20"/>
                <w:lang w:val="en-US"/>
              </w:rPr>
            </w:pPr>
            <w:r w:rsidRPr="009F1BCD">
              <w:rPr>
                <w:b/>
                <w:sz w:val="20"/>
                <w:szCs w:val="20"/>
                <w:lang w:val="en-US"/>
              </w:rPr>
              <w:t>(</w:t>
            </w:r>
            <w:r w:rsidRPr="004F48F0">
              <w:rPr>
                <w:b/>
                <w:i/>
                <w:sz w:val="20"/>
                <w:szCs w:val="20"/>
                <w:lang w:val="en-US"/>
              </w:rPr>
              <w:t>BOP</w:t>
            </w:r>
            <w:r w:rsidRPr="009F1BCD">
              <w:rPr>
                <w:b/>
                <w:sz w:val="20"/>
                <w:szCs w:val="20"/>
                <w:lang w:val="en-US"/>
              </w:rPr>
              <w:t>)</w:t>
            </w:r>
          </w:p>
        </w:tc>
        <w:tc>
          <w:tcPr>
            <w:tcW w:w="1947" w:type="dxa"/>
            <w:vAlign w:val="center"/>
          </w:tcPr>
          <w:p w:rsidR="005A1829" w:rsidRPr="000E3558" w:rsidRDefault="005A1829" w:rsidP="00DC38C7">
            <w:pPr>
              <w:jc w:val="center"/>
              <w:rPr>
                <w:rFonts w:ascii="Arial" w:hAnsi="Arial" w:cs="Arial"/>
                <w:b/>
                <w:sz w:val="18"/>
                <w:szCs w:val="18"/>
                <w:lang w:val="en-US"/>
              </w:rPr>
            </w:pPr>
            <w:r w:rsidRPr="000E3558">
              <w:rPr>
                <w:rFonts w:ascii="Arial" w:hAnsi="Arial" w:cs="Arial"/>
                <w:b/>
                <w:sz w:val="18"/>
                <w:szCs w:val="18"/>
                <w:lang w:val="en-US"/>
              </w:rPr>
              <w:t xml:space="preserve">Liquid Assets </w:t>
            </w:r>
          </w:p>
          <w:p w:rsidR="005A1829" w:rsidRPr="000E3558" w:rsidRDefault="005A1829" w:rsidP="00DC38C7">
            <w:pPr>
              <w:jc w:val="center"/>
              <w:rPr>
                <w:rFonts w:ascii="Arial" w:hAnsi="Arial" w:cs="Arial"/>
                <w:b/>
                <w:sz w:val="18"/>
                <w:szCs w:val="18"/>
                <w:lang w:val="en-US"/>
              </w:rPr>
            </w:pPr>
            <w:r w:rsidRPr="000E3558">
              <w:rPr>
                <w:rFonts w:ascii="Arial" w:hAnsi="Arial" w:cs="Arial"/>
                <w:b/>
                <w:sz w:val="18"/>
                <w:szCs w:val="18"/>
                <w:lang w:val="en-US"/>
              </w:rPr>
              <w:t xml:space="preserve">and Liabilities </w:t>
            </w:r>
          </w:p>
          <w:p w:rsidR="005A1829" w:rsidRPr="009F1BCD" w:rsidRDefault="005A1829" w:rsidP="00DC38C7">
            <w:pPr>
              <w:jc w:val="center"/>
              <w:rPr>
                <w:b/>
                <w:i/>
                <w:sz w:val="20"/>
                <w:szCs w:val="20"/>
                <w:lang w:val="en-US"/>
              </w:rPr>
            </w:pPr>
            <w:r w:rsidRPr="000E3558">
              <w:rPr>
                <w:rFonts w:ascii="Arial" w:hAnsi="Arial" w:cs="Arial"/>
                <w:b/>
                <w:sz w:val="18"/>
                <w:szCs w:val="18"/>
                <w:lang w:val="en-US"/>
              </w:rPr>
              <w:t>(</w:t>
            </w:r>
            <w:r w:rsidRPr="009F1BCD">
              <w:rPr>
                <w:b/>
                <w:i/>
                <w:sz w:val="20"/>
                <w:szCs w:val="20"/>
                <w:lang w:val="en-US"/>
              </w:rPr>
              <w:t>AL</w:t>
            </w:r>
            <w:r w:rsidRPr="009F1BCD">
              <w:rPr>
                <w:b/>
                <w:sz w:val="20"/>
                <w:szCs w:val="20"/>
                <w:lang w:val="en-US"/>
              </w:rPr>
              <w:t>)</w:t>
            </w:r>
          </w:p>
        </w:tc>
      </w:tr>
      <w:tr w:rsidR="005A1829" w:rsidRPr="00A51255" w:rsidTr="00DC38C7">
        <w:trPr>
          <w:jc w:val="center"/>
        </w:trPr>
        <w:tc>
          <w:tcPr>
            <w:tcW w:w="284" w:type="dxa"/>
            <w:vAlign w:val="center"/>
          </w:tcPr>
          <w:p w:rsidR="005A1829" w:rsidRPr="00A51255" w:rsidRDefault="005A1829" w:rsidP="00DC38C7">
            <w:pPr>
              <w:spacing w:line="360" w:lineRule="auto"/>
              <w:jc w:val="center"/>
              <w:rPr>
                <w:rFonts w:ascii="Arial" w:hAnsi="Arial" w:cs="Arial"/>
                <w:sz w:val="16"/>
                <w:szCs w:val="16"/>
                <w:lang w:val="de-DE"/>
              </w:rPr>
            </w:pPr>
            <w:r>
              <w:rPr>
                <w:rFonts w:ascii="Arial" w:hAnsi="Arial" w:cs="Arial"/>
                <w:sz w:val="16"/>
                <w:szCs w:val="16"/>
                <w:lang w:val="de-DE"/>
              </w:rPr>
              <w:t>(1)</w:t>
            </w:r>
          </w:p>
        </w:tc>
        <w:tc>
          <w:tcPr>
            <w:tcW w:w="1604" w:type="dxa"/>
            <w:vAlign w:val="center"/>
          </w:tcPr>
          <w:p w:rsidR="005A1829" w:rsidRDefault="005A1829" w:rsidP="00DC38C7">
            <w:pPr>
              <w:ind w:left="87"/>
              <w:jc w:val="center"/>
            </w:pPr>
            <w:r w:rsidRPr="00B3604A">
              <w:rPr>
                <w:position w:val="-10"/>
              </w:rPr>
              <w:object w:dxaOrig="300" w:dyaOrig="340">
                <v:shape id="_x0000_i1149" type="#_x0000_t75" style="width:14.15pt;height:16.7pt" o:ole="">
                  <v:imagedata r:id="rId102" o:title=""/>
                </v:shape>
                <o:OLEObject Type="Embed" ProgID="Equation.3" ShapeID="_x0000_i1149" DrawAspect="Content" ObjectID="_1507543496" r:id="rId194"/>
              </w:object>
            </w:r>
          </w:p>
          <w:p w:rsidR="005A1829" w:rsidRPr="004F48F0" w:rsidRDefault="005A1829" w:rsidP="00DC38C7">
            <w:pPr>
              <w:ind w:left="87"/>
              <w:jc w:val="center"/>
              <w:rPr>
                <w:b/>
                <w:sz w:val="18"/>
                <w:szCs w:val="18"/>
                <w:lang w:val="de-DE"/>
              </w:rPr>
            </w:pPr>
            <w:r>
              <w:rPr>
                <w:rFonts w:ascii="Arial" w:hAnsi="Arial" w:cs="Arial"/>
                <w:b/>
                <w:sz w:val="18"/>
                <w:szCs w:val="18"/>
                <w:lang w:val="de-DE"/>
              </w:rPr>
              <w:t>neutral</w:t>
            </w:r>
          </w:p>
        </w:tc>
        <w:tc>
          <w:tcPr>
            <w:tcW w:w="2082" w:type="dxa"/>
            <w:vAlign w:val="center"/>
          </w:tcPr>
          <w:p w:rsidR="005A1829" w:rsidRPr="00A51255" w:rsidRDefault="005A1829" w:rsidP="00DC38C7">
            <w:pPr>
              <w:jc w:val="center"/>
              <w:rPr>
                <w:rFonts w:ascii="Arial" w:hAnsi="Arial" w:cs="Arial"/>
                <w:sz w:val="20"/>
                <w:szCs w:val="20"/>
                <w:lang w:val="de-DE"/>
              </w:rPr>
            </w:pPr>
            <w:r w:rsidRPr="00C855A0">
              <w:rPr>
                <w:rFonts w:ascii="Arial" w:hAnsi="Arial" w:cs="Arial"/>
                <w:sz w:val="20"/>
                <w:szCs w:val="20"/>
                <w:lang w:val="de-DE"/>
              </w:rPr>
              <w:t>-0.287168</w:t>
            </w:r>
          </w:p>
          <w:p w:rsidR="005A1829" w:rsidRPr="00523539" w:rsidRDefault="005A1829" w:rsidP="00DC38C7">
            <w:pPr>
              <w:jc w:val="center"/>
              <w:rPr>
                <w:rFonts w:ascii="Arial" w:hAnsi="Arial" w:cs="Arial"/>
                <w:sz w:val="16"/>
                <w:szCs w:val="16"/>
                <w:lang w:val="de-DE"/>
              </w:rPr>
            </w:pPr>
            <w:r>
              <w:rPr>
                <w:rFonts w:ascii="Arial" w:hAnsi="Arial" w:cs="Arial"/>
                <w:sz w:val="16"/>
                <w:szCs w:val="16"/>
                <w:lang w:val="de-DE"/>
              </w:rPr>
              <w:t>(</w:t>
            </w:r>
            <w:r w:rsidRPr="00C855A0">
              <w:rPr>
                <w:rFonts w:ascii="Arial" w:hAnsi="Arial" w:cs="Arial"/>
                <w:sz w:val="16"/>
                <w:szCs w:val="16"/>
                <w:lang w:val="de-DE"/>
              </w:rPr>
              <w:t>0.176758</w:t>
            </w:r>
            <w:r w:rsidRPr="00A51255">
              <w:rPr>
                <w:rFonts w:ascii="Arial" w:hAnsi="Arial" w:cs="Arial"/>
                <w:sz w:val="16"/>
                <w:szCs w:val="16"/>
                <w:lang w:val="de-DE"/>
              </w:rPr>
              <w:t>)</w:t>
            </w:r>
          </w:p>
        </w:tc>
        <w:tc>
          <w:tcPr>
            <w:tcW w:w="1972" w:type="dxa"/>
            <w:vAlign w:val="center"/>
          </w:tcPr>
          <w:p w:rsidR="005A1829" w:rsidRPr="00A51255" w:rsidRDefault="005A1829" w:rsidP="00DC38C7">
            <w:pPr>
              <w:jc w:val="center"/>
              <w:rPr>
                <w:rFonts w:ascii="Arial" w:hAnsi="Arial" w:cs="Arial"/>
                <w:sz w:val="20"/>
                <w:szCs w:val="20"/>
                <w:lang w:val="de-DE"/>
              </w:rPr>
            </w:pPr>
            <w:r w:rsidRPr="00066A7D">
              <w:rPr>
                <w:rFonts w:ascii="Arial" w:hAnsi="Arial" w:cs="Arial"/>
                <w:sz w:val="20"/>
                <w:szCs w:val="20"/>
                <w:lang w:val="de-DE"/>
              </w:rPr>
              <w:t>0.353058</w:t>
            </w:r>
          </w:p>
          <w:p w:rsidR="005A1829" w:rsidRPr="00A51255" w:rsidRDefault="005A1829" w:rsidP="00DC38C7">
            <w:pPr>
              <w:jc w:val="center"/>
              <w:rPr>
                <w:lang w:val="en-US"/>
              </w:rPr>
            </w:pPr>
            <w:r>
              <w:rPr>
                <w:rFonts w:ascii="Arial" w:hAnsi="Arial" w:cs="Arial"/>
                <w:sz w:val="16"/>
                <w:szCs w:val="16"/>
                <w:lang w:val="de-DE"/>
              </w:rPr>
              <w:t>(</w:t>
            </w:r>
            <w:r w:rsidRPr="00066A7D">
              <w:rPr>
                <w:rFonts w:ascii="Arial" w:hAnsi="Arial" w:cs="Arial"/>
                <w:sz w:val="16"/>
                <w:szCs w:val="16"/>
                <w:lang w:val="de-DE"/>
              </w:rPr>
              <w:t>0.291704</w:t>
            </w:r>
            <w:r w:rsidRPr="00A51255">
              <w:rPr>
                <w:rFonts w:ascii="Arial" w:hAnsi="Arial" w:cs="Arial"/>
                <w:sz w:val="16"/>
                <w:szCs w:val="16"/>
                <w:lang w:val="de-DE"/>
              </w:rPr>
              <w:t>)</w:t>
            </w:r>
          </w:p>
        </w:tc>
        <w:tc>
          <w:tcPr>
            <w:tcW w:w="1920" w:type="dxa"/>
            <w:vAlign w:val="center"/>
          </w:tcPr>
          <w:p w:rsidR="005A1829" w:rsidRPr="00A51255" w:rsidRDefault="005A1829" w:rsidP="00DC38C7">
            <w:pPr>
              <w:jc w:val="center"/>
              <w:rPr>
                <w:rFonts w:ascii="Arial" w:hAnsi="Arial" w:cs="Arial"/>
                <w:sz w:val="20"/>
                <w:szCs w:val="20"/>
                <w:lang w:val="de-DE"/>
              </w:rPr>
            </w:pPr>
            <w:r w:rsidRPr="00D56186">
              <w:rPr>
                <w:rFonts w:ascii="Arial" w:hAnsi="Arial" w:cs="Arial"/>
                <w:sz w:val="20"/>
                <w:szCs w:val="20"/>
                <w:lang w:val="de-DE"/>
              </w:rPr>
              <w:t>-0.125883</w:t>
            </w:r>
          </w:p>
          <w:p w:rsidR="005A1829" w:rsidRPr="00A51255" w:rsidRDefault="005A1829" w:rsidP="00DC38C7">
            <w:pPr>
              <w:jc w:val="center"/>
              <w:rPr>
                <w:lang w:val="en-US"/>
              </w:rPr>
            </w:pPr>
            <w:r>
              <w:rPr>
                <w:rFonts w:ascii="Arial" w:hAnsi="Arial" w:cs="Arial"/>
                <w:sz w:val="16"/>
                <w:szCs w:val="16"/>
                <w:lang w:val="de-DE"/>
              </w:rPr>
              <w:t>(</w:t>
            </w:r>
            <w:r w:rsidRPr="00D56186">
              <w:rPr>
                <w:rFonts w:ascii="Arial" w:hAnsi="Arial" w:cs="Arial"/>
                <w:sz w:val="16"/>
                <w:szCs w:val="16"/>
                <w:lang w:val="de-DE"/>
              </w:rPr>
              <w:t>0.153337</w:t>
            </w:r>
            <w:r w:rsidRPr="00A51255">
              <w:rPr>
                <w:rFonts w:ascii="Arial" w:hAnsi="Arial" w:cs="Arial"/>
                <w:sz w:val="16"/>
                <w:szCs w:val="16"/>
                <w:lang w:val="de-DE"/>
              </w:rPr>
              <w:t>)</w:t>
            </w:r>
          </w:p>
        </w:tc>
        <w:tc>
          <w:tcPr>
            <w:tcW w:w="1947" w:type="dxa"/>
            <w:vAlign w:val="center"/>
          </w:tcPr>
          <w:p w:rsidR="005A1829" w:rsidRPr="00A51255" w:rsidRDefault="005A1829" w:rsidP="00DC38C7">
            <w:pPr>
              <w:jc w:val="center"/>
              <w:rPr>
                <w:rFonts w:ascii="Arial" w:hAnsi="Arial" w:cs="Arial"/>
                <w:sz w:val="20"/>
                <w:szCs w:val="20"/>
                <w:lang w:val="de-DE"/>
              </w:rPr>
            </w:pPr>
            <w:r w:rsidRPr="009F1353">
              <w:rPr>
                <w:rFonts w:ascii="Arial" w:hAnsi="Arial" w:cs="Arial"/>
                <w:sz w:val="20"/>
                <w:szCs w:val="20"/>
                <w:lang w:val="de-DE"/>
              </w:rPr>
              <w:t>-0.078623</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9F1353">
              <w:rPr>
                <w:rFonts w:ascii="Arial" w:hAnsi="Arial" w:cs="Arial"/>
                <w:sz w:val="16"/>
                <w:szCs w:val="16"/>
                <w:lang w:val="de-DE"/>
              </w:rPr>
              <w:t>0.139917</w:t>
            </w:r>
            <w:r w:rsidRPr="00A51255">
              <w:rPr>
                <w:rFonts w:ascii="Arial" w:hAnsi="Arial" w:cs="Arial"/>
                <w:sz w:val="16"/>
                <w:szCs w:val="16"/>
                <w:lang w:val="de-DE"/>
              </w:rPr>
              <w:t>)</w:t>
            </w:r>
          </w:p>
        </w:tc>
      </w:tr>
      <w:tr w:rsidR="005A1829" w:rsidRPr="00A51255" w:rsidTr="00DC38C7">
        <w:trPr>
          <w:jc w:val="center"/>
        </w:trPr>
        <w:tc>
          <w:tcPr>
            <w:tcW w:w="9809" w:type="dxa"/>
            <w:gridSpan w:val="6"/>
            <w:vAlign w:val="center"/>
          </w:tcPr>
          <w:p w:rsidR="005A1829" w:rsidRDefault="005A1829" w:rsidP="00DC38C7">
            <w:pPr>
              <w:jc w:val="center"/>
              <w:rPr>
                <w:rFonts w:ascii="Arial" w:hAnsi="Arial" w:cs="Arial"/>
                <w:b/>
                <w:sz w:val="18"/>
                <w:szCs w:val="18"/>
                <w:lang w:val="de-DE"/>
              </w:rPr>
            </w:pPr>
          </w:p>
          <w:p w:rsidR="005A1829" w:rsidRDefault="005A1829" w:rsidP="00DC38C7">
            <w:pPr>
              <w:jc w:val="center"/>
              <w:rPr>
                <w:rFonts w:ascii="Arial" w:hAnsi="Arial" w:cs="Arial"/>
                <w:b/>
                <w:sz w:val="18"/>
                <w:szCs w:val="18"/>
                <w:lang w:val="de-DE"/>
              </w:rPr>
            </w:pPr>
            <w:r>
              <w:rPr>
                <w:rFonts w:ascii="Arial" w:hAnsi="Arial" w:cs="Arial"/>
                <w:b/>
                <w:sz w:val="18"/>
                <w:szCs w:val="18"/>
                <w:lang w:val="de-DE"/>
              </w:rPr>
              <w:t>Conditional variance</w:t>
            </w:r>
            <w:r w:rsidRPr="009D3E6A">
              <w:rPr>
                <w:rFonts w:ascii="Arial" w:hAnsi="Arial" w:cs="Arial"/>
                <w:b/>
                <w:sz w:val="18"/>
                <w:szCs w:val="18"/>
                <w:lang w:val="de-DE"/>
              </w:rPr>
              <w:t xml:space="preserve"> equation:</w:t>
            </w:r>
          </w:p>
          <w:p w:rsidR="005A1829" w:rsidRDefault="005A1829" w:rsidP="00DC38C7">
            <w:pPr>
              <w:jc w:val="center"/>
              <w:rPr>
                <w:rFonts w:ascii="Arial" w:hAnsi="Arial" w:cs="Arial"/>
                <w:sz w:val="20"/>
                <w:szCs w:val="20"/>
                <w:lang w:val="de-DE"/>
              </w:rPr>
            </w:pPr>
          </w:p>
        </w:tc>
      </w:tr>
      <w:tr w:rsidR="005A1829" w:rsidRPr="00A51255" w:rsidTr="00DC38C7">
        <w:trPr>
          <w:jc w:val="center"/>
        </w:trPr>
        <w:tc>
          <w:tcPr>
            <w:tcW w:w="284" w:type="dxa"/>
            <w:vAlign w:val="center"/>
          </w:tcPr>
          <w:p w:rsidR="005A1829" w:rsidRPr="00A51255" w:rsidRDefault="005A1829" w:rsidP="00DC38C7">
            <w:pPr>
              <w:spacing w:line="360" w:lineRule="auto"/>
              <w:jc w:val="center"/>
              <w:rPr>
                <w:rFonts w:ascii="Arial" w:hAnsi="Arial" w:cs="Arial"/>
                <w:sz w:val="16"/>
                <w:szCs w:val="16"/>
                <w:lang w:val="de-DE"/>
              </w:rPr>
            </w:pPr>
            <w:r>
              <w:rPr>
                <w:rFonts w:ascii="Arial" w:hAnsi="Arial" w:cs="Arial"/>
                <w:sz w:val="16"/>
                <w:szCs w:val="16"/>
                <w:lang w:val="de-DE"/>
              </w:rPr>
              <w:t>(2)</w:t>
            </w:r>
          </w:p>
        </w:tc>
        <w:tc>
          <w:tcPr>
            <w:tcW w:w="1604" w:type="dxa"/>
            <w:vAlign w:val="center"/>
          </w:tcPr>
          <w:p w:rsidR="005A1829" w:rsidRPr="004F48F0" w:rsidRDefault="005A1829" w:rsidP="00DC38C7">
            <w:pPr>
              <w:jc w:val="center"/>
              <w:rPr>
                <w:rFonts w:ascii="Arial" w:hAnsi="Arial" w:cs="Arial"/>
                <w:b/>
                <w:sz w:val="18"/>
                <w:szCs w:val="18"/>
                <w:lang w:val="de-DE"/>
              </w:rPr>
            </w:pPr>
            <w:r w:rsidRPr="002163BB">
              <w:rPr>
                <w:rFonts w:ascii="Garamond" w:hAnsi="Garamond"/>
                <w:i/>
                <w:position w:val="-12"/>
                <w:lang w:val="de-DE"/>
              </w:rPr>
              <w:object w:dxaOrig="300" w:dyaOrig="400">
                <v:shape id="_x0000_i1150" type="#_x0000_t75" style="width:12.85pt;height:18pt" o:ole="">
                  <v:imagedata r:id="rId110" o:title=""/>
                </v:shape>
                <o:OLEObject Type="Embed" ProgID="Equation.3" ShapeID="_x0000_i1150" DrawAspect="Content" ObjectID="_1507543497" r:id="rId195"/>
              </w:object>
            </w:r>
          </w:p>
        </w:tc>
        <w:tc>
          <w:tcPr>
            <w:tcW w:w="2082" w:type="dxa"/>
            <w:vAlign w:val="center"/>
          </w:tcPr>
          <w:p w:rsidR="005A1829" w:rsidRPr="00A51255" w:rsidRDefault="005A1829" w:rsidP="00DC38C7">
            <w:pPr>
              <w:jc w:val="center"/>
              <w:rPr>
                <w:rFonts w:ascii="Arial" w:hAnsi="Arial" w:cs="Arial"/>
                <w:sz w:val="20"/>
                <w:szCs w:val="20"/>
                <w:lang w:val="de-DE"/>
              </w:rPr>
            </w:pPr>
            <w:r w:rsidRPr="00904831">
              <w:rPr>
                <w:rFonts w:ascii="Arial" w:hAnsi="Arial" w:cs="Arial"/>
                <w:sz w:val="20"/>
                <w:szCs w:val="20"/>
                <w:lang w:val="de-DE"/>
              </w:rPr>
              <w:t>0.058185</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904831">
              <w:rPr>
                <w:rFonts w:ascii="Arial" w:hAnsi="Arial" w:cs="Arial"/>
                <w:sz w:val="16"/>
                <w:szCs w:val="16"/>
                <w:lang w:val="de-DE"/>
              </w:rPr>
              <w:t>0.031343</w:t>
            </w:r>
            <w:r w:rsidRPr="00A51255">
              <w:rPr>
                <w:rFonts w:ascii="Arial" w:hAnsi="Arial" w:cs="Arial"/>
                <w:sz w:val="16"/>
                <w:szCs w:val="16"/>
                <w:lang w:val="de-DE"/>
              </w:rPr>
              <w:t>)</w:t>
            </w:r>
          </w:p>
        </w:tc>
        <w:tc>
          <w:tcPr>
            <w:tcW w:w="1972" w:type="dxa"/>
            <w:vAlign w:val="center"/>
          </w:tcPr>
          <w:p w:rsidR="005A1829" w:rsidRPr="00A51255" w:rsidRDefault="005A1829" w:rsidP="00DC38C7">
            <w:pPr>
              <w:jc w:val="center"/>
              <w:rPr>
                <w:rFonts w:ascii="Arial" w:hAnsi="Arial" w:cs="Arial"/>
                <w:sz w:val="20"/>
                <w:szCs w:val="20"/>
                <w:lang w:val="de-DE"/>
              </w:rPr>
            </w:pPr>
            <w:r w:rsidRPr="00404490">
              <w:rPr>
                <w:rFonts w:ascii="Arial" w:hAnsi="Arial" w:cs="Arial"/>
                <w:sz w:val="20"/>
                <w:szCs w:val="20"/>
                <w:lang w:val="de-DE"/>
              </w:rPr>
              <w:t>0.081461</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0C4033">
              <w:rPr>
                <w:rFonts w:ascii="Arial" w:hAnsi="Arial" w:cs="Arial"/>
                <w:sz w:val="16"/>
                <w:szCs w:val="16"/>
                <w:lang w:val="de-DE"/>
              </w:rPr>
              <w:t>0.036284</w:t>
            </w:r>
            <w:r w:rsidRPr="00A51255">
              <w:rPr>
                <w:rFonts w:ascii="Arial" w:hAnsi="Arial" w:cs="Arial"/>
                <w:sz w:val="16"/>
                <w:szCs w:val="16"/>
                <w:lang w:val="de-DE"/>
              </w:rPr>
              <w:t>)</w:t>
            </w:r>
          </w:p>
        </w:tc>
        <w:tc>
          <w:tcPr>
            <w:tcW w:w="1920" w:type="dxa"/>
            <w:vAlign w:val="center"/>
          </w:tcPr>
          <w:p w:rsidR="005A1829" w:rsidRPr="00A51255" w:rsidRDefault="005A1829" w:rsidP="00DC38C7">
            <w:pPr>
              <w:jc w:val="center"/>
              <w:rPr>
                <w:rFonts w:ascii="Arial" w:hAnsi="Arial" w:cs="Arial"/>
                <w:sz w:val="20"/>
                <w:szCs w:val="20"/>
                <w:lang w:val="de-DE"/>
              </w:rPr>
            </w:pPr>
            <w:r w:rsidRPr="009D651E">
              <w:rPr>
                <w:rFonts w:ascii="Arial" w:hAnsi="Arial" w:cs="Arial"/>
                <w:sz w:val="20"/>
                <w:szCs w:val="20"/>
                <w:lang w:val="de-DE"/>
              </w:rPr>
              <w:t>0.039026</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9D651E">
              <w:rPr>
                <w:rFonts w:ascii="Arial" w:hAnsi="Arial" w:cs="Arial"/>
                <w:sz w:val="16"/>
                <w:szCs w:val="16"/>
                <w:lang w:val="de-DE"/>
              </w:rPr>
              <w:t>0.014667</w:t>
            </w:r>
            <w:r w:rsidRPr="00A51255">
              <w:rPr>
                <w:rFonts w:ascii="Arial" w:hAnsi="Arial" w:cs="Arial"/>
                <w:sz w:val="16"/>
                <w:szCs w:val="16"/>
                <w:lang w:val="de-DE"/>
              </w:rPr>
              <w:t>)</w:t>
            </w:r>
          </w:p>
        </w:tc>
        <w:tc>
          <w:tcPr>
            <w:tcW w:w="1947" w:type="dxa"/>
            <w:vAlign w:val="center"/>
          </w:tcPr>
          <w:p w:rsidR="005A1829" w:rsidRPr="00A51255" w:rsidRDefault="005A1829" w:rsidP="00DC38C7">
            <w:pPr>
              <w:jc w:val="center"/>
              <w:rPr>
                <w:rFonts w:ascii="Arial" w:hAnsi="Arial" w:cs="Arial"/>
                <w:sz w:val="20"/>
                <w:szCs w:val="20"/>
                <w:lang w:val="de-DE"/>
              </w:rPr>
            </w:pPr>
            <w:r w:rsidRPr="00277889">
              <w:rPr>
                <w:rFonts w:ascii="Arial" w:hAnsi="Arial" w:cs="Arial"/>
                <w:sz w:val="20"/>
                <w:szCs w:val="20"/>
                <w:lang w:val="de-DE"/>
              </w:rPr>
              <w:t>0.056889</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277889">
              <w:rPr>
                <w:rFonts w:ascii="Arial" w:hAnsi="Arial" w:cs="Arial"/>
                <w:sz w:val="16"/>
                <w:szCs w:val="16"/>
                <w:lang w:val="de-DE"/>
              </w:rPr>
              <w:t>0.032007</w:t>
            </w:r>
            <w:r w:rsidRPr="00A51255">
              <w:rPr>
                <w:rFonts w:ascii="Arial" w:hAnsi="Arial" w:cs="Arial"/>
                <w:sz w:val="16"/>
                <w:szCs w:val="16"/>
                <w:lang w:val="de-DE"/>
              </w:rPr>
              <w:t>)</w:t>
            </w:r>
          </w:p>
        </w:tc>
      </w:tr>
      <w:tr w:rsidR="005A1829" w:rsidRPr="00A51255" w:rsidTr="00DC38C7">
        <w:trPr>
          <w:jc w:val="center"/>
        </w:trPr>
        <w:tc>
          <w:tcPr>
            <w:tcW w:w="284" w:type="dxa"/>
            <w:vAlign w:val="center"/>
          </w:tcPr>
          <w:p w:rsidR="005A1829" w:rsidRPr="00A51255" w:rsidRDefault="005A1829" w:rsidP="00DC38C7">
            <w:pPr>
              <w:spacing w:line="360" w:lineRule="auto"/>
              <w:jc w:val="center"/>
              <w:rPr>
                <w:rFonts w:ascii="Arial" w:hAnsi="Arial" w:cs="Arial"/>
                <w:lang w:val="en-US"/>
              </w:rPr>
            </w:pPr>
            <w:r>
              <w:rPr>
                <w:rFonts w:ascii="Arial" w:hAnsi="Arial" w:cs="Arial"/>
                <w:sz w:val="16"/>
                <w:szCs w:val="16"/>
                <w:lang w:val="de-DE"/>
              </w:rPr>
              <w:t>(2)</w:t>
            </w:r>
          </w:p>
        </w:tc>
        <w:tc>
          <w:tcPr>
            <w:tcW w:w="1604" w:type="dxa"/>
            <w:vAlign w:val="center"/>
          </w:tcPr>
          <w:p w:rsidR="005A1829" w:rsidRPr="004F48F0" w:rsidRDefault="005A1829" w:rsidP="00DC38C7">
            <w:pPr>
              <w:jc w:val="center"/>
              <w:rPr>
                <w:rFonts w:ascii="Arial" w:hAnsi="Arial" w:cs="Arial"/>
                <w:b/>
                <w:sz w:val="18"/>
                <w:szCs w:val="18"/>
                <w:lang w:val="de-DE"/>
              </w:rPr>
            </w:pPr>
            <w:r w:rsidRPr="00B3604A">
              <w:rPr>
                <w:rFonts w:ascii="Garamond" w:hAnsi="Garamond"/>
                <w:i/>
                <w:position w:val="-10"/>
                <w:lang w:val="de-DE"/>
              </w:rPr>
              <w:object w:dxaOrig="279" w:dyaOrig="380">
                <v:shape id="_x0000_i1151" type="#_x0000_t75" style="width:11.55pt;height:16.7pt" o:ole="">
                  <v:imagedata r:id="rId112" o:title=""/>
                </v:shape>
                <o:OLEObject Type="Embed" ProgID="Equation.3" ShapeID="_x0000_i1151" DrawAspect="Content" ObjectID="_1507543498" r:id="rId196"/>
              </w:object>
            </w:r>
          </w:p>
        </w:tc>
        <w:tc>
          <w:tcPr>
            <w:tcW w:w="2082" w:type="dxa"/>
            <w:vAlign w:val="center"/>
          </w:tcPr>
          <w:p w:rsidR="005A1829" w:rsidRPr="00A51255" w:rsidRDefault="005A1829" w:rsidP="00DC38C7">
            <w:pPr>
              <w:jc w:val="center"/>
              <w:rPr>
                <w:rFonts w:ascii="Arial" w:hAnsi="Arial" w:cs="Arial"/>
                <w:sz w:val="20"/>
                <w:szCs w:val="20"/>
                <w:lang w:val="de-DE"/>
              </w:rPr>
            </w:pPr>
            <w:r w:rsidRPr="00FF0EF1">
              <w:rPr>
                <w:rFonts w:ascii="Arial" w:hAnsi="Arial" w:cs="Arial"/>
                <w:sz w:val="20"/>
                <w:szCs w:val="20"/>
                <w:lang w:val="de-DE"/>
              </w:rPr>
              <w:t>0.096015</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FF0EF1">
              <w:rPr>
                <w:rFonts w:ascii="Arial" w:hAnsi="Arial" w:cs="Arial"/>
                <w:sz w:val="16"/>
                <w:szCs w:val="16"/>
                <w:lang w:val="de-DE"/>
              </w:rPr>
              <w:t>0.032520</w:t>
            </w:r>
            <w:r w:rsidRPr="00A51255">
              <w:rPr>
                <w:rFonts w:ascii="Arial" w:hAnsi="Arial" w:cs="Arial"/>
                <w:sz w:val="16"/>
                <w:szCs w:val="16"/>
                <w:lang w:val="de-DE"/>
              </w:rPr>
              <w:t>)</w:t>
            </w:r>
          </w:p>
        </w:tc>
        <w:tc>
          <w:tcPr>
            <w:tcW w:w="1972" w:type="dxa"/>
            <w:vAlign w:val="center"/>
          </w:tcPr>
          <w:p w:rsidR="005A1829" w:rsidRPr="00A51255" w:rsidRDefault="005A1829" w:rsidP="00DC38C7">
            <w:pPr>
              <w:jc w:val="center"/>
              <w:rPr>
                <w:rFonts w:ascii="Arial" w:hAnsi="Arial" w:cs="Arial"/>
                <w:sz w:val="20"/>
                <w:szCs w:val="20"/>
                <w:lang w:val="de-DE"/>
              </w:rPr>
            </w:pPr>
            <w:r w:rsidRPr="000C4033">
              <w:rPr>
                <w:rFonts w:ascii="Arial" w:hAnsi="Arial" w:cs="Arial"/>
                <w:sz w:val="20"/>
                <w:szCs w:val="20"/>
                <w:lang w:val="de-DE"/>
              </w:rPr>
              <w:t>0.153834</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0C4033">
              <w:rPr>
                <w:rFonts w:ascii="Arial" w:hAnsi="Arial" w:cs="Arial"/>
                <w:sz w:val="16"/>
                <w:szCs w:val="16"/>
                <w:lang w:val="de-DE"/>
              </w:rPr>
              <w:t>0.042113</w:t>
            </w:r>
            <w:r w:rsidRPr="00A51255">
              <w:rPr>
                <w:rFonts w:ascii="Arial" w:hAnsi="Arial" w:cs="Arial"/>
                <w:sz w:val="16"/>
                <w:szCs w:val="16"/>
                <w:lang w:val="de-DE"/>
              </w:rPr>
              <w:t>)</w:t>
            </w:r>
          </w:p>
        </w:tc>
        <w:tc>
          <w:tcPr>
            <w:tcW w:w="1920" w:type="dxa"/>
            <w:vAlign w:val="center"/>
          </w:tcPr>
          <w:p w:rsidR="005A1829" w:rsidRPr="00A51255" w:rsidRDefault="005A1829" w:rsidP="00DC38C7">
            <w:pPr>
              <w:jc w:val="center"/>
              <w:rPr>
                <w:rFonts w:ascii="Arial" w:hAnsi="Arial" w:cs="Arial"/>
                <w:sz w:val="20"/>
                <w:szCs w:val="20"/>
                <w:lang w:val="de-DE"/>
              </w:rPr>
            </w:pPr>
            <w:r w:rsidRPr="009D651E">
              <w:rPr>
                <w:rFonts w:ascii="Arial" w:hAnsi="Arial" w:cs="Arial"/>
                <w:sz w:val="20"/>
                <w:szCs w:val="20"/>
                <w:lang w:val="de-DE"/>
              </w:rPr>
              <w:t>0.093464</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9D651E">
              <w:rPr>
                <w:rFonts w:ascii="Arial" w:hAnsi="Arial" w:cs="Arial"/>
                <w:sz w:val="16"/>
                <w:szCs w:val="16"/>
                <w:lang w:val="de-DE"/>
              </w:rPr>
              <w:t>0.035056</w:t>
            </w:r>
            <w:r w:rsidRPr="00A51255">
              <w:rPr>
                <w:rFonts w:ascii="Arial" w:hAnsi="Arial" w:cs="Arial"/>
                <w:sz w:val="16"/>
                <w:szCs w:val="16"/>
                <w:lang w:val="de-DE"/>
              </w:rPr>
              <w:t>)</w:t>
            </w:r>
          </w:p>
        </w:tc>
        <w:tc>
          <w:tcPr>
            <w:tcW w:w="1947" w:type="dxa"/>
            <w:vAlign w:val="center"/>
          </w:tcPr>
          <w:p w:rsidR="005A1829" w:rsidRPr="00A51255" w:rsidRDefault="005A1829" w:rsidP="00DC38C7">
            <w:pPr>
              <w:jc w:val="center"/>
              <w:rPr>
                <w:rFonts w:ascii="Arial" w:hAnsi="Arial" w:cs="Arial"/>
                <w:sz w:val="20"/>
                <w:szCs w:val="20"/>
                <w:lang w:val="de-DE"/>
              </w:rPr>
            </w:pPr>
            <w:r w:rsidRPr="000A3733">
              <w:rPr>
                <w:rFonts w:ascii="Arial" w:hAnsi="Arial" w:cs="Arial"/>
                <w:sz w:val="20"/>
                <w:szCs w:val="20"/>
                <w:lang w:val="de-DE"/>
              </w:rPr>
              <w:t>0.097086</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0A3733">
              <w:rPr>
                <w:rFonts w:ascii="Arial" w:hAnsi="Arial" w:cs="Arial"/>
                <w:sz w:val="16"/>
                <w:szCs w:val="16"/>
                <w:lang w:val="de-DE"/>
              </w:rPr>
              <w:t>0.032530</w:t>
            </w:r>
            <w:r w:rsidRPr="00A51255">
              <w:rPr>
                <w:rFonts w:ascii="Arial" w:hAnsi="Arial" w:cs="Arial"/>
                <w:sz w:val="16"/>
                <w:szCs w:val="16"/>
                <w:lang w:val="de-DE"/>
              </w:rPr>
              <w:t>)</w:t>
            </w:r>
          </w:p>
        </w:tc>
      </w:tr>
      <w:tr w:rsidR="005A1829" w:rsidRPr="00A51255" w:rsidTr="00DC38C7">
        <w:trPr>
          <w:jc w:val="center"/>
        </w:trPr>
        <w:tc>
          <w:tcPr>
            <w:tcW w:w="284" w:type="dxa"/>
            <w:vAlign w:val="center"/>
          </w:tcPr>
          <w:p w:rsidR="005A1829" w:rsidRPr="00A51255" w:rsidRDefault="005A1829" w:rsidP="00DC38C7">
            <w:pPr>
              <w:spacing w:line="360" w:lineRule="auto"/>
              <w:jc w:val="center"/>
              <w:rPr>
                <w:rFonts w:ascii="Arial" w:hAnsi="Arial" w:cs="Arial"/>
                <w:lang w:val="en-US"/>
              </w:rPr>
            </w:pPr>
            <w:r>
              <w:rPr>
                <w:rFonts w:ascii="Arial" w:hAnsi="Arial" w:cs="Arial"/>
                <w:sz w:val="16"/>
                <w:szCs w:val="16"/>
                <w:lang w:val="de-DE"/>
              </w:rPr>
              <w:t>(2)</w:t>
            </w:r>
          </w:p>
        </w:tc>
        <w:tc>
          <w:tcPr>
            <w:tcW w:w="1604" w:type="dxa"/>
            <w:vAlign w:val="center"/>
          </w:tcPr>
          <w:p w:rsidR="005A1829" w:rsidRPr="004F48F0" w:rsidRDefault="005A1829" w:rsidP="00DC38C7">
            <w:pPr>
              <w:jc w:val="center"/>
              <w:rPr>
                <w:rFonts w:ascii="Arial" w:hAnsi="Arial" w:cs="Arial"/>
                <w:b/>
                <w:sz w:val="18"/>
                <w:szCs w:val="18"/>
                <w:lang w:val="de-DE"/>
              </w:rPr>
            </w:pPr>
            <w:r w:rsidRPr="002C5A6B">
              <w:rPr>
                <w:rFonts w:ascii="Garamond" w:hAnsi="Garamond"/>
                <w:i/>
                <w:position w:val="-10"/>
                <w:lang w:val="de-DE"/>
              </w:rPr>
              <w:object w:dxaOrig="300" w:dyaOrig="380">
                <v:shape id="_x0000_i1152" type="#_x0000_t75" style="width:12.85pt;height:16.7pt" o:ole="">
                  <v:imagedata r:id="rId114" o:title=""/>
                </v:shape>
                <o:OLEObject Type="Embed" ProgID="Equation.3" ShapeID="_x0000_i1152" DrawAspect="Content" ObjectID="_1507543499" r:id="rId197"/>
              </w:object>
            </w:r>
          </w:p>
        </w:tc>
        <w:tc>
          <w:tcPr>
            <w:tcW w:w="2082" w:type="dxa"/>
            <w:vAlign w:val="center"/>
          </w:tcPr>
          <w:p w:rsidR="005A1829" w:rsidRPr="00A51255" w:rsidRDefault="005A1829" w:rsidP="00DC38C7">
            <w:pPr>
              <w:jc w:val="center"/>
              <w:rPr>
                <w:rFonts w:ascii="Arial" w:hAnsi="Arial" w:cs="Arial"/>
                <w:sz w:val="20"/>
                <w:szCs w:val="20"/>
                <w:lang w:val="de-DE"/>
              </w:rPr>
            </w:pPr>
            <w:r w:rsidRPr="00FF0EF1">
              <w:rPr>
                <w:rFonts w:ascii="Arial" w:hAnsi="Arial" w:cs="Arial"/>
                <w:sz w:val="20"/>
                <w:szCs w:val="20"/>
                <w:lang w:val="de-DE"/>
              </w:rPr>
              <w:t>0.720549</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FF0EF1">
              <w:rPr>
                <w:rFonts w:ascii="Arial" w:hAnsi="Arial" w:cs="Arial"/>
                <w:sz w:val="16"/>
                <w:szCs w:val="16"/>
                <w:lang w:val="de-DE"/>
              </w:rPr>
              <w:t>0.101241</w:t>
            </w:r>
            <w:r w:rsidRPr="00A51255">
              <w:rPr>
                <w:rFonts w:ascii="Arial" w:hAnsi="Arial" w:cs="Arial"/>
                <w:sz w:val="16"/>
                <w:szCs w:val="16"/>
                <w:lang w:val="de-DE"/>
              </w:rPr>
              <w:t>)</w:t>
            </w:r>
          </w:p>
        </w:tc>
        <w:tc>
          <w:tcPr>
            <w:tcW w:w="1972" w:type="dxa"/>
            <w:vAlign w:val="center"/>
          </w:tcPr>
          <w:p w:rsidR="005A1829" w:rsidRPr="00A51255" w:rsidRDefault="005A1829" w:rsidP="00DC38C7">
            <w:pPr>
              <w:jc w:val="center"/>
              <w:rPr>
                <w:rFonts w:ascii="Arial" w:hAnsi="Arial" w:cs="Arial"/>
                <w:sz w:val="20"/>
                <w:szCs w:val="20"/>
                <w:lang w:val="de-DE"/>
              </w:rPr>
            </w:pPr>
            <w:r w:rsidRPr="00C45599">
              <w:rPr>
                <w:rFonts w:ascii="Arial" w:hAnsi="Arial" w:cs="Arial"/>
                <w:sz w:val="20"/>
                <w:szCs w:val="20"/>
                <w:lang w:val="de-DE"/>
              </w:rPr>
              <w:t>0.596688</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C45599">
              <w:rPr>
                <w:rFonts w:ascii="Arial" w:hAnsi="Arial" w:cs="Arial"/>
                <w:sz w:val="16"/>
                <w:szCs w:val="16"/>
                <w:lang w:val="de-DE"/>
              </w:rPr>
              <w:t>0.140290</w:t>
            </w:r>
            <w:r w:rsidRPr="00A51255">
              <w:rPr>
                <w:rFonts w:ascii="Arial" w:hAnsi="Arial" w:cs="Arial"/>
                <w:sz w:val="16"/>
                <w:szCs w:val="16"/>
                <w:lang w:val="de-DE"/>
              </w:rPr>
              <w:t>)</w:t>
            </w:r>
          </w:p>
        </w:tc>
        <w:tc>
          <w:tcPr>
            <w:tcW w:w="1920" w:type="dxa"/>
            <w:vAlign w:val="center"/>
          </w:tcPr>
          <w:p w:rsidR="005A1829" w:rsidRPr="00A51255" w:rsidRDefault="005A1829" w:rsidP="00DC38C7">
            <w:pPr>
              <w:jc w:val="center"/>
              <w:rPr>
                <w:rFonts w:ascii="Arial" w:hAnsi="Arial" w:cs="Arial"/>
                <w:sz w:val="20"/>
                <w:szCs w:val="20"/>
                <w:lang w:val="de-DE"/>
              </w:rPr>
            </w:pPr>
            <w:r w:rsidRPr="009D651E">
              <w:rPr>
                <w:rFonts w:ascii="Arial" w:hAnsi="Arial" w:cs="Arial"/>
                <w:sz w:val="20"/>
                <w:szCs w:val="20"/>
                <w:lang w:val="de-DE"/>
              </w:rPr>
              <w:t>0.762828</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9D651E">
              <w:rPr>
                <w:rFonts w:ascii="Arial" w:hAnsi="Arial" w:cs="Arial"/>
                <w:sz w:val="16"/>
                <w:szCs w:val="16"/>
                <w:lang w:val="de-DE"/>
              </w:rPr>
              <w:t>0.059198</w:t>
            </w:r>
            <w:r w:rsidRPr="00A51255">
              <w:rPr>
                <w:rFonts w:ascii="Arial" w:hAnsi="Arial" w:cs="Arial"/>
                <w:sz w:val="16"/>
                <w:szCs w:val="16"/>
                <w:lang w:val="de-DE"/>
              </w:rPr>
              <w:t>)</w:t>
            </w:r>
          </w:p>
        </w:tc>
        <w:tc>
          <w:tcPr>
            <w:tcW w:w="1947" w:type="dxa"/>
            <w:vAlign w:val="center"/>
          </w:tcPr>
          <w:p w:rsidR="005A1829" w:rsidRPr="00A51255" w:rsidRDefault="005A1829" w:rsidP="00DC38C7">
            <w:pPr>
              <w:jc w:val="center"/>
              <w:rPr>
                <w:rFonts w:ascii="Arial" w:hAnsi="Arial" w:cs="Arial"/>
                <w:sz w:val="20"/>
                <w:szCs w:val="20"/>
                <w:lang w:val="de-DE"/>
              </w:rPr>
            </w:pPr>
            <w:r w:rsidRPr="00C358BC">
              <w:rPr>
                <w:rFonts w:ascii="Arial" w:hAnsi="Arial" w:cs="Arial"/>
                <w:sz w:val="20"/>
                <w:szCs w:val="20"/>
                <w:lang w:val="de-DE"/>
              </w:rPr>
              <w:t>0.721408</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C358BC">
              <w:rPr>
                <w:rFonts w:ascii="Arial" w:hAnsi="Arial" w:cs="Arial"/>
                <w:sz w:val="16"/>
                <w:szCs w:val="16"/>
                <w:lang w:val="de-DE"/>
              </w:rPr>
              <w:t>0.102682</w:t>
            </w:r>
            <w:r w:rsidRPr="00A51255">
              <w:rPr>
                <w:rFonts w:ascii="Arial" w:hAnsi="Arial" w:cs="Arial"/>
                <w:sz w:val="16"/>
                <w:szCs w:val="16"/>
                <w:lang w:val="de-DE"/>
              </w:rPr>
              <w:t>)</w:t>
            </w:r>
          </w:p>
        </w:tc>
      </w:tr>
      <w:tr w:rsidR="005A1829" w:rsidRPr="00A51255" w:rsidTr="00DC38C7">
        <w:trPr>
          <w:jc w:val="center"/>
        </w:trPr>
        <w:tc>
          <w:tcPr>
            <w:tcW w:w="284" w:type="dxa"/>
            <w:vAlign w:val="center"/>
          </w:tcPr>
          <w:p w:rsidR="005A1829" w:rsidRPr="00A51255" w:rsidRDefault="005A1829" w:rsidP="00DC38C7">
            <w:pPr>
              <w:spacing w:line="360" w:lineRule="auto"/>
              <w:jc w:val="center"/>
              <w:rPr>
                <w:rFonts w:ascii="Arial" w:hAnsi="Arial" w:cs="Arial"/>
                <w:lang w:val="en-US"/>
              </w:rPr>
            </w:pPr>
            <w:r>
              <w:rPr>
                <w:rFonts w:ascii="Arial" w:hAnsi="Arial" w:cs="Arial"/>
                <w:sz w:val="16"/>
                <w:szCs w:val="16"/>
                <w:lang w:val="de-DE"/>
              </w:rPr>
              <w:t>(2)</w:t>
            </w:r>
          </w:p>
        </w:tc>
        <w:tc>
          <w:tcPr>
            <w:tcW w:w="1604" w:type="dxa"/>
            <w:vAlign w:val="center"/>
          </w:tcPr>
          <w:p w:rsidR="005A1829" w:rsidRPr="004F48F0" w:rsidRDefault="005A1829" w:rsidP="00DC38C7">
            <w:pPr>
              <w:jc w:val="center"/>
              <w:rPr>
                <w:rFonts w:ascii="Arial" w:hAnsi="Arial" w:cs="Arial"/>
                <w:b/>
                <w:sz w:val="18"/>
                <w:szCs w:val="18"/>
                <w:lang w:val="de-DE"/>
              </w:rPr>
            </w:pPr>
            <w:r w:rsidRPr="002C5A6B">
              <w:rPr>
                <w:rFonts w:ascii="Garamond" w:hAnsi="Garamond"/>
                <w:i/>
                <w:position w:val="-12"/>
                <w:lang w:val="de-DE"/>
              </w:rPr>
              <w:object w:dxaOrig="300" w:dyaOrig="400">
                <v:shape id="_x0000_i1153" type="#_x0000_t75" style="width:12.85pt;height:18pt" o:ole="">
                  <v:imagedata r:id="rId116" o:title=""/>
                </v:shape>
                <o:OLEObject Type="Embed" ProgID="Equation.3" ShapeID="_x0000_i1153" DrawAspect="Content" ObjectID="_1507543500" r:id="rId198"/>
              </w:object>
            </w:r>
          </w:p>
        </w:tc>
        <w:tc>
          <w:tcPr>
            <w:tcW w:w="2082" w:type="dxa"/>
            <w:vAlign w:val="center"/>
          </w:tcPr>
          <w:p w:rsidR="005A1829" w:rsidRPr="00A51255" w:rsidRDefault="005A1829" w:rsidP="00DC38C7">
            <w:pPr>
              <w:jc w:val="center"/>
              <w:rPr>
                <w:rFonts w:ascii="Arial" w:hAnsi="Arial" w:cs="Arial"/>
                <w:sz w:val="20"/>
                <w:szCs w:val="20"/>
                <w:lang w:val="de-DE"/>
              </w:rPr>
            </w:pPr>
            <w:r w:rsidRPr="00026AF6">
              <w:rPr>
                <w:rFonts w:ascii="Arial" w:hAnsi="Arial" w:cs="Arial"/>
                <w:sz w:val="20"/>
                <w:szCs w:val="20"/>
                <w:lang w:val="de-DE"/>
              </w:rPr>
              <w:t>0.001048</w:t>
            </w:r>
          </w:p>
          <w:p w:rsidR="005A1829" w:rsidRPr="00A51255" w:rsidRDefault="005A1829" w:rsidP="00DC38C7">
            <w:pPr>
              <w:jc w:val="center"/>
              <w:rPr>
                <w:lang w:val="en-US"/>
              </w:rPr>
            </w:pPr>
            <w:r>
              <w:rPr>
                <w:rFonts w:ascii="Arial" w:hAnsi="Arial" w:cs="Arial"/>
                <w:sz w:val="16"/>
                <w:szCs w:val="16"/>
                <w:lang w:val="de-DE"/>
              </w:rPr>
              <w:t>(</w:t>
            </w:r>
            <w:r w:rsidRPr="00026AF6">
              <w:rPr>
                <w:rFonts w:ascii="Arial" w:hAnsi="Arial" w:cs="Arial"/>
                <w:sz w:val="16"/>
                <w:szCs w:val="16"/>
                <w:lang w:val="de-DE"/>
              </w:rPr>
              <w:t>0.001172</w:t>
            </w:r>
            <w:r w:rsidRPr="00A51255">
              <w:rPr>
                <w:rFonts w:ascii="Arial" w:hAnsi="Arial" w:cs="Arial"/>
                <w:sz w:val="16"/>
                <w:szCs w:val="16"/>
                <w:lang w:val="de-DE"/>
              </w:rPr>
              <w:t>)</w:t>
            </w:r>
          </w:p>
        </w:tc>
        <w:tc>
          <w:tcPr>
            <w:tcW w:w="1972" w:type="dxa"/>
            <w:vAlign w:val="center"/>
          </w:tcPr>
          <w:p w:rsidR="005A1829" w:rsidRPr="00A51255" w:rsidRDefault="005A1829" w:rsidP="00DC38C7">
            <w:pPr>
              <w:jc w:val="center"/>
              <w:rPr>
                <w:rFonts w:ascii="Arial" w:hAnsi="Arial" w:cs="Arial"/>
                <w:sz w:val="20"/>
                <w:szCs w:val="20"/>
                <w:lang w:val="de-DE"/>
              </w:rPr>
            </w:pPr>
            <w:r>
              <w:rPr>
                <w:rFonts w:ascii="Arial" w:hAnsi="Arial" w:cs="Arial"/>
                <w:sz w:val="20"/>
                <w:szCs w:val="20"/>
                <w:lang w:val="de-DE"/>
              </w:rPr>
              <w:t>-0.000045</w:t>
            </w:r>
          </w:p>
          <w:p w:rsidR="005A1829" w:rsidRPr="00A51255" w:rsidRDefault="005A1829" w:rsidP="00DC38C7">
            <w:pPr>
              <w:jc w:val="center"/>
              <w:rPr>
                <w:lang w:val="en-US"/>
              </w:rPr>
            </w:pPr>
            <w:r>
              <w:rPr>
                <w:rFonts w:ascii="Arial" w:hAnsi="Arial" w:cs="Arial"/>
                <w:sz w:val="16"/>
                <w:szCs w:val="16"/>
                <w:lang w:val="de-DE"/>
              </w:rPr>
              <w:t>(</w:t>
            </w:r>
            <w:r w:rsidRPr="00C45599">
              <w:rPr>
                <w:rFonts w:ascii="Arial" w:hAnsi="Arial" w:cs="Arial"/>
                <w:sz w:val="16"/>
                <w:szCs w:val="16"/>
                <w:lang w:val="de-DE"/>
              </w:rPr>
              <w:t>0.000395</w:t>
            </w:r>
            <w:r w:rsidRPr="00A51255">
              <w:rPr>
                <w:rFonts w:ascii="Arial" w:hAnsi="Arial" w:cs="Arial"/>
                <w:sz w:val="16"/>
                <w:szCs w:val="16"/>
                <w:lang w:val="de-DE"/>
              </w:rPr>
              <w:t>)</w:t>
            </w:r>
          </w:p>
        </w:tc>
        <w:tc>
          <w:tcPr>
            <w:tcW w:w="1920" w:type="dxa"/>
            <w:vAlign w:val="center"/>
          </w:tcPr>
          <w:p w:rsidR="005A1829" w:rsidRPr="00A51255" w:rsidRDefault="005A1829" w:rsidP="00DC38C7">
            <w:pPr>
              <w:jc w:val="center"/>
              <w:rPr>
                <w:rFonts w:ascii="Arial" w:hAnsi="Arial" w:cs="Arial"/>
                <w:sz w:val="20"/>
                <w:szCs w:val="20"/>
                <w:lang w:val="de-DE"/>
              </w:rPr>
            </w:pPr>
            <w:r w:rsidRPr="001976A0">
              <w:rPr>
                <w:rFonts w:ascii="Arial" w:hAnsi="Arial" w:cs="Arial"/>
                <w:sz w:val="20"/>
                <w:szCs w:val="20"/>
                <w:lang w:val="de-DE"/>
              </w:rPr>
              <w:t>0.001090</w:t>
            </w:r>
          </w:p>
          <w:p w:rsidR="005A1829" w:rsidRPr="00A51255" w:rsidRDefault="005A1829" w:rsidP="00DC38C7">
            <w:pPr>
              <w:jc w:val="center"/>
              <w:rPr>
                <w:lang w:val="en-US"/>
              </w:rPr>
            </w:pPr>
            <w:r>
              <w:rPr>
                <w:rFonts w:ascii="Arial" w:hAnsi="Arial" w:cs="Arial"/>
                <w:sz w:val="16"/>
                <w:szCs w:val="16"/>
                <w:lang w:val="de-DE"/>
              </w:rPr>
              <w:t>(</w:t>
            </w:r>
            <w:r w:rsidRPr="001976A0">
              <w:rPr>
                <w:rFonts w:ascii="Arial" w:hAnsi="Arial" w:cs="Arial"/>
                <w:sz w:val="16"/>
                <w:szCs w:val="16"/>
                <w:lang w:val="de-DE"/>
              </w:rPr>
              <w:t>0.000982</w:t>
            </w:r>
            <w:r w:rsidRPr="00A51255">
              <w:rPr>
                <w:rFonts w:ascii="Arial" w:hAnsi="Arial" w:cs="Arial"/>
                <w:sz w:val="16"/>
                <w:szCs w:val="16"/>
                <w:lang w:val="de-DE"/>
              </w:rPr>
              <w:t>)</w:t>
            </w:r>
          </w:p>
        </w:tc>
        <w:tc>
          <w:tcPr>
            <w:tcW w:w="1947" w:type="dxa"/>
            <w:vAlign w:val="center"/>
          </w:tcPr>
          <w:p w:rsidR="005A1829" w:rsidRPr="00A51255" w:rsidRDefault="005A1829" w:rsidP="00DC38C7">
            <w:pPr>
              <w:jc w:val="center"/>
              <w:rPr>
                <w:rFonts w:ascii="Arial" w:hAnsi="Arial" w:cs="Arial"/>
                <w:sz w:val="20"/>
                <w:szCs w:val="20"/>
                <w:lang w:val="de-DE"/>
              </w:rPr>
            </w:pPr>
            <w:r w:rsidRPr="00F44C2F">
              <w:rPr>
                <w:rFonts w:ascii="Arial" w:hAnsi="Arial" w:cs="Arial"/>
                <w:sz w:val="20"/>
                <w:szCs w:val="20"/>
                <w:lang w:val="de-DE"/>
              </w:rPr>
              <w:t>0.001081</w:t>
            </w:r>
          </w:p>
          <w:p w:rsidR="005A1829" w:rsidRPr="00A51255" w:rsidRDefault="005A1829" w:rsidP="00DC38C7">
            <w:pPr>
              <w:jc w:val="center"/>
              <w:rPr>
                <w:lang w:val="en-US"/>
              </w:rPr>
            </w:pPr>
            <w:r>
              <w:rPr>
                <w:rFonts w:ascii="Arial" w:hAnsi="Arial" w:cs="Arial"/>
                <w:sz w:val="16"/>
                <w:szCs w:val="16"/>
                <w:lang w:val="de-DE"/>
              </w:rPr>
              <w:t>(</w:t>
            </w:r>
            <w:r w:rsidRPr="00F44C2F">
              <w:rPr>
                <w:rFonts w:ascii="Arial" w:hAnsi="Arial" w:cs="Arial"/>
                <w:sz w:val="16"/>
                <w:szCs w:val="16"/>
                <w:lang w:val="de-DE"/>
              </w:rPr>
              <w:t>0.001169</w:t>
            </w:r>
            <w:r w:rsidRPr="00A51255">
              <w:rPr>
                <w:rFonts w:ascii="Arial" w:hAnsi="Arial" w:cs="Arial"/>
                <w:sz w:val="16"/>
                <w:szCs w:val="16"/>
                <w:lang w:val="de-DE"/>
              </w:rPr>
              <w:t>)</w:t>
            </w:r>
          </w:p>
        </w:tc>
      </w:tr>
      <w:tr w:rsidR="005A1829" w:rsidRPr="00647145" w:rsidTr="00DC38C7">
        <w:trPr>
          <w:jc w:val="center"/>
        </w:trPr>
        <w:tc>
          <w:tcPr>
            <w:tcW w:w="284" w:type="dxa"/>
            <w:vAlign w:val="center"/>
          </w:tcPr>
          <w:p w:rsidR="005A1829" w:rsidRPr="00DC1EA3" w:rsidRDefault="005A1829" w:rsidP="00DC38C7">
            <w:pPr>
              <w:spacing w:line="360" w:lineRule="auto"/>
              <w:jc w:val="center"/>
              <w:rPr>
                <w:rFonts w:ascii="Arial" w:hAnsi="Arial" w:cs="Arial"/>
                <w:sz w:val="16"/>
                <w:szCs w:val="16"/>
                <w:lang w:val="en-GB"/>
              </w:rPr>
            </w:pPr>
          </w:p>
        </w:tc>
        <w:tc>
          <w:tcPr>
            <w:tcW w:w="1604" w:type="dxa"/>
            <w:vAlign w:val="center"/>
          </w:tcPr>
          <w:p w:rsidR="005A1829" w:rsidRDefault="005A1829" w:rsidP="00DC38C7">
            <w:pPr>
              <w:jc w:val="center"/>
              <w:rPr>
                <w:rFonts w:ascii="Arial" w:hAnsi="Arial" w:cs="Arial"/>
                <w:b/>
                <w:sz w:val="18"/>
                <w:szCs w:val="18"/>
                <w:lang w:val="en-GB"/>
              </w:rPr>
            </w:pPr>
            <w:r w:rsidRPr="00DC1EA3">
              <w:rPr>
                <w:rFonts w:ascii="Arial" w:hAnsi="Arial" w:cs="Arial"/>
                <w:b/>
                <w:sz w:val="18"/>
                <w:szCs w:val="18"/>
                <w:lang w:val="en-GB"/>
              </w:rPr>
              <w:t xml:space="preserve">Unexpected </w:t>
            </w:r>
          </w:p>
          <w:p w:rsidR="005A1829" w:rsidRDefault="005A1829" w:rsidP="00DC38C7">
            <w:pPr>
              <w:jc w:val="center"/>
              <w:rPr>
                <w:rFonts w:ascii="Arial" w:hAnsi="Arial" w:cs="Arial"/>
                <w:b/>
                <w:sz w:val="18"/>
                <w:szCs w:val="18"/>
                <w:lang w:val="en-GB"/>
              </w:rPr>
            </w:pPr>
            <w:r>
              <w:rPr>
                <w:rFonts w:ascii="Arial" w:hAnsi="Arial" w:cs="Arial"/>
                <w:b/>
                <w:sz w:val="18"/>
                <w:szCs w:val="18"/>
                <w:lang w:val="en-GB"/>
              </w:rPr>
              <w:t xml:space="preserve">neutral </w:t>
            </w:r>
          </w:p>
          <w:p w:rsidR="005A1829" w:rsidRPr="00DC1EA3" w:rsidRDefault="005A1829" w:rsidP="00DC38C7">
            <w:pPr>
              <w:jc w:val="center"/>
              <w:rPr>
                <w:rFonts w:ascii="Arial" w:hAnsi="Arial" w:cs="Arial"/>
                <w:b/>
                <w:sz w:val="18"/>
                <w:szCs w:val="18"/>
                <w:lang w:val="en-GB"/>
              </w:rPr>
            </w:pPr>
            <w:r w:rsidRPr="00DC1EA3">
              <w:rPr>
                <w:rFonts w:ascii="Arial" w:hAnsi="Arial" w:cs="Arial"/>
                <w:b/>
                <w:sz w:val="18"/>
                <w:szCs w:val="18"/>
                <w:lang w:val="en-GB"/>
              </w:rPr>
              <w:t>announcement:</w:t>
            </w:r>
          </w:p>
        </w:tc>
        <w:tc>
          <w:tcPr>
            <w:tcW w:w="2082" w:type="dxa"/>
            <w:vAlign w:val="center"/>
          </w:tcPr>
          <w:p w:rsidR="005A1829" w:rsidRPr="00DC1EA3" w:rsidRDefault="005A1829" w:rsidP="00DC38C7">
            <w:pPr>
              <w:jc w:val="center"/>
              <w:rPr>
                <w:rFonts w:ascii="Arial" w:hAnsi="Arial" w:cs="Arial"/>
                <w:b/>
                <w:sz w:val="18"/>
                <w:szCs w:val="18"/>
                <w:lang w:val="en-GB"/>
              </w:rPr>
            </w:pPr>
            <w:r w:rsidRPr="00DC1EA3">
              <w:rPr>
                <w:rFonts w:ascii="Arial" w:hAnsi="Arial" w:cs="Arial"/>
                <w:b/>
                <w:sz w:val="18"/>
                <w:szCs w:val="18"/>
                <w:lang w:val="en-GB"/>
              </w:rPr>
              <w:t>Money Supply</w:t>
            </w:r>
          </w:p>
          <w:p w:rsidR="005A1829" w:rsidRPr="00DC1EA3" w:rsidRDefault="005A1829" w:rsidP="00DC38C7">
            <w:pPr>
              <w:jc w:val="center"/>
              <w:rPr>
                <w:rFonts w:ascii="Arial" w:hAnsi="Arial" w:cs="Arial"/>
                <w:b/>
                <w:sz w:val="2"/>
                <w:szCs w:val="2"/>
                <w:lang w:val="en-GB"/>
              </w:rPr>
            </w:pPr>
          </w:p>
          <w:p w:rsidR="005A1829" w:rsidRPr="00DC1EA3" w:rsidRDefault="005A1829" w:rsidP="00DC38C7">
            <w:pPr>
              <w:jc w:val="center"/>
              <w:rPr>
                <w:rFonts w:ascii="Arial" w:hAnsi="Arial" w:cs="Arial"/>
                <w:b/>
                <w:sz w:val="20"/>
                <w:szCs w:val="20"/>
                <w:lang w:val="en-GB"/>
              </w:rPr>
            </w:pPr>
            <w:r w:rsidRPr="00DC1EA3">
              <w:rPr>
                <w:b/>
                <w:sz w:val="20"/>
                <w:szCs w:val="20"/>
                <w:lang w:val="en-GB"/>
              </w:rPr>
              <w:t>(</w:t>
            </w:r>
            <w:r w:rsidRPr="00DC1EA3">
              <w:rPr>
                <w:b/>
                <w:i/>
                <w:sz w:val="20"/>
                <w:szCs w:val="20"/>
                <w:lang w:val="en-GB"/>
              </w:rPr>
              <w:t>MS</w:t>
            </w:r>
            <w:r w:rsidRPr="00DC1EA3">
              <w:rPr>
                <w:b/>
                <w:sz w:val="20"/>
                <w:szCs w:val="20"/>
                <w:lang w:val="en-GB"/>
              </w:rPr>
              <w:t>)</w:t>
            </w:r>
          </w:p>
        </w:tc>
        <w:tc>
          <w:tcPr>
            <w:tcW w:w="1972" w:type="dxa"/>
            <w:vAlign w:val="center"/>
          </w:tcPr>
          <w:p w:rsidR="005A1829" w:rsidRPr="00DC1EA3" w:rsidRDefault="005A1829" w:rsidP="00DC38C7">
            <w:pPr>
              <w:jc w:val="center"/>
              <w:rPr>
                <w:rFonts w:ascii="Arial" w:hAnsi="Arial" w:cs="Arial"/>
                <w:b/>
                <w:sz w:val="18"/>
                <w:szCs w:val="18"/>
                <w:lang w:val="en-GB"/>
              </w:rPr>
            </w:pPr>
            <w:r w:rsidRPr="00DC1EA3">
              <w:rPr>
                <w:rFonts w:ascii="Arial" w:hAnsi="Arial" w:cs="Arial"/>
                <w:b/>
                <w:sz w:val="18"/>
                <w:szCs w:val="18"/>
                <w:lang w:val="en-GB"/>
              </w:rPr>
              <w:t>Reserve Money</w:t>
            </w:r>
          </w:p>
          <w:p w:rsidR="005A1829" w:rsidRPr="00DC1EA3" w:rsidRDefault="005A1829" w:rsidP="00DC38C7">
            <w:pPr>
              <w:jc w:val="center"/>
              <w:rPr>
                <w:rFonts w:ascii="Arial" w:hAnsi="Arial" w:cs="Arial"/>
                <w:b/>
                <w:sz w:val="2"/>
                <w:szCs w:val="2"/>
                <w:lang w:val="en-GB"/>
              </w:rPr>
            </w:pPr>
          </w:p>
          <w:p w:rsidR="005A1829" w:rsidRPr="004F48F0" w:rsidRDefault="005A1829" w:rsidP="00DC38C7">
            <w:pPr>
              <w:jc w:val="center"/>
              <w:rPr>
                <w:b/>
                <w:i/>
                <w:sz w:val="20"/>
                <w:szCs w:val="20"/>
                <w:lang w:val="en-US"/>
              </w:rPr>
            </w:pPr>
            <w:r w:rsidRPr="009F1BCD">
              <w:rPr>
                <w:b/>
                <w:sz w:val="20"/>
                <w:szCs w:val="20"/>
                <w:lang w:val="en-US"/>
              </w:rPr>
              <w:t>(</w:t>
            </w:r>
            <w:r w:rsidRPr="004F48F0">
              <w:rPr>
                <w:b/>
                <w:i/>
                <w:sz w:val="20"/>
                <w:szCs w:val="20"/>
                <w:lang w:val="en-US"/>
              </w:rPr>
              <w:t>RM</w:t>
            </w:r>
            <w:r w:rsidRPr="009F1BCD">
              <w:rPr>
                <w:b/>
                <w:sz w:val="20"/>
                <w:szCs w:val="20"/>
                <w:lang w:val="en-US"/>
              </w:rPr>
              <w:t>)</w:t>
            </w:r>
          </w:p>
        </w:tc>
        <w:tc>
          <w:tcPr>
            <w:tcW w:w="1920" w:type="dxa"/>
            <w:vAlign w:val="center"/>
          </w:tcPr>
          <w:p w:rsidR="005A1829" w:rsidRPr="00DC1EA3" w:rsidRDefault="005A1829" w:rsidP="00DC38C7">
            <w:pPr>
              <w:jc w:val="center"/>
              <w:rPr>
                <w:rFonts w:ascii="Arial" w:hAnsi="Arial" w:cs="Arial"/>
                <w:b/>
                <w:sz w:val="18"/>
                <w:szCs w:val="18"/>
                <w:lang w:val="en-GB"/>
              </w:rPr>
            </w:pPr>
            <w:r w:rsidRPr="00DC1EA3">
              <w:rPr>
                <w:rFonts w:ascii="Arial" w:hAnsi="Arial" w:cs="Arial"/>
                <w:b/>
                <w:sz w:val="18"/>
                <w:szCs w:val="18"/>
                <w:lang w:val="en-GB"/>
              </w:rPr>
              <w:t>Balance of Payments</w:t>
            </w:r>
          </w:p>
          <w:p w:rsidR="005A1829" w:rsidRPr="00CA2C53" w:rsidRDefault="005A1829" w:rsidP="00DC38C7">
            <w:pPr>
              <w:jc w:val="center"/>
              <w:rPr>
                <w:b/>
                <w:i/>
                <w:sz w:val="2"/>
                <w:szCs w:val="2"/>
                <w:lang w:val="en-US"/>
              </w:rPr>
            </w:pPr>
          </w:p>
          <w:p w:rsidR="005A1829" w:rsidRPr="004F48F0" w:rsidRDefault="005A1829" w:rsidP="00DC38C7">
            <w:pPr>
              <w:jc w:val="center"/>
              <w:rPr>
                <w:b/>
                <w:i/>
                <w:sz w:val="20"/>
                <w:szCs w:val="20"/>
                <w:lang w:val="en-US"/>
              </w:rPr>
            </w:pPr>
            <w:r w:rsidRPr="009F1BCD">
              <w:rPr>
                <w:b/>
                <w:sz w:val="20"/>
                <w:szCs w:val="20"/>
                <w:lang w:val="en-US"/>
              </w:rPr>
              <w:t>(</w:t>
            </w:r>
            <w:r w:rsidRPr="004F48F0">
              <w:rPr>
                <w:b/>
                <w:i/>
                <w:sz w:val="20"/>
                <w:szCs w:val="20"/>
                <w:lang w:val="en-US"/>
              </w:rPr>
              <w:t>BOP</w:t>
            </w:r>
            <w:r w:rsidRPr="009F1BCD">
              <w:rPr>
                <w:b/>
                <w:sz w:val="20"/>
                <w:szCs w:val="20"/>
                <w:lang w:val="en-US"/>
              </w:rPr>
              <w:t>)</w:t>
            </w:r>
          </w:p>
        </w:tc>
        <w:tc>
          <w:tcPr>
            <w:tcW w:w="1947" w:type="dxa"/>
            <w:vAlign w:val="center"/>
          </w:tcPr>
          <w:p w:rsidR="005A1829" w:rsidRDefault="005A1829" w:rsidP="00DC38C7">
            <w:pPr>
              <w:jc w:val="center"/>
              <w:rPr>
                <w:rFonts w:ascii="Arial" w:hAnsi="Arial" w:cs="Arial"/>
                <w:b/>
                <w:sz w:val="18"/>
                <w:szCs w:val="18"/>
                <w:lang w:val="en-GB"/>
              </w:rPr>
            </w:pPr>
            <w:r w:rsidRPr="00DC1EA3">
              <w:rPr>
                <w:rFonts w:ascii="Arial" w:hAnsi="Arial" w:cs="Arial"/>
                <w:b/>
                <w:sz w:val="18"/>
                <w:szCs w:val="18"/>
                <w:lang w:val="en-GB"/>
              </w:rPr>
              <w:t xml:space="preserve">Liquid Assets </w:t>
            </w:r>
          </w:p>
          <w:p w:rsidR="005A1829" w:rsidRDefault="005A1829" w:rsidP="00DC38C7">
            <w:pPr>
              <w:jc w:val="center"/>
              <w:rPr>
                <w:rFonts w:ascii="Arial" w:hAnsi="Arial" w:cs="Arial"/>
                <w:b/>
                <w:sz w:val="18"/>
                <w:szCs w:val="18"/>
                <w:lang w:val="en-GB"/>
              </w:rPr>
            </w:pPr>
            <w:r w:rsidRPr="00DC1EA3">
              <w:rPr>
                <w:rFonts w:ascii="Arial" w:hAnsi="Arial" w:cs="Arial"/>
                <w:b/>
                <w:sz w:val="18"/>
                <w:szCs w:val="18"/>
                <w:lang w:val="en-GB"/>
              </w:rPr>
              <w:t xml:space="preserve">and Liabilities </w:t>
            </w:r>
          </w:p>
          <w:p w:rsidR="005A1829" w:rsidRPr="009F1BCD" w:rsidRDefault="005A1829" w:rsidP="00DC38C7">
            <w:pPr>
              <w:jc w:val="center"/>
              <w:rPr>
                <w:b/>
                <w:i/>
                <w:sz w:val="20"/>
                <w:szCs w:val="20"/>
                <w:lang w:val="en-US"/>
              </w:rPr>
            </w:pPr>
            <w:r w:rsidRPr="00DC1EA3">
              <w:rPr>
                <w:rFonts w:ascii="Arial" w:hAnsi="Arial" w:cs="Arial"/>
                <w:b/>
                <w:sz w:val="18"/>
                <w:szCs w:val="18"/>
                <w:lang w:val="en-GB"/>
              </w:rPr>
              <w:t>(</w:t>
            </w:r>
            <w:r w:rsidRPr="009F1BCD">
              <w:rPr>
                <w:b/>
                <w:i/>
                <w:sz w:val="20"/>
                <w:szCs w:val="20"/>
                <w:lang w:val="en-US"/>
              </w:rPr>
              <w:t>AL</w:t>
            </w:r>
            <w:r w:rsidRPr="009F1BCD">
              <w:rPr>
                <w:b/>
                <w:sz w:val="20"/>
                <w:szCs w:val="20"/>
                <w:lang w:val="en-US"/>
              </w:rPr>
              <w:t>)</w:t>
            </w:r>
          </w:p>
        </w:tc>
      </w:tr>
      <w:tr w:rsidR="005A1829" w:rsidRPr="00A51255" w:rsidTr="00DC38C7">
        <w:trPr>
          <w:jc w:val="center"/>
        </w:trPr>
        <w:tc>
          <w:tcPr>
            <w:tcW w:w="284" w:type="dxa"/>
            <w:vAlign w:val="center"/>
          </w:tcPr>
          <w:p w:rsidR="005A1829" w:rsidRPr="00A51255" w:rsidRDefault="005A1829" w:rsidP="00DC38C7">
            <w:pPr>
              <w:spacing w:line="360" w:lineRule="auto"/>
              <w:jc w:val="center"/>
              <w:rPr>
                <w:rFonts w:ascii="Arial" w:hAnsi="Arial" w:cs="Arial"/>
                <w:sz w:val="16"/>
                <w:szCs w:val="16"/>
                <w:lang w:val="de-DE"/>
              </w:rPr>
            </w:pPr>
            <w:r>
              <w:rPr>
                <w:rFonts w:ascii="Arial" w:hAnsi="Arial" w:cs="Arial"/>
                <w:sz w:val="16"/>
                <w:szCs w:val="16"/>
                <w:lang w:val="de-DE"/>
              </w:rPr>
              <w:t>(2)</w:t>
            </w:r>
          </w:p>
        </w:tc>
        <w:tc>
          <w:tcPr>
            <w:tcW w:w="1604" w:type="dxa"/>
            <w:vAlign w:val="center"/>
          </w:tcPr>
          <w:p w:rsidR="005A1829" w:rsidRDefault="005A1829" w:rsidP="00DC38C7">
            <w:pPr>
              <w:ind w:left="105"/>
              <w:jc w:val="center"/>
              <w:rPr>
                <w:rFonts w:ascii="Garamond" w:hAnsi="Garamond"/>
                <w:lang w:val="de-DE"/>
              </w:rPr>
            </w:pPr>
            <w:r w:rsidRPr="002C5A6B">
              <w:rPr>
                <w:rFonts w:ascii="Garamond" w:hAnsi="Garamond"/>
                <w:i/>
                <w:position w:val="-10"/>
                <w:lang w:val="de-DE"/>
              </w:rPr>
              <w:object w:dxaOrig="300" w:dyaOrig="380">
                <v:shape id="_x0000_i1154" type="#_x0000_t75" style="width:12.85pt;height:16.7pt" o:ole="">
                  <v:imagedata r:id="rId118" o:title=""/>
                </v:shape>
                <o:OLEObject Type="Embed" ProgID="Equation.3" ShapeID="_x0000_i1154" DrawAspect="Content" ObjectID="_1507543501" r:id="rId199"/>
              </w:object>
            </w:r>
          </w:p>
          <w:p w:rsidR="005A1829" w:rsidRPr="0007792B" w:rsidRDefault="005A1829" w:rsidP="00DC38C7">
            <w:pPr>
              <w:ind w:left="105"/>
              <w:jc w:val="center"/>
              <w:rPr>
                <w:b/>
                <w:sz w:val="18"/>
                <w:szCs w:val="18"/>
                <w:lang w:val="de-DE"/>
              </w:rPr>
            </w:pPr>
            <w:r>
              <w:rPr>
                <w:rFonts w:ascii="Arial" w:hAnsi="Arial" w:cs="Arial"/>
                <w:b/>
                <w:sz w:val="18"/>
                <w:szCs w:val="18"/>
                <w:lang w:val="de-DE"/>
              </w:rPr>
              <w:t>neutral</w:t>
            </w:r>
          </w:p>
        </w:tc>
        <w:tc>
          <w:tcPr>
            <w:tcW w:w="2082" w:type="dxa"/>
            <w:vAlign w:val="center"/>
          </w:tcPr>
          <w:p w:rsidR="005A1829" w:rsidRPr="00A51255" w:rsidRDefault="005A1829" w:rsidP="00DC38C7">
            <w:pPr>
              <w:jc w:val="center"/>
              <w:rPr>
                <w:rFonts w:ascii="Arial" w:hAnsi="Arial" w:cs="Arial"/>
                <w:sz w:val="20"/>
                <w:szCs w:val="20"/>
                <w:lang w:val="de-DE"/>
              </w:rPr>
            </w:pPr>
            <w:r w:rsidRPr="003E22E7">
              <w:rPr>
                <w:rFonts w:ascii="Arial" w:hAnsi="Arial" w:cs="Arial"/>
                <w:sz w:val="20"/>
                <w:szCs w:val="20"/>
                <w:lang w:val="de-DE"/>
              </w:rPr>
              <w:t>-0.078741</w:t>
            </w:r>
          </w:p>
          <w:p w:rsidR="005A1829" w:rsidRPr="00A51255" w:rsidRDefault="005A1829" w:rsidP="00DC38C7">
            <w:pPr>
              <w:jc w:val="center"/>
              <w:rPr>
                <w:lang w:val="en-US"/>
              </w:rPr>
            </w:pPr>
            <w:r>
              <w:rPr>
                <w:rFonts w:ascii="Arial" w:hAnsi="Arial" w:cs="Arial"/>
                <w:sz w:val="16"/>
                <w:szCs w:val="16"/>
                <w:lang w:val="de-DE"/>
              </w:rPr>
              <w:t>(</w:t>
            </w:r>
            <w:r w:rsidRPr="003E22E7">
              <w:rPr>
                <w:rFonts w:ascii="Arial" w:hAnsi="Arial" w:cs="Arial"/>
                <w:sz w:val="16"/>
                <w:szCs w:val="16"/>
                <w:lang w:val="de-DE"/>
              </w:rPr>
              <w:t>0.086525</w:t>
            </w:r>
            <w:r w:rsidRPr="00A51255">
              <w:rPr>
                <w:rFonts w:ascii="Arial" w:hAnsi="Arial" w:cs="Arial"/>
                <w:sz w:val="16"/>
                <w:szCs w:val="16"/>
                <w:lang w:val="de-DE"/>
              </w:rPr>
              <w:t>)</w:t>
            </w:r>
          </w:p>
        </w:tc>
        <w:tc>
          <w:tcPr>
            <w:tcW w:w="1972" w:type="dxa"/>
            <w:vAlign w:val="center"/>
          </w:tcPr>
          <w:p w:rsidR="005A1829" w:rsidRPr="00A51255" w:rsidRDefault="005A1829" w:rsidP="00DC38C7">
            <w:pPr>
              <w:jc w:val="center"/>
              <w:rPr>
                <w:rFonts w:ascii="Arial" w:hAnsi="Arial" w:cs="Arial"/>
                <w:sz w:val="20"/>
                <w:szCs w:val="20"/>
                <w:lang w:val="de-DE"/>
              </w:rPr>
            </w:pPr>
            <w:r w:rsidRPr="00EC2492">
              <w:rPr>
                <w:rFonts w:ascii="Arial" w:hAnsi="Arial" w:cs="Arial"/>
                <w:sz w:val="20"/>
                <w:szCs w:val="20"/>
                <w:lang w:val="de-DE"/>
              </w:rPr>
              <w:t>0.614543</w:t>
            </w:r>
          </w:p>
          <w:p w:rsidR="005A1829" w:rsidRPr="00A51255" w:rsidRDefault="005A1829" w:rsidP="00DC38C7">
            <w:pPr>
              <w:jc w:val="center"/>
              <w:rPr>
                <w:lang w:val="en-US"/>
              </w:rPr>
            </w:pPr>
            <w:r>
              <w:rPr>
                <w:rFonts w:ascii="Arial" w:hAnsi="Arial" w:cs="Arial"/>
                <w:sz w:val="16"/>
                <w:szCs w:val="16"/>
                <w:lang w:val="de-DE"/>
              </w:rPr>
              <w:t>(</w:t>
            </w:r>
            <w:r w:rsidRPr="00EC2492">
              <w:rPr>
                <w:rFonts w:ascii="Arial" w:hAnsi="Arial" w:cs="Arial"/>
                <w:sz w:val="16"/>
                <w:szCs w:val="16"/>
                <w:lang w:val="de-DE"/>
              </w:rPr>
              <w:t>0.759319</w:t>
            </w:r>
            <w:r w:rsidRPr="00A51255">
              <w:rPr>
                <w:rFonts w:ascii="Arial" w:hAnsi="Arial" w:cs="Arial"/>
                <w:sz w:val="16"/>
                <w:szCs w:val="16"/>
                <w:lang w:val="de-DE"/>
              </w:rPr>
              <w:t>)</w:t>
            </w:r>
          </w:p>
        </w:tc>
        <w:tc>
          <w:tcPr>
            <w:tcW w:w="1920" w:type="dxa"/>
            <w:vAlign w:val="center"/>
          </w:tcPr>
          <w:p w:rsidR="005A1829" w:rsidRPr="00A51255" w:rsidRDefault="005A1829" w:rsidP="00DC38C7">
            <w:pPr>
              <w:jc w:val="center"/>
              <w:rPr>
                <w:rFonts w:ascii="Arial" w:hAnsi="Arial" w:cs="Arial"/>
                <w:sz w:val="20"/>
                <w:szCs w:val="20"/>
                <w:lang w:val="de-DE"/>
              </w:rPr>
            </w:pPr>
            <w:r w:rsidRPr="001976A0">
              <w:rPr>
                <w:rFonts w:ascii="Arial" w:hAnsi="Arial" w:cs="Arial"/>
                <w:sz w:val="20"/>
                <w:szCs w:val="20"/>
                <w:lang w:val="de-DE"/>
              </w:rPr>
              <w:t>0.160164</w:t>
            </w:r>
          </w:p>
          <w:p w:rsidR="005A1829" w:rsidRPr="00A51255" w:rsidRDefault="005A1829" w:rsidP="00DC38C7">
            <w:pPr>
              <w:jc w:val="center"/>
              <w:rPr>
                <w:lang w:val="en-US"/>
              </w:rPr>
            </w:pPr>
            <w:r>
              <w:rPr>
                <w:rFonts w:ascii="Arial" w:hAnsi="Arial" w:cs="Arial"/>
                <w:sz w:val="16"/>
                <w:szCs w:val="16"/>
                <w:lang w:val="de-DE"/>
              </w:rPr>
              <w:t>(</w:t>
            </w:r>
            <w:r w:rsidRPr="001976A0">
              <w:rPr>
                <w:rFonts w:ascii="Arial" w:hAnsi="Arial" w:cs="Arial"/>
                <w:sz w:val="16"/>
                <w:szCs w:val="16"/>
                <w:lang w:val="de-DE"/>
              </w:rPr>
              <w:t>0.116310</w:t>
            </w:r>
            <w:r w:rsidRPr="00A51255">
              <w:rPr>
                <w:rFonts w:ascii="Arial" w:hAnsi="Arial" w:cs="Arial"/>
                <w:sz w:val="16"/>
                <w:szCs w:val="16"/>
                <w:lang w:val="de-DE"/>
              </w:rPr>
              <w:t>)</w:t>
            </w:r>
          </w:p>
        </w:tc>
        <w:tc>
          <w:tcPr>
            <w:tcW w:w="1947" w:type="dxa"/>
            <w:vAlign w:val="center"/>
          </w:tcPr>
          <w:p w:rsidR="005A1829" w:rsidRPr="00A51255" w:rsidRDefault="005A1829" w:rsidP="00DC38C7">
            <w:pPr>
              <w:jc w:val="center"/>
              <w:rPr>
                <w:rFonts w:ascii="Arial" w:hAnsi="Arial" w:cs="Arial"/>
                <w:sz w:val="20"/>
                <w:szCs w:val="20"/>
                <w:lang w:val="de-DE"/>
              </w:rPr>
            </w:pPr>
            <w:r w:rsidRPr="00882E84">
              <w:rPr>
                <w:rFonts w:ascii="Arial" w:hAnsi="Arial" w:cs="Arial"/>
                <w:sz w:val="20"/>
                <w:szCs w:val="20"/>
                <w:lang w:val="de-DE"/>
              </w:rPr>
              <w:t>-0.003527</w:t>
            </w:r>
          </w:p>
          <w:p w:rsidR="005A1829" w:rsidRPr="00A51255" w:rsidRDefault="005A1829" w:rsidP="00DC38C7">
            <w:pPr>
              <w:jc w:val="center"/>
              <w:rPr>
                <w:lang w:val="en-US"/>
              </w:rPr>
            </w:pPr>
            <w:r>
              <w:rPr>
                <w:rFonts w:ascii="Arial" w:hAnsi="Arial" w:cs="Arial"/>
                <w:sz w:val="16"/>
                <w:szCs w:val="16"/>
                <w:lang w:val="de-DE"/>
              </w:rPr>
              <w:t>(</w:t>
            </w:r>
            <w:r w:rsidRPr="00882E84">
              <w:rPr>
                <w:rFonts w:ascii="Arial" w:hAnsi="Arial" w:cs="Arial"/>
                <w:sz w:val="16"/>
                <w:szCs w:val="16"/>
                <w:lang w:val="de-DE"/>
              </w:rPr>
              <w:t>0.098089</w:t>
            </w:r>
            <w:r w:rsidRPr="00A51255">
              <w:rPr>
                <w:rFonts w:ascii="Arial" w:hAnsi="Arial" w:cs="Arial"/>
                <w:sz w:val="16"/>
                <w:szCs w:val="16"/>
                <w:lang w:val="de-DE"/>
              </w:rPr>
              <w:t>)</w:t>
            </w:r>
          </w:p>
        </w:tc>
      </w:tr>
      <w:tr w:rsidR="005A1829" w:rsidRPr="00647145" w:rsidTr="00DC38C7">
        <w:trPr>
          <w:jc w:val="center"/>
        </w:trPr>
        <w:tc>
          <w:tcPr>
            <w:tcW w:w="284" w:type="dxa"/>
            <w:vAlign w:val="center"/>
          </w:tcPr>
          <w:p w:rsidR="005A1829" w:rsidRPr="00A51255" w:rsidRDefault="005A1829" w:rsidP="00DC38C7">
            <w:pPr>
              <w:spacing w:line="360" w:lineRule="auto"/>
              <w:jc w:val="center"/>
              <w:rPr>
                <w:rFonts w:ascii="Arial" w:hAnsi="Arial" w:cs="Arial"/>
                <w:sz w:val="16"/>
                <w:szCs w:val="16"/>
                <w:lang w:val="de-DE"/>
              </w:rPr>
            </w:pPr>
          </w:p>
        </w:tc>
        <w:tc>
          <w:tcPr>
            <w:tcW w:w="1604" w:type="dxa"/>
            <w:vAlign w:val="center"/>
          </w:tcPr>
          <w:p w:rsidR="005A1829" w:rsidRPr="004F48F0" w:rsidRDefault="005A1829" w:rsidP="00DC38C7">
            <w:pPr>
              <w:spacing w:line="360" w:lineRule="auto"/>
              <w:ind w:left="98"/>
              <w:jc w:val="center"/>
              <w:rPr>
                <w:b/>
                <w:i/>
                <w:sz w:val="18"/>
                <w:szCs w:val="18"/>
                <w:lang w:val="en-US"/>
              </w:rPr>
            </w:pPr>
          </w:p>
        </w:tc>
        <w:tc>
          <w:tcPr>
            <w:tcW w:w="2082" w:type="dxa"/>
            <w:vAlign w:val="center"/>
          </w:tcPr>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Q(10) = 5.0837 (p = 0.749)</w:t>
            </w:r>
          </w:p>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LM(10) = 0.205133 (p = 0.9959)</w:t>
            </w:r>
          </w:p>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Log likelihood = -701.4597</w:t>
            </w:r>
          </w:p>
        </w:tc>
        <w:tc>
          <w:tcPr>
            <w:tcW w:w="1972" w:type="dxa"/>
            <w:vAlign w:val="center"/>
          </w:tcPr>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Q(10) = 7.0237 (p = 0.723)</w:t>
            </w:r>
          </w:p>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LM(10) = 0.819042 (p = 0.6103)</w:t>
            </w:r>
          </w:p>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Log likelihood = -689.0731</w:t>
            </w:r>
          </w:p>
        </w:tc>
        <w:tc>
          <w:tcPr>
            <w:tcW w:w="1920" w:type="dxa"/>
            <w:vAlign w:val="center"/>
          </w:tcPr>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Q(10) = 6.9106 (p = 0.734)</w:t>
            </w:r>
          </w:p>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LM(10) = 0.182681 (p = 0.9975)</w:t>
            </w:r>
          </w:p>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Log likelihood = -701.8570</w:t>
            </w:r>
          </w:p>
        </w:tc>
        <w:tc>
          <w:tcPr>
            <w:tcW w:w="1947" w:type="dxa"/>
            <w:vAlign w:val="center"/>
          </w:tcPr>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Q(10) = 7.2129 (p = 0.705)</w:t>
            </w:r>
          </w:p>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LM(10) = 0.179976 (p = 0.9976)</w:t>
            </w:r>
          </w:p>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Log likelihood = -703.8746</w:t>
            </w:r>
          </w:p>
        </w:tc>
      </w:tr>
    </w:tbl>
    <w:p w:rsidR="005A1829" w:rsidRDefault="005A1829" w:rsidP="005A1829">
      <w:pPr>
        <w:ind w:left="284" w:right="282"/>
        <w:jc w:val="both"/>
        <w:rPr>
          <w:rFonts w:ascii="Arial" w:hAnsi="Arial" w:cs="Arial"/>
          <w:sz w:val="16"/>
          <w:szCs w:val="16"/>
          <w:lang w:val="en-US"/>
        </w:rPr>
      </w:pPr>
    </w:p>
    <w:p w:rsidR="005A1829" w:rsidRDefault="005A1829" w:rsidP="005A1829">
      <w:pPr>
        <w:ind w:left="284" w:right="282"/>
        <w:jc w:val="both"/>
        <w:rPr>
          <w:rFonts w:ascii="Arial" w:hAnsi="Arial" w:cs="Arial"/>
          <w:sz w:val="16"/>
          <w:szCs w:val="16"/>
          <w:lang w:val="en-US"/>
        </w:rPr>
      </w:pPr>
    </w:p>
    <w:p w:rsidR="005A1829" w:rsidRDefault="005A1829" w:rsidP="005A1829">
      <w:pPr>
        <w:ind w:right="282" w:firstLine="708"/>
        <w:jc w:val="both"/>
        <w:rPr>
          <w:rFonts w:ascii="Arial" w:hAnsi="Arial" w:cs="Arial"/>
          <w:sz w:val="20"/>
          <w:szCs w:val="20"/>
          <w:lang w:val="en-US"/>
        </w:rPr>
      </w:pPr>
      <w:r>
        <w:rPr>
          <w:rFonts w:ascii="Arial" w:hAnsi="Arial" w:cs="Arial"/>
          <w:sz w:val="16"/>
          <w:szCs w:val="16"/>
          <w:lang w:val="en-US"/>
        </w:rPr>
        <w:t>(</w:t>
      </w:r>
      <w:r w:rsidRPr="0063181F">
        <w:rPr>
          <w:rFonts w:ascii="Arial" w:hAnsi="Arial" w:cs="Arial"/>
          <w:sz w:val="20"/>
          <w:szCs w:val="20"/>
          <w:lang w:val="en-US"/>
        </w:rPr>
        <w:t>continued</w:t>
      </w:r>
      <w:r>
        <w:rPr>
          <w:rFonts w:ascii="Arial" w:hAnsi="Arial" w:cs="Arial"/>
          <w:sz w:val="20"/>
          <w:szCs w:val="20"/>
          <w:lang w:val="en-US"/>
        </w:rPr>
        <w:t xml:space="preserve"> on next page</w:t>
      </w:r>
      <w:r w:rsidRPr="0063181F">
        <w:rPr>
          <w:rFonts w:ascii="Arial" w:hAnsi="Arial" w:cs="Arial"/>
          <w:sz w:val="20"/>
          <w:szCs w:val="20"/>
          <w:lang w:val="en-US"/>
        </w:rPr>
        <w:t>)</w:t>
      </w:r>
    </w:p>
    <w:p w:rsidR="005A1829" w:rsidRDefault="005A1829" w:rsidP="005A1829">
      <w:pPr>
        <w:ind w:left="284" w:right="282"/>
        <w:jc w:val="both"/>
        <w:rPr>
          <w:rFonts w:ascii="Arial" w:hAnsi="Arial" w:cs="Arial"/>
          <w:sz w:val="16"/>
          <w:szCs w:val="16"/>
          <w:lang w:val="en-US"/>
        </w:rPr>
      </w:pPr>
      <w:r>
        <w:rPr>
          <w:rFonts w:ascii="Arial" w:hAnsi="Arial" w:cs="Arial"/>
          <w:sz w:val="16"/>
          <w:szCs w:val="16"/>
          <w:lang w:val="en-US"/>
        </w:rPr>
        <w:br w:type="page"/>
      </w:r>
    </w:p>
    <w:p w:rsidR="005A1829" w:rsidRDefault="005A1829" w:rsidP="005A1829">
      <w:pPr>
        <w:ind w:left="284" w:right="282"/>
        <w:jc w:val="both"/>
        <w:rPr>
          <w:rFonts w:ascii="Arial" w:hAnsi="Arial" w:cs="Arial"/>
          <w:sz w:val="16"/>
          <w:szCs w:val="16"/>
          <w:lang w:val="en-US"/>
        </w:rPr>
      </w:pPr>
    </w:p>
    <w:p w:rsidR="005A1829" w:rsidRDefault="005A1829" w:rsidP="005A1829">
      <w:pPr>
        <w:ind w:left="284" w:right="282"/>
        <w:jc w:val="both"/>
        <w:rPr>
          <w:rFonts w:ascii="Arial" w:hAnsi="Arial" w:cs="Arial"/>
          <w:sz w:val="16"/>
          <w:szCs w:val="16"/>
          <w:lang w:val="en-US"/>
        </w:rPr>
      </w:pPr>
    </w:p>
    <w:p w:rsidR="005A1829" w:rsidRDefault="005A1829" w:rsidP="005A1829">
      <w:pPr>
        <w:ind w:left="284" w:right="282"/>
        <w:jc w:val="both"/>
        <w:rPr>
          <w:rFonts w:ascii="Arial" w:hAnsi="Arial" w:cs="Arial"/>
          <w:sz w:val="20"/>
          <w:szCs w:val="20"/>
          <w:lang w:val="en-US"/>
        </w:rPr>
      </w:pPr>
    </w:p>
    <w:p w:rsidR="005A1829" w:rsidRDefault="005A1829" w:rsidP="005A1829">
      <w:pPr>
        <w:ind w:left="284" w:right="282"/>
        <w:jc w:val="both"/>
        <w:rPr>
          <w:rFonts w:ascii="Arial" w:hAnsi="Arial" w:cs="Arial"/>
          <w:sz w:val="20"/>
          <w:szCs w:val="20"/>
          <w:lang w:val="en-US"/>
        </w:rPr>
      </w:pPr>
    </w:p>
    <w:p w:rsidR="005A1829" w:rsidRDefault="005A1829" w:rsidP="005A1829">
      <w:pPr>
        <w:ind w:left="284" w:right="282"/>
        <w:jc w:val="both"/>
        <w:rPr>
          <w:rFonts w:ascii="Arial" w:hAnsi="Arial" w:cs="Arial"/>
          <w:sz w:val="20"/>
          <w:szCs w:val="20"/>
          <w:lang w:val="en-US"/>
        </w:rPr>
      </w:pPr>
    </w:p>
    <w:p w:rsidR="005A1829" w:rsidRDefault="005A1829" w:rsidP="005A1829">
      <w:pPr>
        <w:ind w:left="284" w:right="282"/>
        <w:jc w:val="both"/>
        <w:rPr>
          <w:rFonts w:ascii="Arial" w:hAnsi="Arial" w:cs="Arial"/>
          <w:sz w:val="20"/>
          <w:szCs w:val="20"/>
          <w:lang w:val="en-US"/>
        </w:rPr>
      </w:pPr>
      <w:r w:rsidRPr="002F209E">
        <w:rPr>
          <w:rFonts w:ascii="Arial" w:hAnsi="Arial" w:cs="Arial"/>
          <w:sz w:val="20"/>
          <w:szCs w:val="20"/>
          <w:lang w:val="en-US"/>
        </w:rPr>
        <w:t xml:space="preserve">Table </w:t>
      </w:r>
      <w:r w:rsidR="0034244F">
        <w:rPr>
          <w:rFonts w:ascii="Arial" w:hAnsi="Arial" w:cs="Arial"/>
          <w:sz w:val="20"/>
          <w:szCs w:val="20"/>
          <w:lang w:val="en-US"/>
        </w:rPr>
        <w:t>5</w:t>
      </w:r>
      <w:r w:rsidRPr="002F209E">
        <w:rPr>
          <w:rFonts w:ascii="Arial" w:hAnsi="Arial" w:cs="Arial"/>
          <w:sz w:val="20"/>
          <w:szCs w:val="20"/>
          <w:lang w:val="en-US"/>
        </w:rPr>
        <w:t xml:space="preserve"> (continued):</w:t>
      </w:r>
    </w:p>
    <w:p w:rsidR="005A1829" w:rsidRDefault="005A1829" w:rsidP="005A1829">
      <w:pPr>
        <w:ind w:left="284" w:right="282"/>
        <w:jc w:val="both"/>
        <w:rPr>
          <w:rFonts w:ascii="Arial" w:hAnsi="Arial" w:cs="Arial"/>
          <w:sz w:val="20"/>
          <w:szCs w:val="20"/>
          <w:lang w:val="en-US"/>
        </w:rPr>
      </w:pPr>
    </w:p>
    <w:p w:rsidR="005A1829" w:rsidRDefault="005A1829" w:rsidP="005A1829">
      <w:pPr>
        <w:ind w:left="284" w:right="282"/>
        <w:jc w:val="both"/>
        <w:rPr>
          <w:rFonts w:ascii="Arial" w:hAnsi="Arial" w:cs="Arial"/>
          <w:sz w:val="16"/>
          <w:szCs w:val="16"/>
          <w:lang w:val="en-US"/>
        </w:rPr>
      </w:pP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557"/>
        <w:gridCol w:w="1884"/>
        <w:gridCol w:w="1885"/>
        <w:gridCol w:w="1885"/>
        <w:gridCol w:w="1854"/>
      </w:tblGrid>
      <w:tr w:rsidR="005A1829" w:rsidRPr="00A51255" w:rsidTr="00DC38C7">
        <w:trPr>
          <w:jc w:val="center"/>
        </w:trPr>
        <w:tc>
          <w:tcPr>
            <w:tcW w:w="290" w:type="dxa"/>
            <w:vAlign w:val="center"/>
          </w:tcPr>
          <w:p w:rsidR="005A1829" w:rsidRPr="00124F83" w:rsidRDefault="005A1829" w:rsidP="00DC38C7">
            <w:pPr>
              <w:spacing w:line="360" w:lineRule="auto"/>
              <w:jc w:val="center"/>
              <w:rPr>
                <w:rFonts w:ascii="Arial" w:hAnsi="Arial" w:cs="Arial"/>
                <w:sz w:val="16"/>
                <w:szCs w:val="16"/>
                <w:lang w:val="de-DE"/>
              </w:rPr>
            </w:pPr>
            <w:r w:rsidRPr="00A51255">
              <w:rPr>
                <w:rFonts w:ascii="Arial" w:hAnsi="Arial" w:cs="Arial"/>
                <w:sz w:val="16"/>
                <w:szCs w:val="16"/>
                <w:lang w:val="de-DE"/>
              </w:rPr>
              <w:t>Eq.</w:t>
            </w:r>
          </w:p>
        </w:tc>
        <w:tc>
          <w:tcPr>
            <w:tcW w:w="9232" w:type="dxa"/>
            <w:gridSpan w:val="5"/>
            <w:vAlign w:val="center"/>
          </w:tcPr>
          <w:p w:rsidR="005A1829" w:rsidRDefault="005A1829" w:rsidP="00DC38C7">
            <w:pPr>
              <w:jc w:val="center"/>
              <w:rPr>
                <w:rFonts w:ascii="Arial" w:hAnsi="Arial" w:cs="Arial"/>
                <w:b/>
                <w:sz w:val="18"/>
                <w:szCs w:val="18"/>
                <w:lang w:val="de-DE"/>
              </w:rPr>
            </w:pPr>
          </w:p>
          <w:p w:rsidR="005A1829" w:rsidRDefault="005A1829" w:rsidP="00DC38C7">
            <w:pPr>
              <w:jc w:val="center"/>
              <w:rPr>
                <w:b/>
                <w:i/>
                <w:sz w:val="18"/>
                <w:szCs w:val="18"/>
                <w:lang w:val="de-DE"/>
              </w:rPr>
            </w:pPr>
            <w:r w:rsidRPr="004F48F0">
              <w:rPr>
                <w:rFonts w:ascii="Arial" w:hAnsi="Arial" w:cs="Arial"/>
                <w:b/>
                <w:sz w:val="18"/>
                <w:szCs w:val="18"/>
                <w:lang w:val="de-DE"/>
              </w:rPr>
              <w:t xml:space="preserve">On day </w:t>
            </w:r>
            <w:r w:rsidRPr="004F48F0">
              <w:rPr>
                <w:b/>
                <w:i/>
                <w:sz w:val="18"/>
                <w:szCs w:val="18"/>
                <w:lang w:val="de-DE"/>
              </w:rPr>
              <w:t>t</w:t>
            </w:r>
            <w:r>
              <w:rPr>
                <w:b/>
                <w:i/>
                <w:sz w:val="18"/>
                <w:szCs w:val="18"/>
                <w:lang w:val="de-DE"/>
              </w:rPr>
              <w:t>+1</w:t>
            </w:r>
          </w:p>
          <w:p w:rsidR="005A1829" w:rsidRPr="004F48F0" w:rsidRDefault="005A1829" w:rsidP="00DC38C7">
            <w:pPr>
              <w:jc w:val="center"/>
              <w:rPr>
                <w:rFonts w:ascii="Arial" w:hAnsi="Arial" w:cs="Arial"/>
                <w:b/>
                <w:sz w:val="18"/>
                <w:szCs w:val="18"/>
                <w:lang w:val="de-DE"/>
              </w:rPr>
            </w:pPr>
          </w:p>
        </w:tc>
      </w:tr>
      <w:tr w:rsidR="005A1829" w:rsidRPr="00A51255" w:rsidTr="00DC38C7">
        <w:trPr>
          <w:jc w:val="center"/>
        </w:trPr>
        <w:tc>
          <w:tcPr>
            <w:tcW w:w="9522" w:type="dxa"/>
            <w:gridSpan w:val="6"/>
            <w:vAlign w:val="center"/>
          </w:tcPr>
          <w:p w:rsidR="005A1829" w:rsidRDefault="005A1829" w:rsidP="00DC38C7">
            <w:pPr>
              <w:jc w:val="center"/>
              <w:rPr>
                <w:rFonts w:ascii="Arial" w:hAnsi="Arial" w:cs="Arial"/>
                <w:b/>
                <w:sz w:val="18"/>
                <w:szCs w:val="18"/>
                <w:lang w:val="de-DE"/>
              </w:rPr>
            </w:pPr>
          </w:p>
          <w:p w:rsidR="005A1829" w:rsidRDefault="005A1829" w:rsidP="00DC38C7">
            <w:pPr>
              <w:jc w:val="center"/>
              <w:rPr>
                <w:rFonts w:ascii="Arial" w:hAnsi="Arial" w:cs="Arial"/>
                <w:b/>
                <w:sz w:val="18"/>
                <w:szCs w:val="18"/>
                <w:lang w:val="de-DE"/>
              </w:rPr>
            </w:pPr>
            <w:r w:rsidRPr="009D3E6A">
              <w:rPr>
                <w:rFonts w:ascii="Arial" w:hAnsi="Arial" w:cs="Arial"/>
                <w:b/>
                <w:sz w:val="18"/>
                <w:szCs w:val="18"/>
                <w:lang w:val="de-DE"/>
              </w:rPr>
              <w:t>Mean equation:</w:t>
            </w:r>
          </w:p>
          <w:p w:rsidR="005A1829" w:rsidRDefault="005A1829" w:rsidP="00DC38C7">
            <w:pPr>
              <w:jc w:val="center"/>
              <w:rPr>
                <w:rFonts w:ascii="Arial" w:hAnsi="Arial" w:cs="Arial"/>
                <w:sz w:val="20"/>
                <w:szCs w:val="20"/>
                <w:lang w:val="de-DE"/>
              </w:rPr>
            </w:pPr>
          </w:p>
        </w:tc>
      </w:tr>
      <w:tr w:rsidR="005A1829" w:rsidRPr="00A51255" w:rsidTr="00DC38C7">
        <w:trPr>
          <w:jc w:val="center"/>
        </w:trPr>
        <w:tc>
          <w:tcPr>
            <w:tcW w:w="290" w:type="dxa"/>
            <w:vAlign w:val="center"/>
          </w:tcPr>
          <w:p w:rsidR="005A1829" w:rsidRPr="00A51255" w:rsidRDefault="005A1829" w:rsidP="00DC38C7">
            <w:pPr>
              <w:spacing w:line="360" w:lineRule="auto"/>
              <w:jc w:val="center"/>
              <w:rPr>
                <w:rFonts w:ascii="Arial" w:hAnsi="Arial" w:cs="Arial"/>
                <w:sz w:val="16"/>
                <w:szCs w:val="16"/>
                <w:lang w:val="de-DE"/>
              </w:rPr>
            </w:pPr>
            <w:r>
              <w:rPr>
                <w:rFonts w:ascii="Arial" w:hAnsi="Arial" w:cs="Arial"/>
                <w:sz w:val="16"/>
                <w:szCs w:val="16"/>
                <w:lang w:val="de-DE"/>
              </w:rPr>
              <w:t>(1)</w:t>
            </w:r>
          </w:p>
        </w:tc>
        <w:tc>
          <w:tcPr>
            <w:tcW w:w="1557" w:type="dxa"/>
            <w:vAlign w:val="center"/>
          </w:tcPr>
          <w:p w:rsidR="005A1829" w:rsidRPr="004F48F0" w:rsidRDefault="005A1829" w:rsidP="00DC38C7">
            <w:pPr>
              <w:jc w:val="center"/>
              <w:rPr>
                <w:rFonts w:ascii="Arial" w:hAnsi="Arial" w:cs="Arial"/>
                <w:b/>
                <w:sz w:val="18"/>
                <w:szCs w:val="18"/>
                <w:lang w:val="de-DE"/>
              </w:rPr>
            </w:pPr>
            <w:r w:rsidRPr="00067CE5">
              <w:rPr>
                <w:position w:val="-12"/>
              </w:rPr>
              <w:object w:dxaOrig="300" w:dyaOrig="360">
                <v:shape id="_x0000_i1155" type="#_x0000_t75" style="width:14.15pt;height:18pt" o:ole="">
                  <v:imagedata r:id="rId94" o:title=""/>
                </v:shape>
                <o:OLEObject Type="Embed" ProgID="Equation.3" ShapeID="_x0000_i1155" DrawAspect="Content" ObjectID="_1507543502" r:id="rId200"/>
              </w:object>
            </w:r>
          </w:p>
        </w:tc>
        <w:tc>
          <w:tcPr>
            <w:tcW w:w="1926" w:type="dxa"/>
            <w:vAlign w:val="center"/>
          </w:tcPr>
          <w:p w:rsidR="005A1829" w:rsidRPr="00A51255" w:rsidRDefault="005A1829" w:rsidP="00DC38C7">
            <w:pPr>
              <w:jc w:val="center"/>
              <w:rPr>
                <w:rFonts w:ascii="Arial" w:hAnsi="Arial" w:cs="Arial"/>
                <w:sz w:val="20"/>
                <w:szCs w:val="20"/>
                <w:lang w:val="de-DE"/>
              </w:rPr>
            </w:pPr>
            <w:r w:rsidRPr="00461A79">
              <w:rPr>
                <w:rFonts w:ascii="Arial" w:hAnsi="Arial" w:cs="Arial"/>
                <w:sz w:val="20"/>
                <w:szCs w:val="20"/>
                <w:lang w:val="de-DE"/>
              </w:rPr>
              <w:t>0.046264</w:t>
            </w:r>
          </w:p>
          <w:p w:rsidR="005A1829" w:rsidRPr="00A51255" w:rsidRDefault="005A1829" w:rsidP="00DC38C7">
            <w:pPr>
              <w:jc w:val="center"/>
              <w:rPr>
                <w:lang w:val="en-US"/>
              </w:rPr>
            </w:pPr>
            <w:r>
              <w:rPr>
                <w:rFonts w:ascii="Arial" w:hAnsi="Arial" w:cs="Arial"/>
                <w:sz w:val="16"/>
                <w:szCs w:val="16"/>
                <w:lang w:val="de-DE"/>
              </w:rPr>
              <w:t>(</w:t>
            </w:r>
            <w:r w:rsidRPr="00461A79">
              <w:rPr>
                <w:rFonts w:ascii="Arial" w:hAnsi="Arial" w:cs="Arial"/>
                <w:sz w:val="16"/>
                <w:szCs w:val="16"/>
                <w:lang w:val="de-DE"/>
              </w:rPr>
              <w:t>0.055898</w:t>
            </w:r>
            <w:r w:rsidRPr="00A51255">
              <w:rPr>
                <w:rFonts w:ascii="Arial" w:hAnsi="Arial" w:cs="Arial"/>
                <w:sz w:val="16"/>
                <w:szCs w:val="16"/>
                <w:lang w:val="de-DE"/>
              </w:rPr>
              <w:t>)</w:t>
            </w:r>
          </w:p>
        </w:tc>
        <w:tc>
          <w:tcPr>
            <w:tcW w:w="1927" w:type="dxa"/>
            <w:vAlign w:val="center"/>
          </w:tcPr>
          <w:p w:rsidR="005A1829" w:rsidRPr="00A51255" w:rsidRDefault="005A1829" w:rsidP="00DC38C7">
            <w:pPr>
              <w:jc w:val="center"/>
              <w:rPr>
                <w:rFonts w:ascii="Arial" w:hAnsi="Arial" w:cs="Arial"/>
                <w:sz w:val="20"/>
                <w:szCs w:val="20"/>
                <w:lang w:val="de-DE"/>
              </w:rPr>
            </w:pPr>
            <w:r w:rsidRPr="00F331D5">
              <w:rPr>
                <w:rFonts w:ascii="Arial" w:hAnsi="Arial" w:cs="Arial"/>
                <w:sz w:val="20"/>
                <w:szCs w:val="20"/>
                <w:lang w:val="de-DE"/>
              </w:rPr>
              <w:t>0.056777</w:t>
            </w:r>
          </w:p>
          <w:p w:rsidR="005A1829" w:rsidRPr="00A51255" w:rsidRDefault="005A1829" w:rsidP="00DC38C7">
            <w:pPr>
              <w:jc w:val="center"/>
              <w:rPr>
                <w:lang w:val="en-US"/>
              </w:rPr>
            </w:pPr>
            <w:r>
              <w:rPr>
                <w:rFonts w:ascii="Arial" w:hAnsi="Arial" w:cs="Arial"/>
                <w:sz w:val="16"/>
                <w:szCs w:val="16"/>
                <w:lang w:val="de-DE"/>
              </w:rPr>
              <w:t>(</w:t>
            </w:r>
            <w:r w:rsidRPr="00F331D5">
              <w:rPr>
                <w:rFonts w:ascii="Arial" w:hAnsi="Arial" w:cs="Arial"/>
                <w:sz w:val="16"/>
                <w:szCs w:val="16"/>
                <w:lang w:val="de-DE"/>
              </w:rPr>
              <w:t>0.054884</w:t>
            </w:r>
            <w:r w:rsidRPr="00A51255">
              <w:rPr>
                <w:rFonts w:ascii="Arial" w:hAnsi="Arial" w:cs="Arial"/>
                <w:sz w:val="16"/>
                <w:szCs w:val="16"/>
                <w:lang w:val="de-DE"/>
              </w:rPr>
              <w:t>)</w:t>
            </w:r>
          </w:p>
        </w:tc>
        <w:tc>
          <w:tcPr>
            <w:tcW w:w="1927" w:type="dxa"/>
            <w:vAlign w:val="center"/>
          </w:tcPr>
          <w:p w:rsidR="005A1829" w:rsidRPr="00A51255" w:rsidRDefault="005A1829" w:rsidP="00DC38C7">
            <w:pPr>
              <w:jc w:val="center"/>
              <w:rPr>
                <w:rFonts w:ascii="Arial" w:hAnsi="Arial" w:cs="Arial"/>
                <w:sz w:val="20"/>
                <w:szCs w:val="20"/>
                <w:lang w:val="de-DE"/>
              </w:rPr>
            </w:pPr>
            <w:r w:rsidRPr="00955067">
              <w:rPr>
                <w:rFonts w:ascii="Arial" w:hAnsi="Arial" w:cs="Arial"/>
                <w:sz w:val="20"/>
                <w:szCs w:val="20"/>
                <w:lang w:val="de-DE"/>
              </w:rPr>
              <w:t>0.043313</w:t>
            </w:r>
          </w:p>
          <w:p w:rsidR="005A1829" w:rsidRPr="00A51255" w:rsidRDefault="005A1829" w:rsidP="00DC38C7">
            <w:pPr>
              <w:jc w:val="center"/>
              <w:rPr>
                <w:lang w:val="en-US"/>
              </w:rPr>
            </w:pPr>
            <w:r>
              <w:rPr>
                <w:rFonts w:ascii="Arial" w:hAnsi="Arial" w:cs="Arial"/>
                <w:sz w:val="16"/>
                <w:szCs w:val="16"/>
                <w:lang w:val="de-DE"/>
              </w:rPr>
              <w:t>(</w:t>
            </w:r>
            <w:r w:rsidRPr="00955067">
              <w:rPr>
                <w:rFonts w:ascii="Arial" w:hAnsi="Arial" w:cs="Arial"/>
                <w:sz w:val="16"/>
                <w:szCs w:val="16"/>
                <w:lang w:val="de-DE"/>
              </w:rPr>
              <w:t>0.058514</w:t>
            </w:r>
            <w:r w:rsidRPr="00A51255">
              <w:rPr>
                <w:rFonts w:ascii="Arial" w:hAnsi="Arial" w:cs="Arial"/>
                <w:sz w:val="16"/>
                <w:szCs w:val="16"/>
                <w:lang w:val="de-DE"/>
              </w:rPr>
              <w:t>)</w:t>
            </w:r>
          </w:p>
        </w:tc>
        <w:tc>
          <w:tcPr>
            <w:tcW w:w="1895" w:type="dxa"/>
            <w:vAlign w:val="center"/>
          </w:tcPr>
          <w:p w:rsidR="005A1829" w:rsidRPr="00A51255" w:rsidRDefault="005A1829" w:rsidP="00DC38C7">
            <w:pPr>
              <w:jc w:val="center"/>
              <w:rPr>
                <w:rFonts w:ascii="Arial" w:hAnsi="Arial" w:cs="Arial"/>
                <w:sz w:val="20"/>
                <w:szCs w:val="20"/>
                <w:lang w:val="de-DE"/>
              </w:rPr>
            </w:pPr>
            <w:r w:rsidRPr="00A16283">
              <w:rPr>
                <w:rFonts w:ascii="Arial" w:hAnsi="Arial" w:cs="Arial"/>
                <w:sz w:val="20"/>
                <w:szCs w:val="20"/>
                <w:lang w:val="de-DE"/>
              </w:rPr>
              <w:t>0.044698</w:t>
            </w:r>
          </w:p>
          <w:p w:rsidR="005A1829" w:rsidRPr="00A51255" w:rsidRDefault="005A1829" w:rsidP="00DC38C7">
            <w:pPr>
              <w:jc w:val="center"/>
              <w:rPr>
                <w:lang w:val="en-US"/>
              </w:rPr>
            </w:pPr>
            <w:r>
              <w:rPr>
                <w:rFonts w:ascii="Arial" w:hAnsi="Arial" w:cs="Arial"/>
                <w:sz w:val="16"/>
                <w:szCs w:val="16"/>
                <w:lang w:val="de-DE"/>
              </w:rPr>
              <w:t>(</w:t>
            </w:r>
            <w:r w:rsidRPr="00A16283">
              <w:rPr>
                <w:rFonts w:ascii="Arial" w:hAnsi="Arial" w:cs="Arial"/>
                <w:sz w:val="16"/>
                <w:szCs w:val="16"/>
                <w:lang w:val="de-DE"/>
              </w:rPr>
              <w:t>0.056206</w:t>
            </w:r>
            <w:r w:rsidRPr="00A51255">
              <w:rPr>
                <w:rFonts w:ascii="Arial" w:hAnsi="Arial" w:cs="Arial"/>
                <w:sz w:val="16"/>
                <w:szCs w:val="16"/>
                <w:lang w:val="de-DE"/>
              </w:rPr>
              <w:t>)</w:t>
            </w:r>
          </w:p>
        </w:tc>
      </w:tr>
      <w:tr w:rsidR="005A1829" w:rsidRPr="00A51255" w:rsidTr="00DC38C7">
        <w:trPr>
          <w:jc w:val="center"/>
        </w:trPr>
        <w:tc>
          <w:tcPr>
            <w:tcW w:w="290" w:type="dxa"/>
            <w:vAlign w:val="center"/>
          </w:tcPr>
          <w:p w:rsidR="005A1829" w:rsidRPr="00A51255" w:rsidRDefault="005A1829" w:rsidP="00DC38C7">
            <w:pPr>
              <w:spacing w:line="360" w:lineRule="auto"/>
              <w:jc w:val="center"/>
              <w:rPr>
                <w:rFonts w:ascii="Arial" w:hAnsi="Arial" w:cs="Arial"/>
                <w:lang w:val="en-US"/>
              </w:rPr>
            </w:pPr>
            <w:r>
              <w:rPr>
                <w:rFonts w:ascii="Arial" w:hAnsi="Arial" w:cs="Arial"/>
                <w:sz w:val="16"/>
                <w:szCs w:val="16"/>
                <w:lang w:val="de-DE"/>
              </w:rPr>
              <w:t>(1)</w:t>
            </w:r>
          </w:p>
        </w:tc>
        <w:tc>
          <w:tcPr>
            <w:tcW w:w="1557" w:type="dxa"/>
            <w:vAlign w:val="center"/>
          </w:tcPr>
          <w:p w:rsidR="005A1829" w:rsidRPr="004F48F0" w:rsidRDefault="005A1829" w:rsidP="00DC38C7">
            <w:pPr>
              <w:jc w:val="center"/>
              <w:rPr>
                <w:rFonts w:ascii="Arial" w:hAnsi="Arial" w:cs="Arial"/>
                <w:b/>
                <w:sz w:val="18"/>
                <w:szCs w:val="18"/>
                <w:lang w:val="de-DE"/>
              </w:rPr>
            </w:pPr>
            <w:r w:rsidRPr="00067CE5">
              <w:rPr>
                <w:position w:val="-10"/>
              </w:rPr>
              <w:object w:dxaOrig="279" w:dyaOrig="340">
                <v:shape id="_x0000_i1156" type="#_x0000_t75" style="width:14.15pt;height:16.7pt" o:ole="">
                  <v:imagedata r:id="rId96" o:title=""/>
                </v:shape>
                <o:OLEObject Type="Embed" ProgID="Equation.3" ShapeID="_x0000_i1156" DrawAspect="Content" ObjectID="_1507543503" r:id="rId201"/>
              </w:object>
            </w:r>
          </w:p>
        </w:tc>
        <w:tc>
          <w:tcPr>
            <w:tcW w:w="1926" w:type="dxa"/>
            <w:vAlign w:val="center"/>
          </w:tcPr>
          <w:p w:rsidR="005A1829" w:rsidRPr="00A51255" w:rsidRDefault="005A1829" w:rsidP="00DC38C7">
            <w:pPr>
              <w:jc w:val="center"/>
              <w:rPr>
                <w:rFonts w:ascii="Arial" w:hAnsi="Arial" w:cs="Arial"/>
                <w:sz w:val="20"/>
                <w:szCs w:val="20"/>
                <w:lang w:val="de-DE"/>
              </w:rPr>
            </w:pPr>
            <w:r w:rsidRPr="00461A79">
              <w:rPr>
                <w:rFonts w:ascii="Arial" w:hAnsi="Arial" w:cs="Arial"/>
                <w:sz w:val="20"/>
                <w:szCs w:val="20"/>
                <w:lang w:val="de-DE"/>
              </w:rPr>
              <w:t>0.000211</w:t>
            </w:r>
          </w:p>
          <w:p w:rsidR="005A1829" w:rsidRPr="00A51255" w:rsidRDefault="005A1829" w:rsidP="00DC38C7">
            <w:pPr>
              <w:jc w:val="center"/>
              <w:rPr>
                <w:lang w:val="en-US"/>
              </w:rPr>
            </w:pPr>
            <w:r>
              <w:rPr>
                <w:rFonts w:ascii="Arial" w:hAnsi="Arial" w:cs="Arial"/>
                <w:sz w:val="16"/>
                <w:szCs w:val="16"/>
                <w:lang w:val="de-DE"/>
              </w:rPr>
              <w:t>(</w:t>
            </w:r>
            <w:r w:rsidRPr="00461A79">
              <w:rPr>
                <w:rFonts w:ascii="Arial" w:hAnsi="Arial" w:cs="Arial"/>
                <w:sz w:val="16"/>
                <w:szCs w:val="16"/>
                <w:lang w:val="de-DE"/>
              </w:rPr>
              <w:t>0.000571</w:t>
            </w:r>
            <w:r w:rsidRPr="00A51255">
              <w:rPr>
                <w:rFonts w:ascii="Arial" w:hAnsi="Arial" w:cs="Arial"/>
                <w:sz w:val="16"/>
                <w:szCs w:val="16"/>
                <w:lang w:val="de-DE"/>
              </w:rPr>
              <w:t>)</w:t>
            </w:r>
          </w:p>
        </w:tc>
        <w:tc>
          <w:tcPr>
            <w:tcW w:w="1927" w:type="dxa"/>
            <w:vAlign w:val="center"/>
          </w:tcPr>
          <w:p w:rsidR="005A1829" w:rsidRPr="00A51255" w:rsidRDefault="005A1829" w:rsidP="00DC38C7">
            <w:pPr>
              <w:jc w:val="center"/>
              <w:rPr>
                <w:rFonts w:ascii="Arial" w:hAnsi="Arial" w:cs="Arial"/>
                <w:sz w:val="20"/>
                <w:szCs w:val="20"/>
                <w:lang w:val="de-DE"/>
              </w:rPr>
            </w:pPr>
            <w:r>
              <w:rPr>
                <w:rFonts w:ascii="Arial" w:hAnsi="Arial" w:cs="Arial"/>
                <w:sz w:val="20"/>
                <w:szCs w:val="20"/>
                <w:lang w:val="de-DE"/>
              </w:rPr>
              <w:t>-0.000048</w:t>
            </w:r>
          </w:p>
          <w:p w:rsidR="005A1829" w:rsidRPr="00A51255" w:rsidRDefault="005A1829" w:rsidP="00DC38C7">
            <w:pPr>
              <w:jc w:val="center"/>
              <w:rPr>
                <w:lang w:val="en-US"/>
              </w:rPr>
            </w:pPr>
            <w:r>
              <w:rPr>
                <w:rFonts w:ascii="Arial" w:hAnsi="Arial" w:cs="Arial"/>
                <w:sz w:val="16"/>
                <w:szCs w:val="16"/>
                <w:lang w:val="de-DE"/>
              </w:rPr>
              <w:t>(</w:t>
            </w:r>
            <w:r w:rsidRPr="00F331D5">
              <w:rPr>
                <w:rFonts w:ascii="Arial" w:hAnsi="Arial" w:cs="Arial"/>
                <w:sz w:val="16"/>
                <w:szCs w:val="16"/>
                <w:lang w:val="de-DE"/>
              </w:rPr>
              <w:t>0.000423</w:t>
            </w:r>
            <w:r w:rsidRPr="00A51255">
              <w:rPr>
                <w:rFonts w:ascii="Arial" w:hAnsi="Arial" w:cs="Arial"/>
                <w:sz w:val="16"/>
                <w:szCs w:val="16"/>
                <w:lang w:val="de-DE"/>
              </w:rPr>
              <w:t>)</w:t>
            </w:r>
          </w:p>
        </w:tc>
        <w:tc>
          <w:tcPr>
            <w:tcW w:w="1927" w:type="dxa"/>
            <w:vAlign w:val="center"/>
          </w:tcPr>
          <w:p w:rsidR="005A1829" w:rsidRPr="00A51255" w:rsidRDefault="005A1829" w:rsidP="00DC38C7">
            <w:pPr>
              <w:jc w:val="center"/>
              <w:rPr>
                <w:rFonts w:ascii="Arial" w:hAnsi="Arial" w:cs="Arial"/>
                <w:sz w:val="20"/>
                <w:szCs w:val="20"/>
                <w:lang w:val="de-DE"/>
              </w:rPr>
            </w:pPr>
            <w:r w:rsidRPr="00955067">
              <w:rPr>
                <w:rFonts w:ascii="Arial" w:hAnsi="Arial" w:cs="Arial"/>
                <w:sz w:val="20"/>
                <w:szCs w:val="20"/>
                <w:lang w:val="de-DE"/>
              </w:rPr>
              <w:t>0.000148</w:t>
            </w:r>
          </w:p>
          <w:p w:rsidR="005A1829" w:rsidRPr="00A51255" w:rsidRDefault="005A1829" w:rsidP="00DC38C7">
            <w:pPr>
              <w:jc w:val="center"/>
              <w:rPr>
                <w:lang w:val="en-US"/>
              </w:rPr>
            </w:pPr>
            <w:r>
              <w:rPr>
                <w:rFonts w:ascii="Arial" w:hAnsi="Arial" w:cs="Arial"/>
                <w:sz w:val="16"/>
                <w:szCs w:val="16"/>
                <w:lang w:val="de-DE"/>
              </w:rPr>
              <w:t>(</w:t>
            </w:r>
            <w:r w:rsidRPr="00955067">
              <w:rPr>
                <w:rFonts w:ascii="Arial" w:hAnsi="Arial" w:cs="Arial"/>
                <w:sz w:val="16"/>
                <w:szCs w:val="16"/>
                <w:lang w:val="de-DE"/>
              </w:rPr>
              <w:t>0.000579</w:t>
            </w:r>
            <w:r w:rsidRPr="00A51255">
              <w:rPr>
                <w:rFonts w:ascii="Arial" w:hAnsi="Arial" w:cs="Arial"/>
                <w:sz w:val="16"/>
                <w:szCs w:val="16"/>
                <w:lang w:val="de-DE"/>
              </w:rPr>
              <w:t>)</w:t>
            </w:r>
          </w:p>
        </w:tc>
        <w:tc>
          <w:tcPr>
            <w:tcW w:w="1895" w:type="dxa"/>
            <w:vAlign w:val="center"/>
          </w:tcPr>
          <w:p w:rsidR="005A1829" w:rsidRPr="00A51255" w:rsidRDefault="005A1829" w:rsidP="00DC38C7">
            <w:pPr>
              <w:jc w:val="center"/>
              <w:rPr>
                <w:rFonts w:ascii="Arial" w:hAnsi="Arial" w:cs="Arial"/>
                <w:sz w:val="20"/>
                <w:szCs w:val="20"/>
                <w:lang w:val="de-DE"/>
              </w:rPr>
            </w:pPr>
            <w:r w:rsidRPr="00A16283">
              <w:rPr>
                <w:rFonts w:ascii="Arial" w:hAnsi="Arial" w:cs="Arial"/>
                <w:sz w:val="20"/>
                <w:szCs w:val="20"/>
                <w:lang w:val="de-DE"/>
              </w:rPr>
              <w:t>0.000197</w:t>
            </w:r>
          </w:p>
          <w:p w:rsidR="005A1829" w:rsidRPr="00A51255" w:rsidRDefault="005A1829" w:rsidP="00DC38C7">
            <w:pPr>
              <w:jc w:val="center"/>
              <w:rPr>
                <w:lang w:val="en-US"/>
              </w:rPr>
            </w:pPr>
            <w:r>
              <w:rPr>
                <w:rFonts w:ascii="Arial" w:hAnsi="Arial" w:cs="Arial"/>
                <w:sz w:val="16"/>
                <w:szCs w:val="16"/>
                <w:lang w:val="de-DE"/>
              </w:rPr>
              <w:t>(</w:t>
            </w:r>
            <w:r w:rsidRPr="00A16283">
              <w:rPr>
                <w:rFonts w:ascii="Arial" w:hAnsi="Arial" w:cs="Arial"/>
                <w:sz w:val="16"/>
                <w:szCs w:val="16"/>
                <w:lang w:val="de-DE"/>
              </w:rPr>
              <w:t>0.000564</w:t>
            </w:r>
            <w:r w:rsidRPr="00A51255">
              <w:rPr>
                <w:rFonts w:ascii="Arial" w:hAnsi="Arial" w:cs="Arial"/>
                <w:sz w:val="16"/>
                <w:szCs w:val="16"/>
                <w:lang w:val="de-DE"/>
              </w:rPr>
              <w:t>)</w:t>
            </w:r>
          </w:p>
        </w:tc>
      </w:tr>
      <w:tr w:rsidR="005A1829" w:rsidRPr="00A51255" w:rsidTr="00DC38C7">
        <w:trPr>
          <w:jc w:val="center"/>
        </w:trPr>
        <w:tc>
          <w:tcPr>
            <w:tcW w:w="290" w:type="dxa"/>
            <w:vAlign w:val="center"/>
          </w:tcPr>
          <w:p w:rsidR="005A1829" w:rsidRPr="00A51255" w:rsidRDefault="005A1829" w:rsidP="00DC38C7">
            <w:pPr>
              <w:spacing w:line="360" w:lineRule="auto"/>
              <w:jc w:val="center"/>
              <w:rPr>
                <w:rFonts w:ascii="Arial" w:hAnsi="Arial" w:cs="Arial"/>
                <w:lang w:val="en-US"/>
              </w:rPr>
            </w:pPr>
            <w:r>
              <w:rPr>
                <w:rFonts w:ascii="Arial" w:hAnsi="Arial" w:cs="Arial"/>
                <w:sz w:val="16"/>
                <w:szCs w:val="16"/>
                <w:lang w:val="de-DE"/>
              </w:rPr>
              <w:t>(1)</w:t>
            </w:r>
          </w:p>
        </w:tc>
        <w:tc>
          <w:tcPr>
            <w:tcW w:w="1557" w:type="dxa"/>
            <w:vAlign w:val="center"/>
          </w:tcPr>
          <w:p w:rsidR="005A1829" w:rsidRPr="004F48F0" w:rsidRDefault="005A1829" w:rsidP="00DC38C7">
            <w:pPr>
              <w:jc w:val="center"/>
              <w:rPr>
                <w:rFonts w:ascii="Arial" w:hAnsi="Arial" w:cs="Arial"/>
                <w:b/>
                <w:sz w:val="18"/>
                <w:szCs w:val="18"/>
                <w:lang w:val="de-DE"/>
              </w:rPr>
            </w:pPr>
            <w:r w:rsidRPr="00067CE5">
              <w:rPr>
                <w:position w:val="-10"/>
              </w:rPr>
              <w:object w:dxaOrig="300" w:dyaOrig="340">
                <v:shape id="_x0000_i1157" type="#_x0000_t75" style="width:14.15pt;height:16.7pt" o:ole="">
                  <v:imagedata r:id="rId98" o:title=""/>
                </v:shape>
                <o:OLEObject Type="Embed" ProgID="Equation.3" ShapeID="_x0000_i1157" DrawAspect="Content" ObjectID="_1507543504" r:id="rId202"/>
              </w:object>
            </w:r>
          </w:p>
        </w:tc>
        <w:tc>
          <w:tcPr>
            <w:tcW w:w="1926" w:type="dxa"/>
            <w:vAlign w:val="center"/>
          </w:tcPr>
          <w:p w:rsidR="005A1829" w:rsidRPr="00A51255" w:rsidRDefault="005A1829" w:rsidP="00DC38C7">
            <w:pPr>
              <w:jc w:val="center"/>
              <w:rPr>
                <w:rFonts w:ascii="Arial" w:hAnsi="Arial" w:cs="Arial"/>
                <w:sz w:val="20"/>
                <w:szCs w:val="20"/>
                <w:lang w:val="de-DE"/>
              </w:rPr>
            </w:pPr>
            <w:r w:rsidRPr="00461A79">
              <w:rPr>
                <w:rFonts w:ascii="Arial" w:hAnsi="Arial" w:cs="Arial"/>
                <w:sz w:val="20"/>
                <w:szCs w:val="20"/>
                <w:lang w:val="de-DE"/>
              </w:rPr>
              <w:t>-0.349661</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461A79">
              <w:rPr>
                <w:rFonts w:ascii="Arial" w:hAnsi="Arial" w:cs="Arial"/>
                <w:sz w:val="16"/>
                <w:szCs w:val="16"/>
                <w:lang w:val="de-DE"/>
              </w:rPr>
              <w:t>0.034155</w:t>
            </w:r>
            <w:r w:rsidRPr="00A51255">
              <w:rPr>
                <w:rFonts w:ascii="Arial" w:hAnsi="Arial" w:cs="Arial"/>
                <w:sz w:val="16"/>
                <w:szCs w:val="16"/>
                <w:lang w:val="de-DE"/>
              </w:rPr>
              <w:t>)</w:t>
            </w:r>
          </w:p>
        </w:tc>
        <w:tc>
          <w:tcPr>
            <w:tcW w:w="1927" w:type="dxa"/>
            <w:vAlign w:val="center"/>
          </w:tcPr>
          <w:p w:rsidR="005A1829" w:rsidRPr="00A51255" w:rsidRDefault="005A1829" w:rsidP="00DC38C7">
            <w:pPr>
              <w:jc w:val="center"/>
              <w:rPr>
                <w:rFonts w:ascii="Arial" w:hAnsi="Arial" w:cs="Arial"/>
                <w:sz w:val="20"/>
                <w:szCs w:val="20"/>
                <w:lang w:val="de-DE"/>
              </w:rPr>
            </w:pPr>
            <w:r w:rsidRPr="00B4399B">
              <w:rPr>
                <w:rFonts w:ascii="Arial" w:hAnsi="Arial" w:cs="Arial"/>
                <w:sz w:val="20"/>
                <w:szCs w:val="20"/>
                <w:lang w:val="de-DE"/>
              </w:rPr>
              <w:t>-0.350220</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B4399B">
              <w:rPr>
                <w:rFonts w:ascii="Arial" w:hAnsi="Arial" w:cs="Arial"/>
                <w:sz w:val="16"/>
                <w:szCs w:val="16"/>
                <w:lang w:val="de-DE"/>
              </w:rPr>
              <w:t>0.029782</w:t>
            </w:r>
            <w:r w:rsidRPr="00A51255">
              <w:rPr>
                <w:rFonts w:ascii="Arial" w:hAnsi="Arial" w:cs="Arial"/>
                <w:sz w:val="16"/>
                <w:szCs w:val="16"/>
                <w:lang w:val="de-DE"/>
              </w:rPr>
              <w:t>)</w:t>
            </w:r>
          </w:p>
        </w:tc>
        <w:tc>
          <w:tcPr>
            <w:tcW w:w="1927" w:type="dxa"/>
            <w:vAlign w:val="center"/>
          </w:tcPr>
          <w:p w:rsidR="005A1829" w:rsidRPr="00A51255" w:rsidRDefault="005A1829" w:rsidP="00DC38C7">
            <w:pPr>
              <w:jc w:val="center"/>
              <w:rPr>
                <w:rFonts w:ascii="Arial" w:hAnsi="Arial" w:cs="Arial"/>
                <w:sz w:val="20"/>
                <w:szCs w:val="20"/>
                <w:lang w:val="de-DE"/>
              </w:rPr>
            </w:pPr>
            <w:r w:rsidRPr="00057C1F">
              <w:rPr>
                <w:rFonts w:ascii="Arial" w:hAnsi="Arial" w:cs="Arial"/>
                <w:sz w:val="20"/>
                <w:szCs w:val="20"/>
                <w:lang w:val="de-DE"/>
              </w:rPr>
              <w:t>-0.349209</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057C1F">
              <w:rPr>
                <w:rFonts w:ascii="Arial" w:hAnsi="Arial" w:cs="Arial"/>
                <w:sz w:val="16"/>
                <w:szCs w:val="16"/>
                <w:lang w:val="de-DE"/>
              </w:rPr>
              <w:t>0.033276</w:t>
            </w:r>
            <w:r w:rsidRPr="00A51255">
              <w:rPr>
                <w:rFonts w:ascii="Arial" w:hAnsi="Arial" w:cs="Arial"/>
                <w:sz w:val="16"/>
                <w:szCs w:val="16"/>
                <w:lang w:val="de-DE"/>
              </w:rPr>
              <w:t>)</w:t>
            </w:r>
          </w:p>
        </w:tc>
        <w:tc>
          <w:tcPr>
            <w:tcW w:w="1895" w:type="dxa"/>
            <w:vAlign w:val="center"/>
          </w:tcPr>
          <w:p w:rsidR="005A1829" w:rsidRPr="00A51255" w:rsidRDefault="005A1829" w:rsidP="00DC38C7">
            <w:pPr>
              <w:jc w:val="center"/>
              <w:rPr>
                <w:rFonts w:ascii="Arial" w:hAnsi="Arial" w:cs="Arial"/>
                <w:sz w:val="20"/>
                <w:szCs w:val="20"/>
                <w:lang w:val="de-DE"/>
              </w:rPr>
            </w:pPr>
            <w:r w:rsidRPr="00D33868">
              <w:rPr>
                <w:rFonts w:ascii="Arial" w:hAnsi="Arial" w:cs="Arial"/>
                <w:sz w:val="20"/>
                <w:szCs w:val="20"/>
                <w:lang w:val="de-DE"/>
              </w:rPr>
              <w:t>-0.347290</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D33868">
              <w:rPr>
                <w:rFonts w:ascii="Arial" w:hAnsi="Arial" w:cs="Arial"/>
                <w:sz w:val="16"/>
                <w:szCs w:val="16"/>
                <w:lang w:val="de-DE"/>
              </w:rPr>
              <w:t>0.033677</w:t>
            </w:r>
            <w:r w:rsidRPr="00A51255">
              <w:rPr>
                <w:rFonts w:ascii="Arial" w:hAnsi="Arial" w:cs="Arial"/>
                <w:sz w:val="16"/>
                <w:szCs w:val="16"/>
                <w:lang w:val="de-DE"/>
              </w:rPr>
              <w:t>)</w:t>
            </w:r>
          </w:p>
        </w:tc>
      </w:tr>
      <w:tr w:rsidR="005A1829" w:rsidRPr="00A51255" w:rsidTr="00DC38C7">
        <w:trPr>
          <w:jc w:val="center"/>
        </w:trPr>
        <w:tc>
          <w:tcPr>
            <w:tcW w:w="290" w:type="dxa"/>
            <w:vAlign w:val="center"/>
          </w:tcPr>
          <w:p w:rsidR="005A1829" w:rsidRPr="00A51255" w:rsidRDefault="005A1829" w:rsidP="00DC38C7">
            <w:pPr>
              <w:spacing w:line="360" w:lineRule="auto"/>
              <w:jc w:val="center"/>
              <w:rPr>
                <w:rFonts w:ascii="Arial" w:hAnsi="Arial" w:cs="Arial"/>
                <w:lang w:val="en-US"/>
              </w:rPr>
            </w:pPr>
            <w:r>
              <w:rPr>
                <w:rFonts w:ascii="Arial" w:hAnsi="Arial" w:cs="Arial"/>
                <w:sz w:val="16"/>
                <w:szCs w:val="16"/>
                <w:lang w:val="de-DE"/>
              </w:rPr>
              <w:t>(1)</w:t>
            </w:r>
          </w:p>
        </w:tc>
        <w:tc>
          <w:tcPr>
            <w:tcW w:w="1557" w:type="dxa"/>
            <w:vAlign w:val="center"/>
          </w:tcPr>
          <w:p w:rsidR="005A1829" w:rsidRPr="004F48F0" w:rsidRDefault="005A1829" w:rsidP="00DC38C7">
            <w:pPr>
              <w:jc w:val="center"/>
              <w:rPr>
                <w:rFonts w:ascii="Arial" w:hAnsi="Arial" w:cs="Arial"/>
                <w:b/>
                <w:sz w:val="18"/>
                <w:szCs w:val="18"/>
                <w:lang w:val="de-DE"/>
              </w:rPr>
            </w:pPr>
            <w:r w:rsidRPr="00B3604A">
              <w:rPr>
                <w:position w:val="-12"/>
              </w:rPr>
              <w:object w:dxaOrig="279" w:dyaOrig="360">
                <v:shape id="_x0000_i1158" type="#_x0000_t75" style="width:14.15pt;height:18pt" o:ole="">
                  <v:imagedata r:id="rId100" o:title=""/>
                </v:shape>
                <o:OLEObject Type="Embed" ProgID="Equation.3" ShapeID="_x0000_i1158" DrawAspect="Content" ObjectID="_1507543505" r:id="rId203"/>
              </w:object>
            </w:r>
          </w:p>
        </w:tc>
        <w:tc>
          <w:tcPr>
            <w:tcW w:w="1926" w:type="dxa"/>
            <w:vAlign w:val="center"/>
          </w:tcPr>
          <w:p w:rsidR="005A1829" w:rsidRPr="00A51255" w:rsidRDefault="005A1829" w:rsidP="00DC38C7">
            <w:pPr>
              <w:jc w:val="center"/>
              <w:rPr>
                <w:rFonts w:ascii="Arial" w:hAnsi="Arial" w:cs="Arial"/>
                <w:sz w:val="20"/>
                <w:szCs w:val="20"/>
                <w:lang w:val="de-DE"/>
              </w:rPr>
            </w:pPr>
            <w:r w:rsidRPr="00461A79">
              <w:rPr>
                <w:rFonts w:ascii="Arial" w:hAnsi="Arial" w:cs="Arial"/>
                <w:sz w:val="20"/>
                <w:szCs w:val="20"/>
                <w:lang w:val="de-DE"/>
              </w:rPr>
              <w:t>-0.005873</w:t>
            </w:r>
          </w:p>
          <w:p w:rsidR="005A1829" w:rsidRPr="00A51255" w:rsidRDefault="005A1829" w:rsidP="00DC38C7">
            <w:pPr>
              <w:jc w:val="center"/>
              <w:rPr>
                <w:lang w:val="en-US"/>
              </w:rPr>
            </w:pPr>
            <w:r>
              <w:rPr>
                <w:rFonts w:ascii="Arial" w:hAnsi="Arial" w:cs="Arial"/>
                <w:sz w:val="16"/>
                <w:szCs w:val="16"/>
                <w:lang w:val="de-DE"/>
              </w:rPr>
              <w:t>(</w:t>
            </w:r>
            <w:r w:rsidRPr="00461A79">
              <w:rPr>
                <w:rFonts w:ascii="Arial" w:hAnsi="Arial" w:cs="Arial"/>
                <w:sz w:val="16"/>
                <w:szCs w:val="16"/>
                <w:lang w:val="de-DE"/>
              </w:rPr>
              <w:t>0.005904</w:t>
            </w:r>
            <w:r w:rsidRPr="00A51255">
              <w:rPr>
                <w:rFonts w:ascii="Arial" w:hAnsi="Arial" w:cs="Arial"/>
                <w:sz w:val="16"/>
                <w:szCs w:val="16"/>
                <w:lang w:val="de-DE"/>
              </w:rPr>
              <w:t>)</w:t>
            </w:r>
          </w:p>
        </w:tc>
        <w:tc>
          <w:tcPr>
            <w:tcW w:w="1927" w:type="dxa"/>
            <w:vAlign w:val="center"/>
          </w:tcPr>
          <w:p w:rsidR="005A1829" w:rsidRPr="00A51255" w:rsidRDefault="005A1829" w:rsidP="00DC38C7">
            <w:pPr>
              <w:jc w:val="center"/>
              <w:rPr>
                <w:rFonts w:ascii="Arial" w:hAnsi="Arial" w:cs="Arial"/>
                <w:sz w:val="20"/>
                <w:szCs w:val="20"/>
                <w:lang w:val="de-DE"/>
              </w:rPr>
            </w:pPr>
            <w:r w:rsidRPr="005631E9">
              <w:rPr>
                <w:rFonts w:ascii="Arial" w:hAnsi="Arial" w:cs="Arial"/>
                <w:sz w:val="20"/>
                <w:szCs w:val="20"/>
                <w:lang w:val="de-DE"/>
              </w:rPr>
              <w:t>-0.006965</w:t>
            </w:r>
          </w:p>
          <w:p w:rsidR="005A1829" w:rsidRPr="00A51255" w:rsidRDefault="005A1829" w:rsidP="00DC38C7">
            <w:pPr>
              <w:jc w:val="center"/>
              <w:rPr>
                <w:lang w:val="en-US"/>
              </w:rPr>
            </w:pPr>
            <w:r>
              <w:rPr>
                <w:rFonts w:ascii="Arial" w:hAnsi="Arial" w:cs="Arial"/>
                <w:sz w:val="16"/>
                <w:szCs w:val="16"/>
                <w:lang w:val="de-DE"/>
              </w:rPr>
              <w:t>(</w:t>
            </w:r>
            <w:r w:rsidRPr="005631E9">
              <w:rPr>
                <w:rFonts w:ascii="Arial" w:hAnsi="Arial" w:cs="Arial"/>
                <w:sz w:val="16"/>
                <w:szCs w:val="16"/>
                <w:lang w:val="de-DE"/>
              </w:rPr>
              <w:t>0.005803</w:t>
            </w:r>
            <w:r w:rsidRPr="00A51255">
              <w:rPr>
                <w:rFonts w:ascii="Arial" w:hAnsi="Arial" w:cs="Arial"/>
                <w:sz w:val="16"/>
                <w:szCs w:val="16"/>
                <w:lang w:val="de-DE"/>
              </w:rPr>
              <w:t>)</w:t>
            </w:r>
          </w:p>
        </w:tc>
        <w:tc>
          <w:tcPr>
            <w:tcW w:w="1927" w:type="dxa"/>
            <w:vAlign w:val="center"/>
          </w:tcPr>
          <w:p w:rsidR="005A1829" w:rsidRPr="00A51255" w:rsidRDefault="005A1829" w:rsidP="00DC38C7">
            <w:pPr>
              <w:jc w:val="center"/>
              <w:rPr>
                <w:rFonts w:ascii="Arial" w:hAnsi="Arial" w:cs="Arial"/>
                <w:sz w:val="20"/>
                <w:szCs w:val="20"/>
                <w:lang w:val="de-DE"/>
              </w:rPr>
            </w:pPr>
            <w:r w:rsidRPr="00955067">
              <w:rPr>
                <w:rFonts w:ascii="Arial" w:hAnsi="Arial" w:cs="Arial"/>
                <w:sz w:val="20"/>
                <w:szCs w:val="20"/>
                <w:lang w:val="de-DE"/>
              </w:rPr>
              <w:t>-0.005355</w:t>
            </w:r>
          </w:p>
          <w:p w:rsidR="005A1829" w:rsidRPr="00A51255" w:rsidRDefault="005A1829" w:rsidP="00DC38C7">
            <w:pPr>
              <w:jc w:val="center"/>
              <w:rPr>
                <w:lang w:val="en-US"/>
              </w:rPr>
            </w:pPr>
            <w:r>
              <w:rPr>
                <w:rFonts w:ascii="Arial" w:hAnsi="Arial" w:cs="Arial"/>
                <w:sz w:val="16"/>
                <w:szCs w:val="16"/>
                <w:lang w:val="de-DE"/>
              </w:rPr>
              <w:t>(</w:t>
            </w:r>
            <w:r w:rsidRPr="00955067">
              <w:rPr>
                <w:rFonts w:ascii="Arial" w:hAnsi="Arial" w:cs="Arial"/>
                <w:sz w:val="16"/>
                <w:szCs w:val="16"/>
                <w:lang w:val="de-DE"/>
              </w:rPr>
              <w:t>0.006193</w:t>
            </w:r>
            <w:r w:rsidRPr="00A51255">
              <w:rPr>
                <w:rFonts w:ascii="Arial" w:hAnsi="Arial" w:cs="Arial"/>
                <w:sz w:val="16"/>
                <w:szCs w:val="16"/>
                <w:lang w:val="de-DE"/>
              </w:rPr>
              <w:t>)</w:t>
            </w:r>
          </w:p>
        </w:tc>
        <w:tc>
          <w:tcPr>
            <w:tcW w:w="1895" w:type="dxa"/>
            <w:vAlign w:val="center"/>
          </w:tcPr>
          <w:p w:rsidR="005A1829" w:rsidRPr="00A51255" w:rsidRDefault="005A1829" w:rsidP="00DC38C7">
            <w:pPr>
              <w:jc w:val="center"/>
              <w:rPr>
                <w:rFonts w:ascii="Arial" w:hAnsi="Arial" w:cs="Arial"/>
                <w:sz w:val="20"/>
                <w:szCs w:val="20"/>
                <w:lang w:val="de-DE"/>
              </w:rPr>
            </w:pPr>
            <w:r w:rsidRPr="004E0C54">
              <w:rPr>
                <w:rFonts w:ascii="Arial" w:hAnsi="Arial" w:cs="Arial"/>
                <w:sz w:val="20"/>
                <w:szCs w:val="20"/>
                <w:lang w:val="de-DE"/>
              </w:rPr>
              <w:t>-0.006069</w:t>
            </w:r>
          </w:p>
          <w:p w:rsidR="005A1829" w:rsidRPr="00A51255" w:rsidRDefault="005A1829" w:rsidP="00DC38C7">
            <w:pPr>
              <w:jc w:val="center"/>
              <w:rPr>
                <w:lang w:val="en-US"/>
              </w:rPr>
            </w:pPr>
            <w:r>
              <w:rPr>
                <w:rFonts w:ascii="Arial" w:hAnsi="Arial" w:cs="Arial"/>
                <w:sz w:val="16"/>
                <w:szCs w:val="16"/>
                <w:lang w:val="de-DE"/>
              </w:rPr>
              <w:t>(</w:t>
            </w:r>
            <w:r w:rsidRPr="004E0C54">
              <w:rPr>
                <w:rFonts w:ascii="Arial" w:hAnsi="Arial" w:cs="Arial"/>
                <w:sz w:val="16"/>
                <w:szCs w:val="16"/>
                <w:lang w:val="de-DE"/>
              </w:rPr>
              <w:t>0.005929</w:t>
            </w:r>
            <w:r w:rsidRPr="00A51255">
              <w:rPr>
                <w:rFonts w:ascii="Arial" w:hAnsi="Arial" w:cs="Arial"/>
                <w:sz w:val="16"/>
                <w:szCs w:val="16"/>
                <w:lang w:val="de-DE"/>
              </w:rPr>
              <w:t>)</w:t>
            </w:r>
          </w:p>
        </w:tc>
      </w:tr>
      <w:tr w:rsidR="005A1829" w:rsidRPr="00647145" w:rsidTr="00DC38C7">
        <w:trPr>
          <w:jc w:val="center"/>
        </w:trPr>
        <w:tc>
          <w:tcPr>
            <w:tcW w:w="290" w:type="dxa"/>
            <w:vAlign w:val="center"/>
          </w:tcPr>
          <w:p w:rsidR="005A1829" w:rsidRPr="00A51255" w:rsidRDefault="005A1829" w:rsidP="00DC38C7">
            <w:pPr>
              <w:spacing w:line="360" w:lineRule="auto"/>
              <w:jc w:val="center"/>
              <w:rPr>
                <w:rFonts w:ascii="Arial" w:hAnsi="Arial" w:cs="Arial"/>
                <w:sz w:val="16"/>
                <w:szCs w:val="16"/>
                <w:lang w:val="de-DE"/>
              </w:rPr>
            </w:pPr>
          </w:p>
        </w:tc>
        <w:tc>
          <w:tcPr>
            <w:tcW w:w="1557" w:type="dxa"/>
            <w:vAlign w:val="center"/>
          </w:tcPr>
          <w:p w:rsidR="005A1829" w:rsidRDefault="005A1829" w:rsidP="00DC38C7">
            <w:pPr>
              <w:jc w:val="center"/>
              <w:rPr>
                <w:rFonts w:ascii="Arial" w:hAnsi="Arial" w:cs="Arial"/>
                <w:b/>
                <w:sz w:val="18"/>
                <w:szCs w:val="18"/>
                <w:lang w:val="de-DE"/>
              </w:rPr>
            </w:pPr>
            <w:r w:rsidRPr="004F48F0">
              <w:rPr>
                <w:rFonts w:ascii="Arial" w:hAnsi="Arial" w:cs="Arial"/>
                <w:b/>
                <w:sz w:val="18"/>
                <w:szCs w:val="18"/>
                <w:lang w:val="de-DE"/>
              </w:rPr>
              <w:t xml:space="preserve">Unexpected </w:t>
            </w:r>
          </w:p>
          <w:p w:rsidR="005A1829" w:rsidRDefault="005A1829" w:rsidP="00DC38C7">
            <w:pPr>
              <w:jc w:val="center"/>
              <w:rPr>
                <w:rFonts w:ascii="Arial" w:hAnsi="Arial" w:cs="Arial"/>
                <w:b/>
                <w:sz w:val="18"/>
                <w:szCs w:val="18"/>
                <w:lang w:val="de-DE"/>
              </w:rPr>
            </w:pPr>
            <w:r>
              <w:rPr>
                <w:rFonts w:ascii="Arial" w:hAnsi="Arial" w:cs="Arial"/>
                <w:b/>
                <w:sz w:val="18"/>
                <w:szCs w:val="18"/>
                <w:lang w:val="de-DE"/>
              </w:rPr>
              <w:t xml:space="preserve">neutral </w:t>
            </w:r>
          </w:p>
          <w:p w:rsidR="005A1829" w:rsidRPr="004F48F0" w:rsidRDefault="005A1829" w:rsidP="00DC38C7">
            <w:pPr>
              <w:jc w:val="center"/>
              <w:rPr>
                <w:rFonts w:ascii="Arial" w:hAnsi="Arial" w:cs="Arial"/>
                <w:b/>
                <w:sz w:val="18"/>
                <w:szCs w:val="18"/>
                <w:lang w:val="de-DE"/>
              </w:rPr>
            </w:pPr>
            <w:r w:rsidRPr="004F48F0">
              <w:rPr>
                <w:rFonts w:ascii="Arial" w:hAnsi="Arial" w:cs="Arial"/>
                <w:b/>
                <w:sz w:val="18"/>
                <w:szCs w:val="18"/>
                <w:lang w:val="de-DE"/>
              </w:rPr>
              <w:t>announcement:</w:t>
            </w:r>
          </w:p>
        </w:tc>
        <w:tc>
          <w:tcPr>
            <w:tcW w:w="1926" w:type="dxa"/>
            <w:vAlign w:val="center"/>
          </w:tcPr>
          <w:p w:rsidR="005A1829" w:rsidRPr="004F48F0" w:rsidRDefault="005A1829" w:rsidP="00DC38C7">
            <w:pPr>
              <w:jc w:val="center"/>
              <w:rPr>
                <w:rFonts w:ascii="Arial" w:hAnsi="Arial" w:cs="Arial"/>
                <w:b/>
                <w:sz w:val="18"/>
                <w:szCs w:val="18"/>
                <w:lang w:val="de-DE"/>
              </w:rPr>
            </w:pPr>
            <w:r w:rsidRPr="004F48F0">
              <w:rPr>
                <w:rFonts w:ascii="Arial" w:hAnsi="Arial" w:cs="Arial"/>
                <w:b/>
                <w:sz w:val="18"/>
                <w:szCs w:val="18"/>
                <w:lang w:val="de-DE"/>
              </w:rPr>
              <w:t>Money Supply</w:t>
            </w:r>
          </w:p>
          <w:p w:rsidR="005A1829" w:rsidRPr="00CA2C53" w:rsidRDefault="005A1829" w:rsidP="00DC38C7">
            <w:pPr>
              <w:jc w:val="center"/>
              <w:rPr>
                <w:rFonts w:ascii="Arial" w:hAnsi="Arial" w:cs="Arial"/>
                <w:b/>
                <w:sz w:val="2"/>
                <w:szCs w:val="2"/>
                <w:lang w:val="de-DE"/>
              </w:rPr>
            </w:pPr>
          </w:p>
          <w:p w:rsidR="005A1829" w:rsidRPr="004F48F0" w:rsidRDefault="005A1829" w:rsidP="00DC38C7">
            <w:pPr>
              <w:jc w:val="center"/>
              <w:rPr>
                <w:rFonts w:ascii="Arial" w:hAnsi="Arial" w:cs="Arial"/>
                <w:b/>
                <w:sz w:val="20"/>
                <w:szCs w:val="20"/>
                <w:lang w:val="de-DE"/>
              </w:rPr>
            </w:pPr>
            <w:r w:rsidRPr="009F1BCD">
              <w:rPr>
                <w:b/>
                <w:sz w:val="20"/>
                <w:szCs w:val="20"/>
                <w:lang w:val="de-DE"/>
              </w:rPr>
              <w:t>(</w:t>
            </w:r>
            <w:r w:rsidRPr="004F48F0">
              <w:rPr>
                <w:b/>
                <w:i/>
                <w:sz w:val="20"/>
                <w:szCs w:val="20"/>
                <w:lang w:val="de-DE"/>
              </w:rPr>
              <w:t>MS</w:t>
            </w:r>
            <w:r w:rsidRPr="009F1BCD">
              <w:rPr>
                <w:b/>
                <w:sz w:val="20"/>
                <w:szCs w:val="20"/>
                <w:lang w:val="de-DE"/>
              </w:rPr>
              <w:t>)</w:t>
            </w:r>
          </w:p>
        </w:tc>
        <w:tc>
          <w:tcPr>
            <w:tcW w:w="1927" w:type="dxa"/>
            <w:vAlign w:val="center"/>
          </w:tcPr>
          <w:p w:rsidR="005A1829" w:rsidRDefault="005A1829" w:rsidP="00DC38C7">
            <w:pPr>
              <w:jc w:val="center"/>
              <w:rPr>
                <w:rFonts w:ascii="Arial" w:hAnsi="Arial" w:cs="Arial"/>
                <w:b/>
                <w:sz w:val="18"/>
                <w:szCs w:val="18"/>
                <w:lang w:val="de-DE"/>
              </w:rPr>
            </w:pPr>
            <w:r w:rsidRPr="004F48F0">
              <w:rPr>
                <w:rFonts w:ascii="Arial" w:hAnsi="Arial" w:cs="Arial"/>
                <w:b/>
                <w:sz w:val="18"/>
                <w:szCs w:val="18"/>
                <w:lang w:val="de-DE"/>
              </w:rPr>
              <w:t>Reserve Money</w:t>
            </w:r>
          </w:p>
          <w:p w:rsidR="005A1829" w:rsidRPr="00CA2C53" w:rsidRDefault="005A1829" w:rsidP="00DC38C7">
            <w:pPr>
              <w:jc w:val="center"/>
              <w:rPr>
                <w:rFonts w:ascii="Arial" w:hAnsi="Arial" w:cs="Arial"/>
                <w:b/>
                <w:sz w:val="2"/>
                <w:szCs w:val="2"/>
                <w:lang w:val="de-DE"/>
              </w:rPr>
            </w:pPr>
          </w:p>
          <w:p w:rsidR="005A1829" w:rsidRPr="004F48F0" w:rsidRDefault="005A1829" w:rsidP="00DC38C7">
            <w:pPr>
              <w:jc w:val="center"/>
              <w:rPr>
                <w:b/>
                <w:i/>
                <w:sz w:val="20"/>
                <w:szCs w:val="20"/>
                <w:lang w:val="en-US"/>
              </w:rPr>
            </w:pPr>
            <w:r w:rsidRPr="009F1BCD">
              <w:rPr>
                <w:b/>
                <w:sz w:val="20"/>
                <w:szCs w:val="20"/>
                <w:lang w:val="en-US"/>
              </w:rPr>
              <w:t>(</w:t>
            </w:r>
            <w:r w:rsidRPr="004F48F0">
              <w:rPr>
                <w:b/>
                <w:i/>
                <w:sz w:val="20"/>
                <w:szCs w:val="20"/>
                <w:lang w:val="en-US"/>
              </w:rPr>
              <w:t>RM</w:t>
            </w:r>
            <w:r w:rsidRPr="009F1BCD">
              <w:rPr>
                <w:b/>
                <w:sz w:val="20"/>
                <w:szCs w:val="20"/>
                <w:lang w:val="en-US"/>
              </w:rPr>
              <w:t>)</w:t>
            </w:r>
          </w:p>
        </w:tc>
        <w:tc>
          <w:tcPr>
            <w:tcW w:w="1927" w:type="dxa"/>
            <w:vAlign w:val="center"/>
          </w:tcPr>
          <w:p w:rsidR="005A1829" w:rsidRDefault="005A1829" w:rsidP="00DC38C7">
            <w:pPr>
              <w:jc w:val="center"/>
              <w:rPr>
                <w:rFonts w:ascii="Arial" w:hAnsi="Arial" w:cs="Arial"/>
                <w:b/>
                <w:sz w:val="18"/>
                <w:szCs w:val="18"/>
                <w:lang w:val="de-DE"/>
              </w:rPr>
            </w:pPr>
            <w:r>
              <w:rPr>
                <w:rFonts w:ascii="Arial" w:hAnsi="Arial" w:cs="Arial"/>
                <w:b/>
                <w:sz w:val="18"/>
                <w:szCs w:val="18"/>
                <w:lang w:val="de-DE"/>
              </w:rPr>
              <w:t>Balance of Payments</w:t>
            </w:r>
          </w:p>
          <w:p w:rsidR="005A1829" w:rsidRPr="00CA2C53" w:rsidRDefault="005A1829" w:rsidP="00DC38C7">
            <w:pPr>
              <w:jc w:val="center"/>
              <w:rPr>
                <w:b/>
                <w:i/>
                <w:sz w:val="2"/>
                <w:szCs w:val="2"/>
                <w:lang w:val="en-US"/>
              </w:rPr>
            </w:pPr>
          </w:p>
          <w:p w:rsidR="005A1829" w:rsidRPr="004F48F0" w:rsidRDefault="005A1829" w:rsidP="00DC38C7">
            <w:pPr>
              <w:jc w:val="center"/>
              <w:rPr>
                <w:b/>
                <w:i/>
                <w:sz w:val="20"/>
                <w:szCs w:val="20"/>
                <w:lang w:val="en-US"/>
              </w:rPr>
            </w:pPr>
            <w:r w:rsidRPr="009F1BCD">
              <w:rPr>
                <w:b/>
                <w:sz w:val="20"/>
                <w:szCs w:val="20"/>
                <w:lang w:val="en-US"/>
              </w:rPr>
              <w:t>(</w:t>
            </w:r>
            <w:r w:rsidRPr="004F48F0">
              <w:rPr>
                <w:b/>
                <w:i/>
                <w:sz w:val="20"/>
                <w:szCs w:val="20"/>
                <w:lang w:val="en-US"/>
              </w:rPr>
              <w:t>BOP</w:t>
            </w:r>
            <w:r w:rsidRPr="009F1BCD">
              <w:rPr>
                <w:b/>
                <w:sz w:val="20"/>
                <w:szCs w:val="20"/>
                <w:lang w:val="en-US"/>
              </w:rPr>
              <w:t>)</w:t>
            </w:r>
          </w:p>
        </w:tc>
        <w:tc>
          <w:tcPr>
            <w:tcW w:w="1895" w:type="dxa"/>
            <w:vAlign w:val="center"/>
          </w:tcPr>
          <w:p w:rsidR="005A1829" w:rsidRPr="000E3558" w:rsidRDefault="005A1829" w:rsidP="00DC38C7">
            <w:pPr>
              <w:jc w:val="center"/>
              <w:rPr>
                <w:rFonts w:ascii="Arial" w:hAnsi="Arial" w:cs="Arial"/>
                <w:b/>
                <w:sz w:val="18"/>
                <w:szCs w:val="18"/>
                <w:lang w:val="en-US"/>
              </w:rPr>
            </w:pPr>
            <w:r w:rsidRPr="000E3558">
              <w:rPr>
                <w:rFonts w:ascii="Arial" w:hAnsi="Arial" w:cs="Arial"/>
                <w:b/>
                <w:sz w:val="18"/>
                <w:szCs w:val="18"/>
                <w:lang w:val="en-US"/>
              </w:rPr>
              <w:t xml:space="preserve">Liquid Assets </w:t>
            </w:r>
          </w:p>
          <w:p w:rsidR="005A1829" w:rsidRPr="000E3558" w:rsidRDefault="005A1829" w:rsidP="00DC38C7">
            <w:pPr>
              <w:jc w:val="center"/>
              <w:rPr>
                <w:rFonts w:ascii="Arial" w:hAnsi="Arial" w:cs="Arial"/>
                <w:b/>
                <w:sz w:val="18"/>
                <w:szCs w:val="18"/>
                <w:lang w:val="en-US"/>
              </w:rPr>
            </w:pPr>
            <w:r w:rsidRPr="000E3558">
              <w:rPr>
                <w:rFonts w:ascii="Arial" w:hAnsi="Arial" w:cs="Arial"/>
                <w:b/>
                <w:sz w:val="18"/>
                <w:szCs w:val="18"/>
                <w:lang w:val="en-US"/>
              </w:rPr>
              <w:t xml:space="preserve">and Liabilities </w:t>
            </w:r>
          </w:p>
          <w:p w:rsidR="005A1829" w:rsidRPr="009F1BCD" w:rsidRDefault="005A1829" w:rsidP="00DC38C7">
            <w:pPr>
              <w:jc w:val="center"/>
              <w:rPr>
                <w:b/>
                <w:i/>
                <w:sz w:val="20"/>
                <w:szCs w:val="20"/>
                <w:lang w:val="en-US"/>
              </w:rPr>
            </w:pPr>
            <w:r w:rsidRPr="000E3558">
              <w:rPr>
                <w:rFonts w:ascii="Arial" w:hAnsi="Arial" w:cs="Arial"/>
                <w:b/>
                <w:sz w:val="18"/>
                <w:szCs w:val="18"/>
                <w:lang w:val="en-US"/>
              </w:rPr>
              <w:t>(</w:t>
            </w:r>
            <w:r w:rsidRPr="009F1BCD">
              <w:rPr>
                <w:b/>
                <w:i/>
                <w:sz w:val="20"/>
                <w:szCs w:val="20"/>
                <w:lang w:val="en-US"/>
              </w:rPr>
              <w:t>AL</w:t>
            </w:r>
            <w:r w:rsidRPr="009F1BCD">
              <w:rPr>
                <w:b/>
                <w:sz w:val="20"/>
                <w:szCs w:val="20"/>
                <w:lang w:val="en-US"/>
              </w:rPr>
              <w:t>)</w:t>
            </w:r>
          </w:p>
        </w:tc>
      </w:tr>
      <w:tr w:rsidR="005A1829" w:rsidRPr="00A51255" w:rsidTr="00DC38C7">
        <w:trPr>
          <w:jc w:val="center"/>
        </w:trPr>
        <w:tc>
          <w:tcPr>
            <w:tcW w:w="290" w:type="dxa"/>
            <w:vAlign w:val="center"/>
          </w:tcPr>
          <w:p w:rsidR="005A1829" w:rsidRPr="00A51255" w:rsidRDefault="005A1829" w:rsidP="00DC38C7">
            <w:pPr>
              <w:spacing w:line="360" w:lineRule="auto"/>
              <w:jc w:val="center"/>
              <w:rPr>
                <w:rFonts w:ascii="Arial" w:hAnsi="Arial" w:cs="Arial"/>
                <w:sz w:val="16"/>
                <w:szCs w:val="16"/>
                <w:lang w:val="de-DE"/>
              </w:rPr>
            </w:pPr>
            <w:r>
              <w:rPr>
                <w:rFonts w:ascii="Arial" w:hAnsi="Arial" w:cs="Arial"/>
                <w:sz w:val="16"/>
                <w:szCs w:val="16"/>
                <w:lang w:val="de-DE"/>
              </w:rPr>
              <w:t>(1)</w:t>
            </w:r>
          </w:p>
        </w:tc>
        <w:tc>
          <w:tcPr>
            <w:tcW w:w="1557" w:type="dxa"/>
            <w:vAlign w:val="center"/>
          </w:tcPr>
          <w:p w:rsidR="005A1829" w:rsidRDefault="005A1829" w:rsidP="00DC38C7">
            <w:pPr>
              <w:ind w:left="123"/>
              <w:jc w:val="center"/>
            </w:pPr>
            <w:r w:rsidRPr="00B3604A">
              <w:rPr>
                <w:position w:val="-10"/>
              </w:rPr>
              <w:object w:dxaOrig="300" w:dyaOrig="340">
                <v:shape id="_x0000_i1159" type="#_x0000_t75" style="width:14.15pt;height:16.7pt" o:ole="">
                  <v:imagedata r:id="rId102" o:title=""/>
                </v:shape>
                <o:OLEObject Type="Embed" ProgID="Equation.3" ShapeID="_x0000_i1159" DrawAspect="Content" ObjectID="_1507543506" r:id="rId204"/>
              </w:object>
            </w:r>
          </w:p>
          <w:p w:rsidR="005A1829" w:rsidRPr="004F48F0" w:rsidRDefault="005A1829" w:rsidP="00DC38C7">
            <w:pPr>
              <w:ind w:left="123"/>
              <w:jc w:val="center"/>
              <w:rPr>
                <w:b/>
                <w:sz w:val="18"/>
                <w:szCs w:val="18"/>
                <w:lang w:val="de-DE"/>
              </w:rPr>
            </w:pPr>
            <w:r>
              <w:rPr>
                <w:rFonts w:ascii="Arial" w:hAnsi="Arial" w:cs="Arial"/>
                <w:b/>
                <w:sz w:val="18"/>
                <w:szCs w:val="18"/>
                <w:lang w:val="de-DE"/>
              </w:rPr>
              <w:t>neutral</w:t>
            </w:r>
          </w:p>
        </w:tc>
        <w:tc>
          <w:tcPr>
            <w:tcW w:w="1926" w:type="dxa"/>
            <w:vAlign w:val="center"/>
          </w:tcPr>
          <w:p w:rsidR="005A1829" w:rsidRPr="00A51255" w:rsidRDefault="005A1829" w:rsidP="00DC38C7">
            <w:pPr>
              <w:jc w:val="center"/>
              <w:rPr>
                <w:rFonts w:ascii="Arial" w:hAnsi="Arial" w:cs="Arial"/>
                <w:sz w:val="20"/>
                <w:szCs w:val="20"/>
                <w:lang w:val="de-DE"/>
              </w:rPr>
            </w:pPr>
            <w:r w:rsidRPr="00E567F9">
              <w:rPr>
                <w:rFonts w:ascii="Arial" w:hAnsi="Arial" w:cs="Arial"/>
                <w:sz w:val="20"/>
                <w:szCs w:val="20"/>
                <w:lang w:val="de-DE"/>
              </w:rPr>
              <w:t>0.048540</w:t>
            </w:r>
          </w:p>
          <w:p w:rsidR="005A1829" w:rsidRPr="00A51255" w:rsidRDefault="005A1829" w:rsidP="00DC38C7">
            <w:pPr>
              <w:jc w:val="center"/>
              <w:rPr>
                <w:lang w:val="en-US"/>
              </w:rPr>
            </w:pPr>
            <w:r>
              <w:rPr>
                <w:rFonts w:ascii="Arial" w:hAnsi="Arial" w:cs="Arial"/>
                <w:sz w:val="16"/>
                <w:szCs w:val="16"/>
                <w:lang w:val="de-DE"/>
              </w:rPr>
              <w:t>(</w:t>
            </w:r>
            <w:r w:rsidRPr="00E567F9">
              <w:rPr>
                <w:rFonts w:ascii="Arial" w:hAnsi="Arial" w:cs="Arial"/>
                <w:sz w:val="16"/>
                <w:szCs w:val="16"/>
                <w:lang w:val="de-DE"/>
              </w:rPr>
              <w:t>0.115406</w:t>
            </w:r>
            <w:r w:rsidRPr="00A51255">
              <w:rPr>
                <w:rFonts w:ascii="Arial" w:hAnsi="Arial" w:cs="Arial"/>
                <w:sz w:val="16"/>
                <w:szCs w:val="16"/>
                <w:lang w:val="de-DE"/>
              </w:rPr>
              <w:t>)</w:t>
            </w:r>
          </w:p>
        </w:tc>
        <w:tc>
          <w:tcPr>
            <w:tcW w:w="1927" w:type="dxa"/>
            <w:vAlign w:val="center"/>
          </w:tcPr>
          <w:p w:rsidR="005A1829" w:rsidRPr="00A51255" w:rsidRDefault="005A1829" w:rsidP="00DC38C7">
            <w:pPr>
              <w:jc w:val="center"/>
              <w:rPr>
                <w:rFonts w:ascii="Arial" w:hAnsi="Arial" w:cs="Arial"/>
                <w:sz w:val="20"/>
                <w:szCs w:val="20"/>
                <w:lang w:val="de-DE"/>
              </w:rPr>
            </w:pPr>
            <w:r w:rsidRPr="00B4399B">
              <w:rPr>
                <w:rFonts w:ascii="Arial" w:hAnsi="Arial" w:cs="Arial"/>
                <w:sz w:val="20"/>
                <w:szCs w:val="20"/>
                <w:lang w:val="de-DE"/>
              </w:rPr>
              <w:t>-0.103836</w:t>
            </w:r>
          </w:p>
          <w:p w:rsidR="005A1829" w:rsidRPr="00A51255" w:rsidRDefault="005A1829" w:rsidP="00DC38C7">
            <w:pPr>
              <w:jc w:val="center"/>
              <w:rPr>
                <w:lang w:val="en-US"/>
              </w:rPr>
            </w:pPr>
            <w:r>
              <w:rPr>
                <w:rFonts w:ascii="Arial" w:hAnsi="Arial" w:cs="Arial"/>
                <w:sz w:val="16"/>
                <w:szCs w:val="16"/>
                <w:lang w:val="de-DE"/>
              </w:rPr>
              <w:t>(</w:t>
            </w:r>
            <w:r w:rsidRPr="00B4399B">
              <w:rPr>
                <w:rFonts w:ascii="Arial" w:hAnsi="Arial" w:cs="Arial"/>
                <w:sz w:val="16"/>
                <w:szCs w:val="16"/>
                <w:lang w:val="de-DE"/>
              </w:rPr>
              <w:t>0.261657</w:t>
            </w:r>
            <w:r w:rsidRPr="00A51255">
              <w:rPr>
                <w:rFonts w:ascii="Arial" w:hAnsi="Arial" w:cs="Arial"/>
                <w:sz w:val="16"/>
                <w:szCs w:val="16"/>
                <w:lang w:val="de-DE"/>
              </w:rPr>
              <w:t>)</w:t>
            </w:r>
          </w:p>
        </w:tc>
        <w:tc>
          <w:tcPr>
            <w:tcW w:w="1927" w:type="dxa"/>
            <w:vAlign w:val="center"/>
          </w:tcPr>
          <w:p w:rsidR="005A1829" w:rsidRPr="00A51255" w:rsidRDefault="005A1829" w:rsidP="00DC38C7">
            <w:pPr>
              <w:jc w:val="center"/>
              <w:rPr>
                <w:rFonts w:ascii="Arial" w:hAnsi="Arial" w:cs="Arial"/>
                <w:sz w:val="20"/>
                <w:szCs w:val="20"/>
                <w:lang w:val="de-DE"/>
              </w:rPr>
            </w:pPr>
            <w:r w:rsidRPr="00082B18">
              <w:rPr>
                <w:rFonts w:ascii="Arial" w:hAnsi="Arial" w:cs="Arial"/>
                <w:sz w:val="20"/>
                <w:szCs w:val="20"/>
                <w:lang w:val="de-DE"/>
              </w:rPr>
              <w:t>0.119645</w:t>
            </w:r>
          </w:p>
          <w:p w:rsidR="005A1829" w:rsidRPr="00A51255" w:rsidRDefault="005A1829" w:rsidP="00DC38C7">
            <w:pPr>
              <w:jc w:val="center"/>
              <w:rPr>
                <w:lang w:val="en-US"/>
              </w:rPr>
            </w:pPr>
            <w:r>
              <w:rPr>
                <w:rFonts w:ascii="Arial" w:hAnsi="Arial" w:cs="Arial"/>
                <w:sz w:val="16"/>
                <w:szCs w:val="16"/>
                <w:lang w:val="de-DE"/>
              </w:rPr>
              <w:t>(</w:t>
            </w:r>
            <w:r w:rsidRPr="00082B18">
              <w:rPr>
                <w:rFonts w:ascii="Arial" w:hAnsi="Arial" w:cs="Arial"/>
                <w:sz w:val="16"/>
                <w:szCs w:val="16"/>
                <w:lang w:val="de-DE"/>
              </w:rPr>
              <w:t>0.075787</w:t>
            </w:r>
            <w:r w:rsidRPr="00A51255">
              <w:rPr>
                <w:rFonts w:ascii="Arial" w:hAnsi="Arial" w:cs="Arial"/>
                <w:sz w:val="16"/>
                <w:szCs w:val="16"/>
                <w:lang w:val="de-DE"/>
              </w:rPr>
              <w:t>)</w:t>
            </w:r>
          </w:p>
        </w:tc>
        <w:tc>
          <w:tcPr>
            <w:tcW w:w="1895" w:type="dxa"/>
            <w:vAlign w:val="center"/>
          </w:tcPr>
          <w:p w:rsidR="005A1829" w:rsidRPr="00A51255" w:rsidRDefault="005A1829" w:rsidP="00DC38C7">
            <w:pPr>
              <w:jc w:val="center"/>
              <w:rPr>
                <w:rFonts w:ascii="Arial" w:hAnsi="Arial" w:cs="Arial"/>
                <w:sz w:val="20"/>
                <w:szCs w:val="20"/>
                <w:lang w:val="de-DE"/>
              </w:rPr>
            </w:pPr>
            <w:r w:rsidRPr="003F7737">
              <w:rPr>
                <w:rFonts w:ascii="Arial" w:hAnsi="Arial" w:cs="Arial"/>
                <w:sz w:val="20"/>
                <w:szCs w:val="20"/>
                <w:lang w:val="de-DE"/>
              </w:rPr>
              <w:t>0.094787</w:t>
            </w:r>
          </w:p>
          <w:p w:rsidR="005A1829" w:rsidRPr="00A51255" w:rsidRDefault="005A1829" w:rsidP="00DC38C7">
            <w:pPr>
              <w:jc w:val="center"/>
              <w:rPr>
                <w:lang w:val="en-US"/>
              </w:rPr>
            </w:pPr>
            <w:r>
              <w:rPr>
                <w:rFonts w:ascii="Arial" w:hAnsi="Arial" w:cs="Arial"/>
                <w:sz w:val="16"/>
                <w:szCs w:val="16"/>
                <w:lang w:val="de-DE"/>
              </w:rPr>
              <w:t>(</w:t>
            </w:r>
            <w:r w:rsidRPr="003F7737">
              <w:rPr>
                <w:rFonts w:ascii="Arial" w:hAnsi="Arial" w:cs="Arial"/>
                <w:sz w:val="16"/>
                <w:szCs w:val="16"/>
                <w:lang w:val="de-DE"/>
              </w:rPr>
              <w:t>0.083164</w:t>
            </w:r>
            <w:r w:rsidRPr="00A51255">
              <w:rPr>
                <w:rFonts w:ascii="Arial" w:hAnsi="Arial" w:cs="Arial"/>
                <w:sz w:val="16"/>
                <w:szCs w:val="16"/>
                <w:lang w:val="de-DE"/>
              </w:rPr>
              <w:t>)</w:t>
            </w:r>
          </w:p>
        </w:tc>
      </w:tr>
      <w:tr w:rsidR="005A1829" w:rsidRPr="00A51255" w:rsidTr="00DC38C7">
        <w:trPr>
          <w:jc w:val="center"/>
        </w:trPr>
        <w:tc>
          <w:tcPr>
            <w:tcW w:w="9522" w:type="dxa"/>
            <w:gridSpan w:val="6"/>
            <w:vAlign w:val="center"/>
          </w:tcPr>
          <w:p w:rsidR="005A1829" w:rsidRDefault="005A1829" w:rsidP="00DC38C7">
            <w:pPr>
              <w:jc w:val="center"/>
              <w:rPr>
                <w:rFonts w:ascii="Arial" w:hAnsi="Arial" w:cs="Arial"/>
                <w:b/>
                <w:sz w:val="18"/>
                <w:szCs w:val="18"/>
                <w:lang w:val="de-DE"/>
              </w:rPr>
            </w:pPr>
          </w:p>
          <w:p w:rsidR="005A1829" w:rsidRDefault="005A1829" w:rsidP="00DC38C7">
            <w:pPr>
              <w:jc w:val="center"/>
              <w:rPr>
                <w:rFonts w:ascii="Arial" w:hAnsi="Arial" w:cs="Arial"/>
                <w:b/>
                <w:sz w:val="18"/>
                <w:szCs w:val="18"/>
                <w:lang w:val="de-DE"/>
              </w:rPr>
            </w:pPr>
            <w:r>
              <w:rPr>
                <w:rFonts w:ascii="Arial" w:hAnsi="Arial" w:cs="Arial"/>
                <w:b/>
                <w:sz w:val="18"/>
                <w:szCs w:val="18"/>
                <w:lang w:val="de-DE"/>
              </w:rPr>
              <w:t>Conditional variance</w:t>
            </w:r>
            <w:r w:rsidRPr="009D3E6A">
              <w:rPr>
                <w:rFonts w:ascii="Arial" w:hAnsi="Arial" w:cs="Arial"/>
                <w:b/>
                <w:sz w:val="18"/>
                <w:szCs w:val="18"/>
                <w:lang w:val="de-DE"/>
              </w:rPr>
              <w:t xml:space="preserve"> equation:</w:t>
            </w:r>
          </w:p>
          <w:p w:rsidR="005A1829" w:rsidRDefault="005A1829" w:rsidP="00DC38C7">
            <w:pPr>
              <w:jc w:val="center"/>
              <w:rPr>
                <w:rFonts w:ascii="Arial" w:hAnsi="Arial" w:cs="Arial"/>
                <w:sz w:val="20"/>
                <w:szCs w:val="20"/>
                <w:lang w:val="de-DE"/>
              </w:rPr>
            </w:pPr>
          </w:p>
        </w:tc>
      </w:tr>
      <w:tr w:rsidR="005A1829" w:rsidRPr="00A51255" w:rsidTr="00DC38C7">
        <w:trPr>
          <w:jc w:val="center"/>
        </w:trPr>
        <w:tc>
          <w:tcPr>
            <w:tcW w:w="290" w:type="dxa"/>
            <w:vAlign w:val="center"/>
          </w:tcPr>
          <w:p w:rsidR="005A1829" w:rsidRPr="00A51255" w:rsidRDefault="005A1829" w:rsidP="00DC38C7">
            <w:pPr>
              <w:spacing w:line="360" w:lineRule="auto"/>
              <w:jc w:val="center"/>
              <w:rPr>
                <w:rFonts w:ascii="Arial" w:hAnsi="Arial" w:cs="Arial"/>
                <w:sz w:val="16"/>
                <w:szCs w:val="16"/>
                <w:lang w:val="de-DE"/>
              </w:rPr>
            </w:pPr>
            <w:r>
              <w:rPr>
                <w:rFonts w:ascii="Arial" w:hAnsi="Arial" w:cs="Arial"/>
                <w:sz w:val="16"/>
                <w:szCs w:val="16"/>
                <w:lang w:val="de-DE"/>
              </w:rPr>
              <w:t>(2)</w:t>
            </w:r>
          </w:p>
        </w:tc>
        <w:tc>
          <w:tcPr>
            <w:tcW w:w="1557" w:type="dxa"/>
            <w:vAlign w:val="center"/>
          </w:tcPr>
          <w:p w:rsidR="005A1829" w:rsidRPr="004F48F0" w:rsidRDefault="005A1829" w:rsidP="00DC38C7">
            <w:pPr>
              <w:jc w:val="center"/>
              <w:rPr>
                <w:rFonts w:ascii="Arial" w:hAnsi="Arial" w:cs="Arial"/>
                <w:b/>
                <w:sz w:val="18"/>
                <w:szCs w:val="18"/>
                <w:lang w:val="de-DE"/>
              </w:rPr>
            </w:pPr>
            <w:r w:rsidRPr="002163BB">
              <w:rPr>
                <w:rFonts w:ascii="Garamond" w:hAnsi="Garamond"/>
                <w:i/>
                <w:position w:val="-12"/>
                <w:lang w:val="de-DE"/>
              </w:rPr>
              <w:object w:dxaOrig="300" w:dyaOrig="400">
                <v:shape id="_x0000_i1160" type="#_x0000_t75" style="width:12.85pt;height:18pt" o:ole="">
                  <v:imagedata r:id="rId110" o:title=""/>
                </v:shape>
                <o:OLEObject Type="Embed" ProgID="Equation.3" ShapeID="_x0000_i1160" DrawAspect="Content" ObjectID="_1507543507" r:id="rId205"/>
              </w:object>
            </w:r>
          </w:p>
        </w:tc>
        <w:tc>
          <w:tcPr>
            <w:tcW w:w="1926" w:type="dxa"/>
            <w:vAlign w:val="center"/>
          </w:tcPr>
          <w:p w:rsidR="005A1829" w:rsidRPr="00A51255" w:rsidRDefault="005A1829" w:rsidP="00DC38C7">
            <w:pPr>
              <w:jc w:val="center"/>
              <w:rPr>
                <w:rFonts w:ascii="Arial" w:hAnsi="Arial" w:cs="Arial"/>
                <w:sz w:val="20"/>
                <w:szCs w:val="20"/>
                <w:lang w:val="de-DE"/>
              </w:rPr>
            </w:pPr>
            <w:r w:rsidRPr="00AB1EB1">
              <w:rPr>
                <w:rFonts w:ascii="Arial" w:hAnsi="Arial" w:cs="Arial"/>
                <w:sz w:val="20"/>
                <w:szCs w:val="20"/>
                <w:lang w:val="de-DE"/>
              </w:rPr>
              <w:t>0.064739</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AB1EB1">
              <w:rPr>
                <w:rFonts w:ascii="Arial" w:hAnsi="Arial" w:cs="Arial"/>
                <w:sz w:val="16"/>
                <w:szCs w:val="16"/>
                <w:lang w:val="de-DE"/>
              </w:rPr>
              <w:t>0.031650</w:t>
            </w:r>
            <w:r w:rsidRPr="00A51255">
              <w:rPr>
                <w:rFonts w:ascii="Arial" w:hAnsi="Arial" w:cs="Arial"/>
                <w:sz w:val="16"/>
                <w:szCs w:val="16"/>
                <w:lang w:val="de-DE"/>
              </w:rPr>
              <w:t>)</w:t>
            </w:r>
          </w:p>
        </w:tc>
        <w:tc>
          <w:tcPr>
            <w:tcW w:w="1927" w:type="dxa"/>
            <w:vAlign w:val="center"/>
          </w:tcPr>
          <w:p w:rsidR="005A1829" w:rsidRPr="00A51255" w:rsidRDefault="005A1829" w:rsidP="00DC38C7">
            <w:pPr>
              <w:jc w:val="center"/>
              <w:rPr>
                <w:rFonts w:ascii="Arial" w:hAnsi="Arial" w:cs="Arial"/>
                <w:sz w:val="20"/>
                <w:szCs w:val="20"/>
                <w:lang w:val="de-DE"/>
              </w:rPr>
            </w:pPr>
            <w:r w:rsidRPr="00F17751">
              <w:rPr>
                <w:rFonts w:ascii="Arial" w:hAnsi="Arial" w:cs="Arial"/>
                <w:sz w:val="20"/>
                <w:szCs w:val="20"/>
                <w:lang w:val="de-DE"/>
              </w:rPr>
              <w:t>0.073840</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F17751">
              <w:rPr>
                <w:rFonts w:ascii="Arial" w:hAnsi="Arial" w:cs="Arial"/>
                <w:sz w:val="16"/>
                <w:szCs w:val="16"/>
                <w:lang w:val="de-DE"/>
              </w:rPr>
              <w:t>0.023694</w:t>
            </w:r>
            <w:r w:rsidRPr="00A51255">
              <w:rPr>
                <w:rFonts w:ascii="Arial" w:hAnsi="Arial" w:cs="Arial"/>
                <w:sz w:val="16"/>
                <w:szCs w:val="16"/>
                <w:lang w:val="de-DE"/>
              </w:rPr>
              <w:t>)</w:t>
            </w:r>
          </w:p>
        </w:tc>
        <w:tc>
          <w:tcPr>
            <w:tcW w:w="1927" w:type="dxa"/>
            <w:vAlign w:val="center"/>
          </w:tcPr>
          <w:p w:rsidR="005A1829" w:rsidRPr="00A51255" w:rsidRDefault="005A1829" w:rsidP="00DC38C7">
            <w:pPr>
              <w:jc w:val="center"/>
              <w:rPr>
                <w:rFonts w:ascii="Arial" w:hAnsi="Arial" w:cs="Arial"/>
                <w:sz w:val="20"/>
                <w:szCs w:val="20"/>
                <w:lang w:val="de-DE"/>
              </w:rPr>
            </w:pPr>
            <w:r w:rsidRPr="00E0776D">
              <w:rPr>
                <w:rFonts w:ascii="Arial" w:hAnsi="Arial" w:cs="Arial"/>
                <w:sz w:val="20"/>
                <w:szCs w:val="20"/>
                <w:lang w:val="de-DE"/>
              </w:rPr>
              <w:t>0.054482</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E0776D">
              <w:rPr>
                <w:rFonts w:ascii="Arial" w:hAnsi="Arial" w:cs="Arial"/>
                <w:sz w:val="16"/>
                <w:szCs w:val="16"/>
                <w:lang w:val="de-DE"/>
              </w:rPr>
              <w:t>0.028796</w:t>
            </w:r>
            <w:r w:rsidRPr="00A51255">
              <w:rPr>
                <w:rFonts w:ascii="Arial" w:hAnsi="Arial" w:cs="Arial"/>
                <w:sz w:val="16"/>
                <w:szCs w:val="16"/>
                <w:lang w:val="de-DE"/>
              </w:rPr>
              <w:t>)</w:t>
            </w:r>
          </w:p>
        </w:tc>
        <w:tc>
          <w:tcPr>
            <w:tcW w:w="1895" w:type="dxa"/>
            <w:vAlign w:val="center"/>
          </w:tcPr>
          <w:p w:rsidR="005A1829" w:rsidRPr="00A51255" w:rsidRDefault="005A1829" w:rsidP="00DC38C7">
            <w:pPr>
              <w:jc w:val="center"/>
              <w:rPr>
                <w:rFonts w:ascii="Arial" w:hAnsi="Arial" w:cs="Arial"/>
                <w:sz w:val="20"/>
                <w:szCs w:val="20"/>
                <w:lang w:val="de-DE"/>
              </w:rPr>
            </w:pPr>
            <w:r w:rsidRPr="00984D2A">
              <w:rPr>
                <w:rFonts w:ascii="Arial" w:hAnsi="Arial" w:cs="Arial"/>
                <w:sz w:val="20"/>
                <w:szCs w:val="20"/>
                <w:lang w:val="de-DE"/>
              </w:rPr>
              <w:t>0.058070</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984D2A">
              <w:rPr>
                <w:rFonts w:ascii="Arial" w:hAnsi="Arial" w:cs="Arial"/>
                <w:sz w:val="16"/>
                <w:szCs w:val="16"/>
                <w:lang w:val="de-DE"/>
              </w:rPr>
              <w:t>0.027025</w:t>
            </w:r>
            <w:r w:rsidRPr="00A51255">
              <w:rPr>
                <w:rFonts w:ascii="Arial" w:hAnsi="Arial" w:cs="Arial"/>
                <w:sz w:val="16"/>
                <w:szCs w:val="16"/>
                <w:lang w:val="de-DE"/>
              </w:rPr>
              <w:t>)</w:t>
            </w:r>
          </w:p>
        </w:tc>
      </w:tr>
      <w:tr w:rsidR="005A1829" w:rsidRPr="00A51255" w:rsidTr="00DC38C7">
        <w:trPr>
          <w:jc w:val="center"/>
        </w:trPr>
        <w:tc>
          <w:tcPr>
            <w:tcW w:w="290" w:type="dxa"/>
            <w:vAlign w:val="center"/>
          </w:tcPr>
          <w:p w:rsidR="005A1829" w:rsidRPr="00A51255" w:rsidRDefault="005A1829" w:rsidP="00DC38C7">
            <w:pPr>
              <w:spacing w:line="360" w:lineRule="auto"/>
              <w:jc w:val="center"/>
              <w:rPr>
                <w:rFonts w:ascii="Arial" w:hAnsi="Arial" w:cs="Arial"/>
                <w:lang w:val="en-US"/>
              </w:rPr>
            </w:pPr>
            <w:r>
              <w:rPr>
                <w:rFonts w:ascii="Arial" w:hAnsi="Arial" w:cs="Arial"/>
                <w:sz w:val="16"/>
                <w:szCs w:val="16"/>
                <w:lang w:val="de-DE"/>
              </w:rPr>
              <w:t>(2)</w:t>
            </w:r>
          </w:p>
        </w:tc>
        <w:tc>
          <w:tcPr>
            <w:tcW w:w="1557" w:type="dxa"/>
            <w:vAlign w:val="center"/>
          </w:tcPr>
          <w:p w:rsidR="005A1829" w:rsidRPr="004F48F0" w:rsidRDefault="005A1829" w:rsidP="00DC38C7">
            <w:pPr>
              <w:jc w:val="center"/>
              <w:rPr>
                <w:rFonts w:ascii="Arial" w:hAnsi="Arial" w:cs="Arial"/>
                <w:b/>
                <w:sz w:val="18"/>
                <w:szCs w:val="18"/>
                <w:lang w:val="de-DE"/>
              </w:rPr>
            </w:pPr>
            <w:r w:rsidRPr="00B3604A">
              <w:rPr>
                <w:rFonts w:ascii="Garamond" w:hAnsi="Garamond"/>
                <w:i/>
                <w:position w:val="-10"/>
                <w:lang w:val="de-DE"/>
              </w:rPr>
              <w:object w:dxaOrig="279" w:dyaOrig="380">
                <v:shape id="_x0000_i1161" type="#_x0000_t75" style="width:11.55pt;height:16.7pt" o:ole="">
                  <v:imagedata r:id="rId112" o:title=""/>
                </v:shape>
                <o:OLEObject Type="Embed" ProgID="Equation.3" ShapeID="_x0000_i1161" DrawAspect="Content" ObjectID="_1507543508" r:id="rId206"/>
              </w:object>
            </w:r>
          </w:p>
        </w:tc>
        <w:tc>
          <w:tcPr>
            <w:tcW w:w="1926" w:type="dxa"/>
            <w:vAlign w:val="center"/>
          </w:tcPr>
          <w:p w:rsidR="005A1829" w:rsidRPr="00A51255" w:rsidRDefault="005A1829" w:rsidP="00DC38C7">
            <w:pPr>
              <w:jc w:val="center"/>
              <w:rPr>
                <w:rFonts w:ascii="Arial" w:hAnsi="Arial" w:cs="Arial"/>
                <w:sz w:val="20"/>
                <w:szCs w:val="20"/>
                <w:lang w:val="de-DE"/>
              </w:rPr>
            </w:pPr>
            <w:r w:rsidRPr="00AB1EB1">
              <w:rPr>
                <w:rFonts w:ascii="Arial" w:hAnsi="Arial" w:cs="Arial"/>
                <w:sz w:val="20"/>
                <w:szCs w:val="20"/>
                <w:lang w:val="de-DE"/>
              </w:rPr>
              <w:t>0.098119</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AB1EB1">
              <w:rPr>
                <w:rFonts w:ascii="Arial" w:hAnsi="Arial" w:cs="Arial"/>
                <w:sz w:val="16"/>
                <w:szCs w:val="16"/>
                <w:lang w:val="de-DE"/>
              </w:rPr>
              <w:t>0.032404</w:t>
            </w:r>
            <w:r w:rsidRPr="00A51255">
              <w:rPr>
                <w:rFonts w:ascii="Arial" w:hAnsi="Arial" w:cs="Arial"/>
                <w:sz w:val="16"/>
                <w:szCs w:val="16"/>
                <w:lang w:val="de-DE"/>
              </w:rPr>
              <w:t>)</w:t>
            </w:r>
          </w:p>
        </w:tc>
        <w:tc>
          <w:tcPr>
            <w:tcW w:w="1927" w:type="dxa"/>
            <w:vAlign w:val="center"/>
          </w:tcPr>
          <w:p w:rsidR="005A1829" w:rsidRPr="00A51255" w:rsidRDefault="005A1829" w:rsidP="00DC38C7">
            <w:pPr>
              <w:jc w:val="center"/>
              <w:rPr>
                <w:rFonts w:ascii="Arial" w:hAnsi="Arial" w:cs="Arial"/>
                <w:sz w:val="20"/>
                <w:szCs w:val="20"/>
                <w:lang w:val="de-DE"/>
              </w:rPr>
            </w:pPr>
            <w:r w:rsidRPr="00C43D48">
              <w:rPr>
                <w:rFonts w:ascii="Arial" w:hAnsi="Arial" w:cs="Arial"/>
                <w:sz w:val="20"/>
                <w:szCs w:val="20"/>
                <w:lang w:val="de-DE"/>
              </w:rPr>
              <w:t>0.134368</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C43D48">
              <w:rPr>
                <w:rFonts w:ascii="Arial" w:hAnsi="Arial" w:cs="Arial"/>
                <w:sz w:val="16"/>
                <w:szCs w:val="16"/>
                <w:lang w:val="de-DE"/>
              </w:rPr>
              <w:t>0.031903</w:t>
            </w:r>
            <w:r w:rsidRPr="00A51255">
              <w:rPr>
                <w:rFonts w:ascii="Arial" w:hAnsi="Arial" w:cs="Arial"/>
                <w:sz w:val="16"/>
                <w:szCs w:val="16"/>
                <w:lang w:val="de-DE"/>
              </w:rPr>
              <w:t>)</w:t>
            </w:r>
          </w:p>
        </w:tc>
        <w:tc>
          <w:tcPr>
            <w:tcW w:w="1927" w:type="dxa"/>
            <w:vAlign w:val="center"/>
          </w:tcPr>
          <w:p w:rsidR="005A1829" w:rsidRPr="00A51255" w:rsidRDefault="005A1829" w:rsidP="00DC38C7">
            <w:pPr>
              <w:jc w:val="center"/>
              <w:rPr>
                <w:rFonts w:ascii="Arial" w:hAnsi="Arial" w:cs="Arial"/>
                <w:sz w:val="20"/>
                <w:szCs w:val="20"/>
                <w:lang w:val="de-DE"/>
              </w:rPr>
            </w:pPr>
            <w:r w:rsidRPr="00B43D95">
              <w:rPr>
                <w:rFonts w:ascii="Arial" w:hAnsi="Arial" w:cs="Arial"/>
                <w:sz w:val="20"/>
                <w:szCs w:val="20"/>
                <w:lang w:val="de-DE"/>
              </w:rPr>
              <w:t>0.100299</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B43D95">
              <w:rPr>
                <w:rFonts w:ascii="Arial" w:hAnsi="Arial" w:cs="Arial"/>
                <w:sz w:val="16"/>
                <w:szCs w:val="16"/>
                <w:lang w:val="de-DE"/>
              </w:rPr>
              <w:t>0.033060</w:t>
            </w:r>
            <w:r w:rsidRPr="00A51255">
              <w:rPr>
                <w:rFonts w:ascii="Arial" w:hAnsi="Arial" w:cs="Arial"/>
                <w:sz w:val="16"/>
                <w:szCs w:val="16"/>
                <w:lang w:val="de-DE"/>
              </w:rPr>
              <w:t>)</w:t>
            </w:r>
          </w:p>
        </w:tc>
        <w:tc>
          <w:tcPr>
            <w:tcW w:w="1895" w:type="dxa"/>
            <w:vAlign w:val="center"/>
          </w:tcPr>
          <w:p w:rsidR="005A1829" w:rsidRPr="00A51255" w:rsidRDefault="005A1829" w:rsidP="00DC38C7">
            <w:pPr>
              <w:jc w:val="center"/>
              <w:rPr>
                <w:rFonts w:ascii="Arial" w:hAnsi="Arial" w:cs="Arial"/>
                <w:sz w:val="20"/>
                <w:szCs w:val="20"/>
                <w:lang w:val="de-DE"/>
              </w:rPr>
            </w:pPr>
            <w:r w:rsidRPr="00F07BDD">
              <w:rPr>
                <w:rFonts w:ascii="Arial" w:hAnsi="Arial" w:cs="Arial"/>
                <w:sz w:val="20"/>
                <w:szCs w:val="20"/>
                <w:lang w:val="de-DE"/>
              </w:rPr>
              <w:t>0.087175</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F07BDD">
              <w:rPr>
                <w:rFonts w:ascii="Arial" w:hAnsi="Arial" w:cs="Arial"/>
                <w:sz w:val="16"/>
                <w:szCs w:val="16"/>
                <w:lang w:val="de-DE"/>
              </w:rPr>
              <w:t>0.033313</w:t>
            </w:r>
            <w:r w:rsidRPr="00A51255">
              <w:rPr>
                <w:rFonts w:ascii="Arial" w:hAnsi="Arial" w:cs="Arial"/>
                <w:sz w:val="16"/>
                <w:szCs w:val="16"/>
                <w:lang w:val="de-DE"/>
              </w:rPr>
              <w:t>)</w:t>
            </w:r>
          </w:p>
        </w:tc>
      </w:tr>
      <w:tr w:rsidR="005A1829" w:rsidRPr="00A51255" w:rsidTr="00DC38C7">
        <w:trPr>
          <w:jc w:val="center"/>
        </w:trPr>
        <w:tc>
          <w:tcPr>
            <w:tcW w:w="290" w:type="dxa"/>
            <w:vAlign w:val="center"/>
          </w:tcPr>
          <w:p w:rsidR="005A1829" w:rsidRPr="00A51255" w:rsidRDefault="005A1829" w:rsidP="00DC38C7">
            <w:pPr>
              <w:spacing w:line="360" w:lineRule="auto"/>
              <w:jc w:val="center"/>
              <w:rPr>
                <w:rFonts w:ascii="Arial" w:hAnsi="Arial" w:cs="Arial"/>
                <w:lang w:val="en-US"/>
              </w:rPr>
            </w:pPr>
            <w:r>
              <w:rPr>
                <w:rFonts w:ascii="Arial" w:hAnsi="Arial" w:cs="Arial"/>
                <w:sz w:val="16"/>
                <w:szCs w:val="16"/>
                <w:lang w:val="de-DE"/>
              </w:rPr>
              <w:t>(2)</w:t>
            </w:r>
          </w:p>
        </w:tc>
        <w:tc>
          <w:tcPr>
            <w:tcW w:w="1557" w:type="dxa"/>
            <w:vAlign w:val="center"/>
          </w:tcPr>
          <w:p w:rsidR="005A1829" w:rsidRPr="004F48F0" w:rsidRDefault="005A1829" w:rsidP="00DC38C7">
            <w:pPr>
              <w:jc w:val="center"/>
              <w:rPr>
                <w:rFonts w:ascii="Arial" w:hAnsi="Arial" w:cs="Arial"/>
                <w:b/>
                <w:sz w:val="18"/>
                <w:szCs w:val="18"/>
                <w:lang w:val="de-DE"/>
              </w:rPr>
            </w:pPr>
            <w:r w:rsidRPr="002C5A6B">
              <w:rPr>
                <w:rFonts w:ascii="Garamond" w:hAnsi="Garamond"/>
                <w:i/>
                <w:position w:val="-10"/>
                <w:lang w:val="de-DE"/>
              </w:rPr>
              <w:object w:dxaOrig="300" w:dyaOrig="380">
                <v:shape id="_x0000_i1162" type="#_x0000_t75" style="width:12.85pt;height:16.7pt" o:ole="">
                  <v:imagedata r:id="rId114" o:title=""/>
                </v:shape>
                <o:OLEObject Type="Embed" ProgID="Equation.3" ShapeID="_x0000_i1162" DrawAspect="Content" ObjectID="_1507543509" r:id="rId207"/>
              </w:object>
            </w:r>
          </w:p>
        </w:tc>
        <w:tc>
          <w:tcPr>
            <w:tcW w:w="1926" w:type="dxa"/>
            <w:vAlign w:val="center"/>
          </w:tcPr>
          <w:p w:rsidR="005A1829" w:rsidRPr="00A51255" w:rsidRDefault="005A1829" w:rsidP="00DC38C7">
            <w:pPr>
              <w:jc w:val="center"/>
              <w:rPr>
                <w:rFonts w:ascii="Arial" w:hAnsi="Arial" w:cs="Arial"/>
                <w:sz w:val="20"/>
                <w:szCs w:val="20"/>
                <w:lang w:val="de-DE"/>
              </w:rPr>
            </w:pPr>
            <w:r w:rsidRPr="00AB1EB1">
              <w:rPr>
                <w:rFonts w:ascii="Arial" w:hAnsi="Arial" w:cs="Arial"/>
                <w:sz w:val="20"/>
                <w:szCs w:val="20"/>
                <w:lang w:val="de-DE"/>
              </w:rPr>
              <w:t>0.704085</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AB1EB1">
              <w:rPr>
                <w:rFonts w:ascii="Arial" w:hAnsi="Arial" w:cs="Arial"/>
                <w:sz w:val="16"/>
                <w:szCs w:val="16"/>
                <w:lang w:val="de-DE"/>
              </w:rPr>
              <w:t>0.100760</w:t>
            </w:r>
            <w:r w:rsidRPr="00A51255">
              <w:rPr>
                <w:rFonts w:ascii="Arial" w:hAnsi="Arial" w:cs="Arial"/>
                <w:sz w:val="16"/>
                <w:szCs w:val="16"/>
                <w:lang w:val="de-DE"/>
              </w:rPr>
              <w:t>)</w:t>
            </w:r>
          </w:p>
        </w:tc>
        <w:tc>
          <w:tcPr>
            <w:tcW w:w="1927" w:type="dxa"/>
            <w:vAlign w:val="center"/>
          </w:tcPr>
          <w:p w:rsidR="005A1829" w:rsidRPr="00A51255" w:rsidRDefault="005A1829" w:rsidP="00DC38C7">
            <w:pPr>
              <w:jc w:val="center"/>
              <w:rPr>
                <w:rFonts w:ascii="Arial" w:hAnsi="Arial" w:cs="Arial"/>
                <w:sz w:val="20"/>
                <w:szCs w:val="20"/>
                <w:lang w:val="de-DE"/>
              </w:rPr>
            </w:pPr>
            <w:r w:rsidRPr="00C11237">
              <w:rPr>
                <w:rFonts w:ascii="Arial" w:hAnsi="Arial" w:cs="Arial"/>
                <w:sz w:val="20"/>
                <w:szCs w:val="20"/>
                <w:lang w:val="de-DE"/>
              </w:rPr>
              <w:t>0.632697</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C11237">
              <w:rPr>
                <w:rFonts w:ascii="Arial" w:hAnsi="Arial" w:cs="Arial"/>
                <w:sz w:val="16"/>
                <w:szCs w:val="16"/>
                <w:lang w:val="de-DE"/>
              </w:rPr>
              <w:t>0.084391</w:t>
            </w:r>
            <w:r w:rsidRPr="00A51255">
              <w:rPr>
                <w:rFonts w:ascii="Arial" w:hAnsi="Arial" w:cs="Arial"/>
                <w:sz w:val="16"/>
                <w:szCs w:val="16"/>
                <w:lang w:val="de-DE"/>
              </w:rPr>
              <w:t>)</w:t>
            </w:r>
          </w:p>
        </w:tc>
        <w:tc>
          <w:tcPr>
            <w:tcW w:w="1927" w:type="dxa"/>
            <w:vAlign w:val="center"/>
          </w:tcPr>
          <w:p w:rsidR="005A1829" w:rsidRPr="00A51255" w:rsidRDefault="005A1829" w:rsidP="00DC38C7">
            <w:pPr>
              <w:jc w:val="center"/>
              <w:rPr>
                <w:rFonts w:ascii="Arial" w:hAnsi="Arial" w:cs="Arial"/>
                <w:sz w:val="20"/>
                <w:szCs w:val="20"/>
                <w:lang w:val="de-DE"/>
              </w:rPr>
            </w:pPr>
            <w:r w:rsidRPr="00B0472D">
              <w:rPr>
                <w:rFonts w:ascii="Arial" w:hAnsi="Arial" w:cs="Arial"/>
                <w:sz w:val="20"/>
                <w:szCs w:val="20"/>
                <w:lang w:val="de-DE"/>
              </w:rPr>
              <w:t>0.722541</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3747F7">
              <w:rPr>
                <w:rFonts w:ascii="Arial" w:hAnsi="Arial" w:cs="Arial"/>
                <w:sz w:val="16"/>
                <w:szCs w:val="16"/>
                <w:lang w:val="de-DE"/>
              </w:rPr>
              <w:t>0.097171</w:t>
            </w:r>
            <w:r w:rsidRPr="00A51255">
              <w:rPr>
                <w:rFonts w:ascii="Arial" w:hAnsi="Arial" w:cs="Arial"/>
                <w:sz w:val="16"/>
                <w:szCs w:val="16"/>
                <w:lang w:val="de-DE"/>
              </w:rPr>
              <w:t>)</w:t>
            </w:r>
          </w:p>
        </w:tc>
        <w:tc>
          <w:tcPr>
            <w:tcW w:w="1895" w:type="dxa"/>
            <w:vAlign w:val="center"/>
          </w:tcPr>
          <w:p w:rsidR="005A1829" w:rsidRPr="00A51255" w:rsidRDefault="005A1829" w:rsidP="00DC38C7">
            <w:pPr>
              <w:jc w:val="center"/>
              <w:rPr>
                <w:rFonts w:ascii="Arial" w:hAnsi="Arial" w:cs="Arial"/>
                <w:sz w:val="20"/>
                <w:szCs w:val="20"/>
                <w:lang w:val="de-DE"/>
              </w:rPr>
            </w:pPr>
            <w:r w:rsidRPr="00867802">
              <w:rPr>
                <w:rFonts w:ascii="Arial" w:hAnsi="Arial" w:cs="Arial"/>
                <w:sz w:val="20"/>
                <w:szCs w:val="20"/>
                <w:lang w:val="de-DE"/>
              </w:rPr>
              <w:t>0.736156</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867802">
              <w:rPr>
                <w:rFonts w:ascii="Arial" w:hAnsi="Arial" w:cs="Arial"/>
                <w:sz w:val="16"/>
                <w:szCs w:val="16"/>
                <w:lang w:val="de-DE"/>
              </w:rPr>
              <w:t>0.086483</w:t>
            </w:r>
            <w:r w:rsidRPr="00A51255">
              <w:rPr>
                <w:rFonts w:ascii="Arial" w:hAnsi="Arial" w:cs="Arial"/>
                <w:sz w:val="16"/>
                <w:szCs w:val="16"/>
                <w:lang w:val="de-DE"/>
              </w:rPr>
              <w:t>)</w:t>
            </w:r>
          </w:p>
        </w:tc>
      </w:tr>
      <w:tr w:rsidR="005A1829" w:rsidRPr="00A51255" w:rsidTr="00DC38C7">
        <w:trPr>
          <w:jc w:val="center"/>
        </w:trPr>
        <w:tc>
          <w:tcPr>
            <w:tcW w:w="290" w:type="dxa"/>
            <w:vAlign w:val="center"/>
          </w:tcPr>
          <w:p w:rsidR="005A1829" w:rsidRPr="00A51255" w:rsidRDefault="005A1829" w:rsidP="00DC38C7">
            <w:pPr>
              <w:spacing w:line="360" w:lineRule="auto"/>
              <w:jc w:val="center"/>
              <w:rPr>
                <w:rFonts w:ascii="Arial" w:hAnsi="Arial" w:cs="Arial"/>
                <w:lang w:val="en-US"/>
              </w:rPr>
            </w:pPr>
            <w:r>
              <w:rPr>
                <w:rFonts w:ascii="Arial" w:hAnsi="Arial" w:cs="Arial"/>
                <w:sz w:val="16"/>
                <w:szCs w:val="16"/>
                <w:lang w:val="de-DE"/>
              </w:rPr>
              <w:t>(2)</w:t>
            </w:r>
          </w:p>
        </w:tc>
        <w:tc>
          <w:tcPr>
            <w:tcW w:w="1557" w:type="dxa"/>
            <w:vAlign w:val="center"/>
          </w:tcPr>
          <w:p w:rsidR="005A1829" w:rsidRPr="004F48F0" w:rsidRDefault="005A1829" w:rsidP="00DC38C7">
            <w:pPr>
              <w:jc w:val="center"/>
              <w:rPr>
                <w:rFonts w:ascii="Arial" w:hAnsi="Arial" w:cs="Arial"/>
                <w:b/>
                <w:sz w:val="18"/>
                <w:szCs w:val="18"/>
                <w:lang w:val="de-DE"/>
              </w:rPr>
            </w:pPr>
            <w:r w:rsidRPr="002C5A6B">
              <w:rPr>
                <w:rFonts w:ascii="Garamond" w:hAnsi="Garamond"/>
                <w:i/>
                <w:position w:val="-12"/>
                <w:lang w:val="de-DE"/>
              </w:rPr>
              <w:object w:dxaOrig="300" w:dyaOrig="400">
                <v:shape id="_x0000_i1163" type="#_x0000_t75" style="width:12.85pt;height:18pt" o:ole="">
                  <v:imagedata r:id="rId116" o:title=""/>
                </v:shape>
                <o:OLEObject Type="Embed" ProgID="Equation.3" ShapeID="_x0000_i1163" DrawAspect="Content" ObjectID="_1507543510" r:id="rId208"/>
              </w:object>
            </w:r>
          </w:p>
        </w:tc>
        <w:tc>
          <w:tcPr>
            <w:tcW w:w="1926" w:type="dxa"/>
            <w:vAlign w:val="center"/>
          </w:tcPr>
          <w:p w:rsidR="005A1829" w:rsidRPr="00A51255" w:rsidRDefault="005A1829" w:rsidP="00DC38C7">
            <w:pPr>
              <w:jc w:val="center"/>
              <w:rPr>
                <w:rFonts w:ascii="Arial" w:hAnsi="Arial" w:cs="Arial"/>
                <w:sz w:val="20"/>
                <w:szCs w:val="20"/>
                <w:lang w:val="de-DE"/>
              </w:rPr>
            </w:pPr>
            <w:r w:rsidRPr="005F6181">
              <w:rPr>
                <w:rFonts w:ascii="Arial" w:hAnsi="Arial" w:cs="Arial"/>
                <w:sz w:val="20"/>
                <w:szCs w:val="20"/>
                <w:lang w:val="de-DE"/>
              </w:rPr>
              <w:t>0.000994</w:t>
            </w:r>
          </w:p>
          <w:p w:rsidR="005A1829" w:rsidRPr="00A51255" w:rsidRDefault="005A1829" w:rsidP="00DC38C7">
            <w:pPr>
              <w:jc w:val="center"/>
              <w:rPr>
                <w:lang w:val="en-US"/>
              </w:rPr>
            </w:pPr>
            <w:r>
              <w:rPr>
                <w:rFonts w:ascii="Arial" w:hAnsi="Arial" w:cs="Arial"/>
                <w:sz w:val="16"/>
                <w:szCs w:val="16"/>
                <w:lang w:val="de-DE"/>
              </w:rPr>
              <w:t>(</w:t>
            </w:r>
            <w:r w:rsidRPr="005F6181">
              <w:rPr>
                <w:rFonts w:ascii="Arial" w:hAnsi="Arial" w:cs="Arial"/>
                <w:sz w:val="16"/>
                <w:szCs w:val="16"/>
                <w:lang w:val="de-DE"/>
              </w:rPr>
              <w:t>0.001198</w:t>
            </w:r>
            <w:r w:rsidRPr="00A51255">
              <w:rPr>
                <w:rFonts w:ascii="Arial" w:hAnsi="Arial" w:cs="Arial"/>
                <w:sz w:val="16"/>
                <w:szCs w:val="16"/>
                <w:lang w:val="de-DE"/>
              </w:rPr>
              <w:t>)</w:t>
            </w:r>
          </w:p>
        </w:tc>
        <w:tc>
          <w:tcPr>
            <w:tcW w:w="1927" w:type="dxa"/>
            <w:vAlign w:val="center"/>
          </w:tcPr>
          <w:p w:rsidR="005A1829" w:rsidRPr="00A51255" w:rsidRDefault="005A1829" w:rsidP="00DC38C7">
            <w:pPr>
              <w:jc w:val="center"/>
              <w:rPr>
                <w:rFonts w:ascii="Arial" w:hAnsi="Arial" w:cs="Arial"/>
                <w:sz w:val="20"/>
                <w:szCs w:val="20"/>
                <w:lang w:val="de-DE"/>
              </w:rPr>
            </w:pPr>
            <w:r>
              <w:rPr>
                <w:rFonts w:ascii="Arial" w:hAnsi="Arial" w:cs="Arial"/>
                <w:sz w:val="20"/>
                <w:szCs w:val="20"/>
                <w:lang w:val="de-DE"/>
              </w:rPr>
              <w:t>0.000063</w:t>
            </w:r>
          </w:p>
          <w:p w:rsidR="005A1829" w:rsidRPr="00A51255" w:rsidRDefault="005A1829" w:rsidP="00DC38C7">
            <w:pPr>
              <w:jc w:val="center"/>
              <w:rPr>
                <w:lang w:val="en-US"/>
              </w:rPr>
            </w:pPr>
            <w:r>
              <w:rPr>
                <w:rFonts w:ascii="Arial" w:hAnsi="Arial" w:cs="Arial"/>
                <w:sz w:val="16"/>
                <w:szCs w:val="16"/>
                <w:lang w:val="de-DE"/>
              </w:rPr>
              <w:t>(</w:t>
            </w:r>
            <w:r w:rsidRPr="00C01D7A">
              <w:rPr>
                <w:rFonts w:ascii="Arial" w:hAnsi="Arial" w:cs="Arial"/>
                <w:sz w:val="16"/>
                <w:szCs w:val="16"/>
                <w:lang w:val="de-DE"/>
              </w:rPr>
              <w:t>0.000446</w:t>
            </w:r>
            <w:r w:rsidRPr="00A51255">
              <w:rPr>
                <w:rFonts w:ascii="Arial" w:hAnsi="Arial" w:cs="Arial"/>
                <w:sz w:val="16"/>
                <w:szCs w:val="16"/>
                <w:lang w:val="de-DE"/>
              </w:rPr>
              <w:t>)</w:t>
            </w:r>
          </w:p>
        </w:tc>
        <w:tc>
          <w:tcPr>
            <w:tcW w:w="1927" w:type="dxa"/>
            <w:vAlign w:val="center"/>
          </w:tcPr>
          <w:p w:rsidR="005A1829" w:rsidRPr="00A51255" w:rsidRDefault="005A1829" w:rsidP="00DC38C7">
            <w:pPr>
              <w:jc w:val="center"/>
              <w:rPr>
                <w:rFonts w:ascii="Arial" w:hAnsi="Arial" w:cs="Arial"/>
                <w:sz w:val="20"/>
                <w:szCs w:val="20"/>
                <w:lang w:val="de-DE"/>
              </w:rPr>
            </w:pPr>
            <w:r w:rsidRPr="004D14FA">
              <w:rPr>
                <w:rFonts w:ascii="Arial" w:hAnsi="Arial" w:cs="Arial"/>
                <w:sz w:val="20"/>
                <w:szCs w:val="20"/>
                <w:lang w:val="de-DE"/>
              </w:rPr>
              <w:t>0.001112</w:t>
            </w:r>
          </w:p>
          <w:p w:rsidR="005A1829" w:rsidRPr="00A51255" w:rsidRDefault="005A1829" w:rsidP="00DC38C7">
            <w:pPr>
              <w:jc w:val="center"/>
              <w:rPr>
                <w:lang w:val="en-US"/>
              </w:rPr>
            </w:pPr>
            <w:r>
              <w:rPr>
                <w:rFonts w:ascii="Arial" w:hAnsi="Arial" w:cs="Arial"/>
                <w:sz w:val="16"/>
                <w:szCs w:val="16"/>
                <w:lang w:val="de-DE"/>
              </w:rPr>
              <w:t>(</w:t>
            </w:r>
            <w:r w:rsidRPr="004D14FA">
              <w:rPr>
                <w:rFonts w:ascii="Arial" w:hAnsi="Arial" w:cs="Arial"/>
                <w:sz w:val="16"/>
                <w:szCs w:val="16"/>
                <w:lang w:val="de-DE"/>
              </w:rPr>
              <w:t>0.001181</w:t>
            </w:r>
            <w:r w:rsidRPr="00A51255">
              <w:rPr>
                <w:rFonts w:ascii="Arial" w:hAnsi="Arial" w:cs="Arial"/>
                <w:sz w:val="16"/>
                <w:szCs w:val="16"/>
                <w:lang w:val="de-DE"/>
              </w:rPr>
              <w:t>)</w:t>
            </w:r>
          </w:p>
        </w:tc>
        <w:tc>
          <w:tcPr>
            <w:tcW w:w="1895" w:type="dxa"/>
            <w:vAlign w:val="center"/>
          </w:tcPr>
          <w:p w:rsidR="005A1829" w:rsidRPr="00A51255" w:rsidRDefault="005A1829" w:rsidP="00DC38C7">
            <w:pPr>
              <w:jc w:val="center"/>
              <w:rPr>
                <w:rFonts w:ascii="Arial" w:hAnsi="Arial" w:cs="Arial"/>
                <w:sz w:val="20"/>
                <w:szCs w:val="20"/>
                <w:lang w:val="de-DE"/>
              </w:rPr>
            </w:pPr>
            <w:r w:rsidRPr="00121A52">
              <w:rPr>
                <w:rFonts w:ascii="Arial" w:hAnsi="Arial" w:cs="Arial"/>
                <w:sz w:val="20"/>
                <w:szCs w:val="20"/>
                <w:lang w:val="de-DE"/>
              </w:rPr>
              <w:t>0.000950</w:t>
            </w:r>
          </w:p>
          <w:p w:rsidR="005A1829" w:rsidRPr="00A51255" w:rsidRDefault="005A1829" w:rsidP="00DC38C7">
            <w:pPr>
              <w:jc w:val="center"/>
              <w:rPr>
                <w:lang w:val="en-US"/>
              </w:rPr>
            </w:pPr>
            <w:r>
              <w:rPr>
                <w:rFonts w:ascii="Arial" w:hAnsi="Arial" w:cs="Arial"/>
                <w:sz w:val="16"/>
                <w:szCs w:val="16"/>
                <w:lang w:val="de-DE"/>
              </w:rPr>
              <w:t>(</w:t>
            </w:r>
            <w:r w:rsidRPr="00121A52">
              <w:rPr>
                <w:rFonts w:ascii="Arial" w:hAnsi="Arial" w:cs="Arial"/>
                <w:sz w:val="16"/>
                <w:szCs w:val="16"/>
                <w:lang w:val="de-DE"/>
              </w:rPr>
              <w:t>0.001143</w:t>
            </w:r>
            <w:r w:rsidRPr="00A51255">
              <w:rPr>
                <w:rFonts w:ascii="Arial" w:hAnsi="Arial" w:cs="Arial"/>
                <w:sz w:val="16"/>
                <w:szCs w:val="16"/>
                <w:lang w:val="de-DE"/>
              </w:rPr>
              <w:t>)</w:t>
            </w:r>
          </w:p>
        </w:tc>
      </w:tr>
      <w:tr w:rsidR="005A1829" w:rsidRPr="00647145" w:rsidTr="00DC38C7">
        <w:trPr>
          <w:jc w:val="center"/>
        </w:trPr>
        <w:tc>
          <w:tcPr>
            <w:tcW w:w="290" w:type="dxa"/>
            <w:vAlign w:val="center"/>
          </w:tcPr>
          <w:p w:rsidR="005A1829" w:rsidRPr="00A51255" w:rsidRDefault="005A1829" w:rsidP="00DC38C7">
            <w:pPr>
              <w:spacing w:line="360" w:lineRule="auto"/>
              <w:jc w:val="center"/>
              <w:rPr>
                <w:rFonts w:ascii="Arial" w:hAnsi="Arial" w:cs="Arial"/>
                <w:sz w:val="16"/>
                <w:szCs w:val="16"/>
                <w:lang w:val="de-DE"/>
              </w:rPr>
            </w:pPr>
          </w:p>
        </w:tc>
        <w:tc>
          <w:tcPr>
            <w:tcW w:w="1557" w:type="dxa"/>
            <w:vAlign w:val="center"/>
          </w:tcPr>
          <w:p w:rsidR="005A1829" w:rsidRDefault="005A1829" w:rsidP="00DC38C7">
            <w:pPr>
              <w:jc w:val="center"/>
              <w:rPr>
                <w:rFonts w:ascii="Arial" w:hAnsi="Arial" w:cs="Arial"/>
                <w:b/>
                <w:sz w:val="18"/>
                <w:szCs w:val="18"/>
                <w:lang w:val="de-DE"/>
              </w:rPr>
            </w:pPr>
            <w:r w:rsidRPr="004F48F0">
              <w:rPr>
                <w:rFonts w:ascii="Arial" w:hAnsi="Arial" w:cs="Arial"/>
                <w:b/>
                <w:sz w:val="18"/>
                <w:szCs w:val="18"/>
                <w:lang w:val="de-DE"/>
              </w:rPr>
              <w:t xml:space="preserve">Unexpected </w:t>
            </w:r>
          </w:p>
          <w:p w:rsidR="005A1829" w:rsidRDefault="005A1829" w:rsidP="00DC38C7">
            <w:pPr>
              <w:jc w:val="center"/>
              <w:rPr>
                <w:rFonts w:ascii="Arial" w:hAnsi="Arial" w:cs="Arial"/>
                <w:b/>
                <w:sz w:val="18"/>
                <w:szCs w:val="18"/>
                <w:lang w:val="de-DE"/>
              </w:rPr>
            </w:pPr>
            <w:r>
              <w:rPr>
                <w:rFonts w:ascii="Arial" w:hAnsi="Arial" w:cs="Arial"/>
                <w:b/>
                <w:sz w:val="18"/>
                <w:szCs w:val="18"/>
                <w:lang w:val="de-DE"/>
              </w:rPr>
              <w:t xml:space="preserve">neutral </w:t>
            </w:r>
          </w:p>
          <w:p w:rsidR="005A1829" w:rsidRPr="004F48F0" w:rsidRDefault="005A1829" w:rsidP="00DC38C7">
            <w:pPr>
              <w:jc w:val="center"/>
              <w:rPr>
                <w:rFonts w:ascii="Arial" w:hAnsi="Arial" w:cs="Arial"/>
                <w:b/>
                <w:sz w:val="18"/>
                <w:szCs w:val="18"/>
                <w:lang w:val="de-DE"/>
              </w:rPr>
            </w:pPr>
            <w:r w:rsidRPr="004F48F0">
              <w:rPr>
                <w:rFonts w:ascii="Arial" w:hAnsi="Arial" w:cs="Arial"/>
                <w:b/>
                <w:sz w:val="18"/>
                <w:szCs w:val="18"/>
                <w:lang w:val="de-DE"/>
              </w:rPr>
              <w:t>announcement:</w:t>
            </w:r>
          </w:p>
        </w:tc>
        <w:tc>
          <w:tcPr>
            <w:tcW w:w="1926" w:type="dxa"/>
            <w:vAlign w:val="center"/>
          </w:tcPr>
          <w:p w:rsidR="005A1829" w:rsidRPr="004F48F0" w:rsidRDefault="005A1829" w:rsidP="00DC38C7">
            <w:pPr>
              <w:jc w:val="center"/>
              <w:rPr>
                <w:rFonts w:ascii="Arial" w:hAnsi="Arial" w:cs="Arial"/>
                <w:b/>
                <w:sz w:val="18"/>
                <w:szCs w:val="18"/>
                <w:lang w:val="de-DE"/>
              </w:rPr>
            </w:pPr>
            <w:r w:rsidRPr="004F48F0">
              <w:rPr>
                <w:rFonts w:ascii="Arial" w:hAnsi="Arial" w:cs="Arial"/>
                <w:b/>
                <w:sz w:val="18"/>
                <w:szCs w:val="18"/>
                <w:lang w:val="de-DE"/>
              </w:rPr>
              <w:t>Money Supply</w:t>
            </w:r>
          </w:p>
          <w:p w:rsidR="005A1829" w:rsidRPr="00CA2C53" w:rsidRDefault="005A1829" w:rsidP="00DC38C7">
            <w:pPr>
              <w:jc w:val="center"/>
              <w:rPr>
                <w:rFonts w:ascii="Arial" w:hAnsi="Arial" w:cs="Arial"/>
                <w:b/>
                <w:sz w:val="2"/>
                <w:szCs w:val="2"/>
                <w:lang w:val="de-DE"/>
              </w:rPr>
            </w:pPr>
          </w:p>
          <w:p w:rsidR="005A1829" w:rsidRPr="004F48F0" w:rsidRDefault="005A1829" w:rsidP="00DC38C7">
            <w:pPr>
              <w:jc w:val="center"/>
              <w:rPr>
                <w:rFonts w:ascii="Arial" w:hAnsi="Arial" w:cs="Arial"/>
                <w:b/>
                <w:sz w:val="20"/>
                <w:szCs w:val="20"/>
                <w:lang w:val="de-DE"/>
              </w:rPr>
            </w:pPr>
            <w:r w:rsidRPr="009F1BCD">
              <w:rPr>
                <w:b/>
                <w:sz w:val="20"/>
                <w:szCs w:val="20"/>
                <w:lang w:val="de-DE"/>
              </w:rPr>
              <w:t>(</w:t>
            </w:r>
            <w:r w:rsidRPr="004F48F0">
              <w:rPr>
                <w:b/>
                <w:i/>
                <w:sz w:val="20"/>
                <w:szCs w:val="20"/>
                <w:lang w:val="de-DE"/>
              </w:rPr>
              <w:t>MS</w:t>
            </w:r>
            <w:r w:rsidRPr="009F1BCD">
              <w:rPr>
                <w:b/>
                <w:sz w:val="20"/>
                <w:szCs w:val="20"/>
                <w:lang w:val="de-DE"/>
              </w:rPr>
              <w:t>)</w:t>
            </w:r>
          </w:p>
        </w:tc>
        <w:tc>
          <w:tcPr>
            <w:tcW w:w="1927" w:type="dxa"/>
            <w:vAlign w:val="center"/>
          </w:tcPr>
          <w:p w:rsidR="005A1829" w:rsidRDefault="005A1829" w:rsidP="00DC38C7">
            <w:pPr>
              <w:jc w:val="center"/>
              <w:rPr>
                <w:rFonts w:ascii="Arial" w:hAnsi="Arial" w:cs="Arial"/>
                <w:b/>
                <w:sz w:val="18"/>
                <w:szCs w:val="18"/>
                <w:lang w:val="de-DE"/>
              </w:rPr>
            </w:pPr>
            <w:r w:rsidRPr="004F48F0">
              <w:rPr>
                <w:rFonts w:ascii="Arial" w:hAnsi="Arial" w:cs="Arial"/>
                <w:b/>
                <w:sz w:val="18"/>
                <w:szCs w:val="18"/>
                <w:lang w:val="de-DE"/>
              </w:rPr>
              <w:t>Reserve Money</w:t>
            </w:r>
          </w:p>
          <w:p w:rsidR="005A1829" w:rsidRPr="00CA2C53" w:rsidRDefault="005A1829" w:rsidP="00DC38C7">
            <w:pPr>
              <w:jc w:val="center"/>
              <w:rPr>
                <w:rFonts w:ascii="Arial" w:hAnsi="Arial" w:cs="Arial"/>
                <w:b/>
                <w:sz w:val="2"/>
                <w:szCs w:val="2"/>
                <w:lang w:val="de-DE"/>
              </w:rPr>
            </w:pPr>
          </w:p>
          <w:p w:rsidR="005A1829" w:rsidRPr="004F48F0" w:rsidRDefault="005A1829" w:rsidP="00DC38C7">
            <w:pPr>
              <w:jc w:val="center"/>
              <w:rPr>
                <w:b/>
                <w:i/>
                <w:sz w:val="20"/>
                <w:szCs w:val="20"/>
                <w:lang w:val="en-US"/>
              </w:rPr>
            </w:pPr>
            <w:r w:rsidRPr="009F1BCD">
              <w:rPr>
                <w:b/>
                <w:sz w:val="20"/>
                <w:szCs w:val="20"/>
                <w:lang w:val="en-US"/>
              </w:rPr>
              <w:t>(</w:t>
            </w:r>
            <w:r w:rsidRPr="004F48F0">
              <w:rPr>
                <w:b/>
                <w:i/>
                <w:sz w:val="20"/>
                <w:szCs w:val="20"/>
                <w:lang w:val="en-US"/>
              </w:rPr>
              <w:t>RM</w:t>
            </w:r>
            <w:r w:rsidRPr="009F1BCD">
              <w:rPr>
                <w:b/>
                <w:sz w:val="20"/>
                <w:szCs w:val="20"/>
                <w:lang w:val="en-US"/>
              </w:rPr>
              <w:t>)</w:t>
            </w:r>
          </w:p>
        </w:tc>
        <w:tc>
          <w:tcPr>
            <w:tcW w:w="1927" w:type="dxa"/>
            <w:vAlign w:val="center"/>
          </w:tcPr>
          <w:p w:rsidR="005A1829" w:rsidRDefault="005A1829" w:rsidP="00DC38C7">
            <w:pPr>
              <w:jc w:val="center"/>
              <w:rPr>
                <w:rFonts w:ascii="Arial" w:hAnsi="Arial" w:cs="Arial"/>
                <w:b/>
                <w:sz w:val="18"/>
                <w:szCs w:val="18"/>
                <w:lang w:val="de-DE"/>
              </w:rPr>
            </w:pPr>
            <w:r>
              <w:rPr>
                <w:rFonts w:ascii="Arial" w:hAnsi="Arial" w:cs="Arial"/>
                <w:b/>
                <w:sz w:val="18"/>
                <w:szCs w:val="18"/>
                <w:lang w:val="de-DE"/>
              </w:rPr>
              <w:t>Balance of Payments</w:t>
            </w:r>
          </w:p>
          <w:p w:rsidR="005A1829" w:rsidRPr="00CA2C53" w:rsidRDefault="005A1829" w:rsidP="00DC38C7">
            <w:pPr>
              <w:jc w:val="center"/>
              <w:rPr>
                <w:b/>
                <w:i/>
                <w:sz w:val="2"/>
                <w:szCs w:val="2"/>
                <w:lang w:val="en-US"/>
              </w:rPr>
            </w:pPr>
          </w:p>
          <w:p w:rsidR="005A1829" w:rsidRPr="004F48F0" w:rsidRDefault="005A1829" w:rsidP="00DC38C7">
            <w:pPr>
              <w:jc w:val="center"/>
              <w:rPr>
                <w:b/>
                <w:i/>
                <w:sz w:val="20"/>
                <w:szCs w:val="20"/>
                <w:lang w:val="en-US"/>
              </w:rPr>
            </w:pPr>
            <w:r w:rsidRPr="009F1BCD">
              <w:rPr>
                <w:b/>
                <w:sz w:val="20"/>
                <w:szCs w:val="20"/>
                <w:lang w:val="en-US"/>
              </w:rPr>
              <w:t>(</w:t>
            </w:r>
            <w:r w:rsidRPr="004F48F0">
              <w:rPr>
                <w:b/>
                <w:i/>
                <w:sz w:val="20"/>
                <w:szCs w:val="20"/>
                <w:lang w:val="en-US"/>
              </w:rPr>
              <w:t>BOP</w:t>
            </w:r>
            <w:r w:rsidRPr="009F1BCD">
              <w:rPr>
                <w:b/>
                <w:sz w:val="20"/>
                <w:szCs w:val="20"/>
                <w:lang w:val="en-US"/>
              </w:rPr>
              <w:t>)</w:t>
            </w:r>
          </w:p>
        </w:tc>
        <w:tc>
          <w:tcPr>
            <w:tcW w:w="1895" w:type="dxa"/>
            <w:vAlign w:val="center"/>
          </w:tcPr>
          <w:p w:rsidR="005A1829" w:rsidRPr="000E3558" w:rsidRDefault="005A1829" w:rsidP="00DC38C7">
            <w:pPr>
              <w:jc w:val="center"/>
              <w:rPr>
                <w:rFonts w:ascii="Arial" w:hAnsi="Arial" w:cs="Arial"/>
                <w:b/>
                <w:sz w:val="18"/>
                <w:szCs w:val="18"/>
                <w:lang w:val="en-US"/>
              </w:rPr>
            </w:pPr>
            <w:r w:rsidRPr="000E3558">
              <w:rPr>
                <w:rFonts w:ascii="Arial" w:hAnsi="Arial" w:cs="Arial"/>
                <w:b/>
                <w:sz w:val="18"/>
                <w:szCs w:val="18"/>
                <w:lang w:val="en-US"/>
              </w:rPr>
              <w:t xml:space="preserve">Liquid Assets </w:t>
            </w:r>
          </w:p>
          <w:p w:rsidR="005A1829" w:rsidRPr="000E3558" w:rsidRDefault="005A1829" w:rsidP="00DC38C7">
            <w:pPr>
              <w:jc w:val="center"/>
              <w:rPr>
                <w:rFonts w:ascii="Arial" w:hAnsi="Arial" w:cs="Arial"/>
                <w:b/>
                <w:sz w:val="18"/>
                <w:szCs w:val="18"/>
                <w:lang w:val="en-US"/>
              </w:rPr>
            </w:pPr>
            <w:r w:rsidRPr="000E3558">
              <w:rPr>
                <w:rFonts w:ascii="Arial" w:hAnsi="Arial" w:cs="Arial"/>
                <w:b/>
                <w:sz w:val="18"/>
                <w:szCs w:val="18"/>
                <w:lang w:val="en-US"/>
              </w:rPr>
              <w:t xml:space="preserve">and Liabilities </w:t>
            </w:r>
          </w:p>
          <w:p w:rsidR="005A1829" w:rsidRPr="009F1BCD" w:rsidRDefault="005A1829" w:rsidP="00DC38C7">
            <w:pPr>
              <w:jc w:val="center"/>
              <w:rPr>
                <w:b/>
                <w:i/>
                <w:sz w:val="20"/>
                <w:szCs w:val="20"/>
                <w:lang w:val="en-US"/>
              </w:rPr>
            </w:pPr>
            <w:r w:rsidRPr="000E3558">
              <w:rPr>
                <w:rFonts w:ascii="Arial" w:hAnsi="Arial" w:cs="Arial"/>
                <w:b/>
                <w:sz w:val="18"/>
                <w:szCs w:val="18"/>
                <w:lang w:val="en-US"/>
              </w:rPr>
              <w:t>(</w:t>
            </w:r>
            <w:r w:rsidRPr="009F1BCD">
              <w:rPr>
                <w:b/>
                <w:i/>
                <w:sz w:val="20"/>
                <w:szCs w:val="20"/>
                <w:lang w:val="en-US"/>
              </w:rPr>
              <w:t>AL</w:t>
            </w:r>
            <w:r w:rsidRPr="009F1BCD">
              <w:rPr>
                <w:b/>
                <w:sz w:val="20"/>
                <w:szCs w:val="20"/>
                <w:lang w:val="en-US"/>
              </w:rPr>
              <w:t>)</w:t>
            </w:r>
          </w:p>
        </w:tc>
      </w:tr>
      <w:tr w:rsidR="005A1829" w:rsidRPr="00A51255" w:rsidTr="00DC38C7">
        <w:trPr>
          <w:jc w:val="center"/>
        </w:trPr>
        <w:tc>
          <w:tcPr>
            <w:tcW w:w="290" w:type="dxa"/>
            <w:vAlign w:val="center"/>
          </w:tcPr>
          <w:p w:rsidR="005A1829" w:rsidRPr="00A51255" w:rsidRDefault="005A1829" w:rsidP="00DC38C7">
            <w:pPr>
              <w:spacing w:line="360" w:lineRule="auto"/>
              <w:jc w:val="center"/>
              <w:rPr>
                <w:rFonts w:ascii="Arial" w:hAnsi="Arial" w:cs="Arial"/>
                <w:sz w:val="16"/>
                <w:szCs w:val="16"/>
                <w:lang w:val="de-DE"/>
              </w:rPr>
            </w:pPr>
            <w:r>
              <w:rPr>
                <w:rFonts w:ascii="Arial" w:hAnsi="Arial" w:cs="Arial"/>
                <w:sz w:val="16"/>
                <w:szCs w:val="16"/>
                <w:lang w:val="de-DE"/>
              </w:rPr>
              <w:t>(2)</w:t>
            </w:r>
          </w:p>
        </w:tc>
        <w:tc>
          <w:tcPr>
            <w:tcW w:w="1557" w:type="dxa"/>
            <w:vAlign w:val="center"/>
          </w:tcPr>
          <w:p w:rsidR="005A1829" w:rsidRDefault="005A1829" w:rsidP="00DC38C7">
            <w:pPr>
              <w:ind w:left="123"/>
              <w:jc w:val="center"/>
              <w:rPr>
                <w:rFonts w:ascii="Garamond" w:hAnsi="Garamond"/>
                <w:lang w:val="de-DE"/>
              </w:rPr>
            </w:pPr>
            <w:r w:rsidRPr="002C5A6B">
              <w:rPr>
                <w:rFonts w:ascii="Garamond" w:hAnsi="Garamond"/>
                <w:i/>
                <w:position w:val="-10"/>
                <w:lang w:val="de-DE"/>
              </w:rPr>
              <w:object w:dxaOrig="300" w:dyaOrig="380">
                <v:shape id="_x0000_i1164" type="#_x0000_t75" style="width:12.85pt;height:16.7pt" o:ole="">
                  <v:imagedata r:id="rId118" o:title=""/>
                </v:shape>
                <o:OLEObject Type="Embed" ProgID="Equation.3" ShapeID="_x0000_i1164" DrawAspect="Content" ObjectID="_1507543511" r:id="rId209"/>
              </w:object>
            </w:r>
          </w:p>
          <w:p w:rsidR="005A1829" w:rsidRPr="0007792B" w:rsidRDefault="005A1829" w:rsidP="00DC38C7">
            <w:pPr>
              <w:ind w:left="123"/>
              <w:jc w:val="center"/>
              <w:rPr>
                <w:b/>
                <w:sz w:val="18"/>
                <w:szCs w:val="18"/>
                <w:lang w:val="de-DE"/>
              </w:rPr>
            </w:pPr>
            <w:r>
              <w:rPr>
                <w:rFonts w:ascii="Arial" w:hAnsi="Arial" w:cs="Arial"/>
                <w:b/>
                <w:sz w:val="18"/>
                <w:szCs w:val="18"/>
                <w:lang w:val="de-DE"/>
              </w:rPr>
              <w:t>neutral</w:t>
            </w:r>
          </w:p>
        </w:tc>
        <w:tc>
          <w:tcPr>
            <w:tcW w:w="1926" w:type="dxa"/>
            <w:vAlign w:val="center"/>
          </w:tcPr>
          <w:p w:rsidR="005A1829" w:rsidRPr="00A51255" w:rsidRDefault="005A1829" w:rsidP="00DC38C7">
            <w:pPr>
              <w:jc w:val="center"/>
              <w:rPr>
                <w:rFonts w:ascii="Arial" w:hAnsi="Arial" w:cs="Arial"/>
                <w:sz w:val="20"/>
                <w:szCs w:val="20"/>
                <w:lang w:val="de-DE"/>
              </w:rPr>
            </w:pPr>
            <w:r w:rsidRPr="005F6181">
              <w:rPr>
                <w:rFonts w:ascii="Arial" w:hAnsi="Arial" w:cs="Arial"/>
                <w:sz w:val="20"/>
                <w:szCs w:val="20"/>
                <w:lang w:val="de-DE"/>
              </w:rPr>
              <w:t>-0.138276</w:t>
            </w:r>
          </w:p>
          <w:p w:rsidR="005A1829" w:rsidRPr="00A51255" w:rsidRDefault="005A1829" w:rsidP="00DC38C7">
            <w:pPr>
              <w:jc w:val="center"/>
              <w:rPr>
                <w:lang w:val="en-US"/>
              </w:rPr>
            </w:pPr>
            <w:r>
              <w:rPr>
                <w:rFonts w:ascii="Arial" w:hAnsi="Arial" w:cs="Arial"/>
                <w:sz w:val="16"/>
                <w:szCs w:val="16"/>
                <w:lang w:val="de-DE"/>
              </w:rPr>
              <w:t>(</w:t>
            </w:r>
            <w:r w:rsidRPr="005F6181">
              <w:rPr>
                <w:rFonts w:ascii="Arial" w:hAnsi="Arial" w:cs="Arial"/>
                <w:sz w:val="16"/>
                <w:szCs w:val="16"/>
                <w:lang w:val="de-DE"/>
              </w:rPr>
              <w:t>0.090229</w:t>
            </w:r>
            <w:r w:rsidRPr="00A51255">
              <w:rPr>
                <w:rFonts w:ascii="Arial" w:hAnsi="Arial" w:cs="Arial"/>
                <w:sz w:val="16"/>
                <w:szCs w:val="16"/>
                <w:lang w:val="de-DE"/>
              </w:rPr>
              <w:t>)</w:t>
            </w:r>
          </w:p>
        </w:tc>
        <w:tc>
          <w:tcPr>
            <w:tcW w:w="1927" w:type="dxa"/>
            <w:vAlign w:val="center"/>
          </w:tcPr>
          <w:p w:rsidR="005A1829" w:rsidRPr="00A51255" w:rsidRDefault="005A1829" w:rsidP="00DC38C7">
            <w:pPr>
              <w:jc w:val="center"/>
              <w:rPr>
                <w:rFonts w:ascii="Arial" w:hAnsi="Arial" w:cs="Arial"/>
                <w:sz w:val="20"/>
                <w:szCs w:val="20"/>
                <w:lang w:val="de-DE"/>
              </w:rPr>
            </w:pPr>
            <w:r w:rsidRPr="00BD41EE">
              <w:rPr>
                <w:rFonts w:ascii="Arial" w:hAnsi="Arial" w:cs="Arial"/>
                <w:sz w:val="20"/>
                <w:szCs w:val="20"/>
                <w:lang w:val="de-DE"/>
              </w:rPr>
              <w:t>0.706345</w:t>
            </w:r>
          </w:p>
          <w:p w:rsidR="005A1829" w:rsidRPr="00A51255" w:rsidRDefault="005A1829" w:rsidP="00DC38C7">
            <w:pPr>
              <w:jc w:val="center"/>
              <w:rPr>
                <w:lang w:val="en-US"/>
              </w:rPr>
            </w:pPr>
            <w:r>
              <w:rPr>
                <w:rFonts w:ascii="Arial" w:hAnsi="Arial" w:cs="Arial"/>
                <w:sz w:val="16"/>
                <w:szCs w:val="16"/>
                <w:lang w:val="de-DE"/>
              </w:rPr>
              <w:t>(</w:t>
            </w:r>
            <w:r w:rsidRPr="00BD41EE">
              <w:rPr>
                <w:rFonts w:ascii="Arial" w:hAnsi="Arial" w:cs="Arial"/>
                <w:sz w:val="16"/>
                <w:szCs w:val="16"/>
                <w:lang w:val="de-DE"/>
              </w:rPr>
              <w:t>0.759784</w:t>
            </w:r>
            <w:r w:rsidRPr="00A51255">
              <w:rPr>
                <w:rFonts w:ascii="Arial" w:hAnsi="Arial" w:cs="Arial"/>
                <w:sz w:val="16"/>
                <w:szCs w:val="16"/>
                <w:lang w:val="de-DE"/>
              </w:rPr>
              <w:t>)</w:t>
            </w:r>
          </w:p>
        </w:tc>
        <w:tc>
          <w:tcPr>
            <w:tcW w:w="1927" w:type="dxa"/>
            <w:vAlign w:val="center"/>
          </w:tcPr>
          <w:p w:rsidR="005A1829" w:rsidRPr="00A51255" w:rsidRDefault="005A1829" w:rsidP="00DC38C7">
            <w:pPr>
              <w:jc w:val="center"/>
              <w:rPr>
                <w:rFonts w:ascii="Arial" w:hAnsi="Arial" w:cs="Arial"/>
                <w:sz w:val="20"/>
                <w:szCs w:val="20"/>
                <w:lang w:val="de-DE"/>
              </w:rPr>
            </w:pPr>
            <w:r w:rsidRPr="00ED3429">
              <w:rPr>
                <w:rFonts w:ascii="Arial" w:hAnsi="Arial" w:cs="Arial"/>
                <w:sz w:val="20"/>
                <w:szCs w:val="20"/>
                <w:lang w:val="de-DE"/>
              </w:rPr>
              <w:t>0.022700</w:t>
            </w:r>
          </w:p>
          <w:p w:rsidR="005A1829" w:rsidRPr="00A51255" w:rsidRDefault="005A1829" w:rsidP="00DC38C7">
            <w:pPr>
              <w:jc w:val="center"/>
              <w:rPr>
                <w:lang w:val="en-US"/>
              </w:rPr>
            </w:pPr>
            <w:r>
              <w:rPr>
                <w:rFonts w:ascii="Arial" w:hAnsi="Arial" w:cs="Arial"/>
                <w:sz w:val="16"/>
                <w:szCs w:val="16"/>
                <w:lang w:val="de-DE"/>
              </w:rPr>
              <w:t>(</w:t>
            </w:r>
            <w:r w:rsidRPr="00ED3429">
              <w:rPr>
                <w:rFonts w:ascii="Arial" w:hAnsi="Arial" w:cs="Arial"/>
                <w:sz w:val="16"/>
                <w:szCs w:val="16"/>
                <w:lang w:val="de-DE"/>
              </w:rPr>
              <w:t>0.083481</w:t>
            </w:r>
            <w:r w:rsidRPr="00A51255">
              <w:rPr>
                <w:rFonts w:ascii="Arial" w:hAnsi="Arial" w:cs="Arial"/>
                <w:sz w:val="16"/>
                <w:szCs w:val="16"/>
                <w:lang w:val="de-DE"/>
              </w:rPr>
              <w:t>)</w:t>
            </w:r>
          </w:p>
        </w:tc>
        <w:tc>
          <w:tcPr>
            <w:tcW w:w="1895" w:type="dxa"/>
            <w:vAlign w:val="center"/>
          </w:tcPr>
          <w:p w:rsidR="005A1829" w:rsidRPr="00A51255" w:rsidRDefault="005A1829" w:rsidP="00DC38C7">
            <w:pPr>
              <w:jc w:val="center"/>
              <w:rPr>
                <w:rFonts w:ascii="Arial" w:hAnsi="Arial" w:cs="Arial"/>
                <w:sz w:val="20"/>
                <w:szCs w:val="20"/>
                <w:lang w:val="de-DE"/>
              </w:rPr>
            </w:pPr>
            <w:r w:rsidRPr="00AC14CE">
              <w:rPr>
                <w:rFonts w:ascii="Arial" w:hAnsi="Arial" w:cs="Arial"/>
                <w:sz w:val="20"/>
                <w:szCs w:val="20"/>
                <w:lang w:val="de-DE"/>
              </w:rPr>
              <w:t>-0.088031</w:t>
            </w:r>
          </w:p>
          <w:p w:rsidR="005A1829" w:rsidRPr="00A51255" w:rsidRDefault="005A1829" w:rsidP="00DC38C7">
            <w:pPr>
              <w:jc w:val="center"/>
              <w:rPr>
                <w:lang w:val="en-US"/>
              </w:rPr>
            </w:pPr>
            <w:r>
              <w:rPr>
                <w:rFonts w:ascii="Arial" w:hAnsi="Arial" w:cs="Arial"/>
                <w:sz w:val="16"/>
                <w:szCs w:val="16"/>
                <w:lang w:val="de-DE"/>
              </w:rPr>
              <w:t>(</w:t>
            </w:r>
            <w:r w:rsidRPr="00AC14CE">
              <w:rPr>
                <w:rFonts w:ascii="Arial" w:hAnsi="Arial" w:cs="Arial"/>
                <w:sz w:val="16"/>
                <w:szCs w:val="16"/>
                <w:lang w:val="de-DE"/>
              </w:rPr>
              <w:t>0.086955</w:t>
            </w:r>
            <w:r w:rsidRPr="00A51255">
              <w:rPr>
                <w:rFonts w:ascii="Arial" w:hAnsi="Arial" w:cs="Arial"/>
                <w:sz w:val="16"/>
                <w:szCs w:val="16"/>
                <w:lang w:val="de-DE"/>
              </w:rPr>
              <w:t>)</w:t>
            </w:r>
          </w:p>
        </w:tc>
      </w:tr>
      <w:tr w:rsidR="005A1829" w:rsidRPr="00647145" w:rsidTr="00DC38C7">
        <w:trPr>
          <w:jc w:val="center"/>
        </w:trPr>
        <w:tc>
          <w:tcPr>
            <w:tcW w:w="290" w:type="dxa"/>
            <w:vAlign w:val="center"/>
          </w:tcPr>
          <w:p w:rsidR="005A1829" w:rsidRPr="00A51255" w:rsidRDefault="005A1829" w:rsidP="00DC38C7">
            <w:pPr>
              <w:spacing w:line="360" w:lineRule="auto"/>
              <w:jc w:val="center"/>
              <w:rPr>
                <w:rFonts w:ascii="Arial" w:hAnsi="Arial" w:cs="Arial"/>
                <w:sz w:val="16"/>
                <w:szCs w:val="16"/>
                <w:lang w:val="de-DE"/>
              </w:rPr>
            </w:pPr>
          </w:p>
        </w:tc>
        <w:tc>
          <w:tcPr>
            <w:tcW w:w="1557" w:type="dxa"/>
            <w:vAlign w:val="center"/>
          </w:tcPr>
          <w:p w:rsidR="005A1829" w:rsidRPr="004F48F0" w:rsidRDefault="005A1829" w:rsidP="00DC38C7">
            <w:pPr>
              <w:spacing w:line="360" w:lineRule="auto"/>
              <w:ind w:left="98"/>
              <w:jc w:val="center"/>
              <w:rPr>
                <w:b/>
                <w:i/>
                <w:sz w:val="18"/>
                <w:szCs w:val="18"/>
                <w:lang w:val="en-US"/>
              </w:rPr>
            </w:pPr>
          </w:p>
        </w:tc>
        <w:tc>
          <w:tcPr>
            <w:tcW w:w="1926" w:type="dxa"/>
            <w:vAlign w:val="center"/>
          </w:tcPr>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Q(10) = 7.0750 (p = 0.718)</w:t>
            </w:r>
          </w:p>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LM(10) = 0.193930 (p = 0.9967)</w:t>
            </w:r>
          </w:p>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Log likelihood = -702.6370</w:t>
            </w:r>
          </w:p>
        </w:tc>
        <w:tc>
          <w:tcPr>
            <w:tcW w:w="1927" w:type="dxa"/>
            <w:vAlign w:val="center"/>
          </w:tcPr>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Q(10) = 6.8118 (p = 0.743)</w:t>
            </w:r>
          </w:p>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LM(10) = 0.559981 (p = 0.8470)</w:t>
            </w:r>
          </w:p>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Log likelihood = -692.4169</w:t>
            </w:r>
          </w:p>
        </w:tc>
        <w:tc>
          <w:tcPr>
            <w:tcW w:w="1927" w:type="dxa"/>
            <w:vAlign w:val="center"/>
          </w:tcPr>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Q(10) = 3.7777 (p = 0.151)</w:t>
            </w:r>
          </w:p>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LM(10) = 0.166860 (p = 0.9983)</w:t>
            </w:r>
          </w:p>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Log likelihood = -691.2455</w:t>
            </w:r>
          </w:p>
        </w:tc>
        <w:tc>
          <w:tcPr>
            <w:tcW w:w="1895" w:type="dxa"/>
            <w:vAlign w:val="center"/>
          </w:tcPr>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Q(10) = 7.2915 (p = 0.698)</w:t>
            </w:r>
          </w:p>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LM(10) = 0.200073 (p = 0.9963)</w:t>
            </w:r>
          </w:p>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Log likelihood = -702.3592</w:t>
            </w:r>
          </w:p>
        </w:tc>
      </w:tr>
    </w:tbl>
    <w:p w:rsidR="005A1829" w:rsidRDefault="005A1829" w:rsidP="005A1829">
      <w:pPr>
        <w:ind w:left="284" w:right="282"/>
        <w:jc w:val="both"/>
        <w:rPr>
          <w:rFonts w:ascii="Arial" w:hAnsi="Arial" w:cs="Arial"/>
          <w:sz w:val="16"/>
          <w:szCs w:val="16"/>
          <w:lang w:val="en-US"/>
        </w:rPr>
      </w:pPr>
    </w:p>
    <w:p w:rsidR="005A1829" w:rsidRPr="00A51255" w:rsidRDefault="005A1829" w:rsidP="005A1829">
      <w:pPr>
        <w:tabs>
          <w:tab w:val="left" w:pos="2095"/>
        </w:tabs>
        <w:ind w:left="1701" w:right="1812"/>
        <w:jc w:val="both"/>
        <w:rPr>
          <w:rFonts w:ascii="Arial" w:hAnsi="Arial" w:cs="Arial"/>
          <w:sz w:val="16"/>
          <w:szCs w:val="16"/>
          <w:lang w:val="en-US"/>
        </w:rPr>
      </w:pPr>
      <w:r>
        <w:rPr>
          <w:rFonts w:ascii="Arial" w:hAnsi="Arial" w:cs="Arial"/>
          <w:sz w:val="16"/>
          <w:szCs w:val="16"/>
          <w:lang w:val="en-US"/>
        </w:rPr>
        <w:tab/>
      </w:r>
    </w:p>
    <w:p w:rsidR="005A1829" w:rsidRPr="00A51255" w:rsidRDefault="005A1829" w:rsidP="005A1829">
      <w:pPr>
        <w:tabs>
          <w:tab w:val="left" w:pos="9781"/>
        </w:tabs>
        <w:ind w:right="-1"/>
        <w:jc w:val="both"/>
        <w:rPr>
          <w:rFonts w:ascii="Arial" w:hAnsi="Arial" w:cs="Arial"/>
          <w:sz w:val="16"/>
          <w:szCs w:val="16"/>
          <w:lang w:val="en-US"/>
        </w:rPr>
      </w:pPr>
      <w:r w:rsidRPr="00A51255">
        <w:rPr>
          <w:rFonts w:ascii="Arial" w:hAnsi="Arial" w:cs="Arial"/>
          <w:sz w:val="16"/>
          <w:szCs w:val="16"/>
          <w:lang w:val="en-US"/>
        </w:rPr>
        <w:t>Notes: Values of the standard errors in the brackets. The value of the Q(10) test for autocorrelation, the LM(10) test for any remaining ARCH effects and the log likelihood are reported in the bottom rows of every panel. Number of equation in the first column indicates whether the estimated parameters relate to the variables in the mean equation or in the conditional variance equation of the GARCH model.</w:t>
      </w:r>
    </w:p>
    <w:p w:rsidR="005A1829" w:rsidRPr="00A51255" w:rsidRDefault="005A1829" w:rsidP="005A1829">
      <w:pPr>
        <w:tabs>
          <w:tab w:val="left" w:pos="9781"/>
        </w:tabs>
        <w:ind w:right="-1"/>
        <w:jc w:val="both"/>
        <w:rPr>
          <w:rFonts w:ascii="Arial" w:hAnsi="Arial" w:cs="Arial"/>
          <w:sz w:val="16"/>
          <w:szCs w:val="16"/>
          <w:lang w:val="en-US"/>
        </w:rPr>
      </w:pPr>
    </w:p>
    <w:p w:rsidR="005A1829" w:rsidRPr="00A51255" w:rsidRDefault="005A1829" w:rsidP="005A1829">
      <w:pPr>
        <w:tabs>
          <w:tab w:val="left" w:pos="9781"/>
        </w:tabs>
        <w:ind w:right="-1"/>
        <w:jc w:val="both"/>
        <w:rPr>
          <w:rFonts w:ascii="Arial" w:hAnsi="Arial" w:cs="Arial"/>
          <w:sz w:val="16"/>
          <w:szCs w:val="16"/>
          <w:lang w:val="en-US"/>
        </w:rPr>
      </w:pPr>
      <w:r w:rsidRPr="00A51255">
        <w:rPr>
          <w:rFonts w:ascii="Arial" w:hAnsi="Arial" w:cs="Arial"/>
          <w:sz w:val="16"/>
          <w:szCs w:val="16"/>
          <w:lang w:val="en-US"/>
        </w:rPr>
        <w:t>* - denotes significance at the 0.1 level; ** - denotes significance at the 0.05 level; *** - denotes significance at the 0.01 level</w:t>
      </w:r>
    </w:p>
    <w:p w:rsidR="005A1829" w:rsidRDefault="005A1829" w:rsidP="005A1829">
      <w:pPr>
        <w:spacing w:line="360" w:lineRule="auto"/>
        <w:jc w:val="both"/>
        <w:rPr>
          <w:rFonts w:ascii="Arial" w:hAnsi="Arial" w:cs="Arial"/>
          <w:lang w:val="en-US"/>
        </w:rPr>
      </w:pPr>
      <w:r>
        <w:rPr>
          <w:rFonts w:ascii="Arial" w:hAnsi="Arial" w:cs="Arial"/>
          <w:lang w:val="en-US"/>
        </w:rPr>
        <w:br w:type="page"/>
      </w:r>
    </w:p>
    <w:p w:rsidR="005A1829" w:rsidRPr="00A51255" w:rsidRDefault="005A1829" w:rsidP="005A1829">
      <w:pPr>
        <w:spacing w:line="360" w:lineRule="auto"/>
        <w:jc w:val="both"/>
        <w:rPr>
          <w:rFonts w:ascii="Arial" w:hAnsi="Arial" w:cs="Arial"/>
          <w:lang w:val="en-US"/>
        </w:rPr>
      </w:pPr>
    </w:p>
    <w:p w:rsidR="005A1829" w:rsidRDefault="005A1829" w:rsidP="005A1829">
      <w:pPr>
        <w:spacing w:line="360" w:lineRule="auto"/>
        <w:jc w:val="both"/>
        <w:rPr>
          <w:rFonts w:ascii="Arial" w:hAnsi="Arial" w:cs="Arial"/>
          <w:sz w:val="20"/>
          <w:szCs w:val="20"/>
          <w:lang w:val="en-US"/>
        </w:rPr>
      </w:pPr>
    </w:p>
    <w:p w:rsidR="005A1829" w:rsidRDefault="005A1829" w:rsidP="005A1829">
      <w:pPr>
        <w:spacing w:line="240" w:lineRule="atLeast"/>
        <w:ind w:right="-1"/>
        <w:jc w:val="both"/>
        <w:rPr>
          <w:rFonts w:ascii="Arial" w:hAnsi="Arial" w:cs="Arial"/>
          <w:sz w:val="20"/>
          <w:szCs w:val="20"/>
          <w:lang w:val="en-US"/>
        </w:rPr>
      </w:pPr>
      <w:r w:rsidRPr="00CB4F0F">
        <w:rPr>
          <w:rFonts w:ascii="Arial" w:hAnsi="Arial" w:cs="Arial"/>
          <w:sz w:val="20"/>
          <w:szCs w:val="20"/>
          <w:lang w:val="en-US"/>
        </w:rPr>
        <w:t xml:space="preserve">Table </w:t>
      </w:r>
      <w:r w:rsidR="0034244F">
        <w:rPr>
          <w:rFonts w:ascii="Arial" w:hAnsi="Arial" w:cs="Arial"/>
          <w:sz w:val="20"/>
          <w:szCs w:val="20"/>
          <w:lang w:val="en-US"/>
        </w:rPr>
        <w:t>6</w:t>
      </w:r>
      <w:r w:rsidRPr="00CB4F0F">
        <w:rPr>
          <w:rFonts w:ascii="Arial" w:hAnsi="Arial" w:cs="Arial"/>
          <w:sz w:val="20"/>
          <w:szCs w:val="20"/>
          <w:lang w:val="en-US"/>
        </w:rPr>
        <w:t xml:space="preserve">. Results for  volume of trade (percentage change) models with neutral announcements on days </w:t>
      </w:r>
      <w:r w:rsidRPr="00CB4F0F">
        <w:rPr>
          <w:i/>
          <w:sz w:val="20"/>
          <w:szCs w:val="20"/>
          <w:lang w:val="en-US"/>
        </w:rPr>
        <w:t>t</w:t>
      </w:r>
      <w:r w:rsidRPr="00CB4F0F">
        <w:rPr>
          <w:rFonts w:ascii="Arial" w:hAnsi="Arial" w:cs="Arial"/>
          <w:sz w:val="20"/>
          <w:szCs w:val="20"/>
          <w:lang w:val="en-US"/>
        </w:rPr>
        <w:t xml:space="preserve"> and</w:t>
      </w:r>
      <w:r w:rsidRPr="00CB4F0F">
        <w:rPr>
          <w:i/>
          <w:sz w:val="20"/>
          <w:szCs w:val="20"/>
          <w:lang w:val="en-US"/>
        </w:rPr>
        <w:t xml:space="preserve">  t+1</w:t>
      </w:r>
      <w:r w:rsidRPr="00CB4F0F">
        <w:rPr>
          <w:rFonts w:ascii="Arial" w:hAnsi="Arial" w:cs="Arial"/>
          <w:sz w:val="20"/>
          <w:szCs w:val="20"/>
          <w:lang w:val="en-US"/>
        </w:rPr>
        <w:t>.</w:t>
      </w:r>
    </w:p>
    <w:p w:rsidR="005A1829" w:rsidRDefault="005A1829" w:rsidP="005A1829">
      <w:pPr>
        <w:spacing w:line="240" w:lineRule="atLeast"/>
        <w:ind w:right="-1"/>
        <w:jc w:val="both"/>
        <w:rPr>
          <w:rFonts w:ascii="Arial" w:hAnsi="Arial" w:cs="Arial"/>
          <w:sz w:val="20"/>
          <w:szCs w:val="20"/>
          <w:lang w:val="en-US"/>
        </w:rPr>
      </w:pPr>
    </w:p>
    <w:p w:rsidR="005A1829" w:rsidRDefault="005A1829" w:rsidP="005A1829">
      <w:pPr>
        <w:spacing w:line="240" w:lineRule="atLeast"/>
        <w:ind w:right="-1"/>
        <w:jc w:val="both"/>
        <w:rPr>
          <w:rFonts w:ascii="Arial" w:hAnsi="Arial" w:cs="Arial"/>
          <w:sz w:val="20"/>
          <w:szCs w:val="20"/>
          <w:lang w:val="en-US"/>
        </w:rPr>
      </w:pPr>
      <w:r>
        <w:rPr>
          <w:rFonts w:ascii="Arial" w:hAnsi="Arial" w:cs="Arial"/>
          <w:sz w:val="20"/>
          <w:szCs w:val="20"/>
          <w:lang w:val="en-US"/>
        </w:rPr>
        <w:t>This table reports e</w:t>
      </w:r>
      <w:r w:rsidRPr="002F209E">
        <w:rPr>
          <w:rFonts w:ascii="Arial" w:hAnsi="Arial" w:cs="Arial"/>
          <w:sz w:val="20"/>
          <w:szCs w:val="20"/>
          <w:lang w:val="en-US"/>
        </w:rPr>
        <w:t>stimates</w:t>
      </w:r>
      <w:r w:rsidRPr="00A51255">
        <w:rPr>
          <w:rFonts w:ascii="Arial" w:hAnsi="Arial" w:cs="Arial"/>
          <w:sz w:val="20"/>
          <w:szCs w:val="20"/>
          <w:lang w:val="en-US"/>
        </w:rPr>
        <w:t xml:space="preserve"> of dummy variables for the NBP announcements days with unexpected announcements of </w:t>
      </w:r>
      <w:r>
        <w:rPr>
          <w:rFonts w:ascii="Arial" w:hAnsi="Arial" w:cs="Arial"/>
          <w:sz w:val="20"/>
          <w:szCs w:val="20"/>
          <w:lang w:val="en-US"/>
        </w:rPr>
        <w:t>neutral</w:t>
      </w:r>
      <w:r w:rsidRPr="00A51255">
        <w:rPr>
          <w:rFonts w:ascii="Arial" w:hAnsi="Arial" w:cs="Arial"/>
          <w:sz w:val="20"/>
          <w:szCs w:val="20"/>
          <w:lang w:val="en-US"/>
        </w:rPr>
        <w:t xml:space="preserve"> strength in the </w:t>
      </w:r>
      <w:r>
        <w:rPr>
          <w:rFonts w:ascii="Arial" w:hAnsi="Arial" w:cs="Arial"/>
          <w:sz w:val="20"/>
          <w:szCs w:val="20"/>
          <w:lang w:val="en-US"/>
        </w:rPr>
        <w:t>mean e</w:t>
      </w:r>
      <w:r w:rsidRPr="00A51255">
        <w:rPr>
          <w:rFonts w:ascii="Arial" w:hAnsi="Arial" w:cs="Arial"/>
          <w:sz w:val="20"/>
          <w:szCs w:val="20"/>
          <w:lang w:val="en-US"/>
        </w:rPr>
        <w:t xml:space="preserve">quation </w:t>
      </w:r>
      <w:r>
        <w:rPr>
          <w:rFonts w:ascii="Arial" w:hAnsi="Arial" w:cs="Arial"/>
          <w:sz w:val="20"/>
          <w:szCs w:val="20"/>
          <w:lang w:val="en-US"/>
        </w:rPr>
        <w:t>(3)</w:t>
      </w:r>
      <w:r w:rsidRPr="00A51255">
        <w:rPr>
          <w:rFonts w:ascii="Arial" w:hAnsi="Arial" w:cs="Arial"/>
          <w:sz w:val="20"/>
          <w:szCs w:val="20"/>
          <w:lang w:val="en-US"/>
        </w:rPr>
        <w:t>:</w:t>
      </w:r>
    </w:p>
    <w:p w:rsidR="005A1829" w:rsidRDefault="005A1829" w:rsidP="005A1829">
      <w:pPr>
        <w:spacing w:line="240" w:lineRule="atLeast"/>
        <w:ind w:right="-1"/>
        <w:jc w:val="center"/>
        <w:rPr>
          <w:rFonts w:ascii="Arial" w:hAnsi="Arial" w:cs="Arial"/>
          <w:lang w:val="en-US"/>
        </w:rPr>
      </w:pPr>
      <w:r w:rsidRPr="00125B81">
        <w:rPr>
          <w:rFonts w:ascii="Arial" w:hAnsi="Arial" w:cs="Arial"/>
          <w:position w:val="-14"/>
          <w:lang w:val="en-US"/>
        </w:rPr>
        <w:object w:dxaOrig="6100" w:dyaOrig="460">
          <v:shape id="_x0000_i1165" type="#_x0000_t75" style="width:275.15pt;height:20.55pt" o:ole="">
            <v:imagedata r:id="rId210" o:title=""/>
          </v:shape>
          <o:OLEObject Type="Embed" ProgID="Equation.3" ShapeID="_x0000_i1165" DrawAspect="Content" ObjectID="_1507543512" r:id="rId211"/>
        </w:object>
      </w:r>
    </w:p>
    <w:p w:rsidR="005A1829" w:rsidRPr="00A51255" w:rsidRDefault="005A1829" w:rsidP="005A1829">
      <w:pPr>
        <w:spacing w:line="240" w:lineRule="atLeast"/>
        <w:ind w:right="-1"/>
        <w:jc w:val="both"/>
        <w:rPr>
          <w:rFonts w:ascii="Arial" w:hAnsi="Arial" w:cs="Arial"/>
          <w:sz w:val="20"/>
          <w:szCs w:val="20"/>
          <w:lang w:val="en-US"/>
        </w:rPr>
      </w:pPr>
      <w:r>
        <w:rPr>
          <w:rFonts w:ascii="Arial" w:hAnsi="Arial" w:cs="Arial"/>
          <w:sz w:val="20"/>
          <w:szCs w:val="20"/>
          <w:lang w:val="en-US"/>
        </w:rPr>
        <w:t xml:space="preserve">and in the </w:t>
      </w:r>
      <w:r w:rsidRPr="00A51255">
        <w:rPr>
          <w:rFonts w:ascii="Arial" w:hAnsi="Arial" w:cs="Arial"/>
          <w:sz w:val="20"/>
          <w:szCs w:val="20"/>
          <w:lang w:val="en-US"/>
        </w:rPr>
        <w:t>conditional variance equation</w:t>
      </w:r>
      <w:r>
        <w:rPr>
          <w:rFonts w:ascii="Arial" w:hAnsi="Arial" w:cs="Arial"/>
          <w:sz w:val="20"/>
          <w:szCs w:val="20"/>
          <w:lang w:val="en-US"/>
        </w:rPr>
        <w:t xml:space="preserve"> (4)</w:t>
      </w:r>
      <w:r w:rsidRPr="00A51255">
        <w:rPr>
          <w:rFonts w:ascii="Arial" w:hAnsi="Arial" w:cs="Arial"/>
          <w:sz w:val="20"/>
          <w:szCs w:val="20"/>
          <w:lang w:val="en-US"/>
        </w:rPr>
        <w:t>:</w:t>
      </w:r>
    </w:p>
    <w:p w:rsidR="005A1829" w:rsidRPr="00A51255" w:rsidRDefault="005A1829" w:rsidP="005A1829">
      <w:pPr>
        <w:spacing w:line="240" w:lineRule="atLeast"/>
        <w:ind w:right="-1"/>
        <w:jc w:val="center"/>
        <w:rPr>
          <w:lang w:val="en-US"/>
        </w:rPr>
      </w:pPr>
      <w:r w:rsidRPr="00E87B87">
        <w:rPr>
          <w:position w:val="-14"/>
        </w:rPr>
        <w:object w:dxaOrig="5780" w:dyaOrig="400">
          <v:shape id="_x0000_i1166" type="#_x0000_t75" style="width:279pt;height:19.3pt" o:ole="">
            <v:imagedata r:id="rId212" o:title=""/>
          </v:shape>
          <o:OLEObject Type="Embed" ProgID="Equation.3" ShapeID="_x0000_i1166" DrawAspect="Content" ObjectID="_1507543513" r:id="rId213"/>
        </w:object>
      </w:r>
    </w:p>
    <w:p w:rsidR="005A1829" w:rsidRPr="00A51255" w:rsidRDefault="005A1829" w:rsidP="005A1829">
      <w:pPr>
        <w:spacing w:line="240" w:lineRule="atLeast"/>
        <w:ind w:right="-1"/>
        <w:jc w:val="both"/>
        <w:rPr>
          <w:rFonts w:ascii="Arial" w:hAnsi="Arial" w:cs="Arial"/>
          <w:sz w:val="20"/>
          <w:szCs w:val="20"/>
          <w:lang w:val="en-US"/>
        </w:rPr>
      </w:pPr>
      <w:r w:rsidRPr="00A51255">
        <w:rPr>
          <w:rFonts w:ascii="Arial" w:hAnsi="Arial" w:cs="Arial"/>
          <w:sz w:val="20"/>
          <w:szCs w:val="20"/>
          <w:lang w:val="en-US"/>
        </w:rPr>
        <w:t xml:space="preserve">from the GARCH model </w:t>
      </w:r>
      <w:r>
        <w:rPr>
          <w:rFonts w:ascii="Arial" w:hAnsi="Arial" w:cs="Arial"/>
          <w:sz w:val="20"/>
          <w:szCs w:val="20"/>
          <w:lang w:val="en-US"/>
        </w:rPr>
        <w:t>(3) - (4)</w:t>
      </w:r>
      <w:r w:rsidRPr="00A51255">
        <w:rPr>
          <w:rFonts w:ascii="Arial" w:hAnsi="Arial" w:cs="Arial"/>
          <w:sz w:val="20"/>
          <w:szCs w:val="20"/>
          <w:lang w:val="en-US"/>
        </w:rPr>
        <w:t xml:space="preserve"> of the PLN/USD volume of trade percentage changes.</w:t>
      </w:r>
    </w:p>
    <w:p w:rsidR="005A1829" w:rsidRDefault="005A1829" w:rsidP="005A1829">
      <w:pPr>
        <w:tabs>
          <w:tab w:val="left" w:pos="13183"/>
        </w:tabs>
        <w:spacing w:line="0" w:lineRule="atLeast"/>
        <w:ind w:left="1134" w:right="1389"/>
        <w:jc w:val="both"/>
        <w:rPr>
          <w:rFonts w:ascii="Arial" w:hAnsi="Arial" w:cs="Arial"/>
          <w:sz w:val="20"/>
          <w:szCs w:val="20"/>
          <w:lang w:val="en-US"/>
        </w:rPr>
      </w:pPr>
    </w:p>
    <w:p w:rsidR="005A1829" w:rsidRPr="00A51255" w:rsidRDefault="005A1829" w:rsidP="005A1829">
      <w:pPr>
        <w:spacing w:line="360" w:lineRule="auto"/>
        <w:ind w:left="284" w:right="253"/>
        <w:jc w:val="both"/>
        <w:rPr>
          <w:rFonts w:ascii="Arial" w:hAnsi="Arial" w:cs="Arial"/>
          <w:sz w:val="20"/>
          <w:szCs w:val="20"/>
          <w:lang w:val="en-US"/>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557"/>
        <w:gridCol w:w="2049"/>
        <w:gridCol w:w="1943"/>
        <w:gridCol w:w="1893"/>
        <w:gridCol w:w="1918"/>
      </w:tblGrid>
      <w:tr w:rsidR="005A1829" w:rsidRPr="00A51255" w:rsidTr="00DC38C7">
        <w:trPr>
          <w:jc w:val="center"/>
        </w:trPr>
        <w:tc>
          <w:tcPr>
            <w:tcW w:w="358" w:type="dxa"/>
            <w:vAlign w:val="center"/>
          </w:tcPr>
          <w:p w:rsidR="005A1829" w:rsidRPr="00124F83" w:rsidRDefault="005A1829" w:rsidP="00DC38C7">
            <w:pPr>
              <w:spacing w:line="360" w:lineRule="auto"/>
              <w:jc w:val="center"/>
              <w:rPr>
                <w:rFonts w:ascii="Arial" w:hAnsi="Arial" w:cs="Arial"/>
                <w:sz w:val="16"/>
                <w:szCs w:val="16"/>
                <w:lang w:val="de-DE"/>
              </w:rPr>
            </w:pPr>
            <w:r w:rsidRPr="00A51255">
              <w:rPr>
                <w:rFonts w:ascii="Arial" w:hAnsi="Arial" w:cs="Arial"/>
                <w:sz w:val="16"/>
                <w:szCs w:val="16"/>
                <w:lang w:val="de-DE"/>
              </w:rPr>
              <w:t>Eq.</w:t>
            </w:r>
          </w:p>
        </w:tc>
        <w:tc>
          <w:tcPr>
            <w:tcW w:w="9460" w:type="dxa"/>
            <w:gridSpan w:val="5"/>
            <w:vAlign w:val="center"/>
          </w:tcPr>
          <w:p w:rsidR="005A1829" w:rsidRDefault="005A1829" w:rsidP="00DC38C7">
            <w:pPr>
              <w:jc w:val="center"/>
              <w:rPr>
                <w:rFonts w:ascii="Arial" w:hAnsi="Arial" w:cs="Arial"/>
                <w:b/>
                <w:sz w:val="18"/>
                <w:szCs w:val="18"/>
                <w:lang w:val="de-DE"/>
              </w:rPr>
            </w:pPr>
          </w:p>
          <w:p w:rsidR="005A1829" w:rsidRDefault="005A1829" w:rsidP="00DC38C7">
            <w:pPr>
              <w:jc w:val="center"/>
              <w:rPr>
                <w:b/>
                <w:i/>
                <w:sz w:val="18"/>
                <w:szCs w:val="18"/>
                <w:lang w:val="de-DE"/>
              </w:rPr>
            </w:pPr>
            <w:r w:rsidRPr="004F48F0">
              <w:rPr>
                <w:rFonts w:ascii="Arial" w:hAnsi="Arial" w:cs="Arial"/>
                <w:b/>
                <w:sz w:val="18"/>
                <w:szCs w:val="18"/>
                <w:lang w:val="de-DE"/>
              </w:rPr>
              <w:t xml:space="preserve">On day </w:t>
            </w:r>
            <w:r w:rsidRPr="004F48F0">
              <w:rPr>
                <w:b/>
                <w:i/>
                <w:sz w:val="18"/>
                <w:szCs w:val="18"/>
                <w:lang w:val="de-DE"/>
              </w:rPr>
              <w:t>t</w:t>
            </w:r>
          </w:p>
          <w:p w:rsidR="005A1829" w:rsidRPr="004F48F0" w:rsidRDefault="005A1829" w:rsidP="00DC38C7">
            <w:pPr>
              <w:jc w:val="center"/>
              <w:rPr>
                <w:rFonts w:ascii="Arial" w:hAnsi="Arial" w:cs="Arial"/>
                <w:b/>
                <w:sz w:val="18"/>
                <w:szCs w:val="18"/>
                <w:lang w:val="de-DE"/>
              </w:rPr>
            </w:pPr>
          </w:p>
        </w:tc>
      </w:tr>
      <w:tr w:rsidR="005A1829" w:rsidRPr="00A51255" w:rsidTr="00DC38C7">
        <w:trPr>
          <w:jc w:val="center"/>
        </w:trPr>
        <w:tc>
          <w:tcPr>
            <w:tcW w:w="9818" w:type="dxa"/>
            <w:gridSpan w:val="6"/>
            <w:vAlign w:val="center"/>
          </w:tcPr>
          <w:p w:rsidR="005A1829" w:rsidRDefault="005A1829" w:rsidP="00DC38C7">
            <w:pPr>
              <w:jc w:val="center"/>
              <w:rPr>
                <w:rFonts w:ascii="Arial" w:hAnsi="Arial" w:cs="Arial"/>
                <w:b/>
                <w:sz w:val="18"/>
                <w:szCs w:val="18"/>
                <w:lang w:val="de-DE"/>
              </w:rPr>
            </w:pPr>
          </w:p>
          <w:p w:rsidR="005A1829" w:rsidRDefault="005A1829" w:rsidP="00DC38C7">
            <w:pPr>
              <w:jc w:val="center"/>
              <w:rPr>
                <w:rFonts w:ascii="Arial" w:hAnsi="Arial" w:cs="Arial"/>
                <w:b/>
                <w:sz w:val="18"/>
                <w:szCs w:val="18"/>
                <w:lang w:val="de-DE"/>
              </w:rPr>
            </w:pPr>
            <w:r w:rsidRPr="009D3E6A">
              <w:rPr>
                <w:rFonts w:ascii="Arial" w:hAnsi="Arial" w:cs="Arial"/>
                <w:b/>
                <w:sz w:val="18"/>
                <w:szCs w:val="18"/>
                <w:lang w:val="de-DE"/>
              </w:rPr>
              <w:t>Mean equation:</w:t>
            </w:r>
          </w:p>
          <w:p w:rsidR="005A1829" w:rsidRDefault="005A1829" w:rsidP="00DC38C7">
            <w:pPr>
              <w:jc w:val="center"/>
              <w:rPr>
                <w:rFonts w:ascii="Arial" w:hAnsi="Arial" w:cs="Arial"/>
                <w:sz w:val="20"/>
                <w:szCs w:val="20"/>
                <w:lang w:val="de-DE"/>
              </w:rPr>
            </w:pPr>
          </w:p>
        </w:tc>
      </w:tr>
      <w:tr w:rsidR="005A1829" w:rsidRPr="00A51255" w:rsidTr="00DC38C7">
        <w:trPr>
          <w:jc w:val="center"/>
        </w:trPr>
        <w:tc>
          <w:tcPr>
            <w:tcW w:w="358" w:type="dxa"/>
            <w:vAlign w:val="center"/>
          </w:tcPr>
          <w:p w:rsidR="005A1829" w:rsidRPr="00A51255" w:rsidRDefault="005A1829" w:rsidP="00DC38C7">
            <w:pPr>
              <w:spacing w:line="360" w:lineRule="auto"/>
              <w:jc w:val="center"/>
              <w:rPr>
                <w:rFonts w:ascii="Arial" w:hAnsi="Arial" w:cs="Arial"/>
                <w:sz w:val="16"/>
                <w:szCs w:val="16"/>
                <w:lang w:val="de-DE"/>
              </w:rPr>
            </w:pPr>
            <w:r>
              <w:rPr>
                <w:rFonts w:ascii="Arial" w:hAnsi="Arial" w:cs="Arial"/>
                <w:sz w:val="16"/>
                <w:szCs w:val="16"/>
                <w:lang w:val="de-DE"/>
              </w:rPr>
              <w:t>(1)</w:t>
            </w:r>
          </w:p>
        </w:tc>
        <w:tc>
          <w:tcPr>
            <w:tcW w:w="1557" w:type="dxa"/>
            <w:vAlign w:val="center"/>
          </w:tcPr>
          <w:p w:rsidR="005A1829" w:rsidRPr="004F48F0" w:rsidRDefault="005A1829" w:rsidP="00DC38C7">
            <w:pPr>
              <w:jc w:val="center"/>
              <w:rPr>
                <w:rFonts w:ascii="Arial" w:hAnsi="Arial" w:cs="Arial"/>
                <w:b/>
                <w:sz w:val="18"/>
                <w:szCs w:val="18"/>
                <w:lang w:val="de-DE"/>
              </w:rPr>
            </w:pPr>
            <w:r w:rsidRPr="00067CE5">
              <w:rPr>
                <w:position w:val="-12"/>
              </w:rPr>
              <w:object w:dxaOrig="300" w:dyaOrig="360">
                <v:shape id="_x0000_i1167" type="#_x0000_t75" style="width:14.15pt;height:18pt" o:ole="">
                  <v:imagedata r:id="rId94" o:title=""/>
                </v:shape>
                <o:OLEObject Type="Embed" ProgID="Equation.3" ShapeID="_x0000_i1167" DrawAspect="Content" ObjectID="_1507543514" r:id="rId214"/>
              </w:object>
            </w:r>
          </w:p>
        </w:tc>
        <w:tc>
          <w:tcPr>
            <w:tcW w:w="2077" w:type="dxa"/>
            <w:vAlign w:val="center"/>
          </w:tcPr>
          <w:p w:rsidR="005A1829" w:rsidRPr="00A51255" w:rsidRDefault="005A1829" w:rsidP="00DC38C7">
            <w:pPr>
              <w:jc w:val="center"/>
              <w:rPr>
                <w:rFonts w:ascii="Arial" w:hAnsi="Arial" w:cs="Arial"/>
                <w:sz w:val="20"/>
                <w:szCs w:val="20"/>
                <w:lang w:val="de-DE"/>
              </w:rPr>
            </w:pPr>
            <w:r w:rsidRPr="00297E85">
              <w:rPr>
                <w:rFonts w:ascii="Arial" w:hAnsi="Arial" w:cs="Arial"/>
                <w:sz w:val="20"/>
                <w:szCs w:val="20"/>
                <w:lang w:val="de-DE"/>
              </w:rPr>
              <w:t>22.63635</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297E85">
              <w:rPr>
                <w:rFonts w:ascii="Arial" w:hAnsi="Arial" w:cs="Arial"/>
                <w:sz w:val="16"/>
                <w:szCs w:val="16"/>
                <w:lang w:val="de-DE"/>
              </w:rPr>
              <w:t>5.116730</w:t>
            </w:r>
            <w:r w:rsidRPr="00A51255">
              <w:rPr>
                <w:rFonts w:ascii="Arial" w:hAnsi="Arial" w:cs="Arial"/>
                <w:sz w:val="16"/>
                <w:szCs w:val="16"/>
                <w:lang w:val="de-DE"/>
              </w:rPr>
              <w:t>)</w:t>
            </w:r>
          </w:p>
        </w:tc>
        <w:tc>
          <w:tcPr>
            <w:tcW w:w="1968" w:type="dxa"/>
            <w:vAlign w:val="center"/>
          </w:tcPr>
          <w:p w:rsidR="005A1829" w:rsidRPr="00A51255" w:rsidRDefault="005A1829" w:rsidP="00DC38C7">
            <w:pPr>
              <w:jc w:val="center"/>
              <w:rPr>
                <w:rFonts w:ascii="Arial" w:hAnsi="Arial" w:cs="Arial"/>
                <w:sz w:val="20"/>
                <w:szCs w:val="20"/>
                <w:lang w:val="de-DE"/>
              </w:rPr>
            </w:pPr>
            <w:r w:rsidRPr="00322820">
              <w:rPr>
                <w:rFonts w:ascii="Arial" w:hAnsi="Arial" w:cs="Arial"/>
                <w:sz w:val="20"/>
                <w:szCs w:val="20"/>
                <w:lang w:val="de-DE"/>
              </w:rPr>
              <w:t>21.28128</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322820">
              <w:rPr>
                <w:rFonts w:ascii="Arial" w:hAnsi="Arial" w:cs="Arial"/>
                <w:sz w:val="16"/>
                <w:szCs w:val="16"/>
                <w:lang w:val="de-DE"/>
              </w:rPr>
              <w:t>5.159187</w:t>
            </w:r>
            <w:r w:rsidRPr="00A51255">
              <w:rPr>
                <w:rFonts w:ascii="Arial" w:hAnsi="Arial" w:cs="Arial"/>
                <w:sz w:val="16"/>
                <w:szCs w:val="16"/>
                <w:lang w:val="de-DE"/>
              </w:rPr>
              <w:t>)</w:t>
            </w:r>
          </w:p>
        </w:tc>
        <w:tc>
          <w:tcPr>
            <w:tcW w:w="1916" w:type="dxa"/>
            <w:vAlign w:val="center"/>
          </w:tcPr>
          <w:p w:rsidR="005A1829" w:rsidRPr="00A51255" w:rsidRDefault="005A1829" w:rsidP="00DC38C7">
            <w:pPr>
              <w:jc w:val="center"/>
              <w:rPr>
                <w:rFonts w:ascii="Arial" w:hAnsi="Arial" w:cs="Arial"/>
                <w:sz w:val="20"/>
                <w:szCs w:val="20"/>
                <w:lang w:val="de-DE"/>
              </w:rPr>
            </w:pPr>
            <w:r w:rsidRPr="007D50B9">
              <w:rPr>
                <w:rFonts w:ascii="Arial" w:hAnsi="Arial" w:cs="Arial"/>
                <w:sz w:val="20"/>
                <w:szCs w:val="20"/>
                <w:lang w:val="de-DE"/>
              </w:rPr>
              <w:t>19.52152</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7D50B9">
              <w:rPr>
                <w:rFonts w:ascii="Arial" w:hAnsi="Arial" w:cs="Arial"/>
                <w:sz w:val="16"/>
                <w:szCs w:val="16"/>
                <w:lang w:val="de-DE"/>
              </w:rPr>
              <w:t>4.984344</w:t>
            </w:r>
            <w:r w:rsidRPr="00A51255">
              <w:rPr>
                <w:rFonts w:ascii="Arial" w:hAnsi="Arial" w:cs="Arial"/>
                <w:sz w:val="16"/>
                <w:szCs w:val="16"/>
                <w:lang w:val="de-DE"/>
              </w:rPr>
              <w:t>)</w:t>
            </w:r>
          </w:p>
        </w:tc>
        <w:tc>
          <w:tcPr>
            <w:tcW w:w="1942" w:type="dxa"/>
            <w:vAlign w:val="center"/>
          </w:tcPr>
          <w:p w:rsidR="005A1829" w:rsidRPr="00A51255" w:rsidRDefault="005A1829" w:rsidP="00DC38C7">
            <w:pPr>
              <w:jc w:val="center"/>
              <w:rPr>
                <w:rFonts w:ascii="Arial" w:hAnsi="Arial" w:cs="Arial"/>
                <w:sz w:val="20"/>
                <w:szCs w:val="20"/>
                <w:lang w:val="de-DE"/>
              </w:rPr>
            </w:pPr>
            <w:r w:rsidRPr="00C131F9">
              <w:rPr>
                <w:rFonts w:ascii="Arial" w:hAnsi="Arial" w:cs="Arial"/>
                <w:sz w:val="20"/>
                <w:szCs w:val="20"/>
                <w:lang w:val="de-DE"/>
              </w:rPr>
              <w:t>20.36733</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C131F9">
              <w:rPr>
                <w:rFonts w:ascii="Arial" w:hAnsi="Arial" w:cs="Arial"/>
                <w:sz w:val="16"/>
                <w:szCs w:val="16"/>
                <w:lang w:val="de-DE"/>
              </w:rPr>
              <w:t>5.308093</w:t>
            </w:r>
            <w:r w:rsidRPr="00A51255">
              <w:rPr>
                <w:rFonts w:ascii="Arial" w:hAnsi="Arial" w:cs="Arial"/>
                <w:sz w:val="16"/>
                <w:szCs w:val="16"/>
                <w:lang w:val="de-DE"/>
              </w:rPr>
              <w:t>)</w:t>
            </w:r>
          </w:p>
        </w:tc>
      </w:tr>
      <w:tr w:rsidR="005A1829" w:rsidRPr="00A51255" w:rsidTr="00DC38C7">
        <w:trPr>
          <w:jc w:val="center"/>
        </w:trPr>
        <w:tc>
          <w:tcPr>
            <w:tcW w:w="358" w:type="dxa"/>
            <w:vAlign w:val="center"/>
          </w:tcPr>
          <w:p w:rsidR="005A1829" w:rsidRPr="00A51255" w:rsidRDefault="005A1829" w:rsidP="00DC38C7">
            <w:pPr>
              <w:spacing w:line="360" w:lineRule="auto"/>
              <w:jc w:val="center"/>
              <w:rPr>
                <w:rFonts w:ascii="Arial" w:hAnsi="Arial" w:cs="Arial"/>
                <w:lang w:val="en-US"/>
              </w:rPr>
            </w:pPr>
            <w:r>
              <w:rPr>
                <w:rFonts w:ascii="Arial" w:hAnsi="Arial" w:cs="Arial"/>
                <w:sz w:val="16"/>
                <w:szCs w:val="16"/>
                <w:lang w:val="de-DE"/>
              </w:rPr>
              <w:t>(1)</w:t>
            </w:r>
          </w:p>
        </w:tc>
        <w:tc>
          <w:tcPr>
            <w:tcW w:w="1557" w:type="dxa"/>
            <w:vAlign w:val="center"/>
          </w:tcPr>
          <w:p w:rsidR="005A1829" w:rsidRPr="004F48F0" w:rsidRDefault="005A1829" w:rsidP="00DC38C7">
            <w:pPr>
              <w:jc w:val="center"/>
              <w:rPr>
                <w:rFonts w:ascii="Arial" w:hAnsi="Arial" w:cs="Arial"/>
                <w:b/>
                <w:sz w:val="18"/>
                <w:szCs w:val="18"/>
                <w:lang w:val="de-DE"/>
              </w:rPr>
            </w:pPr>
            <w:r w:rsidRPr="00067CE5">
              <w:rPr>
                <w:position w:val="-10"/>
              </w:rPr>
              <w:object w:dxaOrig="279" w:dyaOrig="340">
                <v:shape id="_x0000_i1168" type="#_x0000_t75" style="width:14.15pt;height:16.7pt" o:ole="">
                  <v:imagedata r:id="rId96" o:title=""/>
                </v:shape>
                <o:OLEObject Type="Embed" ProgID="Equation.3" ShapeID="_x0000_i1168" DrawAspect="Content" ObjectID="_1507543515" r:id="rId215"/>
              </w:object>
            </w:r>
          </w:p>
        </w:tc>
        <w:tc>
          <w:tcPr>
            <w:tcW w:w="2077" w:type="dxa"/>
            <w:vAlign w:val="center"/>
          </w:tcPr>
          <w:p w:rsidR="005A1829" w:rsidRPr="00A51255" w:rsidRDefault="005A1829" w:rsidP="00DC38C7">
            <w:pPr>
              <w:jc w:val="center"/>
              <w:rPr>
                <w:rFonts w:ascii="Arial" w:hAnsi="Arial" w:cs="Arial"/>
                <w:sz w:val="20"/>
                <w:szCs w:val="20"/>
                <w:lang w:val="de-DE"/>
              </w:rPr>
            </w:pPr>
            <w:r w:rsidRPr="00297E85">
              <w:rPr>
                <w:rFonts w:ascii="Arial" w:hAnsi="Arial" w:cs="Arial"/>
                <w:sz w:val="20"/>
                <w:szCs w:val="20"/>
                <w:lang w:val="de-DE"/>
              </w:rPr>
              <w:t>4.484679</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297E85">
              <w:rPr>
                <w:rFonts w:ascii="Arial" w:hAnsi="Arial" w:cs="Arial"/>
                <w:sz w:val="16"/>
                <w:szCs w:val="16"/>
                <w:lang w:val="de-DE"/>
              </w:rPr>
              <w:t>1.993656</w:t>
            </w:r>
            <w:r>
              <w:rPr>
                <w:rFonts w:ascii="Arial" w:hAnsi="Arial" w:cs="Arial"/>
                <w:sz w:val="16"/>
                <w:szCs w:val="16"/>
                <w:lang w:val="de-DE"/>
              </w:rPr>
              <w:t xml:space="preserve"> </w:t>
            </w:r>
            <w:r w:rsidRPr="00A51255">
              <w:rPr>
                <w:rFonts w:ascii="Arial" w:hAnsi="Arial" w:cs="Arial"/>
                <w:sz w:val="16"/>
                <w:szCs w:val="16"/>
                <w:lang w:val="de-DE"/>
              </w:rPr>
              <w:t>)</w:t>
            </w:r>
          </w:p>
        </w:tc>
        <w:tc>
          <w:tcPr>
            <w:tcW w:w="1968" w:type="dxa"/>
            <w:vAlign w:val="center"/>
          </w:tcPr>
          <w:p w:rsidR="005A1829" w:rsidRPr="00A51255" w:rsidRDefault="005A1829" w:rsidP="00DC38C7">
            <w:pPr>
              <w:jc w:val="center"/>
              <w:rPr>
                <w:rFonts w:ascii="Arial" w:hAnsi="Arial" w:cs="Arial"/>
                <w:sz w:val="20"/>
                <w:szCs w:val="20"/>
                <w:lang w:val="de-DE"/>
              </w:rPr>
            </w:pPr>
            <w:r w:rsidRPr="00322820">
              <w:rPr>
                <w:rFonts w:ascii="Arial" w:hAnsi="Arial" w:cs="Arial"/>
                <w:sz w:val="20"/>
                <w:szCs w:val="20"/>
                <w:lang w:val="de-DE"/>
              </w:rPr>
              <w:t>4.261968</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322820">
              <w:rPr>
                <w:rFonts w:ascii="Arial" w:hAnsi="Arial" w:cs="Arial"/>
                <w:sz w:val="16"/>
                <w:szCs w:val="16"/>
                <w:lang w:val="de-DE"/>
              </w:rPr>
              <w:t>2.105823</w:t>
            </w:r>
            <w:r w:rsidRPr="00A51255">
              <w:rPr>
                <w:rFonts w:ascii="Arial" w:hAnsi="Arial" w:cs="Arial"/>
                <w:sz w:val="16"/>
                <w:szCs w:val="16"/>
                <w:lang w:val="de-DE"/>
              </w:rPr>
              <w:t>)</w:t>
            </w:r>
          </w:p>
        </w:tc>
        <w:tc>
          <w:tcPr>
            <w:tcW w:w="1916" w:type="dxa"/>
            <w:vAlign w:val="center"/>
          </w:tcPr>
          <w:p w:rsidR="005A1829" w:rsidRPr="00A51255" w:rsidRDefault="005A1829" w:rsidP="00DC38C7">
            <w:pPr>
              <w:jc w:val="center"/>
              <w:rPr>
                <w:rFonts w:ascii="Arial" w:hAnsi="Arial" w:cs="Arial"/>
                <w:sz w:val="20"/>
                <w:szCs w:val="20"/>
                <w:lang w:val="de-DE"/>
              </w:rPr>
            </w:pPr>
            <w:r w:rsidRPr="007D50B9">
              <w:rPr>
                <w:rFonts w:ascii="Arial" w:hAnsi="Arial" w:cs="Arial"/>
                <w:sz w:val="20"/>
                <w:szCs w:val="20"/>
                <w:lang w:val="de-DE"/>
              </w:rPr>
              <w:t>3.875261</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7D50B9">
              <w:rPr>
                <w:rFonts w:ascii="Arial" w:hAnsi="Arial" w:cs="Arial"/>
                <w:sz w:val="16"/>
                <w:szCs w:val="16"/>
                <w:lang w:val="de-DE"/>
              </w:rPr>
              <w:t>2.007690</w:t>
            </w:r>
            <w:r w:rsidRPr="00A51255">
              <w:rPr>
                <w:rFonts w:ascii="Arial" w:hAnsi="Arial" w:cs="Arial"/>
                <w:sz w:val="16"/>
                <w:szCs w:val="16"/>
                <w:lang w:val="de-DE"/>
              </w:rPr>
              <w:t>)</w:t>
            </w:r>
          </w:p>
        </w:tc>
        <w:tc>
          <w:tcPr>
            <w:tcW w:w="1942" w:type="dxa"/>
            <w:vAlign w:val="center"/>
          </w:tcPr>
          <w:p w:rsidR="005A1829" w:rsidRPr="00A51255" w:rsidRDefault="005A1829" w:rsidP="00DC38C7">
            <w:pPr>
              <w:jc w:val="center"/>
              <w:rPr>
                <w:rFonts w:ascii="Arial" w:hAnsi="Arial" w:cs="Arial"/>
                <w:sz w:val="20"/>
                <w:szCs w:val="20"/>
                <w:lang w:val="de-DE"/>
              </w:rPr>
            </w:pPr>
            <w:r w:rsidRPr="00C131F9">
              <w:rPr>
                <w:rFonts w:ascii="Arial" w:hAnsi="Arial" w:cs="Arial"/>
                <w:sz w:val="20"/>
                <w:szCs w:val="20"/>
                <w:lang w:val="de-DE"/>
              </w:rPr>
              <w:t>4.545232</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C131F9">
              <w:rPr>
                <w:rFonts w:ascii="Arial" w:hAnsi="Arial" w:cs="Arial"/>
                <w:sz w:val="16"/>
                <w:szCs w:val="16"/>
                <w:lang w:val="de-DE"/>
              </w:rPr>
              <w:t>2.009472</w:t>
            </w:r>
            <w:r w:rsidRPr="00A51255">
              <w:rPr>
                <w:rFonts w:ascii="Arial" w:hAnsi="Arial" w:cs="Arial"/>
                <w:sz w:val="16"/>
                <w:szCs w:val="16"/>
                <w:lang w:val="de-DE"/>
              </w:rPr>
              <w:t>)</w:t>
            </w:r>
          </w:p>
        </w:tc>
      </w:tr>
      <w:tr w:rsidR="005A1829" w:rsidRPr="00A51255" w:rsidTr="00DC38C7">
        <w:trPr>
          <w:jc w:val="center"/>
        </w:trPr>
        <w:tc>
          <w:tcPr>
            <w:tcW w:w="358" w:type="dxa"/>
            <w:vAlign w:val="center"/>
          </w:tcPr>
          <w:p w:rsidR="005A1829" w:rsidRPr="00A51255" w:rsidRDefault="005A1829" w:rsidP="00DC38C7">
            <w:pPr>
              <w:spacing w:line="360" w:lineRule="auto"/>
              <w:jc w:val="center"/>
              <w:rPr>
                <w:rFonts w:ascii="Arial" w:hAnsi="Arial" w:cs="Arial"/>
                <w:lang w:val="en-US"/>
              </w:rPr>
            </w:pPr>
            <w:r>
              <w:rPr>
                <w:rFonts w:ascii="Arial" w:hAnsi="Arial" w:cs="Arial"/>
                <w:sz w:val="16"/>
                <w:szCs w:val="16"/>
                <w:lang w:val="de-DE"/>
              </w:rPr>
              <w:t>(1)</w:t>
            </w:r>
          </w:p>
        </w:tc>
        <w:tc>
          <w:tcPr>
            <w:tcW w:w="1557" w:type="dxa"/>
            <w:vAlign w:val="center"/>
          </w:tcPr>
          <w:p w:rsidR="005A1829" w:rsidRPr="004F48F0" w:rsidRDefault="005A1829" w:rsidP="00DC38C7">
            <w:pPr>
              <w:jc w:val="center"/>
              <w:rPr>
                <w:rFonts w:ascii="Arial" w:hAnsi="Arial" w:cs="Arial"/>
                <w:b/>
                <w:sz w:val="18"/>
                <w:szCs w:val="18"/>
                <w:lang w:val="de-DE"/>
              </w:rPr>
            </w:pPr>
            <w:r w:rsidRPr="00067CE5">
              <w:rPr>
                <w:position w:val="-10"/>
              </w:rPr>
              <w:object w:dxaOrig="300" w:dyaOrig="340">
                <v:shape id="_x0000_i1169" type="#_x0000_t75" style="width:14.15pt;height:16.7pt" o:ole="">
                  <v:imagedata r:id="rId98" o:title=""/>
                </v:shape>
                <o:OLEObject Type="Embed" ProgID="Equation.3" ShapeID="_x0000_i1169" DrawAspect="Content" ObjectID="_1507543516" r:id="rId216"/>
              </w:object>
            </w:r>
          </w:p>
        </w:tc>
        <w:tc>
          <w:tcPr>
            <w:tcW w:w="2077" w:type="dxa"/>
            <w:vAlign w:val="center"/>
          </w:tcPr>
          <w:p w:rsidR="005A1829" w:rsidRDefault="005A1829" w:rsidP="00DC38C7">
            <w:pPr>
              <w:jc w:val="center"/>
              <w:rPr>
                <w:rFonts w:ascii="Arial" w:hAnsi="Arial" w:cs="Arial"/>
                <w:sz w:val="20"/>
                <w:szCs w:val="20"/>
                <w:lang w:val="de-DE"/>
              </w:rPr>
            </w:pPr>
            <w:r w:rsidRPr="00297E85">
              <w:rPr>
                <w:rFonts w:ascii="Arial" w:hAnsi="Arial" w:cs="Arial"/>
                <w:sz w:val="20"/>
                <w:szCs w:val="20"/>
                <w:lang w:val="de-DE"/>
              </w:rPr>
              <w:t>-19.18801</w:t>
            </w:r>
            <w:r>
              <w:rPr>
                <w:rFonts w:ascii="Arial" w:hAnsi="Arial" w:cs="Arial"/>
                <w:sz w:val="20"/>
                <w:szCs w:val="20"/>
                <w:lang w:val="de-DE"/>
              </w:rPr>
              <w:t xml:space="preserve"> **</w:t>
            </w:r>
            <w:r w:rsidRPr="00297E85">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040FCC">
              <w:rPr>
                <w:rFonts w:ascii="Arial" w:hAnsi="Arial" w:cs="Arial"/>
                <w:sz w:val="16"/>
                <w:szCs w:val="16"/>
                <w:lang w:val="de-DE"/>
              </w:rPr>
              <w:t>7.786902</w:t>
            </w:r>
            <w:r w:rsidRPr="00A51255">
              <w:rPr>
                <w:rFonts w:ascii="Arial" w:hAnsi="Arial" w:cs="Arial"/>
                <w:sz w:val="16"/>
                <w:szCs w:val="16"/>
                <w:lang w:val="de-DE"/>
              </w:rPr>
              <w:t>)</w:t>
            </w:r>
          </w:p>
        </w:tc>
        <w:tc>
          <w:tcPr>
            <w:tcW w:w="1968" w:type="dxa"/>
            <w:vAlign w:val="center"/>
          </w:tcPr>
          <w:p w:rsidR="005A1829" w:rsidRPr="00A51255" w:rsidRDefault="005A1829" w:rsidP="00DC38C7">
            <w:pPr>
              <w:jc w:val="center"/>
              <w:rPr>
                <w:rFonts w:ascii="Arial" w:hAnsi="Arial" w:cs="Arial"/>
                <w:sz w:val="20"/>
                <w:szCs w:val="20"/>
                <w:lang w:val="de-DE"/>
              </w:rPr>
            </w:pPr>
            <w:r w:rsidRPr="00322820">
              <w:rPr>
                <w:rFonts w:ascii="Arial" w:hAnsi="Arial" w:cs="Arial"/>
                <w:sz w:val="20"/>
                <w:szCs w:val="20"/>
                <w:lang w:val="de-DE"/>
              </w:rPr>
              <w:t>-17.41104</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322820">
              <w:rPr>
                <w:rFonts w:ascii="Arial" w:hAnsi="Arial" w:cs="Arial"/>
                <w:sz w:val="16"/>
                <w:szCs w:val="16"/>
                <w:lang w:val="de-DE"/>
              </w:rPr>
              <w:t>7.960861</w:t>
            </w:r>
            <w:r w:rsidRPr="00A51255">
              <w:rPr>
                <w:rFonts w:ascii="Arial" w:hAnsi="Arial" w:cs="Arial"/>
                <w:sz w:val="16"/>
                <w:szCs w:val="16"/>
                <w:lang w:val="de-DE"/>
              </w:rPr>
              <w:t>)</w:t>
            </w:r>
          </w:p>
        </w:tc>
        <w:tc>
          <w:tcPr>
            <w:tcW w:w="1916" w:type="dxa"/>
            <w:vAlign w:val="center"/>
          </w:tcPr>
          <w:p w:rsidR="005A1829" w:rsidRDefault="005A1829" w:rsidP="00DC38C7">
            <w:pPr>
              <w:jc w:val="center"/>
              <w:rPr>
                <w:rFonts w:ascii="Arial" w:hAnsi="Arial" w:cs="Arial"/>
                <w:sz w:val="20"/>
                <w:szCs w:val="20"/>
                <w:lang w:val="de-DE"/>
              </w:rPr>
            </w:pPr>
            <w:r w:rsidRPr="000807F0">
              <w:rPr>
                <w:rFonts w:ascii="Arial" w:hAnsi="Arial" w:cs="Arial"/>
                <w:sz w:val="20"/>
                <w:szCs w:val="20"/>
                <w:lang w:val="de-DE"/>
              </w:rPr>
              <w:t>-15.06850</w:t>
            </w:r>
            <w:r>
              <w:rPr>
                <w:rFonts w:ascii="Arial" w:hAnsi="Arial" w:cs="Arial"/>
                <w:sz w:val="20"/>
                <w:szCs w:val="20"/>
                <w:lang w:val="de-DE"/>
              </w:rPr>
              <w:t xml:space="preserve"> **</w:t>
            </w:r>
            <w:r w:rsidRPr="000807F0">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0807F0">
              <w:rPr>
                <w:rFonts w:ascii="Arial" w:hAnsi="Arial" w:cs="Arial"/>
                <w:sz w:val="16"/>
                <w:szCs w:val="16"/>
                <w:lang w:val="de-DE"/>
              </w:rPr>
              <w:t>7.564439</w:t>
            </w:r>
            <w:r w:rsidRPr="00A51255">
              <w:rPr>
                <w:rFonts w:ascii="Arial" w:hAnsi="Arial" w:cs="Arial"/>
                <w:sz w:val="16"/>
                <w:szCs w:val="16"/>
                <w:lang w:val="de-DE"/>
              </w:rPr>
              <w:t>)</w:t>
            </w:r>
          </w:p>
        </w:tc>
        <w:tc>
          <w:tcPr>
            <w:tcW w:w="1942" w:type="dxa"/>
            <w:vAlign w:val="center"/>
          </w:tcPr>
          <w:p w:rsidR="005A1829" w:rsidRPr="00A51255" w:rsidRDefault="005A1829" w:rsidP="00DC38C7">
            <w:pPr>
              <w:jc w:val="center"/>
              <w:rPr>
                <w:rFonts w:ascii="Arial" w:hAnsi="Arial" w:cs="Arial"/>
                <w:sz w:val="20"/>
                <w:szCs w:val="20"/>
                <w:lang w:val="de-DE"/>
              </w:rPr>
            </w:pPr>
            <w:r w:rsidRPr="00295917">
              <w:rPr>
                <w:rFonts w:ascii="Arial" w:hAnsi="Arial" w:cs="Arial"/>
                <w:sz w:val="20"/>
                <w:szCs w:val="20"/>
                <w:lang w:val="de-DE"/>
              </w:rPr>
              <w:t>-16.42068</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295917">
              <w:rPr>
                <w:rFonts w:ascii="Arial" w:hAnsi="Arial" w:cs="Arial"/>
                <w:sz w:val="16"/>
                <w:szCs w:val="16"/>
                <w:lang w:val="de-DE"/>
              </w:rPr>
              <w:t>8.051352</w:t>
            </w:r>
            <w:r w:rsidRPr="00A51255">
              <w:rPr>
                <w:rFonts w:ascii="Arial" w:hAnsi="Arial" w:cs="Arial"/>
                <w:sz w:val="16"/>
                <w:szCs w:val="16"/>
                <w:lang w:val="de-DE"/>
              </w:rPr>
              <w:t>)</w:t>
            </w:r>
          </w:p>
        </w:tc>
      </w:tr>
      <w:tr w:rsidR="005A1829" w:rsidRPr="00647145" w:rsidTr="00DC38C7">
        <w:trPr>
          <w:jc w:val="center"/>
        </w:trPr>
        <w:tc>
          <w:tcPr>
            <w:tcW w:w="358" w:type="dxa"/>
            <w:vAlign w:val="center"/>
          </w:tcPr>
          <w:p w:rsidR="005A1829" w:rsidRPr="00A51255" w:rsidRDefault="005A1829" w:rsidP="00DC38C7">
            <w:pPr>
              <w:spacing w:line="360" w:lineRule="auto"/>
              <w:jc w:val="center"/>
              <w:rPr>
                <w:rFonts w:ascii="Arial" w:hAnsi="Arial" w:cs="Arial"/>
                <w:sz w:val="16"/>
                <w:szCs w:val="16"/>
                <w:lang w:val="de-DE"/>
              </w:rPr>
            </w:pPr>
          </w:p>
        </w:tc>
        <w:tc>
          <w:tcPr>
            <w:tcW w:w="1557" w:type="dxa"/>
            <w:vAlign w:val="center"/>
          </w:tcPr>
          <w:p w:rsidR="005A1829" w:rsidRDefault="005A1829" w:rsidP="00DC38C7">
            <w:pPr>
              <w:jc w:val="center"/>
              <w:rPr>
                <w:rFonts w:ascii="Arial" w:hAnsi="Arial" w:cs="Arial"/>
                <w:b/>
                <w:sz w:val="18"/>
                <w:szCs w:val="18"/>
                <w:lang w:val="de-DE"/>
              </w:rPr>
            </w:pPr>
            <w:r w:rsidRPr="004F48F0">
              <w:rPr>
                <w:rFonts w:ascii="Arial" w:hAnsi="Arial" w:cs="Arial"/>
                <w:b/>
                <w:sz w:val="18"/>
                <w:szCs w:val="18"/>
                <w:lang w:val="de-DE"/>
              </w:rPr>
              <w:t xml:space="preserve">Unexpected </w:t>
            </w:r>
          </w:p>
          <w:p w:rsidR="005A1829" w:rsidRDefault="005A1829" w:rsidP="00DC38C7">
            <w:pPr>
              <w:jc w:val="center"/>
              <w:rPr>
                <w:rFonts w:ascii="Arial" w:hAnsi="Arial" w:cs="Arial"/>
                <w:b/>
                <w:sz w:val="18"/>
                <w:szCs w:val="18"/>
                <w:lang w:val="de-DE"/>
              </w:rPr>
            </w:pPr>
            <w:r>
              <w:rPr>
                <w:rFonts w:ascii="Arial" w:hAnsi="Arial" w:cs="Arial"/>
                <w:b/>
                <w:sz w:val="18"/>
                <w:szCs w:val="18"/>
                <w:lang w:val="de-DE"/>
              </w:rPr>
              <w:t xml:space="preserve">neutral </w:t>
            </w:r>
          </w:p>
          <w:p w:rsidR="005A1829" w:rsidRPr="004F48F0" w:rsidRDefault="005A1829" w:rsidP="00DC38C7">
            <w:pPr>
              <w:jc w:val="center"/>
              <w:rPr>
                <w:rFonts w:ascii="Arial" w:hAnsi="Arial" w:cs="Arial"/>
                <w:b/>
                <w:sz w:val="18"/>
                <w:szCs w:val="18"/>
                <w:lang w:val="de-DE"/>
              </w:rPr>
            </w:pPr>
            <w:r w:rsidRPr="004F48F0">
              <w:rPr>
                <w:rFonts w:ascii="Arial" w:hAnsi="Arial" w:cs="Arial"/>
                <w:b/>
                <w:sz w:val="18"/>
                <w:szCs w:val="18"/>
                <w:lang w:val="de-DE"/>
              </w:rPr>
              <w:t>announcement:</w:t>
            </w:r>
          </w:p>
        </w:tc>
        <w:tc>
          <w:tcPr>
            <w:tcW w:w="2077" w:type="dxa"/>
            <w:vAlign w:val="center"/>
          </w:tcPr>
          <w:p w:rsidR="005A1829" w:rsidRPr="004F48F0" w:rsidRDefault="005A1829" w:rsidP="00DC38C7">
            <w:pPr>
              <w:jc w:val="center"/>
              <w:rPr>
                <w:rFonts w:ascii="Arial" w:hAnsi="Arial" w:cs="Arial"/>
                <w:b/>
                <w:sz w:val="18"/>
                <w:szCs w:val="18"/>
                <w:lang w:val="de-DE"/>
              </w:rPr>
            </w:pPr>
            <w:r w:rsidRPr="004F48F0">
              <w:rPr>
                <w:rFonts w:ascii="Arial" w:hAnsi="Arial" w:cs="Arial"/>
                <w:b/>
                <w:sz w:val="18"/>
                <w:szCs w:val="18"/>
                <w:lang w:val="de-DE"/>
              </w:rPr>
              <w:t>Money Supply</w:t>
            </w:r>
          </w:p>
          <w:p w:rsidR="005A1829" w:rsidRPr="00CA2C53" w:rsidRDefault="005A1829" w:rsidP="00DC38C7">
            <w:pPr>
              <w:jc w:val="center"/>
              <w:rPr>
                <w:rFonts w:ascii="Arial" w:hAnsi="Arial" w:cs="Arial"/>
                <w:b/>
                <w:sz w:val="2"/>
                <w:szCs w:val="2"/>
                <w:lang w:val="de-DE"/>
              </w:rPr>
            </w:pPr>
          </w:p>
          <w:p w:rsidR="005A1829" w:rsidRPr="004F48F0" w:rsidRDefault="005A1829" w:rsidP="00DC38C7">
            <w:pPr>
              <w:jc w:val="center"/>
              <w:rPr>
                <w:rFonts w:ascii="Arial" w:hAnsi="Arial" w:cs="Arial"/>
                <w:b/>
                <w:sz w:val="20"/>
                <w:szCs w:val="20"/>
                <w:lang w:val="de-DE"/>
              </w:rPr>
            </w:pPr>
            <w:r w:rsidRPr="009F1BCD">
              <w:rPr>
                <w:b/>
                <w:sz w:val="20"/>
                <w:szCs w:val="20"/>
                <w:lang w:val="de-DE"/>
              </w:rPr>
              <w:t>(</w:t>
            </w:r>
            <w:r w:rsidRPr="004F48F0">
              <w:rPr>
                <w:b/>
                <w:i/>
                <w:sz w:val="20"/>
                <w:szCs w:val="20"/>
                <w:lang w:val="de-DE"/>
              </w:rPr>
              <w:t>MS</w:t>
            </w:r>
            <w:r w:rsidRPr="009F1BCD">
              <w:rPr>
                <w:b/>
                <w:sz w:val="20"/>
                <w:szCs w:val="20"/>
                <w:lang w:val="de-DE"/>
              </w:rPr>
              <w:t>)</w:t>
            </w:r>
          </w:p>
        </w:tc>
        <w:tc>
          <w:tcPr>
            <w:tcW w:w="1968" w:type="dxa"/>
            <w:vAlign w:val="center"/>
          </w:tcPr>
          <w:p w:rsidR="005A1829" w:rsidRDefault="005A1829" w:rsidP="00DC38C7">
            <w:pPr>
              <w:jc w:val="center"/>
              <w:rPr>
                <w:rFonts w:ascii="Arial" w:hAnsi="Arial" w:cs="Arial"/>
                <w:b/>
                <w:sz w:val="18"/>
                <w:szCs w:val="18"/>
                <w:lang w:val="de-DE"/>
              </w:rPr>
            </w:pPr>
            <w:r w:rsidRPr="004F48F0">
              <w:rPr>
                <w:rFonts w:ascii="Arial" w:hAnsi="Arial" w:cs="Arial"/>
                <w:b/>
                <w:sz w:val="18"/>
                <w:szCs w:val="18"/>
                <w:lang w:val="de-DE"/>
              </w:rPr>
              <w:t>Reserve Money</w:t>
            </w:r>
          </w:p>
          <w:p w:rsidR="005A1829" w:rsidRPr="00CA2C53" w:rsidRDefault="005A1829" w:rsidP="00DC38C7">
            <w:pPr>
              <w:jc w:val="center"/>
              <w:rPr>
                <w:rFonts w:ascii="Arial" w:hAnsi="Arial" w:cs="Arial"/>
                <w:b/>
                <w:sz w:val="2"/>
                <w:szCs w:val="2"/>
                <w:lang w:val="de-DE"/>
              </w:rPr>
            </w:pPr>
          </w:p>
          <w:p w:rsidR="005A1829" w:rsidRPr="004F48F0" w:rsidRDefault="005A1829" w:rsidP="00DC38C7">
            <w:pPr>
              <w:jc w:val="center"/>
              <w:rPr>
                <w:b/>
                <w:i/>
                <w:sz w:val="20"/>
                <w:szCs w:val="20"/>
                <w:lang w:val="en-US"/>
              </w:rPr>
            </w:pPr>
            <w:r w:rsidRPr="009F1BCD">
              <w:rPr>
                <w:b/>
                <w:sz w:val="20"/>
                <w:szCs w:val="20"/>
                <w:lang w:val="en-US"/>
              </w:rPr>
              <w:t>(</w:t>
            </w:r>
            <w:r w:rsidRPr="004F48F0">
              <w:rPr>
                <w:b/>
                <w:i/>
                <w:sz w:val="20"/>
                <w:szCs w:val="20"/>
                <w:lang w:val="en-US"/>
              </w:rPr>
              <w:t>RM</w:t>
            </w:r>
            <w:r w:rsidRPr="009F1BCD">
              <w:rPr>
                <w:b/>
                <w:sz w:val="20"/>
                <w:szCs w:val="20"/>
                <w:lang w:val="en-US"/>
              </w:rPr>
              <w:t>)</w:t>
            </w:r>
          </w:p>
        </w:tc>
        <w:tc>
          <w:tcPr>
            <w:tcW w:w="1916" w:type="dxa"/>
            <w:vAlign w:val="center"/>
          </w:tcPr>
          <w:p w:rsidR="005A1829" w:rsidRDefault="005A1829" w:rsidP="00DC38C7">
            <w:pPr>
              <w:jc w:val="center"/>
              <w:rPr>
                <w:rFonts w:ascii="Arial" w:hAnsi="Arial" w:cs="Arial"/>
                <w:b/>
                <w:sz w:val="18"/>
                <w:szCs w:val="18"/>
                <w:lang w:val="de-DE"/>
              </w:rPr>
            </w:pPr>
            <w:r>
              <w:rPr>
                <w:rFonts w:ascii="Arial" w:hAnsi="Arial" w:cs="Arial"/>
                <w:b/>
                <w:sz w:val="18"/>
                <w:szCs w:val="18"/>
                <w:lang w:val="de-DE"/>
              </w:rPr>
              <w:t>Balance of Payments</w:t>
            </w:r>
          </w:p>
          <w:p w:rsidR="005A1829" w:rsidRPr="00CA2C53" w:rsidRDefault="005A1829" w:rsidP="00DC38C7">
            <w:pPr>
              <w:jc w:val="center"/>
              <w:rPr>
                <w:b/>
                <w:i/>
                <w:sz w:val="2"/>
                <w:szCs w:val="2"/>
                <w:lang w:val="en-US"/>
              </w:rPr>
            </w:pPr>
          </w:p>
          <w:p w:rsidR="005A1829" w:rsidRPr="004F48F0" w:rsidRDefault="005A1829" w:rsidP="00DC38C7">
            <w:pPr>
              <w:jc w:val="center"/>
              <w:rPr>
                <w:b/>
                <w:i/>
                <w:sz w:val="20"/>
                <w:szCs w:val="20"/>
                <w:lang w:val="en-US"/>
              </w:rPr>
            </w:pPr>
            <w:r w:rsidRPr="009F1BCD">
              <w:rPr>
                <w:b/>
                <w:sz w:val="20"/>
                <w:szCs w:val="20"/>
                <w:lang w:val="en-US"/>
              </w:rPr>
              <w:t>(</w:t>
            </w:r>
            <w:r w:rsidRPr="004F48F0">
              <w:rPr>
                <w:b/>
                <w:i/>
                <w:sz w:val="20"/>
                <w:szCs w:val="20"/>
                <w:lang w:val="en-US"/>
              </w:rPr>
              <w:t>BOP</w:t>
            </w:r>
            <w:r w:rsidRPr="009F1BCD">
              <w:rPr>
                <w:b/>
                <w:sz w:val="20"/>
                <w:szCs w:val="20"/>
                <w:lang w:val="en-US"/>
              </w:rPr>
              <w:t>)</w:t>
            </w:r>
          </w:p>
        </w:tc>
        <w:tc>
          <w:tcPr>
            <w:tcW w:w="1942" w:type="dxa"/>
            <w:vAlign w:val="center"/>
          </w:tcPr>
          <w:p w:rsidR="005A1829" w:rsidRPr="000E3558" w:rsidRDefault="005A1829" w:rsidP="00DC38C7">
            <w:pPr>
              <w:jc w:val="center"/>
              <w:rPr>
                <w:rFonts w:ascii="Arial" w:hAnsi="Arial" w:cs="Arial"/>
                <w:b/>
                <w:sz w:val="18"/>
                <w:szCs w:val="18"/>
                <w:lang w:val="en-US"/>
              </w:rPr>
            </w:pPr>
            <w:r w:rsidRPr="000E3558">
              <w:rPr>
                <w:rFonts w:ascii="Arial" w:hAnsi="Arial" w:cs="Arial"/>
                <w:b/>
                <w:sz w:val="18"/>
                <w:szCs w:val="18"/>
                <w:lang w:val="en-US"/>
              </w:rPr>
              <w:t xml:space="preserve">Liquid Assets </w:t>
            </w:r>
          </w:p>
          <w:p w:rsidR="005A1829" w:rsidRPr="000E3558" w:rsidRDefault="005A1829" w:rsidP="00DC38C7">
            <w:pPr>
              <w:jc w:val="center"/>
              <w:rPr>
                <w:rFonts w:ascii="Arial" w:hAnsi="Arial" w:cs="Arial"/>
                <w:b/>
                <w:sz w:val="18"/>
                <w:szCs w:val="18"/>
                <w:lang w:val="en-US"/>
              </w:rPr>
            </w:pPr>
            <w:r w:rsidRPr="000E3558">
              <w:rPr>
                <w:rFonts w:ascii="Arial" w:hAnsi="Arial" w:cs="Arial"/>
                <w:b/>
                <w:sz w:val="18"/>
                <w:szCs w:val="18"/>
                <w:lang w:val="en-US"/>
              </w:rPr>
              <w:t xml:space="preserve">and Liabilities </w:t>
            </w:r>
          </w:p>
          <w:p w:rsidR="005A1829" w:rsidRPr="009F1BCD" w:rsidRDefault="005A1829" w:rsidP="00DC38C7">
            <w:pPr>
              <w:jc w:val="center"/>
              <w:rPr>
                <w:b/>
                <w:i/>
                <w:sz w:val="20"/>
                <w:szCs w:val="20"/>
                <w:lang w:val="en-US"/>
              </w:rPr>
            </w:pPr>
            <w:r w:rsidRPr="000E3558">
              <w:rPr>
                <w:rFonts w:ascii="Arial" w:hAnsi="Arial" w:cs="Arial"/>
                <w:b/>
                <w:sz w:val="18"/>
                <w:szCs w:val="18"/>
                <w:lang w:val="en-US"/>
              </w:rPr>
              <w:t>(</w:t>
            </w:r>
            <w:r w:rsidRPr="009F1BCD">
              <w:rPr>
                <w:b/>
                <w:i/>
                <w:sz w:val="20"/>
                <w:szCs w:val="20"/>
                <w:lang w:val="en-US"/>
              </w:rPr>
              <w:t>AL</w:t>
            </w:r>
            <w:r w:rsidRPr="009F1BCD">
              <w:rPr>
                <w:b/>
                <w:sz w:val="20"/>
                <w:szCs w:val="20"/>
                <w:lang w:val="en-US"/>
              </w:rPr>
              <w:t>)</w:t>
            </w:r>
          </w:p>
        </w:tc>
      </w:tr>
      <w:tr w:rsidR="005A1829" w:rsidRPr="00A51255" w:rsidTr="00DC38C7">
        <w:trPr>
          <w:jc w:val="center"/>
        </w:trPr>
        <w:tc>
          <w:tcPr>
            <w:tcW w:w="358" w:type="dxa"/>
            <w:vAlign w:val="center"/>
          </w:tcPr>
          <w:p w:rsidR="005A1829" w:rsidRPr="00A51255" w:rsidRDefault="005A1829" w:rsidP="00DC38C7">
            <w:pPr>
              <w:spacing w:line="360" w:lineRule="auto"/>
              <w:jc w:val="center"/>
              <w:rPr>
                <w:rFonts w:ascii="Arial" w:hAnsi="Arial" w:cs="Arial"/>
                <w:sz w:val="16"/>
                <w:szCs w:val="16"/>
                <w:lang w:val="de-DE"/>
              </w:rPr>
            </w:pPr>
            <w:r>
              <w:rPr>
                <w:rFonts w:ascii="Arial" w:hAnsi="Arial" w:cs="Arial"/>
                <w:sz w:val="16"/>
                <w:szCs w:val="16"/>
                <w:lang w:val="de-DE"/>
              </w:rPr>
              <w:t>(1)</w:t>
            </w:r>
          </w:p>
        </w:tc>
        <w:tc>
          <w:tcPr>
            <w:tcW w:w="1557" w:type="dxa"/>
            <w:vAlign w:val="center"/>
          </w:tcPr>
          <w:p w:rsidR="005A1829" w:rsidRDefault="005A1829" w:rsidP="00DC38C7">
            <w:pPr>
              <w:ind w:left="87"/>
              <w:jc w:val="center"/>
            </w:pPr>
            <w:r w:rsidRPr="00B3604A">
              <w:rPr>
                <w:position w:val="-12"/>
              </w:rPr>
              <w:object w:dxaOrig="279" w:dyaOrig="360">
                <v:shape id="_x0000_i1170" type="#_x0000_t75" style="width:14.15pt;height:18pt" o:ole="">
                  <v:imagedata r:id="rId100" o:title=""/>
                </v:shape>
                <o:OLEObject Type="Embed" ProgID="Equation.3" ShapeID="_x0000_i1170" DrawAspect="Content" ObjectID="_1507543517" r:id="rId217"/>
              </w:object>
            </w:r>
          </w:p>
          <w:p w:rsidR="005A1829" w:rsidRPr="004F48F0" w:rsidRDefault="005A1829" w:rsidP="00DC38C7">
            <w:pPr>
              <w:ind w:left="87"/>
              <w:jc w:val="center"/>
              <w:rPr>
                <w:b/>
                <w:sz w:val="18"/>
                <w:szCs w:val="18"/>
                <w:lang w:val="de-DE"/>
              </w:rPr>
            </w:pPr>
            <w:r>
              <w:rPr>
                <w:rFonts w:ascii="Arial" w:hAnsi="Arial" w:cs="Arial"/>
                <w:b/>
                <w:sz w:val="18"/>
                <w:szCs w:val="18"/>
                <w:lang w:val="de-DE"/>
              </w:rPr>
              <w:t>neutral</w:t>
            </w:r>
          </w:p>
        </w:tc>
        <w:tc>
          <w:tcPr>
            <w:tcW w:w="2077" w:type="dxa"/>
            <w:vAlign w:val="center"/>
          </w:tcPr>
          <w:p w:rsidR="005A1829" w:rsidRPr="00A51255" w:rsidRDefault="005A1829" w:rsidP="00DC38C7">
            <w:pPr>
              <w:jc w:val="center"/>
              <w:rPr>
                <w:rFonts w:ascii="Arial" w:hAnsi="Arial" w:cs="Arial"/>
                <w:sz w:val="20"/>
                <w:szCs w:val="20"/>
                <w:lang w:val="de-DE"/>
              </w:rPr>
            </w:pPr>
            <w:r w:rsidRPr="005018AD">
              <w:rPr>
                <w:rFonts w:ascii="Arial" w:hAnsi="Arial" w:cs="Arial"/>
                <w:sz w:val="20"/>
                <w:szCs w:val="20"/>
                <w:lang w:val="de-DE"/>
              </w:rPr>
              <w:t>-12.53154</w:t>
            </w:r>
          </w:p>
          <w:p w:rsidR="005A1829" w:rsidRPr="00A51255" w:rsidRDefault="005A1829" w:rsidP="00DC38C7">
            <w:pPr>
              <w:jc w:val="center"/>
              <w:rPr>
                <w:lang w:val="en-US"/>
              </w:rPr>
            </w:pPr>
            <w:r>
              <w:rPr>
                <w:rFonts w:ascii="Arial" w:hAnsi="Arial" w:cs="Arial"/>
                <w:sz w:val="16"/>
                <w:szCs w:val="16"/>
                <w:lang w:val="de-DE"/>
              </w:rPr>
              <w:t>(</w:t>
            </w:r>
            <w:r w:rsidRPr="005018AD">
              <w:rPr>
                <w:rFonts w:ascii="Arial" w:hAnsi="Arial" w:cs="Arial"/>
                <w:sz w:val="16"/>
                <w:szCs w:val="16"/>
                <w:lang w:val="de-DE"/>
              </w:rPr>
              <w:t>14.16203</w:t>
            </w:r>
            <w:r w:rsidRPr="00A51255">
              <w:rPr>
                <w:rFonts w:ascii="Arial" w:hAnsi="Arial" w:cs="Arial"/>
                <w:sz w:val="16"/>
                <w:szCs w:val="16"/>
                <w:lang w:val="de-DE"/>
              </w:rPr>
              <w:t>)</w:t>
            </w:r>
          </w:p>
        </w:tc>
        <w:tc>
          <w:tcPr>
            <w:tcW w:w="1968" w:type="dxa"/>
            <w:vAlign w:val="center"/>
          </w:tcPr>
          <w:p w:rsidR="005A1829" w:rsidRPr="00A51255" w:rsidRDefault="005A1829" w:rsidP="00DC38C7">
            <w:pPr>
              <w:jc w:val="center"/>
              <w:rPr>
                <w:rFonts w:ascii="Arial" w:hAnsi="Arial" w:cs="Arial"/>
                <w:sz w:val="20"/>
                <w:szCs w:val="20"/>
                <w:lang w:val="de-DE"/>
              </w:rPr>
            </w:pPr>
            <w:r w:rsidRPr="00AB15ED">
              <w:rPr>
                <w:rFonts w:ascii="Arial" w:hAnsi="Arial" w:cs="Arial"/>
                <w:sz w:val="20"/>
                <w:szCs w:val="20"/>
                <w:lang w:val="de-DE"/>
              </w:rPr>
              <w:t>20.40996</w:t>
            </w:r>
          </w:p>
          <w:p w:rsidR="005A1829" w:rsidRPr="00A51255" w:rsidRDefault="005A1829" w:rsidP="00DC38C7">
            <w:pPr>
              <w:jc w:val="center"/>
              <w:rPr>
                <w:lang w:val="en-US"/>
              </w:rPr>
            </w:pPr>
            <w:r>
              <w:rPr>
                <w:rFonts w:ascii="Arial" w:hAnsi="Arial" w:cs="Arial"/>
                <w:sz w:val="16"/>
                <w:szCs w:val="16"/>
                <w:lang w:val="de-DE"/>
              </w:rPr>
              <w:t>(</w:t>
            </w:r>
            <w:r w:rsidRPr="00AB15ED">
              <w:rPr>
                <w:rFonts w:ascii="Arial" w:hAnsi="Arial" w:cs="Arial"/>
                <w:sz w:val="16"/>
                <w:szCs w:val="16"/>
                <w:lang w:val="de-DE"/>
              </w:rPr>
              <w:t>15.71736</w:t>
            </w:r>
            <w:r w:rsidRPr="00A51255">
              <w:rPr>
                <w:rFonts w:ascii="Arial" w:hAnsi="Arial" w:cs="Arial"/>
                <w:sz w:val="16"/>
                <w:szCs w:val="16"/>
                <w:lang w:val="de-DE"/>
              </w:rPr>
              <w:t>)</w:t>
            </w:r>
          </w:p>
        </w:tc>
        <w:tc>
          <w:tcPr>
            <w:tcW w:w="1916" w:type="dxa"/>
            <w:vAlign w:val="center"/>
          </w:tcPr>
          <w:p w:rsidR="005A1829" w:rsidRPr="00A51255" w:rsidRDefault="005A1829" w:rsidP="00DC38C7">
            <w:pPr>
              <w:jc w:val="center"/>
              <w:rPr>
                <w:rFonts w:ascii="Arial" w:hAnsi="Arial" w:cs="Arial"/>
                <w:sz w:val="20"/>
                <w:szCs w:val="20"/>
                <w:lang w:val="de-DE"/>
              </w:rPr>
            </w:pPr>
            <w:r w:rsidRPr="00990673">
              <w:rPr>
                <w:rFonts w:ascii="Arial" w:hAnsi="Arial" w:cs="Arial"/>
                <w:sz w:val="20"/>
                <w:szCs w:val="20"/>
                <w:lang w:val="de-DE"/>
              </w:rPr>
              <w:t>16.99849</w:t>
            </w:r>
          </w:p>
          <w:p w:rsidR="005A1829" w:rsidRPr="00A51255" w:rsidRDefault="005A1829" w:rsidP="00DC38C7">
            <w:pPr>
              <w:jc w:val="center"/>
              <w:rPr>
                <w:lang w:val="en-US"/>
              </w:rPr>
            </w:pPr>
            <w:r>
              <w:rPr>
                <w:rFonts w:ascii="Arial" w:hAnsi="Arial" w:cs="Arial"/>
                <w:sz w:val="16"/>
                <w:szCs w:val="16"/>
                <w:lang w:val="de-DE"/>
              </w:rPr>
              <w:t>(</w:t>
            </w:r>
            <w:r w:rsidRPr="00990673">
              <w:rPr>
                <w:rFonts w:ascii="Arial" w:hAnsi="Arial" w:cs="Arial"/>
                <w:sz w:val="16"/>
                <w:szCs w:val="16"/>
                <w:lang w:val="de-DE"/>
              </w:rPr>
              <w:t>11.39337</w:t>
            </w:r>
            <w:r w:rsidRPr="00A51255">
              <w:rPr>
                <w:rFonts w:ascii="Arial" w:hAnsi="Arial" w:cs="Arial"/>
                <w:sz w:val="16"/>
                <w:szCs w:val="16"/>
                <w:lang w:val="de-DE"/>
              </w:rPr>
              <w:t>)</w:t>
            </w:r>
          </w:p>
        </w:tc>
        <w:tc>
          <w:tcPr>
            <w:tcW w:w="1942" w:type="dxa"/>
            <w:vAlign w:val="center"/>
          </w:tcPr>
          <w:p w:rsidR="005A1829" w:rsidRPr="00A51255" w:rsidRDefault="005A1829" w:rsidP="00DC38C7">
            <w:pPr>
              <w:jc w:val="center"/>
              <w:rPr>
                <w:rFonts w:ascii="Arial" w:hAnsi="Arial" w:cs="Arial"/>
                <w:sz w:val="20"/>
                <w:szCs w:val="20"/>
                <w:lang w:val="de-DE"/>
              </w:rPr>
            </w:pPr>
            <w:r w:rsidRPr="00A21AB9">
              <w:rPr>
                <w:rFonts w:ascii="Arial" w:hAnsi="Arial" w:cs="Arial"/>
                <w:sz w:val="20"/>
                <w:szCs w:val="20"/>
                <w:lang w:val="de-DE"/>
              </w:rPr>
              <w:t>13.61775</w:t>
            </w:r>
          </w:p>
          <w:p w:rsidR="005A1829" w:rsidRPr="00A51255" w:rsidRDefault="005A1829" w:rsidP="00DC38C7">
            <w:pPr>
              <w:jc w:val="center"/>
              <w:rPr>
                <w:lang w:val="en-US"/>
              </w:rPr>
            </w:pPr>
            <w:r>
              <w:rPr>
                <w:rFonts w:ascii="Arial" w:hAnsi="Arial" w:cs="Arial"/>
                <w:sz w:val="16"/>
                <w:szCs w:val="16"/>
                <w:lang w:val="de-DE"/>
              </w:rPr>
              <w:t>(</w:t>
            </w:r>
            <w:r w:rsidRPr="00A21AB9">
              <w:rPr>
                <w:rFonts w:ascii="Arial" w:hAnsi="Arial" w:cs="Arial"/>
                <w:sz w:val="16"/>
                <w:szCs w:val="16"/>
                <w:lang w:val="de-DE"/>
              </w:rPr>
              <w:t>9.550585</w:t>
            </w:r>
            <w:r w:rsidRPr="00A51255">
              <w:rPr>
                <w:rFonts w:ascii="Arial" w:hAnsi="Arial" w:cs="Arial"/>
                <w:sz w:val="16"/>
                <w:szCs w:val="16"/>
                <w:lang w:val="de-DE"/>
              </w:rPr>
              <w:t>)</w:t>
            </w:r>
          </w:p>
        </w:tc>
      </w:tr>
      <w:tr w:rsidR="005A1829" w:rsidRPr="00A51255" w:rsidTr="00DC38C7">
        <w:trPr>
          <w:jc w:val="center"/>
        </w:trPr>
        <w:tc>
          <w:tcPr>
            <w:tcW w:w="9818" w:type="dxa"/>
            <w:gridSpan w:val="6"/>
            <w:vAlign w:val="center"/>
          </w:tcPr>
          <w:p w:rsidR="005A1829" w:rsidRDefault="005A1829" w:rsidP="00DC38C7">
            <w:pPr>
              <w:jc w:val="center"/>
              <w:rPr>
                <w:rFonts w:ascii="Arial" w:hAnsi="Arial" w:cs="Arial"/>
                <w:b/>
                <w:sz w:val="18"/>
                <w:szCs w:val="18"/>
                <w:lang w:val="de-DE"/>
              </w:rPr>
            </w:pPr>
          </w:p>
          <w:p w:rsidR="005A1829" w:rsidRDefault="005A1829" w:rsidP="00DC38C7">
            <w:pPr>
              <w:jc w:val="center"/>
              <w:rPr>
                <w:rFonts w:ascii="Arial" w:hAnsi="Arial" w:cs="Arial"/>
                <w:b/>
                <w:sz w:val="18"/>
                <w:szCs w:val="18"/>
                <w:lang w:val="de-DE"/>
              </w:rPr>
            </w:pPr>
            <w:r>
              <w:rPr>
                <w:rFonts w:ascii="Arial" w:hAnsi="Arial" w:cs="Arial"/>
                <w:b/>
                <w:sz w:val="18"/>
                <w:szCs w:val="18"/>
                <w:lang w:val="de-DE"/>
              </w:rPr>
              <w:t>Conditional variance</w:t>
            </w:r>
            <w:r w:rsidRPr="009D3E6A">
              <w:rPr>
                <w:rFonts w:ascii="Arial" w:hAnsi="Arial" w:cs="Arial"/>
                <w:b/>
                <w:sz w:val="18"/>
                <w:szCs w:val="18"/>
                <w:lang w:val="de-DE"/>
              </w:rPr>
              <w:t xml:space="preserve"> equation:</w:t>
            </w:r>
          </w:p>
          <w:p w:rsidR="005A1829" w:rsidRDefault="005A1829" w:rsidP="00DC38C7">
            <w:pPr>
              <w:jc w:val="center"/>
              <w:rPr>
                <w:rFonts w:ascii="Arial" w:hAnsi="Arial" w:cs="Arial"/>
                <w:sz w:val="20"/>
                <w:szCs w:val="20"/>
                <w:lang w:val="de-DE"/>
              </w:rPr>
            </w:pPr>
          </w:p>
        </w:tc>
      </w:tr>
      <w:tr w:rsidR="005A1829" w:rsidRPr="00A51255" w:rsidTr="00DC38C7">
        <w:trPr>
          <w:jc w:val="center"/>
        </w:trPr>
        <w:tc>
          <w:tcPr>
            <w:tcW w:w="358" w:type="dxa"/>
            <w:vAlign w:val="center"/>
          </w:tcPr>
          <w:p w:rsidR="005A1829" w:rsidRPr="00A51255" w:rsidRDefault="005A1829" w:rsidP="00DC38C7">
            <w:pPr>
              <w:spacing w:line="360" w:lineRule="auto"/>
              <w:jc w:val="center"/>
              <w:rPr>
                <w:rFonts w:ascii="Arial" w:hAnsi="Arial" w:cs="Arial"/>
                <w:sz w:val="16"/>
                <w:szCs w:val="16"/>
                <w:lang w:val="de-DE"/>
              </w:rPr>
            </w:pPr>
            <w:r>
              <w:rPr>
                <w:rFonts w:ascii="Arial" w:hAnsi="Arial" w:cs="Arial"/>
                <w:sz w:val="16"/>
                <w:szCs w:val="16"/>
                <w:lang w:val="de-DE"/>
              </w:rPr>
              <w:t>(2)</w:t>
            </w:r>
          </w:p>
        </w:tc>
        <w:tc>
          <w:tcPr>
            <w:tcW w:w="1557" w:type="dxa"/>
            <w:vAlign w:val="center"/>
          </w:tcPr>
          <w:p w:rsidR="005A1829" w:rsidRPr="004F48F0" w:rsidRDefault="005A1829" w:rsidP="00DC38C7">
            <w:pPr>
              <w:jc w:val="center"/>
              <w:rPr>
                <w:rFonts w:ascii="Arial" w:hAnsi="Arial" w:cs="Arial"/>
                <w:b/>
                <w:sz w:val="18"/>
                <w:szCs w:val="18"/>
                <w:lang w:val="de-DE"/>
              </w:rPr>
            </w:pPr>
            <w:r w:rsidRPr="002163BB">
              <w:rPr>
                <w:rFonts w:ascii="Garamond" w:hAnsi="Garamond"/>
                <w:i/>
                <w:position w:val="-12"/>
                <w:lang w:val="de-DE"/>
              </w:rPr>
              <w:object w:dxaOrig="300" w:dyaOrig="400">
                <v:shape id="_x0000_i1171" type="#_x0000_t75" style="width:12.85pt;height:18pt" o:ole="">
                  <v:imagedata r:id="rId110" o:title=""/>
                </v:shape>
                <o:OLEObject Type="Embed" ProgID="Equation.3" ShapeID="_x0000_i1171" DrawAspect="Content" ObjectID="_1507543518" r:id="rId218"/>
              </w:object>
            </w:r>
          </w:p>
        </w:tc>
        <w:tc>
          <w:tcPr>
            <w:tcW w:w="2077" w:type="dxa"/>
            <w:vAlign w:val="center"/>
          </w:tcPr>
          <w:p w:rsidR="005A1829" w:rsidRPr="00A51255" w:rsidRDefault="005A1829" w:rsidP="00DC38C7">
            <w:pPr>
              <w:jc w:val="center"/>
              <w:rPr>
                <w:rFonts w:ascii="Arial" w:hAnsi="Arial" w:cs="Arial"/>
                <w:sz w:val="20"/>
                <w:szCs w:val="20"/>
                <w:lang w:val="de-DE"/>
              </w:rPr>
            </w:pPr>
            <w:r w:rsidRPr="00A50F6D">
              <w:rPr>
                <w:rFonts w:ascii="Arial" w:hAnsi="Arial" w:cs="Arial"/>
                <w:sz w:val="20"/>
                <w:szCs w:val="20"/>
                <w:lang w:val="de-DE"/>
              </w:rPr>
              <w:t>1554.748</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D50539">
              <w:rPr>
                <w:rFonts w:ascii="Arial" w:hAnsi="Arial" w:cs="Arial"/>
                <w:sz w:val="16"/>
                <w:szCs w:val="16"/>
                <w:lang w:val="de-DE"/>
              </w:rPr>
              <w:t>139.7946</w:t>
            </w:r>
            <w:r w:rsidRPr="00A51255">
              <w:rPr>
                <w:rFonts w:ascii="Arial" w:hAnsi="Arial" w:cs="Arial"/>
                <w:sz w:val="16"/>
                <w:szCs w:val="16"/>
                <w:lang w:val="de-DE"/>
              </w:rPr>
              <w:t>)</w:t>
            </w:r>
          </w:p>
        </w:tc>
        <w:tc>
          <w:tcPr>
            <w:tcW w:w="1968" w:type="dxa"/>
            <w:vAlign w:val="center"/>
          </w:tcPr>
          <w:p w:rsidR="005A1829" w:rsidRPr="00A51255" w:rsidRDefault="005A1829" w:rsidP="00DC38C7">
            <w:pPr>
              <w:jc w:val="center"/>
              <w:rPr>
                <w:rFonts w:ascii="Arial" w:hAnsi="Arial" w:cs="Arial"/>
                <w:sz w:val="20"/>
                <w:szCs w:val="20"/>
                <w:lang w:val="de-DE"/>
              </w:rPr>
            </w:pPr>
            <w:r w:rsidRPr="004C43FE">
              <w:rPr>
                <w:rFonts w:ascii="Arial" w:hAnsi="Arial" w:cs="Arial"/>
                <w:sz w:val="20"/>
                <w:szCs w:val="20"/>
                <w:lang w:val="de-DE"/>
              </w:rPr>
              <w:t>1550.520</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4C43FE">
              <w:rPr>
                <w:rFonts w:ascii="Arial" w:hAnsi="Arial" w:cs="Arial"/>
                <w:sz w:val="16"/>
                <w:szCs w:val="16"/>
                <w:lang w:val="de-DE"/>
              </w:rPr>
              <w:t>154.3894</w:t>
            </w:r>
            <w:r w:rsidRPr="00A51255">
              <w:rPr>
                <w:rFonts w:ascii="Arial" w:hAnsi="Arial" w:cs="Arial"/>
                <w:sz w:val="16"/>
                <w:szCs w:val="16"/>
                <w:lang w:val="de-DE"/>
              </w:rPr>
              <w:t>)</w:t>
            </w:r>
          </w:p>
        </w:tc>
        <w:tc>
          <w:tcPr>
            <w:tcW w:w="1916" w:type="dxa"/>
            <w:vAlign w:val="center"/>
          </w:tcPr>
          <w:p w:rsidR="005A1829" w:rsidRPr="00A51255" w:rsidRDefault="005A1829" w:rsidP="00DC38C7">
            <w:pPr>
              <w:jc w:val="center"/>
              <w:rPr>
                <w:rFonts w:ascii="Arial" w:hAnsi="Arial" w:cs="Arial"/>
                <w:sz w:val="20"/>
                <w:szCs w:val="20"/>
                <w:lang w:val="de-DE"/>
              </w:rPr>
            </w:pPr>
            <w:r w:rsidRPr="00970847">
              <w:rPr>
                <w:rFonts w:ascii="Arial" w:hAnsi="Arial" w:cs="Arial"/>
                <w:sz w:val="20"/>
                <w:szCs w:val="20"/>
                <w:lang w:val="de-DE"/>
              </w:rPr>
              <w:t>1554.791</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970847">
              <w:rPr>
                <w:rFonts w:ascii="Arial" w:hAnsi="Arial" w:cs="Arial"/>
                <w:sz w:val="16"/>
                <w:szCs w:val="16"/>
                <w:lang w:val="de-DE"/>
              </w:rPr>
              <w:t>152.9996</w:t>
            </w:r>
            <w:r w:rsidRPr="00A51255">
              <w:rPr>
                <w:rFonts w:ascii="Arial" w:hAnsi="Arial" w:cs="Arial"/>
                <w:sz w:val="16"/>
                <w:szCs w:val="16"/>
                <w:lang w:val="de-DE"/>
              </w:rPr>
              <w:t>)</w:t>
            </w:r>
          </w:p>
        </w:tc>
        <w:tc>
          <w:tcPr>
            <w:tcW w:w="1942" w:type="dxa"/>
            <w:vAlign w:val="center"/>
          </w:tcPr>
          <w:p w:rsidR="005A1829" w:rsidRPr="00A51255" w:rsidRDefault="005A1829" w:rsidP="00DC38C7">
            <w:pPr>
              <w:jc w:val="center"/>
              <w:rPr>
                <w:rFonts w:ascii="Arial" w:hAnsi="Arial" w:cs="Arial"/>
                <w:sz w:val="20"/>
                <w:szCs w:val="20"/>
                <w:lang w:val="de-DE"/>
              </w:rPr>
            </w:pPr>
            <w:r w:rsidRPr="005B412F">
              <w:rPr>
                <w:rFonts w:ascii="Arial" w:hAnsi="Arial" w:cs="Arial"/>
                <w:sz w:val="20"/>
                <w:szCs w:val="20"/>
                <w:lang w:val="de-DE"/>
              </w:rPr>
              <w:t>1548.335</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5B412F">
              <w:rPr>
                <w:rFonts w:ascii="Arial" w:hAnsi="Arial" w:cs="Arial"/>
                <w:sz w:val="16"/>
                <w:szCs w:val="16"/>
                <w:lang w:val="de-DE"/>
              </w:rPr>
              <w:t>137.0525</w:t>
            </w:r>
            <w:r w:rsidRPr="00A51255">
              <w:rPr>
                <w:rFonts w:ascii="Arial" w:hAnsi="Arial" w:cs="Arial"/>
                <w:sz w:val="16"/>
                <w:szCs w:val="16"/>
                <w:lang w:val="de-DE"/>
              </w:rPr>
              <w:t>)</w:t>
            </w:r>
          </w:p>
        </w:tc>
      </w:tr>
      <w:tr w:rsidR="005A1829" w:rsidRPr="00A51255" w:rsidTr="00DC38C7">
        <w:trPr>
          <w:jc w:val="center"/>
        </w:trPr>
        <w:tc>
          <w:tcPr>
            <w:tcW w:w="358" w:type="dxa"/>
            <w:vAlign w:val="center"/>
          </w:tcPr>
          <w:p w:rsidR="005A1829" w:rsidRPr="00A51255" w:rsidRDefault="005A1829" w:rsidP="00DC38C7">
            <w:pPr>
              <w:spacing w:line="360" w:lineRule="auto"/>
              <w:jc w:val="center"/>
              <w:rPr>
                <w:rFonts w:ascii="Arial" w:hAnsi="Arial" w:cs="Arial"/>
                <w:lang w:val="en-US"/>
              </w:rPr>
            </w:pPr>
            <w:r>
              <w:rPr>
                <w:rFonts w:ascii="Arial" w:hAnsi="Arial" w:cs="Arial"/>
                <w:sz w:val="16"/>
                <w:szCs w:val="16"/>
                <w:lang w:val="de-DE"/>
              </w:rPr>
              <w:t>(2)</w:t>
            </w:r>
          </w:p>
        </w:tc>
        <w:tc>
          <w:tcPr>
            <w:tcW w:w="1557" w:type="dxa"/>
            <w:vAlign w:val="center"/>
          </w:tcPr>
          <w:p w:rsidR="005A1829" w:rsidRPr="004F48F0" w:rsidRDefault="005A1829" w:rsidP="00DC38C7">
            <w:pPr>
              <w:jc w:val="center"/>
              <w:rPr>
                <w:rFonts w:ascii="Arial" w:hAnsi="Arial" w:cs="Arial"/>
                <w:b/>
                <w:sz w:val="18"/>
                <w:szCs w:val="18"/>
                <w:lang w:val="de-DE"/>
              </w:rPr>
            </w:pPr>
            <w:r w:rsidRPr="00B3604A">
              <w:rPr>
                <w:rFonts w:ascii="Garamond" w:hAnsi="Garamond"/>
                <w:i/>
                <w:position w:val="-10"/>
                <w:lang w:val="de-DE"/>
              </w:rPr>
              <w:object w:dxaOrig="279" w:dyaOrig="380">
                <v:shape id="_x0000_i1172" type="#_x0000_t75" style="width:11.55pt;height:16.7pt" o:ole="">
                  <v:imagedata r:id="rId112" o:title=""/>
                </v:shape>
                <o:OLEObject Type="Embed" ProgID="Equation.3" ShapeID="_x0000_i1172" DrawAspect="Content" ObjectID="_1507543519" r:id="rId219"/>
              </w:object>
            </w:r>
          </w:p>
        </w:tc>
        <w:tc>
          <w:tcPr>
            <w:tcW w:w="2077" w:type="dxa"/>
            <w:vAlign w:val="center"/>
          </w:tcPr>
          <w:p w:rsidR="005A1829" w:rsidRPr="00A51255" w:rsidRDefault="005A1829" w:rsidP="00DC38C7">
            <w:pPr>
              <w:jc w:val="center"/>
              <w:rPr>
                <w:rFonts w:ascii="Arial" w:hAnsi="Arial" w:cs="Arial"/>
                <w:sz w:val="20"/>
                <w:szCs w:val="20"/>
                <w:lang w:val="de-DE"/>
              </w:rPr>
            </w:pPr>
            <w:r w:rsidRPr="00D50539">
              <w:rPr>
                <w:rFonts w:ascii="Arial" w:hAnsi="Arial" w:cs="Arial"/>
                <w:sz w:val="20"/>
                <w:szCs w:val="20"/>
                <w:lang w:val="de-DE"/>
              </w:rPr>
              <w:t>0.257362</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D50539">
              <w:rPr>
                <w:rFonts w:ascii="Arial" w:hAnsi="Arial" w:cs="Arial"/>
                <w:sz w:val="16"/>
                <w:szCs w:val="16"/>
                <w:lang w:val="de-DE"/>
              </w:rPr>
              <w:t>0.088616</w:t>
            </w:r>
            <w:r w:rsidRPr="00A51255">
              <w:rPr>
                <w:rFonts w:ascii="Arial" w:hAnsi="Arial" w:cs="Arial"/>
                <w:sz w:val="16"/>
                <w:szCs w:val="16"/>
                <w:lang w:val="de-DE"/>
              </w:rPr>
              <w:t>)</w:t>
            </w:r>
          </w:p>
        </w:tc>
        <w:tc>
          <w:tcPr>
            <w:tcW w:w="1968" w:type="dxa"/>
            <w:vAlign w:val="center"/>
          </w:tcPr>
          <w:p w:rsidR="005A1829" w:rsidRPr="00A51255" w:rsidRDefault="005A1829" w:rsidP="00DC38C7">
            <w:pPr>
              <w:jc w:val="center"/>
              <w:rPr>
                <w:rFonts w:ascii="Arial" w:hAnsi="Arial" w:cs="Arial"/>
                <w:sz w:val="20"/>
                <w:szCs w:val="20"/>
                <w:lang w:val="de-DE"/>
              </w:rPr>
            </w:pPr>
            <w:r w:rsidRPr="004C43FE">
              <w:rPr>
                <w:rFonts w:ascii="Arial" w:hAnsi="Arial" w:cs="Arial"/>
                <w:sz w:val="20"/>
                <w:szCs w:val="20"/>
                <w:lang w:val="de-DE"/>
              </w:rPr>
              <w:t>0.220646</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4C43FE">
              <w:rPr>
                <w:rFonts w:ascii="Arial" w:hAnsi="Arial" w:cs="Arial"/>
                <w:sz w:val="16"/>
                <w:szCs w:val="16"/>
                <w:lang w:val="de-DE"/>
              </w:rPr>
              <w:t>0.073317</w:t>
            </w:r>
            <w:r w:rsidRPr="00A51255">
              <w:rPr>
                <w:rFonts w:ascii="Arial" w:hAnsi="Arial" w:cs="Arial"/>
                <w:sz w:val="16"/>
                <w:szCs w:val="16"/>
                <w:lang w:val="de-DE"/>
              </w:rPr>
              <w:t>)</w:t>
            </w:r>
          </w:p>
        </w:tc>
        <w:tc>
          <w:tcPr>
            <w:tcW w:w="1916" w:type="dxa"/>
            <w:vAlign w:val="center"/>
          </w:tcPr>
          <w:p w:rsidR="005A1829" w:rsidRDefault="005A1829" w:rsidP="00DC38C7">
            <w:pPr>
              <w:jc w:val="center"/>
              <w:rPr>
                <w:rFonts w:ascii="Arial" w:hAnsi="Arial" w:cs="Arial"/>
                <w:sz w:val="20"/>
                <w:szCs w:val="20"/>
                <w:lang w:val="de-DE"/>
              </w:rPr>
            </w:pPr>
            <w:r w:rsidRPr="00970847">
              <w:rPr>
                <w:rFonts w:ascii="Arial" w:hAnsi="Arial" w:cs="Arial"/>
                <w:sz w:val="20"/>
                <w:szCs w:val="20"/>
                <w:lang w:val="de-DE"/>
              </w:rPr>
              <w:t>0.245278</w:t>
            </w:r>
            <w:r>
              <w:rPr>
                <w:rFonts w:ascii="Arial" w:hAnsi="Arial" w:cs="Arial"/>
                <w:sz w:val="20"/>
                <w:szCs w:val="20"/>
                <w:lang w:val="de-DE"/>
              </w:rPr>
              <w:t xml:space="preserve"> ***</w:t>
            </w:r>
            <w:r w:rsidRPr="00970847">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970847">
              <w:rPr>
                <w:rFonts w:ascii="Arial" w:hAnsi="Arial" w:cs="Arial"/>
                <w:sz w:val="16"/>
                <w:szCs w:val="16"/>
                <w:lang w:val="de-DE"/>
              </w:rPr>
              <w:t>0.090298</w:t>
            </w:r>
            <w:r w:rsidRPr="00A51255">
              <w:rPr>
                <w:rFonts w:ascii="Arial" w:hAnsi="Arial" w:cs="Arial"/>
                <w:sz w:val="16"/>
                <w:szCs w:val="16"/>
                <w:lang w:val="de-DE"/>
              </w:rPr>
              <w:t>)</w:t>
            </w:r>
          </w:p>
        </w:tc>
        <w:tc>
          <w:tcPr>
            <w:tcW w:w="1942" w:type="dxa"/>
            <w:vAlign w:val="center"/>
          </w:tcPr>
          <w:p w:rsidR="005A1829" w:rsidRPr="00A51255" w:rsidRDefault="005A1829" w:rsidP="00DC38C7">
            <w:pPr>
              <w:jc w:val="center"/>
              <w:rPr>
                <w:rFonts w:ascii="Arial" w:hAnsi="Arial" w:cs="Arial"/>
                <w:sz w:val="20"/>
                <w:szCs w:val="20"/>
                <w:lang w:val="de-DE"/>
              </w:rPr>
            </w:pPr>
            <w:r w:rsidRPr="005B412F">
              <w:rPr>
                <w:rFonts w:ascii="Arial" w:hAnsi="Arial" w:cs="Arial"/>
                <w:sz w:val="20"/>
                <w:szCs w:val="20"/>
                <w:lang w:val="de-DE"/>
              </w:rPr>
              <w:t>0.258671</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5B412F">
              <w:rPr>
                <w:rFonts w:ascii="Arial" w:hAnsi="Arial" w:cs="Arial"/>
                <w:sz w:val="16"/>
                <w:szCs w:val="16"/>
                <w:lang w:val="de-DE"/>
              </w:rPr>
              <w:t>0.089360</w:t>
            </w:r>
            <w:r w:rsidRPr="00A51255">
              <w:rPr>
                <w:rFonts w:ascii="Arial" w:hAnsi="Arial" w:cs="Arial"/>
                <w:sz w:val="16"/>
                <w:szCs w:val="16"/>
                <w:lang w:val="de-DE"/>
              </w:rPr>
              <w:t>)</w:t>
            </w:r>
          </w:p>
        </w:tc>
      </w:tr>
      <w:tr w:rsidR="005A1829" w:rsidRPr="00A51255" w:rsidTr="00DC38C7">
        <w:trPr>
          <w:jc w:val="center"/>
        </w:trPr>
        <w:tc>
          <w:tcPr>
            <w:tcW w:w="358" w:type="dxa"/>
            <w:vAlign w:val="center"/>
          </w:tcPr>
          <w:p w:rsidR="005A1829" w:rsidRPr="00A51255" w:rsidRDefault="005A1829" w:rsidP="00DC38C7">
            <w:pPr>
              <w:spacing w:line="360" w:lineRule="auto"/>
              <w:jc w:val="center"/>
              <w:rPr>
                <w:rFonts w:ascii="Arial" w:hAnsi="Arial" w:cs="Arial"/>
                <w:lang w:val="en-US"/>
              </w:rPr>
            </w:pPr>
            <w:r>
              <w:rPr>
                <w:rFonts w:ascii="Arial" w:hAnsi="Arial" w:cs="Arial"/>
                <w:sz w:val="16"/>
                <w:szCs w:val="16"/>
                <w:lang w:val="de-DE"/>
              </w:rPr>
              <w:t>(2)</w:t>
            </w:r>
          </w:p>
        </w:tc>
        <w:tc>
          <w:tcPr>
            <w:tcW w:w="1557" w:type="dxa"/>
            <w:vAlign w:val="center"/>
          </w:tcPr>
          <w:p w:rsidR="005A1829" w:rsidRPr="004F48F0" w:rsidRDefault="005A1829" w:rsidP="00DC38C7">
            <w:pPr>
              <w:jc w:val="center"/>
              <w:rPr>
                <w:rFonts w:ascii="Arial" w:hAnsi="Arial" w:cs="Arial"/>
                <w:b/>
                <w:sz w:val="18"/>
                <w:szCs w:val="18"/>
                <w:lang w:val="de-DE"/>
              </w:rPr>
            </w:pPr>
            <w:r w:rsidRPr="002C5A6B">
              <w:rPr>
                <w:rFonts w:ascii="Garamond" w:hAnsi="Garamond"/>
                <w:i/>
                <w:position w:val="-10"/>
                <w:lang w:val="de-DE"/>
              </w:rPr>
              <w:object w:dxaOrig="300" w:dyaOrig="380">
                <v:shape id="_x0000_i1173" type="#_x0000_t75" style="width:12.85pt;height:16.7pt" o:ole="">
                  <v:imagedata r:id="rId114" o:title=""/>
                </v:shape>
                <o:OLEObject Type="Embed" ProgID="Equation.3" ShapeID="_x0000_i1173" DrawAspect="Content" ObjectID="_1507543520" r:id="rId220"/>
              </w:object>
            </w:r>
          </w:p>
        </w:tc>
        <w:tc>
          <w:tcPr>
            <w:tcW w:w="2077" w:type="dxa"/>
            <w:vAlign w:val="center"/>
          </w:tcPr>
          <w:p w:rsidR="005A1829" w:rsidRPr="00A51255" w:rsidRDefault="005A1829" w:rsidP="00DC38C7">
            <w:pPr>
              <w:jc w:val="center"/>
              <w:rPr>
                <w:lang w:val="en-US"/>
              </w:rPr>
            </w:pPr>
            <w:r>
              <w:rPr>
                <w:rFonts w:ascii="Arial" w:hAnsi="Arial" w:cs="Arial"/>
                <w:sz w:val="20"/>
                <w:szCs w:val="20"/>
                <w:lang w:val="de-DE"/>
              </w:rPr>
              <w:t>-</w:t>
            </w:r>
          </w:p>
        </w:tc>
        <w:tc>
          <w:tcPr>
            <w:tcW w:w="1968" w:type="dxa"/>
            <w:vAlign w:val="center"/>
          </w:tcPr>
          <w:p w:rsidR="005A1829" w:rsidRPr="00A51255" w:rsidRDefault="005A1829" w:rsidP="00DC38C7">
            <w:pPr>
              <w:jc w:val="center"/>
              <w:rPr>
                <w:lang w:val="en-US"/>
              </w:rPr>
            </w:pPr>
            <w:r>
              <w:rPr>
                <w:rFonts w:ascii="Arial" w:hAnsi="Arial" w:cs="Arial"/>
                <w:sz w:val="20"/>
                <w:szCs w:val="20"/>
                <w:lang w:val="de-DE"/>
              </w:rPr>
              <w:t>-</w:t>
            </w:r>
          </w:p>
        </w:tc>
        <w:tc>
          <w:tcPr>
            <w:tcW w:w="1916" w:type="dxa"/>
            <w:vAlign w:val="center"/>
          </w:tcPr>
          <w:p w:rsidR="005A1829" w:rsidRPr="00A51255" w:rsidRDefault="005A1829" w:rsidP="00DC38C7">
            <w:pPr>
              <w:jc w:val="center"/>
              <w:rPr>
                <w:lang w:val="en-US"/>
              </w:rPr>
            </w:pPr>
            <w:r>
              <w:rPr>
                <w:rFonts w:ascii="Arial" w:hAnsi="Arial" w:cs="Arial"/>
                <w:sz w:val="20"/>
                <w:szCs w:val="20"/>
                <w:lang w:val="de-DE"/>
              </w:rPr>
              <w:t>-</w:t>
            </w:r>
          </w:p>
        </w:tc>
        <w:tc>
          <w:tcPr>
            <w:tcW w:w="1942" w:type="dxa"/>
            <w:vAlign w:val="center"/>
          </w:tcPr>
          <w:p w:rsidR="005A1829" w:rsidRPr="00A51255" w:rsidRDefault="005A1829" w:rsidP="00DC38C7">
            <w:pPr>
              <w:jc w:val="center"/>
              <w:rPr>
                <w:lang w:val="en-US"/>
              </w:rPr>
            </w:pPr>
            <w:r>
              <w:rPr>
                <w:rFonts w:ascii="Arial" w:hAnsi="Arial" w:cs="Arial"/>
                <w:sz w:val="20"/>
                <w:szCs w:val="20"/>
                <w:lang w:val="de-DE"/>
              </w:rPr>
              <w:t>-</w:t>
            </w:r>
          </w:p>
        </w:tc>
      </w:tr>
      <w:tr w:rsidR="005A1829" w:rsidRPr="00A51255" w:rsidTr="00DC38C7">
        <w:trPr>
          <w:jc w:val="center"/>
        </w:trPr>
        <w:tc>
          <w:tcPr>
            <w:tcW w:w="358" w:type="dxa"/>
            <w:vAlign w:val="center"/>
          </w:tcPr>
          <w:p w:rsidR="005A1829" w:rsidRPr="00A51255" w:rsidRDefault="005A1829" w:rsidP="00DC38C7">
            <w:pPr>
              <w:spacing w:line="360" w:lineRule="auto"/>
              <w:jc w:val="center"/>
              <w:rPr>
                <w:rFonts w:ascii="Arial" w:hAnsi="Arial" w:cs="Arial"/>
                <w:lang w:val="en-US"/>
              </w:rPr>
            </w:pPr>
            <w:r>
              <w:rPr>
                <w:rFonts w:ascii="Arial" w:hAnsi="Arial" w:cs="Arial"/>
                <w:sz w:val="16"/>
                <w:szCs w:val="16"/>
                <w:lang w:val="de-DE"/>
              </w:rPr>
              <w:t>(2)</w:t>
            </w:r>
          </w:p>
        </w:tc>
        <w:tc>
          <w:tcPr>
            <w:tcW w:w="1557" w:type="dxa"/>
            <w:vAlign w:val="center"/>
          </w:tcPr>
          <w:p w:rsidR="005A1829" w:rsidRPr="004F48F0" w:rsidRDefault="005A1829" w:rsidP="00DC38C7">
            <w:pPr>
              <w:jc w:val="center"/>
              <w:rPr>
                <w:rFonts w:ascii="Arial" w:hAnsi="Arial" w:cs="Arial"/>
                <w:b/>
                <w:sz w:val="18"/>
                <w:szCs w:val="18"/>
                <w:lang w:val="de-DE"/>
              </w:rPr>
            </w:pPr>
            <w:r w:rsidRPr="002C5A6B">
              <w:rPr>
                <w:rFonts w:ascii="Garamond" w:hAnsi="Garamond"/>
                <w:i/>
                <w:position w:val="-12"/>
                <w:lang w:val="de-DE"/>
              </w:rPr>
              <w:object w:dxaOrig="300" w:dyaOrig="400">
                <v:shape id="_x0000_i1174" type="#_x0000_t75" style="width:12.85pt;height:18pt" o:ole="">
                  <v:imagedata r:id="rId116" o:title=""/>
                </v:shape>
                <o:OLEObject Type="Embed" ProgID="Equation.3" ShapeID="_x0000_i1174" DrawAspect="Content" ObjectID="_1507543521" r:id="rId221"/>
              </w:object>
            </w:r>
          </w:p>
        </w:tc>
        <w:tc>
          <w:tcPr>
            <w:tcW w:w="2077" w:type="dxa"/>
            <w:vAlign w:val="center"/>
          </w:tcPr>
          <w:p w:rsidR="005A1829" w:rsidRPr="00A51255" w:rsidRDefault="005A1829" w:rsidP="00DC38C7">
            <w:pPr>
              <w:jc w:val="center"/>
              <w:rPr>
                <w:rFonts w:ascii="Arial" w:hAnsi="Arial" w:cs="Arial"/>
                <w:sz w:val="20"/>
                <w:szCs w:val="20"/>
                <w:lang w:val="de-DE"/>
              </w:rPr>
            </w:pPr>
            <w:r w:rsidRPr="00D50539">
              <w:rPr>
                <w:rFonts w:ascii="Arial" w:hAnsi="Arial" w:cs="Arial"/>
                <w:sz w:val="20"/>
                <w:szCs w:val="20"/>
                <w:lang w:val="de-DE"/>
              </w:rPr>
              <w:t>337.2047</w:t>
            </w:r>
          </w:p>
          <w:p w:rsidR="005A1829" w:rsidRPr="00A51255" w:rsidRDefault="005A1829" w:rsidP="00DC38C7">
            <w:pPr>
              <w:jc w:val="center"/>
              <w:rPr>
                <w:lang w:val="en-US"/>
              </w:rPr>
            </w:pPr>
            <w:r>
              <w:rPr>
                <w:rFonts w:ascii="Arial" w:hAnsi="Arial" w:cs="Arial"/>
                <w:sz w:val="16"/>
                <w:szCs w:val="16"/>
                <w:lang w:val="de-DE"/>
              </w:rPr>
              <w:t>(</w:t>
            </w:r>
            <w:r w:rsidRPr="00D50539">
              <w:rPr>
                <w:rFonts w:ascii="Arial" w:hAnsi="Arial" w:cs="Arial"/>
                <w:sz w:val="16"/>
                <w:szCs w:val="16"/>
                <w:lang w:val="de-DE"/>
              </w:rPr>
              <w:t>219.9873</w:t>
            </w:r>
            <w:r w:rsidRPr="00A51255">
              <w:rPr>
                <w:rFonts w:ascii="Arial" w:hAnsi="Arial" w:cs="Arial"/>
                <w:sz w:val="16"/>
                <w:szCs w:val="16"/>
                <w:lang w:val="de-DE"/>
              </w:rPr>
              <w:t>)</w:t>
            </w:r>
          </w:p>
        </w:tc>
        <w:tc>
          <w:tcPr>
            <w:tcW w:w="1968" w:type="dxa"/>
            <w:vAlign w:val="center"/>
          </w:tcPr>
          <w:p w:rsidR="005A1829" w:rsidRPr="00A51255" w:rsidRDefault="005A1829" w:rsidP="00DC38C7">
            <w:pPr>
              <w:jc w:val="center"/>
              <w:rPr>
                <w:rFonts w:ascii="Arial" w:hAnsi="Arial" w:cs="Arial"/>
                <w:sz w:val="20"/>
                <w:szCs w:val="20"/>
                <w:lang w:val="de-DE"/>
              </w:rPr>
            </w:pPr>
            <w:r w:rsidRPr="004C43FE">
              <w:rPr>
                <w:rFonts w:ascii="Arial" w:hAnsi="Arial" w:cs="Arial"/>
                <w:sz w:val="20"/>
                <w:szCs w:val="20"/>
                <w:lang w:val="de-DE"/>
              </w:rPr>
              <w:t>119.9359</w:t>
            </w:r>
          </w:p>
          <w:p w:rsidR="005A1829" w:rsidRPr="00A51255" w:rsidRDefault="005A1829" w:rsidP="00DC38C7">
            <w:pPr>
              <w:jc w:val="center"/>
              <w:rPr>
                <w:lang w:val="en-US"/>
              </w:rPr>
            </w:pPr>
            <w:r>
              <w:rPr>
                <w:rFonts w:ascii="Arial" w:hAnsi="Arial" w:cs="Arial"/>
                <w:sz w:val="16"/>
                <w:szCs w:val="16"/>
                <w:lang w:val="de-DE"/>
              </w:rPr>
              <w:t>(</w:t>
            </w:r>
            <w:r w:rsidRPr="004C43FE">
              <w:rPr>
                <w:rFonts w:ascii="Arial" w:hAnsi="Arial" w:cs="Arial"/>
                <w:sz w:val="16"/>
                <w:szCs w:val="16"/>
                <w:lang w:val="de-DE"/>
              </w:rPr>
              <w:t>239.8221</w:t>
            </w:r>
            <w:r w:rsidRPr="00A51255">
              <w:rPr>
                <w:rFonts w:ascii="Arial" w:hAnsi="Arial" w:cs="Arial"/>
                <w:sz w:val="16"/>
                <w:szCs w:val="16"/>
                <w:lang w:val="de-DE"/>
              </w:rPr>
              <w:t>)</w:t>
            </w:r>
          </w:p>
        </w:tc>
        <w:tc>
          <w:tcPr>
            <w:tcW w:w="1916" w:type="dxa"/>
            <w:vAlign w:val="center"/>
          </w:tcPr>
          <w:p w:rsidR="005A1829" w:rsidRPr="00A51255" w:rsidRDefault="005A1829" w:rsidP="00DC38C7">
            <w:pPr>
              <w:jc w:val="center"/>
              <w:rPr>
                <w:rFonts w:ascii="Arial" w:hAnsi="Arial" w:cs="Arial"/>
                <w:sz w:val="20"/>
                <w:szCs w:val="20"/>
                <w:lang w:val="de-DE"/>
              </w:rPr>
            </w:pPr>
            <w:r w:rsidRPr="001459DE">
              <w:rPr>
                <w:rFonts w:ascii="Arial" w:hAnsi="Arial" w:cs="Arial"/>
                <w:sz w:val="20"/>
                <w:szCs w:val="20"/>
                <w:lang w:val="de-DE"/>
              </w:rPr>
              <w:t>230.5174</w:t>
            </w:r>
          </w:p>
          <w:p w:rsidR="005A1829" w:rsidRPr="00A51255" w:rsidRDefault="005A1829" w:rsidP="00DC38C7">
            <w:pPr>
              <w:jc w:val="center"/>
              <w:rPr>
                <w:lang w:val="en-US"/>
              </w:rPr>
            </w:pPr>
            <w:r>
              <w:rPr>
                <w:rFonts w:ascii="Arial" w:hAnsi="Arial" w:cs="Arial"/>
                <w:sz w:val="16"/>
                <w:szCs w:val="16"/>
                <w:lang w:val="de-DE"/>
              </w:rPr>
              <w:t>(</w:t>
            </w:r>
            <w:r w:rsidRPr="001459DE">
              <w:rPr>
                <w:rFonts w:ascii="Arial" w:hAnsi="Arial" w:cs="Arial"/>
                <w:sz w:val="16"/>
                <w:szCs w:val="16"/>
                <w:lang w:val="de-DE"/>
              </w:rPr>
              <w:t>217.1178</w:t>
            </w:r>
            <w:r w:rsidRPr="00A51255">
              <w:rPr>
                <w:rFonts w:ascii="Arial" w:hAnsi="Arial" w:cs="Arial"/>
                <w:sz w:val="16"/>
                <w:szCs w:val="16"/>
                <w:lang w:val="de-DE"/>
              </w:rPr>
              <w:t>)</w:t>
            </w:r>
          </w:p>
        </w:tc>
        <w:tc>
          <w:tcPr>
            <w:tcW w:w="1942" w:type="dxa"/>
            <w:vAlign w:val="center"/>
          </w:tcPr>
          <w:p w:rsidR="005A1829" w:rsidRPr="00A51255" w:rsidRDefault="005A1829" w:rsidP="00DC38C7">
            <w:pPr>
              <w:jc w:val="center"/>
              <w:rPr>
                <w:rFonts w:ascii="Arial" w:hAnsi="Arial" w:cs="Arial"/>
                <w:sz w:val="20"/>
                <w:szCs w:val="20"/>
                <w:lang w:val="de-DE"/>
              </w:rPr>
            </w:pPr>
            <w:r w:rsidRPr="00AB5882">
              <w:rPr>
                <w:rFonts w:ascii="Arial" w:hAnsi="Arial" w:cs="Arial"/>
                <w:sz w:val="20"/>
                <w:szCs w:val="20"/>
                <w:lang w:val="de-DE"/>
              </w:rPr>
              <w:t>382.9294</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AB5882">
              <w:rPr>
                <w:rFonts w:ascii="Arial" w:hAnsi="Arial" w:cs="Arial"/>
                <w:sz w:val="16"/>
                <w:szCs w:val="16"/>
                <w:lang w:val="de-DE"/>
              </w:rPr>
              <w:t>213.8856</w:t>
            </w:r>
            <w:r w:rsidRPr="00A51255">
              <w:rPr>
                <w:rFonts w:ascii="Arial" w:hAnsi="Arial" w:cs="Arial"/>
                <w:sz w:val="16"/>
                <w:szCs w:val="16"/>
                <w:lang w:val="de-DE"/>
              </w:rPr>
              <w:t>)</w:t>
            </w:r>
          </w:p>
        </w:tc>
      </w:tr>
      <w:tr w:rsidR="005A1829" w:rsidRPr="00647145" w:rsidTr="00DC38C7">
        <w:trPr>
          <w:jc w:val="center"/>
        </w:trPr>
        <w:tc>
          <w:tcPr>
            <w:tcW w:w="358" w:type="dxa"/>
            <w:vAlign w:val="center"/>
          </w:tcPr>
          <w:p w:rsidR="005A1829" w:rsidRPr="00DC1EA3" w:rsidRDefault="005A1829" w:rsidP="00DC38C7">
            <w:pPr>
              <w:spacing w:line="360" w:lineRule="auto"/>
              <w:jc w:val="center"/>
              <w:rPr>
                <w:rFonts w:ascii="Arial" w:hAnsi="Arial" w:cs="Arial"/>
                <w:sz w:val="16"/>
                <w:szCs w:val="16"/>
                <w:lang w:val="en-GB"/>
              </w:rPr>
            </w:pPr>
          </w:p>
        </w:tc>
        <w:tc>
          <w:tcPr>
            <w:tcW w:w="1557" w:type="dxa"/>
            <w:vAlign w:val="center"/>
          </w:tcPr>
          <w:p w:rsidR="005A1829" w:rsidRDefault="005A1829" w:rsidP="00DC38C7">
            <w:pPr>
              <w:jc w:val="center"/>
              <w:rPr>
                <w:rFonts w:ascii="Arial" w:hAnsi="Arial" w:cs="Arial"/>
                <w:b/>
                <w:sz w:val="18"/>
                <w:szCs w:val="18"/>
                <w:lang w:val="en-GB"/>
              </w:rPr>
            </w:pPr>
            <w:r>
              <w:rPr>
                <w:rFonts w:ascii="Arial" w:hAnsi="Arial" w:cs="Arial"/>
                <w:b/>
                <w:sz w:val="18"/>
                <w:szCs w:val="18"/>
                <w:lang w:val="en-GB"/>
              </w:rPr>
              <w:t>Unexpected</w:t>
            </w:r>
          </w:p>
          <w:p w:rsidR="005A1829" w:rsidRDefault="005A1829" w:rsidP="00DC38C7">
            <w:pPr>
              <w:jc w:val="center"/>
              <w:rPr>
                <w:rFonts w:ascii="Arial" w:hAnsi="Arial" w:cs="Arial"/>
                <w:b/>
                <w:sz w:val="18"/>
                <w:szCs w:val="18"/>
                <w:lang w:val="en-GB"/>
              </w:rPr>
            </w:pPr>
            <w:r>
              <w:rPr>
                <w:rFonts w:ascii="Arial" w:hAnsi="Arial" w:cs="Arial"/>
                <w:b/>
                <w:sz w:val="18"/>
                <w:szCs w:val="18"/>
                <w:lang w:val="en-GB"/>
              </w:rPr>
              <w:t xml:space="preserve">neutral </w:t>
            </w:r>
          </w:p>
          <w:p w:rsidR="005A1829" w:rsidRPr="00DC1EA3" w:rsidRDefault="005A1829" w:rsidP="00DC38C7">
            <w:pPr>
              <w:jc w:val="center"/>
              <w:rPr>
                <w:rFonts w:ascii="Arial" w:hAnsi="Arial" w:cs="Arial"/>
                <w:b/>
                <w:sz w:val="18"/>
                <w:szCs w:val="18"/>
                <w:lang w:val="en-GB"/>
              </w:rPr>
            </w:pPr>
            <w:r w:rsidRPr="00DC1EA3">
              <w:rPr>
                <w:rFonts w:ascii="Arial" w:hAnsi="Arial" w:cs="Arial"/>
                <w:b/>
                <w:sz w:val="18"/>
                <w:szCs w:val="18"/>
                <w:lang w:val="en-GB"/>
              </w:rPr>
              <w:t>announcement:</w:t>
            </w:r>
          </w:p>
        </w:tc>
        <w:tc>
          <w:tcPr>
            <w:tcW w:w="2077" w:type="dxa"/>
            <w:vAlign w:val="center"/>
          </w:tcPr>
          <w:p w:rsidR="005A1829" w:rsidRPr="00DC1EA3" w:rsidRDefault="005A1829" w:rsidP="00DC38C7">
            <w:pPr>
              <w:jc w:val="center"/>
              <w:rPr>
                <w:rFonts w:ascii="Arial" w:hAnsi="Arial" w:cs="Arial"/>
                <w:b/>
                <w:sz w:val="18"/>
                <w:szCs w:val="18"/>
                <w:lang w:val="en-GB"/>
              </w:rPr>
            </w:pPr>
            <w:r w:rsidRPr="00DC1EA3">
              <w:rPr>
                <w:rFonts w:ascii="Arial" w:hAnsi="Arial" w:cs="Arial"/>
                <w:b/>
                <w:sz w:val="18"/>
                <w:szCs w:val="18"/>
                <w:lang w:val="en-GB"/>
              </w:rPr>
              <w:t>Money Supply</w:t>
            </w:r>
          </w:p>
          <w:p w:rsidR="005A1829" w:rsidRPr="00DC1EA3" w:rsidRDefault="005A1829" w:rsidP="00DC38C7">
            <w:pPr>
              <w:jc w:val="center"/>
              <w:rPr>
                <w:rFonts w:ascii="Arial" w:hAnsi="Arial" w:cs="Arial"/>
                <w:b/>
                <w:sz w:val="2"/>
                <w:szCs w:val="2"/>
                <w:lang w:val="en-GB"/>
              </w:rPr>
            </w:pPr>
          </w:p>
          <w:p w:rsidR="005A1829" w:rsidRPr="00DC1EA3" w:rsidRDefault="005A1829" w:rsidP="00DC38C7">
            <w:pPr>
              <w:jc w:val="center"/>
              <w:rPr>
                <w:rFonts w:ascii="Arial" w:hAnsi="Arial" w:cs="Arial"/>
                <w:b/>
                <w:sz w:val="20"/>
                <w:szCs w:val="20"/>
                <w:lang w:val="en-GB"/>
              </w:rPr>
            </w:pPr>
            <w:r w:rsidRPr="00DC1EA3">
              <w:rPr>
                <w:b/>
                <w:sz w:val="20"/>
                <w:szCs w:val="20"/>
                <w:lang w:val="en-GB"/>
              </w:rPr>
              <w:t>(</w:t>
            </w:r>
            <w:r w:rsidRPr="00DC1EA3">
              <w:rPr>
                <w:b/>
                <w:i/>
                <w:sz w:val="20"/>
                <w:szCs w:val="20"/>
                <w:lang w:val="en-GB"/>
              </w:rPr>
              <w:t>MS</w:t>
            </w:r>
            <w:r w:rsidRPr="00DC1EA3">
              <w:rPr>
                <w:b/>
                <w:sz w:val="20"/>
                <w:szCs w:val="20"/>
                <w:lang w:val="en-GB"/>
              </w:rPr>
              <w:t>)</w:t>
            </w:r>
          </w:p>
        </w:tc>
        <w:tc>
          <w:tcPr>
            <w:tcW w:w="1968" w:type="dxa"/>
            <w:vAlign w:val="center"/>
          </w:tcPr>
          <w:p w:rsidR="005A1829" w:rsidRPr="00DC1EA3" w:rsidRDefault="005A1829" w:rsidP="00DC38C7">
            <w:pPr>
              <w:jc w:val="center"/>
              <w:rPr>
                <w:rFonts w:ascii="Arial" w:hAnsi="Arial" w:cs="Arial"/>
                <w:b/>
                <w:sz w:val="18"/>
                <w:szCs w:val="18"/>
                <w:lang w:val="en-GB"/>
              </w:rPr>
            </w:pPr>
            <w:r w:rsidRPr="00DC1EA3">
              <w:rPr>
                <w:rFonts w:ascii="Arial" w:hAnsi="Arial" w:cs="Arial"/>
                <w:b/>
                <w:sz w:val="18"/>
                <w:szCs w:val="18"/>
                <w:lang w:val="en-GB"/>
              </w:rPr>
              <w:t>Reserve Money</w:t>
            </w:r>
          </w:p>
          <w:p w:rsidR="005A1829" w:rsidRPr="00DC1EA3" w:rsidRDefault="005A1829" w:rsidP="00DC38C7">
            <w:pPr>
              <w:jc w:val="center"/>
              <w:rPr>
                <w:rFonts w:ascii="Arial" w:hAnsi="Arial" w:cs="Arial"/>
                <w:b/>
                <w:sz w:val="2"/>
                <w:szCs w:val="2"/>
                <w:lang w:val="en-GB"/>
              </w:rPr>
            </w:pPr>
          </w:p>
          <w:p w:rsidR="005A1829" w:rsidRPr="004F48F0" w:rsidRDefault="005A1829" w:rsidP="00DC38C7">
            <w:pPr>
              <w:jc w:val="center"/>
              <w:rPr>
                <w:b/>
                <w:i/>
                <w:sz w:val="20"/>
                <w:szCs w:val="20"/>
                <w:lang w:val="en-US"/>
              </w:rPr>
            </w:pPr>
            <w:r w:rsidRPr="009F1BCD">
              <w:rPr>
                <w:b/>
                <w:sz w:val="20"/>
                <w:szCs w:val="20"/>
                <w:lang w:val="en-US"/>
              </w:rPr>
              <w:t>(</w:t>
            </w:r>
            <w:r w:rsidRPr="004F48F0">
              <w:rPr>
                <w:b/>
                <w:i/>
                <w:sz w:val="20"/>
                <w:szCs w:val="20"/>
                <w:lang w:val="en-US"/>
              </w:rPr>
              <w:t>RM</w:t>
            </w:r>
            <w:r w:rsidRPr="009F1BCD">
              <w:rPr>
                <w:b/>
                <w:sz w:val="20"/>
                <w:szCs w:val="20"/>
                <w:lang w:val="en-US"/>
              </w:rPr>
              <w:t>)</w:t>
            </w:r>
          </w:p>
        </w:tc>
        <w:tc>
          <w:tcPr>
            <w:tcW w:w="1916" w:type="dxa"/>
            <w:vAlign w:val="center"/>
          </w:tcPr>
          <w:p w:rsidR="005A1829" w:rsidRPr="00DC1EA3" w:rsidRDefault="005A1829" w:rsidP="00DC38C7">
            <w:pPr>
              <w:jc w:val="center"/>
              <w:rPr>
                <w:rFonts w:ascii="Arial" w:hAnsi="Arial" w:cs="Arial"/>
                <w:b/>
                <w:sz w:val="18"/>
                <w:szCs w:val="18"/>
                <w:lang w:val="en-GB"/>
              </w:rPr>
            </w:pPr>
            <w:r w:rsidRPr="00DC1EA3">
              <w:rPr>
                <w:rFonts w:ascii="Arial" w:hAnsi="Arial" w:cs="Arial"/>
                <w:b/>
                <w:sz w:val="18"/>
                <w:szCs w:val="18"/>
                <w:lang w:val="en-GB"/>
              </w:rPr>
              <w:t>Balance of Payments</w:t>
            </w:r>
          </w:p>
          <w:p w:rsidR="005A1829" w:rsidRPr="00CA2C53" w:rsidRDefault="005A1829" w:rsidP="00DC38C7">
            <w:pPr>
              <w:jc w:val="center"/>
              <w:rPr>
                <w:b/>
                <w:i/>
                <w:sz w:val="2"/>
                <w:szCs w:val="2"/>
                <w:lang w:val="en-US"/>
              </w:rPr>
            </w:pPr>
          </w:p>
          <w:p w:rsidR="005A1829" w:rsidRPr="004F48F0" w:rsidRDefault="005A1829" w:rsidP="00DC38C7">
            <w:pPr>
              <w:jc w:val="center"/>
              <w:rPr>
                <w:b/>
                <w:i/>
                <w:sz w:val="20"/>
                <w:szCs w:val="20"/>
                <w:lang w:val="en-US"/>
              </w:rPr>
            </w:pPr>
            <w:r w:rsidRPr="009F1BCD">
              <w:rPr>
                <w:b/>
                <w:sz w:val="20"/>
                <w:szCs w:val="20"/>
                <w:lang w:val="en-US"/>
              </w:rPr>
              <w:t>(</w:t>
            </w:r>
            <w:r w:rsidRPr="004F48F0">
              <w:rPr>
                <w:b/>
                <w:i/>
                <w:sz w:val="20"/>
                <w:szCs w:val="20"/>
                <w:lang w:val="en-US"/>
              </w:rPr>
              <w:t>BOP</w:t>
            </w:r>
            <w:r w:rsidRPr="009F1BCD">
              <w:rPr>
                <w:b/>
                <w:sz w:val="20"/>
                <w:szCs w:val="20"/>
                <w:lang w:val="en-US"/>
              </w:rPr>
              <w:t>)</w:t>
            </w:r>
          </w:p>
        </w:tc>
        <w:tc>
          <w:tcPr>
            <w:tcW w:w="1942" w:type="dxa"/>
            <w:vAlign w:val="center"/>
          </w:tcPr>
          <w:p w:rsidR="005A1829" w:rsidRDefault="005A1829" w:rsidP="00DC38C7">
            <w:pPr>
              <w:jc w:val="center"/>
              <w:rPr>
                <w:rFonts w:ascii="Arial" w:hAnsi="Arial" w:cs="Arial"/>
                <w:b/>
                <w:sz w:val="18"/>
                <w:szCs w:val="18"/>
                <w:lang w:val="en-GB"/>
              </w:rPr>
            </w:pPr>
            <w:r w:rsidRPr="00DC1EA3">
              <w:rPr>
                <w:rFonts w:ascii="Arial" w:hAnsi="Arial" w:cs="Arial"/>
                <w:b/>
                <w:sz w:val="18"/>
                <w:szCs w:val="18"/>
                <w:lang w:val="en-GB"/>
              </w:rPr>
              <w:t xml:space="preserve">Liquid Assets </w:t>
            </w:r>
          </w:p>
          <w:p w:rsidR="005A1829" w:rsidRDefault="005A1829" w:rsidP="00DC38C7">
            <w:pPr>
              <w:jc w:val="center"/>
              <w:rPr>
                <w:rFonts w:ascii="Arial" w:hAnsi="Arial" w:cs="Arial"/>
                <w:b/>
                <w:sz w:val="18"/>
                <w:szCs w:val="18"/>
                <w:lang w:val="en-GB"/>
              </w:rPr>
            </w:pPr>
            <w:r w:rsidRPr="00DC1EA3">
              <w:rPr>
                <w:rFonts w:ascii="Arial" w:hAnsi="Arial" w:cs="Arial"/>
                <w:b/>
                <w:sz w:val="18"/>
                <w:szCs w:val="18"/>
                <w:lang w:val="en-GB"/>
              </w:rPr>
              <w:t xml:space="preserve">and Liabilities </w:t>
            </w:r>
          </w:p>
          <w:p w:rsidR="005A1829" w:rsidRPr="009F1BCD" w:rsidRDefault="005A1829" w:rsidP="00DC38C7">
            <w:pPr>
              <w:jc w:val="center"/>
              <w:rPr>
                <w:b/>
                <w:i/>
                <w:sz w:val="20"/>
                <w:szCs w:val="20"/>
                <w:lang w:val="en-US"/>
              </w:rPr>
            </w:pPr>
            <w:r w:rsidRPr="00DC1EA3">
              <w:rPr>
                <w:rFonts w:ascii="Arial" w:hAnsi="Arial" w:cs="Arial"/>
                <w:b/>
                <w:sz w:val="18"/>
                <w:szCs w:val="18"/>
                <w:lang w:val="en-GB"/>
              </w:rPr>
              <w:t>(</w:t>
            </w:r>
            <w:r w:rsidRPr="009F1BCD">
              <w:rPr>
                <w:b/>
                <w:i/>
                <w:sz w:val="20"/>
                <w:szCs w:val="20"/>
                <w:lang w:val="en-US"/>
              </w:rPr>
              <w:t>AL</w:t>
            </w:r>
            <w:r w:rsidRPr="009F1BCD">
              <w:rPr>
                <w:b/>
                <w:sz w:val="20"/>
                <w:szCs w:val="20"/>
                <w:lang w:val="en-US"/>
              </w:rPr>
              <w:t>)</w:t>
            </w:r>
          </w:p>
        </w:tc>
      </w:tr>
      <w:tr w:rsidR="005A1829" w:rsidRPr="00A51255" w:rsidTr="00DC38C7">
        <w:trPr>
          <w:jc w:val="center"/>
        </w:trPr>
        <w:tc>
          <w:tcPr>
            <w:tcW w:w="358" w:type="dxa"/>
            <w:vAlign w:val="center"/>
          </w:tcPr>
          <w:p w:rsidR="005A1829" w:rsidRPr="00A51255" w:rsidRDefault="005A1829" w:rsidP="00DC38C7">
            <w:pPr>
              <w:spacing w:line="360" w:lineRule="auto"/>
              <w:jc w:val="center"/>
              <w:rPr>
                <w:rFonts w:ascii="Arial" w:hAnsi="Arial" w:cs="Arial"/>
                <w:sz w:val="16"/>
                <w:szCs w:val="16"/>
                <w:lang w:val="de-DE"/>
              </w:rPr>
            </w:pPr>
            <w:r>
              <w:rPr>
                <w:rFonts w:ascii="Arial" w:hAnsi="Arial" w:cs="Arial"/>
                <w:sz w:val="16"/>
                <w:szCs w:val="16"/>
                <w:lang w:val="de-DE"/>
              </w:rPr>
              <w:t>(2)</w:t>
            </w:r>
          </w:p>
        </w:tc>
        <w:tc>
          <w:tcPr>
            <w:tcW w:w="1557" w:type="dxa"/>
            <w:vAlign w:val="center"/>
          </w:tcPr>
          <w:p w:rsidR="005A1829" w:rsidRDefault="005A1829" w:rsidP="00DC38C7">
            <w:pPr>
              <w:ind w:left="105"/>
              <w:jc w:val="center"/>
              <w:rPr>
                <w:rFonts w:ascii="Garamond" w:hAnsi="Garamond"/>
                <w:lang w:val="de-DE"/>
              </w:rPr>
            </w:pPr>
            <w:r w:rsidRPr="002C5A6B">
              <w:rPr>
                <w:rFonts w:ascii="Garamond" w:hAnsi="Garamond"/>
                <w:i/>
                <w:position w:val="-10"/>
                <w:lang w:val="de-DE"/>
              </w:rPr>
              <w:object w:dxaOrig="300" w:dyaOrig="380">
                <v:shape id="_x0000_i1175" type="#_x0000_t75" style="width:12.85pt;height:16.7pt" o:ole="">
                  <v:imagedata r:id="rId118" o:title=""/>
                </v:shape>
                <o:OLEObject Type="Embed" ProgID="Equation.3" ShapeID="_x0000_i1175" DrawAspect="Content" ObjectID="_1507543522" r:id="rId222"/>
              </w:object>
            </w:r>
          </w:p>
          <w:p w:rsidR="005A1829" w:rsidRPr="0007792B" w:rsidRDefault="005A1829" w:rsidP="00DC38C7">
            <w:pPr>
              <w:ind w:left="105"/>
              <w:jc w:val="center"/>
              <w:rPr>
                <w:b/>
                <w:sz w:val="18"/>
                <w:szCs w:val="18"/>
                <w:lang w:val="de-DE"/>
              </w:rPr>
            </w:pPr>
            <w:r>
              <w:rPr>
                <w:rFonts w:ascii="Arial" w:hAnsi="Arial" w:cs="Arial"/>
                <w:b/>
                <w:sz w:val="18"/>
                <w:szCs w:val="18"/>
                <w:lang w:val="de-DE"/>
              </w:rPr>
              <w:t>neutral</w:t>
            </w:r>
          </w:p>
        </w:tc>
        <w:tc>
          <w:tcPr>
            <w:tcW w:w="2077" w:type="dxa"/>
            <w:vAlign w:val="center"/>
          </w:tcPr>
          <w:p w:rsidR="005A1829" w:rsidRPr="00A51255" w:rsidRDefault="005A1829" w:rsidP="00DC38C7">
            <w:pPr>
              <w:jc w:val="center"/>
              <w:rPr>
                <w:rFonts w:ascii="Arial" w:hAnsi="Arial" w:cs="Arial"/>
                <w:sz w:val="20"/>
                <w:szCs w:val="20"/>
                <w:lang w:val="de-DE"/>
              </w:rPr>
            </w:pPr>
            <w:r w:rsidRPr="00F424DB">
              <w:rPr>
                <w:rFonts w:ascii="Arial" w:hAnsi="Arial" w:cs="Arial"/>
                <w:sz w:val="20"/>
                <w:szCs w:val="20"/>
                <w:lang w:val="de-DE"/>
              </w:rPr>
              <w:t>5.973375</w:t>
            </w:r>
          </w:p>
          <w:p w:rsidR="005A1829" w:rsidRPr="00A51255" w:rsidRDefault="005A1829" w:rsidP="00DC38C7">
            <w:pPr>
              <w:jc w:val="center"/>
              <w:rPr>
                <w:lang w:val="en-US"/>
              </w:rPr>
            </w:pPr>
            <w:r>
              <w:rPr>
                <w:rFonts w:ascii="Arial" w:hAnsi="Arial" w:cs="Arial"/>
                <w:sz w:val="16"/>
                <w:szCs w:val="16"/>
                <w:lang w:val="de-DE"/>
              </w:rPr>
              <w:t>(</w:t>
            </w:r>
            <w:r w:rsidRPr="00F424DB">
              <w:rPr>
                <w:rFonts w:ascii="Arial" w:hAnsi="Arial" w:cs="Arial"/>
                <w:sz w:val="16"/>
                <w:szCs w:val="16"/>
                <w:lang w:val="de-DE"/>
              </w:rPr>
              <w:t>905.8555</w:t>
            </w:r>
            <w:r w:rsidRPr="00A51255">
              <w:rPr>
                <w:rFonts w:ascii="Arial" w:hAnsi="Arial" w:cs="Arial"/>
                <w:sz w:val="16"/>
                <w:szCs w:val="16"/>
                <w:lang w:val="de-DE"/>
              </w:rPr>
              <w:t>)</w:t>
            </w:r>
          </w:p>
        </w:tc>
        <w:tc>
          <w:tcPr>
            <w:tcW w:w="1968" w:type="dxa"/>
            <w:vAlign w:val="center"/>
          </w:tcPr>
          <w:p w:rsidR="005A1829" w:rsidRPr="00A51255" w:rsidRDefault="005A1829" w:rsidP="00DC38C7">
            <w:pPr>
              <w:jc w:val="center"/>
              <w:rPr>
                <w:rFonts w:ascii="Arial" w:hAnsi="Arial" w:cs="Arial"/>
                <w:sz w:val="20"/>
                <w:szCs w:val="20"/>
                <w:lang w:val="de-DE"/>
              </w:rPr>
            </w:pPr>
            <w:r w:rsidRPr="004C43FE">
              <w:rPr>
                <w:rFonts w:ascii="Arial" w:hAnsi="Arial" w:cs="Arial"/>
                <w:sz w:val="20"/>
                <w:szCs w:val="20"/>
                <w:lang w:val="de-DE"/>
              </w:rPr>
              <w:t>4588.815</w:t>
            </w:r>
          </w:p>
          <w:p w:rsidR="005A1829" w:rsidRPr="00A51255" w:rsidRDefault="005A1829" w:rsidP="00DC38C7">
            <w:pPr>
              <w:jc w:val="center"/>
              <w:rPr>
                <w:lang w:val="en-US"/>
              </w:rPr>
            </w:pPr>
            <w:r>
              <w:rPr>
                <w:rFonts w:ascii="Arial" w:hAnsi="Arial" w:cs="Arial"/>
                <w:sz w:val="16"/>
                <w:szCs w:val="16"/>
                <w:lang w:val="de-DE"/>
              </w:rPr>
              <w:t>(</w:t>
            </w:r>
            <w:r w:rsidRPr="004C43FE">
              <w:rPr>
                <w:rFonts w:ascii="Arial" w:hAnsi="Arial" w:cs="Arial"/>
                <w:sz w:val="16"/>
                <w:szCs w:val="16"/>
                <w:lang w:val="de-DE"/>
              </w:rPr>
              <w:t>3017.137</w:t>
            </w:r>
            <w:r w:rsidRPr="00A51255">
              <w:rPr>
                <w:rFonts w:ascii="Arial" w:hAnsi="Arial" w:cs="Arial"/>
                <w:sz w:val="16"/>
                <w:szCs w:val="16"/>
                <w:lang w:val="de-DE"/>
              </w:rPr>
              <w:t>)</w:t>
            </w:r>
          </w:p>
        </w:tc>
        <w:tc>
          <w:tcPr>
            <w:tcW w:w="1916" w:type="dxa"/>
            <w:vAlign w:val="center"/>
          </w:tcPr>
          <w:p w:rsidR="005A1829" w:rsidRPr="00A51255" w:rsidRDefault="005A1829" w:rsidP="00DC38C7">
            <w:pPr>
              <w:jc w:val="center"/>
              <w:rPr>
                <w:rFonts w:ascii="Arial" w:hAnsi="Arial" w:cs="Arial"/>
                <w:sz w:val="20"/>
                <w:szCs w:val="20"/>
                <w:lang w:val="de-DE"/>
              </w:rPr>
            </w:pPr>
            <w:r w:rsidRPr="001459DE">
              <w:rPr>
                <w:rFonts w:ascii="Arial" w:hAnsi="Arial" w:cs="Arial"/>
                <w:sz w:val="20"/>
                <w:szCs w:val="20"/>
                <w:lang w:val="de-DE"/>
              </w:rPr>
              <w:t>1347.582</w:t>
            </w:r>
          </w:p>
          <w:p w:rsidR="005A1829" w:rsidRPr="00A51255" w:rsidRDefault="005A1829" w:rsidP="00DC38C7">
            <w:pPr>
              <w:jc w:val="center"/>
              <w:rPr>
                <w:lang w:val="en-US"/>
              </w:rPr>
            </w:pPr>
            <w:r>
              <w:rPr>
                <w:rFonts w:ascii="Arial" w:hAnsi="Arial" w:cs="Arial"/>
                <w:sz w:val="16"/>
                <w:szCs w:val="16"/>
                <w:lang w:val="de-DE"/>
              </w:rPr>
              <w:t>(</w:t>
            </w:r>
            <w:r w:rsidRPr="001459DE">
              <w:rPr>
                <w:rFonts w:ascii="Arial" w:hAnsi="Arial" w:cs="Arial"/>
                <w:sz w:val="16"/>
                <w:szCs w:val="16"/>
                <w:lang w:val="de-DE"/>
              </w:rPr>
              <w:t>1068.948</w:t>
            </w:r>
            <w:r w:rsidRPr="00A51255">
              <w:rPr>
                <w:rFonts w:ascii="Arial" w:hAnsi="Arial" w:cs="Arial"/>
                <w:sz w:val="16"/>
                <w:szCs w:val="16"/>
                <w:lang w:val="de-DE"/>
              </w:rPr>
              <w:t>)</w:t>
            </w:r>
          </w:p>
        </w:tc>
        <w:tc>
          <w:tcPr>
            <w:tcW w:w="1942" w:type="dxa"/>
            <w:vAlign w:val="center"/>
          </w:tcPr>
          <w:p w:rsidR="005A1829" w:rsidRPr="00A51255" w:rsidRDefault="005A1829" w:rsidP="00DC38C7">
            <w:pPr>
              <w:jc w:val="center"/>
              <w:rPr>
                <w:rFonts w:ascii="Arial" w:hAnsi="Arial" w:cs="Arial"/>
                <w:sz w:val="20"/>
                <w:szCs w:val="20"/>
                <w:lang w:val="de-DE"/>
              </w:rPr>
            </w:pPr>
            <w:r w:rsidRPr="00B25E55">
              <w:rPr>
                <w:rFonts w:ascii="Arial" w:hAnsi="Arial" w:cs="Arial"/>
                <w:sz w:val="20"/>
                <w:szCs w:val="20"/>
                <w:lang w:val="de-DE"/>
              </w:rPr>
              <w:t>1059.963</w:t>
            </w:r>
          </w:p>
          <w:p w:rsidR="005A1829" w:rsidRPr="00A51255" w:rsidRDefault="005A1829" w:rsidP="00DC38C7">
            <w:pPr>
              <w:jc w:val="center"/>
              <w:rPr>
                <w:lang w:val="en-US"/>
              </w:rPr>
            </w:pPr>
            <w:r>
              <w:rPr>
                <w:rFonts w:ascii="Arial" w:hAnsi="Arial" w:cs="Arial"/>
                <w:sz w:val="16"/>
                <w:szCs w:val="16"/>
                <w:lang w:val="de-DE"/>
              </w:rPr>
              <w:t>(</w:t>
            </w:r>
            <w:r w:rsidRPr="00B25E55">
              <w:rPr>
                <w:rFonts w:ascii="Arial" w:hAnsi="Arial" w:cs="Arial"/>
                <w:sz w:val="16"/>
                <w:szCs w:val="16"/>
                <w:lang w:val="de-DE"/>
              </w:rPr>
              <w:t>893.7047</w:t>
            </w:r>
            <w:r w:rsidRPr="00A51255">
              <w:rPr>
                <w:rFonts w:ascii="Arial" w:hAnsi="Arial" w:cs="Arial"/>
                <w:sz w:val="16"/>
                <w:szCs w:val="16"/>
                <w:lang w:val="de-DE"/>
              </w:rPr>
              <w:t>)</w:t>
            </w:r>
          </w:p>
        </w:tc>
      </w:tr>
      <w:tr w:rsidR="005A1829" w:rsidRPr="00647145" w:rsidTr="00DC38C7">
        <w:trPr>
          <w:jc w:val="center"/>
        </w:trPr>
        <w:tc>
          <w:tcPr>
            <w:tcW w:w="358" w:type="dxa"/>
            <w:vAlign w:val="center"/>
          </w:tcPr>
          <w:p w:rsidR="005A1829" w:rsidRPr="00A51255" w:rsidRDefault="005A1829" w:rsidP="00DC38C7">
            <w:pPr>
              <w:spacing w:line="360" w:lineRule="auto"/>
              <w:jc w:val="center"/>
              <w:rPr>
                <w:rFonts w:ascii="Arial" w:hAnsi="Arial" w:cs="Arial"/>
                <w:sz w:val="16"/>
                <w:szCs w:val="16"/>
                <w:lang w:val="de-DE"/>
              </w:rPr>
            </w:pPr>
          </w:p>
        </w:tc>
        <w:tc>
          <w:tcPr>
            <w:tcW w:w="1557" w:type="dxa"/>
            <w:vAlign w:val="center"/>
          </w:tcPr>
          <w:p w:rsidR="005A1829" w:rsidRPr="004F48F0" w:rsidRDefault="005A1829" w:rsidP="00DC38C7">
            <w:pPr>
              <w:spacing w:line="360" w:lineRule="auto"/>
              <w:ind w:left="98"/>
              <w:jc w:val="center"/>
              <w:rPr>
                <w:b/>
                <w:i/>
                <w:sz w:val="18"/>
                <w:szCs w:val="18"/>
                <w:lang w:val="en-US"/>
              </w:rPr>
            </w:pPr>
          </w:p>
        </w:tc>
        <w:tc>
          <w:tcPr>
            <w:tcW w:w="2077" w:type="dxa"/>
            <w:vAlign w:val="center"/>
          </w:tcPr>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Q(10) = 6.3379 (p = 0.386)</w:t>
            </w:r>
          </w:p>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LM(10) = 0.764196 (p = 0.6636)</w:t>
            </w:r>
          </w:p>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Log likelihood = -4119.953</w:t>
            </w:r>
          </w:p>
        </w:tc>
        <w:tc>
          <w:tcPr>
            <w:tcW w:w="1968" w:type="dxa"/>
            <w:vAlign w:val="center"/>
          </w:tcPr>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Q(10) = 8.1936 (p = 0.224)</w:t>
            </w:r>
          </w:p>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LM(10) = 0.592274 (p = 0.8211)</w:t>
            </w:r>
          </w:p>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Log likelihood = -4139.980</w:t>
            </w:r>
          </w:p>
        </w:tc>
        <w:tc>
          <w:tcPr>
            <w:tcW w:w="1916" w:type="dxa"/>
            <w:vAlign w:val="center"/>
          </w:tcPr>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Q(10) = 9.1050 (p = 0.168)</w:t>
            </w:r>
          </w:p>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LM(10) = 0.436654 (p = 0.9288)</w:t>
            </w:r>
          </w:p>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Log likelihood = -4140.501</w:t>
            </w:r>
          </w:p>
        </w:tc>
        <w:tc>
          <w:tcPr>
            <w:tcW w:w="1942" w:type="dxa"/>
            <w:vAlign w:val="center"/>
          </w:tcPr>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Q(10) = 6.5372 (p = 0.366)</w:t>
            </w:r>
          </w:p>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LM(10) = 0.737094 (p = 0.6897)</w:t>
            </w:r>
          </w:p>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Log likelihood = -4117.472</w:t>
            </w:r>
          </w:p>
        </w:tc>
      </w:tr>
    </w:tbl>
    <w:p w:rsidR="005A1829" w:rsidRDefault="005A1829" w:rsidP="005A1829">
      <w:pPr>
        <w:ind w:left="284" w:right="282"/>
        <w:jc w:val="both"/>
        <w:rPr>
          <w:rFonts w:ascii="Arial" w:hAnsi="Arial" w:cs="Arial"/>
          <w:sz w:val="16"/>
          <w:szCs w:val="16"/>
          <w:lang w:val="en-US"/>
        </w:rPr>
      </w:pPr>
    </w:p>
    <w:p w:rsidR="005A1829" w:rsidRDefault="005A1829" w:rsidP="005A1829">
      <w:pPr>
        <w:ind w:left="284" w:right="282"/>
        <w:jc w:val="both"/>
        <w:rPr>
          <w:rFonts w:ascii="Arial" w:hAnsi="Arial" w:cs="Arial"/>
          <w:sz w:val="16"/>
          <w:szCs w:val="16"/>
          <w:lang w:val="en-US"/>
        </w:rPr>
      </w:pPr>
    </w:p>
    <w:p w:rsidR="005A1829" w:rsidRDefault="005A1829" w:rsidP="005A1829">
      <w:pPr>
        <w:ind w:right="282" w:firstLine="708"/>
        <w:jc w:val="both"/>
        <w:rPr>
          <w:rFonts w:ascii="Arial" w:hAnsi="Arial" w:cs="Arial"/>
          <w:sz w:val="20"/>
          <w:szCs w:val="20"/>
          <w:lang w:val="en-US"/>
        </w:rPr>
      </w:pPr>
      <w:r>
        <w:rPr>
          <w:rFonts w:ascii="Arial" w:hAnsi="Arial" w:cs="Arial"/>
          <w:sz w:val="16"/>
          <w:szCs w:val="16"/>
          <w:lang w:val="en-US"/>
        </w:rPr>
        <w:t>(</w:t>
      </w:r>
      <w:r w:rsidRPr="0063181F">
        <w:rPr>
          <w:rFonts w:ascii="Arial" w:hAnsi="Arial" w:cs="Arial"/>
          <w:sz w:val="20"/>
          <w:szCs w:val="20"/>
          <w:lang w:val="en-US"/>
        </w:rPr>
        <w:t>continued</w:t>
      </w:r>
      <w:r>
        <w:rPr>
          <w:rFonts w:ascii="Arial" w:hAnsi="Arial" w:cs="Arial"/>
          <w:sz w:val="20"/>
          <w:szCs w:val="20"/>
          <w:lang w:val="en-US"/>
        </w:rPr>
        <w:t xml:space="preserve"> on next page</w:t>
      </w:r>
      <w:r w:rsidRPr="0063181F">
        <w:rPr>
          <w:rFonts w:ascii="Arial" w:hAnsi="Arial" w:cs="Arial"/>
          <w:sz w:val="20"/>
          <w:szCs w:val="20"/>
          <w:lang w:val="en-US"/>
        </w:rPr>
        <w:t>)</w:t>
      </w:r>
    </w:p>
    <w:p w:rsidR="005A1829" w:rsidRDefault="005A1829" w:rsidP="005A1829">
      <w:pPr>
        <w:ind w:left="284" w:right="282"/>
        <w:jc w:val="both"/>
        <w:rPr>
          <w:rFonts w:ascii="Arial" w:hAnsi="Arial" w:cs="Arial"/>
          <w:sz w:val="16"/>
          <w:szCs w:val="16"/>
          <w:lang w:val="en-US"/>
        </w:rPr>
      </w:pPr>
      <w:r>
        <w:rPr>
          <w:rFonts w:ascii="Arial" w:hAnsi="Arial" w:cs="Arial"/>
          <w:sz w:val="16"/>
          <w:szCs w:val="16"/>
          <w:lang w:val="en-US"/>
        </w:rPr>
        <w:br w:type="page"/>
      </w:r>
    </w:p>
    <w:p w:rsidR="005A1829" w:rsidRDefault="005A1829" w:rsidP="005A1829">
      <w:pPr>
        <w:ind w:left="284" w:right="282"/>
        <w:jc w:val="both"/>
        <w:rPr>
          <w:rFonts w:ascii="Arial" w:hAnsi="Arial" w:cs="Arial"/>
          <w:sz w:val="16"/>
          <w:szCs w:val="16"/>
          <w:lang w:val="en-US"/>
        </w:rPr>
      </w:pPr>
    </w:p>
    <w:p w:rsidR="005A1829" w:rsidRDefault="005A1829" w:rsidP="005A1829">
      <w:pPr>
        <w:ind w:left="284" w:right="282"/>
        <w:jc w:val="both"/>
        <w:rPr>
          <w:rFonts w:ascii="Arial" w:hAnsi="Arial" w:cs="Arial"/>
          <w:sz w:val="20"/>
          <w:szCs w:val="20"/>
          <w:lang w:val="en-US"/>
        </w:rPr>
      </w:pPr>
    </w:p>
    <w:p w:rsidR="005A1829" w:rsidRDefault="005A1829" w:rsidP="005A1829">
      <w:pPr>
        <w:ind w:left="284" w:right="282"/>
        <w:jc w:val="both"/>
        <w:rPr>
          <w:rFonts w:ascii="Arial" w:hAnsi="Arial" w:cs="Arial"/>
          <w:sz w:val="20"/>
          <w:szCs w:val="20"/>
          <w:lang w:val="en-US"/>
        </w:rPr>
      </w:pPr>
    </w:p>
    <w:p w:rsidR="005A1829" w:rsidRDefault="005A1829" w:rsidP="005A1829">
      <w:pPr>
        <w:ind w:left="284" w:right="282"/>
        <w:jc w:val="both"/>
        <w:rPr>
          <w:rFonts w:ascii="Arial" w:hAnsi="Arial" w:cs="Arial"/>
          <w:sz w:val="20"/>
          <w:szCs w:val="20"/>
          <w:lang w:val="en-US"/>
        </w:rPr>
      </w:pPr>
    </w:p>
    <w:p w:rsidR="005A1829" w:rsidRDefault="005A1829" w:rsidP="005A1829">
      <w:pPr>
        <w:ind w:left="284" w:right="282"/>
        <w:jc w:val="both"/>
        <w:rPr>
          <w:rFonts w:ascii="Arial" w:hAnsi="Arial" w:cs="Arial"/>
          <w:sz w:val="20"/>
          <w:szCs w:val="20"/>
          <w:lang w:val="en-US"/>
        </w:rPr>
      </w:pPr>
    </w:p>
    <w:p w:rsidR="005A1829" w:rsidRDefault="005A1829" w:rsidP="005A1829">
      <w:pPr>
        <w:ind w:left="284" w:right="282"/>
        <w:jc w:val="both"/>
        <w:rPr>
          <w:rFonts w:ascii="Arial" w:hAnsi="Arial" w:cs="Arial"/>
          <w:sz w:val="20"/>
          <w:szCs w:val="20"/>
          <w:lang w:val="en-US"/>
        </w:rPr>
      </w:pPr>
    </w:p>
    <w:p w:rsidR="005A1829" w:rsidRDefault="005A1829" w:rsidP="005A1829">
      <w:pPr>
        <w:ind w:left="284" w:right="282"/>
        <w:jc w:val="both"/>
        <w:rPr>
          <w:rFonts w:ascii="Arial" w:hAnsi="Arial" w:cs="Arial"/>
          <w:sz w:val="20"/>
          <w:szCs w:val="20"/>
          <w:lang w:val="en-US"/>
        </w:rPr>
      </w:pPr>
      <w:r w:rsidRPr="002F209E">
        <w:rPr>
          <w:rFonts w:ascii="Arial" w:hAnsi="Arial" w:cs="Arial"/>
          <w:sz w:val="20"/>
          <w:szCs w:val="20"/>
          <w:lang w:val="en-US"/>
        </w:rPr>
        <w:t xml:space="preserve">Table </w:t>
      </w:r>
      <w:r w:rsidR="0034244F">
        <w:rPr>
          <w:rFonts w:ascii="Arial" w:hAnsi="Arial" w:cs="Arial"/>
          <w:sz w:val="20"/>
          <w:szCs w:val="20"/>
          <w:lang w:val="en-US"/>
        </w:rPr>
        <w:t>6</w:t>
      </w:r>
      <w:r w:rsidRPr="002F209E">
        <w:rPr>
          <w:rFonts w:ascii="Arial" w:hAnsi="Arial" w:cs="Arial"/>
          <w:sz w:val="20"/>
          <w:szCs w:val="20"/>
          <w:lang w:val="en-US"/>
        </w:rPr>
        <w:t xml:space="preserve"> (continued):</w:t>
      </w:r>
    </w:p>
    <w:p w:rsidR="005A1829" w:rsidRDefault="005A1829" w:rsidP="005A1829">
      <w:pPr>
        <w:ind w:left="284" w:right="282"/>
        <w:jc w:val="both"/>
        <w:rPr>
          <w:rFonts w:ascii="Arial" w:hAnsi="Arial" w:cs="Arial"/>
          <w:sz w:val="20"/>
          <w:szCs w:val="20"/>
          <w:lang w:val="en-US"/>
        </w:rPr>
      </w:pPr>
    </w:p>
    <w:p w:rsidR="005A1829" w:rsidRDefault="005A1829" w:rsidP="005A1829">
      <w:pPr>
        <w:ind w:left="284" w:right="282"/>
        <w:jc w:val="both"/>
        <w:rPr>
          <w:rFonts w:ascii="Arial" w:hAnsi="Arial" w:cs="Arial"/>
          <w:sz w:val="16"/>
          <w:szCs w:val="16"/>
          <w:lang w:val="en-US"/>
        </w:rPr>
      </w:pP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557"/>
        <w:gridCol w:w="1926"/>
        <w:gridCol w:w="1927"/>
        <w:gridCol w:w="1928"/>
        <w:gridCol w:w="1895"/>
      </w:tblGrid>
      <w:tr w:rsidR="005A1829" w:rsidRPr="00A51255" w:rsidTr="00DC38C7">
        <w:trPr>
          <w:jc w:val="center"/>
        </w:trPr>
        <w:tc>
          <w:tcPr>
            <w:tcW w:w="379" w:type="dxa"/>
            <w:vAlign w:val="center"/>
          </w:tcPr>
          <w:p w:rsidR="005A1829" w:rsidRPr="00124F83" w:rsidRDefault="005A1829" w:rsidP="00DC38C7">
            <w:pPr>
              <w:spacing w:line="360" w:lineRule="auto"/>
              <w:jc w:val="center"/>
              <w:rPr>
                <w:rFonts w:ascii="Arial" w:hAnsi="Arial" w:cs="Arial"/>
                <w:sz w:val="16"/>
                <w:szCs w:val="16"/>
                <w:lang w:val="de-DE"/>
              </w:rPr>
            </w:pPr>
            <w:r w:rsidRPr="00A51255">
              <w:rPr>
                <w:rFonts w:ascii="Arial" w:hAnsi="Arial" w:cs="Arial"/>
                <w:sz w:val="16"/>
                <w:szCs w:val="16"/>
                <w:lang w:val="de-DE"/>
              </w:rPr>
              <w:t>Eq.</w:t>
            </w:r>
          </w:p>
        </w:tc>
        <w:tc>
          <w:tcPr>
            <w:tcW w:w="9311" w:type="dxa"/>
            <w:gridSpan w:val="5"/>
            <w:vAlign w:val="center"/>
          </w:tcPr>
          <w:p w:rsidR="005A1829" w:rsidRDefault="005A1829" w:rsidP="00DC38C7">
            <w:pPr>
              <w:jc w:val="center"/>
              <w:rPr>
                <w:rFonts w:ascii="Arial" w:hAnsi="Arial" w:cs="Arial"/>
                <w:b/>
                <w:sz w:val="18"/>
                <w:szCs w:val="18"/>
                <w:lang w:val="de-DE"/>
              </w:rPr>
            </w:pPr>
          </w:p>
          <w:p w:rsidR="005A1829" w:rsidRDefault="005A1829" w:rsidP="00DC38C7">
            <w:pPr>
              <w:jc w:val="center"/>
              <w:rPr>
                <w:b/>
                <w:i/>
                <w:sz w:val="18"/>
                <w:szCs w:val="18"/>
                <w:lang w:val="de-DE"/>
              </w:rPr>
            </w:pPr>
            <w:r w:rsidRPr="004F48F0">
              <w:rPr>
                <w:rFonts w:ascii="Arial" w:hAnsi="Arial" w:cs="Arial"/>
                <w:b/>
                <w:sz w:val="18"/>
                <w:szCs w:val="18"/>
                <w:lang w:val="de-DE"/>
              </w:rPr>
              <w:t xml:space="preserve">On day </w:t>
            </w:r>
            <w:r w:rsidRPr="004F48F0">
              <w:rPr>
                <w:b/>
                <w:i/>
                <w:sz w:val="18"/>
                <w:szCs w:val="18"/>
                <w:lang w:val="de-DE"/>
              </w:rPr>
              <w:t>t</w:t>
            </w:r>
            <w:r>
              <w:rPr>
                <w:b/>
                <w:i/>
                <w:sz w:val="18"/>
                <w:szCs w:val="18"/>
                <w:lang w:val="de-DE"/>
              </w:rPr>
              <w:t>+1</w:t>
            </w:r>
          </w:p>
          <w:p w:rsidR="005A1829" w:rsidRPr="004F48F0" w:rsidRDefault="005A1829" w:rsidP="00DC38C7">
            <w:pPr>
              <w:jc w:val="center"/>
              <w:rPr>
                <w:rFonts w:ascii="Arial" w:hAnsi="Arial" w:cs="Arial"/>
                <w:b/>
                <w:sz w:val="18"/>
                <w:szCs w:val="18"/>
                <w:lang w:val="de-DE"/>
              </w:rPr>
            </w:pPr>
          </w:p>
        </w:tc>
      </w:tr>
      <w:tr w:rsidR="005A1829" w:rsidRPr="00A51255" w:rsidTr="00DC38C7">
        <w:trPr>
          <w:jc w:val="center"/>
        </w:trPr>
        <w:tc>
          <w:tcPr>
            <w:tcW w:w="9690" w:type="dxa"/>
            <w:gridSpan w:val="6"/>
            <w:vAlign w:val="center"/>
          </w:tcPr>
          <w:p w:rsidR="005A1829" w:rsidRDefault="005A1829" w:rsidP="00DC38C7">
            <w:pPr>
              <w:jc w:val="center"/>
              <w:rPr>
                <w:rFonts w:ascii="Arial" w:hAnsi="Arial" w:cs="Arial"/>
                <w:b/>
                <w:sz w:val="18"/>
                <w:szCs w:val="18"/>
                <w:lang w:val="de-DE"/>
              </w:rPr>
            </w:pPr>
          </w:p>
          <w:p w:rsidR="005A1829" w:rsidRDefault="005A1829" w:rsidP="00DC38C7">
            <w:pPr>
              <w:jc w:val="center"/>
              <w:rPr>
                <w:rFonts w:ascii="Arial" w:hAnsi="Arial" w:cs="Arial"/>
                <w:b/>
                <w:sz w:val="18"/>
                <w:szCs w:val="18"/>
                <w:lang w:val="de-DE"/>
              </w:rPr>
            </w:pPr>
            <w:r w:rsidRPr="009D3E6A">
              <w:rPr>
                <w:rFonts w:ascii="Arial" w:hAnsi="Arial" w:cs="Arial"/>
                <w:b/>
                <w:sz w:val="18"/>
                <w:szCs w:val="18"/>
                <w:lang w:val="de-DE"/>
              </w:rPr>
              <w:t>Mean equation:</w:t>
            </w:r>
          </w:p>
          <w:p w:rsidR="005A1829" w:rsidRDefault="005A1829" w:rsidP="00DC38C7">
            <w:pPr>
              <w:jc w:val="center"/>
              <w:rPr>
                <w:rFonts w:ascii="Arial" w:hAnsi="Arial" w:cs="Arial"/>
                <w:sz w:val="20"/>
                <w:szCs w:val="20"/>
                <w:lang w:val="de-DE"/>
              </w:rPr>
            </w:pPr>
          </w:p>
        </w:tc>
      </w:tr>
      <w:tr w:rsidR="005A1829" w:rsidRPr="00A51255" w:rsidTr="00DC38C7">
        <w:trPr>
          <w:jc w:val="center"/>
        </w:trPr>
        <w:tc>
          <w:tcPr>
            <w:tcW w:w="379" w:type="dxa"/>
            <w:vAlign w:val="center"/>
          </w:tcPr>
          <w:p w:rsidR="005A1829" w:rsidRPr="00A51255" w:rsidRDefault="005A1829" w:rsidP="00DC38C7">
            <w:pPr>
              <w:spacing w:line="360" w:lineRule="auto"/>
              <w:jc w:val="center"/>
              <w:rPr>
                <w:rFonts w:ascii="Arial" w:hAnsi="Arial" w:cs="Arial"/>
                <w:sz w:val="16"/>
                <w:szCs w:val="16"/>
                <w:lang w:val="de-DE"/>
              </w:rPr>
            </w:pPr>
            <w:r>
              <w:rPr>
                <w:rFonts w:ascii="Arial" w:hAnsi="Arial" w:cs="Arial"/>
                <w:sz w:val="16"/>
                <w:szCs w:val="16"/>
                <w:lang w:val="de-DE"/>
              </w:rPr>
              <w:t>(1)</w:t>
            </w:r>
          </w:p>
        </w:tc>
        <w:tc>
          <w:tcPr>
            <w:tcW w:w="1557" w:type="dxa"/>
            <w:vAlign w:val="center"/>
          </w:tcPr>
          <w:p w:rsidR="005A1829" w:rsidRPr="004F48F0" w:rsidRDefault="005A1829" w:rsidP="00DC38C7">
            <w:pPr>
              <w:jc w:val="center"/>
              <w:rPr>
                <w:rFonts w:ascii="Arial" w:hAnsi="Arial" w:cs="Arial"/>
                <w:b/>
                <w:sz w:val="18"/>
                <w:szCs w:val="18"/>
                <w:lang w:val="de-DE"/>
              </w:rPr>
            </w:pPr>
            <w:r w:rsidRPr="00067CE5">
              <w:rPr>
                <w:position w:val="-12"/>
              </w:rPr>
              <w:object w:dxaOrig="300" w:dyaOrig="360">
                <v:shape id="_x0000_i1176" type="#_x0000_t75" style="width:14.15pt;height:18pt" o:ole="">
                  <v:imagedata r:id="rId94" o:title=""/>
                </v:shape>
                <o:OLEObject Type="Embed" ProgID="Equation.3" ShapeID="_x0000_i1176" DrawAspect="Content" ObjectID="_1507543523" r:id="rId223"/>
              </w:object>
            </w:r>
          </w:p>
        </w:tc>
        <w:tc>
          <w:tcPr>
            <w:tcW w:w="1946" w:type="dxa"/>
            <w:vAlign w:val="center"/>
          </w:tcPr>
          <w:p w:rsidR="005A1829" w:rsidRDefault="005A1829" w:rsidP="00DC38C7">
            <w:pPr>
              <w:jc w:val="center"/>
              <w:rPr>
                <w:rFonts w:ascii="Arial" w:hAnsi="Arial" w:cs="Arial"/>
                <w:sz w:val="20"/>
                <w:szCs w:val="20"/>
                <w:lang w:val="de-DE"/>
              </w:rPr>
            </w:pPr>
            <w:r w:rsidRPr="003B17E5">
              <w:rPr>
                <w:rFonts w:ascii="Arial" w:hAnsi="Arial" w:cs="Arial"/>
                <w:sz w:val="20"/>
                <w:szCs w:val="20"/>
                <w:lang w:val="de-DE"/>
              </w:rPr>
              <w:t>21.29179</w:t>
            </w:r>
            <w:r>
              <w:rPr>
                <w:rFonts w:ascii="Arial" w:hAnsi="Arial" w:cs="Arial"/>
                <w:sz w:val="20"/>
                <w:szCs w:val="20"/>
                <w:lang w:val="de-DE"/>
              </w:rPr>
              <w:t xml:space="preserve"> ***</w:t>
            </w:r>
            <w:r w:rsidRPr="003B17E5">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3B17E5">
              <w:rPr>
                <w:rFonts w:ascii="Arial" w:hAnsi="Arial" w:cs="Arial"/>
                <w:sz w:val="16"/>
                <w:szCs w:val="16"/>
                <w:lang w:val="de-DE"/>
              </w:rPr>
              <w:t>6.040690</w:t>
            </w:r>
            <w:r w:rsidRPr="00A51255">
              <w:rPr>
                <w:rFonts w:ascii="Arial" w:hAnsi="Arial" w:cs="Arial"/>
                <w:sz w:val="16"/>
                <w:szCs w:val="16"/>
                <w:lang w:val="de-DE"/>
              </w:rPr>
              <w:t>)</w:t>
            </w:r>
          </w:p>
        </w:tc>
        <w:tc>
          <w:tcPr>
            <w:tcW w:w="1947" w:type="dxa"/>
            <w:vAlign w:val="center"/>
          </w:tcPr>
          <w:p w:rsidR="005A1829" w:rsidRPr="00A51255" w:rsidRDefault="005A1829" w:rsidP="00DC38C7">
            <w:pPr>
              <w:jc w:val="center"/>
              <w:rPr>
                <w:rFonts w:ascii="Arial" w:hAnsi="Arial" w:cs="Arial"/>
                <w:sz w:val="20"/>
                <w:szCs w:val="20"/>
                <w:lang w:val="de-DE"/>
              </w:rPr>
            </w:pPr>
            <w:r w:rsidRPr="00896C7D">
              <w:rPr>
                <w:rFonts w:ascii="Arial" w:hAnsi="Arial" w:cs="Arial"/>
                <w:sz w:val="20"/>
                <w:szCs w:val="20"/>
                <w:lang w:val="de-DE"/>
              </w:rPr>
              <w:t>22.26559</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896C7D">
              <w:rPr>
                <w:rFonts w:ascii="Arial" w:hAnsi="Arial" w:cs="Arial"/>
                <w:sz w:val="16"/>
                <w:szCs w:val="16"/>
                <w:lang w:val="de-DE"/>
              </w:rPr>
              <w:t>5.131231</w:t>
            </w:r>
            <w:r w:rsidRPr="00A51255">
              <w:rPr>
                <w:rFonts w:ascii="Arial" w:hAnsi="Arial" w:cs="Arial"/>
                <w:sz w:val="16"/>
                <w:szCs w:val="16"/>
                <w:lang w:val="de-DE"/>
              </w:rPr>
              <w:t>)</w:t>
            </w:r>
          </w:p>
        </w:tc>
        <w:tc>
          <w:tcPr>
            <w:tcW w:w="1947" w:type="dxa"/>
            <w:vAlign w:val="center"/>
          </w:tcPr>
          <w:p w:rsidR="005A1829" w:rsidRPr="00A51255" w:rsidRDefault="005A1829" w:rsidP="00DC38C7">
            <w:pPr>
              <w:jc w:val="center"/>
              <w:rPr>
                <w:rFonts w:ascii="Arial" w:hAnsi="Arial" w:cs="Arial"/>
                <w:sz w:val="20"/>
                <w:szCs w:val="20"/>
                <w:lang w:val="de-DE"/>
              </w:rPr>
            </w:pPr>
            <w:r w:rsidRPr="00A1661D">
              <w:rPr>
                <w:rFonts w:ascii="Arial" w:hAnsi="Arial" w:cs="Arial"/>
                <w:sz w:val="20"/>
                <w:szCs w:val="20"/>
                <w:lang w:val="de-DE"/>
              </w:rPr>
              <w:t>22.21483</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A1661D">
              <w:rPr>
                <w:rFonts w:ascii="Arial" w:hAnsi="Arial" w:cs="Arial"/>
                <w:sz w:val="16"/>
                <w:szCs w:val="16"/>
                <w:lang w:val="de-DE"/>
              </w:rPr>
              <w:t>5.336497</w:t>
            </w:r>
            <w:r w:rsidRPr="00A51255">
              <w:rPr>
                <w:rFonts w:ascii="Arial" w:hAnsi="Arial" w:cs="Arial"/>
                <w:sz w:val="16"/>
                <w:szCs w:val="16"/>
                <w:lang w:val="de-DE"/>
              </w:rPr>
              <w:t>)</w:t>
            </w:r>
          </w:p>
        </w:tc>
        <w:tc>
          <w:tcPr>
            <w:tcW w:w="1914" w:type="dxa"/>
            <w:vAlign w:val="center"/>
          </w:tcPr>
          <w:p w:rsidR="005A1829" w:rsidRPr="00A51255" w:rsidRDefault="005A1829" w:rsidP="00DC38C7">
            <w:pPr>
              <w:jc w:val="center"/>
              <w:rPr>
                <w:rFonts w:ascii="Arial" w:hAnsi="Arial" w:cs="Arial"/>
                <w:sz w:val="20"/>
                <w:szCs w:val="20"/>
                <w:lang w:val="de-DE"/>
              </w:rPr>
            </w:pPr>
            <w:r w:rsidRPr="007F42E1">
              <w:rPr>
                <w:rFonts w:ascii="Arial" w:hAnsi="Arial" w:cs="Arial"/>
                <w:sz w:val="20"/>
                <w:szCs w:val="20"/>
                <w:lang w:val="de-DE"/>
              </w:rPr>
              <w:t>21.19361</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7F42E1">
              <w:rPr>
                <w:rFonts w:ascii="Arial" w:hAnsi="Arial" w:cs="Arial"/>
                <w:sz w:val="16"/>
                <w:szCs w:val="16"/>
                <w:lang w:val="de-DE"/>
              </w:rPr>
              <w:t>5.305919</w:t>
            </w:r>
            <w:r w:rsidRPr="00A51255">
              <w:rPr>
                <w:rFonts w:ascii="Arial" w:hAnsi="Arial" w:cs="Arial"/>
                <w:sz w:val="16"/>
                <w:szCs w:val="16"/>
                <w:lang w:val="de-DE"/>
              </w:rPr>
              <w:t>)</w:t>
            </w:r>
          </w:p>
        </w:tc>
      </w:tr>
      <w:tr w:rsidR="005A1829" w:rsidRPr="00A51255" w:rsidTr="00DC38C7">
        <w:trPr>
          <w:jc w:val="center"/>
        </w:trPr>
        <w:tc>
          <w:tcPr>
            <w:tcW w:w="379" w:type="dxa"/>
            <w:vAlign w:val="center"/>
          </w:tcPr>
          <w:p w:rsidR="005A1829" w:rsidRPr="00A51255" w:rsidRDefault="005A1829" w:rsidP="00DC38C7">
            <w:pPr>
              <w:spacing w:line="360" w:lineRule="auto"/>
              <w:jc w:val="center"/>
              <w:rPr>
                <w:rFonts w:ascii="Arial" w:hAnsi="Arial" w:cs="Arial"/>
                <w:lang w:val="en-US"/>
              </w:rPr>
            </w:pPr>
            <w:r>
              <w:rPr>
                <w:rFonts w:ascii="Arial" w:hAnsi="Arial" w:cs="Arial"/>
                <w:sz w:val="16"/>
                <w:szCs w:val="16"/>
                <w:lang w:val="de-DE"/>
              </w:rPr>
              <w:t>(1)</w:t>
            </w:r>
          </w:p>
        </w:tc>
        <w:tc>
          <w:tcPr>
            <w:tcW w:w="1557" w:type="dxa"/>
            <w:vAlign w:val="center"/>
          </w:tcPr>
          <w:p w:rsidR="005A1829" w:rsidRPr="004F48F0" w:rsidRDefault="005A1829" w:rsidP="00DC38C7">
            <w:pPr>
              <w:jc w:val="center"/>
              <w:rPr>
                <w:rFonts w:ascii="Arial" w:hAnsi="Arial" w:cs="Arial"/>
                <w:b/>
                <w:sz w:val="18"/>
                <w:szCs w:val="18"/>
                <w:lang w:val="de-DE"/>
              </w:rPr>
            </w:pPr>
            <w:r w:rsidRPr="00067CE5">
              <w:rPr>
                <w:position w:val="-10"/>
              </w:rPr>
              <w:object w:dxaOrig="279" w:dyaOrig="340">
                <v:shape id="_x0000_i1177" type="#_x0000_t75" style="width:14.15pt;height:16.7pt" o:ole="">
                  <v:imagedata r:id="rId96" o:title=""/>
                </v:shape>
                <o:OLEObject Type="Embed" ProgID="Equation.3" ShapeID="_x0000_i1177" DrawAspect="Content" ObjectID="_1507543524" r:id="rId224"/>
              </w:object>
            </w:r>
          </w:p>
        </w:tc>
        <w:tc>
          <w:tcPr>
            <w:tcW w:w="1946" w:type="dxa"/>
            <w:vAlign w:val="center"/>
          </w:tcPr>
          <w:p w:rsidR="005A1829" w:rsidRPr="00A51255" w:rsidRDefault="005A1829" w:rsidP="00DC38C7">
            <w:pPr>
              <w:jc w:val="center"/>
              <w:rPr>
                <w:rFonts w:ascii="Arial" w:hAnsi="Arial" w:cs="Arial"/>
                <w:sz w:val="20"/>
                <w:szCs w:val="20"/>
                <w:lang w:val="de-DE"/>
              </w:rPr>
            </w:pPr>
            <w:r w:rsidRPr="003B17E5">
              <w:rPr>
                <w:rFonts w:ascii="Arial" w:hAnsi="Arial" w:cs="Arial"/>
                <w:sz w:val="20"/>
                <w:szCs w:val="20"/>
                <w:lang w:val="de-DE"/>
              </w:rPr>
              <w:t>4.782643</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3B17E5">
              <w:rPr>
                <w:rFonts w:ascii="Arial" w:hAnsi="Arial" w:cs="Arial"/>
                <w:sz w:val="16"/>
                <w:szCs w:val="16"/>
                <w:lang w:val="de-DE"/>
              </w:rPr>
              <w:t>2.205141</w:t>
            </w:r>
            <w:r w:rsidRPr="00A51255">
              <w:rPr>
                <w:rFonts w:ascii="Arial" w:hAnsi="Arial" w:cs="Arial"/>
                <w:sz w:val="16"/>
                <w:szCs w:val="16"/>
                <w:lang w:val="de-DE"/>
              </w:rPr>
              <w:t>)</w:t>
            </w:r>
          </w:p>
        </w:tc>
        <w:tc>
          <w:tcPr>
            <w:tcW w:w="1947" w:type="dxa"/>
            <w:vAlign w:val="center"/>
          </w:tcPr>
          <w:p w:rsidR="005A1829" w:rsidRPr="00A51255" w:rsidRDefault="005A1829" w:rsidP="00DC38C7">
            <w:pPr>
              <w:jc w:val="center"/>
              <w:rPr>
                <w:rFonts w:ascii="Arial" w:hAnsi="Arial" w:cs="Arial"/>
                <w:sz w:val="20"/>
                <w:szCs w:val="20"/>
                <w:lang w:val="de-DE"/>
              </w:rPr>
            </w:pPr>
            <w:r w:rsidRPr="00896C7D">
              <w:rPr>
                <w:rFonts w:ascii="Arial" w:hAnsi="Arial" w:cs="Arial"/>
                <w:sz w:val="20"/>
                <w:szCs w:val="20"/>
                <w:lang w:val="de-DE"/>
              </w:rPr>
              <w:t>4.189596</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896C7D">
              <w:rPr>
                <w:rFonts w:ascii="Arial" w:hAnsi="Arial" w:cs="Arial"/>
                <w:sz w:val="16"/>
                <w:szCs w:val="16"/>
                <w:lang w:val="de-DE"/>
              </w:rPr>
              <w:t>1.990373</w:t>
            </w:r>
            <w:r w:rsidRPr="00A51255">
              <w:rPr>
                <w:rFonts w:ascii="Arial" w:hAnsi="Arial" w:cs="Arial"/>
                <w:sz w:val="16"/>
                <w:szCs w:val="16"/>
                <w:lang w:val="de-DE"/>
              </w:rPr>
              <w:t>)</w:t>
            </w:r>
          </w:p>
        </w:tc>
        <w:tc>
          <w:tcPr>
            <w:tcW w:w="1947" w:type="dxa"/>
            <w:vAlign w:val="center"/>
          </w:tcPr>
          <w:p w:rsidR="005A1829" w:rsidRPr="00A51255" w:rsidRDefault="005A1829" w:rsidP="00DC38C7">
            <w:pPr>
              <w:jc w:val="center"/>
              <w:rPr>
                <w:rFonts w:ascii="Arial" w:hAnsi="Arial" w:cs="Arial"/>
                <w:sz w:val="20"/>
                <w:szCs w:val="20"/>
                <w:lang w:val="de-DE"/>
              </w:rPr>
            </w:pPr>
            <w:r w:rsidRPr="00A1661D">
              <w:rPr>
                <w:rFonts w:ascii="Arial" w:hAnsi="Arial" w:cs="Arial"/>
                <w:sz w:val="20"/>
                <w:szCs w:val="20"/>
                <w:lang w:val="de-DE"/>
              </w:rPr>
              <w:t>4.493162</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A1661D">
              <w:rPr>
                <w:rFonts w:ascii="Arial" w:hAnsi="Arial" w:cs="Arial"/>
                <w:sz w:val="16"/>
                <w:szCs w:val="16"/>
                <w:lang w:val="de-DE"/>
              </w:rPr>
              <w:t>1.990006</w:t>
            </w:r>
            <w:r w:rsidRPr="00A51255">
              <w:rPr>
                <w:rFonts w:ascii="Arial" w:hAnsi="Arial" w:cs="Arial"/>
                <w:sz w:val="16"/>
                <w:szCs w:val="16"/>
                <w:lang w:val="de-DE"/>
              </w:rPr>
              <w:t>)</w:t>
            </w:r>
          </w:p>
        </w:tc>
        <w:tc>
          <w:tcPr>
            <w:tcW w:w="1914" w:type="dxa"/>
            <w:vAlign w:val="center"/>
          </w:tcPr>
          <w:p w:rsidR="005A1829" w:rsidRPr="00A51255" w:rsidRDefault="005A1829" w:rsidP="00DC38C7">
            <w:pPr>
              <w:jc w:val="center"/>
              <w:rPr>
                <w:rFonts w:ascii="Arial" w:hAnsi="Arial" w:cs="Arial"/>
                <w:sz w:val="20"/>
                <w:szCs w:val="20"/>
                <w:lang w:val="de-DE"/>
              </w:rPr>
            </w:pPr>
            <w:r w:rsidRPr="007F42E1">
              <w:rPr>
                <w:rFonts w:ascii="Arial" w:hAnsi="Arial" w:cs="Arial"/>
                <w:sz w:val="20"/>
                <w:szCs w:val="20"/>
                <w:lang w:val="de-DE"/>
              </w:rPr>
              <w:t>3.695622</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7F42E1">
              <w:rPr>
                <w:rFonts w:ascii="Arial" w:hAnsi="Arial" w:cs="Arial"/>
                <w:sz w:val="16"/>
                <w:szCs w:val="16"/>
                <w:lang w:val="de-DE"/>
              </w:rPr>
              <w:t>2.095554</w:t>
            </w:r>
            <w:r w:rsidRPr="00A51255">
              <w:rPr>
                <w:rFonts w:ascii="Arial" w:hAnsi="Arial" w:cs="Arial"/>
                <w:sz w:val="16"/>
                <w:szCs w:val="16"/>
                <w:lang w:val="de-DE"/>
              </w:rPr>
              <w:t>)</w:t>
            </w:r>
          </w:p>
        </w:tc>
      </w:tr>
      <w:tr w:rsidR="005A1829" w:rsidRPr="00A51255" w:rsidTr="00DC38C7">
        <w:trPr>
          <w:jc w:val="center"/>
        </w:trPr>
        <w:tc>
          <w:tcPr>
            <w:tcW w:w="379" w:type="dxa"/>
            <w:vAlign w:val="center"/>
          </w:tcPr>
          <w:p w:rsidR="005A1829" w:rsidRPr="00A51255" w:rsidRDefault="005A1829" w:rsidP="00DC38C7">
            <w:pPr>
              <w:spacing w:line="360" w:lineRule="auto"/>
              <w:jc w:val="center"/>
              <w:rPr>
                <w:rFonts w:ascii="Arial" w:hAnsi="Arial" w:cs="Arial"/>
                <w:lang w:val="en-US"/>
              </w:rPr>
            </w:pPr>
            <w:r>
              <w:rPr>
                <w:rFonts w:ascii="Arial" w:hAnsi="Arial" w:cs="Arial"/>
                <w:sz w:val="16"/>
                <w:szCs w:val="16"/>
                <w:lang w:val="de-DE"/>
              </w:rPr>
              <w:t>(1)</w:t>
            </w:r>
          </w:p>
        </w:tc>
        <w:tc>
          <w:tcPr>
            <w:tcW w:w="1557" w:type="dxa"/>
            <w:vAlign w:val="center"/>
          </w:tcPr>
          <w:p w:rsidR="005A1829" w:rsidRPr="004F48F0" w:rsidRDefault="005A1829" w:rsidP="00DC38C7">
            <w:pPr>
              <w:jc w:val="center"/>
              <w:rPr>
                <w:rFonts w:ascii="Arial" w:hAnsi="Arial" w:cs="Arial"/>
                <w:b/>
                <w:sz w:val="18"/>
                <w:szCs w:val="18"/>
                <w:lang w:val="de-DE"/>
              </w:rPr>
            </w:pPr>
            <w:r w:rsidRPr="00067CE5">
              <w:rPr>
                <w:position w:val="-10"/>
              </w:rPr>
              <w:object w:dxaOrig="300" w:dyaOrig="340">
                <v:shape id="_x0000_i1178" type="#_x0000_t75" style="width:14.15pt;height:16.7pt" o:ole="">
                  <v:imagedata r:id="rId98" o:title=""/>
                </v:shape>
                <o:OLEObject Type="Embed" ProgID="Equation.3" ShapeID="_x0000_i1178" DrawAspect="Content" ObjectID="_1507543525" r:id="rId225"/>
              </w:object>
            </w:r>
          </w:p>
        </w:tc>
        <w:tc>
          <w:tcPr>
            <w:tcW w:w="1946" w:type="dxa"/>
            <w:vAlign w:val="center"/>
          </w:tcPr>
          <w:p w:rsidR="005A1829" w:rsidRDefault="005A1829" w:rsidP="00DC38C7">
            <w:pPr>
              <w:jc w:val="center"/>
              <w:rPr>
                <w:rFonts w:ascii="Arial" w:hAnsi="Arial" w:cs="Arial"/>
                <w:sz w:val="20"/>
                <w:szCs w:val="20"/>
                <w:lang w:val="de-DE"/>
              </w:rPr>
            </w:pPr>
            <w:r w:rsidRPr="00367997">
              <w:rPr>
                <w:rFonts w:ascii="Arial" w:hAnsi="Arial" w:cs="Arial"/>
                <w:sz w:val="20"/>
                <w:szCs w:val="20"/>
                <w:lang w:val="de-DE"/>
              </w:rPr>
              <w:t>-16.70217</w:t>
            </w:r>
            <w:r>
              <w:rPr>
                <w:rFonts w:ascii="Arial" w:hAnsi="Arial" w:cs="Arial"/>
                <w:sz w:val="20"/>
                <w:szCs w:val="20"/>
                <w:lang w:val="de-DE"/>
              </w:rPr>
              <w:t xml:space="preserve"> *</w:t>
            </w:r>
            <w:r w:rsidRPr="00367997">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367997">
              <w:rPr>
                <w:rFonts w:ascii="Arial" w:hAnsi="Arial" w:cs="Arial"/>
                <w:sz w:val="16"/>
                <w:szCs w:val="16"/>
                <w:lang w:val="de-DE"/>
              </w:rPr>
              <w:t>9.144487</w:t>
            </w:r>
            <w:r w:rsidRPr="00A51255">
              <w:rPr>
                <w:rFonts w:ascii="Arial" w:hAnsi="Arial" w:cs="Arial"/>
                <w:sz w:val="16"/>
                <w:szCs w:val="16"/>
                <w:lang w:val="de-DE"/>
              </w:rPr>
              <w:t>)</w:t>
            </w:r>
          </w:p>
        </w:tc>
        <w:tc>
          <w:tcPr>
            <w:tcW w:w="1947" w:type="dxa"/>
            <w:vAlign w:val="center"/>
          </w:tcPr>
          <w:p w:rsidR="005A1829" w:rsidRPr="00A51255" w:rsidRDefault="005A1829" w:rsidP="00DC38C7">
            <w:pPr>
              <w:jc w:val="center"/>
              <w:rPr>
                <w:rFonts w:ascii="Arial" w:hAnsi="Arial" w:cs="Arial"/>
                <w:sz w:val="20"/>
                <w:szCs w:val="20"/>
                <w:lang w:val="de-DE"/>
              </w:rPr>
            </w:pPr>
            <w:r w:rsidRPr="00896C7D">
              <w:rPr>
                <w:rFonts w:ascii="Arial" w:hAnsi="Arial" w:cs="Arial"/>
                <w:sz w:val="20"/>
                <w:szCs w:val="20"/>
                <w:lang w:val="de-DE"/>
              </w:rPr>
              <w:t>-18.84081</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896C7D">
              <w:rPr>
                <w:rFonts w:ascii="Arial" w:hAnsi="Arial" w:cs="Arial"/>
                <w:sz w:val="16"/>
                <w:szCs w:val="16"/>
                <w:lang w:val="de-DE"/>
              </w:rPr>
              <w:t>7.828287</w:t>
            </w:r>
            <w:r w:rsidRPr="00A51255">
              <w:rPr>
                <w:rFonts w:ascii="Arial" w:hAnsi="Arial" w:cs="Arial"/>
                <w:sz w:val="16"/>
                <w:szCs w:val="16"/>
                <w:lang w:val="de-DE"/>
              </w:rPr>
              <w:t>)</w:t>
            </w:r>
          </w:p>
        </w:tc>
        <w:tc>
          <w:tcPr>
            <w:tcW w:w="1947" w:type="dxa"/>
            <w:vAlign w:val="center"/>
          </w:tcPr>
          <w:p w:rsidR="005A1829" w:rsidRPr="00A51255" w:rsidRDefault="005A1829" w:rsidP="00DC38C7">
            <w:pPr>
              <w:jc w:val="center"/>
              <w:rPr>
                <w:rFonts w:ascii="Arial" w:hAnsi="Arial" w:cs="Arial"/>
                <w:sz w:val="20"/>
                <w:szCs w:val="20"/>
                <w:lang w:val="de-DE"/>
              </w:rPr>
            </w:pPr>
            <w:r w:rsidRPr="00301F40">
              <w:rPr>
                <w:rFonts w:ascii="Arial" w:hAnsi="Arial" w:cs="Arial"/>
                <w:sz w:val="20"/>
                <w:szCs w:val="20"/>
                <w:lang w:val="de-DE"/>
              </w:rPr>
              <w:t>-18.85251</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301F40">
              <w:rPr>
                <w:rFonts w:ascii="Arial" w:hAnsi="Arial" w:cs="Arial"/>
                <w:sz w:val="16"/>
                <w:szCs w:val="16"/>
                <w:lang w:val="de-DE"/>
              </w:rPr>
              <w:t>8.047027</w:t>
            </w:r>
            <w:r w:rsidRPr="00A51255">
              <w:rPr>
                <w:rFonts w:ascii="Arial" w:hAnsi="Arial" w:cs="Arial"/>
                <w:sz w:val="16"/>
                <w:szCs w:val="16"/>
                <w:lang w:val="de-DE"/>
              </w:rPr>
              <w:t>)</w:t>
            </w:r>
          </w:p>
        </w:tc>
        <w:tc>
          <w:tcPr>
            <w:tcW w:w="1914" w:type="dxa"/>
            <w:vAlign w:val="center"/>
          </w:tcPr>
          <w:p w:rsidR="005A1829" w:rsidRPr="00A51255" w:rsidRDefault="005A1829" w:rsidP="00DC38C7">
            <w:pPr>
              <w:jc w:val="center"/>
              <w:rPr>
                <w:rFonts w:ascii="Arial" w:hAnsi="Arial" w:cs="Arial"/>
                <w:sz w:val="20"/>
                <w:szCs w:val="20"/>
                <w:lang w:val="de-DE"/>
              </w:rPr>
            </w:pPr>
            <w:r w:rsidRPr="00E86ECF">
              <w:rPr>
                <w:rFonts w:ascii="Arial" w:hAnsi="Arial" w:cs="Arial"/>
                <w:sz w:val="20"/>
                <w:szCs w:val="20"/>
                <w:lang w:val="de-DE"/>
              </w:rPr>
              <w:t>-17.20854</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E86ECF">
              <w:rPr>
                <w:rFonts w:ascii="Arial" w:hAnsi="Arial" w:cs="Arial"/>
                <w:sz w:val="16"/>
                <w:szCs w:val="16"/>
                <w:lang w:val="de-DE"/>
              </w:rPr>
              <w:t>8.101267</w:t>
            </w:r>
            <w:r w:rsidRPr="00A51255">
              <w:rPr>
                <w:rFonts w:ascii="Arial" w:hAnsi="Arial" w:cs="Arial"/>
                <w:sz w:val="16"/>
                <w:szCs w:val="16"/>
                <w:lang w:val="de-DE"/>
              </w:rPr>
              <w:t>)</w:t>
            </w:r>
          </w:p>
        </w:tc>
      </w:tr>
      <w:tr w:rsidR="005A1829" w:rsidRPr="00647145" w:rsidTr="00DC38C7">
        <w:trPr>
          <w:jc w:val="center"/>
        </w:trPr>
        <w:tc>
          <w:tcPr>
            <w:tcW w:w="379" w:type="dxa"/>
            <w:vAlign w:val="center"/>
          </w:tcPr>
          <w:p w:rsidR="005A1829" w:rsidRPr="00A51255" w:rsidRDefault="005A1829" w:rsidP="00DC38C7">
            <w:pPr>
              <w:spacing w:line="360" w:lineRule="auto"/>
              <w:jc w:val="center"/>
              <w:rPr>
                <w:rFonts w:ascii="Arial" w:hAnsi="Arial" w:cs="Arial"/>
                <w:sz w:val="16"/>
                <w:szCs w:val="16"/>
                <w:lang w:val="de-DE"/>
              </w:rPr>
            </w:pPr>
          </w:p>
        </w:tc>
        <w:tc>
          <w:tcPr>
            <w:tcW w:w="1557" w:type="dxa"/>
            <w:vAlign w:val="center"/>
          </w:tcPr>
          <w:p w:rsidR="005A1829" w:rsidRDefault="005A1829" w:rsidP="00DC38C7">
            <w:pPr>
              <w:jc w:val="center"/>
              <w:rPr>
                <w:rFonts w:ascii="Arial" w:hAnsi="Arial" w:cs="Arial"/>
                <w:b/>
                <w:sz w:val="18"/>
                <w:szCs w:val="18"/>
                <w:lang w:val="de-DE"/>
              </w:rPr>
            </w:pPr>
            <w:r>
              <w:rPr>
                <w:rFonts w:ascii="Arial" w:hAnsi="Arial" w:cs="Arial"/>
                <w:b/>
                <w:sz w:val="18"/>
                <w:szCs w:val="18"/>
                <w:lang w:val="de-DE"/>
              </w:rPr>
              <w:t>Unexpected</w:t>
            </w:r>
          </w:p>
          <w:p w:rsidR="005A1829" w:rsidRDefault="005A1829" w:rsidP="00DC38C7">
            <w:pPr>
              <w:jc w:val="center"/>
              <w:rPr>
                <w:rFonts w:ascii="Arial" w:hAnsi="Arial" w:cs="Arial"/>
                <w:b/>
                <w:sz w:val="18"/>
                <w:szCs w:val="18"/>
                <w:lang w:val="de-DE"/>
              </w:rPr>
            </w:pPr>
            <w:r>
              <w:rPr>
                <w:rFonts w:ascii="Arial" w:hAnsi="Arial" w:cs="Arial"/>
                <w:b/>
                <w:sz w:val="18"/>
                <w:szCs w:val="18"/>
                <w:lang w:val="de-DE"/>
              </w:rPr>
              <w:t>neutral</w:t>
            </w:r>
          </w:p>
          <w:p w:rsidR="005A1829" w:rsidRPr="004F48F0" w:rsidRDefault="005A1829" w:rsidP="00DC38C7">
            <w:pPr>
              <w:jc w:val="center"/>
              <w:rPr>
                <w:rFonts w:ascii="Arial" w:hAnsi="Arial" w:cs="Arial"/>
                <w:b/>
                <w:sz w:val="18"/>
                <w:szCs w:val="18"/>
                <w:lang w:val="de-DE"/>
              </w:rPr>
            </w:pPr>
            <w:r w:rsidRPr="004F48F0">
              <w:rPr>
                <w:rFonts w:ascii="Arial" w:hAnsi="Arial" w:cs="Arial"/>
                <w:b/>
                <w:sz w:val="18"/>
                <w:szCs w:val="18"/>
                <w:lang w:val="de-DE"/>
              </w:rPr>
              <w:t>announcement:</w:t>
            </w:r>
          </w:p>
        </w:tc>
        <w:tc>
          <w:tcPr>
            <w:tcW w:w="1946" w:type="dxa"/>
            <w:vAlign w:val="center"/>
          </w:tcPr>
          <w:p w:rsidR="005A1829" w:rsidRPr="004F48F0" w:rsidRDefault="005A1829" w:rsidP="00DC38C7">
            <w:pPr>
              <w:jc w:val="center"/>
              <w:rPr>
                <w:rFonts w:ascii="Arial" w:hAnsi="Arial" w:cs="Arial"/>
                <w:b/>
                <w:sz w:val="18"/>
                <w:szCs w:val="18"/>
                <w:lang w:val="de-DE"/>
              </w:rPr>
            </w:pPr>
            <w:r w:rsidRPr="004F48F0">
              <w:rPr>
                <w:rFonts w:ascii="Arial" w:hAnsi="Arial" w:cs="Arial"/>
                <w:b/>
                <w:sz w:val="18"/>
                <w:szCs w:val="18"/>
                <w:lang w:val="de-DE"/>
              </w:rPr>
              <w:t>Money Supply</w:t>
            </w:r>
          </w:p>
          <w:p w:rsidR="005A1829" w:rsidRPr="00CA2C53" w:rsidRDefault="005A1829" w:rsidP="00DC38C7">
            <w:pPr>
              <w:jc w:val="center"/>
              <w:rPr>
                <w:rFonts w:ascii="Arial" w:hAnsi="Arial" w:cs="Arial"/>
                <w:b/>
                <w:sz w:val="2"/>
                <w:szCs w:val="2"/>
                <w:lang w:val="de-DE"/>
              </w:rPr>
            </w:pPr>
          </w:p>
          <w:p w:rsidR="005A1829" w:rsidRPr="004F48F0" w:rsidRDefault="005A1829" w:rsidP="00DC38C7">
            <w:pPr>
              <w:jc w:val="center"/>
              <w:rPr>
                <w:rFonts w:ascii="Arial" w:hAnsi="Arial" w:cs="Arial"/>
                <w:b/>
                <w:sz w:val="20"/>
                <w:szCs w:val="20"/>
                <w:lang w:val="de-DE"/>
              </w:rPr>
            </w:pPr>
            <w:r w:rsidRPr="009F1BCD">
              <w:rPr>
                <w:b/>
                <w:sz w:val="20"/>
                <w:szCs w:val="20"/>
                <w:lang w:val="de-DE"/>
              </w:rPr>
              <w:t>(</w:t>
            </w:r>
            <w:r w:rsidRPr="004F48F0">
              <w:rPr>
                <w:b/>
                <w:i/>
                <w:sz w:val="20"/>
                <w:szCs w:val="20"/>
                <w:lang w:val="de-DE"/>
              </w:rPr>
              <w:t>MS</w:t>
            </w:r>
            <w:r w:rsidRPr="009F1BCD">
              <w:rPr>
                <w:b/>
                <w:sz w:val="20"/>
                <w:szCs w:val="20"/>
                <w:lang w:val="de-DE"/>
              </w:rPr>
              <w:t>)</w:t>
            </w:r>
          </w:p>
        </w:tc>
        <w:tc>
          <w:tcPr>
            <w:tcW w:w="1947" w:type="dxa"/>
            <w:vAlign w:val="center"/>
          </w:tcPr>
          <w:p w:rsidR="005A1829" w:rsidRDefault="005A1829" w:rsidP="00DC38C7">
            <w:pPr>
              <w:jc w:val="center"/>
              <w:rPr>
                <w:rFonts w:ascii="Arial" w:hAnsi="Arial" w:cs="Arial"/>
                <w:b/>
                <w:sz w:val="18"/>
                <w:szCs w:val="18"/>
                <w:lang w:val="de-DE"/>
              </w:rPr>
            </w:pPr>
            <w:r w:rsidRPr="004F48F0">
              <w:rPr>
                <w:rFonts w:ascii="Arial" w:hAnsi="Arial" w:cs="Arial"/>
                <w:b/>
                <w:sz w:val="18"/>
                <w:szCs w:val="18"/>
                <w:lang w:val="de-DE"/>
              </w:rPr>
              <w:t>Reserve Money</w:t>
            </w:r>
          </w:p>
          <w:p w:rsidR="005A1829" w:rsidRPr="00CA2C53" w:rsidRDefault="005A1829" w:rsidP="00DC38C7">
            <w:pPr>
              <w:jc w:val="center"/>
              <w:rPr>
                <w:rFonts w:ascii="Arial" w:hAnsi="Arial" w:cs="Arial"/>
                <w:b/>
                <w:sz w:val="2"/>
                <w:szCs w:val="2"/>
                <w:lang w:val="de-DE"/>
              </w:rPr>
            </w:pPr>
          </w:p>
          <w:p w:rsidR="005A1829" w:rsidRPr="004F48F0" w:rsidRDefault="005A1829" w:rsidP="00DC38C7">
            <w:pPr>
              <w:jc w:val="center"/>
              <w:rPr>
                <w:b/>
                <w:i/>
                <w:sz w:val="20"/>
                <w:szCs w:val="20"/>
                <w:lang w:val="en-US"/>
              </w:rPr>
            </w:pPr>
            <w:r w:rsidRPr="009F1BCD">
              <w:rPr>
                <w:b/>
                <w:sz w:val="20"/>
                <w:szCs w:val="20"/>
                <w:lang w:val="en-US"/>
              </w:rPr>
              <w:t>(</w:t>
            </w:r>
            <w:r w:rsidRPr="004F48F0">
              <w:rPr>
                <w:b/>
                <w:i/>
                <w:sz w:val="20"/>
                <w:szCs w:val="20"/>
                <w:lang w:val="en-US"/>
              </w:rPr>
              <w:t>RM</w:t>
            </w:r>
            <w:r w:rsidRPr="009F1BCD">
              <w:rPr>
                <w:b/>
                <w:sz w:val="20"/>
                <w:szCs w:val="20"/>
                <w:lang w:val="en-US"/>
              </w:rPr>
              <w:t>)</w:t>
            </w:r>
          </w:p>
        </w:tc>
        <w:tc>
          <w:tcPr>
            <w:tcW w:w="1947" w:type="dxa"/>
            <w:vAlign w:val="center"/>
          </w:tcPr>
          <w:p w:rsidR="005A1829" w:rsidRDefault="005A1829" w:rsidP="00DC38C7">
            <w:pPr>
              <w:jc w:val="center"/>
              <w:rPr>
                <w:rFonts w:ascii="Arial" w:hAnsi="Arial" w:cs="Arial"/>
                <w:b/>
                <w:sz w:val="18"/>
                <w:szCs w:val="18"/>
                <w:lang w:val="de-DE"/>
              </w:rPr>
            </w:pPr>
            <w:r>
              <w:rPr>
                <w:rFonts w:ascii="Arial" w:hAnsi="Arial" w:cs="Arial"/>
                <w:b/>
                <w:sz w:val="18"/>
                <w:szCs w:val="18"/>
                <w:lang w:val="de-DE"/>
              </w:rPr>
              <w:t>Balance of Payments</w:t>
            </w:r>
          </w:p>
          <w:p w:rsidR="005A1829" w:rsidRPr="00CA2C53" w:rsidRDefault="005A1829" w:rsidP="00DC38C7">
            <w:pPr>
              <w:jc w:val="center"/>
              <w:rPr>
                <w:b/>
                <w:i/>
                <w:sz w:val="2"/>
                <w:szCs w:val="2"/>
                <w:lang w:val="en-US"/>
              </w:rPr>
            </w:pPr>
          </w:p>
          <w:p w:rsidR="005A1829" w:rsidRPr="004F48F0" w:rsidRDefault="005A1829" w:rsidP="00DC38C7">
            <w:pPr>
              <w:jc w:val="center"/>
              <w:rPr>
                <w:b/>
                <w:i/>
                <w:sz w:val="20"/>
                <w:szCs w:val="20"/>
                <w:lang w:val="en-US"/>
              </w:rPr>
            </w:pPr>
            <w:r w:rsidRPr="009F1BCD">
              <w:rPr>
                <w:b/>
                <w:sz w:val="20"/>
                <w:szCs w:val="20"/>
                <w:lang w:val="en-US"/>
              </w:rPr>
              <w:t>(</w:t>
            </w:r>
            <w:r w:rsidRPr="004F48F0">
              <w:rPr>
                <w:b/>
                <w:i/>
                <w:sz w:val="20"/>
                <w:szCs w:val="20"/>
                <w:lang w:val="en-US"/>
              </w:rPr>
              <w:t>BOP</w:t>
            </w:r>
            <w:r w:rsidRPr="009F1BCD">
              <w:rPr>
                <w:b/>
                <w:sz w:val="20"/>
                <w:szCs w:val="20"/>
                <w:lang w:val="en-US"/>
              </w:rPr>
              <w:t>)</w:t>
            </w:r>
          </w:p>
        </w:tc>
        <w:tc>
          <w:tcPr>
            <w:tcW w:w="1914" w:type="dxa"/>
            <w:vAlign w:val="center"/>
          </w:tcPr>
          <w:p w:rsidR="005A1829" w:rsidRPr="000E3558" w:rsidRDefault="005A1829" w:rsidP="00DC38C7">
            <w:pPr>
              <w:jc w:val="center"/>
              <w:rPr>
                <w:rFonts w:ascii="Arial" w:hAnsi="Arial" w:cs="Arial"/>
                <w:b/>
                <w:sz w:val="18"/>
                <w:szCs w:val="18"/>
                <w:lang w:val="en-US"/>
              </w:rPr>
            </w:pPr>
            <w:r w:rsidRPr="000E3558">
              <w:rPr>
                <w:rFonts w:ascii="Arial" w:hAnsi="Arial" w:cs="Arial"/>
                <w:b/>
                <w:sz w:val="18"/>
                <w:szCs w:val="18"/>
                <w:lang w:val="en-US"/>
              </w:rPr>
              <w:t xml:space="preserve">Liquid Assets </w:t>
            </w:r>
          </w:p>
          <w:p w:rsidR="005A1829" w:rsidRPr="000E3558" w:rsidRDefault="005A1829" w:rsidP="00DC38C7">
            <w:pPr>
              <w:jc w:val="center"/>
              <w:rPr>
                <w:rFonts w:ascii="Arial" w:hAnsi="Arial" w:cs="Arial"/>
                <w:b/>
                <w:sz w:val="18"/>
                <w:szCs w:val="18"/>
                <w:lang w:val="en-US"/>
              </w:rPr>
            </w:pPr>
            <w:r w:rsidRPr="000E3558">
              <w:rPr>
                <w:rFonts w:ascii="Arial" w:hAnsi="Arial" w:cs="Arial"/>
                <w:b/>
                <w:sz w:val="18"/>
                <w:szCs w:val="18"/>
                <w:lang w:val="en-US"/>
              </w:rPr>
              <w:t xml:space="preserve">and Liabilities </w:t>
            </w:r>
          </w:p>
          <w:p w:rsidR="005A1829" w:rsidRPr="009F1BCD" w:rsidRDefault="005A1829" w:rsidP="00DC38C7">
            <w:pPr>
              <w:jc w:val="center"/>
              <w:rPr>
                <w:b/>
                <w:i/>
                <w:sz w:val="20"/>
                <w:szCs w:val="20"/>
                <w:lang w:val="en-US"/>
              </w:rPr>
            </w:pPr>
            <w:r w:rsidRPr="000E3558">
              <w:rPr>
                <w:rFonts w:ascii="Arial" w:hAnsi="Arial" w:cs="Arial"/>
                <w:b/>
                <w:sz w:val="18"/>
                <w:szCs w:val="18"/>
                <w:lang w:val="en-US"/>
              </w:rPr>
              <w:t>(</w:t>
            </w:r>
            <w:r w:rsidRPr="009F1BCD">
              <w:rPr>
                <w:b/>
                <w:i/>
                <w:sz w:val="20"/>
                <w:szCs w:val="20"/>
                <w:lang w:val="en-US"/>
              </w:rPr>
              <w:t>AL</w:t>
            </w:r>
            <w:r w:rsidRPr="009F1BCD">
              <w:rPr>
                <w:b/>
                <w:sz w:val="20"/>
                <w:szCs w:val="20"/>
                <w:lang w:val="en-US"/>
              </w:rPr>
              <w:t>)</w:t>
            </w:r>
          </w:p>
        </w:tc>
      </w:tr>
      <w:tr w:rsidR="005A1829" w:rsidRPr="00A51255" w:rsidTr="00DC38C7">
        <w:trPr>
          <w:jc w:val="center"/>
        </w:trPr>
        <w:tc>
          <w:tcPr>
            <w:tcW w:w="379" w:type="dxa"/>
            <w:vAlign w:val="center"/>
          </w:tcPr>
          <w:p w:rsidR="005A1829" w:rsidRPr="00A51255" w:rsidRDefault="005A1829" w:rsidP="00DC38C7">
            <w:pPr>
              <w:spacing w:line="360" w:lineRule="auto"/>
              <w:jc w:val="center"/>
              <w:rPr>
                <w:rFonts w:ascii="Arial" w:hAnsi="Arial" w:cs="Arial"/>
                <w:sz w:val="16"/>
                <w:szCs w:val="16"/>
                <w:lang w:val="de-DE"/>
              </w:rPr>
            </w:pPr>
            <w:r>
              <w:rPr>
                <w:rFonts w:ascii="Arial" w:hAnsi="Arial" w:cs="Arial"/>
                <w:sz w:val="16"/>
                <w:szCs w:val="16"/>
                <w:lang w:val="de-DE"/>
              </w:rPr>
              <w:t>(1)</w:t>
            </w:r>
          </w:p>
        </w:tc>
        <w:tc>
          <w:tcPr>
            <w:tcW w:w="1557" w:type="dxa"/>
            <w:vAlign w:val="center"/>
          </w:tcPr>
          <w:p w:rsidR="005A1829" w:rsidRDefault="005A1829" w:rsidP="00DC38C7">
            <w:pPr>
              <w:ind w:left="123"/>
              <w:jc w:val="center"/>
            </w:pPr>
            <w:r w:rsidRPr="00B3604A">
              <w:rPr>
                <w:position w:val="-12"/>
              </w:rPr>
              <w:object w:dxaOrig="279" w:dyaOrig="360">
                <v:shape id="_x0000_i1179" type="#_x0000_t75" style="width:14.15pt;height:18pt" o:ole="">
                  <v:imagedata r:id="rId100" o:title=""/>
                </v:shape>
                <o:OLEObject Type="Embed" ProgID="Equation.3" ShapeID="_x0000_i1179" DrawAspect="Content" ObjectID="_1507543526" r:id="rId226"/>
              </w:object>
            </w:r>
          </w:p>
          <w:p w:rsidR="005A1829" w:rsidRPr="004F48F0" w:rsidRDefault="005A1829" w:rsidP="00DC38C7">
            <w:pPr>
              <w:ind w:left="123"/>
              <w:jc w:val="center"/>
              <w:rPr>
                <w:b/>
                <w:sz w:val="18"/>
                <w:szCs w:val="18"/>
                <w:lang w:val="de-DE"/>
              </w:rPr>
            </w:pPr>
            <w:r>
              <w:rPr>
                <w:rFonts w:ascii="Arial" w:hAnsi="Arial" w:cs="Arial"/>
                <w:b/>
                <w:sz w:val="18"/>
                <w:szCs w:val="18"/>
                <w:lang w:val="de-DE"/>
              </w:rPr>
              <w:t>neutral</w:t>
            </w:r>
          </w:p>
        </w:tc>
        <w:tc>
          <w:tcPr>
            <w:tcW w:w="1946" w:type="dxa"/>
            <w:vAlign w:val="center"/>
          </w:tcPr>
          <w:p w:rsidR="005A1829" w:rsidRPr="00A51255" w:rsidRDefault="005A1829" w:rsidP="00DC38C7">
            <w:pPr>
              <w:jc w:val="center"/>
              <w:rPr>
                <w:rFonts w:ascii="Arial" w:hAnsi="Arial" w:cs="Arial"/>
                <w:sz w:val="20"/>
                <w:szCs w:val="20"/>
                <w:lang w:val="de-DE"/>
              </w:rPr>
            </w:pPr>
            <w:r w:rsidRPr="00367997">
              <w:rPr>
                <w:rFonts w:ascii="Arial" w:hAnsi="Arial" w:cs="Arial"/>
                <w:sz w:val="20"/>
                <w:szCs w:val="20"/>
                <w:lang w:val="de-DE"/>
              </w:rPr>
              <w:t>-6.188430</w:t>
            </w:r>
          </w:p>
          <w:p w:rsidR="005A1829" w:rsidRPr="00A51255" w:rsidRDefault="005A1829" w:rsidP="00DC38C7">
            <w:pPr>
              <w:jc w:val="center"/>
              <w:rPr>
                <w:lang w:val="en-US"/>
              </w:rPr>
            </w:pPr>
            <w:r>
              <w:rPr>
                <w:rFonts w:ascii="Arial" w:hAnsi="Arial" w:cs="Arial"/>
                <w:sz w:val="16"/>
                <w:szCs w:val="16"/>
                <w:lang w:val="de-DE"/>
              </w:rPr>
              <w:t>(</w:t>
            </w:r>
            <w:r w:rsidRPr="00367997">
              <w:rPr>
                <w:rFonts w:ascii="Arial" w:hAnsi="Arial" w:cs="Arial"/>
                <w:sz w:val="16"/>
                <w:szCs w:val="16"/>
                <w:lang w:val="de-DE"/>
              </w:rPr>
              <w:t>13.43845</w:t>
            </w:r>
            <w:r w:rsidRPr="00A51255">
              <w:rPr>
                <w:rFonts w:ascii="Arial" w:hAnsi="Arial" w:cs="Arial"/>
                <w:sz w:val="16"/>
                <w:szCs w:val="16"/>
                <w:lang w:val="de-DE"/>
              </w:rPr>
              <w:t>)</w:t>
            </w:r>
          </w:p>
        </w:tc>
        <w:tc>
          <w:tcPr>
            <w:tcW w:w="1947" w:type="dxa"/>
            <w:vAlign w:val="center"/>
          </w:tcPr>
          <w:p w:rsidR="005A1829" w:rsidRPr="00A51255" w:rsidRDefault="005A1829" w:rsidP="00DC38C7">
            <w:pPr>
              <w:jc w:val="center"/>
              <w:rPr>
                <w:rFonts w:ascii="Arial" w:hAnsi="Arial" w:cs="Arial"/>
                <w:sz w:val="20"/>
                <w:szCs w:val="20"/>
                <w:lang w:val="de-DE"/>
              </w:rPr>
            </w:pPr>
            <w:r w:rsidRPr="00335ECB">
              <w:rPr>
                <w:rFonts w:ascii="Arial" w:hAnsi="Arial" w:cs="Arial"/>
                <w:sz w:val="20"/>
                <w:szCs w:val="20"/>
                <w:lang w:val="de-DE"/>
              </w:rPr>
              <w:t>-1.404994</w:t>
            </w:r>
          </w:p>
          <w:p w:rsidR="005A1829" w:rsidRPr="00A51255" w:rsidRDefault="005A1829" w:rsidP="00DC38C7">
            <w:pPr>
              <w:jc w:val="center"/>
              <w:rPr>
                <w:lang w:val="en-US"/>
              </w:rPr>
            </w:pPr>
            <w:r>
              <w:rPr>
                <w:rFonts w:ascii="Arial" w:hAnsi="Arial" w:cs="Arial"/>
                <w:sz w:val="16"/>
                <w:szCs w:val="16"/>
                <w:lang w:val="de-DE"/>
              </w:rPr>
              <w:t>(</w:t>
            </w:r>
            <w:r w:rsidRPr="00335ECB">
              <w:rPr>
                <w:rFonts w:ascii="Arial" w:hAnsi="Arial" w:cs="Arial"/>
                <w:sz w:val="16"/>
                <w:szCs w:val="16"/>
                <w:lang w:val="de-DE"/>
              </w:rPr>
              <w:t>14.29200</w:t>
            </w:r>
            <w:r w:rsidRPr="00A51255">
              <w:rPr>
                <w:rFonts w:ascii="Arial" w:hAnsi="Arial" w:cs="Arial"/>
                <w:sz w:val="16"/>
                <w:szCs w:val="16"/>
                <w:lang w:val="de-DE"/>
              </w:rPr>
              <w:t>)</w:t>
            </w:r>
          </w:p>
        </w:tc>
        <w:tc>
          <w:tcPr>
            <w:tcW w:w="1947" w:type="dxa"/>
            <w:vAlign w:val="center"/>
          </w:tcPr>
          <w:p w:rsidR="005A1829" w:rsidRPr="00A51255" w:rsidRDefault="005A1829" w:rsidP="00DC38C7">
            <w:pPr>
              <w:jc w:val="center"/>
              <w:rPr>
                <w:rFonts w:ascii="Arial" w:hAnsi="Arial" w:cs="Arial"/>
                <w:sz w:val="20"/>
                <w:szCs w:val="20"/>
                <w:lang w:val="de-DE"/>
              </w:rPr>
            </w:pPr>
            <w:r w:rsidRPr="00BB2B76">
              <w:rPr>
                <w:rFonts w:ascii="Arial" w:hAnsi="Arial" w:cs="Arial"/>
                <w:sz w:val="20"/>
                <w:szCs w:val="20"/>
                <w:lang w:val="de-DE"/>
              </w:rPr>
              <w:t>-2.617179</w:t>
            </w:r>
          </w:p>
          <w:p w:rsidR="005A1829" w:rsidRPr="00A51255" w:rsidRDefault="005A1829" w:rsidP="00DC38C7">
            <w:pPr>
              <w:jc w:val="center"/>
              <w:rPr>
                <w:lang w:val="en-US"/>
              </w:rPr>
            </w:pPr>
            <w:r>
              <w:rPr>
                <w:rFonts w:ascii="Arial" w:hAnsi="Arial" w:cs="Arial"/>
                <w:sz w:val="16"/>
                <w:szCs w:val="16"/>
                <w:lang w:val="de-DE"/>
              </w:rPr>
              <w:t>(</w:t>
            </w:r>
            <w:r w:rsidRPr="00BB2B76">
              <w:rPr>
                <w:rFonts w:ascii="Arial" w:hAnsi="Arial" w:cs="Arial"/>
                <w:sz w:val="16"/>
                <w:szCs w:val="16"/>
                <w:lang w:val="de-DE"/>
              </w:rPr>
              <w:t>10.48435</w:t>
            </w:r>
            <w:r w:rsidRPr="00A51255">
              <w:rPr>
                <w:rFonts w:ascii="Arial" w:hAnsi="Arial" w:cs="Arial"/>
                <w:sz w:val="16"/>
                <w:szCs w:val="16"/>
                <w:lang w:val="de-DE"/>
              </w:rPr>
              <w:t>)</w:t>
            </w:r>
          </w:p>
        </w:tc>
        <w:tc>
          <w:tcPr>
            <w:tcW w:w="1914" w:type="dxa"/>
            <w:vAlign w:val="center"/>
          </w:tcPr>
          <w:p w:rsidR="005A1829" w:rsidRPr="00A51255" w:rsidRDefault="005A1829" w:rsidP="00DC38C7">
            <w:pPr>
              <w:jc w:val="center"/>
              <w:rPr>
                <w:rFonts w:ascii="Arial" w:hAnsi="Arial" w:cs="Arial"/>
                <w:sz w:val="20"/>
                <w:szCs w:val="20"/>
                <w:lang w:val="de-DE"/>
              </w:rPr>
            </w:pPr>
            <w:r w:rsidRPr="00EF04FA">
              <w:rPr>
                <w:rFonts w:ascii="Arial" w:hAnsi="Arial" w:cs="Arial"/>
                <w:sz w:val="20"/>
                <w:szCs w:val="20"/>
                <w:lang w:val="de-DE"/>
              </w:rPr>
              <w:t>-0.741541</w:t>
            </w:r>
          </w:p>
          <w:p w:rsidR="005A1829" w:rsidRPr="00A51255" w:rsidRDefault="005A1829" w:rsidP="00DC38C7">
            <w:pPr>
              <w:jc w:val="center"/>
              <w:rPr>
                <w:lang w:val="en-US"/>
              </w:rPr>
            </w:pPr>
            <w:r>
              <w:rPr>
                <w:rFonts w:ascii="Arial" w:hAnsi="Arial" w:cs="Arial"/>
                <w:sz w:val="16"/>
                <w:szCs w:val="16"/>
                <w:lang w:val="de-DE"/>
              </w:rPr>
              <w:t>(</w:t>
            </w:r>
            <w:r w:rsidRPr="00EF04FA">
              <w:rPr>
                <w:rFonts w:ascii="Arial" w:hAnsi="Arial" w:cs="Arial"/>
                <w:sz w:val="16"/>
                <w:szCs w:val="16"/>
                <w:lang w:val="de-DE"/>
              </w:rPr>
              <w:t>8.626078</w:t>
            </w:r>
            <w:r w:rsidRPr="00A51255">
              <w:rPr>
                <w:rFonts w:ascii="Arial" w:hAnsi="Arial" w:cs="Arial"/>
                <w:sz w:val="16"/>
                <w:szCs w:val="16"/>
                <w:lang w:val="de-DE"/>
              </w:rPr>
              <w:t>)</w:t>
            </w:r>
          </w:p>
        </w:tc>
      </w:tr>
      <w:tr w:rsidR="005A1829" w:rsidRPr="00A51255" w:rsidTr="00DC38C7">
        <w:trPr>
          <w:jc w:val="center"/>
        </w:trPr>
        <w:tc>
          <w:tcPr>
            <w:tcW w:w="9690" w:type="dxa"/>
            <w:gridSpan w:val="6"/>
            <w:vAlign w:val="center"/>
          </w:tcPr>
          <w:p w:rsidR="005A1829" w:rsidRDefault="005A1829" w:rsidP="00DC38C7">
            <w:pPr>
              <w:jc w:val="center"/>
              <w:rPr>
                <w:rFonts w:ascii="Arial" w:hAnsi="Arial" w:cs="Arial"/>
                <w:b/>
                <w:sz w:val="18"/>
                <w:szCs w:val="18"/>
                <w:lang w:val="de-DE"/>
              </w:rPr>
            </w:pPr>
          </w:p>
          <w:p w:rsidR="005A1829" w:rsidRDefault="005A1829" w:rsidP="00DC38C7">
            <w:pPr>
              <w:jc w:val="center"/>
              <w:rPr>
                <w:rFonts w:ascii="Arial" w:hAnsi="Arial" w:cs="Arial"/>
                <w:b/>
                <w:sz w:val="18"/>
                <w:szCs w:val="18"/>
                <w:lang w:val="de-DE"/>
              </w:rPr>
            </w:pPr>
            <w:r>
              <w:rPr>
                <w:rFonts w:ascii="Arial" w:hAnsi="Arial" w:cs="Arial"/>
                <w:b/>
                <w:sz w:val="18"/>
                <w:szCs w:val="18"/>
                <w:lang w:val="de-DE"/>
              </w:rPr>
              <w:t>Conditional variance</w:t>
            </w:r>
            <w:r w:rsidRPr="009D3E6A">
              <w:rPr>
                <w:rFonts w:ascii="Arial" w:hAnsi="Arial" w:cs="Arial"/>
                <w:b/>
                <w:sz w:val="18"/>
                <w:szCs w:val="18"/>
                <w:lang w:val="de-DE"/>
              </w:rPr>
              <w:t xml:space="preserve"> equation:</w:t>
            </w:r>
          </w:p>
          <w:p w:rsidR="005A1829" w:rsidRDefault="005A1829" w:rsidP="00DC38C7">
            <w:pPr>
              <w:jc w:val="center"/>
              <w:rPr>
                <w:rFonts w:ascii="Arial" w:hAnsi="Arial" w:cs="Arial"/>
                <w:sz w:val="20"/>
                <w:szCs w:val="20"/>
                <w:lang w:val="de-DE"/>
              </w:rPr>
            </w:pPr>
          </w:p>
        </w:tc>
      </w:tr>
      <w:tr w:rsidR="005A1829" w:rsidRPr="00A51255" w:rsidTr="00DC38C7">
        <w:trPr>
          <w:jc w:val="center"/>
        </w:trPr>
        <w:tc>
          <w:tcPr>
            <w:tcW w:w="379" w:type="dxa"/>
            <w:vAlign w:val="center"/>
          </w:tcPr>
          <w:p w:rsidR="005A1829" w:rsidRPr="00A51255" w:rsidRDefault="005A1829" w:rsidP="00DC38C7">
            <w:pPr>
              <w:spacing w:line="360" w:lineRule="auto"/>
              <w:jc w:val="center"/>
              <w:rPr>
                <w:rFonts w:ascii="Arial" w:hAnsi="Arial" w:cs="Arial"/>
                <w:sz w:val="16"/>
                <w:szCs w:val="16"/>
                <w:lang w:val="de-DE"/>
              </w:rPr>
            </w:pPr>
            <w:r>
              <w:rPr>
                <w:rFonts w:ascii="Arial" w:hAnsi="Arial" w:cs="Arial"/>
                <w:sz w:val="16"/>
                <w:szCs w:val="16"/>
                <w:lang w:val="de-DE"/>
              </w:rPr>
              <w:t>(2)</w:t>
            </w:r>
          </w:p>
        </w:tc>
        <w:tc>
          <w:tcPr>
            <w:tcW w:w="1557" w:type="dxa"/>
            <w:vAlign w:val="center"/>
          </w:tcPr>
          <w:p w:rsidR="005A1829" w:rsidRPr="004F48F0" w:rsidRDefault="005A1829" w:rsidP="00DC38C7">
            <w:pPr>
              <w:jc w:val="center"/>
              <w:rPr>
                <w:rFonts w:ascii="Arial" w:hAnsi="Arial" w:cs="Arial"/>
                <w:b/>
                <w:sz w:val="18"/>
                <w:szCs w:val="18"/>
                <w:lang w:val="de-DE"/>
              </w:rPr>
            </w:pPr>
            <w:r w:rsidRPr="002163BB">
              <w:rPr>
                <w:rFonts w:ascii="Garamond" w:hAnsi="Garamond"/>
                <w:i/>
                <w:position w:val="-12"/>
                <w:lang w:val="de-DE"/>
              </w:rPr>
              <w:object w:dxaOrig="300" w:dyaOrig="400">
                <v:shape id="_x0000_i1180" type="#_x0000_t75" style="width:12.85pt;height:18pt" o:ole="">
                  <v:imagedata r:id="rId110" o:title=""/>
                </v:shape>
                <o:OLEObject Type="Embed" ProgID="Equation.3" ShapeID="_x0000_i1180" DrawAspect="Content" ObjectID="_1507543527" r:id="rId227"/>
              </w:object>
            </w:r>
          </w:p>
        </w:tc>
        <w:tc>
          <w:tcPr>
            <w:tcW w:w="1946" w:type="dxa"/>
            <w:vAlign w:val="center"/>
          </w:tcPr>
          <w:p w:rsidR="005A1829" w:rsidRPr="00A51255" w:rsidRDefault="005A1829" w:rsidP="00DC38C7">
            <w:pPr>
              <w:jc w:val="center"/>
              <w:rPr>
                <w:rFonts w:ascii="Arial" w:hAnsi="Arial" w:cs="Arial"/>
                <w:sz w:val="20"/>
                <w:szCs w:val="20"/>
                <w:lang w:val="de-DE"/>
              </w:rPr>
            </w:pPr>
            <w:r w:rsidRPr="00D25EAB">
              <w:rPr>
                <w:rFonts w:ascii="Arial" w:hAnsi="Arial" w:cs="Arial"/>
                <w:sz w:val="20"/>
                <w:szCs w:val="20"/>
                <w:lang w:val="de-DE"/>
              </w:rPr>
              <w:t>1727.246</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D25EAB">
              <w:rPr>
                <w:rFonts w:ascii="Arial" w:hAnsi="Arial" w:cs="Arial"/>
                <w:sz w:val="16"/>
                <w:szCs w:val="16"/>
                <w:lang w:val="de-DE"/>
              </w:rPr>
              <w:t>151.5399</w:t>
            </w:r>
            <w:r w:rsidRPr="00A51255">
              <w:rPr>
                <w:rFonts w:ascii="Arial" w:hAnsi="Arial" w:cs="Arial"/>
                <w:sz w:val="16"/>
                <w:szCs w:val="16"/>
                <w:lang w:val="de-DE"/>
              </w:rPr>
              <w:t>)</w:t>
            </w:r>
          </w:p>
        </w:tc>
        <w:tc>
          <w:tcPr>
            <w:tcW w:w="1947" w:type="dxa"/>
            <w:vAlign w:val="center"/>
          </w:tcPr>
          <w:p w:rsidR="005A1829" w:rsidRPr="00A51255" w:rsidRDefault="005A1829" w:rsidP="00DC38C7">
            <w:pPr>
              <w:jc w:val="center"/>
              <w:rPr>
                <w:rFonts w:ascii="Arial" w:hAnsi="Arial" w:cs="Arial"/>
                <w:sz w:val="20"/>
                <w:szCs w:val="20"/>
                <w:lang w:val="de-DE"/>
              </w:rPr>
            </w:pPr>
            <w:r w:rsidRPr="00AB630C">
              <w:rPr>
                <w:rFonts w:ascii="Arial" w:hAnsi="Arial" w:cs="Arial"/>
                <w:sz w:val="20"/>
                <w:szCs w:val="20"/>
                <w:lang w:val="de-DE"/>
              </w:rPr>
              <w:t>1548.682</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AB630C">
              <w:rPr>
                <w:rFonts w:ascii="Arial" w:hAnsi="Arial" w:cs="Arial"/>
                <w:sz w:val="16"/>
                <w:szCs w:val="16"/>
                <w:lang w:val="de-DE"/>
              </w:rPr>
              <w:t>140.2855</w:t>
            </w:r>
            <w:r w:rsidRPr="00A51255">
              <w:rPr>
                <w:rFonts w:ascii="Arial" w:hAnsi="Arial" w:cs="Arial"/>
                <w:sz w:val="16"/>
                <w:szCs w:val="16"/>
                <w:lang w:val="de-DE"/>
              </w:rPr>
              <w:t>)</w:t>
            </w:r>
          </w:p>
        </w:tc>
        <w:tc>
          <w:tcPr>
            <w:tcW w:w="1947" w:type="dxa"/>
            <w:vAlign w:val="center"/>
          </w:tcPr>
          <w:p w:rsidR="005A1829" w:rsidRPr="00A51255" w:rsidRDefault="005A1829" w:rsidP="00DC38C7">
            <w:pPr>
              <w:jc w:val="center"/>
              <w:rPr>
                <w:rFonts w:ascii="Arial" w:hAnsi="Arial" w:cs="Arial"/>
                <w:sz w:val="20"/>
                <w:szCs w:val="20"/>
                <w:lang w:val="de-DE"/>
              </w:rPr>
            </w:pPr>
            <w:r w:rsidRPr="00F86515">
              <w:rPr>
                <w:rFonts w:ascii="Arial" w:hAnsi="Arial" w:cs="Arial"/>
                <w:sz w:val="20"/>
                <w:szCs w:val="20"/>
                <w:lang w:val="de-DE"/>
              </w:rPr>
              <w:t>1580.810</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F86515">
              <w:rPr>
                <w:rFonts w:ascii="Arial" w:hAnsi="Arial" w:cs="Arial"/>
                <w:sz w:val="16"/>
                <w:szCs w:val="16"/>
                <w:lang w:val="de-DE"/>
              </w:rPr>
              <w:t>140.5052</w:t>
            </w:r>
            <w:r w:rsidRPr="00A51255">
              <w:rPr>
                <w:rFonts w:ascii="Arial" w:hAnsi="Arial" w:cs="Arial"/>
                <w:sz w:val="16"/>
                <w:szCs w:val="16"/>
                <w:lang w:val="de-DE"/>
              </w:rPr>
              <w:t>)</w:t>
            </w:r>
          </w:p>
        </w:tc>
        <w:tc>
          <w:tcPr>
            <w:tcW w:w="1914" w:type="dxa"/>
            <w:vAlign w:val="center"/>
          </w:tcPr>
          <w:p w:rsidR="005A1829" w:rsidRPr="00A51255" w:rsidRDefault="005A1829" w:rsidP="00DC38C7">
            <w:pPr>
              <w:jc w:val="center"/>
              <w:rPr>
                <w:rFonts w:ascii="Arial" w:hAnsi="Arial" w:cs="Arial"/>
                <w:sz w:val="20"/>
                <w:szCs w:val="20"/>
                <w:lang w:val="de-DE"/>
              </w:rPr>
            </w:pPr>
            <w:r w:rsidRPr="00540A45">
              <w:rPr>
                <w:rFonts w:ascii="Arial" w:hAnsi="Arial" w:cs="Arial"/>
                <w:sz w:val="20"/>
                <w:szCs w:val="20"/>
                <w:lang w:val="de-DE"/>
              </w:rPr>
              <w:t>1508.483</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540A45">
              <w:rPr>
                <w:rFonts w:ascii="Arial" w:hAnsi="Arial" w:cs="Arial"/>
                <w:sz w:val="16"/>
                <w:szCs w:val="16"/>
                <w:lang w:val="de-DE"/>
              </w:rPr>
              <w:t>155.7600</w:t>
            </w:r>
            <w:r w:rsidRPr="00A51255">
              <w:rPr>
                <w:rFonts w:ascii="Arial" w:hAnsi="Arial" w:cs="Arial"/>
                <w:sz w:val="16"/>
                <w:szCs w:val="16"/>
                <w:lang w:val="de-DE"/>
              </w:rPr>
              <w:t>)</w:t>
            </w:r>
          </w:p>
        </w:tc>
      </w:tr>
      <w:tr w:rsidR="005A1829" w:rsidRPr="00A51255" w:rsidTr="00DC38C7">
        <w:trPr>
          <w:jc w:val="center"/>
        </w:trPr>
        <w:tc>
          <w:tcPr>
            <w:tcW w:w="379" w:type="dxa"/>
            <w:vAlign w:val="center"/>
          </w:tcPr>
          <w:p w:rsidR="005A1829" w:rsidRPr="00A51255" w:rsidRDefault="005A1829" w:rsidP="00DC38C7">
            <w:pPr>
              <w:spacing w:line="360" w:lineRule="auto"/>
              <w:jc w:val="center"/>
              <w:rPr>
                <w:rFonts w:ascii="Arial" w:hAnsi="Arial" w:cs="Arial"/>
                <w:lang w:val="en-US"/>
              </w:rPr>
            </w:pPr>
            <w:r>
              <w:rPr>
                <w:rFonts w:ascii="Arial" w:hAnsi="Arial" w:cs="Arial"/>
                <w:sz w:val="16"/>
                <w:szCs w:val="16"/>
                <w:lang w:val="de-DE"/>
              </w:rPr>
              <w:t>(2)</w:t>
            </w:r>
          </w:p>
        </w:tc>
        <w:tc>
          <w:tcPr>
            <w:tcW w:w="1557" w:type="dxa"/>
            <w:vAlign w:val="center"/>
          </w:tcPr>
          <w:p w:rsidR="005A1829" w:rsidRPr="004F48F0" w:rsidRDefault="005A1829" w:rsidP="00DC38C7">
            <w:pPr>
              <w:jc w:val="center"/>
              <w:rPr>
                <w:rFonts w:ascii="Arial" w:hAnsi="Arial" w:cs="Arial"/>
                <w:b/>
                <w:sz w:val="18"/>
                <w:szCs w:val="18"/>
                <w:lang w:val="de-DE"/>
              </w:rPr>
            </w:pPr>
            <w:r w:rsidRPr="00B3604A">
              <w:rPr>
                <w:rFonts w:ascii="Garamond" w:hAnsi="Garamond"/>
                <w:i/>
                <w:position w:val="-10"/>
                <w:lang w:val="de-DE"/>
              </w:rPr>
              <w:object w:dxaOrig="279" w:dyaOrig="380">
                <v:shape id="_x0000_i1181" type="#_x0000_t75" style="width:11.55pt;height:16.7pt" o:ole="">
                  <v:imagedata r:id="rId112" o:title=""/>
                </v:shape>
                <o:OLEObject Type="Embed" ProgID="Equation.3" ShapeID="_x0000_i1181" DrawAspect="Content" ObjectID="_1507543528" r:id="rId228"/>
              </w:object>
            </w:r>
          </w:p>
        </w:tc>
        <w:tc>
          <w:tcPr>
            <w:tcW w:w="1946" w:type="dxa"/>
            <w:vAlign w:val="center"/>
          </w:tcPr>
          <w:p w:rsidR="005A1829" w:rsidRPr="00A51255" w:rsidRDefault="005A1829" w:rsidP="00DC38C7">
            <w:pPr>
              <w:jc w:val="center"/>
              <w:rPr>
                <w:rFonts w:ascii="Arial" w:hAnsi="Arial" w:cs="Arial"/>
                <w:sz w:val="20"/>
                <w:szCs w:val="20"/>
                <w:lang w:val="de-DE"/>
              </w:rPr>
            </w:pPr>
            <w:r w:rsidRPr="00D25EAB">
              <w:rPr>
                <w:rFonts w:ascii="Arial" w:hAnsi="Arial" w:cs="Arial"/>
                <w:sz w:val="20"/>
                <w:szCs w:val="20"/>
                <w:lang w:val="de-DE"/>
              </w:rPr>
              <w:t>0.263972</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DC340E">
              <w:rPr>
                <w:rFonts w:ascii="Arial" w:hAnsi="Arial" w:cs="Arial"/>
                <w:sz w:val="16"/>
                <w:szCs w:val="16"/>
                <w:lang w:val="de-DE"/>
              </w:rPr>
              <w:t>0.092377</w:t>
            </w:r>
            <w:r w:rsidRPr="00A51255">
              <w:rPr>
                <w:rFonts w:ascii="Arial" w:hAnsi="Arial" w:cs="Arial"/>
                <w:sz w:val="16"/>
                <w:szCs w:val="16"/>
                <w:lang w:val="de-DE"/>
              </w:rPr>
              <w:t>)</w:t>
            </w:r>
          </w:p>
        </w:tc>
        <w:tc>
          <w:tcPr>
            <w:tcW w:w="1947" w:type="dxa"/>
            <w:vAlign w:val="center"/>
          </w:tcPr>
          <w:p w:rsidR="005A1829" w:rsidRPr="00A51255" w:rsidRDefault="005A1829" w:rsidP="00DC38C7">
            <w:pPr>
              <w:jc w:val="center"/>
              <w:rPr>
                <w:rFonts w:ascii="Arial" w:hAnsi="Arial" w:cs="Arial"/>
                <w:sz w:val="20"/>
                <w:szCs w:val="20"/>
                <w:lang w:val="de-DE"/>
              </w:rPr>
            </w:pPr>
            <w:r w:rsidRPr="001B66F6">
              <w:rPr>
                <w:rFonts w:ascii="Arial" w:hAnsi="Arial" w:cs="Arial"/>
                <w:sz w:val="20"/>
                <w:szCs w:val="20"/>
                <w:lang w:val="de-DE"/>
              </w:rPr>
              <w:t>0.257703</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1B66F6">
              <w:rPr>
                <w:rFonts w:ascii="Arial" w:hAnsi="Arial" w:cs="Arial"/>
                <w:sz w:val="16"/>
                <w:szCs w:val="16"/>
                <w:lang w:val="de-DE"/>
              </w:rPr>
              <w:t>0.089625</w:t>
            </w:r>
            <w:r w:rsidRPr="00A51255">
              <w:rPr>
                <w:rFonts w:ascii="Arial" w:hAnsi="Arial" w:cs="Arial"/>
                <w:sz w:val="16"/>
                <w:szCs w:val="16"/>
                <w:lang w:val="de-DE"/>
              </w:rPr>
              <w:t>)</w:t>
            </w:r>
          </w:p>
        </w:tc>
        <w:tc>
          <w:tcPr>
            <w:tcW w:w="1947" w:type="dxa"/>
            <w:vAlign w:val="center"/>
          </w:tcPr>
          <w:p w:rsidR="005A1829" w:rsidRPr="00A51255" w:rsidRDefault="005A1829" w:rsidP="00DC38C7">
            <w:pPr>
              <w:jc w:val="center"/>
              <w:rPr>
                <w:rFonts w:ascii="Arial" w:hAnsi="Arial" w:cs="Arial"/>
                <w:sz w:val="20"/>
                <w:szCs w:val="20"/>
                <w:lang w:val="de-DE"/>
              </w:rPr>
            </w:pPr>
            <w:r w:rsidRPr="00171073">
              <w:rPr>
                <w:rFonts w:ascii="Arial" w:hAnsi="Arial" w:cs="Arial"/>
                <w:sz w:val="20"/>
                <w:szCs w:val="20"/>
                <w:lang w:val="de-DE"/>
              </w:rPr>
              <w:t>0.244539</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171073">
              <w:rPr>
                <w:rFonts w:ascii="Arial" w:hAnsi="Arial" w:cs="Arial"/>
                <w:sz w:val="16"/>
                <w:szCs w:val="16"/>
                <w:lang w:val="de-DE"/>
              </w:rPr>
              <w:t>0.086900</w:t>
            </w:r>
            <w:r w:rsidRPr="00A51255">
              <w:rPr>
                <w:rFonts w:ascii="Arial" w:hAnsi="Arial" w:cs="Arial"/>
                <w:sz w:val="16"/>
                <w:szCs w:val="16"/>
                <w:lang w:val="de-DE"/>
              </w:rPr>
              <w:t>)</w:t>
            </w:r>
          </w:p>
        </w:tc>
        <w:tc>
          <w:tcPr>
            <w:tcW w:w="1914" w:type="dxa"/>
            <w:vAlign w:val="center"/>
          </w:tcPr>
          <w:p w:rsidR="005A1829" w:rsidRPr="00A51255" w:rsidRDefault="005A1829" w:rsidP="00DC38C7">
            <w:pPr>
              <w:jc w:val="center"/>
              <w:rPr>
                <w:rFonts w:ascii="Arial" w:hAnsi="Arial" w:cs="Arial"/>
                <w:sz w:val="20"/>
                <w:szCs w:val="20"/>
                <w:lang w:val="de-DE"/>
              </w:rPr>
            </w:pPr>
            <w:r w:rsidRPr="00540A45">
              <w:rPr>
                <w:rFonts w:ascii="Arial" w:hAnsi="Arial" w:cs="Arial"/>
                <w:sz w:val="20"/>
                <w:szCs w:val="20"/>
                <w:lang w:val="de-DE"/>
              </w:rPr>
              <w:t>0.266998</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540A45">
              <w:rPr>
                <w:rFonts w:ascii="Arial" w:hAnsi="Arial" w:cs="Arial"/>
                <w:sz w:val="16"/>
                <w:szCs w:val="16"/>
                <w:lang w:val="de-DE"/>
              </w:rPr>
              <w:t>0.097361</w:t>
            </w:r>
            <w:r w:rsidRPr="00A51255">
              <w:rPr>
                <w:rFonts w:ascii="Arial" w:hAnsi="Arial" w:cs="Arial"/>
                <w:sz w:val="16"/>
                <w:szCs w:val="16"/>
                <w:lang w:val="de-DE"/>
              </w:rPr>
              <w:t>)</w:t>
            </w:r>
          </w:p>
        </w:tc>
      </w:tr>
      <w:tr w:rsidR="005A1829" w:rsidRPr="00A51255" w:rsidTr="00DC38C7">
        <w:trPr>
          <w:jc w:val="center"/>
        </w:trPr>
        <w:tc>
          <w:tcPr>
            <w:tcW w:w="379" w:type="dxa"/>
            <w:vAlign w:val="center"/>
          </w:tcPr>
          <w:p w:rsidR="005A1829" w:rsidRPr="00A51255" w:rsidRDefault="005A1829" w:rsidP="00DC38C7">
            <w:pPr>
              <w:spacing w:line="360" w:lineRule="auto"/>
              <w:jc w:val="center"/>
              <w:rPr>
                <w:rFonts w:ascii="Arial" w:hAnsi="Arial" w:cs="Arial"/>
                <w:lang w:val="en-US"/>
              </w:rPr>
            </w:pPr>
            <w:r>
              <w:rPr>
                <w:rFonts w:ascii="Arial" w:hAnsi="Arial" w:cs="Arial"/>
                <w:sz w:val="16"/>
                <w:szCs w:val="16"/>
                <w:lang w:val="de-DE"/>
              </w:rPr>
              <w:t>(2)</w:t>
            </w:r>
          </w:p>
        </w:tc>
        <w:tc>
          <w:tcPr>
            <w:tcW w:w="1557" w:type="dxa"/>
            <w:vAlign w:val="center"/>
          </w:tcPr>
          <w:p w:rsidR="005A1829" w:rsidRPr="004F48F0" w:rsidRDefault="005A1829" w:rsidP="00DC38C7">
            <w:pPr>
              <w:jc w:val="center"/>
              <w:rPr>
                <w:rFonts w:ascii="Arial" w:hAnsi="Arial" w:cs="Arial"/>
                <w:b/>
                <w:sz w:val="18"/>
                <w:szCs w:val="18"/>
                <w:lang w:val="de-DE"/>
              </w:rPr>
            </w:pPr>
            <w:r w:rsidRPr="002C5A6B">
              <w:rPr>
                <w:rFonts w:ascii="Garamond" w:hAnsi="Garamond"/>
                <w:i/>
                <w:position w:val="-10"/>
                <w:lang w:val="de-DE"/>
              </w:rPr>
              <w:object w:dxaOrig="300" w:dyaOrig="380">
                <v:shape id="_x0000_i1182" type="#_x0000_t75" style="width:12.85pt;height:16.7pt" o:ole="">
                  <v:imagedata r:id="rId114" o:title=""/>
                </v:shape>
                <o:OLEObject Type="Embed" ProgID="Equation.3" ShapeID="_x0000_i1182" DrawAspect="Content" ObjectID="_1507543529" r:id="rId229"/>
              </w:object>
            </w:r>
          </w:p>
        </w:tc>
        <w:tc>
          <w:tcPr>
            <w:tcW w:w="1946" w:type="dxa"/>
            <w:vAlign w:val="center"/>
          </w:tcPr>
          <w:p w:rsidR="005A1829" w:rsidRPr="00A51255" w:rsidRDefault="005A1829" w:rsidP="00DC38C7">
            <w:pPr>
              <w:jc w:val="center"/>
              <w:rPr>
                <w:lang w:val="en-US"/>
              </w:rPr>
            </w:pPr>
            <w:r>
              <w:rPr>
                <w:rFonts w:ascii="Arial" w:hAnsi="Arial" w:cs="Arial"/>
                <w:sz w:val="20"/>
                <w:szCs w:val="20"/>
                <w:lang w:val="de-DE"/>
              </w:rPr>
              <w:t>-</w:t>
            </w:r>
          </w:p>
        </w:tc>
        <w:tc>
          <w:tcPr>
            <w:tcW w:w="1947" w:type="dxa"/>
            <w:vAlign w:val="center"/>
          </w:tcPr>
          <w:p w:rsidR="005A1829" w:rsidRPr="00A51255" w:rsidRDefault="005A1829" w:rsidP="00DC38C7">
            <w:pPr>
              <w:jc w:val="center"/>
              <w:rPr>
                <w:lang w:val="en-US"/>
              </w:rPr>
            </w:pPr>
            <w:r>
              <w:rPr>
                <w:rFonts w:ascii="Arial" w:hAnsi="Arial" w:cs="Arial"/>
                <w:sz w:val="20"/>
                <w:szCs w:val="20"/>
                <w:lang w:val="de-DE"/>
              </w:rPr>
              <w:t>-</w:t>
            </w:r>
          </w:p>
        </w:tc>
        <w:tc>
          <w:tcPr>
            <w:tcW w:w="1947" w:type="dxa"/>
            <w:vAlign w:val="center"/>
          </w:tcPr>
          <w:p w:rsidR="005A1829" w:rsidRPr="00A51255" w:rsidRDefault="005A1829" w:rsidP="00DC38C7">
            <w:pPr>
              <w:jc w:val="center"/>
              <w:rPr>
                <w:lang w:val="en-US"/>
              </w:rPr>
            </w:pPr>
            <w:r>
              <w:rPr>
                <w:lang w:val="en-US"/>
              </w:rPr>
              <w:t>-</w:t>
            </w:r>
          </w:p>
        </w:tc>
        <w:tc>
          <w:tcPr>
            <w:tcW w:w="1914" w:type="dxa"/>
            <w:vAlign w:val="center"/>
          </w:tcPr>
          <w:p w:rsidR="005A1829" w:rsidRPr="00A51255" w:rsidRDefault="005A1829" w:rsidP="00DC38C7">
            <w:pPr>
              <w:jc w:val="center"/>
              <w:rPr>
                <w:lang w:val="en-US"/>
              </w:rPr>
            </w:pPr>
            <w:r>
              <w:rPr>
                <w:rFonts w:ascii="Arial" w:hAnsi="Arial" w:cs="Arial"/>
                <w:sz w:val="20"/>
                <w:szCs w:val="20"/>
                <w:lang w:val="de-DE"/>
              </w:rPr>
              <w:t>-</w:t>
            </w:r>
          </w:p>
        </w:tc>
      </w:tr>
      <w:tr w:rsidR="005A1829" w:rsidRPr="00A51255" w:rsidTr="00DC38C7">
        <w:trPr>
          <w:jc w:val="center"/>
        </w:trPr>
        <w:tc>
          <w:tcPr>
            <w:tcW w:w="379" w:type="dxa"/>
            <w:vAlign w:val="center"/>
          </w:tcPr>
          <w:p w:rsidR="005A1829" w:rsidRPr="00A51255" w:rsidRDefault="005A1829" w:rsidP="00DC38C7">
            <w:pPr>
              <w:spacing w:line="360" w:lineRule="auto"/>
              <w:jc w:val="center"/>
              <w:rPr>
                <w:rFonts w:ascii="Arial" w:hAnsi="Arial" w:cs="Arial"/>
                <w:lang w:val="en-US"/>
              </w:rPr>
            </w:pPr>
            <w:r>
              <w:rPr>
                <w:rFonts w:ascii="Arial" w:hAnsi="Arial" w:cs="Arial"/>
                <w:sz w:val="16"/>
                <w:szCs w:val="16"/>
                <w:lang w:val="de-DE"/>
              </w:rPr>
              <w:t>(2)</w:t>
            </w:r>
          </w:p>
        </w:tc>
        <w:tc>
          <w:tcPr>
            <w:tcW w:w="1557" w:type="dxa"/>
            <w:vAlign w:val="center"/>
          </w:tcPr>
          <w:p w:rsidR="005A1829" w:rsidRPr="004F48F0" w:rsidRDefault="005A1829" w:rsidP="00DC38C7">
            <w:pPr>
              <w:jc w:val="center"/>
              <w:rPr>
                <w:rFonts w:ascii="Arial" w:hAnsi="Arial" w:cs="Arial"/>
                <w:b/>
                <w:sz w:val="18"/>
                <w:szCs w:val="18"/>
                <w:lang w:val="de-DE"/>
              </w:rPr>
            </w:pPr>
            <w:r w:rsidRPr="002C5A6B">
              <w:rPr>
                <w:rFonts w:ascii="Garamond" w:hAnsi="Garamond"/>
                <w:i/>
                <w:position w:val="-12"/>
                <w:lang w:val="de-DE"/>
              </w:rPr>
              <w:object w:dxaOrig="300" w:dyaOrig="400">
                <v:shape id="_x0000_i1183" type="#_x0000_t75" style="width:12.85pt;height:18pt" o:ole="">
                  <v:imagedata r:id="rId116" o:title=""/>
                </v:shape>
                <o:OLEObject Type="Embed" ProgID="Equation.3" ShapeID="_x0000_i1183" DrawAspect="Content" ObjectID="_1507543530" r:id="rId230"/>
              </w:object>
            </w:r>
          </w:p>
        </w:tc>
        <w:tc>
          <w:tcPr>
            <w:tcW w:w="1946" w:type="dxa"/>
            <w:vAlign w:val="center"/>
          </w:tcPr>
          <w:p w:rsidR="005A1829" w:rsidRPr="00A51255" w:rsidRDefault="005A1829" w:rsidP="00DC38C7">
            <w:pPr>
              <w:jc w:val="center"/>
              <w:rPr>
                <w:rFonts w:ascii="Arial" w:hAnsi="Arial" w:cs="Arial"/>
                <w:sz w:val="20"/>
                <w:szCs w:val="20"/>
                <w:lang w:val="de-DE"/>
              </w:rPr>
            </w:pPr>
            <w:r w:rsidRPr="00DC340E">
              <w:rPr>
                <w:rFonts w:ascii="Arial" w:hAnsi="Arial" w:cs="Arial"/>
                <w:sz w:val="20"/>
                <w:szCs w:val="20"/>
                <w:lang w:val="de-DE"/>
              </w:rPr>
              <w:t>466.2667</w:t>
            </w:r>
            <w:r>
              <w:rPr>
                <w:rFonts w:ascii="Arial" w:hAnsi="Arial" w:cs="Arial"/>
                <w:sz w:val="20"/>
                <w:szCs w:val="20"/>
                <w:lang w:val="de-DE"/>
              </w:rPr>
              <w:t xml:space="preserve"> **</w:t>
            </w:r>
          </w:p>
          <w:p w:rsidR="005A1829" w:rsidRPr="00A51255" w:rsidRDefault="005A1829" w:rsidP="00DC38C7">
            <w:pPr>
              <w:jc w:val="center"/>
              <w:rPr>
                <w:lang w:val="en-US"/>
              </w:rPr>
            </w:pPr>
            <w:r>
              <w:rPr>
                <w:rFonts w:ascii="Arial" w:hAnsi="Arial" w:cs="Arial"/>
                <w:sz w:val="16"/>
                <w:szCs w:val="16"/>
                <w:lang w:val="de-DE"/>
              </w:rPr>
              <w:t>(</w:t>
            </w:r>
            <w:r w:rsidRPr="00DC340E">
              <w:rPr>
                <w:rFonts w:ascii="Arial" w:hAnsi="Arial" w:cs="Arial"/>
                <w:sz w:val="16"/>
                <w:szCs w:val="16"/>
                <w:lang w:val="de-DE"/>
              </w:rPr>
              <w:t>209.0081</w:t>
            </w:r>
            <w:r w:rsidRPr="00A51255">
              <w:rPr>
                <w:rFonts w:ascii="Arial" w:hAnsi="Arial" w:cs="Arial"/>
                <w:sz w:val="16"/>
                <w:szCs w:val="16"/>
                <w:lang w:val="de-DE"/>
              </w:rPr>
              <w:t>)</w:t>
            </w:r>
          </w:p>
        </w:tc>
        <w:tc>
          <w:tcPr>
            <w:tcW w:w="1947" w:type="dxa"/>
            <w:vAlign w:val="center"/>
          </w:tcPr>
          <w:p w:rsidR="005A1829" w:rsidRPr="00A51255" w:rsidRDefault="005A1829" w:rsidP="00DC38C7">
            <w:pPr>
              <w:jc w:val="center"/>
              <w:rPr>
                <w:rFonts w:ascii="Arial" w:hAnsi="Arial" w:cs="Arial"/>
                <w:sz w:val="20"/>
                <w:szCs w:val="20"/>
                <w:lang w:val="de-DE"/>
              </w:rPr>
            </w:pPr>
            <w:r w:rsidRPr="002F4563">
              <w:rPr>
                <w:rFonts w:ascii="Arial" w:hAnsi="Arial" w:cs="Arial"/>
                <w:sz w:val="20"/>
                <w:szCs w:val="20"/>
                <w:lang w:val="de-DE"/>
              </w:rPr>
              <w:t>337.9121</w:t>
            </w:r>
          </w:p>
          <w:p w:rsidR="005A1829" w:rsidRPr="00A51255" w:rsidRDefault="005A1829" w:rsidP="00DC38C7">
            <w:pPr>
              <w:jc w:val="center"/>
              <w:rPr>
                <w:lang w:val="en-US"/>
              </w:rPr>
            </w:pPr>
            <w:r>
              <w:rPr>
                <w:rFonts w:ascii="Arial" w:hAnsi="Arial" w:cs="Arial"/>
                <w:sz w:val="16"/>
                <w:szCs w:val="16"/>
                <w:lang w:val="de-DE"/>
              </w:rPr>
              <w:t>(</w:t>
            </w:r>
            <w:r w:rsidRPr="002F4563">
              <w:rPr>
                <w:rFonts w:ascii="Arial" w:hAnsi="Arial" w:cs="Arial"/>
                <w:sz w:val="16"/>
                <w:szCs w:val="16"/>
                <w:lang w:val="de-DE"/>
              </w:rPr>
              <w:t>221.2204</w:t>
            </w:r>
            <w:r w:rsidRPr="00A51255">
              <w:rPr>
                <w:rFonts w:ascii="Arial" w:hAnsi="Arial" w:cs="Arial"/>
                <w:sz w:val="16"/>
                <w:szCs w:val="16"/>
                <w:lang w:val="de-DE"/>
              </w:rPr>
              <w:t>)</w:t>
            </w:r>
          </w:p>
        </w:tc>
        <w:tc>
          <w:tcPr>
            <w:tcW w:w="1947" w:type="dxa"/>
            <w:vAlign w:val="center"/>
          </w:tcPr>
          <w:p w:rsidR="005A1829" w:rsidRPr="00A51255" w:rsidRDefault="005A1829" w:rsidP="00DC38C7">
            <w:pPr>
              <w:jc w:val="center"/>
              <w:rPr>
                <w:rFonts w:ascii="Arial" w:hAnsi="Arial" w:cs="Arial"/>
                <w:sz w:val="20"/>
                <w:szCs w:val="20"/>
                <w:lang w:val="de-DE"/>
              </w:rPr>
            </w:pPr>
            <w:r w:rsidRPr="00604CC6">
              <w:rPr>
                <w:rFonts w:ascii="Arial" w:hAnsi="Arial" w:cs="Arial"/>
                <w:sz w:val="20"/>
                <w:szCs w:val="20"/>
                <w:lang w:val="de-DE"/>
              </w:rPr>
              <w:t>294.6604</w:t>
            </w:r>
          </w:p>
          <w:p w:rsidR="005A1829" w:rsidRPr="00A51255" w:rsidRDefault="005A1829" w:rsidP="00DC38C7">
            <w:pPr>
              <w:jc w:val="center"/>
              <w:rPr>
                <w:lang w:val="en-US"/>
              </w:rPr>
            </w:pPr>
            <w:r>
              <w:rPr>
                <w:rFonts w:ascii="Arial" w:hAnsi="Arial" w:cs="Arial"/>
                <w:sz w:val="16"/>
                <w:szCs w:val="16"/>
                <w:lang w:val="de-DE"/>
              </w:rPr>
              <w:t>(</w:t>
            </w:r>
            <w:r w:rsidRPr="00604CC6">
              <w:rPr>
                <w:rFonts w:ascii="Arial" w:hAnsi="Arial" w:cs="Arial"/>
                <w:sz w:val="16"/>
                <w:szCs w:val="16"/>
                <w:lang w:val="de-DE"/>
              </w:rPr>
              <w:t>224.0570</w:t>
            </w:r>
            <w:r w:rsidRPr="00A51255">
              <w:rPr>
                <w:rFonts w:ascii="Arial" w:hAnsi="Arial" w:cs="Arial"/>
                <w:sz w:val="16"/>
                <w:szCs w:val="16"/>
                <w:lang w:val="de-DE"/>
              </w:rPr>
              <w:t>)</w:t>
            </w:r>
          </w:p>
        </w:tc>
        <w:tc>
          <w:tcPr>
            <w:tcW w:w="1914" w:type="dxa"/>
            <w:vAlign w:val="center"/>
          </w:tcPr>
          <w:p w:rsidR="005A1829" w:rsidRPr="00A51255" w:rsidRDefault="005A1829" w:rsidP="00DC38C7">
            <w:pPr>
              <w:jc w:val="center"/>
              <w:rPr>
                <w:rFonts w:ascii="Arial" w:hAnsi="Arial" w:cs="Arial"/>
                <w:sz w:val="20"/>
                <w:szCs w:val="20"/>
                <w:lang w:val="de-DE"/>
              </w:rPr>
            </w:pPr>
            <w:r w:rsidRPr="00776F47">
              <w:rPr>
                <w:rFonts w:ascii="Arial" w:hAnsi="Arial" w:cs="Arial"/>
                <w:sz w:val="20"/>
                <w:szCs w:val="20"/>
                <w:lang w:val="de-DE"/>
              </w:rPr>
              <w:t>182.7685</w:t>
            </w:r>
          </w:p>
          <w:p w:rsidR="005A1829" w:rsidRPr="00A51255" w:rsidRDefault="005A1829" w:rsidP="00DC38C7">
            <w:pPr>
              <w:jc w:val="center"/>
              <w:rPr>
                <w:lang w:val="en-US"/>
              </w:rPr>
            </w:pPr>
            <w:r>
              <w:rPr>
                <w:rFonts w:ascii="Arial" w:hAnsi="Arial" w:cs="Arial"/>
                <w:sz w:val="16"/>
                <w:szCs w:val="16"/>
                <w:lang w:val="de-DE"/>
              </w:rPr>
              <w:t>(</w:t>
            </w:r>
            <w:r w:rsidRPr="00776F47">
              <w:rPr>
                <w:rFonts w:ascii="Arial" w:hAnsi="Arial" w:cs="Arial"/>
                <w:sz w:val="16"/>
                <w:szCs w:val="16"/>
                <w:lang w:val="de-DE"/>
              </w:rPr>
              <w:t>229.7529</w:t>
            </w:r>
            <w:r w:rsidRPr="00A51255">
              <w:rPr>
                <w:rFonts w:ascii="Arial" w:hAnsi="Arial" w:cs="Arial"/>
                <w:sz w:val="16"/>
                <w:szCs w:val="16"/>
                <w:lang w:val="de-DE"/>
              </w:rPr>
              <w:t>)</w:t>
            </w:r>
          </w:p>
        </w:tc>
      </w:tr>
      <w:tr w:rsidR="005A1829" w:rsidRPr="00647145" w:rsidTr="00DC38C7">
        <w:trPr>
          <w:jc w:val="center"/>
        </w:trPr>
        <w:tc>
          <w:tcPr>
            <w:tcW w:w="379" w:type="dxa"/>
            <w:vAlign w:val="center"/>
          </w:tcPr>
          <w:p w:rsidR="005A1829" w:rsidRPr="00A51255" w:rsidRDefault="005A1829" w:rsidP="00DC38C7">
            <w:pPr>
              <w:spacing w:line="360" w:lineRule="auto"/>
              <w:jc w:val="center"/>
              <w:rPr>
                <w:rFonts w:ascii="Arial" w:hAnsi="Arial" w:cs="Arial"/>
                <w:sz w:val="16"/>
                <w:szCs w:val="16"/>
                <w:lang w:val="de-DE"/>
              </w:rPr>
            </w:pPr>
          </w:p>
        </w:tc>
        <w:tc>
          <w:tcPr>
            <w:tcW w:w="1557" w:type="dxa"/>
            <w:vAlign w:val="center"/>
          </w:tcPr>
          <w:p w:rsidR="005A1829" w:rsidRPr="004F48F0" w:rsidRDefault="005A1829" w:rsidP="00DC38C7">
            <w:pPr>
              <w:jc w:val="center"/>
              <w:rPr>
                <w:rFonts w:ascii="Arial" w:hAnsi="Arial" w:cs="Arial"/>
                <w:b/>
                <w:sz w:val="18"/>
                <w:szCs w:val="18"/>
                <w:lang w:val="de-DE"/>
              </w:rPr>
            </w:pPr>
            <w:r w:rsidRPr="004F48F0">
              <w:rPr>
                <w:rFonts w:ascii="Arial" w:hAnsi="Arial" w:cs="Arial"/>
                <w:b/>
                <w:sz w:val="18"/>
                <w:szCs w:val="18"/>
                <w:lang w:val="de-DE"/>
              </w:rPr>
              <w:t xml:space="preserve">Unexpected </w:t>
            </w:r>
            <w:r>
              <w:rPr>
                <w:rFonts w:ascii="Arial" w:hAnsi="Arial" w:cs="Arial"/>
                <w:b/>
                <w:sz w:val="18"/>
                <w:szCs w:val="18"/>
                <w:lang w:val="de-DE"/>
              </w:rPr>
              <w:t xml:space="preserve">neutral </w:t>
            </w:r>
            <w:r w:rsidRPr="004F48F0">
              <w:rPr>
                <w:rFonts w:ascii="Arial" w:hAnsi="Arial" w:cs="Arial"/>
                <w:b/>
                <w:sz w:val="18"/>
                <w:szCs w:val="18"/>
                <w:lang w:val="de-DE"/>
              </w:rPr>
              <w:t>announcement:</w:t>
            </w:r>
          </w:p>
        </w:tc>
        <w:tc>
          <w:tcPr>
            <w:tcW w:w="1946" w:type="dxa"/>
            <w:vAlign w:val="center"/>
          </w:tcPr>
          <w:p w:rsidR="005A1829" w:rsidRPr="004F48F0" w:rsidRDefault="005A1829" w:rsidP="00DC38C7">
            <w:pPr>
              <w:jc w:val="center"/>
              <w:rPr>
                <w:rFonts w:ascii="Arial" w:hAnsi="Arial" w:cs="Arial"/>
                <w:b/>
                <w:sz w:val="18"/>
                <w:szCs w:val="18"/>
                <w:lang w:val="de-DE"/>
              </w:rPr>
            </w:pPr>
            <w:r w:rsidRPr="004F48F0">
              <w:rPr>
                <w:rFonts w:ascii="Arial" w:hAnsi="Arial" w:cs="Arial"/>
                <w:b/>
                <w:sz w:val="18"/>
                <w:szCs w:val="18"/>
                <w:lang w:val="de-DE"/>
              </w:rPr>
              <w:t>Money Supply</w:t>
            </w:r>
          </w:p>
          <w:p w:rsidR="005A1829" w:rsidRPr="00CA2C53" w:rsidRDefault="005A1829" w:rsidP="00DC38C7">
            <w:pPr>
              <w:jc w:val="center"/>
              <w:rPr>
                <w:rFonts w:ascii="Arial" w:hAnsi="Arial" w:cs="Arial"/>
                <w:b/>
                <w:sz w:val="2"/>
                <w:szCs w:val="2"/>
                <w:lang w:val="de-DE"/>
              </w:rPr>
            </w:pPr>
          </w:p>
          <w:p w:rsidR="005A1829" w:rsidRPr="004F48F0" w:rsidRDefault="005A1829" w:rsidP="00DC38C7">
            <w:pPr>
              <w:jc w:val="center"/>
              <w:rPr>
                <w:rFonts w:ascii="Arial" w:hAnsi="Arial" w:cs="Arial"/>
                <w:b/>
                <w:sz w:val="20"/>
                <w:szCs w:val="20"/>
                <w:lang w:val="de-DE"/>
              </w:rPr>
            </w:pPr>
            <w:r w:rsidRPr="009F1BCD">
              <w:rPr>
                <w:b/>
                <w:sz w:val="20"/>
                <w:szCs w:val="20"/>
                <w:lang w:val="de-DE"/>
              </w:rPr>
              <w:t>(</w:t>
            </w:r>
            <w:r w:rsidRPr="004F48F0">
              <w:rPr>
                <w:b/>
                <w:i/>
                <w:sz w:val="20"/>
                <w:szCs w:val="20"/>
                <w:lang w:val="de-DE"/>
              </w:rPr>
              <w:t>MS</w:t>
            </w:r>
            <w:r w:rsidRPr="009F1BCD">
              <w:rPr>
                <w:b/>
                <w:sz w:val="20"/>
                <w:szCs w:val="20"/>
                <w:lang w:val="de-DE"/>
              </w:rPr>
              <w:t>)</w:t>
            </w:r>
          </w:p>
        </w:tc>
        <w:tc>
          <w:tcPr>
            <w:tcW w:w="1947" w:type="dxa"/>
            <w:vAlign w:val="center"/>
          </w:tcPr>
          <w:p w:rsidR="005A1829" w:rsidRDefault="005A1829" w:rsidP="00DC38C7">
            <w:pPr>
              <w:jc w:val="center"/>
              <w:rPr>
                <w:rFonts w:ascii="Arial" w:hAnsi="Arial" w:cs="Arial"/>
                <w:b/>
                <w:sz w:val="18"/>
                <w:szCs w:val="18"/>
                <w:lang w:val="de-DE"/>
              </w:rPr>
            </w:pPr>
            <w:r w:rsidRPr="004F48F0">
              <w:rPr>
                <w:rFonts w:ascii="Arial" w:hAnsi="Arial" w:cs="Arial"/>
                <w:b/>
                <w:sz w:val="18"/>
                <w:szCs w:val="18"/>
                <w:lang w:val="de-DE"/>
              </w:rPr>
              <w:t>Reserve Money</w:t>
            </w:r>
          </w:p>
          <w:p w:rsidR="005A1829" w:rsidRPr="00CA2C53" w:rsidRDefault="005A1829" w:rsidP="00DC38C7">
            <w:pPr>
              <w:jc w:val="center"/>
              <w:rPr>
                <w:rFonts w:ascii="Arial" w:hAnsi="Arial" w:cs="Arial"/>
                <w:b/>
                <w:sz w:val="2"/>
                <w:szCs w:val="2"/>
                <w:lang w:val="de-DE"/>
              </w:rPr>
            </w:pPr>
          </w:p>
          <w:p w:rsidR="005A1829" w:rsidRPr="004F48F0" w:rsidRDefault="005A1829" w:rsidP="00DC38C7">
            <w:pPr>
              <w:jc w:val="center"/>
              <w:rPr>
                <w:b/>
                <w:i/>
                <w:sz w:val="20"/>
                <w:szCs w:val="20"/>
                <w:lang w:val="en-US"/>
              </w:rPr>
            </w:pPr>
            <w:r w:rsidRPr="009F1BCD">
              <w:rPr>
                <w:b/>
                <w:sz w:val="20"/>
                <w:szCs w:val="20"/>
                <w:lang w:val="en-US"/>
              </w:rPr>
              <w:t>(</w:t>
            </w:r>
            <w:r w:rsidRPr="004F48F0">
              <w:rPr>
                <w:b/>
                <w:i/>
                <w:sz w:val="20"/>
                <w:szCs w:val="20"/>
                <w:lang w:val="en-US"/>
              </w:rPr>
              <w:t>RM</w:t>
            </w:r>
            <w:r w:rsidRPr="009F1BCD">
              <w:rPr>
                <w:b/>
                <w:sz w:val="20"/>
                <w:szCs w:val="20"/>
                <w:lang w:val="en-US"/>
              </w:rPr>
              <w:t>)</w:t>
            </w:r>
          </w:p>
        </w:tc>
        <w:tc>
          <w:tcPr>
            <w:tcW w:w="1947" w:type="dxa"/>
            <w:vAlign w:val="center"/>
          </w:tcPr>
          <w:p w:rsidR="005A1829" w:rsidRDefault="005A1829" w:rsidP="00DC38C7">
            <w:pPr>
              <w:jc w:val="center"/>
              <w:rPr>
                <w:rFonts w:ascii="Arial" w:hAnsi="Arial" w:cs="Arial"/>
                <w:b/>
                <w:sz w:val="18"/>
                <w:szCs w:val="18"/>
                <w:lang w:val="de-DE"/>
              </w:rPr>
            </w:pPr>
            <w:r>
              <w:rPr>
                <w:rFonts w:ascii="Arial" w:hAnsi="Arial" w:cs="Arial"/>
                <w:b/>
                <w:sz w:val="18"/>
                <w:szCs w:val="18"/>
                <w:lang w:val="de-DE"/>
              </w:rPr>
              <w:t>Balance of Payments</w:t>
            </w:r>
          </w:p>
          <w:p w:rsidR="005A1829" w:rsidRPr="00CA2C53" w:rsidRDefault="005A1829" w:rsidP="00DC38C7">
            <w:pPr>
              <w:jc w:val="center"/>
              <w:rPr>
                <w:b/>
                <w:i/>
                <w:sz w:val="2"/>
                <w:szCs w:val="2"/>
                <w:lang w:val="en-US"/>
              </w:rPr>
            </w:pPr>
          </w:p>
          <w:p w:rsidR="005A1829" w:rsidRPr="004F48F0" w:rsidRDefault="005A1829" w:rsidP="00DC38C7">
            <w:pPr>
              <w:jc w:val="center"/>
              <w:rPr>
                <w:b/>
                <w:i/>
                <w:sz w:val="20"/>
                <w:szCs w:val="20"/>
                <w:lang w:val="en-US"/>
              </w:rPr>
            </w:pPr>
            <w:r w:rsidRPr="009F1BCD">
              <w:rPr>
                <w:b/>
                <w:sz w:val="20"/>
                <w:szCs w:val="20"/>
                <w:lang w:val="en-US"/>
              </w:rPr>
              <w:t>(</w:t>
            </w:r>
            <w:r w:rsidRPr="004F48F0">
              <w:rPr>
                <w:b/>
                <w:i/>
                <w:sz w:val="20"/>
                <w:szCs w:val="20"/>
                <w:lang w:val="en-US"/>
              </w:rPr>
              <w:t>BOP</w:t>
            </w:r>
            <w:r w:rsidRPr="009F1BCD">
              <w:rPr>
                <w:b/>
                <w:sz w:val="20"/>
                <w:szCs w:val="20"/>
                <w:lang w:val="en-US"/>
              </w:rPr>
              <w:t>)</w:t>
            </w:r>
          </w:p>
        </w:tc>
        <w:tc>
          <w:tcPr>
            <w:tcW w:w="1914" w:type="dxa"/>
            <w:vAlign w:val="center"/>
          </w:tcPr>
          <w:p w:rsidR="005A1829" w:rsidRPr="000E3558" w:rsidRDefault="005A1829" w:rsidP="00DC38C7">
            <w:pPr>
              <w:jc w:val="center"/>
              <w:rPr>
                <w:rFonts w:ascii="Arial" w:hAnsi="Arial" w:cs="Arial"/>
                <w:b/>
                <w:sz w:val="18"/>
                <w:szCs w:val="18"/>
                <w:lang w:val="en-US"/>
              </w:rPr>
            </w:pPr>
            <w:r w:rsidRPr="000E3558">
              <w:rPr>
                <w:rFonts w:ascii="Arial" w:hAnsi="Arial" w:cs="Arial"/>
                <w:b/>
                <w:sz w:val="18"/>
                <w:szCs w:val="18"/>
                <w:lang w:val="en-US"/>
              </w:rPr>
              <w:t xml:space="preserve">Liquid Assets </w:t>
            </w:r>
          </w:p>
          <w:p w:rsidR="005A1829" w:rsidRPr="000E3558" w:rsidRDefault="005A1829" w:rsidP="00DC38C7">
            <w:pPr>
              <w:jc w:val="center"/>
              <w:rPr>
                <w:rFonts w:ascii="Arial" w:hAnsi="Arial" w:cs="Arial"/>
                <w:b/>
                <w:sz w:val="18"/>
                <w:szCs w:val="18"/>
                <w:lang w:val="en-US"/>
              </w:rPr>
            </w:pPr>
            <w:r w:rsidRPr="000E3558">
              <w:rPr>
                <w:rFonts w:ascii="Arial" w:hAnsi="Arial" w:cs="Arial"/>
                <w:b/>
                <w:sz w:val="18"/>
                <w:szCs w:val="18"/>
                <w:lang w:val="en-US"/>
              </w:rPr>
              <w:t xml:space="preserve">and Liabilities </w:t>
            </w:r>
          </w:p>
          <w:p w:rsidR="005A1829" w:rsidRPr="009F1BCD" w:rsidRDefault="005A1829" w:rsidP="00DC38C7">
            <w:pPr>
              <w:jc w:val="center"/>
              <w:rPr>
                <w:b/>
                <w:i/>
                <w:sz w:val="20"/>
                <w:szCs w:val="20"/>
                <w:lang w:val="en-US"/>
              </w:rPr>
            </w:pPr>
            <w:r w:rsidRPr="000E3558">
              <w:rPr>
                <w:rFonts w:ascii="Arial" w:hAnsi="Arial" w:cs="Arial"/>
                <w:b/>
                <w:sz w:val="18"/>
                <w:szCs w:val="18"/>
                <w:lang w:val="en-US"/>
              </w:rPr>
              <w:t>(</w:t>
            </w:r>
            <w:r w:rsidRPr="009F1BCD">
              <w:rPr>
                <w:b/>
                <w:i/>
                <w:sz w:val="20"/>
                <w:szCs w:val="20"/>
                <w:lang w:val="en-US"/>
              </w:rPr>
              <w:t>AL</w:t>
            </w:r>
            <w:r w:rsidRPr="009F1BCD">
              <w:rPr>
                <w:b/>
                <w:sz w:val="20"/>
                <w:szCs w:val="20"/>
                <w:lang w:val="en-US"/>
              </w:rPr>
              <w:t>)</w:t>
            </w:r>
          </w:p>
        </w:tc>
      </w:tr>
      <w:tr w:rsidR="005A1829" w:rsidRPr="00A51255" w:rsidTr="00DC38C7">
        <w:trPr>
          <w:jc w:val="center"/>
        </w:trPr>
        <w:tc>
          <w:tcPr>
            <w:tcW w:w="379" w:type="dxa"/>
            <w:vAlign w:val="center"/>
          </w:tcPr>
          <w:p w:rsidR="005A1829" w:rsidRPr="00A51255" w:rsidRDefault="005A1829" w:rsidP="00DC38C7">
            <w:pPr>
              <w:spacing w:line="360" w:lineRule="auto"/>
              <w:jc w:val="center"/>
              <w:rPr>
                <w:rFonts w:ascii="Arial" w:hAnsi="Arial" w:cs="Arial"/>
                <w:sz w:val="16"/>
                <w:szCs w:val="16"/>
                <w:lang w:val="de-DE"/>
              </w:rPr>
            </w:pPr>
            <w:r>
              <w:rPr>
                <w:rFonts w:ascii="Arial" w:hAnsi="Arial" w:cs="Arial"/>
                <w:sz w:val="16"/>
                <w:szCs w:val="16"/>
                <w:lang w:val="de-DE"/>
              </w:rPr>
              <w:t>(2)</w:t>
            </w:r>
          </w:p>
        </w:tc>
        <w:tc>
          <w:tcPr>
            <w:tcW w:w="1557" w:type="dxa"/>
            <w:vAlign w:val="center"/>
          </w:tcPr>
          <w:p w:rsidR="005A1829" w:rsidRDefault="005A1829" w:rsidP="00DC38C7">
            <w:pPr>
              <w:ind w:left="123"/>
              <w:jc w:val="center"/>
              <w:rPr>
                <w:rFonts w:ascii="Garamond" w:hAnsi="Garamond"/>
                <w:lang w:val="de-DE"/>
              </w:rPr>
            </w:pPr>
            <w:r w:rsidRPr="002C5A6B">
              <w:rPr>
                <w:rFonts w:ascii="Garamond" w:hAnsi="Garamond"/>
                <w:i/>
                <w:position w:val="-10"/>
                <w:lang w:val="de-DE"/>
              </w:rPr>
              <w:object w:dxaOrig="300" w:dyaOrig="380">
                <v:shape id="_x0000_i1184" type="#_x0000_t75" style="width:12.85pt;height:16.7pt" o:ole="">
                  <v:imagedata r:id="rId118" o:title=""/>
                </v:shape>
                <o:OLEObject Type="Embed" ProgID="Equation.3" ShapeID="_x0000_i1184" DrawAspect="Content" ObjectID="_1507543531" r:id="rId231"/>
              </w:object>
            </w:r>
          </w:p>
          <w:p w:rsidR="005A1829" w:rsidRPr="0007792B" w:rsidRDefault="005A1829" w:rsidP="00DC38C7">
            <w:pPr>
              <w:ind w:left="123"/>
              <w:jc w:val="center"/>
              <w:rPr>
                <w:b/>
                <w:sz w:val="18"/>
                <w:szCs w:val="18"/>
                <w:lang w:val="de-DE"/>
              </w:rPr>
            </w:pPr>
            <w:r>
              <w:rPr>
                <w:rFonts w:ascii="Arial" w:hAnsi="Arial" w:cs="Arial"/>
                <w:b/>
                <w:sz w:val="18"/>
                <w:szCs w:val="18"/>
                <w:lang w:val="de-DE"/>
              </w:rPr>
              <w:t>neutral</w:t>
            </w:r>
          </w:p>
        </w:tc>
        <w:tc>
          <w:tcPr>
            <w:tcW w:w="1946" w:type="dxa"/>
            <w:vAlign w:val="center"/>
          </w:tcPr>
          <w:p w:rsidR="005A1829" w:rsidRDefault="005A1829" w:rsidP="00DC38C7">
            <w:pPr>
              <w:jc w:val="center"/>
              <w:rPr>
                <w:rFonts w:ascii="Arial" w:hAnsi="Arial" w:cs="Arial"/>
                <w:sz w:val="20"/>
                <w:szCs w:val="20"/>
                <w:lang w:val="de-DE"/>
              </w:rPr>
            </w:pPr>
            <w:r w:rsidRPr="0093038E">
              <w:rPr>
                <w:rFonts w:ascii="Arial" w:hAnsi="Arial" w:cs="Arial"/>
                <w:sz w:val="20"/>
                <w:szCs w:val="20"/>
                <w:lang w:val="de-DE"/>
              </w:rPr>
              <w:t xml:space="preserve">-573.4625 </w:t>
            </w:r>
          </w:p>
          <w:p w:rsidR="005A1829" w:rsidRPr="00A51255" w:rsidRDefault="005A1829" w:rsidP="00DC38C7">
            <w:pPr>
              <w:jc w:val="center"/>
              <w:rPr>
                <w:lang w:val="en-US"/>
              </w:rPr>
            </w:pPr>
            <w:r>
              <w:rPr>
                <w:rFonts w:ascii="Arial" w:hAnsi="Arial" w:cs="Arial"/>
                <w:sz w:val="16"/>
                <w:szCs w:val="16"/>
                <w:lang w:val="de-DE"/>
              </w:rPr>
              <w:t>(</w:t>
            </w:r>
            <w:r w:rsidRPr="0093038E">
              <w:rPr>
                <w:rFonts w:ascii="Arial" w:hAnsi="Arial" w:cs="Arial"/>
                <w:sz w:val="16"/>
                <w:szCs w:val="16"/>
                <w:lang w:val="de-DE"/>
              </w:rPr>
              <w:t>394.5352</w:t>
            </w:r>
            <w:r w:rsidRPr="00A51255">
              <w:rPr>
                <w:rFonts w:ascii="Arial" w:hAnsi="Arial" w:cs="Arial"/>
                <w:sz w:val="16"/>
                <w:szCs w:val="16"/>
                <w:lang w:val="de-DE"/>
              </w:rPr>
              <w:t>)</w:t>
            </w:r>
          </w:p>
        </w:tc>
        <w:tc>
          <w:tcPr>
            <w:tcW w:w="1947" w:type="dxa"/>
            <w:vAlign w:val="center"/>
          </w:tcPr>
          <w:p w:rsidR="005A1829" w:rsidRPr="00A51255" w:rsidRDefault="005A1829" w:rsidP="00DC38C7">
            <w:pPr>
              <w:jc w:val="center"/>
              <w:rPr>
                <w:rFonts w:ascii="Arial" w:hAnsi="Arial" w:cs="Arial"/>
                <w:sz w:val="20"/>
                <w:szCs w:val="20"/>
                <w:lang w:val="de-DE"/>
              </w:rPr>
            </w:pPr>
            <w:r w:rsidRPr="000E1F42">
              <w:rPr>
                <w:rFonts w:ascii="Arial" w:hAnsi="Arial" w:cs="Arial"/>
                <w:sz w:val="20"/>
                <w:szCs w:val="20"/>
                <w:lang w:val="de-DE"/>
              </w:rPr>
              <w:t>261.4724</w:t>
            </w:r>
          </w:p>
          <w:p w:rsidR="005A1829" w:rsidRPr="00A51255" w:rsidRDefault="005A1829" w:rsidP="00DC38C7">
            <w:pPr>
              <w:jc w:val="center"/>
              <w:rPr>
                <w:lang w:val="en-US"/>
              </w:rPr>
            </w:pPr>
            <w:r>
              <w:rPr>
                <w:rFonts w:ascii="Arial" w:hAnsi="Arial" w:cs="Arial"/>
                <w:sz w:val="16"/>
                <w:szCs w:val="16"/>
                <w:lang w:val="de-DE"/>
              </w:rPr>
              <w:t>(</w:t>
            </w:r>
            <w:r w:rsidRPr="000E1F42">
              <w:rPr>
                <w:rFonts w:ascii="Arial" w:hAnsi="Arial" w:cs="Arial"/>
                <w:sz w:val="16"/>
                <w:szCs w:val="16"/>
                <w:lang w:val="de-DE"/>
              </w:rPr>
              <w:t>894.1275</w:t>
            </w:r>
            <w:r w:rsidRPr="00A51255">
              <w:rPr>
                <w:rFonts w:ascii="Arial" w:hAnsi="Arial" w:cs="Arial"/>
                <w:sz w:val="16"/>
                <w:szCs w:val="16"/>
                <w:lang w:val="de-DE"/>
              </w:rPr>
              <w:t>)</w:t>
            </w:r>
          </w:p>
        </w:tc>
        <w:tc>
          <w:tcPr>
            <w:tcW w:w="1947" w:type="dxa"/>
            <w:vAlign w:val="center"/>
          </w:tcPr>
          <w:p w:rsidR="005A1829" w:rsidRPr="00A51255" w:rsidRDefault="005A1829" w:rsidP="00DC38C7">
            <w:pPr>
              <w:jc w:val="center"/>
              <w:rPr>
                <w:rFonts w:ascii="Arial" w:hAnsi="Arial" w:cs="Arial"/>
                <w:sz w:val="20"/>
                <w:szCs w:val="20"/>
                <w:lang w:val="de-DE"/>
              </w:rPr>
            </w:pPr>
            <w:r w:rsidRPr="00604CC6">
              <w:rPr>
                <w:rFonts w:ascii="Arial" w:hAnsi="Arial" w:cs="Arial"/>
                <w:sz w:val="20"/>
                <w:szCs w:val="20"/>
                <w:lang w:val="de-DE"/>
              </w:rPr>
              <w:t>-690.1705</w:t>
            </w:r>
          </w:p>
          <w:p w:rsidR="005A1829" w:rsidRPr="00A51255" w:rsidRDefault="005A1829" w:rsidP="00DC38C7">
            <w:pPr>
              <w:jc w:val="center"/>
              <w:rPr>
                <w:lang w:val="en-US"/>
              </w:rPr>
            </w:pPr>
            <w:r>
              <w:rPr>
                <w:rFonts w:ascii="Arial" w:hAnsi="Arial" w:cs="Arial"/>
                <w:sz w:val="16"/>
                <w:szCs w:val="16"/>
                <w:lang w:val="de-DE"/>
              </w:rPr>
              <w:t>(</w:t>
            </w:r>
            <w:r w:rsidRPr="00604CC6">
              <w:rPr>
                <w:rFonts w:ascii="Arial" w:hAnsi="Arial" w:cs="Arial"/>
                <w:sz w:val="16"/>
                <w:szCs w:val="16"/>
                <w:lang w:val="de-DE"/>
              </w:rPr>
              <w:t>446.1722</w:t>
            </w:r>
            <w:r w:rsidRPr="00A51255">
              <w:rPr>
                <w:rFonts w:ascii="Arial" w:hAnsi="Arial" w:cs="Arial"/>
                <w:sz w:val="16"/>
                <w:szCs w:val="16"/>
                <w:lang w:val="de-DE"/>
              </w:rPr>
              <w:t>)</w:t>
            </w:r>
          </w:p>
        </w:tc>
        <w:tc>
          <w:tcPr>
            <w:tcW w:w="1914" w:type="dxa"/>
            <w:vAlign w:val="center"/>
          </w:tcPr>
          <w:p w:rsidR="005A1829" w:rsidRPr="00A51255" w:rsidRDefault="005A1829" w:rsidP="00DC38C7">
            <w:pPr>
              <w:jc w:val="center"/>
              <w:rPr>
                <w:rFonts w:ascii="Arial" w:hAnsi="Arial" w:cs="Arial"/>
                <w:sz w:val="20"/>
                <w:szCs w:val="20"/>
                <w:lang w:val="de-DE"/>
              </w:rPr>
            </w:pPr>
            <w:r w:rsidRPr="00DD0E91">
              <w:rPr>
                <w:rFonts w:ascii="Arial" w:hAnsi="Arial" w:cs="Arial"/>
                <w:sz w:val="20"/>
                <w:szCs w:val="20"/>
                <w:lang w:val="de-DE"/>
              </w:rPr>
              <w:t>-436.3571</w:t>
            </w:r>
          </w:p>
          <w:p w:rsidR="005A1829" w:rsidRPr="00A51255" w:rsidRDefault="005A1829" w:rsidP="00DC38C7">
            <w:pPr>
              <w:jc w:val="center"/>
              <w:rPr>
                <w:lang w:val="en-US"/>
              </w:rPr>
            </w:pPr>
            <w:r>
              <w:rPr>
                <w:rFonts w:ascii="Arial" w:hAnsi="Arial" w:cs="Arial"/>
                <w:sz w:val="16"/>
                <w:szCs w:val="16"/>
                <w:lang w:val="de-DE"/>
              </w:rPr>
              <w:t>(</w:t>
            </w:r>
            <w:r w:rsidRPr="00DD0E91">
              <w:rPr>
                <w:rFonts w:ascii="Arial" w:hAnsi="Arial" w:cs="Arial"/>
                <w:sz w:val="16"/>
                <w:szCs w:val="16"/>
                <w:lang w:val="de-DE"/>
              </w:rPr>
              <w:t>433.6345</w:t>
            </w:r>
            <w:r w:rsidRPr="00A51255">
              <w:rPr>
                <w:rFonts w:ascii="Arial" w:hAnsi="Arial" w:cs="Arial"/>
                <w:sz w:val="16"/>
                <w:szCs w:val="16"/>
                <w:lang w:val="de-DE"/>
              </w:rPr>
              <w:t>)</w:t>
            </w:r>
          </w:p>
        </w:tc>
      </w:tr>
      <w:tr w:rsidR="005A1829" w:rsidRPr="00647145" w:rsidTr="00DC38C7">
        <w:trPr>
          <w:jc w:val="center"/>
        </w:trPr>
        <w:tc>
          <w:tcPr>
            <w:tcW w:w="379" w:type="dxa"/>
            <w:vAlign w:val="center"/>
          </w:tcPr>
          <w:p w:rsidR="005A1829" w:rsidRPr="00A51255" w:rsidRDefault="005A1829" w:rsidP="00DC38C7">
            <w:pPr>
              <w:spacing w:line="360" w:lineRule="auto"/>
              <w:jc w:val="center"/>
              <w:rPr>
                <w:rFonts w:ascii="Arial" w:hAnsi="Arial" w:cs="Arial"/>
                <w:sz w:val="16"/>
                <w:szCs w:val="16"/>
                <w:lang w:val="de-DE"/>
              </w:rPr>
            </w:pPr>
          </w:p>
        </w:tc>
        <w:tc>
          <w:tcPr>
            <w:tcW w:w="1557" w:type="dxa"/>
            <w:vAlign w:val="center"/>
          </w:tcPr>
          <w:p w:rsidR="005A1829" w:rsidRPr="004F48F0" w:rsidRDefault="005A1829" w:rsidP="00DC38C7">
            <w:pPr>
              <w:spacing w:line="360" w:lineRule="auto"/>
              <w:ind w:left="98"/>
              <w:jc w:val="center"/>
              <w:rPr>
                <w:b/>
                <w:i/>
                <w:sz w:val="18"/>
                <w:szCs w:val="18"/>
                <w:lang w:val="en-US"/>
              </w:rPr>
            </w:pPr>
          </w:p>
        </w:tc>
        <w:tc>
          <w:tcPr>
            <w:tcW w:w="1946" w:type="dxa"/>
            <w:vAlign w:val="center"/>
          </w:tcPr>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Q(10) = 6.4406 (p = 0.169)</w:t>
            </w:r>
          </w:p>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LM(10) = 0.995802 (p = 0.4453)</w:t>
            </w:r>
          </w:p>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Log likelihood = -4114.964</w:t>
            </w:r>
          </w:p>
        </w:tc>
        <w:tc>
          <w:tcPr>
            <w:tcW w:w="1947" w:type="dxa"/>
            <w:vAlign w:val="center"/>
          </w:tcPr>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Q(10) = 6.2265 (p = 0.398)</w:t>
            </w:r>
          </w:p>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LM(10) = 0.778105 (p = 0.6501)</w:t>
            </w:r>
          </w:p>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Log likelihood = -4114.448</w:t>
            </w:r>
          </w:p>
        </w:tc>
        <w:tc>
          <w:tcPr>
            <w:tcW w:w="1947" w:type="dxa"/>
            <w:vAlign w:val="center"/>
          </w:tcPr>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Q(10) = 5.9336 (p = 0.431)</w:t>
            </w:r>
          </w:p>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LM(10) = 0.760927 (p = 0.6668)</w:t>
            </w:r>
          </w:p>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Log likelihood = -4113.783</w:t>
            </w:r>
          </w:p>
        </w:tc>
        <w:tc>
          <w:tcPr>
            <w:tcW w:w="1914" w:type="dxa"/>
            <w:vAlign w:val="center"/>
          </w:tcPr>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Q(10) = 6.5275 (p = 0.367)</w:t>
            </w:r>
          </w:p>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LM(10) = 0.503199 (p = 0.8884)</w:t>
            </w:r>
          </w:p>
          <w:p w:rsidR="005A1829" w:rsidRPr="00C673F3" w:rsidRDefault="005A1829" w:rsidP="00DC38C7">
            <w:pPr>
              <w:jc w:val="center"/>
              <w:rPr>
                <w:rFonts w:ascii="Arial" w:hAnsi="Arial" w:cs="Arial"/>
                <w:sz w:val="10"/>
                <w:szCs w:val="10"/>
                <w:lang w:val="en-US"/>
              </w:rPr>
            </w:pPr>
            <w:r w:rsidRPr="00C673F3">
              <w:rPr>
                <w:rFonts w:ascii="Arial" w:hAnsi="Arial" w:cs="Arial"/>
                <w:sz w:val="10"/>
                <w:szCs w:val="10"/>
                <w:lang w:val="en-US"/>
              </w:rPr>
              <w:t>Log likelihood = -4109.541</w:t>
            </w:r>
          </w:p>
        </w:tc>
      </w:tr>
    </w:tbl>
    <w:p w:rsidR="005A1829" w:rsidRDefault="005A1829" w:rsidP="005A1829">
      <w:pPr>
        <w:ind w:left="284" w:right="282"/>
        <w:jc w:val="both"/>
        <w:rPr>
          <w:rFonts w:ascii="Arial" w:hAnsi="Arial" w:cs="Arial"/>
          <w:sz w:val="16"/>
          <w:szCs w:val="16"/>
          <w:lang w:val="en-US"/>
        </w:rPr>
      </w:pPr>
    </w:p>
    <w:p w:rsidR="005A1829" w:rsidRPr="00A51255" w:rsidRDefault="005A1829" w:rsidP="005A1829">
      <w:pPr>
        <w:ind w:left="1701" w:right="1812"/>
        <w:jc w:val="both"/>
        <w:rPr>
          <w:rFonts w:ascii="Arial" w:hAnsi="Arial" w:cs="Arial"/>
          <w:sz w:val="16"/>
          <w:szCs w:val="16"/>
          <w:lang w:val="en-US"/>
        </w:rPr>
      </w:pPr>
    </w:p>
    <w:p w:rsidR="005A1829" w:rsidRPr="00A51255" w:rsidRDefault="005A1829" w:rsidP="005A1829">
      <w:pPr>
        <w:tabs>
          <w:tab w:val="left" w:pos="9781"/>
        </w:tabs>
        <w:ind w:right="-1"/>
        <w:jc w:val="both"/>
        <w:rPr>
          <w:rFonts w:ascii="Arial" w:hAnsi="Arial" w:cs="Arial"/>
          <w:sz w:val="16"/>
          <w:szCs w:val="16"/>
          <w:lang w:val="en-US"/>
        </w:rPr>
      </w:pPr>
      <w:r w:rsidRPr="00A51255">
        <w:rPr>
          <w:rFonts w:ascii="Arial" w:hAnsi="Arial" w:cs="Arial"/>
          <w:sz w:val="16"/>
          <w:szCs w:val="16"/>
          <w:lang w:val="en-US"/>
        </w:rPr>
        <w:t>Notes: Values of the standard errors in the brackets. The value of the Q(10) test for autocorrelation, the LM(10) test for any remaining ARCH effects and the log likelihood are reported in the bottom rows of every panel. Number of equation in the first column indicates whether the estimated parameters relate to the variables in the mean equation or in the conditional variance equation of the GARCH model.</w:t>
      </w:r>
    </w:p>
    <w:p w:rsidR="005A1829" w:rsidRPr="00A51255" w:rsidRDefault="005A1829" w:rsidP="005A1829">
      <w:pPr>
        <w:tabs>
          <w:tab w:val="left" w:pos="9781"/>
        </w:tabs>
        <w:ind w:right="-1"/>
        <w:jc w:val="both"/>
        <w:rPr>
          <w:rFonts w:ascii="Arial" w:hAnsi="Arial" w:cs="Arial"/>
          <w:sz w:val="16"/>
          <w:szCs w:val="16"/>
          <w:lang w:val="en-US"/>
        </w:rPr>
      </w:pPr>
    </w:p>
    <w:p w:rsidR="005A1829" w:rsidRPr="00A51255" w:rsidRDefault="005A1829" w:rsidP="005A1829">
      <w:pPr>
        <w:tabs>
          <w:tab w:val="left" w:pos="9781"/>
        </w:tabs>
        <w:ind w:right="-1"/>
        <w:jc w:val="both"/>
        <w:rPr>
          <w:rFonts w:ascii="Arial" w:hAnsi="Arial" w:cs="Arial"/>
          <w:sz w:val="16"/>
          <w:szCs w:val="16"/>
          <w:lang w:val="en-US"/>
        </w:rPr>
      </w:pPr>
      <w:r w:rsidRPr="00A51255">
        <w:rPr>
          <w:rFonts w:ascii="Arial" w:hAnsi="Arial" w:cs="Arial"/>
          <w:sz w:val="16"/>
          <w:szCs w:val="16"/>
          <w:lang w:val="en-US"/>
        </w:rPr>
        <w:t>* - denotes significance at the 0.1 level; ** - denotes significance at the 0.05 level; *** - denotes significance at the 0.01 level</w:t>
      </w:r>
    </w:p>
    <w:p w:rsidR="005A1829" w:rsidRDefault="005A1829" w:rsidP="005A1829">
      <w:pPr>
        <w:rPr>
          <w:lang w:val="en-US"/>
        </w:rPr>
      </w:pPr>
    </w:p>
    <w:p w:rsidR="000D6D0E" w:rsidRDefault="000D6D0E">
      <w:pPr>
        <w:rPr>
          <w:rFonts w:ascii="Arial" w:hAnsi="Arial" w:cs="Arial"/>
          <w:sz w:val="20"/>
          <w:szCs w:val="20"/>
          <w:lang w:val="en-US"/>
        </w:rPr>
      </w:pPr>
      <w:r>
        <w:rPr>
          <w:rFonts w:ascii="Arial" w:hAnsi="Arial" w:cs="Arial"/>
          <w:sz w:val="20"/>
          <w:szCs w:val="20"/>
          <w:lang w:val="en-US"/>
        </w:rPr>
        <w:br w:type="page"/>
      </w:r>
    </w:p>
    <w:p w:rsidR="000D6D0E" w:rsidRDefault="000D6D0E" w:rsidP="00FA2BEC">
      <w:pPr>
        <w:spacing w:line="360" w:lineRule="auto"/>
        <w:jc w:val="both"/>
        <w:rPr>
          <w:rFonts w:ascii="Arial" w:hAnsi="Arial" w:cs="Arial"/>
          <w:sz w:val="20"/>
          <w:szCs w:val="20"/>
          <w:lang w:val="en-US"/>
        </w:rPr>
        <w:sectPr w:rsidR="000D6D0E" w:rsidSect="009C547B">
          <w:footerReference w:type="even" r:id="rId232"/>
          <w:footerReference w:type="default" r:id="rId233"/>
          <w:pgSz w:w="11906" w:h="16838" w:code="9"/>
          <w:pgMar w:top="1134" w:right="1134" w:bottom="1134" w:left="992" w:header="720" w:footer="720" w:gutter="0"/>
          <w:cols w:space="720"/>
          <w:docGrid w:linePitch="360"/>
        </w:sectPr>
      </w:pPr>
    </w:p>
    <w:p w:rsidR="00645905" w:rsidRDefault="00645905" w:rsidP="00645905">
      <w:pPr>
        <w:rPr>
          <w:lang w:val="en-US"/>
        </w:rPr>
      </w:pPr>
    </w:p>
    <w:p w:rsidR="00645905" w:rsidRPr="00A51255" w:rsidRDefault="00B56BE2" w:rsidP="00422D49">
      <w:pPr>
        <w:spacing w:line="360" w:lineRule="auto"/>
        <w:jc w:val="center"/>
        <w:rPr>
          <w:rFonts w:ascii="Arial" w:hAnsi="Arial" w:cs="Arial"/>
          <w:sz w:val="20"/>
          <w:szCs w:val="20"/>
          <w:lang w:val="en-US"/>
        </w:rPr>
      </w:pPr>
      <w:r w:rsidRPr="00E57856">
        <w:rPr>
          <w:rFonts w:ascii="Arial" w:hAnsi="Arial" w:cs="Arial"/>
          <w:sz w:val="20"/>
          <w:szCs w:val="20"/>
          <w:lang w:val="en-US"/>
        </w:rPr>
        <w:t xml:space="preserve">Table </w:t>
      </w:r>
      <w:r w:rsidR="00422D49">
        <w:rPr>
          <w:rFonts w:ascii="Arial" w:hAnsi="Arial" w:cs="Arial"/>
          <w:sz w:val="20"/>
          <w:szCs w:val="20"/>
          <w:lang w:val="en-US"/>
        </w:rPr>
        <w:t>7</w:t>
      </w:r>
      <w:r w:rsidR="00645905" w:rsidRPr="00E57856">
        <w:rPr>
          <w:rFonts w:ascii="Arial" w:hAnsi="Arial" w:cs="Arial"/>
          <w:sz w:val="20"/>
          <w:szCs w:val="20"/>
          <w:lang w:val="en-US"/>
        </w:rPr>
        <w:t>. Performance</w:t>
      </w:r>
      <w:r w:rsidR="00645905" w:rsidRPr="00A51255">
        <w:rPr>
          <w:rFonts w:ascii="Arial" w:hAnsi="Arial" w:cs="Arial"/>
          <w:sz w:val="20"/>
          <w:szCs w:val="20"/>
          <w:lang w:val="en-US"/>
        </w:rPr>
        <w:t xml:space="preserve"> of investment strategies for trades on day </w:t>
      </w:r>
      <w:r w:rsidR="00645905" w:rsidRPr="00A51255">
        <w:rPr>
          <w:i/>
          <w:sz w:val="20"/>
          <w:szCs w:val="20"/>
          <w:lang w:val="en-US"/>
        </w:rPr>
        <w:t>t</w:t>
      </w:r>
      <w:r w:rsidR="00645905" w:rsidRPr="00A51255">
        <w:rPr>
          <w:sz w:val="20"/>
          <w:szCs w:val="20"/>
          <w:lang w:val="en-US"/>
        </w:rPr>
        <w:t xml:space="preserve"> </w:t>
      </w:r>
      <w:r w:rsidR="00645905" w:rsidRPr="00A51255">
        <w:rPr>
          <w:rFonts w:ascii="Arial" w:hAnsi="Arial" w:cs="Arial"/>
          <w:sz w:val="20"/>
          <w:szCs w:val="20"/>
          <w:lang w:val="en-US"/>
        </w:rPr>
        <w:t xml:space="preserve">(Panel A) and on day </w:t>
      </w:r>
      <w:r w:rsidR="00645905" w:rsidRPr="00A51255">
        <w:rPr>
          <w:i/>
          <w:sz w:val="20"/>
          <w:szCs w:val="20"/>
          <w:lang w:val="en-US"/>
        </w:rPr>
        <w:t>t+1</w:t>
      </w:r>
      <w:r w:rsidR="00645905" w:rsidRPr="00A51255">
        <w:rPr>
          <w:rFonts w:ascii="Arial" w:hAnsi="Arial" w:cs="Arial"/>
          <w:sz w:val="20"/>
          <w:szCs w:val="20"/>
          <w:lang w:val="en-US"/>
        </w:rPr>
        <w:t xml:space="preserve"> (Panel B).</w:t>
      </w:r>
    </w:p>
    <w:p w:rsidR="00645905" w:rsidRPr="00A51255" w:rsidRDefault="00645905" w:rsidP="00645905">
      <w:pPr>
        <w:rPr>
          <w:lang w:val="en-US"/>
        </w:rPr>
      </w:pPr>
    </w:p>
    <w:p w:rsidR="00645905" w:rsidRPr="00A51255" w:rsidRDefault="00645905" w:rsidP="00546C5C">
      <w:pPr>
        <w:numPr>
          <w:ilvl w:val="0"/>
          <w:numId w:val="34"/>
        </w:numPr>
        <w:ind w:left="2552" w:hanging="284"/>
        <w:rPr>
          <w:rFonts w:ascii="Arial" w:hAnsi="Arial" w:cs="Arial"/>
          <w:b/>
          <w:sz w:val="20"/>
          <w:szCs w:val="20"/>
          <w:lang w:val="en-US"/>
        </w:rPr>
      </w:pPr>
      <w:r w:rsidRPr="00A51255">
        <w:rPr>
          <w:rFonts w:ascii="Arial" w:hAnsi="Arial" w:cs="Arial"/>
          <w:b/>
          <w:sz w:val="20"/>
          <w:szCs w:val="20"/>
          <w:lang w:val="en-US"/>
        </w:rPr>
        <w:t xml:space="preserve">Results for dummies on day </w:t>
      </w:r>
      <w:r w:rsidRPr="00A51255">
        <w:rPr>
          <w:b/>
          <w:i/>
          <w:sz w:val="20"/>
          <w:szCs w:val="20"/>
          <w:lang w:val="en-US"/>
        </w:rPr>
        <w:t>t</w:t>
      </w:r>
      <w:r w:rsidRPr="00A51255">
        <w:rPr>
          <w:rFonts w:ascii="Arial" w:hAnsi="Arial" w:cs="Arial"/>
          <w:b/>
          <w:sz w:val="20"/>
          <w:szCs w:val="20"/>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381"/>
        <w:gridCol w:w="1102"/>
        <w:gridCol w:w="1102"/>
        <w:gridCol w:w="1102"/>
        <w:gridCol w:w="1102"/>
      </w:tblGrid>
      <w:tr w:rsidR="00546C5C" w:rsidRPr="00A51255" w:rsidTr="00CA1796">
        <w:trPr>
          <w:trHeight w:val="804"/>
          <w:jc w:val="center"/>
        </w:trPr>
        <w:tc>
          <w:tcPr>
            <w:tcW w:w="3402" w:type="dxa"/>
            <w:vMerge w:val="restart"/>
            <w:vAlign w:val="center"/>
          </w:tcPr>
          <w:p w:rsidR="00546C5C" w:rsidRPr="00A51255" w:rsidRDefault="00546C5C" w:rsidP="00CA1796">
            <w:pPr>
              <w:autoSpaceDE w:val="0"/>
              <w:autoSpaceDN w:val="0"/>
              <w:adjustRightInd w:val="0"/>
              <w:jc w:val="center"/>
              <w:rPr>
                <w:rFonts w:ascii="Arial" w:hAnsi="Arial" w:cs="Arial"/>
                <w:b/>
                <w:color w:val="000000"/>
                <w:sz w:val="20"/>
                <w:szCs w:val="20"/>
                <w:lang w:val="en-US" w:eastAsia="en-US"/>
              </w:rPr>
            </w:pPr>
            <w:r w:rsidRPr="00A51255">
              <w:rPr>
                <w:rFonts w:ascii="Arial" w:hAnsi="Arial" w:cs="Arial"/>
                <w:b/>
                <w:color w:val="000000"/>
                <w:sz w:val="20"/>
                <w:szCs w:val="20"/>
                <w:lang w:val="en-US" w:eastAsia="en-US"/>
              </w:rPr>
              <w:t>Trading horizon</w:t>
            </w:r>
          </w:p>
          <w:p w:rsidR="00546C5C" w:rsidRPr="00A51255" w:rsidRDefault="00546C5C" w:rsidP="00CA1796">
            <w:pPr>
              <w:autoSpaceDE w:val="0"/>
              <w:autoSpaceDN w:val="0"/>
              <w:adjustRightInd w:val="0"/>
              <w:jc w:val="center"/>
              <w:rPr>
                <w:rFonts w:ascii="Arial" w:hAnsi="Arial" w:cs="Arial"/>
                <w:b/>
                <w:color w:val="000000"/>
                <w:sz w:val="20"/>
                <w:szCs w:val="20"/>
                <w:lang w:val="en-US" w:eastAsia="en-US"/>
              </w:rPr>
            </w:pPr>
            <w:r w:rsidRPr="00A51255">
              <w:rPr>
                <w:rFonts w:ascii="Arial" w:hAnsi="Arial" w:cs="Arial"/>
                <w:b/>
                <w:color w:val="000000"/>
                <w:sz w:val="20"/>
                <w:szCs w:val="20"/>
                <w:lang w:val="en-US" w:eastAsia="en-US"/>
              </w:rPr>
              <w:t>from the NBP announcement at 4:00 PM CET:</w:t>
            </w:r>
          </w:p>
        </w:tc>
        <w:tc>
          <w:tcPr>
            <w:tcW w:w="2381" w:type="dxa"/>
            <w:vMerge w:val="restart"/>
            <w:vAlign w:val="center"/>
          </w:tcPr>
          <w:p w:rsidR="00546C5C" w:rsidRPr="00A51255" w:rsidRDefault="00546C5C" w:rsidP="00CA1796">
            <w:pPr>
              <w:autoSpaceDE w:val="0"/>
              <w:autoSpaceDN w:val="0"/>
              <w:adjustRightInd w:val="0"/>
              <w:jc w:val="center"/>
              <w:rPr>
                <w:rFonts w:ascii="Arial" w:hAnsi="Arial" w:cs="Arial"/>
                <w:b/>
                <w:bCs/>
                <w:color w:val="000000"/>
                <w:sz w:val="20"/>
                <w:szCs w:val="20"/>
                <w:lang w:val="en-US" w:eastAsia="en-US"/>
              </w:rPr>
            </w:pPr>
            <w:r w:rsidRPr="00A51255">
              <w:rPr>
                <w:rFonts w:ascii="Arial" w:hAnsi="Arial" w:cs="Arial"/>
                <w:b/>
                <w:bCs/>
                <w:color w:val="000000"/>
                <w:sz w:val="20"/>
                <w:szCs w:val="20"/>
                <w:lang w:val="en-US" w:eastAsia="en-US"/>
              </w:rPr>
              <w:t xml:space="preserve">Time </w:t>
            </w:r>
          </w:p>
          <w:p w:rsidR="00546C5C" w:rsidRPr="00A51255" w:rsidRDefault="00546C5C" w:rsidP="00CA1796">
            <w:pPr>
              <w:autoSpaceDE w:val="0"/>
              <w:autoSpaceDN w:val="0"/>
              <w:adjustRightInd w:val="0"/>
              <w:jc w:val="center"/>
              <w:rPr>
                <w:rFonts w:ascii="Arial" w:hAnsi="Arial" w:cs="Arial"/>
                <w:b/>
                <w:color w:val="000000"/>
                <w:sz w:val="20"/>
                <w:szCs w:val="20"/>
                <w:lang w:val="en-US" w:eastAsia="en-US"/>
              </w:rPr>
            </w:pPr>
            <w:r w:rsidRPr="00A51255">
              <w:rPr>
                <w:rFonts w:ascii="Arial" w:hAnsi="Arial" w:cs="Arial"/>
                <w:b/>
                <w:bCs/>
                <w:color w:val="000000"/>
                <w:sz w:val="20"/>
                <w:szCs w:val="20"/>
                <w:lang w:val="en-US" w:eastAsia="en-US"/>
              </w:rPr>
              <w:t>(CET):</w:t>
            </w:r>
          </w:p>
        </w:tc>
        <w:tc>
          <w:tcPr>
            <w:tcW w:w="4408" w:type="dxa"/>
            <w:gridSpan w:val="4"/>
            <w:vAlign w:val="center"/>
          </w:tcPr>
          <w:p w:rsidR="00546C5C" w:rsidRPr="00A51255" w:rsidRDefault="00546C5C" w:rsidP="00CA1796">
            <w:pPr>
              <w:autoSpaceDE w:val="0"/>
              <w:autoSpaceDN w:val="0"/>
              <w:adjustRightInd w:val="0"/>
              <w:jc w:val="center"/>
              <w:rPr>
                <w:rFonts w:ascii="Arial" w:hAnsi="Arial" w:cs="Arial"/>
                <w:b/>
                <w:bCs/>
                <w:color w:val="000000"/>
                <w:sz w:val="20"/>
                <w:szCs w:val="20"/>
                <w:lang w:val="en-US" w:eastAsia="en-US"/>
              </w:rPr>
            </w:pPr>
            <w:r w:rsidRPr="00A51255">
              <w:rPr>
                <w:rFonts w:ascii="Arial" w:hAnsi="Arial" w:cs="Arial"/>
                <w:b/>
                <w:bCs/>
                <w:color w:val="000000"/>
                <w:sz w:val="20"/>
                <w:szCs w:val="20"/>
                <w:lang w:val="en-US" w:eastAsia="en-US"/>
              </w:rPr>
              <w:t>Profit / loss (in bps)</w:t>
            </w:r>
          </w:p>
          <w:p w:rsidR="00546C5C" w:rsidRPr="00A51255" w:rsidRDefault="00546C5C" w:rsidP="00CA1796">
            <w:pPr>
              <w:autoSpaceDE w:val="0"/>
              <w:autoSpaceDN w:val="0"/>
              <w:adjustRightInd w:val="0"/>
              <w:jc w:val="center"/>
              <w:rPr>
                <w:rFonts w:ascii="Arial" w:hAnsi="Arial" w:cs="Arial"/>
                <w:b/>
                <w:bCs/>
                <w:color w:val="000000"/>
                <w:sz w:val="20"/>
                <w:szCs w:val="20"/>
                <w:lang w:val="en-US" w:eastAsia="en-US"/>
              </w:rPr>
            </w:pPr>
            <w:r w:rsidRPr="00A51255">
              <w:rPr>
                <w:rFonts w:ascii="Arial" w:hAnsi="Arial" w:cs="Arial"/>
                <w:b/>
                <w:bCs/>
                <w:color w:val="000000"/>
                <w:sz w:val="20"/>
                <w:szCs w:val="20"/>
                <w:lang w:val="en-US" w:eastAsia="en-US"/>
              </w:rPr>
              <w:t xml:space="preserve">for different levels of transaction costs </w:t>
            </w:r>
          </w:p>
          <w:p w:rsidR="00546C5C" w:rsidRPr="00A51255" w:rsidRDefault="00546C5C" w:rsidP="00CA1796">
            <w:pPr>
              <w:autoSpaceDE w:val="0"/>
              <w:autoSpaceDN w:val="0"/>
              <w:adjustRightInd w:val="0"/>
              <w:jc w:val="center"/>
              <w:rPr>
                <w:rFonts w:ascii="Arial" w:hAnsi="Arial" w:cs="Arial"/>
                <w:b/>
                <w:bCs/>
                <w:color w:val="000000"/>
                <w:sz w:val="20"/>
                <w:szCs w:val="20"/>
                <w:lang w:val="en-US" w:eastAsia="en-US"/>
              </w:rPr>
            </w:pPr>
            <w:r w:rsidRPr="00A51255">
              <w:rPr>
                <w:rFonts w:ascii="Arial" w:hAnsi="Arial" w:cs="Arial"/>
                <w:b/>
                <w:bCs/>
                <w:color w:val="000000"/>
                <w:sz w:val="20"/>
                <w:szCs w:val="20"/>
                <w:lang w:val="en-US" w:eastAsia="en-US"/>
              </w:rPr>
              <w:t>(in bps):</w:t>
            </w:r>
          </w:p>
        </w:tc>
      </w:tr>
      <w:tr w:rsidR="00546C5C" w:rsidRPr="00A51255" w:rsidTr="00CA1796">
        <w:trPr>
          <w:trHeight w:val="288"/>
          <w:jc w:val="center"/>
        </w:trPr>
        <w:tc>
          <w:tcPr>
            <w:tcW w:w="3402" w:type="dxa"/>
            <w:vMerge/>
            <w:vAlign w:val="center"/>
          </w:tcPr>
          <w:p w:rsidR="00546C5C" w:rsidRPr="00A51255" w:rsidRDefault="00546C5C" w:rsidP="00CA1796">
            <w:pPr>
              <w:autoSpaceDE w:val="0"/>
              <w:autoSpaceDN w:val="0"/>
              <w:adjustRightInd w:val="0"/>
              <w:jc w:val="center"/>
              <w:rPr>
                <w:rFonts w:ascii="Arial" w:hAnsi="Arial" w:cs="Arial"/>
                <w:color w:val="000000"/>
                <w:sz w:val="20"/>
                <w:szCs w:val="20"/>
                <w:lang w:val="en-US" w:eastAsia="en-US"/>
              </w:rPr>
            </w:pPr>
          </w:p>
        </w:tc>
        <w:tc>
          <w:tcPr>
            <w:tcW w:w="2381" w:type="dxa"/>
            <w:vMerge/>
            <w:vAlign w:val="center"/>
          </w:tcPr>
          <w:p w:rsidR="00546C5C" w:rsidRPr="00A51255" w:rsidRDefault="00546C5C" w:rsidP="00CA1796">
            <w:pPr>
              <w:autoSpaceDE w:val="0"/>
              <w:autoSpaceDN w:val="0"/>
              <w:adjustRightInd w:val="0"/>
              <w:jc w:val="center"/>
              <w:rPr>
                <w:rFonts w:ascii="Arial" w:hAnsi="Arial" w:cs="Arial"/>
                <w:b/>
                <w:bCs/>
                <w:color w:val="000000"/>
                <w:sz w:val="20"/>
                <w:szCs w:val="20"/>
                <w:lang w:val="en-US" w:eastAsia="en-US"/>
              </w:rPr>
            </w:pPr>
          </w:p>
        </w:tc>
        <w:tc>
          <w:tcPr>
            <w:tcW w:w="1102" w:type="dxa"/>
            <w:vAlign w:val="center"/>
          </w:tcPr>
          <w:p w:rsidR="00546C5C" w:rsidRPr="00A51255" w:rsidRDefault="00546C5C" w:rsidP="00CA1796">
            <w:pPr>
              <w:autoSpaceDE w:val="0"/>
              <w:autoSpaceDN w:val="0"/>
              <w:adjustRightInd w:val="0"/>
              <w:jc w:val="center"/>
              <w:rPr>
                <w:rFonts w:ascii="Arial" w:hAnsi="Arial" w:cs="Arial"/>
                <w:i/>
                <w:color w:val="000000"/>
                <w:sz w:val="20"/>
                <w:szCs w:val="20"/>
                <w:lang w:val="en-US" w:eastAsia="en-US"/>
              </w:rPr>
            </w:pPr>
            <w:r w:rsidRPr="00A51255">
              <w:rPr>
                <w:rFonts w:ascii="Arial" w:hAnsi="Arial" w:cs="Arial"/>
                <w:i/>
                <w:color w:val="000000"/>
                <w:sz w:val="20"/>
                <w:szCs w:val="20"/>
                <w:lang w:val="en-US" w:eastAsia="en-US"/>
              </w:rPr>
              <w:t>0</w:t>
            </w:r>
          </w:p>
        </w:tc>
        <w:tc>
          <w:tcPr>
            <w:tcW w:w="1102" w:type="dxa"/>
            <w:vAlign w:val="center"/>
          </w:tcPr>
          <w:p w:rsidR="00546C5C" w:rsidRPr="00A51255" w:rsidRDefault="00546C5C" w:rsidP="00CA1796">
            <w:pPr>
              <w:autoSpaceDE w:val="0"/>
              <w:autoSpaceDN w:val="0"/>
              <w:adjustRightInd w:val="0"/>
              <w:jc w:val="center"/>
              <w:rPr>
                <w:rFonts w:ascii="Arial" w:hAnsi="Arial" w:cs="Arial"/>
                <w:i/>
                <w:color w:val="000000"/>
                <w:sz w:val="20"/>
                <w:szCs w:val="20"/>
                <w:lang w:val="en-US" w:eastAsia="en-US"/>
              </w:rPr>
            </w:pPr>
            <w:r w:rsidRPr="00A51255">
              <w:rPr>
                <w:rFonts w:ascii="Arial" w:hAnsi="Arial" w:cs="Arial"/>
                <w:i/>
                <w:color w:val="000000"/>
                <w:sz w:val="20"/>
                <w:szCs w:val="20"/>
                <w:lang w:val="en-US" w:eastAsia="en-US"/>
              </w:rPr>
              <w:t>10</w:t>
            </w:r>
          </w:p>
        </w:tc>
        <w:tc>
          <w:tcPr>
            <w:tcW w:w="1102" w:type="dxa"/>
            <w:vAlign w:val="center"/>
          </w:tcPr>
          <w:p w:rsidR="00546C5C" w:rsidRPr="00A51255" w:rsidRDefault="00546C5C" w:rsidP="00CA1796">
            <w:pPr>
              <w:autoSpaceDE w:val="0"/>
              <w:autoSpaceDN w:val="0"/>
              <w:adjustRightInd w:val="0"/>
              <w:jc w:val="center"/>
              <w:rPr>
                <w:rFonts w:ascii="Arial" w:hAnsi="Arial" w:cs="Arial"/>
                <w:i/>
                <w:color w:val="000000"/>
                <w:sz w:val="20"/>
                <w:szCs w:val="20"/>
                <w:lang w:val="en-US" w:eastAsia="en-US"/>
              </w:rPr>
            </w:pPr>
            <w:r w:rsidRPr="00A51255">
              <w:rPr>
                <w:rFonts w:ascii="Arial" w:hAnsi="Arial" w:cs="Arial"/>
                <w:i/>
                <w:color w:val="000000"/>
                <w:sz w:val="20"/>
                <w:szCs w:val="20"/>
                <w:lang w:val="en-US" w:eastAsia="en-US"/>
              </w:rPr>
              <w:t>25</w:t>
            </w:r>
          </w:p>
        </w:tc>
        <w:tc>
          <w:tcPr>
            <w:tcW w:w="1102" w:type="dxa"/>
            <w:vAlign w:val="center"/>
          </w:tcPr>
          <w:p w:rsidR="00546C5C" w:rsidRPr="00A51255" w:rsidRDefault="00546C5C" w:rsidP="00CA1796">
            <w:pPr>
              <w:autoSpaceDE w:val="0"/>
              <w:autoSpaceDN w:val="0"/>
              <w:adjustRightInd w:val="0"/>
              <w:jc w:val="center"/>
              <w:rPr>
                <w:rFonts w:ascii="Arial" w:hAnsi="Arial" w:cs="Arial"/>
                <w:i/>
                <w:color w:val="000000"/>
                <w:sz w:val="20"/>
                <w:szCs w:val="20"/>
                <w:lang w:val="en-US" w:eastAsia="en-US"/>
              </w:rPr>
            </w:pPr>
            <w:r w:rsidRPr="00A51255">
              <w:rPr>
                <w:rFonts w:ascii="Arial" w:hAnsi="Arial" w:cs="Arial"/>
                <w:i/>
                <w:color w:val="000000"/>
                <w:sz w:val="20"/>
                <w:szCs w:val="20"/>
                <w:lang w:val="en-US" w:eastAsia="en-US"/>
              </w:rPr>
              <w:t>50</w:t>
            </w:r>
          </w:p>
        </w:tc>
      </w:tr>
      <w:tr w:rsidR="00546C5C" w:rsidRPr="006A7310" w:rsidTr="006A7310">
        <w:trPr>
          <w:trHeight w:val="397"/>
          <w:jc w:val="center"/>
        </w:trPr>
        <w:tc>
          <w:tcPr>
            <w:tcW w:w="3402" w:type="dxa"/>
            <w:vAlign w:val="center"/>
          </w:tcPr>
          <w:p w:rsidR="00546C5C" w:rsidRPr="006A7310" w:rsidRDefault="00546C5C" w:rsidP="00CA1796">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+1 hour</w:t>
            </w:r>
          </w:p>
        </w:tc>
        <w:tc>
          <w:tcPr>
            <w:tcW w:w="2381" w:type="dxa"/>
            <w:vAlign w:val="center"/>
          </w:tcPr>
          <w:p w:rsidR="00546C5C" w:rsidRPr="006A7310" w:rsidRDefault="00546C5C" w:rsidP="00CA1796">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5:00 PM</w:t>
            </w:r>
          </w:p>
        </w:tc>
        <w:tc>
          <w:tcPr>
            <w:tcW w:w="1102" w:type="dxa"/>
            <w:vAlign w:val="center"/>
          </w:tcPr>
          <w:p w:rsidR="00546C5C" w:rsidRPr="00A76BEB" w:rsidRDefault="00546C5C" w:rsidP="00A76BEB">
            <w:pPr>
              <w:autoSpaceDE w:val="0"/>
              <w:autoSpaceDN w:val="0"/>
              <w:adjustRightInd w:val="0"/>
              <w:jc w:val="center"/>
              <w:rPr>
                <w:rFonts w:ascii="Arial" w:hAnsi="Arial" w:cs="Arial"/>
                <w:color w:val="000000"/>
                <w:sz w:val="20"/>
                <w:szCs w:val="20"/>
                <w:lang w:val="en-US" w:eastAsia="en-US"/>
              </w:rPr>
            </w:pPr>
            <w:r w:rsidRPr="00A76BEB">
              <w:rPr>
                <w:rFonts w:ascii="Arial" w:hAnsi="Arial" w:cs="Arial"/>
                <w:color w:val="000000"/>
                <w:sz w:val="20"/>
                <w:szCs w:val="20"/>
                <w:lang w:val="en-US" w:eastAsia="en-US"/>
              </w:rPr>
              <w:t>49</w:t>
            </w:r>
          </w:p>
        </w:tc>
        <w:tc>
          <w:tcPr>
            <w:tcW w:w="1102" w:type="dxa"/>
            <w:vAlign w:val="center"/>
          </w:tcPr>
          <w:p w:rsidR="00546C5C" w:rsidRPr="006A7310" w:rsidRDefault="00546C5C" w:rsidP="006A7310">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17</w:t>
            </w:r>
          </w:p>
        </w:tc>
        <w:tc>
          <w:tcPr>
            <w:tcW w:w="1102" w:type="dxa"/>
            <w:vAlign w:val="center"/>
          </w:tcPr>
          <w:p w:rsidR="00546C5C" w:rsidRPr="006A7310" w:rsidRDefault="00546C5C" w:rsidP="006A7310">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-31</w:t>
            </w:r>
          </w:p>
        </w:tc>
        <w:tc>
          <w:tcPr>
            <w:tcW w:w="1102" w:type="dxa"/>
            <w:vAlign w:val="center"/>
          </w:tcPr>
          <w:p w:rsidR="00546C5C" w:rsidRPr="006A7310" w:rsidRDefault="00546C5C" w:rsidP="006A7310">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-112</w:t>
            </w:r>
          </w:p>
        </w:tc>
      </w:tr>
      <w:tr w:rsidR="00546C5C" w:rsidRPr="006A7310" w:rsidTr="006A7310">
        <w:trPr>
          <w:trHeight w:val="397"/>
          <w:jc w:val="center"/>
        </w:trPr>
        <w:tc>
          <w:tcPr>
            <w:tcW w:w="3402" w:type="dxa"/>
            <w:vAlign w:val="center"/>
          </w:tcPr>
          <w:p w:rsidR="00546C5C" w:rsidRPr="006A7310" w:rsidRDefault="00546C5C" w:rsidP="00CA1796">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+3 hour</w:t>
            </w:r>
          </w:p>
        </w:tc>
        <w:tc>
          <w:tcPr>
            <w:tcW w:w="2381" w:type="dxa"/>
            <w:vAlign w:val="center"/>
          </w:tcPr>
          <w:p w:rsidR="00546C5C" w:rsidRPr="006A7310" w:rsidRDefault="00546C5C" w:rsidP="00CA1796">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7:00 PM</w:t>
            </w:r>
          </w:p>
        </w:tc>
        <w:tc>
          <w:tcPr>
            <w:tcW w:w="1102" w:type="dxa"/>
            <w:vAlign w:val="center"/>
          </w:tcPr>
          <w:p w:rsidR="00546C5C" w:rsidRPr="00A76BEB" w:rsidRDefault="00546C5C" w:rsidP="00A76BEB">
            <w:pPr>
              <w:autoSpaceDE w:val="0"/>
              <w:autoSpaceDN w:val="0"/>
              <w:adjustRightInd w:val="0"/>
              <w:jc w:val="center"/>
              <w:rPr>
                <w:rFonts w:ascii="Arial" w:hAnsi="Arial" w:cs="Arial"/>
                <w:color w:val="000000"/>
                <w:sz w:val="20"/>
                <w:szCs w:val="20"/>
                <w:lang w:val="en-US" w:eastAsia="en-US"/>
              </w:rPr>
            </w:pPr>
            <w:r w:rsidRPr="00A76BEB">
              <w:rPr>
                <w:rFonts w:ascii="Arial" w:hAnsi="Arial" w:cs="Arial"/>
                <w:color w:val="000000"/>
                <w:sz w:val="20"/>
                <w:szCs w:val="20"/>
                <w:lang w:val="en-US" w:eastAsia="en-US"/>
              </w:rPr>
              <w:t>109</w:t>
            </w:r>
          </w:p>
        </w:tc>
        <w:tc>
          <w:tcPr>
            <w:tcW w:w="1102" w:type="dxa"/>
            <w:vAlign w:val="center"/>
          </w:tcPr>
          <w:p w:rsidR="00546C5C" w:rsidRPr="006A7310" w:rsidRDefault="00546C5C" w:rsidP="006A7310">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76</w:t>
            </w:r>
          </w:p>
        </w:tc>
        <w:tc>
          <w:tcPr>
            <w:tcW w:w="1102" w:type="dxa"/>
            <w:vAlign w:val="center"/>
          </w:tcPr>
          <w:p w:rsidR="00546C5C" w:rsidRPr="006A7310" w:rsidRDefault="00546C5C" w:rsidP="006A7310">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28</w:t>
            </w:r>
          </w:p>
        </w:tc>
        <w:tc>
          <w:tcPr>
            <w:tcW w:w="1102" w:type="dxa"/>
            <w:vAlign w:val="center"/>
          </w:tcPr>
          <w:p w:rsidR="00546C5C" w:rsidRPr="006A7310" w:rsidRDefault="00546C5C" w:rsidP="006A7310">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-53</w:t>
            </w:r>
          </w:p>
        </w:tc>
      </w:tr>
      <w:tr w:rsidR="00546C5C" w:rsidRPr="006A7310" w:rsidTr="006A7310">
        <w:trPr>
          <w:trHeight w:val="397"/>
          <w:jc w:val="center"/>
        </w:trPr>
        <w:tc>
          <w:tcPr>
            <w:tcW w:w="3402" w:type="dxa"/>
            <w:vAlign w:val="center"/>
          </w:tcPr>
          <w:p w:rsidR="00546C5C" w:rsidRPr="006A7310" w:rsidRDefault="00546C5C" w:rsidP="00CA1796">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until the end of day t</w:t>
            </w:r>
          </w:p>
        </w:tc>
        <w:tc>
          <w:tcPr>
            <w:tcW w:w="2381" w:type="dxa"/>
            <w:vAlign w:val="center"/>
          </w:tcPr>
          <w:p w:rsidR="00546C5C" w:rsidRPr="006A7310" w:rsidRDefault="00546C5C" w:rsidP="00CA1796">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various times PM</w:t>
            </w:r>
          </w:p>
        </w:tc>
        <w:tc>
          <w:tcPr>
            <w:tcW w:w="1102" w:type="dxa"/>
            <w:vAlign w:val="center"/>
          </w:tcPr>
          <w:p w:rsidR="00546C5C" w:rsidRPr="00A76BEB" w:rsidRDefault="00546C5C" w:rsidP="00A76BEB">
            <w:pPr>
              <w:autoSpaceDE w:val="0"/>
              <w:autoSpaceDN w:val="0"/>
              <w:adjustRightInd w:val="0"/>
              <w:jc w:val="center"/>
              <w:rPr>
                <w:rFonts w:ascii="Arial" w:hAnsi="Arial" w:cs="Arial"/>
                <w:color w:val="000000"/>
                <w:sz w:val="20"/>
                <w:szCs w:val="20"/>
                <w:lang w:val="en-US" w:eastAsia="en-US"/>
              </w:rPr>
            </w:pPr>
            <w:r w:rsidRPr="00A76BEB">
              <w:rPr>
                <w:rFonts w:ascii="Arial" w:hAnsi="Arial" w:cs="Arial"/>
                <w:color w:val="000000"/>
                <w:sz w:val="20"/>
                <w:szCs w:val="20"/>
                <w:lang w:val="en-US" w:eastAsia="en-US"/>
              </w:rPr>
              <w:t>42</w:t>
            </w:r>
          </w:p>
        </w:tc>
        <w:tc>
          <w:tcPr>
            <w:tcW w:w="1102" w:type="dxa"/>
            <w:vAlign w:val="center"/>
          </w:tcPr>
          <w:p w:rsidR="00546C5C" w:rsidRPr="006A7310" w:rsidRDefault="00546C5C" w:rsidP="006A7310">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9</w:t>
            </w:r>
          </w:p>
        </w:tc>
        <w:tc>
          <w:tcPr>
            <w:tcW w:w="1102" w:type="dxa"/>
            <w:vAlign w:val="center"/>
          </w:tcPr>
          <w:p w:rsidR="00546C5C" w:rsidRPr="006A7310" w:rsidRDefault="00546C5C" w:rsidP="006A7310">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-39</w:t>
            </w:r>
          </w:p>
        </w:tc>
        <w:tc>
          <w:tcPr>
            <w:tcW w:w="1102" w:type="dxa"/>
            <w:vAlign w:val="center"/>
          </w:tcPr>
          <w:p w:rsidR="00546C5C" w:rsidRPr="006A7310" w:rsidRDefault="00546C5C" w:rsidP="006A7310">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-120</w:t>
            </w:r>
          </w:p>
        </w:tc>
      </w:tr>
      <w:tr w:rsidR="00546C5C" w:rsidRPr="006A7310" w:rsidTr="006A7310">
        <w:trPr>
          <w:trHeight w:val="397"/>
          <w:jc w:val="center"/>
        </w:trPr>
        <w:tc>
          <w:tcPr>
            <w:tcW w:w="3402" w:type="dxa"/>
            <w:vAlign w:val="center"/>
          </w:tcPr>
          <w:p w:rsidR="00546C5C" w:rsidRPr="006A7310" w:rsidRDefault="00546C5C" w:rsidP="00CA1796">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+16 hours</w:t>
            </w:r>
          </w:p>
        </w:tc>
        <w:tc>
          <w:tcPr>
            <w:tcW w:w="2381" w:type="dxa"/>
            <w:vAlign w:val="center"/>
          </w:tcPr>
          <w:p w:rsidR="00546C5C" w:rsidRPr="006A7310" w:rsidRDefault="00546C5C" w:rsidP="00CA1796">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9:00 AM</w:t>
            </w:r>
          </w:p>
        </w:tc>
        <w:tc>
          <w:tcPr>
            <w:tcW w:w="1102" w:type="dxa"/>
            <w:vAlign w:val="center"/>
          </w:tcPr>
          <w:p w:rsidR="00546C5C" w:rsidRPr="00A76BEB" w:rsidRDefault="00546C5C" w:rsidP="00A76BEB">
            <w:pPr>
              <w:autoSpaceDE w:val="0"/>
              <w:autoSpaceDN w:val="0"/>
              <w:adjustRightInd w:val="0"/>
              <w:jc w:val="center"/>
              <w:rPr>
                <w:rFonts w:ascii="Arial" w:hAnsi="Arial" w:cs="Arial"/>
                <w:color w:val="000000"/>
                <w:sz w:val="20"/>
                <w:szCs w:val="20"/>
                <w:lang w:val="en-US" w:eastAsia="en-US"/>
              </w:rPr>
            </w:pPr>
            <w:r w:rsidRPr="00A76BEB">
              <w:rPr>
                <w:rFonts w:ascii="Arial" w:hAnsi="Arial" w:cs="Arial"/>
                <w:color w:val="000000"/>
                <w:sz w:val="20"/>
                <w:szCs w:val="20"/>
                <w:lang w:val="en-US" w:eastAsia="en-US"/>
              </w:rPr>
              <w:t>45</w:t>
            </w:r>
          </w:p>
        </w:tc>
        <w:tc>
          <w:tcPr>
            <w:tcW w:w="1102" w:type="dxa"/>
            <w:vAlign w:val="center"/>
          </w:tcPr>
          <w:p w:rsidR="00546C5C" w:rsidRPr="006A7310" w:rsidRDefault="00546C5C" w:rsidP="006A7310">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22</w:t>
            </w:r>
          </w:p>
        </w:tc>
        <w:tc>
          <w:tcPr>
            <w:tcW w:w="1102" w:type="dxa"/>
            <w:vAlign w:val="center"/>
          </w:tcPr>
          <w:p w:rsidR="00546C5C" w:rsidRPr="006A7310" w:rsidRDefault="00546C5C" w:rsidP="006A7310">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-11</w:t>
            </w:r>
          </w:p>
        </w:tc>
        <w:tc>
          <w:tcPr>
            <w:tcW w:w="1102" w:type="dxa"/>
            <w:vAlign w:val="center"/>
          </w:tcPr>
          <w:p w:rsidR="00546C5C" w:rsidRPr="006A7310" w:rsidRDefault="00546C5C" w:rsidP="006A7310">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-67</w:t>
            </w:r>
          </w:p>
        </w:tc>
      </w:tr>
      <w:tr w:rsidR="00546C5C" w:rsidRPr="006A7310" w:rsidTr="006A7310">
        <w:trPr>
          <w:trHeight w:val="397"/>
          <w:jc w:val="center"/>
        </w:trPr>
        <w:tc>
          <w:tcPr>
            <w:tcW w:w="3402" w:type="dxa"/>
            <w:vAlign w:val="center"/>
          </w:tcPr>
          <w:p w:rsidR="00546C5C" w:rsidRPr="006A7310" w:rsidRDefault="00546C5C" w:rsidP="00CA1796">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+20 hours</w:t>
            </w:r>
          </w:p>
        </w:tc>
        <w:tc>
          <w:tcPr>
            <w:tcW w:w="2381" w:type="dxa"/>
            <w:vAlign w:val="center"/>
          </w:tcPr>
          <w:p w:rsidR="00546C5C" w:rsidRPr="006A7310" w:rsidRDefault="00546C5C" w:rsidP="00CA1796">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12:00 AM</w:t>
            </w:r>
          </w:p>
        </w:tc>
        <w:tc>
          <w:tcPr>
            <w:tcW w:w="1102" w:type="dxa"/>
            <w:vAlign w:val="center"/>
          </w:tcPr>
          <w:p w:rsidR="00546C5C" w:rsidRPr="00A76BEB" w:rsidRDefault="00546C5C" w:rsidP="00A76BEB">
            <w:pPr>
              <w:autoSpaceDE w:val="0"/>
              <w:autoSpaceDN w:val="0"/>
              <w:adjustRightInd w:val="0"/>
              <w:jc w:val="center"/>
              <w:rPr>
                <w:rFonts w:ascii="Arial" w:hAnsi="Arial" w:cs="Arial"/>
                <w:color w:val="000000"/>
                <w:sz w:val="20"/>
                <w:szCs w:val="20"/>
                <w:lang w:val="en-US" w:eastAsia="en-US"/>
              </w:rPr>
            </w:pPr>
            <w:r w:rsidRPr="00A76BEB">
              <w:rPr>
                <w:rFonts w:ascii="Arial" w:hAnsi="Arial" w:cs="Arial"/>
                <w:color w:val="000000"/>
                <w:sz w:val="20"/>
                <w:szCs w:val="20"/>
                <w:lang w:val="en-US" w:eastAsia="en-US"/>
              </w:rPr>
              <w:t>-224</w:t>
            </w:r>
          </w:p>
        </w:tc>
        <w:tc>
          <w:tcPr>
            <w:tcW w:w="1102" w:type="dxa"/>
            <w:vAlign w:val="center"/>
          </w:tcPr>
          <w:p w:rsidR="00546C5C" w:rsidRPr="006A7310" w:rsidRDefault="00546C5C" w:rsidP="006A7310">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-246</w:t>
            </w:r>
          </w:p>
        </w:tc>
        <w:tc>
          <w:tcPr>
            <w:tcW w:w="1102" w:type="dxa"/>
            <w:vAlign w:val="center"/>
          </w:tcPr>
          <w:p w:rsidR="00546C5C" w:rsidRPr="006A7310" w:rsidRDefault="00546C5C" w:rsidP="006A7310">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-280</w:t>
            </w:r>
          </w:p>
        </w:tc>
        <w:tc>
          <w:tcPr>
            <w:tcW w:w="1102" w:type="dxa"/>
            <w:vAlign w:val="center"/>
          </w:tcPr>
          <w:p w:rsidR="00546C5C" w:rsidRPr="006A7310" w:rsidRDefault="00546C5C" w:rsidP="006A7310">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-336</w:t>
            </w:r>
          </w:p>
        </w:tc>
      </w:tr>
      <w:tr w:rsidR="00546C5C" w:rsidRPr="006A7310" w:rsidTr="006A7310">
        <w:trPr>
          <w:trHeight w:val="397"/>
          <w:jc w:val="center"/>
        </w:trPr>
        <w:tc>
          <w:tcPr>
            <w:tcW w:w="3402" w:type="dxa"/>
            <w:vAlign w:val="center"/>
          </w:tcPr>
          <w:p w:rsidR="00546C5C" w:rsidRPr="006A7310" w:rsidRDefault="00546C5C" w:rsidP="00CA1796">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+24 hours</w:t>
            </w:r>
          </w:p>
        </w:tc>
        <w:tc>
          <w:tcPr>
            <w:tcW w:w="2381" w:type="dxa"/>
            <w:vAlign w:val="center"/>
          </w:tcPr>
          <w:p w:rsidR="00546C5C" w:rsidRPr="006A7310" w:rsidRDefault="00546C5C" w:rsidP="00CA1796">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4:00 PM</w:t>
            </w:r>
          </w:p>
        </w:tc>
        <w:tc>
          <w:tcPr>
            <w:tcW w:w="1102" w:type="dxa"/>
            <w:vAlign w:val="center"/>
          </w:tcPr>
          <w:p w:rsidR="00546C5C" w:rsidRPr="00A76BEB" w:rsidRDefault="00546C5C" w:rsidP="00A76BEB">
            <w:pPr>
              <w:autoSpaceDE w:val="0"/>
              <w:autoSpaceDN w:val="0"/>
              <w:adjustRightInd w:val="0"/>
              <w:jc w:val="center"/>
              <w:rPr>
                <w:rFonts w:ascii="Arial" w:hAnsi="Arial" w:cs="Arial"/>
                <w:color w:val="000000"/>
                <w:sz w:val="20"/>
                <w:szCs w:val="20"/>
                <w:lang w:val="en-US" w:eastAsia="en-US"/>
              </w:rPr>
            </w:pPr>
            <w:r w:rsidRPr="00A76BEB">
              <w:rPr>
                <w:rFonts w:ascii="Arial" w:hAnsi="Arial" w:cs="Arial"/>
                <w:color w:val="000000"/>
                <w:sz w:val="20"/>
                <w:szCs w:val="20"/>
                <w:lang w:val="en-US" w:eastAsia="en-US"/>
              </w:rPr>
              <w:t>-157</w:t>
            </w:r>
          </w:p>
        </w:tc>
        <w:tc>
          <w:tcPr>
            <w:tcW w:w="1102" w:type="dxa"/>
            <w:vAlign w:val="center"/>
          </w:tcPr>
          <w:p w:rsidR="00546C5C" w:rsidRPr="006A7310" w:rsidRDefault="00546C5C" w:rsidP="006A7310">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-179</w:t>
            </w:r>
          </w:p>
        </w:tc>
        <w:tc>
          <w:tcPr>
            <w:tcW w:w="1102" w:type="dxa"/>
            <w:vAlign w:val="center"/>
          </w:tcPr>
          <w:p w:rsidR="00546C5C" w:rsidRPr="006A7310" w:rsidRDefault="00546C5C" w:rsidP="006A7310">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-213</w:t>
            </w:r>
          </w:p>
        </w:tc>
        <w:tc>
          <w:tcPr>
            <w:tcW w:w="1102" w:type="dxa"/>
            <w:vAlign w:val="center"/>
          </w:tcPr>
          <w:p w:rsidR="00546C5C" w:rsidRPr="006A7310" w:rsidRDefault="00546C5C" w:rsidP="006A7310">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-268</w:t>
            </w:r>
          </w:p>
        </w:tc>
      </w:tr>
      <w:tr w:rsidR="00546C5C" w:rsidRPr="006A7310" w:rsidTr="006A7310">
        <w:trPr>
          <w:trHeight w:val="397"/>
          <w:jc w:val="center"/>
        </w:trPr>
        <w:tc>
          <w:tcPr>
            <w:tcW w:w="3402" w:type="dxa"/>
            <w:vAlign w:val="center"/>
          </w:tcPr>
          <w:p w:rsidR="00546C5C" w:rsidRPr="006A7310" w:rsidRDefault="00546C5C" w:rsidP="00CA1796">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until the end of day t+1</w:t>
            </w:r>
          </w:p>
        </w:tc>
        <w:tc>
          <w:tcPr>
            <w:tcW w:w="2381" w:type="dxa"/>
            <w:vAlign w:val="center"/>
          </w:tcPr>
          <w:p w:rsidR="00546C5C" w:rsidRPr="006A7310" w:rsidRDefault="00546C5C" w:rsidP="00CA1796">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various times PM</w:t>
            </w:r>
          </w:p>
        </w:tc>
        <w:tc>
          <w:tcPr>
            <w:tcW w:w="1102" w:type="dxa"/>
            <w:vAlign w:val="center"/>
          </w:tcPr>
          <w:p w:rsidR="00546C5C" w:rsidRPr="00A76BEB" w:rsidRDefault="00546C5C" w:rsidP="00A76BEB">
            <w:pPr>
              <w:autoSpaceDE w:val="0"/>
              <w:autoSpaceDN w:val="0"/>
              <w:adjustRightInd w:val="0"/>
              <w:jc w:val="center"/>
              <w:rPr>
                <w:rFonts w:ascii="Arial" w:hAnsi="Arial" w:cs="Arial"/>
                <w:color w:val="000000"/>
                <w:sz w:val="20"/>
                <w:szCs w:val="20"/>
                <w:lang w:val="en-US" w:eastAsia="en-US"/>
              </w:rPr>
            </w:pPr>
            <w:r w:rsidRPr="00A76BEB">
              <w:rPr>
                <w:rFonts w:ascii="Arial" w:hAnsi="Arial" w:cs="Arial"/>
                <w:color w:val="000000"/>
                <w:sz w:val="20"/>
                <w:szCs w:val="20"/>
                <w:lang w:val="en-US" w:eastAsia="en-US"/>
              </w:rPr>
              <w:t>-157</w:t>
            </w:r>
          </w:p>
        </w:tc>
        <w:tc>
          <w:tcPr>
            <w:tcW w:w="1102" w:type="dxa"/>
            <w:vAlign w:val="center"/>
          </w:tcPr>
          <w:p w:rsidR="00546C5C" w:rsidRPr="006A7310" w:rsidRDefault="00546C5C" w:rsidP="006A7310">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-179</w:t>
            </w:r>
          </w:p>
        </w:tc>
        <w:tc>
          <w:tcPr>
            <w:tcW w:w="1102" w:type="dxa"/>
            <w:vAlign w:val="center"/>
          </w:tcPr>
          <w:p w:rsidR="00546C5C" w:rsidRPr="006A7310" w:rsidRDefault="00546C5C" w:rsidP="006A7310">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-213</w:t>
            </w:r>
          </w:p>
        </w:tc>
        <w:tc>
          <w:tcPr>
            <w:tcW w:w="1102" w:type="dxa"/>
            <w:vAlign w:val="center"/>
          </w:tcPr>
          <w:p w:rsidR="00546C5C" w:rsidRPr="006A7310" w:rsidRDefault="00546C5C" w:rsidP="006A7310">
            <w:pPr>
              <w:autoSpaceDE w:val="0"/>
              <w:autoSpaceDN w:val="0"/>
              <w:adjustRightInd w:val="0"/>
              <w:jc w:val="center"/>
              <w:rPr>
                <w:rFonts w:ascii="Arial" w:hAnsi="Arial" w:cs="Arial"/>
                <w:color w:val="000000"/>
                <w:sz w:val="20"/>
                <w:szCs w:val="20"/>
                <w:lang w:val="en-US" w:eastAsia="en-US"/>
              </w:rPr>
            </w:pPr>
            <w:r w:rsidRPr="006A7310">
              <w:rPr>
                <w:rFonts w:ascii="Arial" w:hAnsi="Arial" w:cs="Arial"/>
                <w:color w:val="000000"/>
                <w:sz w:val="20"/>
                <w:szCs w:val="20"/>
                <w:lang w:val="en-US" w:eastAsia="en-US"/>
              </w:rPr>
              <w:t>-268</w:t>
            </w:r>
          </w:p>
        </w:tc>
      </w:tr>
    </w:tbl>
    <w:p w:rsidR="00645905" w:rsidRPr="006A7310" w:rsidRDefault="00645905" w:rsidP="006A7310">
      <w:pPr>
        <w:autoSpaceDE w:val="0"/>
        <w:autoSpaceDN w:val="0"/>
        <w:adjustRightInd w:val="0"/>
        <w:jc w:val="center"/>
        <w:rPr>
          <w:rFonts w:ascii="Arial" w:hAnsi="Arial" w:cs="Arial"/>
          <w:color w:val="000000"/>
          <w:sz w:val="20"/>
          <w:szCs w:val="20"/>
          <w:lang w:val="en-US" w:eastAsia="en-US"/>
        </w:rPr>
      </w:pPr>
    </w:p>
    <w:p w:rsidR="00645905" w:rsidRPr="00A51255" w:rsidRDefault="00645905" w:rsidP="00546C5C">
      <w:pPr>
        <w:numPr>
          <w:ilvl w:val="0"/>
          <w:numId w:val="34"/>
        </w:numPr>
        <w:ind w:left="2552" w:hanging="284"/>
        <w:rPr>
          <w:rFonts w:ascii="Arial" w:hAnsi="Arial" w:cs="Arial"/>
          <w:b/>
          <w:sz w:val="20"/>
          <w:szCs w:val="20"/>
          <w:lang w:val="en-US"/>
        </w:rPr>
      </w:pPr>
      <w:r w:rsidRPr="00A51255">
        <w:rPr>
          <w:rFonts w:ascii="Arial" w:hAnsi="Arial" w:cs="Arial"/>
          <w:b/>
          <w:sz w:val="20"/>
          <w:szCs w:val="20"/>
          <w:lang w:val="en-US"/>
        </w:rPr>
        <w:t xml:space="preserve">Results for dummies on day </w:t>
      </w:r>
      <w:r w:rsidRPr="00A51255">
        <w:rPr>
          <w:b/>
          <w:i/>
          <w:sz w:val="20"/>
          <w:szCs w:val="20"/>
          <w:lang w:val="en-US"/>
        </w:rPr>
        <w:t>t+1</w:t>
      </w:r>
      <w:r w:rsidRPr="00A51255">
        <w:rPr>
          <w:rFonts w:ascii="Arial" w:hAnsi="Arial" w:cs="Arial"/>
          <w:b/>
          <w:sz w:val="20"/>
          <w:szCs w:val="20"/>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381"/>
        <w:gridCol w:w="1102"/>
        <w:gridCol w:w="1102"/>
        <w:gridCol w:w="1102"/>
        <w:gridCol w:w="1102"/>
      </w:tblGrid>
      <w:tr w:rsidR="00546C5C" w:rsidRPr="00A51255" w:rsidTr="00CA1796">
        <w:trPr>
          <w:trHeight w:val="804"/>
          <w:jc w:val="center"/>
        </w:trPr>
        <w:tc>
          <w:tcPr>
            <w:tcW w:w="3402" w:type="dxa"/>
            <w:vMerge w:val="restart"/>
            <w:vAlign w:val="center"/>
          </w:tcPr>
          <w:p w:rsidR="00546C5C" w:rsidRPr="00A51255" w:rsidRDefault="00546C5C" w:rsidP="00CA1796">
            <w:pPr>
              <w:autoSpaceDE w:val="0"/>
              <w:autoSpaceDN w:val="0"/>
              <w:adjustRightInd w:val="0"/>
              <w:jc w:val="center"/>
              <w:rPr>
                <w:rFonts w:ascii="Arial" w:hAnsi="Arial" w:cs="Arial"/>
                <w:b/>
                <w:color w:val="000000"/>
                <w:sz w:val="20"/>
                <w:szCs w:val="20"/>
                <w:lang w:val="en-US" w:eastAsia="en-US"/>
              </w:rPr>
            </w:pPr>
            <w:r w:rsidRPr="00A51255">
              <w:rPr>
                <w:rFonts w:ascii="Arial" w:hAnsi="Arial" w:cs="Arial"/>
                <w:b/>
                <w:color w:val="000000"/>
                <w:sz w:val="20"/>
                <w:szCs w:val="20"/>
                <w:lang w:val="en-US" w:eastAsia="en-US"/>
              </w:rPr>
              <w:t xml:space="preserve">Trading horizon </w:t>
            </w:r>
          </w:p>
          <w:p w:rsidR="00546C5C" w:rsidRPr="00A51255" w:rsidRDefault="00546C5C" w:rsidP="00CA1796">
            <w:pPr>
              <w:autoSpaceDE w:val="0"/>
              <w:autoSpaceDN w:val="0"/>
              <w:adjustRightInd w:val="0"/>
              <w:jc w:val="center"/>
              <w:rPr>
                <w:rFonts w:ascii="Arial" w:hAnsi="Arial" w:cs="Arial"/>
                <w:b/>
                <w:color w:val="000000"/>
                <w:sz w:val="20"/>
                <w:szCs w:val="20"/>
                <w:lang w:val="en-US" w:eastAsia="en-US"/>
              </w:rPr>
            </w:pPr>
            <w:r w:rsidRPr="00A51255">
              <w:rPr>
                <w:rFonts w:ascii="Arial" w:hAnsi="Arial" w:cs="Arial"/>
                <w:b/>
                <w:color w:val="000000"/>
                <w:sz w:val="20"/>
                <w:szCs w:val="20"/>
                <w:lang w:val="en-US" w:eastAsia="en-US"/>
              </w:rPr>
              <w:t xml:space="preserve">from the beginning of </w:t>
            </w:r>
            <w:r w:rsidRPr="00A51255">
              <w:rPr>
                <w:rFonts w:ascii="Arial" w:hAnsi="Arial" w:cs="Arial"/>
                <w:b/>
                <w:bCs/>
                <w:color w:val="000000"/>
                <w:sz w:val="20"/>
                <w:szCs w:val="20"/>
                <w:lang w:val="en-US" w:eastAsia="en-US"/>
              </w:rPr>
              <w:t xml:space="preserve">day </w:t>
            </w:r>
            <w:r w:rsidRPr="00A51255">
              <w:rPr>
                <w:b/>
                <w:bCs/>
                <w:i/>
                <w:iCs/>
                <w:color w:val="000000"/>
                <w:sz w:val="20"/>
                <w:szCs w:val="20"/>
                <w:lang w:val="en-US" w:eastAsia="en-US"/>
              </w:rPr>
              <w:t>t+1</w:t>
            </w:r>
            <w:r w:rsidRPr="00A51255">
              <w:rPr>
                <w:rFonts w:ascii="Arial" w:hAnsi="Arial" w:cs="Arial"/>
                <w:b/>
                <w:color w:val="000000"/>
                <w:sz w:val="20"/>
                <w:szCs w:val="20"/>
                <w:lang w:val="en-US" w:eastAsia="en-US"/>
              </w:rPr>
              <w:t>:</w:t>
            </w:r>
          </w:p>
        </w:tc>
        <w:tc>
          <w:tcPr>
            <w:tcW w:w="2381" w:type="dxa"/>
            <w:vMerge w:val="restart"/>
            <w:vAlign w:val="center"/>
          </w:tcPr>
          <w:p w:rsidR="00546C5C" w:rsidRPr="00A51255" w:rsidRDefault="00546C5C" w:rsidP="00CA1796">
            <w:pPr>
              <w:autoSpaceDE w:val="0"/>
              <w:autoSpaceDN w:val="0"/>
              <w:adjustRightInd w:val="0"/>
              <w:jc w:val="center"/>
              <w:rPr>
                <w:rFonts w:ascii="Arial" w:hAnsi="Arial" w:cs="Arial"/>
                <w:b/>
                <w:bCs/>
                <w:color w:val="000000"/>
                <w:sz w:val="20"/>
                <w:szCs w:val="20"/>
                <w:lang w:val="en-US" w:eastAsia="en-US"/>
              </w:rPr>
            </w:pPr>
            <w:r w:rsidRPr="00A51255">
              <w:rPr>
                <w:rFonts w:ascii="Arial" w:hAnsi="Arial" w:cs="Arial"/>
                <w:b/>
                <w:bCs/>
                <w:color w:val="000000"/>
                <w:sz w:val="20"/>
                <w:szCs w:val="20"/>
                <w:lang w:val="en-US" w:eastAsia="en-US"/>
              </w:rPr>
              <w:t xml:space="preserve">Time </w:t>
            </w:r>
          </w:p>
          <w:p w:rsidR="00546C5C" w:rsidRPr="00A51255" w:rsidRDefault="00546C5C" w:rsidP="00CA1796">
            <w:pPr>
              <w:autoSpaceDE w:val="0"/>
              <w:autoSpaceDN w:val="0"/>
              <w:adjustRightInd w:val="0"/>
              <w:jc w:val="center"/>
              <w:rPr>
                <w:rFonts w:ascii="Arial" w:hAnsi="Arial" w:cs="Arial"/>
                <w:b/>
                <w:color w:val="000000"/>
                <w:sz w:val="20"/>
                <w:szCs w:val="20"/>
                <w:lang w:val="en-US" w:eastAsia="en-US"/>
              </w:rPr>
            </w:pPr>
            <w:r w:rsidRPr="00A51255">
              <w:rPr>
                <w:rFonts w:ascii="Arial" w:hAnsi="Arial" w:cs="Arial"/>
                <w:b/>
                <w:bCs/>
                <w:color w:val="000000"/>
                <w:sz w:val="20"/>
                <w:szCs w:val="20"/>
                <w:lang w:val="en-US" w:eastAsia="en-US"/>
              </w:rPr>
              <w:t>(CET):</w:t>
            </w:r>
          </w:p>
        </w:tc>
        <w:tc>
          <w:tcPr>
            <w:tcW w:w="4408" w:type="dxa"/>
            <w:gridSpan w:val="4"/>
            <w:vAlign w:val="center"/>
          </w:tcPr>
          <w:p w:rsidR="00546C5C" w:rsidRPr="00A51255" w:rsidRDefault="00546C5C" w:rsidP="00CA1796">
            <w:pPr>
              <w:autoSpaceDE w:val="0"/>
              <w:autoSpaceDN w:val="0"/>
              <w:adjustRightInd w:val="0"/>
              <w:jc w:val="center"/>
              <w:rPr>
                <w:rFonts w:ascii="Arial" w:hAnsi="Arial" w:cs="Arial"/>
                <w:b/>
                <w:bCs/>
                <w:color w:val="000000"/>
                <w:sz w:val="20"/>
                <w:szCs w:val="20"/>
                <w:lang w:val="en-US" w:eastAsia="en-US"/>
              </w:rPr>
            </w:pPr>
            <w:r w:rsidRPr="00A51255">
              <w:rPr>
                <w:rFonts w:ascii="Arial" w:hAnsi="Arial" w:cs="Arial"/>
                <w:b/>
                <w:bCs/>
                <w:color w:val="000000"/>
                <w:sz w:val="20"/>
                <w:szCs w:val="20"/>
                <w:lang w:val="en-US" w:eastAsia="en-US"/>
              </w:rPr>
              <w:t>Profit / loss (in bps)</w:t>
            </w:r>
          </w:p>
          <w:p w:rsidR="00546C5C" w:rsidRPr="00A51255" w:rsidRDefault="00546C5C" w:rsidP="00CA1796">
            <w:pPr>
              <w:autoSpaceDE w:val="0"/>
              <w:autoSpaceDN w:val="0"/>
              <w:adjustRightInd w:val="0"/>
              <w:jc w:val="center"/>
              <w:rPr>
                <w:rFonts w:ascii="Arial" w:hAnsi="Arial" w:cs="Arial"/>
                <w:b/>
                <w:bCs/>
                <w:color w:val="000000"/>
                <w:sz w:val="20"/>
                <w:szCs w:val="20"/>
                <w:lang w:val="en-US" w:eastAsia="en-US"/>
              </w:rPr>
            </w:pPr>
            <w:r w:rsidRPr="00A51255">
              <w:rPr>
                <w:rFonts w:ascii="Arial" w:hAnsi="Arial" w:cs="Arial"/>
                <w:b/>
                <w:bCs/>
                <w:color w:val="000000"/>
                <w:sz w:val="20"/>
                <w:szCs w:val="20"/>
                <w:lang w:val="en-US" w:eastAsia="en-US"/>
              </w:rPr>
              <w:t xml:space="preserve">for different levels of transaction costs </w:t>
            </w:r>
          </w:p>
          <w:p w:rsidR="00546C5C" w:rsidRPr="00A51255" w:rsidRDefault="00546C5C" w:rsidP="00CA1796">
            <w:pPr>
              <w:autoSpaceDE w:val="0"/>
              <w:autoSpaceDN w:val="0"/>
              <w:adjustRightInd w:val="0"/>
              <w:jc w:val="center"/>
              <w:rPr>
                <w:rFonts w:ascii="Arial" w:hAnsi="Arial" w:cs="Arial"/>
                <w:b/>
                <w:bCs/>
                <w:color w:val="000000"/>
                <w:sz w:val="20"/>
                <w:szCs w:val="20"/>
                <w:lang w:val="en-US" w:eastAsia="en-US"/>
              </w:rPr>
            </w:pPr>
            <w:r w:rsidRPr="00A51255">
              <w:rPr>
                <w:rFonts w:ascii="Arial" w:hAnsi="Arial" w:cs="Arial"/>
                <w:b/>
                <w:bCs/>
                <w:color w:val="000000"/>
                <w:sz w:val="20"/>
                <w:szCs w:val="20"/>
                <w:lang w:val="en-US" w:eastAsia="en-US"/>
              </w:rPr>
              <w:t>(in bps):</w:t>
            </w:r>
          </w:p>
        </w:tc>
      </w:tr>
      <w:tr w:rsidR="00546C5C" w:rsidRPr="00A51255" w:rsidTr="00CA1796">
        <w:trPr>
          <w:trHeight w:val="288"/>
          <w:jc w:val="center"/>
        </w:trPr>
        <w:tc>
          <w:tcPr>
            <w:tcW w:w="3402" w:type="dxa"/>
            <w:vMerge/>
            <w:vAlign w:val="center"/>
          </w:tcPr>
          <w:p w:rsidR="00546C5C" w:rsidRPr="00A51255" w:rsidRDefault="00546C5C" w:rsidP="00CA1796">
            <w:pPr>
              <w:autoSpaceDE w:val="0"/>
              <w:autoSpaceDN w:val="0"/>
              <w:adjustRightInd w:val="0"/>
              <w:jc w:val="center"/>
              <w:rPr>
                <w:rFonts w:ascii="Arial" w:hAnsi="Arial" w:cs="Arial"/>
                <w:color w:val="000000"/>
                <w:sz w:val="20"/>
                <w:szCs w:val="20"/>
                <w:lang w:val="en-US" w:eastAsia="en-US"/>
              </w:rPr>
            </w:pPr>
          </w:p>
        </w:tc>
        <w:tc>
          <w:tcPr>
            <w:tcW w:w="2381" w:type="dxa"/>
            <w:vMerge/>
            <w:vAlign w:val="center"/>
          </w:tcPr>
          <w:p w:rsidR="00546C5C" w:rsidRPr="00A51255" w:rsidRDefault="00546C5C" w:rsidP="00CA1796">
            <w:pPr>
              <w:autoSpaceDE w:val="0"/>
              <w:autoSpaceDN w:val="0"/>
              <w:adjustRightInd w:val="0"/>
              <w:jc w:val="center"/>
              <w:rPr>
                <w:rFonts w:ascii="Arial" w:hAnsi="Arial" w:cs="Arial"/>
                <w:b/>
                <w:bCs/>
                <w:color w:val="000000"/>
                <w:sz w:val="20"/>
                <w:szCs w:val="20"/>
                <w:lang w:val="en-US" w:eastAsia="en-US"/>
              </w:rPr>
            </w:pPr>
          </w:p>
        </w:tc>
        <w:tc>
          <w:tcPr>
            <w:tcW w:w="1102" w:type="dxa"/>
            <w:vAlign w:val="center"/>
          </w:tcPr>
          <w:p w:rsidR="00546C5C" w:rsidRPr="00A51255" w:rsidRDefault="00546C5C" w:rsidP="00CA1796">
            <w:pPr>
              <w:autoSpaceDE w:val="0"/>
              <w:autoSpaceDN w:val="0"/>
              <w:adjustRightInd w:val="0"/>
              <w:jc w:val="center"/>
              <w:rPr>
                <w:rFonts w:ascii="Arial" w:hAnsi="Arial" w:cs="Arial"/>
                <w:i/>
                <w:color w:val="000000"/>
                <w:sz w:val="20"/>
                <w:szCs w:val="20"/>
                <w:lang w:val="en-US" w:eastAsia="en-US"/>
              </w:rPr>
            </w:pPr>
            <w:r w:rsidRPr="00A51255">
              <w:rPr>
                <w:rFonts w:ascii="Arial" w:hAnsi="Arial" w:cs="Arial"/>
                <w:i/>
                <w:color w:val="000000"/>
                <w:sz w:val="20"/>
                <w:szCs w:val="20"/>
                <w:lang w:val="en-US" w:eastAsia="en-US"/>
              </w:rPr>
              <w:t>0</w:t>
            </w:r>
          </w:p>
        </w:tc>
        <w:tc>
          <w:tcPr>
            <w:tcW w:w="1102" w:type="dxa"/>
            <w:vAlign w:val="center"/>
          </w:tcPr>
          <w:p w:rsidR="00546C5C" w:rsidRPr="00A51255" w:rsidRDefault="00546C5C" w:rsidP="00CA1796">
            <w:pPr>
              <w:autoSpaceDE w:val="0"/>
              <w:autoSpaceDN w:val="0"/>
              <w:adjustRightInd w:val="0"/>
              <w:jc w:val="center"/>
              <w:rPr>
                <w:rFonts w:ascii="Arial" w:hAnsi="Arial" w:cs="Arial"/>
                <w:i/>
                <w:color w:val="000000"/>
                <w:sz w:val="20"/>
                <w:szCs w:val="20"/>
                <w:lang w:val="en-US" w:eastAsia="en-US"/>
              </w:rPr>
            </w:pPr>
            <w:r w:rsidRPr="00A51255">
              <w:rPr>
                <w:rFonts w:ascii="Arial" w:hAnsi="Arial" w:cs="Arial"/>
                <w:i/>
                <w:color w:val="000000"/>
                <w:sz w:val="20"/>
                <w:szCs w:val="20"/>
                <w:lang w:val="en-US" w:eastAsia="en-US"/>
              </w:rPr>
              <w:t>10</w:t>
            </w:r>
          </w:p>
        </w:tc>
        <w:tc>
          <w:tcPr>
            <w:tcW w:w="1102" w:type="dxa"/>
            <w:vAlign w:val="center"/>
          </w:tcPr>
          <w:p w:rsidR="00546C5C" w:rsidRPr="00A51255" w:rsidRDefault="00546C5C" w:rsidP="00CA1796">
            <w:pPr>
              <w:autoSpaceDE w:val="0"/>
              <w:autoSpaceDN w:val="0"/>
              <w:adjustRightInd w:val="0"/>
              <w:jc w:val="center"/>
              <w:rPr>
                <w:rFonts w:ascii="Arial" w:hAnsi="Arial" w:cs="Arial"/>
                <w:i/>
                <w:color w:val="000000"/>
                <w:sz w:val="20"/>
                <w:szCs w:val="20"/>
                <w:lang w:val="en-US" w:eastAsia="en-US"/>
              </w:rPr>
            </w:pPr>
            <w:r w:rsidRPr="00A51255">
              <w:rPr>
                <w:rFonts w:ascii="Arial" w:hAnsi="Arial" w:cs="Arial"/>
                <w:i/>
                <w:color w:val="000000"/>
                <w:sz w:val="20"/>
                <w:szCs w:val="20"/>
                <w:lang w:val="en-US" w:eastAsia="en-US"/>
              </w:rPr>
              <w:t>25</w:t>
            </w:r>
          </w:p>
        </w:tc>
        <w:tc>
          <w:tcPr>
            <w:tcW w:w="1102" w:type="dxa"/>
            <w:vAlign w:val="center"/>
          </w:tcPr>
          <w:p w:rsidR="00546C5C" w:rsidRPr="00A51255" w:rsidRDefault="00546C5C" w:rsidP="00CA1796">
            <w:pPr>
              <w:autoSpaceDE w:val="0"/>
              <w:autoSpaceDN w:val="0"/>
              <w:adjustRightInd w:val="0"/>
              <w:jc w:val="center"/>
              <w:rPr>
                <w:rFonts w:ascii="Arial" w:hAnsi="Arial" w:cs="Arial"/>
                <w:i/>
                <w:color w:val="000000"/>
                <w:sz w:val="20"/>
                <w:szCs w:val="20"/>
                <w:lang w:val="en-US" w:eastAsia="en-US"/>
              </w:rPr>
            </w:pPr>
            <w:r w:rsidRPr="00A51255">
              <w:rPr>
                <w:rFonts w:ascii="Arial" w:hAnsi="Arial" w:cs="Arial"/>
                <w:i/>
                <w:color w:val="000000"/>
                <w:sz w:val="20"/>
                <w:szCs w:val="20"/>
                <w:lang w:val="en-US" w:eastAsia="en-US"/>
              </w:rPr>
              <w:t>50</w:t>
            </w:r>
          </w:p>
        </w:tc>
      </w:tr>
      <w:tr w:rsidR="00546C5C" w:rsidRPr="00A51255" w:rsidTr="00537A0B">
        <w:trPr>
          <w:trHeight w:val="397"/>
          <w:jc w:val="center"/>
        </w:trPr>
        <w:tc>
          <w:tcPr>
            <w:tcW w:w="3402" w:type="dxa"/>
            <w:vAlign w:val="center"/>
          </w:tcPr>
          <w:p w:rsidR="00546C5C" w:rsidRPr="00A51255" w:rsidRDefault="00546C5C" w:rsidP="00CA1796">
            <w:pPr>
              <w:autoSpaceDE w:val="0"/>
              <w:autoSpaceDN w:val="0"/>
              <w:adjustRightInd w:val="0"/>
              <w:jc w:val="center"/>
              <w:rPr>
                <w:rFonts w:ascii="Arial" w:hAnsi="Arial" w:cs="Arial"/>
                <w:b/>
                <w:bCs/>
                <w:color w:val="000000"/>
                <w:sz w:val="20"/>
                <w:szCs w:val="20"/>
                <w:lang w:val="en-US" w:eastAsia="en-US"/>
              </w:rPr>
            </w:pPr>
            <w:r w:rsidRPr="00A51255">
              <w:rPr>
                <w:rFonts w:ascii="Arial" w:hAnsi="Arial" w:cs="Arial"/>
                <w:b/>
                <w:bCs/>
                <w:color w:val="000000"/>
                <w:sz w:val="20"/>
                <w:szCs w:val="20"/>
                <w:lang w:val="en-US" w:eastAsia="en-US"/>
              </w:rPr>
              <w:t>until 10:00 AM</w:t>
            </w:r>
          </w:p>
        </w:tc>
        <w:tc>
          <w:tcPr>
            <w:tcW w:w="2381" w:type="dxa"/>
            <w:vAlign w:val="center"/>
          </w:tcPr>
          <w:p w:rsidR="00546C5C" w:rsidRPr="00A51255" w:rsidRDefault="00546C5C" w:rsidP="00CA1796">
            <w:pPr>
              <w:autoSpaceDE w:val="0"/>
              <w:autoSpaceDN w:val="0"/>
              <w:adjustRightInd w:val="0"/>
              <w:jc w:val="center"/>
              <w:rPr>
                <w:rFonts w:ascii="Arial" w:hAnsi="Arial" w:cs="Arial"/>
                <w:bCs/>
                <w:color w:val="000000"/>
                <w:sz w:val="20"/>
                <w:szCs w:val="20"/>
                <w:lang w:val="en-US" w:eastAsia="en-US"/>
              </w:rPr>
            </w:pPr>
            <w:r w:rsidRPr="00A51255">
              <w:rPr>
                <w:rFonts w:ascii="Arial" w:hAnsi="Arial" w:cs="Arial"/>
                <w:bCs/>
                <w:color w:val="000000"/>
                <w:sz w:val="20"/>
                <w:szCs w:val="20"/>
                <w:lang w:val="en-US" w:eastAsia="en-US"/>
              </w:rPr>
              <w:t>10:00 AM</w:t>
            </w:r>
          </w:p>
        </w:tc>
        <w:tc>
          <w:tcPr>
            <w:tcW w:w="1102" w:type="dxa"/>
            <w:vAlign w:val="center"/>
          </w:tcPr>
          <w:p w:rsidR="00546C5C" w:rsidRPr="001D4511" w:rsidRDefault="00546C5C" w:rsidP="00537A0B">
            <w:pPr>
              <w:autoSpaceDE w:val="0"/>
              <w:autoSpaceDN w:val="0"/>
              <w:adjustRightInd w:val="0"/>
              <w:jc w:val="center"/>
            </w:pPr>
            <w:r w:rsidRPr="00537A0B">
              <w:rPr>
                <w:rFonts w:ascii="Arial" w:hAnsi="Arial" w:cs="Arial"/>
                <w:color w:val="000000"/>
                <w:sz w:val="20"/>
                <w:szCs w:val="20"/>
                <w:lang w:val="en-US" w:eastAsia="en-US"/>
              </w:rPr>
              <w:t>807</w:t>
            </w:r>
          </w:p>
        </w:tc>
        <w:tc>
          <w:tcPr>
            <w:tcW w:w="1102" w:type="dxa"/>
            <w:vAlign w:val="center"/>
          </w:tcPr>
          <w:p w:rsidR="00546C5C" w:rsidRPr="00537A0B" w:rsidRDefault="00546C5C" w:rsidP="00537A0B">
            <w:pPr>
              <w:autoSpaceDE w:val="0"/>
              <w:autoSpaceDN w:val="0"/>
              <w:adjustRightInd w:val="0"/>
              <w:jc w:val="center"/>
              <w:rPr>
                <w:rFonts w:ascii="Arial" w:hAnsi="Arial" w:cs="Arial"/>
                <w:color w:val="000000"/>
                <w:sz w:val="20"/>
                <w:szCs w:val="20"/>
                <w:lang w:val="en-US" w:eastAsia="en-US"/>
              </w:rPr>
            </w:pPr>
            <w:r w:rsidRPr="00537A0B">
              <w:rPr>
                <w:rFonts w:ascii="Arial" w:hAnsi="Arial" w:cs="Arial"/>
                <w:color w:val="000000"/>
                <w:sz w:val="20"/>
                <w:szCs w:val="20"/>
                <w:lang w:val="en-US" w:eastAsia="en-US"/>
              </w:rPr>
              <w:t>741</w:t>
            </w:r>
          </w:p>
        </w:tc>
        <w:tc>
          <w:tcPr>
            <w:tcW w:w="1102" w:type="dxa"/>
            <w:vAlign w:val="center"/>
          </w:tcPr>
          <w:p w:rsidR="00546C5C" w:rsidRPr="00537A0B" w:rsidRDefault="00546C5C" w:rsidP="00537A0B">
            <w:pPr>
              <w:autoSpaceDE w:val="0"/>
              <w:autoSpaceDN w:val="0"/>
              <w:adjustRightInd w:val="0"/>
              <w:jc w:val="center"/>
              <w:rPr>
                <w:rFonts w:ascii="Arial" w:hAnsi="Arial" w:cs="Arial"/>
                <w:color w:val="000000"/>
                <w:sz w:val="20"/>
                <w:szCs w:val="20"/>
                <w:lang w:val="en-US" w:eastAsia="en-US"/>
              </w:rPr>
            </w:pPr>
            <w:r w:rsidRPr="00537A0B">
              <w:rPr>
                <w:rFonts w:ascii="Arial" w:hAnsi="Arial" w:cs="Arial"/>
                <w:color w:val="000000"/>
                <w:sz w:val="20"/>
                <w:szCs w:val="20"/>
                <w:lang w:val="en-US" w:eastAsia="en-US"/>
              </w:rPr>
              <w:t>642</w:t>
            </w:r>
          </w:p>
        </w:tc>
        <w:tc>
          <w:tcPr>
            <w:tcW w:w="1102" w:type="dxa"/>
            <w:vAlign w:val="center"/>
          </w:tcPr>
          <w:p w:rsidR="00546C5C" w:rsidRPr="00537A0B" w:rsidRDefault="00546C5C" w:rsidP="00537A0B">
            <w:pPr>
              <w:autoSpaceDE w:val="0"/>
              <w:autoSpaceDN w:val="0"/>
              <w:adjustRightInd w:val="0"/>
              <w:jc w:val="center"/>
              <w:rPr>
                <w:rFonts w:ascii="Arial" w:hAnsi="Arial" w:cs="Arial"/>
                <w:color w:val="000000"/>
                <w:sz w:val="20"/>
                <w:szCs w:val="20"/>
                <w:lang w:val="en-US" w:eastAsia="en-US"/>
              </w:rPr>
            </w:pPr>
            <w:r w:rsidRPr="00537A0B">
              <w:rPr>
                <w:rFonts w:ascii="Arial" w:hAnsi="Arial" w:cs="Arial"/>
                <w:color w:val="000000"/>
                <w:sz w:val="20"/>
                <w:szCs w:val="20"/>
                <w:lang w:val="en-US" w:eastAsia="en-US"/>
              </w:rPr>
              <w:t>477</w:t>
            </w:r>
          </w:p>
        </w:tc>
      </w:tr>
      <w:tr w:rsidR="00546C5C" w:rsidRPr="00A51255" w:rsidTr="00537A0B">
        <w:trPr>
          <w:trHeight w:val="397"/>
          <w:jc w:val="center"/>
        </w:trPr>
        <w:tc>
          <w:tcPr>
            <w:tcW w:w="3402" w:type="dxa"/>
            <w:vAlign w:val="center"/>
          </w:tcPr>
          <w:p w:rsidR="00546C5C" w:rsidRPr="00A51255" w:rsidRDefault="00546C5C" w:rsidP="00CA1796">
            <w:pPr>
              <w:autoSpaceDE w:val="0"/>
              <w:autoSpaceDN w:val="0"/>
              <w:adjustRightInd w:val="0"/>
              <w:jc w:val="center"/>
              <w:rPr>
                <w:rFonts w:ascii="Arial" w:hAnsi="Arial" w:cs="Arial"/>
                <w:b/>
                <w:bCs/>
                <w:color w:val="000000"/>
                <w:sz w:val="20"/>
                <w:szCs w:val="20"/>
                <w:lang w:val="en-US" w:eastAsia="en-US"/>
              </w:rPr>
            </w:pPr>
            <w:r w:rsidRPr="00A51255">
              <w:rPr>
                <w:rFonts w:ascii="Arial" w:hAnsi="Arial" w:cs="Arial"/>
                <w:b/>
                <w:bCs/>
                <w:color w:val="000000"/>
                <w:sz w:val="20"/>
                <w:szCs w:val="20"/>
                <w:lang w:val="en-US" w:eastAsia="en-US"/>
              </w:rPr>
              <w:t>10:00 AM +3h</w:t>
            </w:r>
          </w:p>
        </w:tc>
        <w:tc>
          <w:tcPr>
            <w:tcW w:w="2381" w:type="dxa"/>
            <w:vAlign w:val="center"/>
          </w:tcPr>
          <w:p w:rsidR="00546C5C" w:rsidRPr="00A51255" w:rsidRDefault="00546C5C" w:rsidP="00CA1796">
            <w:pPr>
              <w:autoSpaceDE w:val="0"/>
              <w:autoSpaceDN w:val="0"/>
              <w:adjustRightInd w:val="0"/>
              <w:jc w:val="center"/>
              <w:rPr>
                <w:rFonts w:ascii="Arial" w:hAnsi="Arial" w:cs="Arial"/>
                <w:bCs/>
                <w:color w:val="000000"/>
                <w:sz w:val="20"/>
                <w:szCs w:val="20"/>
                <w:lang w:val="en-US" w:eastAsia="en-US"/>
              </w:rPr>
            </w:pPr>
            <w:r w:rsidRPr="00A51255">
              <w:rPr>
                <w:rFonts w:ascii="Arial" w:hAnsi="Arial" w:cs="Arial"/>
                <w:bCs/>
                <w:color w:val="000000"/>
                <w:sz w:val="20"/>
                <w:szCs w:val="20"/>
                <w:lang w:val="en-US" w:eastAsia="en-US"/>
              </w:rPr>
              <w:t>1:00 PM</w:t>
            </w:r>
          </w:p>
        </w:tc>
        <w:tc>
          <w:tcPr>
            <w:tcW w:w="1102" w:type="dxa"/>
            <w:vAlign w:val="center"/>
          </w:tcPr>
          <w:p w:rsidR="00546C5C" w:rsidRPr="00537A0B" w:rsidRDefault="00546C5C" w:rsidP="00537A0B">
            <w:pPr>
              <w:autoSpaceDE w:val="0"/>
              <w:autoSpaceDN w:val="0"/>
              <w:adjustRightInd w:val="0"/>
              <w:jc w:val="center"/>
              <w:rPr>
                <w:rFonts w:ascii="Arial" w:hAnsi="Arial" w:cs="Arial"/>
                <w:color w:val="000000"/>
                <w:sz w:val="20"/>
                <w:szCs w:val="20"/>
                <w:lang w:val="en-US" w:eastAsia="en-US"/>
              </w:rPr>
            </w:pPr>
            <w:r w:rsidRPr="00537A0B">
              <w:rPr>
                <w:rFonts w:ascii="Arial" w:hAnsi="Arial" w:cs="Arial"/>
                <w:color w:val="000000"/>
                <w:sz w:val="20"/>
                <w:szCs w:val="20"/>
                <w:lang w:val="en-US" w:eastAsia="en-US"/>
              </w:rPr>
              <w:t>1695</w:t>
            </w:r>
          </w:p>
        </w:tc>
        <w:tc>
          <w:tcPr>
            <w:tcW w:w="1102" w:type="dxa"/>
            <w:vAlign w:val="center"/>
          </w:tcPr>
          <w:p w:rsidR="00546C5C" w:rsidRPr="00537A0B" w:rsidRDefault="00546C5C" w:rsidP="00537A0B">
            <w:pPr>
              <w:autoSpaceDE w:val="0"/>
              <w:autoSpaceDN w:val="0"/>
              <w:adjustRightInd w:val="0"/>
              <w:jc w:val="center"/>
              <w:rPr>
                <w:rFonts w:ascii="Arial" w:hAnsi="Arial" w:cs="Arial"/>
                <w:color w:val="000000"/>
                <w:sz w:val="20"/>
                <w:szCs w:val="20"/>
                <w:lang w:val="en-US" w:eastAsia="en-US"/>
              </w:rPr>
            </w:pPr>
            <w:r w:rsidRPr="00537A0B">
              <w:rPr>
                <w:rFonts w:ascii="Arial" w:hAnsi="Arial" w:cs="Arial"/>
                <w:color w:val="000000"/>
                <w:sz w:val="20"/>
                <w:szCs w:val="20"/>
                <w:lang w:val="en-US" w:eastAsia="en-US"/>
              </w:rPr>
              <w:t>1629</w:t>
            </w:r>
          </w:p>
        </w:tc>
        <w:tc>
          <w:tcPr>
            <w:tcW w:w="1102" w:type="dxa"/>
            <w:vAlign w:val="center"/>
          </w:tcPr>
          <w:p w:rsidR="00546C5C" w:rsidRPr="00537A0B" w:rsidRDefault="00546C5C" w:rsidP="00537A0B">
            <w:pPr>
              <w:autoSpaceDE w:val="0"/>
              <w:autoSpaceDN w:val="0"/>
              <w:adjustRightInd w:val="0"/>
              <w:jc w:val="center"/>
              <w:rPr>
                <w:rFonts w:ascii="Arial" w:hAnsi="Arial" w:cs="Arial"/>
                <w:color w:val="000000"/>
                <w:sz w:val="20"/>
                <w:szCs w:val="20"/>
                <w:lang w:val="en-US" w:eastAsia="en-US"/>
              </w:rPr>
            </w:pPr>
            <w:r w:rsidRPr="00537A0B">
              <w:rPr>
                <w:rFonts w:ascii="Arial" w:hAnsi="Arial" w:cs="Arial"/>
                <w:color w:val="000000"/>
                <w:sz w:val="20"/>
                <w:szCs w:val="20"/>
                <w:lang w:val="en-US" w:eastAsia="en-US"/>
              </w:rPr>
              <w:t>1530</w:t>
            </w:r>
          </w:p>
        </w:tc>
        <w:tc>
          <w:tcPr>
            <w:tcW w:w="1102" w:type="dxa"/>
            <w:vAlign w:val="center"/>
          </w:tcPr>
          <w:p w:rsidR="00546C5C" w:rsidRPr="00537A0B" w:rsidRDefault="00546C5C" w:rsidP="00537A0B">
            <w:pPr>
              <w:autoSpaceDE w:val="0"/>
              <w:autoSpaceDN w:val="0"/>
              <w:adjustRightInd w:val="0"/>
              <w:jc w:val="center"/>
              <w:rPr>
                <w:rFonts w:ascii="Arial" w:hAnsi="Arial" w:cs="Arial"/>
                <w:color w:val="000000"/>
                <w:sz w:val="20"/>
                <w:szCs w:val="20"/>
                <w:lang w:val="en-US" w:eastAsia="en-US"/>
              </w:rPr>
            </w:pPr>
            <w:r w:rsidRPr="00537A0B">
              <w:rPr>
                <w:rFonts w:ascii="Arial" w:hAnsi="Arial" w:cs="Arial"/>
                <w:color w:val="000000"/>
                <w:sz w:val="20"/>
                <w:szCs w:val="20"/>
                <w:lang w:val="en-US" w:eastAsia="en-US"/>
              </w:rPr>
              <w:t>1365</w:t>
            </w:r>
          </w:p>
        </w:tc>
      </w:tr>
      <w:tr w:rsidR="00546C5C" w:rsidRPr="00A51255" w:rsidTr="00537A0B">
        <w:trPr>
          <w:trHeight w:val="397"/>
          <w:jc w:val="center"/>
        </w:trPr>
        <w:tc>
          <w:tcPr>
            <w:tcW w:w="3402" w:type="dxa"/>
            <w:vAlign w:val="center"/>
          </w:tcPr>
          <w:p w:rsidR="00546C5C" w:rsidRPr="00A51255" w:rsidRDefault="00546C5C" w:rsidP="00CA1796">
            <w:pPr>
              <w:autoSpaceDE w:val="0"/>
              <w:autoSpaceDN w:val="0"/>
              <w:adjustRightInd w:val="0"/>
              <w:jc w:val="center"/>
              <w:rPr>
                <w:rFonts w:ascii="Arial" w:hAnsi="Arial" w:cs="Arial"/>
                <w:b/>
                <w:bCs/>
                <w:color w:val="000000"/>
                <w:sz w:val="20"/>
                <w:szCs w:val="20"/>
                <w:lang w:val="en-US" w:eastAsia="en-US"/>
              </w:rPr>
            </w:pPr>
            <w:r w:rsidRPr="00A51255">
              <w:rPr>
                <w:rFonts w:ascii="Arial" w:hAnsi="Arial" w:cs="Arial"/>
                <w:b/>
                <w:bCs/>
                <w:color w:val="000000"/>
                <w:sz w:val="20"/>
                <w:szCs w:val="20"/>
                <w:lang w:val="en-US" w:eastAsia="en-US"/>
              </w:rPr>
              <w:t>10:00 AM +6h</w:t>
            </w:r>
          </w:p>
        </w:tc>
        <w:tc>
          <w:tcPr>
            <w:tcW w:w="2381" w:type="dxa"/>
            <w:vAlign w:val="center"/>
          </w:tcPr>
          <w:p w:rsidR="00546C5C" w:rsidRPr="00A51255" w:rsidRDefault="00546C5C" w:rsidP="00CA1796">
            <w:pPr>
              <w:autoSpaceDE w:val="0"/>
              <w:autoSpaceDN w:val="0"/>
              <w:adjustRightInd w:val="0"/>
              <w:jc w:val="center"/>
              <w:rPr>
                <w:rFonts w:ascii="Arial" w:hAnsi="Arial" w:cs="Arial"/>
                <w:bCs/>
                <w:color w:val="000000"/>
                <w:sz w:val="20"/>
                <w:szCs w:val="20"/>
                <w:lang w:val="en-US" w:eastAsia="en-US"/>
              </w:rPr>
            </w:pPr>
            <w:r w:rsidRPr="00A51255">
              <w:rPr>
                <w:rFonts w:ascii="Arial" w:hAnsi="Arial" w:cs="Arial"/>
                <w:bCs/>
                <w:color w:val="000000"/>
                <w:sz w:val="20"/>
                <w:szCs w:val="20"/>
                <w:lang w:val="en-US" w:eastAsia="en-US"/>
              </w:rPr>
              <w:t>4:00 PM</w:t>
            </w:r>
          </w:p>
        </w:tc>
        <w:tc>
          <w:tcPr>
            <w:tcW w:w="1102" w:type="dxa"/>
            <w:vAlign w:val="center"/>
          </w:tcPr>
          <w:p w:rsidR="00546C5C" w:rsidRPr="00537A0B" w:rsidRDefault="00546C5C" w:rsidP="00537A0B">
            <w:pPr>
              <w:autoSpaceDE w:val="0"/>
              <w:autoSpaceDN w:val="0"/>
              <w:adjustRightInd w:val="0"/>
              <w:jc w:val="center"/>
              <w:rPr>
                <w:rFonts w:ascii="Arial" w:hAnsi="Arial" w:cs="Arial"/>
                <w:color w:val="000000"/>
                <w:sz w:val="20"/>
                <w:szCs w:val="20"/>
                <w:lang w:val="en-US" w:eastAsia="en-US"/>
              </w:rPr>
            </w:pPr>
            <w:r w:rsidRPr="00537A0B">
              <w:rPr>
                <w:rFonts w:ascii="Arial" w:hAnsi="Arial" w:cs="Arial"/>
                <w:color w:val="000000"/>
                <w:sz w:val="20"/>
                <w:szCs w:val="20"/>
                <w:lang w:val="en-US" w:eastAsia="en-US"/>
              </w:rPr>
              <w:t>739</w:t>
            </w:r>
          </w:p>
        </w:tc>
        <w:tc>
          <w:tcPr>
            <w:tcW w:w="1102" w:type="dxa"/>
            <w:vAlign w:val="center"/>
          </w:tcPr>
          <w:p w:rsidR="00546C5C" w:rsidRPr="00537A0B" w:rsidRDefault="00546C5C" w:rsidP="00537A0B">
            <w:pPr>
              <w:autoSpaceDE w:val="0"/>
              <w:autoSpaceDN w:val="0"/>
              <w:adjustRightInd w:val="0"/>
              <w:jc w:val="center"/>
              <w:rPr>
                <w:rFonts w:ascii="Arial" w:hAnsi="Arial" w:cs="Arial"/>
                <w:color w:val="000000"/>
                <w:sz w:val="20"/>
                <w:szCs w:val="20"/>
                <w:lang w:val="en-US" w:eastAsia="en-US"/>
              </w:rPr>
            </w:pPr>
            <w:r w:rsidRPr="00537A0B">
              <w:rPr>
                <w:rFonts w:ascii="Arial" w:hAnsi="Arial" w:cs="Arial"/>
                <w:color w:val="000000"/>
                <w:sz w:val="20"/>
                <w:szCs w:val="20"/>
                <w:lang w:val="en-US" w:eastAsia="en-US"/>
              </w:rPr>
              <w:t>673</w:t>
            </w:r>
          </w:p>
        </w:tc>
        <w:tc>
          <w:tcPr>
            <w:tcW w:w="1102" w:type="dxa"/>
            <w:vAlign w:val="center"/>
          </w:tcPr>
          <w:p w:rsidR="00546C5C" w:rsidRPr="00537A0B" w:rsidRDefault="00546C5C" w:rsidP="00537A0B">
            <w:pPr>
              <w:autoSpaceDE w:val="0"/>
              <w:autoSpaceDN w:val="0"/>
              <w:adjustRightInd w:val="0"/>
              <w:jc w:val="center"/>
              <w:rPr>
                <w:rFonts w:ascii="Arial" w:hAnsi="Arial" w:cs="Arial"/>
                <w:color w:val="000000"/>
                <w:sz w:val="20"/>
                <w:szCs w:val="20"/>
                <w:lang w:val="en-US" w:eastAsia="en-US"/>
              </w:rPr>
            </w:pPr>
            <w:r w:rsidRPr="00537A0B">
              <w:rPr>
                <w:rFonts w:ascii="Arial" w:hAnsi="Arial" w:cs="Arial"/>
                <w:color w:val="000000"/>
                <w:sz w:val="20"/>
                <w:szCs w:val="20"/>
                <w:lang w:val="en-US" w:eastAsia="en-US"/>
              </w:rPr>
              <w:t>574</w:t>
            </w:r>
          </w:p>
        </w:tc>
        <w:tc>
          <w:tcPr>
            <w:tcW w:w="1102" w:type="dxa"/>
            <w:vAlign w:val="center"/>
          </w:tcPr>
          <w:p w:rsidR="00546C5C" w:rsidRPr="00537A0B" w:rsidRDefault="00546C5C" w:rsidP="00537A0B">
            <w:pPr>
              <w:autoSpaceDE w:val="0"/>
              <w:autoSpaceDN w:val="0"/>
              <w:adjustRightInd w:val="0"/>
              <w:jc w:val="center"/>
              <w:rPr>
                <w:rFonts w:ascii="Arial" w:hAnsi="Arial" w:cs="Arial"/>
                <w:color w:val="000000"/>
                <w:sz w:val="20"/>
                <w:szCs w:val="20"/>
                <w:lang w:val="en-US" w:eastAsia="en-US"/>
              </w:rPr>
            </w:pPr>
            <w:r w:rsidRPr="00537A0B">
              <w:rPr>
                <w:rFonts w:ascii="Arial" w:hAnsi="Arial" w:cs="Arial"/>
                <w:color w:val="000000"/>
                <w:sz w:val="20"/>
                <w:szCs w:val="20"/>
                <w:lang w:val="en-US" w:eastAsia="en-US"/>
              </w:rPr>
              <w:t>409</w:t>
            </w:r>
          </w:p>
        </w:tc>
      </w:tr>
      <w:tr w:rsidR="00546C5C" w:rsidRPr="00A51255" w:rsidTr="00537A0B">
        <w:trPr>
          <w:trHeight w:val="397"/>
          <w:jc w:val="center"/>
        </w:trPr>
        <w:tc>
          <w:tcPr>
            <w:tcW w:w="3402" w:type="dxa"/>
            <w:vAlign w:val="center"/>
          </w:tcPr>
          <w:p w:rsidR="00546C5C" w:rsidRPr="00A51255" w:rsidRDefault="00546C5C" w:rsidP="00CA1796">
            <w:pPr>
              <w:autoSpaceDE w:val="0"/>
              <w:autoSpaceDN w:val="0"/>
              <w:adjustRightInd w:val="0"/>
              <w:jc w:val="center"/>
              <w:rPr>
                <w:rFonts w:ascii="Arial" w:hAnsi="Arial" w:cs="Arial"/>
                <w:b/>
                <w:bCs/>
                <w:color w:val="000000"/>
                <w:sz w:val="20"/>
                <w:szCs w:val="20"/>
                <w:lang w:val="en-US" w:eastAsia="en-US"/>
              </w:rPr>
            </w:pPr>
            <w:r w:rsidRPr="00A51255">
              <w:rPr>
                <w:rFonts w:ascii="Arial" w:hAnsi="Arial" w:cs="Arial"/>
                <w:b/>
                <w:bCs/>
                <w:color w:val="000000"/>
                <w:sz w:val="20"/>
                <w:szCs w:val="20"/>
                <w:lang w:val="en-US" w:eastAsia="en-US"/>
              </w:rPr>
              <w:t>10:00 AM +9h</w:t>
            </w:r>
          </w:p>
        </w:tc>
        <w:tc>
          <w:tcPr>
            <w:tcW w:w="2381" w:type="dxa"/>
            <w:vAlign w:val="center"/>
          </w:tcPr>
          <w:p w:rsidR="00546C5C" w:rsidRPr="00A51255" w:rsidRDefault="00546C5C" w:rsidP="00CA1796">
            <w:pPr>
              <w:autoSpaceDE w:val="0"/>
              <w:autoSpaceDN w:val="0"/>
              <w:adjustRightInd w:val="0"/>
              <w:jc w:val="center"/>
              <w:rPr>
                <w:rFonts w:ascii="Arial" w:hAnsi="Arial" w:cs="Arial"/>
                <w:bCs/>
                <w:color w:val="000000"/>
                <w:sz w:val="20"/>
                <w:szCs w:val="20"/>
                <w:lang w:val="en-US" w:eastAsia="en-US"/>
              </w:rPr>
            </w:pPr>
            <w:r w:rsidRPr="00A51255">
              <w:rPr>
                <w:rFonts w:ascii="Arial" w:hAnsi="Arial" w:cs="Arial"/>
                <w:bCs/>
                <w:color w:val="000000"/>
                <w:sz w:val="20"/>
                <w:szCs w:val="20"/>
                <w:lang w:val="en-US" w:eastAsia="en-US"/>
              </w:rPr>
              <w:t>7:00 PM</w:t>
            </w:r>
          </w:p>
        </w:tc>
        <w:tc>
          <w:tcPr>
            <w:tcW w:w="1102" w:type="dxa"/>
            <w:vAlign w:val="center"/>
          </w:tcPr>
          <w:p w:rsidR="00546C5C" w:rsidRPr="00537A0B" w:rsidRDefault="00546C5C" w:rsidP="00537A0B">
            <w:pPr>
              <w:autoSpaceDE w:val="0"/>
              <w:autoSpaceDN w:val="0"/>
              <w:adjustRightInd w:val="0"/>
              <w:jc w:val="center"/>
              <w:rPr>
                <w:rFonts w:ascii="Arial" w:hAnsi="Arial" w:cs="Arial"/>
                <w:color w:val="000000"/>
                <w:sz w:val="20"/>
                <w:szCs w:val="20"/>
                <w:lang w:val="en-US" w:eastAsia="en-US"/>
              </w:rPr>
            </w:pPr>
            <w:r w:rsidRPr="00537A0B">
              <w:rPr>
                <w:rFonts w:ascii="Arial" w:hAnsi="Arial" w:cs="Arial"/>
                <w:color w:val="000000"/>
                <w:sz w:val="20"/>
                <w:szCs w:val="20"/>
                <w:lang w:val="en-US" w:eastAsia="en-US"/>
              </w:rPr>
              <w:t>653</w:t>
            </w:r>
          </w:p>
        </w:tc>
        <w:tc>
          <w:tcPr>
            <w:tcW w:w="1102" w:type="dxa"/>
            <w:vAlign w:val="center"/>
          </w:tcPr>
          <w:p w:rsidR="00546C5C" w:rsidRPr="00537A0B" w:rsidRDefault="00546C5C" w:rsidP="00537A0B">
            <w:pPr>
              <w:autoSpaceDE w:val="0"/>
              <w:autoSpaceDN w:val="0"/>
              <w:adjustRightInd w:val="0"/>
              <w:jc w:val="center"/>
              <w:rPr>
                <w:rFonts w:ascii="Arial" w:hAnsi="Arial" w:cs="Arial"/>
                <w:color w:val="000000"/>
                <w:sz w:val="20"/>
                <w:szCs w:val="20"/>
                <w:lang w:val="en-US" w:eastAsia="en-US"/>
              </w:rPr>
            </w:pPr>
            <w:r w:rsidRPr="00537A0B">
              <w:rPr>
                <w:rFonts w:ascii="Arial" w:hAnsi="Arial" w:cs="Arial"/>
                <w:color w:val="000000"/>
                <w:sz w:val="20"/>
                <w:szCs w:val="20"/>
                <w:lang w:val="en-US" w:eastAsia="en-US"/>
              </w:rPr>
              <w:t>587</w:t>
            </w:r>
          </w:p>
        </w:tc>
        <w:tc>
          <w:tcPr>
            <w:tcW w:w="1102" w:type="dxa"/>
            <w:vAlign w:val="center"/>
          </w:tcPr>
          <w:p w:rsidR="00546C5C" w:rsidRPr="00537A0B" w:rsidRDefault="00546C5C" w:rsidP="00537A0B">
            <w:pPr>
              <w:autoSpaceDE w:val="0"/>
              <w:autoSpaceDN w:val="0"/>
              <w:adjustRightInd w:val="0"/>
              <w:jc w:val="center"/>
              <w:rPr>
                <w:rFonts w:ascii="Arial" w:hAnsi="Arial" w:cs="Arial"/>
                <w:color w:val="000000"/>
                <w:sz w:val="20"/>
                <w:szCs w:val="20"/>
                <w:lang w:val="en-US" w:eastAsia="en-US"/>
              </w:rPr>
            </w:pPr>
            <w:r w:rsidRPr="00537A0B">
              <w:rPr>
                <w:rFonts w:ascii="Arial" w:hAnsi="Arial" w:cs="Arial"/>
                <w:color w:val="000000"/>
                <w:sz w:val="20"/>
                <w:szCs w:val="20"/>
                <w:lang w:val="en-US" w:eastAsia="en-US"/>
              </w:rPr>
              <w:t>488</w:t>
            </w:r>
          </w:p>
        </w:tc>
        <w:tc>
          <w:tcPr>
            <w:tcW w:w="1102" w:type="dxa"/>
            <w:vAlign w:val="center"/>
          </w:tcPr>
          <w:p w:rsidR="00546C5C" w:rsidRPr="00537A0B" w:rsidRDefault="00546C5C" w:rsidP="00537A0B">
            <w:pPr>
              <w:autoSpaceDE w:val="0"/>
              <w:autoSpaceDN w:val="0"/>
              <w:adjustRightInd w:val="0"/>
              <w:jc w:val="center"/>
              <w:rPr>
                <w:rFonts w:ascii="Arial" w:hAnsi="Arial" w:cs="Arial"/>
                <w:color w:val="000000"/>
                <w:sz w:val="20"/>
                <w:szCs w:val="20"/>
                <w:lang w:val="en-US" w:eastAsia="en-US"/>
              </w:rPr>
            </w:pPr>
            <w:r w:rsidRPr="00537A0B">
              <w:rPr>
                <w:rFonts w:ascii="Arial" w:hAnsi="Arial" w:cs="Arial"/>
                <w:color w:val="000000"/>
                <w:sz w:val="20"/>
                <w:szCs w:val="20"/>
                <w:lang w:val="en-US" w:eastAsia="en-US"/>
              </w:rPr>
              <w:t>323</w:t>
            </w:r>
          </w:p>
        </w:tc>
      </w:tr>
      <w:tr w:rsidR="00546C5C" w:rsidRPr="00265EBC" w:rsidTr="00537A0B">
        <w:trPr>
          <w:trHeight w:val="397"/>
          <w:jc w:val="center"/>
        </w:trPr>
        <w:tc>
          <w:tcPr>
            <w:tcW w:w="3402" w:type="dxa"/>
            <w:vAlign w:val="center"/>
          </w:tcPr>
          <w:p w:rsidR="00546C5C" w:rsidRPr="00A51255" w:rsidRDefault="00546C5C" w:rsidP="00CA1796">
            <w:pPr>
              <w:autoSpaceDE w:val="0"/>
              <w:autoSpaceDN w:val="0"/>
              <w:adjustRightInd w:val="0"/>
              <w:jc w:val="center"/>
              <w:rPr>
                <w:rFonts w:ascii="Arial" w:hAnsi="Arial" w:cs="Arial"/>
                <w:b/>
                <w:bCs/>
                <w:color w:val="000000"/>
                <w:sz w:val="20"/>
                <w:szCs w:val="20"/>
                <w:lang w:val="en-US" w:eastAsia="en-US"/>
              </w:rPr>
            </w:pPr>
            <w:r w:rsidRPr="00A51255">
              <w:rPr>
                <w:rFonts w:ascii="Arial" w:hAnsi="Arial" w:cs="Arial"/>
                <w:b/>
                <w:bCs/>
                <w:color w:val="000000"/>
                <w:sz w:val="20"/>
                <w:szCs w:val="20"/>
                <w:lang w:val="en-US" w:eastAsia="en-US"/>
              </w:rPr>
              <w:t xml:space="preserve">until the end of day </w:t>
            </w:r>
            <w:r w:rsidRPr="00A51255">
              <w:rPr>
                <w:b/>
                <w:bCs/>
                <w:i/>
                <w:iCs/>
                <w:color w:val="000000"/>
                <w:sz w:val="20"/>
                <w:szCs w:val="20"/>
                <w:lang w:val="en-US" w:eastAsia="en-US"/>
              </w:rPr>
              <w:t>t+1</w:t>
            </w:r>
          </w:p>
        </w:tc>
        <w:tc>
          <w:tcPr>
            <w:tcW w:w="2381" w:type="dxa"/>
            <w:vAlign w:val="center"/>
          </w:tcPr>
          <w:p w:rsidR="00546C5C" w:rsidRPr="00A51255" w:rsidRDefault="00546C5C" w:rsidP="00CA1796">
            <w:pPr>
              <w:autoSpaceDE w:val="0"/>
              <w:autoSpaceDN w:val="0"/>
              <w:adjustRightInd w:val="0"/>
              <w:jc w:val="center"/>
              <w:rPr>
                <w:rFonts w:ascii="Arial" w:hAnsi="Arial" w:cs="Arial"/>
                <w:bCs/>
                <w:color w:val="000000"/>
                <w:sz w:val="20"/>
                <w:szCs w:val="20"/>
                <w:lang w:val="en-US" w:eastAsia="en-US"/>
              </w:rPr>
            </w:pPr>
            <w:r w:rsidRPr="00A51255">
              <w:rPr>
                <w:rFonts w:ascii="Arial" w:hAnsi="Arial" w:cs="Arial"/>
                <w:bCs/>
                <w:color w:val="000000"/>
                <w:sz w:val="20"/>
                <w:szCs w:val="20"/>
                <w:lang w:val="en-US" w:eastAsia="en-US"/>
              </w:rPr>
              <w:t>various times PM</w:t>
            </w:r>
          </w:p>
        </w:tc>
        <w:tc>
          <w:tcPr>
            <w:tcW w:w="1102" w:type="dxa"/>
            <w:vAlign w:val="center"/>
          </w:tcPr>
          <w:p w:rsidR="00546C5C" w:rsidRPr="00537A0B" w:rsidRDefault="00546C5C" w:rsidP="00537A0B">
            <w:pPr>
              <w:autoSpaceDE w:val="0"/>
              <w:autoSpaceDN w:val="0"/>
              <w:adjustRightInd w:val="0"/>
              <w:jc w:val="center"/>
              <w:rPr>
                <w:rFonts w:ascii="Arial" w:hAnsi="Arial" w:cs="Arial"/>
                <w:color w:val="000000"/>
                <w:sz w:val="20"/>
                <w:szCs w:val="20"/>
                <w:lang w:val="en-US" w:eastAsia="en-US"/>
              </w:rPr>
            </w:pPr>
            <w:r w:rsidRPr="00537A0B">
              <w:rPr>
                <w:rFonts w:ascii="Arial" w:hAnsi="Arial" w:cs="Arial"/>
                <w:color w:val="000000"/>
                <w:sz w:val="20"/>
                <w:szCs w:val="20"/>
                <w:lang w:val="en-US" w:eastAsia="en-US"/>
              </w:rPr>
              <w:t>653</w:t>
            </w:r>
          </w:p>
        </w:tc>
        <w:tc>
          <w:tcPr>
            <w:tcW w:w="1102" w:type="dxa"/>
            <w:vAlign w:val="center"/>
          </w:tcPr>
          <w:p w:rsidR="00546C5C" w:rsidRPr="00537A0B" w:rsidRDefault="00546C5C" w:rsidP="00537A0B">
            <w:pPr>
              <w:autoSpaceDE w:val="0"/>
              <w:autoSpaceDN w:val="0"/>
              <w:adjustRightInd w:val="0"/>
              <w:jc w:val="center"/>
              <w:rPr>
                <w:rFonts w:ascii="Arial" w:hAnsi="Arial" w:cs="Arial"/>
                <w:color w:val="000000"/>
                <w:sz w:val="20"/>
                <w:szCs w:val="20"/>
                <w:lang w:val="en-US" w:eastAsia="en-US"/>
              </w:rPr>
            </w:pPr>
            <w:r w:rsidRPr="00537A0B">
              <w:rPr>
                <w:rFonts w:ascii="Arial" w:hAnsi="Arial" w:cs="Arial"/>
                <w:color w:val="000000"/>
                <w:sz w:val="20"/>
                <w:szCs w:val="20"/>
                <w:lang w:val="en-US" w:eastAsia="en-US"/>
              </w:rPr>
              <w:t>587</w:t>
            </w:r>
          </w:p>
        </w:tc>
        <w:tc>
          <w:tcPr>
            <w:tcW w:w="1102" w:type="dxa"/>
            <w:vAlign w:val="center"/>
          </w:tcPr>
          <w:p w:rsidR="00546C5C" w:rsidRPr="00537A0B" w:rsidRDefault="00546C5C" w:rsidP="00537A0B">
            <w:pPr>
              <w:autoSpaceDE w:val="0"/>
              <w:autoSpaceDN w:val="0"/>
              <w:adjustRightInd w:val="0"/>
              <w:jc w:val="center"/>
              <w:rPr>
                <w:rFonts w:ascii="Arial" w:hAnsi="Arial" w:cs="Arial"/>
                <w:color w:val="000000"/>
                <w:sz w:val="20"/>
                <w:szCs w:val="20"/>
                <w:lang w:val="en-US" w:eastAsia="en-US"/>
              </w:rPr>
            </w:pPr>
            <w:r w:rsidRPr="00537A0B">
              <w:rPr>
                <w:rFonts w:ascii="Arial" w:hAnsi="Arial" w:cs="Arial"/>
                <w:color w:val="000000"/>
                <w:sz w:val="20"/>
                <w:szCs w:val="20"/>
                <w:lang w:val="en-US" w:eastAsia="en-US"/>
              </w:rPr>
              <w:t>488</w:t>
            </w:r>
          </w:p>
        </w:tc>
        <w:tc>
          <w:tcPr>
            <w:tcW w:w="1102" w:type="dxa"/>
            <w:vAlign w:val="center"/>
          </w:tcPr>
          <w:p w:rsidR="00546C5C" w:rsidRPr="00537A0B" w:rsidRDefault="00546C5C" w:rsidP="00537A0B">
            <w:pPr>
              <w:autoSpaceDE w:val="0"/>
              <w:autoSpaceDN w:val="0"/>
              <w:adjustRightInd w:val="0"/>
              <w:jc w:val="center"/>
              <w:rPr>
                <w:rFonts w:ascii="Arial" w:hAnsi="Arial" w:cs="Arial"/>
                <w:color w:val="000000"/>
                <w:sz w:val="20"/>
                <w:szCs w:val="20"/>
                <w:lang w:val="en-US" w:eastAsia="en-US"/>
              </w:rPr>
            </w:pPr>
            <w:r w:rsidRPr="00537A0B">
              <w:rPr>
                <w:rFonts w:ascii="Arial" w:hAnsi="Arial" w:cs="Arial"/>
                <w:color w:val="000000"/>
                <w:sz w:val="20"/>
                <w:szCs w:val="20"/>
                <w:lang w:val="en-US" w:eastAsia="en-US"/>
              </w:rPr>
              <w:t>323</w:t>
            </w:r>
          </w:p>
        </w:tc>
      </w:tr>
    </w:tbl>
    <w:p w:rsidR="00645905" w:rsidRDefault="00645905" w:rsidP="00645905">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3"/>
        <w:gridCol w:w="1102"/>
        <w:gridCol w:w="1102"/>
        <w:gridCol w:w="1102"/>
        <w:gridCol w:w="1102"/>
      </w:tblGrid>
      <w:tr w:rsidR="00361675" w:rsidRPr="00537A0B" w:rsidTr="002C594D">
        <w:trPr>
          <w:trHeight w:val="397"/>
          <w:jc w:val="center"/>
        </w:trPr>
        <w:tc>
          <w:tcPr>
            <w:tcW w:w="5783" w:type="dxa"/>
            <w:vAlign w:val="center"/>
          </w:tcPr>
          <w:p w:rsidR="00361675" w:rsidRPr="00A51255" w:rsidRDefault="00361675" w:rsidP="002C594D">
            <w:pPr>
              <w:autoSpaceDE w:val="0"/>
              <w:autoSpaceDN w:val="0"/>
              <w:adjustRightInd w:val="0"/>
              <w:jc w:val="center"/>
              <w:rPr>
                <w:rFonts w:ascii="Arial" w:hAnsi="Arial" w:cs="Arial"/>
                <w:bCs/>
                <w:color w:val="000000"/>
                <w:sz w:val="20"/>
                <w:szCs w:val="20"/>
                <w:lang w:val="en-US" w:eastAsia="en-US"/>
              </w:rPr>
            </w:pPr>
            <w:r>
              <w:rPr>
                <w:rFonts w:ascii="Arial" w:hAnsi="Arial" w:cs="Arial"/>
                <w:b/>
                <w:bCs/>
                <w:color w:val="000000"/>
                <w:sz w:val="20"/>
                <w:szCs w:val="20"/>
                <w:lang w:val="en-US" w:eastAsia="en-US"/>
              </w:rPr>
              <w:t xml:space="preserve">Average for all trading horizons for days </w:t>
            </w:r>
            <w:r w:rsidRPr="00373A5E">
              <w:rPr>
                <w:rFonts w:ascii="Arial" w:hAnsi="Arial" w:cs="Arial"/>
                <w:b/>
                <w:bCs/>
                <w:i/>
                <w:color w:val="000000"/>
                <w:sz w:val="20"/>
                <w:szCs w:val="20"/>
                <w:lang w:val="en-US" w:eastAsia="en-US"/>
              </w:rPr>
              <w:t>t</w:t>
            </w:r>
            <w:r>
              <w:rPr>
                <w:rFonts w:ascii="Arial" w:hAnsi="Arial" w:cs="Arial"/>
                <w:b/>
                <w:bCs/>
                <w:color w:val="000000"/>
                <w:sz w:val="20"/>
                <w:szCs w:val="20"/>
                <w:lang w:val="en-US" w:eastAsia="en-US"/>
              </w:rPr>
              <w:t xml:space="preserve"> and </w:t>
            </w:r>
            <w:r w:rsidRPr="00373A5E">
              <w:rPr>
                <w:rFonts w:ascii="Arial" w:hAnsi="Arial" w:cs="Arial"/>
                <w:b/>
                <w:bCs/>
                <w:i/>
                <w:color w:val="000000"/>
                <w:sz w:val="20"/>
                <w:szCs w:val="20"/>
                <w:lang w:val="en-US" w:eastAsia="en-US"/>
              </w:rPr>
              <w:t>t+1</w:t>
            </w:r>
            <w:r w:rsidRPr="00361675">
              <w:rPr>
                <w:rFonts w:ascii="Arial" w:hAnsi="Arial" w:cs="Arial"/>
                <w:b/>
                <w:bCs/>
                <w:color w:val="000000"/>
                <w:sz w:val="20"/>
                <w:szCs w:val="20"/>
                <w:lang w:val="en-US" w:eastAsia="en-US"/>
              </w:rPr>
              <w:t>:</w:t>
            </w:r>
          </w:p>
        </w:tc>
        <w:tc>
          <w:tcPr>
            <w:tcW w:w="1102" w:type="dxa"/>
            <w:vAlign w:val="center"/>
          </w:tcPr>
          <w:p w:rsidR="00361675" w:rsidRPr="00ED53FC" w:rsidRDefault="00361675" w:rsidP="00373A5E">
            <w:pPr>
              <w:autoSpaceDE w:val="0"/>
              <w:autoSpaceDN w:val="0"/>
              <w:adjustRightInd w:val="0"/>
              <w:jc w:val="center"/>
              <w:rPr>
                <w:rFonts w:ascii="Arial" w:hAnsi="Arial" w:cs="Arial"/>
                <w:b/>
                <w:color w:val="000000"/>
                <w:sz w:val="20"/>
                <w:szCs w:val="20"/>
                <w:lang w:val="en-US" w:eastAsia="en-US"/>
              </w:rPr>
            </w:pPr>
            <w:r w:rsidRPr="00ED53FC">
              <w:rPr>
                <w:rFonts w:ascii="Arial" w:hAnsi="Arial" w:cs="Arial"/>
                <w:b/>
                <w:color w:val="000000"/>
                <w:sz w:val="20"/>
                <w:szCs w:val="20"/>
                <w:lang w:val="en-US" w:eastAsia="en-US"/>
              </w:rPr>
              <w:t>354.50</w:t>
            </w:r>
          </w:p>
        </w:tc>
        <w:tc>
          <w:tcPr>
            <w:tcW w:w="1102" w:type="dxa"/>
            <w:vAlign w:val="center"/>
          </w:tcPr>
          <w:p w:rsidR="00361675" w:rsidRPr="00ED53FC" w:rsidRDefault="00361675" w:rsidP="00373A5E">
            <w:pPr>
              <w:autoSpaceDE w:val="0"/>
              <w:autoSpaceDN w:val="0"/>
              <w:adjustRightInd w:val="0"/>
              <w:jc w:val="center"/>
              <w:rPr>
                <w:rFonts w:ascii="Arial" w:hAnsi="Arial" w:cs="Arial"/>
                <w:b/>
                <w:color w:val="000000"/>
                <w:sz w:val="20"/>
                <w:szCs w:val="20"/>
                <w:lang w:val="en-US" w:eastAsia="en-US"/>
              </w:rPr>
            </w:pPr>
            <w:r w:rsidRPr="00ED53FC">
              <w:rPr>
                <w:rFonts w:ascii="Arial" w:hAnsi="Arial" w:cs="Arial"/>
                <w:b/>
                <w:color w:val="000000"/>
                <w:sz w:val="20"/>
                <w:szCs w:val="20"/>
                <w:lang w:val="en-US" w:eastAsia="en-US"/>
              </w:rPr>
              <w:t>311.42</w:t>
            </w:r>
          </w:p>
        </w:tc>
        <w:tc>
          <w:tcPr>
            <w:tcW w:w="1102" w:type="dxa"/>
            <w:vAlign w:val="center"/>
          </w:tcPr>
          <w:p w:rsidR="00361675" w:rsidRPr="00ED53FC" w:rsidRDefault="00361675" w:rsidP="00373A5E">
            <w:pPr>
              <w:autoSpaceDE w:val="0"/>
              <w:autoSpaceDN w:val="0"/>
              <w:adjustRightInd w:val="0"/>
              <w:jc w:val="center"/>
              <w:rPr>
                <w:rFonts w:ascii="Arial" w:hAnsi="Arial" w:cs="Arial"/>
                <w:b/>
                <w:color w:val="000000"/>
                <w:sz w:val="20"/>
                <w:szCs w:val="20"/>
                <w:lang w:val="en-US" w:eastAsia="en-US"/>
              </w:rPr>
            </w:pPr>
            <w:r w:rsidRPr="00ED53FC">
              <w:rPr>
                <w:rFonts w:ascii="Arial" w:hAnsi="Arial" w:cs="Arial"/>
                <w:b/>
                <w:color w:val="000000"/>
                <w:sz w:val="20"/>
                <w:szCs w:val="20"/>
                <w:lang w:val="en-US" w:eastAsia="en-US"/>
              </w:rPr>
              <w:t>246.92</w:t>
            </w:r>
          </w:p>
        </w:tc>
        <w:tc>
          <w:tcPr>
            <w:tcW w:w="1102" w:type="dxa"/>
            <w:vAlign w:val="center"/>
          </w:tcPr>
          <w:p w:rsidR="00361675" w:rsidRPr="00ED53FC" w:rsidRDefault="00361675" w:rsidP="00373A5E">
            <w:pPr>
              <w:autoSpaceDE w:val="0"/>
              <w:autoSpaceDN w:val="0"/>
              <w:adjustRightInd w:val="0"/>
              <w:jc w:val="center"/>
              <w:rPr>
                <w:rFonts w:ascii="Arial" w:hAnsi="Arial" w:cs="Arial"/>
                <w:b/>
                <w:color w:val="000000"/>
                <w:sz w:val="20"/>
                <w:szCs w:val="20"/>
                <w:lang w:val="en-US" w:eastAsia="en-US"/>
              </w:rPr>
            </w:pPr>
            <w:r w:rsidRPr="00ED53FC">
              <w:rPr>
                <w:rFonts w:ascii="Arial" w:hAnsi="Arial" w:cs="Arial"/>
                <w:b/>
                <w:color w:val="000000"/>
                <w:sz w:val="20"/>
                <w:szCs w:val="20"/>
                <w:lang w:val="en-US" w:eastAsia="en-US"/>
              </w:rPr>
              <w:t>139.42</w:t>
            </w:r>
          </w:p>
        </w:tc>
      </w:tr>
    </w:tbl>
    <w:p w:rsidR="00645905" w:rsidRDefault="00645905" w:rsidP="00645905">
      <w:pPr>
        <w:tabs>
          <w:tab w:val="left" w:pos="9781"/>
        </w:tabs>
        <w:ind w:right="-1"/>
        <w:jc w:val="both"/>
        <w:rPr>
          <w:rFonts w:ascii="Arial" w:hAnsi="Arial" w:cs="Arial"/>
          <w:sz w:val="16"/>
          <w:szCs w:val="16"/>
          <w:lang w:val="en-US"/>
        </w:rPr>
        <w:sectPr w:rsidR="00645905" w:rsidSect="00645905">
          <w:pgSz w:w="16838" w:h="11906" w:orient="landscape" w:code="9"/>
          <w:pgMar w:top="1134" w:right="1134" w:bottom="992" w:left="1134" w:header="720" w:footer="720" w:gutter="0"/>
          <w:cols w:space="720"/>
          <w:docGrid w:linePitch="360"/>
        </w:sectPr>
      </w:pPr>
    </w:p>
    <w:p w:rsidR="00645905" w:rsidRDefault="00645905" w:rsidP="00645905">
      <w:pPr>
        <w:tabs>
          <w:tab w:val="left" w:pos="9781"/>
        </w:tabs>
        <w:ind w:right="-1"/>
        <w:jc w:val="both"/>
        <w:rPr>
          <w:rFonts w:ascii="Arial" w:hAnsi="Arial" w:cs="Arial"/>
          <w:sz w:val="16"/>
          <w:szCs w:val="16"/>
          <w:lang w:val="en-US"/>
        </w:rPr>
      </w:pPr>
    </w:p>
    <w:p w:rsidR="001D7A9D" w:rsidRDefault="001D7A9D" w:rsidP="00645905">
      <w:pPr>
        <w:spacing w:line="360" w:lineRule="auto"/>
        <w:ind w:right="849"/>
        <w:jc w:val="both"/>
        <w:rPr>
          <w:rFonts w:ascii="Arial" w:hAnsi="Arial" w:cs="Arial"/>
          <w:lang w:val="en-US"/>
        </w:rPr>
      </w:pPr>
    </w:p>
    <w:p w:rsidR="00645905" w:rsidRDefault="00645905" w:rsidP="00645905">
      <w:pPr>
        <w:spacing w:line="360" w:lineRule="auto"/>
        <w:ind w:right="849"/>
        <w:jc w:val="both"/>
        <w:rPr>
          <w:rFonts w:ascii="Arial" w:hAnsi="Arial" w:cs="Arial"/>
          <w:lang w:val="en-US"/>
        </w:rPr>
      </w:pPr>
    </w:p>
    <w:p w:rsidR="00B56BE2" w:rsidRDefault="00B56BE2" w:rsidP="00645905">
      <w:pPr>
        <w:spacing w:line="360" w:lineRule="auto"/>
        <w:ind w:right="849"/>
        <w:jc w:val="both"/>
        <w:rPr>
          <w:rFonts w:ascii="Arial" w:hAnsi="Arial" w:cs="Arial"/>
          <w:lang w:val="en-US"/>
        </w:rPr>
      </w:pPr>
    </w:p>
    <w:p w:rsidR="00645905" w:rsidRDefault="00645905" w:rsidP="00645905">
      <w:pPr>
        <w:spacing w:line="360" w:lineRule="auto"/>
        <w:ind w:right="849"/>
        <w:jc w:val="both"/>
        <w:rPr>
          <w:rFonts w:ascii="Arial" w:hAnsi="Arial" w:cs="Arial"/>
          <w:lang w:val="en-US"/>
        </w:rPr>
      </w:pPr>
    </w:p>
    <w:p w:rsidR="00645905" w:rsidRPr="00645905" w:rsidRDefault="00645905" w:rsidP="00645905">
      <w:pPr>
        <w:spacing w:line="360" w:lineRule="auto"/>
        <w:ind w:right="849"/>
        <w:jc w:val="both"/>
        <w:rPr>
          <w:rFonts w:ascii="Arial" w:hAnsi="Arial" w:cs="Arial"/>
          <w:lang w:val="en-US"/>
        </w:rPr>
      </w:pPr>
    </w:p>
    <w:p w:rsidR="0020530B" w:rsidRPr="00A51255" w:rsidRDefault="00E02FEC" w:rsidP="0020530B">
      <w:pPr>
        <w:spacing w:line="360" w:lineRule="auto"/>
        <w:ind w:left="284" w:right="849"/>
        <w:jc w:val="both"/>
        <w:rPr>
          <w:rFonts w:ascii="Arial" w:hAnsi="Arial" w:cs="Arial"/>
          <w:sz w:val="20"/>
          <w:szCs w:val="20"/>
          <w:lang w:val="en-US"/>
        </w:rPr>
      </w:pPr>
      <w:r w:rsidRPr="0067510A">
        <w:rPr>
          <w:rFonts w:ascii="Arial" w:hAnsi="Arial" w:cs="Arial"/>
          <w:sz w:val="20"/>
          <w:szCs w:val="20"/>
          <w:lang w:val="en-US"/>
        </w:rPr>
        <w:t xml:space="preserve">Table </w:t>
      </w:r>
      <w:r w:rsidR="00861A41">
        <w:rPr>
          <w:rFonts w:ascii="Arial" w:hAnsi="Arial" w:cs="Arial"/>
          <w:sz w:val="20"/>
          <w:szCs w:val="20"/>
          <w:lang w:val="en-US"/>
        </w:rPr>
        <w:t>8</w:t>
      </w:r>
      <w:r w:rsidR="0020530B" w:rsidRPr="0067510A">
        <w:rPr>
          <w:rFonts w:ascii="Arial" w:hAnsi="Arial" w:cs="Arial"/>
          <w:sz w:val="20"/>
          <w:szCs w:val="20"/>
          <w:lang w:val="en-US"/>
        </w:rPr>
        <w:t>. Breakdown</w:t>
      </w:r>
      <w:r w:rsidR="0020530B" w:rsidRPr="00A51255">
        <w:rPr>
          <w:rFonts w:ascii="Arial" w:hAnsi="Arial" w:cs="Arial"/>
          <w:sz w:val="20"/>
          <w:szCs w:val="20"/>
          <w:lang w:val="en-US"/>
        </w:rPr>
        <w:t xml:space="preserve"> of statistically significant estimation results for NBP announcement dummies of different strengths.</w:t>
      </w:r>
    </w:p>
    <w:p w:rsidR="0020530B" w:rsidRPr="00A51255" w:rsidRDefault="0020530B" w:rsidP="0020530B">
      <w:pPr>
        <w:spacing w:line="360" w:lineRule="auto"/>
        <w:jc w:val="center"/>
        <w:rPr>
          <w:rFonts w:ascii="Arial" w:hAnsi="Arial" w:cs="Arial"/>
          <w:lang w:val="en-US"/>
        </w:rPr>
      </w:pPr>
    </w:p>
    <w:tbl>
      <w:tblPr>
        <w:tblW w:w="8166" w:type="dxa"/>
        <w:jc w:val="center"/>
        <w:tblCellMar>
          <w:left w:w="0" w:type="dxa"/>
          <w:right w:w="0" w:type="dxa"/>
        </w:tblCellMar>
        <w:tblLook w:val="04A0" w:firstRow="1" w:lastRow="0" w:firstColumn="1" w:lastColumn="0" w:noHBand="0" w:noVBand="1"/>
      </w:tblPr>
      <w:tblGrid>
        <w:gridCol w:w="2941"/>
        <w:gridCol w:w="1614"/>
        <w:gridCol w:w="946"/>
        <w:gridCol w:w="851"/>
        <w:gridCol w:w="854"/>
        <w:gridCol w:w="960"/>
      </w:tblGrid>
      <w:tr w:rsidR="0020530B" w:rsidRPr="00647145" w:rsidTr="00EE7F13">
        <w:trPr>
          <w:trHeight w:val="255"/>
          <w:jc w:val="center"/>
        </w:trPr>
        <w:tc>
          <w:tcPr>
            <w:tcW w:w="4555" w:type="dxa"/>
            <w:gridSpan w:val="2"/>
            <w:vMerge w:val="restart"/>
            <w:tcBorders>
              <w:right w:val="single" w:sz="4" w:space="0" w:color="auto"/>
            </w:tcBorders>
            <w:shd w:val="clear" w:color="000000" w:fill="auto"/>
            <w:noWrap/>
            <w:tcMar>
              <w:top w:w="26" w:type="dxa"/>
              <w:left w:w="26" w:type="dxa"/>
              <w:bottom w:w="0" w:type="dxa"/>
              <w:right w:w="26" w:type="dxa"/>
            </w:tcMar>
            <w:vAlign w:val="bottom"/>
          </w:tcPr>
          <w:p w:rsidR="0020530B" w:rsidRPr="00A51255" w:rsidRDefault="0020530B" w:rsidP="00EE7F13">
            <w:pPr>
              <w:jc w:val="center"/>
              <w:rPr>
                <w:rFonts w:ascii="Arial" w:hAnsi="Arial" w:cs="Arial"/>
                <w:sz w:val="20"/>
                <w:szCs w:val="20"/>
                <w:lang w:val="en-US"/>
              </w:rPr>
            </w:pPr>
          </w:p>
        </w:tc>
        <w:tc>
          <w:tcPr>
            <w:tcW w:w="2651" w:type="dxa"/>
            <w:gridSpan w:val="3"/>
            <w:tcBorders>
              <w:top w:val="single" w:sz="4" w:space="0" w:color="auto"/>
              <w:left w:val="single" w:sz="4" w:space="0" w:color="auto"/>
              <w:bottom w:val="single" w:sz="4" w:space="0" w:color="auto"/>
              <w:right w:val="single" w:sz="4" w:space="0" w:color="auto"/>
            </w:tcBorders>
            <w:shd w:val="clear" w:color="000000" w:fill="auto"/>
            <w:noWrap/>
            <w:tcMar>
              <w:top w:w="26" w:type="dxa"/>
              <w:left w:w="26" w:type="dxa"/>
              <w:bottom w:w="0" w:type="dxa"/>
              <w:right w:w="26" w:type="dxa"/>
            </w:tcMar>
          </w:tcPr>
          <w:p w:rsidR="0020530B" w:rsidRPr="00A51255" w:rsidRDefault="0020530B" w:rsidP="00EE7F13">
            <w:pPr>
              <w:jc w:val="center"/>
              <w:rPr>
                <w:rFonts w:ascii="Arial" w:hAnsi="Arial" w:cs="Arial"/>
                <w:sz w:val="20"/>
                <w:szCs w:val="20"/>
                <w:lang w:val="en-US"/>
              </w:rPr>
            </w:pPr>
            <w:r w:rsidRPr="00A51255">
              <w:rPr>
                <w:rFonts w:ascii="Arial" w:hAnsi="Arial" w:cs="Arial"/>
                <w:sz w:val="20"/>
                <w:szCs w:val="20"/>
                <w:lang w:val="en-US"/>
              </w:rPr>
              <w:t>Number of statistically significant estimates for dummies at the level of:</w:t>
            </w:r>
          </w:p>
        </w:tc>
        <w:tc>
          <w:tcPr>
            <w:tcW w:w="960" w:type="dxa"/>
            <w:tcBorders>
              <w:top w:val="single" w:sz="4" w:space="0" w:color="auto"/>
              <w:left w:val="nil"/>
              <w:bottom w:val="single" w:sz="4" w:space="0" w:color="auto"/>
              <w:right w:val="single" w:sz="4" w:space="0" w:color="auto"/>
            </w:tcBorders>
            <w:shd w:val="clear" w:color="000000" w:fill="auto"/>
          </w:tcPr>
          <w:p w:rsidR="0020530B" w:rsidRPr="00A51255" w:rsidRDefault="0020530B" w:rsidP="00EE7F13">
            <w:pPr>
              <w:jc w:val="center"/>
              <w:rPr>
                <w:rFonts w:ascii="Arial" w:hAnsi="Arial" w:cs="Arial"/>
                <w:sz w:val="20"/>
                <w:szCs w:val="20"/>
                <w:lang w:val="en-US"/>
              </w:rPr>
            </w:pPr>
          </w:p>
        </w:tc>
      </w:tr>
      <w:tr w:rsidR="0020530B" w:rsidRPr="00A51255" w:rsidTr="00EE7F13">
        <w:trPr>
          <w:trHeight w:val="255"/>
          <w:jc w:val="center"/>
        </w:trPr>
        <w:tc>
          <w:tcPr>
            <w:tcW w:w="4555" w:type="dxa"/>
            <w:gridSpan w:val="2"/>
            <w:vMerge/>
            <w:tcBorders>
              <w:bottom w:val="single" w:sz="4" w:space="0" w:color="auto"/>
              <w:right w:val="single" w:sz="4" w:space="0" w:color="auto"/>
            </w:tcBorders>
            <w:shd w:val="clear" w:color="000000" w:fill="auto"/>
            <w:noWrap/>
            <w:tcMar>
              <w:top w:w="26" w:type="dxa"/>
              <w:left w:w="26" w:type="dxa"/>
              <w:bottom w:w="0" w:type="dxa"/>
              <w:right w:w="26" w:type="dxa"/>
            </w:tcMar>
            <w:vAlign w:val="bottom"/>
          </w:tcPr>
          <w:p w:rsidR="0020530B" w:rsidRPr="00A51255" w:rsidRDefault="0020530B" w:rsidP="00EE7F13">
            <w:pPr>
              <w:jc w:val="center"/>
              <w:rPr>
                <w:rFonts w:ascii="Arial" w:hAnsi="Arial" w:cs="Arial"/>
                <w:sz w:val="20"/>
                <w:szCs w:val="20"/>
                <w:lang w:val="en-US"/>
              </w:rPr>
            </w:pPr>
          </w:p>
        </w:tc>
        <w:tc>
          <w:tcPr>
            <w:tcW w:w="946" w:type="dxa"/>
            <w:tcBorders>
              <w:top w:val="single" w:sz="4" w:space="0" w:color="auto"/>
              <w:left w:val="single" w:sz="4" w:space="0" w:color="auto"/>
              <w:bottom w:val="single" w:sz="4" w:space="0" w:color="auto"/>
              <w:right w:val="single" w:sz="4" w:space="0" w:color="auto"/>
            </w:tcBorders>
            <w:shd w:val="clear" w:color="000000" w:fill="auto"/>
            <w:noWrap/>
            <w:tcMar>
              <w:top w:w="26" w:type="dxa"/>
              <w:left w:w="26" w:type="dxa"/>
              <w:bottom w:w="0" w:type="dxa"/>
              <w:right w:w="26" w:type="dxa"/>
            </w:tcMar>
          </w:tcPr>
          <w:p w:rsidR="0020530B" w:rsidRPr="00A51255" w:rsidRDefault="0020530B" w:rsidP="00EE7F13">
            <w:pPr>
              <w:jc w:val="center"/>
              <w:rPr>
                <w:rFonts w:ascii="Arial" w:hAnsi="Arial" w:cs="Arial"/>
                <w:b/>
                <w:sz w:val="20"/>
                <w:szCs w:val="20"/>
              </w:rPr>
            </w:pPr>
            <w:r w:rsidRPr="00A51255">
              <w:rPr>
                <w:rFonts w:ascii="Arial" w:hAnsi="Arial" w:cs="Arial"/>
                <w:b/>
                <w:sz w:val="20"/>
                <w:szCs w:val="20"/>
              </w:rPr>
              <w:t>1%</w:t>
            </w:r>
          </w:p>
        </w:tc>
        <w:tc>
          <w:tcPr>
            <w:tcW w:w="851" w:type="dxa"/>
            <w:tcBorders>
              <w:top w:val="single" w:sz="4" w:space="0" w:color="auto"/>
              <w:left w:val="nil"/>
              <w:bottom w:val="single" w:sz="4" w:space="0" w:color="auto"/>
              <w:right w:val="single" w:sz="4" w:space="0" w:color="auto"/>
            </w:tcBorders>
            <w:shd w:val="clear" w:color="000000" w:fill="auto"/>
          </w:tcPr>
          <w:p w:rsidR="0020530B" w:rsidRPr="00A51255" w:rsidRDefault="0020530B" w:rsidP="00EE7F13">
            <w:pPr>
              <w:jc w:val="center"/>
              <w:rPr>
                <w:rFonts w:ascii="Arial" w:hAnsi="Arial" w:cs="Arial"/>
                <w:b/>
                <w:sz w:val="20"/>
                <w:szCs w:val="20"/>
              </w:rPr>
            </w:pPr>
            <w:r w:rsidRPr="00A51255">
              <w:rPr>
                <w:rFonts w:ascii="Arial" w:hAnsi="Arial" w:cs="Arial"/>
                <w:b/>
                <w:sz w:val="20"/>
                <w:szCs w:val="20"/>
              </w:rPr>
              <w:t>5%</w:t>
            </w:r>
          </w:p>
        </w:tc>
        <w:tc>
          <w:tcPr>
            <w:tcW w:w="854" w:type="dxa"/>
            <w:tcBorders>
              <w:top w:val="single" w:sz="4" w:space="0" w:color="auto"/>
              <w:left w:val="nil"/>
              <w:bottom w:val="single" w:sz="4" w:space="0" w:color="auto"/>
              <w:right w:val="single" w:sz="4" w:space="0" w:color="auto"/>
            </w:tcBorders>
            <w:shd w:val="clear" w:color="000000" w:fill="auto"/>
          </w:tcPr>
          <w:p w:rsidR="0020530B" w:rsidRPr="00A51255" w:rsidRDefault="0020530B" w:rsidP="00EE7F13">
            <w:pPr>
              <w:jc w:val="center"/>
              <w:rPr>
                <w:rFonts w:ascii="Arial" w:hAnsi="Arial" w:cs="Arial"/>
                <w:b/>
                <w:sz w:val="20"/>
                <w:szCs w:val="20"/>
              </w:rPr>
            </w:pPr>
            <w:r w:rsidRPr="00A51255">
              <w:rPr>
                <w:rFonts w:ascii="Arial" w:hAnsi="Arial" w:cs="Arial"/>
                <w:b/>
                <w:sz w:val="20"/>
                <w:szCs w:val="20"/>
              </w:rPr>
              <w:t>10%</w:t>
            </w:r>
          </w:p>
        </w:tc>
        <w:tc>
          <w:tcPr>
            <w:tcW w:w="960" w:type="dxa"/>
            <w:tcBorders>
              <w:top w:val="single" w:sz="4" w:space="0" w:color="auto"/>
              <w:left w:val="nil"/>
              <w:bottom w:val="single" w:sz="4" w:space="0" w:color="auto"/>
              <w:right w:val="single" w:sz="4" w:space="0" w:color="auto"/>
            </w:tcBorders>
            <w:shd w:val="clear" w:color="000000" w:fill="auto"/>
          </w:tcPr>
          <w:p w:rsidR="0020530B" w:rsidRPr="00A51255" w:rsidRDefault="0020530B" w:rsidP="00EE7F13">
            <w:pPr>
              <w:jc w:val="center"/>
              <w:rPr>
                <w:rFonts w:ascii="Arial" w:hAnsi="Arial" w:cs="Arial"/>
                <w:b/>
                <w:sz w:val="20"/>
                <w:szCs w:val="20"/>
              </w:rPr>
            </w:pPr>
            <w:r w:rsidRPr="00A51255">
              <w:rPr>
                <w:rFonts w:ascii="Arial" w:hAnsi="Arial" w:cs="Arial"/>
                <w:b/>
                <w:sz w:val="20"/>
                <w:szCs w:val="20"/>
              </w:rPr>
              <w:t>Sum:</w:t>
            </w:r>
          </w:p>
        </w:tc>
      </w:tr>
      <w:tr w:rsidR="006D7B6E" w:rsidRPr="00A51255" w:rsidTr="00752108">
        <w:trPr>
          <w:trHeight w:val="255"/>
          <w:jc w:val="center"/>
        </w:trPr>
        <w:tc>
          <w:tcPr>
            <w:tcW w:w="2941" w:type="dxa"/>
            <w:tcBorders>
              <w:top w:val="single" w:sz="4" w:space="0" w:color="auto"/>
              <w:left w:val="single" w:sz="4" w:space="0" w:color="auto"/>
              <w:bottom w:val="single" w:sz="4" w:space="0" w:color="auto"/>
              <w:right w:val="single" w:sz="4" w:space="0" w:color="auto"/>
            </w:tcBorders>
            <w:shd w:val="clear" w:color="000000" w:fill="auto"/>
            <w:noWrap/>
            <w:tcMar>
              <w:top w:w="26" w:type="dxa"/>
              <w:left w:w="26" w:type="dxa"/>
              <w:bottom w:w="0" w:type="dxa"/>
              <w:right w:w="26" w:type="dxa"/>
            </w:tcMar>
            <w:vAlign w:val="bottom"/>
          </w:tcPr>
          <w:p w:rsidR="006D7B6E" w:rsidRPr="00A51255" w:rsidRDefault="006D7B6E" w:rsidP="00EE7F13">
            <w:pPr>
              <w:jc w:val="center"/>
              <w:rPr>
                <w:rFonts w:ascii="Arial" w:hAnsi="Arial" w:cs="Arial"/>
                <w:b/>
                <w:bCs/>
                <w:sz w:val="20"/>
                <w:szCs w:val="20"/>
              </w:rPr>
            </w:pPr>
            <w:r w:rsidRPr="00A51255">
              <w:rPr>
                <w:rFonts w:ascii="Arial" w:hAnsi="Arial" w:cs="Arial"/>
                <w:b/>
                <w:bCs/>
                <w:sz w:val="20"/>
                <w:szCs w:val="20"/>
              </w:rPr>
              <w:t>strongly positive</w:t>
            </w:r>
          </w:p>
        </w:tc>
        <w:tc>
          <w:tcPr>
            <w:tcW w:w="1614" w:type="dxa"/>
            <w:vMerge w:val="restart"/>
            <w:tcBorders>
              <w:top w:val="single" w:sz="4" w:space="0" w:color="auto"/>
              <w:left w:val="nil"/>
              <w:right w:val="single" w:sz="4" w:space="0" w:color="auto"/>
            </w:tcBorders>
            <w:shd w:val="clear" w:color="000000" w:fill="auto"/>
            <w:noWrap/>
            <w:tcMar>
              <w:top w:w="26" w:type="dxa"/>
              <w:left w:w="26" w:type="dxa"/>
              <w:bottom w:w="0" w:type="dxa"/>
              <w:right w:w="26" w:type="dxa"/>
            </w:tcMar>
            <w:vAlign w:val="bottom"/>
          </w:tcPr>
          <w:p w:rsidR="006D7B6E" w:rsidRPr="00A51255" w:rsidRDefault="006D7B6E" w:rsidP="00EE7F13">
            <w:pPr>
              <w:jc w:val="center"/>
              <w:rPr>
                <w:b/>
                <w:bCs/>
                <w:i/>
                <w:iCs/>
                <w:sz w:val="20"/>
                <w:szCs w:val="20"/>
              </w:rPr>
            </w:pPr>
            <w:r w:rsidRPr="00A51255">
              <w:rPr>
                <w:rFonts w:ascii="Arial" w:hAnsi="Arial" w:cs="Arial"/>
                <w:b/>
                <w:bCs/>
                <w:sz w:val="20"/>
                <w:szCs w:val="20"/>
              </w:rPr>
              <w:t xml:space="preserve">for  </w:t>
            </w:r>
            <w:r w:rsidRPr="00A51255">
              <w:rPr>
                <w:b/>
                <w:bCs/>
                <w:i/>
                <w:iCs/>
                <w:sz w:val="20"/>
                <w:szCs w:val="20"/>
              </w:rPr>
              <w:t>t</w:t>
            </w:r>
          </w:p>
          <w:p w:rsidR="006D7B6E" w:rsidRPr="00A51255" w:rsidRDefault="006D7B6E" w:rsidP="00EE7F13">
            <w:pPr>
              <w:jc w:val="center"/>
              <w:rPr>
                <w:rFonts w:ascii="Arial" w:hAnsi="Arial" w:cs="Arial"/>
                <w:b/>
                <w:bCs/>
                <w:sz w:val="20"/>
                <w:szCs w:val="20"/>
              </w:rPr>
            </w:pPr>
          </w:p>
          <w:p w:rsidR="006D7B6E" w:rsidRPr="00A51255" w:rsidRDefault="006D7B6E" w:rsidP="00EE7F13">
            <w:pPr>
              <w:jc w:val="center"/>
              <w:rPr>
                <w:rFonts w:ascii="Arial" w:hAnsi="Arial" w:cs="Arial"/>
                <w:b/>
                <w:bCs/>
                <w:sz w:val="20"/>
                <w:szCs w:val="20"/>
                <w:lang w:val="en-US"/>
              </w:rPr>
            </w:pPr>
          </w:p>
        </w:tc>
        <w:tc>
          <w:tcPr>
            <w:tcW w:w="946" w:type="dxa"/>
            <w:tcBorders>
              <w:top w:val="single" w:sz="4" w:space="0" w:color="auto"/>
              <w:left w:val="nil"/>
              <w:bottom w:val="single" w:sz="4" w:space="0" w:color="auto"/>
              <w:right w:val="single" w:sz="4" w:space="0" w:color="auto"/>
            </w:tcBorders>
            <w:shd w:val="clear" w:color="000000" w:fill="auto"/>
            <w:noWrap/>
            <w:tcMar>
              <w:top w:w="26" w:type="dxa"/>
              <w:left w:w="26" w:type="dxa"/>
              <w:bottom w:w="0" w:type="dxa"/>
              <w:right w:w="26" w:type="dxa"/>
            </w:tcMar>
            <w:vAlign w:val="bottom"/>
          </w:tcPr>
          <w:p w:rsidR="006D7B6E" w:rsidRPr="00A51255" w:rsidRDefault="007A0876">
            <w:pPr>
              <w:jc w:val="center"/>
              <w:rPr>
                <w:rFonts w:ascii="Arial" w:hAnsi="Arial" w:cs="Arial"/>
                <w:bCs/>
                <w:sz w:val="20"/>
                <w:szCs w:val="20"/>
              </w:rPr>
            </w:pPr>
            <w:r>
              <w:rPr>
                <w:rFonts w:ascii="Arial" w:hAnsi="Arial" w:cs="Arial"/>
                <w:bCs/>
                <w:sz w:val="20"/>
                <w:szCs w:val="20"/>
              </w:rPr>
              <w:t>5</w:t>
            </w:r>
          </w:p>
        </w:tc>
        <w:tc>
          <w:tcPr>
            <w:tcW w:w="851" w:type="dxa"/>
            <w:tcBorders>
              <w:top w:val="single" w:sz="4" w:space="0" w:color="auto"/>
              <w:left w:val="nil"/>
              <w:bottom w:val="single" w:sz="4" w:space="0" w:color="auto"/>
              <w:right w:val="single" w:sz="4" w:space="0" w:color="auto"/>
            </w:tcBorders>
            <w:shd w:val="clear" w:color="000000" w:fill="auto"/>
            <w:vAlign w:val="bottom"/>
          </w:tcPr>
          <w:p w:rsidR="006D7B6E" w:rsidRPr="00A51255" w:rsidRDefault="007A0876">
            <w:pPr>
              <w:jc w:val="center"/>
              <w:rPr>
                <w:rFonts w:ascii="Arial" w:hAnsi="Arial" w:cs="Arial"/>
                <w:bCs/>
                <w:sz w:val="20"/>
                <w:szCs w:val="20"/>
              </w:rPr>
            </w:pPr>
            <w:r>
              <w:rPr>
                <w:rFonts w:ascii="Arial" w:hAnsi="Arial" w:cs="Arial"/>
                <w:bCs/>
                <w:sz w:val="20"/>
                <w:szCs w:val="20"/>
              </w:rPr>
              <w:t>2</w:t>
            </w:r>
          </w:p>
        </w:tc>
        <w:tc>
          <w:tcPr>
            <w:tcW w:w="854" w:type="dxa"/>
            <w:tcBorders>
              <w:top w:val="single" w:sz="4" w:space="0" w:color="auto"/>
              <w:left w:val="nil"/>
              <w:bottom w:val="single" w:sz="4" w:space="0" w:color="auto"/>
              <w:right w:val="single" w:sz="4" w:space="0" w:color="auto"/>
            </w:tcBorders>
            <w:shd w:val="clear" w:color="000000" w:fill="auto"/>
            <w:vAlign w:val="bottom"/>
          </w:tcPr>
          <w:p w:rsidR="006D7B6E" w:rsidRPr="00A51255" w:rsidRDefault="007A0876">
            <w:pPr>
              <w:jc w:val="center"/>
              <w:rPr>
                <w:rFonts w:ascii="Arial" w:hAnsi="Arial" w:cs="Arial"/>
                <w:bCs/>
                <w:sz w:val="20"/>
                <w:szCs w:val="20"/>
              </w:rPr>
            </w:pPr>
            <w:r>
              <w:rPr>
                <w:rFonts w:ascii="Arial" w:hAnsi="Arial" w:cs="Arial"/>
                <w:bCs/>
                <w:sz w:val="20"/>
                <w:szCs w:val="20"/>
              </w:rPr>
              <w:t>0</w:t>
            </w:r>
          </w:p>
        </w:tc>
        <w:tc>
          <w:tcPr>
            <w:tcW w:w="0" w:type="auto"/>
            <w:tcBorders>
              <w:top w:val="single" w:sz="4" w:space="0" w:color="auto"/>
              <w:left w:val="nil"/>
              <w:bottom w:val="single" w:sz="4" w:space="0" w:color="auto"/>
              <w:right w:val="single" w:sz="4" w:space="0" w:color="auto"/>
            </w:tcBorders>
            <w:shd w:val="clear" w:color="000000" w:fill="auto"/>
            <w:vAlign w:val="bottom"/>
          </w:tcPr>
          <w:p w:rsidR="006D7B6E" w:rsidRPr="007A0876" w:rsidRDefault="007A0876">
            <w:pPr>
              <w:jc w:val="center"/>
              <w:rPr>
                <w:rFonts w:ascii="Arial" w:hAnsi="Arial" w:cs="Arial"/>
                <w:b/>
                <w:bCs/>
                <w:sz w:val="20"/>
                <w:szCs w:val="20"/>
              </w:rPr>
            </w:pPr>
            <w:r w:rsidRPr="007A0876">
              <w:rPr>
                <w:rFonts w:ascii="Arial" w:hAnsi="Arial" w:cs="Arial"/>
                <w:b/>
                <w:bCs/>
                <w:sz w:val="20"/>
                <w:szCs w:val="20"/>
              </w:rPr>
              <w:t>7</w:t>
            </w:r>
          </w:p>
        </w:tc>
      </w:tr>
      <w:tr w:rsidR="006D7B6E" w:rsidRPr="00A51255" w:rsidTr="00752108">
        <w:trPr>
          <w:trHeight w:val="255"/>
          <w:jc w:val="center"/>
        </w:trPr>
        <w:tc>
          <w:tcPr>
            <w:tcW w:w="2941" w:type="dxa"/>
            <w:tcBorders>
              <w:top w:val="single" w:sz="4" w:space="0" w:color="auto"/>
              <w:left w:val="single" w:sz="4" w:space="0" w:color="auto"/>
              <w:bottom w:val="single" w:sz="4" w:space="0" w:color="auto"/>
              <w:right w:val="single" w:sz="4" w:space="0" w:color="auto"/>
            </w:tcBorders>
            <w:shd w:val="clear" w:color="000000" w:fill="auto"/>
            <w:noWrap/>
            <w:tcMar>
              <w:top w:w="26" w:type="dxa"/>
              <w:left w:w="26" w:type="dxa"/>
              <w:bottom w:w="0" w:type="dxa"/>
              <w:right w:w="26" w:type="dxa"/>
            </w:tcMar>
            <w:vAlign w:val="bottom"/>
          </w:tcPr>
          <w:p w:rsidR="006D7B6E" w:rsidRPr="00A51255" w:rsidRDefault="006D7B6E" w:rsidP="00EE7F13">
            <w:pPr>
              <w:jc w:val="center"/>
              <w:rPr>
                <w:rFonts w:ascii="Arial" w:hAnsi="Arial" w:cs="Arial"/>
                <w:b/>
                <w:bCs/>
                <w:sz w:val="20"/>
                <w:szCs w:val="20"/>
              </w:rPr>
            </w:pPr>
            <w:r w:rsidRPr="00A51255">
              <w:rPr>
                <w:rFonts w:ascii="Arial" w:hAnsi="Arial" w:cs="Arial"/>
                <w:b/>
                <w:bCs/>
                <w:sz w:val="20"/>
                <w:szCs w:val="20"/>
              </w:rPr>
              <w:t>positive</w:t>
            </w:r>
          </w:p>
        </w:tc>
        <w:tc>
          <w:tcPr>
            <w:tcW w:w="1614" w:type="dxa"/>
            <w:vMerge/>
            <w:tcBorders>
              <w:left w:val="nil"/>
              <w:right w:val="single" w:sz="4" w:space="0" w:color="auto"/>
            </w:tcBorders>
            <w:shd w:val="clear" w:color="000000" w:fill="auto"/>
            <w:noWrap/>
            <w:tcMar>
              <w:top w:w="26" w:type="dxa"/>
              <w:left w:w="26" w:type="dxa"/>
              <w:bottom w:w="0" w:type="dxa"/>
              <w:right w:w="26" w:type="dxa"/>
            </w:tcMar>
          </w:tcPr>
          <w:p w:rsidR="006D7B6E" w:rsidRPr="00A51255" w:rsidRDefault="006D7B6E" w:rsidP="00EE7F13">
            <w:pPr>
              <w:jc w:val="center"/>
            </w:pPr>
          </w:p>
        </w:tc>
        <w:tc>
          <w:tcPr>
            <w:tcW w:w="946" w:type="dxa"/>
            <w:tcBorders>
              <w:top w:val="single" w:sz="4" w:space="0" w:color="auto"/>
              <w:left w:val="nil"/>
              <w:bottom w:val="single" w:sz="4" w:space="0" w:color="auto"/>
              <w:right w:val="single" w:sz="4" w:space="0" w:color="auto"/>
            </w:tcBorders>
            <w:shd w:val="clear" w:color="000000" w:fill="auto"/>
            <w:noWrap/>
            <w:tcMar>
              <w:top w:w="26" w:type="dxa"/>
              <w:left w:w="26" w:type="dxa"/>
              <w:bottom w:w="0" w:type="dxa"/>
              <w:right w:w="26" w:type="dxa"/>
            </w:tcMar>
            <w:vAlign w:val="bottom"/>
          </w:tcPr>
          <w:p w:rsidR="006D7B6E" w:rsidRPr="00A51255" w:rsidRDefault="007A0876">
            <w:pPr>
              <w:jc w:val="center"/>
              <w:rPr>
                <w:rFonts w:ascii="Arial" w:hAnsi="Arial" w:cs="Arial"/>
                <w:bCs/>
                <w:sz w:val="20"/>
                <w:szCs w:val="20"/>
              </w:rPr>
            </w:pPr>
            <w:r>
              <w:rPr>
                <w:rFonts w:ascii="Arial" w:hAnsi="Arial" w:cs="Arial"/>
                <w:bCs/>
                <w:sz w:val="20"/>
                <w:szCs w:val="20"/>
              </w:rPr>
              <w:t>4</w:t>
            </w:r>
          </w:p>
        </w:tc>
        <w:tc>
          <w:tcPr>
            <w:tcW w:w="851" w:type="dxa"/>
            <w:tcBorders>
              <w:top w:val="single" w:sz="4" w:space="0" w:color="auto"/>
              <w:left w:val="nil"/>
              <w:bottom w:val="single" w:sz="4" w:space="0" w:color="auto"/>
              <w:right w:val="single" w:sz="4" w:space="0" w:color="auto"/>
            </w:tcBorders>
            <w:shd w:val="clear" w:color="000000" w:fill="auto"/>
            <w:vAlign w:val="bottom"/>
          </w:tcPr>
          <w:p w:rsidR="006D7B6E" w:rsidRPr="00A51255" w:rsidRDefault="007A0876">
            <w:pPr>
              <w:jc w:val="center"/>
              <w:rPr>
                <w:rFonts w:ascii="Arial" w:hAnsi="Arial" w:cs="Arial"/>
                <w:bCs/>
                <w:sz w:val="20"/>
                <w:szCs w:val="20"/>
              </w:rPr>
            </w:pPr>
            <w:r>
              <w:rPr>
                <w:rFonts w:ascii="Arial" w:hAnsi="Arial" w:cs="Arial"/>
                <w:bCs/>
                <w:sz w:val="20"/>
                <w:szCs w:val="20"/>
              </w:rPr>
              <w:t>1</w:t>
            </w:r>
          </w:p>
        </w:tc>
        <w:tc>
          <w:tcPr>
            <w:tcW w:w="854" w:type="dxa"/>
            <w:tcBorders>
              <w:top w:val="single" w:sz="4" w:space="0" w:color="auto"/>
              <w:left w:val="nil"/>
              <w:bottom w:val="single" w:sz="4" w:space="0" w:color="auto"/>
              <w:right w:val="single" w:sz="4" w:space="0" w:color="auto"/>
            </w:tcBorders>
            <w:shd w:val="clear" w:color="000000" w:fill="auto"/>
            <w:vAlign w:val="bottom"/>
          </w:tcPr>
          <w:p w:rsidR="006D7B6E" w:rsidRPr="00A51255" w:rsidRDefault="007A0876">
            <w:pPr>
              <w:jc w:val="center"/>
              <w:rPr>
                <w:rFonts w:ascii="Arial" w:hAnsi="Arial" w:cs="Arial"/>
                <w:bCs/>
                <w:sz w:val="20"/>
                <w:szCs w:val="20"/>
              </w:rPr>
            </w:pPr>
            <w:r>
              <w:rPr>
                <w:rFonts w:ascii="Arial" w:hAnsi="Arial" w:cs="Arial"/>
                <w:bCs/>
                <w:sz w:val="20"/>
                <w:szCs w:val="20"/>
              </w:rPr>
              <w:t>3</w:t>
            </w:r>
          </w:p>
        </w:tc>
        <w:tc>
          <w:tcPr>
            <w:tcW w:w="0" w:type="auto"/>
            <w:tcBorders>
              <w:top w:val="single" w:sz="4" w:space="0" w:color="auto"/>
              <w:left w:val="nil"/>
              <w:bottom w:val="single" w:sz="4" w:space="0" w:color="auto"/>
              <w:right w:val="single" w:sz="4" w:space="0" w:color="auto"/>
            </w:tcBorders>
            <w:shd w:val="clear" w:color="000000" w:fill="auto"/>
            <w:vAlign w:val="bottom"/>
          </w:tcPr>
          <w:p w:rsidR="006D7B6E" w:rsidRPr="007A0876" w:rsidRDefault="007A0876">
            <w:pPr>
              <w:jc w:val="center"/>
              <w:rPr>
                <w:rFonts w:ascii="Arial" w:hAnsi="Arial" w:cs="Arial"/>
                <w:b/>
                <w:bCs/>
                <w:sz w:val="20"/>
                <w:szCs w:val="20"/>
              </w:rPr>
            </w:pPr>
            <w:r w:rsidRPr="007A0876">
              <w:rPr>
                <w:rFonts w:ascii="Arial" w:hAnsi="Arial" w:cs="Arial"/>
                <w:b/>
                <w:bCs/>
                <w:sz w:val="20"/>
                <w:szCs w:val="20"/>
              </w:rPr>
              <w:t>8</w:t>
            </w:r>
          </w:p>
        </w:tc>
      </w:tr>
      <w:tr w:rsidR="006D7B6E" w:rsidRPr="00A51255" w:rsidTr="00752108">
        <w:trPr>
          <w:trHeight w:val="255"/>
          <w:jc w:val="center"/>
        </w:trPr>
        <w:tc>
          <w:tcPr>
            <w:tcW w:w="2941" w:type="dxa"/>
            <w:tcBorders>
              <w:top w:val="single" w:sz="4" w:space="0" w:color="auto"/>
              <w:left w:val="single" w:sz="4" w:space="0" w:color="auto"/>
              <w:bottom w:val="single" w:sz="4" w:space="0" w:color="auto"/>
              <w:right w:val="single" w:sz="4" w:space="0" w:color="auto"/>
            </w:tcBorders>
            <w:shd w:val="clear" w:color="000000" w:fill="auto"/>
            <w:noWrap/>
            <w:tcMar>
              <w:top w:w="26" w:type="dxa"/>
              <w:left w:w="26" w:type="dxa"/>
              <w:bottom w:w="0" w:type="dxa"/>
              <w:right w:w="26" w:type="dxa"/>
            </w:tcMar>
            <w:vAlign w:val="bottom"/>
          </w:tcPr>
          <w:p w:rsidR="006D7B6E" w:rsidRPr="00A51255" w:rsidRDefault="006D7B6E" w:rsidP="00EE7F13">
            <w:pPr>
              <w:jc w:val="center"/>
              <w:rPr>
                <w:rFonts w:ascii="Arial" w:hAnsi="Arial" w:cs="Arial"/>
                <w:b/>
                <w:bCs/>
                <w:sz w:val="20"/>
                <w:szCs w:val="20"/>
              </w:rPr>
            </w:pPr>
            <w:r w:rsidRPr="00A51255">
              <w:rPr>
                <w:rFonts w:ascii="Arial" w:hAnsi="Arial" w:cs="Arial"/>
                <w:b/>
                <w:bCs/>
                <w:sz w:val="20"/>
                <w:szCs w:val="20"/>
              </w:rPr>
              <w:t>negative</w:t>
            </w:r>
          </w:p>
        </w:tc>
        <w:tc>
          <w:tcPr>
            <w:tcW w:w="1614" w:type="dxa"/>
            <w:vMerge/>
            <w:tcBorders>
              <w:left w:val="nil"/>
              <w:right w:val="single" w:sz="4" w:space="0" w:color="auto"/>
            </w:tcBorders>
            <w:shd w:val="clear" w:color="000000" w:fill="auto"/>
            <w:noWrap/>
            <w:tcMar>
              <w:top w:w="26" w:type="dxa"/>
              <w:left w:w="26" w:type="dxa"/>
              <w:bottom w:w="0" w:type="dxa"/>
              <w:right w:w="26" w:type="dxa"/>
            </w:tcMar>
          </w:tcPr>
          <w:p w:rsidR="006D7B6E" w:rsidRPr="00A51255" w:rsidRDefault="006D7B6E" w:rsidP="00EE7F13">
            <w:pPr>
              <w:jc w:val="center"/>
            </w:pPr>
          </w:p>
        </w:tc>
        <w:tc>
          <w:tcPr>
            <w:tcW w:w="946" w:type="dxa"/>
            <w:tcBorders>
              <w:top w:val="single" w:sz="4" w:space="0" w:color="auto"/>
              <w:left w:val="nil"/>
              <w:bottom w:val="single" w:sz="4" w:space="0" w:color="auto"/>
              <w:right w:val="single" w:sz="4" w:space="0" w:color="auto"/>
            </w:tcBorders>
            <w:shd w:val="clear" w:color="000000" w:fill="auto"/>
            <w:noWrap/>
            <w:tcMar>
              <w:top w:w="26" w:type="dxa"/>
              <w:left w:w="26" w:type="dxa"/>
              <w:bottom w:w="0" w:type="dxa"/>
              <w:right w:w="26" w:type="dxa"/>
            </w:tcMar>
            <w:vAlign w:val="bottom"/>
          </w:tcPr>
          <w:p w:rsidR="006D7B6E" w:rsidRPr="00A51255" w:rsidRDefault="007A0876">
            <w:pPr>
              <w:jc w:val="center"/>
              <w:rPr>
                <w:rFonts w:ascii="Arial" w:hAnsi="Arial" w:cs="Arial"/>
                <w:bCs/>
                <w:sz w:val="20"/>
                <w:szCs w:val="20"/>
              </w:rPr>
            </w:pPr>
            <w:r>
              <w:rPr>
                <w:rFonts w:ascii="Arial" w:hAnsi="Arial" w:cs="Arial"/>
                <w:bCs/>
                <w:sz w:val="20"/>
                <w:szCs w:val="20"/>
              </w:rPr>
              <w:t>2</w:t>
            </w:r>
          </w:p>
        </w:tc>
        <w:tc>
          <w:tcPr>
            <w:tcW w:w="851" w:type="dxa"/>
            <w:tcBorders>
              <w:top w:val="single" w:sz="4" w:space="0" w:color="auto"/>
              <w:left w:val="nil"/>
              <w:bottom w:val="single" w:sz="4" w:space="0" w:color="auto"/>
              <w:right w:val="single" w:sz="4" w:space="0" w:color="auto"/>
            </w:tcBorders>
            <w:shd w:val="clear" w:color="000000" w:fill="auto"/>
            <w:vAlign w:val="bottom"/>
          </w:tcPr>
          <w:p w:rsidR="006D7B6E" w:rsidRPr="00A51255" w:rsidRDefault="007A0876">
            <w:pPr>
              <w:jc w:val="center"/>
              <w:rPr>
                <w:rFonts w:ascii="Arial" w:hAnsi="Arial" w:cs="Arial"/>
                <w:bCs/>
                <w:sz w:val="20"/>
                <w:szCs w:val="20"/>
              </w:rPr>
            </w:pPr>
            <w:r>
              <w:rPr>
                <w:rFonts w:ascii="Arial" w:hAnsi="Arial" w:cs="Arial"/>
                <w:bCs/>
                <w:sz w:val="20"/>
                <w:szCs w:val="20"/>
              </w:rPr>
              <w:t>0</w:t>
            </w:r>
          </w:p>
        </w:tc>
        <w:tc>
          <w:tcPr>
            <w:tcW w:w="854" w:type="dxa"/>
            <w:tcBorders>
              <w:top w:val="single" w:sz="4" w:space="0" w:color="auto"/>
              <w:left w:val="nil"/>
              <w:bottom w:val="single" w:sz="4" w:space="0" w:color="auto"/>
              <w:right w:val="single" w:sz="4" w:space="0" w:color="auto"/>
            </w:tcBorders>
            <w:shd w:val="clear" w:color="000000" w:fill="auto"/>
            <w:vAlign w:val="bottom"/>
          </w:tcPr>
          <w:p w:rsidR="006D7B6E" w:rsidRPr="00A51255" w:rsidRDefault="007A0876">
            <w:pPr>
              <w:jc w:val="center"/>
              <w:rPr>
                <w:rFonts w:ascii="Arial" w:hAnsi="Arial" w:cs="Arial"/>
                <w:bCs/>
                <w:sz w:val="20"/>
                <w:szCs w:val="20"/>
              </w:rPr>
            </w:pPr>
            <w:r>
              <w:rPr>
                <w:rFonts w:ascii="Arial" w:hAnsi="Arial" w:cs="Arial"/>
                <w:bCs/>
                <w:sz w:val="20"/>
                <w:szCs w:val="20"/>
              </w:rPr>
              <w:t>1</w:t>
            </w:r>
          </w:p>
        </w:tc>
        <w:tc>
          <w:tcPr>
            <w:tcW w:w="0" w:type="auto"/>
            <w:tcBorders>
              <w:top w:val="single" w:sz="4" w:space="0" w:color="auto"/>
              <w:left w:val="nil"/>
              <w:bottom w:val="single" w:sz="4" w:space="0" w:color="auto"/>
              <w:right w:val="single" w:sz="4" w:space="0" w:color="auto"/>
            </w:tcBorders>
            <w:shd w:val="clear" w:color="000000" w:fill="auto"/>
            <w:vAlign w:val="bottom"/>
          </w:tcPr>
          <w:p w:rsidR="006D7B6E" w:rsidRPr="007A0876" w:rsidRDefault="007A0876">
            <w:pPr>
              <w:jc w:val="center"/>
              <w:rPr>
                <w:rFonts w:ascii="Arial" w:hAnsi="Arial" w:cs="Arial"/>
                <w:b/>
                <w:bCs/>
                <w:sz w:val="20"/>
                <w:szCs w:val="20"/>
              </w:rPr>
            </w:pPr>
            <w:r w:rsidRPr="007A0876">
              <w:rPr>
                <w:rFonts w:ascii="Arial" w:hAnsi="Arial" w:cs="Arial"/>
                <w:b/>
                <w:bCs/>
                <w:sz w:val="20"/>
                <w:szCs w:val="20"/>
              </w:rPr>
              <w:t>3</w:t>
            </w:r>
          </w:p>
        </w:tc>
      </w:tr>
      <w:tr w:rsidR="006D7B6E" w:rsidRPr="00A51255" w:rsidTr="00752108">
        <w:trPr>
          <w:trHeight w:val="255"/>
          <w:jc w:val="center"/>
        </w:trPr>
        <w:tc>
          <w:tcPr>
            <w:tcW w:w="2941" w:type="dxa"/>
            <w:tcBorders>
              <w:top w:val="single" w:sz="4" w:space="0" w:color="auto"/>
              <w:left w:val="single" w:sz="4" w:space="0" w:color="auto"/>
              <w:bottom w:val="single" w:sz="4" w:space="0" w:color="auto"/>
              <w:right w:val="single" w:sz="4" w:space="0" w:color="auto"/>
            </w:tcBorders>
            <w:shd w:val="clear" w:color="000000" w:fill="auto"/>
            <w:noWrap/>
            <w:tcMar>
              <w:top w:w="26" w:type="dxa"/>
              <w:left w:w="26" w:type="dxa"/>
              <w:bottom w:w="0" w:type="dxa"/>
              <w:right w:w="26" w:type="dxa"/>
            </w:tcMar>
            <w:vAlign w:val="bottom"/>
          </w:tcPr>
          <w:p w:rsidR="006D7B6E" w:rsidRPr="00A51255" w:rsidRDefault="006D7B6E" w:rsidP="00EE7F13">
            <w:pPr>
              <w:jc w:val="center"/>
              <w:rPr>
                <w:rFonts w:ascii="Arial" w:hAnsi="Arial" w:cs="Arial"/>
                <w:b/>
                <w:bCs/>
                <w:sz w:val="20"/>
                <w:szCs w:val="20"/>
              </w:rPr>
            </w:pPr>
            <w:r w:rsidRPr="00A51255">
              <w:rPr>
                <w:rFonts w:ascii="Arial" w:hAnsi="Arial" w:cs="Arial"/>
                <w:b/>
                <w:bCs/>
                <w:sz w:val="20"/>
                <w:szCs w:val="20"/>
              </w:rPr>
              <w:t>strongly negative</w:t>
            </w:r>
          </w:p>
        </w:tc>
        <w:tc>
          <w:tcPr>
            <w:tcW w:w="1614" w:type="dxa"/>
            <w:vMerge/>
            <w:tcBorders>
              <w:left w:val="nil"/>
              <w:bottom w:val="single" w:sz="4" w:space="0" w:color="auto"/>
              <w:right w:val="single" w:sz="4" w:space="0" w:color="auto"/>
            </w:tcBorders>
            <w:shd w:val="clear" w:color="000000" w:fill="auto"/>
            <w:noWrap/>
            <w:tcMar>
              <w:top w:w="26" w:type="dxa"/>
              <w:left w:w="26" w:type="dxa"/>
              <w:bottom w:w="0" w:type="dxa"/>
              <w:right w:w="26" w:type="dxa"/>
            </w:tcMar>
          </w:tcPr>
          <w:p w:rsidR="006D7B6E" w:rsidRPr="00A51255" w:rsidRDefault="006D7B6E" w:rsidP="00EE7F13">
            <w:pPr>
              <w:jc w:val="center"/>
            </w:pPr>
          </w:p>
        </w:tc>
        <w:tc>
          <w:tcPr>
            <w:tcW w:w="946" w:type="dxa"/>
            <w:tcBorders>
              <w:top w:val="single" w:sz="4" w:space="0" w:color="auto"/>
              <w:left w:val="nil"/>
              <w:bottom w:val="single" w:sz="4" w:space="0" w:color="auto"/>
              <w:right w:val="single" w:sz="4" w:space="0" w:color="auto"/>
            </w:tcBorders>
            <w:shd w:val="clear" w:color="000000" w:fill="auto"/>
            <w:noWrap/>
            <w:tcMar>
              <w:top w:w="26" w:type="dxa"/>
              <w:left w:w="26" w:type="dxa"/>
              <w:bottom w:w="0" w:type="dxa"/>
              <w:right w:w="26" w:type="dxa"/>
            </w:tcMar>
            <w:vAlign w:val="bottom"/>
          </w:tcPr>
          <w:p w:rsidR="006D7B6E" w:rsidRPr="00A51255" w:rsidRDefault="007A0876">
            <w:pPr>
              <w:jc w:val="center"/>
              <w:rPr>
                <w:rFonts w:ascii="Arial" w:hAnsi="Arial" w:cs="Arial"/>
                <w:bCs/>
                <w:sz w:val="20"/>
                <w:szCs w:val="20"/>
              </w:rPr>
            </w:pPr>
            <w:r>
              <w:rPr>
                <w:rFonts w:ascii="Arial" w:hAnsi="Arial" w:cs="Arial"/>
                <w:bCs/>
                <w:sz w:val="20"/>
                <w:szCs w:val="20"/>
              </w:rPr>
              <w:t>9</w:t>
            </w:r>
          </w:p>
        </w:tc>
        <w:tc>
          <w:tcPr>
            <w:tcW w:w="851" w:type="dxa"/>
            <w:tcBorders>
              <w:top w:val="single" w:sz="4" w:space="0" w:color="auto"/>
              <w:left w:val="nil"/>
              <w:bottom w:val="single" w:sz="4" w:space="0" w:color="auto"/>
              <w:right w:val="single" w:sz="4" w:space="0" w:color="auto"/>
            </w:tcBorders>
            <w:shd w:val="clear" w:color="000000" w:fill="auto"/>
            <w:vAlign w:val="bottom"/>
          </w:tcPr>
          <w:p w:rsidR="006D7B6E" w:rsidRPr="00A51255" w:rsidRDefault="007A0876">
            <w:pPr>
              <w:jc w:val="center"/>
              <w:rPr>
                <w:rFonts w:ascii="Arial" w:hAnsi="Arial" w:cs="Arial"/>
                <w:bCs/>
                <w:sz w:val="20"/>
                <w:szCs w:val="20"/>
              </w:rPr>
            </w:pPr>
            <w:r>
              <w:rPr>
                <w:rFonts w:ascii="Arial" w:hAnsi="Arial" w:cs="Arial"/>
                <w:bCs/>
                <w:sz w:val="20"/>
                <w:szCs w:val="20"/>
              </w:rPr>
              <w:t>0</w:t>
            </w:r>
          </w:p>
        </w:tc>
        <w:tc>
          <w:tcPr>
            <w:tcW w:w="854" w:type="dxa"/>
            <w:tcBorders>
              <w:top w:val="single" w:sz="4" w:space="0" w:color="auto"/>
              <w:left w:val="nil"/>
              <w:bottom w:val="single" w:sz="4" w:space="0" w:color="auto"/>
              <w:right w:val="single" w:sz="4" w:space="0" w:color="auto"/>
            </w:tcBorders>
            <w:shd w:val="clear" w:color="000000" w:fill="auto"/>
            <w:vAlign w:val="bottom"/>
          </w:tcPr>
          <w:p w:rsidR="006D7B6E" w:rsidRPr="00A51255" w:rsidRDefault="007A0876">
            <w:pPr>
              <w:jc w:val="center"/>
              <w:rPr>
                <w:rFonts w:ascii="Arial" w:hAnsi="Arial" w:cs="Arial"/>
                <w:bCs/>
                <w:sz w:val="20"/>
                <w:szCs w:val="20"/>
              </w:rPr>
            </w:pPr>
            <w:r>
              <w:rPr>
                <w:rFonts w:ascii="Arial" w:hAnsi="Arial" w:cs="Arial"/>
                <w:bCs/>
                <w:sz w:val="20"/>
                <w:szCs w:val="20"/>
              </w:rPr>
              <w:t>0</w:t>
            </w:r>
          </w:p>
        </w:tc>
        <w:tc>
          <w:tcPr>
            <w:tcW w:w="0" w:type="auto"/>
            <w:tcBorders>
              <w:top w:val="single" w:sz="4" w:space="0" w:color="auto"/>
              <w:left w:val="nil"/>
              <w:bottom w:val="single" w:sz="4" w:space="0" w:color="auto"/>
              <w:right w:val="single" w:sz="4" w:space="0" w:color="auto"/>
            </w:tcBorders>
            <w:shd w:val="clear" w:color="000000" w:fill="auto"/>
            <w:vAlign w:val="bottom"/>
          </w:tcPr>
          <w:p w:rsidR="006D7B6E" w:rsidRPr="007A0876" w:rsidRDefault="007A0876">
            <w:pPr>
              <w:jc w:val="center"/>
              <w:rPr>
                <w:rFonts w:ascii="Arial" w:hAnsi="Arial" w:cs="Arial"/>
                <w:b/>
                <w:bCs/>
                <w:sz w:val="20"/>
                <w:szCs w:val="20"/>
              </w:rPr>
            </w:pPr>
            <w:r w:rsidRPr="007A0876">
              <w:rPr>
                <w:rFonts w:ascii="Arial" w:hAnsi="Arial" w:cs="Arial"/>
                <w:b/>
                <w:bCs/>
                <w:sz w:val="20"/>
                <w:szCs w:val="20"/>
              </w:rPr>
              <w:t>9</w:t>
            </w:r>
          </w:p>
        </w:tc>
      </w:tr>
      <w:tr w:rsidR="0020530B" w:rsidRPr="00A51255" w:rsidTr="00EE7F13">
        <w:trPr>
          <w:trHeight w:val="57"/>
          <w:jc w:val="center"/>
        </w:trPr>
        <w:tc>
          <w:tcPr>
            <w:tcW w:w="2941" w:type="dxa"/>
            <w:tcBorders>
              <w:top w:val="nil"/>
              <w:left w:val="nil"/>
              <w:bottom w:val="nil"/>
              <w:right w:val="nil"/>
            </w:tcBorders>
            <w:shd w:val="clear" w:color="auto" w:fill="auto"/>
            <w:noWrap/>
            <w:tcMar>
              <w:top w:w="26" w:type="dxa"/>
              <w:left w:w="26" w:type="dxa"/>
              <w:bottom w:w="0" w:type="dxa"/>
              <w:right w:w="26" w:type="dxa"/>
            </w:tcMar>
            <w:vAlign w:val="bottom"/>
          </w:tcPr>
          <w:p w:rsidR="0020530B" w:rsidRPr="00A51255" w:rsidRDefault="0020530B" w:rsidP="00EE7F13">
            <w:pPr>
              <w:jc w:val="center"/>
              <w:rPr>
                <w:rFonts w:ascii="Arial" w:hAnsi="Arial" w:cs="Arial"/>
                <w:sz w:val="6"/>
                <w:szCs w:val="6"/>
              </w:rPr>
            </w:pPr>
          </w:p>
        </w:tc>
        <w:tc>
          <w:tcPr>
            <w:tcW w:w="1614" w:type="dxa"/>
            <w:tcBorders>
              <w:top w:val="nil"/>
              <w:left w:val="nil"/>
              <w:bottom w:val="nil"/>
              <w:right w:val="nil"/>
            </w:tcBorders>
            <w:shd w:val="clear" w:color="auto" w:fill="auto"/>
            <w:noWrap/>
            <w:tcMar>
              <w:top w:w="26" w:type="dxa"/>
              <w:left w:w="26" w:type="dxa"/>
              <w:bottom w:w="0" w:type="dxa"/>
              <w:right w:w="26" w:type="dxa"/>
            </w:tcMar>
            <w:vAlign w:val="bottom"/>
          </w:tcPr>
          <w:p w:rsidR="0020530B" w:rsidRPr="00A51255" w:rsidRDefault="0020530B" w:rsidP="00EE7F13">
            <w:pPr>
              <w:rPr>
                <w:rFonts w:ascii="Arial" w:hAnsi="Arial" w:cs="Arial"/>
                <w:sz w:val="6"/>
                <w:szCs w:val="6"/>
              </w:rPr>
            </w:pPr>
          </w:p>
        </w:tc>
        <w:tc>
          <w:tcPr>
            <w:tcW w:w="946" w:type="dxa"/>
            <w:tcBorders>
              <w:top w:val="nil"/>
              <w:left w:val="nil"/>
              <w:bottom w:val="nil"/>
              <w:right w:val="nil"/>
            </w:tcBorders>
            <w:shd w:val="clear" w:color="auto" w:fill="auto"/>
            <w:noWrap/>
            <w:tcMar>
              <w:top w:w="26" w:type="dxa"/>
              <w:left w:w="26" w:type="dxa"/>
              <w:bottom w:w="0" w:type="dxa"/>
              <w:right w:w="26" w:type="dxa"/>
            </w:tcMar>
            <w:vAlign w:val="bottom"/>
          </w:tcPr>
          <w:p w:rsidR="0020530B" w:rsidRPr="00A51255" w:rsidRDefault="0020530B" w:rsidP="00EE7F13">
            <w:pPr>
              <w:jc w:val="center"/>
              <w:rPr>
                <w:rFonts w:ascii="Arial" w:hAnsi="Arial" w:cs="Arial"/>
                <w:sz w:val="6"/>
                <w:szCs w:val="6"/>
              </w:rPr>
            </w:pPr>
          </w:p>
        </w:tc>
        <w:tc>
          <w:tcPr>
            <w:tcW w:w="851" w:type="dxa"/>
            <w:tcBorders>
              <w:top w:val="nil"/>
              <w:left w:val="nil"/>
              <w:bottom w:val="nil"/>
              <w:right w:val="nil"/>
            </w:tcBorders>
          </w:tcPr>
          <w:p w:rsidR="0020530B" w:rsidRPr="00A51255" w:rsidRDefault="0020530B" w:rsidP="00EE7F13">
            <w:pPr>
              <w:jc w:val="center"/>
              <w:rPr>
                <w:rFonts w:ascii="Arial" w:hAnsi="Arial" w:cs="Arial"/>
                <w:sz w:val="6"/>
                <w:szCs w:val="6"/>
              </w:rPr>
            </w:pPr>
          </w:p>
        </w:tc>
        <w:tc>
          <w:tcPr>
            <w:tcW w:w="854" w:type="dxa"/>
            <w:tcBorders>
              <w:top w:val="nil"/>
              <w:left w:val="nil"/>
              <w:bottom w:val="nil"/>
              <w:right w:val="nil"/>
            </w:tcBorders>
          </w:tcPr>
          <w:p w:rsidR="0020530B" w:rsidRPr="00A51255" w:rsidRDefault="0020530B" w:rsidP="00EE7F13">
            <w:pPr>
              <w:jc w:val="center"/>
              <w:rPr>
                <w:rFonts w:ascii="Arial" w:hAnsi="Arial" w:cs="Arial"/>
                <w:sz w:val="6"/>
                <w:szCs w:val="6"/>
              </w:rPr>
            </w:pPr>
          </w:p>
        </w:tc>
        <w:tc>
          <w:tcPr>
            <w:tcW w:w="0" w:type="auto"/>
            <w:tcBorders>
              <w:top w:val="nil"/>
              <w:left w:val="nil"/>
              <w:bottom w:val="nil"/>
              <w:right w:val="nil"/>
            </w:tcBorders>
          </w:tcPr>
          <w:p w:rsidR="0020530B" w:rsidRPr="00A51255" w:rsidRDefault="0020530B" w:rsidP="00EE7F13">
            <w:pPr>
              <w:jc w:val="center"/>
              <w:rPr>
                <w:rFonts w:ascii="Arial" w:hAnsi="Arial" w:cs="Arial"/>
                <w:sz w:val="6"/>
                <w:szCs w:val="6"/>
              </w:rPr>
            </w:pPr>
          </w:p>
        </w:tc>
      </w:tr>
      <w:tr w:rsidR="0020530B" w:rsidRPr="00A51255" w:rsidTr="00EE7F13">
        <w:trPr>
          <w:trHeight w:val="57"/>
          <w:jc w:val="center"/>
        </w:trPr>
        <w:tc>
          <w:tcPr>
            <w:tcW w:w="2941" w:type="dxa"/>
            <w:tcBorders>
              <w:top w:val="nil"/>
              <w:left w:val="nil"/>
              <w:right w:val="nil"/>
            </w:tcBorders>
            <w:shd w:val="clear" w:color="auto" w:fill="auto"/>
            <w:noWrap/>
            <w:tcMar>
              <w:top w:w="26" w:type="dxa"/>
              <w:left w:w="26" w:type="dxa"/>
              <w:bottom w:w="0" w:type="dxa"/>
              <w:right w:w="26" w:type="dxa"/>
            </w:tcMar>
            <w:vAlign w:val="bottom"/>
          </w:tcPr>
          <w:p w:rsidR="0020530B" w:rsidRPr="00A51255" w:rsidRDefault="0020530B" w:rsidP="00EE7F13">
            <w:pPr>
              <w:jc w:val="center"/>
              <w:rPr>
                <w:rFonts w:ascii="Arial" w:hAnsi="Arial" w:cs="Arial"/>
                <w:sz w:val="6"/>
                <w:szCs w:val="6"/>
              </w:rPr>
            </w:pPr>
          </w:p>
        </w:tc>
        <w:tc>
          <w:tcPr>
            <w:tcW w:w="1614" w:type="dxa"/>
            <w:tcBorders>
              <w:top w:val="nil"/>
              <w:left w:val="nil"/>
              <w:right w:val="nil"/>
            </w:tcBorders>
            <w:shd w:val="clear" w:color="auto" w:fill="auto"/>
            <w:noWrap/>
            <w:tcMar>
              <w:top w:w="26" w:type="dxa"/>
              <w:left w:w="26" w:type="dxa"/>
              <w:bottom w:w="0" w:type="dxa"/>
              <w:right w:w="26" w:type="dxa"/>
            </w:tcMar>
            <w:vAlign w:val="bottom"/>
          </w:tcPr>
          <w:p w:rsidR="0020530B" w:rsidRPr="00A51255" w:rsidRDefault="0020530B" w:rsidP="00EE7F13">
            <w:pPr>
              <w:jc w:val="center"/>
              <w:rPr>
                <w:rFonts w:ascii="Arial" w:hAnsi="Arial" w:cs="Arial"/>
                <w:sz w:val="6"/>
                <w:szCs w:val="6"/>
              </w:rPr>
            </w:pPr>
          </w:p>
        </w:tc>
        <w:tc>
          <w:tcPr>
            <w:tcW w:w="946" w:type="dxa"/>
            <w:tcBorders>
              <w:top w:val="nil"/>
              <w:left w:val="nil"/>
              <w:bottom w:val="single" w:sz="4" w:space="0" w:color="auto"/>
              <w:right w:val="nil"/>
            </w:tcBorders>
            <w:shd w:val="clear" w:color="auto" w:fill="auto"/>
            <w:noWrap/>
            <w:tcMar>
              <w:top w:w="26" w:type="dxa"/>
              <w:left w:w="26" w:type="dxa"/>
              <w:bottom w:w="0" w:type="dxa"/>
              <w:right w:w="26" w:type="dxa"/>
            </w:tcMar>
            <w:vAlign w:val="bottom"/>
          </w:tcPr>
          <w:p w:rsidR="0020530B" w:rsidRPr="00A51255" w:rsidRDefault="0020530B" w:rsidP="00EE7F13">
            <w:pPr>
              <w:rPr>
                <w:rFonts w:ascii="Arial" w:hAnsi="Arial" w:cs="Arial"/>
                <w:sz w:val="6"/>
                <w:szCs w:val="6"/>
              </w:rPr>
            </w:pPr>
          </w:p>
        </w:tc>
        <w:tc>
          <w:tcPr>
            <w:tcW w:w="851" w:type="dxa"/>
            <w:tcBorders>
              <w:top w:val="nil"/>
              <w:left w:val="nil"/>
              <w:bottom w:val="single" w:sz="4" w:space="0" w:color="auto"/>
              <w:right w:val="nil"/>
            </w:tcBorders>
          </w:tcPr>
          <w:p w:rsidR="0020530B" w:rsidRPr="00A51255" w:rsidRDefault="0020530B" w:rsidP="00EE7F13">
            <w:pPr>
              <w:jc w:val="center"/>
              <w:rPr>
                <w:rFonts w:ascii="Arial" w:hAnsi="Arial" w:cs="Arial"/>
                <w:sz w:val="6"/>
                <w:szCs w:val="6"/>
              </w:rPr>
            </w:pPr>
          </w:p>
        </w:tc>
        <w:tc>
          <w:tcPr>
            <w:tcW w:w="854" w:type="dxa"/>
            <w:tcBorders>
              <w:top w:val="nil"/>
              <w:left w:val="nil"/>
              <w:bottom w:val="single" w:sz="4" w:space="0" w:color="auto"/>
              <w:right w:val="nil"/>
            </w:tcBorders>
          </w:tcPr>
          <w:p w:rsidR="0020530B" w:rsidRPr="00A51255" w:rsidRDefault="0020530B" w:rsidP="00EE7F13">
            <w:pPr>
              <w:jc w:val="center"/>
              <w:rPr>
                <w:rFonts w:ascii="Arial" w:hAnsi="Arial" w:cs="Arial"/>
                <w:sz w:val="6"/>
                <w:szCs w:val="6"/>
              </w:rPr>
            </w:pPr>
          </w:p>
        </w:tc>
        <w:tc>
          <w:tcPr>
            <w:tcW w:w="0" w:type="auto"/>
            <w:tcBorders>
              <w:top w:val="nil"/>
              <w:left w:val="nil"/>
              <w:bottom w:val="single" w:sz="4" w:space="0" w:color="auto"/>
              <w:right w:val="nil"/>
            </w:tcBorders>
          </w:tcPr>
          <w:p w:rsidR="0020530B" w:rsidRPr="00A51255" w:rsidRDefault="0020530B" w:rsidP="00EE7F13">
            <w:pPr>
              <w:jc w:val="center"/>
              <w:rPr>
                <w:rFonts w:ascii="Arial" w:hAnsi="Arial" w:cs="Arial"/>
                <w:sz w:val="6"/>
                <w:szCs w:val="6"/>
              </w:rPr>
            </w:pPr>
          </w:p>
        </w:tc>
      </w:tr>
      <w:tr w:rsidR="0020530B" w:rsidRPr="00A51255" w:rsidTr="00EE7F13">
        <w:trPr>
          <w:trHeight w:val="255"/>
          <w:jc w:val="center"/>
        </w:trPr>
        <w:tc>
          <w:tcPr>
            <w:tcW w:w="4555" w:type="dxa"/>
            <w:gridSpan w:val="2"/>
            <w:tcBorders>
              <w:bottom w:val="single" w:sz="4" w:space="0" w:color="auto"/>
              <w:right w:val="single" w:sz="4" w:space="0" w:color="auto"/>
            </w:tcBorders>
            <w:shd w:val="clear" w:color="000000" w:fill="auto"/>
            <w:noWrap/>
            <w:tcMar>
              <w:top w:w="26" w:type="dxa"/>
              <w:left w:w="26" w:type="dxa"/>
              <w:bottom w:w="0" w:type="dxa"/>
              <w:right w:w="26" w:type="dxa"/>
            </w:tcMar>
            <w:vAlign w:val="bottom"/>
          </w:tcPr>
          <w:p w:rsidR="0020530B" w:rsidRPr="00A51255" w:rsidRDefault="0020530B" w:rsidP="00EE7F13">
            <w:pPr>
              <w:jc w:val="center"/>
              <w:rPr>
                <w:rFonts w:ascii="Arial" w:hAnsi="Arial" w:cs="Arial"/>
                <w:b/>
                <w:bCs/>
                <w:sz w:val="20"/>
                <w:szCs w:val="20"/>
              </w:rPr>
            </w:pPr>
          </w:p>
        </w:tc>
        <w:tc>
          <w:tcPr>
            <w:tcW w:w="946" w:type="dxa"/>
            <w:tcBorders>
              <w:top w:val="single" w:sz="4" w:space="0" w:color="auto"/>
              <w:left w:val="single" w:sz="4" w:space="0" w:color="auto"/>
              <w:bottom w:val="single" w:sz="4" w:space="0" w:color="auto"/>
              <w:right w:val="single" w:sz="4" w:space="0" w:color="auto"/>
            </w:tcBorders>
            <w:shd w:val="clear" w:color="000000" w:fill="auto"/>
            <w:noWrap/>
            <w:tcMar>
              <w:top w:w="26" w:type="dxa"/>
              <w:left w:w="26" w:type="dxa"/>
              <w:bottom w:w="0" w:type="dxa"/>
              <w:right w:w="26" w:type="dxa"/>
            </w:tcMar>
          </w:tcPr>
          <w:p w:rsidR="0020530B" w:rsidRPr="00A51255" w:rsidRDefault="0020530B" w:rsidP="00EE7F13">
            <w:pPr>
              <w:jc w:val="center"/>
              <w:rPr>
                <w:rFonts w:ascii="Arial" w:hAnsi="Arial" w:cs="Arial"/>
                <w:b/>
                <w:bCs/>
                <w:sz w:val="20"/>
                <w:szCs w:val="20"/>
              </w:rPr>
            </w:pPr>
            <w:r w:rsidRPr="00A51255">
              <w:rPr>
                <w:rFonts w:ascii="Arial" w:hAnsi="Arial" w:cs="Arial"/>
                <w:b/>
                <w:bCs/>
                <w:sz w:val="20"/>
                <w:szCs w:val="20"/>
              </w:rPr>
              <w:t>1%</w:t>
            </w:r>
          </w:p>
        </w:tc>
        <w:tc>
          <w:tcPr>
            <w:tcW w:w="851" w:type="dxa"/>
            <w:tcBorders>
              <w:top w:val="single" w:sz="4" w:space="0" w:color="auto"/>
              <w:left w:val="nil"/>
              <w:bottom w:val="single" w:sz="4" w:space="0" w:color="auto"/>
              <w:right w:val="single" w:sz="4" w:space="0" w:color="auto"/>
            </w:tcBorders>
            <w:shd w:val="clear" w:color="000000" w:fill="auto"/>
          </w:tcPr>
          <w:p w:rsidR="0020530B" w:rsidRPr="00A51255" w:rsidRDefault="0020530B" w:rsidP="00EE7F13">
            <w:pPr>
              <w:jc w:val="center"/>
              <w:rPr>
                <w:rFonts w:ascii="Arial" w:hAnsi="Arial" w:cs="Arial"/>
                <w:b/>
                <w:bCs/>
                <w:sz w:val="20"/>
                <w:szCs w:val="20"/>
              </w:rPr>
            </w:pPr>
            <w:r w:rsidRPr="00A51255">
              <w:rPr>
                <w:rFonts w:ascii="Arial" w:hAnsi="Arial" w:cs="Arial"/>
                <w:b/>
                <w:bCs/>
                <w:sz w:val="20"/>
                <w:szCs w:val="20"/>
              </w:rPr>
              <w:t>5%</w:t>
            </w:r>
          </w:p>
        </w:tc>
        <w:tc>
          <w:tcPr>
            <w:tcW w:w="854" w:type="dxa"/>
            <w:tcBorders>
              <w:top w:val="single" w:sz="4" w:space="0" w:color="auto"/>
              <w:left w:val="nil"/>
              <w:bottom w:val="single" w:sz="4" w:space="0" w:color="auto"/>
              <w:right w:val="single" w:sz="4" w:space="0" w:color="auto"/>
            </w:tcBorders>
            <w:shd w:val="clear" w:color="000000" w:fill="auto"/>
          </w:tcPr>
          <w:p w:rsidR="0020530B" w:rsidRPr="00A51255" w:rsidRDefault="0020530B" w:rsidP="00EE7F13">
            <w:pPr>
              <w:jc w:val="center"/>
              <w:rPr>
                <w:rFonts w:ascii="Arial" w:hAnsi="Arial" w:cs="Arial"/>
                <w:b/>
                <w:bCs/>
                <w:sz w:val="20"/>
                <w:szCs w:val="20"/>
              </w:rPr>
            </w:pPr>
            <w:r w:rsidRPr="00A51255">
              <w:rPr>
                <w:rFonts w:ascii="Arial" w:hAnsi="Arial" w:cs="Arial"/>
                <w:b/>
                <w:bCs/>
                <w:sz w:val="20"/>
                <w:szCs w:val="20"/>
              </w:rPr>
              <w:t>10%</w:t>
            </w:r>
          </w:p>
        </w:tc>
        <w:tc>
          <w:tcPr>
            <w:tcW w:w="0" w:type="auto"/>
            <w:tcBorders>
              <w:top w:val="single" w:sz="4" w:space="0" w:color="auto"/>
              <w:left w:val="nil"/>
              <w:bottom w:val="single" w:sz="4" w:space="0" w:color="auto"/>
              <w:right w:val="single" w:sz="4" w:space="0" w:color="auto"/>
            </w:tcBorders>
            <w:shd w:val="clear" w:color="000000" w:fill="auto"/>
          </w:tcPr>
          <w:p w:rsidR="0020530B" w:rsidRPr="00A51255" w:rsidRDefault="0020530B" w:rsidP="00EE7F13">
            <w:pPr>
              <w:jc w:val="center"/>
              <w:rPr>
                <w:rFonts w:ascii="Arial" w:hAnsi="Arial" w:cs="Arial"/>
                <w:b/>
                <w:bCs/>
                <w:sz w:val="20"/>
                <w:szCs w:val="20"/>
              </w:rPr>
            </w:pPr>
            <w:r w:rsidRPr="00A51255">
              <w:rPr>
                <w:rFonts w:ascii="Arial" w:hAnsi="Arial" w:cs="Arial"/>
                <w:b/>
                <w:bCs/>
                <w:sz w:val="20"/>
                <w:szCs w:val="20"/>
              </w:rPr>
              <w:t>Sum:</w:t>
            </w:r>
          </w:p>
        </w:tc>
      </w:tr>
      <w:tr w:rsidR="006D7B6E" w:rsidRPr="00A51255" w:rsidTr="00752108">
        <w:trPr>
          <w:trHeight w:val="255"/>
          <w:jc w:val="center"/>
        </w:trPr>
        <w:tc>
          <w:tcPr>
            <w:tcW w:w="2941" w:type="dxa"/>
            <w:tcBorders>
              <w:top w:val="single" w:sz="4" w:space="0" w:color="auto"/>
              <w:left w:val="single" w:sz="4" w:space="0" w:color="auto"/>
              <w:bottom w:val="single" w:sz="4" w:space="0" w:color="auto"/>
              <w:right w:val="single" w:sz="4" w:space="0" w:color="auto"/>
            </w:tcBorders>
            <w:shd w:val="clear" w:color="000000" w:fill="auto"/>
            <w:noWrap/>
            <w:tcMar>
              <w:top w:w="26" w:type="dxa"/>
              <w:left w:w="26" w:type="dxa"/>
              <w:bottom w:w="0" w:type="dxa"/>
              <w:right w:w="26" w:type="dxa"/>
            </w:tcMar>
            <w:vAlign w:val="bottom"/>
          </w:tcPr>
          <w:p w:rsidR="006D7B6E" w:rsidRPr="00A51255" w:rsidRDefault="006D7B6E" w:rsidP="00EE7F13">
            <w:pPr>
              <w:jc w:val="center"/>
              <w:rPr>
                <w:rFonts w:ascii="Arial" w:hAnsi="Arial" w:cs="Arial"/>
                <w:b/>
                <w:bCs/>
                <w:sz w:val="20"/>
                <w:szCs w:val="20"/>
              </w:rPr>
            </w:pPr>
            <w:r w:rsidRPr="00A51255">
              <w:rPr>
                <w:rFonts w:ascii="Arial" w:hAnsi="Arial" w:cs="Arial"/>
                <w:b/>
                <w:bCs/>
                <w:sz w:val="20"/>
                <w:szCs w:val="20"/>
              </w:rPr>
              <w:t>strongly positive</w:t>
            </w:r>
          </w:p>
        </w:tc>
        <w:tc>
          <w:tcPr>
            <w:tcW w:w="1614" w:type="dxa"/>
            <w:vMerge w:val="restart"/>
            <w:tcBorders>
              <w:top w:val="single" w:sz="4" w:space="0" w:color="auto"/>
              <w:left w:val="nil"/>
              <w:right w:val="single" w:sz="4" w:space="0" w:color="auto"/>
            </w:tcBorders>
            <w:shd w:val="clear" w:color="000000" w:fill="auto"/>
            <w:noWrap/>
            <w:tcMar>
              <w:top w:w="26" w:type="dxa"/>
              <w:left w:w="26" w:type="dxa"/>
              <w:bottom w:w="0" w:type="dxa"/>
              <w:right w:w="26" w:type="dxa"/>
            </w:tcMar>
            <w:vAlign w:val="bottom"/>
          </w:tcPr>
          <w:p w:rsidR="006D7B6E" w:rsidRPr="00A51255" w:rsidRDefault="006D7B6E" w:rsidP="00EE7F13">
            <w:pPr>
              <w:jc w:val="center"/>
              <w:rPr>
                <w:rFonts w:ascii="Arial" w:hAnsi="Arial" w:cs="Arial"/>
                <w:b/>
                <w:bCs/>
                <w:sz w:val="20"/>
                <w:szCs w:val="20"/>
              </w:rPr>
            </w:pPr>
            <w:r w:rsidRPr="00A51255">
              <w:rPr>
                <w:rFonts w:ascii="Arial" w:hAnsi="Arial" w:cs="Arial"/>
                <w:b/>
                <w:bCs/>
                <w:sz w:val="20"/>
                <w:szCs w:val="20"/>
              </w:rPr>
              <w:t xml:space="preserve">for  </w:t>
            </w:r>
            <w:r w:rsidRPr="00A51255">
              <w:rPr>
                <w:b/>
                <w:bCs/>
                <w:i/>
                <w:sz w:val="20"/>
                <w:szCs w:val="20"/>
              </w:rPr>
              <w:t>t+1</w:t>
            </w:r>
          </w:p>
          <w:p w:rsidR="006D7B6E" w:rsidRPr="00A51255" w:rsidRDefault="006D7B6E" w:rsidP="00EE7F13">
            <w:pPr>
              <w:jc w:val="center"/>
              <w:rPr>
                <w:rFonts w:ascii="Arial" w:hAnsi="Arial" w:cs="Arial"/>
                <w:b/>
                <w:bCs/>
                <w:sz w:val="20"/>
                <w:szCs w:val="20"/>
                <w:lang w:val="en-US"/>
              </w:rPr>
            </w:pPr>
          </w:p>
          <w:p w:rsidR="006D7B6E" w:rsidRPr="00A51255" w:rsidRDefault="006D7B6E" w:rsidP="00EE7F13">
            <w:pPr>
              <w:jc w:val="center"/>
              <w:rPr>
                <w:rFonts w:ascii="Arial" w:hAnsi="Arial" w:cs="Arial"/>
                <w:b/>
                <w:bCs/>
                <w:sz w:val="20"/>
                <w:szCs w:val="20"/>
                <w:lang w:val="en-US"/>
              </w:rPr>
            </w:pPr>
          </w:p>
        </w:tc>
        <w:tc>
          <w:tcPr>
            <w:tcW w:w="946" w:type="dxa"/>
            <w:tcBorders>
              <w:top w:val="single" w:sz="4" w:space="0" w:color="auto"/>
              <w:left w:val="nil"/>
              <w:bottom w:val="single" w:sz="4" w:space="0" w:color="auto"/>
              <w:right w:val="single" w:sz="4" w:space="0" w:color="auto"/>
            </w:tcBorders>
            <w:shd w:val="clear" w:color="000000" w:fill="auto"/>
            <w:noWrap/>
            <w:tcMar>
              <w:top w:w="26" w:type="dxa"/>
              <w:left w:w="26" w:type="dxa"/>
              <w:bottom w:w="0" w:type="dxa"/>
              <w:right w:w="26" w:type="dxa"/>
            </w:tcMar>
            <w:vAlign w:val="bottom"/>
          </w:tcPr>
          <w:p w:rsidR="006D7B6E" w:rsidRPr="00A51255" w:rsidRDefault="007A0876">
            <w:pPr>
              <w:jc w:val="center"/>
              <w:rPr>
                <w:rFonts w:ascii="Arial" w:hAnsi="Arial" w:cs="Arial"/>
                <w:bCs/>
                <w:sz w:val="20"/>
                <w:szCs w:val="20"/>
              </w:rPr>
            </w:pPr>
            <w:r>
              <w:rPr>
                <w:rFonts w:ascii="Arial" w:hAnsi="Arial" w:cs="Arial"/>
                <w:bCs/>
                <w:sz w:val="20"/>
                <w:szCs w:val="20"/>
              </w:rPr>
              <w:t>3</w:t>
            </w:r>
          </w:p>
        </w:tc>
        <w:tc>
          <w:tcPr>
            <w:tcW w:w="851" w:type="dxa"/>
            <w:tcBorders>
              <w:top w:val="single" w:sz="4" w:space="0" w:color="auto"/>
              <w:left w:val="nil"/>
              <w:bottom w:val="single" w:sz="4" w:space="0" w:color="auto"/>
              <w:right w:val="single" w:sz="4" w:space="0" w:color="auto"/>
            </w:tcBorders>
            <w:shd w:val="clear" w:color="000000" w:fill="auto"/>
            <w:vAlign w:val="bottom"/>
          </w:tcPr>
          <w:p w:rsidR="006D7B6E" w:rsidRPr="00A51255" w:rsidRDefault="007A0876">
            <w:pPr>
              <w:jc w:val="center"/>
              <w:rPr>
                <w:rFonts w:ascii="Arial" w:hAnsi="Arial" w:cs="Arial"/>
                <w:bCs/>
                <w:sz w:val="20"/>
                <w:szCs w:val="20"/>
              </w:rPr>
            </w:pPr>
            <w:r>
              <w:rPr>
                <w:rFonts w:ascii="Arial" w:hAnsi="Arial" w:cs="Arial"/>
                <w:bCs/>
                <w:sz w:val="20"/>
                <w:szCs w:val="20"/>
              </w:rPr>
              <w:t>1</w:t>
            </w:r>
          </w:p>
        </w:tc>
        <w:tc>
          <w:tcPr>
            <w:tcW w:w="854" w:type="dxa"/>
            <w:tcBorders>
              <w:top w:val="single" w:sz="4" w:space="0" w:color="auto"/>
              <w:left w:val="nil"/>
              <w:bottom w:val="single" w:sz="4" w:space="0" w:color="auto"/>
              <w:right w:val="single" w:sz="4" w:space="0" w:color="auto"/>
            </w:tcBorders>
            <w:shd w:val="clear" w:color="000000" w:fill="auto"/>
            <w:vAlign w:val="bottom"/>
          </w:tcPr>
          <w:p w:rsidR="006D7B6E" w:rsidRPr="00A51255" w:rsidRDefault="007A0876">
            <w:pPr>
              <w:jc w:val="center"/>
              <w:rPr>
                <w:rFonts w:ascii="Arial" w:hAnsi="Arial" w:cs="Arial"/>
                <w:bCs/>
                <w:sz w:val="20"/>
                <w:szCs w:val="20"/>
              </w:rPr>
            </w:pPr>
            <w:r>
              <w:rPr>
                <w:rFonts w:ascii="Arial" w:hAnsi="Arial" w:cs="Arial"/>
                <w:bCs/>
                <w:sz w:val="20"/>
                <w:szCs w:val="20"/>
              </w:rPr>
              <w:t>0</w:t>
            </w:r>
          </w:p>
        </w:tc>
        <w:tc>
          <w:tcPr>
            <w:tcW w:w="0" w:type="auto"/>
            <w:tcBorders>
              <w:top w:val="single" w:sz="4" w:space="0" w:color="auto"/>
              <w:left w:val="nil"/>
              <w:bottom w:val="single" w:sz="4" w:space="0" w:color="auto"/>
              <w:right w:val="single" w:sz="4" w:space="0" w:color="auto"/>
            </w:tcBorders>
            <w:shd w:val="clear" w:color="000000" w:fill="auto"/>
            <w:vAlign w:val="bottom"/>
          </w:tcPr>
          <w:p w:rsidR="006D7B6E" w:rsidRPr="00A51255" w:rsidRDefault="007A0876">
            <w:pPr>
              <w:jc w:val="center"/>
              <w:rPr>
                <w:rFonts w:ascii="Arial" w:hAnsi="Arial" w:cs="Arial"/>
                <w:b/>
                <w:bCs/>
                <w:sz w:val="20"/>
                <w:szCs w:val="20"/>
              </w:rPr>
            </w:pPr>
            <w:r>
              <w:rPr>
                <w:rFonts w:ascii="Arial" w:hAnsi="Arial" w:cs="Arial"/>
                <w:b/>
                <w:bCs/>
                <w:sz w:val="20"/>
                <w:szCs w:val="20"/>
              </w:rPr>
              <w:t>4</w:t>
            </w:r>
          </w:p>
        </w:tc>
      </w:tr>
      <w:tr w:rsidR="006D7B6E" w:rsidRPr="00A51255" w:rsidTr="00752108">
        <w:trPr>
          <w:trHeight w:val="255"/>
          <w:jc w:val="center"/>
        </w:trPr>
        <w:tc>
          <w:tcPr>
            <w:tcW w:w="2941" w:type="dxa"/>
            <w:tcBorders>
              <w:top w:val="single" w:sz="4" w:space="0" w:color="auto"/>
              <w:left w:val="single" w:sz="4" w:space="0" w:color="auto"/>
              <w:bottom w:val="single" w:sz="4" w:space="0" w:color="auto"/>
              <w:right w:val="single" w:sz="4" w:space="0" w:color="auto"/>
            </w:tcBorders>
            <w:shd w:val="clear" w:color="000000" w:fill="auto"/>
            <w:noWrap/>
            <w:tcMar>
              <w:top w:w="26" w:type="dxa"/>
              <w:left w:w="26" w:type="dxa"/>
              <w:bottom w:w="0" w:type="dxa"/>
              <w:right w:w="26" w:type="dxa"/>
            </w:tcMar>
            <w:vAlign w:val="bottom"/>
          </w:tcPr>
          <w:p w:rsidR="006D7B6E" w:rsidRPr="00A51255" w:rsidRDefault="006D7B6E" w:rsidP="00EE7F13">
            <w:pPr>
              <w:jc w:val="center"/>
              <w:rPr>
                <w:rFonts w:ascii="Arial" w:hAnsi="Arial" w:cs="Arial"/>
                <w:b/>
                <w:bCs/>
                <w:sz w:val="20"/>
                <w:szCs w:val="20"/>
              </w:rPr>
            </w:pPr>
            <w:r w:rsidRPr="00A51255">
              <w:rPr>
                <w:rFonts w:ascii="Arial" w:hAnsi="Arial" w:cs="Arial"/>
                <w:b/>
                <w:bCs/>
                <w:sz w:val="20"/>
                <w:szCs w:val="20"/>
              </w:rPr>
              <w:t>positive</w:t>
            </w:r>
          </w:p>
        </w:tc>
        <w:tc>
          <w:tcPr>
            <w:tcW w:w="1614" w:type="dxa"/>
            <w:vMerge/>
            <w:tcBorders>
              <w:left w:val="nil"/>
              <w:right w:val="single" w:sz="4" w:space="0" w:color="auto"/>
            </w:tcBorders>
            <w:shd w:val="clear" w:color="000000" w:fill="auto"/>
            <w:noWrap/>
            <w:tcMar>
              <w:top w:w="26" w:type="dxa"/>
              <w:left w:w="26" w:type="dxa"/>
              <w:bottom w:w="0" w:type="dxa"/>
              <w:right w:w="26" w:type="dxa"/>
            </w:tcMar>
          </w:tcPr>
          <w:p w:rsidR="006D7B6E" w:rsidRPr="00A51255" w:rsidRDefault="006D7B6E" w:rsidP="00EE7F13">
            <w:pPr>
              <w:jc w:val="center"/>
            </w:pPr>
          </w:p>
        </w:tc>
        <w:tc>
          <w:tcPr>
            <w:tcW w:w="946" w:type="dxa"/>
            <w:tcBorders>
              <w:top w:val="single" w:sz="4" w:space="0" w:color="auto"/>
              <w:left w:val="nil"/>
              <w:bottom w:val="single" w:sz="4" w:space="0" w:color="auto"/>
              <w:right w:val="single" w:sz="4" w:space="0" w:color="auto"/>
            </w:tcBorders>
            <w:shd w:val="clear" w:color="000000" w:fill="auto"/>
            <w:noWrap/>
            <w:tcMar>
              <w:top w:w="26" w:type="dxa"/>
              <w:left w:w="26" w:type="dxa"/>
              <w:bottom w:w="0" w:type="dxa"/>
              <w:right w:w="26" w:type="dxa"/>
            </w:tcMar>
            <w:vAlign w:val="bottom"/>
          </w:tcPr>
          <w:p w:rsidR="006D7B6E" w:rsidRPr="00A51255" w:rsidRDefault="007A0876">
            <w:pPr>
              <w:jc w:val="center"/>
              <w:rPr>
                <w:rFonts w:ascii="Arial" w:hAnsi="Arial" w:cs="Arial"/>
                <w:bCs/>
                <w:sz w:val="20"/>
                <w:szCs w:val="20"/>
              </w:rPr>
            </w:pPr>
            <w:r>
              <w:rPr>
                <w:rFonts w:ascii="Arial" w:hAnsi="Arial" w:cs="Arial"/>
                <w:bCs/>
                <w:sz w:val="20"/>
                <w:szCs w:val="20"/>
              </w:rPr>
              <w:t>4</w:t>
            </w:r>
          </w:p>
        </w:tc>
        <w:tc>
          <w:tcPr>
            <w:tcW w:w="851" w:type="dxa"/>
            <w:tcBorders>
              <w:top w:val="single" w:sz="4" w:space="0" w:color="auto"/>
              <w:left w:val="nil"/>
              <w:bottom w:val="single" w:sz="4" w:space="0" w:color="auto"/>
              <w:right w:val="single" w:sz="4" w:space="0" w:color="auto"/>
            </w:tcBorders>
            <w:shd w:val="clear" w:color="000000" w:fill="auto"/>
            <w:vAlign w:val="bottom"/>
          </w:tcPr>
          <w:p w:rsidR="006D7B6E" w:rsidRPr="00A51255" w:rsidRDefault="007A0876">
            <w:pPr>
              <w:jc w:val="center"/>
              <w:rPr>
                <w:rFonts w:ascii="Arial" w:hAnsi="Arial" w:cs="Arial"/>
                <w:bCs/>
                <w:sz w:val="20"/>
                <w:szCs w:val="20"/>
              </w:rPr>
            </w:pPr>
            <w:r>
              <w:rPr>
                <w:rFonts w:ascii="Arial" w:hAnsi="Arial" w:cs="Arial"/>
                <w:bCs/>
                <w:sz w:val="20"/>
                <w:szCs w:val="20"/>
              </w:rPr>
              <w:t>0</w:t>
            </w:r>
          </w:p>
        </w:tc>
        <w:tc>
          <w:tcPr>
            <w:tcW w:w="854" w:type="dxa"/>
            <w:tcBorders>
              <w:top w:val="single" w:sz="4" w:space="0" w:color="auto"/>
              <w:left w:val="nil"/>
              <w:bottom w:val="single" w:sz="4" w:space="0" w:color="auto"/>
              <w:right w:val="single" w:sz="4" w:space="0" w:color="auto"/>
            </w:tcBorders>
            <w:shd w:val="clear" w:color="000000" w:fill="auto"/>
            <w:vAlign w:val="bottom"/>
          </w:tcPr>
          <w:p w:rsidR="006D7B6E" w:rsidRPr="00A51255" w:rsidRDefault="007A0876">
            <w:pPr>
              <w:jc w:val="center"/>
              <w:rPr>
                <w:rFonts w:ascii="Arial" w:hAnsi="Arial" w:cs="Arial"/>
                <w:bCs/>
                <w:sz w:val="20"/>
                <w:szCs w:val="20"/>
              </w:rPr>
            </w:pPr>
            <w:r>
              <w:rPr>
                <w:rFonts w:ascii="Arial" w:hAnsi="Arial" w:cs="Arial"/>
                <w:bCs/>
                <w:sz w:val="20"/>
                <w:szCs w:val="20"/>
              </w:rPr>
              <w:t>0</w:t>
            </w:r>
          </w:p>
        </w:tc>
        <w:tc>
          <w:tcPr>
            <w:tcW w:w="0" w:type="auto"/>
            <w:tcBorders>
              <w:top w:val="single" w:sz="4" w:space="0" w:color="auto"/>
              <w:left w:val="nil"/>
              <w:bottom w:val="single" w:sz="4" w:space="0" w:color="auto"/>
              <w:right w:val="single" w:sz="4" w:space="0" w:color="auto"/>
            </w:tcBorders>
            <w:shd w:val="clear" w:color="000000" w:fill="auto"/>
            <w:vAlign w:val="bottom"/>
          </w:tcPr>
          <w:p w:rsidR="006D7B6E" w:rsidRPr="00A51255" w:rsidRDefault="007A0876">
            <w:pPr>
              <w:jc w:val="center"/>
              <w:rPr>
                <w:rFonts w:ascii="Arial" w:hAnsi="Arial" w:cs="Arial"/>
                <w:b/>
                <w:bCs/>
                <w:sz w:val="20"/>
                <w:szCs w:val="20"/>
              </w:rPr>
            </w:pPr>
            <w:r>
              <w:rPr>
                <w:rFonts w:ascii="Arial" w:hAnsi="Arial" w:cs="Arial"/>
                <w:b/>
                <w:bCs/>
                <w:sz w:val="20"/>
                <w:szCs w:val="20"/>
              </w:rPr>
              <w:t>4</w:t>
            </w:r>
          </w:p>
        </w:tc>
      </w:tr>
      <w:tr w:rsidR="006D7B6E" w:rsidRPr="00A51255" w:rsidTr="00752108">
        <w:trPr>
          <w:trHeight w:val="255"/>
          <w:jc w:val="center"/>
        </w:trPr>
        <w:tc>
          <w:tcPr>
            <w:tcW w:w="2941" w:type="dxa"/>
            <w:tcBorders>
              <w:top w:val="single" w:sz="4" w:space="0" w:color="auto"/>
              <w:left w:val="single" w:sz="4" w:space="0" w:color="auto"/>
              <w:bottom w:val="single" w:sz="4" w:space="0" w:color="auto"/>
              <w:right w:val="single" w:sz="4" w:space="0" w:color="auto"/>
            </w:tcBorders>
            <w:shd w:val="clear" w:color="000000" w:fill="auto"/>
            <w:noWrap/>
            <w:tcMar>
              <w:top w:w="26" w:type="dxa"/>
              <w:left w:w="26" w:type="dxa"/>
              <w:bottom w:w="0" w:type="dxa"/>
              <w:right w:w="26" w:type="dxa"/>
            </w:tcMar>
            <w:vAlign w:val="bottom"/>
          </w:tcPr>
          <w:p w:rsidR="006D7B6E" w:rsidRPr="00A51255" w:rsidRDefault="006D7B6E" w:rsidP="00EE7F13">
            <w:pPr>
              <w:jc w:val="center"/>
              <w:rPr>
                <w:rFonts w:ascii="Arial" w:hAnsi="Arial" w:cs="Arial"/>
                <w:b/>
                <w:bCs/>
                <w:sz w:val="20"/>
                <w:szCs w:val="20"/>
              </w:rPr>
            </w:pPr>
            <w:r w:rsidRPr="00A51255">
              <w:rPr>
                <w:rFonts w:ascii="Arial" w:hAnsi="Arial" w:cs="Arial"/>
                <w:b/>
                <w:bCs/>
                <w:sz w:val="20"/>
                <w:szCs w:val="20"/>
              </w:rPr>
              <w:t>negative</w:t>
            </w:r>
          </w:p>
        </w:tc>
        <w:tc>
          <w:tcPr>
            <w:tcW w:w="1614" w:type="dxa"/>
            <w:vMerge/>
            <w:tcBorders>
              <w:left w:val="nil"/>
              <w:right w:val="single" w:sz="4" w:space="0" w:color="auto"/>
            </w:tcBorders>
            <w:shd w:val="clear" w:color="000000" w:fill="auto"/>
            <w:noWrap/>
            <w:tcMar>
              <w:top w:w="26" w:type="dxa"/>
              <w:left w:w="26" w:type="dxa"/>
              <w:bottom w:w="0" w:type="dxa"/>
              <w:right w:w="26" w:type="dxa"/>
            </w:tcMar>
          </w:tcPr>
          <w:p w:rsidR="006D7B6E" w:rsidRPr="00A51255" w:rsidRDefault="006D7B6E" w:rsidP="00EE7F13">
            <w:pPr>
              <w:jc w:val="center"/>
            </w:pPr>
          </w:p>
        </w:tc>
        <w:tc>
          <w:tcPr>
            <w:tcW w:w="946" w:type="dxa"/>
            <w:tcBorders>
              <w:top w:val="single" w:sz="4" w:space="0" w:color="auto"/>
              <w:left w:val="nil"/>
              <w:bottom w:val="single" w:sz="4" w:space="0" w:color="auto"/>
              <w:right w:val="single" w:sz="4" w:space="0" w:color="auto"/>
            </w:tcBorders>
            <w:shd w:val="clear" w:color="000000" w:fill="auto"/>
            <w:noWrap/>
            <w:tcMar>
              <w:top w:w="26" w:type="dxa"/>
              <w:left w:w="26" w:type="dxa"/>
              <w:bottom w:w="0" w:type="dxa"/>
              <w:right w:w="26" w:type="dxa"/>
            </w:tcMar>
            <w:vAlign w:val="bottom"/>
          </w:tcPr>
          <w:p w:rsidR="006D7B6E" w:rsidRPr="00A51255" w:rsidRDefault="007A0876">
            <w:pPr>
              <w:jc w:val="center"/>
              <w:rPr>
                <w:rFonts w:ascii="Arial" w:hAnsi="Arial" w:cs="Arial"/>
                <w:bCs/>
                <w:sz w:val="20"/>
                <w:szCs w:val="20"/>
              </w:rPr>
            </w:pPr>
            <w:r>
              <w:rPr>
                <w:rFonts w:ascii="Arial" w:hAnsi="Arial" w:cs="Arial"/>
                <w:bCs/>
                <w:sz w:val="20"/>
                <w:szCs w:val="20"/>
              </w:rPr>
              <w:t>1</w:t>
            </w:r>
          </w:p>
        </w:tc>
        <w:tc>
          <w:tcPr>
            <w:tcW w:w="851" w:type="dxa"/>
            <w:tcBorders>
              <w:top w:val="single" w:sz="4" w:space="0" w:color="auto"/>
              <w:left w:val="nil"/>
              <w:bottom w:val="single" w:sz="4" w:space="0" w:color="auto"/>
              <w:right w:val="single" w:sz="4" w:space="0" w:color="auto"/>
            </w:tcBorders>
            <w:shd w:val="clear" w:color="000000" w:fill="auto"/>
            <w:vAlign w:val="bottom"/>
          </w:tcPr>
          <w:p w:rsidR="006D7B6E" w:rsidRPr="00A51255" w:rsidRDefault="007A0876">
            <w:pPr>
              <w:jc w:val="center"/>
              <w:rPr>
                <w:rFonts w:ascii="Arial" w:hAnsi="Arial" w:cs="Arial"/>
                <w:bCs/>
                <w:sz w:val="20"/>
                <w:szCs w:val="20"/>
              </w:rPr>
            </w:pPr>
            <w:r>
              <w:rPr>
                <w:rFonts w:ascii="Arial" w:hAnsi="Arial" w:cs="Arial"/>
                <w:bCs/>
                <w:sz w:val="20"/>
                <w:szCs w:val="20"/>
              </w:rPr>
              <w:t>1</w:t>
            </w:r>
          </w:p>
        </w:tc>
        <w:tc>
          <w:tcPr>
            <w:tcW w:w="854" w:type="dxa"/>
            <w:tcBorders>
              <w:top w:val="single" w:sz="4" w:space="0" w:color="auto"/>
              <w:left w:val="nil"/>
              <w:bottom w:val="single" w:sz="4" w:space="0" w:color="auto"/>
              <w:right w:val="single" w:sz="4" w:space="0" w:color="auto"/>
            </w:tcBorders>
            <w:shd w:val="clear" w:color="000000" w:fill="auto"/>
            <w:vAlign w:val="bottom"/>
          </w:tcPr>
          <w:p w:rsidR="006D7B6E" w:rsidRPr="00A51255" w:rsidRDefault="007A0876">
            <w:pPr>
              <w:jc w:val="center"/>
              <w:rPr>
                <w:rFonts w:ascii="Arial" w:hAnsi="Arial" w:cs="Arial"/>
                <w:bCs/>
                <w:sz w:val="20"/>
                <w:szCs w:val="20"/>
              </w:rPr>
            </w:pPr>
            <w:r>
              <w:rPr>
                <w:rFonts w:ascii="Arial" w:hAnsi="Arial" w:cs="Arial"/>
                <w:bCs/>
                <w:sz w:val="20"/>
                <w:szCs w:val="20"/>
              </w:rPr>
              <w:t>2</w:t>
            </w:r>
          </w:p>
        </w:tc>
        <w:tc>
          <w:tcPr>
            <w:tcW w:w="0" w:type="auto"/>
            <w:tcBorders>
              <w:top w:val="single" w:sz="4" w:space="0" w:color="auto"/>
              <w:left w:val="nil"/>
              <w:bottom w:val="single" w:sz="4" w:space="0" w:color="auto"/>
              <w:right w:val="single" w:sz="4" w:space="0" w:color="auto"/>
            </w:tcBorders>
            <w:shd w:val="clear" w:color="000000" w:fill="auto"/>
            <w:vAlign w:val="bottom"/>
          </w:tcPr>
          <w:p w:rsidR="006D7B6E" w:rsidRPr="00A51255" w:rsidRDefault="007A0876">
            <w:pPr>
              <w:jc w:val="center"/>
              <w:rPr>
                <w:rFonts w:ascii="Arial" w:hAnsi="Arial" w:cs="Arial"/>
                <w:b/>
                <w:bCs/>
                <w:sz w:val="20"/>
                <w:szCs w:val="20"/>
              </w:rPr>
            </w:pPr>
            <w:r>
              <w:rPr>
                <w:rFonts w:ascii="Arial" w:hAnsi="Arial" w:cs="Arial"/>
                <w:b/>
                <w:bCs/>
                <w:sz w:val="20"/>
                <w:szCs w:val="20"/>
              </w:rPr>
              <w:t>4</w:t>
            </w:r>
          </w:p>
        </w:tc>
      </w:tr>
      <w:tr w:rsidR="006D7B6E" w:rsidRPr="00A51255" w:rsidTr="00752108">
        <w:trPr>
          <w:trHeight w:val="255"/>
          <w:jc w:val="center"/>
        </w:trPr>
        <w:tc>
          <w:tcPr>
            <w:tcW w:w="2941" w:type="dxa"/>
            <w:tcBorders>
              <w:top w:val="single" w:sz="4" w:space="0" w:color="auto"/>
              <w:left w:val="single" w:sz="4" w:space="0" w:color="auto"/>
              <w:bottom w:val="single" w:sz="4" w:space="0" w:color="auto"/>
              <w:right w:val="single" w:sz="4" w:space="0" w:color="auto"/>
            </w:tcBorders>
            <w:shd w:val="clear" w:color="000000" w:fill="auto"/>
            <w:noWrap/>
            <w:tcMar>
              <w:top w:w="26" w:type="dxa"/>
              <w:left w:w="26" w:type="dxa"/>
              <w:bottom w:w="0" w:type="dxa"/>
              <w:right w:w="26" w:type="dxa"/>
            </w:tcMar>
            <w:vAlign w:val="bottom"/>
          </w:tcPr>
          <w:p w:rsidR="006D7B6E" w:rsidRPr="00A51255" w:rsidRDefault="006D7B6E" w:rsidP="00EE7F13">
            <w:pPr>
              <w:jc w:val="center"/>
              <w:rPr>
                <w:rFonts w:ascii="Arial" w:hAnsi="Arial" w:cs="Arial"/>
                <w:b/>
                <w:bCs/>
                <w:sz w:val="20"/>
                <w:szCs w:val="20"/>
              </w:rPr>
            </w:pPr>
            <w:r w:rsidRPr="00A51255">
              <w:rPr>
                <w:rFonts w:ascii="Arial" w:hAnsi="Arial" w:cs="Arial"/>
                <w:b/>
                <w:bCs/>
                <w:sz w:val="20"/>
                <w:szCs w:val="20"/>
              </w:rPr>
              <w:t>strongly negative</w:t>
            </w:r>
          </w:p>
        </w:tc>
        <w:tc>
          <w:tcPr>
            <w:tcW w:w="1614" w:type="dxa"/>
            <w:vMerge/>
            <w:tcBorders>
              <w:left w:val="nil"/>
              <w:bottom w:val="single" w:sz="4" w:space="0" w:color="auto"/>
              <w:right w:val="single" w:sz="4" w:space="0" w:color="auto"/>
            </w:tcBorders>
            <w:shd w:val="clear" w:color="000000" w:fill="auto"/>
            <w:noWrap/>
            <w:tcMar>
              <w:top w:w="26" w:type="dxa"/>
              <w:left w:w="26" w:type="dxa"/>
              <w:bottom w:w="0" w:type="dxa"/>
              <w:right w:w="26" w:type="dxa"/>
            </w:tcMar>
          </w:tcPr>
          <w:p w:rsidR="006D7B6E" w:rsidRPr="00A51255" w:rsidRDefault="006D7B6E" w:rsidP="00EE7F13">
            <w:pPr>
              <w:jc w:val="center"/>
            </w:pPr>
          </w:p>
        </w:tc>
        <w:tc>
          <w:tcPr>
            <w:tcW w:w="946" w:type="dxa"/>
            <w:tcBorders>
              <w:top w:val="single" w:sz="4" w:space="0" w:color="auto"/>
              <w:left w:val="nil"/>
              <w:bottom w:val="single" w:sz="4" w:space="0" w:color="auto"/>
              <w:right w:val="single" w:sz="4" w:space="0" w:color="auto"/>
            </w:tcBorders>
            <w:shd w:val="clear" w:color="000000" w:fill="auto"/>
            <w:noWrap/>
            <w:tcMar>
              <w:top w:w="26" w:type="dxa"/>
              <w:left w:w="26" w:type="dxa"/>
              <w:bottom w:w="0" w:type="dxa"/>
              <w:right w:w="26" w:type="dxa"/>
            </w:tcMar>
            <w:vAlign w:val="bottom"/>
          </w:tcPr>
          <w:p w:rsidR="006D7B6E" w:rsidRPr="00A51255" w:rsidRDefault="007A0876">
            <w:pPr>
              <w:jc w:val="center"/>
              <w:rPr>
                <w:rFonts w:ascii="Arial" w:hAnsi="Arial" w:cs="Arial"/>
                <w:bCs/>
                <w:sz w:val="20"/>
                <w:szCs w:val="20"/>
              </w:rPr>
            </w:pPr>
            <w:r>
              <w:rPr>
                <w:rFonts w:ascii="Arial" w:hAnsi="Arial" w:cs="Arial"/>
                <w:bCs/>
                <w:sz w:val="20"/>
                <w:szCs w:val="20"/>
              </w:rPr>
              <w:t>10</w:t>
            </w:r>
          </w:p>
        </w:tc>
        <w:tc>
          <w:tcPr>
            <w:tcW w:w="851" w:type="dxa"/>
            <w:tcBorders>
              <w:top w:val="single" w:sz="4" w:space="0" w:color="auto"/>
              <w:left w:val="nil"/>
              <w:bottom w:val="single" w:sz="4" w:space="0" w:color="auto"/>
              <w:right w:val="single" w:sz="4" w:space="0" w:color="auto"/>
            </w:tcBorders>
            <w:shd w:val="clear" w:color="000000" w:fill="auto"/>
            <w:vAlign w:val="bottom"/>
          </w:tcPr>
          <w:p w:rsidR="006D7B6E" w:rsidRPr="00A51255" w:rsidRDefault="007A0876">
            <w:pPr>
              <w:jc w:val="center"/>
              <w:rPr>
                <w:rFonts w:ascii="Arial" w:hAnsi="Arial" w:cs="Arial"/>
                <w:bCs/>
                <w:sz w:val="20"/>
                <w:szCs w:val="20"/>
              </w:rPr>
            </w:pPr>
            <w:r>
              <w:rPr>
                <w:rFonts w:ascii="Arial" w:hAnsi="Arial" w:cs="Arial"/>
                <w:bCs/>
                <w:sz w:val="20"/>
                <w:szCs w:val="20"/>
              </w:rPr>
              <w:t>0</w:t>
            </w:r>
          </w:p>
        </w:tc>
        <w:tc>
          <w:tcPr>
            <w:tcW w:w="854" w:type="dxa"/>
            <w:tcBorders>
              <w:top w:val="single" w:sz="4" w:space="0" w:color="auto"/>
              <w:left w:val="nil"/>
              <w:bottom w:val="single" w:sz="4" w:space="0" w:color="auto"/>
              <w:right w:val="single" w:sz="4" w:space="0" w:color="auto"/>
            </w:tcBorders>
            <w:shd w:val="clear" w:color="000000" w:fill="auto"/>
            <w:vAlign w:val="bottom"/>
          </w:tcPr>
          <w:p w:rsidR="006D7B6E" w:rsidRPr="00A51255" w:rsidRDefault="007A0876">
            <w:pPr>
              <w:jc w:val="center"/>
              <w:rPr>
                <w:rFonts w:ascii="Arial" w:hAnsi="Arial" w:cs="Arial"/>
                <w:bCs/>
                <w:sz w:val="20"/>
                <w:szCs w:val="20"/>
              </w:rPr>
            </w:pPr>
            <w:r>
              <w:rPr>
                <w:rFonts w:ascii="Arial" w:hAnsi="Arial" w:cs="Arial"/>
                <w:bCs/>
                <w:sz w:val="20"/>
                <w:szCs w:val="20"/>
              </w:rPr>
              <w:t>0</w:t>
            </w:r>
          </w:p>
        </w:tc>
        <w:tc>
          <w:tcPr>
            <w:tcW w:w="0" w:type="auto"/>
            <w:tcBorders>
              <w:top w:val="single" w:sz="4" w:space="0" w:color="auto"/>
              <w:left w:val="nil"/>
              <w:bottom w:val="single" w:sz="4" w:space="0" w:color="auto"/>
              <w:right w:val="single" w:sz="4" w:space="0" w:color="auto"/>
            </w:tcBorders>
            <w:shd w:val="clear" w:color="000000" w:fill="auto"/>
            <w:vAlign w:val="bottom"/>
          </w:tcPr>
          <w:p w:rsidR="006D7B6E" w:rsidRPr="00A51255" w:rsidRDefault="007A0876">
            <w:pPr>
              <w:jc w:val="center"/>
              <w:rPr>
                <w:rFonts w:ascii="Arial" w:hAnsi="Arial" w:cs="Arial"/>
                <w:b/>
                <w:bCs/>
                <w:sz w:val="20"/>
                <w:szCs w:val="20"/>
              </w:rPr>
            </w:pPr>
            <w:r>
              <w:rPr>
                <w:rFonts w:ascii="Arial" w:hAnsi="Arial" w:cs="Arial"/>
                <w:b/>
                <w:bCs/>
                <w:sz w:val="20"/>
                <w:szCs w:val="20"/>
              </w:rPr>
              <w:t>10</w:t>
            </w:r>
          </w:p>
        </w:tc>
      </w:tr>
      <w:tr w:rsidR="0020530B" w:rsidRPr="00A51255" w:rsidTr="00EE7F13">
        <w:trPr>
          <w:trHeight w:val="57"/>
          <w:jc w:val="center"/>
        </w:trPr>
        <w:tc>
          <w:tcPr>
            <w:tcW w:w="2941" w:type="dxa"/>
            <w:tcBorders>
              <w:top w:val="nil"/>
              <w:left w:val="nil"/>
              <w:bottom w:val="nil"/>
              <w:right w:val="nil"/>
            </w:tcBorders>
            <w:shd w:val="clear" w:color="auto" w:fill="auto"/>
            <w:noWrap/>
            <w:tcMar>
              <w:top w:w="26" w:type="dxa"/>
              <w:left w:w="26" w:type="dxa"/>
              <w:bottom w:w="0" w:type="dxa"/>
              <w:right w:w="26" w:type="dxa"/>
            </w:tcMar>
            <w:vAlign w:val="bottom"/>
          </w:tcPr>
          <w:p w:rsidR="0020530B" w:rsidRPr="00A51255" w:rsidRDefault="0020530B" w:rsidP="00EE7F13">
            <w:pPr>
              <w:jc w:val="center"/>
              <w:rPr>
                <w:rFonts w:ascii="Arial" w:hAnsi="Arial" w:cs="Arial"/>
                <w:sz w:val="6"/>
                <w:szCs w:val="6"/>
              </w:rPr>
            </w:pPr>
          </w:p>
        </w:tc>
        <w:tc>
          <w:tcPr>
            <w:tcW w:w="1614" w:type="dxa"/>
            <w:tcBorders>
              <w:top w:val="nil"/>
              <w:left w:val="nil"/>
              <w:bottom w:val="nil"/>
              <w:right w:val="nil"/>
            </w:tcBorders>
            <w:shd w:val="clear" w:color="auto" w:fill="auto"/>
            <w:noWrap/>
            <w:tcMar>
              <w:top w:w="26" w:type="dxa"/>
              <w:left w:w="26" w:type="dxa"/>
              <w:bottom w:w="0" w:type="dxa"/>
              <w:right w:w="26" w:type="dxa"/>
            </w:tcMar>
            <w:vAlign w:val="bottom"/>
          </w:tcPr>
          <w:p w:rsidR="0020530B" w:rsidRPr="00A51255" w:rsidRDefault="0020530B" w:rsidP="00EE7F13">
            <w:pPr>
              <w:jc w:val="center"/>
              <w:rPr>
                <w:rFonts w:ascii="Arial" w:hAnsi="Arial" w:cs="Arial"/>
                <w:sz w:val="6"/>
                <w:szCs w:val="6"/>
              </w:rPr>
            </w:pPr>
          </w:p>
        </w:tc>
        <w:tc>
          <w:tcPr>
            <w:tcW w:w="946" w:type="dxa"/>
            <w:tcBorders>
              <w:top w:val="nil"/>
              <w:left w:val="nil"/>
              <w:bottom w:val="nil"/>
              <w:right w:val="nil"/>
            </w:tcBorders>
            <w:shd w:val="clear" w:color="auto" w:fill="auto"/>
            <w:noWrap/>
            <w:tcMar>
              <w:top w:w="26" w:type="dxa"/>
              <w:left w:w="26" w:type="dxa"/>
              <w:bottom w:w="0" w:type="dxa"/>
              <w:right w:w="26" w:type="dxa"/>
            </w:tcMar>
            <w:vAlign w:val="bottom"/>
          </w:tcPr>
          <w:p w:rsidR="0020530B" w:rsidRPr="00A51255" w:rsidRDefault="0020530B" w:rsidP="00EE7F13">
            <w:pPr>
              <w:jc w:val="center"/>
              <w:rPr>
                <w:rFonts w:ascii="Arial" w:hAnsi="Arial" w:cs="Arial"/>
                <w:sz w:val="6"/>
                <w:szCs w:val="6"/>
              </w:rPr>
            </w:pPr>
          </w:p>
        </w:tc>
        <w:tc>
          <w:tcPr>
            <w:tcW w:w="851" w:type="dxa"/>
            <w:tcBorders>
              <w:top w:val="nil"/>
              <w:left w:val="nil"/>
              <w:bottom w:val="nil"/>
              <w:right w:val="nil"/>
            </w:tcBorders>
          </w:tcPr>
          <w:p w:rsidR="0020530B" w:rsidRPr="00A51255" w:rsidRDefault="0020530B" w:rsidP="00EE7F13">
            <w:pPr>
              <w:jc w:val="center"/>
              <w:rPr>
                <w:rFonts w:ascii="Arial" w:hAnsi="Arial" w:cs="Arial"/>
                <w:sz w:val="6"/>
                <w:szCs w:val="6"/>
              </w:rPr>
            </w:pPr>
          </w:p>
        </w:tc>
        <w:tc>
          <w:tcPr>
            <w:tcW w:w="854" w:type="dxa"/>
            <w:tcBorders>
              <w:top w:val="nil"/>
              <w:left w:val="nil"/>
              <w:bottom w:val="nil"/>
              <w:right w:val="nil"/>
            </w:tcBorders>
          </w:tcPr>
          <w:p w:rsidR="0020530B" w:rsidRPr="00A51255" w:rsidRDefault="0020530B" w:rsidP="00EE7F13">
            <w:pPr>
              <w:jc w:val="center"/>
              <w:rPr>
                <w:rFonts w:ascii="Arial" w:hAnsi="Arial" w:cs="Arial"/>
                <w:sz w:val="6"/>
                <w:szCs w:val="6"/>
              </w:rPr>
            </w:pPr>
          </w:p>
        </w:tc>
        <w:tc>
          <w:tcPr>
            <w:tcW w:w="0" w:type="auto"/>
            <w:tcBorders>
              <w:top w:val="nil"/>
              <w:left w:val="nil"/>
              <w:bottom w:val="nil"/>
              <w:right w:val="nil"/>
            </w:tcBorders>
          </w:tcPr>
          <w:p w:rsidR="0020530B" w:rsidRPr="00A51255" w:rsidRDefault="0020530B" w:rsidP="00EE7F13">
            <w:pPr>
              <w:jc w:val="center"/>
              <w:rPr>
                <w:rFonts w:ascii="Arial" w:hAnsi="Arial" w:cs="Arial"/>
                <w:sz w:val="6"/>
                <w:szCs w:val="6"/>
              </w:rPr>
            </w:pPr>
          </w:p>
        </w:tc>
      </w:tr>
      <w:tr w:rsidR="0020530B" w:rsidRPr="00A51255" w:rsidTr="00EE7F13">
        <w:trPr>
          <w:trHeight w:val="57"/>
          <w:jc w:val="center"/>
        </w:trPr>
        <w:tc>
          <w:tcPr>
            <w:tcW w:w="2941" w:type="dxa"/>
            <w:tcBorders>
              <w:top w:val="nil"/>
              <w:left w:val="nil"/>
              <w:right w:val="nil"/>
            </w:tcBorders>
            <w:shd w:val="clear" w:color="auto" w:fill="auto"/>
            <w:noWrap/>
            <w:tcMar>
              <w:top w:w="26" w:type="dxa"/>
              <w:left w:w="26" w:type="dxa"/>
              <w:bottom w:w="0" w:type="dxa"/>
              <w:right w:w="26" w:type="dxa"/>
            </w:tcMar>
            <w:vAlign w:val="bottom"/>
          </w:tcPr>
          <w:p w:rsidR="0020530B" w:rsidRPr="00A51255" w:rsidRDefault="0020530B" w:rsidP="00EE7F13">
            <w:pPr>
              <w:jc w:val="center"/>
              <w:rPr>
                <w:rFonts w:ascii="Arial" w:hAnsi="Arial" w:cs="Arial"/>
                <w:sz w:val="6"/>
                <w:szCs w:val="6"/>
              </w:rPr>
            </w:pPr>
          </w:p>
        </w:tc>
        <w:tc>
          <w:tcPr>
            <w:tcW w:w="1614" w:type="dxa"/>
            <w:tcBorders>
              <w:top w:val="nil"/>
              <w:left w:val="nil"/>
              <w:right w:val="nil"/>
            </w:tcBorders>
            <w:shd w:val="clear" w:color="auto" w:fill="auto"/>
            <w:noWrap/>
            <w:tcMar>
              <w:top w:w="26" w:type="dxa"/>
              <w:left w:w="26" w:type="dxa"/>
              <w:bottom w:w="0" w:type="dxa"/>
              <w:right w:w="26" w:type="dxa"/>
            </w:tcMar>
            <w:vAlign w:val="bottom"/>
          </w:tcPr>
          <w:p w:rsidR="0020530B" w:rsidRPr="00A51255" w:rsidRDefault="0020530B" w:rsidP="00EE7F13">
            <w:pPr>
              <w:jc w:val="center"/>
              <w:rPr>
                <w:rFonts w:ascii="Arial" w:hAnsi="Arial" w:cs="Arial"/>
                <w:sz w:val="6"/>
                <w:szCs w:val="6"/>
              </w:rPr>
            </w:pPr>
          </w:p>
        </w:tc>
        <w:tc>
          <w:tcPr>
            <w:tcW w:w="946" w:type="dxa"/>
            <w:tcBorders>
              <w:top w:val="nil"/>
              <w:left w:val="nil"/>
              <w:bottom w:val="single" w:sz="4" w:space="0" w:color="auto"/>
              <w:right w:val="nil"/>
            </w:tcBorders>
            <w:shd w:val="clear" w:color="auto" w:fill="auto"/>
            <w:noWrap/>
            <w:tcMar>
              <w:top w:w="26" w:type="dxa"/>
              <w:left w:w="26" w:type="dxa"/>
              <w:bottom w:w="0" w:type="dxa"/>
              <w:right w:w="26" w:type="dxa"/>
            </w:tcMar>
            <w:vAlign w:val="bottom"/>
          </w:tcPr>
          <w:p w:rsidR="0020530B" w:rsidRPr="00A51255" w:rsidRDefault="0020530B" w:rsidP="00EE7F13">
            <w:pPr>
              <w:jc w:val="center"/>
              <w:rPr>
                <w:rFonts w:ascii="Arial" w:hAnsi="Arial" w:cs="Arial"/>
                <w:sz w:val="6"/>
                <w:szCs w:val="6"/>
              </w:rPr>
            </w:pPr>
          </w:p>
        </w:tc>
        <w:tc>
          <w:tcPr>
            <w:tcW w:w="851" w:type="dxa"/>
            <w:tcBorders>
              <w:top w:val="nil"/>
              <w:left w:val="nil"/>
              <w:bottom w:val="single" w:sz="4" w:space="0" w:color="auto"/>
              <w:right w:val="nil"/>
            </w:tcBorders>
          </w:tcPr>
          <w:p w:rsidR="0020530B" w:rsidRPr="00A51255" w:rsidRDefault="0020530B" w:rsidP="00EE7F13">
            <w:pPr>
              <w:jc w:val="center"/>
              <w:rPr>
                <w:rFonts w:ascii="Arial" w:hAnsi="Arial" w:cs="Arial"/>
                <w:sz w:val="6"/>
                <w:szCs w:val="6"/>
              </w:rPr>
            </w:pPr>
          </w:p>
        </w:tc>
        <w:tc>
          <w:tcPr>
            <w:tcW w:w="854" w:type="dxa"/>
            <w:tcBorders>
              <w:top w:val="nil"/>
              <w:left w:val="nil"/>
              <w:bottom w:val="single" w:sz="4" w:space="0" w:color="auto"/>
              <w:right w:val="nil"/>
            </w:tcBorders>
          </w:tcPr>
          <w:p w:rsidR="0020530B" w:rsidRPr="00A51255" w:rsidRDefault="0020530B" w:rsidP="00EE7F13">
            <w:pPr>
              <w:jc w:val="center"/>
              <w:rPr>
                <w:rFonts w:ascii="Arial" w:hAnsi="Arial" w:cs="Arial"/>
                <w:sz w:val="6"/>
                <w:szCs w:val="6"/>
              </w:rPr>
            </w:pPr>
          </w:p>
        </w:tc>
        <w:tc>
          <w:tcPr>
            <w:tcW w:w="0" w:type="auto"/>
            <w:tcBorders>
              <w:top w:val="nil"/>
              <w:left w:val="nil"/>
              <w:bottom w:val="single" w:sz="4" w:space="0" w:color="auto"/>
              <w:right w:val="nil"/>
            </w:tcBorders>
          </w:tcPr>
          <w:p w:rsidR="0020530B" w:rsidRPr="00A51255" w:rsidRDefault="0020530B" w:rsidP="00EE7F13">
            <w:pPr>
              <w:jc w:val="center"/>
              <w:rPr>
                <w:rFonts w:ascii="Arial" w:hAnsi="Arial" w:cs="Arial"/>
                <w:sz w:val="6"/>
                <w:szCs w:val="6"/>
              </w:rPr>
            </w:pPr>
          </w:p>
        </w:tc>
      </w:tr>
      <w:tr w:rsidR="0020530B" w:rsidRPr="00A51255" w:rsidTr="00EE7F13">
        <w:trPr>
          <w:trHeight w:val="255"/>
          <w:jc w:val="center"/>
        </w:trPr>
        <w:tc>
          <w:tcPr>
            <w:tcW w:w="4555" w:type="dxa"/>
            <w:gridSpan w:val="2"/>
            <w:tcBorders>
              <w:bottom w:val="single" w:sz="4" w:space="0" w:color="auto"/>
              <w:right w:val="single" w:sz="4" w:space="0" w:color="auto"/>
            </w:tcBorders>
            <w:shd w:val="clear" w:color="000000" w:fill="auto"/>
            <w:noWrap/>
            <w:tcMar>
              <w:top w:w="26" w:type="dxa"/>
              <w:left w:w="26" w:type="dxa"/>
              <w:bottom w:w="0" w:type="dxa"/>
              <w:right w:w="26" w:type="dxa"/>
            </w:tcMar>
            <w:vAlign w:val="bottom"/>
          </w:tcPr>
          <w:p w:rsidR="0020530B" w:rsidRPr="00A51255" w:rsidRDefault="0020530B" w:rsidP="00EE7F13">
            <w:pPr>
              <w:jc w:val="center"/>
              <w:rPr>
                <w:rFonts w:ascii="Arial" w:hAnsi="Arial" w:cs="Arial"/>
                <w:sz w:val="20"/>
                <w:szCs w:val="20"/>
              </w:rPr>
            </w:pPr>
          </w:p>
        </w:tc>
        <w:tc>
          <w:tcPr>
            <w:tcW w:w="946" w:type="dxa"/>
            <w:tcBorders>
              <w:top w:val="single" w:sz="4" w:space="0" w:color="auto"/>
              <w:left w:val="single" w:sz="4" w:space="0" w:color="auto"/>
              <w:bottom w:val="single" w:sz="4" w:space="0" w:color="auto"/>
              <w:right w:val="single" w:sz="4" w:space="0" w:color="auto"/>
            </w:tcBorders>
            <w:shd w:val="clear" w:color="000000" w:fill="auto"/>
            <w:noWrap/>
            <w:tcMar>
              <w:top w:w="26" w:type="dxa"/>
              <w:left w:w="26" w:type="dxa"/>
              <w:bottom w:w="0" w:type="dxa"/>
              <w:right w:w="26" w:type="dxa"/>
            </w:tcMar>
          </w:tcPr>
          <w:p w:rsidR="0020530B" w:rsidRPr="00A51255" w:rsidRDefault="0020530B" w:rsidP="00EE7F13">
            <w:pPr>
              <w:jc w:val="center"/>
              <w:rPr>
                <w:rFonts w:ascii="Arial" w:hAnsi="Arial" w:cs="Arial"/>
                <w:b/>
                <w:sz w:val="20"/>
                <w:szCs w:val="20"/>
              </w:rPr>
            </w:pPr>
            <w:r w:rsidRPr="00A51255">
              <w:rPr>
                <w:rFonts w:ascii="Arial" w:hAnsi="Arial" w:cs="Arial"/>
                <w:b/>
                <w:sz w:val="20"/>
                <w:szCs w:val="20"/>
              </w:rPr>
              <w:t>1%</w:t>
            </w:r>
          </w:p>
        </w:tc>
        <w:tc>
          <w:tcPr>
            <w:tcW w:w="851" w:type="dxa"/>
            <w:tcBorders>
              <w:top w:val="single" w:sz="4" w:space="0" w:color="auto"/>
              <w:left w:val="nil"/>
              <w:bottom w:val="single" w:sz="4" w:space="0" w:color="auto"/>
              <w:right w:val="single" w:sz="4" w:space="0" w:color="auto"/>
            </w:tcBorders>
            <w:shd w:val="clear" w:color="000000" w:fill="auto"/>
          </w:tcPr>
          <w:p w:rsidR="0020530B" w:rsidRPr="00A51255" w:rsidRDefault="0020530B" w:rsidP="00EE7F13">
            <w:pPr>
              <w:jc w:val="center"/>
              <w:rPr>
                <w:rFonts w:ascii="Arial" w:hAnsi="Arial" w:cs="Arial"/>
                <w:b/>
                <w:sz w:val="20"/>
                <w:szCs w:val="20"/>
              </w:rPr>
            </w:pPr>
            <w:r w:rsidRPr="00A51255">
              <w:rPr>
                <w:rFonts w:ascii="Arial" w:hAnsi="Arial" w:cs="Arial"/>
                <w:b/>
                <w:sz w:val="20"/>
                <w:szCs w:val="20"/>
              </w:rPr>
              <w:t>5%</w:t>
            </w:r>
          </w:p>
        </w:tc>
        <w:tc>
          <w:tcPr>
            <w:tcW w:w="854" w:type="dxa"/>
            <w:tcBorders>
              <w:top w:val="single" w:sz="4" w:space="0" w:color="auto"/>
              <w:left w:val="nil"/>
              <w:bottom w:val="single" w:sz="4" w:space="0" w:color="auto"/>
              <w:right w:val="single" w:sz="4" w:space="0" w:color="auto"/>
            </w:tcBorders>
            <w:shd w:val="clear" w:color="000000" w:fill="auto"/>
          </w:tcPr>
          <w:p w:rsidR="0020530B" w:rsidRPr="00A51255" w:rsidRDefault="0020530B" w:rsidP="00EE7F13">
            <w:pPr>
              <w:jc w:val="center"/>
              <w:rPr>
                <w:rFonts w:ascii="Arial" w:hAnsi="Arial" w:cs="Arial"/>
                <w:b/>
                <w:sz w:val="20"/>
                <w:szCs w:val="20"/>
              </w:rPr>
            </w:pPr>
            <w:r w:rsidRPr="00A51255">
              <w:rPr>
                <w:rFonts w:ascii="Arial" w:hAnsi="Arial" w:cs="Arial"/>
                <w:b/>
                <w:sz w:val="20"/>
                <w:szCs w:val="20"/>
              </w:rPr>
              <w:t>10%</w:t>
            </w:r>
          </w:p>
        </w:tc>
        <w:tc>
          <w:tcPr>
            <w:tcW w:w="0" w:type="auto"/>
            <w:tcBorders>
              <w:top w:val="single" w:sz="4" w:space="0" w:color="auto"/>
              <w:left w:val="nil"/>
              <w:bottom w:val="single" w:sz="4" w:space="0" w:color="auto"/>
              <w:right w:val="single" w:sz="4" w:space="0" w:color="auto"/>
            </w:tcBorders>
            <w:shd w:val="clear" w:color="000000" w:fill="auto"/>
          </w:tcPr>
          <w:p w:rsidR="0020530B" w:rsidRPr="00A51255" w:rsidRDefault="0020530B" w:rsidP="00EE7F13">
            <w:pPr>
              <w:jc w:val="center"/>
              <w:rPr>
                <w:rFonts w:ascii="Arial" w:hAnsi="Arial" w:cs="Arial"/>
                <w:b/>
                <w:sz w:val="20"/>
                <w:szCs w:val="20"/>
              </w:rPr>
            </w:pPr>
            <w:r w:rsidRPr="00A51255">
              <w:rPr>
                <w:rFonts w:ascii="Arial" w:hAnsi="Arial" w:cs="Arial"/>
                <w:b/>
                <w:sz w:val="20"/>
                <w:szCs w:val="20"/>
              </w:rPr>
              <w:t>Sum:</w:t>
            </w:r>
          </w:p>
        </w:tc>
      </w:tr>
      <w:tr w:rsidR="006D7B6E" w:rsidRPr="00A51255" w:rsidTr="00081C90">
        <w:trPr>
          <w:trHeight w:val="255"/>
          <w:jc w:val="center"/>
        </w:trPr>
        <w:tc>
          <w:tcPr>
            <w:tcW w:w="2941" w:type="dxa"/>
            <w:tcBorders>
              <w:top w:val="single" w:sz="4" w:space="0" w:color="auto"/>
              <w:left w:val="single" w:sz="4" w:space="0" w:color="auto"/>
              <w:bottom w:val="single" w:sz="4" w:space="0" w:color="auto"/>
              <w:right w:val="single" w:sz="4" w:space="0" w:color="auto"/>
            </w:tcBorders>
            <w:shd w:val="clear" w:color="000000" w:fill="auto"/>
            <w:noWrap/>
            <w:tcMar>
              <w:top w:w="26" w:type="dxa"/>
              <w:left w:w="26" w:type="dxa"/>
              <w:bottom w:w="0" w:type="dxa"/>
              <w:right w:w="26" w:type="dxa"/>
            </w:tcMar>
            <w:vAlign w:val="bottom"/>
          </w:tcPr>
          <w:p w:rsidR="006D7B6E" w:rsidRPr="00731796" w:rsidRDefault="006D7B6E" w:rsidP="00EE7F13">
            <w:pPr>
              <w:jc w:val="center"/>
              <w:rPr>
                <w:rFonts w:ascii="Arial" w:hAnsi="Arial" w:cs="Arial"/>
                <w:b/>
                <w:bCs/>
                <w:sz w:val="20"/>
                <w:szCs w:val="20"/>
                <w:lang w:val="en-GB"/>
              </w:rPr>
            </w:pPr>
            <w:r w:rsidRPr="00731796">
              <w:rPr>
                <w:rFonts w:ascii="Arial" w:hAnsi="Arial" w:cs="Arial"/>
                <w:b/>
                <w:bCs/>
                <w:sz w:val="20"/>
                <w:szCs w:val="20"/>
                <w:lang w:val="en-GB"/>
              </w:rPr>
              <w:t>strongly positive</w:t>
            </w:r>
          </w:p>
          <w:p w:rsidR="00081C90" w:rsidRPr="00731796" w:rsidRDefault="00081C90" w:rsidP="00EE7F13">
            <w:pPr>
              <w:jc w:val="center"/>
              <w:rPr>
                <w:rFonts w:ascii="Arial" w:hAnsi="Arial" w:cs="Arial"/>
                <w:b/>
                <w:bCs/>
                <w:sz w:val="20"/>
                <w:szCs w:val="20"/>
                <w:lang w:val="en-GB"/>
              </w:rPr>
            </w:pPr>
            <w:r w:rsidRPr="00731796">
              <w:rPr>
                <w:rFonts w:ascii="Arial" w:hAnsi="Arial" w:cs="Arial"/>
                <w:b/>
                <w:bCs/>
                <w:sz w:val="20"/>
                <w:szCs w:val="20"/>
                <w:lang w:val="en-GB"/>
              </w:rPr>
              <w:t>and</w:t>
            </w:r>
          </w:p>
          <w:p w:rsidR="00081C90" w:rsidRPr="00731796" w:rsidRDefault="00081C90" w:rsidP="00EE7F13">
            <w:pPr>
              <w:jc w:val="center"/>
              <w:rPr>
                <w:rFonts w:ascii="Arial" w:hAnsi="Arial" w:cs="Arial"/>
                <w:b/>
                <w:bCs/>
                <w:sz w:val="20"/>
                <w:szCs w:val="20"/>
                <w:lang w:val="en-GB"/>
              </w:rPr>
            </w:pPr>
            <w:r w:rsidRPr="00731796">
              <w:rPr>
                <w:rFonts w:ascii="Arial" w:hAnsi="Arial" w:cs="Arial"/>
                <w:b/>
                <w:bCs/>
                <w:sz w:val="20"/>
                <w:szCs w:val="20"/>
                <w:lang w:val="en-GB"/>
              </w:rPr>
              <w:t>strongly negative</w:t>
            </w:r>
          </w:p>
        </w:tc>
        <w:tc>
          <w:tcPr>
            <w:tcW w:w="1614" w:type="dxa"/>
            <w:vMerge w:val="restart"/>
            <w:tcBorders>
              <w:top w:val="single" w:sz="4" w:space="0" w:color="auto"/>
              <w:left w:val="nil"/>
              <w:bottom w:val="single" w:sz="4" w:space="0" w:color="auto"/>
              <w:right w:val="single" w:sz="4" w:space="0" w:color="auto"/>
            </w:tcBorders>
            <w:shd w:val="clear" w:color="000000" w:fill="auto"/>
            <w:noWrap/>
            <w:tcMar>
              <w:top w:w="26" w:type="dxa"/>
              <w:left w:w="26" w:type="dxa"/>
              <w:bottom w:w="0" w:type="dxa"/>
              <w:right w:w="26" w:type="dxa"/>
            </w:tcMar>
            <w:vAlign w:val="center"/>
          </w:tcPr>
          <w:p w:rsidR="006D7B6E" w:rsidRPr="00A51255" w:rsidRDefault="006D7B6E" w:rsidP="00DA122D">
            <w:pPr>
              <w:jc w:val="center"/>
              <w:rPr>
                <w:rFonts w:ascii="Arial" w:hAnsi="Arial" w:cs="Arial"/>
                <w:b/>
                <w:bCs/>
                <w:sz w:val="20"/>
                <w:szCs w:val="20"/>
              </w:rPr>
            </w:pPr>
            <w:r w:rsidRPr="00A51255">
              <w:rPr>
                <w:rFonts w:ascii="Arial" w:hAnsi="Arial" w:cs="Arial"/>
                <w:b/>
                <w:bCs/>
                <w:sz w:val="20"/>
                <w:szCs w:val="20"/>
              </w:rPr>
              <w:t xml:space="preserve">for  </w:t>
            </w:r>
            <w:r w:rsidRPr="00A51255">
              <w:rPr>
                <w:b/>
                <w:bCs/>
                <w:i/>
                <w:iCs/>
                <w:sz w:val="20"/>
                <w:szCs w:val="20"/>
              </w:rPr>
              <w:t>t</w:t>
            </w:r>
            <w:r w:rsidRPr="00A51255">
              <w:rPr>
                <w:rFonts w:ascii="Arial" w:hAnsi="Arial" w:cs="Arial"/>
                <w:b/>
                <w:bCs/>
                <w:sz w:val="20"/>
                <w:szCs w:val="20"/>
              </w:rPr>
              <w:t xml:space="preserve">  and  </w:t>
            </w:r>
            <w:r w:rsidRPr="00A51255">
              <w:rPr>
                <w:b/>
                <w:bCs/>
                <w:i/>
                <w:iCs/>
                <w:sz w:val="20"/>
                <w:szCs w:val="20"/>
              </w:rPr>
              <w:t>t+1</w:t>
            </w:r>
          </w:p>
        </w:tc>
        <w:tc>
          <w:tcPr>
            <w:tcW w:w="946" w:type="dxa"/>
            <w:tcBorders>
              <w:top w:val="single" w:sz="4" w:space="0" w:color="auto"/>
              <w:left w:val="nil"/>
              <w:bottom w:val="single" w:sz="4" w:space="0" w:color="auto"/>
              <w:right w:val="single" w:sz="4" w:space="0" w:color="auto"/>
            </w:tcBorders>
            <w:shd w:val="clear" w:color="000000" w:fill="auto"/>
            <w:noWrap/>
            <w:tcMar>
              <w:top w:w="26" w:type="dxa"/>
              <w:left w:w="26" w:type="dxa"/>
              <w:bottom w:w="0" w:type="dxa"/>
              <w:right w:w="26" w:type="dxa"/>
            </w:tcMar>
            <w:vAlign w:val="center"/>
          </w:tcPr>
          <w:p w:rsidR="006D7B6E" w:rsidRPr="00A51255" w:rsidRDefault="00081C90" w:rsidP="00081C90">
            <w:pPr>
              <w:jc w:val="center"/>
              <w:rPr>
                <w:rFonts w:ascii="Arial" w:hAnsi="Arial" w:cs="Arial"/>
                <w:bCs/>
                <w:sz w:val="20"/>
                <w:szCs w:val="20"/>
              </w:rPr>
            </w:pPr>
            <w:r>
              <w:rPr>
                <w:rFonts w:ascii="Arial" w:hAnsi="Arial" w:cs="Arial"/>
                <w:bCs/>
                <w:sz w:val="20"/>
                <w:szCs w:val="20"/>
              </w:rPr>
              <w:t>27</w:t>
            </w:r>
          </w:p>
        </w:tc>
        <w:tc>
          <w:tcPr>
            <w:tcW w:w="851" w:type="dxa"/>
            <w:tcBorders>
              <w:top w:val="single" w:sz="4" w:space="0" w:color="auto"/>
              <w:left w:val="nil"/>
              <w:bottom w:val="single" w:sz="4" w:space="0" w:color="auto"/>
              <w:right w:val="single" w:sz="4" w:space="0" w:color="auto"/>
            </w:tcBorders>
            <w:shd w:val="clear" w:color="000000" w:fill="auto"/>
            <w:vAlign w:val="center"/>
          </w:tcPr>
          <w:p w:rsidR="006D7B6E" w:rsidRPr="00A51255" w:rsidRDefault="00D94A0C" w:rsidP="00081C90">
            <w:pPr>
              <w:jc w:val="center"/>
              <w:rPr>
                <w:rFonts w:ascii="Arial" w:hAnsi="Arial" w:cs="Arial"/>
                <w:bCs/>
                <w:sz w:val="20"/>
                <w:szCs w:val="20"/>
              </w:rPr>
            </w:pPr>
            <w:r>
              <w:rPr>
                <w:rFonts w:ascii="Arial" w:hAnsi="Arial" w:cs="Arial"/>
                <w:bCs/>
                <w:sz w:val="20"/>
                <w:szCs w:val="20"/>
              </w:rPr>
              <w:t>3</w:t>
            </w:r>
          </w:p>
        </w:tc>
        <w:tc>
          <w:tcPr>
            <w:tcW w:w="854" w:type="dxa"/>
            <w:tcBorders>
              <w:top w:val="single" w:sz="4" w:space="0" w:color="auto"/>
              <w:left w:val="nil"/>
              <w:bottom w:val="single" w:sz="4" w:space="0" w:color="auto"/>
              <w:right w:val="single" w:sz="4" w:space="0" w:color="auto"/>
            </w:tcBorders>
            <w:shd w:val="clear" w:color="000000" w:fill="auto"/>
            <w:vAlign w:val="center"/>
          </w:tcPr>
          <w:p w:rsidR="006D7B6E" w:rsidRPr="00A51255" w:rsidRDefault="00D94A0C" w:rsidP="00081C90">
            <w:pPr>
              <w:jc w:val="center"/>
              <w:rPr>
                <w:rFonts w:ascii="Arial" w:hAnsi="Arial" w:cs="Arial"/>
                <w:bCs/>
                <w:sz w:val="20"/>
                <w:szCs w:val="20"/>
              </w:rPr>
            </w:pPr>
            <w:r>
              <w:rPr>
                <w:rFonts w:ascii="Arial" w:hAnsi="Arial" w:cs="Arial"/>
                <w:bCs/>
                <w:sz w:val="20"/>
                <w:szCs w:val="20"/>
              </w:rPr>
              <w:t>0</w:t>
            </w:r>
          </w:p>
        </w:tc>
        <w:tc>
          <w:tcPr>
            <w:tcW w:w="0" w:type="auto"/>
            <w:tcBorders>
              <w:top w:val="single" w:sz="4" w:space="0" w:color="auto"/>
              <w:left w:val="nil"/>
              <w:bottom w:val="single" w:sz="4" w:space="0" w:color="auto"/>
              <w:right w:val="single" w:sz="4" w:space="0" w:color="auto"/>
            </w:tcBorders>
            <w:shd w:val="clear" w:color="000000" w:fill="auto"/>
            <w:vAlign w:val="center"/>
          </w:tcPr>
          <w:p w:rsidR="006D7B6E" w:rsidRPr="00A51255" w:rsidRDefault="00081C90" w:rsidP="00081C90">
            <w:pPr>
              <w:jc w:val="center"/>
              <w:rPr>
                <w:rFonts w:ascii="Arial" w:hAnsi="Arial" w:cs="Arial"/>
                <w:b/>
                <w:bCs/>
                <w:sz w:val="20"/>
                <w:szCs w:val="20"/>
              </w:rPr>
            </w:pPr>
            <w:r>
              <w:rPr>
                <w:rFonts w:ascii="Arial" w:hAnsi="Arial" w:cs="Arial"/>
                <w:b/>
                <w:bCs/>
                <w:sz w:val="20"/>
                <w:szCs w:val="20"/>
              </w:rPr>
              <w:t>30</w:t>
            </w:r>
          </w:p>
        </w:tc>
      </w:tr>
      <w:tr w:rsidR="006D7B6E" w:rsidRPr="00A51255" w:rsidTr="00081C90">
        <w:trPr>
          <w:trHeight w:val="255"/>
          <w:jc w:val="center"/>
        </w:trPr>
        <w:tc>
          <w:tcPr>
            <w:tcW w:w="2941" w:type="dxa"/>
            <w:tcBorders>
              <w:top w:val="single" w:sz="4" w:space="0" w:color="auto"/>
              <w:left w:val="single" w:sz="4" w:space="0" w:color="auto"/>
              <w:bottom w:val="single" w:sz="4" w:space="0" w:color="auto"/>
              <w:right w:val="single" w:sz="4" w:space="0" w:color="auto"/>
            </w:tcBorders>
            <w:shd w:val="clear" w:color="000000" w:fill="auto"/>
            <w:noWrap/>
            <w:tcMar>
              <w:top w:w="26" w:type="dxa"/>
              <w:left w:w="26" w:type="dxa"/>
              <w:bottom w:w="0" w:type="dxa"/>
              <w:right w:w="26" w:type="dxa"/>
            </w:tcMar>
            <w:vAlign w:val="bottom"/>
          </w:tcPr>
          <w:p w:rsidR="006D7B6E" w:rsidRDefault="00081C90" w:rsidP="00EE7F13">
            <w:pPr>
              <w:jc w:val="center"/>
              <w:rPr>
                <w:rFonts w:ascii="Arial" w:hAnsi="Arial" w:cs="Arial"/>
                <w:b/>
                <w:bCs/>
                <w:sz w:val="20"/>
                <w:szCs w:val="20"/>
              </w:rPr>
            </w:pPr>
            <w:r>
              <w:rPr>
                <w:rFonts w:ascii="Arial" w:hAnsi="Arial" w:cs="Arial"/>
                <w:b/>
                <w:bCs/>
                <w:sz w:val="20"/>
                <w:szCs w:val="20"/>
              </w:rPr>
              <w:t>p</w:t>
            </w:r>
            <w:r w:rsidR="006D7B6E" w:rsidRPr="00A51255">
              <w:rPr>
                <w:rFonts w:ascii="Arial" w:hAnsi="Arial" w:cs="Arial"/>
                <w:b/>
                <w:bCs/>
                <w:sz w:val="20"/>
                <w:szCs w:val="20"/>
              </w:rPr>
              <w:t>ositive</w:t>
            </w:r>
          </w:p>
          <w:p w:rsidR="00081C90" w:rsidRDefault="00081C90" w:rsidP="00EE7F13">
            <w:pPr>
              <w:jc w:val="center"/>
              <w:rPr>
                <w:rFonts w:ascii="Arial" w:hAnsi="Arial" w:cs="Arial"/>
                <w:b/>
                <w:bCs/>
                <w:sz w:val="20"/>
                <w:szCs w:val="20"/>
              </w:rPr>
            </w:pPr>
            <w:r>
              <w:rPr>
                <w:rFonts w:ascii="Arial" w:hAnsi="Arial" w:cs="Arial"/>
                <w:b/>
                <w:bCs/>
                <w:sz w:val="20"/>
                <w:szCs w:val="20"/>
              </w:rPr>
              <w:t>and</w:t>
            </w:r>
          </w:p>
          <w:p w:rsidR="00081C90" w:rsidRPr="00A51255" w:rsidRDefault="00081C90" w:rsidP="00EE7F13">
            <w:pPr>
              <w:jc w:val="center"/>
              <w:rPr>
                <w:rFonts w:ascii="Arial" w:hAnsi="Arial" w:cs="Arial"/>
                <w:b/>
                <w:bCs/>
                <w:sz w:val="20"/>
                <w:szCs w:val="20"/>
              </w:rPr>
            </w:pPr>
            <w:r>
              <w:rPr>
                <w:rFonts w:ascii="Arial" w:hAnsi="Arial" w:cs="Arial"/>
                <w:b/>
                <w:bCs/>
                <w:sz w:val="20"/>
                <w:szCs w:val="20"/>
              </w:rPr>
              <w:t>negative</w:t>
            </w:r>
          </w:p>
        </w:tc>
        <w:tc>
          <w:tcPr>
            <w:tcW w:w="1614" w:type="dxa"/>
            <w:vMerge/>
            <w:tcBorders>
              <w:left w:val="nil"/>
              <w:bottom w:val="single" w:sz="4" w:space="0" w:color="auto"/>
              <w:right w:val="single" w:sz="4" w:space="0" w:color="auto"/>
            </w:tcBorders>
            <w:shd w:val="clear" w:color="000000" w:fill="auto"/>
            <w:noWrap/>
            <w:tcMar>
              <w:top w:w="26" w:type="dxa"/>
              <w:left w:w="26" w:type="dxa"/>
              <w:bottom w:w="0" w:type="dxa"/>
              <w:right w:w="26" w:type="dxa"/>
            </w:tcMar>
            <w:vAlign w:val="bottom"/>
          </w:tcPr>
          <w:p w:rsidR="006D7B6E" w:rsidRPr="00A51255" w:rsidRDefault="006D7B6E" w:rsidP="00EE7F13">
            <w:pPr>
              <w:jc w:val="center"/>
              <w:rPr>
                <w:rFonts w:ascii="Arial" w:hAnsi="Arial" w:cs="Arial"/>
                <w:b/>
                <w:bCs/>
                <w:sz w:val="20"/>
                <w:szCs w:val="20"/>
              </w:rPr>
            </w:pPr>
          </w:p>
        </w:tc>
        <w:tc>
          <w:tcPr>
            <w:tcW w:w="946" w:type="dxa"/>
            <w:tcBorders>
              <w:top w:val="single" w:sz="4" w:space="0" w:color="auto"/>
              <w:left w:val="nil"/>
              <w:bottom w:val="single" w:sz="4" w:space="0" w:color="auto"/>
              <w:right w:val="single" w:sz="4" w:space="0" w:color="auto"/>
            </w:tcBorders>
            <w:shd w:val="clear" w:color="000000" w:fill="auto"/>
            <w:noWrap/>
            <w:tcMar>
              <w:top w:w="26" w:type="dxa"/>
              <w:left w:w="26" w:type="dxa"/>
              <w:bottom w:w="0" w:type="dxa"/>
              <w:right w:w="26" w:type="dxa"/>
            </w:tcMar>
            <w:vAlign w:val="center"/>
          </w:tcPr>
          <w:p w:rsidR="006D7B6E" w:rsidRPr="00A51255" w:rsidRDefault="00081C90" w:rsidP="00081C90">
            <w:pPr>
              <w:jc w:val="center"/>
              <w:rPr>
                <w:rFonts w:ascii="Arial" w:hAnsi="Arial" w:cs="Arial"/>
                <w:bCs/>
                <w:sz w:val="20"/>
                <w:szCs w:val="20"/>
              </w:rPr>
            </w:pPr>
            <w:r>
              <w:rPr>
                <w:rFonts w:ascii="Arial" w:hAnsi="Arial" w:cs="Arial"/>
                <w:bCs/>
                <w:sz w:val="20"/>
                <w:szCs w:val="20"/>
              </w:rPr>
              <w:t>11</w:t>
            </w:r>
          </w:p>
        </w:tc>
        <w:tc>
          <w:tcPr>
            <w:tcW w:w="851" w:type="dxa"/>
            <w:tcBorders>
              <w:top w:val="single" w:sz="4" w:space="0" w:color="auto"/>
              <w:left w:val="nil"/>
              <w:bottom w:val="single" w:sz="4" w:space="0" w:color="auto"/>
              <w:right w:val="single" w:sz="4" w:space="0" w:color="auto"/>
            </w:tcBorders>
            <w:shd w:val="clear" w:color="000000" w:fill="auto"/>
            <w:vAlign w:val="center"/>
          </w:tcPr>
          <w:p w:rsidR="006D7B6E" w:rsidRPr="00A51255" w:rsidRDefault="00081C90" w:rsidP="00081C90">
            <w:pPr>
              <w:jc w:val="center"/>
              <w:rPr>
                <w:rFonts w:ascii="Arial" w:hAnsi="Arial" w:cs="Arial"/>
                <w:bCs/>
                <w:sz w:val="20"/>
                <w:szCs w:val="20"/>
              </w:rPr>
            </w:pPr>
            <w:r>
              <w:rPr>
                <w:rFonts w:ascii="Arial" w:hAnsi="Arial" w:cs="Arial"/>
                <w:bCs/>
                <w:sz w:val="20"/>
                <w:szCs w:val="20"/>
              </w:rPr>
              <w:t>2</w:t>
            </w:r>
          </w:p>
        </w:tc>
        <w:tc>
          <w:tcPr>
            <w:tcW w:w="854" w:type="dxa"/>
            <w:tcBorders>
              <w:top w:val="single" w:sz="4" w:space="0" w:color="auto"/>
              <w:left w:val="nil"/>
              <w:bottom w:val="single" w:sz="4" w:space="0" w:color="auto"/>
              <w:right w:val="single" w:sz="4" w:space="0" w:color="auto"/>
            </w:tcBorders>
            <w:shd w:val="clear" w:color="000000" w:fill="auto"/>
            <w:vAlign w:val="center"/>
          </w:tcPr>
          <w:p w:rsidR="006D7B6E" w:rsidRPr="00A51255" w:rsidRDefault="00081C90" w:rsidP="00081C90">
            <w:pPr>
              <w:jc w:val="center"/>
              <w:rPr>
                <w:rFonts w:ascii="Arial" w:hAnsi="Arial" w:cs="Arial"/>
                <w:bCs/>
                <w:sz w:val="20"/>
                <w:szCs w:val="20"/>
              </w:rPr>
            </w:pPr>
            <w:r>
              <w:rPr>
                <w:rFonts w:ascii="Arial" w:hAnsi="Arial" w:cs="Arial"/>
                <w:bCs/>
                <w:sz w:val="20"/>
                <w:szCs w:val="20"/>
              </w:rPr>
              <w:t>6</w:t>
            </w:r>
          </w:p>
        </w:tc>
        <w:tc>
          <w:tcPr>
            <w:tcW w:w="0" w:type="auto"/>
            <w:tcBorders>
              <w:top w:val="single" w:sz="4" w:space="0" w:color="auto"/>
              <w:left w:val="nil"/>
              <w:bottom w:val="single" w:sz="4" w:space="0" w:color="auto"/>
              <w:right w:val="single" w:sz="4" w:space="0" w:color="auto"/>
            </w:tcBorders>
            <w:shd w:val="clear" w:color="000000" w:fill="auto"/>
            <w:vAlign w:val="center"/>
          </w:tcPr>
          <w:p w:rsidR="006D7B6E" w:rsidRPr="00A51255" w:rsidRDefault="00D94A0C" w:rsidP="00081C90">
            <w:pPr>
              <w:jc w:val="center"/>
              <w:rPr>
                <w:rFonts w:ascii="Arial" w:hAnsi="Arial" w:cs="Arial"/>
                <w:b/>
                <w:bCs/>
                <w:sz w:val="20"/>
                <w:szCs w:val="20"/>
              </w:rPr>
            </w:pPr>
            <w:r>
              <w:rPr>
                <w:rFonts w:ascii="Arial" w:hAnsi="Arial" w:cs="Arial"/>
                <w:b/>
                <w:bCs/>
                <w:sz w:val="20"/>
                <w:szCs w:val="20"/>
              </w:rPr>
              <w:t>1</w:t>
            </w:r>
            <w:r w:rsidR="00081C90">
              <w:rPr>
                <w:rFonts w:ascii="Arial" w:hAnsi="Arial" w:cs="Arial"/>
                <w:b/>
                <w:bCs/>
                <w:sz w:val="20"/>
                <w:szCs w:val="20"/>
              </w:rPr>
              <w:t>9</w:t>
            </w:r>
          </w:p>
        </w:tc>
      </w:tr>
    </w:tbl>
    <w:p w:rsidR="0020530B" w:rsidRPr="00A51255" w:rsidRDefault="0020530B" w:rsidP="0020530B">
      <w:pPr>
        <w:spacing w:line="360" w:lineRule="auto"/>
        <w:jc w:val="center"/>
        <w:rPr>
          <w:rFonts w:ascii="Arial" w:hAnsi="Arial" w:cs="Arial"/>
          <w:lang w:val="en-US"/>
        </w:rPr>
      </w:pPr>
    </w:p>
    <w:p w:rsidR="0020530B" w:rsidRPr="00A51255" w:rsidRDefault="0020530B" w:rsidP="0020530B">
      <w:pPr>
        <w:spacing w:line="360" w:lineRule="auto"/>
        <w:ind w:left="709" w:right="707"/>
        <w:jc w:val="both"/>
        <w:rPr>
          <w:rFonts w:ascii="Arial" w:hAnsi="Arial" w:cs="Arial"/>
          <w:sz w:val="16"/>
          <w:szCs w:val="16"/>
          <w:lang w:val="en-US"/>
        </w:rPr>
      </w:pPr>
      <w:r w:rsidRPr="002F209E">
        <w:rPr>
          <w:rFonts w:ascii="Arial" w:hAnsi="Arial" w:cs="Arial"/>
          <w:sz w:val="16"/>
          <w:szCs w:val="16"/>
          <w:lang w:val="en-US"/>
        </w:rPr>
        <w:t xml:space="preserve">Note: The breakdown is based on the estimation results from all </w:t>
      </w:r>
      <w:r w:rsidR="00636367">
        <w:rPr>
          <w:rFonts w:ascii="Arial" w:hAnsi="Arial" w:cs="Arial"/>
          <w:sz w:val="16"/>
          <w:szCs w:val="16"/>
          <w:lang w:val="en-US"/>
        </w:rPr>
        <w:t>Tables</w:t>
      </w:r>
      <w:r w:rsidR="002F209E" w:rsidRPr="002F209E">
        <w:rPr>
          <w:rFonts w:ascii="Arial" w:hAnsi="Arial" w:cs="Arial"/>
          <w:sz w:val="16"/>
          <w:szCs w:val="16"/>
          <w:lang w:val="en-US"/>
        </w:rPr>
        <w:t xml:space="preserve"> 3a, 3b, 4a and 4b</w:t>
      </w:r>
      <w:r w:rsidRPr="002F209E">
        <w:rPr>
          <w:rFonts w:ascii="Arial" w:hAnsi="Arial" w:cs="Arial"/>
          <w:sz w:val="16"/>
          <w:szCs w:val="16"/>
          <w:lang w:val="en-US"/>
        </w:rPr>
        <w:t>.</w:t>
      </w:r>
    </w:p>
    <w:p w:rsidR="00525DFC" w:rsidRPr="00A51255" w:rsidRDefault="0020530B" w:rsidP="00CE18CD">
      <w:pPr>
        <w:tabs>
          <w:tab w:val="left" w:pos="9356"/>
        </w:tabs>
        <w:spacing w:line="360" w:lineRule="auto"/>
        <w:ind w:left="709" w:right="707"/>
        <w:jc w:val="both"/>
        <w:rPr>
          <w:rFonts w:ascii="Arial" w:hAnsi="Arial" w:cs="Arial"/>
          <w:sz w:val="16"/>
          <w:szCs w:val="16"/>
          <w:lang w:val="en-US"/>
        </w:rPr>
      </w:pPr>
      <w:r w:rsidRPr="00A51255">
        <w:rPr>
          <w:rFonts w:ascii="Arial" w:hAnsi="Arial" w:cs="Arial"/>
          <w:sz w:val="16"/>
          <w:szCs w:val="16"/>
          <w:lang w:val="en-US"/>
        </w:rPr>
        <w:br w:type="page"/>
      </w:r>
    </w:p>
    <w:p w:rsidR="00CE18CD" w:rsidRPr="00A51255" w:rsidRDefault="00CE18CD" w:rsidP="00CE18CD">
      <w:pPr>
        <w:pStyle w:val="BlockText"/>
        <w:tabs>
          <w:tab w:val="left" w:pos="9356"/>
        </w:tabs>
        <w:ind w:left="284" w:right="282"/>
        <w:jc w:val="center"/>
        <w:rPr>
          <w:sz w:val="20"/>
          <w:szCs w:val="20"/>
        </w:rPr>
      </w:pPr>
    </w:p>
    <w:p w:rsidR="004B63F4" w:rsidRPr="00A51255" w:rsidRDefault="004B63F4" w:rsidP="004B63F4">
      <w:pPr>
        <w:pStyle w:val="BlockText"/>
        <w:tabs>
          <w:tab w:val="left" w:pos="8931"/>
        </w:tabs>
        <w:ind w:left="709" w:right="707"/>
        <w:jc w:val="center"/>
        <w:rPr>
          <w:sz w:val="20"/>
          <w:szCs w:val="20"/>
        </w:rPr>
      </w:pPr>
    </w:p>
    <w:p w:rsidR="0093671F" w:rsidRPr="00A51255" w:rsidRDefault="0093671F" w:rsidP="00FC2E1F">
      <w:pPr>
        <w:pStyle w:val="BlockText"/>
        <w:tabs>
          <w:tab w:val="left" w:pos="9356"/>
        </w:tabs>
        <w:ind w:left="851" w:right="0"/>
        <w:jc w:val="center"/>
        <w:rPr>
          <w:sz w:val="20"/>
          <w:szCs w:val="20"/>
        </w:rPr>
      </w:pPr>
      <w:r w:rsidRPr="00A51255">
        <w:rPr>
          <w:sz w:val="20"/>
          <w:szCs w:val="20"/>
        </w:rPr>
        <w:t>Figure 1. Returns of the PLN/USD exchange rate</w:t>
      </w:r>
      <w:r w:rsidR="00F24991" w:rsidRPr="00A51255">
        <w:rPr>
          <w:sz w:val="20"/>
          <w:szCs w:val="20"/>
        </w:rPr>
        <w:t xml:space="preserve"> (</w:t>
      </w:r>
      <w:r w:rsidR="001D7ABB" w:rsidRPr="00A51255">
        <w:rPr>
          <w:position w:val="-12"/>
        </w:rPr>
        <w:object w:dxaOrig="840" w:dyaOrig="380">
          <v:shape id="_x0000_i1185" type="#_x0000_t75" style="width:36pt;height:16.7pt" o:ole="">
            <v:imagedata r:id="rId234" o:title=""/>
          </v:shape>
          <o:OLEObject Type="Embed" ProgID="Equation.3" ShapeID="_x0000_i1185" DrawAspect="Content" ObjectID="_1507543532" r:id="rId235"/>
        </w:object>
      </w:r>
      <w:r w:rsidR="00F24991" w:rsidRPr="00A51255">
        <w:rPr>
          <w:sz w:val="20"/>
          <w:szCs w:val="20"/>
        </w:rPr>
        <w:t>)</w:t>
      </w:r>
      <w:r w:rsidRPr="00A51255">
        <w:rPr>
          <w:sz w:val="20"/>
          <w:szCs w:val="20"/>
        </w:rPr>
        <w:t xml:space="preserve">, daily data </w:t>
      </w:r>
    </w:p>
    <w:p w:rsidR="0093671F" w:rsidRPr="00A51255" w:rsidRDefault="0093671F" w:rsidP="00FC2E1F">
      <w:pPr>
        <w:pStyle w:val="BlockText"/>
        <w:tabs>
          <w:tab w:val="left" w:pos="9356"/>
        </w:tabs>
        <w:ind w:left="851" w:right="0"/>
        <w:jc w:val="center"/>
        <w:rPr>
          <w:sz w:val="20"/>
          <w:szCs w:val="20"/>
        </w:rPr>
      </w:pPr>
      <w:r w:rsidRPr="00A51255">
        <w:rPr>
          <w:sz w:val="20"/>
          <w:szCs w:val="20"/>
        </w:rPr>
        <w:t>(August 2000 – September 2003).</w:t>
      </w:r>
    </w:p>
    <w:p w:rsidR="0093671F" w:rsidRPr="00A51255" w:rsidRDefault="0093671F" w:rsidP="004B63F4">
      <w:pPr>
        <w:pStyle w:val="BlockText"/>
        <w:tabs>
          <w:tab w:val="left" w:pos="8931"/>
        </w:tabs>
        <w:ind w:left="709" w:right="707"/>
        <w:jc w:val="center"/>
        <w:rPr>
          <w:sz w:val="20"/>
          <w:szCs w:val="20"/>
        </w:rPr>
      </w:pPr>
    </w:p>
    <w:p w:rsidR="0093671F" w:rsidRPr="00A51255" w:rsidRDefault="000D6E2D" w:rsidP="004B63F4">
      <w:pPr>
        <w:pStyle w:val="BlockText"/>
        <w:tabs>
          <w:tab w:val="left" w:pos="8931"/>
        </w:tabs>
        <w:ind w:left="709" w:right="707"/>
        <w:jc w:val="center"/>
        <w:rPr>
          <w:sz w:val="20"/>
          <w:szCs w:val="20"/>
        </w:rPr>
      </w:pPr>
      <w:r>
        <w:rPr>
          <w:noProof/>
          <w:lang w:val="en-GB" w:eastAsia="en-GB"/>
        </w:rPr>
        <w:drawing>
          <wp:inline distT="0" distB="0" distL="0" distR="0">
            <wp:extent cx="5286375" cy="332422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5286375" cy="3324225"/>
                    </a:xfrm>
                    <a:prstGeom prst="rect">
                      <a:avLst/>
                    </a:prstGeom>
                    <a:noFill/>
                    <a:ln>
                      <a:noFill/>
                    </a:ln>
                  </pic:spPr>
                </pic:pic>
              </a:graphicData>
            </a:graphic>
          </wp:inline>
        </w:drawing>
      </w:r>
    </w:p>
    <w:p w:rsidR="0093671F" w:rsidRPr="00A51255" w:rsidRDefault="0093671F" w:rsidP="004B63F4">
      <w:pPr>
        <w:pStyle w:val="BlockText"/>
        <w:tabs>
          <w:tab w:val="left" w:pos="8931"/>
        </w:tabs>
        <w:ind w:left="709" w:right="707"/>
        <w:jc w:val="center"/>
        <w:rPr>
          <w:sz w:val="20"/>
          <w:szCs w:val="20"/>
        </w:rPr>
      </w:pPr>
    </w:p>
    <w:p w:rsidR="0093671F" w:rsidRPr="00A51255" w:rsidRDefault="0093671F" w:rsidP="004B63F4">
      <w:pPr>
        <w:pStyle w:val="BlockText"/>
        <w:tabs>
          <w:tab w:val="left" w:pos="8931"/>
        </w:tabs>
        <w:ind w:left="709" w:right="707"/>
        <w:jc w:val="center"/>
        <w:rPr>
          <w:sz w:val="20"/>
          <w:szCs w:val="20"/>
        </w:rPr>
      </w:pPr>
    </w:p>
    <w:p w:rsidR="0093671F" w:rsidRPr="00A51255" w:rsidRDefault="0093671F" w:rsidP="004B63F4">
      <w:pPr>
        <w:pStyle w:val="BlockText"/>
        <w:tabs>
          <w:tab w:val="left" w:pos="8931"/>
        </w:tabs>
        <w:ind w:left="709" w:right="707"/>
        <w:jc w:val="center"/>
        <w:rPr>
          <w:sz w:val="20"/>
          <w:szCs w:val="20"/>
        </w:rPr>
      </w:pPr>
    </w:p>
    <w:p w:rsidR="0093671F" w:rsidRPr="00A51255" w:rsidRDefault="0093671F" w:rsidP="004B63F4">
      <w:pPr>
        <w:pStyle w:val="BlockText"/>
        <w:tabs>
          <w:tab w:val="left" w:pos="8931"/>
        </w:tabs>
        <w:ind w:left="709" w:right="707"/>
        <w:jc w:val="center"/>
        <w:rPr>
          <w:sz w:val="20"/>
          <w:szCs w:val="20"/>
        </w:rPr>
      </w:pPr>
    </w:p>
    <w:p w:rsidR="004B63F4" w:rsidRPr="00A51255" w:rsidRDefault="004B63F4" w:rsidP="00FC2E1F">
      <w:pPr>
        <w:pStyle w:val="BlockText"/>
        <w:tabs>
          <w:tab w:val="left" w:pos="8931"/>
        </w:tabs>
        <w:ind w:left="709" w:right="0"/>
        <w:jc w:val="center"/>
        <w:rPr>
          <w:sz w:val="20"/>
          <w:szCs w:val="20"/>
        </w:rPr>
      </w:pPr>
      <w:r w:rsidRPr="00A51255">
        <w:rPr>
          <w:sz w:val="20"/>
          <w:szCs w:val="20"/>
        </w:rPr>
        <w:t xml:space="preserve">Figure </w:t>
      </w:r>
      <w:r w:rsidR="0093671F" w:rsidRPr="00A51255">
        <w:rPr>
          <w:sz w:val="20"/>
          <w:szCs w:val="20"/>
        </w:rPr>
        <w:t>2</w:t>
      </w:r>
      <w:r w:rsidRPr="00A51255">
        <w:rPr>
          <w:sz w:val="20"/>
          <w:szCs w:val="20"/>
        </w:rPr>
        <w:t>. Returns of the EUR/USD exchange rate</w:t>
      </w:r>
      <w:r w:rsidR="00AD6E1C" w:rsidRPr="00A51255">
        <w:rPr>
          <w:sz w:val="20"/>
          <w:szCs w:val="20"/>
        </w:rPr>
        <w:t xml:space="preserve"> (</w:t>
      </w:r>
      <w:r w:rsidR="00CF1807" w:rsidRPr="00A51255">
        <w:rPr>
          <w:position w:val="-12"/>
        </w:rPr>
        <w:object w:dxaOrig="840" w:dyaOrig="380">
          <v:shape id="_x0000_i1186" type="#_x0000_t75" style="width:42.45pt;height:18pt" o:ole="">
            <v:imagedata r:id="rId237" o:title=""/>
          </v:shape>
          <o:OLEObject Type="Embed" ProgID="Equation.3" ShapeID="_x0000_i1186" DrawAspect="Content" ObjectID="_1507543533" r:id="rId238"/>
        </w:object>
      </w:r>
      <w:r w:rsidR="00AD6E1C" w:rsidRPr="00A51255">
        <w:rPr>
          <w:sz w:val="20"/>
          <w:szCs w:val="20"/>
        </w:rPr>
        <w:t>)</w:t>
      </w:r>
      <w:r w:rsidRPr="00A51255">
        <w:rPr>
          <w:sz w:val="20"/>
          <w:szCs w:val="20"/>
        </w:rPr>
        <w:t xml:space="preserve">, daily data </w:t>
      </w:r>
    </w:p>
    <w:p w:rsidR="004B63F4" w:rsidRPr="00A51255" w:rsidRDefault="004B63F4" w:rsidP="00FC2E1F">
      <w:pPr>
        <w:pStyle w:val="BlockText"/>
        <w:tabs>
          <w:tab w:val="left" w:pos="8931"/>
        </w:tabs>
        <w:ind w:left="709" w:right="0"/>
        <w:jc w:val="center"/>
        <w:rPr>
          <w:sz w:val="20"/>
          <w:szCs w:val="20"/>
        </w:rPr>
      </w:pPr>
      <w:r w:rsidRPr="00A51255">
        <w:rPr>
          <w:sz w:val="20"/>
          <w:szCs w:val="20"/>
        </w:rPr>
        <w:t>(August 2000 – September 2003).</w:t>
      </w:r>
    </w:p>
    <w:p w:rsidR="004B63F4" w:rsidRPr="00A51255" w:rsidRDefault="004B63F4" w:rsidP="004B63F4">
      <w:pPr>
        <w:pStyle w:val="BlockText"/>
      </w:pPr>
    </w:p>
    <w:p w:rsidR="004B63F4" w:rsidRPr="00A51255" w:rsidRDefault="000D6E2D" w:rsidP="004B63F4">
      <w:pPr>
        <w:pStyle w:val="BlockText"/>
      </w:pPr>
      <w:r>
        <w:rPr>
          <w:noProof/>
          <w:lang w:val="en-GB" w:eastAsia="en-GB"/>
        </w:rPr>
        <w:drawing>
          <wp:inline distT="0" distB="0" distL="0" distR="0">
            <wp:extent cx="5286375" cy="332422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5286375" cy="3324225"/>
                    </a:xfrm>
                    <a:prstGeom prst="rect">
                      <a:avLst/>
                    </a:prstGeom>
                    <a:noFill/>
                    <a:ln>
                      <a:noFill/>
                    </a:ln>
                  </pic:spPr>
                </pic:pic>
              </a:graphicData>
            </a:graphic>
          </wp:inline>
        </w:drawing>
      </w:r>
    </w:p>
    <w:p w:rsidR="004B63F4" w:rsidRPr="00A51255" w:rsidRDefault="004B63F4" w:rsidP="004B63F4">
      <w:pPr>
        <w:pStyle w:val="BlockText"/>
      </w:pPr>
    </w:p>
    <w:p w:rsidR="004B63F4" w:rsidRPr="00A51255" w:rsidRDefault="004B63F4" w:rsidP="004B63F4">
      <w:pPr>
        <w:pStyle w:val="BlockText"/>
      </w:pPr>
    </w:p>
    <w:p w:rsidR="004B63F4" w:rsidRPr="00A51255" w:rsidRDefault="004B63F4" w:rsidP="004B63F4">
      <w:pPr>
        <w:pStyle w:val="BlockText"/>
      </w:pPr>
    </w:p>
    <w:p w:rsidR="004B63F4" w:rsidRPr="00A51255" w:rsidRDefault="004B63F4" w:rsidP="004B63F4">
      <w:pPr>
        <w:pStyle w:val="BlockText"/>
      </w:pPr>
    </w:p>
    <w:p w:rsidR="00737759" w:rsidRPr="00A51255" w:rsidRDefault="00737759" w:rsidP="004B63F4">
      <w:pPr>
        <w:pStyle w:val="BlockText"/>
        <w:tabs>
          <w:tab w:val="left" w:pos="8931"/>
        </w:tabs>
        <w:ind w:left="709" w:right="707"/>
        <w:jc w:val="center"/>
        <w:rPr>
          <w:sz w:val="20"/>
          <w:szCs w:val="20"/>
        </w:rPr>
      </w:pPr>
    </w:p>
    <w:p w:rsidR="004B63F4" w:rsidRPr="00A51255" w:rsidRDefault="004B63F4" w:rsidP="00FC2E1F">
      <w:pPr>
        <w:pStyle w:val="BlockText"/>
        <w:tabs>
          <w:tab w:val="left" w:pos="8931"/>
        </w:tabs>
        <w:ind w:left="709" w:right="0"/>
        <w:jc w:val="center"/>
        <w:rPr>
          <w:sz w:val="20"/>
          <w:szCs w:val="20"/>
        </w:rPr>
      </w:pPr>
      <w:r w:rsidRPr="00A51255">
        <w:rPr>
          <w:sz w:val="20"/>
          <w:szCs w:val="20"/>
        </w:rPr>
        <w:t xml:space="preserve">Figure </w:t>
      </w:r>
      <w:r w:rsidR="0093671F" w:rsidRPr="00A51255">
        <w:rPr>
          <w:sz w:val="20"/>
          <w:szCs w:val="20"/>
        </w:rPr>
        <w:t>3</w:t>
      </w:r>
      <w:r w:rsidRPr="00A51255">
        <w:rPr>
          <w:sz w:val="20"/>
          <w:szCs w:val="20"/>
        </w:rPr>
        <w:t xml:space="preserve">. Levels of the PLN/USD and EUR/USD exchange rates, daily data </w:t>
      </w:r>
    </w:p>
    <w:p w:rsidR="004B63F4" w:rsidRPr="00A51255" w:rsidRDefault="004B63F4" w:rsidP="00FC2E1F">
      <w:pPr>
        <w:pStyle w:val="BlockText"/>
        <w:tabs>
          <w:tab w:val="left" w:pos="8931"/>
        </w:tabs>
        <w:ind w:left="709" w:right="0"/>
        <w:jc w:val="center"/>
        <w:rPr>
          <w:sz w:val="20"/>
          <w:szCs w:val="20"/>
        </w:rPr>
      </w:pPr>
      <w:r w:rsidRPr="00A51255">
        <w:rPr>
          <w:sz w:val="20"/>
          <w:szCs w:val="20"/>
        </w:rPr>
        <w:t>(August 2000 – September 2003).</w:t>
      </w:r>
    </w:p>
    <w:p w:rsidR="004B63F4" w:rsidRPr="00A51255" w:rsidRDefault="004B63F4" w:rsidP="004B63F4">
      <w:pPr>
        <w:pStyle w:val="BlockText"/>
      </w:pPr>
    </w:p>
    <w:p w:rsidR="004B63F4" w:rsidRPr="00A51255" w:rsidRDefault="000D6E2D" w:rsidP="004B63F4">
      <w:pPr>
        <w:pStyle w:val="BlockText"/>
      </w:pPr>
      <w:r>
        <w:rPr>
          <w:noProof/>
          <w:lang w:val="en-GB" w:eastAsia="en-GB"/>
        </w:rPr>
        <w:drawing>
          <wp:inline distT="0" distB="0" distL="0" distR="0">
            <wp:extent cx="5295900" cy="3324225"/>
            <wp:effectExtent l="0" t="0" r="0" b="9525"/>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5295900" cy="3324225"/>
                    </a:xfrm>
                    <a:prstGeom prst="rect">
                      <a:avLst/>
                    </a:prstGeom>
                    <a:noFill/>
                    <a:ln>
                      <a:noFill/>
                    </a:ln>
                  </pic:spPr>
                </pic:pic>
              </a:graphicData>
            </a:graphic>
          </wp:inline>
        </w:drawing>
      </w:r>
    </w:p>
    <w:p w:rsidR="004B63F4" w:rsidRPr="00A51255" w:rsidRDefault="004B63F4" w:rsidP="004B63F4">
      <w:pPr>
        <w:pStyle w:val="BlockText"/>
      </w:pPr>
    </w:p>
    <w:p w:rsidR="004B63F4" w:rsidRPr="00A51255" w:rsidRDefault="004B63F4" w:rsidP="004B63F4">
      <w:pPr>
        <w:pStyle w:val="BlockText"/>
      </w:pPr>
    </w:p>
    <w:p w:rsidR="00737759" w:rsidRPr="00A51255" w:rsidRDefault="00737759" w:rsidP="004B63F4">
      <w:pPr>
        <w:pStyle w:val="BlockText"/>
      </w:pPr>
    </w:p>
    <w:p w:rsidR="00D7315D" w:rsidRPr="00A51255" w:rsidRDefault="00D7315D" w:rsidP="004B63F4">
      <w:pPr>
        <w:pStyle w:val="BlockText"/>
        <w:tabs>
          <w:tab w:val="left" w:pos="8931"/>
        </w:tabs>
        <w:ind w:left="709" w:right="707"/>
        <w:jc w:val="center"/>
        <w:rPr>
          <w:sz w:val="20"/>
          <w:szCs w:val="20"/>
        </w:rPr>
      </w:pPr>
    </w:p>
    <w:p w:rsidR="004B63F4" w:rsidRPr="00A51255" w:rsidRDefault="004B63F4" w:rsidP="0089089B">
      <w:pPr>
        <w:pStyle w:val="BlockText"/>
        <w:tabs>
          <w:tab w:val="left" w:pos="8647"/>
          <w:tab w:val="left" w:pos="8931"/>
          <w:tab w:val="left" w:pos="9072"/>
        </w:tabs>
        <w:ind w:left="709" w:right="0"/>
        <w:jc w:val="center"/>
        <w:rPr>
          <w:sz w:val="20"/>
          <w:szCs w:val="20"/>
        </w:rPr>
      </w:pPr>
      <w:r w:rsidRPr="00A51255">
        <w:rPr>
          <w:sz w:val="20"/>
          <w:szCs w:val="20"/>
        </w:rPr>
        <w:t xml:space="preserve">Figure </w:t>
      </w:r>
      <w:r w:rsidR="0093671F" w:rsidRPr="00A51255">
        <w:rPr>
          <w:sz w:val="20"/>
          <w:szCs w:val="20"/>
        </w:rPr>
        <w:t>4</w:t>
      </w:r>
      <w:r w:rsidRPr="00A51255">
        <w:rPr>
          <w:sz w:val="20"/>
          <w:szCs w:val="20"/>
        </w:rPr>
        <w:t>. Interest rates and interest rates differentials between Poland and USA (FOMC fed funds rate and NBP Stopa Referencyjna), daily data (August 2000 – September 2003).</w:t>
      </w:r>
    </w:p>
    <w:p w:rsidR="004B63F4" w:rsidRPr="00A51255" w:rsidRDefault="004B63F4" w:rsidP="004B63F4">
      <w:pPr>
        <w:pStyle w:val="BlockText"/>
      </w:pPr>
    </w:p>
    <w:p w:rsidR="004B63F4" w:rsidRPr="00A51255" w:rsidRDefault="004B63F4" w:rsidP="004B63F4">
      <w:pPr>
        <w:pStyle w:val="BlockText"/>
      </w:pPr>
      <w:r w:rsidRPr="00A51255">
        <w:t xml:space="preserve"> </w:t>
      </w:r>
      <w:r w:rsidR="000D6E2D">
        <w:rPr>
          <w:noProof/>
          <w:lang w:val="en-GB" w:eastAsia="en-GB"/>
        </w:rPr>
        <w:drawing>
          <wp:inline distT="0" distB="0" distL="0" distR="0">
            <wp:extent cx="5286375" cy="332422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5286375" cy="3324225"/>
                    </a:xfrm>
                    <a:prstGeom prst="rect">
                      <a:avLst/>
                    </a:prstGeom>
                    <a:noFill/>
                    <a:ln>
                      <a:noFill/>
                    </a:ln>
                  </pic:spPr>
                </pic:pic>
              </a:graphicData>
            </a:graphic>
          </wp:inline>
        </w:drawing>
      </w:r>
    </w:p>
    <w:p w:rsidR="004B63F4" w:rsidRPr="00A51255" w:rsidRDefault="004B63F4" w:rsidP="004B63F4">
      <w:pPr>
        <w:pStyle w:val="BlockText"/>
      </w:pPr>
    </w:p>
    <w:p w:rsidR="00CE18CD" w:rsidRPr="00A51255" w:rsidRDefault="00CE18CD" w:rsidP="00CE18CD">
      <w:pPr>
        <w:pStyle w:val="BlockText"/>
        <w:tabs>
          <w:tab w:val="left" w:pos="9356"/>
        </w:tabs>
        <w:ind w:left="284" w:right="282"/>
        <w:jc w:val="center"/>
        <w:rPr>
          <w:sz w:val="20"/>
          <w:szCs w:val="20"/>
        </w:rPr>
      </w:pPr>
    </w:p>
    <w:p w:rsidR="004B63F4" w:rsidRPr="00A51255" w:rsidRDefault="004B63F4" w:rsidP="00CE18CD">
      <w:pPr>
        <w:pStyle w:val="BlockText"/>
        <w:tabs>
          <w:tab w:val="left" w:pos="9356"/>
        </w:tabs>
        <w:ind w:left="284" w:right="282"/>
        <w:jc w:val="center"/>
        <w:rPr>
          <w:sz w:val="20"/>
          <w:szCs w:val="20"/>
        </w:rPr>
      </w:pPr>
    </w:p>
    <w:p w:rsidR="00D7315D" w:rsidRPr="00A51255" w:rsidRDefault="00D7315D" w:rsidP="00CE18CD">
      <w:pPr>
        <w:pStyle w:val="BlockText"/>
        <w:tabs>
          <w:tab w:val="left" w:pos="8931"/>
        </w:tabs>
        <w:ind w:left="709" w:right="707"/>
        <w:jc w:val="center"/>
        <w:rPr>
          <w:sz w:val="20"/>
          <w:szCs w:val="20"/>
        </w:rPr>
      </w:pPr>
    </w:p>
    <w:p w:rsidR="008C38DD" w:rsidRDefault="008C38DD" w:rsidP="0089089B">
      <w:pPr>
        <w:pStyle w:val="BlockText"/>
        <w:tabs>
          <w:tab w:val="left" w:pos="8931"/>
        </w:tabs>
        <w:ind w:left="567" w:right="567"/>
        <w:jc w:val="center"/>
        <w:rPr>
          <w:sz w:val="20"/>
          <w:szCs w:val="20"/>
        </w:rPr>
      </w:pPr>
    </w:p>
    <w:p w:rsidR="00CE18CD" w:rsidRPr="00A51255" w:rsidRDefault="00525DFC" w:rsidP="0089089B">
      <w:pPr>
        <w:pStyle w:val="BlockText"/>
        <w:tabs>
          <w:tab w:val="left" w:pos="8931"/>
        </w:tabs>
        <w:ind w:left="567" w:right="567"/>
        <w:jc w:val="center"/>
        <w:rPr>
          <w:sz w:val="20"/>
          <w:szCs w:val="20"/>
        </w:rPr>
      </w:pPr>
      <w:r w:rsidRPr="00A51255">
        <w:rPr>
          <w:sz w:val="20"/>
          <w:szCs w:val="20"/>
        </w:rPr>
        <w:t>Fig</w:t>
      </w:r>
      <w:r w:rsidR="00F76106" w:rsidRPr="00A51255">
        <w:rPr>
          <w:sz w:val="20"/>
          <w:szCs w:val="20"/>
        </w:rPr>
        <w:t>ure</w:t>
      </w:r>
      <w:r w:rsidRPr="00A51255">
        <w:rPr>
          <w:sz w:val="20"/>
          <w:szCs w:val="20"/>
        </w:rPr>
        <w:t xml:space="preserve"> </w:t>
      </w:r>
      <w:r w:rsidR="00D07338" w:rsidRPr="00A51255">
        <w:rPr>
          <w:sz w:val="20"/>
          <w:szCs w:val="20"/>
        </w:rPr>
        <w:t>5</w:t>
      </w:r>
      <w:r w:rsidRPr="00A51255">
        <w:rPr>
          <w:sz w:val="20"/>
          <w:szCs w:val="20"/>
        </w:rPr>
        <w:t>. Percentage changes of the PLN/USD volume of trade</w:t>
      </w:r>
      <w:r w:rsidR="00564D4F" w:rsidRPr="00A51255">
        <w:rPr>
          <w:sz w:val="20"/>
          <w:szCs w:val="20"/>
        </w:rPr>
        <w:t xml:space="preserve"> (</w:t>
      </w:r>
      <w:r w:rsidR="00564D4F" w:rsidRPr="00A51255">
        <w:rPr>
          <w:position w:val="-12"/>
        </w:rPr>
        <w:object w:dxaOrig="999" w:dyaOrig="360">
          <v:shape id="_x0000_i1187" type="#_x0000_t75" style="width:48.85pt;height:16.7pt" o:ole="">
            <v:imagedata r:id="rId41" o:title=""/>
          </v:shape>
          <o:OLEObject Type="Embed" ProgID="Equation.3" ShapeID="_x0000_i1187" DrawAspect="Content" ObjectID="_1507543534" r:id="rId242"/>
        </w:object>
      </w:r>
      <w:r w:rsidR="00564D4F" w:rsidRPr="00A51255">
        <w:rPr>
          <w:sz w:val="20"/>
          <w:szCs w:val="20"/>
        </w:rPr>
        <w:t>)</w:t>
      </w:r>
      <w:r w:rsidRPr="00A51255">
        <w:rPr>
          <w:sz w:val="20"/>
          <w:szCs w:val="20"/>
        </w:rPr>
        <w:t xml:space="preserve">, daily data </w:t>
      </w:r>
    </w:p>
    <w:p w:rsidR="00525DFC" w:rsidRPr="00A51255" w:rsidRDefault="00525DFC" w:rsidP="0089089B">
      <w:pPr>
        <w:pStyle w:val="BlockText"/>
        <w:tabs>
          <w:tab w:val="left" w:pos="8931"/>
        </w:tabs>
        <w:ind w:left="567" w:right="567"/>
        <w:jc w:val="center"/>
        <w:rPr>
          <w:sz w:val="20"/>
          <w:szCs w:val="20"/>
        </w:rPr>
      </w:pPr>
      <w:r w:rsidRPr="00A51255">
        <w:rPr>
          <w:sz w:val="20"/>
          <w:szCs w:val="20"/>
        </w:rPr>
        <w:t>(August 2000 – September 2003).</w:t>
      </w:r>
    </w:p>
    <w:p w:rsidR="00525DFC" w:rsidRPr="00A51255" w:rsidRDefault="00525DFC">
      <w:pPr>
        <w:rPr>
          <w:rFonts w:ascii="Arial" w:hAnsi="Arial" w:cs="Arial"/>
          <w:lang w:val="en-US"/>
        </w:rPr>
      </w:pPr>
    </w:p>
    <w:p w:rsidR="00525DFC" w:rsidRPr="00A51255" w:rsidRDefault="000D6E2D">
      <w:pPr>
        <w:jc w:val="center"/>
      </w:pPr>
      <w:r>
        <w:rPr>
          <w:noProof/>
          <w:lang w:val="en-GB" w:eastAsia="en-GB"/>
        </w:rPr>
        <w:drawing>
          <wp:inline distT="0" distB="0" distL="0" distR="0">
            <wp:extent cx="5286375" cy="3324225"/>
            <wp:effectExtent l="0" t="0" r="0" b="0"/>
            <wp:docPr id="126"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5286375" cy="3324225"/>
                    </a:xfrm>
                    <a:prstGeom prst="rect">
                      <a:avLst/>
                    </a:prstGeom>
                    <a:noFill/>
                    <a:ln>
                      <a:noFill/>
                    </a:ln>
                  </pic:spPr>
                </pic:pic>
              </a:graphicData>
            </a:graphic>
          </wp:inline>
        </w:drawing>
      </w:r>
    </w:p>
    <w:p w:rsidR="004B63F4" w:rsidRDefault="004B63F4">
      <w:pPr>
        <w:spacing w:line="360" w:lineRule="auto"/>
        <w:rPr>
          <w:rFonts w:ascii="Arial" w:hAnsi="Arial" w:cs="Arial"/>
          <w:lang w:val="en-US"/>
        </w:rPr>
      </w:pPr>
    </w:p>
    <w:p w:rsidR="00665BAA" w:rsidRDefault="00665BAA">
      <w:pPr>
        <w:spacing w:line="360" w:lineRule="auto"/>
        <w:rPr>
          <w:rFonts w:ascii="Arial" w:hAnsi="Arial" w:cs="Arial"/>
          <w:lang w:val="en-US"/>
        </w:rPr>
      </w:pPr>
    </w:p>
    <w:p w:rsidR="00E32F89" w:rsidRPr="00A51255" w:rsidRDefault="00E32F89">
      <w:pPr>
        <w:spacing w:line="360" w:lineRule="auto"/>
        <w:rPr>
          <w:rFonts w:ascii="Arial" w:hAnsi="Arial" w:cs="Arial"/>
          <w:lang w:val="en-US"/>
        </w:rPr>
      </w:pPr>
    </w:p>
    <w:p w:rsidR="004A4400" w:rsidRDefault="006950DF" w:rsidP="00D16C20">
      <w:pPr>
        <w:pStyle w:val="BlockText"/>
        <w:tabs>
          <w:tab w:val="left" w:pos="8931"/>
        </w:tabs>
        <w:ind w:left="567" w:right="567"/>
        <w:jc w:val="center"/>
        <w:rPr>
          <w:sz w:val="20"/>
          <w:szCs w:val="20"/>
        </w:rPr>
      </w:pPr>
      <w:r w:rsidRPr="006950DF">
        <w:rPr>
          <w:sz w:val="20"/>
          <w:szCs w:val="20"/>
        </w:rPr>
        <w:t xml:space="preserve">Figure </w:t>
      </w:r>
      <w:r>
        <w:rPr>
          <w:sz w:val="20"/>
          <w:szCs w:val="20"/>
        </w:rPr>
        <w:t>6</w:t>
      </w:r>
      <w:r w:rsidRPr="006950DF">
        <w:rPr>
          <w:sz w:val="20"/>
          <w:szCs w:val="20"/>
        </w:rPr>
        <w:t xml:space="preserve">. </w:t>
      </w:r>
      <w:r w:rsidR="00C03A7B">
        <w:rPr>
          <w:sz w:val="20"/>
          <w:szCs w:val="20"/>
        </w:rPr>
        <w:t>U</w:t>
      </w:r>
      <w:r w:rsidR="00C03A7B" w:rsidRPr="00C03A7B">
        <w:rPr>
          <w:sz w:val="20"/>
          <w:szCs w:val="20"/>
        </w:rPr>
        <w:t xml:space="preserve">nexpected announcements </w:t>
      </w:r>
      <w:r w:rsidR="00C03A7B">
        <w:rPr>
          <w:sz w:val="20"/>
          <w:szCs w:val="20"/>
        </w:rPr>
        <w:t>as proportion of the</w:t>
      </w:r>
      <w:r w:rsidR="00C03A7B" w:rsidRPr="00C03A7B">
        <w:rPr>
          <w:sz w:val="20"/>
          <w:szCs w:val="20"/>
        </w:rPr>
        <w:t xml:space="preserve"> deviation from their moving average in the</w:t>
      </w:r>
      <w:r w:rsidR="00C03A7B">
        <w:rPr>
          <w:sz w:val="20"/>
          <w:szCs w:val="20"/>
        </w:rPr>
        <w:t>ir</w:t>
      </w:r>
      <w:r w:rsidR="00D16C20">
        <w:rPr>
          <w:sz w:val="20"/>
          <w:szCs w:val="20"/>
        </w:rPr>
        <w:t xml:space="preserve"> standard deviation </w:t>
      </w:r>
      <w:r w:rsidR="00D16C20" w:rsidRPr="00A51255">
        <w:rPr>
          <w:sz w:val="20"/>
          <w:szCs w:val="20"/>
        </w:rPr>
        <w:t>(August 2000 – September 2003).</w:t>
      </w:r>
    </w:p>
    <w:p w:rsidR="00163501" w:rsidRDefault="00163501" w:rsidP="00163501">
      <w:pPr>
        <w:spacing w:line="360" w:lineRule="auto"/>
        <w:ind w:firstLine="708"/>
        <w:rPr>
          <w:rFonts w:ascii="Arial" w:hAnsi="Arial" w:cs="Arial"/>
          <w:sz w:val="20"/>
          <w:szCs w:val="20"/>
          <w:lang w:val="en-US"/>
        </w:rPr>
      </w:pPr>
    </w:p>
    <w:p w:rsidR="00163501" w:rsidRDefault="00163501" w:rsidP="00163501">
      <w:pPr>
        <w:spacing w:line="360" w:lineRule="auto"/>
        <w:ind w:firstLine="708"/>
        <w:rPr>
          <w:rFonts w:ascii="Arial" w:hAnsi="Arial" w:cs="Arial"/>
          <w:sz w:val="20"/>
          <w:szCs w:val="20"/>
          <w:lang w:val="en-US"/>
        </w:rPr>
        <w:sectPr w:rsidR="00163501" w:rsidSect="00C03A7B">
          <w:pgSz w:w="11906" w:h="16838" w:code="9"/>
          <w:pgMar w:top="1134" w:right="1700" w:bottom="1134" w:left="1134" w:header="720" w:footer="720" w:gutter="0"/>
          <w:cols w:space="720"/>
          <w:docGrid w:linePitch="360"/>
        </w:sectPr>
      </w:pPr>
    </w:p>
    <w:p w:rsidR="004A4400" w:rsidRDefault="000D6E2D" w:rsidP="00163501">
      <w:pPr>
        <w:spacing w:line="360" w:lineRule="auto"/>
        <w:ind w:right="-6"/>
        <w:jc w:val="both"/>
        <w:rPr>
          <w:rFonts w:ascii="Arial" w:hAnsi="Arial" w:cs="Arial"/>
          <w:lang w:val="en-US"/>
        </w:rPr>
        <w:sectPr w:rsidR="004A4400" w:rsidSect="00C03A7B">
          <w:type w:val="continuous"/>
          <w:pgSz w:w="11906" w:h="16838" w:code="9"/>
          <w:pgMar w:top="1134" w:right="1558" w:bottom="1134" w:left="1560" w:header="720" w:footer="720" w:gutter="0"/>
          <w:cols w:num="2" w:space="142"/>
          <w:docGrid w:linePitch="360"/>
        </w:sectPr>
      </w:pPr>
      <w:r>
        <w:rPr>
          <w:rFonts w:ascii="Arial" w:hAnsi="Arial" w:cs="Arial"/>
          <w:noProof/>
          <w:lang w:val="en-GB" w:eastAsia="en-GB"/>
        </w:rPr>
        <w:lastRenderedPageBreak/>
        <w:drawing>
          <wp:inline distT="0" distB="0" distL="0" distR="0">
            <wp:extent cx="2543175" cy="1466850"/>
            <wp:effectExtent l="0" t="0" r="952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543175" cy="1466850"/>
                    </a:xfrm>
                    <a:prstGeom prst="rect">
                      <a:avLst/>
                    </a:prstGeom>
                    <a:noFill/>
                    <a:ln>
                      <a:noFill/>
                    </a:ln>
                  </pic:spPr>
                </pic:pic>
              </a:graphicData>
            </a:graphic>
          </wp:inline>
        </w:drawing>
      </w:r>
      <w:r>
        <w:rPr>
          <w:rFonts w:ascii="Arial" w:hAnsi="Arial" w:cs="Arial"/>
          <w:noProof/>
          <w:lang w:val="en-GB" w:eastAsia="en-GB"/>
        </w:rPr>
        <w:drawing>
          <wp:inline distT="0" distB="0" distL="0" distR="0">
            <wp:extent cx="2543175" cy="1466850"/>
            <wp:effectExtent l="0" t="0" r="952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543175" cy="1466850"/>
                    </a:xfrm>
                    <a:prstGeom prst="rect">
                      <a:avLst/>
                    </a:prstGeom>
                    <a:noFill/>
                    <a:ln>
                      <a:noFill/>
                    </a:ln>
                  </pic:spPr>
                </pic:pic>
              </a:graphicData>
            </a:graphic>
          </wp:inline>
        </w:drawing>
      </w:r>
      <w:r>
        <w:rPr>
          <w:rFonts w:ascii="Arial" w:hAnsi="Arial" w:cs="Arial"/>
          <w:noProof/>
          <w:lang w:val="en-GB" w:eastAsia="en-GB"/>
        </w:rPr>
        <w:lastRenderedPageBreak/>
        <w:drawing>
          <wp:inline distT="0" distB="0" distL="0" distR="0">
            <wp:extent cx="2543175" cy="1466850"/>
            <wp:effectExtent l="0" t="0" r="952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543175" cy="1466850"/>
                    </a:xfrm>
                    <a:prstGeom prst="rect">
                      <a:avLst/>
                    </a:prstGeom>
                    <a:noFill/>
                    <a:ln>
                      <a:noFill/>
                    </a:ln>
                  </pic:spPr>
                </pic:pic>
              </a:graphicData>
            </a:graphic>
          </wp:inline>
        </w:drawing>
      </w:r>
      <w:r>
        <w:rPr>
          <w:rFonts w:ascii="Arial" w:hAnsi="Arial" w:cs="Arial"/>
          <w:noProof/>
          <w:lang w:val="en-GB" w:eastAsia="en-GB"/>
        </w:rPr>
        <w:drawing>
          <wp:inline distT="0" distB="0" distL="0" distR="0">
            <wp:extent cx="2543175" cy="1466850"/>
            <wp:effectExtent l="0" t="0" r="952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2543175" cy="1466850"/>
                    </a:xfrm>
                    <a:prstGeom prst="rect">
                      <a:avLst/>
                    </a:prstGeom>
                    <a:noFill/>
                    <a:ln>
                      <a:noFill/>
                    </a:ln>
                  </pic:spPr>
                </pic:pic>
              </a:graphicData>
            </a:graphic>
          </wp:inline>
        </w:drawing>
      </w:r>
    </w:p>
    <w:p w:rsidR="004B63F4" w:rsidRPr="00A51255" w:rsidRDefault="004B63F4" w:rsidP="004A4400">
      <w:pPr>
        <w:spacing w:line="360" w:lineRule="auto"/>
        <w:jc w:val="both"/>
        <w:rPr>
          <w:rFonts w:ascii="Arial" w:hAnsi="Arial" w:cs="Arial"/>
          <w:lang w:val="en-US"/>
        </w:rPr>
      </w:pPr>
    </w:p>
    <w:sectPr w:rsidR="004B63F4" w:rsidRPr="00A51255" w:rsidSect="00474B91">
      <w:type w:val="continuous"/>
      <w:pgSz w:w="11906" w:h="16838" w:code="9"/>
      <w:pgMar w:top="1134" w:right="99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DD7" w:rsidRDefault="00691DD7">
      <w:r>
        <w:separator/>
      </w:r>
    </w:p>
  </w:endnote>
  <w:endnote w:type="continuationSeparator" w:id="0">
    <w:p w:rsidR="00691DD7" w:rsidRDefault="0069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9B4" w:rsidRDefault="002C11C6">
    <w:pPr>
      <w:pStyle w:val="Footer"/>
      <w:framePr w:wrap="around" w:vAnchor="text" w:hAnchor="margin" w:xAlign="center" w:y="1"/>
      <w:rPr>
        <w:rStyle w:val="PageNumber"/>
      </w:rPr>
    </w:pPr>
    <w:r>
      <w:rPr>
        <w:rStyle w:val="PageNumber"/>
      </w:rPr>
      <w:fldChar w:fldCharType="begin"/>
    </w:r>
    <w:r w:rsidR="003769B4">
      <w:rPr>
        <w:rStyle w:val="PageNumber"/>
      </w:rPr>
      <w:instrText xml:space="preserve">PAGE  </w:instrText>
    </w:r>
    <w:r>
      <w:rPr>
        <w:rStyle w:val="PageNumber"/>
      </w:rPr>
      <w:fldChar w:fldCharType="separate"/>
    </w:r>
    <w:r w:rsidR="003769B4">
      <w:rPr>
        <w:rStyle w:val="PageNumber"/>
        <w:noProof/>
      </w:rPr>
      <w:t>8</w:t>
    </w:r>
    <w:r>
      <w:rPr>
        <w:rStyle w:val="PageNumber"/>
      </w:rPr>
      <w:fldChar w:fldCharType="end"/>
    </w:r>
  </w:p>
  <w:p w:rsidR="003769B4" w:rsidRDefault="00376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9B4" w:rsidRPr="005F5313" w:rsidRDefault="002C11C6">
    <w:pPr>
      <w:pStyle w:val="Footer"/>
      <w:framePr w:wrap="around" w:vAnchor="text" w:hAnchor="margin" w:xAlign="center" w:y="1"/>
      <w:rPr>
        <w:rStyle w:val="PageNumber"/>
        <w:rFonts w:ascii="Arial" w:hAnsi="Arial" w:cs="Arial"/>
        <w:sz w:val="20"/>
        <w:szCs w:val="20"/>
      </w:rPr>
    </w:pPr>
    <w:r w:rsidRPr="005F5313">
      <w:rPr>
        <w:rStyle w:val="PageNumber"/>
        <w:rFonts w:ascii="Arial" w:hAnsi="Arial" w:cs="Arial"/>
        <w:sz w:val="20"/>
        <w:szCs w:val="20"/>
      </w:rPr>
      <w:fldChar w:fldCharType="begin"/>
    </w:r>
    <w:r w:rsidR="003769B4" w:rsidRPr="005F5313">
      <w:rPr>
        <w:rStyle w:val="PageNumber"/>
        <w:rFonts w:ascii="Arial" w:hAnsi="Arial" w:cs="Arial"/>
        <w:sz w:val="20"/>
        <w:szCs w:val="20"/>
      </w:rPr>
      <w:instrText xml:space="preserve">PAGE  </w:instrText>
    </w:r>
    <w:r w:rsidRPr="005F5313">
      <w:rPr>
        <w:rStyle w:val="PageNumber"/>
        <w:rFonts w:ascii="Arial" w:hAnsi="Arial" w:cs="Arial"/>
        <w:sz w:val="20"/>
        <w:szCs w:val="20"/>
      </w:rPr>
      <w:fldChar w:fldCharType="separate"/>
    </w:r>
    <w:r w:rsidR="00AF150B">
      <w:rPr>
        <w:rStyle w:val="PageNumber"/>
        <w:rFonts w:ascii="Arial" w:hAnsi="Arial" w:cs="Arial"/>
        <w:noProof/>
        <w:sz w:val="20"/>
        <w:szCs w:val="20"/>
      </w:rPr>
      <w:t>4</w:t>
    </w:r>
    <w:r w:rsidRPr="005F5313">
      <w:rPr>
        <w:rStyle w:val="PageNumber"/>
        <w:rFonts w:ascii="Arial" w:hAnsi="Arial" w:cs="Arial"/>
        <w:sz w:val="20"/>
        <w:szCs w:val="20"/>
      </w:rPr>
      <w:fldChar w:fldCharType="end"/>
    </w:r>
  </w:p>
  <w:p w:rsidR="003769B4" w:rsidRDefault="00376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DD7" w:rsidRDefault="00691DD7">
      <w:r>
        <w:separator/>
      </w:r>
    </w:p>
  </w:footnote>
  <w:footnote w:type="continuationSeparator" w:id="0">
    <w:p w:rsidR="00691DD7" w:rsidRDefault="00691DD7">
      <w:r>
        <w:continuationSeparator/>
      </w:r>
    </w:p>
  </w:footnote>
  <w:footnote w:id="1">
    <w:p w:rsidR="003769B4" w:rsidRPr="008A51BD" w:rsidRDefault="003769B4" w:rsidP="00900652">
      <w:pPr>
        <w:pStyle w:val="FootnoteText"/>
        <w:jc w:val="both"/>
        <w:rPr>
          <w:rFonts w:ascii="Arial" w:hAnsi="Arial"/>
          <w:lang w:val="en-US"/>
        </w:rPr>
      </w:pPr>
      <w:r w:rsidRPr="008A51BD">
        <w:rPr>
          <w:rStyle w:val="FootnoteReference"/>
          <w:rFonts w:ascii="Arial" w:hAnsi="Arial"/>
        </w:rPr>
        <w:footnoteRef/>
      </w:r>
      <w:r w:rsidRPr="008A51BD">
        <w:rPr>
          <w:rFonts w:ascii="Arial" w:hAnsi="Arial"/>
          <w:lang w:val="en-US"/>
        </w:rPr>
        <w:t xml:space="preserve"> For example, the mixture of distributions model (MODM) and the recent microstructure theories rely on public information arrival to explain movements in asset returns. MODM models are associated with Clark (1973) and Tauchen and Pitts (1983), while microstructure theories are reviewed in O’Hara (1995) and Lyons (2001).</w:t>
      </w:r>
    </w:p>
  </w:footnote>
  <w:footnote w:id="2">
    <w:p w:rsidR="003769B4" w:rsidRPr="008A51BD" w:rsidRDefault="003769B4" w:rsidP="00A85655">
      <w:pPr>
        <w:pStyle w:val="FootnoteText"/>
        <w:jc w:val="both"/>
        <w:rPr>
          <w:rFonts w:ascii="Arial" w:hAnsi="Arial"/>
          <w:lang w:val="en-US"/>
        </w:rPr>
      </w:pPr>
      <w:r w:rsidRPr="008A51BD">
        <w:rPr>
          <w:rStyle w:val="FootnoteReference"/>
          <w:rFonts w:ascii="Arial" w:hAnsi="Arial"/>
        </w:rPr>
        <w:footnoteRef/>
      </w:r>
      <w:r w:rsidRPr="008A51BD">
        <w:rPr>
          <w:rFonts w:ascii="Arial" w:hAnsi="Arial"/>
          <w:lang w:val="en-US"/>
        </w:rPr>
        <w:t xml:space="preserve"> Melvin and Yin (2006) and Edmonds and Kutan (2002) provide a review of recent work.</w:t>
      </w:r>
    </w:p>
  </w:footnote>
  <w:footnote w:id="3">
    <w:p w:rsidR="003769B4" w:rsidRPr="008A51BD" w:rsidRDefault="003769B4" w:rsidP="007F0F49">
      <w:pPr>
        <w:pStyle w:val="FootnoteText"/>
        <w:jc w:val="both"/>
        <w:rPr>
          <w:rFonts w:ascii="Arial" w:hAnsi="Arial"/>
          <w:lang w:val="en-US"/>
        </w:rPr>
      </w:pPr>
      <w:r w:rsidRPr="008A51BD">
        <w:rPr>
          <w:rStyle w:val="FootnoteReference"/>
          <w:rFonts w:ascii="Arial" w:hAnsi="Arial"/>
        </w:rPr>
        <w:footnoteRef/>
      </w:r>
      <w:r w:rsidRPr="008A51BD">
        <w:rPr>
          <w:rFonts w:ascii="Arial" w:hAnsi="Arial"/>
          <w:lang w:val="en-US"/>
        </w:rPr>
        <w:t xml:space="preserve"> See, for example, Cutler, Poterba and Summers (1989), Berry and Howe (1994), Mitchell and Mulherin (1994) and, Andersen, Bollerslev and Cai (2000).</w:t>
      </w:r>
    </w:p>
  </w:footnote>
  <w:footnote w:id="4">
    <w:p w:rsidR="003769B4" w:rsidRPr="0001436A" w:rsidRDefault="003769B4" w:rsidP="00B93538">
      <w:pPr>
        <w:pStyle w:val="FootnoteText"/>
        <w:jc w:val="both"/>
        <w:rPr>
          <w:rFonts w:ascii="Arial" w:hAnsi="Arial" w:cs="Arial"/>
          <w:lang w:val="en-US"/>
        </w:rPr>
      </w:pPr>
      <w:r w:rsidRPr="008A51BD">
        <w:rPr>
          <w:rStyle w:val="FootnoteReference"/>
          <w:rFonts w:ascii="Arial" w:hAnsi="Arial" w:cs="Arial"/>
        </w:rPr>
        <w:footnoteRef/>
      </w:r>
      <w:r w:rsidRPr="008A51BD">
        <w:rPr>
          <w:rFonts w:ascii="Arial" w:hAnsi="Arial" w:cs="Arial"/>
          <w:lang w:val="en-US"/>
        </w:rPr>
        <w:t xml:space="preserve"> To </w:t>
      </w:r>
      <w:r>
        <w:rPr>
          <w:rFonts w:ascii="Arial" w:hAnsi="Arial" w:cs="Arial"/>
          <w:lang w:val="en-US"/>
        </w:rPr>
        <w:t>the</w:t>
      </w:r>
      <w:r w:rsidRPr="008A51BD">
        <w:rPr>
          <w:rFonts w:ascii="Arial" w:hAnsi="Arial" w:cs="Arial"/>
          <w:lang w:val="en-US"/>
        </w:rPr>
        <w:t xml:space="preserve"> best </w:t>
      </w:r>
      <w:r>
        <w:rPr>
          <w:rFonts w:ascii="Arial" w:hAnsi="Arial" w:cs="Arial"/>
          <w:lang w:val="en-US"/>
        </w:rPr>
        <w:t xml:space="preserve">of our </w:t>
      </w:r>
      <w:r w:rsidRPr="008A51BD">
        <w:rPr>
          <w:rFonts w:ascii="Arial" w:hAnsi="Arial" w:cs="Arial"/>
          <w:lang w:val="en-US"/>
        </w:rPr>
        <w:t>knowledge, there are two other related studies on Poland (see Serwa (2006) and Rozkrut et al. (2007)), however our paper is quite different from them. We explain the differences between our and their contribution in the next sections.</w:t>
      </w:r>
    </w:p>
  </w:footnote>
  <w:footnote w:id="5">
    <w:p w:rsidR="003769B4" w:rsidRPr="008A51BD" w:rsidRDefault="003769B4" w:rsidP="007F0F49">
      <w:pPr>
        <w:pStyle w:val="FootnoteText"/>
        <w:jc w:val="both"/>
        <w:rPr>
          <w:rFonts w:ascii="Arial" w:hAnsi="Arial"/>
          <w:lang w:val="en-US"/>
        </w:rPr>
      </w:pPr>
      <w:r w:rsidRPr="008A51BD">
        <w:rPr>
          <w:rStyle w:val="FootnoteReference"/>
          <w:rFonts w:ascii="Arial" w:hAnsi="Arial"/>
        </w:rPr>
        <w:footnoteRef/>
      </w:r>
      <w:r w:rsidRPr="008A51BD">
        <w:rPr>
          <w:rFonts w:ascii="Arial" w:hAnsi="Arial"/>
          <w:lang w:val="en-US"/>
        </w:rPr>
        <w:t xml:space="preserve"> For a review of these issues, see Modigliani (1971), Mishkin (1977 and 2007), Kamin, Turner and Van’t dack (1998), Gilchrist and Leahy (2002), and Ehrmann and Fratzscher (2004).</w:t>
      </w:r>
    </w:p>
  </w:footnote>
  <w:footnote w:id="6">
    <w:p w:rsidR="003769B4" w:rsidRPr="008A51BD" w:rsidRDefault="003769B4" w:rsidP="00DF5D87">
      <w:pPr>
        <w:pStyle w:val="FootnoteText"/>
        <w:jc w:val="both"/>
        <w:rPr>
          <w:lang w:val="en-US"/>
        </w:rPr>
      </w:pPr>
      <w:r w:rsidRPr="008A51BD">
        <w:rPr>
          <w:rStyle w:val="FootnoteReference"/>
          <w:rFonts w:ascii="Arial" w:hAnsi="Arial" w:cs="Arial"/>
        </w:rPr>
        <w:footnoteRef/>
      </w:r>
      <w:r w:rsidRPr="008A51BD">
        <w:rPr>
          <w:rFonts w:ascii="Arial" w:hAnsi="Arial"/>
          <w:lang w:val="en-US"/>
        </w:rPr>
        <w:t xml:space="preserve"> Reactions of investors in emerging financial markets to news may be different than those in industrial countries due to several factors including weak monetary authorities, limited investor confidence, inefficient financial markets and differences in their exchange rate regimes as well as the degree of integration of their markets with the global financial system (for further discussion and empirical evidence, see Serwa (2006), Wongswan (2009) and  Hausman and Wongswan (2011)).</w:t>
      </w:r>
    </w:p>
  </w:footnote>
  <w:footnote w:id="7">
    <w:p w:rsidR="003769B4" w:rsidRPr="00184EA7" w:rsidRDefault="003769B4" w:rsidP="00474236">
      <w:pPr>
        <w:pStyle w:val="FootnoteText"/>
        <w:jc w:val="both"/>
        <w:rPr>
          <w:lang w:val="en-US"/>
        </w:rPr>
      </w:pPr>
      <w:r w:rsidRPr="008A51BD">
        <w:rPr>
          <w:rStyle w:val="FootnoteReference"/>
        </w:rPr>
        <w:footnoteRef/>
      </w:r>
      <w:r w:rsidRPr="008A51BD">
        <w:rPr>
          <w:lang w:val="en-US"/>
        </w:rPr>
        <w:t xml:space="preserve"> </w:t>
      </w:r>
      <w:r w:rsidRPr="008A51BD">
        <w:rPr>
          <w:rFonts w:ascii="Arial" w:hAnsi="Arial" w:cs="Arial"/>
          <w:lang w:val="en-US"/>
        </w:rPr>
        <w:t>See, among others, Ganapolsky and Schmuckler (2001), Kaminsky and Schmukler (2002), Korczak and Bohl (2005), Nikkinen, Omran, Sahlström and Äijö (2006), Robitaille and Roush (2006), Wongswan (2009), Hanousek, Kočenda and Kutan (2009).</w:t>
      </w:r>
      <w:r w:rsidRPr="008A51BD">
        <w:rPr>
          <w:rFonts w:ascii="Arial" w:hAnsi="Arial"/>
          <w:lang w:val="en-US"/>
        </w:rPr>
        <w:t xml:space="preserve"> There is only a limited number of papers concerning other market segments (see </w:t>
      </w:r>
      <w:r w:rsidRPr="008A51BD">
        <w:rPr>
          <w:rFonts w:ascii="Arial" w:hAnsi="Arial" w:cs="Arial"/>
          <w:lang w:val="en-US"/>
        </w:rPr>
        <w:t xml:space="preserve">e.g. </w:t>
      </w:r>
      <w:r w:rsidRPr="008A51BD">
        <w:rPr>
          <w:rFonts w:ascii="Arial" w:hAnsi="Arial"/>
          <w:lang w:val="en-US"/>
        </w:rPr>
        <w:t xml:space="preserve">Andritzky, Bannister and Tamirisa (2007), </w:t>
      </w:r>
      <w:r w:rsidRPr="008A51BD">
        <w:rPr>
          <w:rFonts w:ascii="Arial" w:hAnsi="Arial" w:cs="Arial"/>
          <w:lang w:val="en-US"/>
        </w:rPr>
        <w:t>Poghosyan, Kočenda and Zemčik (2008) or Loiseau–Aslanidi (2011)</w:t>
      </w:r>
      <w:r w:rsidRPr="008A51BD">
        <w:rPr>
          <w:rFonts w:ascii="Arial" w:hAnsi="Arial"/>
          <w:lang w:val="en-US"/>
        </w:rPr>
        <w:t>).</w:t>
      </w:r>
    </w:p>
  </w:footnote>
  <w:footnote w:id="8">
    <w:p w:rsidR="003769B4" w:rsidRPr="008A51BD" w:rsidRDefault="003769B4" w:rsidP="00474236">
      <w:pPr>
        <w:pStyle w:val="FootnoteText"/>
        <w:jc w:val="both"/>
        <w:rPr>
          <w:rFonts w:ascii="Arial" w:hAnsi="Arial" w:cs="Arial"/>
          <w:lang w:val="en-US"/>
        </w:rPr>
      </w:pPr>
      <w:r w:rsidRPr="008A51BD">
        <w:rPr>
          <w:rStyle w:val="FootnoteReference"/>
          <w:rFonts w:ascii="Arial" w:hAnsi="Arial" w:cs="Arial"/>
        </w:rPr>
        <w:footnoteRef/>
      </w:r>
      <w:r w:rsidRPr="008A51BD">
        <w:rPr>
          <w:rFonts w:ascii="Arial" w:hAnsi="Arial" w:cs="Arial"/>
          <w:lang w:val="en-US"/>
        </w:rPr>
        <w:t xml:space="preserve"> Poland is the largest currency market in the CEE region. According to the Bank for International Settlements (BIS) triennial reports, the snapshot surveys conducted in 2001, 2004, 2007, 2010 and 2013 show that it was roughly twice as large in size as the second biggest markets in the Czech Republic and in Hungary (see: Triennial Central Bank Survey (2010) and Triennial Central Bank Survey (2013)).</w:t>
      </w:r>
    </w:p>
  </w:footnote>
  <w:footnote w:id="9">
    <w:p w:rsidR="003769B4" w:rsidRPr="008A51BD" w:rsidRDefault="003769B4" w:rsidP="00D26D14">
      <w:pPr>
        <w:pStyle w:val="FootnoteText"/>
        <w:jc w:val="both"/>
        <w:rPr>
          <w:lang w:val="en-US"/>
        </w:rPr>
      </w:pPr>
      <w:r w:rsidRPr="008A51BD">
        <w:rPr>
          <w:rStyle w:val="FootnoteReference"/>
          <w:rFonts w:ascii="Arial" w:hAnsi="Arial" w:cs="Arial"/>
        </w:rPr>
        <w:footnoteRef/>
      </w:r>
      <w:r w:rsidRPr="008A51BD">
        <w:rPr>
          <w:rFonts w:ascii="Arial" w:hAnsi="Arial" w:cs="Arial"/>
          <w:lang w:val="en-US"/>
        </w:rPr>
        <w:t xml:space="preserve"> </w:t>
      </w:r>
      <w:r>
        <w:rPr>
          <w:rFonts w:ascii="Arial" w:hAnsi="Arial" w:cs="Arial"/>
          <w:lang w:val="en-US"/>
        </w:rPr>
        <w:t xml:space="preserve">The </w:t>
      </w:r>
      <w:r w:rsidRPr="008A51BD">
        <w:rPr>
          <w:rFonts w:ascii="Arial" w:hAnsi="Arial"/>
          <w:lang w:val="en-US"/>
        </w:rPr>
        <w:t>MPC believed that the adoption of the DIT strategy was the most beneficial as other strategies (i.e., monetary aggregate or exchange rate targeting) did not guarantee a lasting reduction of the inflation rate (in the case of the monetary aggregates control) or exposed the economy to the risk of serious distortions on the financial market</w:t>
      </w:r>
      <w:r>
        <w:rPr>
          <w:rFonts w:ascii="Arial" w:hAnsi="Arial"/>
          <w:lang w:val="en-US"/>
        </w:rPr>
        <w:t>,</w:t>
      </w:r>
      <w:r w:rsidRPr="008A51BD">
        <w:rPr>
          <w:rFonts w:ascii="Arial" w:hAnsi="Arial"/>
          <w:lang w:val="en-US"/>
        </w:rPr>
        <w:t xml:space="preserve"> with all the</w:t>
      </w:r>
      <w:r>
        <w:rPr>
          <w:rFonts w:ascii="Arial" w:hAnsi="Arial"/>
          <w:lang w:val="en-US"/>
        </w:rPr>
        <w:t xml:space="preserve"> concomitant</w:t>
      </w:r>
      <w:r w:rsidRPr="008A51BD">
        <w:rPr>
          <w:rFonts w:ascii="Arial" w:hAnsi="Arial"/>
          <w:lang w:val="en-US"/>
        </w:rPr>
        <w:t xml:space="preserve"> adverse consequences for the real economic sector (with maintained exchange rate targeting).</w:t>
      </w:r>
    </w:p>
  </w:footnote>
  <w:footnote w:id="10">
    <w:p w:rsidR="003769B4" w:rsidRPr="00EB103B" w:rsidRDefault="003769B4" w:rsidP="00467FFD">
      <w:pPr>
        <w:jc w:val="both"/>
        <w:rPr>
          <w:rFonts w:ascii="Arial" w:hAnsi="Arial" w:cs="Arial"/>
          <w:sz w:val="20"/>
          <w:szCs w:val="20"/>
          <w:lang w:val="en-US"/>
        </w:rPr>
      </w:pPr>
      <w:r w:rsidRPr="008A51BD">
        <w:rPr>
          <w:rStyle w:val="FootnoteReference"/>
          <w:rFonts w:ascii="Arial" w:hAnsi="Arial" w:cs="Arial"/>
          <w:sz w:val="20"/>
          <w:szCs w:val="20"/>
        </w:rPr>
        <w:footnoteRef/>
      </w:r>
      <w:r w:rsidRPr="008A51BD">
        <w:rPr>
          <w:rFonts w:ascii="Arial" w:hAnsi="Arial" w:cs="Arial"/>
          <w:sz w:val="20"/>
          <w:szCs w:val="20"/>
          <w:lang w:val="en-US"/>
        </w:rPr>
        <w:t xml:space="preserve"> </w:t>
      </w:r>
      <w:r w:rsidRPr="00EB103B">
        <w:rPr>
          <w:rFonts w:ascii="Arial" w:hAnsi="Arial" w:cs="Arial"/>
          <w:sz w:val="20"/>
          <w:szCs w:val="20"/>
          <w:lang w:val="en-US"/>
        </w:rPr>
        <w:t xml:space="preserve">According to the Article 227, Paragraph 1, of the Constitution of the Republic of Poland </w:t>
      </w:r>
      <w:r w:rsidRPr="00EB103B">
        <w:rPr>
          <w:rFonts w:ascii="Arial" w:hAnsi="Arial" w:cs="Arial"/>
          <w:i/>
          <w:iCs/>
          <w:sz w:val="20"/>
          <w:szCs w:val="20"/>
          <w:lang w:val="en-US"/>
        </w:rPr>
        <w:t>“the National Bank of Poland shall be responsible for the value of Polish currency”</w:t>
      </w:r>
      <w:r w:rsidRPr="00EB103B">
        <w:rPr>
          <w:rFonts w:ascii="Arial" w:hAnsi="Arial" w:cs="Arial"/>
          <w:sz w:val="20"/>
          <w:szCs w:val="20"/>
          <w:lang w:val="en-US"/>
        </w:rPr>
        <w:t xml:space="preserve">. The Act on the National Bank of Poland of 29 August 1997 states in Article 3 that </w:t>
      </w:r>
      <w:r w:rsidRPr="00EB103B">
        <w:rPr>
          <w:rFonts w:ascii="Arial" w:hAnsi="Arial" w:cs="Arial"/>
          <w:i/>
          <w:iCs/>
          <w:sz w:val="20"/>
          <w:szCs w:val="20"/>
          <w:lang w:val="en-US"/>
        </w:rPr>
        <w:t>“the basic objective of NBP activity shall be to maintain price stability, and it shall at the same time act in support of Government economic policies, insofar as this does not constrain pursuit of the basic objective of the NBP”</w:t>
      </w:r>
      <w:r w:rsidRPr="00EB103B">
        <w:rPr>
          <w:rFonts w:ascii="Arial" w:hAnsi="Arial" w:cs="Arial"/>
          <w:sz w:val="20"/>
          <w:szCs w:val="20"/>
          <w:lang w:val="en-US"/>
        </w:rPr>
        <w:t xml:space="preserve">. </w:t>
      </w:r>
    </w:p>
    <w:p w:rsidR="003769B4" w:rsidRPr="00170C3F" w:rsidRDefault="003769B4" w:rsidP="00467FFD">
      <w:pPr>
        <w:jc w:val="both"/>
        <w:rPr>
          <w:rFonts w:ascii="Arial" w:hAnsi="Arial" w:cs="Arial"/>
          <w:sz w:val="18"/>
          <w:szCs w:val="18"/>
          <w:lang w:val="en-US"/>
        </w:rPr>
      </w:pPr>
    </w:p>
  </w:footnote>
  <w:footnote w:id="11">
    <w:p w:rsidR="003769B4" w:rsidRPr="008A51BD" w:rsidRDefault="003769B4" w:rsidP="0015646C">
      <w:pPr>
        <w:pStyle w:val="FootnoteText"/>
        <w:jc w:val="both"/>
        <w:rPr>
          <w:rFonts w:ascii="Arial" w:hAnsi="Arial" w:cs="Arial"/>
          <w:lang w:val="en-US"/>
        </w:rPr>
      </w:pPr>
      <w:r w:rsidRPr="008A51BD">
        <w:rPr>
          <w:rStyle w:val="FootnoteReference"/>
          <w:rFonts w:ascii="Arial" w:hAnsi="Arial" w:cs="Arial"/>
        </w:rPr>
        <w:footnoteRef/>
      </w:r>
      <w:r w:rsidRPr="008A51BD">
        <w:rPr>
          <w:rFonts w:ascii="Arial" w:hAnsi="Arial" w:cs="Arial"/>
          <w:lang w:val="en-US"/>
        </w:rPr>
        <w:t xml:space="preserve"> After the year 2003, which is the period beyond our study, the NBP changed its policy due to low inflation. After a long period of lowering the inflation rate, its monetary policy after 2003 was oriented towards its stabilization at a low level. Equally important, the Council believed that Poland’s prospective membership in the EU beginning in 2004 necessitated the stabilization of inflation at a level consistent with an economic policy strategy that assume</w:t>
      </w:r>
      <w:r>
        <w:rPr>
          <w:rFonts w:ascii="Arial" w:hAnsi="Arial" w:cs="Arial"/>
          <w:lang w:val="en-US"/>
        </w:rPr>
        <w:t>d</w:t>
      </w:r>
      <w:r w:rsidRPr="008A51BD">
        <w:rPr>
          <w:rFonts w:ascii="Arial" w:hAnsi="Arial" w:cs="Arial"/>
          <w:lang w:val="en-US"/>
        </w:rPr>
        <w:t xml:space="preserve"> Poland’s joining the Eurozone at the earliest date possible (</w:t>
      </w:r>
      <w:r w:rsidRPr="008A51BD">
        <w:rPr>
          <w:rFonts w:ascii="Arial" w:hAnsi="Arial" w:cs="Arial"/>
          <w:i/>
          <w:lang w:val="en-US"/>
        </w:rPr>
        <w:t>Monetary Policy Strategy Beyond 2003</w:t>
      </w:r>
      <w:r w:rsidRPr="008A51BD">
        <w:rPr>
          <w:rFonts w:ascii="Arial" w:hAnsi="Arial" w:cs="Arial"/>
          <w:lang w:val="en-US"/>
        </w:rPr>
        <w:t xml:space="preserve">). Since the beginning of 2004, the NBP has pursued a continuous inflation target at the level of 2.5% with a permissible fluctuation band of +/- 1 percentage point. The MPC pursues this strategy under a floating exchange rate regime. The NBP maintains interest rates at a level consistent with the adopted inflation target by </w:t>
      </w:r>
      <w:r>
        <w:rPr>
          <w:rFonts w:ascii="Arial" w:hAnsi="Arial" w:cs="Arial"/>
          <w:lang w:val="en-US"/>
        </w:rPr>
        <w:t xml:space="preserve">aiming to </w:t>
      </w:r>
      <w:r w:rsidRPr="008A51BD">
        <w:rPr>
          <w:rFonts w:ascii="Arial" w:hAnsi="Arial" w:cs="Arial"/>
          <w:lang w:val="en-US"/>
        </w:rPr>
        <w:t>influenc</w:t>
      </w:r>
      <w:r>
        <w:rPr>
          <w:rFonts w:ascii="Arial" w:hAnsi="Arial" w:cs="Arial"/>
          <w:lang w:val="en-US"/>
        </w:rPr>
        <w:t>e</w:t>
      </w:r>
      <w:r w:rsidRPr="008A51BD">
        <w:rPr>
          <w:rFonts w:ascii="Arial" w:hAnsi="Arial" w:cs="Arial"/>
          <w:lang w:val="en-US"/>
        </w:rPr>
        <w:t xml:space="preserve"> the level of nominal short-term interest rates on the money market. The set of monetary policy instruments used by the NBP enables it to determine interest rates on the market. These instruments include open market operations, reserve requirements and credit-deposit operations (</w:t>
      </w:r>
      <w:r w:rsidRPr="008A51BD">
        <w:rPr>
          <w:rFonts w:ascii="Arial" w:hAnsi="Arial" w:cs="Arial"/>
          <w:i/>
          <w:lang w:val="en-US"/>
        </w:rPr>
        <w:t>Monetary Policy Guidelines for 2009</w:t>
      </w:r>
      <w:r w:rsidRPr="008A51BD">
        <w:rPr>
          <w:rFonts w:ascii="Arial" w:hAnsi="Arial" w:cs="Arial"/>
          <w:lang w:val="en-US"/>
        </w:rPr>
        <w:t xml:space="preserve">). Currently, the basic objective of the monetary policy (conducted from 2009) is to maintain inflation at the level of 2.5% in the medium term. At the same time, monetary policy will continue to be conducted in such a way </w:t>
      </w:r>
      <w:r>
        <w:rPr>
          <w:rFonts w:ascii="Arial" w:hAnsi="Arial" w:cs="Arial"/>
          <w:lang w:val="en-US"/>
        </w:rPr>
        <w:t xml:space="preserve">so </w:t>
      </w:r>
      <w:r w:rsidRPr="008A51BD">
        <w:rPr>
          <w:rFonts w:ascii="Arial" w:hAnsi="Arial" w:cs="Arial"/>
          <w:lang w:val="en-US"/>
        </w:rPr>
        <w:t>as to support sustainable economic growth.</w:t>
      </w:r>
    </w:p>
  </w:footnote>
  <w:footnote w:id="12">
    <w:p w:rsidR="003769B4" w:rsidRPr="008A51BD" w:rsidRDefault="003769B4" w:rsidP="004532AA">
      <w:pPr>
        <w:pStyle w:val="FootnoteText"/>
        <w:jc w:val="both"/>
        <w:rPr>
          <w:lang w:val="en-US"/>
        </w:rPr>
      </w:pPr>
      <w:r w:rsidRPr="008A51BD">
        <w:rPr>
          <w:rStyle w:val="FootnoteReference"/>
          <w:rFonts w:ascii="Arial" w:hAnsi="Arial" w:cs="Arial"/>
        </w:rPr>
        <w:footnoteRef/>
      </w:r>
      <w:r w:rsidRPr="008A51BD">
        <w:rPr>
          <w:rStyle w:val="FootnoteReference"/>
          <w:rFonts w:ascii="Arial" w:hAnsi="Arial" w:cs="Arial"/>
          <w:lang w:val="en-US"/>
        </w:rPr>
        <w:t xml:space="preserve"> </w:t>
      </w:r>
      <w:r w:rsidRPr="008A51BD">
        <w:rPr>
          <w:rFonts w:ascii="Arial" w:hAnsi="Arial" w:cs="Arial"/>
          <w:lang w:val="en-US"/>
        </w:rPr>
        <w:t>For example, Gabrisch and Orlowski (2010) report strong linkages between Polish and Eurozone bond yields, which would be reflected in the EUR/USD foreign exchange rate returns.</w:t>
      </w:r>
    </w:p>
  </w:footnote>
  <w:footnote w:id="13">
    <w:p w:rsidR="003769B4" w:rsidRPr="00EE06D8" w:rsidRDefault="003769B4" w:rsidP="00A461BA">
      <w:pPr>
        <w:pStyle w:val="FootnoteText"/>
        <w:jc w:val="both"/>
        <w:rPr>
          <w:rFonts w:ascii="Arial" w:hAnsi="Arial" w:cs="Arial"/>
          <w:lang w:val="en-US"/>
        </w:rPr>
      </w:pPr>
      <w:r w:rsidRPr="008A51BD">
        <w:rPr>
          <w:rStyle w:val="FootnoteReference"/>
          <w:rFonts w:ascii="Arial" w:hAnsi="Arial" w:cs="Arial"/>
        </w:rPr>
        <w:footnoteRef/>
      </w:r>
      <w:r w:rsidRPr="008A51BD">
        <w:rPr>
          <w:rFonts w:ascii="Arial" w:hAnsi="Arial" w:cs="Arial"/>
          <w:lang w:val="en-US"/>
        </w:rPr>
        <w:t xml:space="preserve"> The US interest rate used is the FOMC Fed Funds Rate while the Polish interest rate is Stopa Referencyjna of the NBP.</w:t>
      </w:r>
    </w:p>
  </w:footnote>
  <w:footnote w:id="14">
    <w:p w:rsidR="003769B4" w:rsidRPr="008A51BD" w:rsidRDefault="003769B4" w:rsidP="00135A25">
      <w:pPr>
        <w:jc w:val="both"/>
        <w:rPr>
          <w:rFonts w:ascii="Arial" w:hAnsi="Arial" w:cs="Arial"/>
          <w:sz w:val="20"/>
          <w:szCs w:val="20"/>
          <w:lang w:val="en-US"/>
        </w:rPr>
      </w:pPr>
      <w:r w:rsidRPr="008A51BD">
        <w:rPr>
          <w:rStyle w:val="FootnoteReference"/>
          <w:rFonts w:ascii="Arial" w:hAnsi="Arial" w:cs="Arial"/>
          <w:sz w:val="20"/>
          <w:szCs w:val="20"/>
        </w:rPr>
        <w:footnoteRef/>
      </w:r>
      <w:r w:rsidRPr="008A51BD">
        <w:rPr>
          <w:sz w:val="20"/>
          <w:szCs w:val="20"/>
          <w:lang w:val="en-US"/>
        </w:rPr>
        <w:t xml:space="preserve"> </w:t>
      </w:r>
      <w:r w:rsidRPr="008A51BD">
        <w:rPr>
          <w:rFonts w:ascii="Arial" w:hAnsi="Arial" w:cs="Arial"/>
          <w:sz w:val="20"/>
          <w:szCs w:val="20"/>
          <w:lang w:val="en-US"/>
        </w:rPr>
        <w:t>Prior to  March 1</w:t>
      </w:r>
      <w:r w:rsidRPr="0010320B">
        <w:rPr>
          <w:rFonts w:ascii="Arial" w:hAnsi="Arial" w:cs="Arial"/>
          <w:sz w:val="20"/>
          <w:szCs w:val="20"/>
          <w:vertAlign w:val="superscript"/>
          <w:lang w:val="en-US"/>
        </w:rPr>
        <w:t>st</w:t>
      </w:r>
      <w:r>
        <w:rPr>
          <w:rFonts w:ascii="Arial" w:hAnsi="Arial" w:cs="Arial"/>
          <w:sz w:val="20"/>
          <w:szCs w:val="20"/>
          <w:lang w:val="en-US"/>
        </w:rPr>
        <w:t xml:space="preserve"> </w:t>
      </w:r>
      <w:r w:rsidRPr="008A51BD">
        <w:rPr>
          <w:rFonts w:ascii="Arial" w:hAnsi="Arial" w:cs="Arial"/>
          <w:sz w:val="20"/>
          <w:szCs w:val="20"/>
          <w:lang w:val="en-US"/>
        </w:rPr>
        <w:t xml:space="preserve">2006 all regular announcements </w:t>
      </w:r>
      <w:r>
        <w:rPr>
          <w:rFonts w:ascii="Arial" w:hAnsi="Arial" w:cs="Arial"/>
          <w:sz w:val="20"/>
          <w:szCs w:val="20"/>
          <w:lang w:val="en-US"/>
        </w:rPr>
        <w:t>had</w:t>
      </w:r>
      <w:r w:rsidRPr="008A51BD">
        <w:rPr>
          <w:rFonts w:ascii="Arial" w:hAnsi="Arial" w:cs="Arial"/>
          <w:sz w:val="20"/>
          <w:szCs w:val="20"/>
          <w:lang w:val="en-US"/>
        </w:rPr>
        <w:t xml:space="preserve"> always </w:t>
      </w:r>
      <w:r>
        <w:rPr>
          <w:rFonts w:ascii="Arial" w:hAnsi="Arial" w:cs="Arial"/>
          <w:sz w:val="20"/>
          <w:szCs w:val="20"/>
          <w:lang w:val="en-US"/>
        </w:rPr>
        <w:t xml:space="preserve">been </w:t>
      </w:r>
      <w:r w:rsidRPr="008A51BD">
        <w:rPr>
          <w:rFonts w:ascii="Arial" w:hAnsi="Arial" w:cs="Arial"/>
          <w:sz w:val="20"/>
          <w:szCs w:val="20"/>
          <w:lang w:val="en-US"/>
        </w:rPr>
        <w:t>made at 4:00 PM (</w:t>
      </w:r>
      <w:r>
        <w:rPr>
          <w:rFonts w:ascii="Arial" w:hAnsi="Arial" w:cs="Arial"/>
          <w:sz w:val="20"/>
          <w:szCs w:val="20"/>
          <w:lang w:val="en-US"/>
        </w:rPr>
        <w:t xml:space="preserve">and </w:t>
      </w:r>
      <w:r w:rsidRPr="008A51BD">
        <w:rPr>
          <w:rFonts w:ascii="Arial" w:hAnsi="Arial" w:cs="Arial"/>
          <w:sz w:val="20"/>
          <w:szCs w:val="20"/>
          <w:lang w:val="en-US"/>
        </w:rPr>
        <w:t>after that date at 2:00 PM).</w:t>
      </w:r>
    </w:p>
  </w:footnote>
  <w:footnote w:id="15">
    <w:p w:rsidR="003769B4" w:rsidRPr="00D842AB" w:rsidRDefault="003769B4" w:rsidP="00135A25">
      <w:pPr>
        <w:pStyle w:val="FootnoteText"/>
        <w:jc w:val="both"/>
        <w:rPr>
          <w:lang w:val="en-US"/>
        </w:rPr>
      </w:pPr>
      <w:r w:rsidRPr="00057E8A">
        <w:rPr>
          <w:rStyle w:val="FootnoteReference"/>
          <w:rFonts w:ascii="Arial" w:hAnsi="Arial" w:cs="Arial"/>
        </w:rPr>
        <w:footnoteRef/>
      </w:r>
      <w:r w:rsidRPr="00057E8A">
        <w:rPr>
          <w:rFonts w:ascii="Arial" w:hAnsi="Arial" w:cs="Arial"/>
          <w:lang w:val="en-US"/>
        </w:rPr>
        <w:t xml:space="preserve"> </w:t>
      </w:r>
      <w:r w:rsidRPr="00D842AB">
        <w:rPr>
          <w:rFonts w:ascii="Arial" w:hAnsi="Arial" w:cs="Arial"/>
          <w:lang w:val="en-US"/>
        </w:rPr>
        <w:t>Reuters has been conducting surveys of financial market participants in Poland on expectations of some macroeconomic variables but unfortunately they did not cover the expectations of the NBP announcements, which we use in this study.</w:t>
      </w:r>
    </w:p>
  </w:footnote>
  <w:footnote w:id="16">
    <w:p w:rsidR="003769B4" w:rsidRPr="008028E2" w:rsidRDefault="003769B4" w:rsidP="008028E2">
      <w:pPr>
        <w:jc w:val="both"/>
        <w:rPr>
          <w:rFonts w:ascii="Arial" w:hAnsi="Arial" w:cs="Arial"/>
          <w:sz w:val="20"/>
          <w:lang w:val="en-US"/>
        </w:rPr>
      </w:pPr>
      <w:r w:rsidRPr="006C7BF3">
        <w:rPr>
          <w:rStyle w:val="FootnoteReference"/>
          <w:rFonts w:ascii="Arial" w:hAnsi="Arial" w:cs="Arial"/>
          <w:sz w:val="20"/>
          <w:szCs w:val="20"/>
        </w:rPr>
        <w:footnoteRef/>
      </w:r>
      <w:r w:rsidRPr="00E04260">
        <w:rPr>
          <w:rStyle w:val="FootnoteReference"/>
          <w:sz w:val="20"/>
          <w:szCs w:val="20"/>
          <w:vertAlign w:val="baseline"/>
          <w:lang w:val="en-US"/>
        </w:rPr>
        <w:t xml:space="preserve"> </w:t>
      </w:r>
      <w:r w:rsidRPr="008028E2">
        <w:rPr>
          <w:rFonts w:ascii="Arial" w:hAnsi="Arial" w:cs="Arial"/>
          <w:sz w:val="20"/>
          <w:szCs w:val="20"/>
          <w:lang w:val="en-US"/>
        </w:rPr>
        <w:t>This is the time frame that the data provider released and no other, more recent</w:t>
      </w:r>
      <w:r>
        <w:rPr>
          <w:rFonts w:ascii="Arial" w:hAnsi="Arial" w:cs="Arial"/>
          <w:sz w:val="20"/>
          <w:szCs w:val="20"/>
          <w:lang w:val="en-US"/>
        </w:rPr>
        <w:t>,</w:t>
      </w:r>
      <w:r w:rsidRPr="008028E2">
        <w:rPr>
          <w:rFonts w:ascii="Arial" w:hAnsi="Arial" w:cs="Arial"/>
          <w:sz w:val="20"/>
          <w:szCs w:val="20"/>
          <w:lang w:val="en-US"/>
        </w:rPr>
        <w:t xml:space="preserve"> information was made available at this time. Unfortunately, this is very typical in microstructure finance and empirical research</w:t>
      </w:r>
      <w:r w:rsidRPr="003852E0">
        <w:rPr>
          <w:rFonts w:ascii="Arial" w:hAnsi="Arial" w:cs="Arial"/>
          <w:sz w:val="20"/>
          <w:szCs w:val="20"/>
          <w:lang w:val="en-US"/>
        </w:rPr>
        <w:t>.</w:t>
      </w:r>
    </w:p>
  </w:footnote>
  <w:footnote w:id="17">
    <w:p w:rsidR="003769B4" w:rsidRPr="00F8542B" w:rsidRDefault="003769B4" w:rsidP="00F8542B">
      <w:pPr>
        <w:pStyle w:val="FootnoteText"/>
        <w:jc w:val="both"/>
        <w:rPr>
          <w:rFonts w:ascii="Arial" w:hAnsi="Arial" w:cs="Arial"/>
          <w:lang w:val="en-US"/>
        </w:rPr>
      </w:pPr>
      <w:r w:rsidRPr="00F8542B">
        <w:rPr>
          <w:rStyle w:val="FootnoteReference"/>
          <w:rFonts w:ascii="Arial" w:hAnsi="Arial" w:cs="Arial"/>
        </w:rPr>
        <w:footnoteRef/>
      </w:r>
      <w:r w:rsidRPr="0048431C">
        <w:rPr>
          <w:rStyle w:val="FootnoteReference"/>
          <w:vertAlign w:val="baseline"/>
          <w:lang w:val="en-GB"/>
        </w:rPr>
        <w:t xml:space="preserve"> </w:t>
      </w:r>
      <w:r w:rsidRPr="00F8542B">
        <w:rPr>
          <w:rFonts w:ascii="Arial" w:hAnsi="Arial" w:cs="Arial"/>
          <w:lang w:val="en-US"/>
        </w:rPr>
        <w:t xml:space="preserve">Before that time, the central bank had a </w:t>
      </w:r>
      <w:r>
        <w:rPr>
          <w:rFonts w:ascii="Arial" w:hAnsi="Arial" w:cs="Arial"/>
          <w:lang w:val="en-US"/>
        </w:rPr>
        <w:t>completely</w:t>
      </w:r>
      <w:r w:rsidRPr="00F8542B">
        <w:rPr>
          <w:rFonts w:ascii="Arial" w:hAnsi="Arial" w:cs="Arial"/>
          <w:lang w:val="en-US"/>
        </w:rPr>
        <w:t xml:space="preserve"> different method of information dissemination. There was no regular schedule, which would be published in advance. The NBP press office sen</w:t>
      </w:r>
      <w:r>
        <w:rPr>
          <w:rFonts w:ascii="Arial" w:hAnsi="Arial" w:cs="Arial"/>
          <w:lang w:val="en-US"/>
        </w:rPr>
        <w:t>t</w:t>
      </w:r>
      <w:r w:rsidRPr="00F8542B">
        <w:rPr>
          <w:rFonts w:ascii="Arial" w:hAnsi="Arial" w:cs="Arial"/>
          <w:lang w:val="en-US"/>
        </w:rPr>
        <w:t xml:space="preserve"> announcements only to selected news agencies (by fax). This mean</w:t>
      </w:r>
      <w:r>
        <w:rPr>
          <w:rFonts w:ascii="Arial" w:hAnsi="Arial" w:cs="Arial"/>
          <w:lang w:val="en-US"/>
        </w:rPr>
        <w:t>t</w:t>
      </w:r>
      <w:r w:rsidRPr="00F8542B">
        <w:rPr>
          <w:rFonts w:ascii="Arial" w:hAnsi="Arial" w:cs="Arial"/>
          <w:lang w:val="en-US"/>
        </w:rPr>
        <w:t xml:space="preserve"> that not all market participants receiv</w:t>
      </w:r>
      <w:r>
        <w:rPr>
          <w:rFonts w:ascii="Arial" w:hAnsi="Arial" w:cs="Arial"/>
          <w:lang w:val="en-US"/>
        </w:rPr>
        <w:t>ed</w:t>
      </w:r>
      <w:r w:rsidRPr="00F8542B">
        <w:rPr>
          <w:rFonts w:ascii="Arial" w:hAnsi="Arial" w:cs="Arial"/>
          <w:lang w:val="en-US"/>
        </w:rPr>
        <w:t xml:space="preserve"> the information at the same time (depending on which news agency service they subscribed </w:t>
      </w:r>
      <w:r>
        <w:rPr>
          <w:rFonts w:ascii="Arial" w:hAnsi="Arial" w:cs="Arial"/>
          <w:lang w:val="en-US"/>
        </w:rPr>
        <w:t xml:space="preserve">to </w:t>
      </w:r>
      <w:r w:rsidRPr="00F8542B">
        <w:rPr>
          <w:rFonts w:ascii="Arial" w:hAnsi="Arial" w:cs="Arial"/>
          <w:lang w:val="en-US"/>
        </w:rPr>
        <w:t>and what the delay of news publication in those</w:t>
      </w:r>
      <w:r>
        <w:rPr>
          <w:rFonts w:ascii="Arial" w:hAnsi="Arial" w:cs="Arial"/>
          <w:lang w:val="en-US"/>
        </w:rPr>
        <w:t xml:space="preserve"> agencies was). Additionally, it is</w:t>
      </w:r>
      <w:r w:rsidRPr="00F8542B">
        <w:rPr>
          <w:rFonts w:ascii="Arial" w:hAnsi="Arial" w:cs="Arial"/>
          <w:lang w:val="en-US"/>
        </w:rPr>
        <w:t xml:space="preserve"> not </w:t>
      </w:r>
      <w:r>
        <w:rPr>
          <w:rFonts w:ascii="Arial" w:hAnsi="Arial" w:cs="Arial"/>
          <w:lang w:val="en-US"/>
        </w:rPr>
        <w:t xml:space="preserve">possible to </w:t>
      </w:r>
      <w:r w:rsidRPr="00F8542B">
        <w:rPr>
          <w:rFonts w:ascii="Arial" w:hAnsi="Arial" w:cs="Arial"/>
          <w:lang w:val="en-US"/>
        </w:rPr>
        <w:t xml:space="preserve">identify the exact time of those announcements. That is why we focus on this time frame in this paper. </w:t>
      </w:r>
    </w:p>
  </w:footnote>
  <w:footnote w:id="18">
    <w:p w:rsidR="003769B4" w:rsidRPr="009D0CE8" w:rsidRDefault="003769B4" w:rsidP="00F8542B">
      <w:pPr>
        <w:pStyle w:val="FootnoteText"/>
        <w:jc w:val="both"/>
        <w:rPr>
          <w:lang w:val="en-US"/>
        </w:rPr>
      </w:pPr>
      <w:r w:rsidRPr="00F8542B">
        <w:rPr>
          <w:rStyle w:val="FootnoteReference"/>
          <w:rFonts w:ascii="Arial" w:hAnsi="Arial" w:cs="Arial"/>
        </w:rPr>
        <w:footnoteRef/>
      </w:r>
      <w:r w:rsidRPr="00F8542B">
        <w:rPr>
          <w:rFonts w:ascii="Arial" w:hAnsi="Arial" w:cs="Arial"/>
          <w:lang w:val="en-US"/>
        </w:rPr>
        <w:t xml:space="preserve"> The holidays were: Polish national holiday Independence Day (November 11), religious holidays (Easter on various dates, usually </w:t>
      </w:r>
      <w:r>
        <w:rPr>
          <w:rFonts w:ascii="Arial" w:hAnsi="Arial" w:cs="Arial"/>
          <w:lang w:val="en-US"/>
        </w:rPr>
        <w:t xml:space="preserve">the </w:t>
      </w:r>
      <w:r w:rsidRPr="00F8542B">
        <w:rPr>
          <w:rFonts w:ascii="Arial" w:hAnsi="Arial" w:cs="Arial"/>
          <w:lang w:val="en-US"/>
        </w:rPr>
        <w:t xml:space="preserve">beginning of April; Christmas on December 25-26; August and June holidays, the latter two also on </w:t>
      </w:r>
      <w:r>
        <w:rPr>
          <w:rFonts w:ascii="Arial" w:hAnsi="Arial" w:cs="Arial"/>
          <w:lang w:val="en-US"/>
        </w:rPr>
        <w:t>differing</w:t>
      </w:r>
      <w:r w:rsidRPr="00F8542B">
        <w:rPr>
          <w:rFonts w:ascii="Arial" w:hAnsi="Arial" w:cs="Arial"/>
          <w:lang w:val="en-US"/>
        </w:rPr>
        <w:t xml:space="preserve"> dates), and other holidays (such as, e.g., May 1).</w:t>
      </w:r>
    </w:p>
  </w:footnote>
  <w:footnote w:id="19">
    <w:p w:rsidR="003769B4" w:rsidRPr="006C3C96" w:rsidRDefault="003769B4" w:rsidP="000C05D6">
      <w:pPr>
        <w:pStyle w:val="FootnoteText"/>
        <w:jc w:val="both"/>
        <w:rPr>
          <w:rFonts w:ascii="Arial" w:hAnsi="Arial" w:cs="Arial"/>
          <w:lang w:val="en-US"/>
        </w:rPr>
      </w:pPr>
      <w:r w:rsidRPr="00091FAD">
        <w:rPr>
          <w:rStyle w:val="FootnoteReference"/>
          <w:rFonts w:ascii="Arial" w:hAnsi="Arial" w:cs="Arial"/>
        </w:rPr>
        <w:footnoteRef/>
      </w:r>
      <w:r w:rsidRPr="00091FAD">
        <w:rPr>
          <w:rFonts w:ascii="Arial" w:hAnsi="Arial" w:cs="Arial"/>
          <w:lang w:val="en-US"/>
        </w:rPr>
        <w:t xml:space="preserve"> All estimations </w:t>
      </w:r>
      <w:r>
        <w:rPr>
          <w:rFonts w:ascii="Arial" w:hAnsi="Arial" w:cs="Arial"/>
          <w:lang w:val="en-US"/>
        </w:rPr>
        <w:t xml:space="preserve">for this and all subsequent models </w:t>
      </w:r>
      <w:r w:rsidRPr="00091FAD">
        <w:rPr>
          <w:rFonts w:ascii="Arial" w:hAnsi="Arial" w:cs="Arial"/>
          <w:lang w:val="en-US"/>
        </w:rPr>
        <w:t>are based on the normal distribution assumpti</w:t>
      </w:r>
      <w:r>
        <w:rPr>
          <w:rFonts w:ascii="Arial" w:hAnsi="Arial" w:cs="Arial"/>
          <w:lang w:val="en-US"/>
        </w:rPr>
        <w:t xml:space="preserve">on about the </w:t>
      </w:r>
      <w:r w:rsidRPr="006C3C96">
        <w:rPr>
          <w:rFonts w:ascii="Arial" w:hAnsi="Arial" w:cs="Arial"/>
          <w:lang w:val="en-US"/>
        </w:rPr>
        <w:t xml:space="preserve">error term and heteroscedasticity-consistent errors (i.e. </w:t>
      </w:r>
      <w:r>
        <w:rPr>
          <w:rFonts w:ascii="Arial" w:hAnsi="Arial" w:cs="Arial"/>
          <w:lang w:val="en-US"/>
        </w:rPr>
        <w:t xml:space="preserve">the </w:t>
      </w:r>
      <w:r w:rsidRPr="006C3C96">
        <w:rPr>
          <w:rFonts w:ascii="Arial" w:hAnsi="Arial" w:cs="Arial"/>
          <w:lang w:val="en-US"/>
        </w:rPr>
        <w:t xml:space="preserve">Bollerslev-Wooldridge hetoroscedasticity-consistent variance) are used. However, we deal with other distributional assumptions in the section on robustness (see section 5 for more details). In all models, in cases when heteroscedasticity was strong and ARCH effects were persistent we estimated the GARCH models with </w:t>
      </w:r>
      <w:r>
        <w:rPr>
          <w:rFonts w:ascii="Arial" w:hAnsi="Arial" w:cs="Arial"/>
          <w:lang w:val="en-US"/>
        </w:rPr>
        <w:t xml:space="preserve">a </w:t>
      </w:r>
      <w:r w:rsidRPr="006C3C96">
        <w:rPr>
          <w:rFonts w:ascii="Arial" w:hAnsi="Arial" w:cs="Arial"/>
          <w:lang w:val="en-US"/>
        </w:rPr>
        <w:t>higher order of lags.</w:t>
      </w:r>
    </w:p>
  </w:footnote>
  <w:footnote w:id="20">
    <w:p w:rsidR="003769B4" w:rsidRPr="004504F2" w:rsidRDefault="003769B4" w:rsidP="009115D7">
      <w:pPr>
        <w:pStyle w:val="FootnoteText"/>
        <w:jc w:val="both"/>
        <w:rPr>
          <w:lang w:val="en-US"/>
        </w:rPr>
      </w:pPr>
      <w:r w:rsidRPr="006C3C96">
        <w:rPr>
          <w:rStyle w:val="FootnoteReference"/>
          <w:rFonts w:ascii="Arial" w:hAnsi="Arial" w:cs="Arial"/>
        </w:rPr>
        <w:footnoteRef/>
      </w:r>
      <w:r w:rsidRPr="006C3C96">
        <w:rPr>
          <w:rStyle w:val="FootnoteReference"/>
          <w:rFonts w:ascii="Arial" w:hAnsi="Arial" w:cs="Arial"/>
          <w:lang w:val="en-US"/>
        </w:rPr>
        <w:t xml:space="preserve"> </w:t>
      </w:r>
      <w:r w:rsidR="00D71FE8" w:rsidRPr="00D71FE8">
        <w:rPr>
          <w:rFonts w:ascii="Arial" w:hAnsi="Arial" w:cs="Arial"/>
          <w:lang w:val="en-US"/>
        </w:rPr>
        <w:t>The models (1)-(2) and (3)-(4) have a simultaneous nature, so we recognize the fact that the estimation results may be subject to a potential simultaneity bias and, therefore, that a correction of standard errors may be required. However, there is no need to make any further corrections of standard errors in our models other than the correction mentioned in the previous footnote by applying heteroscedasticity-consistent errors based on the Bollerslev-Wooldridge heteroscedasticity-consistent variance, which is sufficiently conservative for hypothesis testing in this case. We are grateful to the Anonymous Referee for drawing our attention to this problem which helped us address it in this study. We would like to thank also Christian Hansen, Jeffrey Wooldridge, Michael Melvin and Mark Schaffer for very helpful discussion regarding this and other related e</w:t>
      </w:r>
      <w:r w:rsidR="00D71FE8">
        <w:rPr>
          <w:rFonts w:ascii="Arial" w:hAnsi="Arial" w:cs="Arial"/>
          <w:lang w:val="en-US"/>
        </w:rPr>
        <w:t>conometric issues</w:t>
      </w:r>
      <w:r w:rsidRPr="006C3C96">
        <w:rPr>
          <w:rFonts w:ascii="Arial" w:hAnsi="Arial" w:cs="Arial"/>
          <w:lang w:val="en-US"/>
        </w:rPr>
        <w:t>.</w:t>
      </w:r>
    </w:p>
  </w:footnote>
  <w:footnote w:id="21">
    <w:p w:rsidR="009707B6" w:rsidRPr="005A1829" w:rsidRDefault="009707B6" w:rsidP="00380847">
      <w:pPr>
        <w:pStyle w:val="FootnoteText"/>
        <w:jc w:val="both"/>
        <w:rPr>
          <w:lang w:val="en-US"/>
        </w:rPr>
      </w:pPr>
      <w:r w:rsidRPr="00376E28">
        <w:rPr>
          <w:rFonts w:ascii="Arial" w:hAnsi="Arial" w:cs="Arial"/>
          <w:vertAlign w:val="superscript"/>
          <w:lang w:val="en-US"/>
        </w:rPr>
        <w:footnoteRef/>
      </w:r>
      <w:r w:rsidRPr="00376E28">
        <w:rPr>
          <w:rFonts w:ascii="Arial" w:hAnsi="Arial" w:cs="Arial"/>
          <w:lang w:val="en-US"/>
        </w:rPr>
        <w:t xml:space="preserve"> </w:t>
      </w:r>
      <w:r w:rsidR="00380847" w:rsidRPr="00376E28">
        <w:rPr>
          <w:rFonts w:ascii="Arial" w:hAnsi="Arial" w:cs="Arial"/>
          <w:lang w:val="en-US"/>
        </w:rPr>
        <w:t xml:space="preserve">We thank </w:t>
      </w:r>
      <w:r w:rsidR="006723DC">
        <w:rPr>
          <w:rFonts w:ascii="Arial" w:hAnsi="Arial" w:cs="Arial"/>
          <w:lang w:val="en-US"/>
        </w:rPr>
        <w:t>the Anonymous Referee for drawing</w:t>
      </w:r>
      <w:r w:rsidR="00380847" w:rsidRPr="00376E28">
        <w:rPr>
          <w:rFonts w:ascii="Arial" w:hAnsi="Arial" w:cs="Arial"/>
          <w:lang w:val="en-US"/>
        </w:rPr>
        <w:t xml:space="preserve"> our attention to the issue of a possible separation of the effect in the constant from the effect of the announcement coefficient in the regressions for which re</w:t>
      </w:r>
      <w:r w:rsidR="0065348E">
        <w:rPr>
          <w:rFonts w:ascii="Arial" w:hAnsi="Arial" w:cs="Arial"/>
          <w:lang w:val="en-US"/>
        </w:rPr>
        <w:t>sults are presented in Tables 5 and 6</w:t>
      </w:r>
      <w:r w:rsidR="00380847" w:rsidRPr="00376E28">
        <w:rPr>
          <w:rFonts w:ascii="Arial" w:hAnsi="Arial" w:cs="Arial"/>
          <w:lang w:val="en-US"/>
        </w:rPr>
        <w:t xml:space="preserve"> and in the earlier Tables 3a-3b and 4a-4b. However, because it is not possible to disentangle those effects in a straightforward way, we opted for the modelling approach which we present in this paper.</w:t>
      </w:r>
    </w:p>
  </w:footnote>
  <w:footnote w:id="22">
    <w:p w:rsidR="003769B4" w:rsidRPr="002E2AE6" w:rsidRDefault="003769B4" w:rsidP="006F01E5">
      <w:pPr>
        <w:pStyle w:val="FootnoteText"/>
        <w:jc w:val="both"/>
        <w:rPr>
          <w:rFonts w:ascii="Arial" w:hAnsi="Arial" w:cs="Arial"/>
          <w:lang w:val="en-GB"/>
        </w:rPr>
      </w:pPr>
      <w:r w:rsidRPr="006B2666">
        <w:rPr>
          <w:rStyle w:val="FootnoteReference"/>
          <w:rFonts w:ascii="Arial" w:hAnsi="Arial" w:cs="Arial"/>
        </w:rPr>
        <w:footnoteRef/>
      </w:r>
      <w:r w:rsidRPr="005662DD">
        <w:rPr>
          <w:rFonts w:ascii="Arial" w:hAnsi="Arial" w:cs="Arial"/>
          <w:lang w:val="en-US"/>
        </w:rPr>
        <w:t xml:space="preserve"> Furthermore, we investigated the patterns in volume dynamics in two daily sub-periods: before 4:00 PM and after 4:00 PM</w:t>
      </w:r>
      <w:r>
        <w:rPr>
          <w:rFonts w:ascii="Arial" w:hAnsi="Arial" w:cs="Arial"/>
          <w:lang w:val="en-US"/>
        </w:rPr>
        <w:t>,</w:t>
      </w:r>
      <w:r w:rsidRPr="005662DD">
        <w:rPr>
          <w:rFonts w:ascii="Arial" w:hAnsi="Arial" w:cs="Arial"/>
          <w:lang w:val="en-US"/>
        </w:rPr>
        <w:t xml:space="preserve"> in order to check if the volume had been reacting before the NBP communications at 4:00 PM and to understand whether on the NBP announcement days the market activity increased after the announcement ha</w:t>
      </w:r>
      <w:r>
        <w:rPr>
          <w:rFonts w:ascii="Arial" w:hAnsi="Arial" w:cs="Arial"/>
          <w:lang w:val="en-US"/>
        </w:rPr>
        <w:t>d</w:t>
      </w:r>
      <w:r w:rsidRPr="005662DD">
        <w:rPr>
          <w:rFonts w:ascii="Arial" w:hAnsi="Arial" w:cs="Arial"/>
          <w:lang w:val="en-US"/>
        </w:rPr>
        <w:t xml:space="preserve"> been made relative to the period before 4:00 PM. For this purpose, we summed up all trades in th</w:t>
      </w:r>
      <w:r>
        <w:rPr>
          <w:rFonts w:ascii="Arial" w:hAnsi="Arial" w:cs="Arial"/>
          <w:lang w:val="en-US"/>
        </w:rPr>
        <w:t>e</w:t>
      </w:r>
      <w:r w:rsidRPr="005662DD">
        <w:rPr>
          <w:rFonts w:ascii="Arial" w:hAnsi="Arial" w:cs="Arial"/>
          <w:lang w:val="en-US"/>
        </w:rPr>
        <w:t xml:space="preserve">se two intra-daily sub-periods and compared the results for days when the NBP announcements were released </w:t>
      </w:r>
      <w:r w:rsidRPr="005662DD">
        <w:rPr>
          <w:rFonts w:ascii="Arial" w:hAnsi="Arial" w:cs="Arial"/>
          <w:i/>
          <w:lang w:val="en-US"/>
        </w:rPr>
        <w:t>versus</w:t>
      </w:r>
      <w:r w:rsidRPr="005662DD">
        <w:rPr>
          <w:rFonts w:ascii="Arial" w:hAnsi="Arial" w:cs="Arial"/>
          <w:lang w:val="en-US"/>
        </w:rPr>
        <w:t xml:space="preserve"> the days without the NBP communication. </w:t>
      </w:r>
      <w:r>
        <w:rPr>
          <w:rFonts w:ascii="Arial" w:hAnsi="Arial" w:cs="Arial"/>
          <w:lang w:val="en-US"/>
        </w:rPr>
        <w:t>T</w:t>
      </w:r>
      <w:r w:rsidRPr="005662DD">
        <w:rPr>
          <w:rFonts w:ascii="Arial" w:hAnsi="Arial" w:cs="Arial"/>
          <w:lang w:val="en-US"/>
        </w:rPr>
        <w:t xml:space="preserve">he total number of all trades on the days of the NBP communication </w:t>
      </w:r>
      <w:r>
        <w:rPr>
          <w:rFonts w:ascii="Arial" w:hAnsi="Arial" w:cs="Arial"/>
          <w:lang w:val="en-US"/>
        </w:rPr>
        <w:t>was higher on average by 7.57% than on other days, and</w:t>
      </w:r>
      <w:r w:rsidRPr="005662DD">
        <w:rPr>
          <w:rFonts w:ascii="Arial" w:hAnsi="Arial" w:cs="Arial"/>
          <w:lang w:val="en-US"/>
        </w:rPr>
        <w:t xml:space="preserve"> </w:t>
      </w:r>
      <w:r>
        <w:rPr>
          <w:rFonts w:ascii="Arial" w:hAnsi="Arial" w:cs="Arial"/>
          <w:lang w:val="en-US"/>
        </w:rPr>
        <w:t>wa</w:t>
      </w:r>
      <w:r w:rsidRPr="005662DD">
        <w:rPr>
          <w:rFonts w:ascii="Arial" w:hAnsi="Arial" w:cs="Arial"/>
          <w:lang w:val="en-US"/>
        </w:rPr>
        <w:t>s higher by 7.07% in the period before 4:00 PM</w:t>
      </w:r>
      <w:r>
        <w:rPr>
          <w:rFonts w:ascii="Arial" w:hAnsi="Arial" w:cs="Arial"/>
          <w:lang w:val="en-US"/>
        </w:rPr>
        <w:t>,</w:t>
      </w:r>
      <w:r w:rsidRPr="005662DD">
        <w:rPr>
          <w:rFonts w:ascii="Arial" w:hAnsi="Arial" w:cs="Arial"/>
          <w:lang w:val="en-US"/>
        </w:rPr>
        <w:t xml:space="preserve"> but it increase</w:t>
      </w:r>
      <w:r>
        <w:rPr>
          <w:rFonts w:ascii="Arial" w:hAnsi="Arial" w:cs="Arial"/>
          <w:lang w:val="en-US"/>
        </w:rPr>
        <w:t>d</w:t>
      </w:r>
      <w:r w:rsidRPr="005662DD">
        <w:rPr>
          <w:rFonts w:ascii="Arial" w:hAnsi="Arial" w:cs="Arial"/>
          <w:lang w:val="en-US"/>
        </w:rPr>
        <w:t xml:space="preserve"> in proportion substantially more in the period after the NBP announcements at 4:00 PM, i.e. by 12.01%. Hence, there is no evidence that the reaction of the volume was materialized predominantly in the earlier part of the day before the NBP announcements were released at 4:00 PM.</w:t>
      </w:r>
    </w:p>
  </w:footnote>
  <w:footnote w:id="23">
    <w:p w:rsidR="003769B4" w:rsidRPr="008552B6" w:rsidRDefault="003769B4" w:rsidP="00690257">
      <w:pPr>
        <w:pStyle w:val="FootnoteText"/>
        <w:jc w:val="both"/>
        <w:rPr>
          <w:rFonts w:ascii="Arial" w:hAnsi="Arial" w:cs="Arial"/>
          <w:lang w:val="en-US"/>
        </w:rPr>
      </w:pPr>
      <w:r w:rsidRPr="008552B6">
        <w:rPr>
          <w:rStyle w:val="FootnoteReference"/>
          <w:rFonts w:ascii="Arial" w:hAnsi="Arial" w:cs="Arial"/>
        </w:rPr>
        <w:footnoteRef/>
      </w:r>
      <w:r w:rsidRPr="008552B6">
        <w:rPr>
          <w:rFonts w:ascii="Arial" w:hAnsi="Arial" w:cs="Arial"/>
          <w:lang w:val="en-US"/>
        </w:rPr>
        <w:t xml:space="preserve"> The day of the week effects for volume of trade detected in this study for the PLN/USD exchange rate are very similar to those reported for the EUR/USD exchange rate by </w:t>
      </w:r>
      <w:r w:rsidR="0033033D">
        <w:rPr>
          <w:rFonts w:ascii="Arial" w:hAnsi="Arial" w:cs="Arial"/>
          <w:lang w:val="en-US"/>
        </w:rPr>
        <w:t>Brzeszczyński</w:t>
      </w:r>
      <w:r w:rsidRPr="008552B6">
        <w:rPr>
          <w:rFonts w:ascii="Arial" w:hAnsi="Arial" w:cs="Arial"/>
          <w:lang w:val="en-US"/>
        </w:rPr>
        <w:t xml:space="preserve"> and Melvin (2006), who found positive and statistically significant changes of volume on Tuesdays and negative and statistically significant changes of volume on Fridays in the EUR/USD market.</w:t>
      </w:r>
    </w:p>
  </w:footnote>
  <w:footnote w:id="24">
    <w:p w:rsidR="003769B4" w:rsidRPr="00BF5A63" w:rsidRDefault="003769B4" w:rsidP="00D75C63">
      <w:pPr>
        <w:pStyle w:val="FootnoteText"/>
        <w:jc w:val="both"/>
        <w:rPr>
          <w:rFonts w:ascii="Arial" w:hAnsi="Arial" w:cs="Arial"/>
          <w:lang w:val="en-US"/>
        </w:rPr>
      </w:pPr>
      <w:r w:rsidRPr="00723DDD">
        <w:rPr>
          <w:rStyle w:val="FootnoteReference"/>
          <w:rFonts w:ascii="Arial" w:hAnsi="Arial" w:cs="Arial"/>
        </w:rPr>
        <w:footnoteRef/>
      </w:r>
      <w:r w:rsidRPr="00723DDD">
        <w:rPr>
          <w:rFonts w:ascii="Arial" w:hAnsi="Arial" w:cs="Arial"/>
          <w:lang w:val="en-US"/>
        </w:rPr>
        <w:t xml:space="preserve"> We also analyzed the robustness of th</w:t>
      </w:r>
      <w:r>
        <w:rPr>
          <w:rFonts w:ascii="Arial" w:hAnsi="Arial" w:cs="Arial"/>
          <w:lang w:val="en-US"/>
        </w:rPr>
        <w:t>e</w:t>
      </w:r>
      <w:r w:rsidRPr="00723DDD">
        <w:rPr>
          <w:rFonts w:ascii="Arial" w:hAnsi="Arial" w:cs="Arial"/>
          <w:lang w:val="en-US"/>
        </w:rPr>
        <w:t xml:space="preserve">se estimates in shorter sub-periods but the results are inconclusive due to </w:t>
      </w:r>
      <w:r>
        <w:rPr>
          <w:rFonts w:ascii="Arial" w:hAnsi="Arial" w:cs="Arial"/>
          <w:lang w:val="en-US"/>
        </w:rPr>
        <w:t xml:space="preserve">a </w:t>
      </w:r>
      <w:r w:rsidRPr="00723DDD">
        <w:rPr>
          <w:rFonts w:ascii="Arial" w:hAnsi="Arial" w:cs="Arial"/>
          <w:lang w:val="en-US"/>
        </w:rPr>
        <w:t xml:space="preserve">lack of convergence of the estimation procedure in many models </w:t>
      </w:r>
      <w:r>
        <w:rPr>
          <w:rFonts w:ascii="Arial" w:hAnsi="Arial" w:cs="Arial"/>
          <w:lang w:val="en-US"/>
        </w:rPr>
        <w:t>resulting from</w:t>
      </w:r>
      <w:r w:rsidRPr="00723DDD">
        <w:rPr>
          <w:rFonts w:ascii="Arial" w:hAnsi="Arial" w:cs="Arial"/>
          <w:lang w:val="en-US"/>
        </w:rPr>
        <w:t xml:space="preserve"> a v</w:t>
      </w:r>
      <w:r>
        <w:rPr>
          <w:rFonts w:ascii="Arial" w:hAnsi="Arial" w:cs="Arial"/>
          <w:lang w:val="en-US"/>
        </w:rPr>
        <w:t xml:space="preserve">ery </w:t>
      </w:r>
      <w:r w:rsidRPr="00723DDD">
        <w:rPr>
          <w:rFonts w:ascii="Arial" w:hAnsi="Arial" w:cs="Arial"/>
          <w:lang w:val="en-US"/>
        </w:rPr>
        <w:t xml:space="preserve">small number of observations in the time series that does not allow estimating </w:t>
      </w:r>
      <w:r>
        <w:rPr>
          <w:rFonts w:ascii="Arial" w:hAnsi="Arial" w:cs="Arial"/>
          <w:lang w:val="en-US"/>
        </w:rPr>
        <w:t>a G</w:t>
      </w:r>
      <w:r w:rsidRPr="00723DDD">
        <w:rPr>
          <w:rFonts w:ascii="Arial" w:hAnsi="Arial" w:cs="Arial"/>
          <w:lang w:val="en-US"/>
        </w:rPr>
        <w:t xml:space="preserve">ARCH </w:t>
      </w:r>
      <w:r>
        <w:rPr>
          <w:rFonts w:ascii="Arial" w:hAnsi="Arial" w:cs="Arial"/>
          <w:lang w:val="en-US"/>
        </w:rPr>
        <w:t xml:space="preserve">model </w:t>
      </w:r>
      <w:r w:rsidRPr="00723DDD">
        <w:rPr>
          <w:rFonts w:ascii="Arial" w:hAnsi="Arial" w:cs="Arial"/>
          <w:lang w:val="en-US"/>
        </w:rPr>
        <w:t>(i.e. 396 for two equal sub-samples, 199 for four equal sub-samples etc.)</w:t>
      </w:r>
      <w:r>
        <w:rPr>
          <w:rFonts w:ascii="Arial" w:hAnsi="Arial" w:cs="Arial"/>
          <w:lang w:val="en-US"/>
        </w:rPr>
        <w:t xml:space="preserve"> All the robustness tests are available from the authors upon request.</w:t>
      </w:r>
    </w:p>
  </w:footnote>
  <w:footnote w:id="25">
    <w:p w:rsidR="003769B4" w:rsidRPr="008552B6" w:rsidRDefault="003769B4" w:rsidP="00D75C63">
      <w:pPr>
        <w:pStyle w:val="FootnoteText"/>
        <w:jc w:val="both"/>
        <w:rPr>
          <w:rFonts w:ascii="Arial" w:hAnsi="Arial" w:cs="Arial"/>
          <w:lang w:val="en-US"/>
        </w:rPr>
      </w:pPr>
      <w:r w:rsidRPr="008552B6">
        <w:rPr>
          <w:rStyle w:val="FootnoteReference"/>
          <w:rFonts w:ascii="Arial" w:hAnsi="Arial" w:cs="Arial"/>
        </w:rPr>
        <w:footnoteRef/>
      </w:r>
      <w:r w:rsidRPr="008552B6">
        <w:rPr>
          <w:rFonts w:ascii="Arial" w:hAnsi="Arial" w:cs="Arial"/>
          <w:lang w:val="en-US"/>
        </w:rPr>
        <w:t xml:space="preserve"> The data for all four corresponding announcements (</w:t>
      </w:r>
      <w:r w:rsidRPr="008552B6">
        <w:rPr>
          <w:i/>
          <w:lang w:val="en-US"/>
        </w:rPr>
        <w:t>MS</w:t>
      </w:r>
      <w:r w:rsidRPr="008552B6">
        <w:rPr>
          <w:rFonts w:ascii="Arial" w:hAnsi="Arial" w:cs="Arial"/>
          <w:lang w:val="en-US"/>
        </w:rPr>
        <w:t xml:space="preserve">, </w:t>
      </w:r>
      <w:r w:rsidRPr="008552B6">
        <w:rPr>
          <w:i/>
          <w:lang w:val="en-US"/>
        </w:rPr>
        <w:t>RM</w:t>
      </w:r>
      <w:r w:rsidRPr="008552B6">
        <w:rPr>
          <w:rFonts w:ascii="Arial" w:hAnsi="Arial" w:cs="Arial"/>
          <w:lang w:val="en-US"/>
        </w:rPr>
        <w:t xml:space="preserve">, </w:t>
      </w:r>
      <w:r w:rsidRPr="008552B6">
        <w:rPr>
          <w:i/>
          <w:lang w:val="en-US"/>
        </w:rPr>
        <w:t>BOP</w:t>
      </w:r>
      <w:r w:rsidRPr="008552B6">
        <w:rPr>
          <w:rFonts w:ascii="Arial" w:hAnsi="Arial" w:cs="Arial"/>
          <w:lang w:val="en-US"/>
        </w:rPr>
        <w:t xml:space="preserve"> and </w:t>
      </w:r>
      <w:r w:rsidRPr="008552B6">
        <w:rPr>
          <w:i/>
          <w:lang w:val="en-US"/>
        </w:rPr>
        <w:t>AL</w:t>
      </w:r>
      <w:r w:rsidRPr="008552B6">
        <w:rPr>
          <w:rFonts w:ascii="Arial" w:hAnsi="Arial" w:cs="Arial"/>
          <w:lang w:val="en-US"/>
        </w:rPr>
        <w:t>)</w:t>
      </w:r>
      <w:r>
        <w:rPr>
          <w:rFonts w:ascii="Arial" w:hAnsi="Arial" w:cs="Arial"/>
          <w:lang w:val="en-US"/>
        </w:rPr>
        <w:t xml:space="preserve"> are available from the ECB, however it cannot be verified with absolute certainty for this historical period time in years 2000 – 2003 exactly </w:t>
      </w:r>
      <w:r w:rsidRPr="003078DF">
        <w:rPr>
          <w:rFonts w:ascii="Arial" w:hAnsi="Arial" w:cs="Arial"/>
          <w:i/>
          <w:lang w:val="en-US"/>
        </w:rPr>
        <w:t>when</w:t>
      </w:r>
      <w:r>
        <w:rPr>
          <w:rFonts w:ascii="Arial" w:hAnsi="Arial" w:cs="Arial"/>
          <w:lang w:val="en-US"/>
        </w:rPr>
        <w:t xml:space="preserve"> those announcements were made for the </w:t>
      </w:r>
      <w:r w:rsidRPr="008552B6">
        <w:rPr>
          <w:i/>
          <w:lang w:val="en-US"/>
        </w:rPr>
        <w:t>RM</w:t>
      </w:r>
      <w:r w:rsidRPr="008552B6">
        <w:rPr>
          <w:rFonts w:ascii="Arial" w:hAnsi="Arial" w:cs="Arial"/>
          <w:lang w:val="en-US"/>
        </w:rPr>
        <w:t xml:space="preserve">, </w:t>
      </w:r>
      <w:r w:rsidRPr="008552B6">
        <w:rPr>
          <w:i/>
          <w:lang w:val="en-US"/>
        </w:rPr>
        <w:t>BOP</w:t>
      </w:r>
      <w:r w:rsidRPr="008552B6">
        <w:rPr>
          <w:rFonts w:ascii="Arial" w:hAnsi="Arial" w:cs="Arial"/>
          <w:lang w:val="en-US"/>
        </w:rPr>
        <w:t xml:space="preserve"> and </w:t>
      </w:r>
      <w:r w:rsidRPr="008552B6">
        <w:rPr>
          <w:i/>
          <w:lang w:val="en-US"/>
        </w:rPr>
        <w:t>AL</w:t>
      </w:r>
      <w:r>
        <w:rPr>
          <w:rFonts w:ascii="Arial" w:hAnsi="Arial" w:cs="Arial"/>
          <w:lang w:val="en-US"/>
        </w:rPr>
        <w:t xml:space="preserve"> variables. Hence, we opted to present the results only for the </w:t>
      </w:r>
      <w:r w:rsidRPr="008552B6">
        <w:rPr>
          <w:i/>
          <w:lang w:val="en-US"/>
        </w:rPr>
        <w:t>MS</w:t>
      </w:r>
      <w:r>
        <w:rPr>
          <w:rFonts w:ascii="Arial" w:hAnsi="Arial" w:cs="Arial"/>
          <w:lang w:val="en-US"/>
        </w:rPr>
        <w:t xml:space="preserve"> dummy.</w:t>
      </w:r>
    </w:p>
  </w:footnote>
  <w:footnote w:id="26">
    <w:p w:rsidR="003769B4" w:rsidRPr="005A1829" w:rsidRDefault="003769B4" w:rsidP="00890581">
      <w:pPr>
        <w:pStyle w:val="FootnoteText"/>
        <w:jc w:val="both"/>
        <w:rPr>
          <w:rFonts w:ascii="Arial" w:hAnsi="Arial" w:cs="Arial"/>
          <w:lang w:val="en-US"/>
        </w:rPr>
      </w:pPr>
      <w:r w:rsidRPr="001F604C">
        <w:rPr>
          <w:rStyle w:val="FootnoteReference"/>
          <w:rFonts w:ascii="Arial" w:hAnsi="Arial" w:cs="Arial"/>
        </w:rPr>
        <w:footnoteRef/>
      </w:r>
      <w:r w:rsidRPr="005A1829">
        <w:rPr>
          <w:rFonts w:ascii="Arial" w:hAnsi="Arial" w:cs="Arial"/>
          <w:lang w:val="en-US"/>
        </w:rPr>
        <w:t xml:space="preserve"> We would like to thank the Anonymous Referee for this suggestion as well as for other very helpful comments about the design and the structure of our models and about other important issues which motivated us to conduct various types of robustness checks of our empirical findings, which we presented in previous sections of this paper.</w:t>
      </w:r>
    </w:p>
  </w:footnote>
  <w:footnote w:id="27">
    <w:p w:rsidR="003769B4" w:rsidRPr="00E42F27" w:rsidRDefault="003769B4" w:rsidP="00E42F27">
      <w:pPr>
        <w:pStyle w:val="FootnoteText"/>
        <w:jc w:val="both"/>
        <w:rPr>
          <w:rFonts w:ascii="Arial" w:hAnsi="Arial" w:cs="Arial"/>
          <w:lang w:val="en-US"/>
        </w:rPr>
      </w:pPr>
      <w:r w:rsidRPr="00364C9B">
        <w:rPr>
          <w:rStyle w:val="FootnoteReference"/>
          <w:rFonts w:ascii="Arial" w:hAnsi="Arial" w:cs="Arial"/>
        </w:rPr>
        <w:footnoteRef/>
      </w:r>
      <w:r w:rsidRPr="00364C9B">
        <w:rPr>
          <w:rFonts w:ascii="Arial" w:hAnsi="Arial" w:cs="Arial"/>
          <w:lang w:val="en-US"/>
        </w:rPr>
        <w:t xml:space="preserve"> The market in the PLN/USD foreign exchange rate is </w:t>
      </w:r>
      <w:r>
        <w:rPr>
          <w:rFonts w:ascii="Arial" w:hAnsi="Arial" w:cs="Arial"/>
          <w:lang w:val="en-US"/>
        </w:rPr>
        <w:t>usually</w:t>
      </w:r>
      <w:r w:rsidRPr="00364C9B">
        <w:rPr>
          <w:rFonts w:ascii="Arial" w:hAnsi="Arial" w:cs="Arial"/>
          <w:lang w:val="en-US"/>
        </w:rPr>
        <w:t xml:space="preserve"> active </w:t>
      </w:r>
      <w:r>
        <w:rPr>
          <w:rFonts w:ascii="Arial" w:hAnsi="Arial" w:cs="Arial"/>
          <w:lang w:val="en-US"/>
        </w:rPr>
        <w:t xml:space="preserve">until the late evening hours, sometimes even until as late as </w:t>
      </w:r>
      <w:r w:rsidRPr="00364C9B">
        <w:rPr>
          <w:rFonts w:ascii="Arial" w:hAnsi="Arial" w:cs="Arial"/>
          <w:lang w:val="en-US"/>
        </w:rPr>
        <w:t xml:space="preserve">10:00 – 11:00 PM local time (CET), so even if the NBP announcements are made at 4:00 PM in the afternoon, the traders still have a few hours to transact in this currency during the same day (and, in addition, those trades can be executed not only by local traders in banks in Poland, or in other countries in Europe, but also by traders located in the USA which is the market that is very active during this part of the day </w:t>
      </w:r>
      <w:r>
        <w:rPr>
          <w:rFonts w:ascii="Arial" w:hAnsi="Arial" w:cs="Arial"/>
          <w:lang w:val="en-US"/>
        </w:rPr>
        <w:t>which</w:t>
      </w:r>
      <w:r w:rsidRPr="00364C9B">
        <w:rPr>
          <w:rFonts w:ascii="Arial" w:hAnsi="Arial" w:cs="Arial"/>
          <w:lang w:val="en-US"/>
        </w:rPr>
        <w:t xml:space="preserve"> is, in fact, a noon and an afternoon of the working day in New York), which we believe explains our result.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EC6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6733B"/>
    <w:multiLevelType w:val="hybridMultilevel"/>
    <w:tmpl w:val="A358E3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5B6FF9"/>
    <w:multiLevelType w:val="hybridMultilevel"/>
    <w:tmpl w:val="8540909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8235F54"/>
    <w:multiLevelType w:val="hybridMultilevel"/>
    <w:tmpl w:val="150A961E"/>
    <w:lvl w:ilvl="0" w:tplc="6A56BE6E">
      <w:start w:val="1"/>
      <w:numFmt w:val="upp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4">
    <w:nsid w:val="0BB263C1"/>
    <w:multiLevelType w:val="hybridMultilevel"/>
    <w:tmpl w:val="7F5A0EA8"/>
    <w:lvl w:ilvl="0" w:tplc="8724E1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DB7263"/>
    <w:multiLevelType w:val="hybridMultilevel"/>
    <w:tmpl w:val="7278DD94"/>
    <w:lvl w:ilvl="0" w:tplc="04150001">
      <w:start w:val="1"/>
      <w:numFmt w:val="bullet"/>
      <w:lvlText w:val=""/>
      <w:lvlJc w:val="left"/>
      <w:pPr>
        <w:tabs>
          <w:tab w:val="num" w:pos="720"/>
        </w:tabs>
        <w:ind w:left="720" w:hanging="360"/>
      </w:pPr>
      <w:rPr>
        <w:rFonts w:ascii="Symbol" w:hAnsi="Symbol" w:hint="default"/>
      </w:rPr>
    </w:lvl>
    <w:lvl w:ilvl="1" w:tplc="04150011">
      <w:start w:val="1"/>
      <w:numFmt w:val="decimal"/>
      <w:lvlText w:val="%2)"/>
      <w:lvlJc w:val="left"/>
      <w:pPr>
        <w:tabs>
          <w:tab w:val="num" w:pos="1440"/>
        </w:tabs>
        <w:ind w:left="1440" w:hanging="360"/>
      </w:pPr>
      <w:rPr>
        <w:rFonts w:hint="default"/>
      </w:rPr>
    </w:lvl>
    <w:lvl w:ilvl="2" w:tplc="5F76A8E0">
      <w:start w:val="1"/>
      <w:numFmt w:val="lowerLetter"/>
      <w:lvlText w:val="(%3)"/>
      <w:lvlJc w:val="left"/>
      <w:pPr>
        <w:tabs>
          <w:tab w:val="num" w:pos="2160"/>
        </w:tabs>
        <w:ind w:left="2160" w:hanging="360"/>
      </w:pPr>
      <w:rPr>
        <w:rFonts w:hint="default"/>
      </w:rPr>
    </w:lvl>
    <w:lvl w:ilvl="3" w:tplc="04150011">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0314EF0"/>
    <w:multiLevelType w:val="hybridMultilevel"/>
    <w:tmpl w:val="EF62471E"/>
    <w:lvl w:ilvl="0" w:tplc="458A3F46">
      <w:start w:val="5"/>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0582554"/>
    <w:multiLevelType w:val="hybridMultilevel"/>
    <w:tmpl w:val="6B504258"/>
    <w:lvl w:ilvl="0" w:tplc="0040D1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0AF3669"/>
    <w:multiLevelType w:val="hybridMultilevel"/>
    <w:tmpl w:val="BB346C28"/>
    <w:lvl w:ilvl="0" w:tplc="3048B5E6">
      <w:start w:val="1"/>
      <w:numFmt w:val="upperLetter"/>
      <w:lvlText w:val="%1."/>
      <w:lvlJc w:val="left"/>
      <w:pPr>
        <w:ind w:left="2850" w:hanging="360"/>
      </w:pPr>
      <w:rPr>
        <w:rFonts w:ascii="Arial" w:hAnsi="Arial" w:cs="Arial" w:hint="default"/>
      </w:r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9">
    <w:nsid w:val="144C682B"/>
    <w:multiLevelType w:val="hybridMultilevel"/>
    <w:tmpl w:val="F47E49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6253498"/>
    <w:multiLevelType w:val="hybridMultilevel"/>
    <w:tmpl w:val="249E4D2E"/>
    <w:lvl w:ilvl="0" w:tplc="50180BB2">
      <w:start w:val="1"/>
      <w:numFmt w:val="upperLetter"/>
      <w:lvlText w:val="%1."/>
      <w:lvlJc w:val="left"/>
      <w:pPr>
        <w:ind w:left="2484" w:hanging="36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11">
    <w:nsid w:val="18180697"/>
    <w:multiLevelType w:val="hybridMultilevel"/>
    <w:tmpl w:val="28721C5C"/>
    <w:lvl w:ilvl="0" w:tplc="BA78468E">
      <w:start w:val="1"/>
      <w:numFmt w:val="upperLetter"/>
      <w:lvlText w:val="%1."/>
      <w:lvlJc w:val="left"/>
      <w:pPr>
        <w:ind w:left="2850" w:hanging="360"/>
      </w:pPr>
      <w:rPr>
        <w:rFonts w:ascii="Arial" w:hAnsi="Arial" w:cs="Arial" w:hint="default"/>
      </w:r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2">
    <w:nsid w:val="181D4368"/>
    <w:multiLevelType w:val="hybridMultilevel"/>
    <w:tmpl w:val="6F9656E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90B6AFF"/>
    <w:multiLevelType w:val="hybridMultilevel"/>
    <w:tmpl w:val="622C98B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2B270F"/>
    <w:multiLevelType w:val="hybridMultilevel"/>
    <w:tmpl w:val="08F87ABC"/>
    <w:lvl w:ilvl="0" w:tplc="93DA9156">
      <w:start w:val="1"/>
      <w:numFmt w:val="upperRoman"/>
      <w:lvlText w:val="%1."/>
      <w:lvlJc w:val="left"/>
      <w:pPr>
        <w:ind w:left="990" w:hanging="720"/>
      </w:pPr>
      <w:rPr>
        <w:rFonts w:hint="default"/>
        <w:b w:val="0"/>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20C96790"/>
    <w:multiLevelType w:val="hybridMultilevel"/>
    <w:tmpl w:val="886AEB6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1EE4EDE"/>
    <w:multiLevelType w:val="hybridMultilevel"/>
    <w:tmpl w:val="CCE60808"/>
    <w:lvl w:ilvl="0" w:tplc="555E8B34">
      <w:start w:val="3"/>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7">
    <w:nsid w:val="24B150D6"/>
    <w:multiLevelType w:val="hybridMultilevel"/>
    <w:tmpl w:val="73DAFEB0"/>
    <w:lvl w:ilvl="0" w:tplc="E58838CC">
      <w:start w:val="5"/>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291534D4"/>
    <w:multiLevelType w:val="hybridMultilevel"/>
    <w:tmpl w:val="B8E4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1A569B"/>
    <w:multiLevelType w:val="hybridMultilevel"/>
    <w:tmpl w:val="28721C5C"/>
    <w:lvl w:ilvl="0" w:tplc="BA78468E">
      <w:start w:val="1"/>
      <w:numFmt w:val="upperLetter"/>
      <w:lvlText w:val="%1."/>
      <w:lvlJc w:val="left"/>
      <w:pPr>
        <w:ind w:left="2850" w:hanging="360"/>
      </w:pPr>
      <w:rPr>
        <w:rFonts w:ascii="Arial" w:hAnsi="Arial" w:cs="Arial" w:hint="default"/>
      </w:r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0">
    <w:nsid w:val="3470721A"/>
    <w:multiLevelType w:val="hybridMultilevel"/>
    <w:tmpl w:val="72A46C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8205382"/>
    <w:multiLevelType w:val="hybridMultilevel"/>
    <w:tmpl w:val="47920144"/>
    <w:lvl w:ilvl="0" w:tplc="FE26AD34">
      <w:numFmt w:val="bullet"/>
      <w:lvlText w:val=""/>
      <w:lvlJc w:val="left"/>
      <w:pPr>
        <w:tabs>
          <w:tab w:val="num" w:pos="720"/>
        </w:tabs>
        <w:ind w:left="720" w:hanging="360"/>
      </w:pPr>
      <w:rPr>
        <w:rFonts w:ascii="Symbol" w:eastAsia="Times New Roman" w:hAnsi="Symbol" w:cs="Aria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5D53E1"/>
    <w:multiLevelType w:val="hybridMultilevel"/>
    <w:tmpl w:val="EC46FD42"/>
    <w:lvl w:ilvl="0" w:tplc="54743C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B55B47"/>
    <w:multiLevelType w:val="hybridMultilevel"/>
    <w:tmpl w:val="CABE8CE0"/>
    <w:lvl w:ilvl="0" w:tplc="0600B1DC">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4">
    <w:nsid w:val="3F7A79FD"/>
    <w:multiLevelType w:val="hybridMultilevel"/>
    <w:tmpl w:val="8762335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5227A01"/>
    <w:multiLevelType w:val="hybridMultilevel"/>
    <w:tmpl w:val="4C608E66"/>
    <w:lvl w:ilvl="0" w:tplc="C2A84A14">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6">
    <w:nsid w:val="4BD27ABC"/>
    <w:multiLevelType w:val="hybridMultilevel"/>
    <w:tmpl w:val="FFD4373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E5A1B08"/>
    <w:multiLevelType w:val="hybridMultilevel"/>
    <w:tmpl w:val="87B805B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54F04B7C"/>
    <w:multiLevelType w:val="hybridMultilevel"/>
    <w:tmpl w:val="28721C5C"/>
    <w:lvl w:ilvl="0" w:tplc="BA78468E">
      <w:start w:val="1"/>
      <w:numFmt w:val="upperLetter"/>
      <w:lvlText w:val="%1."/>
      <w:lvlJc w:val="left"/>
      <w:pPr>
        <w:ind w:left="2850" w:hanging="360"/>
      </w:pPr>
      <w:rPr>
        <w:rFonts w:ascii="Arial" w:hAnsi="Arial" w:cs="Arial" w:hint="default"/>
      </w:r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9">
    <w:nsid w:val="571E62BE"/>
    <w:multiLevelType w:val="hybridMultilevel"/>
    <w:tmpl w:val="E0B629C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75A6E99"/>
    <w:multiLevelType w:val="hybridMultilevel"/>
    <w:tmpl w:val="46F2185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5ACF721D"/>
    <w:multiLevelType w:val="multilevel"/>
    <w:tmpl w:val="0C8EFD1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32">
    <w:nsid w:val="5C6607B6"/>
    <w:multiLevelType w:val="hybridMultilevel"/>
    <w:tmpl w:val="69B01182"/>
    <w:lvl w:ilvl="0" w:tplc="7FCA05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6825E26"/>
    <w:multiLevelType w:val="multilevel"/>
    <w:tmpl w:val="2BBC3E5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34">
    <w:nsid w:val="73C34FA9"/>
    <w:multiLevelType w:val="hybridMultilevel"/>
    <w:tmpl w:val="28721C5C"/>
    <w:lvl w:ilvl="0" w:tplc="BA78468E">
      <w:start w:val="1"/>
      <w:numFmt w:val="upperLetter"/>
      <w:lvlText w:val="%1."/>
      <w:lvlJc w:val="left"/>
      <w:pPr>
        <w:ind w:left="2850" w:hanging="360"/>
      </w:pPr>
      <w:rPr>
        <w:rFonts w:ascii="Arial" w:hAnsi="Arial" w:cs="Arial" w:hint="default"/>
      </w:r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num w:numId="1">
    <w:abstractNumId w:val="26"/>
  </w:num>
  <w:num w:numId="2">
    <w:abstractNumId w:val="24"/>
  </w:num>
  <w:num w:numId="3">
    <w:abstractNumId w:val="27"/>
  </w:num>
  <w:num w:numId="4">
    <w:abstractNumId w:val="30"/>
  </w:num>
  <w:num w:numId="5">
    <w:abstractNumId w:val="12"/>
  </w:num>
  <w:num w:numId="6">
    <w:abstractNumId w:val="29"/>
  </w:num>
  <w:num w:numId="7">
    <w:abstractNumId w:val="15"/>
  </w:num>
  <w:num w:numId="8">
    <w:abstractNumId w:val="23"/>
  </w:num>
  <w:num w:numId="9">
    <w:abstractNumId w:val="20"/>
  </w:num>
  <w:num w:numId="10">
    <w:abstractNumId w:val="9"/>
  </w:num>
  <w:num w:numId="11">
    <w:abstractNumId w:val="1"/>
  </w:num>
  <w:num w:numId="12">
    <w:abstractNumId w:val="5"/>
  </w:num>
  <w:num w:numId="13">
    <w:abstractNumId w:val="2"/>
  </w:num>
  <w:num w:numId="14">
    <w:abstractNumId w:val="13"/>
  </w:num>
  <w:num w:numId="15">
    <w:abstractNumId w:val="4"/>
  </w:num>
  <w:num w:numId="16">
    <w:abstractNumId w:val="32"/>
  </w:num>
  <w:num w:numId="17">
    <w:abstractNumId w:val="7"/>
  </w:num>
  <w:num w:numId="18">
    <w:abstractNumId w:val="22"/>
  </w:num>
  <w:num w:numId="19">
    <w:abstractNumId w:val="16"/>
  </w:num>
  <w:num w:numId="20">
    <w:abstractNumId w:val="17"/>
  </w:num>
  <w:num w:numId="21">
    <w:abstractNumId w:val="6"/>
  </w:num>
  <w:num w:numId="22">
    <w:abstractNumId w:val="25"/>
  </w:num>
  <w:num w:numId="23">
    <w:abstractNumId w:val="14"/>
  </w:num>
  <w:num w:numId="24">
    <w:abstractNumId w:val="33"/>
  </w:num>
  <w:num w:numId="25">
    <w:abstractNumId w:val="31"/>
  </w:num>
  <w:num w:numId="26">
    <w:abstractNumId w:val="21"/>
  </w:num>
  <w:num w:numId="27">
    <w:abstractNumId w:val="3"/>
  </w:num>
  <w:num w:numId="28">
    <w:abstractNumId w:val="8"/>
  </w:num>
  <w:num w:numId="29">
    <w:abstractNumId w:val="28"/>
  </w:num>
  <w:num w:numId="30">
    <w:abstractNumId w:val="19"/>
  </w:num>
  <w:num w:numId="31">
    <w:abstractNumId w:val="18"/>
  </w:num>
  <w:num w:numId="32">
    <w:abstractNumId w:val="34"/>
  </w:num>
  <w:num w:numId="33">
    <w:abstractNumId w:val="11"/>
  </w:num>
  <w:num w:numId="34">
    <w:abstractNumId w:val="1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4B"/>
    <w:rsid w:val="00000181"/>
    <w:rsid w:val="0000045A"/>
    <w:rsid w:val="00000B9F"/>
    <w:rsid w:val="00001718"/>
    <w:rsid w:val="000018CE"/>
    <w:rsid w:val="0000193D"/>
    <w:rsid w:val="00001A03"/>
    <w:rsid w:val="00001BF3"/>
    <w:rsid w:val="00001C6D"/>
    <w:rsid w:val="00002504"/>
    <w:rsid w:val="000025BF"/>
    <w:rsid w:val="00002AB8"/>
    <w:rsid w:val="000042BB"/>
    <w:rsid w:val="000043D9"/>
    <w:rsid w:val="000045C2"/>
    <w:rsid w:val="000045D4"/>
    <w:rsid w:val="000047BE"/>
    <w:rsid w:val="000048ED"/>
    <w:rsid w:val="00004A07"/>
    <w:rsid w:val="00004BD7"/>
    <w:rsid w:val="00005353"/>
    <w:rsid w:val="0000545E"/>
    <w:rsid w:val="00005659"/>
    <w:rsid w:val="00005847"/>
    <w:rsid w:val="00005EAB"/>
    <w:rsid w:val="0000602A"/>
    <w:rsid w:val="000060FB"/>
    <w:rsid w:val="0000628A"/>
    <w:rsid w:val="000068A1"/>
    <w:rsid w:val="00006B0B"/>
    <w:rsid w:val="000073E5"/>
    <w:rsid w:val="00007917"/>
    <w:rsid w:val="00007B4B"/>
    <w:rsid w:val="00007D26"/>
    <w:rsid w:val="00007F26"/>
    <w:rsid w:val="0001046F"/>
    <w:rsid w:val="00010AE7"/>
    <w:rsid w:val="00010B7D"/>
    <w:rsid w:val="00010D49"/>
    <w:rsid w:val="00010D99"/>
    <w:rsid w:val="00011552"/>
    <w:rsid w:val="000116E8"/>
    <w:rsid w:val="00011C29"/>
    <w:rsid w:val="00011DD6"/>
    <w:rsid w:val="00011E3C"/>
    <w:rsid w:val="00011F7F"/>
    <w:rsid w:val="00012038"/>
    <w:rsid w:val="00012104"/>
    <w:rsid w:val="00012282"/>
    <w:rsid w:val="000127A6"/>
    <w:rsid w:val="000128B4"/>
    <w:rsid w:val="000129CC"/>
    <w:rsid w:val="00012A19"/>
    <w:rsid w:val="00012DE5"/>
    <w:rsid w:val="00012E30"/>
    <w:rsid w:val="00013063"/>
    <w:rsid w:val="00013A8D"/>
    <w:rsid w:val="00013B81"/>
    <w:rsid w:val="00013BCB"/>
    <w:rsid w:val="00013E1A"/>
    <w:rsid w:val="00013F56"/>
    <w:rsid w:val="00014004"/>
    <w:rsid w:val="00014099"/>
    <w:rsid w:val="0001436A"/>
    <w:rsid w:val="000143C0"/>
    <w:rsid w:val="000145CE"/>
    <w:rsid w:val="00014E44"/>
    <w:rsid w:val="00015129"/>
    <w:rsid w:val="000154C6"/>
    <w:rsid w:val="0001563C"/>
    <w:rsid w:val="0001577C"/>
    <w:rsid w:val="000169A9"/>
    <w:rsid w:val="00016E72"/>
    <w:rsid w:val="00016F2E"/>
    <w:rsid w:val="00016F55"/>
    <w:rsid w:val="000172D7"/>
    <w:rsid w:val="000172FB"/>
    <w:rsid w:val="000174CB"/>
    <w:rsid w:val="00017822"/>
    <w:rsid w:val="00017E08"/>
    <w:rsid w:val="0002004D"/>
    <w:rsid w:val="00020247"/>
    <w:rsid w:val="000206A1"/>
    <w:rsid w:val="00020817"/>
    <w:rsid w:val="000208F8"/>
    <w:rsid w:val="00020DFD"/>
    <w:rsid w:val="00020E20"/>
    <w:rsid w:val="00020FCE"/>
    <w:rsid w:val="000210C1"/>
    <w:rsid w:val="00021190"/>
    <w:rsid w:val="0002129A"/>
    <w:rsid w:val="00021AF7"/>
    <w:rsid w:val="00022009"/>
    <w:rsid w:val="000221F1"/>
    <w:rsid w:val="00022331"/>
    <w:rsid w:val="000223D8"/>
    <w:rsid w:val="000226D1"/>
    <w:rsid w:val="00022754"/>
    <w:rsid w:val="00022DCB"/>
    <w:rsid w:val="00022E90"/>
    <w:rsid w:val="00022F89"/>
    <w:rsid w:val="00023076"/>
    <w:rsid w:val="000235FE"/>
    <w:rsid w:val="00023640"/>
    <w:rsid w:val="000236B7"/>
    <w:rsid w:val="000237E3"/>
    <w:rsid w:val="00023952"/>
    <w:rsid w:val="000243B3"/>
    <w:rsid w:val="000243C1"/>
    <w:rsid w:val="0002449E"/>
    <w:rsid w:val="00024695"/>
    <w:rsid w:val="00024930"/>
    <w:rsid w:val="000249E7"/>
    <w:rsid w:val="00024A71"/>
    <w:rsid w:val="00025538"/>
    <w:rsid w:val="00025AC1"/>
    <w:rsid w:val="0002628D"/>
    <w:rsid w:val="00026AF6"/>
    <w:rsid w:val="00026F56"/>
    <w:rsid w:val="0002710D"/>
    <w:rsid w:val="00027FC5"/>
    <w:rsid w:val="00030333"/>
    <w:rsid w:val="00030BCF"/>
    <w:rsid w:val="00030D1F"/>
    <w:rsid w:val="00030D4F"/>
    <w:rsid w:val="00031482"/>
    <w:rsid w:val="000315D7"/>
    <w:rsid w:val="000318E1"/>
    <w:rsid w:val="00031CA3"/>
    <w:rsid w:val="00031F8A"/>
    <w:rsid w:val="00031F9D"/>
    <w:rsid w:val="000327AE"/>
    <w:rsid w:val="0003296F"/>
    <w:rsid w:val="000329DF"/>
    <w:rsid w:val="000329E4"/>
    <w:rsid w:val="00032B44"/>
    <w:rsid w:val="00032E76"/>
    <w:rsid w:val="00032FD8"/>
    <w:rsid w:val="00033B36"/>
    <w:rsid w:val="00033D3D"/>
    <w:rsid w:val="00034438"/>
    <w:rsid w:val="00034BFF"/>
    <w:rsid w:val="00034FD3"/>
    <w:rsid w:val="00035429"/>
    <w:rsid w:val="00035A15"/>
    <w:rsid w:val="00035BDE"/>
    <w:rsid w:val="00035C46"/>
    <w:rsid w:val="000360C6"/>
    <w:rsid w:val="00036327"/>
    <w:rsid w:val="0003657F"/>
    <w:rsid w:val="000369BA"/>
    <w:rsid w:val="00036CB5"/>
    <w:rsid w:val="00036D73"/>
    <w:rsid w:val="00036E0B"/>
    <w:rsid w:val="00037149"/>
    <w:rsid w:val="000374E1"/>
    <w:rsid w:val="00037C8D"/>
    <w:rsid w:val="00037D49"/>
    <w:rsid w:val="0004092A"/>
    <w:rsid w:val="00040A25"/>
    <w:rsid w:val="00040C67"/>
    <w:rsid w:val="00040D22"/>
    <w:rsid w:val="00040F40"/>
    <w:rsid w:val="00040FCC"/>
    <w:rsid w:val="00041D3E"/>
    <w:rsid w:val="00041DCF"/>
    <w:rsid w:val="00041E1F"/>
    <w:rsid w:val="00042219"/>
    <w:rsid w:val="00042568"/>
    <w:rsid w:val="00042776"/>
    <w:rsid w:val="00042915"/>
    <w:rsid w:val="00042D97"/>
    <w:rsid w:val="00042ED5"/>
    <w:rsid w:val="000432CA"/>
    <w:rsid w:val="00043775"/>
    <w:rsid w:val="000438B5"/>
    <w:rsid w:val="00043DDF"/>
    <w:rsid w:val="0004417F"/>
    <w:rsid w:val="000448EF"/>
    <w:rsid w:val="00044B90"/>
    <w:rsid w:val="00044DC8"/>
    <w:rsid w:val="00045114"/>
    <w:rsid w:val="000452E4"/>
    <w:rsid w:val="0004543E"/>
    <w:rsid w:val="000457DC"/>
    <w:rsid w:val="00045831"/>
    <w:rsid w:val="00045E84"/>
    <w:rsid w:val="0004638F"/>
    <w:rsid w:val="000465A8"/>
    <w:rsid w:val="0004677C"/>
    <w:rsid w:val="0004687D"/>
    <w:rsid w:val="00046CA4"/>
    <w:rsid w:val="00047632"/>
    <w:rsid w:val="00047A4A"/>
    <w:rsid w:val="00047CD9"/>
    <w:rsid w:val="00047D29"/>
    <w:rsid w:val="000501C1"/>
    <w:rsid w:val="000503E3"/>
    <w:rsid w:val="00050858"/>
    <w:rsid w:val="00050A1F"/>
    <w:rsid w:val="000513F6"/>
    <w:rsid w:val="00051638"/>
    <w:rsid w:val="00052067"/>
    <w:rsid w:val="000527D3"/>
    <w:rsid w:val="00052CD6"/>
    <w:rsid w:val="00052E38"/>
    <w:rsid w:val="00053286"/>
    <w:rsid w:val="00053370"/>
    <w:rsid w:val="00053449"/>
    <w:rsid w:val="0005362B"/>
    <w:rsid w:val="000537BF"/>
    <w:rsid w:val="00053BAA"/>
    <w:rsid w:val="00053C11"/>
    <w:rsid w:val="00053D14"/>
    <w:rsid w:val="000541A9"/>
    <w:rsid w:val="00054C07"/>
    <w:rsid w:val="00054E3C"/>
    <w:rsid w:val="00054F3C"/>
    <w:rsid w:val="000550EC"/>
    <w:rsid w:val="00055E79"/>
    <w:rsid w:val="00055E94"/>
    <w:rsid w:val="0005619A"/>
    <w:rsid w:val="00056282"/>
    <w:rsid w:val="00057001"/>
    <w:rsid w:val="00057294"/>
    <w:rsid w:val="000572B1"/>
    <w:rsid w:val="000573F3"/>
    <w:rsid w:val="00057C1F"/>
    <w:rsid w:val="00057E8A"/>
    <w:rsid w:val="000603FB"/>
    <w:rsid w:val="0006084B"/>
    <w:rsid w:val="00060C57"/>
    <w:rsid w:val="00060DEC"/>
    <w:rsid w:val="00061152"/>
    <w:rsid w:val="00061309"/>
    <w:rsid w:val="00061381"/>
    <w:rsid w:val="0006183F"/>
    <w:rsid w:val="00061AFB"/>
    <w:rsid w:val="00061D8A"/>
    <w:rsid w:val="00061EF1"/>
    <w:rsid w:val="000622A0"/>
    <w:rsid w:val="000622E1"/>
    <w:rsid w:val="0006232D"/>
    <w:rsid w:val="00062DE2"/>
    <w:rsid w:val="00062E5E"/>
    <w:rsid w:val="00062E9E"/>
    <w:rsid w:val="000631D5"/>
    <w:rsid w:val="000632E0"/>
    <w:rsid w:val="0006355F"/>
    <w:rsid w:val="00063643"/>
    <w:rsid w:val="00064371"/>
    <w:rsid w:val="0006459F"/>
    <w:rsid w:val="000645C3"/>
    <w:rsid w:val="00064C93"/>
    <w:rsid w:val="000651A0"/>
    <w:rsid w:val="000651F9"/>
    <w:rsid w:val="00065775"/>
    <w:rsid w:val="00065855"/>
    <w:rsid w:val="000659F4"/>
    <w:rsid w:val="00065CEA"/>
    <w:rsid w:val="00065E25"/>
    <w:rsid w:val="00066216"/>
    <w:rsid w:val="000662F3"/>
    <w:rsid w:val="00066315"/>
    <w:rsid w:val="000664EA"/>
    <w:rsid w:val="000665A5"/>
    <w:rsid w:val="00066A7D"/>
    <w:rsid w:val="00066D38"/>
    <w:rsid w:val="00066FDB"/>
    <w:rsid w:val="00067B7A"/>
    <w:rsid w:val="00067BAB"/>
    <w:rsid w:val="0007004C"/>
    <w:rsid w:val="000701C4"/>
    <w:rsid w:val="000701E4"/>
    <w:rsid w:val="00070280"/>
    <w:rsid w:val="00070349"/>
    <w:rsid w:val="00070371"/>
    <w:rsid w:val="00070EB0"/>
    <w:rsid w:val="00071268"/>
    <w:rsid w:val="00071281"/>
    <w:rsid w:val="000717E4"/>
    <w:rsid w:val="00071B0A"/>
    <w:rsid w:val="00071E62"/>
    <w:rsid w:val="000720EC"/>
    <w:rsid w:val="000721F2"/>
    <w:rsid w:val="00072472"/>
    <w:rsid w:val="00072677"/>
    <w:rsid w:val="00072A6D"/>
    <w:rsid w:val="00072BD1"/>
    <w:rsid w:val="00073722"/>
    <w:rsid w:val="000737C7"/>
    <w:rsid w:val="00073C06"/>
    <w:rsid w:val="00073E36"/>
    <w:rsid w:val="0007416F"/>
    <w:rsid w:val="000744D5"/>
    <w:rsid w:val="0007489C"/>
    <w:rsid w:val="00074C73"/>
    <w:rsid w:val="0007532D"/>
    <w:rsid w:val="00075731"/>
    <w:rsid w:val="0007579D"/>
    <w:rsid w:val="0007593B"/>
    <w:rsid w:val="00075A16"/>
    <w:rsid w:val="00075AA5"/>
    <w:rsid w:val="00075ACB"/>
    <w:rsid w:val="00075C80"/>
    <w:rsid w:val="000761DE"/>
    <w:rsid w:val="00076678"/>
    <w:rsid w:val="000766DD"/>
    <w:rsid w:val="00076908"/>
    <w:rsid w:val="00076A4A"/>
    <w:rsid w:val="0007792B"/>
    <w:rsid w:val="000800FE"/>
    <w:rsid w:val="00080539"/>
    <w:rsid w:val="000807F0"/>
    <w:rsid w:val="00080B0D"/>
    <w:rsid w:val="00080BDA"/>
    <w:rsid w:val="00080EA3"/>
    <w:rsid w:val="000813BB"/>
    <w:rsid w:val="00081C61"/>
    <w:rsid w:val="00081C90"/>
    <w:rsid w:val="000822D9"/>
    <w:rsid w:val="0008248F"/>
    <w:rsid w:val="00082581"/>
    <w:rsid w:val="0008263C"/>
    <w:rsid w:val="00082A10"/>
    <w:rsid w:val="00082A96"/>
    <w:rsid w:val="00082B18"/>
    <w:rsid w:val="00083065"/>
    <w:rsid w:val="00083182"/>
    <w:rsid w:val="0008352D"/>
    <w:rsid w:val="00083F19"/>
    <w:rsid w:val="00084133"/>
    <w:rsid w:val="000845BF"/>
    <w:rsid w:val="0008471B"/>
    <w:rsid w:val="00084723"/>
    <w:rsid w:val="00084A0D"/>
    <w:rsid w:val="00084A8D"/>
    <w:rsid w:val="00084ED0"/>
    <w:rsid w:val="00085325"/>
    <w:rsid w:val="00085D17"/>
    <w:rsid w:val="00085FF6"/>
    <w:rsid w:val="0008623C"/>
    <w:rsid w:val="0008634C"/>
    <w:rsid w:val="00086994"/>
    <w:rsid w:val="00086D3B"/>
    <w:rsid w:val="00087E49"/>
    <w:rsid w:val="00090072"/>
    <w:rsid w:val="00090130"/>
    <w:rsid w:val="0009047E"/>
    <w:rsid w:val="000909FC"/>
    <w:rsid w:val="00090BC0"/>
    <w:rsid w:val="00090CEF"/>
    <w:rsid w:val="00090FC9"/>
    <w:rsid w:val="0009105E"/>
    <w:rsid w:val="00091356"/>
    <w:rsid w:val="0009174B"/>
    <w:rsid w:val="00091861"/>
    <w:rsid w:val="000918BB"/>
    <w:rsid w:val="00091A1A"/>
    <w:rsid w:val="00091C51"/>
    <w:rsid w:val="00091FAD"/>
    <w:rsid w:val="000925B3"/>
    <w:rsid w:val="000927CE"/>
    <w:rsid w:val="00092983"/>
    <w:rsid w:val="00092A10"/>
    <w:rsid w:val="00092DED"/>
    <w:rsid w:val="00092FCC"/>
    <w:rsid w:val="000930AF"/>
    <w:rsid w:val="00093210"/>
    <w:rsid w:val="000938AB"/>
    <w:rsid w:val="00093E60"/>
    <w:rsid w:val="000940B7"/>
    <w:rsid w:val="000946E5"/>
    <w:rsid w:val="00094773"/>
    <w:rsid w:val="000948D1"/>
    <w:rsid w:val="000949D2"/>
    <w:rsid w:val="00094A60"/>
    <w:rsid w:val="00094B27"/>
    <w:rsid w:val="00094D76"/>
    <w:rsid w:val="00094E57"/>
    <w:rsid w:val="00094E9A"/>
    <w:rsid w:val="000953D0"/>
    <w:rsid w:val="00095533"/>
    <w:rsid w:val="000956D1"/>
    <w:rsid w:val="00095B2B"/>
    <w:rsid w:val="00095CA8"/>
    <w:rsid w:val="00095D0E"/>
    <w:rsid w:val="00095FFE"/>
    <w:rsid w:val="00096251"/>
    <w:rsid w:val="000963AA"/>
    <w:rsid w:val="000965A1"/>
    <w:rsid w:val="000969A7"/>
    <w:rsid w:val="00096B44"/>
    <w:rsid w:val="00096BB7"/>
    <w:rsid w:val="00096EDB"/>
    <w:rsid w:val="00096F74"/>
    <w:rsid w:val="00097409"/>
    <w:rsid w:val="00097432"/>
    <w:rsid w:val="000977FE"/>
    <w:rsid w:val="000979D3"/>
    <w:rsid w:val="000A098D"/>
    <w:rsid w:val="000A09CA"/>
    <w:rsid w:val="000A09D7"/>
    <w:rsid w:val="000A0D56"/>
    <w:rsid w:val="000A1126"/>
    <w:rsid w:val="000A136C"/>
    <w:rsid w:val="000A153C"/>
    <w:rsid w:val="000A15BE"/>
    <w:rsid w:val="000A1AAA"/>
    <w:rsid w:val="000A1DB5"/>
    <w:rsid w:val="000A2422"/>
    <w:rsid w:val="000A2637"/>
    <w:rsid w:val="000A2E30"/>
    <w:rsid w:val="000A2E47"/>
    <w:rsid w:val="000A3048"/>
    <w:rsid w:val="000A3733"/>
    <w:rsid w:val="000A3CFB"/>
    <w:rsid w:val="000A455C"/>
    <w:rsid w:val="000A49CC"/>
    <w:rsid w:val="000A4A57"/>
    <w:rsid w:val="000A56F3"/>
    <w:rsid w:val="000A5880"/>
    <w:rsid w:val="000A5AD3"/>
    <w:rsid w:val="000A5C28"/>
    <w:rsid w:val="000A5E19"/>
    <w:rsid w:val="000A622B"/>
    <w:rsid w:val="000A683A"/>
    <w:rsid w:val="000A6878"/>
    <w:rsid w:val="000A6C36"/>
    <w:rsid w:val="000A7211"/>
    <w:rsid w:val="000A7484"/>
    <w:rsid w:val="000B0053"/>
    <w:rsid w:val="000B04CD"/>
    <w:rsid w:val="000B0923"/>
    <w:rsid w:val="000B10FE"/>
    <w:rsid w:val="000B11A2"/>
    <w:rsid w:val="000B126C"/>
    <w:rsid w:val="000B12D9"/>
    <w:rsid w:val="000B1823"/>
    <w:rsid w:val="000B1DE0"/>
    <w:rsid w:val="000B2016"/>
    <w:rsid w:val="000B211F"/>
    <w:rsid w:val="000B2170"/>
    <w:rsid w:val="000B24EB"/>
    <w:rsid w:val="000B3078"/>
    <w:rsid w:val="000B322C"/>
    <w:rsid w:val="000B35F9"/>
    <w:rsid w:val="000B38C2"/>
    <w:rsid w:val="000B3B35"/>
    <w:rsid w:val="000B3D33"/>
    <w:rsid w:val="000B3E5F"/>
    <w:rsid w:val="000B3F0F"/>
    <w:rsid w:val="000B46B2"/>
    <w:rsid w:val="000B46F7"/>
    <w:rsid w:val="000B4CB5"/>
    <w:rsid w:val="000B4F9F"/>
    <w:rsid w:val="000B50F3"/>
    <w:rsid w:val="000B5338"/>
    <w:rsid w:val="000B5E68"/>
    <w:rsid w:val="000B61CE"/>
    <w:rsid w:val="000B7229"/>
    <w:rsid w:val="000B734C"/>
    <w:rsid w:val="000B74E8"/>
    <w:rsid w:val="000B75D4"/>
    <w:rsid w:val="000B761C"/>
    <w:rsid w:val="000B781D"/>
    <w:rsid w:val="000B7DAC"/>
    <w:rsid w:val="000B7F73"/>
    <w:rsid w:val="000C01D3"/>
    <w:rsid w:val="000C0544"/>
    <w:rsid w:val="000C05D6"/>
    <w:rsid w:val="000C0978"/>
    <w:rsid w:val="000C15C8"/>
    <w:rsid w:val="000C1AC8"/>
    <w:rsid w:val="000C2741"/>
    <w:rsid w:val="000C288F"/>
    <w:rsid w:val="000C2B61"/>
    <w:rsid w:val="000C2BD2"/>
    <w:rsid w:val="000C2C03"/>
    <w:rsid w:val="000C2CDB"/>
    <w:rsid w:val="000C2CDC"/>
    <w:rsid w:val="000C2D36"/>
    <w:rsid w:val="000C2DE3"/>
    <w:rsid w:val="000C2E35"/>
    <w:rsid w:val="000C3548"/>
    <w:rsid w:val="000C3892"/>
    <w:rsid w:val="000C3A37"/>
    <w:rsid w:val="000C3A68"/>
    <w:rsid w:val="000C3CFB"/>
    <w:rsid w:val="000C3DB1"/>
    <w:rsid w:val="000C3EAB"/>
    <w:rsid w:val="000C4033"/>
    <w:rsid w:val="000C476B"/>
    <w:rsid w:val="000C49A7"/>
    <w:rsid w:val="000C4AF2"/>
    <w:rsid w:val="000C4E8B"/>
    <w:rsid w:val="000C50BE"/>
    <w:rsid w:val="000C5B24"/>
    <w:rsid w:val="000C5D12"/>
    <w:rsid w:val="000C66D1"/>
    <w:rsid w:val="000C697C"/>
    <w:rsid w:val="000C6B87"/>
    <w:rsid w:val="000C762C"/>
    <w:rsid w:val="000C7B49"/>
    <w:rsid w:val="000C7E2B"/>
    <w:rsid w:val="000D0032"/>
    <w:rsid w:val="000D035A"/>
    <w:rsid w:val="000D068B"/>
    <w:rsid w:val="000D0FAE"/>
    <w:rsid w:val="000D191E"/>
    <w:rsid w:val="000D19EB"/>
    <w:rsid w:val="000D208E"/>
    <w:rsid w:val="000D20A6"/>
    <w:rsid w:val="000D255D"/>
    <w:rsid w:val="000D2B49"/>
    <w:rsid w:val="000D2BE2"/>
    <w:rsid w:val="000D342C"/>
    <w:rsid w:val="000D37CE"/>
    <w:rsid w:val="000D3D96"/>
    <w:rsid w:val="000D4124"/>
    <w:rsid w:val="000D4590"/>
    <w:rsid w:val="000D49DB"/>
    <w:rsid w:val="000D4ED7"/>
    <w:rsid w:val="000D5133"/>
    <w:rsid w:val="000D57C4"/>
    <w:rsid w:val="000D5AB3"/>
    <w:rsid w:val="000D5CFA"/>
    <w:rsid w:val="000D5D76"/>
    <w:rsid w:val="000D5F0E"/>
    <w:rsid w:val="000D6236"/>
    <w:rsid w:val="000D66E0"/>
    <w:rsid w:val="000D6B03"/>
    <w:rsid w:val="000D6B8B"/>
    <w:rsid w:val="000D6D0E"/>
    <w:rsid w:val="000D6E2D"/>
    <w:rsid w:val="000D715A"/>
    <w:rsid w:val="000D732E"/>
    <w:rsid w:val="000D76EC"/>
    <w:rsid w:val="000D7B23"/>
    <w:rsid w:val="000D7D49"/>
    <w:rsid w:val="000D7DFB"/>
    <w:rsid w:val="000D7E2F"/>
    <w:rsid w:val="000E0629"/>
    <w:rsid w:val="000E0844"/>
    <w:rsid w:val="000E0A55"/>
    <w:rsid w:val="000E12D0"/>
    <w:rsid w:val="000E157A"/>
    <w:rsid w:val="000E1BE7"/>
    <w:rsid w:val="000E1F42"/>
    <w:rsid w:val="000E2761"/>
    <w:rsid w:val="000E29AB"/>
    <w:rsid w:val="000E2A45"/>
    <w:rsid w:val="000E31FF"/>
    <w:rsid w:val="000E3558"/>
    <w:rsid w:val="000E374E"/>
    <w:rsid w:val="000E3774"/>
    <w:rsid w:val="000E3865"/>
    <w:rsid w:val="000E38D3"/>
    <w:rsid w:val="000E391A"/>
    <w:rsid w:val="000E3C93"/>
    <w:rsid w:val="000E3CB8"/>
    <w:rsid w:val="000E3F07"/>
    <w:rsid w:val="000E3FDF"/>
    <w:rsid w:val="000E4077"/>
    <w:rsid w:val="000E486A"/>
    <w:rsid w:val="000E4AFD"/>
    <w:rsid w:val="000E4C0F"/>
    <w:rsid w:val="000E4E89"/>
    <w:rsid w:val="000E5119"/>
    <w:rsid w:val="000E57CA"/>
    <w:rsid w:val="000E581E"/>
    <w:rsid w:val="000E5CCE"/>
    <w:rsid w:val="000E6B2A"/>
    <w:rsid w:val="000E744B"/>
    <w:rsid w:val="000E7560"/>
    <w:rsid w:val="000E7704"/>
    <w:rsid w:val="000E7804"/>
    <w:rsid w:val="000E79D3"/>
    <w:rsid w:val="000E7AE2"/>
    <w:rsid w:val="000E7D38"/>
    <w:rsid w:val="000E7F47"/>
    <w:rsid w:val="000F0715"/>
    <w:rsid w:val="000F1015"/>
    <w:rsid w:val="000F126B"/>
    <w:rsid w:val="000F1521"/>
    <w:rsid w:val="000F1B36"/>
    <w:rsid w:val="000F221A"/>
    <w:rsid w:val="000F2661"/>
    <w:rsid w:val="000F2971"/>
    <w:rsid w:val="000F2A06"/>
    <w:rsid w:val="000F309B"/>
    <w:rsid w:val="000F32B5"/>
    <w:rsid w:val="000F3737"/>
    <w:rsid w:val="000F3916"/>
    <w:rsid w:val="000F39C1"/>
    <w:rsid w:val="000F4351"/>
    <w:rsid w:val="000F46F7"/>
    <w:rsid w:val="000F4947"/>
    <w:rsid w:val="000F4B09"/>
    <w:rsid w:val="000F4BBF"/>
    <w:rsid w:val="000F4FDB"/>
    <w:rsid w:val="000F52CA"/>
    <w:rsid w:val="000F5326"/>
    <w:rsid w:val="000F5A9F"/>
    <w:rsid w:val="000F5F10"/>
    <w:rsid w:val="000F6ADC"/>
    <w:rsid w:val="000F6B95"/>
    <w:rsid w:val="000F6D63"/>
    <w:rsid w:val="000F6D7C"/>
    <w:rsid w:val="000F70AA"/>
    <w:rsid w:val="000F7525"/>
    <w:rsid w:val="000F7582"/>
    <w:rsid w:val="000F7854"/>
    <w:rsid w:val="000F78BF"/>
    <w:rsid w:val="001000AE"/>
    <w:rsid w:val="00100134"/>
    <w:rsid w:val="00101064"/>
    <w:rsid w:val="00101478"/>
    <w:rsid w:val="00101518"/>
    <w:rsid w:val="0010163B"/>
    <w:rsid w:val="00101794"/>
    <w:rsid w:val="00101A23"/>
    <w:rsid w:val="00101ADF"/>
    <w:rsid w:val="001023C1"/>
    <w:rsid w:val="001024EB"/>
    <w:rsid w:val="001028A2"/>
    <w:rsid w:val="0010296D"/>
    <w:rsid w:val="0010320B"/>
    <w:rsid w:val="001032FA"/>
    <w:rsid w:val="00104759"/>
    <w:rsid w:val="00104825"/>
    <w:rsid w:val="00104BDD"/>
    <w:rsid w:val="00104FDA"/>
    <w:rsid w:val="00105320"/>
    <w:rsid w:val="00105784"/>
    <w:rsid w:val="001058ED"/>
    <w:rsid w:val="00105BCD"/>
    <w:rsid w:val="0010641B"/>
    <w:rsid w:val="0010669B"/>
    <w:rsid w:val="00106905"/>
    <w:rsid w:val="00106BA6"/>
    <w:rsid w:val="00106C92"/>
    <w:rsid w:val="00106D66"/>
    <w:rsid w:val="00106E20"/>
    <w:rsid w:val="00106F46"/>
    <w:rsid w:val="00107220"/>
    <w:rsid w:val="0010740D"/>
    <w:rsid w:val="001077C9"/>
    <w:rsid w:val="00107CDC"/>
    <w:rsid w:val="00107F3C"/>
    <w:rsid w:val="00110874"/>
    <w:rsid w:val="001108E9"/>
    <w:rsid w:val="00110997"/>
    <w:rsid w:val="001109B5"/>
    <w:rsid w:val="00110DD8"/>
    <w:rsid w:val="0011102E"/>
    <w:rsid w:val="00111126"/>
    <w:rsid w:val="00111279"/>
    <w:rsid w:val="0011151B"/>
    <w:rsid w:val="001115EF"/>
    <w:rsid w:val="001117F9"/>
    <w:rsid w:val="00111A3F"/>
    <w:rsid w:val="00111B32"/>
    <w:rsid w:val="00111D06"/>
    <w:rsid w:val="00111E78"/>
    <w:rsid w:val="00111F1D"/>
    <w:rsid w:val="0011210F"/>
    <w:rsid w:val="001123F7"/>
    <w:rsid w:val="001134F9"/>
    <w:rsid w:val="00113AA7"/>
    <w:rsid w:val="001141F1"/>
    <w:rsid w:val="001145D5"/>
    <w:rsid w:val="0011476C"/>
    <w:rsid w:val="001147A2"/>
    <w:rsid w:val="00114FB7"/>
    <w:rsid w:val="0011577E"/>
    <w:rsid w:val="00116465"/>
    <w:rsid w:val="00116515"/>
    <w:rsid w:val="00116638"/>
    <w:rsid w:val="00116B6C"/>
    <w:rsid w:val="00116E00"/>
    <w:rsid w:val="00117197"/>
    <w:rsid w:val="001171F5"/>
    <w:rsid w:val="00117D93"/>
    <w:rsid w:val="00117F95"/>
    <w:rsid w:val="00120014"/>
    <w:rsid w:val="00120077"/>
    <w:rsid w:val="00120764"/>
    <w:rsid w:val="001209C7"/>
    <w:rsid w:val="00120C30"/>
    <w:rsid w:val="00121A52"/>
    <w:rsid w:val="00121DC0"/>
    <w:rsid w:val="00121F0A"/>
    <w:rsid w:val="00121FA0"/>
    <w:rsid w:val="0012222F"/>
    <w:rsid w:val="0012237D"/>
    <w:rsid w:val="001223DB"/>
    <w:rsid w:val="00122970"/>
    <w:rsid w:val="00122CD5"/>
    <w:rsid w:val="00122ED3"/>
    <w:rsid w:val="00122ED9"/>
    <w:rsid w:val="001230E5"/>
    <w:rsid w:val="00123105"/>
    <w:rsid w:val="00123410"/>
    <w:rsid w:val="00123459"/>
    <w:rsid w:val="001234EC"/>
    <w:rsid w:val="0012392E"/>
    <w:rsid w:val="00123E8F"/>
    <w:rsid w:val="00123FED"/>
    <w:rsid w:val="001244AC"/>
    <w:rsid w:val="00124687"/>
    <w:rsid w:val="0012469B"/>
    <w:rsid w:val="00124B0D"/>
    <w:rsid w:val="00124DEF"/>
    <w:rsid w:val="00124F83"/>
    <w:rsid w:val="00125372"/>
    <w:rsid w:val="0012572A"/>
    <w:rsid w:val="0012575B"/>
    <w:rsid w:val="00125B81"/>
    <w:rsid w:val="001266F1"/>
    <w:rsid w:val="00126871"/>
    <w:rsid w:val="0012689D"/>
    <w:rsid w:val="001268C1"/>
    <w:rsid w:val="00126910"/>
    <w:rsid w:val="00126BE4"/>
    <w:rsid w:val="00127227"/>
    <w:rsid w:val="00127CBF"/>
    <w:rsid w:val="00127EB2"/>
    <w:rsid w:val="00127FCE"/>
    <w:rsid w:val="00130234"/>
    <w:rsid w:val="00130241"/>
    <w:rsid w:val="00130420"/>
    <w:rsid w:val="0013084F"/>
    <w:rsid w:val="00130AE7"/>
    <w:rsid w:val="001310E8"/>
    <w:rsid w:val="001316D1"/>
    <w:rsid w:val="00131B9C"/>
    <w:rsid w:val="001322D7"/>
    <w:rsid w:val="00132346"/>
    <w:rsid w:val="00132788"/>
    <w:rsid w:val="00133343"/>
    <w:rsid w:val="001335A5"/>
    <w:rsid w:val="001338B7"/>
    <w:rsid w:val="001338BB"/>
    <w:rsid w:val="00133CB5"/>
    <w:rsid w:val="00133CBC"/>
    <w:rsid w:val="00133DF5"/>
    <w:rsid w:val="0013437E"/>
    <w:rsid w:val="00134619"/>
    <w:rsid w:val="00134CAA"/>
    <w:rsid w:val="00134D6F"/>
    <w:rsid w:val="00134DE5"/>
    <w:rsid w:val="00134FEC"/>
    <w:rsid w:val="001351A6"/>
    <w:rsid w:val="001352A7"/>
    <w:rsid w:val="00135533"/>
    <w:rsid w:val="00135A25"/>
    <w:rsid w:val="00135D42"/>
    <w:rsid w:val="00136288"/>
    <w:rsid w:val="001363C9"/>
    <w:rsid w:val="0013643A"/>
    <w:rsid w:val="001364E9"/>
    <w:rsid w:val="00136A6D"/>
    <w:rsid w:val="00136E9C"/>
    <w:rsid w:val="00136EFB"/>
    <w:rsid w:val="0013783D"/>
    <w:rsid w:val="001379E3"/>
    <w:rsid w:val="00137B80"/>
    <w:rsid w:val="00140738"/>
    <w:rsid w:val="001408D1"/>
    <w:rsid w:val="00140C9D"/>
    <w:rsid w:val="00140E19"/>
    <w:rsid w:val="00140EAB"/>
    <w:rsid w:val="00140F86"/>
    <w:rsid w:val="0014109D"/>
    <w:rsid w:val="0014159C"/>
    <w:rsid w:val="0014197D"/>
    <w:rsid w:val="00141981"/>
    <w:rsid w:val="0014201E"/>
    <w:rsid w:val="0014213E"/>
    <w:rsid w:val="00142219"/>
    <w:rsid w:val="001422B3"/>
    <w:rsid w:val="0014256E"/>
    <w:rsid w:val="001426F5"/>
    <w:rsid w:val="00142710"/>
    <w:rsid w:val="001429CB"/>
    <w:rsid w:val="00142BD6"/>
    <w:rsid w:val="00142E50"/>
    <w:rsid w:val="00143789"/>
    <w:rsid w:val="00143AB5"/>
    <w:rsid w:val="00143BE2"/>
    <w:rsid w:val="00143C04"/>
    <w:rsid w:val="00143E67"/>
    <w:rsid w:val="00143EFD"/>
    <w:rsid w:val="00143FEF"/>
    <w:rsid w:val="00144343"/>
    <w:rsid w:val="001443A8"/>
    <w:rsid w:val="001444B4"/>
    <w:rsid w:val="00144B79"/>
    <w:rsid w:val="00144EA5"/>
    <w:rsid w:val="00145149"/>
    <w:rsid w:val="0014525D"/>
    <w:rsid w:val="00145608"/>
    <w:rsid w:val="001456D3"/>
    <w:rsid w:val="001459DE"/>
    <w:rsid w:val="00145D5D"/>
    <w:rsid w:val="00146361"/>
    <w:rsid w:val="00146593"/>
    <w:rsid w:val="0014689C"/>
    <w:rsid w:val="00146929"/>
    <w:rsid w:val="00147043"/>
    <w:rsid w:val="00147115"/>
    <w:rsid w:val="001478B9"/>
    <w:rsid w:val="00147904"/>
    <w:rsid w:val="00147D55"/>
    <w:rsid w:val="00147E4A"/>
    <w:rsid w:val="00147F1A"/>
    <w:rsid w:val="00150057"/>
    <w:rsid w:val="00150085"/>
    <w:rsid w:val="00150189"/>
    <w:rsid w:val="00150A38"/>
    <w:rsid w:val="001510E1"/>
    <w:rsid w:val="00151161"/>
    <w:rsid w:val="00151B52"/>
    <w:rsid w:val="00151EC2"/>
    <w:rsid w:val="001521ED"/>
    <w:rsid w:val="00152258"/>
    <w:rsid w:val="0015241C"/>
    <w:rsid w:val="00152426"/>
    <w:rsid w:val="00152541"/>
    <w:rsid w:val="001525E6"/>
    <w:rsid w:val="00152630"/>
    <w:rsid w:val="00152664"/>
    <w:rsid w:val="001526B8"/>
    <w:rsid w:val="001526D4"/>
    <w:rsid w:val="001526DE"/>
    <w:rsid w:val="00152CDC"/>
    <w:rsid w:val="00152DA8"/>
    <w:rsid w:val="00152F9F"/>
    <w:rsid w:val="00153079"/>
    <w:rsid w:val="001535BA"/>
    <w:rsid w:val="001536D9"/>
    <w:rsid w:val="00153948"/>
    <w:rsid w:val="001544DF"/>
    <w:rsid w:val="001546BA"/>
    <w:rsid w:val="00154845"/>
    <w:rsid w:val="00154949"/>
    <w:rsid w:val="00154C23"/>
    <w:rsid w:val="0015508D"/>
    <w:rsid w:val="001550F9"/>
    <w:rsid w:val="00155622"/>
    <w:rsid w:val="00155636"/>
    <w:rsid w:val="001556B4"/>
    <w:rsid w:val="00155DFD"/>
    <w:rsid w:val="00155FC5"/>
    <w:rsid w:val="00156116"/>
    <w:rsid w:val="0015633A"/>
    <w:rsid w:val="0015646C"/>
    <w:rsid w:val="0015666F"/>
    <w:rsid w:val="0015691A"/>
    <w:rsid w:val="00156E55"/>
    <w:rsid w:val="001571B0"/>
    <w:rsid w:val="001573A3"/>
    <w:rsid w:val="001574FB"/>
    <w:rsid w:val="00157ADA"/>
    <w:rsid w:val="00157C21"/>
    <w:rsid w:val="00157CA1"/>
    <w:rsid w:val="00157D25"/>
    <w:rsid w:val="00157F45"/>
    <w:rsid w:val="00157F70"/>
    <w:rsid w:val="0016013E"/>
    <w:rsid w:val="001605D1"/>
    <w:rsid w:val="001605FD"/>
    <w:rsid w:val="001609F8"/>
    <w:rsid w:val="00160A56"/>
    <w:rsid w:val="00160CD9"/>
    <w:rsid w:val="00160E3C"/>
    <w:rsid w:val="00160F68"/>
    <w:rsid w:val="00160FAC"/>
    <w:rsid w:val="001618BB"/>
    <w:rsid w:val="00161D05"/>
    <w:rsid w:val="00161DC1"/>
    <w:rsid w:val="00163057"/>
    <w:rsid w:val="001631B6"/>
    <w:rsid w:val="00163501"/>
    <w:rsid w:val="001635DC"/>
    <w:rsid w:val="00163A79"/>
    <w:rsid w:val="00163E81"/>
    <w:rsid w:val="00163F40"/>
    <w:rsid w:val="00164007"/>
    <w:rsid w:val="001647EC"/>
    <w:rsid w:val="00164E1C"/>
    <w:rsid w:val="00164F89"/>
    <w:rsid w:val="0016510B"/>
    <w:rsid w:val="00165111"/>
    <w:rsid w:val="001654D9"/>
    <w:rsid w:val="00165596"/>
    <w:rsid w:val="001657D5"/>
    <w:rsid w:val="00165F7D"/>
    <w:rsid w:val="00165FE0"/>
    <w:rsid w:val="00166017"/>
    <w:rsid w:val="001660DB"/>
    <w:rsid w:val="0016655A"/>
    <w:rsid w:val="00166A23"/>
    <w:rsid w:val="00166F54"/>
    <w:rsid w:val="00167348"/>
    <w:rsid w:val="0016743B"/>
    <w:rsid w:val="00167827"/>
    <w:rsid w:val="00167C5E"/>
    <w:rsid w:val="00167CF1"/>
    <w:rsid w:val="00167D3F"/>
    <w:rsid w:val="00167D78"/>
    <w:rsid w:val="00170550"/>
    <w:rsid w:val="001705A3"/>
    <w:rsid w:val="00170ABF"/>
    <w:rsid w:val="00170C3F"/>
    <w:rsid w:val="00170CC3"/>
    <w:rsid w:val="00170F32"/>
    <w:rsid w:val="0017101F"/>
    <w:rsid w:val="00171073"/>
    <w:rsid w:val="001710F1"/>
    <w:rsid w:val="00171203"/>
    <w:rsid w:val="0017142B"/>
    <w:rsid w:val="00171685"/>
    <w:rsid w:val="00171B84"/>
    <w:rsid w:val="00171C28"/>
    <w:rsid w:val="00171C72"/>
    <w:rsid w:val="001726C1"/>
    <w:rsid w:val="0017292E"/>
    <w:rsid w:val="001732D5"/>
    <w:rsid w:val="00173475"/>
    <w:rsid w:val="00173776"/>
    <w:rsid w:val="00173BDC"/>
    <w:rsid w:val="00173DA6"/>
    <w:rsid w:val="001741D6"/>
    <w:rsid w:val="00174503"/>
    <w:rsid w:val="00174AFA"/>
    <w:rsid w:val="00174C23"/>
    <w:rsid w:val="0017500B"/>
    <w:rsid w:val="001752D6"/>
    <w:rsid w:val="00175531"/>
    <w:rsid w:val="00175855"/>
    <w:rsid w:val="00175A1C"/>
    <w:rsid w:val="00175B60"/>
    <w:rsid w:val="00175F4E"/>
    <w:rsid w:val="0017606C"/>
    <w:rsid w:val="0017633E"/>
    <w:rsid w:val="0017659C"/>
    <w:rsid w:val="0017663D"/>
    <w:rsid w:val="001767BA"/>
    <w:rsid w:val="0017691C"/>
    <w:rsid w:val="00176D4D"/>
    <w:rsid w:val="00177802"/>
    <w:rsid w:val="001778E7"/>
    <w:rsid w:val="00177C48"/>
    <w:rsid w:val="00177DB2"/>
    <w:rsid w:val="00177E74"/>
    <w:rsid w:val="00180933"/>
    <w:rsid w:val="0018188D"/>
    <w:rsid w:val="00181A85"/>
    <w:rsid w:val="00181B50"/>
    <w:rsid w:val="00181F9D"/>
    <w:rsid w:val="001822B3"/>
    <w:rsid w:val="0018263F"/>
    <w:rsid w:val="0018277E"/>
    <w:rsid w:val="0018278C"/>
    <w:rsid w:val="0018295A"/>
    <w:rsid w:val="001829FF"/>
    <w:rsid w:val="00182CD8"/>
    <w:rsid w:val="00182D3D"/>
    <w:rsid w:val="001831E2"/>
    <w:rsid w:val="001832E3"/>
    <w:rsid w:val="00183848"/>
    <w:rsid w:val="00183A07"/>
    <w:rsid w:val="00183F90"/>
    <w:rsid w:val="00184491"/>
    <w:rsid w:val="00184899"/>
    <w:rsid w:val="00184AE3"/>
    <w:rsid w:val="00184CE4"/>
    <w:rsid w:val="00184CE8"/>
    <w:rsid w:val="00184EA7"/>
    <w:rsid w:val="00185121"/>
    <w:rsid w:val="0018527C"/>
    <w:rsid w:val="00185A56"/>
    <w:rsid w:val="00185C02"/>
    <w:rsid w:val="00185F10"/>
    <w:rsid w:val="001865A4"/>
    <w:rsid w:val="001865CB"/>
    <w:rsid w:val="0018662C"/>
    <w:rsid w:val="00186673"/>
    <w:rsid w:val="001868C3"/>
    <w:rsid w:val="00186928"/>
    <w:rsid w:val="00186E4C"/>
    <w:rsid w:val="00187186"/>
    <w:rsid w:val="00187370"/>
    <w:rsid w:val="0018752F"/>
    <w:rsid w:val="0018754F"/>
    <w:rsid w:val="001877E3"/>
    <w:rsid w:val="001878C0"/>
    <w:rsid w:val="00187B6B"/>
    <w:rsid w:val="00190956"/>
    <w:rsid w:val="00190A52"/>
    <w:rsid w:val="00190B2D"/>
    <w:rsid w:val="00191077"/>
    <w:rsid w:val="0019113B"/>
    <w:rsid w:val="001914EB"/>
    <w:rsid w:val="001917EA"/>
    <w:rsid w:val="00191DE2"/>
    <w:rsid w:val="00191F15"/>
    <w:rsid w:val="0019210F"/>
    <w:rsid w:val="00192414"/>
    <w:rsid w:val="0019242C"/>
    <w:rsid w:val="00192542"/>
    <w:rsid w:val="001926FC"/>
    <w:rsid w:val="00192EDE"/>
    <w:rsid w:val="0019304A"/>
    <w:rsid w:val="0019316C"/>
    <w:rsid w:val="001931AD"/>
    <w:rsid w:val="001938FB"/>
    <w:rsid w:val="00193B75"/>
    <w:rsid w:val="00194249"/>
    <w:rsid w:val="00194619"/>
    <w:rsid w:val="0019479F"/>
    <w:rsid w:val="00194951"/>
    <w:rsid w:val="00194A08"/>
    <w:rsid w:val="00194CC8"/>
    <w:rsid w:val="00194D1F"/>
    <w:rsid w:val="00194D54"/>
    <w:rsid w:val="00194DCA"/>
    <w:rsid w:val="001952AF"/>
    <w:rsid w:val="001953F5"/>
    <w:rsid w:val="00195415"/>
    <w:rsid w:val="001954EC"/>
    <w:rsid w:val="0019552C"/>
    <w:rsid w:val="00195732"/>
    <w:rsid w:val="001958C1"/>
    <w:rsid w:val="00195B27"/>
    <w:rsid w:val="0019604B"/>
    <w:rsid w:val="00196A04"/>
    <w:rsid w:val="00196B67"/>
    <w:rsid w:val="0019702A"/>
    <w:rsid w:val="00197098"/>
    <w:rsid w:val="001976A0"/>
    <w:rsid w:val="00197719"/>
    <w:rsid w:val="00197879"/>
    <w:rsid w:val="001979B3"/>
    <w:rsid w:val="00197F41"/>
    <w:rsid w:val="00197F91"/>
    <w:rsid w:val="001A00BC"/>
    <w:rsid w:val="001A019B"/>
    <w:rsid w:val="001A021C"/>
    <w:rsid w:val="001A0375"/>
    <w:rsid w:val="001A0501"/>
    <w:rsid w:val="001A093D"/>
    <w:rsid w:val="001A0DD8"/>
    <w:rsid w:val="001A10B9"/>
    <w:rsid w:val="001A14C4"/>
    <w:rsid w:val="001A1534"/>
    <w:rsid w:val="001A1591"/>
    <w:rsid w:val="001A17B1"/>
    <w:rsid w:val="001A1CD6"/>
    <w:rsid w:val="001A20B4"/>
    <w:rsid w:val="001A224B"/>
    <w:rsid w:val="001A24A8"/>
    <w:rsid w:val="001A2705"/>
    <w:rsid w:val="001A2C4C"/>
    <w:rsid w:val="001A3498"/>
    <w:rsid w:val="001A3B53"/>
    <w:rsid w:val="001A3D44"/>
    <w:rsid w:val="001A3DEB"/>
    <w:rsid w:val="001A3F33"/>
    <w:rsid w:val="001A4148"/>
    <w:rsid w:val="001A4259"/>
    <w:rsid w:val="001A42F6"/>
    <w:rsid w:val="001A4444"/>
    <w:rsid w:val="001A4522"/>
    <w:rsid w:val="001A47A2"/>
    <w:rsid w:val="001A47BC"/>
    <w:rsid w:val="001A4917"/>
    <w:rsid w:val="001A496B"/>
    <w:rsid w:val="001A4A8C"/>
    <w:rsid w:val="001A4BA0"/>
    <w:rsid w:val="001A4E09"/>
    <w:rsid w:val="001A4FC3"/>
    <w:rsid w:val="001A51EB"/>
    <w:rsid w:val="001A52B3"/>
    <w:rsid w:val="001A5FB9"/>
    <w:rsid w:val="001A600D"/>
    <w:rsid w:val="001A633F"/>
    <w:rsid w:val="001A662F"/>
    <w:rsid w:val="001A66E2"/>
    <w:rsid w:val="001A673E"/>
    <w:rsid w:val="001A6869"/>
    <w:rsid w:val="001A68C6"/>
    <w:rsid w:val="001A6A72"/>
    <w:rsid w:val="001A6E0C"/>
    <w:rsid w:val="001A70DD"/>
    <w:rsid w:val="001A7615"/>
    <w:rsid w:val="001A7772"/>
    <w:rsid w:val="001A7C43"/>
    <w:rsid w:val="001A7CC2"/>
    <w:rsid w:val="001A7EFE"/>
    <w:rsid w:val="001B0274"/>
    <w:rsid w:val="001B06DB"/>
    <w:rsid w:val="001B070E"/>
    <w:rsid w:val="001B0730"/>
    <w:rsid w:val="001B0D36"/>
    <w:rsid w:val="001B1068"/>
    <w:rsid w:val="001B118A"/>
    <w:rsid w:val="001B16FB"/>
    <w:rsid w:val="001B1994"/>
    <w:rsid w:val="001B21E6"/>
    <w:rsid w:val="001B2233"/>
    <w:rsid w:val="001B22AE"/>
    <w:rsid w:val="001B2913"/>
    <w:rsid w:val="001B2CAE"/>
    <w:rsid w:val="001B2E31"/>
    <w:rsid w:val="001B2FD3"/>
    <w:rsid w:val="001B3097"/>
    <w:rsid w:val="001B32D0"/>
    <w:rsid w:val="001B3590"/>
    <w:rsid w:val="001B378A"/>
    <w:rsid w:val="001B3872"/>
    <w:rsid w:val="001B3B03"/>
    <w:rsid w:val="001B3FE6"/>
    <w:rsid w:val="001B4338"/>
    <w:rsid w:val="001B433D"/>
    <w:rsid w:val="001B438E"/>
    <w:rsid w:val="001B531C"/>
    <w:rsid w:val="001B53E5"/>
    <w:rsid w:val="001B5473"/>
    <w:rsid w:val="001B5DC5"/>
    <w:rsid w:val="001B6195"/>
    <w:rsid w:val="001B620C"/>
    <w:rsid w:val="001B62E0"/>
    <w:rsid w:val="001B6503"/>
    <w:rsid w:val="001B66F6"/>
    <w:rsid w:val="001B6988"/>
    <w:rsid w:val="001B6ACE"/>
    <w:rsid w:val="001B7190"/>
    <w:rsid w:val="001B737C"/>
    <w:rsid w:val="001B752C"/>
    <w:rsid w:val="001B75F2"/>
    <w:rsid w:val="001B7BA8"/>
    <w:rsid w:val="001C0340"/>
    <w:rsid w:val="001C09E5"/>
    <w:rsid w:val="001C0C6A"/>
    <w:rsid w:val="001C1034"/>
    <w:rsid w:val="001C10A0"/>
    <w:rsid w:val="001C10AB"/>
    <w:rsid w:val="001C1421"/>
    <w:rsid w:val="001C15A7"/>
    <w:rsid w:val="001C175B"/>
    <w:rsid w:val="001C1DBC"/>
    <w:rsid w:val="001C1E52"/>
    <w:rsid w:val="001C23B3"/>
    <w:rsid w:val="001C254C"/>
    <w:rsid w:val="001C2D80"/>
    <w:rsid w:val="001C3583"/>
    <w:rsid w:val="001C3B9A"/>
    <w:rsid w:val="001C3DE5"/>
    <w:rsid w:val="001C3EF6"/>
    <w:rsid w:val="001C41DE"/>
    <w:rsid w:val="001C4CAD"/>
    <w:rsid w:val="001C4D09"/>
    <w:rsid w:val="001C523D"/>
    <w:rsid w:val="001C539D"/>
    <w:rsid w:val="001C5D5C"/>
    <w:rsid w:val="001C5E68"/>
    <w:rsid w:val="001C5FA4"/>
    <w:rsid w:val="001C674C"/>
    <w:rsid w:val="001C6C38"/>
    <w:rsid w:val="001C6D27"/>
    <w:rsid w:val="001C7333"/>
    <w:rsid w:val="001C744D"/>
    <w:rsid w:val="001C7536"/>
    <w:rsid w:val="001D0006"/>
    <w:rsid w:val="001D0781"/>
    <w:rsid w:val="001D0D57"/>
    <w:rsid w:val="001D0DCE"/>
    <w:rsid w:val="001D1D58"/>
    <w:rsid w:val="001D20D3"/>
    <w:rsid w:val="001D241F"/>
    <w:rsid w:val="001D264A"/>
    <w:rsid w:val="001D26FA"/>
    <w:rsid w:val="001D26FD"/>
    <w:rsid w:val="001D2A0D"/>
    <w:rsid w:val="001D2A97"/>
    <w:rsid w:val="001D2DE7"/>
    <w:rsid w:val="001D34FB"/>
    <w:rsid w:val="001D38D4"/>
    <w:rsid w:val="001D3A4D"/>
    <w:rsid w:val="001D3C64"/>
    <w:rsid w:val="001D41FB"/>
    <w:rsid w:val="001D431E"/>
    <w:rsid w:val="001D436F"/>
    <w:rsid w:val="001D4371"/>
    <w:rsid w:val="001D5033"/>
    <w:rsid w:val="001D5054"/>
    <w:rsid w:val="001D509D"/>
    <w:rsid w:val="001D55FF"/>
    <w:rsid w:val="001D5FBC"/>
    <w:rsid w:val="001D660A"/>
    <w:rsid w:val="001D6E33"/>
    <w:rsid w:val="001D6FCE"/>
    <w:rsid w:val="001D7644"/>
    <w:rsid w:val="001D7845"/>
    <w:rsid w:val="001D78EC"/>
    <w:rsid w:val="001D79D5"/>
    <w:rsid w:val="001D7A9D"/>
    <w:rsid w:val="001D7ABB"/>
    <w:rsid w:val="001D7C70"/>
    <w:rsid w:val="001D7D0C"/>
    <w:rsid w:val="001E008B"/>
    <w:rsid w:val="001E0096"/>
    <w:rsid w:val="001E017F"/>
    <w:rsid w:val="001E01EA"/>
    <w:rsid w:val="001E0A24"/>
    <w:rsid w:val="001E0B54"/>
    <w:rsid w:val="001E0E64"/>
    <w:rsid w:val="001E12FE"/>
    <w:rsid w:val="001E15F3"/>
    <w:rsid w:val="001E1A5F"/>
    <w:rsid w:val="001E1D6D"/>
    <w:rsid w:val="001E21D9"/>
    <w:rsid w:val="001E2495"/>
    <w:rsid w:val="001E29F2"/>
    <w:rsid w:val="001E2D80"/>
    <w:rsid w:val="001E2DF3"/>
    <w:rsid w:val="001E32BF"/>
    <w:rsid w:val="001E34D6"/>
    <w:rsid w:val="001E39BD"/>
    <w:rsid w:val="001E3B9B"/>
    <w:rsid w:val="001E3CE6"/>
    <w:rsid w:val="001E3D16"/>
    <w:rsid w:val="001E40FB"/>
    <w:rsid w:val="001E483C"/>
    <w:rsid w:val="001E4E57"/>
    <w:rsid w:val="001E4ED6"/>
    <w:rsid w:val="001E503E"/>
    <w:rsid w:val="001E54F9"/>
    <w:rsid w:val="001E5564"/>
    <w:rsid w:val="001E5787"/>
    <w:rsid w:val="001E57CD"/>
    <w:rsid w:val="001E59F5"/>
    <w:rsid w:val="001E5A77"/>
    <w:rsid w:val="001E5BB5"/>
    <w:rsid w:val="001E5FC6"/>
    <w:rsid w:val="001E62A4"/>
    <w:rsid w:val="001E6391"/>
    <w:rsid w:val="001E647F"/>
    <w:rsid w:val="001E64C3"/>
    <w:rsid w:val="001E65D2"/>
    <w:rsid w:val="001E6633"/>
    <w:rsid w:val="001E66B3"/>
    <w:rsid w:val="001E7052"/>
    <w:rsid w:val="001E7ED3"/>
    <w:rsid w:val="001F0187"/>
    <w:rsid w:val="001F0A87"/>
    <w:rsid w:val="001F0AC7"/>
    <w:rsid w:val="001F0CCF"/>
    <w:rsid w:val="001F0D3A"/>
    <w:rsid w:val="001F0ED0"/>
    <w:rsid w:val="001F10BE"/>
    <w:rsid w:val="001F1539"/>
    <w:rsid w:val="001F1C5D"/>
    <w:rsid w:val="001F22F5"/>
    <w:rsid w:val="001F232E"/>
    <w:rsid w:val="001F263C"/>
    <w:rsid w:val="001F279A"/>
    <w:rsid w:val="001F2B76"/>
    <w:rsid w:val="001F2C59"/>
    <w:rsid w:val="001F2CD3"/>
    <w:rsid w:val="001F2D04"/>
    <w:rsid w:val="001F2D73"/>
    <w:rsid w:val="001F346A"/>
    <w:rsid w:val="001F34F7"/>
    <w:rsid w:val="001F36F8"/>
    <w:rsid w:val="001F41C1"/>
    <w:rsid w:val="001F4207"/>
    <w:rsid w:val="001F427F"/>
    <w:rsid w:val="001F4312"/>
    <w:rsid w:val="001F4531"/>
    <w:rsid w:val="001F47CE"/>
    <w:rsid w:val="001F4877"/>
    <w:rsid w:val="001F48BB"/>
    <w:rsid w:val="001F4D37"/>
    <w:rsid w:val="001F50EA"/>
    <w:rsid w:val="001F530D"/>
    <w:rsid w:val="001F5452"/>
    <w:rsid w:val="001F55E9"/>
    <w:rsid w:val="001F56B4"/>
    <w:rsid w:val="001F579C"/>
    <w:rsid w:val="001F57D1"/>
    <w:rsid w:val="001F58A0"/>
    <w:rsid w:val="001F59FD"/>
    <w:rsid w:val="001F5E60"/>
    <w:rsid w:val="001F604C"/>
    <w:rsid w:val="001F6524"/>
    <w:rsid w:val="001F662D"/>
    <w:rsid w:val="001F66F6"/>
    <w:rsid w:val="001F6793"/>
    <w:rsid w:val="001F68BC"/>
    <w:rsid w:val="001F7221"/>
    <w:rsid w:val="001F729A"/>
    <w:rsid w:val="001F72B9"/>
    <w:rsid w:val="001F76EA"/>
    <w:rsid w:val="001F79C3"/>
    <w:rsid w:val="001F7B83"/>
    <w:rsid w:val="001F7BDA"/>
    <w:rsid w:val="0020025F"/>
    <w:rsid w:val="002007D1"/>
    <w:rsid w:val="00200930"/>
    <w:rsid w:val="00200AF0"/>
    <w:rsid w:val="00200C55"/>
    <w:rsid w:val="00200E07"/>
    <w:rsid w:val="0020104F"/>
    <w:rsid w:val="0020138E"/>
    <w:rsid w:val="002013E2"/>
    <w:rsid w:val="00201594"/>
    <w:rsid w:val="00201669"/>
    <w:rsid w:val="002016F4"/>
    <w:rsid w:val="0020180A"/>
    <w:rsid w:val="00201BA8"/>
    <w:rsid w:val="00201C67"/>
    <w:rsid w:val="002025CB"/>
    <w:rsid w:val="00202795"/>
    <w:rsid w:val="00202C17"/>
    <w:rsid w:val="00202F5F"/>
    <w:rsid w:val="00203565"/>
    <w:rsid w:val="002036E1"/>
    <w:rsid w:val="002036E5"/>
    <w:rsid w:val="002039B7"/>
    <w:rsid w:val="00203AA1"/>
    <w:rsid w:val="00203D3E"/>
    <w:rsid w:val="00203F19"/>
    <w:rsid w:val="00203F65"/>
    <w:rsid w:val="00204774"/>
    <w:rsid w:val="00204830"/>
    <w:rsid w:val="002049F5"/>
    <w:rsid w:val="00204A34"/>
    <w:rsid w:val="00204AFC"/>
    <w:rsid w:val="00204D56"/>
    <w:rsid w:val="00204DF8"/>
    <w:rsid w:val="00204F1E"/>
    <w:rsid w:val="002052F3"/>
    <w:rsid w:val="0020530B"/>
    <w:rsid w:val="002053CC"/>
    <w:rsid w:val="0020589A"/>
    <w:rsid w:val="00205BF9"/>
    <w:rsid w:val="00205CF1"/>
    <w:rsid w:val="00205ED9"/>
    <w:rsid w:val="00206535"/>
    <w:rsid w:val="00206786"/>
    <w:rsid w:val="00206814"/>
    <w:rsid w:val="002068BB"/>
    <w:rsid w:val="00206D95"/>
    <w:rsid w:val="00207025"/>
    <w:rsid w:val="00207146"/>
    <w:rsid w:val="002071CD"/>
    <w:rsid w:val="00207352"/>
    <w:rsid w:val="002074D0"/>
    <w:rsid w:val="002078C1"/>
    <w:rsid w:val="00207D6D"/>
    <w:rsid w:val="00210015"/>
    <w:rsid w:val="0021011A"/>
    <w:rsid w:val="00210772"/>
    <w:rsid w:val="00210B84"/>
    <w:rsid w:val="00211081"/>
    <w:rsid w:val="00211C19"/>
    <w:rsid w:val="00211E03"/>
    <w:rsid w:val="002122BF"/>
    <w:rsid w:val="00212813"/>
    <w:rsid w:val="00212A58"/>
    <w:rsid w:val="0021341D"/>
    <w:rsid w:val="002134C2"/>
    <w:rsid w:val="002135EB"/>
    <w:rsid w:val="002139FF"/>
    <w:rsid w:val="00213A39"/>
    <w:rsid w:val="00213AB5"/>
    <w:rsid w:val="0021434A"/>
    <w:rsid w:val="00214E99"/>
    <w:rsid w:val="0021504F"/>
    <w:rsid w:val="0021542D"/>
    <w:rsid w:val="00215447"/>
    <w:rsid w:val="00215503"/>
    <w:rsid w:val="002156ED"/>
    <w:rsid w:val="00215784"/>
    <w:rsid w:val="002158B3"/>
    <w:rsid w:val="002158DB"/>
    <w:rsid w:val="002161A1"/>
    <w:rsid w:val="002163BB"/>
    <w:rsid w:val="00216414"/>
    <w:rsid w:val="0021663A"/>
    <w:rsid w:val="00216D8A"/>
    <w:rsid w:val="00217101"/>
    <w:rsid w:val="00217334"/>
    <w:rsid w:val="00217736"/>
    <w:rsid w:val="00217D52"/>
    <w:rsid w:val="00220003"/>
    <w:rsid w:val="00220440"/>
    <w:rsid w:val="0022147C"/>
    <w:rsid w:val="00221576"/>
    <w:rsid w:val="0022219E"/>
    <w:rsid w:val="00222828"/>
    <w:rsid w:val="00222985"/>
    <w:rsid w:val="0022312A"/>
    <w:rsid w:val="00223456"/>
    <w:rsid w:val="00223756"/>
    <w:rsid w:val="00223929"/>
    <w:rsid w:val="0022394A"/>
    <w:rsid w:val="0022421B"/>
    <w:rsid w:val="00224525"/>
    <w:rsid w:val="00224738"/>
    <w:rsid w:val="00224A1E"/>
    <w:rsid w:val="00224F5A"/>
    <w:rsid w:val="002254A8"/>
    <w:rsid w:val="002258CA"/>
    <w:rsid w:val="0022598F"/>
    <w:rsid w:val="00225ECA"/>
    <w:rsid w:val="00226015"/>
    <w:rsid w:val="002263DD"/>
    <w:rsid w:val="002264D9"/>
    <w:rsid w:val="00226BC6"/>
    <w:rsid w:val="00227196"/>
    <w:rsid w:val="002273E2"/>
    <w:rsid w:val="00227619"/>
    <w:rsid w:val="0022782C"/>
    <w:rsid w:val="00227B4F"/>
    <w:rsid w:val="002307C1"/>
    <w:rsid w:val="00230912"/>
    <w:rsid w:val="0023094F"/>
    <w:rsid w:val="00230D9B"/>
    <w:rsid w:val="002311B2"/>
    <w:rsid w:val="00231547"/>
    <w:rsid w:val="00231597"/>
    <w:rsid w:val="00231758"/>
    <w:rsid w:val="00231C60"/>
    <w:rsid w:val="002325E4"/>
    <w:rsid w:val="002328E6"/>
    <w:rsid w:val="00232996"/>
    <w:rsid w:val="00232B44"/>
    <w:rsid w:val="002338CC"/>
    <w:rsid w:val="00233B50"/>
    <w:rsid w:val="00233CED"/>
    <w:rsid w:val="00233F79"/>
    <w:rsid w:val="0023403B"/>
    <w:rsid w:val="0023441C"/>
    <w:rsid w:val="00234431"/>
    <w:rsid w:val="00234473"/>
    <w:rsid w:val="002346CD"/>
    <w:rsid w:val="002346E9"/>
    <w:rsid w:val="0023471D"/>
    <w:rsid w:val="00234A77"/>
    <w:rsid w:val="00235089"/>
    <w:rsid w:val="00235302"/>
    <w:rsid w:val="002354E3"/>
    <w:rsid w:val="0023598E"/>
    <w:rsid w:val="00235CF4"/>
    <w:rsid w:val="00235D60"/>
    <w:rsid w:val="00235DA4"/>
    <w:rsid w:val="00236647"/>
    <w:rsid w:val="00237017"/>
    <w:rsid w:val="002371A8"/>
    <w:rsid w:val="00237294"/>
    <w:rsid w:val="002372A5"/>
    <w:rsid w:val="002374E1"/>
    <w:rsid w:val="002379BE"/>
    <w:rsid w:val="00237EF0"/>
    <w:rsid w:val="00240840"/>
    <w:rsid w:val="002409ED"/>
    <w:rsid w:val="00240E07"/>
    <w:rsid w:val="00240E0E"/>
    <w:rsid w:val="00240E8A"/>
    <w:rsid w:val="002411FD"/>
    <w:rsid w:val="0024121B"/>
    <w:rsid w:val="002412CA"/>
    <w:rsid w:val="00241398"/>
    <w:rsid w:val="002416AA"/>
    <w:rsid w:val="00241706"/>
    <w:rsid w:val="0024171C"/>
    <w:rsid w:val="00241BC2"/>
    <w:rsid w:val="00241C15"/>
    <w:rsid w:val="002422B7"/>
    <w:rsid w:val="002423B8"/>
    <w:rsid w:val="0024299B"/>
    <w:rsid w:val="002429D9"/>
    <w:rsid w:val="00242AD3"/>
    <w:rsid w:val="002430B5"/>
    <w:rsid w:val="00243138"/>
    <w:rsid w:val="002431CF"/>
    <w:rsid w:val="0024321C"/>
    <w:rsid w:val="0024345C"/>
    <w:rsid w:val="002434AC"/>
    <w:rsid w:val="00243528"/>
    <w:rsid w:val="0024382A"/>
    <w:rsid w:val="0024383E"/>
    <w:rsid w:val="00243968"/>
    <w:rsid w:val="0024430A"/>
    <w:rsid w:val="0024466F"/>
    <w:rsid w:val="002447D0"/>
    <w:rsid w:val="002448D7"/>
    <w:rsid w:val="0024571F"/>
    <w:rsid w:val="002458E0"/>
    <w:rsid w:val="00245BAC"/>
    <w:rsid w:val="0024606C"/>
    <w:rsid w:val="00246140"/>
    <w:rsid w:val="002461F6"/>
    <w:rsid w:val="002464E0"/>
    <w:rsid w:val="00246760"/>
    <w:rsid w:val="00246C3D"/>
    <w:rsid w:val="00246E45"/>
    <w:rsid w:val="00247646"/>
    <w:rsid w:val="002476EE"/>
    <w:rsid w:val="00247D11"/>
    <w:rsid w:val="00250298"/>
    <w:rsid w:val="00250895"/>
    <w:rsid w:val="00250BFF"/>
    <w:rsid w:val="00250C64"/>
    <w:rsid w:val="00250D06"/>
    <w:rsid w:val="00250DB4"/>
    <w:rsid w:val="0025128C"/>
    <w:rsid w:val="00251430"/>
    <w:rsid w:val="00251754"/>
    <w:rsid w:val="002518E6"/>
    <w:rsid w:val="00251953"/>
    <w:rsid w:val="0025195C"/>
    <w:rsid w:val="00251F5B"/>
    <w:rsid w:val="002520D7"/>
    <w:rsid w:val="002523EB"/>
    <w:rsid w:val="002524EA"/>
    <w:rsid w:val="00252EB1"/>
    <w:rsid w:val="00253488"/>
    <w:rsid w:val="002536AD"/>
    <w:rsid w:val="00253903"/>
    <w:rsid w:val="002539AA"/>
    <w:rsid w:val="00253A01"/>
    <w:rsid w:val="00254052"/>
    <w:rsid w:val="0025429F"/>
    <w:rsid w:val="0025457B"/>
    <w:rsid w:val="00254AA9"/>
    <w:rsid w:val="00254D74"/>
    <w:rsid w:val="002558B3"/>
    <w:rsid w:val="00255AD9"/>
    <w:rsid w:val="00255FD9"/>
    <w:rsid w:val="002560A3"/>
    <w:rsid w:val="0025651B"/>
    <w:rsid w:val="00256566"/>
    <w:rsid w:val="00257056"/>
    <w:rsid w:val="00257CFA"/>
    <w:rsid w:val="00257E99"/>
    <w:rsid w:val="00257F0E"/>
    <w:rsid w:val="0026125F"/>
    <w:rsid w:val="00261793"/>
    <w:rsid w:val="0026192A"/>
    <w:rsid w:val="0026197D"/>
    <w:rsid w:val="00261C60"/>
    <w:rsid w:val="00261D4D"/>
    <w:rsid w:val="002621EA"/>
    <w:rsid w:val="002627F9"/>
    <w:rsid w:val="00262B5C"/>
    <w:rsid w:val="00262CD6"/>
    <w:rsid w:val="00263001"/>
    <w:rsid w:val="00263024"/>
    <w:rsid w:val="00263423"/>
    <w:rsid w:val="00263430"/>
    <w:rsid w:val="00263CD5"/>
    <w:rsid w:val="0026440C"/>
    <w:rsid w:val="002645CD"/>
    <w:rsid w:val="0026484E"/>
    <w:rsid w:val="00264BBC"/>
    <w:rsid w:val="00264BE6"/>
    <w:rsid w:val="00264CEB"/>
    <w:rsid w:val="00264D33"/>
    <w:rsid w:val="00264D35"/>
    <w:rsid w:val="00264D60"/>
    <w:rsid w:val="00265345"/>
    <w:rsid w:val="00265CDC"/>
    <w:rsid w:val="00265DC9"/>
    <w:rsid w:val="00265EBC"/>
    <w:rsid w:val="0026632F"/>
    <w:rsid w:val="00266422"/>
    <w:rsid w:val="00266859"/>
    <w:rsid w:val="00266E9C"/>
    <w:rsid w:val="002678F4"/>
    <w:rsid w:val="00267E06"/>
    <w:rsid w:val="00267FA4"/>
    <w:rsid w:val="0027049D"/>
    <w:rsid w:val="00270780"/>
    <w:rsid w:val="0027092E"/>
    <w:rsid w:val="00270A25"/>
    <w:rsid w:val="00270CF0"/>
    <w:rsid w:val="00270E8A"/>
    <w:rsid w:val="002712A9"/>
    <w:rsid w:val="002713A8"/>
    <w:rsid w:val="00271FDC"/>
    <w:rsid w:val="0027292A"/>
    <w:rsid w:val="00273121"/>
    <w:rsid w:val="00273377"/>
    <w:rsid w:val="00273381"/>
    <w:rsid w:val="002738E2"/>
    <w:rsid w:val="0027401E"/>
    <w:rsid w:val="00274170"/>
    <w:rsid w:val="00274228"/>
    <w:rsid w:val="00274253"/>
    <w:rsid w:val="00274492"/>
    <w:rsid w:val="0027456A"/>
    <w:rsid w:val="0027494A"/>
    <w:rsid w:val="00274E62"/>
    <w:rsid w:val="00275121"/>
    <w:rsid w:val="00275319"/>
    <w:rsid w:val="002754B1"/>
    <w:rsid w:val="00275927"/>
    <w:rsid w:val="00275AD7"/>
    <w:rsid w:val="00275FD1"/>
    <w:rsid w:val="002762C9"/>
    <w:rsid w:val="00276564"/>
    <w:rsid w:val="002766EF"/>
    <w:rsid w:val="0027695D"/>
    <w:rsid w:val="00276C7E"/>
    <w:rsid w:val="00277231"/>
    <w:rsid w:val="00277395"/>
    <w:rsid w:val="00277630"/>
    <w:rsid w:val="0027764A"/>
    <w:rsid w:val="00277771"/>
    <w:rsid w:val="00277889"/>
    <w:rsid w:val="00277DC1"/>
    <w:rsid w:val="002802B2"/>
    <w:rsid w:val="002805CF"/>
    <w:rsid w:val="00280712"/>
    <w:rsid w:val="002808DB"/>
    <w:rsid w:val="002808F1"/>
    <w:rsid w:val="00280EC9"/>
    <w:rsid w:val="00280F68"/>
    <w:rsid w:val="0028117D"/>
    <w:rsid w:val="00281242"/>
    <w:rsid w:val="0028139D"/>
    <w:rsid w:val="00281554"/>
    <w:rsid w:val="002818F8"/>
    <w:rsid w:val="00281D1D"/>
    <w:rsid w:val="002822B8"/>
    <w:rsid w:val="002824BA"/>
    <w:rsid w:val="00282568"/>
    <w:rsid w:val="00282631"/>
    <w:rsid w:val="002829AC"/>
    <w:rsid w:val="00282B34"/>
    <w:rsid w:val="00282C0D"/>
    <w:rsid w:val="00282C3A"/>
    <w:rsid w:val="00282CA6"/>
    <w:rsid w:val="00282D1C"/>
    <w:rsid w:val="00282EF2"/>
    <w:rsid w:val="0028325D"/>
    <w:rsid w:val="002833E3"/>
    <w:rsid w:val="002836B5"/>
    <w:rsid w:val="002837E3"/>
    <w:rsid w:val="002837EC"/>
    <w:rsid w:val="002837FE"/>
    <w:rsid w:val="00283874"/>
    <w:rsid w:val="00283C5A"/>
    <w:rsid w:val="00283DED"/>
    <w:rsid w:val="00283DF5"/>
    <w:rsid w:val="002844C8"/>
    <w:rsid w:val="0028472E"/>
    <w:rsid w:val="00284949"/>
    <w:rsid w:val="00284B80"/>
    <w:rsid w:val="00284DCC"/>
    <w:rsid w:val="00284E33"/>
    <w:rsid w:val="002850BD"/>
    <w:rsid w:val="002852AC"/>
    <w:rsid w:val="00285A7E"/>
    <w:rsid w:val="00285E8E"/>
    <w:rsid w:val="00285F49"/>
    <w:rsid w:val="00286231"/>
    <w:rsid w:val="0028646A"/>
    <w:rsid w:val="002869A6"/>
    <w:rsid w:val="002869EE"/>
    <w:rsid w:val="0028731F"/>
    <w:rsid w:val="002874D6"/>
    <w:rsid w:val="0028758F"/>
    <w:rsid w:val="0028781E"/>
    <w:rsid w:val="00287DD4"/>
    <w:rsid w:val="00290244"/>
    <w:rsid w:val="002902A1"/>
    <w:rsid w:val="00290336"/>
    <w:rsid w:val="00290361"/>
    <w:rsid w:val="00290497"/>
    <w:rsid w:val="0029087F"/>
    <w:rsid w:val="002908DA"/>
    <w:rsid w:val="00290A79"/>
    <w:rsid w:val="00290CD6"/>
    <w:rsid w:val="00290D1F"/>
    <w:rsid w:val="00291059"/>
    <w:rsid w:val="002911E3"/>
    <w:rsid w:val="0029172F"/>
    <w:rsid w:val="00291772"/>
    <w:rsid w:val="0029178E"/>
    <w:rsid w:val="00291B0F"/>
    <w:rsid w:val="00291F8F"/>
    <w:rsid w:val="002921CC"/>
    <w:rsid w:val="00292326"/>
    <w:rsid w:val="00292431"/>
    <w:rsid w:val="00292D49"/>
    <w:rsid w:val="00292E39"/>
    <w:rsid w:val="00293040"/>
    <w:rsid w:val="00293164"/>
    <w:rsid w:val="002931E8"/>
    <w:rsid w:val="002934C8"/>
    <w:rsid w:val="002935C2"/>
    <w:rsid w:val="0029367B"/>
    <w:rsid w:val="00293B25"/>
    <w:rsid w:val="00294030"/>
    <w:rsid w:val="00294530"/>
    <w:rsid w:val="00294724"/>
    <w:rsid w:val="0029478E"/>
    <w:rsid w:val="00294A23"/>
    <w:rsid w:val="00294D2A"/>
    <w:rsid w:val="00294F46"/>
    <w:rsid w:val="00294FE7"/>
    <w:rsid w:val="0029534F"/>
    <w:rsid w:val="0029539B"/>
    <w:rsid w:val="002954B3"/>
    <w:rsid w:val="00295532"/>
    <w:rsid w:val="00295791"/>
    <w:rsid w:val="00295917"/>
    <w:rsid w:val="00295D13"/>
    <w:rsid w:val="00296256"/>
    <w:rsid w:val="002962ED"/>
    <w:rsid w:val="00296333"/>
    <w:rsid w:val="002965EB"/>
    <w:rsid w:val="002973C2"/>
    <w:rsid w:val="002974CD"/>
    <w:rsid w:val="0029767C"/>
    <w:rsid w:val="00297AE5"/>
    <w:rsid w:val="00297E02"/>
    <w:rsid w:val="00297E66"/>
    <w:rsid w:val="00297E85"/>
    <w:rsid w:val="002A01C4"/>
    <w:rsid w:val="002A09C7"/>
    <w:rsid w:val="002A09EB"/>
    <w:rsid w:val="002A0A10"/>
    <w:rsid w:val="002A0BF6"/>
    <w:rsid w:val="002A12A7"/>
    <w:rsid w:val="002A14D8"/>
    <w:rsid w:val="002A1C42"/>
    <w:rsid w:val="002A1DC7"/>
    <w:rsid w:val="002A2A52"/>
    <w:rsid w:val="002A2E42"/>
    <w:rsid w:val="002A2E59"/>
    <w:rsid w:val="002A31B4"/>
    <w:rsid w:val="002A35F6"/>
    <w:rsid w:val="002A3833"/>
    <w:rsid w:val="002A3D15"/>
    <w:rsid w:val="002A3E74"/>
    <w:rsid w:val="002A41AD"/>
    <w:rsid w:val="002A4252"/>
    <w:rsid w:val="002A42F1"/>
    <w:rsid w:val="002A4332"/>
    <w:rsid w:val="002A49CC"/>
    <w:rsid w:val="002A4C93"/>
    <w:rsid w:val="002A4E34"/>
    <w:rsid w:val="002A5502"/>
    <w:rsid w:val="002A6A37"/>
    <w:rsid w:val="002A6B9C"/>
    <w:rsid w:val="002A6FEA"/>
    <w:rsid w:val="002A75F9"/>
    <w:rsid w:val="002A7685"/>
    <w:rsid w:val="002A7687"/>
    <w:rsid w:val="002A76A4"/>
    <w:rsid w:val="002A784D"/>
    <w:rsid w:val="002B03B2"/>
    <w:rsid w:val="002B0511"/>
    <w:rsid w:val="002B0F1D"/>
    <w:rsid w:val="002B1423"/>
    <w:rsid w:val="002B164A"/>
    <w:rsid w:val="002B169A"/>
    <w:rsid w:val="002B2331"/>
    <w:rsid w:val="002B2642"/>
    <w:rsid w:val="002B267D"/>
    <w:rsid w:val="002B27BB"/>
    <w:rsid w:val="002B2832"/>
    <w:rsid w:val="002B291C"/>
    <w:rsid w:val="002B2992"/>
    <w:rsid w:val="002B2AB5"/>
    <w:rsid w:val="002B2BFB"/>
    <w:rsid w:val="002B3241"/>
    <w:rsid w:val="002B3910"/>
    <w:rsid w:val="002B3B25"/>
    <w:rsid w:val="002B3B37"/>
    <w:rsid w:val="002B3CE3"/>
    <w:rsid w:val="002B3D5D"/>
    <w:rsid w:val="002B3DD7"/>
    <w:rsid w:val="002B4676"/>
    <w:rsid w:val="002B4718"/>
    <w:rsid w:val="002B475F"/>
    <w:rsid w:val="002B480E"/>
    <w:rsid w:val="002B4B97"/>
    <w:rsid w:val="002B4E2C"/>
    <w:rsid w:val="002B4F0D"/>
    <w:rsid w:val="002B4F4F"/>
    <w:rsid w:val="002B4F6C"/>
    <w:rsid w:val="002B4FD2"/>
    <w:rsid w:val="002B5B05"/>
    <w:rsid w:val="002B61E5"/>
    <w:rsid w:val="002B6B9B"/>
    <w:rsid w:val="002B6E7A"/>
    <w:rsid w:val="002B7226"/>
    <w:rsid w:val="002B76D0"/>
    <w:rsid w:val="002B77B8"/>
    <w:rsid w:val="002B77DA"/>
    <w:rsid w:val="002B77F2"/>
    <w:rsid w:val="002B794D"/>
    <w:rsid w:val="002B7C29"/>
    <w:rsid w:val="002B7CF5"/>
    <w:rsid w:val="002C013D"/>
    <w:rsid w:val="002C06CD"/>
    <w:rsid w:val="002C0DF1"/>
    <w:rsid w:val="002C0FD0"/>
    <w:rsid w:val="002C1081"/>
    <w:rsid w:val="002C116B"/>
    <w:rsid w:val="002C11C6"/>
    <w:rsid w:val="002C15D4"/>
    <w:rsid w:val="002C1734"/>
    <w:rsid w:val="002C1F22"/>
    <w:rsid w:val="002C20D7"/>
    <w:rsid w:val="002C2427"/>
    <w:rsid w:val="002C27DD"/>
    <w:rsid w:val="002C28B1"/>
    <w:rsid w:val="002C2E65"/>
    <w:rsid w:val="002C305A"/>
    <w:rsid w:val="002C31F0"/>
    <w:rsid w:val="002C39AF"/>
    <w:rsid w:val="002C3A2B"/>
    <w:rsid w:val="002C3DE7"/>
    <w:rsid w:val="002C3E16"/>
    <w:rsid w:val="002C3F98"/>
    <w:rsid w:val="002C4262"/>
    <w:rsid w:val="002C43A7"/>
    <w:rsid w:val="002C4402"/>
    <w:rsid w:val="002C487F"/>
    <w:rsid w:val="002C536D"/>
    <w:rsid w:val="002C5925"/>
    <w:rsid w:val="002C594D"/>
    <w:rsid w:val="002C59AC"/>
    <w:rsid w:val="002C5A6B"/>
    <w:rsid w:val="002C5B32"/>
    <w:rsid w:val="002C5CFF"/>
    <w:rsid w:val="002C6336"/>
    <w:rsid w:val="002C679E"/>
    <w:rsid w:val="002C6FFA"/>
    <w:rsid w:val="002C711A"/>
    <w:rsid w:val="002C74E4"/>
    <w:rsid w:val="002C7A77"/>
    <w:rsid w:val="002C7BBD"/>
    <w:rsid w:val="002C7CA8"/>
    <w:rsid w:val="002D061D"/>
    <w:rsid w:val="002D09B2"/>
    <w:rsid w:val="002D0AA6"/>
    <w:rsid w:val="002D0B86"/>
    <w:rsid w:val="002D18EC"/>
    <w:rsid w:val="002D20D7"/>
    <w:rsid w:val="002D24FA"/>
    <w:rsid w:val="002D279E"/>
    <w:rsid w:val="002D27F7"/>
    <w:rsid w:val="002D286B"/>
    <w:rsid w:val="002D2B1D"/>
    <w:rsid w:val="002D328F"/>
    <w:rsid w:val="002D37CF"/>
    <w:rsid w:val="002D3DC3"/>
    <w:rsid w:val="002D402A"/>
    <w:rsid w:val="002D43C8"/>
    <w:rsid w:val="002D466D"/>
    <w:rsid w:val="002D48E7"/>
    <w:rsid w:val="002D4B73"/>
    <w:rsid w:val="002D4EE7"/>
    <w:rsid w:val="002D4F3F"/>
    <w:rsid w:val="002D55F0"/>
    <w:rsid w:val="002D5759"/>
    <w:rsid w:val="002D5A5B"/>
    <w:rsid w:val="002D5ABA"/>
    <w:rsid w:val="002D5B32"/>
    <w:rsid w:val="002D5B47"/>
    <w:rsid w:val="002D5BC7"/>
    <w:rsid w:val="002D5EC3"/>
    <w:rsid w:val="002D6B29"/>
    <w:rsid w:val="002D6B54"/>
    <w:rsid w:val="002D6E6D"/>
    <w:rsid w:val="002D76F9"/>
    <w:rsid w:val="002D7ACC"/>
    <w:rsid w:val="002E04D4"/>
    <w:rsid w:val="002E05A8"/>
    <w:rsid w:val="002E086D"/>
    <w:rsid w:val="002E09AB"/>
    <w:rsid w:val="002E0FFC"/>
    <w:rsid w:val="002E1050"/>
    <w:rsid w:val="002E13E7"/>
    <w:rsid w:val="002E14A8"/>
    <w:rsid w:val="002E19F7"/>
    <w:rsid w:val="002E1A60"/>
    <w:rsid w:val="002E1CFC"/>
    <w:rsid w:val="002E1D2E"/>
    <w:rsid w:val="002E23E7"/>
    <w:rsid w:val="002E2473"/>
    <w:rsid w:val="002E24F8"/>
    <w:rsid w:val="002E2AE6"/>
    <w:rsid w:val="002E2C12"/>
    <w:rsid w:val="002E2FAE"/>
    <w:rsid w:val="002E3110"/>
    <w:rsid w:val="002E32E0"/>
    <w:rsid w:val="002E351E"/>
    <w:rsid w:val="002E363F"/>
    <w:rsid w:val="002E3837"/>
    <w:rsid w:val="002E3BC8"/>
    <w:rsid w:val="002E4195"/>
    <w:rsid w:val="002E4CEC"/>
    <w:rsid w:val="002E4D2F"/>
    <w:rsid w:val="002E5430"/>
    <w:rsid w:val="002E5584"/>
    <w:rsid w:val="002E563F"/>
    <w:rsid w:val="002E570D"/>
    <w:rsid w:val="002E57E1"/>
    <w:rsid w:val="002E5B61"/>
    <w:rsid w:val="002E6063"/>
    <w:rsid w:val="002E65DB"/>
    <w:rsid w:val="002E6C88"/>
    <w:rsid w:val="002E6DA4"/>
    <w:rsid w:val="002E7515"/>
    <w:rsid w:val="002E7607"/>
    <w:rsid w:val="002E7CC4"/>
    <w:rsid w:val="002E7FC3"/>
    <w:rsid w:val="002F0350"/>
    <w:rsid w:val="002F0519"/>
    <w:rsid w:val="002F0BF6"/>
    <w:rsid w:val="002F1875"/>
    <w:rsid w:val="002F209E"/>
    <w:rsid w:val="002F2176"/>
    <w:rsid w:val="002F24EC"/>
    <w:rsid w:val="002F2637"/>
    <w:rsid w:val="002F265F"/>
    <w:rsid w:val="002F26E9"/>
    <w:rsid w:val="002F2942"/>
    <w:rsid w:val="002F2FB4"/>
    <w:rsid w:val="002F327F"/>
    <w:rsid w:val="002F393E"/>
    <w:rsid w:val="002F3B10"/>
    <w:rsid w:val="002F3C9D"/>
    <w:rsid w:val="002F3E96"/>
    <w:rsid w:val="002F3E97"/>
    <w:rsid w:val="002F4005"/>
    <w:rsid w:val="002F40C7"/>
    <w:rsid w:val="002F4234"/>
    <w:rsid w:val="002F425F"/>
    <w:rsid w:val="002F42EA"/>
    <w:rsid w:val="002F452C"/>
    <w:rsid w:val="002F4563"/>
    <w:rsid w:val="002F4730"/>
    <w:rsid w:val="002F4B23"/>
    <w:rsid w:val="002F4F89"/>
    <w:rsid w:val="002F5185"/>
    <w:rsid w:val="002F532F"/>
    <w:rsid w:val="002F5A4D"/>
    <w:rsid w:val="002F5D84"/>
    <w:rsid w:val="002F5EBE"/>
    <w:rsid w:val="002F5F5B"/>
    <w:rsid w:val="002F604D"/>
    <w:rsid w:val="002F67F5"/>
    <w:rsid w:val="002F68FF"/>
    <w:rsid w:val="002F6CED"/>
    <w:rsid w:val="002F6DC5"/>
    <w:rsid w:val="002F73D5"/>
    <w:rsid w:val="002F7555"/>
    <w:rsid w:val="002F76F3"/>
    <w:rsid w:val="002F7C55"/>
    <w:rsid w:val="002F7C75"/>
    <w:rsid w:val="002F7E0E"/>
    <w:rsid w:val="002F7E76"/>
    <w:rsid w:val="0030033D"/>
    <w:rsid w:val="00300440"/>
    <w:rsid w:val="0030060F"/>
    <w:rsid w:val="0030082C"/>
    <w:rsid w:val="00300C54"/>
    <w:rsid w:val="00300CF6"/>
    <w:rsid w:val="00300D7E"/>
    <w:rsid w:val="00300DEA"/>
    <w:rsid w:val="00301116"/>
    <w:rsid w:val="0030120A"/>
    <w:rsid w:val="0030167B"/>
    <w:rsid w:val="003017D3"/>
    <w:rsid w:val="00301D14"/>
    <w:rsid w:val="00301F40"/>
    <w:rsid w:val="0030222F"/>
    <w:rsid w:val="0030283F"/>
    <w:rsid w:val="0030288B"/>
    <w:rsid w:val="00302978"/>
    <w:rsid w:val="003029F1"/>
    <w:rsid w:val="00302AAD"/>
    <w:rsid w:val="00302B43"/>
    <w:rsid w:val="00302C1B"/>
    <w:rsid w:val="00302C3B"/>
    <w:rsid w:val="00302FBE"/>
    <w:rsid w:val="00303545"/>
    <w:rsid w:val="00303593"/>
    <w:rsid w:val="0030369F"/>
    <w:rsid w:val="00303B44"/>
    <w:rsid w:val="00303BC8"/>
    <w:rsid w:val="00303C35"/>
    <w:rsid w:val="00303F42"/>
    <w:rsid w:val="00304B2C"/>
    <w:rsid w:val="00304E8E"/>
    <w:rsid w:val="0030526C"/>
    <w:rsid w:val="00305831"/>
    <w:rsid w:val="00305EFB"/>
    <w:rsid w:val="00306542"/>
    <w:rsid w:val="00306642"/>
    <w:rsid w:val="003069FC"/>
    <w:rsid w:val="00306B8B"/>
    <w:rsid w:val="00307017"/>
    <w:rsid w:val="00307338"/>
    <w:rsid w:val="0030775D"/>
    <w:rsid w:val="00307762"/>
    <w:rsid w:val="003078DF"/>
    <w:rsid w:val="003079FF"/>
    <w:rsid w:val="00307C66"/>
    <w:rsid w:val="003107E6"/>
    <w:rsid w:val="00310A57"/>
    <w:rsid w:val="003115C9"/>
    <w:rsid w:val="00311685"/>
    <w:rsid w:val="00311931"/>
    <w:rsid w:val="00312318"/>
    <w:rsid w:val="003126C6"/>
    <w:rsid w:val="00312A1E"/>
    <w:rsid w:val="00312A58"/>
    <w:rsid w:val="00312E0B"/>
    <w:rsid w:val="00313014"/>
    <w:rsid w:val="00313196"/>
    <w:rsid w:val="003139EA"/>
    <w:rsid w:val="00313A11"/>
    <w:rsid w:val="00313BBD"/>
    <w:rsid w:val="00313DB2"/>
    <w:rsid w:val="00314086"/>
    <w:rsid w:val="003141C8"/>
    <w:rsid w:val="0031452A"/>
    <w:rsid w:val="00314E4F"/>
    <w:rsid w:val="00314EB6"/>
    <w:rsid w:val="003150B9"/>
    <w:rsid w:val="0031543C"/>
    <w:rsid w:val="00315B04"/>
    <w:rsid w:val="00315F48"/>
    <w:rsid w:val="00316507"/>
    <w:rsid w:val="00316BB3"/>
    <w:rsid w:val="00316F0C"/>
    <w:rsid w:val="00316F63"/>
    <w:rsid w:val="00316FA7"/>
    <w:rsid w:val="003170A3"/>
    <w:rsid w:val="003170BE"/>
    <w:rsid w:val="0031722D"/>
    <w:rsid w:val="003173C2"/>
    <w:rsid w:val="003173E3"/>
    <w:rsid w:val="00317700"/>
    <w:rsid w:val="003178C0"/>
    <w:rsid w:val="00317C5B"/>
    <w:rsid w:val="003202DA"/>
    <w:rsid w:val="00320397"/>
    <w:rsid w:val="003207FF"/>
    <w:rsid w:val="00320854"/>
    <w:rsid w:val="00320D93"/>
    <w:rsid w:val="00320FC0"/>
    <w:rsid w:val="00321111"/>
    <w:rsid w:val="003211E0"/>
    <w:rsid w:val="00321461"/>
    <w:rsid w:val="00321B41"/>
    <w:rsid w:val="00321E1D"/>
    <w:rsid w:val="00321FD2"/>
    <w:rsid w:val="003223FB"/>
    <w:rsid w:val="00322820"/>
    <w:rsid w:val="003228A9"/>
    <w:rsid w:val="003229E0"/>
    <w:rsid w:val="00322B3A"/>
    <w:rsid w:val="00322D96"/>
    <w:rsid w:val="00322DCB"/>
    <w:rsid w:val="00322E7B"/>
    <w:rsid w:val="00322F99"/>
    <w:rsid w:val="00323110"/>
    <w:rsid w:val="003233D8"/>
    <w:rsid w:val="003233E1"/>
    <w:rsid w:val="0032348B"/>
    <w:rsid w:val="003239A2"/>
    <w:rsid w:val="00323CD2"/>
    <w:rsid w:val="00323D84"/>
    <w:rsid w:val="00323F47"/>
    <w:rsid w:val="0032446F"/>
    <w:rsid w:val="003246B5"/>
    <w:rsid w:val="00324B6B"/>
    <w:rsid w:val="00324CBA"/>
    <w:rsid w:val="00324CC7"/>
    <w:rsid w:val="00325083"/>
    <w:rsid w:val="00325087"/>
    <w:rsid w:val="00325684"/>
    <w:rsid w:val="003257FD"/>
    <w:rsid w:val="00325ACF"/>
    <w:rsid w:val="00325C63"/>
    <w:rsid w:val="00325D45"/>
    <w:rsid w:val="003269BE"/>
    <w:rsid w:val="00326AF9"/>
    <w:rsid w:val="00326E18"/>
    <w:rsid w:val="0032748D"/>
    <w:rsid w:val="00327691"/>
    <w:rsid w:val="0033033D"/>
    <w:rsid w:val="00330525"/>
    <w:rsid w:val="0033096D"/>
    <w:rsid w:val="003309CC"/>
    <w:rsid w:val="00330CD1"/>
    <w:rsid w:val="00330CD6"/>
    <w:rsid w:val="00330D32"/>
    <w:rsid w:val="003310EA"/>
    <w:rsid w:val="003312BA"/>
    <w:rsid w:val="0033130B"/>
    <w:rsid w:val="00331547"/>
    <w:rsid w:val="003319D2"/>
    <w:rsid w:val="00331BBB"/>
    <w:rsid w:val="00331C0F"/>
    <w:rsid w:val="00331DE9"/>
    <w:rsid w:val="00331FD4"/>
    <w:rsid w:val="003329F2"/>
    <w:rsid w:val="00332B9F"/>
    <w:rsid w:val="003332C3"/>
    <w:rsid w:val="00334103"/>
    <w:rsid w:val="00334266"/>
    <w:rsid w:val="00334863"/>
    <w:rsid w:val="00334914"/>
    <w:rsid w:val="00334D9C"/>
    <w:rsid w:val="0033583B"/>
    <w:rsid w:val="00335956"/>
    <w:rsid w:val="00335C08"/>
    <w:rsid w:val="00335D4E"/>
    <w:rsid w:val="00335ECB"/>
    <w:rsid w:val="0033616D"/>
    <w:rsid w:val="003361C6"/>
    <w:rsid w:val="00336400"/>
    <w:rsid w:val="003366D1"/>
    <w:rsid w:val="0033673B"/>
    <w:rsid w:val="003367CC"/>
    <w:rsid w:val="003367E8"/>
    <w:rsid w:val="003368D8"/>
    <w:rsid w:val="00336AB4"/>
    <w:rsid w:val="00336E16"/>
    <w:rsid w:val="00337161"/>
    <w:rsid w:val="003373F9"/>
    <w:rsid w:val="00337563"/>
    <w:rsid w:val="003375A6"/>
    <w:rsid w:val="003377E2"/>
    <w:rsid w:val="00337989"/>
    <w:rsid w:val="00337AB1"/>
    <w:rsid w:val="00337CC0"/>
    <w:rsid w:val="00337E50"/>
    <w:rsid w:val="003402FA"/>
    <w:rsid w:val="00340480"/>
    <w:rsid w:val="00340D22"/>
    <w:rsid w:val="00340D94"/>
    <w:rsid w:val="00340EC2"/>
    <w:rsid w:val="003412E4"/>
    <w:rsid w:val="003419BC"/>
    <w:rsid w:val="00341B42"/>
    <w:rsid w:val="00341E9B"/>
    <w:rsid w:val="00341EC6"/>
    <w:rsid w:val="0034244F"/>
    <w:rsid w:val="00342EA3"/>
    <w:rsid w:val="0034302C"/>
    <w:rsid w:val="003435C4"/>
    <w:rsid w:val="00343666"/>
    <w:rsid w:val="00344369"/>
    <w:rsid w:val="0034439A"/>
    <w:rsid w:val="0034491A"/>
    <w:rsid w:val="00344A35"/>
    <w:rsid w:val="00344AB8"/>
    <w:rsid w:val="00344CFE"/>
    <w:rsid w:val="003455AF"/>
    <w:rsid w:val="00345C14"/>
    <w:rsid w:val="003461CE"/>
    <w:rsid w:val="003461F9"/>
    <w:rsid w:val="0034620C"/>
    <w:rsid w:val="0034646A"/>
    <w:rsid w:val="003466A3"/>
    <w:rsid w:val="00346725"/>
    <w:rsid w:val="00346794"/>
    <w:rsid w:val="0034698F"/>
    <w:rsid w:val="00346FCC"/>
    <w:rsid w:val="00347051"/>
    <w:rsid w:val="00347207"/>
    <w:rsid w:val="003474BC"/>
    <w:rsid w:val="00347790"/>
    <w:rsid w:val="00347917"/>
    <w:rsid w:val="00347932"/>
    <w:rsid w:val="00347B18"/>
    <w:rsid w:val="00347B7F"/>
    <w:rsid w:val="00347FF1"/>
    <w:rsid w:val="003504A6"/>
    <w:rsid w:val="003504D3"/>
    <w:rsid w:val="00350893"/>
    <w:rsid w:val="003508F9"/>
    <w:rsid w:val="00350D4A"/>
    <w:rsid w:val="00350F7C"/>
    <w:rsid w:val="00351971"/>
    <w:rsid w:val="00351B1C"/>
    <w:rsid w:val="00352099"/>
    <w:rsid w:val="0035242E"/>
    <w:rsid w:val="003526C6"/>
    <w:rsid w:val="00352AA1"/>
    <w:rsid w:val="00353614"/>
    <w:rsid w:val="0035385C"/>
    <w:rsid w:val="00353AFB"/>
    <w:rsid w:val="00353D43"/>
    <w:rsid w:val="00353F72"/>
    <w:rsid w:val="00353FC7"/>
    <w:rsid w:val="0035449C"/>
    <w:rsid w:val="0035481A"/>
    <w:rsid w:val="00354B4A"/>
    <w:rsid w:val="00354C48"/>
    <w:rsid w:val="00354CEC"/>
    <w:rsid w:val="0035518C"/>
    <w:rsid w:val="00355513"/>
    <w:rsid w:val="00355C06"/>
    <w:rsid w:val="003560CF"/>
    <w:rsid w:val="003562B1"/>
    <w:rsid w:val="003566DB"/>
    <w:rsid w:val="00356902"/>
    <w:rsid w:val="00356CD7"/>
    <w:rsid w:val="00356F8D"/>
    <w:rsid w:val="0035720D"/>
    <w:rsid w:val="0035742C"/>
    <w:rsid w:val="00357616"/>
    <w:rsid w:val="00357FB4"/>
    <w:rsid w:val="00360075"/>
    <w:rsid w:val="00360790"/>
    <w:rsid w:val="00360985"/>
    <w:rsid w:val="00360B6F"/>
    <w:rsid w:val="00360FFA"/>
    <w:rsid w:val="00361463"/>
    <w:rsid w:val="003615E0"/>
    <w:rsid w:val="00361675"/>
    <w:rsid w:val="00361696"/>
    <w:rsid w:val="003619C1"/>
    <w:rsid w:val="00361C25"/>
    <w:rsid w:val="00361CC9"/>
    <w:rsid w:val="003623CC"/>
    <w:rsid w:val="003628C8"/>
    <w:rsid w:val="00362912"/>
    <w:rsid w:val="003629C4"/>
    <w:rsid w:val="00362A52"/>
    <w:rsid w:val="00362A94"/>
    <w:rsid w:val="00362FA2"/>
    <w:rsid w:val="00363324"/>
    <w:rsid w:val="003635DF"/>
    <w:rsid w:val="00363846"/>
    <w:rsid w:val="0036386F"/>
    <w:rsid w:val="00363BD6"/>
    <w:rsid w:val="00363D6D"/>
    <w:rsid w:val="00363E37"/>
    <w:rsid w:val="00363EDD"/>
    <w:rsid w:val="003640DB"/>
    <w:rsid w:val="003640F1"/>
    <w:rsid w:val="003645F9"/>
    <w:rsid w:val="003648B6"/>
    <w:rsid w:val="003648DE"/>
    <w:rsid w:val="00364B4C"/>
    <w:rsid w:val="00364C9B"/>
    <w:rsid w:val="003650CA"/>
    <w:rsid w:val="0036510E"/>
    <w:rsid w:val="003654BF"/>
    <w:rsid w:val="00365739"/>
    <w:rsid w:val="00365821"/>
    <w:rsid w:val="0036585B"/>
    <w:rsid w:val="0036597E"/>
    <w:rsid w:val="00365B88"/>
    <w:rsid w:val="00365BB9"/>
    <w:rsid w:val="00365C03"/>
    <w:rsid w:val="0036610A"/>
    <w:rsid w:val="0036660D"/>
    <w:rsid w:val="003666A8"/>
    <w:rsid w:val="00366D77"/>
    <w:rsid w:val="0036705E"/>
    <w:rsid w:val="00367140"/>
    <w:rsid w:val="0036784F"/>
    <w:rsid w:val="00367997"/>
    <w:rsid w:val="00370315"/>
    <w:rsid w:val="00370451"/>
    <w:rsid w:val="00370904"/>
    <w:rsid w:val="00370EA3"/>
    <w:rsid w:val="00370F91"/>
    <w:rsid w:val="0037105E"/>
    <w:rsid w:val="003711A8"/>
    <w:rsid w:val="00371381"/>
    <w:rsid w:val="003713E2"/>
    <w:rsid w:val="00371D78"/>
    <w:rsid w:val="003720F5"/>
    <w:rsid w:val="003721AA"/>
    <w:rsid w:val="00372501"/>
    <w:rsid w:val="00372867"/>
    <w:rsid w:val="00372892"/>
    <w:rsid w:val="003734B0"/>
    <w:rsid w:val="00373659"/>
    <w:rsid w:val="00373A5E"/>
    <w:rsid w:val="00373A98"/>
    <w:rsid w:val="00373BC0"/>
    <w:rsid w:val="00373F4C"/>
    <w:rsid w:val="00374114"/>
    <w:rsid w:val="0037455B"/>
    <w:rsid w:val="00374683"/>
    <w:rsid w:val="003746DE"/>
    <w:rsid w:val="003747F7"/>
    <w:rsid w:val="00374EE3"/>
    <w:rsid w:val="00375011"/>
    <w:rsid w:val="0037501C"/>
    <w:rsid w:val="003753B2"/>
    <w:rsid w:val="003756AC"/>
    <w:rsid w:val="003757F0"/>
    <w:rsid w:val="00375F25"/>
    <w:rsid w:val="003760B1"/>
    <w:rsid w:val="003762C4"/>
    <w:rsid w:val="003766A3"/>
    <w:rsid w:val="003769B4"/>
    <w:rsid w:val="00376E28"/>
    <w:rsid w:val="00377081"/>
    <w:rsid w:val="00377B84"/>
    <w:rsid w:val="00377C1A"/>
    <w:rsid w:val="00377C9E"/>
    <w:rsid w:val="00377DD7"/>
    <w:rsid w:val="0038040B"/>
    <w:rsid w:val="00380607"/>
    <w:rsid w:val="0038078F"/>
    <w:rsid w:val="00380847"/>
    <w:rsid w:val="00380AED"/>
    <w:rsid w:val="00380B95"/>
    <w:rsid w:val="00380EDE"/>
    <w:rsid w:val="00381264"/>
    <w:rsid w:val="00381278"/>
    <w:rsid w:val="003813BD"/>
    <w:rsid w:val="003813E1"/>
    <w:rsid w:val="003814CB"/>
    <w:rsid w:val="00382143"/>
    <w:rsid w:val="003823D9"/>
    <w:rsid w:val="00382416"/>
    <w:rsid w:val="00382C3C"/>
    <w:rsid w:val="00383344"/>
    <w:rsid w:val="00383812"/>
    <w:rsid w:val="00383CF5"/>
    <w:rsid w:val="00383F77"/>
    <w:rsid w:val="00383FAF"/>
    <w:rsid w:val="00384883"/>
    <w:rsid w:val="00384CE0"/>
    <w:rsid w:val="00385262"/>
    <w:rsid w:val="003852E0"/>
    <w:rsid w:val="0038532C"/>
    <w:rsid w:val="00385671"/>
    <w:rsid w:val="00385C5E"/>
    <w:rsid w:val="00385D1C"/>
    <w:rsid w:val="00385FD0"/>
    <w:rsid w:val="00386968"/>
    <w:rsid w:val="00386B7A"/>
    <w:rsid w:val="00386C15"/>
    <w:rsid w:val="00386CD5"/>
    <w:rsid w:val="00386D67"/>
    <w:rsid w:val="00387155"/>
    <w:rsid w:val="003871FE"/>
    <w:rsid w:val="003877DE"/>
    <w:rsid w:val="00387BA2"/>
    <w:rsid w:val="00387E70"/>
    <w:rsid w:val="00390847"/>
    <w:rsid w:val="00390C04"/>
    <w:rsid w:val="003915D7"/>
    <w:rsid w:val="00391C71"/>
    <w:rsid w:val="00391DEB"/>
    <w:rsid w:val="00391E9B"/>
    <w:rsid w:val="00391EF6"/>
    <w:rsid w:val="00393310"/>
    <w:rsid w:val="003936A9"/>
    <w:rsid w:val="0039389E"/>
    <w:rsid w:val="00393A02"/>
    <w:rsid w:val="00394999"/>
    <w:rsid w:val="00395186"/>
    <w:rsid w:val="00395C70"/>
    <w:rsid w:val="00395D81"/>
    <w:rsid w:val="00395F12"/>
    <w:rsid w:val="00395F59"/>
    <w:rsid w:val="0039644D"/>
    <w:rsid w:val="00396DD8"/>
    <w:rsid w:val="003971E1"/>
    <w:rsid w:val="00397606"/>
    <w:rsid w:val="003976FD"/>
    <w:rsid w:val="0039783F"/>
    <w:rsid w:val="003978F7"/>
    <w:rsid w:val="00397D38"/>
    <w:rsid w:val="00397DA9"/>
    <w:rsid w:val="00397F77"/>
    <w:rsid w:val="003A030F"/>
    <w:rsid w:val="003A0524"/>
    <w:rsid w:val="003A06ED"/>
    <w:rsid w:val="003A1227"/>
    <w:rsid w:val="003A1FF0"/>
    <w:rsid w:val="003A256F"/>
    <w:rsid w:val="003A25F1"/>
    <w:rsid w:val="003A3001"/>
    <w:rsid w:val="003A3880"/>
    <w:rsid w:val="003A3E15"/>
    <w:rsid w:val="003A3FE5"/>
    <w:rsid w:val="003A412A"/>
    <w:rsid w:val="003A46F1"/>
    <w:rsid w:val="003A4931"/>
    <w:rsid w:val="003A500B"/>
    <w:rsid w:val="003A5085"/>
    <w:rsid w:val="003A52AB"/>
    <w:rsid w:val="003A585E"/>
    <w:rsid w:val="003A5ECE"/>
    <w:rsid w:val="003A6271"/>
    <w:rsid w:val="003A62F3"/>
    <w:rsid w:val="003A664C"/>
    <w:rsid w:val="003A6AB5"/>
    <w:rsid w:val="003A6EEA"/>
    <w:rsid w:val="003A76D4"/>
    <w:rsid w:val="003A7C91"/>
    <w:rsid w:val="003B0031"/>
    <w:rsid w:val="003B00A4"/>
    <w:rsid w:val="003B053D"/>
    <w:rsid w:val="003B0BDB"/>
    <w:rsid w:val="003B0DCE"/>
    <w:rsid w:val="003B109F"/>
    <w:rsid w:val="003B1206"/>
    <w:rsid w:val="003B138C"/>
    <w:rsid w:val="003B1524"/>
    <w:rsid w:val="003B17E5"/>
    <w:rsid w:val="003B182F"/>
    <w:rsid w:val="003B19BF"/>
    <w:rsid w:val="003B21D5"/>
    <w:rsid w:val="003B2470"/>
    <w:rsid w:val="003B2C36"/>
    <w:rsid w:val="003B3306"/>
    <w:rsid w:val="003B341D"/>
    <w:rsid w:val="003B365F"/>
    <w:rsid w:val="003B394F"/>
    <w:rsid w:val="003B3CBC"/>
    <w:rsid w:val="003B3DB2"/>
    <w:rsid w:val="003B3E7F"/>
    <w:rsid w:val="003B3F54"/>
    <w:rsid w:val="003B445C"/>
    <w:rsid w:val="003B45D7"/>
    <w:rsid w:val="003B4D91"/>
    <w:rsid w:val="003B4D95"/>
    <w:rsid w:val="003B4F2F"/>
    <w:rsid w:val="003B540F"/>
    <w:rsid w:val="003B56EB"/>
    <w:rsid w:val="003B57D1"/>
    <w:rsid w:val="003B59E3"/>
    <w:rsid w:val="003B5DDC"/>
    <w:rsid w:val="003B5E24"/>
    <w:rsid w:val="003B5E41"/>
    <w:rsid w:val="003B6326"/>
    <w:rsid w:val="003B659A"/>
    <w:rsid w:val="003B72E7"/>
    <w:rsid w:val="003B7947"/>
    <w:rsid w:val="003B7A0E"/>
    <w:rsid w:val="003B7C44"/>
    <w:rsid w:val="003B7DAF"/>
    <w:rsid w:val="003C01EE"/>
    <w:rsid w:val="003C07C6"/>
    <w:rsid w:val="003C0B00"/>
    <w:rsid w:val="003C0C1C"/>
    <w:rsid w:val="003C0DA1"/>
    <w:rsid w:val="003C0DA9"/>
    <w:rsid w:val="003C145C"/>
    <w:rsid w:val="003C1508"/>
    <w:rsid w:val="003C1839"/>
    <w:rsid w:val="003C190D"/>
    <w:rsid w:val="003C1B8D"/>
    <w:rsid w:val="003C1DC7"/>
    <w:rsid w:val="003C2049"/>
    <w:rsid w:val="003C254B"/>
    <w:rsid w:val="003C2754"/>
    <w:rsid w:val="003C27AF"/>
    <w:rsid w:val="003C2B49"/>
    <w:rsid w:val="003C35A8"/>
    <w:rsid w:val="003C3946"/>
    <w:rsid w:val="003C3EC9"/>
    <w:rsid w:val="003C3FCC"/>
    <w:rsid w:val="003C412C"/>
    <w:rsid w:val="003C4691"/>
    <w:rsid w:val="003C4878"/>
    <w:rsid w:val="003C4F13"/>
    <w:rsid w:val="003C50EA"/>
    <w:rsid w:val="003C514D"/>
    <w:rsid w:val="003C51E7"/>
    <w:rsid w:val="003C5328"/>
    <w:rsid w:val="003C5C82"/>
    <w:rsid w:val="003C6570"/>
    <w:rsid w:val="003C6AF3"/>
    <w:rsid w:val="003C6F80"/>
    <w:rsid w:val="003C70F9"/>
    <w:rsid w:val="003C75C7"/>
    <w:rsid w:val="003C78B5"/>
    <w:rsid w:val="003C78C8"/>
    <w:rsid w:val="003C7D99"/>
    <w:rsid w:val="003C7E91"/>
    <w:rsid w:val="003C7F46"/>
    <w:rsid w:val="003D07E4"/>
    <w:rsid w:val="003D0AA9"/>
    <w:rsid w:val="003D0C5F"/>
    <w:rsid w:val="003D0E0F"/>
    <w:rsid w:val="003D11AF"/>
    <w:rsid w:val="003D1461"/>
    <w:rsid w:val="003D1666"/>
    <w:rsid w:val="003D19A5"/>
    <w:rsid w:val="003D1C65"/>
    <w:rsid w:val="003D1DAE"/>
    <w:rsid w:val="003D20A0"/>
    <w:rsid w:val="003D23C0"/>
    <w:rsid w:val="003D23DA"/>
    <w:rsid w:val="003D2709"/>
    <w:rsid w:val="003D2BDA"/>
    <w:rsid w:val="003D2F66"/>
    <w:rsid w:val="003D3279"/>
    <w:rsid w:val="003D35F5"/>
    <w:rsid w:val="003D382C"/>
    <w:rsid w:val="003D38CA"/>
    <w:rsid w:val="003D3B67"/>
    <w:rsid w:val="003D3D14"/>
    <w:rsid w:val="003D4695"/>
    <w:rsid w:val="003D46AC"/>
    <w:rsid w:val="003D4AB8"/>
    <w:rsid w:val="003D4BC6"/>
    <w:rsid w:val="003D4FA4"/>
    <w:rsid w:val="003D4FB7"/>
    <w:rsid w:val="003D5199"/>
    <w:rsid w:val="003D567C"/>
    <w:rsid w:val="003D56AE"/>
    <w:rsid w:val="003D59B4"/>
    <w:rsid w:val="003D5DB2"/>
    <w:rsid w:val="003D607F"/>
    <w:rsid w:val="003D6AB1"/>
    <w:rsid w:val="003D6ABC"/>
    <w:rsid w:val="003D708B"/>
    <w:rsid w:val="003D7872"/>
    <w:rsid w:val="003D792B"/>
    <w:rsid w:val="003D7B67"/>
    <w:rsid w:val="003D7F33"/>
    <w:rsid w:val="003E0506"/>
    <w:rsid w:val="003E0914"/>
    <w:rsid w:val="003E0A94"/>
    <w:rsid w:val="003E0A95"/>
    <w:rsid w:val="003E0BC0"/>
    <w:rsid w:val="003E0C4B"/>
    <w:rsid w:val="003E0CFC"/>
    <w:rsid w:val="003E0F10"/>
    <w:rsid w:val="003E1337"/>
    <w:rsid w:val="003E1697"/>
    <w:rsid w:val="003E1BAF"/>
    <w:rsid w:val="003E2113"/>
    <w:rsid w:val="003E22E7"/>
    <w:rsid w:val="003E2390"/>
    <w:rsid w:val="003E2503"/>
    <w:rsid w:val="003E2A97"/>
    <w:rsid w:val="003E2E1F"/>
    <w:rsid w:val="003E2E70"/>
    <w:rsid w:val="003E2FE4"/>
    <w:rsid w:val="003E3166"/>
    <w:rsid w:val="003E33D1"/>
    <w:rsid w:val="003E383C"/>
    <w:rsid w:val="003E3CB2"/>
    <w:rsid w:val="003E4266"/>
    <w:rsid w:val="003E4423"/>
    <w:rsid w:val="003E45EE"/>
    <w:rsid w:val="003E46AF"/>
    <w:rsid w:val="003E4C89"/>
    <w:rsid w:val="003E4DF0"/>
    <w:rsid w:val="003E501D"/>
    <w:rsid w:val="003E5153"/>
    <w:rsid w:val="003E5366"/>
    <w:rsid w:val="003E5AD3"/>
    <w:rsid w:val="003E5AE5"/>
    <w:rsid w:val="003E5B3E"/>
    <w:rsid w:val="003E5B9B"/>
    <w:rsid w:val="003E5C88"/>
    <w:rsid w:val="003E5D3B"/>
    <w:rsid w:val="003E5E55"/>
    <w:rsid w:val="003E5E67"/>
    <w:rsid w:val="003E65E4"/>
    <w:rsid w:val="003E690A"/>
    <w:rsid w:val="003E6DA2"/>
    <w:rsid w:val="003E7262"/>
    <w:rsid w:val="003E736A"/>
    <w:rsid w:val="003E7378"/>
    <w:rsid w:val="003E7994"/>
    <w:rsid w:val="003E7A7F"/>
    <w:rsid w:val="003E7C8E"/>
    <w:rsid w:val="003F0280"/>
    <w:rsid w:val="003F0304"/>
    <w:rsid w:val="003F0676"/>
    <w:rsid w:val="003F0926"/>
    <w:rsid w:val="003F130B"/>
    <w:rsid w:val="003F15AD"/>
    <w:rsid w:val="003F1609"/>
    <w:rsid w:val="003F1923"/>
    <w:rsid w:val="003F1E22"/>
    <w:rsid w:val="003F1E27"/>
    <w:rsid w:val="003F27D9"/>
    <w:rsid w:val="003F2CAD"/>
    <w:rsid w:val="003F30A8"/>
    <w:rsid w:val="003F3190"/>
    <w:rsid w:val="003F36A3"/>
    <w:rsid w:val="003F36C0"/>
    <w:rsid w:val="003F385C"/>
    <w:rsid w:val="003F3B29"/>
    <w:rsid w:val="003F42BF"/>
    <w:rsid w:val="003F4504"/>
    <w:rsid w:val="003F4F91"/>
    <w:rsid w:val="003F4FF9"/>
    <w:rsid w:val="003F5123"/>
    <w:rsid w:val="003F52CC"/>
    <w:rsid w:val="003F532B"/>
    <w:rsid w:val="003F53E8"/>
    <w:rsid w:val="003F585E"/>
    <w:rsid w:val="003F5C15"/>
    <w:rsid w:val="003F5DC5"/>
    <w:rsid w:val="003F5F80"/>
    <w:rsid w:val="003F6326"/>
    <w:rsid w:val="003F65F9"/>
    <w:rsid w:val="003F694D"/>
    <w:rsid w:val="003F6C87"/>
    <w:rsid w:val="003F715E"/>
    <w:rsid w:val="003F7737"/>
    <w:rsid w:val="003F77BA"/>
    <w:rsid w:val="003F78E3"/>
    <w:rsid w:val="003F7BEC"/>
    <w:rsid w:val="003F7FF6"/>
    <w:rsid w:val="004004D1"/>
    <w:rsid w:val="00400692"/>
    <w:rsid w:val="00400AC8"/>
    <w:rsid w:val="00400B8D"/>
    <w:rsid w:val="00400D6F"/>
    <w:rsid w:val="004011CB"/>
    <w:rsid w:val="004015D9"/>
    <w:rsid w:val="00401753"/>
    <w:rsid w:val="00401EC7"/>
    <w:rsid w:val="00401F13"/>
    <w:rsid w:val="004020A7"/>
    <w:rsid w:val="004021E1"/>
    <w:rsid w:val="004028E9"/>
    <w:rsid w:val="0040290B"/>
    <w:rsid w:val="0040294C"/>
    <w:rsid w:val="00402950"/>
    <w:rsid w:val="00402DED"/>
    <w:rsid w:val="004033D3"/>
    <w:rsid w:val="004036BC"/>
    <w:rsid w:val="004036D5"/>
    <w:rsid w:val="00404095"/>
    <w:rsid w:val="00404206"/>
    <w:rsid w:val="00404240"/>
    <w:rsid w:val="00404490"/>
    <w:rsid w:val="004044A4"/>
    <w:rsid w:val="0040490D"/>
    <w:rsid w:val="00404973"/>
    <w:rsid w:val="00404A32"/>
    <w:rsid w:val="00404D47"/>
    <w:rsid w:val="00404FCA"/>
    <w:rsid w:val="004057F8"/>
    <w:rsid w:val="00405D3B"/>
    <w:rsid w:val="00405DB4"/>
    <w:rsid w:val="00405DD2"/>
    <w:rsid w:val="00405FEB"/>
    <w:rsid w:val="0040637D"/>
    <w:rsid w:val="0040678B"/>
    <w:rsid w:val="00406AB4"/>
    <w:rsid w:val="00406AB8"/>
    <w:rsid w:val="00406AEC"/>
    <w:rsid w:val="00406E92"/>
    <w:rsid w:val="004070C5"/>
    <w:rsid w:val="00407444"/>
    <w:rsid w:val="004076C4"/>
    <w:rsid w:val="00407899"/>
    <w:rsid w:val="00407D9B"/>
    <w:rsid w:val="00407E25"/>
    <w:rsid w:val="004100D2"/>
    <w:rsid w:val="004103E0"/>
    <w:rsid w:val="00410AE0"/>
    <w:rsid w:val="00411009"/>
    <w:rsid w:val="00411322"/>
    <w:rsid w:val="004118CC"/>
    <w:rsid w:val="00411D94"/>
    <w:rsid w:val="0041231A"/>
    <w:rsid w:val="00412920"/>
    <w:rsid w:val="00412C30"/>
    <w:rsid w:val="0041355C"/>
    <w:rsid w:val="004141DB"/>
    <w:rsid w:val="00414512"/>
    <w:rsid w:val="00414517"/>
    <w:rsid w:val="0041465E"/>
    <w:rsid w:val="0041469E"/>
    <w:rsid w:val="00414D1B"/>
    <w:rsid w:val="0041596C"/>
    <w:rsid w:val="00416082"/>
    <w:rsid w:val="00416176"/>
    <w:rsid w:val="00416366"/>
    <w:rsid w:val="0041637B"/>
    <w:rsid w:val="004163AC"/>
    <w:rsid w:val="00417530"/>
    <w:rsid w:val="004177AA"/>
    <w:rsid w:val="004178AB"/>
    <w:rsid w:val="00417A5E"/>
    <w:rsid w:val="00417E91"/>
    <w:rsid w:val="004200C8"/>
    <w:rsid w:val="00420FB6"/>
    <w:rsid w:val="004212C4"/>
    <w:rsid w:val="00421DCE"/>
    <w:rsid w:val="00421E05"/>
    <w:rsid w:val="00421F4E"/>
    <w:rsid w:val="004220CC"/>
    <w:rsid w:val="004220DA"/>
    <w:rsid w:val="004222B7"/>
    <w:rsid w:val="004226E6"/>
    <w:rsid w:val="00422C76"/>
    <w:rsid w:val="00422D49"/>
    <w:rsid w:val="00422E24"/>
    <w:rsid w:val="00422FF6"/>
    <w:rsid w:val="0042312B"/>
    <w:rsid w:val="0042356B"/>
    <w:rsid w:val="004237B0"/>
    <w:rsid w:val="004237DB"/>
    <w:rsid w:val="004246E7"/>
    <w:rsid w:val="00424720"/>
    <w:rsid w:val="00424EED"/>
    <w:rsid w:val="0042520E"/>
    <w:rsid w:val="004260A5"/>
    <w:rsid w:val="004262D5"/>
    <w:rsid w:val="00426524"/>
    <w:rsid w:val="004268ED"/>
    <w:rsid w:val="00426A7B"/>
    <w:rsid w:val="00426C6C"/>
    <w:rsid w:val="00426EFE"/>
    <w:rsid w:val="00427422"/>
    <w:rsid w:val="004278B9"/>
    <w:rsid w:val="00427A10"/>
    <w:rsid w:val="00427CB1"/>
    <w:rsid w:val="00430659"/>
    <w:rsid w:val="00430A55"/>
    <w:rsid w:val="00431098"/>
    <w:rsid w:val="004311B4"/>
    <w:rsid w:val="00431E8F"/>
    <w:rsid w:val="00431ED6"/>
    <w:rsid w:val="00432410"/>
    <w:rsid w:val="004326D8"/>
    <w:rsid w:val="004329AA"/>
    <w:rsid w:val="004329E3"/>
    <w:rsid w:val="00432AB5"/>
    <w:rsid w:val="00432B76"/>
    <w:rsid w:val="00432F43"/>
    <w:rsid w:val="00433167"/>
    <w:rsid w:val="00433262"/>
    <w:rsid w:val="00434333"/>
    <w:rsid w:val="00434B83"/>
    <w:rsid w:val="004352E3"/>
    <w:rsid w:val="004352E5"/>
    <w:rsid w:val="004353F2"/>
    <w:rsid w:val="004354A7"/>
    <w:rsid w:val="00435B60"/>
    <w:rsid w:val="0043647B"/>
    <w:rsid w:val="0043695D"/>
    <w:rsid w:val="00436B8A"/>
    <w:rsid w:val="004372F8"/>
    <w:rsid w:val="00437414"/>
    <w:rsid w:val="0043784D"/>
    <w:rsid w:val="0043786A"/>
    <w:rsid w:val="00437A4E"/>
    <w:rsid w:val="00437A53"/>
    <w:rsid w:val="00440630"/>
    <w:rsid w:val="00440864"/>
    <w:rsid w:val="0044088F"/>
    <w:rsid w:val="004409FC"/>
    <w:rsid w:val="00440E58"/>
    <w:rsid w:val="004413C2"/>
    <w:rsid w:val="0044154F"/>
    <w:rsid w:val="004416A2"/>
    <w:rsid w:val="004419D0"/>
    <w:rsid w:val="00441A53"/>
    <w:rsid w:val="00441B0F"/>
    <w:rsid w:val="00441D08"/>
    <w:rsid w:val="0044214A"/>
    <w:rsid w:val="0044295A"/>
    <w:rsid w:val="00442C57"/>
    <w:rsid w:val="00442EE6"/>
    <w:rsid w:val="00443167"/>
    <w:rsid w:val="00443283"/>
    <w:rsid w:val="00443419"/>
    <w:rsid w:val="00443891"/>
    <w:rsid w:val="00443C51"/>
    <w:rsid w:val="0044421C"/>
    <w:rsid w:val="0044426A"/>
    <w:rsid w:val="004445EF"/>
    <w:rsid w:val="00444A68"/>
    <w:rsid w:val="00444BC6"/>
    <w:rsid w:val="00444C36"/>
    <w:rsid w:val="00444E65"/>
    <w:rsid w:val="00444E94"/>
    <w:rsid w:val="004453D6"/>
    <w:rsid w:val="00446153"/>
    <w:rsid w:val="00446260"/>
    <w:rsid w:val="00446596"/>
    <w:rsid w:val="004466CA"/>
    <w:rsid w:val="00446A2A"/>
    <w:rsid w:val="0044707A"/>
    <w:rsid w:val="004472D6"/>
    <w:rsid w:val="0044736C"/>
    <w:rsid w:val="00447566"/>
    <w:rsid w:val="00447772"/>
    <w:rsid w:val="00447E53"/>
    <w:rsid w:val="0045008B"/>
    <w:rsid w:val="0045046A"/>
    <w:rsid w:val="00450492"/>
    <w:rsid w:val="004504F2"/>
    <w:rsid w:val="004506E6"/>
    <w:rsid w:val="0045092C"/>
    <w:rsid w:val="00451B3A"/>
    <w:rsid w:val="00451FD5"/>
    <w:rsid w:val="0045228E"/>
    <w:rsid w:val="00452A94"/>
    <w:rsid w:val="00452BC2"/>
    <w:rsid w:val="00452BFD"/>
    <w:rsid w:val="00452CDA"/>
    <w:rsid w:val="00452D68"/>
    <w:rsid w:val="00452FC0"/>
    <w:rsid w:val="004532AA"/>
    <w:rsid w:val="00453391"/>
    <w:rsid w:val="00453419"/>
    <w:rsid w:val="00453588"/>
    <w:rsid w:val="00453742"/>
    <w:rsid w:val="00453DD1"/>
    <w:rsid w:val="00454035"/>
    <w:rsid w:val="0045475B"/>
    <w:rsid w:val="00454CE2"/>
    <w:rsid w:val="00454EC8"/>
    <w:rsid w:val="00454EFF"/>
    <w:rsid w:val="0045572E"/>
    <w:rsid w:val="0045575E"/>
    <w:rsid w:val="004559E4"/>
    <w:rsid w:val="00455C22"/>
    <w:rsid w:val="00455F8D"/>
    <w:rsid w:val="00455FE3"/>
    <w:rsid w:val="00456000"/>
    <w:rsid w:val="0045686A"/>
    <w:rsid w:val="00456BB2"/>
    <w:rsid w:val="00457077"/>
    <w:rsid w:val="004571E9"/>
    <w:rsid w:val="0045752E"/>
    <w:rsid w:val="004579B7"/>
    <w:rsid w:val="0046003F"/>
    <w:rsid w:val="004604EF"/>
    <w:rsid w:val="00460D88"/>
    <w:rsid w:val="00460E29"/>
    <w:rsid w:val="00460FB6"/>
    <w:rsid w:val="004612B4"/>
    <w:rsid w:val="004615C3"/>
    <w:rsid w:val="00461A53"/>
    <w:rsid w:val="00461A79"/>
    <w:rsid w:val="00462221"/>
    <w:rsid w:val="00462314"/>
    <w:rsid w:val="00462396"/>
    <w:rsid w:val="00462800"/>
    <w:rsid w:val="00462845"/>
    <w:rsid w:val="00462B97"/>
    <w:rsid w:val="00462BB1"/>
    <w:rsid w:val="00462C4F"/>
    <w:rsid w:val="00462E86"/>
    <w:rsid w:val="00462F5A"/>
    <w:rsid w:val="004631C6"/>
    <w:rsid w:val="00463255"/>
    <w:rsid w:val="004634E5"/>
    <w:rsid w:val="00463677"/>
    <w:rsid w:val="00463799"/>
    <w:rsid w:val="00463B87"/>
    <w:rsid w:val="0046401B"/>
    <w:rsid w:val="00464A5C"/>
    <w:rsid w:val="00464BD9"/>
    <w:rsid w:val="0046513C"/>
    <w:rsid w:val="004651FF"/>
    <w:rsid w:val="00465205"/>
    <w:rsid w:val="004652D4"/>
    <w:rsid w:val="004655F4"/>
    <w:rsid w:val="0046580C"/>
    <w:rsid w:val="00465934"/>
    <w:rsid w:val="00465E3D"/>
    <w:rsid w:val="00465FB1"/>
    <w:rsid w:val="004660D5"/>
    <w:rsid w:val="0046650B"/>
    <w:rsid w:val="00466622"/>
    <w:rsid w:val="004666B5"/>
    <w:rsid w:val="00466F79"/>
    <w:rsid w:val="0046706E"/>
    <w:rsid w:val="00467219"/>
    <w:rsid w:val="004676E1"/>
    <w:rsid w:val="004677FC"/>
    <w:rsid w:val="00467956"/>
    <w:rsid w:val="00467ABA"/>
    <w:rsid w:val="00467B3E"/>
    <w:rsid w:val="00467DDA"/>
    <w:rsid w:val="00467FFD"/>
    <w:rsid w:val="00470168"/>
    <w:rsid w:val="00470823"/>
    <w:rsid w:val="00470AB2"/>
    <w:rsid w:val="00470E86"/>
    <w:rsid w:val="00470F80"/>
    <w:rsid w:val="00471175"/>
    <w:rsid w:val="004711FC"/>
    <w:rsid w:val="0047163F"/>
    <w:rsid w:val="00471A9D"/>
    <w:rsid w:val="00471AE8"/>
    <w:rsid w:val="00471BB1"/>
    <w:rsid w:val="00471CD1"/>
    <w:rsid w:val="00471E1A"/>
    <w:rsid w:val="00472427"/>
    <w:rsid w:val="004724FB"/>
    <w:rsid w:val="0047269B"/>
    <w:rsid w:val="00472796"/>
    <w:rsid w:val="0047311C"/>
    <w:rsid w:val="00473448"/>
    <w:rsid w:val="00473906"/>
    <w:rsid w:val="00473DAD"/>
    <w:rsid w:val="00473EA4"/>
    <w:rsid w:val="00473FC2"/>
    <w:rsid w:val="00474236"/>
    <w:rsid w:val="004743AE"/>
    <w:rsid w:val="00474511"/>
    <w:rsid w:val="004746DB"/>
    <w:rsid w:val="00474B79"/>
    <w:rsid w:val="00474B91"/>
    <w:rsid w:val="00474CE5"/>
    <w:rsid w:val="004752B3"/>
    <w:rsid w:val="0047564D"/>
    <w:rsid w:val="004756E0"/>
    <w:rsid w:val="00475AD6"/>
    <w:rsid w:val="00475B26"/>
    <w:rsid w:val="00475C11"/>
    <w:rsid w:val="004764B2"/>
    <w:rsid w:val="0047654D"/>
    <w:rsid w:val="00476A00"/>
    <w:rsid w:val="00476A83"/>
    <w:rsid w:val="00476B92"/>
    <w:rsid w:val="00476DF3"/>
    <w:rsid w:val="0047764B"/>
    <w:rsid w:val="004778EB"/>
    <w:rsid w:val="00477BD6"/>
    <w:rsid w:val="00477E8D"/>
    <w:rsid w:val="00480047"/>
    <w:rsid w:val="00480094"/>
    <w:rsid w:val="00480101"/>
    <w:rsid w:val="004802E6"/>
    <w:rsid w:val="004803D8"/>
    <w:rsid w:val="00480747"/>
    <w:rsid w:val="0048095E"/>
    <w:rsid w:val="00480B55"/>
    <w:rsid w:val="00480D97"/>
    <w:rsid w:val="00481658"/>
    <w:rsid w:val="00481DC9"/>
    <w:rsid w:val="004821DF"/>
    <w:rsid w:val="0048234A"/>
    <w:rsid w:val="00482390"/>
    <w:rsid w:val="004824FB"/>
    <w:rsid w:val="00482664"/>
    <w:rsid w:val="004829C6"/>
    <w:rsid w:val="004832C8"/>
    <w:rsid w:val="0048371B"/>
    <w:rsid w:val="00483D6A"/>
    <w:rsid w:val="00483F0E"/>
    <w:rsid w:val="00484011"/>
    <w:rsid w:val="00484069"/>
    <w:rsid w:val="0048417E"/>
    <w:rsid w:val="0048431C"/>
    <w:rsid w:val="00484522"/>
    <w:rsid w:val="00484860"/>
    <w:rsid w:val="004852B8"/>
    <w:rsid w:val="00485313"/>
    <w:rsid w:val="00485447"/>
    <w:rsid w:val="004856C2"/>
    <w:rsid w:val="004858E4"/>
    <w:rsid w:val="00485E5D"/>
    <w:rsid w:val="00486B60"/>
    <w:rsid w:val="00486F68"/>
    <w:rsid w:val="00487349"/>
    <w:rsid w:val="0048746A"/>
    <w:rsid w:val="00487516"/>
    <w:rsid w:val="004875CF"/>
    <w:rsid w:val="00487973"/>
    <w:rsid w:val="00487CEF"/>
    <w:rsid w:val="00487EE5"/>
    <w:rsid w:val="004907F5"/>
    <w:rsid w:val="00490D82"/>
    <w:rsid w:val="00490EA4"/>
    <w:rsid w:val="00491403"/>
    <w:rsid w:val="00491A5E"/>
    <w:rsid w:val="00491B78"/>
    <w:rsid w:val="00491BF9"/>
    <w:rsid w:val="00491E87"/>
    <w:rsid w:val="00492290"/>
    <w:rsid w:val="00492870"/>
    <w:rsid w:val="00492BBF"/>
    <w:rsid w:val="00492C68"/>
    <w:rsid w:val="00493015"/>
    <w:rsid w:val="0049327F"/>
    <w:rsid w:val="004932E2"/>
    <w:rsid w:val="004933DE"/>
    <w:rsid w:val="00493505"/>
    <w:rsid w:val="00493749"/>
    <w:rsid w:val="00493827"/>
    <w:rsid w:val="00493F50"/>
    <w:rsid w:val="00493F94"/>
    <w:rsid w:val="0049434F"/>
    <w:rsid w:val="0049456C"/>
    <w:rsid w:val="00494F14"/>
    <w:rsid w:val="0049511D"/>
    <w:rsid w:val="004951B0"/>
    <w:rsid w:val="004955D1"/>
    <w:rsid w:val="00495692"/>
    <w:rsid w:val="004956E4"/>
    <w:rsid w:val="00495707"/>
    <w:rsid w:val="0049590C"/>
    <w:rsid w:val="00495CAE"/>
    <w:rsid w:val="00495D00"/>
    <w:rsid w:val="00495FE8"/>
    <w:rsid w:val="00496171"/>
    <w:rsid w:val="004961EE"/>
    <w:rsid w:val="00496419"/>
    <w:rsid w:val="00496793"/>
    <w:rsid w:val="00496C35"/>
    <w:rsid w:val="00496FE9"/>
    <w:rsid w:val="0049708B"/>
    <w:rsid w:val="004974F4"/>
    <w:rsid w:val="0049778F"/>
    <w:rsid w:val="0049789A"/>
    <w:rsid w:val="00497FFC"/>
    <w:rsid w:val="004A06FB"/>
    <w:rsid w:val="004A090E"/>
    <w:rsid w:val="004A0B17"/>
    <w:rsid w:val="004A0DBE"/>
    <w:rsid w:val="004A0FB8"/>
    <w:rsid w:val="004A1091"/>
    <w:rsid w:val="004A1711"/>
    <w:rsid w:val="004A17EF"/>
    <w:rsid w:val="004A1835"/>
    <w:rsid w:val="004A2024"/>
    <w:rsid w:val="004A2105"/>
    <w:rsid w:val="004A2323"/>
    <w:rsid w:val="004A24DF"/>
    <w:rsid w:val="004A2720"/>
    <w:rsid w:val="004A28C1"/>
    <w:rsid w:val="004A28FB"/>
    <w:rsid w:val="004A2B72"/>
    <w:rsid w:val="004A35F2"/>
    <w:rsid w:val="004A37AF"/>
    <w:rsid w:val="004A3E0A"/>
    <w:rsid w:val="004A4400"/>
    <w:rsid w:val="004A457C"/>
    <w:rsid w:val="004A4930"/>
    <w:rsid w:val="004A4A18"/>
    <w:rsid w:val="004A4B46"/>
    <w:rsid w:val="004A4BBF"/>
    <w:rsid w:val="004A4FDF"/>
    <w:rsid w:val="004A51F0"/>
    <w:rsid w:val="004A59BD"/>
    <w:rsid w:val="004A5B4C"/>
    <w:rsid w:val="004A607F"/>
    <w:rsid w:val="004A6961"/>
    <w:rsid w:val="004A6A6B"/>
    <w:rsid w:val="004A6D2C"/>
    <w:rsid w:val="004A6EB5"/>
    <w:rsid w:val="004A6F02"/>
    <w:rsid w:val="004A6F57"/>
    <w:rsid w:val="004A70D6"/>
    <w:rsid w:val="004A71EF"/>
    <w:rsid w:val="004A7B79"/>
    <w:rsid w:val="004A7DA1"/>
    <w:rsid w:val="004A7DC2"/>
    <w:rsid w:val="004B032C"/>
    <w:rsid w:val="004B0579"/>
    <w:rsid w:val="004B0FFA"/>
    <w:rsid w:val="004B1075"/>
    <w:rsid w:val="004B11C0"/>
    <w:rsid w:val="004B17B4"/>
    <w:rsid w:val="004B1FC4"/>
    <w:rsid w:val="004B223F"/>
    <w:rsid w:val="004B240B"/>
    <w:rsid w:val="004B28F0"/>
    <w:rsid w:val="004B2C70"/>
    <w:rsid w:val="004B2CF6"/>
    <w:rsid w:val="004B2D3D"/>
    <w:rsid w:val="004B2D8A"/>
    <w:rsid w:val="004B2DBB"/>
    <w:rsid w:val="004B2F5B"/>
    <w:rsid w:val="004B308E"/>
    <w:rsid w:val="004B3093"/>
    <w:rsid w:val="004B3137"/>
    <w:rsid w:val="004B352F"/>
    <w:rsid w:val="004B36AE"/>
    <w:rsid w:val="004B3816"/>
    <w:rsid w:val="004B38EE"/>
    <w:rsid w:val="004B3CC3"/>
    <w:rsid w:val="004B4B87"/>
    <w:rsid w:val="004B4BDA"/>
    <w:rsid w:val="004B4C53"/>
    <w:rsid w:val="004B51D2"/>
    <w:rsid w:val="004B56E1"/>
    <w:rsid w:val="004B5719"/>
    <w:rsid w:val="004B5AC1"/>
    <w:rsid w:val="004B5D39"/>
    <w:rsid w:val="004B6071"/>
    <w:rsid w:val="004B6101"/>
    <w:rsid w:val="004B63F4"/>
    <w:rsid w:val="004B64C8"/>
    <w:rsid w:val="004B6938"/>
    <w:rsid w:val="004B6AC8"/>
    <w:rsid w:val="004B6E46"/>
    <w:rsid w:val="004B6EBB"/>
    <w:rsid w:val="004B70A4"/>
    <w:rsid w:val="004B729C"/>
    <w:rsid w:val="004B731E"/>
    <w:rsid w:val="004B75B7"/>
    <w:rsid w:val="004C000A"/>
    <w:rsid w:val="004C042F"/>
    <w:rsid w:val="004C0A48"/>
    <w:rsid w:val="004C0ED4"/>
    <w:rsid w:val="004C0FB4"/>
    <w:rsid w:val="004C1022"/>
    <w:rsid w:val="004C1836"/>
    <w:rsid w:val="004C1B17"/>
    <w:rsid w:val="004C1C6E"/>
    <w:rsid w:val="004C1EA3"/>
    <w:rsid w:val="004C1EDF"/>
    <w:rsid w:val="004C20C5"/>
    <w:rsid w:val="004C214E"/>
    <w:rsid w:val="004C21E8"/>
    <w:rsid w:val="004C2498"/>
    <w:rsid w:val="004C252F"/>
    <w:rsid w:val="004C2587"/>
    <w:rsid w:val="004C2A63"/>
    <w:rsid w:val="004C3D7E"/>
    <w:rsid w:val="004C3F0F"/>
    <w:rsid w:val="004C43FE"/>
    <w:rsid w:val="004C4645"/>
    <w:rsid w:val="004C48CE"/>
    <w:rsid w:val="004C4C2B"/>
    <w:rsid w:val="004C4F75"/>
    <w:rsid w:val="004C51E4"/>
    <w:rsid w:val="004C571D"/>
    <w:rsid w:val="004C5722"/>
    <w:rsid w:val="004C583F"/>
    <w:rsid w:val="004C5E42"/>
    <w:rsid w:val="004C5EFD"/>
    <w:rsid w:val="004C5FDA"/>
    <w:rsid w:val="004C63AB"/>
    <w:rsid w:val="004C6484"/>
    <w:rsid w:val="004C6744"/>
    <w:rsid w:val="004C67D1"/>
    <w:rsid w:val="004C6878"/>
    <w:rsid w:val="004C6ACC"/>
    <w:rsid w:val="004C71D2"/>
    <w:rsid w:val="004C76F4"/>
    <w:rsid w:val="004C77AC"/>
    <w:rsid w:val="004C799D"/>
    <w:rsid w:val="004C79D8"/>
    <w:rsid w:val="004C7B96"/>
    <w:rsid w:val="004D00B1"/>
    <w:rsid w:val="004D0242"/>
    <w:rsid w:val="004D035B"/>
    <w:rsid w:val="004D051A"/>
    <w:rsid w:val="004D063A"/>
    <w:rsid w:val="004D077B"/>
    <w:rsid w:val="004D1430"/>
    <w:rsid w:val="004D14FA"/>
    <w:rsid w:val="004D16A9"/>
    <w:rsid w:val="004D1CB1"/>
    <w:rsid w:val="004D1F3F"/>
    <w:rsid w:val="004D2267"/>
    <w:rsid w:val="004D266B"/>
    <w:rsid w:val="004D2933"/>
    <w:rsid w:val="004D2DC8"/>
    <w:rsid w:val="004D3B0C"/>
    <w:rsid w:val="004D3B83"/>
    <w:rsid w:val="004D4105"/>
    <w:rsid w:val="004D4253"/>
    <w:rsid w:val="004D4CA6"/>
    <w:rsid w:val="004D5003"/>
    <w:rsid w:val="004D5737"/>
    <w:rsid w:val="004D58A4"/>
    <w:rsid w:val="004D58CD"/>
    <w:rsid w:val="004D59E9"/>
    <w:rsid w:val="004D5C77"/>
    <w:rsid w:val="004D5D3B"/>
    <w:rsid w:val="004D621E"/>
    <w:rsid w:val="004D6369"/>
    <w:rsid w:val="004D680B"/>
    <w:rsid w:val="004D70E1"/>
    <w:rsid w:val="004D745E"/>
    <w:rsid w:val="004D7755"/>
    <w:rsid w:val="004D7BC0"/>
    <w:rsid w:val="004E0155"/>
    <w:rsid w:val="004E0275"/>
    <w:rsid w:val="004E072C"/>
    <w:rsid w:val="004E0A14"/>
    <w:rsid w:val="004E0C54"/>
    <w:rsid w:val="004E0D51"/>
    <w:rsid w:val="004E1521"/>
    <w:rsid w:val="004E1AE1"/>
    <w:rsid w:val="004E2646"/>
    <w:rsid w:val="004E28E2"/>
    <w:rsid w:val="004E2A68"/>
    <w:rsid w:val="004E2CEA"/>
    <w:rsid w:val="004E2F37"/>
    <w:rsid w:val="004E3DCC"/>
    <w:rsid w:val="004E420C"/>
    <w:rsid w:val="004E42AC"/>
    <w:rsid w:val="004E454C"/>
    <w:rsid w:val="004E45B6"/>
    <w:rsid w:val="004E4ABE"/>
    <w:rsid w:val="004E4D43"/>
    <w:rsid w:val="004E4D58"/>
    <w:rsid w:val="004E4FF6"/>
    <w:rsid w:val="004E515E"/>
    <w:rsid w:val="004E5CC8"/>
    <w:rsid w:val="004E6316"/>
    <w:rsid w:val="004E635D"/>
    <w:rsid w:val="004E6488"/>
    <w:rsid w:val="004E6554"/>
    <w:rsid w:val="004E65FE"/>
    <w:rsid w:val="004E67D8"/>
    <w:rsid w:val="004E6EBE"/>
    <w:rsid w:val="004E6F8A"/>
    <w:rsid w:val="004E7D3B"/>
    <w:rsid w:val="004E7E2C"/>
    <w:rsid w:val="004F0034"/>
    <w:rsid w:val="004F0075"/>
    <w:rsid w:val="004F0A0E"/>
    <w:rsid w:val="004F0EA5"/>
    <w:rsid w:val="004F14E0"/>
    <w:rsid w:val="004F1DF3"/>
    <w:rsid w:val="004F1E71"/>
    <w:rsid w:val="004F21F0"/>
    <w:rsid w:val="004F2A9C"/>
    <w:rsid w:val="004F2FC6"/>
    <w:rsid w:val="004F33F4"/>
    <w:rsid w:val="004F3A2C"/>
    <w:rsid w:val="004F3ADF"/>
    <w:rsid w:val="004F4170"/>
    <w:rsid w:val="004F4206"/>
    <w:rsid w:val="004F42CB"/>
    <w:rsid w:val="004F43DC"/>
    <w:rsid w:val="004F4747"/>
    <w:rsid w:val="004F48F0"/>
    <w:rsid w:val="004F4907"/>
    <w:rsid w:val="004F4AD4"/>
    <w:rsid w:val="004F4D63"/>
    <w:rsid w:val="004F4E1B"/>
    <w:rsid w:val="004F4F58"/>
    <w:rsid w:val="004F53D3"/>
    <w:rsid w:val="004F567E"/>
    <w:rsid w:val="004F5821"/>
    <w:rsid w:val="004F590F"/>
    <w:rsid w:val="004F5A08"/>
    <w:rsid w:val="004F5D2F"/>
    <w:rsid w:val="004F5E3D"/>
    <w:rsid w:val="004F6404"/>
    <w:rsid w:val="004F6820"/>
    <w:rsid w:val="004F6AE0"/>
    <w:rsid w:val="004F6B43"/>
    <w:rsid w:val="004F6C69"/>
    <w:rsid w:val="004F709E"/>
    <w:rsid w:val="004F7214"/>
    <w:rsid w:val="004F7555"/>
    <w:rsid w:val="004F76E7"/>
    <w:rsid w:val="004F7FB2"/>
    <w:rsid w:val="004F7FF6"/>
    <w:rsid w:val="00500191"/>
    <w:rsid w:val="005004B6"/>
    <w:rsid w:val="00500509"/>
    <w:rsid w:val="005005C6"/>
    <w:rsid w:val="00500DC1"/>
    <w:rsid w:val="00500ED0"/>
    <w:rsid w:val="005018AD"/>
    <w:rsid w:val="005019D2"/>
    <w:rsid w:val="00501B1C"/>
    <w:rsid w:val="00501BE5"/>
    <w:rsid w:val="00501C0E"/>
    <w:rsid w:val="005020D5"/>
    <w:rsid w:val="0050218C"/>
    <w:rsid w:val="0050249B"/>
    <w:rsid w:val="0050252D"/>
    <w:rsid w:val="005025D6"/>
    <w:rsid w:val="00502625"/>
    <w:rsid w:val="00502704"/>
    <w:rsid w:val="005028E3"/>
    <w:rsid w:val="0050292E"/>
    <w:rsid w:val="00502E44"/>
    <w:rsid w:val="00502ECF"/>
    <w:rsid w:val="005035A1"/>
    <w:rsid w:val="005035FF"/>
    <w:rsid w:val="00503660"/>
    <w:rsid w:val="005037C1"/>
    <w:rsid w:val="00503A96"/>
    <w:rsid w:val="00504439"/>
    <w:rsid w:val="00504673"/>
    <w:rsid w:val="0050469A"/>
    <w:rsid w:val="00504704"/>
    <w:rsid w:val="0050477A"/>
    <w:rsid w:val="00504841"/>
    <w:rsid w:val="00504A60"/>
    <w:rsid w:val="00504B91"/>
    <w:rsid w:val="00505447"/>
    <w:rsid w:val="0050548B"/>
    <w:rsid w:val="00505632"/>
    <w:rsid w:val="0050584F"/>
    <w:rsid w:val="005058D0"/>
    <w:rsid w:val="00505A06"/>
    <w:rsid w:val="005062AC"/>
    <w:rsid w:val="00506394"/>
    <w:rsid w:val="00506721"/>
    <w:rsid w:val="00506AE6"/>
    <w:rsid w:val="00506BC1"/>
    <w:rsid w:val="00506C0F"/>
    <w:rsid w:val="00506F26"/>
    <w:rsid w:val="00506FF5"/>
    <w:rsid w:val="005070F3"/>
    <w:rsid w:val="00507371"/>
    <w:rsid w:val="00507989"/>
    <w:rsid w:val="005079DF"/>
    <w:rsid w:val="00507C55"/>
    <w:rsid w:val="00507E07"/>
    <w:rsid w:val="00510861"/>
    <w:rsid w:val="00510A9A"/>
    <w:rsid w:val="00510FCD"/>
    <w:rsid w:val="00510FFC"/>
    <w:rsid w:val="00511083"/>
    <w:rsid w:val="0051126B"/>
    <w:rsid w:val="00511656"/>
    <w:rsid w:val="005116E8"/>
    <w:rsid w:val="005125F8"/>
    <w:rsid w:val="005127C8"/>
    <w:rsid w:val="00512DE5"/>
    <w:rsid w:val="00512F2D"/>
    <w:rsid w:val="005133CD"/>
    <w:rsid w:val="00513662"/>
    <w:rsid w:val="00514012"/>
    <w:rsid w:val="00514452"/>
    <w:rsid w:val="0051449E"/>
    <w:rsid w:val="0051457D"/>
    <w:rsid w:val="00514AE9"/>
    <w:rsid w:val="00515019"/>
    <w:rsid w:val="00515144"/>
    <w:rsid w:val="0051541C"/>
    <w:rsid w:val="00516231"/>
    <w:rsid w:val="00516783"/>
    <w:rsid w:val="00516901"/>
    <w:rsid w:val="00516D44"/>
    <w:rsid w:val="00516D9B"/>
    <w:rsid w:val="0051711D"/>
    <w:rsid w:val="00517261"/>
    <w:rsid w:val="005174BA"/>
    <w:rsid w:val="0052051B"/>
    <w:rsid w:val="0052088B"/>
    <w:rsid w:val="00520938"/>
    <w:rsid w:val="00520B62"/>
    <w:rsid w:val="00521AC7"/>
    <w:rsid w:val="0052228F"/>
    <w:rsid w:val="0052242F"/>
    <w:rsid w:val="0052250D"/>
    <w:rsid w:val="0052257A"/>
    <w:rsid w:val="00522727"/>
    <w:rsid w:val="00523413"/>
    <w:rsid w:val="00523507"/>
    <w:rsid w:val="00523539"/>
    <w:rsid w:val="00523657"/>
    <w:rsid w:val="00523857"/>
    <w:rsid w:val="00523B69"/>
    <w:rsid w:val="00523E0F"/>
    <w:rsid w:val="00523EC2"/>
    <w:rsid w:val="00524009"/>
    <w:rsid w:val="00524119"/>
    <w:rsid w:val="00524123"/>
    <w:rsid w:val="005241FF"/>
    <w:rsid w:val="0052496D"/>
    <w:rsid w:val="0052519D"/>
    <w:rsid w:val="0052529D"/>
    <w:rsid w:val="00525682"/>
    <w:rsid w:val="00525927"/>
    <w:rsid w:val="0052592C"/>
    <w:rsid w:val="00525961"/>
    <w:rsid w:val="00525DFC"/>
    <w:rsid w:val="005271C2"/>
    <w:rsid w:val="00527CE4"/>
    <w:rsid w:val="00530885"/>
    <w:rsid w:val="00530901"/>
    <w:rsid w:val="00531524"/>
    <w:rsid w:val="00531F58"/>
    <w:rsid w:val="005321F8"/>
    <w:rsid w:val="005323CD"/>
    <w:rsid w:val="00532414"/>
    <w:rsid w:val="00532739"/>
    <w:rsid w:val="005329C7"/>
    <w:rsid w:val="005329D1"/>
    <w:rsid w:val="00532A9E"/>
    <w:rsid w:val="00532C3D"/>
    <w:rsid w:val="00532D82"/>
    <w:rsid w:val="0053392A"/>
    <w:rsid w:val="0053427E"/>
    <w:rsid w:val="0053438E"/>
    <w:rsid w:val="005346C1"/>
    <w:rsid w:val="0053497B"/>
    <w:rsid w:val="00534B5E"/>
    <w:rsid w:val="00534D71"/>
    <w:rsid w:val="0053560B"/>
    <w:rsid w:val="005359F8"/>
    <w:rsid w:val="00535B20"/>
    <w:rsid w:val="0053602D"/>
    <w:rsid w:val="005362F0"/>
    <w:rsid w:val="0053638B"/>
    <w:rsid w:val="00536ABC"/>
    <w:rsid w:val="00536B58"/>
    <w:rsid w:val="00537200"/>
    <w:rsid w:val="005375F6"/>
    <w:rsid w:val="00537647"/>
    <w:rsid w:val="00537818"/>
    <w:rsid w:val="005378B8"/>
    <w:rsid w:val="00537A0B"/>
    <w:rsid w:val="00537F26"/>
    <w:rsid w:val="005403C8"/>
    <w:rsid w:val="00540702"/>
    <w:rsid w:val="0054088F"/>
    <w:rsid w:val="0054098B"/>
    <w:rsid w:val="00540A45"/>
    <w:rsid w:val="0054127C"/>
    <w:rsid w:val="0054143C"/>
    <w:rsid w:val="00541B6F"/>
    <w:rsid w:val="0054215F"/>
    <w:rsid w:val="0054272E"/>
    <w:rsid w:val="005428D6"/>
    <w:rsid w:val="00542D39"/>
    <w:rsid w:val="00542E06"/>
    <w:rsid w:val="00543224"/>
    <w:rsid w:val="0054323D"/>
    <w:rsid w:val="005433EF"/>
    <w:rsid w:val="005434D6"/>
    <w:rsid w:val="0054369B"/>
    <w:rsid w:val="00543752"/>
    <w:rsid w:val="005437F1"/>
    <w:rsid w:val="005438B9"/>
    <w:rsid w:val="005438BF"/>
    <w:rsid w:val="0054394E"/>
    <w:rsid w:val="00543E17"/>
    <w:rsid w:val="00544047"/>
    <w:rsid w:val="00544182"/>
    <w:rsid w:val="00544B68"/>
    <w:rsid w:val="00544C81"/>
    <w:rsid w:val="005450B3"/>
    <w:rsid w:val="00545335"/>
    <w:rsid w:val="00545756"/>
    <w:rsid w:val="00545DC4"/>
    <w:rsid w:val="00545F99"/>
    <w:rsid w:val="00546628"/>
    <w:rsid w:val="00546807"/>
    <w:rsid w:val="00546854"/>
    <w:rsid w:val="005469E2"/>
    <w:rsid w:val="00546A7B"/>
    <w:rsid w:val="00546C5C"/>
    <w:rsid w:val="00546C73"/>
    <w:rsid w:val="00546D07"/>
    <w:rsid w:val="00547104"/>
    <w:rsid w:val="005475DE"/>
    <w:rsid w:val="00547603"/>
    <w:rsid w:val="00547742"/>
    <w:rsid w:val="00547761"/>
    <w:rsid w:val="00547C2D"/>
    <w:rsid w:val="00547C54"/>
    <w:rsid w:val="00547CEF"/>
    <w:rsid w:val="00547EA0"/>
    <w:rsid w:val="00550224"/>
    <w:rsid w:val="005502E3"/>
    <w:rsid w:val="00550441"/>
    <w:rsid w:val="005508C7"/>
    <w:rsid w:val="00550D1F"/>
    <w:rsid w:val="00550EC3"/>
    <w:rsid w:val="00551609"/>
    <w:rsid w:val="005516D5"/>
    <w:rsid w:val="005519FC"/>
    <w:rsid w:val="00551A33"/>
    <w:rsid w:val="005520A8"/>
    <w:rsid w:val="005520C5"/>
    <w:rsid w:val="00552137"/>
    <w:rsid w:val="00552302"/>
    <w:rsid w:val="0055243B"/>
    <w:rsid w:val="005524A6"/>
    <w:rsid w:val="00552646"/>
    <w:rsid w:val="005529E1"/>
    <w:rsid w:val="00552CB2"/>
    <w:rsid w:val="005533CB"/>
    <w:rsid w:val="00553439"/>
    <w:rsid w:val="00553F23"/>
    <w:rsid w:val="00553F2F"/>
    <w:rsid w:val="00554461"/>
    <w:rsid w:val="00554E9B"/>
    <w:rsid w:val="005551E0"/>
    <w:rsid w:val="0055533C"/>
    <w:rsid w:val="00555404"/>
    <w:rsid w:val="00555427"/>
    <w:rsid w:val="00555661"/>
    <w:rsid w:val="005557EC"/>
    <w:rsid w:val="00555D8A"/>
    <w:rsid w:val="00555E8D"/>
    <w:rsid w:val="00555EA6"/>
    <w:rsid w:val="00555EB1"/>
    <w:rsid w:val="005563DD"/>
    <w:rsid w:val="0055678A"/>
    <w:rsid w:val="00557B04"/>
    <w:rsid w:val="00560108"/>
    <w:rsid w:val="005608D5"/>
    <w:rsid w:val="00560EE1"/>
    <w:rsid w:val="00560FE7"/>
    <w:rsid w:val="005611EC"/>
    <w:rsid w:val="00561307"/>
    <w:rsid w:val="005616A2"/>
    <w:rsid w:val="00561889"/>
    <w:rsid w:val="00561D0F"/>
    <w:rsid w:val="00561DA5"/>
    <w:rsid w:val="0056216B"/>
    <w:rsid w:val="005622E3"/>
    <w:rsid w:val="005623FA"/>
    <w:rsid w:val="005631E9"/>
    <w:rsid w:val="005635EC"/>
    <w:rsid w:val="005636F7"/>
    <w:rsid w:val="005637E1"/>
    <w:rsid w:val="00563876"/>
    <w:rsid w:val="00563D51"/>
    <w:rsid w:val="00563DEF"/>
    <w:rsid w:val="00563EA6"/>
    <w:rsid w:val="00564042"/>
    <w:rsid w:val="005640FE"/>
    <w:rsid w:val="00564169"/>
    <w:rsid w:val="0056422A"/>
    <w:rsid w:val="0056425B"/>
    <w:rsid w:val="00564406"/>
    <w:rsid w:val="0056454C"/>
    <w:rsid w:val="00564570"/>
    <w:rsid w:val="00564949"/>
    <w:rsid w:val="00564A23"/>
    <w:rsid w:val="00564C89"/>
    <w:rsid w:val="00564D4F"/>
    <w:rsid w:val="00564FDF"/>
    <w:rsid w:val="00565017"/>
    <w:rsid w:val="0056556C"/>
    <w:rsid w:val="0056557A"/>
    <w:rsid w:val="005656FD"/>
    <w:rsid w:val="0056572B"/>
    <w:rsid w:val="0056580F"/>
    <w:rsid w:val="00565ECE"/>
    <w:rsid w:val="00565F6E"/>
    <w:rsid w:val="005661D0"/>
    <w:rsid w:val="005662DD"/>
    <w:rsid w:val="00566475"/>
    <w:rsid w:val="0056663C"/>
    <w:rsid w:val="0056682A"/>
    <w:rsid w:val="00566AAC"/>
    <w:rsid w:val="00566F0E"/>
    <w:rsid w:val="0056719E"/>
    <w:rsid w:val="005672C5"/>
    <w:rsid w:val="00567452"/>
    <w:rsid w:val="00567675"/>
    <w:rsid w:val="00567861"/>
    <w:rsid w:val="005679E1"/>
    <w:rsid w:val="00567CFC"/>
    <w:rsid w:val="0057005F"/>
    <w:rsid w:val="005702B9"/>
    <w:rsid w:val="0057053C"/>
    <w:rsid w:val="00571215"/>
    <w:rsid w:val="00571769"/>
    <w:rsid w:val="005717D4"/>
    <w:rsid w:val="00571989"/>
    <w:rsid w:val="00571B7D"/>
    <w:rsid w:val="005722BA"/>
    <w:rsid w:val="00572356"/>
    <w:rsid w:val="005724FF"/>
    <w:rsid w:val="00572726"/>
    <w:rsid w:val="00573251"/>
    <w:rsid w:val="0057377C"/>
    <w:rsid w:val="0057390D"/>
    <w:rsid w:val="00573C64"/>
    <w:rsid w:val="005741BD"/>
    <w:rsid w:val="00574334"/>
    <w:rsid w:val="00574430"/>
    <w:rsid w:val="005744BC"/>
    <w:rsid w:val="005745D3"/>
    <w:rsid w:val="005748B1"/>
    <w:rsid w:val="00574A14"/>
    <w:rsid w:val="00574B07"/>
    <w:rsid w:val="00574D23"/>
    <w:rsid w:val="00574DE8"/>
    <w:rsid w:val="005755B0"/>
    <w:rsid w:val="00575879"/>
    <w:rsid w:val="00575A4C"/>
    <w:rsid w:val="00575D50"/>
    <w:rsid w:val="00575FC1"/>
    <w:rsid w:val="00575FD7"/>
    <w:rsid w:val="00576797"/>
    <w:rsid w:val="005767F1"/>
    <w:rsid w:val="005769BF"/>
    <w:rsid w:val="00576C11"/>
    <w:rsid w:val="00577D23"/>
    <w:rsid w:val="0058004F"/>
    <w:rsid w:val="00580210"/>
    <w:rsid w:val="0058032F"/>
    <w:rsid w:val="005803C1"/>
    <w:rsid w:val="00580789"/>
    <w:rsid w:val="00580B50"/>
    <w:rsid w:val="00581194"/>
    <w:rsid w:val="005812D9"/>
    <w:rsid w:val="0058165C"/>
    <w:rsid w:val="00581663"/>
    <w:rsid w:val="00581882"/>
    <w:rsid w:val="00581911"/>
    <w:rsid w:val="00581B6E"/>
    <w:rsid w:val="00581C1B"/>
    <w:rsid w:val="005820AB"/>
    <w:rsid w:val="00582983"/>
    <w:rsid w:val="00582A2A"/>
    <w:rsid w:val="00582A2C"/>
    <w:rsid w:val="00582C47"/>
    <w:rsid w:val="00583028"/>
    <w:rsid w:val="005835AC"/>
    <w:rsid w:val="0058375D"/>
    <w:rsid w:val="0058384D"/>
    <w:rsid w:val="0058390F"/>
    <w:rsid w:val="00583B31"/>
    <w:rsid w:val="00583ECC"/>
    <w:rsid w:val="00584171"/>
    <w:rsid w:val="005842F1"/>
    <w:rsid w:val="00584446"/>
    <w:rsid w:val="00584850"/>
    <w:rsid w:val="00584977"/>
    <w:rsid w:val="00584BC7"/>
    <w:rsid w:val="00584F25"/>
    <w:rsid w:val="00584F3A"/>
    <w:rsid w:val="00585269"/>
    <w:rsid w:val="00585340"/>
    <w:rsid w:val="005859FA"/>
    <w:rsid w:val="00585BB5"/>
    <w:rsid w:val="00585C12"/>
    <w:rsid w:val="005860AE"/>
    <w:rsid w:val="00586182"/>
    <w:rsid w:val="0058642D"/>
    <w:rsid w:val="00586C01"/>
    <w:rsid w:val="00586E88"/>
    <w:rsid w:val="00586ED7"/>
    <w:rsid w:val="005874AA"/>
    <w:rsid w:val="005875F1"/>
    <w:rsid w:val="005876AD"/>
    <w:rsid w:val="00587AAD"/>
    <w:rsid w:val="00587C20"/>
    <w:rsid w:val="00587E08"/>
    <w:rsid w:val="00587EFD"/>
    <w:rsid w:val="0059019D"/>
    <w:rsid w:val="00590435"/>
    <w:rsid w:val="0059048A"/>
    <w:rsid w:val="005905C8"/>
    <w:rsid w:val="00590DE4"/>
    <w:rsid w:val="00590F97"/>
    <w:rsid w:val="00590FBA"/>
    <w:rsid w:val="00590FC3"/>
    <w:rsid w:val="00591041"/>
    <w:rsid w:val="00591922"/>
    <w:rsid w:val="005919E4"/>
    <w:rsid w:val="005923E4"/>
    <w:rsid w:val="0059244B"/>
    <w:rsid w:val="005924BF"/>
    <w:rsid w:val="00592510"/>
    <w:rsid w:val="0059257F"/>
    <w:rsid w:val="00592661"/>
    <w:rsid w:val="005926BD"/>
    <w:rsid w:val="00592948"/>
    <w:rsid w:val="00592978"/>
    <w:rsid w:val="00592AB2"/>
    <w:rsid w:val="00593038"/>
    <w:rsid w:val="00593301"/>
    <w:rsid w:val="00593A5D"/>
    <w:rsid w:val="00593E00"/>
    <w:rsid w:val="00594159"/>
    <w:rsid w:val="005944CC"/>
    <w:rsid w:val="005945AC"/>
    <w:rsid w:val="005945B4"/>
    <w:rsid w:val="00594A0D"/>
    <w:rsid w:val="00594AFA"/>
    <w:rsid w:val="005951CD"/>
    <w:rsid w:val="0059558C"/>
    <w:rsid w:val="00595A98"/>
    <w:rsid w:val="00596895"/>
    <w:rsid w:val="00596BE7"/>
    <w:rsid w:val="00596D52"/>
    <w:rsid w:val="00596E9C"/>
    <w:rsid w:val="00596F6F"/>
    <w:rsid w:val="00596FBF"/>
    <w:rsid w:val="0059738E"/>
    <w:rsid w:val="00597586"/>
    <w:rsid w:val="005976DD"/>
    <w:rsid w:val="0059777B"/>
    <w:rsid w:val="005977A4"/>
    <w:rsid w:val="00597991"/>
    <w:rsid w:val="00597EF9"/>
    <w:rsid w:val="00597FD2"/>
    <w:rsid w:val="005A0096"/>
    <w:rsid w:val="005A0111"/>
    <w:rsid w:val="005A0119"/>
    <w:rsid w:val="005A0681"/>
    <w:rsid w:val="005A0966"/>
    <w:rsid w:val="005A0A53"/>
    <w:rsid w:val="005A0B27"/>
    <w:rsid w:val="005A0C7F"/>
    <w:rsid w:val="005A0CF7"/>
    <w:rsid w:val="005A105E"/>
    <w:rsid w:val="005A10C8"/>
    <w:rsid w:val="005A1639"/>
    <w:rsid w:val="005A1829"/>
    <w:rsid w:val="005A1A61"/>
    <w:rsid w:val="005A1A7B"/>
    <w:rsid w:val="005A2843"/>
    <w:rsid w:val="005A2A07"/>
    <w:rsid w:val="005A2E0B"/>
    <w:rsid w:val="005A2E71"/>
    <w:rsid w:val="005A3467"/>
    <w:rsid w:val="005A387B"/>
    <w:rsid w:val="005A3B28"/>
    <w:rsid w:val="005A4294"/>
    <w:rsid w:val="005A487E"/>
    <w:rsid w:val="005A49B0"/>
    <w:rsid w:val="005A4B4A"/>
    <w:rsid w:val="005A4CCC"/>
    <w:rsid w:val="005A4D60"/>
    <w:rsid w:val="005A58DA"/>
    <w:rsid w:val="005A5B44"/>
    <w:rsid w:val="005A5BD3"/>
    <w:rsid w:val="005A5FA0"/>
    <w:rsid w:val="005A628B"/>
    <w:rsid w:val="005A62A2"/>
    <w:rsid w:val="005A646E"/>
    <w:rsid w:val="005A67F0"/>
    <w:rsid w:val="005A69B1"/>
    <w:rsid w:val="005A6BBC"/>
    <w:rsid w:val="005A6DC6"/>
    <w:rsid w:val="005A6E0D"/>
    <w:rsid w:val="005A7308"/>
    <w:rsid w:val="005A74B4"/>
    <w:rsid w:val="005A77FB"/>
    <w:rsid w:val="005A7F71"/>
    <w:rsid w:val="005B044A"/>
    <w:rsid w:val="005B0B05"/>
    <w:rsid w:val="005B0B3E"/>
    <w:rsid w:val="005B0E75"/>
    <w:rsid w:val="005B1083"/>
    <w:rsid w:val="005B172D"/>
    <w:rsid w:val="005B1782"/>
    <w:rsid w:val="005B17AA"/>
    <w:rsid w:val="005B1E29"/>
    <w:rsid w:val="005B1FDC"/>
    <w:rsid w:val="005B2194"/>
    <w:rsid w:val="005B221C"/>
    <w:rsid w:val="005B2740"/>
    <w:rsid w:val="005B2CF3"/>
    <w:rsid w:val="005B3A39"/>
    <w:rsid w:val="005B3B07"/>
    <w:rsid w:val="005B3CFB"/>
    <w:rsid w:val="005B3D98"/>
    <w:rsid w:val="005B3E7F"/>
    <w:rsid w:val="005B4063"/>
    <w:rsid w:val="005B40EE"/>
    <w:rsid w:val="005B412F"/>
    <w:rsid w:val="005B55CA"/>
    <w:rsid w:val="005B57FC"/>
    <w:rsid w:val="005B5A34"/>
    <w:rsid w:val="005B5A50"/>
    <w:rsid w:val="005B5A5D"/>
    <w:rsid w:val="005B5B47"/>
    <w:rsid w:val="005B6134"/>
    <w:rsid w:val="005B6771"/>
    <w:rsid w:val="005B6797"/>
    <w:rsid w:val="005B68F9"/>
    <w:rsid w:val="005B6F6C"/>
    <w:rsid w:val="005B7178"/>
    <w:rsid w:val="005B77F9"/>
    <w:rsid w:val="005B78B1"/>
    <w:rsid w:val="005B7B92"/>
    <w:rsid w:val="005B7D88"/>
    <w:rsid w:val="005B7E2E"/>
    <w:rsid w:val="005C0811"/>
    <w:rsid w:val="005C08E7"/>
    <w:rsid w:val="005C0AB5"/>
    <w:rsid w:val="005C0D63"/>
    <w:rsid w:val="005C1198"/>
    <w:rsid w:val="005C1467"/>
    <w:rsid w:val="005C156B"/>
    <w:rsid w:val="005C171D"/>
    <w:rsid w:val="005C182F"/>
    <w:rsid w:val="005C1CDB"/>
    <w:rsid w:val="005C1DEC"/>
    <w:rsid w:val="005C1E4B"/>
    <w:rsid w:val="005C1F8C"/>
    <w:rsid w:val="005C29B0"/>
    <w:rsid w:val="005C2B60"/>
    <w:rsid w:val="005C2C44"/>
    <w:rsid w:val="005C3042"/>
    <w:rsid w:val="005C30A6"/>
    <w:rsid w:val="005C30AA"/>
    <w:rsid w:val="005C358B"/>
    <w:rsid w:val="005C37CE"/>
    <w:rsid w:val="005C3AB7"/>
    <w:rsid w:val="005C3BDC"/>
    <w:rsid w:val="005C3FA3"/>
    <w:rsid w:val="005C4CC7"/>
    <w:rsid w:val="005C510B"/>
    <w:rsid w:val="005C5718"/>
    <w:rsid w:val="005C5CBF"/>
    <w:rsid w:val="005C5D96"/>
    <w:rsid w:val="005C5DDA"/>
    <w:rsid w:val="005C5E86"/>
    <w:rsid w:val="005C66AD"/>
    <w:rsid w:val="005C6E65"/>
    <w:rsid w:val="005C6EF2"/>
    <w:rsid w:val="005C7249"/>
    <w:rsid w:val="005C72CB"/>
    <w:rsid w:val="005C74B9"/>
    <w:rsid w:val="005C794E"/>
    <w:rsid w:val="005C7C3D"/>
    <w:rsid w:val="005C7ECD"/>
    <w:rsid w:val="005D002F"/>
    <w:rsid w:val="005D0067"/>
    <w:rsid w:val="005D107A"/>
    <w:rsid w:val="005D113E"/>
    <w:rsid w:val="005D14CA"/>
    <w:rsid w:val="005D165F"/>
    <w:rsid w:val="005D16E0"/>
    <w:rsid w:val="005D17C0"/>
    <w:rsid w:val="005D19C9"/>
    <w:rsid w:val="005D1A94"/>
    <w:rsid w:val="005D1CFB"/>
    <w:rsid w:val="005D1D7A"/>
    <w:rsid w:val="005D210B"/>
    <w:rsid w:val="005D2373"/>
    <w:rsid w:val="005D23BC"/>
    <w:rsid w:val="005D2477"/>
    <w:rsid w:val="005D28EB"/>
    <w:rsid w:val="005D2C28"/>
    <w:rsid w:val="005D2CF6"/>
    <w:rsid w:val="005D2D0F"/>
    <w:rsid w:val="005D304E"/>
    <w:rsid w:val="005D306A"/>
    <w:rsid w:val="005D3588"/>
    <w:rsid w:val="005D36AA"/>
    <w:rsid w:val="005D382A"/>
    <w:rsid w:val="005D3B28"/>
    <w:rsid w:val="005D3EDE"/>
    <w:rsid w:val="005D3F5A"/>
    <w:rsid w:val="005D4009"/>
    <w:rsid w:val="005D4560"/>
    <w:rsid w:val="005D4689"/>
    <w:rsid w:val="005D46CA"/>
    <w:rsid w:val="005D48CB"/>
    <w:rsid w:val="005D4D63"/>
    <w:rsid w:val="005D5139"/>
    <w:rsid w:val="005D551B"/>
    <w:rsid w:val="005D5656"/>
    <w:rsid w:val="005D59B6"/>
    <w:rsid w:val="005D6399"/>
    <w:rsid w:val="005D6566"/>
    <w:rsid w:val="005D65BF"/>
    <w:rsid w:val="005D6B32"/>
    <w:rsid w:val="005D6C34"/>
    <w:rsid w:val="005D6D51"/>
    <w:rsid w:val="005D6E2B"/>
    <w:rsid w:val="005D6E8A"/>
    <w:rsid w:val="005D6EB1"/>
    <w:rsid w:val="005D708A"/>
    <w:rsid w:val="005D70DA"/>
    <w:rsid w:val="005D70F5"/>
    <w:rsid w:val="005D789E"/>
    <w:rsid w:val="005D79D6"/>
    <w:rsid w:val="005D7D3F"/>
    <w:rsid w:val="005E01FA"/>
    <w:rsid w:val="005E03DA"/>
    <w:rsid w:val="005E04B3"/>
    <w:rsid w:val="005E062A"/>
    <w:rsid w:val="005E0680"/>
    <w:rsid w:val="005E08CA"/>
    <w:rsid w:val="005E0A0A"/>
    <w:rsid w:val="005E0F0A"/>
    <w:rsid w:val="005E0FA7"/>
    <w:rsid w:val="005E1452"/>
    <w:rsid w:val="005E16E8"/>
    <w:rsid w:val="005E1F51"/>
    <w:rsid w:val="005E2124"/>
    <w:rsid w:val="005E2709"/>
    <w:rsid w:val="005E273D"/>
    <w:rsid w:val="005E2EAB"/>
    <w:rsid w:val="005E30A4"/>
    <w:rsid w:val="005E345A"/>
    <w:rsid w:val="005E3730"/>
    <w:rsid w:val="005E3C29"/>
    <w:rsid w:val="005E3C50"/>
    <w:rsid w:val="005E477F"/>
    <w:rsid w:val="005E54A5"/>
    <w:rsid w:val="005E5FEA"/>
    <w:rsid w:val="005E60F4"/>
    <w:rsid w:val="005E6103"/>
    <w:rsid w:val="005E6259"/>
    <w:rsid w:val="005E6590"/>
    <w:rsid w:val="005E6769"/>
    <w:rsid w:val="005E73D9"/>
    <w:rsid w:val="005E7722"/>
    <w:rsid w:val="005E79C9"/>
    <w:rsid w:val="005F0582"/>
    <w:rsid w:val="005F0673"/>
    <w:rsid w:val="005F06E9"/>
    <w:rsid w:val="005F0910"/>
    <w:rsid w:val="005F0D59"/>
    <w:rsid w:val="005F0E60"/>
    <w:rsid w:val="005F1E21"/>
    <w:rsid w:val="005F212D"/>
    <w:rsid w:val="005F2139"/>
    <w:rsid w:val="005F2353"/>
    <w:rsid w:val="005F2378"/>
    <w:rsid w:val="005F2861"/>
    <w:rsid w:val="005F2875"/>
    <w:rsid w:val="005F28EB"/>
    <w:rsid w:val="005F35E5"/>
    <w:rsid w:val="005F3697"/>
    <w:rsid w:val="005F3722"/>
    <w:rsid w:val="005F3787"/>
    <w:rsid w:val="005F3B3D"/>
    <w:rsid w:val="005F45BF"/>
    <w:rsid w:val="005F4B6A"/>
    <w:rsid w:val="005F4D8C"/>
    <w:rsid w:val="005F5313"/>
    <w:rsid w:val="005F5315"/>
    <w:rsid w:val="005F56E7"/>
    <w:rsid w:val="005F5710"/>
    <w:rsid w:val="005F6181"/>
    <w:rsid w:val="005F63D2"/>
    <w:rsid w:val="005F6F7A"/>
    <w:rsid w:val="005F75FB"/>
    <w:rsid w:val="005F7799"/>
    <w:rsid w:val="005F7A7A"/>
    <w:rsid w:val="005F7F04"/>
    <w:rsid w:val="005F7FA0"/>
    <w:rsid w:val="006000AA"/>
    <w:rsid w:val="00600175"/>
    <w:rsid w:val="006002E8"/>
    <w:rsid w:val="00600781"/>
    <w:rsid w:val="00600A89"/>
    <w:rsid w:val="00600DDD"/>
    <w:rsid w:val="00601AC0"/>
    <w:rsid w:val="00601AC5"/>
    <w:rsid w:val="00602B24"/>
    <w:rsid w:val="00603B62"/>
    <w:rsid w:val="00604158"/>
    <w:rsid w:val="006042B2"/>
    <w:rsid w:val="006047D0"/>
    <w:rsid w:val="00604B00"/>
    <w:rsid w:val="00604B38"/>
    <w:rsid w:val="00604BD6"/>
    <w:rsid w:val="00604CC6"/>
    <w:rsid w:val="00604CEC"/>
    <w:rsid w:val="00604D86"/>
    <w:rsid w:val="00604DF3"/>
    <w:rsid w:val="00605071"/>
    <w:rsid w:val="0060517E"/>
    <w:rsid w:val="00605749"/>
    <w:rsid w:val="00605772"/>
    <w:rsid w:val="0060597C"/>
    <w:rsid w:val="006064DC"/>
    <w:rsid w:val="0060652E"/>
    <w:rsid w:val="00606608"/>
    <w:rsid w:val="006067FE"/>
    <w:rsid w:val="00606F82"/>
    <w:rsid w:val="00607130"/>
    <w:rsid w:val="006071D6"/>
    <w:rsid w:val="0060797B"/>
    <w:rsid w:val="00607A84"/>
    <w:rsid w:val="006103AC"/>
    <w:rsid w:val="00610484"/>
    <w:rsid w:val="00610685"/>
    <w:rsid w:val="00610873"/>
    <w:rsid w:val="00610FEA"/>
    <w:rsid w:val="006111B7"/>
    <w:rsid w:val="006111E1"/>
    <w:rsid w:val="0061161D"/>
    <w:rsid w:val="006119A7"/>
    <w:rsid w:val="006119AB"/>
    <w:rsid w:val="00611BEB"/>
    <w:rsid w:val="0061260F"/>
    <w:rsid w:val="006126BE"/>
    <w:rsid w:val="0061297C"/>
    <w:rsid w:val="00612996"/>
    <w:rsid w:val="00613C36"/>
    <w:rsid w:val="00613CE7"/>
    <w:rsid w:val="00613F00"/>
    <w:rsid w:val="0061409D"/>
    <w:rsid w:val="006142D4"/>
    <w:rsid w:val="006143EE"/>
    <w:rsid w:val="006148EA"/>
    <w:rsid w:val="00614F61"/>
    <w:rsid w:val="00614F88"/>
    <w:rsid w:val="006150AE"/>
    <w:rsid w:val="0061540A"/>
    <w:rsid w:val="00615972"/>
    <w:rsid w:val="00615BFB"/>
    <w:rsid w:val="00615D6E"/>
    <w:rsid w:val="00616054"/>
    <w:rsid w:val="00616420"/>
    <w:rsid w:val="006166DA"/>
    <w:rsid w:val="00616842"/>
    <w:rsid w:val="00616DA0"/>
    <w:rsid w:val="00617267"/>
    <w:rsid w:val="006173E5"/>
    <w:rsid w:val="00617B63"/>
    <w:rsid w:val="00617BDB"/>
    <w:rsid w:val="00617DA9"/>
    <w:rsid w:val="00617DDA"/>
    <w:rsid w:val="00620249"/>
    <w:rsid w:val="00620311"/>
    <w:rsid w:val="006205E9"/>
    <w:rsid w:val="00620921"/>
    <w:rsid w:val="00620B48"/>
    <w:rsid w:val="0062105D"/>
    <w:rsid w:val="0062132C"/>
    <w:rsid w:val="00621444"/>
    <w:rsid w:val="0062151E"/>
    <w:rsid w:val="006218FC"/>
    <w:rsid w:val="0062195C"/>
    <w:rsid w:val="00621F1E"/>
    <w:rsid w:val="00622086"/>
    <w:rsid w:val="00622156"/>
    <w:rsid w:val="00622533"/>
    <w:rsid w:val="0062281F"/>
    <w:rsid w:val="00622841"/>
    <w:rsid w:val="006228A4"/>
    <w:rsid w:val="00622AC6"/>
    <w:rsid w:val="00622C44"/>
    <w:rsid w:val="00622F39"/>
    <w:rsid w:val="006235E2"/>
    <w:rsid w:val="00623637"/>
    <w:rsid w:val="00623FC3"/>
    <w:rsid w:val="006240AD"/>
    <w:rsid w:val="006240B4"/>
    <w:rsid w:val="00624399"/>
    <w:rsid w:val="0062443B"/>
    <w:rsid w:val="00624833"/>
    <w:rsid w:val="0062484B"/>
    <w:rsid w:val="00624A85"/>
    <w:rsid w:val="00624BD0"/>
    <w:rsid w:val="006250E9"/>
    <w:rsid w:val="00625436"/>
    <w:rsid w:val="00625A39"/>
    <w:rsid w:val="00625B52"/>
    <w:rsid w:val="00625CD5"/>
    <w:rsid w:val="00626690"/>
    <w:rsid w:val="00626D65"/>
    <w:rsid w:val="00626F50"/>
    <w:rsid w:val="00626F81"/>
    <w:rsid w:val="00626FC6"/>
    <w:rsid w:val="00627451"/>
    <w:rsid w:val="00627D47"/>
    <w:rsid w:val="00627EB5"/>
    <w:rsid w:val="0063030E"/>
    <w:rsid w:val="00630B0D"/>
    <w:rsid w:val="00630B4A"/>
    <w:rsid w:val="00630D61"/>
    <w:rsid w:val="00630FA0"/>
    <w:rsid w:val="006310C4"/>
    <w:rsid w:val="0063181F"/>
    <w:rsid w:val="00631820"/>
    <w:rsid w:val="006319B8"/>
    <w:rsid w:val="00631D8C"/>
    <w:rsid w:val="006328B8"/>
    <w:rsid w:val="00633739"/>
    <w:rsid w:val="00633835"/>
    <w:rsid w:val="00633A0E"/>
    <w:rsid w:val="0063403E"/>
    <w:rsid w:val="00634351"/>
    <w:rsid w:val="0063470C"/>
    <w:rsid w:val="00634780"/>
    <w:rsid w:val="006348F1"/>
    <w:rsid w:val="00634A7B"/>
    <w:rsid w:val="00634C88"/>
    <w:rsid w:val="0063543A"/>
    <w:rsid w:val="006354EE"/>
    <w:rsid w:val="00635677"/>
    <w:rsid w:val="00635706"/>
    <w:rsid w:val="00635737"/>
    <w:rsid w:val="00635763"/>
    <w:rsid w:val="006359EB"/>
    <w:rsid w:val="00635DE7"/>
    <w:rsid w:val="00635E8A"/>
    <w:rsid w:val="00636041"/>
    <w:rsid w:val="0063624B"/>
    <w:rsid w:val="0063631E"/>
    <w:rsid w:val="00636367"/>
    <w:rsid w:val="006363B5"/>
    <w:rsid w:val="006363C7"/>
    <w:rsid w:val="00636567"/>
    <w:rsid w:val="0063677C"/>
    <w:rsid w:val="00636E2D"/>
    <w:rsid w:val="0063726B"/>
    <w:rsid w:val="0063747F"/>
    <w:rsid w:val="00637643"/>
    <w:rsid w:val="00637BC1"/>
    <w:rsid w:val="00637C54"/>
    <w:rsid w:val="00637C60"/>
    <w:rsid w:val="0064013A"/>
    <w:rsid w:val="0064032C"/>
    <w:rsid w:val="0064043B"/>
    <w:rsid w:val="00640D2D"/>
    <w:rsid w:val="00640E12"/>
    <w:rsid w:val="00640ECB"/>
    <w:rsid w:val="00641154"/>
    <w:rsid w:val="00641234"/>
    <w:rsid w:val="00641352"/>
    <w:rsid w:val="006413CB"/>
    <w:rsid w:val="00641F2A"/>
    <w:rsid w:val="0064246F"/>
    <w:rsid w:val="006425DC"/>
    <w:rsid w:val="0064291F"/>
    <w:rsid w:val="006429E7"/>
    <w:rsid w:val="006431F8"/>
    <w:rsid w:val="0064344D"/>
    <w:rsid w:val="0064357B"/>
    <w:rsid w:val="00643676"/>
    <w:rsid w:val="0064372C"/>
    <w:rsid w:val="0064384F"/>
    <w:rsid w:val="006438D4"/>
    <w:rsid w:val="00643927"/>
    <w:rsid w:val="00644040"/>
    <w:rsid w:val="00644556"/>
    <w:rsid w:val="00644699"/>
    <w:rsid w:val="00644927"/>
    <w:rsid w:val="00645375"/>
    <w:rsid w:val="00645489"/>
    <w:rsid w:val="0064557B"/>
    <w:rsid w:val="00645905"/>
    <w:rsid w:val="00645B05"/>
    <w:rsid w:val="00645B84"/>
    <w:rsid w:val="0064610F"/>
    <w:rsid w:val="0064651B"/>
    <w:rsid w:val="006465EC"/>
    <w:rsid w:val="00646ABD"/>
    <w:rsid w:val="00646AEA"/>
    <w:rsid w:val="00647145"/>
    <w:rsid w:val="00647861"/>
    <w:rsid w:val="00647A87"/>
    <w:rsid w:val="00647F15"/>
    <w:rsid w:val="006502C3"/>
    <w:rsid w:val="0065067D"/>
    <w:rsid w:val="006507B2"/>
    <w:rsid w:val="006508B9"/>
    <w:rsid w:val="006508BA"/>
    <w:rsid w:val="00650ABB"/>
    <w:rsid w:val="00650F2D"/>
    <w:rsid w:val="00651080"/>
    <w:rsid w:val="00651123"/>
    <w:rsid w:val="0065140A"/>
    <w:rsid w:val="006514BB"/>
    <w:rsid w:val="00651792"/>
    <w:rsid w:val="006519EB"/>
    <w:rsid w:val="00651AC8"/>
    <w:rsid w:val="00651AE7"/>
    <w:rsid w:val="00651CF6"/>
    <w:rsid w:val="006521DB"/>
    <w:rsid w:val="00652408"/>
    <w:rsid w:val="00652802"/>
    <w:rsid w:val="006529F4"/>
    <w:rsid w:val="00652C24"/>
    <w:rsid w:val="0065309D"/>
    <w:rsid w:val="0065348E"/>
    <w:rsid w:val="00653850"/>
    <w:rsid w:val="00653B51"/>
    <w:rsid w:val="00653CFF"/>
    <w:rsid w:val="00653DE8"/>
    <w:rsid w:val="0065415E"/>
    <w:rsid w:val="00654237"/>
    <w:rsid w:val="006545BC"/>
    <w:rsid w:val="00654663"/>
    <w:rsid w:val="006549CB"/>
    <w:rsid w:val="00654D38"/>
    <w:rsid w:val="00655241"/>
    <w:rsid w:val="00655963"/>
    <w:rsid w:val="00655AA0"/>
    <w:rsid w:val="00655B17"/>
    <w:rsid w:val="00655B99"/>
    <w:rsid w:val="00655F8C"/>
    <w:rsid w:val="00656037"/>
    <w:rsid w:val="00656080"/>
    <w:rsid w:val="00656810"/>
    <w:rsid w:val="006569A5"/>
    <w:rsid w:val="00656DA0"/>
    <w:rsid w:val="0065713D"/>
    <w:rsid w:val="00657371"/>
    <w:rsid w:val="0065737D"/>
    <w:rsid w:val="00657AA2"/>
    <w:rsid w:val="00657AC6"/>
    <w:rsid w:val="00657E4B"/>
    <w:rsid w:val="00657F48"/>
    <w:rsid w:val="00660224"/>
    <w:rsid w:val="0066026C"/>
    <w:rsid w:val="0066027C"/>
    <w:rsid w:val="00660378"/>
    <w:rsid w:val="00660EC6"/>
    <w:rsid w:val="006613FD"/>
    <w:rsid w:val="00661799"/>
    <w:rsid w:val="006617B6"/>
    <w:rsid w:val="00661CD7"/>
    <w:rsid w:val="00661CFE"/>
    <w:rsid w:val="00662276"/>
    <w:rsid w:val="00662529"/>
    <w:rsid w:val="00662C49"/>
    <w:rsid w:val="00662E03"/>
    <w:rsid w:val="006632CE"/>
    <w:rsid w:val="00663488"/>
    <w:rsid w:val="0066359E"/>
    <w:rsid w:val="0066389A"/>
    <w:rsid w:val="00663917"/>
    <w:rsid w:val="00663953"/>
    <w:rsid w:val="00663DF1"/>
    <w:rsid w:val="00663F7D"/>
    <w:rsid w:val="0066428F"/>
    <w:rsid w:val="0066439E"/>
    <w:rsid w:val="00664C2D"/>
    <w:rsid w:val="00664CF9"/>
    <w:rsid w:val="00665455"/>
    <w:rsid w:val="0066599C"/>
    <w:rsid w:val="006659A4"/>
    <w:rsid w:val="00665BAA"/>
    <w:rsid w:val="00665C0F"/>
    <w:rsid w:val="00665CD5"/>
    <w:rsid w:val="00665EDC"/>
    <w:rsid w:val="00666273"/>
    <w:rsid w:val="006662B0"/>
    <w:rsid w:val="00666669"/>
    <w:rsid w:val="006666F9"/>
    <w:rsid w:val="00666787"/>
    <w:rsid w:val="006669AE"/>
    <w:rsid w:val="0066728B"/>
    <w:rsid w:val="00667544"/>
    <w:rsid w:val="00667564"/>
    <w:rsid w:val="006678A3"/>
    <w:rsid w:val="00667A97"/>
    <w:rsid w:val="00667AFD"/>
    <w:rsid w:val="00670028"/>
    <w:rsid w:val="006704A8"/>
    <w:rsid w:val="00670A18"/>
    <w:rsid w:val="00670B4E"/>
    <w:rsid w:val="00670CCD"/>
    <w:rsid w:val="00671061"/>
    <w:rsid w:val="006711F8"/>
    <w:rsid w:val="00671310"/>
    <w:rsid w:val="006713C5"/>
    <w:rsid w:val="00671401"/>
    <w:rsid w:val="00671429"/>
    <w:rsid w:val="00671677"/>
    <w:rsid w:val="00671788"/>
    <w:rsid w:val="00671C67"/>
    <w:rsid w:val="006723DC"/>
    <w:rsid w:val="0067251F"/>
    <w:rsid w:val="006726A6"/>
    <w:rsid w:val="006727E5"/>
    <w:rsid w:val="00672EB1"/>
    <w:rsid w:val="00672F2E"/>
    <w:rsid w:val="0067338D"/>
    <w:rsid w:val="00673477"/>
    <w:rsid w:val="00673A1B"/>
    <w:rsid w:val="00673AE3"/>
    <w:rsid w:val="00673C55"/>
    <w:rsid w:val="00674121"/>
    <w:rsid w:val="00674D8A"/>
    <w:rsid w:val="00674EFF"/>
    <w:rsid w:val="00674F53"/>
    <w:rsid w:val="00674FA0"/>
    <w:rsid w:val="0067510A"/>
    <w:rsid w:val="006751D3"/>
    <w:rsid w:val="00675567"/>
    <w:rsid w:val="00675BB1"/>
    <w:rsid w:val="006761E6"/>
    <w:rsid w:val="00676411"/>
    <w:rsid w:val="006764D2"/>
    <w:rsid w:val="00676603"/>
    <w:rsid w:val="006766F2"/>
    <w:rsid w:val="00676B6C"/>
    <w:rsid w:val="00676BAF"/>
    <w:rsid w:val="00676D1D"/>
    <w:rsid w:val="00676DF5"/>
    <w:rsid w:val="0067739D"/>
    <w:rsid w:val="006774E9"/>
    <w:rsid w:val="006776D4"/>
    <w:rsid w:val="00677C67"/>
    <w:rsid w:val="00677F82"/>
    <w:rsid w:val="006800BC"/>
    <w:rsid w:val="00680198"/>
    <w:rsid w:val="00680414"/>
    <w:rsid w:val="00680676"/>
    <w:rsid w:val="00681350"/>
    <w:rsid w:val="00681524"/>
    <w:rsid w:val="00681AE8"/>
    <w:rsid w:val="00681C41"/>
    <w:rsid w:val="00681E35"/>
    <w:rsid w:val="00681E9D"/>
    <w:rsid w:val="00682152"/>
    <w:rsid w:val="00682E80"/>
    <w:rsid w:val="006830C2"/>
    <w:rsid w:val="006830CE"/>
    <w:rsid w:val="00683254"/>
    <w:rsid w:val="0068345A"/>
    <w:rsid w:val="0068363E"/>
    <w:rsid w:val="00683836"/>
    <w:rsid w:val="00683A13"/>
    <w:rsid w:val="00683D8F"/>
    <w:rsid w:val="0068413A"/>
    <w:rsid w:val="0068434F"/>
    <w:rsid w:val="006844F4"/>
    <w:rsid w:val="0068461F"/>
    <w:rsid w:val="00684A4F"/>
    <w:rsid w:val="00684A82"/>
    <w:rsid w:val="00684FED"/>
    <w:rsid w:val="00685AE0"/>
    <w:rsid w:val="00685B24"/>
    <w:rsid w:val="00685E28"/>
    <w:rsid w:val="00685FC4"/>
    <w:rsid w:val="006866A1"/>
    <w:rsid w:val="0068694D"/>
    <w:rsid w:val="00686AF3"/>
    <w:rsid w:val="006873D2"/>
    <w:rsid w:val="006874DD"/>
    <w:rsid w:val="00687585"/>
    <w:rsid w:val="00687F83"/>
    <w:rsid w:val="00690257"/>
    <w:rsid w:val="006904BB"/>
    <w:rsid w:val="00690901"/>
    <w:rsid w:val="00690ABF"/>
    <w:rsid w:val="00690AED"/>
    <w:rsid w:val="00690B59"/>
    <w:rsid w:val="00691C12"/>
    <w:rsid w:val="00691DD7"/>
    <w:rsid w:val="006923B4"/>
    <w:rsid w:val="006926EA"/>
    <w:rsid w:val="00692AFE"/>
    <w:rsid w:val="00692BE1"/>
    <w:rsid w:val="00692D9F"/>
    <w:rsid w:val="00692F19"/>
    <w:rsid w:val="006930D1"/>
    <w:rsid w:val="0069337C"/>
    <w:rsid w:val="00693642"/>
    <w:rsid w:val="006938C3"/>
    <w:rsid w:val="00693AE5"/>
    <w:rsid w:val="00693B5E"/>
    <w:rsid w:val="00693D55"/>
    <w:rsid w:val="0069452D"/>
    <w:rsid w:val="00694FAB"/>
    <w:rsid w:val="006950DF"/>
    <w:rsid w:val="0069552D"/>
    <w:rsid w:val="00695832"/>
    <w:rsid w:val="00695B2D"/>
    <w:rsid w:val="00695C87"/>
    <w:rsid w:val="006965FC"/>
    <w:rsid w:val="00696A2D"/>
    <w:rsid w:val="00696F4F"/>
    <w:rsid w:val="0069761C"/>
    <w:rsid w:val="00697FB7"/>
    <w:rsid w:val="006A008B"/>
    <w:rsid w:val="006A0115"/>
    <w:rsid w:val="006A025C"/>
    <w:rsid w:val="006A03BF"/>
    <w:rsid w:val="006A065A"/>
    <w:rsid w:val="006A07F1"/>
    <w:rsid w:val="006A0907"/>
    <w:rsid w:val="006A1185"/>
    <w:rsid w:val="006A14E0"/>
    <w:rsid w:val="006A1C8D"/>
    <w:rsid w:val="006A224E"/>
    <w:rsid w:val="006A2418"/>
    <w:rsid w:val="006A27C3"/>
    <w:rsid w:val="006A2DA0"/>
    <w:rsid w:val="006A30B1"/>
    <w:rsid w:val="006A31F6"/>
    <w:rsid w:val="006A3368"/>
    <w:rsid w:val="006A350F"/>
    <w:rsid w:val="006A35B9"/>
    <w:rsid w:val="006A3C41"/>
    <w:rsid w:val="006A3FBF"/>
    <w:rsid w:val="006A43E1"/>
    <w:rsid w:val="006A451C"/>
    <w:rsid w:val="006A4ECA"/>
    <w:rsid w:val="006A5820"/>
    <w:rsid w:val="006A588B"/>
    <w:rsid w:val="006A58DF"/>
    <w:rsid w:val="006A6297"/>
    <w:rsid w:val="006A64F9"/>
    <w:rsid w:val="006A675D"/>
    <w:rsid w:val="006A6B3F"/>
    <w:rsid w:val="006A6E1C"/>
    <w:rsid w:val="006A7310"/>
    <w:rsid w:val="006A7B34"/>
    <w:rsid w:val="006B00CD"/>
    <w:rsid w:val="006B058F"/>
    <w:rsid w:val="006B07C7"/>
    <w:rsid w:val="006B08F0"/>
    <w:rsid w:val="006B0C99"/>
    <w:rsid w:val="006B12E4"/>
    <w:rsid w:val="006B19F7"/>
    <w:rsid w:val="006B1AA9"/>
    <w:rsid w:val="006B1B64"/>
    <w:rsid w:val="006B1DC3"/>
    <w:rsid w:val="006B1EE5"/>
    <w:rsid w:val="006B1F67"/>
    <w:rsid w:val="006B1FFA"/>
    <w:rsid w:val="006B2229"/>
    <w:rsid w:val="006B2666"/>
    <w:rsid w:val="006B26D4"/>
    <w:rsid w:val="006B2720"/>
    <w:rsid w:val="006B2EE9"/>
    <w:rsid w:val="006B30A0"/>
    <w:rsid w:val="006B34EA"/>
    <w:rsid w:val="006B35A4"/>
    <w:rsid w:val="006B375D"/>
    <w:rsid w:val="006B3D2A"/>
    <w:rsid w:val="006B406B"/>
    <w:rsid w:val="006B4D6F"/>
    <w:rsid w:val="006B51EA"/>
    <w:rsid w:val="006B5335"/>
    <w:rsid w:val="006B585C"/>
    <w:rsid w:val="006B5905"/>
    <w:rsid w:val="006B5A20"/>
    <w:rsid w:val="006B5A33"/>
    <w:rsid w:val="006B5A48"/>
    <w:rsid w:val="006B6021"/>
    <w:rsid w:val="006B6175"/>
    <w:rsid w:val="006B630F"/>
    <w:rsid w:val="006B6920"/>
    <w:rsid w:val="006B692B"/>
    <w:rsid w:val="006B74CA"/>
    <w:rsid w:val="006B7A20"/>
    <w:rsid w:val="006B7A68"/>
    <w:rsid w:val="006C0A69"/>
    <w:rsid w:val="006C0B11"/>
    <w:rsid w:val="006C0B3D"/>
    <w:rsid w:val="006C0C13"/>
    <w:rsid w:val="006C0CB4"/>
    <w:rsid w:val="006C103A"/>
    <w:rsid w:val="006C1081"/>
    <w:rsid w:val="006C118D"/>
    <w:rsid w:val="006C1280"/>
    <w:rsid w:val="006C1481"/>
    <w:rsid w:val="006C190C"/>
    <w:rsid w:val="006C1A4C"/>
    <w:rsid w:val="006C1FBE"/>
    <w:rsid w:val="006C2057"/>
    <w:rsid w:val="006C2064"/>
    <w:rsid w:val="006C2389"/>
    <w:rsid w:val="006C2958"/>
    <w:rsid w:val="006C2974"/>
    <w:rsid w:val="006C337F"/>
    <w:rsid w:val="006C3422"/>
    <w:rsid w:val="006C380B"/>
    <w:rsid w:val="006C39F1"/>
    <w:rsid w:val="006C3C96"/>
    <w:rsid w:val="006C3E69"/>
    <w:rsid w:val="006C3E6F"/>
    <w:rsid w:val="006C42FD"/>
    <w:rsid w:val="006C4330"/>
    <w:rsid w:val="006C454F"/>
    <w:rsid w:val="006C489E"/>
    <w:rsid w:val="006C4D41"/>
    <w:rsid w:val="006C5350"/>
    <w:rsid w:val="006C55F8"/>
    <w:rsid w:val="006C5926"/>
    <w:rsid w:val="006C5AA3"/>
    <w:rsid w:val="006C5CA7"/>
    <w:rsid w:val="006C6366"/>
    <w:rsid w:val="006C63A9"/>
    <w:rsid w:val="006C67F3"/>
    <w:rsid w:val="006C69CA"/>
    <w:rsid w:val="006C6B99"/>
    <w:rsid w:val="006C6D9C"/>
    <w:rsid w:val="006C6FB4"/>
    <w:rsid w:val="006C71F7"/>
    <w:rsid w:val="006C71F9"/>
    <w:rsid w:val="006C753A"/>
    <w:rsid w:val="006C78E6"/>
    <w:rsid w:val="006C7BF3"/>
    <w:rsid w:val="006C7DC0"/>
    <w:rsid w:val="006C7E1A"/>
    <w:rsid w:val="006D00DE"/>
    <w:rsid w:val="006D023F"/>
    <w:rsid w:val="006D02AD"/>
    <w:rsid w:val="006D0802"/>
    <w:rsid w:val="006D0AD0"/>
    <w:rsid w:val="006D1257"/>
    <w:rsid w:val="006D14EC"/>
    <w:rsid w:val="006D1726"/>
    <w:rsid w:val="006D17DE"/>
    <w:rsid w:val="006D1A60"/>
    <w:rsid w:val="006D27FC"/>
    <w:rsid w:val="006D2EAC"/>
    <w:rsid w:val="006D2F25"/>
    <w:rsid w:val="006D3392"/>
    <w:rsid w:val="006D388D"/>
    <w:rsid w:val="006D3B62"/>
    <w:rsid w:val="006D41BC"/>
    <w:rsid w:val="006D4D8F"/>
    <w:rsid w:val="006D55EA"/>
    <w:rsid w:val="006D5A43"/>
    <w:rsid w:val="006D5F29"/>
    <w:rsid w:val="006D66E1"/>
    <w:rsid w:val="006D672A"/>
    <w:rsid w:val="006D6824"/>
    <w:rsid w:val="006D682E"/>
    <w:rsid w:val="006D6E06"/>
    <w:rsid w:val="006D6EE6"/>
    <w:rsid w:val="006D7037"/>
    <w:rsid w:val="006D70AB"/>
    <w:rsid w:val="006D740A"/>
    <w:rsid w:val="006D74C2"/>
    <w:rsid w:val="006D7798"/>
    <w:rsid w:val="006D7B6E"/>
    <w:rsid w:val="006D7B95"/>
    <w:rsid w:val="006D7C25"/>
    <w:rsid w:val="006D7CA8"/>
    <w:rsid w:val="006D7E02"/>
    <w:rsid w:val="006D7E2A"/>
    <w:rsid w:val="006E0551"/>
    <w:rsid w:val="006E060D"/>
    <w:rsid w:val="006E08E4"/>
    <w:rsid w:val="006E09F5"/>
    <w:rsid w:val="006E0B57"/>
    <w:rsid w:val="006E0F73"/>
    <w:rsid w:val="006E0F76"/>
    <w:rsid w:val="006E1299"/>
    <w:rsid w:val="006E137B"/>
    <w:rsid w:val="006E17AB"/>
    <w:rsid w:val="006E1831"/>
    <w:rsid w:val="006E18FD"/>
    <w:rsid w:val="006E2514"/>
    <w:rsid w:val="006E27A7"/>
    <w:rsid w:val="006E2ACD"/>
    <w:rsid w:val="006E2CA2"/>
    <w:rsid w:val="006E3173"/>
    <w:rsid w:val="006E355E"/>
    <w:rsid w:val="006E3A59"/>
    <w:rsid w:val="006E3BA2"/>
    <w:rsid w:val="006E3D91"/>
    <w:rsid w:val="006E44E9"/>
    <w:rsid w:val="006E47C6"/>
    <w:rsid w:val="006E4D60"/>
    <w:rsid w:val="006E4DBC"/>
    <w:rsid w:val="006E4FBC"/>
    <w:rsid w:val="006E51A0"/>
    <w:rsid w:val="006E5B39"/>
    <w:rsid w:val="006E5CB8"/>
    <w:rsid w:val="006E5DEE"/>
    <w:rsid w:val="006E609B"/>
    <w:rsid w:val="006E610D"/>
    <w:rsid w:val="006E617A"/>
    <w:rsid w:val="006E6406"/>
    <w:rsid w:val="006E668E"/>
    <w:rsid w:val="006E6BD3"/>
    <w:rsid w:val="006E70C3"/>
    <w:rsid w:val="006E733E"/>
    <w:rsid w:val="006E73BC"/>
    <w:rsid w:val="006E7BE4"/>
    <w:rsid w:val="006F01C3"/>
    <w:rsid w:val="006F01E5"/>
    <w:rsid w:val="006F03AE"/>
    <w:rsid w:val="006F03F8"/>
    <w:rsid w:val="006F06A6"/>
    <w:rsid w:val="006F084C"/>
    <w:rsid w:val="006F0D4C"/>
    <w:rsid w:val="006F1016"/>
    <w:rsid w:val="006F13C7"/>
    <w:rsid w:val="006F1661"/>
    <w:rsid w:val="006F199C"/>
    <w:rsid w:val="006F1AB7"/>
    <w:rsid w:val="006F1EFA"/>
    <w:rsid w:val="006F2355"/>
    <w:rsid w:val="006F23F4"/>
    <w:rsid w:val="006F27CB"/>
    <w:rsid w:val="006F28EB"/>
    <w:rsid w:val="006F2B0F"/>
    <w:rsid w:val="006F2B7C"/>
    <w:rsid w:val="006F2BB0"/>
    <w:rsid w:val="006F2F5D"/>
    <w:rsid w:val="006F3667"/>
    <w:rsid w:val="006F3957"/>
    <w:rsid w:val="006F3B65"/>
    <w:rsid w:val="006F3BC8"/>
    <w:rsid w:val="006F3D50"/>
    <w:rsid w:val="006F42A8"/>
    <w:rsid w:val="006F4711"/>
    <w:rsid w:val="006F4AF1"/>
    <w:rsid w:val="006F4D44"/>
    <w:rsid w:val="006F4EE7"/>
    <w:rsid w:val="006F5035"/>
    <w:rsid w:val="006F56D6"/>
    <w:rsid w:val="006F5908"/>
    <w:rsid w:val="006F632E"/>
    <w:rsid w:val="006F63B4"/>
    <w:rsid w:val="006F64BF"/>
    <w:rsid w:val="006F6560"/>
    <w:rsid w:val="006F65A7"/>
    <w:rsid w:val="006F67FD"/>
    <w:rsid w:val="006F6826"/>
    <w:rsid w:val="006F68AA"/>
    <w:rsid w:val="006F6BE7"/>
    <w:rsid w:val="006F6E9B"/>
    <w:rsid w:val="006F74B6"/>
    <w:rsid w:val="006F7BD0"/>
    <w:rsid w:val="006F7CC9"/>
    <w:rsid w:val="006F7E0A"/>
    <w:rsid w:val="007000F6"/>
    <w:rsid w:val="0070021A"/>
    <w:rsid w:val="007002CD"/>
    <w:rsid w:val="007004F6"/>
    <w:rsid w:val="007008A7"/>
    <w:rsid w:val="007009B9"/>
    <w:rsid w:val="00700B58"/>
    <w:rsid w:val="00700B63"/>
    <w:rsid w:val="007010F8"/>
    <w:rsid w:val="0070122F"/>
    <w:rsid w:val="00701364"/>
    <w:rsid w:val="00701706"/>
    <w:rsid w:val="00701826"/>
    <w:rsid w:val="00701C61"/>
    <w:rsid w:val="00701FDA"/>
    <w:rsid w:val="0070205D"/>
    <w:rsid w:val="007027A6"/>
    <w:rsid w:val="0070288E"/>
    <w:rsid w:val="00702B60"/>
    <w:rsid w:val="00702B82"/>
    <w:rsid w:val="00702BB8"/>
    <w:rsid w:val="00702F1B"/>
    <w:rsid w:val="00703065"/>
    <w:rsid w:val="007030E5"/>
    <w:rsid w:val="0070324A"/>
    <w:rsid w:val="007035AB"/>
    <w:rsid w:val="00703783"/>
    <w:rsid w:val="0070396E"/>
    <w:rsid w:val="00703EDF"/>
    <w:rsid w:val="00703F21"/>
    <w:rsid w:val="00704391"/>
    <w:rsid w:val="007048A9"/>
    <w:rsid w:val="00704A66"/>
    <w:rsid w:val="007055BA"/>
    <w:rsid w:val="00705640"/>
    <w:rsid w:val="00705EDB"/>
    <w:rsid w:val="00705F53"/>
    <w:rsid w:val="0070618C"/>
    <w:rsid w:val="007065CF"/>
    <w:rsid w:val="00706793"/>
    <w:rsid w:val="00706CC9"/>
    <w:rsid w:val="00706DE9"/>
    <w:rsid w:val="00706DEA"/>
    <w:rsid w:val="00707920"/>
    <w:rsid w:val="00707E2E"/>
    <w:rsid w:val="0071004B"/>
    <w:rsid w:val="00710220"/>
    <w:rsid w:val="00710897"/>
    <w:rsid w:val="00710CD9"/>
    <w:rsid w:val="00711070"/>
    <w:rsid w:val="007111AD"/>
    <w:rsid w:val="007116BA"/>
    <w:rsid w:val="00711B0F"/>
    <w:rsid w:val="00711B35"/>
    <w:rsid w:val="00711BE3"/>
    <w:rsid w:val="0071201D"/>
    <w:rsid w:val="007122EB"/>
    <w:rsid w:val="0071285D"/>
    <w:rsid w:val="00712A78"/>
    <w:rsid w:val="00712C38"/>
    <w:rsid w:val="00712D47"/>
    <w:rsid w:val="00712FC7"/>
    <w:rsid w:val="00712FE3"/>
    <w:rsid w:val="007130D8"/>
    <w:rsid w:val="00713655"/>
    <w:rsid w:val="007136A4"/>
    <w:rsid w:val="00713ABE"/>
    <w:rsid w:val="00713AE1"/>
    <w:rsid w:val="00713F6F"/>
    <w:rsid w:val="0071430F"/>
    <w:rsid w:val="00714411"/>
    <w:rsid w:val="00714D09"/>
    <w:rsid w:val="00714D1F"/>
    <w:rsid w:val="00714F94"/>
    <w:rsid w:val="0071520C"/>
    <w:rsid w:val="00715665"/>
    <w:rsid w:val="007156D0"/>
    <w:rsid w:val="0071615C"/>
    <w:rsid w:val="007163E7"/>
    <w:rsid w:val="00716E02"/>
    <w:rsid w:val="00717290"/>
    <w:rsid w:val="007172A3"/>
    <w:rsid w:val="00717A3B"/>
    <w:rsid w:val="00717BDD"/>
    <w:rsid w:val="00717D69"/>
    <w:rsid w:val="00717E35"/>
    <w:rsid w:val="00720B35"/>
    <w:rsid w:val="0072136F"/>
    <w:rsid w:val="00721569"/>
    <w:rsid w:val="00721BD2"/>
    <w:rsid w:val="00721F9C"/>
    <w:rsid w:val="0072221C"/>
    <w:rsid w:val="00722C07"/>
    <w:rsid w:val="00722FA8"/>
    <w:rsid w:val="00723070"/>
    <w:rsid w:val="0072309A"/>
    <w:rsid w:val="007230E8"/>
    <w:rsid w:val="0072312E"/>
    <w:rsid w:val="0072322C"/>
    <w:rsid w:val="00723B78"/>
    <w:rsid w:val="00723DDD"/>
    <w:rsid w:val="0072405F"/>
    <w:rsid w:val="00724436"/>
    <w:rsid w:val="007247C5"/>
    <w:rsid w:val="0072488B"/>
    <w:rsid w:val="00724D2E"/>
    <w:rsid w:val="00724E61"/>
    <w:rsid w:val="00724EEB"/>
    <w:rsid w:val="007251A3"/>
    <w:rsid w:val="0072538C"/>
    <w:rsid w:val="007256A3"/>
    <w:rsid w:val="007256FC"/>
    <w:rsid w:val="007258DA"/>
    <w:rsid w:val="00725B0E"/>
    <w:rsid w:val="00725DFC"/>
    <w:rsid w:val="007260FE"/>
    <w:rsid w:val="00726CCE"/>
    <w:rsid w:val="00726D66"/>
    <w:rsid w:val="00727B2C"/>
    <w:rsid w:val="00727E48"/>
    <w:rsid w:val="00727FAE"/>
    <w:rsid w:val="007300B3"/>
    <w:rsid w:val="00730754"/>
    <w:rsid w:val="00731187"/>
    <w:rsid w:val="00731796"/>
    <w:rsid w:val="00731797"/>
    <w:rsid w:val="007318D9"/>
    <w:rsid w:val="00731A74"/>
    <w:rsid w:val="00731CFC"/>
    <w:rsid w:val="00732026"/>
    <w:rsid w:val="007320A6"/>
    <w:rsid w:val="007320D6"/>
    <w:rsid w:val="007325A6"/>
    <w:rsid w:val="00732658"/>
    <w:rsid w:val="00732B15"/>
    <w:rsid w:val="00732C2B"/>
    <w:rsid w:val="00732D60"/>
    <w:rsid w:val="007337F0"/>
    <w:rsid w:val="00733873"/>
    <w:rsid w:val="00733A7C"/>
    <w:rsid w:val="00733F4F"/>
    <w:rsid w:val="007342E4"/>
    <w:rsid w:val="0073454F"/>
    <w:rsid w:val="00734632"/>
    <w:rsid w:val="00734701"/>
    <w:rsid w:val="0073483B"/>
    <w:rsid w:val="00734D9F"/>
    <w:rsid w:val="00734F4B"/>
    <w:rsid w:val="0073563C"/>
    <w:rsid w:val="007358CF"/>
    <w:rsid w:val="00735CE3"/>
    <w:rsid w:val="00735EBE"/>
    <w:rsid w:val="0073653A"/>
    <w:rsid w:val="00736698"/>
    <w:rsid w:val="00736796"/>
    <w:rsid w:val="007369A9"/>
    <w:rsid w:val="00736A97"/>
    <w:rsid w:val="00736BB6"/>
    <w:rsid w:val="0073731D"/>
    <w:rsid w:val="00737759"/>
    <w:rsid w:val="00737A1F"/>
    <w:rsid w:val="00737A2A"/>
    <w:rsid w:val="00737DEA"/>
    <w:rsid w:val="0074019F"/>
    <w:rsid w:val="007402AD"/>
    <w:rsid w:val="00740678"/>
    <w:rsid w:val="00740829"/>
    <w:rsid w:val="00740B40"/>
    <w:rsid w:val="0074194A"/>
    <w:rsid w:val="00741F3F"/>
    <w:rsid w:val="00741FD7"/>
    <w:rsid w:val="00742275"/>
    <w:rsid w:val="007426A3"/>
    <w:rsid w:val="00742D39"/>
    <w:rsid w:val="00743212"/>
    <w:rsid w:val="00743389"/>
    <w:rsid w:val="007434C6"/>
    <w:rsid w:val="00743680"/>
    <w:rsid w:val="007436B6"/>
    <w:rsid w:val="007438D9"/>
    <w:rsid w:val="0074391F"/>
    <w:rsid w:val="00743C1C"/>
    <w:rsid w:val="00743D40"/>
    <w:rsid w:val="007447CA"/>
    <w:rsid w:val="00744807"/>
    <w:rsid w:val="0074484B"/>
    <w:rsid w:val="00744A93"/>
    <w:rsid w:val="00744B61"/>
    <w:rsid w:val="00744FF0"/>
    <w:rsid w:val="007456C1"/>
    <w:rsid w:val="0074574A"/>
    <w:rsid w:val="0074578C"/>
    <w:rsid w:val="00745800"/>
    <w:rsid w:val="0074583B"/>
    <w:rsid w:val="007458A7"/>
    <w:rsid w:val="0074594A"/>
    <w:rsid w:val="00745AB5"/>
    <w:rsid w:val="00745BDB"/>
    <w:rsid w:val="00745CE1"/>
    <w:rsid w:val="00745E65"/>
    <w:rsid w:val="00745F98"/>
    <w:rsid w:val="00745FA5"/>
    <w:rsid w:val="00746330"/>
    <w:rsid w:val="007463D6"/>
    <w:rsid w:val="00746B17"/>
    <w:rsid w:val="00747559"/>
    <w:rsid w:val="00747735"/>
    <w:rsid w:val="00747847"/>
    <w:rsid w:val="00747E94"/>
    <w:rsid w:val="00750641"/>
    <w:rsid w:val="00750966"/>
    <w:rsid w:val="00750B3A"/>
    <w:rsid w:val="00750E7D"/>
    <w:rsid w:val="00750F2E"/>
    <w:rsid w:val="00750FB6"/>
    <w:rsid w:val="00751368"/>
    <w:rsid w:val="00751627"/>
    <w:rsid w:val="00751790"/>
    <w:rsid w:val="0075198A"/>
    <w:rsid w:val="00751A67"/>
    <w:rsid w:val="00751AE5"/>
    <w:rsid w:val="00751E58"/>
    <w:rsid w:val="00752108"/>
    <w:rsid w:val="00752393"/>
    <w:rsid w:val="007523F4"/>
    <w:rsid w:val="00752AA0"/>
    <w:rsid w:val="00752C39"/>
    <w:rsid w:val="007531B8"/>
    <w:rsid w:val="007532A7"/>
    <w:rsid w:val="007535F0"/>
    <w:rsid w:val="007541C8"/>
    <w:rsid w:val="0075425A"/>
    <w:rsid w:val="00754360"/>
    <w:rsid w:val="00754594"/>
    <w:rsid w:val="00754AF4"/>
    <w:rsid w:val="00754CB7"/>
    <w:rsid w:val="00754F33"/>
    <w:rsid w:val="00754FC5"/>
    <w:rsid w:val="0075503C"/>
    <w:rsid w:val="007550AA"/>
    <w:rsid w:val="0075568A"/>
    <w:rsid w:val="00755800"/>
    <w:rsid w:val="00755893"/>
    <w:rsid w:val="00755A70"/>
    <w:rsid w:val="00755BB6"/>
    <w:rsid w:val="00755ED1"/>
    <w:rsid w:val="0075677A"/>
    <w:rsid w:val="00756833"/>
    <w:rsid w:val="007568AF"/>
    <w:rsid w:val="00756A0C"/>
    <w:rsid w:val="00756DA2"/>
    <w:rsid w:val="00756FDC"/>
    <w:rsid w:val="00757025"/>
    <w:rsid w:val="0075752A"/>
    <w:rsid w:val="00757AE2"/>
    <w:rsid w:val="00757E15"/>
    <w:rsid w:val="00757EC2"/>
    <w:rsid w:val="0076000F"/>
    <w:rsid w:val="00760182"/>
    <w:rsid w:val="0076043B"/>
    <w:rsid w:val="00760486"/>
    <w:rsid w:val="00760538"/>
    <w:rsid w:val="007605A4"/>
    <w:rsid w:val="00760AFE"/>
    <w:rsid w:val="00760B1D"/>
    <w:rsid w:val="00760E42"/>
    <w:rsid w:val="00761244"/>
    <w:rsid w:val="0076127E"/>
    <w:rsid w:val="0076169A"/>
    <w:rsid w:val="00761925"/>
    <w:rsid w:val="0076198C"/>
    <w:rsid w:val="00761D57"/>
    <w:rsid w:val="00761DC3"/>
    <w:rsid w:val="00761E25"/>
    <w:rsid w:val="00761FE2"/>
    <w:rsid w:val="00762013"/>
    <w:rsid w:val="00762250"/>
    <w:rsid w:val="007628E4"/>
    <w:rsid w:val="00762C02"/>
    <w:rsid w:val="00762C26"/>
    <w:rsid w:val="00762C76"/>
    <w:rsid w:val="00762E38"/>
    <w:rsid w:val="00762F2C"/>
    <w:rsid w:val="0076340C"/>
    <w:rsid w:val="0076359C"/>
    <w:rsid w:val="00763BCD"/>
    <w:rsid w:val="00763D17"/>
    <w:rsid w:val="00763E53"/>
    <w:rsid w:val="00764130"/>
    <w:rsid w:val="0076466F"/>
    <w:rsid w:val="00764E35"/>
    <w:rsid w:val="00764F9A"/>
    <w:rsid w:val="00765178"/>
    <w:rsid w:val="007653A0"/>
    <w:rsid w:val="007657E0"/>
    <w:rsid w:val="00765B38"/>
    <w:rsid w:val="00765BF1"/>
    <w:rsid w:val="00765CB1"/>
    <w:rsid w:val="00765D54"/>
    <w:rsid w:val="0076605F"/>
    <w:rsid w:val="00766996"/>
    <w:rsid w:val="007669CA"/>
    <w:rsid w:val="00766C18"/>
    <w:rsid w:val="00766EA5"/>
    <w:rsid w:val="007672FE"/>
    <w:rsid w:val="00767315"/>
    <w:rsid w:val="00767547"/>
    <w:rsid w:val="007678A4"/>
    <w:rsid w:val="00767B40"/>
    <w:rsid w:val="00767DB8"/>
    <w:rsid w:val="00767DF1"/>
    <w:rsid w:val="00767FD3"/>
    <w:rsid w:val="00770292"/>
    <w:rsid w:val="0077041B"/>
    <w:rsid w:val="00770516"/>
    <w:rsid w:val="00770629"/>
    <w:rsid w:val="007709CF"/>
    <w:rsid w:val="00771219"/>
    <w:rsid w:val="007713AC"/>
    <w:rsid w:val="0077140C"/>
    <w:rsid w:val="00771708"/>
    <w:rsid w:val="00771940"/>
    <w:rsid w:val="00771AB5"/>
    <w:rsid w:val="00771ADA"/>
    <w:rsid w:val="00771BC5"/>
    <w:rsid w:val="00771E7A"/>
    <w:rsid w:val="007726E9"/>
    <w:rsid w:val="007727DF"/>
    <w:rsid w:val="00772B32"/>
    <w:rsid w:val="00772ECC"/>
    <w:rsid w:val="00773BF7"/>
    <w:rsid w:val="00773E00"/>
    <w:rsid w:val="00774216"/>
    <w:rsid w:val="00774562"/>
    <w:rsid w:val="00774695"/>
    <w:rsid w:val="007747F2"/>
    <w:rsid w:val="00774B0B"/>
    <w:rsid w:val="00774D51"/>
    <w:rsid w:val="007753E8"/>
    <w:rsid w:val="00775409"/>
    <w:rsid w:val="00775736"/>
    <w:rsid w:val="007758D5"/>
    <w:rsid w:val="00776252"/>
    <w:rsid w:val="007762D2"/>
    <w:rsid w:val="00776431"/>
    <w:rsid w:val="007768FE"/>
    <w:rsid w:val="00776F47"/>
    <w:rsid w:val="00777157"/>
    <w:rsid w:val="00777604"/>
    <w:rsid w:val="0077785E"/>
    <w:rsid w:val="00777BF5"/>
    <w:rsid w:val="00777F28"/>
    <w:rsid w:val="00780038"/>
    <w:rsid w:val="00780264"/>
    <w:rsid w:val="0078049D"/>
    <w:rsid w:val="0078055A"/>
    <w:rsid w:val="007807A4"/>
    <w:rsid w:val="007808C4"/>
    <w:rsid w:val="007808C6"/>
    <w:rsid w:val="00780F53"/>
    <w:rsid w:val="007812C9"/>
    <w:rsid w:val="00781395"/>
    <w:rsid w:val="007815B1"/>
    <w:rsid w:val="00781672"/>
    <w:rsid w:val="00781B21"/>
    <w:rsid w:val="00781F31"/>
    <w:rsid w:val="00782196"/>
    <w:rsid w:val="00782238"/>
    <w:rsid w:val="00782784"/>
    <w:rsid w:val="00782965"/>
    <w:rsid w:val="00782AD9"/>
    <w:rsid w:val="00783056"/>
    <w:rsid w:val="007837DB"/>
    <w:rsid w:val="00783B5A"/>
    <w:rsid w:val="007843ED"/>
    <w:rsid w:val="007846AE"/>
    <w:rsid w:val="0078481E"/>
    <w:rsid w:val="00784EC8"/>
    <w:rsid w:val="00785033"/>
    <w:rsid w:val="007855A4"/>
    <w:rsid w:val="007858A5"/>
    <w:rsid w:val="0078597B"/>
    <w:rsid w:val="00785B25"/>
    <w:rsid w:val="00785DA5"/>
    <w:rsid w:val="00785F83"/>
    <w:rsid w:val="00786465"/>
    <w:rsid w:val="007865CC"/>
    <w:rsid w:val="00786BCE"/>
    <w:rsid w:val="00787201"/>
    <w:rsid w:val="00787554"/>
    <w:rsid w:val="00787B05"/>
    <w:rsid w:val="00790309"/>
    <w:rsid w:val="00790583"/>
    <w:rsid w:val="0079063C"/>
    <w:rsid w:val="00790AC9"/>
    <w:rsid w:val="007914DE"/>
    <w:rsid w:val="00791733"/>
    <w:rsid w:val="007917FB"/>
    <w:rsid w:val="0079183E"/>
    <w:rsid w:val="007923A7"/>
    <w:rsid w:val="007924CF"/>
    <w:rsid w:val="007924F8"/>
    <w:rsid w:val="0079255C"/>
    <w:rsid w:val="0079261D"/>
    <w:rsid w:val="007926F4"/>
    <w:rsid w:val="007928DC"/>
    <w:rsid w:val="0079293A"/>
    <w:rsid w:val="00792BAD"/>
    <w:rsid w:val="00792DC3"/>
    <w:rsid w:val="0079326D"/>
    <w:rsid w:val="007937C1"/>
    <w:rsid w:val="007937F5"/>
    <w:rsid w:val="00794682"/>
    <w:rsid w:val="00794B32"/>
    <w:rsid w:val="00794CF5"/>
    <w:rsid w:val="007950CB"/>
    <w:rsid w:val="00795288"/>
    <w:rsid w:val="007954AE"/>
    <w:rsid w:val="007954C8"/>
    <w:rsid w:val="007963F3"/>
    <w:rsid w:val="007965CC"/>
    <w:rsid w:val="0079669C"/>
    <w:rsid w:val="007966B2"/>
    <w:rsid w:val="00796901"/>
    <w:rsid w:val="00796B34"/>
    <w:rsid w:val="0079700B"/>
    <w:rsid w:val="007970A0"/>
    <w:rsid w:val="0079738C"/>
    <w:rsid w:val="007979AD"/>
    <w:rsid w:val="007979CD"/>
    <w:rsid w:val="007A0747"/>
    <w:rsid w:val="007A0876"/>
    <w:rsid w:val="007A08BB"/>
    <w:rsid w:val="007A0BEB"/>
    <w:rsid w:val="007A0D1F"/>
    <w:rsid w:val="007A0EE3"/>
    <w:rsid w:val="007A0EEC"/>
    <w:rsid w:val="007A11A7"/>
    <w:rsid w:val="007A12FC"/>
    <w:rsid w:val="007A1681"/>
    <w:rsid w:val="007A18E0"/>
    <w:rsid w:val="007A1AA7"/>
    <w:rsid w:val="007A1D74"/>
    <w:rsid w:val="007A1DB1"/>
    <w:rsid w:val="007A20F7"/>
    <w:rsid w:val="007A246E"/>
    <w:rsid w:val="007A2D27"/>
    <w:rsid w:val="007A318A"/>
    <w:rsid w:val="007A3620"/>
    <w:rsid w:val="007A378F"/>
    <w:rsid w:val="007A37BD"/>
    <w:rsid w:val="007A38CC"/>
    <w:rsid w:val="007A39DB"/>
    <w:rsid w:val="007A3E51"/>
    <w:rsid w:val="007A3E86"/>
    <w:rsid w:val="007A3F3F"/>
    <w:rsid w:val="007A45A8"/>
    <w:rsid w:val="007A48A2"/>
    <w:rsid w:val="007A4A7C"/>
    <w:rsid w:val="007A4BB5"/>
    <w:rsid w:val="007A4D78"/>
    <w:rsid w:val="007A507B"/>
    <w:rsid w:val="007A5364"/>
    <w:rsid w:val="007A5500"/>
    <w:rsid w:val="007A5803"/>
    <w:rsid w:val="007A5C6A"/>
    <w:rsid w:val="007A5E27"/>
    <w:rsid w:val="007A644A"/>
    <w:rsid w:val="007A6572"/>
    <w:rsid w:val="007A664E"/>
    <w:rsid w:val="007A66A7"/>
    <w:rsid w:val="007A6B18"/>
    <w:rsid w:val="007A6C0C"/>
    <w:rsid w:val="007A6EE7"/>
    <w:rsid w:val="007A710A"/>
    <w:rsid w:val="007A7386"/>
    <w:rsid w:val="007A7470"/>
    <w:rsid w:val="007A7D1A"/>
    <w:rsid w:val="007A7F9D"/>
    <w:rsid w:val="007A7FA0"/>
    <w:rsid w:val="007B0458"/>
    <w:rsid w:val="007B04F5"/>
    <w:rsid w:val="007B0512"/>
    <w:rsid w:val="007B09CA"/>
    <w:rsid w:val="007B0C91"/>
    <w:rsid w:val="007B0DB6"/>
    <w:rsid w:val="007B0E43"/>
    <w:rsid w:val="007B113A"/>
    <w:rsid w:val="007B17A8"/>
    <w:rsid w:val="007B18B4"/>
    <w:rsid w:val="007B1DEE"/>
    <w:rsid w:val="007B2139"/>
    <w:rsid w:val="007B228C"/>
    <w:rsid w:val="007B2381"/>
    <w:rsid w:val="007B2391"/>
    <w:rsid w:val="007B253A"/>
    <w:rsid w:val="007B2593"/>
    <w:rsid w:val="007B2A6C"/>
    <w:rsid w:val="007B2AEF"/>
    <w:rsid w:val="007B2C1C"/>
    <w:rsid w:val="007B2E8C"/>
    <w:rsid w:val="007B2FBD"/>
    <w:rsid w:val="007B31C8"/>
    <w:rsid w:val="007B321F"/>
    <w:rsid w:val="007B3252"/>
    <w:rsid w:val="007B343F"/>
    <w:rsid w:val="007B36B2"/>
    <w:rsid w:val="007B3861"/>
    <w:rsid w:val="007B38D0"/>
    <w:rsid w:val="007B3EB8"/>
    <w:rsid w:val="007B3FB5"/>
    <w:rsid w:val="007B3FCF"/>
    <w:rsid w:val="007B407A"/>
    <w:rsid w:val="007B4271"/>
    <w:rsid w:val="007B455A"/>
    <w:rsid w:val="007B4595"/>
    <w:rsid w:val="007B4770"/>
    <w:rsid w:val="007B4A63"/>
    <w:rsid w:val="007B4CE9"/>
    <w:rsid w:val="007B5103"/>
    <w:rsid w:val="007B5206"/>
    <w:rsid w:val="007B520F"/>
    <w:rsid w:val="007B53E9"/>
    <w:rsid w:val="007B5444"/>
    <w:rsid w:val="007B5E5F"/>
    <w:rsid w:val="007B5F0A"/>
    <w:rsid w:val="007B5F7A"/>
    <w:rsid w:val="007B600D"/>
    <w:rsid w:val="007B6337"/>
    <w:rsid w:val="007B6A30"/>
    <w:rsid w:val="007B6DCA"/>
    <w:rsid w:val="007B71CE"/>
    <w:rsid w:val="007B7412"/>
    <w:rsid w:val="007B775C"/>
    <w:rsid w:val="007B7DC9"/>
    <w:rsid w:val="007C0006"/>
    <w:rsid w:val="007C01C5"/>
    <w:rsid w:val="007C023B"/>
    <w:rsid w:val="007C0872"/>
    <w:rsid w:val="007C18DC"/>
    <w:rsid w:val="007C1B70"/>
    <w:rsid w:val="007C2090"/>
    <w:rsid w:val="007C2C34"/>
    <w:rsid w:val="007C2CF5"/>
    <w:rsid w:val="007C2F38"/>
    <w:rsid w:val="007C30B7"/>
    <w:rsid w:val="007C3257"/>
    <w:rsid w:val="007C3291"/>
    <w:rsid w:val="007C329C"/>
    <w:rsid w:val="007C32DD"/>
    <w:rsid w:val="007C34C6"/>
    <w:rsid w:val="007C3575"/>
    <w:rsid w:val="007C3669"/>
    <w:rsid w:val="007C3704"/>
    <w:rsid w:val="007C3A59"/>
    <w:rsid w:val="007C3D97"/>
    <w:rsid w:val="007C3E46"/>
    <w:rsid w:val="007C46F9"/>
    <w:rsid w:val="007C4865"/>
    <w:rsid w:val="007C4AFB"/>
    <w:rsid w:val="007C4BB6"/>
    <w:rsid w:val="007C4CFA"/>
    <w:rsid w:val="007C4F49"/>
    <w:rsid w:val="007C596C"/>
    <w:rsid w:val="007C5AFE"/>
    <w:rsid w:val="007C6081"/>
    <w:rsid w:val="007C6416"/>
    <w:rsid w:val="007C70B8"/>
    <w:rsid w:val="007C7DD1"/>
    <w:rsid w:val="007D03DC"/>
    <w:rsid w:val="007D04BD"/>
    <w:rsid w:val="007D0584"/>
    <w:rsid w:val="007D059E"/>
    <w:rsid w:val="007D0C28"/>
    <w:rsid w:val="007D19F6"/>
    <w:rsid w:val="007D2058"/>
    <w:rsid w:val="007D20C2"/>
    <w:rsid w:val="007D21F2"/>
    <w:rsid w:val="007D27C5"/>
    <w:rsid w:val="007D2F67"/>
    <w:rsid w:val="007D337B"/>
    <w:rsid w:val="007D339A"/>
    <w:rsid w:val="007D372B"/>
    <w:rsid w:val="007D40FB"/>
    <w:rsid w:val="007D41CC"/>
    <w:rsid w:val="007D42A9"/>
    <w:rsid w:val="007D43AC"/>
    <w:rsid w:val="007D45A1"/>
    <w:rsid w:val="007D4963"/>
    <w:rsid w:val="007D4E9C"/>
    <w:rsid w:val="007D50B9"/>
    <w:rsid w:val="007D562A"/>
    <w:rsid w:val="007D5AA4"/>
    <w:rsid w:val="007D5BEC"/>
    <w:rsid w:val="007D609B"/>
    <w:rsid w:val="007D6128"/>
    <w:rsid w:val="007D62DF"/>
    <w:rsid w:val="007D65FD"/>
    <w:rsid w:val="007D673D"/>
    <w:rsid w:val="007D6FD4"/>
    <w:rsid w:val="007D6FD9"/>
    <w:rsid w:val="007D7AB8"/>
    <w:rsid w:val="007D7AF7"/>
    <w:rsid w:val="007D7BFA"/>
    <w:rsid w:val="007D7DAF"/>
    <w:rsid w:val="007D7DB4"/>
    <w:rsid w:val="007E0364"/>
    <w:rsid w:val="007E0368"/>
    <w:rsid w:val="007E0370"/>
    <w:rsid w:val="007E0709"/>
    <w:rsid w:val="007E0B02"/>
    <w:rsid w:val="007E1046"/>
    <w:rsid w:val="007E1556"/>
    <w:rsid w:val="007E1858"/>
    <w:rsid w:val="007E1B04"/>
    <w:rsid w:val="007E2147"/>
    <w:rsid w:val="007E2198"/>
    <w:rsid w:val="007E238F"/>
    <w:rsid w:val="007E2547"/>
    <w:rsid w:val="007E2589"/>
    <w:rsid w:val="007E284D"/>
    <w:rsid w:val="007E2A35"/>
    <w:rsid w:val="007E2F40"/>
    <w:rsid w:val="007E3209"/>
    <w:rsid w:val="007E33E8"/>
    <w:rsid w:val="007E3980"/>
    <w:rsid w:val="007E3B1F"/>
    <w:rsid w:val="007E3DAD"/>
    <w:rsid w:val="007E3F05"/>
    <w:rsid w:val="007E462E"/>
    <w:rsid w:val="007E4F79"/>
    <w:rsid w:val="007E50C1"/>
    <w:rsid w:val="007E52DE"/>
    <w:rsid w:val="007E5500"/>
    <w:rsid w:val="007E557B"/>
    <w:rsid w:val="007E5BEC"/>
    <w:rsid w:val="007E5DF2"/>
    <w:rsid w:val="007E608A"/>
    <w:rsid w:val="007E6404"/>
    <w:rsid w:val="007E68EB"/>
    <w:rsid w:val="007E69DF"/>
    <w:rsid w:val="007E6EC4"/>
    <w:rsid w:val="007E77CD"/>
    <w:rsid w:val="007E7B18"/>
    <w:rsid w:val="007E7BAE"/>
    <w:rsid w:val="007E7D4D"/>
    <w:rsid w:val="007F00DD"/>
    <w:rsid w:val="007F0A0D"/>
    <w:rsid w:val="007F0B93"/>
    <w:rsid w:val="007F0F49"/>
    <w:rsid w:val="007F0F70"/>
    <w:rsid w:val="007F117A"/>
    <w:rsid w:val="007F1187"/>
    <w:rsid w:val="007F1CD7"/>
    <w:rsid w:val="007F1D99"/>
    <w:rsid w:val="007F2169"/>
    <w:rsid w:val="007F29B9"/>
    <w:rsid w:val="007F29E8"/>
    <w:rsid w:val="007F2D2A"/>
    <w:rsid w:val="007F304F"/>
    <w:rsid w:val="007F3308"/>
    <w:rsid w:val="007F355A"/>
    <w:rsid w:val="007F3684"/>
    <w:rsid w:val="007F369D"/>
    <w:rsid w:val="007F3723"/>
    <w:rsid w:val="007F380A"/>
    <w:rsid w:val="007F3A7F"/>
    <w:rsid w:val="007F3F5B"/>
    <w:rsid w:val="007F3FDC"/>
    <w:rsid w:val="007F42E1"/>
    <w:rsid w:val="007F4376"/>
    <w:rsid w:val="007F4584"/>
    <w:rsid w:val="007F473C"/>
    <w:rsid w:val="007F487E"/>
    <w:rsid w:val="007F4BEA"/>
    <w:rsid w:val="007F4E62"/>
    <w:rsid w:val="007F507C"/>
    <w:rsid w:val="007F5439"/>
    <w:rsid w:val="007F5AA9"/>
    <w:rsid w:val="007F5B84"/>
    <w:rsid w:val="007F6283"/>
    <w:rsid w:val="007F65AB"/>
    <w:rsid w:val="007F67CC"/>
    <w:rsid w:val="007F7AA3"/>
    <w:rsid w:val="007F7D8D"/>
    <w:rsid w:val="00800869"/>
    <w:rsid w:val="008008B4"/>
    <w:rsid w:val="00800D67"/>
    <w:rsid w:val="00801116"/>
    <w:rsid w:val="0080117D"/>
    <w:rsid w:val="00801568"/>
    <w:rsid w:val="00801A3B"/>
    <w:rsid w:val="008022C3"/>
    <w:rsid w:val="0080281F"/>
    <w:rsid w:val="008028E2"/>
    <w:rsid w:val="00802917"/>
    <w:rsid w:val="0080291C"/>
    <w:rsid w:val="00802BF2"/>
    <w:rsid w:val="00802CEF"/>
    <w:rsid w:val="00803086"/>
    <w:rsid w:val="00803696"/>
    <w:rsid w:val="00803848"/>
    <w:rsid w:val="00803961"/>
    <w:rsid w:val="00803A85"/>
    <w:rsid w:val="00803FBB"/>
    <w:rsid w:val="00804B8A"/>
    <w:rsid w:val="00804CCA"/>
    <w:rsid w:val="00804F28"/>
    <w:rsid w:val="008052AF"/>
    <w:rsid w:val="008055CD"/>
    <w:rsid w:val="008057BE"/>
    <w:rsid w:val="00805960"/>
    <w:rsid w:val="00805BAE"/>
    <w:rsid w:val="00805D7D"/>
    <w:rsid w:val="0080604B"/>
    <w:rsid w:val="00806212"/>
    <w:rsid w:val="00806395"/>
    <w:rsid w:val="00806585"/>
    <w:rsid w:val="00806656"/>
    <w:rsid w:val="00806841"/>
    <w:rsid w:val="00806A58"/>
    <w:rsid w:val="00806D46"/>
    <w:rsid w:val="00806F2B"/>
    <w:rsid w:val="0080720E"/>
    <w:rsid w:val="00807425"/>
    <w:rsid w:val="0080748E"/>
    <w:rsid w:val="0080782D"/>
    <w:rsid w:val="00807989"/>
    <w:rsid w:val="00810221"/>
    <w:rsid w:val="008105CB"/>
    <w:rsid w:val="008107B9"/>
    <w:rsid w:val="00810819"/>
    <w:rsid w:val="00810961"/>
    <w:rsid w:val="00810EBE"/>
    <w:rsid w:val="00811138"/>
    <w:rsid w:val="008111B0"/>
    <w:rsid w:val="008112E2"/>
    <w:rsid w:val="0081184A"/>
    <w:rsid w:val="00811BC1"/>
    <w:rsid w:val="00811DD3"/>
    <w:rsid w:val="00811E69"/>
    <w:rsid w:val="00811EC0"/>
    <w:rsid w:val="008124BD"/>
    <w:rsid w:val="00812811"/>
    <w:rsid w:val="00812A3B"/>
    <w:rsid w:val="008131AB"/>
    <w:rsid w:val="0081349A"/>
    <w:rsid w:val="008134FC"/>
    <w:rsid w:val="0081398F"/>
    <w:rsid w:val="00814762"/>
    <w:rsid w:val="0081545B"/>
    <w:rsid w:val="008155D2"/>
    <w:rsid w:val="00815638"/>
    <w:rsid w:val="00815725"/>
    <w:rsid w:val="00815E42"/>
    <w:rsid w:val="008166BF"/>
    <w:rsid w:val="008167C0"/>
    <w:rsid w:val="0081699A"/>
    <w:rsid w:val="00816B63"/>
    <w:rsid w:val="00816DF1"/>
    <w:rsid w:val="00816E26"/>
    <w:rsid w:val="0081703E"/>
    <w:rsid w:val="008170B7"/>
    <w:rsid w:val="008175DA"/>
    <w:rsid w:val="008176D3"/>
    <w:rsid w:val="0081789B"/>
    <w:rsid w:val="00817AD2"/>
    <w:rsid w:val="00817B13"/>
    <w:rsid w:val="00817B66"/>
    <w:rsid w:val="008202ED"/>
    <w:rsid w:val="00820474"/>
    <w:rsid w:val="008204FB"/>
    <w:rsid w:val="00820748"/>
    <w:rsid w:val="00820984"/>
    <w:rsid w:val="00820BF6"/>
    <w:rsid w:val="00820CB6"/>
    <w:rsid w:val="0082116B"/>
    <w:rsid w:val="0082129C"/>
    <w:rsid w:val="00821339"/>
    <w:rsid w:val="0082259F"/>
    <w:rsid w:val="008226CF"/>
    <w:rsid w:val="00822754"/>
    <w:rsid w:val="00823429"/>
    <w:rsid w:val="00823495"/>
    <w:rsid w:val="00823922"/>
    <w:rsid w:val="0082406C"/>
    <w:rsid w:val="008242CF"/>
    <w:rsid w:val="00824743"/>
    <w:rsid w:val="00824D98"/>
    <w:rsid w:val="00824DF6"/>
    <w:rsid w:val="0082508A"/>
    <w:rsid w:val="00825103"/>
    <w:rsid w:val="00825249"/>
    <w:rsid w:val="008252BE"/>
    <w:rsid w:val="00825448"/>
    <w:rsid w:val="008256AB"/>
    <w:rsid w:val="00825AD5"/>
    <w:rsid w:val="00825EE8"/>
    <w:rsid w:val="008263D5"/>
    <w:rsid w:val="0082680B"/>
    <w:rsid w:val="00826F14"/>
    <w:rsid w:val="00827697"/>
    <w:rsid w:val="00827D43"/>
    <w:rsid w:val="008300EC"/>
    <w:rsid w:val="008301CA"/>
    <w:rsid w:val="00830D8B"/>
    <w:rsid w:val="0083165B"/>
    <w:rsid w:val="0083199A"/>
    <w:rsid w:val="00831C2B"/>
    <w:rsid w:val="00831C5F"/>
    <w:rsid w:val="0083275F"/>
    <w:rsid w:val="008329F7"/>
    <w:rsid w:val="00832B03"/>
    <w:rsid w:val="00832FF9"/>
    <w:rsid w:val="008331E6"/>
    <w:rsid w:val="00833A48"/>
    <w:rsid w:val="00834854"/>
    <w:rsid w:val="00834DA4"/>
    <w:rsid w:val="00834EB4"/>
    <w:rsid w:val="00834ED3"/>
    <w:rsid w:val="00834EFB"/>
    <w:rsid w:val="008351D0"/>
    <w:rsid w:val="008352AA"/>
    <w:rsid w:val="00835328"/>
    <w:rsid w:val="00835893"/>
    <w:rsid w:val="0083594E"/>
    <w:rsid w:val="00835F9F"/>
    <w:rsid w:val="00835FDF"/>
    <w:rsid w:val="0083641A"/>
    <w:rsid w:val="00836C52"/>
    <w:rsid w:val="00836FE4"/>
    <w:rsid w:val="00837142"/>
    <w:rsid w:val="008373FF"/>
    <w:rsid w:val="00837609"/>
    <w:rsid w:val="008377F8"/>
    <w:rsid w:val="00837977"/>
    <w:rsid w:val="00837C33"/>
    <w:rsid w:val="00840072"/>
    <w:rsid w:val="00840493"/>
    <w:rsid w:val="0084071B"/>
    <w:rsid w:val="00840722"/>
    <w:rsid w:val="00840D3A"/>
    <w:rsid w:val="00840E3E"/>
    <w:rsid w:val="00840F27"/>
    <w:rsid w:val="0084191D"/>
    <w:rsid w:val="0084209C"/>
    <w:rsid w:val="0084224E"/>
    <w:rsid w:val="00842504"/>
    <w:rsid w:val="00842C65"/>
    <w:rsid w:val="00842E23"/>
    <w:rsid w:val="00843086"/>
    <w:rsid w:val="008434AE"/>
    <w:rsid w:val="0084353C"/>
    <w:rsid w:val="0084375C"/>
    <w:rsid w:val="00843767"/>
    <w:rsid w:val="00843875"/>
    <w:rsid w:val="00843A2B"/>
    <w:rsid w:val="00843B18"/>
    <w:rsid w:val="00843C57"/>
    <w:rsid w:val="00843E38"/>
    <w:rsid w:val="008443C0"/>
    <w:rsid w:val="00844764"/>
    <w:rsid w:val="0084479E"/>
    <w:rsid w:val="00844823"/>
    <w:rsid w:val="00844A86"/>
    <w:rsid w:val="0084553A"/>
    <w:rsid w:val="0084572E"/>
    <w:rsid w:val="008460F2"/>
    <w:rsid w:val="008469DB"/>
    <w:rsid w:val="00846D3D"/>
    <w:rsid w:val="00846F98"/>
    <w:rsid w:val="00847462"/>
    <w:rsid w:val="00847800"/>
    <w:rsid w:val="00847AB1"/>
    <w:rsid w:val="00847AD5"/>
    <w:rsid w:val="00847BC3"/>
    <w:rsid w:val="00847BE0"/>
    <w:rsid w:val="00850113"/>
    <w:rsid w:val="00850117"/>
    <w:rsid w:val="008503D8"/>
    <w:rsid w:val="0085054D"/>
    <w:rsid w:val="00850653"/>
    <w:rsid w:val="00850FBD"/>
    <w:rsid w:val="0085100A"/>
    <w:rsid w:val="00851098"/>
    <w:rsid w:val="00851198"/>
    <w:rsid w:val="008512D2"/>
    <w:rsid w:val="008516FF"/>
    <w:rsid w:val="008517B9"/>
    <w:rsid w:val="00851BB6"/>
    <w:rsid w:val="0085232E"/>
    <w:rsid w:val="0085264B"/>
    <w:rsid w:val="0085269F"/>
    <w:rsid w:val="008526AE"/>
    <w:rsid w:val="0085287C"/>
    <w:rsid w:val="008529D5"/>
    <w:rsid w:val="00852CC0"/>
    <w:rsid w:val="008532B0"/>
    <w:rsid w:val="0085337F"/>
    <w:rsid w:val="008534C3"/>
    <w:rsid w:val="00853897"/>
    <w:rsid w:val="00853C58"/>
    <w:rsid w:val="00854276"/>
    <w:rsid w:val="00854F19"/>
    <w:rsid w:val="008552B6"/>
    <w:rsid w:val="00855436"/>
    <w:rsid w:val="00855E9F"/>
    <w:rsid w:val="00856039"/>
    <w:rsid w:val="008566FD"/>
    <w:rsid w:val="00856A4A"/>
    <w:rsid w:val="00856BA7"/>
    <w:rsid w:val="0085711D"/>
    <w:rsid w:val="008571C0"/>
    <w:rsid w:val="00857208"/>
    <w:rsid w:val="00857406"/>
    <w:rsid w:val="00857486"/>
    <w:rsid w:val="008575F4"/>
    <w:rsid w:val="0085765B"/>
    <w:rsid w:val="00857A06"/>
    <w:rsid w:val="00857A31"/>
    <w:rsid w:val="00860331"/>
    <w:rsid w:val="00860336"/>
    <w:rsid w:val="00860341"/>
    <w:rsid w:val="008604E8"/>
    <w:rsid w:val="00860696"/>
    <w:rsid w:val="008606A3"/>
    <w:rsid w:val="0086086D"/>
    <w:rsid w:val="00861015"/>
    <w:rsid w:val="00861135"/>
    <w:rsid w:val="00861502"/>
    <w:rsid w:val="00861A41"/>
    <w:rsid w:val="00861AD4"/>
    <w:rsid w:val="00861CC8"/>
    <w:rsid w:val="00861EFB"/>
    <w:rsid w:val="00861F06"/>
    <w:rsid w:val="00862888"/>
    <w:rsid w:val="00862899"/>
    <w:rsid w:val="008628DE"/>
    <w:rsid w:val="00862F5C"/>
    <w:rsid w:val="00863060"/>
    <w:rsid w:val="00863FA5"/>
    <w:rsid w:val="00864187"/>
    <w:rsid w:val="00864288"/>
    <w:rsid w:val="008644A7"/>
    <w:rsid w:val="00864755"/>
    <w:rsid w:val="0086496E"/>
    <w:rsid w:val="00864ADE"/>
    <w:rsid w:val="00864CC6"/>
    <w:rsid w:val="00864DA1"/>
    <w:rsid w:val="008650B3"/>
    <w:rsid w:val="00865101"/>
    <w:rsid w:val="00865145"/>
    <w:rsid w:val="0086541B"/>
    <w:rsid w:val="00865475"/>
    <w:rsid w:val="008654C8"/>
    <w:rsid w:val="00865AE6"/>
    <w:rsid w:val="00865D68"/>
    <w:rsid w:val="00865DD1"/>
    <w:rsid w:val="00865EE9"/>
    <w:rsid w:val="008664B2"/>
    <w:rsid w:val="008664F0"/>
    <w:rsid w:val="00866FDE"/>
    <w:rsid w:val="00867014"/>
    <w:rsid w:val="0086766C"/>
    <w:rsid w:val="00867802"/>
    <w:rsid w:val="0086798A"/>
    <w:rsid w:val="00867D9D"/>
    <w:rsid w:val="00867E40"/>
    <w:rsid w:val="00867F15"/>
    <w:rsid w:val="008705B9"/>
    <w:rsid w:val="0087086B"/>
    <w:rsid w:val="0087090D"/>
    <w:rsid w:val="00870B01"/>
    <w:rsid w:val="00870EFD"/>
    <w:rsid w:val="00870FA0"/>
    <w:rsid w:val="0087138F"/>
    <w:rsid w:val="0087286A"/>
    <w:rsid w:val="008728CF"/>
    <w:rsid w:val="00872B4D"/>
    <w:rsid w:val="00872E2C"/>
    <w:rsid w:val="0087301F"/>
    <w:rsid w:val="008733D1"/>
    <w:rsid w:val="00873706"/>
    <w:rsid w:val="00873A4F"/>
    <w:rsid w:val="00873BAF"/>
    <w:rsid w:val="00873F1E"/>
    <w:rsid w:val="00873F93"/>
    <w:rsid w:val="0087453C"/>
    <w:rsid w:val="0087487F"/>
    <w:rsid w:val="0087508A"/>
    <w:rsid w:val="00875137"/>
    <w:rsid w:val="0087514F"/>
    <w:rsid w:val="00875176"/>
    <w:rsid w:val="00875289"/>
    <w:rsid w:val="0087537A"/>
    <w:rsid w:val="008756F7"/>
    <w:rsid w:val="0087591A"/>
    <w:rsid w:val="008759F4"/>
    <w:rsid w:val="00875A8F"/>
    <w:rsid w:val="00875CD7"/>
    <w:rsid w:val="00875E32"/>
    <w:rsid w:val="00875E60"/>
    <w:rsid w:val="0087613E"/>
    <w:rsid w:val="00876899"/>
    <w:rsid w:val="008768BD"/>
    <w:rsid w:val="00876AA0"/>
    <w:rsid w:val="00876C6F"/>
    <w:rsid w:val="0087700A"/>
    <w:rsid w:val="008770AF"/>
    <w:rsid w:val="0087712C"/>
    <w:rsid w:val="0087734F"/>
    <w:rsid w:val="0087736B"/>
    <w:rsid w:val="00877441"/>
    <w:rsid w:val="00877ACD"/>
    <w:rsid w:val="00880683"/>
    <w:rsid w:val="008807C9"/>
    <w:rsid w:val="00880F98"/>
    <w:rsid w:val="00880FF9"/>
    <w:rsid w:val="00881ABF"/>
    <w:rsid w:val="008820C1"/>
    <w:rsid w:val="008824C8"/>
    <w:rsid w:val="00882C22"/>
    <w:rsid w:val="00882C82"/>
    <w:rsid w:val="00882E84"/>
    <w:rsid w:val="0088307A"/>
    <w:rsid w:val="0088316B"/>
    <w:rsid w:val="008835DB"/>
    <w:rsid w:val="00883636"/>
    <w:rsid w:val="00883709"/>
    <w:rsid w:val="008838F4"/>
    <w:rsid w:val="00883F95"/>
    <w:rsid w:val="0088461D"/>
    <w:rsid w:val="008849BB"/>
    <w:rsid w:val="00884CF0"/>
    <w:rsid w:val="00884E65"/>
    <w:rsid w:val="00885645"/>
    <w:rsid w:val="008857C5"/>
    <w:rsid w:val="008858B3"/>
    <w:rsid w:val="008858E8"/>
    <w:rsid w:val="00885EAD"/>
    <w:rsid w:val="00886162"/>
    <w:rsid w:val="008864E6"/>
    <w:rsid w:val="008865D6"/>
    <w:rsid w:val="0088692C"/>
    <w:rsid w:val="00886A37"/>
    <w:rsid w:val="0088737C"/>
    <w:rsid w:val="00887987"/>
    <w:rsid w:val="00887C83"/>
    <w:rsid w:val="00887ED5"/>
    <w:rsid w:val="00887FE5"/>
    <w:rsid w:val="00890495"/>
    <w:rsid w:val="008904E5"/>
    <w:rsid w:val="00890581"/>
    <w:rsid w:val="0089089B"/>
    <w:rsid w:val="00890C9E"/>
    <w:rsid w:val="00890D0C"/>
    <w:rsid w:val="00890FAA"/>
    <w:rsid w:val="008914D7"/>
    <w:rsid w:val="0089168B"/>
    <w:rsid w:val="00891C7D"/>
    <w:rsid w:val="00891EEE"/>
    <w:rsid w:val="0089230B"/>
    <w:rsid w:val="00892650"/>
    <w:rsid w:val="0089267C"/>
    <w:rsid w:val="00892B1E"/>
    <w:rsid w:val="00892CF7"/>
    <w:rsid w:val="008938FD"/>
    <w:rsid w:val="00893C68"/>
    <w:rsid w:val="008940EA"/>
    <w:rsid w:val="008942B3"/>
    <w:rsid w:val="00894861"/>
    <w:rsid w:val="00894932"/>
    <w:rsid w:val="0089496A"/>
    <w:rsid w:val="00894A4F"/>
    <w:rsid w:val="00894A9E"/>
    <w:rsid w:val="00894BAB"/>
    <w:rsid w:val="00894C3A"/>
    <w:rsid w:val="00894E3C"/>
    <w:rsid w:val="0089511B"/>
    <w:rsid w:val="008959E3"/>
    <w:rsid w:val="00895F32"/>
    <w:rsid w:val="008964E3"/>
    <w:rsid w:val="00896674"/>
    <w:rsid w:val="0089684A"/>
    <w:rsid w:val="00896A19"/>
    <w:rsid w:val="00896C16"/>
    <w:rsid w:val="00896C7D"/>
    <w:rsid w:val="00897034"/>
    <w:rsid w:val="0089713E"/>
    <w:rsid w:val="00897148"/>
    <w:rsid w:val="00897BAF"/>
    <w:rsid w:val="00897CB0"/>
    <w:rsid w:val="008A00CC"/>
    <w:rsid w:val="008A075B"/>
    <w:rsid w:val="008A0DCE"/>
    <w:rsid w:val="008A1183"/>
    <w:rsid w:val="008A1541"/>
    <w:rsid w:val="008A1589"/>
    <w:rsid w:val="008A158A"/>
    <w:rsid w:val="008A19DD"/>
    <w:rsid w:val="008A1FB0"/>
    <w:rsid w:val="008A25BC"/>
    <w:rsid w:val="008A25E3"/>
    <w:rsid w:val="008A2677"/>
    <w:rsid w:val="008A2D91"/>
    <w:rsid w:val="008A2EE0"/>
    <w:rsid w:val="008A312F"/>
    <w:rsid w:val="008A33C6"/>
    <w:rsid w:val="008A34C7"/>
    <w:rsid w:val="008A37CB"/>
    <w:rsid w:val="008A3C15"/>
    <w:rsid w:val="008A448D"/>
    <w:rsid w:val="008A46E8"/>
    <w:rsid w:val="008A48AA"/>
    <w:rsid w:val="008A4A65"/>
    <w:rsid w:val="008A51BD"/>
    <w:rsid w:val="008A57DB"/>
    <w:rsid w:val="008A5B29"/>
    <w:rsid w:val="008A5DD8"/>
    <w:rsid w:val="008A6459"/>
    <w:rsid w:val="008A6A0B"/>
    <w:rsid w:val="008A6BE6"/>
    <w:rsid w:val="008A6C9C"/>
    <w:rsid w:val="008A6CFC"/>
    <w:rsid w:val="008A71DE"/>
    <w:rsid w:val="008A7858"/>
    <w:rsid w:val="008A7CB8"/>
    <w:rsid w:val="008A7F5A"/>
    <w:rsid w:val="008B003F"/>
    <w:rsid w:val="008B0143"/>
    <w:rsid w:val="008B0277"/>
    <w:rsid w:val="008B058A"/>
    <w:rsid w:val="008B0790"/>
    <w:rsid w:val="008B0A14"/>
    <w:rsid w:val="008B0DE8"/>
    <w:rsid w:val="008B1066"/>
    <w:rsid w:val="008B10A5"/>
    <w:rsid w:val="008B1558"/>
    <w:rsid w:val="008B1672"/>
    <w:rsid w:val="008B16A0"/>
    <w:rsid w:val="008B1866"/>
    <w:rsid w:val="008B188D"/>
    <w:rsid w:val="008B1F04"/>
    <w:rsid w:val="008B2000"/>
    <w:rsid w:val="008B2333"/>
    <w:rsid w:val="008B239B"/>
    <w:rsid w:val="008B3014"/>
    <w:rsid w:val="008B30C9"/>
    <w:rsid w:val="008B3421"/>
    <w:rsid w:val="008B354F"/>
    <w:rsid w:val="008B35F1"/>
    <w:rsid w:val="008B37BE"/>
    <w:rsid w:val="008B3804"/>
    <w:rsid w:val="008B3AB7"/>
    <w:rsid w:val="008B4747"/>
    <w:rsid w:val="008B4F92"/>
    <w:rsid w:val="008B5085"/>
    <w:rsid w:val="008B508E"/>
    <w:rsid w:val="008B51BA"/>
    <w:rsid w:val="008B544F"/>
    <w:rsid w:val="008B5CC1"/>
    <w:rsid w:val="008B6220"/>
    <w:rsid w:val="008B624C"/>
    <w:rsid w:val="008B6BFB"/>
    <w:rsid w:val="008B6C60"/>
    <w:rsid w:val="008B756F"/>
    <w:rsid w:val="008B759B"/>
    <w:rsid w:val="008B78EC"/>
    <w:rsid w:val="008B7EAA"/>
    <w:rsid w:val="008B7EE2"/>
    <w:rsid w:val="008B7FD9"/>
    <w:rsid w:val="008C1238"/>
    <w:rsid w:val="008C145B"/>
    <w:rsid w:val="008C1B7C"/>
    <w:rsid w:val="008C1D30"/>
    <w:rsid w:val="008C2241"/>
    <w:rsid w:val="008C247B"/>
    <w:rsid w:val="008C261A"/>
    <w:rsid w:val="008C2633"/>
    <w:rsid w:val="008C2837"/>
    <w:rsid w:val="008C2FCC"/>
    <w:rsid w:val="008C3064"/>
    <w:rsid w:val="008C31EB"/>
    <w:rsid w:val="008C354E"/>
    <w:rsid w:val="008C37E9"/>
    <w:rsid w:val="008C38DD"/>
    <w:rsid w:val="008C407E"/>
    <w:rsid w:val="008C4723"/>
    <w:rsid w:val="008C486F"/>
    <w:rsid w:val="008C4FCD"/>
    <w:rsid w:val="008C4FF5"/>
    <w:rsid w:val="008C5197"/>
    <w:rsid w:val="008C5210"/>
    <w:rsid w:val="008C5465"/>
    <w:rsid w:val="008C5547"/>
    <w:rsid w:val="008C5645"/>
    <w:rsid w:val="008C5C07"/>
    <w:rsid w:val="008C5F5A"/>
    <w:rsid w:val="008C5FFF"/>
    <w:rsid w:val="008C608D"/>
    <w:rsid w:val="008C6120"/>
    <w:rsid w:val="008C67FD"/>
    <w:rsid w:val="008C696E"/>
    <w:rsid w:val="008C69D9"/>
    <w:rsid w:val="008C6DD1"/>
    <w:rsid w:val="008C7136"/>
    <w:rsid w:val="008C71BE"/>
    <w:rsid w:val="008C7603"/>
    <w:rsid w:val="008C7A7C"/>
    <w:rsid w:val="008C7E1D"/>
    <w:rsid w:val="008C7F6B"/>
    <w:rsid w:val="008C7FBD"/>
    <w:rsid w:val="008D0267"/>
    <w:rsid w:val="008D0768"/>
    <w:rsid w:val="008D0864"/>
    <w:rsid w:val="008D0B2F"/>
    <w:rsid w:val="008D0F14"/>
    <w:rsid w:val="008D126B"/>
    <w:rsid w:val="008D1653"/>
    <w:rsid w:val="008D183C"/>
    <w:rsid w:val="008D1C64"/>
    <w:rsid w:val="008D1CB7"/>
    <w:rsid w:val="008D1E21"/>
    <w:rsid w:val="008D25EF"/>
    <w:rsid w:val="008D27FD"/>
    <w:rsid w:val="008D281E"/>
    <w:rsid w:val="008D298F"/>
    <w:rsid w:val="008D3136"/>
    <w:rsid w:val="008D34B0"/>
    <w:rsid w:val="008D363A"/>
    <w:rsid w:val="008D39C1"/>
    <w:rsid w:val="008D3B64"/>
    <w:rsid w:val="008D3D3C"/>
    <w:rsid w:val="008D4025"/>
    <w:rsid w:val="008D41D5"/>
    <w:rsid w:val="008D4292"/>
    <w:rsid w:val="008D4511"/>
    <w:rsid w:val="008D4648"/>
    <w:rsid w:val="008D52C6"/>
    <w:rsid w:val="008D5417"/>
    <w:rsid w:val="008D54B9"/>
    <w:rsid w:val="008D5A5D"/>
    <w:rsid w:val="008D5AB7"/>
    <w:rsid w:val="008D60EA"/>
    <w:rsid w:val="008D634D"/>
    <w:rsid w:val="008D6377"/>
    <w:rsid w:val="008D6966"/>
    <w:rsid w:val="008D6B5B"/>
    <w:rsid w:val="008D6FED"/>
    <w:rsid w:val="008D7082"/>
    <w:rsid w:val="008D7AFD"/>
    <w:rsid w:val="008D7F99"/>
    <w:rsid w:val="008E008D"/>
    <w:rsid w:val="008E00B9"/>
    <w:rsid w:val="008E05A9"/>
    <w:rsid w:val="008E13CB"/>
    <w:rsid w:val="008E14DB"/>
    <w:rsid w:val="008E1565"/>
    <w:rsid w:val="008E1887"/>
    <w:rsid w:val="008E1D57"/>
    <w:rsid w:val="008E1DEF"/>
    <w:rsid w:val="008E2360"/>
    <w:rsid w:val="008E25A9"/>
    <w:rsid w:val="008E2A13"/>
    <w:rsid w:val="008E2DBE"/>
    <w:rsid w:val="008E2E68"/>
    <w:rsid w:val="008E3067"/>
    <w:rsid w:val="008E321E"/>
    <w:rsid w:val="008E33A3"/>
    <w:rsid w:val="008E3834"/>
    <w:rsid w:val="008E3ADE"/>
    <w:rsid w:val="008E3D5D"/>
    <w:rsid w:val="008E3E04"/>
    <w:rsid w:val="008E427D"/>
    <w:rsid w:val="008E462F"/>
    <w:rsid w:val="008E4676"/>
    <w:rsid w:val="008E484B"/>
    <w:rsid w:val="008E492D"/>
    <w:rsid w:val="008E4F64"/>
    <w:rsid w:val="008E4FA8"/>
    <w:rsid w:val="008E52E0"/>
    <w:rsid w:val="008E53BD"/>
    <w:rsid w:val="008E53F6"/>
    <w:rsid w:val="008E542D"/>
    <w:rsid w:val="008E5708"/>
    <w:rsid w:val="008E572E"/>
    <w:rsid w:val="008E58AF"/>
    <w:rsid w:val="008E592E"/>
    <w:rsid w:val="008E5AD4"/>
    <w:rsid w:val="008E5EE2"/>
    <w:rsid w:val="008E632D"/>
    <w:rsid w:val="008E6365"/>
    <w:rsid w:val="008E67AB"/>
    <w:rsid w:val="008E6E34"/>
    <w:rsid w:val="008E7003"/>
    <w:rsid w:val="008E70FE"/>
    <w:rsid w:val="008E71D6"/>
    <w:rsid w:val="008E7304"/>
    <w:rsid w:val="008E7398"/>
    <w:rsid w:val="008E746D"/>
    <w:rsid w:val="008E774D"/>
    <w:rsid w:val="008E7779"/>
    <w:rsid w:val="008E78DD"/>
    <w:rsid w:val="008E7A77"/>
    <w:rsid w:val="008E7D56"/>
    <w:rsid w:val="008F0C69"/>
    <w:rsid w:val="008F0F70"/>
    <w:rsid w:val="008F109E"/>
    <w:rsid w:val="008F1762"/>
    <w:rsid w:val="008F1A7F"/>
    <w:rsid w:val="008F20D6"/>
    <w:rsid w:val="008F2492"/>
    <w:rsid w:val="008F254A"/>
    <w:rsid w:val="008F26B8"/>
    <w:rsid w:val="008F26C2"/>
    <w:rsid w:val="008F27E3"/>
    <w:rsid w:val="008F2CAC"/>
    <w:rsid w:val="008F333E"/>
    <w:rsid w:val="008F3508"/>
    <w:rsid w:val="008F3745"/>
    <w:rsid w:val="008F3848"/>
    <w:rsid w:val="008F3850"/>
    <w:rsid w:val="008F3A1D"/>
    <w:rsid w:val="008F3AA6"/>
    <w:rsid w:val="008F3BBD"/>
    <w:rsid w:val="008F3BEB"/>
    <w:rsid w:val="008F4135"/>
    <w:rsid w:val="008F42FC"/>
    <w:rsid w:val="008F47FC"/>
    <w:rsid w:val="008F4887"/>
    <w:rsid w:val="008F4A5D"/>
    <w:rsid w:val="008F4BA9"/>
    <w:rsid w:val="008F4BD1"/>
    <w:rsid w:val="008F57BB"/>
    <w:rsid w:val="008F58DE"/>
    <w:rsid w:val="008F590E"/>
    <w:rsid w:val="008F5950"/>
    <w:rsid w:val="008F5977"/>
    <w:rsid w:val="008F5A3D"/>
    <w:rsid w:val="008F5A9D"/>
    <w:rsid w:val="008F5ADF"/>
    <w:rsid w:val="008F5E1D"/>
    <w:rsid w:val="008F6157"/>
    <w:rsid w:val="008F6551"/>
    <w:rsid w:val="008F67EF"/>
    <w:rsid w:val="008F682F"/>
    <w:rsid w:val="008F702D"/>
    <w:rsid w:val="008F72BD"/>
    <w:rsid w:val="008F7414"/>
    <w:rsid w:val="008F7E0F"/>
    <w:rsid w:val="008F7EDD"/>
    <w:rsid w:val="00900652"/>
    <w:rsid w:val="009007B2"/>
    <w:rsid w:val="00900ABA"/>
    <w:rsid w:val="00900BB4"/>
    <w:rsid w:val="009012B4"/>
    <w:rsid w:val="0090169A"/>
    <w:rsid w:val="00901ACE"/>
    <w:rsid w:val="00901AD4"/>
    <w:rsid w:val="00901AE6"/>
    <w:rsid w:val="00901B79"/>
    <w:rsid w:val="00901E71"/>
    <w:rsid w:val="009024F2"/>
    <w:rsid w:val="009030F3"/>
    <w:rsid w:val="009031A2"/>
    <w:rsid w:val="00903370"/>
    <w:rsid w:val="009033B8"/>
    <w:rsid w:val="009039B6"/>
    <w:rsid w:val="00903A3A"/>
    <w:rsid w:val="00903D69"/>
    <w:rsid w:val="00903E67"/>
    <w:rsid w:val="00904597"/>
    <w:rsid w:val="009047D1"/>
    <w:rsid w:val="00904831"/>
    <w:rsid w:val="00904FB6"/>
    <w:rsid w:val="00905692"/>
    <w:rsid w:val="009056C5"/>
    <w:rsid w:val="00905775"/>
    <w:rsid w:val="00905928"/>
    <w:rsid w:val="009059F5"/>
    <w:rsid w:val="00905CD7"/>
    <w:rsid w:val="00906452"/>
    <w:rsid w:val="0090662F"/>
    <w:rsid w:val="00906845"/>
    <w:rsid w:val="00906CE3"/>
    <w:rsid w:val="00906DA7"/>
    <w:rsid w:val="00906F90"/>
    <w:rsid w:val="00906FE0"/>
    <w:rsid w:val="009071EC"/>
    <w:rsid w:val="009074CA"/>
    <w:rsid w:val="00907B0B"/>
    <w:rsid w:val="00907E80"/>
    <w:rsid w:val="009102A4"/>
    <w:rsid w:val="00910893"/>
    <w:rsid w:val="00910EF1"/>
    <w:rsid w:val="009115D7"/>
    <w:rsid w:val="00911619"/>
    <w:rsid w:val="0091180A"/>
    <w:rsid w:val="009118C6"/>
    <w:rsid w:val="00912376"/>
    <w:rsid w:val="009129AB"/>
    <w:rsid w:val="00912DB5"/>
    <w:rsid w:val="00912E0E"/>
    <w:rsid w:val="00913055"/>
    <w:rsid w:val="00913072"/>
    <w:rsid w:val="0091309A"/>
    <w:rsid w:val="009133CA"/>
    <w:rsid w:val="00913524"/>
    <w:rsid w:val="00913551"/>
    <w:rsid w:val="00913F8B"/>
    <w:rsid w:val="009142BC"/>
    <w:rsid w:val="0091481E"/>
    <w:rsid w:val="00914CFC"/>
    <w:rsid w:val="00914E8B"/>
    <w:rsid w:val="00915430"/>
    <w:rsid w:val="00915A7A"/>
    <w:rsid w:val="00915A7E"/>
    <w:rsid w:val="00915D17"/>
    <w:rsid w:val="00915F1A"/>
    <w:rsid w:val="009161D4"/>
    <w:rsid w:val="00916B0F"/>
    <w:rsid w:val="00916DF3"/>
    <w:rsid w:val="009173A3"/>
    <w:rsid w:val="00917803"/>
    <w:rsid w:val="0091781B"/>
    <w:rsid w:val="00917876"/>
    <w:rsid w:val="009178A9"/>
    <w:rsid w:val="00917BF8"/>
    <w:rsid w:val="00917C24"/>
    <w:rsid w:val="00917FB2"/>
    <w:rsid w:val="0092005E"/>
    <w:rsid w:val="0092020E"/>
    <w:rsid w:val="0092083E"/>
    <w:rsid w:val="00920BD8"/>
    <w:rsid w:val="00920CCC"/>
    <w:rsid w:val="00920F02"/>
    <w:rsid w:val="009210A4"/>
    <w:rsid w:val="0092197D"/>
    <w:rsid w:val="009222B4"/>
    <w:rsid w:val="009224B1"/>
    <w:rsid w:val="00922622"/>
    <w:rsid w:val="009227F1"/>
    <w:rsid w:val="0092292F"/>
    <w:rsid w:val="00922FE0"/>
    <w:rsid w:val="009231D6"/>
    <w:rsid w:val="009234EE"/>
    <w:rsid w:val="0092356C"/>
    <w:rsid w:val="00923575"/>
    <w:rsid w:val="00923690"/>
    <w:rsid w:val="00923959"/>
    <w:rsid w:val="00923A40"/>
    <w:rsid w:val="00923E58"/>
    <w:rsid w:val="0092408A"/>
    <w:rsid w:val="009241E8"/>
    <w:rsid w:val="009242B7"/>
    <w:rsid w:val="0092446B"/>
    <w:rsid w:val="00924474"/>
    <w:rsid w:val="00924598"/>
    <w:rsid w:val="009246FD"/>
    <w:rsid w:val="009248EE"/>
    <w:rsid w:val="00924A15"/>
    <w:rsid w:val="00924C66"/>
    <w:rsid w:val="00924D0C"/>
    <w:rsid w:val="00924E65"/>
    <w:rsid w:val="00925183"/>
    <w:rsid w:val="00925447"/>
    <w:rsid w:val="00925995"/>
    <w:rsid w:val="00926672"/>
    <w:rsid w:val="009268F3"/>
    <w:rsid w:val="009269CD"/>
    <w:rsid w:val="00926E07"/>
    <w:rsid w:val="00927402"/>
    <w:rsid w:val="00927681"/>
    <w:rsid w:val="009276EB"/>
    <w:rsid w:val="00927C01"/>
    <w:rsid w:val="00927FB4"/>
    <w:rsid w:val="00927FEA"/>
    <w:rsid w:val="00930370"/>
    <w:rsid w:val="0093038E"/>
    <w:rsid w:val="00930640"/>
    <w:rsid w:val="00930AE1"/>
    <w:rsid w:val="00930D69"/>
    <w:rsid w:val="00930DD7"/>
    <w:rsid w:val="00930F91"/>
    <w:rsid w:val="00931370"/>
    <w:rsid w:val="0093170B"/>
    <w:rsid w:val="00931735"/>
    <w:rsid w:val="00931B9B"/>
    <w:rsid w:val="00931D6D"/>
    <w:rsid w:val="00931ECB"/>
    <w:rsid w:val="009320CD"/>
    <w:rsid w:val="00932360"/>
    <w:rsid w:val="00932E23"/>
    <w:rsid w:val="009333EB"/>
    <w:rsid w:val="009333EF"/>
    <w:rsid w:val="00934269"/>
    <w:rsid w:val="0093469E"/>
    <w:rsid w:val="00934757"/>
    <w:rsid w:val="00934FF1"/>
    <w:rsid w:val="0093501B"/>
    <w:rsid w:val="009351E0"/>
    <w:rsid w:val="00935324"/>
    <w:rsid w:val="009353A9"/>
    <w:rsid w:val="00935A16"/>
    <w:rsid w:val="00935FCA"/>
    <w:rsid w:val="00935FF2"/>
    <w:rsid w:val="0093671F"/>
    <w:rsid w:val="00936823"/>
    <w:rsid w:val="0093693F"/>
    <w:rsid w:val="00936BF2"/>
    <w:rsid w:val="00936E81"/>
    <w:rsid w:val="0093710C"/>
    <w:rsid w:val="009372E6"/>
    <w:rsid w:val="00937461"/>
    <w:rsid w:val="00937646"/>
    <w:rsid w:val="009376B9"/>
    <w:rsid w:val="00937720"/>
    <w:rsid w:val="00937A20"/>
    <w:rsid w:val="00937AB4"/>
    <w:rsid w:val="00937CDF"/>
    <w:rsid w:val="00940C0C"/>
    <w:rsid w:val="00940CB1"/>
    <w:rsid w:val="00940EE4"/>
    <w:rsid w:val="009410EA"/>
    <w:rsid w:val="00941324"/>
    <w:rsid w:val="0094169E"/>
    <w:rsid w:val="00941920"/>
    <w:rsid w:val="00941D80"/>
    <w:rsid w:val="00941E4B"/>
    <w:rsid w:val="00941F00"/>
    <w:rsid w:val="0094237E"/>
    <w:rsid w:val="00942420"/>
    <w:rsid w:val="0094283F"/>
    <w:rsid w:val="00942FE8"/>
    <w:rsid w:val="00943663"/>
    <w:rsid w:val="00943B38"/>
    <w:rsid w:val="00943C61"/>
    <w:rsid w:val="00944011"/>
    <w:rsid w:val="0094407B"/>
    <w:rsid w:val="009443D5"/>
    <w:rsid w:val="009448AF"/>
    <w:rsid w:val="00944986"/>
    <w:rsid w:val="00945153"/>
    <w:rsid w:val="009455B9"/>
    <w:rsid w:val="00945A6A"/>
    <w:rsid w:val="00945C3D"/>
    <w:rsid w:val="00945C4C"/>
    <w:rsid w:val="00945DF4"/>
    <w:rsid w:val="00946030"/>
    <w:rsid w:val="00946470"/>
    <w:rsid w:val="009469C5"/>
    <w:rsid w:val="009469E4"/>
    <w:rsid w:val="00946A31"/>
    <w:rsid w:val="00946FE9"/>
    <w:rsid w:val="009471F6"/>
    <w:rsid w:val="00947349"/>
    <w:rsid w:val="009474E6"/>
    <w:rsid w:val="00947765"/>
    <w:rsid w:val="009479DC"/>
    <w:rsid w:val="00947DA2"/>
    <w:rsid w:val="009500CE"/>
    <w:rsid w:val="009500DB"/>
    <w:rsid w:val="009501C3"/>
    <w:rsid w:val="009504EA"/>
    <w:rsid w:val="00950683"/>
    <w:rsid w:val="00950DA6"/>
    <w:rsid w:val="00950EF3"/>
    <w:rsid w:val="00950FBB"/>
    <w:rsid w:val="009513C4"/>
    <w:rsid w:val="00951BF3"/>
    <w:rsid w:val="00952179"/>
    <w:rsid w:val="00952462"/>
    <w:rsid w:val="009525B2"/>
    <w:rsid w:val="009525FA"/>
    <w:rsid w:val="00952D23"/>
    <w:rsid w:val="00953049"/>
    <w:rsid w:val="00953E86"/>
    <w:rsid w:val="00953F1A"/>
    <w:rsid w:val="009540A3"/>
    <w:rsid w:val="0095410C"/>
    <w:rsid w:val="009544D2"/>
    <w:rsid w:val="0095497E"/>
    <w:rsid w:val="00954A18"/>
    <w:rsid w:val="00954D48"/>
    <w:rsid w:val="00954DC1"/>
    <w:rsid w:val="00955067"/>
    <w:rsid w:val="0095547E"/>
    <w:rsid w:val="009555B1"/>
    <w:rsid w:val="0095563D"/>
    <w:rsid w:val="00955872"/>
    <w:rsid w:val="00955AE8"/>
    <w:rsid w:val="009561AF"/>
    <w:rsid w:val="00956267"/>
    <w:rsid w:val="00956DB9"/>
    <w:rsid w:val="00956F84"/>
    <w:rsid w:val="00956FB9"/>
    <w:rsid w:val="00957093"/>
    <w:rsid w:val="00957402"/>
    <w:rsid w:val="00957DBC"/>
    <w:rsid w:val="00957FBA"/>
    <w:rsid w:val="00960598"/>
    <w:rsid w:val="009605F3"/>
    <w:rsid w:val="00960A5D"/>
    <w:rsid w:val="00960A94"/>
    <w:rsid w:val="00960B68"/>
    <w:rsid w:val="00961149"/>
    <w:rsid w:val="00961C81"/>
    <w:rsid w:val="00961FB0"/>
    <w:rsid w:val="00961FB5"/>
    <w:rsid w:val="009621B3"/>
    <w:rsid w:val="009623AA"/>
    <w:rsid w:val="00962593"/>
    <w:rsid w:val="009625CD"/>
    <w:rsid w:val="009625CE"/>
    <w:rsid w:val="009628A3"/>
    <w:rsid w:val="009629A2"/>
    <w:rsid w:val="009629FB"/>
    <w:rsid w:val="00962ABC"/>
    <w:rsid w:val="00962ADC"/>
    <w:rsid w:val="00962B65"/>
    <w:rsid w:val="00962DA7"/>
    <w:rsid w:val="009636C8"/>
    <w:rsid w:val="00963946"/>
    <w:rsid w:val="00963FBF"/>
    <w:rsid w:val="00964006"/>
    <w:rsid w:val="009643EF"/>
    <w:rsid w:val="00964544"/>
    <w:rsid w:val="00964A28"/>
    <w:rsid w:val="00964FA5"/>
    <w:rsid w:val="0096547E"/>
    <w:rsid w:val="009654BF"/>
    <w:rsid w:val="00965887"/>
    <w:rsid w:val="00965A73"/>
    <w:rsid w:val="00965E30"/>
    <w:rsid w:val="0096684A"/>
    <w:rsid w:val="009668EC"/>
    <w:rsid w:val="00966965"/>
    <w:rsid w:val="00967554"/>
    <w:rsid w:val="0096766D"/>
    <w:rsid w:val="0096772B"/>
    <w:rsid w:val="00967921"/>
    <w:rsid w:val="00967976"/>
    <w:rsid w:val="009704C1"/>
    <w:rsid w:val="009705B8"/>
    <w:rsid w:val="009707B6"/>
    <w:rsid w:val="00970847"/>
    <w:rsid w:val="00971146"/>
    <w:rsid w:val="009713F8"/>
    <w:rsid w:val="00971795"/>
    <w:rsid w:val="00972192"/>
    <w:rsid w:val="0097223D"/>
    <w:rsid w:val="0097227A"/>
    <w:rsid w:val="009729E7"/>
    <w:rsid w:val="00972E92"/>
    <w:rsid w:val="009734C0"/>
    <w:rsid w:val="0097359C"/>
    <w:rsid w:val="009737B3"/>
    <w:rsid w:val="00973B56"/>
    <w:rsid w:val="009747BD"/>
    <w:rsid w:val="00974833"/>
    <w:rsid w:val="009749C6"/>
    <w:rsid w:val="009749DB"/>
    <w:rsid w:val="00974E29"/>
    <w:rsid w:val="00975A21"/>
    <w:rsid w:val="00975C27"/>
    <w:rsid w:val="00975DD8"/>
    <w:rsid w:val="00975E7A"/>
    <w:rsid w:val="00976566"/>
    <w:rsid w:val="00976D00"/>
    <w:rsid w:val="0097726F"/>
    <w:rsid w:val="00977583"/>
    <w:rsid w:val="00977908"/>
    <w:rsid w:val="00977929"/>
    <w:rsid w:val="00977A4D"/>
    <w:rsid w:val="00980350"/>
    <w:rsid w:val="009804FF"/>
    <w:rsid w:val="00980713"/>
    <w:rsid w:val="00980A0E"/>
    <w:rsid w:val="00980D78"/>
    <w:rsid w:val="00980FD5"/>
    <w:rsid w:val="0098151E"/>
    <w:rsid w:val="00981880"/>
    <w:rsid w:val="00981B74"/>
    <w:rsid w:val="00981BB4"/>
    <w:rsid w:val="00981FF8"/>
    <w:rsid w:val="00982217"/>
    <w:rsid w:val="00982260"/>
    <w:rsid w:val="009824A7"/>
    <w:rsid w:val="009824D2"/>
    <w:rsid w:val="00982AAD"/>
    <w:rsid w:val="00982B83"/>
    <w:rsid w:val="00982D3E"/>
    <w:rsid w:val="009832B3"/>
    <w:rsid w:val="00983489"/>
    <w:rsid w:val="0098356A"/>
    <w:rsid w:val="00983DBB"/>
    <w:rsid w:val="00984004"/>
    <w:rsid w:val="0098408D"/>
    <w:rsid w:val="00984142"/>
    <w:rsid w:val="009842DA"/>
    <w:rsid w:val="00984854"/>
    <w:rsid w:val="00984930"/>
    <w:rsid w:val="00984D2A"/>
    <w:rsid w:val="0098509B"/>
    <w:rsid w:val="0098532E"/>
    <w:rsid w:val="009854C3"/>
    <w:rsid w:val="009857C2"/>
    <w:rsid w:val="009858DB"/>
    <w:rsid w:val="00985CF0"/>
    <w:rsid w:val="009860BF"/>
    <w:rsid w:val="009860E3"/>
    <w:rsid w:val="00986B5F"/>
    <w:rsid w:val="00986B87"/>
    <w:rsid w:val="00986E26"/>
    <w:rsid w:val="009873D1"/>
    <w:rsid w:val="009875C2"/>
    <w:rsid w:val="0098799F"/>
    <w:rsid w:val="00987D2F"/>
    <w:rsid w:val="009900D4"/>
    <w:rsid w:val="00990459"/>
    <w:rsid w:val="009904BB"/>
    <w:rsid w:val="009904E8"/>
    <w:rsid w:val="00990673"/>
    <w:rsid w:val="00990A8C"/>
    <w:rsid w:val="00990B21"/>
    <w:rsid w:val="00990BA7"/>
    <w:rsid w:val="00990BA9"/>
    <w:rsid w:val="00990DAC"/>
    <w:rsid w:val="00990F03"/>
    <w:rsid w:val="0099149D"/>
    <w:rsid w:val="00991876"/>
    <w:rsid w:val="009918D9"/>
    <w:rsid w:val="009918EA"/>
    <w:rsid w:val="00992132"/>
    <w:rsid w:val="00992802"/>
    <w:rsid w:val="00992BB0"/>
    <w:rsid w:val="00993024"/>
    <w:rsid w:val="00994257"/>
    <w:rsid w:val="00994431"/>
    <w:rsid w:val="009945AE"/>
    <w:rsid w:val="00994760"/>
    <w:rsid w:val="00994B9F"/>
    <w:rsid w:val="00994C5C"/>
    <w:rsid w:val="00995491"/>
    <w:rsid w:val="0099552B"/>
    <w:rsid w:val="0099583F"/>
    <w:rsid w:val="0099588F"/>
    <w:rsid w:val="00995CB2"/>
    <w:rsid w:val="00995E48"/>
    <w:rsid w:val="0099618D"/>
    <w:rsid w:val="009965FA"/>
    <w:rsid w:val="00996672"/>
    <w:rsid w:val="00996AD7"/>
    <w:rsid w:val="00996B9C"/>
    <w:rsid w:val="00997711"/>
    <w:rsid w:val="00997B9E"/>
    <w:rsid w:val="00997D81"/>
    <w:rsid w:val="00997FF3"/>
    <w:rsid w:val="009A06AD"/>
    <w:rsid w:val="009A0B2E"/>
    <w:rsid w:val="009A1107"/>
    <w:rsid w:val="009A1799"/>
    <w:rsid w:val="009A1BCB"/>
    <w:rsid w:val="009A1D6C"/>
    <w:rsid w:val="009A20ED"/>
    <w:rsid w:val="009A25DA"/>
    <w:rsid w:val="009A276C"/>
    <w:rsid w:val="009A27C2"/>
    <w:rsid w:val="009A27E3"/>
    <w:rsid w:val="009A2876"/>
    <w:rsid w:val="009A288F"/>
    <w:rsid w:val="009A2C73"/>
    <w:rsid w:val="009A2DCC"/>
    <w:rsid w:val="009A3940"/>
    <w:rsid w:val="009A3C7C"/>
    <w:rsid w:val="009A3D83"/>
    <w:rsid w:val="009A3F06"/>
    <w:rsid w:val="009A413A"/>
    <w:rsid w:val="009A43E4"/>
    <w:rsid w:val="009A4558"/>
    <w:rsid w:val="009A46D8"/>
    <w:rsid w:val="009A4AB6"/>
    <w:rsid w:val="009A4DA3"/>
    <w:rsid w:val="009A510A"/>
    <w:rsid w:val="009A57BC"/>
    <w:rsid w:val="009A580A"/>
    <w:rsid w:val="009A5A92"/>
    <w:rsid w:val="009A5DF3"/>
    <w:rsid w:val="009A6087"/>
    <w:rsid w:val="009A611B"/>
    <w:rsid w:val="009A62C1"/>
    <w:rsid w:val="009A65B6"/>
    <w:rsid w:val="009A681D"/>
    <w:rsid w:val="009A69E4"/>
    <w:rsid w:val="009A6D80"/>
    <w:rsid w:val="009A7581"/>
    <w:rsid w:val="009A78EC"/>
    <w:rsid w:val="009A7A80"/>
    <w:rsid w:val="009A7C0F"/>
    <w:rsid w:val="009A7DB6"/>
    <w:rsid w:val="009A7FDC"/>
    <w:rsid w:val="009B005C"/>
    <w:rsid w:val="009B01B3"/>
    <w:rsid w:val="009B02EC"/>
    <w:rsid w:val="009B089B"/>
    <w:rsid w:val="009B0AC2"/>
    <w:rsid w:val="009B0E02"/>
    <w:rsid w:val="009B133D"/>
    <w:rsid w:val="009B1625"/>
    <w:rsid w:val="009B1C9B"/>
    <w:rsid w:val="009B1DCC"/>
    <w:rsid w:val="009B1E6B"/>
    <w:rsid w:val="009B2281"/>
    <w:rsid w:val="009B22FF"/>
    <w:rsid w:val="009B23D5"/>
    <w:rsid w:val="009B2403"/>
    <w:rsid w:val="009B2516"/>
    <w:rsid w:val="009B2926"/>
    <w:rsid w:val="009B2A74"/>
    <w:rsid w:val="009B2C38"/>
    <w:rsid w:val="009B2CDA"/>
    <w:rsid w:val="009B2F04"/>
    <w:rsid w:val="009B36FB"/>
    <w:rsid w:val="009B4286"/>
    <w:rsid w:val="009B430F"/>
    <w:rsid w:val="009B43E0"/>
    <w:rsid w:val="009B4768"/>
    <w:rsid w:val="009B486C"/>
    <w:rsid w:val="009B4AAB"/>
    <w:rsid w:val="009B4E26"/>
    <w:rsid w:val="009B4F76"/>
    <w:rsid w:val="009B50E4"/>
    <w:rsid w:val="009B5C82"/>
    <w:rsid w:val="009B5DFF"/>
    <w:rsid w:val="009B5E16"/>
    <w:rsid w:val="009B64A7"/>
    <w:rsid w:val="009B6680"/>
    <w:rsid w:val="009B6777"/>
    <w:rsid w:val="009B6821"/>
    <w:rsid w:val="009B73D1"/>
    <w:rsid w:val="009B7972"/>
    <w:rsid w:val="009B7C23"/>
    <w:rsid w:val="009B7EB3"/>
    <w:rsid w:val="009C0106"/>
    <w:rsid w:val="009C04C3"/>
    <w:rsid w:val="009C0935"/>
    <w:rsid w:val="009C0D2F"/>
    <w:rsid w:val="009C1585"/>
    <w:rsid w:val="009C1CE0"/>
    <w:rsid w:val="009C1D38"/>
    <w:rsid w:val="009C1E3B"/>
    <w:rsid w:val="009C22B4"/>
    <w:rsid w:val="009C249A"/>
    <w:rsid w:val="009C2926"/>
    <w:rsid w:val="009C2A9D"/>
    <w:rsid w:val="009C2E02"/>
    <w:rsid w:val="009C32EC"/>
    <w:rsid w:val="009C3395"/>
    <w:rsid w:val="009C33D4"/>
    <w:rsid w:val="009C3891"/>
    <w:rsid w:val="009C39CE"/>
    <w:rsid w:val="009C41BD"/>
    <w:rsid w:val="009C4797"/>
    <w:rsid w:val="009C496E"/>
    <w:rsid w:val="009C4BD8"/>
    <w:rsid w:val="009C4C71"/>
    <w:rsid w:val="009C4D90"/>
    <w:rsid w:val="009C52B1"/>
    <w:rsid w:val="009C547B"/>
    <w:rsid w:val="009C569F"/>
    <w:rsid w:val="009C5741"/>
    <w:rsid w:val="009C5B73"/>
    <w:rsid w:val="009C5C97"/>
    <w:rsid w:val="009C5D69"/>
    <w:rsid w:val="009C5EBE"/>
    <w:rsid w:val="009C6514"/>
    <w:rsid w:val="009C6ADF"/>
    <w:rsid w:val="009C6BE1"/>
    <w:rsid w:val="009C6C27"/>
    <w:rsid w:val="009C780E"/>
    <w:rsid w:val="009C7BB3"/>
    <w:rsid w:val="009C7D82"/>
    <w:rsid w:val="009C7F43"/>
    <w:rsid w:val="009D035B"/>
    <w:rsid w:val="009D0386"/>
    <w:rsid w:val="009D051C"/>
    <w:rsid w:val="009D0625"/>
    <w:rsid w:val="009D0AEF"/>
    <w:rsid w:val="009D0CA4"/>
    <w:rsid w:val="009D0CE8"/>
    <w:rsid w:val="009D0CFA"/>
    <w:rsid w:val="009D0DDC"/>
    <w:rsid w:val="009D10A9"/>
    <w:rsid w:val="009D15CA"/>
    <w:rsid w:val="009D185C"/>
    <w:rsid w:val="009D1C49"/>
    <w:rsid w:val="009D1D87"/>
    <w:rsid w:val="009D22C2"/>
    <w:rsid w:val="009D233E"/>
    <w:rsid w:val="009D2392"/>
    <w:rsid w:val="009D2BD1"/>
    <w:rsid w:val="009D2C0F"/>
    <w:rsid w:val="009D2D61"/>
    <w:rsid w:val="009D31D5"/>
    <w:rsid w:val="009D3519"/>
    <w:rsid w:val="009D3733"/>
    <w:rsid w:val="009D38FF"/>
    <w:rsid w:val="009D3E6A"/>
    <w:rsid w:val="009D4F0F"/>
    <w:rsid w:val="009D529A"/>
    <w:rsid w:val="009D567E"/>
    <w:rsid w:val="009D588D"/>
    <w:rsid w:val="009D58FD"/>
    <w:rsid w:val="009D5940"/>
    <w:rsid w:val="009D5C6A"/>
    <w:rsid w:val="009D6154"/>
    <w:rsid w:val="009D651E"/>
    <w:rsid w:val="009D6ADF"/>
    <w:rsid w:val="009D6E4D"/>
    <w:rsid w:val="009D6EAC"/>
    <w:rsid w:val="009D72F8"/>
    <w:rsid w:val="009D74F7"/>
    <w:rsid w:val="009D757B"/>
    <w:rsid w:val="009D76E4"/>
    <w:rsid w:val="009D7B18"/>
    <w:rsid w:val="009D7FE4"/>
    <w:rsid w:val="009E00CA"/>
    <w:rsid w:val="009E01A7"/>
    <w:rsid w:val="009E021A"/>
    <w:rsid w:val="009E0896"/>
    <w:rsid w:val="009E094E"/>
    <w:rsid w:val="009E09C9"/>
    <w:rsid w:val="009E0FAD"/>
    <w:rsid w:val="009E1048"/>
    <w:rsid w:val="009E104B"/>
    <w:rsid w:val="009E1138"/>
    <w:rsid w:val="009E1237"/>
    <w:rsid w:val="009E173E"/>
    <w:rsid w:val="009E1DFE"/>
    <w:rsid w:val="009E20EB"/>
    <w:rsid w:val="009E2633"/>
    <w:rsid w:val="009E29F6"/>
    <w:rsid w:val="009E2B5F"/>
    <w:rsid w:val="009E2C71"/>
    <w:rsid w:val="009E3168"/>
    <w:rsid w:val="009E3468"/>
    <w:rsid w:val="009E36A4"/>
    <w:rsid w:val="009E3738"/>
    <w:rsid w:val="009E3EA1"/>
    <w:rsid w:val="009E4066"/>
    <w:rsid w:val="009E40EF"/>
    <w:rsid w:val="009E47FF"/>
    <w:rsid w:val="009E49EF"/>
    <w:rsid w:val="009E4AF0"/>
    <w:rsid w:val="009E4DE1"/>
    <w:rsid w:val="009E4EB5"/>
    <w:rsid w:val="009E50F0"/>
    <w:rsid w:val="009E54C0"/>
    <w:rsid w:val="009E59DB"/>
    <w:rsid w:val="009E5A61"/>
    <w:rsid w:val="009E6324"/>
    <w:rsid w:val="009E641B"/>
    <w:rsid w:val="009E660F"/>
    <w:rsid w:val="009E6AAC"/>
    <w:rsid w:val="009E6C3F"/>
    <w:rsid w:val="009E6EA4"/>
    <w:rsid w:val="009E7121"/>
    <w:rsid w:val="009E72B1"/>
    <w:rsid w:val="009E7925"/>
    <w:rsid w:val="009E79C7"/>
    <w:rsid w:val="009E7FBC"/>
    <w:rsid w:val="009F069C"/>
    <w:rsid w:val="009F06A4"/>
    <w:rsid w:val="009F0C02"/>
    <w:rsid w:val="009F0C9C"/>
    <w:rsid w:val="009F0C9F"/>
    <w:rsid w:val="009F0E84"/>
    <w:rsid w:val="009F0F2C"/>
    <w:rsid w:val="009F0FD3"/>
    <w:rsid w:val="009F1353"/>
    <w:rsid w:val="009F16B0"/>
    <w:rsid w:val="009F16FB"/>
    <w:rsid w:val="009F1BCD"/>
    <w:rsid w:val="009F1BCF"/>
    <w:rsid w:val="009F1DC6"/>
    <w:rsid w:val="009F1F4A"/>
    <w:rsid w:val="009F2094"/>
    <w:rsid w:val="009F219D"/>
    <w:rsid w:val="009F2288"/>
    <w:rsid w:val="009F2337"/>
    <w:rsid w:val="009F2566"/>
    <w:rsid w:val="009F269F"/>
    <w:rsid w:val="009F2AF8"/>
    <w:rsid w:val="009F2FB2"/>
    <w:rsid w:val="009F34FA"/>
    <w:rsid w:val="009F3642"/>
    <w:rsid w:val="009F3761"/>
    <w:rsid w:val="009F3903"/>
    <w:rsid w:val="009F3A62"/>
    <w:rsid w:val="009F3B25"/>
    <w:rsid w:val="009F3B78"/>
    <w:rsid w:val="009F3C54"/>
    <w:rsid w:val="009F476C"/>
    <w:rsid w:val="009F4826"/>
    <w:rsid w:val="009F48D3"/>
    <w:rsid w:val="009F500A"/>
    <w:rsid w:val="009F54DF"/>
    <w:rsid w:val="009F5549"/>
    <w:rsid w:val="009F564D"/>
    <w:rsid w:val="009F5D29"/>
    <w:rsid w:val="009F624D"/>
    <w:rsid w:val="009F6629"/>
    <w:rsid w:val="009F68CE"/>
    <w:rsid w:val="009F7009"/>
    <w:rsid w:val="009F7358"/>
    <w:rsid w:val="009F748A"/>
    <w:rsid w:val="009F74B0"/>
    <w:rsid w:val="009F774C"/>
    <w:rsid w:val="009F79D2"/>
    <w:rsid w:val="009F7A3B"/>
    <w:rsid w:val="009F7A8C"/>
    <w:rsid w:val="009F7F9D"/>
    <w:rsid w:val="00A00002"/>
    <w:rsid w:val="00A0075A"/>
    <w:rsid w:val="00A00774"/>
    <w:rsid w:val="00A00852"/>
    <w:rsid w:val="00A00BC7"/>
    <w:rsid w:val="00A00D98"/>
    <w:rsid w:val="00A01433"/>
    <w:rsid w:val="00A017C2"/>
    <w:rsid w:val="00A019E2"/>
    <w:rsid w:val="00A022A4"/>
    <w:rsid w:val="00A0240C"/>
    <w:rsid w:val="00A02C8F"/>
    <w:rsid w:val="00A02CC9"/>
    <w:rsid w:val="00A02F4E"/>
    <w:rsid w:val="00A03063"/>
    <w:rsid w:val="00A0321F"/>
    <w:rsid w:val="00A03705"/>
    <w:rsid w:val="00A03A68"/>
    <w:rsid w:val="00A03AB8"/>
    <w:rsid w:val="00A03F5D"/>
    <w:rsid w:val="00A04214"/>
    <w:rsid w:val="00A04501"/>
    <w:rsid w:val="00A0450C"/>
    <w:rsid w:val="00A04630"/>
    <w:rsid w:val="00A04819"/>
    <w:rsid w:val="00A04C9D"/>
    <w:rsid w:val="00A04E5D"/>
    <w:rsid w:val="00A051E2"/>
    <w:rsid w:val="00A05467"/>
    <w:rsid w:val="00A05CF6"/>
    <w:rsid w:val="00A05E0B"/>
    <w:rsid w:val="00A06294"/>
    <w:rsid w:val="00A06413"/>
    <w:rsid w:val="00A065F8"/>
    <w:rsid w:val="00A0667A"/>
    <w:rsid w:val="00A06BA6"/>
    <w:rsid w:val="00A06BAB"/>
    <w:rsid w:val="00A06F3D"/>
    <w:rsid w:val="00A07346"/>
    <w:rsid w:val="00A07488"/>
    <w:rsid w:val="00A07870"/>
    <w:rsid w:val="00A07BEB"/>
    <w:rsid w:val="00A103DB"/>
    <w:rsid w:val="00A10538"/>
    <w:rsid w:val="00A105AF"/>
    <w:rsid w:val="00A10897"/>
    <w:rsid w:val="00A10BC8"/>
    <w:rsid w:val="00A112F1"/>
    <w:rsid w:val="00A117F6"/>
    <w:rsid w:val="00A11987"/>
    <w:rsid w:val="00A11A99"/>
    <w:rsid w:val="00A1245D"/>
    <w:rsid w:val="00A125F4"/>
    <w:rsid w:val="00A127D5"/>
    <w:rsid w:val="00A128BF"/>
    <w:rsid w:val="00A13222"/>
    <w:rsid w:val="00A134C4"/>
    <w:rsid w:val="00A136D6"/>
    <w:rsid w:val="00A13E82"/>
    <w:rsid w:val="00A148EB"/>
    <w:rsid w:val="00A14D14"/>
    <w:rsid w:val="00A14F5B"/>
    <w:rsid w:val="00A154FD"/>
    <w:rsid w:val="00A155EB"/>
    <w:rsid w:val="00A158FE"/>
    <w:rsid w:val="00A15ACF"/>
    <w:rsid w:val="00A15D7D"/>
    <w:rsid w:val="00A15F90"/>
    <w:rsid w:val="00A160ED"/>
    <w:rsid w:val="00A16283"/>
    <w:rsid w:val="00A1661D"/>
    <w:rsid w:val="00A167B5"/>
    <w:rsid w:val="00A167C4"/>
    <w:rsid w:val="00A1680C"/>
    <w:rsid w:val="00A16AE0"/>
    <w:rsid w:val="00A16C16"/>
    <w:rsid w:val="00A16CA3"/>
    <w:rsid w:val="00A16D36"/>
    <w:rsid w:val="00A16EEB"/>
    <w:rsid w:val="00A176A8"/>
    <w:rsid w:val="00A17747"/>
    <w:rsid w:val="00A178CA"/>
    <w:rsid w:val="00A178CE"/>
    <w:rsid w:val="00A17BF8"/>
    <w:rsid w:val="00A17D43"/>
    <w:rsid w:val="00A17F4E"/>
    <w:rsid w:val="00A20080"/>
    <w:rsid w:val="00A20128"/>
    <w:rsid w:val="00A201A7"/>
    <w:rsid w:val="00A2023B"/>
    <w:rsid w:val="00A20499"/>
    <w:rsid w:val="00A20516"/>
    <w:rsid w:val="00A20518"/>
    <w:rsid w:val="00A20878"/>
    <w:rsid w:val="00A20A92"/>
    <w:rsid w:val="00A20CB1"/>
    <w:rsid w:val="00A20F53"/>
    <w:rsid w:val="00A21593"/>
    <w:rsid w:val="00A2182D"/>
    <w:rsid w:val="00A219DB"/>
    <w:rsid w:val="00A21AB9"/>
    <w:rsid w:val="00A21EE6"/>
    <w:rsid w:val="00A21EEB"/>
    <w:rsid w:val="00A21FEC"/>
    <w:rsid w:val="00A225EC"/>
    <w:rsid w:val="00A242CF"/>
    <w:rsid w:val="00A24424"/>
    <w:rsid w:val="00A24950"/>
    <w:rsid w:val="00A24B64"/>
    <w:rsid w:val="00A24F80"/>
    <w:rsid w:val="00A2535D"/>
    <w:rsid w:val="00A2546D"/>
    <w:rsid w:val="00A257EF"/>
    <w:rsid w:val="00A25805"/>
    <w:rsid w:val="00A25814"/>
    <w:rsid w:val="00A25A4E"/>
    <w:rsid w:val="00A25BA5"/>
    <w:rsid w:val="00A25CA0"/>
    <w:rsid w:val="00A26242"/>
    <w:rsid w:val="00A26720"/>
    <w:rsid w:val="00A26CE3"/>
    <w:rsid w:val="00A27255"/>
    <w:rsid w:val="00A2741D"/>
    <w:rsid w:val="00A27548"/>
    <w:rsid w:val="00A27935"/>
    <w:rsid w:val="00A27A07"/>
    <w:rsid w:val="00A305F9"/>
    <w:rsid w:val="00A30AE0"/>
    <w:rsid w:val="00A31258"/>
    <w:rsid w:val="00A312B8"/>
    <w:rsid w:val="00A31503"/>
    <w:rsid w:val="00A319D8"/>
    <w:rsid w:val="00A3230C"/>
    <w:rsid w:val="00A33183"/>
    <w:rsid w:val="00A33303"/>
    <w:rsid w:val="00A33F37"/>
    <w:rsid w:val="00A34AD3"/>
    <w:rsid w:val="00A34AEF"/>
    <w:rsid w:val="00A34B12"/>
    <w:rsid w:val="00A34BEB"/>
    <w:rsid w:val="00A34E65"/>
    <w:rsid w:val="00A34F0E"/>
    <w:rsid w:val="00A34FF2"/>
    <w:rsid w:val="00A351F5"/>
    <w:rsid w:val="00A35500"/>
    <w:rsid w:val="00A35611"/>
    <w:rsid w:val="00A35A44"/>
    <w:rsid w:val="00A35C78"/>
    <w:rsid w:val="00A35E10"/>
    <w:rsid w:val="00A35E46"/>
    <w:rsid w:val="00A35F08"/>
    <w:rsid w:val="00A36253"/>
    <w:rsid w:val="00A367B0"/>
    <w:rsid w:val="00A36B80"/>
    <w:rsid w:val="00A36F2C"/>
    <w:rsid w:val="00A37022"/>
    <w:rsid w:val="00A37232"/>
    <w:rsid w:val="00A3742C"/>
    <w:rsid w:val="00A3750B"/>
    <w:rsid w:val="00A376C3"/>
    <w:rsid w:val="00A376F4"/>
    <w:rsid w:val="00A37897"/>
    <w:rsid w:val="00A40229"/>
    <w:rsid w:val="00A40A78"/>
    <w:rsid w:val="00A40AD2"/>
    <w:rsid w:val="00A40C75"/>
    <w:rsid w:val="00A40F04"/>
    <w:rsid w:val="00A4155A"/>
    <w:rsid w:val="00A417EF"/>
    <w:rsid w:val="00A41DFE"/>
    <w:rsid w:val="00A4229E"/>
    <w:rsid w:val="00A42394"/>
    <w:rsid w:val="00A424C7"/>
    <w:rsid w:val="00A424F3"/>
    <w:rsid w:val="00A42BE2"/>
    <w:rsid w:val="00A42C9C"/>
    <w:rsid w:val="00A42DB0"/>
    <w:rsid w:val="00A42DCC"/>
    <w:rsid w:val="00A42F21"/>
    <w:rsid w:val="00A42FBB"/>
    <w:rsid w:val="00A43465"/>
    <w:rsid w:val="00A4359B"/>
    <w:rsid w:val="00A43757"/>
    <w:rsid w:val="00A4377E"/>
    <w:rsid w:val="00A437E9"/>
    <w:rsid w:val="00A443A3"/>
    <w:rsid w:val="00A44428"/>
    <w:rsid w:val="00A4451E"/>
    <w:rsid w:val="00A44562"/>
    <w:rsid w:val="00A449A6"/>
    <w:rsid w:val="00A44B51"/>
    <w:rsid w:val="00A44C34"/>
    <w:rsid w:val="00A44C7E"/>
    <w:rsid w:val="00A44E38"/>
    <w:rsid w:val="00A4505F"/>
    <w:rsid w:val="00A4518E"/>
    <w:rsid w:val="00A45761"/>
    <w:rsid w:val="00A458CF"/>
    <w:rsid w:val="00A460A5"/>
    <w:rsid w:val="00A461BA"/>
    <w:rsid w:val="00A46207"/>
    <w:rsid w:val="00A46271"/>
    <w:rsid w:val="00A4655F"/>
    <w:rsid w:val="00A465A0"/>
    <w:rsid w:val="00A46AE0"/>
    <w:rsid w:val="00A475F3"/>
    <w:rsid w:val="00A479C8"/>
    <w:rsid w:val="00A47E9B"/>
    <w:rsid w:val="00A5014A"/>
    <w:rsid w:val="00A504BA"/>
    <w:rsid w:val="00A504E5"/>
    <w:rsid w:val="00A50529"/>
    <w:rsid w:val="00A50BE7"/>
    <w:rsid w:val="00A50D94"/>
    <w:rsid w:val="00A50EDF"/>
    <w:rsid w:val="00A50F6D"/>
    <w:rsid w:val="00A50FAE"/>
    <w:rsid w:val="00A5107A"/>
    <w:rsid w:val="00A51255"/>
    <w:rsid w:val="00A51BDC"/>
    <w:rsid w:val="00A51F09"/>
    <w:rsid w:val="00A52475"/>
    <w:rsid w:val="00A52BEA"/>
    <w:rsid w:val="00A52DB4"/>
    <w:rsid w:val="00A53117"/>
    <w:rsid w:val="00A532D4"/>
    <w:rsid w:val="00A53595"/>
    <w:rsid w:val="00A53634"/>
    <w:rsid w:val="00A5368E"/>
    <w:rsid w:val="00A53792"/>
    <w:rsid w:val="00A5385F"/>
    <w:rsid w:val="00A542CD"/>
    <w:rsid w:val="00A546E0"/>
    <w:rsid w:val="00A547DE"/>
    <w:rsid w:val="00A54DC0"/>
    <w:rsid w:val="00A55173"/>
    <w:rsid w:val="00A552EB"/>
    <w:rsid w:val="00A55518"/>
    <w:rsid w:val="00A55921"/>
    <w:rsid w:val="00A561E2"/>
    <w:rsid w:val="00A5645D"/>
    <w:rsid w:val="00A56606"/>
    <w:rsid w:val="00A56685"/>
    <w:rsid w:val="00A56E28"/>
    <w:rsid w:val="00A57495"/>
    <w:rsid w:val="00A578F1"/>
    <w:rsid w:val="00A57E0C"/>
    <w:rsid w:val="00A57E11"/>
    <w:rsid w:val="00A57E92"/>
    <w:rsid w:val="00A60718"/>
    <w:rsid w:val="00A607AD"/>
    <w:rsid w:val="00A607B6"/>
    <w:rsid w:val="00A60868"/>
    <w:rsid w:val="00A60DC2"/>
    <w:rsid w:val="00A6140B"/>
    <w:rsid w:val="00A6153E"/>
    <w:rsid w:val="00A61563"/>
    <w:rsid w:val="00A6192C"/>
    <w:rsid w:val="00A61A2D"/>
    <w:rsid w:val="00A61AB9"/>
    <w:rsid w:val="00A61AD9"/>
    <w:rsid w:val="00A61B7D"/>
    <w:rsid w:val="00A6223B"/>
    <w:rsid w:val="00A62292"/>
    <w:rsid w:val="00A6288F"/>
    <w:rsid w:val="00A62FB2"/>
    <w:rsid w:val="00A64265"/>
    <w:rsid w:val="00A64726"/>
    <w:rsid w:val="00A64FAD"/>
    <w:rsid w:val="00A65087"/>
    <w:rsid w:val="00A650CF"/>
    <w:rsid w:val="00A65470"/>
    <w:rsid w:val="00A656AD"/>
    <w:rsid w:val="00A65764"/>
    <w:rsid w:val="00A657A8"/>
    <w:rsid w:val="00A65AB3"/>
    <w:rsid w:val="00A65B23"/>
    <w:rsid w:val="00A65B32"/>
    <w:rsid w:val="00A65DC4"/>
    <w:rsid w:val="00A65F7E"/>
    <w:rsid w:val="00A665CE"/>
    <w:rsid w:val="00A669DE"/>
    <w:rsid w:val="00A66CA5"/>
    <w:rsid w:val="00A67380"/>
    <w:rsid w:val="00A678AA"/>
    <w:rsid w:val="00A70175"/>
    <w:rsid w:val="00A7063B"/>
    <w:rsid w:val="00A706D9"/>
    <w:rsid w:val="00A7090E"/>
    <w:rsid w:val="00A70969"/>
    <w:rsid w:val="00A70B49"/>
    <w:rsid w:val="00A70E6A"/>
    <w:rsid w:val="00A71B81"/>
    <w:rsid w:val="00A7209C"/>
    <w:rsid w:val="00A723A4"/>
    <w:rsid w:val="00A723D4"/>
    <w:rsid w:val="00A72606"/>
    <w:rsid w:val="00A72620"/>
    <w:rsid w:val="00A729F5"/>
    <w:rsid w:val="00A72B46"/>
    <w:rsid w:val="00A72B93"/>
    <w:rsid w:val="00A73158"/>
    <w:rsid w:val="00A731DE"/>
    <w:rsid w:val="00A73338"/>
    <w:rsid w:val="00A734C1"/>
    <w:rsid w:val="00A73819"/>
    <w:rsid w:val="00A738A0"/>
    <w:rsid w:val="00A73C46"/>
    <w:rsid w:val="00A73F0F"/>
    <w:rsid w:val="00A73F11"/>
    <w:rsid w:val="00A748C5"/>
    <w:rsid w:val="00A7492C"/>
    <w:rsid w:val="00A749E8"/>
    <w:rsid w:val="00A74A2B"/>
    <w:rsid w:val="00A74CAD"/>
    <w:rsid w:val="00A74DED"/>
    <w:rsid w:val="00A74EDB"/>
    <w:rsid w:val="00A75038"/>
    <w:rsid w:val="00A75306"/>
    <w:rsid w:val="00A753BF"/>
    <w:rsid w:val="00A75A9A"/>
    <w:rsid w:val="00A75AF6"/>
    <w:rsid w:val="00A75D2C"/>
    <w:rsid w:val="00A75F54"/>
    <w:rsid w:val="00A75FC8"/>
    <w:rsid w:val="00A76264"/>
    <w:rsid w:val="00A767FB"/>
    <w:rsid w:val="00A76BEB"/>
    <w:rsid w:val="00A76D98"/>
    <w:rsid w:val="00A76DB7"/>
    <w:rsid w:val="00A76E3A"/>
    <w:rsid w:val="00A76F59"/>
    <w:rsid w:val="00A7717C"/>
    <w:rsid w:val="00A77973"/>
    <w:rsid w:val="00A77F48"/>
    <w:rsid w:val="00A80034"/>
    <w:rsid w:val="00A80035"/>
    <w:rsid w:val="00A80160"/>
    <w:rsid w:val="00A801B4"/>
    <w:rsid w:val="00A806F5"/>
    <w:rsid w:val="00A80885"/>
    <w:rsid w:val="00A80966"/>
    <w:rsid w:val="00A80AB7"/>
    <w:rsid w:val="00A80B4A"/>
    <w:rsid w:val="00A80F3C"/>
    <w:rsid w:val="00A811C9"/>
    <w:rsid w:val="00A8130D"/>
    <w:rsid w:val="00A813C9"/>
    <w:rsid w:val="00A81508"/>
    <w:rsid w:val="00A8161A"/>
    <w:rsid w:val="00A81B84"/>
    <w:rsid w:val="00A821F0"/>
    <w:rsid w:val="00A82B4D"/>
    <w:rsid w:val="00A82E36"/>
    <w:rsid w:val="00A830AB"/>
    <w:rsid w:val="00A8329E"/>
    <w:rsid w:val="00A83840"/>
    <w:rsid w:val="00A839F5"/>
    <w:rsid w:val="00A83C63"/>
    <w:rsid w:val="00A83CBD"/>
    <w:rsid w:val="00A83F6C"/>
    <w:rsid w:val="00A84385"/>
    <w:rsid w:val="00A84451"/>
    <w:rsid w:val="00A84536"/>
    <w:rsid w:val="00A845E6"/>
    <w:rsid w:val="00A8476D"/>
    <w:rsid w:val="00A848F0"/>
    <w:rsid w:val="00A84951"/>
    <w:rsid w:val="00A849ED"/>
    <w:rsid w:val="00A84BC6"/>
    <w:rsid w:val="00A84C1F"/>
    <w:rsid w:val="00A84DC1"/>
    <w:rsid w:val="00A8529E"/>
    <w:rsid w:val="00A85582"/>
    <w:rsid w:val="00A85655"/>
    <w:rsid w:val="00A85872"/>
    <w:rsid w:val="00A858F1"/>
    <w:rsid w:val="00A8592E"/>
    <w:rsid w:val="00A85C6C"/>
    <w:rsid w:val="00A85E87"/>
    <w:rsid w:val="00A86569"/>
    <w:rsid w:val="00A87B7A"/>
    <w:rsid w:val="00A87C45"/>
    <w:rsid w:val="00A87E59"/>
    <w:rsid w:val="00A87E94"/>
    <w:rsid w:val="00A90160"/>
    <w:rsid w:val="00A9070C"/>
    <w:rsid w:val="00A90760"/>
    <w:rsid w:val="00A90AEA"/>
    <w:rsid w:val="00A90C37"/>
    <w:rsid w:val="00A90D26"/>
    <w:rsid w:val="00A911E0"/>
    <w:rsid w:val="00A91464"/>
    <w:rsid w:val="00A91856"/>
    <w:rsid w:val="00A91FD0"/>
    <w:rsid w:val="00A92037"/>
    <w:rsid w:val="00A92182"/>
    <w:rsid w:val="00A92634"/>
    <w:rsid w:val="00A933DD"/>
    <w:rsid w:val="00A93697"/>
    <w:rsid w:val="00A936CA"/>
    <w:rsid w:val="00A936F3"/>
    <w:rsid w:val="00A9398E"/>
    <w:rsid w:val="00A93D62"/>
    <w:rsid w:val="00A93D76"/>
    <w:rsid w:val="00A940BA"/>
    <w:rsid w:val="00A9416F"/>
    <w:rsid w:val="00A94228"/>
    <w:rsid w:val="00A9446F"/>
    <w:rsid w:val="00A944EF"/>
    <w:rsid w:val="00A945B8"/>
    <w:rsid w:val="00A94627"/>
    <w:rsid w:val="00A94B43"/>
    <w:rsid w:val="00A94F63"/>
    <w:rsid w:val="00A9501C"/>
    <w:rsid w:val="00A95065"/>
    <w:rsid w:val="00A950D1"/>
    <w:rsid w:val="00A95404"/>
    <w:rsid w:val="00A9576B"/>
    <w:rsid w:val="00A96220"/>
    <w:rsid w:val="00A96351"/>
    <w:rsid w:val="00A9651A"/>
    <w:rsid w:val="00A9662E"/>
    <w:rsid w:val="00A973A1"/>
    <w:rsid w:val="00A9747A"/>
    <w:rsid w:val="00A976E1"/>
    <w:rsid w:val="00A97C1E"/>
    <w:rsid w:val="00AA0428"/>
    <w:rsid w:val="00AA08BA"/>
    <w:rsid w:val="00AA0AA4"/>
    <w:rsid w:val="00AA0DD4"/>
    <w:rsid w:val="00AA10B2"/>
    <w:rsid w:val="00AA17C3"/>
    <w:rsid w:val="00AA1D50"/>
    <w:rsid w:val="00AA1F25"/>
    <w:rsid w:val="00AA24EE"/>
    <w:rsid w:val="00AA2618"/>
    <w:rsid w:val="00AA30D2"/>
    <w:rsid w:val="00AA3451"/>
    <w:rsid w:val="00AA352B"/>
    <w:rsid w:val="00AA36C5"/>
    <w:rsid w:val="00AA39A5"/>
    <w:rsid w:val="00AA40E0"/>
    <w:rsid w:val="00AA42F4"/>
    <w:rsid w:val="00AA4327"/>
    <w:rsid w:val="00AA4646"/>
    <w:rsid w:val="00AA4DFB"/>
    <w:rsid w:val="00AA50FF"/>
    <w:rsid w:val="00AA51D0"/>
    <w:rsid w:val="00AA5345"/>
    <w:rsid w:val="00AA5667"/>
    <w:rsid w:val="00AA5762"/>
    <w:rsid w:val="00AA64DC"/>
    <w:rsid w:val="00AA662B"/>
    <w:rsid w:val="00AA6C75"/>
    <w:rsid w:val="00AA6DE3"/>
    <w:rsid w:val="00AA6F25"/>
    <w:rsid w:val="00AA70FD"/>
    <w:rsid w:val="00AA718B"/>
    <w:rsid w:val="00AA73F7"/>
    <w:rsid w:val="00AA750C"/>
    <w:rsid w:val="00AA7594"/>
    <w:rsid w:val="00AA7E0F"/>
    <w:rsid w:val="00AA7FA9"/>
    <w:rsid w:val="00AB027C"/>
    <w:rsid w:val="00AB0497"/>
    <w:rsid w:val="00AB0725"/>
    <w:rsid w:val="00AB15ED"/>
    <w:rsid w:val="00AB18BB"/>
    <w:rsid w:val="00AB1EB1"/>
    <w:rsid w:val="00AB1F24"/>
    <w:rsid w:val="00AB20D6"/>
    <w:rsid w:val="00AB32EA"/>
    <w:rsid w:val="00AB39D7"/>
    <w:rsid w:val="00AB3A85"/>
    <w:rsid w:val="00AB4414"/>
    <w:rsid w:val="00AB4544"/>
    <w:rsid w:val="00AB494E"/>
    <w:rsid w:val="00AB50C9"/>
    <w:rsid w:val="00AB524B"/>
    <w:rsid w:val="00AB52FF"/>
    <w:rsid w:val="00AB56B5"/>
    <w:rsid w:val="00AB5882"/>
    <w:rsid w:val="00AB5888"/>
    <w:rsid w:val="00AB5A96"/>
    <w:rsid w:val="00AB5E73"/>
    <w:rsid w:val="00AB6261"/>
    <w:rsid w:val="00AB630C"/>
    <w:rsid w:val="00AB6329"/>
    <w:rsid w:val="00AB66C4"/>
    <w:rsid w:val="00AB6713"/>
    <w:rsid w:val="00AB687D"/>
    <w:rsid w:val="00AB69F7"/>
    <w:rsid w:val="00AB6C59"/>
    <w:rsid w:val="00AB6C70"/>
    <w:rsid w:val="00AB6EBC"/>
    <w:rsid w:val="00AB6F40"/>
    <w:rsid w:val="00AB72DB"/>
    <w:rsid w:val="00AB72E7"/>
    <w:rsid w:val="00AB73BA"/>
    <w:rsid w:val="00AB78B0"/>
    <w:rsid w:val="00AB7C00"/>
    <w:rsid w:val="00AB7D1F"/>
    <w:rsid w:val="00AB7D5C"/>
    <w:rsid w:val="00AB7D94"/>
    <w:rsid w:val="00AC0091"/>
    <w:rsid w:val="00AC0C42"/>
    <w:rsid w:val="00AC0C73"/>
    <w:rsid w:val="00AC0D55"/>
    <w:rsid w:val="00AC0EE8"/>
    <w:rsid w:val="00AC11EC"/>
    <w:rsid w:val="00AC13FA"/>
    <w:rsid w:val="00AC14CE"/>
    <w:rsid w:val="00AC1507"/>
    <w:rsid w:val="00AC152A"/>
    <w:rsid w:val="00AC15F1"/>
    <w:rsid w:val="00AC1A3D"/>
    <w:rsid w:val="00AC1B50"/>
    <w:rsid w:val="00AC1C9C"/>
    <w:rsid w:val="00AC2208"/>
    <w:rsid w:val="00AC224E"/>
    <w:rsid w:val="00AC23B9"/>
    <w:rsid w:val="00AC257E"/>
    <w:rsid w:val="00AC28BB"/>
    <w:rsid w:val="00AC2E77"/>
    <w:rsid w:val="00AC3020"/>
    <w:rsid w:val="00AC30E1"/>
    <w:rsid w:val="00AC34F7"/>
    <w:rsid w:val="00AC36A7"/>
    <w:rsid w:val="00AC3915"/>
    <w:rsid w:val="00AC3A56"/>
    <w:rsid w:val="00AC3B11"/>
    <w:rsid w:val="00AC452B"/>
    <w:rsid w:val="00AC49AE"/>
    <w:rsid w:val="00AC5005"/>
    <w:rsid w:val="00AC5121"/>
    <w:rsid w:val="00AC5441"/>
    <w:rsid w:val="00AC585E"/>
    <w:rsid w:val="00AC6CF4"/>
    <w:rsid w:val="00AC72A0"/>
    <w:rsid w:val="00AC7445"/>
    <w:rsid w:val="00AC784E"/>
    <w:rsid w:val="00AC7CC4"/>
    <w:rsid w:val="00AC7F52"/>
    <w:rsid w:val="00AC7FA1"/>
    <w:rsid w:val="00AD028B"/>
    <w:rsid w:val="00AD02BE"/>
    <w:rsid w:val="00AD031D"/>
    <w:rsid w:val="00AD0792"/>
    <w:rsid w:val="00AD0A2A"/>
    <w:rsid w:val="00AD0BB7"/>
    <w:rsid w:val="00AD0CAF"/>
    <w:rsid w:val="00AD0F60"/>
    <w:rsid w:val="00AD1397"/>
    <w:rsid w:val="00AD1504"/>
    <w:rsid w:val="00AD15BE"/>
    <w:rsid w:val="00AD16CD"/>
    <w:rsid w:val="00AD1E8D"/>
    <w:rsid w:val="00AD1EC7"/>
    <w:rsid w:val="00AD1FD5"/>
    <w:rsid w:val="00AD21FE"/>
    <w:rsid w:val="00AD2418"/>
    <w:rsid w:val="00AD27F3"/>
    <w:rsid w:val="00AD29C9"/>
    <w:rsid w:val="00AD29E5"/>
    <w:rsid w:val="00AD2BB0"/>
    <w:rsid w:val="00AD319B"/>
    <w:rsid w:val="00AD3581"/>
    <w:rsid w:val="00AD3849"/>
    <w:rsid w:val="00AD4284"/>
    <w:rsid w:val="00AD4315"/>
    <w:rsid w:val="00AD4ADF"/>
    <w:rsid w:val="00AD4BAB"/>
    <w:rsid w:val="00AD4D45"/>
    <w:rsid w:val="00AD4E18"/>
    <w:rsid w:val="00AD50D1"/>
    <w:rsid w:val="00AD512F"/>
    <w:rsid w:val="00AD5220"/>
    <w:rsid w:val="00AD5231"/>
    <w:rsid w:val="00AD5279"/>
    <w:rsid w:val="00AD55CE"/>
    <w:rsid w:val="00AD56F1"/>
    <w:rsid w:val="00AD5B86"/>
    <w:rsid w:val="00AD5BB5"/>
    <w:rsid w:val="00AD5C8F"/>
    <w:rsid w:val="00AD67EE"/>
    <w:rsid w:val="00AD6E1C"/>
    <w:rsid w:val="00AD6F09"/>
    <w:rsid w:val="00AE007C"/>
    <w:rsid w:val="00AE01E3"/>
    <w:rsid w:val="00AE03C4"/>
    <w:rsid w:val="00AE0577"/>
    <w:rsid w:val="00AE0700"/>
    <w:rsid w:val="00AE09A1"/>
    <w:rsid w:val="00AE0BDD"/>
    <w:rsid w:val="00AE0E64"/>
    <w:rsid w:val="00AE0F19"/>
    <w:rsid w:val="00AE177D"/>
    <w:rsid w:val="00AE1C33"/>
    <w:rsid w:val="00AE1CD9"/>
    <w:rsid w:val="00AE1E56"/>
    <w:rsid w:val="00AE20AB"/>
    <w:rsid w:val="00AE222E"/>
    <w:rsid w:val="00AE2D6A"/>
    <w:rsid w:val="00AE2D9E"/>
    <w:rsid w:val="00AE30B3"/>
    <w:rsid w:val="00AE325F"/>
    <w:rsid w:val="00AE32E9"/>
    <w:rsid w:val="00AE340E"/>
    <w:rsid w:val="00AE3CCE"/>
    <w:rsid w:val="00AE3F10"/>
    <w:rsid w:val="00AE4179"/>
    <w:rsid w:val="00AE4499"/>
    <w:rsid w:val="00AE44BA"/>
    <w:rsid w:val="00AE4854"/>
    <w:rsid w:val="00AE4CA2"/>
    <w:rsid w:val="00AE4DE2"/>
    <w:rsid w:val="00AE501A"/>
    <w:rsid w:val="00AE5886"/>
    <w:rsid w:val="00AE598C"/>
    <w:rsid w:val="00AE5FB4"/>
    <w:rsid w:val="00AE5FFD"/>
    <w:rsid w:val="00AE61F2"/>
    <w:rsid w:val="00AE6393"/>
    <w:rsid w:val="00AE6414"/>
    <w:rsid w:val="00AE67F6"/>
    <w:rsid w:val="00AE6B3E"/>
    <w:rsid w:val="00AE6D41"/>
    <w:rsid w:val="00AE6E39"/>
    <w:rsid w:val="00AE72EE"/>
    <w:rsid w:val="00AE7654"/>
    <w:rsid w:val="00AE7973"/>
    <w:rsid w:val="00AF021F"/>
    <w:rsid w:val="00AF03C3"/>
    <w:rsid w:val="00AF03F7"/>
    <w:rsid w:val="00AF1077"/>
    <w:rsid w:val="00AF1424"/>
    <w:rsid w:val="00AF150B"/>
    <w:rsid w:val="00AF158B"/>
    <w:rsid w:val="00AF1CFF"/>
    <w:rsid w:val="00AF1FCD"/>
    <w:rsid w:val="00AF2068"/>
    <w:rsid w:val="00AF20EB"/>
    <w:rsid w:val="00AF2225"/>
    <w:rsid w:val="00AF2496"/>
    <w:rsid w:val="00AF28E5"/>
    <w:rsid w:val="00AF2A4E"/>
    <w:rsid w:val="00AF2AB6"/>
    <w:rsid w:val="00AF302B"/>
    <w:rsid w:val="00AF32A6"/>
    <w:rsid w:val="00AF34F2"/>
    <w:rsid w:val="00AF4043"/>
    <w:rsid w:val="00AF4149"/>
    <w:rsid w:val="00AF41D8"/>
    <w:rsid w:val="00AF4831"/>
    <w:rsid w:val="00AF4A0C"/>
    <w:rsid w:val="00AF4BFE"/>
    <w:rsid w:val="00AF60D7"/>
    <w:rsid w:val="00AF61AB"/>
    <w:rsid w:val="00AF6441"/>
    <w:rsid w:val="00AF6672"/>
    <w:rsid w:val="00AF68A3"/>
    <w:rsid w:val="00AF6914"/>
    <w:rsid w:val="00AF6BEF"/>
    <w:rsid w:val="00AF6D4A"/>
    <w:rsid w:val="00AF6F4E"/>
    <w:rsid w:val="00AF706D"/>
    <w:rsid w:val="00AF711C"/>
    <w:rsid w:val="00AF7266"/>
    <w:rsid w:val="00AF78A0"/>
    <w:rsid w:val="00AF78BD"/>
    <w:rsid w:val="00AF78D4"/>
    <w:rsid w:val="00B00353"/>
    <w:rsid w:val="00B0040D"/>
    <w:rsid w:val="00B004C2"/>
    <w:rsid w:val="00B006F2"/>
    <w:rsid w:val="00B00769"/>
    <w:rsid w:val="00B0083B"/>
    <w:rsid w:val="00B00979"/>
    <w:rsid w:val="00B009EC"/>
    <w:rsid w:val="00B00BE9"/>
    <w:rsid w:val="00B00DA0"/>
    <w:rsid w:val="00B01024"/>
    <w:rsid w:val="00B01418"/>
    <w:rsid w:val="00B01424"/>
    <w:rsid w:val="00B014BF"/>
    <w:rsid w:val="00B014C0"/>
    <w:rsid w:val="00B015D9"/>
    <w:rsid w:val="00B01EBE"/>
    <w:rsid w:val="00B028AE"/>
    <w:rsid w:val="00B02F54"/>
    <w:rsid w:val="00B02F9C"/>
    <w:rsid w:val="00B03034"/>
    <w:rsid w:val="00B0318F"/>
    <w:rsid w:val="00B033E1"/>
    <w:rsid w:val="00B03556"/>
    <w:rsid w:val="00B03AEE"/>
    <w:rsid w:val="00B03C08"/>
    <w:rsid w:val="00B03E2E"/>
    <w:rsid w:val="00B04090"/>
    <w:rsid w:val="00B0472D"/>
    <w:rsid w:val="00B048E4"/>
    <w:rsid w:val="00B04AA1"/>
    <w:rsid w:val="00B04AFC"/>
    <w:rsid w:val="00B04C6C"/>
    <w:rsid w:val="00B04FCD"/>
    <w:rsid w:val="00B0548A"/>
    <w:rsid w:val="00B05834"/>
    <w:rsid w:val="00B05B9F"/>
    <w:rsid w:val="00B05BE1"/>
    <w:rsid w:val="00B05DDD"/>
    <w:rsid w:val="00B05E18"/>
    <w:rsid w:val="00B05FC2"/>
    <w:rsid w:val="00B0618E"/>
    <w:rsid w:val="00B06306"/>
    <w:rsid w:val="00B064B7"/>
    <w:rsid w:val="00B067BC"/>
    <w:rsid w:val="00B07150"/>
    <w:rsid w:val="00B0723D"/>
    <w:rsid w:val="00B073DC"/>
    <w:rsid w:val="00B076CA"/>
    <w:rsid w:val="00B07958"/>
    <w:rsid w:val="00B079DE"/>
    <w:rsid w:val="00B07D36"/>
    <w:rsid w:val="00B07DC9"/>
    <w:rsid w:val="00B07DDD"/>
    <w:rsid w:val="00B1006C"/>
    <w:rsid w:val="00B1097A"/>
    <w:rsid w:val="00B10ED6"/>
    <w:rsid w:val="00B11142"/>
    <w:rsid w:val="00B114AB"/>
    <w:rsid w:val="00B117C7"/>
    <w:rsid w:val="00B11AE7"/>
    <w:rsid w:val="00B11EB2"/>
    <w:rsid w:val="00B11F0A"/>
    <w:rsid w:val="00B12070"/>
    <w:rsid w:val="00B12119"/>
    <w:rsid w:val="00B1257C"/>
    <w:rsid w:val="00B127A2"/>
    <w:rsid w:val="00B1299A"/>
    <w:rsid w:val="00B12E52"/>
    <w:rsid w:val="00B12E84"/>
    <w:rsid w:val="00B130D8"/>
    <w:rsid w:val="00B13496"/>
    <w:rsid w:val="00B13662"/>
    <w:rsid w:val="00B13687"/>
    <w:rsid w:val="00B14AF8"/>
    <w:rsid w:val="00B14E5D"/>
    <w:rsid w:val="00B15474"/>
    <w:rsid w:val="00B1593F"/>
    <w:rsid w:val="00B15A21"/>
    <w:rsid w:val="00B15D09"/>
    <w:rsid w:val="00B15E85"/>
    <w:rsid w:val="00B15FA6"/>
    <w:rsid w:val="00B160D0"/>
    <w:rsid w:val="00B163D3"/>
    <w:rsid w:val="00B16425"/>
    <w:rsid w:val="00B168FD"/>
    <w:rsid w:val="00B169F5"/>
    <w:rsid w:val="00B16CB5"/>
    <w:rsid w:val="00B16F89"/>
    <w:rsid w:val="00B1790E"/>
    <w:rsid w:val="00B17C04"/>
    <w:rsid w:val="00B17C57"/>
    <w:rsid w:val="00B17F58"/>
    <w:rsid w:val="00B20133"/>
    <w:rsid w:val="00B2022E"/>
    <w:rsid w:val="00B203AE"/>
    <w:rsid w:val="00B2041E"/>
    <w:rsid w:val="00B20A72"/>
    <w:rsid w:val="00B2106C"/>
    <w:rsid w:val="00B214E7"/>
    <w:rsid w:val="00B2190E"/>
    <w:rsid w:val="00B219FF"/>
    <w:rsid w:val="00B223FA"/>
    <w:rsid w:val="00B224D3"/>
    <w:rsid w:val="00B22AF6"/>
    <w:rsid w:val="00B22EAA"/>
    <w:rsid w:val="00B22F45"/>
    <w:rsid w:val="00B22F50"/>
    <w:rsid w:val="00B23072"/>
    <w:rsid w:val="00B232CA"/>
    <w:rsid w:val="00B2361B"/>
    <w:rsid w:val="00B23663"/>
    <w:rsid w:val="00B23CB4"/>
    <w:rsid w:val="00B23F19"/>
    <w:rsid w:val="00B242BE"/>
    <w:rsid w:val="00B2441F"/>
    <w:rsid w:val="00B24748"/>
    <w:rsid w:val="00B249A5"/>
    <w:rsid w:val="00B24A68"/>
    <w:rsid w:val="00B25668"/>
    <w:rsid w:val="00B25727"/>
    <w:rsid w:val="00B257EF"/>
    <w:rsid w:val="00B2591A"/>
    <w:rsid w:val="00B25E55"/>
    <w:rsid w:val="00B25E67"/>
    <w:rsid w:val="00B25E8C"/>
    <w:rsid w:val="00B25EE4"/>
    <w:rsid w:val="00B260C1"/>
    <w:rsid w:val="00B2618E"/>
    <w:rsid w:val="00B268CD"/>
    <w:rsid w:val="00B26A57"/>
    <w:rsid w:val="00B26D9D"/>
    <w:rsid w:val="00B273A6"/>
    <w:rsid w:val="00B27435"/>
    <w:rsid w:val="00B275F9"/>
    <w:rsid w:val="00B27729"/>
    <w:rsid w:val="00B303BD"/>
    <w:rsid w:val="00B3044D"/>
    <w:rsid w:val="00B305A1"/>
    <w:rsid w:val="00B3063D"/>
    <w:rsid w:val="00B32068"/>
    <w:rsid w:val="00B3206B"/>
    <w:rsid w:val="00B32385"/>
    <w:rsid w:val="00B32494"/>
    <w:rsid w:val="00B32710"/>
    <w:rsid w:val="00B327AB"/>
    <w:rsid w:val="00B328F2"/>
    <w:rsid w:val="00B32B56"/>
    <w:rsid w:val="00B32F45"/>
    <w:rsid w:val="00B339AE"/>
    <w:rsid w:val="00B33DA7"/>
    <w:rsid w:val="00B33DBF"/>
    <w:rsid w:val="00B342DC"/>
    <w:rsid w:val="00B34433"/>
    <w:rsid w:val="00B3451E"/>
    <w:rsid w:val="00B345F5"/>
    <w:rsid w:val="00B346B9"/>
    <w:rsid w:val="00B34785"/>
    <w:rsid w:val="00B34A1A"/>
    <w:rsid w:val="00B34AD3"/>
    <w:rsid w:val="00B34B7E"/>
    <w:rsid w:val="00B34BEF"/>
    <w:rsid w:val="00B34F1E"/>
    <w:rsid w:val="00B34FFD"/>
    <w:rsid w:val="00B3550C"/>
    <w:rsid w:val="00B35B44"/>
    <w:rsid w:val="00B3604A"/>
    <w:rsid w:val="00B361A6"/>
    <w:rsid w:val="00B36A7A"/>
    <w:rsid w:val="00B36E27"/>
    <w:rsid w:val="00B37459"/>
    <w:rsid w:val="00B37517"/>
    <w:rsid w:val="00B37FD2"/>
    <w:rsid w:val="00B400D9"/>
    <w:rsid w:val="00B404B9"/>
    <w:rsid w:val="00B40A4E"/>
    <w:rsid w:val="00B40EFF"/>
    <w:rsid w:val="00B4186E"/>
    <w:rsid w:val="00B41998"/>
    <w:rsid w:val="00B41DB1"/>
    <w:rsid w:val="00B41EF9"/>
    <w:rsid w:val="00B42356"/>
    <w:rsid w:val="00B42B94"/>
    <w:rsid w:val="00B42EA9"/>
    <w:rsid w:val="00B430F1"/>
    <w:rsid w:val="00B43589"/>
    <w:rsid w:val="00B43851"/>
    <w:rsid w:val="00B4399B"/>
    <w:rsid w:val="00B43B8A"/>
    <w:rsid w:val="00B43D95"/>
    <w:rsid w:val="00B43EA1"/>
    <w:rsid w:val="00B44290"/>
    <w:rsid w:val="00B44740"/>
    <w:rsid w:val="00B44F65"/>
    <w:rsid w:val="00B452B1"/>
    <w:rsid w:val="00B45580"/>
    <w:rsid w:val="00B45B97"/>
    <w:rsid w:val="00B4612B"/>
    <w:rsid w:val="00B462BD"/>
    <w:rsid w:val="00B4683B"/>
    <w:rsid w:val="00B469E1"/>
    <w:rsid w:val="00B46B79"/>
    <w:rsid w:val="00B46C13"/>
    <w:rsid w:val="00B46CA7"/>
    <w:rsid w:val="00B46CA9"/>
    <w:rsid w:val="00B46D59"/>
    <w:rsid w:val="00B46FC9"/>
    <w:rsid w:val="00B46FE1"/>
    <w:rsid w:val="00B4711E"/>
    <w:rsid w:val="00B47316"/>
    <w:rsid w:val="00B47BFD"/>
    <w:rsid w:val="00B47F43"/>
    <w:rsid w:val="00B50489"/>
    <w:rsid w:val="00B504A7"/>
    <w:rsid w:val="00B508E2"/>
    <w:rsid w:val="00B50CF4"/>
    <w:rsid w:val="00B5131F"/>
    <w:rsid w:val="00B515FB"/>
    <w:rsid w:val="00B51643"/>
    <w:rsid w:val="00B51A62"/>
    <w:rsid w:val="00B51D1F"/>
    <w:rsid w:val="00B51DE7"/>
    <w:rsid w:val="00B51E50"/>
    <w:rsid w:val="00B52062"/>
    <w:rsid w:val="00B52180"/>
    <w:rsid w:val="00B52763"/>
    <w:rsid w:val="00B52E4B"/>
    <w:rsid w:val="00B52EB9"/>
    <w:rsid w:val="00B52F66"/>
    <w:rsid w:val="00B52F8C"/>
    <w:rsid w:val="00B5342A"/>
    <w:rsid w:val="00B53819"/>
    <w:rsid w:val="00B53984"/>
    <w:rsid w:val="00B53A31"/>
    <w:rsid w:val="00B53BE2"/>
    <w:rsid w:val="00B5429C"/>
    <w:rsid w:val="00B54AED"/>
    <w:rsid w:val="00B54B6C"/>
    <w:rsid w:val="00B54E1C"/>
    <w:rsid w:val="00B54F62"/>
    <w:rsid w:val="00B553C7"/>
    <w:rsid w:val="00B55671"/>
    <w:rsid w:val="00B5615B"/>
    <w:rsid w:val="00B56964"/>
    <w:rsid w:val="00B56BE2"/>
    <w:rsid w:val="00B56CB7"/>
    <w:rsid w:val="00B576C4"/>
    <w:rsid w:val="00B576E6"/>
    <w:rsid w:val="00B57BC0"/>
    <w:rsid w:val="00B60390"/>
    <w:rsid w:val="00B615B3"/>
    <w:rsid w:val="00B6161E"/>
    <w:rsid w:val="00B616F9"/>
    <w:rsid w:val="00B6177E"/>
    <w:rsid w:val="00B617CA"/>
    <w:rsid w:val="00B61C38"/>
    <w:rsid w:val="00B62078"/>
    <w:rsid w:val="00B62139"/>
    <w:rsid w:val="00B6225C"/>
    <w:rsid w:val="00B6236F"/>
    <w:rsid w:val="00B62BD5"/>
    <w:rsid w:val="00B6318F"/>
    <w:rsid w:val="00B639B5"/>
    <w:rsid w:val="00B63E12"/>
    <w:rsid w:val="00B63FC4"/>
    <w:rsid w:val="00B64369"/>
    <w:rsid w:val="00B6499E"/>
    <w:rsid w:val="00B64D00"/>
    <w:rsid w:val="00B64EAE"/>
    <w:rsid w:val="00B64EDE"/>
    <w:rsid w:val="00B65004"/>
    <w:rsid w:val="00B65D52"/>
    <w:rsid w:val="00B65F16"/>
    <w:rsid w:val="00B66463"/>
    <w:rsid w:val="00B6661D"/>
    <w:rsid w:val="00B6665E"/>
    <w:rsid w:val="00B6698A"/>
    <w:rsid w:val="00B66A52"/>
    <w:rsid w:val="00B66ABA"/>
    <w:rsid w:val="00B66C7B"/>
    <w:rsid w:val="00B66E65"/>
    <w:rsid w:val="00B66FE2"/>
    <w:rsid w:val="00B6729A"/>
    <w:rsid w:val="00B67751"/>
    <w:rsid w:val="00B6790B"/>
    <w:rsid w:val="00B67BDE"/>
    <w:rsid w:val="00B67F08"/>
    <w:rsid w:val="00B702CF"/>
    <w:rsid w:val="00B705E5"/>
    <w:rsid w:val="00B70809"/>
    <w:rsid w:val="00B708AD"/>
    <w:rsid w:val="00B70D6F"/>
    <w:rsid w:val="00B7115F"/>
    <w:rsid w:val="00B71993"/>
    <w:rsid w:val="00B71CF4"/>
    <w:rsid w:val="00B71F93"/>
    <w:rsid w:val="00B724B5"/>
    <w:rsid w:val="00B728C5"/>
    <w:rsid w:val="00B72B16"/>
    <w:rsid w:val="00B72D1C"/>
    <w:rsid w:val="00B735D1"/>
    <w:rsid w:val="00B738B6"/>
    <w:rsid w:val="00B74474"/>
    <w:rsid w:val="00B749C8"/>
    <w:rsid w:val="00B74A04"/>
    <w:rsid w:val="00B74A8C"/>
    <w:rsid w:val="00B74E97"/>
    <w:rsid w:val="00B75837"/>
    <w:rsid w:val="00B75E1C"/>
    <w:rsid w:val="00B763DF"/>
    <w:rsid w:val="00B76671"/>
    <w:rsid w:val="00B7687A"/>
    <w:rsid w:val="00B76BD7"/>
    <w:rsid w:val="00B76E8E"/>
    <w:rsid w:val="00B7717E"/>
    <w:rsid w:val="00B771E6"/>
    <w:rsid w:val="00B77220"/>
    <w:rsid w:val="00B77356"/>
    <w:rsid w:val="00B773ED"/>
    <w:rsid w:val="00B77CF2"/>
    <w:rsid w:val="00B77E32"/>
    <w:rsid w:val="00B8028A"/>
    <w:rsid w:val="00B803F7"/>
    <w:rsid w:val="00B805F2"/>
    <w:rsid w:val="00B80C54"/>
    <w:rsid w:val="00B80F3E"/>
    <w:rsid w:val="00B80F6B"/>
    <w:rsid w:val="00B80FBA"/>
    <w:rsid w:val="00B80FE0"/>
    <w:rsid w:val="00B81927"/>
    <w:rsid w:val="00B81B5C"/>
    <w:rsid w:val="00B8216E"/>
    <w:rsid w:val="00B8250C"/>
    <w:rsid w:val="00B8291D"/>
    <w:rsid w:val="00B82A25"/>
    <w:rsid w:val="00B83036"/>
    <w:rsid w:val="00B8317F"/>
    <w:rsid w:val="00B83736"/>
    <w:rsid w:val="00B84037"/>
    <w:rsid w:val="00B844FB"/>
    <w:rsid w:val="00B846AF"/>
    <w:rsid w:val="00B848AC"/>
    <w:rsid w:val="00B849BB"/>
    <w:rsid w:val="00B84AF6"/>
    <w:rsid w:val="00B84F59"/>
    <w:rsid w:val="00B85119"/>
    <w:rsid w:val="00B8516D"/>
    <w:rsid w:val="00B85662"/>
    <w:rsid w:val="00B85CF5"/>
    <w:rsid w:val="00B85DB5"/>
    <w:rsid w:val="00B86079"/>
    <w:rsid w:val="00B866C0"/>
    <w:rsid w:val="00B867A9"/>
    <w:rsid w:val="00B86A71"/>
    <w:rsid w:val="00B86AF6"/>
    <w:rsid w:val="00B87265"/>
    <w:rsid w:val="00B876A0"/>
    <w:rsid w:val="00B878E0"/>
    <w:rsid w:val="00B87D81"/>
    <w:rsid w:val="00B87D9C"/>
    <w:rsid w:val="00B87E84"/>
    <w:rsid w:val="00B903A2"/>
    <w:rsid w:val="00B90557"/>
    <w:rsid w:val="00B91349"/>
    <w:rsid w:val="00B914C4"/>
    <w:rsid w:val="00B915C5"/>
    <w:rsid w:val="00B9190E"/>
    <w:rsid w:val="00B91FE2"/>
    <w:rsid w:val="00B9231C"/>
    <w:rsid w:val="00B9246A"/>
    <w:rsid w:val="00B929DE"/>
    <w:rsid w:val="00B92C61"/>
    <w:rsid w:val="00B92D58"/>
    <w:rsid w:val="00B92DD0"/>
    <w:rsid w:val="00B932EF"/>
    <w:rsid w:val="00B93538"/>
    <w:rsid w:val="00B939B3"/>
    <w:rsid w:val="00B93BB2"/>
    <w:rsid w:val="00B940A2"/>
    <w:rsid w:val="00B94735"/>
    <w:rsid w:val="00B948D8"/>
    <w:rsid w:val="00B94D5B"/>
    <w:rsid w:val="00B94EA6"/>
    <w:rsid w:val="00B9504F"/>
    <w:rsid w:val="00B951A2"/>
    <w:rsid w:val="00B957C7"/>
    <w:rsid w:val="00B95A37"/>
    <w:rsid w:val="00B95CFA"/>
    <w:rsid w:val="00B9618F"/>
    <w:rsid w:val="00B962F2"/>
    <w:rsid w:val="00B9756D"/>
    <w:rsid w:val="00B975CC"/>
    <w:rsid w:val="00B97C3E"/>
    <w:rsid w:val="00B97C82"/>
    <w:rsid w:val="00BA0165"/>
    <w:rsid w:val="00BA025E"/>
    <w:rsid w:val="00BA05FC"/>
    <w:rsid w:val="00BA0909"/>
    <w:rsid w:val="00BA0BD0"/>
    <w:rsid w:val="00BA18EB"/>
    <w:rsid w:val="00BA1AC8"/>
    <w:rsid w:val="00BA252D"/>
    <w:rsid w:val="00BA2582"/>
    <w:rsid w:val="00BA27A8"/>
    <w:rsid w:val="00BA2F05"/>
    <w:rsid w:val="00BA36B1"/>
    <w:rsid w:val="00BA3843"/>
    <w:rsid w:val="00BA3BDB"/>
    <w:rsid w:val="00BA3C89"/>
    <w:rsid w:val="00BA3E3C"/>
    <w:rsid w:val="00BA41D2"/>
    <w:rsid w:val="00BA4268"/>
    <w:rsid w:val="00BA445D"/>
    <w:rsid w:val="00BA44B3"/>
    <w:rsid w:val="00BA47D6"/>
    <w:rsid w:val="00BA484A"/>
    <w:rsid w:val="00BA496F"/>
    <w:rsid w:val="00BA499F"/>
    <w:rsid w:val="00BA4C92"/>
    <w:rsid w:val="00BA5323"/>
    <w:rsid w:val="00BA56E3"/>
    <w:rsid w:val="00BA59E6"/>
    <w:rsid w:val="00BA5BE3"/>
    <w:rsid w:val="00BA647F"/>
    <w:rsid w:val="00BA649A"/>
    <w:rsid w:val="00BA71CF"/>
    <w:rsid w:val="00BA73BD"/>
    <w:rsid w:val="00BA75C5"/>
    <w:rsid w:val="00BA7D14"/>
    <w:rsid w:val="00BA7EA0"/>
    <w:rsid w:val="00BA7FA8"/>
    <w:rsid w:val="00BB00A5"/>
    <w:rsid w:val="00BB02E9"/>
    <w:rsid w:val="00BB0787"/>
    <w:rsid w:val="00BB0D4F"/>
    <w:rsid w:val="00BB114A"/>
    <w:rsid w:val="00BB134F"/>
    <w:rsid w:val="00BB13B0"/>
    <w:rsid w:val="00BB14F6"/>
    <w:rsid w:val="00BB1586"/>
    <w:rsid w:val="00BB1C3E"/>
    <w:rsid w:val="00BB1F1C"/>
    <w:rsid w:val="00BB213E"/>
    <w:rsid w:val="00BB22DF"/>
    <w:rsid w:val="00BB2798"/>
    <w:rsid w:val="00BB281B"/>
    <w:rsid w:val="00BB2B76"/>
    <w:rsid w:val="00BB2FD7"/>
    <w:rsid w:val="00BB3176"/>
    <w:rsid w:val="00BB36B1"/>
    <w:rsid w:val="00BB3CFA"/>
    <w:rsid w:val="00BB4357"/>
    <w:rsid w:val="00BB43DF"/>
    <w:rsid w:val="00BB4423"/>
    <w:rsid w:val="00BB4590"/>
    <w:rsid w:val="00BB491B"/>
    <w:rsid w:val="00BB498E"/>
    <w:rsid w:val="00BB4C11"/>
    <w:rsid w:val="00BB4C15"/>
    <w:rsid w:val="00BB4F44"/>
    <w:rsid w:val="00BB54EC"/>
    <w:rsid w:val="00BB56B6"/>
    <w:rsid w:val="00BB5BA4"/>
    <w:rsid w:val="00BB5C58"/>
    <w:rsid w:val="00BB5D7A"/>
    <w:rsid w:val="00BB607A"/>
    <w:rsid w:val="00BB63BC"/>
    <w:rsid w:val="00BB6988"/>
    <w:rsid w:val="00BB6B65"/>
    <w:rsid w:val="00BB6C2E"/>
    <w:rsid w:val="00BB718B"/>
    <w:rsid w:val="00BB788F"/>
    <w:rsid w:val="00BB7DE5"/>
    <w:rsid w:val="00BB7EEA"/>
    <w:rsid w:val="00BB7F52"/>
    <w:rsid w:val="00BC07E0"/>
    <w:rsid w:val="00BC0CC1"/>
    <w:rsid w:val="00BC1364"/>
    <w:rsid w:val="00BC13A4"/>
    <w:rsid w:val="00BC150A"/>
    <w:rsid w:val="00BC1734"/>
    <w:rsid w:val="00BC1BDF"/>
    <w:rsid w:val="00BC1E14"/>
    <w:rsid w:val="00BC2127"/>
    <w:rsid w:val="00BC2450"/>
    <w:rsid w:val="00BC2B56"/>
    <w:rsid w:val="00BC3AEB"/>
    <w:rsid w:val="00BC3B31"/>
    <w:rsid w:val="00BC456A"/>
    <w:rsid w:val="00BC4596"/>
    <w:rsid w:val="00BC464C"/>
    <w:rsid w:val="00BC4B0F"/>
    <w:rsid w:val="00BC4B3B"/>
    <w:rsid w:val="00BC4D7D"/>
    <w:rsid w:val="00BC505D"/>
    <w:rsid w:val="00BC5603"/>
    <w:rsid w:val="00BC580D"/>
    <w:rsid w:val="00BC5934"/>
    <w:rsid w:val="00BC5B65"/>
    <w:rsid w:val="00BC6456"/>
    <w:rsid w:val="00BC6785"/>
    <w:rsid w:val="00BC6871"/>
    <w:rsid w:val="00BC6D60"/>
    <w:rsid w:val="00BC7435"/>
    <w:rsid w:val="00BC7A46"/>
    <w:rsid w:val="00BC7B58"/>
    <w:rsid w:val="00BC7D16"/>
    <w:rsid w:val="00BC7F1E"/>
    <w:rsid w:val="00BD0134"/>
    <w:rsid w:val="00BD03D3"/>
    <w:rsid w:val="00BD0521"/>
    <w:rsid w:val="00BD05F0"/>
    <w:rsid w:val="00BD0C82"/>
    <w:rsid w:val="00BD175C"/>
    <w:rsid w:val="00BD1A02"/>
    <w:rsid w:val="00BD2714"/>
    <w:rsid w:val="00BD2769"/>
    <w:rsid w:val="00BD2ADA"/>
    <w:rsid w:val="00BD2B93"/>
    <w:rsid w:val="00BD2FEE"/>
    <w:rsid w:val="00BD2FFC"/>
    <w:rsid w:val="00BD3377"/>
    <w:rsid w:val="00BD33F0"/>
    <w:rsid w:val="00BD3F65"/>
    <w:rsid w:val="00BD41EE"/>
    <w:rsid w:val="00BD461E"/>
    <w:rsid w:val="00BD465F"/>
    <w:rsid w:val="00BD4A09"/>
    <w:rsid w:val="00BD4C6E"/>
    <w:rsid w:val="00BD4D1D"/>
    <w:rsid w:val="00BD4E33"/>
    <w:rsid w:val="00BD5442"/>
    <w:rsid w:val="00BD5479"/>
    <w:rsid w:val="00BD5533"/>
    <w:rsid w:val="00BD6008"/>
    <w:rsid w:val="00BD61DE"/>
    <w:rsid w:val="00BD6331"/>
    <w:rsid w:val="00BD674A"/>
    <w:rsid w:val="00BD68EF"/>
    <w:rsid w:val="00BD6D73"/>
    <w:rsid w:val="00BD6E88"/>
    <w:rsid w:val="00BD7990"/>
    <w:rsid w:val="00BD7C13"/>
    <w:rsid w:val="00BD7CFC"/>
    <w:rsid w:val="00BD7EC4"/>
    <w:rsid w:val="00BE0424"/>
    <w:rsid w:val="00BE0871"/>
    <w:rsid w:val="00BE0CEE"/>
    <w:rsid w:val="00BE0E2F"/>
    <w:rsid w:val="00BE0E45"/>
    <w:rsid w:val="00BE1392"/>
    <w:rsid w:val="00BE13AD"/>
    <w:rsid w:val="00BE1604"/>
    <w:rsid w:val="00BE1673"/>
    <w:rsid w:val="00BE18B5"/>
    <w:rsid w:val="00BE1C7E"/>
    <w:rsid w:val="00BE1EFF"/>
    <w:rsid w:val="00BE2395"/>
    <w:rsid w:val="00BE26CC"/>
    <w:rsid w:val="00BE29AB"/>
    <w:rsid w:val="00BE2DE7"/>
    <w:rsid w:val="00BE3220"/>
    <w:rsid w:val="00BE334C"/>
    <w:rsid w:val="00BE34CA"/>
    <w:rsid w:val="00BE35D9"/>
    <w:rsid w:val="00BE3650"/>
    <w:rsid w:val="00BE36C2"/>
    <w:rsid w:val="00BE3A17"/>
    <w:rsid w:val="00BE3FD1"/>
    <w:rsid w:val="00BE43F2"/>
    <w:rsid w:val="00BE4406"/>
    <w:rsid w:val="00BE4C1D"/>
    <w:rsid w:val="00BE56EE"/>
    <w:rsid w:val="00BE58A1"/>
    <w:rsid w:val="00BE5942"/>
    <w:rsid w:val="00BE59F7"/>
    <w:rsid w:val="00BE5C28"/>
    <w:rsid w:val="00BE63E8"/>
    <w:rsid w:val="00BE64C6"/>
    <w:rsid w:val="00BE67BD"/>
    <w:rsid w:val="00BE6A88"/>
    <w:rsid w:val="00BE6AA1"/>
    <w:rsid w:val="00BE710E"/>
    <w:rsid w:val="00BE71EF"/>
    <w:rsid w:val="00BE7326"/>
    <w:rsid w:val="00BE7453"/>
    <w:rsid w:val="00BE7745"/>
    <w:rsid w:val="00BE7DB3"/>
    <w:rsid w:val="00BE7ED5"/>
    <w:rsid w:val="00BF021C"/>
    <w:rsid w:val="00BF0333"/>
    <w:rsid w:val="00BF03EC"/>
    <w:rsid w:val="00BF11E0"/>
    <w:rsid w:val="00BF15BF"/>
    <w:rsid w:val="00BF243D"/>
    <w:rsid w:val="00BF248E"/>
    <w:rsid w:val="00BF2747"/>
    <w:rsid w:val="00BF274A"/>
    <w:rsid w:val="00BF27CD"/>
    <w:rsid w:val="00BF291B"/>
    <w:rsid w:val="00BF3113"/>
    <w:rsid w:val="00BF37B1"/>
    <w:rsid w:val="00BF3C42"/>
    <w:rsid w:val="00BF4172"/>
    <w:rsid w:val="00BF41E4"/>
    <w:rsid w:val="00BF4FEC"/>
    <w:rsid w:val="00BF53EC"/>
    <w:rsid w:val="00BF5740"/>
    <w:rsid w:val="00BF58E2"/>
    <w:rsid w:val="00BF5A63"/>
    <w:rsid w:val="00BF5D55"/>
    <w:rsid w:val="00BF6261"/>
    <w:rsid w:val="00BF64FB"/>
    <w:rsid w:val="00BF680A"/>
    <w:rsid w:val="00BF68B9"/>
    <w:rsid w:val="00BF69DF"/>
    <w:rsid w:val="00BF6BCC"/>
    <w:rsid w:val="00BF6FC9"/>
    <w:rsid w:val="00BF7019"/>
    <w:rsid w:val="00BF76C6"/>
    <w:rsid w:val="00BF7894"/>
    <w:rsid w:val="00BF7943"/>
    <w:rsid w:val="00BF79F9"/>
    <w:rsid w:val="00BF7D9D"/>
    <w:rsid w:val="00BF7DA4"/>
    <w:rsid w:val="00BF7EBE"/>
    <w:rsid w:val="00BF7FA5"/>
    <w:rsid w:val="00C00251"/>
    <w:rsid w:val="00C0062C"/>
    <w:rsid w:val="00C00DC7"/>
    <w:rsid w:val="00C0160D"/>
    <w:rsid w:val="00C01A51"/>
    <w:rsid w:val="00C01D7A"/>
    <w:rsid w:val="00C01E51"/>
    <w:rsid w:val="00C01FC1"/>
    <w:rsid w:val="00C02253"/>
    <w:rsid w:val="00C0229A"/>
    <w:rsid w:val="00C02301"/>
    <w:rsid w:val="00C024D1"/>
    <w:rsid w:val="00C0328E"/>
    <w:rsid w:val="00C037A1"/>
    <w:rsid w:val="00C03867"/>
    <w:rsid w:val="00C03952"/>
    <w:rsid w:val="00C03A7B"/>
    <w:rsid w:val="00C040F7"/>
    <w:rsid w:val="00C0412A"/>
    <w:rsid w:val="00C04331"/>
    <w:rsid w:val="00C0503D"/>
    <w:rsid w:val="00C051B3"/>
    <w:rsid w:val="00C05D81"/>
    <w:rsid w:val="00C060B0"/>
    <w:rsid w:val="00C06142"/>
    <w:rsid w:val="00C063C0"/>
    <w:rsid w:val="00C065A5"/>
    <w:rsid w:val="00C0697A"/>
    <w:rsid w:val="00C06AE4"/>
    <w:rsid w:val="00C06B5E"/>
    <w:rsid w:val="00C0701B"/>
    <w:rsid w:val="00C0751E"/>
    <w:rsid w:val="00C0797C"/>
    <w:rsid w:val="00C07CBD"/>
    <w:rsid w:val="00C1009C"/>
    <w:rsid w:val="00C10B21"/>
    <w:rsid w:val="00C10EB4"/>
    <w:rsid w:val="00C11106"/>
    <w:rsid w:val="00C111E9"/>
    <w:rsid w:val="00C11237"/>
    <w:rsid w:val="00C115C7"/>
    <w:rsid w:val="00C11F74"/>
    <w:rsid w:val="00C12303"/>
    <w:rsid w:val="00C1230D"/>
    <w:rsid w:val="00C12DDB"/>
    <w:rsid w:val="00C131F9"/>
    <w:rsid w:val="00C13229"/>
    <w:rsid w:val="00C1357B"/>
    <w:rsid w:val="00C1365D"/>
    <w:rsid w:val="00C13945"/>
    <w:rsid w:val="00C13B69"/>
    <w:rsid w:val="00C13C48"/>
    <w:rsid w:val="00C13F6D"/>
    <w:rsid w:val="00C1408C"/>
    <w:rsid w:val="00C14240"/>
    <w:rsid w:val="00C146C8"/>
    <w:rsid w:val="00C14907"/>
    <w:rsid w:val="00C1492E"/>
    <w:rsid w:val="00C1493F"/>
    <w:rsid w:val="00C14CE6"/>
    <w:rsid w:val="00C14D51"/>
    <w:rsid w:val="00C14E7D"/>
    <w:rsid w:val="00C151E7"/>
    <w:rsid w:val="00C15306"/>
    <w:rsid w:val="00C15478"/>
    <w:rsid w:val="00C15669"/>
    <w:rsid w:val="00C1594B"/>
    <w:rsid w:val="00C15F3B"/>
    <w:rsid w:val="00C162BA"/>
    <w:rsid w:val="00C1652E"/>
    <w:rsid w:val="00C16C6F"/>
    <w:rsid w:val="00C16EB4"/>
    <w:rsid w:val="00C174D3"/>
    <w:rsid w:val="00C17537"/>
    <w:rsid w:val="00C178CD"/>
    <w:rsid w:val="00C17B36"/>
    <w:rsid w:val="00C17CF2"/>
    <w:rsid w:val="00C20020"/>
    <w:rsid w:val="00C201BA"/>
    <w:rsid w:val="00C20521"/>
    <w:rsid w:val="00C205F9"/>
    <w:rsid w:val="00C210C7"/>
    <w:rsid w:val="00C21BED"/>
    <w:rsid w:val="00C21F2E"/>
    <w:rsid w:val="00C21FB0"/>
    <w:rsid w:val="00C22150"/>
    <w:rsid w:val="00C22167"/>
    <w:rsid w:val="00C22173"/>
    <w:rsid w:val="00C22337"/>
    <w:rsid w:val="00C22631"/>
    <w:rsid w:val="00C22667"/>
    <w:rsid w:val="00C2268D"/>
    <w:rsid w:val="00C23369"/>
    <w:rsid w:val="00C2365B"/>
    <w:rsid w:val="00C2365F"/>
    <w:rsid w:val="00C237B4"/>
    <w:rsid w:val="00C2390C"/>
    <w:rsid w:val="00C23E3B"/>
    <w:rsid w:val="00C2484E"/>
    <w:rsid w:val="00C2537E"/>
    <w:rsid w:val="00C25A4E"/>
    <w:rsid w:val="00C25D1F"/>
    <w:rsid w:val="00C260D7"/>
    <w:rsid w:val="00C26D4A"/>
    <w:rsid w:val="00C27264"/>
    <w:rsid w:val="00C2755E"/>
    <w:rsid w:val="00C27851"/>
    <w:rsid w:val="00C2793F"/>
    <w:rsid w:val="00C27D92"/>
    <w:rsid w:val="00C27EEE"/>
    <w:rsid w:val="00C307B4"/>
    <w:rsid w:val="00C308C4"/>
    <w:rsid w:val="00C30B75"/>
    <w:rsid w:val="00C30BB9"/>
    <w:rsid w:val="00C30D82"/>
    <w:rsid w:val="00C30DDD"/>
    <w:rsid w:val="00C3125C"/>
    <w:rsid w:val="00C3140E"/>
    <w:rsid w:val="00C3149B"/>
    <w:rsid w:val="00C31624"/>
    <w:rsid w:val="00C318BD"/>
    <w:rsid w:val="00C31E86"/>
    <w:rsid w:val="00C31F41"/>
    <w:rsid w:val="00C32713"/>
    <w:rsid w:val="00C32AD3"/>
    <w:rsid w:val="00C32E28"/>
    <w:rsid w:val="00C32E68"/>
    <w:rsid w:val="00C332AA"/>
    <w:rsid w:val="00C334F8"/>
    <w:rsid w:val="00C33739"/>
    <w:rsid w:val="00C339AB"/>
    <w:rsid w:val="00C33C8D"/>
    <w:rsid w:val="00C33CB6"/>
    <w:rsid w:val="00C33DD8"/>
    <w:rsid w:val="00C34085"/>
    <w:rsid w:val="00C340CE"/>
    <w:rsid w:val="00C34456"/>
    <w:rsid w:val="00C344D5"/>
    <w:rsid w:val="00C34666"/>
    <w:rsid w:val="00C34FA4"/>
    <w:rsid w:val="00C35815"/>
    <w:rsid w:val="00C358BC"/>
    <w:rsid w:val="00C35A2B"/>
    <w:rsid w:val="00C35C2C"/>
    <w:rsid w:val="00C364E2"/>
    <w:rsid w:val="00C3677C"/>
    <w:rsid w:val="00C36FF7"/>
    <w:rsid w:val="00C37593"/>
    <w:rsid w:val="00C37692"/>
    <w:rsid w:val="00C37D61"/>
    <w:rsid w:val="00C401B5"/>
    <w:rsid w:val="00C404F4"/>
    <w:rsid w:val="00C4057B"/>
    <w:rsid w:val="00C405C1"/>
    <w:rsid w:val="00C4066D"/>
    <w:rsid w:val="00C4073D"/>
    <w:rsid w:val="00C40969"/>
    <w:rsid w:val="00C40B2F"/>
    <w:rsid w:val="00C40DE0"/>
    <w:rsid w:val="00C40E32"/>
    <w:rsid w:val="00C418B8"/>
    <w:rsid w:val="00C423B8"/>
    <w:rsid w:val="00C4257D"/>
    <w:rsid w:val="00C42920"/>
    <w:rsid w:val="00C434EF"/>
    <w:rsid w:val="00C43813"/>
    <w:rsid w:val="00C43819"/>
    <w:rsid w:val="00C43A4E"/>
    <w:rsid w:val="00C43B40"/>
    <w:rsid w:val="00C43D48"/>
    <w:rsid w:val="00C44C8D"/>
    <w:rsid w:val="00C44FAF"/>
    <w:rsid w:val="00C45291"/>
    <w:rsid w:val="00C45599"/>
    <w:rsid w:val="00C456A5"/>
    <w:rsid w:val="00C45B72"/>
    <w:rsid w:val="00C45B8F"/>
    <w:rsid w:val="00C4675B"/>
    <w:rsid w:val="00C46B7A"/>
    <w:rsid w:val="00C46DCE"/>
    <w:rsid w:val="00C4703B"/>
    <w:rsid w:val="00C470FB"/>
    <w:rsid w:val="00C4738D"/>
    <w:rsid w:val="00C4769E"/>
    <w:rsid w:val="00C47CFD"/>
    <w:rsid w:val="00C47ECA"/>
    <w:rsid w:val="00C506F3"/>
    <w:rsid w:val="00C5088C"/>
    <w:rsid w:val="00C516EB"/>
    <w:rsid w:val="00C51BC7"/>
    <w:rsid w:val="00C523BB"/>
    <w:rsid w:val="00C52481"/>
    <w:rsid w:val="00C525FC"/>
    <w:rsid w:val="00C529F5"/>
    <w:rsid w:val="00C5328C"/>
    <w:rsid w:val="00C53563"/>
    <w:rsid w:val="00C5357C"/>
    <w:rsid w:val="00C5384B"/>
    <w:rsid w:val="00C53853"/>
    <w:rsid w:val="00C5414B"/>
    <w:rsid w:val="00C5423B"/>
    <w:rsid w:val="00C54626"/>
    <w:rsid w:val="00C54779"/>
    <w:rsid w:val="00C54CE8"/>
    <w:rsid w:val="00C550BA"/>
    <w:rsid w:val="00C55358"/>
    <w:rsid w:val="00C555F5"/>
    <w:rsid w:val="00C55BE5"/>
    <w:rsid w:val="00C55CB5"/>
    <w:rsid w:val="00C55CE0"/>
    <w:rsid w:val="00C55FC5"/>
    <w:rsid w:val="00C56030"/>
    <w:rsid w:val="00C56103"/>
    <w:rsid w:val="00C56351"/>
    <w:rsid w:val="00C56508"/>
    <w:rsid w:val="00C56789"/>
    <w:rsid w:val="00C567B8"/>
    <w:rsid w:val="00C56866"/>
    <w:rsid w:val="00C56EBA"/>
    <w:rsid w:val="00C56FFF"/>
    <w:rsid w:val="00C57048"/>
    <w:rsid w:val="00C573C7"/>
    <w:rsid w:val="00C5740C"/>
    <w:rsid w:val="00C5754D"/>
    <w:rsid w:val="00C575C2"/>
    <w:rsid w:val="00C576AB"/>
    <w:rsid w:val="00C5780C"/>
    <w:rsid w:val="00C57893"/>
    <w:rsid w:val="00C57D7A"/>
    <w:rsid w:val="00C57E68"/>
    <w:rsid w:val="00C60382"/>
    <w:rsid w:val="00C60575"/>
    <w:rsid w:val="00C60D8F"/>
    <w:rsid w:val="00C6109E"/>
    <w:rsid w:val="00C610C2"/>
    <w:rsid w:val="00C61590"/>
    <w:rsid w:val="00C615BE"/>
    <w:rsid w:val="00C61AF8"/>
    <w:rsid w:val="00C61B84"/>
    <w:rsid w:val="00C61CD1"/>
    <w:rsid w:val="00C61DA1"/>
    <w:rsid w:val="00C620CB"/>
    <w:rsid w:val="00C62244"/>
    <w:rsid w:val="00C622B3"/>
    <w:rsid w:val="00C6282B"/>
    <w:rsid w:val="00C6284A"/>
    <w:rsid w:val="00C635B3"/>
    <w:rsid w:val="00C639A6"/>
    <w:rsid w:val="00C63A91"/>
    <w:rsid w:val="00C63CC7"/>
    <w:rsid w:val="00C63FAC"/>
    <w:rsid w:val="00C6407A"/>
    <w:rsid w:val="00C642D5"/>
    <w:rsid w:val="00C64A67"/>
    <w:rsid w:val="00C64AAA"/>
    <w:rsid w:val="00C64AED"/>
    <w:rsid w:val="00C650F1"/>
    <w:rsid w:val="00C65448"/>
    <w:rsid w:val="00C65680"/>
    <w:rsid w:val="00C659A9"/>
    <w:rsid w:val="00C65BDF"/>
    <w:rsid w:val="00C65C67"/>
    <w:rsid w:val="00C65F43"/>
    <w:rsid w:val="00C66075"/>
    <w:rsid w:val="00C6655B"/>
    <w:rsid w:val="00C665F4"/>
    <w:rsid w:val="00C66A88"/>
    <w:rsid w:val="00C66CC0"/>
    <w:rsid w:val="00C66CCB"/>
    <w:rsid w:val="00C66D89"/>
    <w:rsid w:val="00C66DEF"/>
    <w:rsid w:val="00C66E6F"/>
    <w:rsid w:val="00C67272"/>
    <w:rsid w:val="00C673F3"/>
    <w:rsid w:val="00C67943"/>
    <w:rsid w:val="00C679DA"/>
    <w:rsid w:val="00C67A38"/>
    <w:rsid w:val="00C67F83"/>
    <w:rsid w:val="00C7001A"/>
    <w:rsid w:val="00C7009C"/>
    <w:rsid w:val="00C70369"/>
    <w:rsid w:val="00C70CD9"/>
    <w:rsid w:val="00C71307"/>
    <w:rsid w:val="00C716DD"/>
    <w:rsid w:val="00C717E5"/>
    <w:rsid w:val="00C71846"/>
    <w:rsid w:val="00C71870"/>
    <w:rsid w:val="00C71FB1"/>
    <w:rsid w:val="00C72291"/>
    <w:rsid w:val="00C72410"/>
    <w:rsid w:val="00C72489"/>
    <w:rsid w:val="00C72854"/>
    <w:rsid w:val="00C72BA6"/>
    <w:rsid w:val="00C72C59"/>
    <w:rsid w:val="00C72D51"/>
    <w:rsid w:val="00C730D9"/>
    <w:rsid w:val="00C73303"/>
    <w:rsid w:val="00C7375D"/>
    <w:rsid w:val="00C73823"/>
    <w:rsid w:val="00C738E7"/>
    <w:rsid w:val="00C73946"/>
    <w:rsid w:val="00C73C55"/>
    <w:rsid w:val="00C73EA0"/>
    <w:rsid w:val="00C7401E"/>
    <w:rsid w:val="00C74349"/>
    <w:rsid w:val="00C74382"/>
    <w:rsid w:val="00C74867"/>
    <w:rsid w:val="00C7493A"/>
    <w:rsid w:val="00C749AF"/>
    <w:rsid w:val="00C74B22"/>
    <w:rsid w:val="00C750E1"/>
    <w:rsid w:val="00C750E7"/>
    <w:rsid w:val="00C7537B"/>
    <w:rsid w:val="00C75389"/>
    <w:rsid w:val="00C753BD"/>
    <w:rsid w:val="00C756FB"/>
    <w:rsid w:val="00C760AD"/>
    <w:rsid w:val="00C761DC"/>
    <w:rsid w:val="00C765F1"/>
    <w:rsid w:val="00C76639"/>
    <w:rsid w:val="00C7688D"/>
    <w:rsid w:val="00C76E73"/>
    <w:rsid w:val="00C76F56"/>
    <w:rsid w:val="00C76F83"/>
    <w:rsid w:val="00C77327"/>
    <w:rsid w:val="00C77872"/>
    <w:rsid w:val="00C77B20"/>
    <w:rsid w:val="00C77CB8"/>
    <w:rsid w:val="00C800C1"/>
    <w:rsid w:val="00C800E7"/>
    <w:rsid w:val="00C8029B"/>
    <w:rsid w:val="00C807C4"/>
    <w:rsid w:val="00C80BFC"/>
    <w:rsid w:val="00C80D05"/>
    <w:rsid w:val="00C80E94"/>
    <w:rsid w:val="00C815FE"/>
    <w:rsid w:val="00C8174A"/>
    <w:rsid w:val="00C81786"/>
    <w:rsid w:val="00C81961"/>
    <w:rsid w:val="00C81AFC"/>
    <w:rsid w:val="00C81DEA"/>
    <w:rsid w:val="00C822F0"/>
    <w:rsid w:val="00C8272E"/>
    <w:rsid w:val="00C82F05"/>
    <w:rsid w:val="00C8334B"/>
    <w:rsid w:val="00C839D5"/>
    <w:rsid w:val="00C83C0E"/>
    <w:rsid w:val="00C83EB9"/>
    <w:rsid w:val="00C84073"/>
    <w:rsid w:val="00C84871"/>
    <w:rsid w:val="00C848FB"/>
    <w:rsid w:val="00C851F8"/>
    <w:rsid w:val="00C853D9"/>
    <w:rsid w:val="00C855A0"/>
    <w:rsid w:val="00C85A05"/>
    <w:rsid w:val="00C85CC8"/>
    <w:rsid w:val="00C85D0E"/>
    <w:rsid w:val="00C85F76"/>
    <w:rsid w:val="00C860D1"/>
    <w:rsid w:val="00C86548"/>
    <w:rsid w:val="00C870F1"/>
    <w:rsid w:val="00C87131"/>
    <w:rsid w:val="00C87517"/>
    <w:rsid w:val="00C87530"/>
    <w:rsid w:val="00C87553"/>
    <w:rsid w:val="00C87E74"/>
    <w:rsid w:val="00C906A6"/>
    <w:rsid w:val="00C9072C"/>
    <w:rsid w:val="00C90EA8"/>
    <w:rsid w:val="00C90F30"/>
    <w:rsid w:val="00C91585"/>
    <w:rsid w:val="00C91796"/>
    <w:rsid w:val="00C917C8"/>
    <w:rsid w:val="00C918A1"/>
    <w:rsid w:val="00C91A30"/>
    <w:rsid w:val="00C92163"/>
    <w:rsid w:val="00C927F3"/>
    <w:rsid w:val="00C933BD"/>
    <w:rsid w:val="00C935DD"/>
    <w:rsid w:val="00C936E6"/>
    <w:rsid w:val="00C93E29"/>
    <w:rsid w:val="00C940BF"/>
    <w:rsid w:val="00C94154"/>
    <w:rsid w:val="00C941A1"/>
    <w:rsid w:val="00C94493"/>
    <w:rsid w:val="00C944B6"/>
    <w:rsid w:val="00C946E7"/>
    <w:rsid w:val="00C94894"/>
    <w:rsid w:val="00C94A9D"/>
    <w:rsid w:val="00C94C01"/>
    <w:rsid w:val="00C94C88"/>
    <w:rsid w:val="00C94F82"/>
    <w:rsid w:val="00C94FCA"/>
    <w:rsid w:val="00C9516B"/>
    <w:rsid w:val="00C9517D"/>
    <w:rsid w:val="00C95440"/>
    <w:rsid w:val="00C95840"/>
    <w:rsid w:val="00C95A8C"/>
    <w:rsid w:val="00C95B7D"/>
    <w:rsid w:val="00C95D04"/>
    <w:rsid w:val="00C95D56"/>
    <w:rsid w:val="00C96245"/>
    <w:rsid w:val="00C96639"/>
    <w:rsid w:val="00C96A8D"/>
    <w:rsid w:val="00C96B1A"/>
    <w:rsid w:val="00C96BF2"/>
    <w:rsid w:val="00C97012"/>
    <w:rsid w:val="00C976E2"/>
    <w:rsid w:val="00C97C80"/>
    <w:rsid w:val="00C97E1D"/>
    <w:rsid w:val="00CA03BA"/>
    <w:rsid w:val="00CA06D2"/>
    <w:rsid w:val="00CA0DC1"/>
    <w:rsid w:val="00CA0F74"/>
    <w:rsid w:val="00CA1207"/>
    <w:rsid w:val="00CA14D4"/>
    <w:rsid w:val="00CA1796"/>
    <w:rsid w:val="00CA186D"/>
    <w:rsid w:val="00CA18AD"/>
    <w:rsid w:val="00CA1AE9"/>
    <w:rsid w:val="00CA1C32"/>
    <w:rsid w:val="00CA223C"/>
    <w:rsid w:val="00CA226A"/>
    <w:rsid w:val="00CA23F6"/>
    <w:rsid w:val="00CA2706"/>
    <w:rsid w:val="00CA27CF"/>
    <w:rsid w:val="00CA2929"/>
    <w:rsid w:val="00CA2C49"/>
    <w:rsid w:val="00CA2C53"/>
    <w:rsid w:val="00CA2F21"/>
    <w:rsid w:val="00CA337D"/>
    <w:rsid w:val="00CA3919"/>
    <w:rsid w:val="00CA4046"/>
    <w:rsid w:val="00CA484C"/>
    <w:rsid w:val="00CA4870"/>
    <w:rsid w:val="00CA494B"/>
    <w:rsid w:val="00CA4B13"/>
    <w:rsid w:val="00CA4DA7"/>
    <w:rsid w:val="00CA5427"/>
    <w:rsid w:val="00CA580F"/>
    <w:rsid w:val="00CA5895"/>
    <w:rsid w:val="00CA58CA"/>
    <w:rsid w:val="00CA59C3"/>
    <w:rsid w:val="00CA5ADA"/>
    <w:rsid w:val="00CA6207"/>
    <w:rsid w:val="00CA6216"/>
    <w:rsid w:val="00CA65BD"/>
    <w:rsid w:val="00CA692E"/>
    <w:rsid w:val="00CA6966"/>
    <w:rsid w:val="00CA71E7"/>
    <w:rsid w:val="00CA736E"/>
    <w:rsid w:val="00CA748B"/>
    <w:rsid w:val="00CA7767"/>
    <w:rsid w:val="00CA78D0"/>
    <w:rsid w:val="00CA7AFB"/>
    <w:rsid w:val="00CA7B75"/>
    <w:rsid w:val="00CB02CD"/>
    <w:rsid w:val="00CB09B3"/>
    <w:rsid w:val="00CB0CD9"/>
    <w:rsid w:val="00CB0F90"/>
    <w:rsid w:val="00CB13C2"/>
    <w:rsid w:val="00CB16F1"/>
    <w:rsid w:val="00CB1A91"/>
    <w:rsid w:val="00CB1EA4"/>
    <w:rsid w:val="00CB1F5E"/>
    <w:rsid w:val="00CB1F86"/>
    <w:rsid w:val="00CB20D6"/>
    <w:rsid w:val="00CB210C"/>
    <w:rsid w:val="00CB23ED"/>
    <w:rsid w:val="00CB286F"/>
    <w:rsid w:val="00CB2B4B"/>
    <w:rsid w:val="00CB2D20"/>
    <w:rsid w:val="00CB2D5D"/>
    <w:rsid w:val="00CB2F0C"/>
    <w:rsid w:val="00CB32AF"/>
    <w:rsid w:val="00CB380D"/>
    <w:rsid w:val="00CB3B88"/>
    <w:rsid w:val="00CB4426"/>
    <w:rsid w:val="00CB457B"/>
    <w:rsid w:val="00CB45D6"/>
    <w:rsid w:val="00CB4813"/>
    <w:rsid w:val="00CB4960"/>
    <w:rsid w:val="00CB4B62"/>
    <w:rsid w:val="00CB4BE0"/>
    <w:rsid w:val="00CB4CD2"/>
    <w:rsid w:val="00CB4ECD"/>
    <w:rsid w:val="00CB4F0F"/>
    <w:rsid w:val="00CB5492"/>
    <w:rsid w:val="00CB579C"/>
    <w:rsid w:val="00CB5863"/>
    <w:rsid w:val="00CB5A98"/>
    <w:rsid w:val="00CB5AF9"/>
    <w:rsid w:val="00CB5C18"/>
    <w:rsid w:val="00CB5C68"/>
    <w:rsid w:val="00CB618B"/>
    <w:rsid w:val="00CB648D"/>
    <w:rsid w:val="00CB6B43"/>
    <w:rsid w:val="00CB6C4B"/>
    <w:rsid w:val="00CB6EBF"/>
    <w:rsid w:val="00CB709D"/>
    <w:rsid w:val="00CB7171"/>
    <w:rsid w:val="00CB737B"/>
    <w:rsid w:val="00CB7526"/>
    <w:rsid w:val="00CB7679"/>
    <w:rsid w:val="00CB7CB8"/>
    <w:rsid w:val="00CB7E0E"/>
    <w:rsid w:val="00CB7F84"/>
    <w:rsid w:val="00CC0163"/>
    <w:rsid w:val="00CC0276"/>
    <w:rsid w:val="00CC030C"/>
    <w:rsid w:val="00CC0843"/>
    <w:rsid w:val="00CC0A5E"/>
    <w:rsid w:val="00CC0C7A"/>
    <w:rsid w:val="00CC105B"/>
    <w:rsid w:val="00CC14BF"/>
    <w:rsid w:val="00CC1612"/>
    <w:rsid w:val="00CC1D6D"/>
    <w:rsid w:val="00CC1EB5"/>
    <w:rsid w:val="00CC1EBF"/>
    <w:rsid w:val="00CC22DD"/>
    <w:rsid w:val="00CC2433"/>
    <w:rsid w:val="00CC26F6"/>
    <w:rsid w:val="00CC2BC2"/>
    <w:rsid w:val="00CC3009"/>
    <w:rsid w:val="00CC307A"/>
    <w:rsid w:val="00CC3389"/>
    <w:rsid w:val="00CC3617"/>
    <w:rsid w:val="00CC3740"/>
    <w:rsid w:val="00CC38C6"/>
    <w:rsid w:val="00CC39F5"/>
    <w:rsid w:val="00CC3AE2"/>
    <w:rsid w:val="00CC46D9"/>
    <w:rsid w:val="00CC46EB"/>
    <w:rsid w:val="00CC47F4"/>
    <w:rsid w:val="00CC47F8"/>
    <w:rsid w:val="00CC5091"/>
    <w:rsid w:val="00CC5235"/>
    <w:rsid w:val="00CC54D2"/>
    <w:rsid w:val="00CC587A"/>
    <w:rsid w:val="00CC5F6C"/>
    <w:rsid w:val="00CC6118"/>
    <w:rsid w:val="00CC67F5"/>
    <w:rsid w:val="00CC707E"/>
    <w:rsid w:val="00CC70C6"/>
    <w:rsid w:val="00CC71F4"/>
    <w:rsid w:val="00CC7836"/>
    <w:rsid w:val="00CC7C21"/>
    <w:rsid w:val="00CC7CEB"/>
    <w:rsid w:val="00CC7D06"/>
    <w:rsid w:val="00CC7F13"/>
    <w:rsid w:val="00CD019A"/>
    <w:rsid w:val="00CD091B"/>
    <w:rsid w:val="00CD09A8"/>
    <w:rsid w:val="00CD0F46"/>
    <w:rsid w:val="00CD1126"/>
    <w:rsid w:val="00CD113A"/>
    <w:rsid w:val="00CD1466"/>
    <w:rsid w:val="00CD1635"/>
    <w:rsid w:val="00CD197C"/>
    <w:rsid w:val="00CD19EE"/>
    <w:rsid w:val="00CD1AC2"/>
    <w:rsid w:val="00CD1FC1"/>
    <w:rsid w:val="00CD21BD"/>
    <w:rsid w:val="00CD250A"/>
    <w:rsid w:val="00CD2BBA"/>
    <w:rsid w:val="00CD2C31"/>
    <w:rsid w:val="00CD307C"/>
    <w:rsid w:val="00CD317F"/>
    <w:rsid w:val="00CD3213"/>
    <w:rsid w:val="00CD32A5"/>
    <w:rsid w:val="00CD32F9"/>
    <w:rsid w:val="00CD3353"/>
    <w:rsid w:val="00CD3787"/>
    <w:rsid w:val="00CD415E"/>
    <w:rsid w:val="00CD43AF"/>
    <w:rsid w:val="00CD4B29"/>
    <w:rsid w:val="00CD4BDB"/>
    <w:rsid w:val="00CD4D85"/>
    <w:rsid w:val="00CD4DDC"/>
    <w:rsid w:val="00CD5439"/>
    <w:rsid w:val="00CD5920"/>
    <w:rsid w:val="00CD5942"/>
    <w:rsid w:val="00CD5F2C"/>
    <w:rsid w:val="00CD67B5"/>
    <w:rsid w:val="00CD68A1"/>
    <w:rsid w:val="00CD6A9A"/>
    <w:rsid w:val="00CD6DAA"/>
    <w:rsid w:val="00CD73C0"/>
    <w:rsid w:val="00CD776D"/>
    <w:rsid w:val="00CD7859"/>
    <w:rsid w:val="00CD7CE5"/>
    <w:rsid w:val="00CD7DB1"/>
    <w:rsid w:val="00CE00F2"/>
    <w:rsid w:val="00CE0202"/>
    <w:rsid w:val="00CE0313"/>
    <w:rsid w:val="00CE072B"/>
    <w:rsid w:val="00CE07D2"/>
    <w:rsid w:val="00CE08A5"/>
    <w:rsid w:val="00CE09E5"/>
    <w:rsid w:val="00CE1104"/>
    <w:rsid w:val="00CE11E7"/>
    <w:rsid w:val="00CE1746"/>
    <w:rsid w:val="00CE18CD"/>
    <w:rsid w:val="00CE1BFC"/>
    <w:rsid w:val="00CE236C"/>
    <w:rsid w:val="00CE24F4"/>
    <w:rsid w:val="00CE261D"/>
    <w:rsid w:val="00CE2C3A"/>
    <w:rsid w:val="00CE2D52"/>
    <w:rsid w:val="00CE2DDB"/>
    <w:rsid w:val="00CE31B8"/>
    <w:rsid w:val="00CE3776"/>
    <w:rsid w:val="00CE484D"/>
    <w:rsid w:val="00CE4893"/>
    <w:rsid w:val="00CE4D1B"/>
    <w:rsid w:val="00CE5194"/>
    <w:rsid w:val="00CE5762"/>
    <w:rsid w:val="00CE5B6A"/>
    <w:rsid w:val="00CE5CFE"/>
    <w:rsid w:val="00CE5E22"/>
    <w:rsid w:val="00CE618E"/>
    <w:rsid w:val="00CE62DF"/>
    <w:rsid w:val="00CE6553"/>
    <w:rsid w:val="00CE65A9"/>
    <w:rsid w:val="00CE690D"/>
    <w:rsid w:val="00CE6A19"/>
    <w:rsid w:val="00CE6DD4"/>
    <w:rsid w:val="00CE70A2"/>
    <w:rsid w:val="00CE72AA"/>
    <w:rsid w:val="00CE7368"/>
    <w:rsid w:val="00CE738B"/>
    <w:rsid w:val="00CE7557"/>
    <w:rsid w:val="00CE7598"/>
    <w:rsid w:val="00CE75FB"/>
    <w:rsid w:val="00CE77D8"/>
    <w:rsid w:val="00CE7857"/>
    <w:rsid w:val="00CE7F66"/>
    <w:rsid w:val="00CE7FC7"/>
    <w:rsid w:val="00CF065A"/>
    <w:rsid w:val="00CF0872"/>
    <w:rsid w:val="00CF0ABA"/>
    <w:rsid w:val="00CF0BAE"/>
    <w:rsid w:val="00CF0E8F"/>
    <w:rsid w:val="00CF0FAC"/>
    <w:rsid w:val="00CF10D3"/>
    <w:rsid w:val="00CF1231"/>
    <w:rsid w:val="00CF1232"/>
    <w:rsid w:val="00CF14FA"/>
    <w:rsid w:val="00CF1501"/>
    <w:rsid w:val="00CF1807"/>
    <w:rsid w:val="00CF1C5E"/>
    <w:rsid w:val="00CF1CB7"/>
    <w:rsid w:val="00CF239E"/>
    <w:rsid w:val="00CF2526"/>
    <w:rsid w:val="00CF2E90"/>
    <w:rsid w:val="00CF31BF"/>
    <w:rsid w:val="00CF348A"/>
    <w:rsid w:val="00CF3625"/>
    <w:rsid w:val="00CF36A2"/>
    <w:rsid w:val="00CF3B70"/>
    <w:rsid w:val="00CF3D4D"/>
    <w:rsid w:val="00CF4B22"/>
    <w:rsid w:val="00CF51E4"/>
    <w:rsid w:val="00CF53C0"/>
    <w:rsid w:val="00CF5874"/>
    <w:rsid w:val="00CF58AA"/>
    <w:rsid w:val="00CF5ED7"/>
    <w:rsid w:val="00CF5FE0"/>
    <w:rsid w:val="00CF6147"/>
    <w:rsid w:val="00CF694F"/>
    <w:rsid w:val="00CF73E4"/>
    <w:rsid w:val="00CF76B4"/>
    <w:rsid w:val="00CF7933"/>
    <w:rsid w:val="00CF798C"/>
    <w:rsid w:val="00CF7AED"/>
    <w:rsid w:val="00D001FA"/>
    <w:rsid w:val="00D00703"/>
    <w:rsid w:val="00D0082B"/>
    <w:rsid w:val="00D00A62"/>
    <w:rsid w:val="00D00C8A"/>
    <w:rsid w:val="00D014ED"/>
    <w:rsid w:val="00D01660"/>
    <w:rsid w:val="00D01D77"/>
    <w:rsid w:val="00D02491"/>
    <w:rsid w:val="00D02528"/>
    <w:rsid w:val="00D02689"/>
    <w:rsid w:val="00D02736"/>
    <w:rsid w:val="00D02AAF"/>
    <w:rsid w:val="00D02AC3"/>
    <w:rsid w:val="00D02BF0"/>
    <w:rsid w:val="00D02EEA"/>
    <w:rsid w:val="00D0330C"/>
    <w:rsid w:val="00D033FC"/>
    <w:rsid w:val="00D03618"/>
    <w:rsid w:val="00D039B5"/>
    <w:rsid w:val="00D03C1E"/>
    <w:rsid w:val="00D03C64"/>
    <w:rsid w:val="00D03C96"/>
    <w:rsid w:val="00D03CB8"/>
    <w:rsid w:val="00D03DEC"/>
    <w:rsid w:val="00D03E76"/>
    <w:rsid w:val="00D03EDC"/>
    <w:rsid w:val="00D042FF"/>
    <w:rsid w:val="00D045A3"/>
    <w:rsid w:val="00D04672"/>
    <w:rsid w:val="00D046B3"/>
    <w:rsid w:val="00D04720"/>
    <w:rsid w:val="00D04786"/>
    <w:rsid w:val="00D04C36"/>
    <w:rsid w:val="00D04CDD"/>
    <w:rsid w:val="00D05E37"/>
    <w:rsid w:val="00D06F83"/>
    <w:rsid w:val="00D07338"/>
    <w:rsid w:val="00D07698"/>
    <w:rsid w:val="00D079BB"/>
    <w:rsid w:val="00D07CB5"/>
    <w:rsid w:val="00D07CE5"/>
    <w:rsid w:val="00D07DE6"/>
    <w:rsid w:val="00D100B5"/>
    <w:rsid w:val="00D10218"/>
    <w:rsid w:val="00D1098D"/>
    <w:rsid w:val="00D121D2"/>
    <w:rsid w:val="00D12408"/>
    <w:rsid w:val="00D128C7"/>
    <w:rsid w:val="00D12AE6"/>
    <w:rsid w:val="00D13038"/>
    <w:rsid w:val="00D13743"/>
    <w:rsid w:val="00D138D2"/>
    <w:rsid w:val="00D13B58"/>
    <w:rsid w:val="00D13C05"/>
    <w:rsid w:val="00D141A6"/>
    <w:rsid w:val="00D141FA"/>
    <w:rsid w:val="00D145A6"/>
    <w:rsid w:val="00D148DE"/>
    <w:rsid w:val="00D14ACE"/>
    <w:rsid w:val="00D14CBD"/>
    <w:rsid w:val="00D1509E"/>
    <w:rsid w:val="00D1522A"/>
    <w:rsid w:val="00D1529E"/>
    <w:rsid w:val="00D155A5"/>
    <w:rsid w:val="00D157C3"/>
    <w:rsid w:val="00D159DE"/>
    <w:rsid w:val="00D15CA5"/>
    <w:rsid w:val="00D16093"/>
    <w:rsid w:val="00D161B2"/>
    <w:rsid w:val="00D16612"/>
    <w:rsid w:val="00D166B8"/>
    <w:rsid w:val="00D166EB"/>
    <w:rsid w:val="00D16C20"/>
    <w:rsid w:val="00D17033"/>
    <w:rsid w:val="00D176EE"/>
    <w:rsid w:val="00D17A26"/>
    <w:rsid w:val="00D17B70"/>
    <w:rsid w:val="00D17C59"/>
    <w:rsid w:val="00D17ED7"/>
    <w:rsid w:val="00D204B8"/>
    <w:rsid w:val="00D20C7C"/>
    <w:rsid w:val="00D20F3E"/>
    <w:rsid w:val="00D210D4"/>
    <w:rsid w:val="00D21155"/>
    <w:rsid w:val="00D2189B"/>
    <w:rsid w:val="00D2193E"/>
    <w:rsid w:val="00D21AA2"/>
    <w:rsid w:val="00D21D65"/>
    <w:rsid w:val="00D21E62"/>
    <w:rsid w:val="00D21F07"/>
    <w:rsid w:val="00D229A9"/>
    <w:rsid w:val="00D23421"/>
    <w:rsid w:val="00D2343C"/>
    <w:rsid w:val="00D2395A"/>
    <w:rsid w:val="00D24820"/>
    <w:rsid w:val="00D25168"/>
    <w:rsid w:val="00D251C5"/>
    <w:rsid w:val="00D2526A"/>
    <w:rsid w:val="00D2566B"/>
    <w:rsid w:val="00D25795"/>
    <w:rsid w:val="00D25EAB"/>
    <w:rsid w:val="00D2624C"/>
    <w:rsid w:val="00D2625B"/>
    <w:rsid w:val="00D2649A"/>
    <w:rsid w:val="00D26515"/>
    <w:rsid w:val="00D26D14"/>
    <w:rsid w:val="00D2733D"/>
    <w:rsid w:val="00D27899"/>
    <w:rsid w:val="00D27CC5"/>
    <w:rsid w:val="00D27E9D"/>
    <w:rsid w:val="00D3008F"/>
    <w:rsid w:val="00D30237"/>
    <w:rsid w:val="00D30912"/>
    <w:rsid w:val="00D309CB"/>
    <w:rsid w:val="00D30E89"/>
    <w:rsid w:val="00D311DC"/>
    <w:rsid w:val="00D315ED"/>
    <w:rsid w:val="00D31819"/>
    <w:rsid w:val="00D318C8"/>
    <w:rsid w:val="00D31BC4"/>
    <w:rsid w:val="00D31BF7"/>
    <w:rsid w:val="00D31F2D"/>
    <w:rsid w:val="00D32494"/>
    <w:rsid w:val="00D326C3"/>
    <w:rsid w:val="00D326DE"/>
    <w:rsid w:val="00D32A81"/>
    <w:rsid w:val="00D32CD4"/>
    <w:rsid w:val="00D32D32"/>
    <w:rsid w:val="00D330F8"/>
    <w:rsid w:val="00D333CA"/>
    <w:rsid w:val="00D335A1"/>
    <w:rsid w:val="00D335B6"/>
    <w:rsid w:val="00D33868"/>
    <w:rsid w:val="00D33E3F"/>
    <w:rsid w:val="00D34451"/>
    <w:rsid w:val="00D34B31"/>
    <w:rsid w:val="00D34BA6"/>
    <w:rsid w:val="00D34CF1"/>
    <w:rsid w:val="00D34D0C"/>
    <w:rsid w:val="00D34DDE"/>
    <w:rsid w:val="00D35384"/>
    <w:rsid w:val="00D35A5B"/>
    <w:rsid w:val="00D35E60"/>
    <w:rsid w:val="00D361F6"/>
    <w:rsid w:val="00D364DF"/>
    <w:rsid w:val="00D365F2"/>
    <w:rsid w:val="00D369D3"/>
    <w:rsid w:val="00D369E8"/>
    <w:rsid w:val="00D36A74"/>
    <w:rsid w:val="00D36CCD"/>
    <w:rsid w:val="00D36F0E"/>
    <w:rsid w:val="00D36F84"/>
    <w:rsid w:val="00D36FE0"/>
    <w:rsid w:val="00D37092"/>
    <w:rsid w:val="00D37470"/>
    <w:rsid w:val="00D375FF"/>
    <w:rsid w:val="00D376C0"/>
    <w:rsid w:val="00D37E1F"/>
    <w:rsid w:val="00D37F06"/>
    <w:rsid w:val="00D40243"/>
    <w:rsid w:val="00D404D3"/>
    <w:rsid w:val="00D40654"/>
    <w:rsid w:val="00D40A1C"/>
    <w:rsid w:val="00D40BDF"/>
    <w:rsid w:val="00D40CBE"/>
    <w:rsid w:val="00D41072"/>
    <w:rsid w:val="00D41EF5"/>
    <w:rsid w:val="00D42066"/>
    <w:rsid w:val="00D420DB"/>
    <w:rsid w:val="00D426C7"/>
    <w:rsid w:val="00D4296F"/>
    <w:rsid w:val="00D43136"/>
    <w:rsid w:val="00D4324D"/>
    <w:rsid w:val="00D43386"/>
    <w:rsid w:val="00D436E4"/>
    <w:rsid w:val="00D4390D"/>
    <w:rsid w:val="00D43C52"/>
    <w:rsid w:val="00D43CF2"/>
    <w:rsid w:val="00D43E1B"/>
    <w:rsid w:val="00D43FA6"/>
    <w:rsid w:val="00D440E5"/>
    <w:rsid w:val="00D44285"/>
    <w:rsid w:val="00D44695"/>
    <w:rsid w:val="00D44759"/>
    <w:rsid w:val="00D4496B"/>
    <w:rsid w:val="00D44985"/>
    <w:rsid w:val="00D451BF"/>
    <w:rsid w:val="00D451FF"/>
    <w:rsid w:val="00D454C7"/>
    <w:rsid w:val="00D455D9"/>
    <w:rsid w:val="00D455E8"/>
    <w:rsid w:val="00D456B2"/>
    <w:rsid w:val="00D45797"/>
    <w:rsid w:val="00D460B3"/>
    <w:rsid w:val="00D46481"/>
    <w:rsid w:val="00D46860"/>
    <w:rsid w:val="00D469E0"/>
    <w:rsid w:val="00D46D52"/>
    <w:rsid w:val="00D4701D"/>
    <w:rsid w:val="00D47031"/>
    <w:rsid w:val="00D47509"/>
    <w:rsid w:val="00D475E1"/>
    <w:rsid w:val="00D47873"/>
    <w:rsid w:val="00D47D10"/>
    <w:rsid w:val="00D47EA4"/>
    <w:rsid w:val="00D47F21"/>
    <w:rsid w:val="00D50539"/>
    <w:rsid w:val="00D50781"/>
    <w:rsid w:val="00D50D3D"/>
    <w:rsid w:val="00D512BC"/>
    <w:rsid w:val="00D51455"/>
    <w:rsid w:val="00D51746"/>
    <w:rsid w:val="00D51AF6"/>
    <w:rsid w:val="00D51C25"/>
    <w:rsid w:val="00D51FA4"/>
    <w:rsid w:val="00D5206E"/>
    <w:rsid w:val="00D520D4"/>
    <w:rsid w:val="00D52285"/>
    <w:rsid w:val="00D5260A"/>
    <w:rsid w:val="00D52863"/>
    <w:rsid w:val="00D529D4"/>
    <w:rsid w:val="00D52DB1"/>
    <w:rsid w:val="00D52F0C"/>
    <w:rsid w:val="00D531F4"/>
    <w:rsid w:val="00D53302"/>
    <w:rsid w:val="00D5350E"/>
    <w:rsid w:val="00D53577"/>
    <w:rsid w:val="00D54397"/>
    <w:rsid w:val="00D544B5"/>
    <w:rsid w:val="00D544CA"/>
    <w:rsid w:val="00D54658"/>
    <w:rsid w:val="00D54735"/>
    <w:rsid w:val="00D5486F"/>
    <w:rsid w:val="00D549AA"/>
    <w:rsid w:val="00D54E53"/>
    <w:rsid w:val="00D55633"/>
    <w:rsid w:val="00D55684"/>
    <w:rsid w:val="00D558BC"/>
    <w:rsid w:val="00D55CE1"/>
    <w:rsid w:val="00D55E2F"/>
    <w:rsid w:val="00D56012"/>
    <w:rsid w:val="00D56186"/>
    <w:rsid w:val="00D56493"/>
    <w:rsid w:val="00D569BD"/>
    <w:rsid w:val="00D56C41"/>
    <w:rsid w:val="00D56CE6"/>
    <w:rsid w:val="00D57027"/>
    <w:rsid w:val="00D57503"/>
    <w:rsid w:val="00D57797"/>
    <w:rsid w:val="00D5785D"/>
    <w:rsid w:val="00D57BAB"/>
    <w:rsid w:val="00D57E97"/>
    <w:rsid w:val="00D60088"/>
    <w:rsid w:val="00D60266"/>
    <w:rsid w:val="00D602DD"/>
    <w:rsid w:val="00D609AF"/>
    <w:rsid w:val="00D609BC"/>
    <w:rsid w:val="00D60BB7"/>
    <w:rsid w:val="00D60D7E"/>
    <w:rsid w:val="00D61016"/>
    <w:rsid w:val="00D61635"/>
    <w:rsid w:val="00D62190"/>
    <w:rsid w:val="00D62339"/>
    <w:rsid w:val="00D624CE"/>
    <w:rsid w:val="00D625B8"/>
    <w:rsid w:val="00D62864"/>
    <w:rsid w:val="00D62995"/>
    <w:rsid w:val="00D62E44"/>
    <w:rsid w:val="00D63364"/>
    <w:rsid w:val="00D63A00"/>
    <w:rsid w:val="00D63D9C"/>
    <w:rsid w:val="00D63E70"/>
    <w:rsid w:val="00D6438B"/>
    <w:rsid w:val="00D644B2"/>
    <w:rsid w:val="00D64940"/>
    <w:rsid w:val="00D64ACE"/>
    <w:rsid w:val="00D658F1"/>
    <w:rsid w:val="00D65ACB"/>
    <w:rsid w:val="00D65AD5"/>
    <w:rsid w:val="00D65AF3"/>
    <w:rsid w:val="00D662C3"/>
    <w:rsid w:val="00D663B5"/>
    <w:rsid w:val="00D66FA9"/>
    <w:rsid w:val="00D6732D"/>
    <w:rsid w:val="00D67972"/>
    <w:rsid w:val="00D67B21"/>
    <w:rsid w:val="00D67B98"/>
    <w:rsid w:val="00D70377"/>
    <w:rsid w:val="00D70B8B"/>
    <w:rsid w:val="00D70CF1"/>
    <w:rsid w:val="00D7161D"/>
    <w:rsid w:val="00D71770"/>
    <w:rsid w:val="00D71779"/>
    <w:rsid w:val="00D718E7"/>
    <w:rsid w:val="00D71B42"/>
    <w:rsid w:val="00D71FE8"/>
    <w:rsid w:val="00D72565"/>
    <w:rsid w:val="00D727C3"/>
    <w:rsid w:val="00D72825"/>
    <w:rsid w:val="00D72B2D"/>
    <w:rsid w:val="00D7315D"/>
    <w:rsid w:val="00D7359F"/>
    <w:rsid w:val="00D7382A"/>
    <w:rsid w:val="00D73D5D"/>
    <w:rsid w:val="00D73E13"/>
    <w:rsid w:val="00D7416A"/>
    <w:rsid w:val="00D74310"/>
    <w:rsid w:val="00D745DE"/>
    <w:rsid w:val="00D749B1"/>
    <w:rsid w:val="00D74CF0"/>
    <w:rsid w:val="00D74E47"/>
    <w:rsid w:val="00D7513A"/>
    <w:rsid w:val="00D755B7"/>
    <w:rsid w:val="00D75688"/>
    <w:rsid w:val="00D75700"/>
    <w:rsid w:val="00D7586F"/>
    <w:rsid w:val="00D75A4D"/>
    <w:rsid w:val="00D75C63"/>
    <w:rsid w:val="00D76048"/>
    <w:rsid w:val="00D760FC"/>
    <w:rsid w:val="00D766F3"/>
    <w:rsid w:val="00D76950"/>
    <w:rsid w:val="00D76F9B"/>
    <w:rsid w:val="00D77222"/>
    <w:rsid w:val="00D772C9"/>
    <w:rsid w:val="00D77493"/>
    <w:rsid w:val="00D77F26"/>
    <w:rsid w:val="00D80700"/>
    <w:rsid w:val="00D8077F"/>
    <w:rsid w:val="00D809D3"/>
    <w:rsid w:val="00D80D27"/>
    <w:rsid w:val="00D80DBB"/>
    <w:rsid w:val="00D810FB"/>
    <w:rsid w:val="00D814A6"/>
    <w:rsid w:val="00D81DBB"/>
    <w:rsid w:val="00D81F12"/>
    <w:rsid w:val="00D81F7A"/>
    <w:rsid w:val="00D8269F"/>
    <w:rsid w:val="00D82822"/>
    <w:rsid w:val="00D82B54"/>
    <w:rsid w:val="00D82FD8"/>
    <w:rsid w:val="00D832CD"/>
    <w:rsid w:val="00D83933"/>
    <w:rsid w:val="00D8414E"/>
    <w:rsid w:val="00D842AB"/>
    <w:rsid w:val="00D84605"/>
    <w:rsid w:val="00D84734"/>
    <w:rsid w:val="00D8481D"/>
    <w:rsid w:val="00D84840"/>
    <w:rsid w:val="00D84AC6"/>
    <w:rsid w:val="00D84C00"/>
    <w:rsid w:val="00D854A5"/>
    <w:rsid w:val="00D85E9C"/>
    <w:rsid w:val="00D860FD"/>
    <w:rsid w:val="00D864D4"/>
    <w:rsid w:val="00D866CE"/>
    <w:rsid w:val="00D867CB"/>
    <w:rsid w:val="00D867E5"/>
    <w:rsid w:val="00D86B5F"/>
    <w:rsid w:val="00D870D6"/>
    <w:rsid w:val="00D87965"/>
    <w:rsid w:val="00D87D25"/>
    <w:rsid w:val="00D87DB9"/>
    <w:rsid w:val="00D87E0F"/>
    <w:rsid w:val="00D90904"/>
    <w:rsid w:val="00D9090B"/>
    <w:rsid w:val="00D90D74"/>
    <w:rsid w:val="00D90FD9"/>
    <w:rsid w:val="00D91525"/>
    <w:rsid w:val="00D91C15"/>
    <w:rsid w:val="00D92A00"/>
    <w:rsid w:val="00D92D14"/>
    <w:rsid w:val="00D9301C"/>
    <w:rsid w:val="00D936DC"/>
    <w:rsid w:val="00D9371F"/>
    <w:rsid w:val="00D93991"/>
    <w:rsid w:val="00D939DF"/>
    <w:rsid w:val="00D93BC7"/>
    <w:rsid w:val="00D93C30"/>
    <w:rsid w:val="00D93D54"/>
    <w:rsid w:val="00D94589"/>
    <w:rsid w:val="00D94848"/>
    <w:rsid w:val="00D94A0C"/>
    <w:rsid w:val="00D94C9B"/>
    <w:rsid w:val="00D94CFD"/>
    <w:rsid w:val="00D94F98"/>
    <w:rsid w:val="00D95469"/>
    <w:rsid w:val="00D957EA"/>
    <w:rsid w:val="00D957FB"/>
    <w:rsid w:val="00D95C68"/>
    <w:rsid w:val="00D96001"/>
    <w:rsid w:val="00D96633"/>
    <w:rsid w:val="00D9671E"/>
    <w:rsid w:val="00D967A5"/>
    <w:rsid w:val="00D96FA2"/>
    <w:rsid w:val="00D9751A"/>
    <w:rsid w:val="00D9751F"/>
    <w:rsid w:val="00D97628"/>
    <w:rsid w:val="00D97CE1"/>
    <w:rsid w:val="00D97EA6"/>
    <w:rsid w:val="00DA001C"/>
    <w:rsid w:val="00DA005B"/>
    <w:rsid w:val="00DA0367"/>
    <w:rsid w:val="00DA0C13"/>
    <w:rsid w:val="00DA122D"/>
    <w:rsid w:val="00DA12AF"/>
    <w:rsid w:val="00DA12CE"/>
    <w:rsid w:val="00DA13E8"/>
    <w:rsid w:val="00DA1684"/>
    <w:rsid w:val="00DA197F"/>
    <w:rsid w:val="00DA1F1D"/>
    <w:rsid w:val="00DA1FCC"/>
    <w:rsid w:val="00DA23A0"/>
    <w:rsid w:val="00DA248F"/>
    <w:rsid w:val="00DA2776"/>
    <w:rsid w:val="00DA27F3"/>
    <w:rsid w:val="00DA2A00"/>
    <w:rsid w:val="00DA2C62"/>
    <w:rsid w:val="00DA2FEF"/>
    <w:rsid w:val="00DA3433"/>
    <w:rsid w:val="00DA3600"/>
    <w:rsid w:val="00DA3778"/>
    <w:rsid w:val="00DA3A69"/>
    <w:rsid w:val="00DA3E1D"/>
    <w:rsid w:val="00DA40E7"/>
    <w:rsid w:val="00DA4810"/>
    <w:rsid w:val="00DA4A70"/>
    <w:rsid w:val="00DA4B8F"/>
    <w:rsid w:val="00DA4FBE"/>
    <w:rsid w:val="00DA4FC7"/>
    <w:rsid w:val="00DA55B4"/>
    <w:rsid w:val="00DA586E"/>
    <w:rsid w:val="00DA5A98"/>
    <w:rsid w:val="00DA5D8A"/>
    <w:rsid w:val="00DA6649"/>
    <w:rsid w:val="00DA6690"/>
    <w:rsid w:val="00DA6C6E"/>
    <w:rsid w:val="00DA707E"/>
    <w:rsid w:val="00DA7145"/>
    <w:rsid w:val="00DA71CF"/>
    <w:rsid w:val="00DA796D"/>
    <w:rsid w:val="00DA797F"/>
    <w:rsid w:val="00DA7DC0"/>
    <w:rsid w:val="00DB0060"/>
    <w:rsid w:val="00DB03DF"/>
    <w:rsid w:val="00DB0927"/>
    <w:rsid w:val="00DB0977"/>
    <w:rsid w:val="00DB0B7E"/>
    <w:rsid w:val="00DB167E"/>
    <w:rsid w:val="00DB17D2"/>
    <w:rsid w:val="00DB18F6"/>
    <w:rsid w:val="00DB1FEA"/>
    <w:rsid w:val="00DB22DD"/>
    <w:rsid w:val="00DB2D52"/>
    <w:rsid w:val="00DB3131"/>
    <w:rsid w:val="00DB318B"/>
    <w:rsid w:val="00DB32B9"/>
    <w:rsid w:val="00DB353D"/>
    <w:rsid w:val="00DB38B9"/>
    <w:rsid w:val="00DB3EB9"/>
    <w:rsid w:val="00DB40F5"/>
    <w:rsid w:val="00DB4381"/>
    <w:rsid w:val="00DB48A8"/>
    <w:rsid w:val="00DB4D99"/>
    <w:rsid w:val="00DB5148"/>
    <w:rsid w:val="00DB55C2"/>
    <w:rsid w:val="00DB5633"/>
    <w:rsid w:val="00DB5666"/>
    <w:rsid w:val="00DB56FB"/>
    <w:rsid w:val="00DB5CB5"/>
    <w:rsid w:val="00DB5E54"/>
    <w:rsid w:val="00DB5E86"/>
    <w:rsid w:val="00DB61D8"/>
    <w:rsid w:val="00DB634A"/>
    <w:rsid w:val="00DB66FA"/>
    <w:rsid w:val="00DB6CBD"/>
    <w:rsid w:val="00DB6E20"/>
    <w:rsid w:val="00DB6EF9"/>
    <w:rsid w:val="00DB7464"/>
    <w:rsid w:val="00DB74E6"/>
    <w:rsid w:val="00DB7529"/>
    <w:rsid w:val="00DB7A25"/>
    <w:rsid w:val="00DB7B3E"/>
    <w:rsid w:val="00DB7D78"/>
    <w:rsid w:val="00DC0055"/>
    <w:rsid w:val="00DC0318"/>
    <w:rsid w:val="00DC15B2"/>
    <w:rsid w:val="00DC1E86"/>
    <w:rsid w:val="00DC1EA3"/>
    <w:rsid w:val="00DC1EC4"/>
    <w:rsid w:val="00DC1F0E"/>
    <w:rsid w:val="00DC2444"/>
    <w:rsid w:val="00DC268D"/>
    <w:rsid w:val="00DC2857"/>
    <w:rsid w:val="00DC2E12"/>
    <w:rsid w:val="00DC2E8D"/>
    <w:rsid w:val="00DC2F34"/>
    <w:rsid w:val="00DC3174"/>
    <w:rsid w:val="00DC340E"/>
    <w:rsid w:val="00DC37E3"/>
    <w:rsid w:val="00DC3844"/>
    <w:rsid w:val="00DC3D28"/>
    <w:rsid w:val="00DC3E74"/>
    <w:rsid w:val="00DC41E5"/>
    <w:rsid w:val="00DC44EB"/>
    <w:rsid w:val="00DC463D"/>
    <w:rsid w:val="00DC4700"/>
    <w:rsid w:val="00DC4815"/>
    <w:rsid w:val="00DC4832"/>
    <w:rsid w:val="00DC4ADC"/>
    <w:rsid w:val="00DC4D33"/>
    <w:rsid w:val="00DC4E04"/>
    <w:rsid w:val="00DC520E"/>
    <w:rsid w:val="00DC554C"/>
    <w:rsid w:val="00DC5873"/>
    <w:rsid w:val="00DC5C2D"/>
    <w:rsid w:val="00DC5DAA"/>
    <w:rsid w:val="00DC6089"/>
    <w:rsid w:val="00DC6BB0"/>
    <w:rsid w:val="00DC7727"/>
    <w:rsid w:val="00DC7968"/>
    <w:rsid w:val="00DD0203"/>
    <w:rsid w:val="00DD0B2F"/>
    <w:rsid w:val="00DD0E91"/>
    <w:rsid w:val="00DD1021"/>
    <w:rsid w:val="00DD1415"/>
    <w:rsid w:val="00DD177B"/>
    <w:rsid w:val="00DD1B2A"/>
    <w:rsid w:val="00DD1B89"/>
    <w:rsid w:val="00DD1ECA"/>
    <w:rsid w:val="00DD3118"/>
    <w:rsid w:val="00DD347D"/>
    <w:rsid w:val="00DD381A"/>
    <w:rsid w:val="00DD3831"/>
    <w:rsid w:val="00DD38FC"/>
    <w:rsid w:val="00DD4196"/>
    <w:rsid w:val="00DD4266"/>
    <w:rsid w:val="00DD4765"/>
    <w:rsid w:val="00DD492B"/>
    <w:rsid w:val="00DD4E4E"/>
    <w:rsid w:val="00DD6617"/>
    <w:rsid w:val="00DD6E36"/>
    <w:rsid w:val="00DD7287"/>
    <w:rsid w:val="00DD7640"/>
    <w:rsid w:val="00DD7B27"/>
    <w:rsid w:val="00DD7D51"/>
    <w:rsid w:val="00DD7FE9"/>
    <w:rsid w:val="00DE0030"/>
    <w:rsid w:val="00DE0B74"/>
    <w:rsid w:val="00DE0F95"/>
    <w:rsid w:val="00DE18E9"/>
    <w:rsid w:val="00DE19E2"/>
    <w:rsid w:val="00DE1EC1"/>
    <w:rsid w:val="00DE1EE8"/>
    <w:rsid w:val="00DE21C3"/>
    <w:rsid w:val="00DE267F"/>
    <w:rsid w:val="00DE2D63"/>
    <w:rsid w:val="00DE3042"/>
    <w:rsid w:val="00DE3547"/>
    <w:rsid w:val="00DE3704"/>
    <w:rsid w:val="00DE3A40"/>
    <w:rsid w:val="00DE43FF"/>
    <w:rsid w:val="00DE44A3"/>
    <w:rsid w:val="00DE4DB4"/>
    <w:rsid w:val="00DE4F0C"/>
    <w:rsid w:val="00DE520E"/>
    <w:rsid w:val="00DE5654"/>
    <w:rsid w:val="00DE56DB"/>
    <w:rsid w:val="00DE571C"/>
    <w:rsid w:val="00DE59C8"/>
    <w:rsid w:val="00DE5ABC"/>
    <w:rsid w:val="00DE5B40"/>
    <w:rsid w:val="00DE605D"/>
    <w:rsid w:val="00DE60AC"/>
    <w:rsid w:val="00DE63FB"/>
    <w:rsid w:val="00DE6439"/>
    <w:rsid w:val="00DE6499"/>
    <w:rsid w:val="00DE6ED9"/>
    <w:rsid w:val="00DE7816"/>
    <w:rsid w:val="00DE7B9D"/>
    <w:rsid w:val="00DF06FC"/>
    <w:rsid w:val="00DF089F"/>
    <w:rsid w:val="00DF08F0"/>
    <w:rsid w:val="00DF0CB4"/>
    <w:rsid w:val="00DF0D89"/>
    <w:rsid w:val="00DF0E05"/>
    <w:rsid w:val="00DF1096"/>
    <w:rsid w:val="00DF1436"/>
    <w:rsid w:val="00DF1624"/>
    <w:rsid w:val="00DF168D"/>
    <w:rsid w:val="00DF16C2"/>
    <w:rsid w:val="00DF194D"/>
    <w:rsid w:val="00DF197A"/>
    <w:rsid w:val="00DF1A1C"/>
    <w:rsid w:val="00DF1A5D"/>
    <w:rsid w:val="00DF2341"/>
    <w:rsid w:val="00DF25AD"/>
    <w:rsid w:val="00DF2790"/>
    <w:rsid w:val="00DF29A9"/>
    <w:rsid w:val="00DF2A16"/>
    <w:rsid w:val="00DF2AF8"/>
    <w:rsid w:val="00DF2C0C"/>
    <w:rsid w:val="00DF3020"/>
    <w:rsid w:val="00DF3147"/>
    <w:rsid w:val="00DF3885"/>
    <w:rsid w:val="00DF39B3"/>
    <w:rsid w:val="00DF3B32"/>
    <w:rsid w:val="00DF3B89"/>
    <w:rsid w:val="00DF446E"/>
    <w:rsid w:val="00DF4B77"/>
    <w:rsid w:val="00DF4CA6"/>
    <w:rsid w:val="00DF52BE"/>
    <w:rsid w:val="00DF5371"/>
    <w:rsid w:val="00DF5529"/>
    <w:rsid w:val="00DF572E"/>
    <w:rsid w:val="00DF5D87"/>
    <w:rsid w:val="00DF5F5B"/>
    <w:rsid w:val="00DF6024"/>
    <w:rsid w:val="00DF6062"/>
    <w:rsid w:val="00DF62C7"/>
    <w:rsid w:val="00DF65FC"/>
    <w:rsid w:val="00DF6727"/>
    <w:rsid w:val="00DF6C16"/>
    <w:rsid w:val="00DF6E6B"/>
    <w:rsid w:val="00DF6F65"/>
    <w:rsid w:val="00DF708C"/>
    <w:rsid w:val="00DF7AB1"/>
    <w:rsid w:val="00DF7B18"/>
    <w:rsid w:val="00DF7DB1"/>
    <w:rsid w:val="00DF7E2C"/>
    <w:rsid w:val="00DF7F44"/>
    <w:rsid w:val="00DF7FEC"/>
    <w:rsid w:val="00E00571"/>
    <w:rsid w:val="00E008AD"/>
    <w:rsid w:val="00E00A3E"/>
    <w:rsid w:val="00E01200"/>
    <w:rsid w:val="00E0192F"/>
    <w:rsid w:val="00E02152"/>
    <w:rsid w:val="00E02180"/>
    <w:rsid w:val="00E024DC"/>
    <w:rsid w:val="00E02B2F"/>
    <w:rsid w:val="00E02E26"/>
    <w:rsid w:val="00E02FEC"/>
    <w:rsid w:val="00E031BB"/>
    <w:rsid w:val="00E03489"/>
    <w:rsid w:val="00E0392F"/>
    <w:rsid w:val="00E03A26"/>
    <w:rsid w:val="00E03A8C"/>
    <w:rsid w:val="00E04260"/>
    <w:rsid w:val="00E046A1"/>
    <w:rsid w:val="00E046BE"/>
    <w:rsid w:val="00E04B72"/>
    <w:rsid w:val="00E04EF4"/>
    <w:rsid w:val="00E04FFF"/>
    <w:rsid w:val="00E05294"/>
    <w:rsid w:val="00E052F9"/>
    <w:rsid w:val="00E053AE"/>
    <w:rsid w:val="00E05508"/>
    <w:rsid w:val="00E055DB"/>
    <w:rsid w:val="00E057CA"/>
    <w:rsid w:val="00E05E56"/>
    <w:rsid w:val="00E060D9"/>
    <w:rsid w:val="00E06400"/>
    <w:rsid w:val="00E06886"/>
    <w:rsid w:val="00E06F36"/>
    <w:rsid w:val="00E06FAE"/>
    <w:rsid w:val="00E07160"/>
    <w:rsid w:val="00E07331"/>
    <w:rsid w:val="00E075FC"/>
    <w:rsid w:val="00E0776D"/>
    <w:rsid w:val="00E079BD"/>
    <w:rsid w:val="00E10340"/>
    <w:rsid w:val="00E10380"/>
    <w:rsid w:val="00E10663"/>
    <w:rsid w:val="00E106A5"/>
    <w:rsid w:val="00E1071F"/>
    <w:rsid w:val="00E10F7F"/>
    <w:rsid w:val="00E111F3"/>
    <w:rsid w:val="00E11978"/>
    <w:rsid w:val="00E12314"/>
    <w:rsid w:val="00E13105"/>
    <w:rsid w:val="00E13B81"/>
    <w:rsid w:val="00E13BFA"/>
    <w:rsid w:val="00E147C9"/>
    <w:rsid w:val="00E14C93"/>
    <w:rsid w:val="00E14DDC"/>
    <w:rsid w:val="00E14F6A"/>
    <w:rsid w:val="00E14F79"/>
    <w:rsid w:val="00E150E9"/>
    <w:rsid w:val="00E1518D"/>
    <w:rsid w:val="00E152F1"/>
    <w:rsid w:val="00E154CB"/>
    <w:rsid w:val="00E156AF"/>
    <w:rsid w:val="00E156CD"/>
    <w:rsid w:val="00E1571B"/>
    <w:rsid w:val="00E1585F"/>
    <w:rsid w:val="00E15B96"/>
    <w:rsid w:val="00E15E6B"/>
    <w:rsid w:val="00E16190"/>
    <w:rsid w:val="00E165A1"/>
    <w:rsid w:val="00E16F7D"/>
    <w:rsid w:val="00E17518"/>
    <w:rsid w:val="00E17786"/>
    <w:rsid w:val="00E177F7"/>
    <w:rsid w:val="00E17BFC"/>
    <w:rsid w:val="00E17E4B"/>
    <w:rsid w:val="00E202C2"/>
    <w:rsid w:val="00E20467"/>
    <w:rsid w:val="00E20B99"/>
    <w:rsid w:val="00E20F47"/>
    <w:rsid w:val="00E21116"/>
    <w:rsid w:val="00E21340"/>
    <w:rsid w:val="00E216C0"/>
    <w:rsid w:val="00E21787"/>
    <w:rsid w:val="00E2193B"/>
    <w:rsid w:val="00E21B4E"/>
    <w:rsid w:val="00E22318"/>
    <w:rsid w:val="00E22A47"/>
    <w:rsid w:val="00E22B1B"/>
    <w:rsid w:val="00E22BAF"/>
    <w:rsid w:val="00E22BB9"/>
    <w:rsid w:val="00E22CFB"/>
    <w:rsid w:val="00E22D47"/>
    <w:rsid w:val="00E22E58"/>
    <w:rsid w:val="00E23371"/>
    <w:rsid w:val="00E2350C"/>
    <w:rsid w:val="00E236BF"/>
    <w:rsid w:val="00E2389A"/>
    <w:rsid w:val="00E23ABE"/>
    <w:rsid w:val="00E23B93"/>
    <w:rsid w:val="00E23F4B"/>
    <w:rsid w:val="00E241FE"/>
    <w:rsid w:val="00E2432B"/>
    <w:rsid w:val="00E244B5"/>
    <w:rsid w:val="00E24642"/>
    <w:rsid w:val="00E248BC"/>
    <w:rsid w:val="00E248F1"/>
    <w:rsid w:val="00E251F8"/>
    <w:rsid w:val="00E2537B"/>
    <w:rsid w:val="00E25450"/>
    <w:rsid w:val="00E25A58"/>
    <w:rsid w:val="00E25C03"/>
    <w:rsid w:val="00E263F2"/>
    <w:rsid w:val="00E26634"/>
    <w:rsid w:val="00E26725"/>
    <w:rsid w:val="00E26772"/>
    <w:rsid w:val="00E26773"/>
    <w:rsid w:val="00E2677A"/>
    <w:rsid w:val="00E267CB"/>
    <w:rsid w:val="00E269E6"/>
    <w:rsid w:val="00E26A13"/>
    <w:rsid w:val="00E26B4D"/>
    <w:rsid w:val="00E275C4"/>
    <w:rsid w:val="00E27613"/>
    <w:rsid w:val="00E27BEE"/>
    <w:rsid w:val="00E30428"/>
    <w:rsid w:val="00E3065A"/>
    <w:rsid w:val="00E3075C"/>
    <w:rsid w:val="00E30ABB"/>
    <w:rsid w:val="00E30CC5"/>
    <w:rsid w:val="00E30ECE"/>
    <w:rsid w:val="00E30F2F"/>
    <w:rsid w:val="00E3113A"/>
    <w:rsid w:val="00E31159"/>
    <w:rsid w:val="00E312C8"/>
    <w:rsid w:val="00E31301"/>
    <w:rsid w:val="00E31359"/>
    <w:rsid w:val="00E31828"/>
    <w:rsid w:val="00E31A29"/>
    <w:rsid w:val="00E31AEF"/>
    <w:rsid w:val="00E31F6C"/>
    <w:rsid w:val="00E3230B"/>
    <w:rsid w:val="00E32368"/>
    <w:rsid w:val="00E323D2"/>
    <w:rsid w:val="00E3256E"/>
    <w:rsid w:val="00E32721"/>
    <w:rsid w:val="00E32955"/>
    <w:rsid w:val="00E32A0B"/>
    <w:rsid w:val="00E32AFF"/>
    <w:rsid w:val="00E32EE9"/>
    <w:rsid w:val="00E32F89"/>
    <w:rsid w:val="00E33134"/>
    <w:rsid w:val="00E33951"/>
    <w:rsid w:val="00E3396E"/>
    <w:rsid w:val="00E33C3F"/>
    <w:rsid w:val="00E34709"/>
    <w:rsid w:val="00E350EB"/>
    <w:rsid w:val="00E35655"/>
    <w:rsid w:val="00E356E4"/>
    <w:rsid w:val="00E35B02"/>
    <w:rsid w:val="00E35D66"/>
    <w:rsid w:val="00E364BC"/>
    <w:rsid w:val="00E3660B"/>
    <w:rsid w:val="00E3685A"/>
    <w:rsid w:val="00E369CA"/>
    <w:rsid w:val="00E369DE"/>
    <w:rsid w:val="00E36C1A"/>
    <w:rsid w:val="00E3719F"/>
    <w:rsid w:val="00E374D1"/>
    <w:rsid w:val="00E37B39"/>
    <w:rsid w:val="00E40052"/>
    <w:rsid w:val="00E400ED"/>
    <w:rsid w:val="00E401F5"/>
    <w:rsid w:val="00E40988"/>
    <w:rsid w:val="00E41871"/>
    <w:rsid w:val="00E418E2"/>
    <w:rsid w:val="00E41CDA"/>
    <w:rsid w:val="00E41E40"/>
    <w:rsid w:val="00E41EE6"/>
    <w:rsid w:val="00E42841"/>
    <w:rsid w:val="00E42C74"/>
    <w:rsid w:val="00E42E2F"/>
    <w:rsid w:val="00E42F26"/>
    <w:rsid w:val="00E42F27"/>
    <w:rsid w:val="00E43F47"/>
    <w:rsid w:val="00E4437E"/>
    <w:rsid w:val="00E4475E"/>
    <w:rsid w:val="00E4483B"/>
    <w:rsid w:val="00E449D2"/>
    <w:rsid w:val="00E44C1F"/>
    <w:rsid w:val="00E44DB7"/>
    <w:rsid w:val="00E44DCE"/>
    <w:rsid w:val="00E44EE8"/>
    <w:rsid w:val="00E45775"/>
    <w:rsid w:val="00E458F8"/>
    <w:rsid w:val="00E459F9"/>
    <w:rsid w:val="00E45B80"/>
    <w:rsid w:val="00E45DC3"/>
    <w:rsid w:val="00E45F92"/>
    <w:rsid w:val="00E46051"/>
    <w:rsid w:val="00E46058"/>
    <w:rsid w:val="00E4618D"/>
    <w:rsid w:val="00E46442"/>
    <w:rsid w:val="00E46598"/>
    <w:rsid w:val="00E465E7"/>
    <w:rsid w:val="00E468D0"/>
    <w:rsid w:val="00E46950"/>
    <w:rsid w:val="00E46CE8"/>
    <w:rsid w:val="00E46F6D"/>
    <w:rsid w:val="00E474A8"/>
    <w:rsid w:val="00E479CD"/>
    <w:rsid w:val="00E47B23"/>
    <w:rsid w:val="00E503DB"/>
    <w:rsid w:val="00E504B4"/>
    <w:rsid w:val="00E50959"/>
    <w:rsid w:val="00E5097A"/>
    <w:rsid w:val="00E51171"/>
    <w:rsid w:val="00E51510"/>
    <w:rsid w:val="00E51584"/>
    <w:rsid w:val="00E5202E"/>
    <w:rsid w:val="00E52151"/>
    <w:rsid w:val="00E52198"/>
    <w:rsid w:val="00E5264E"/>
    <w:rsid w:val="00E52B2A"/>
    <w:rsid w:val="00E52B50"/>
    <w:rsid w:val="00E52B6C"/>
    <w:rsid w:val="00E52EE2"/>
    <w:rsid w:val="00E53236"/>
    <w:rsid w:val="00E53318"/>
    <w:rsid w:val="00E5331B"/>
    <w:rsid w:val="00E5332A"/>
    <w:rsid w:val="00E5362D"/>
    <w:rsid w:val="00E5428C"/>
    <w:rsid w:val="00E54531"/>
    <w:rsid w:val="00E548BF"/>
    <w:rsid w:val="00E54D9B"/>
    <w:rsid w:val="00E54F01"/>
    <w:rsid w:val="00E554C9"/>
    <w:rsid w:val="00E5566D"/>
    <w:rsid w:val="00E559A3"/>
    <w:rsid w:val="00E55D2E"/>
    <w:rsid w:val="00E55DEA"/>
    <w:rsid w:val="00E56681"/>
    <w:rsid w:val="00E567E9"/>
    <w:rsid w:val="00E567F9"/>
    <w:rsid w:val="00E5681C"/>
    <w:rsid w:val="00E568B8"/>
    <w:rsid w:val="00E56AA1"/>
    <w:rsid w:val="00E56D7C"/>
    <w:rsid w:val="00E56F8C"/>
    <w:rsid w:val="00E5706C"/>
    <w:rsid w:val="00E57208"/>
    <w:rsid w:val="00E5737F"/>
    <w:rsid w:val="00E57755"/>
    <w:rsid w:val="00E57856"/>
    <w:rsid w:val="00E57A7F"/>
    <w:rsid w:val="00E57BEE"/>
    <w:rsid w:val="00E600C6"/>
    <w:rsid w:val="00E604ED"/>
    <w:rsid w:val="00E606F1"/>
    <w:rsid w:val="00E60C5F"/>
    <w:rsid w:val="00E60E06"/>
    <w:rsid w:val="00E611D5"/>
    <w:rsid w:val="00E619B0"/>
    <w:rsid w:val="00E61DDF"/>
    <w:rsid w:val="00E61DED"/>
    <w:rsid w:val="00E61F2C"/>
    <w:rsid w:val="00E620A4"/>
    <w:rsid w:val="00E62317"/>
    <w:rsid w:val="00E62620"/>
    <w:rsid w:val="00E62DD4"/>
    <w:rsid w:val="00E62F2A"/>
    <w:rsid w:val="00E63309"/>
    <w:rsid w:val="00E63415"/>
    <w:rsid w:val="00E63DA8"/>
    <w:rsid w:val="00E64190"/>
    <w:rsid w:val="00E648DB"/>
    <w:rsid w:val="00E64C9E"/>
    <w:rsid w:val="00E6505D"/>
    <w:rsid w:val="00E65592"/>
    <w:rsid w:val="00E65D36"/>
    <w:rsid w:val="00E65E64"/>
    <w:rsid w:val="00E65EA5"/>
    <w:rsid w:val="00E66252"/>
    <w:rsid w:val="00E66398"/>
    <w:rsid w:val="00E663D8"/>
    <w:rsid w:val="00E664E6"/>
    <w:rsid w:val="00E6651E"/>
    <w:rsid w:val="00E666BF"/>
    <w:rsid w:val="00E67208"/>
    <w:rsid w:val="00E6726C"/>
    <w:rsid w:val="00E67307"/>
    <w:rsid w:val="00E674AD"/>
    <w:rsid w:val="00E67697"/>
    <w:rsid w:val="00E6776B"/>
    <w:rsid w:val="00E67920"/>
    <w:rsid w:val="00E67962"/>
    <w:rsid w:val="00E67CB2"/>
    <w:rsid w:val="00E67D77"/>
    <w:rsid w:val="00E67D7D"/>
    <w:rsid w:val="00E67E15"/>
    <w:rsid w:val="00E700BA"/>
    <w:rsid w:val="00E7065B"/>
    <w:rsid w:val="00E70B2E"/>
    <w:rsid w:val="00E70C0B"/>
    <w:rsid w:val="00E711E3"/>
    <w:rsid w:val="00E712F9"/>
    <w:rsid w:val="00E71494"/>
    <w:rsid w:val="00E71541"/>
    <w:rsid w:val="00E716FC"/>
    <w:rsid w:val="00E71E58"/>
    <w:rsid w:val="00E71FCD"/>
    <w:rsid w:val="00E722DF"/>
    <w:rsid w:val="00E72419"/>
    <w:rsid w:val="00E72532"/>
    <w:rsid w:val="00E725AD"/>
    <w:rsid w:val="00E72610"/>
    <w:rsid w:val="00E7277B"/>
    <w:rsid w:val="00E72A0A"/>
    <w:rsid w:val="00E72FAD"/>
    <w:rsid w:val="00E72FE3"/>
    <w:rsid w:val="00E737F4"/>
    <w:rsid w:val="00E73D6E"/>
    <w:rsid w:val="00E73E43"/>
    <w:rsid w:val="00E744C9"/>
    <w:rsid w:val="00E744F2"/>
    <w:rsid w:val="00E74D49"/>
    <w:rsid w:val="00E74D80"/>
    <w:rsid w:val="00E75032"/>
    <w:rsid w:val="00E751AC"/>
    <w:rsid w:val="00E752DA"/>
    <w:rsid w:val="00E75A87"/>
    <w:rsid w:val="00E75FFE"/>
    <w:rsid w:val="00E76413"/>
    <w:rsid w:val="00E76676"/>
    <w:rsid w:val="00E76692"/>
    <w:rsid w:val="00E76A73"/>
    <w:rsid w:val="00E76A7F"/>
    <w:rsid w:val="00E76A80"/>
    <w:rsid w:val="00E76B18"/>
    <w:rsid w:val="00E76B6A"/>
    <w:rsid w:val="00E7730F"/>
    <w:rsid w:val="00E7753F"/>
    <w:rsid w:val="00E779D4"/>
    <w:rsid w:val="00E779DD"/>
    <w:rsid w:val="00E77D2A"/>
    <w:rsid w:val="00E77E60"/>
    <w:rsid w:val="00E80012"/>
    <w:rsid w:val="00E800BA"/>
    <w:rsid w:val="00E80573"/>
    <w:rsid w:val="00E80836"/>
    <w:rsid w:val="00E80A28"/>
    <w:rsid w:val="00E80A5A"/>
    <w:rsid w:val="00E80C25"/>
    <w:rsid w:val="00E80C75"/>
    <w:rsid w:val="00E816B0"/>
    <w:rsid w:val="00E82009"/>
    <w:rsid w:val="00E82E97"/>
    <w:rsid w:val="00E82E9C"/>
    <w:rsid w:val="00E833CA"/>
    <w:rsid w:val="00E83CEE"/>
    <w:rsid w:val="00E83EAE"/>
    <w:rsid w:val="00E83FB3"/>
    <w:rsid w:val="00E8427C"/>
    <w:rsid w:val="00E84839"/>
    <w:rsid w:val="00E86118"/>
    <w:rsid w:val="00E866E6"/>
    <w:rsid w:val="00E8691B"/>
    <w:rsid w:val="00E86BF0"/>
    <w:rsid w:val="00E86E7F"/>
    <w:rsid w:val="00E86ECF"/>
    <w:rsid w:val="00E8729C"/>
    <w:rsid w:val="00E874ED"/>
    <w:rsid w:val="00E8779C"/>
    <w:rsid w:val="00E87B87"/>
    <w:rsid w:val="00E87D8B"/>
    <w:rsid w:val="00E90001"/>
    <w:rsid w:val="00E903AB"/>
    <w:rsid w:val="00E915A3"/>
    <w:rsid w:val="00E91600"/>
    <w:rsid w:val="00E91670"/>
    <w:rsid w:val="00E91839"/>
    <w:rsid w:val="00E918CC"/>
    <w:rsid w:val="00E91A4D"/>
    <w:rsid w:val="00E91BCF"/>
    <w:rsid w:val="00E91CB1"/>
    <w:rsid w:val="00E91DA5"/>
    <w:rsid w:val="00E91E20"/>
    <w:rsid w:val="00E92186"/>
    <w:rsid w:val="00E92334"/>
    <w:rsid w:val="00E927DF"/>
    <w:rsid w:val="00E92C72"/>
    <w:rsid w:val="00E9300E"/>
    <w:rsid w:val="00E930E6"/>
    <w:rsid w:val="00E932C1"/>
    <w:rsid w:val="00E9350E"/>
    <w:rsid w:val="00E93B53"/>
    <w:rsid w:val="00E93F7D"/>
    <w:rsid w:val="00E94607"/>
    <w:rsid w:val="00E946C7"/>
    <w:rsid w:val="00E94A5A"/>
    <w:rsid w:val="00E94B1D"/>
    <w:rsid w:val="00E94C2B"/>
    <w:rsid w:val="00E9513C"/>
    <w:rsid w:val="00E951A5"/>
    <w:rsid w:val="00E95397"/>
    <w:rsid w:val="00E95863"/>
    <w:rsid w:val="00E958AB"/>
    <w:rsid w:val="00E95924"/>
    <w:rsid w:val="00E9599B"/>
    <w:rsid w:val="00E95A4A"/>
    <w:rsid w:val="00E95F50"/>
    <w:rsid w:val="00E9611F"/>
    <w:rsid w:val="00E961DB"/>
    <w:rsid w:val="00E963DB"/>
    <w:rsid w:val="00E963EC"/>
    <w:rsid w:val="00E9667B"/>
    <w:rsid w:val="00E96740"/>
    <w:rsid w:val="00E96782"/>
    <w:rsid w:val="00E96BFA"/>
    <w:rsid w:val="00E96D8C"/>
    <w:rsid w:val="00E96E3F"/>
    <w:rsid w:val="00E9724E"/>
    <w:rsid w:val="00E972C1"/>
    <w:rsid w:val="00E97976"/>
    <w:rsid w:val="00E979AB"/>
    <w:rsid w:val="00E97D03"/>
    <w:rsid w:val="00E97D25"/>
    <w:rsid w:val="00E97D8C"/>
    <w:rsid w:val="00E97E0D"/>
    <w:rsid w:val="00E97EB4"/>
    <w:rsid w:val="00EA03CF"/>
    <w:rsid w:val="00EA04DF"/>
    <w:rsid w:val="00EA0573"/>
    <w:rsid w:val="00EA09B9"/>
    <w:rsid w:val="00EA0AD1"/>
    <w:rsid w:val="00EA0DE9"/>
    <w:rsid w:val="00EA0E83"/>
    <w:rsid w:val="00EA0EAD"/>
    <w:rsid w:val="00EA0F89"/>
    <w:rsid w:val="00EA0FCF"/>
    <w:rsid w:val="00EA1157"/>
    <w:rsid w:val="00EA14CC"/>
    <w:rsid w:val="00EA14E6"/>
    <w:rsid w:val="00EA1511"/>
    <w:rsid w:val="00EA1B79"/>
    <w:rsid w:val="00EA24ED"/>
    <w:rsid w:val="00EA26B3"/>
    <w:rsid w:val="00EA2747"/>
    <w:rsid w:val="00EA2A14"/>
    <w:rsid w:val="00EA2A8E"/>
    <w:rsid w:val="00EA2E99"/>
    <w:rsid w:val="00EA31D7"/>
    <w:rsid w:val="00EA34D2"/>
    <w:rsid w:val="00EA36F5"/>
    <w:rsid w:val="00EA3F60"/>
    <w:rsid w:val="00EA4341"/>
    <w:rsid w:val="00EA4A50"/>
    <w:rsid w:val="00EA4BC8"/>
    <w:rsid w:val="00EA4F2D"/>
    <w:rsid w:val="00EA512A"/>
    <w:rsid w:val="00EA53DE"/>
    <w:rsid w:val="00EA53F7"/>
    <w:rsid w:val="00EA54B0"/>
    <w:rsid w:val="00EA58BE"/>
    <w:rsid w:val="00EA58ED"/>
    <w:rsid w:val="00EA5DB8"/>
    <w:rsid w:val="00EA5DCE"/>
    <w:rsid w:val="00EA615A"/>
    <w:rsid w:val="00EA6450"/>
    <w:rsid w:val="00EA64D1"/>
    <w:rsid w:val="00EA6C04"/>
    <w:rsid w:val="00EA6CFC"/>
    <w:rsid w:val="00EA6D22"/>
    <w:rsid w:val="00EA6D24"/>
    <w:rsid w:val="00EA6E9E"/>
    <w:rsid w:val="00EA7174"/>
    <w:rsid w:val="00EA71ED"/>
    <w:rsid w:val="00EA73AB"/>
    <w:rsid w:val="00EA7408"/>
    <w:rsid w:val="00EA74D8"/>
    <w:rsid w:val="00EA75A3"/>
    <w:rsid w:val="00EA787B"/>
    <w:rsid w:val="00EA7AE7"/>
    <w:rsid w:val="00EA7EA9"/>
    <w:rsid w:val="00EB00AC"/>
    <w:rsid w:val="00EB01C5"/>
    <w:rsid w:val="00EB0708"/>
    <w:rsid w:val="00EB0851"/>
    <w:rsid w:val="00EB09B0"/>
    <w:rsid w:val="00EB0A88"/>
    <w:rsid w:val="00EB0ADE"/>
    <w:rsid w:val="00EB0BAF"/>
    <w:rsid w:val="00EB0C1C"/>
    <w:rsid w:val="00EB0DB2"/>
    <w:rsid w:val="00EB0E4B"/>
    <w:rsid w:val="00EB103B"/>
    <w:rsid w:val="00EB11C3"/>
    <w:rsid w:val="00EB12C9"/>
    <w:rsid w:val="00EB199B"/>
    <w:rsid w:val="00EB19FA"/>
    <w:rsid w:val="00EB1A33"/>
    <w:rsid w:val="00EB1A40"/>
    <w:rsid w:val="00EB1AD9"/>
    <w:rsid w:val="00EB1FF5"/>
    <w:rsid w:val="00EB20A1"/>
    <w:rsid w:val="00EB2260"/>
    <w:rsid w:val="00EB2321"/>
    <w:rsid w:val="00EB2891"/>
    <w:rsid w:val="00EB28EA"/>
    <w:rsid w:val="00EB2949"/>
    <w:rsid w:val="00EB2C95"/>
    <w:rsid w:val="00EB3038"/>
    <w:rsid w:val="00EB3155"/>
    <w:rsid w:val="00EB3359"/>
    <w:rsid w:val="00EB35FC"/>
    <w:rsid w:val="00EB38A8"/>
    <w:rsid w:val="00EB444F"/>
    <w:rsid w:val="00EB4895"/>
    <w:rsid w:val="00EB4B0B"/>
    <w:rsid w:val="00EB4BA0"/>
    <w:rsid w:val="00EB4FFF"/>
    <w:rsid w:val="00EB5001"/>
    <w:rsid w:val="00EB51CC"/>
    <w:rsid w:val="00EB51F2"/>
    <w:rsid w:val="00EB5225"/>
    <w:rsid w:val="00EB54CC"/>
    <w:rsid w:val="00EB583D"/>
    <w:rsid w:val="00EB5C1F"/>
    <w:rsid w:val="00EB5C2D"/>
    <w:rsid w:val="00EB631A"/>
    <w:rsid w:val="00EB65C4"/>
    <w:rsid w:val="00EB6632"/>
    <w:rsid w:val="00EB6951"/>
    <w:rsid w:val="00EB6D6A"/>
    <w:rsid w:val="00EB6EC5"/>
    <w:rsid w:val="00EB755D"/>
    <w:rsid w:val="00EB77E5"/>
    <w:rsid w:val="00EB7EF6"/>
    <w:rsid w:val="00EC0362"/>
    <w:rsid w:val="00EC0785"/>
    <w:rsid w:val="00EC08C7"/>
    <w:rsid w:val="00EC08CE"/>
    <w:rsid w:val="00EC0BC1"/>
    <w:rsid w:val="00EC0BD3"/>
    <w:rsid w:val="00EC1183"/>
    <w:rsid w:val="00EC12FA"/>
    <w:rsid w:val="00EC1594"/>
    <w:rsid w:val="00EC19FD"/>
    <w:rsid w:val="00EC1AA9"/>
    <w:rsid w:val="00EC1BA4"/>
    <w:rsid w:val="00EC1D75"/>
    <w:rsid w:val="00EC20D8"/>
    <w:rsid w:val="00EC2492"/>
    <w:rsid w:val="00EC2BD4"/>
    <w:rsid w:val="00EC2D8A"/>
    <w:rsid w:val="00EC2DF8"/>
    <w:rsid w:val="00EC2ED9"/>
    <w:rsid w:val="00EC2FCB"/>
    <w:rsid w:val="00EC3037"/>
    <w:rsid w:val="00EC3094"/>
    <w:rsid w:val="00EC34A9"/>
    <w:rsid w:val="00EC4487"/>
    <w:rsid w:val="00EC456B"/>
    <w:rsid w:val="00EC4923"/>
    <w:rsid w:val="00EC4E08"/>
    <w:rsid w:val="00EC4FEA"/>
    <w:rsid w:val="00EC50E0"/>
    <w:rsid w:val="00EC51B6"/>
    <w:rsid w:val="00EC5746"/>
    <w:rsid w:val="00EC575C"/>
    <w:rsid w:val="00EC5806"/>
    <w:rsid w:val="00EC62DE"/>
    <w:rsid w:val="00EC642A"/>
    <w:rsid w:val="00EC6966"/>
    <w:rsid w:val="00EC6AA0"/>
    <w:rsid w:val="00EC6C08"/>
    <w:rsid w:val="00EC6DD4"/>
    <w:rsid w:val="00EC6E34"/>
    <w:rsid w:val="00EC6E8E"/>
    <w:rsid w:val="00EC7960"/>
    <w:rsid w:val="00EC7E57"/>
    <w:rsid w:val="00ED020E"/>
    <w:rsid w:val="00ED0570"/>
    <w:rsid w:val="00ED071F"/>
    <w:rsid w:val="00ED0842"/>
    <w:rsid w:val="00ED0883"/>
    <w:rsid w:val="00ED0C05"/>
    <w:rsid w:val="00ED0C94"/>
    <w:rsid w:val="00ED0E35"/>
    <w:rsid w:val="00ED13B9"/>
    <w:rsid w:val="00ED18D9"/>
    <w:rsid w:val="00ED1929"/>
    <w:rsid w:val="00ED1D82"/>
    <w:rsid w:val="00ED1D90"/>
    <w:rsid w:val="00ED218E"/>
    <w:rsid w:val="00ED2243"/>
    <w:rsid w:val="00ED2267"/>
    <w:rsid w:val="00ED25F4"/>
    <w:rsid w:val="00ED2656"/>
    <w:rsid w:val="00ED2A2F"/>
    <w:rsid w:val="00ED2A41"/>
    <w:rsid w:val="00ED2BCE"/>
    <w:rsid w:val="00ED2EA9"/>
    <w:rsid w:val="00ED3202"/>
    <w:rsid w:val="00ED3429"/>
    <w:rsid w:val="00ED35F8"/>
    <w:rsid w:val="00ED3C74"/>
    <w:rsid w:val="00ED3E95"/>
    <w:rsid w:val="00ED40F2"/>
    <w:rsid w:val="00ED434A"/>
    <w:rsid w:val="00ED45E4"/>
    <w:rsid w:val="00ED4655"/>
    <w:rsid w:val="00ED48F3"/>
    <w:rsid w:val="00ED4EA6"/>
    <w:rsid w:val="00ED532D"/>
    <w:rsid w:val="00ED53FC"/>
    <w:rsid w:val="00ED56AB"/>
    <w:rsid w:val="00ED6022"/>
    <w:rsid w:val="00ED6736"/>
    <w:rsid w:val="00ED691D"/>
    <w:rsid w:val="00ED6952"/>
    <w:rsid w:val="00ED6B4B"/>
    <w:rsid w:val="00ED6C29"/>
    <w:rsid w:val="00ED6D3F"/>
    <w:rsid w:val="00ED6E20"/>
    <w:rsid w:val="00ED6EE9"/>
    <w:rsid w:val="00ED6F62"/>
    <w:rsid w:val="00ED73B4"/>
    <w:rsid w:val="00ED73CF"/>
    <w:rsid w:val="00ED7BA4"/>
    <w:rsid w:val="00EE03D5"/>
    <w:rsid w:val="00EE04A0"/>
    <w:rsid w:val="00EE06D8"/>
    <w:rsid w:val="00EE0744"/>
    <w:rsid w:val="00EE0765"/>
    <w:rsid w:val="00EE0AC5"/>
    <w:rsid w:val="00EE0C17"/>
    <w:rsid w:val="00EE12CC"/>
    <w:rsid w:val="00EE1D5C"/>
    <w:rsid w:val="00EE28A1"/>
    <w:rsid w:val="00EE2DFB"/>
    <w:rsid w:val="00EE2FD9"/>
    <w:rsid w:val="00EE346A"/>
    <w:rsid w:val="00EE35DC"/>
    <w:rsid w:val="00EE39C2"/>
    <w:rsid w:val="00EE3CD9"/>
    <w:rsid w:val="00EE404B"/>
    <w:rsid w:val="00EE43F0"/>
    <w:rsid w:val="00EE490D"/>
    <w:rsid w:val="00EE4AE3"/>
    <w:rsid w:val="00EE4B5C"/>
    <w:rsid w:val="00EE4F51"/>
    <w:rsid w:val="00EE547A"/>
    <w:rsid w:val="00EE555D"/>
    <w:rsid w:val="00EE56CE"/>
    <w:rsid w:val="00EE57A2"/>
    <w:rsid w:val="00EE57BB"/>
    <w:rsid w:val="00EE59C3"/>
    <w:rsid w:val="00EE5CBE"/>
    <w:rsid w:val="00EE5CF5"/>
    <w:rsid w:val="00EE5FFB"/>
    <w:rsid w:val="00EE63BD"/>
    <w:rsid w:val="00EE67F9"/>
    <w:rsid w:val="00EE6890"/>
    <w:rsid w:val="00EE6D03"/>
    <w:rsid w:val="00EE6EFF"/>
    <w:rsid w:val="00EE6F89"/>
    <w:rsid w:val="00EE6FFE"/>
    <w:rsid w:val="00EE7180"/>
    <w:rsid w:val="00EE7402"/>
    <w:rsid w:val="00EE747D"/>
    <w:rsid w:val="00EE75CA"/>
    <w:rsid w:val="00EE77B0"/>
    <w:rsid w:val="00EE79FB"/>
    <w:rsid w:val="00EE7D76"/>
    <w:rsid w:val="00EE7E5B"/>
    <w:rsid w:val="00EE7E98"/>
    <w:rsid w:val="00EE7F13"/>
    <w:rsid w:val="00EF003C"/>
    <w:rsid w:val="00EF0420"/>
    <w:rsid w:val="00EF04FA"/>
    <w:rsid w:val="00EF07F8"/>
    <w:rsid w:val="00EF0970"/>
    <w:rsid w:val="00EF09B0"/>
    <w:rsid w:val="00EF0EAC"/>
    <w:rsid w:val="00EF1245"/>
    <w:rsid w:val="00EF1404"/>
    <w:rsid w:val="00EF1575"/>
    <w:rsid w:val="00EF160F"/>
    <w:rsid w:val="00EF1F08"/>
    <w:rsid w:val="00EF1F29"/>
    <w:rsid w:val="00EF208D"/>
    <w:rsid w:val="00EF21A8"/>
    <w:rsid w:val="00EF238E"/>
    <w:rsid w:val="00EF2553"/>
    <w:rsid w:val="00EF2C35"/>
    <w:rsid w:val="00EF2C55"/>
    <w:rsid w:val="00EF2D2D"/>
    <w:rsid w:val="00EF2E6A"/>
    <w:rsid w:val="00EF31CC"/>
    <w:rsid w:val="00EF37B1"/>
    <w:rsid w:val="00EF3D8D"/>
    <w:rsid w:val="00EF3DA0"/>
    <w:rsid w:val="00EF4159"/>
    <w:rsid w:val="00EF45EB"/>
    <w:rsid w:val="00EF4DE6"/>
    <w:rsid w:val="00EF5112"/>
    <w:rsid w:val="00EF5298"/>
    <w:rsid w:val="00EF58C0"/>
    <w:rsid w:val="00EF63E2"/>
    <w:rsid w:val="00EF6404"/>
    <w:rsid w:val="00EF66AC"/>
    <w:rsid w:val="00EF66D5"/>
    <w:rsid w:val="00EF6E09"/>
    <w:rsid w:val="00EF719D"/>
    <w:rsid w:val="00EF71D0"/>
    <w:rsid w:val="00EF7AAA"/>
    <w:rsid w:val="00EF7B34"/>
    <w:rsid w:val="00EF7C5D"/>
    <w:rsid w:val="00EF7FAA"/>
    <w:rsid w:val="00F000AC"/>
    <w:rsid w:val="00F0030E"/>
    <w:rsid w:val="00F003FC"/>
    <w:rsid w:val="00F00932"/>
    <w:rsid w:val="00F00BE4"/>
    <w:rsid w:val="00F00CE9"/>
    <w:rsid w:val="00F0154A"/>
    <w:rsid w:val="00F01846"/>
    <w:rsid w:val="00F01CA2"/>
    <w:rsid w:val="00F01E9E"/>
    <w:rsid w:val="00F01EA0"/>
    <w:rsid w:val="00F022CD"/>
    <w:rsid w:val="00F02926"/>
    <w:rsid w:val="00F0335A"/>
    <w:rsid w:val="00F03628"/>
    <w:rsid w:val="00F037D9"/>
    <w:rsid w:val="00F03B23"/>
    <w:rsid w:val="00F03CCC"/>
    <w:rsid w:val="00F03ECD"/>
    <w:rsid w:val="00F0432F"/>
    <w:rsid w:val="00F0492E"/>
    <w:rsid w:val="00F04D16"/>
    <w:rsid w:val="00F0518E"/>
    <w:rsid w:val="00F05273"/>
    <w:rsid w:val="00F053BC"/>
    <w:rsid w:val="00F05474"/>
    <w:rsid w:val="00F0565A"/>
    <w:rsid w:val="00F05769"/>
    <w:rsid w:val="00F05CCE"/>
    <w:rsid w:val="00F05D5E"/>
    <w:rsid w:val="00F05D6D"/>
    <w:rsid w:val="00F06A95"/>
    <w:rsid w:val="00F06C4B"/>
    <w:rsid w:val="00F06D23"/>
    <w:rsid w:val="00F0704A"/>
    <w:rsid w:val="00F0704B"/>
    <w:rsid w:val="00F07058"/>
    <w:rsid w:val="00F07078"/>
    <w:rsid w:val="00F0708A"/>
    <w:rsid w:val="00F0725F"/>
    <w:rsid w:val="00F078F7"/>
    <w:rsid w:val="00F07A34"/>
    <w:rsid w:val="00F07A7B"/>
    <w:rsid w:val="00F07BDD"/>
    <w:rsid w:val="00F10029"/>
    <w:rsid w:val="00F1019E"/>
    <w:rsid w:val="00F101CD"/>
    <w:rsid w:val="00F10395"/>
    <w:rsid w:val="00F10A1B"/>
    <w:rsid w:val="00F10A7D"/>
    <w:rsid w:val="00F10DD7"/>
    <w:rsid w:val="00F11812"/>
    <w:rsid w:val="00F11D19"/>
    <w:rsid w:val="00F122BE"/>
    <w:rsid w:val="00F123BE"/>
    <w:rsid w:val="00F123DE"/>
    <w:rsid w:val="00F12714"/>
    <w:rsid w:val="00F12B6E"/>
    <w:rsid w:val="00F12B9A"/>
    <w:rsid w:val="00F12EB9"/>
    <w:rsid w:val="00F13113"/>
    <w:rsid w:val="00F1324B"/>
    <w:rsid w:val="00F13388"/>
    <w:rsid w:val="00F13773"/>
    <w:rsid w:val="00F13944"/>
    <w:rsid w:val="00F13BD5"/>
    <w:rsid w:val="00F13DBC"/>
    <w:rsid w:val="00F14128"/>
    <w:rsid w:val="00F14297"/>
    <w:rsid w:val="00F1489E"/>
    <w:rsid w:val="00F14AA5"/>
    <w:rsid w:val="00F14ADD"/>
    <w:rsid w:val="00F14C67"/>
    <w:rsid w:val="00F14F52"/>
    <w:rsid w:val="00F15D29"/>
    <w:rsid w:val="00F15E21"/>
    <w:rsid w:val="00F161A1"/>
    <w:rsid w:val="00F1663C"/>
    <w:rsid w:val="00F166CC"/>
    <w:rsid w:val="00F166E9"/>
    <w:rsid w:val="00F1684B"/>
    <w:rsid w:val="00F16C1C"/>
    <w:rsid w:val="00F170CF"/>
    <w:rsid w:val="00F1718E"/>
    <w:rsid w:val="00F175B9"/>
    <w:rsid w:val="00F17751"/>
    <w:rsid w:val="00F17795"/>
    <w:rsid w:val="00F17BDE"/>
    <w:rsid w:val="00F17D1A"/>
    <w:rsid w:val="00F2010A"/>
    <w:rsid w:val="00F202D7"/>
    <w:rsid w:val="00F20326"/>
    <w:rsid w:val="00F206F5"/>
    <w:rsid w:val="00F20752"/>
    <w:rsid w:val="00F21557"/>
    <w:rsid w:val="00F2163D"/>
    <w:rsid w:val="00F216E2"/>
    <w:rsid w:val="00F22314"/>
    <w:rsid w:val="00F22362"/>
    <w:rsid w:val="00F226C1"/>
    <w:rsid w:val="00F227AF"/>
    <w:rsid w:val="00F23169"/>
    <w:rsid w:val="00F233D1"/>
    <w:rsid w:val="00F2348A"/>
    <w:rsid w:val="00F234BC"/>
    <w:rsid w:val="00F235AB"/>
    <w:rsid w:val="00F23A5B"/>
    <w:rsid w:val="00F23ADD"/>
    <w:rsid w:val="00F23CD1"/>
    <w:rsid w:val="00F23F56"/>
    <w:rsid w:val="00F24037"/>
    <w:rsid w:val="00F24311"/>
    <w:rsid w:val="00F24606"/>
    <w:rsid w:val="00F24717"/>
    <w:rsid w:val="00F24991"/>
    <w:rsid w:val="00F249AE"/>
    <w:rsid w:val="00F24A5C"/>
    <w:rsid w:val="00F24A74"/>
    <w:rsid w:val="00F24BE1"/>
    <w:rsid w:val="00F24E4C"/>
    <w:rsid w:val="00F24E78"/>
    <w:rsid w:val="00F24F6A"/>
    <w:rsid w:val="00F256EE"/>
    <w:rsid w:val="00F263BA"/>
    <w:rsid w:val="00F2657D"/>
    <w:rsid w:val="00F26A6D"/>
    <w:rsid w:val="00F26FBA"/>
    <w:rsid w:val="00F2719A"/>
    <w:rsid w:val="00F27339"/>
    <w:rsid w:val="00F278F4"/>
    <w:rsid w:val="00F27A46"/>
    <w:rsid w:val="00F27A90"/>
    <w:rsid w:val="00F27DE7"/>
    <w:rsid w:val="00F301AA"/>
    <w:rsid w:val="00F3020A"/>
    <w:rsid w:val="00F30A06"/>
    <w:rsid w:val="00F30C7D"/>
    <w:rsid w:val="00F31417"/>
    <w:rsid w:val="00F319AF"/>
    <w:rsid w:val="00F31D3E"/>
    <w:rsid w:val="00F31ED6"/>
    <w:rsid w:val="00F321CA"/>
    <w:rsid w:val="00F323A6"/>
    <w:rsid w:val="00F3285C"/>
    <w:rsid w:val="00F32CEA"/>
    <w:rsid w:val="00F32E55"/>
    <w:rsid w:val="00F330F2"/>
    <w:rsid w:val="00F331D5"/>
    <w:rsid w:val="00F33418"/>
    <w:rsid w:val="00F336DB"/>
    <w:rsid w:val="00F33733"/>
    <w:rsid w:val="00F33805"/>
    <w:rsid w:val="00F33DDA"/>
    <w:rsid w:val="00F33EBA"/>
    <w:rsid w:val="00F343DF"/>
    <w:rsid w:val="00F344FA"/>
    <w:rsid w:val="00F34DE0"/>
    <w:rsid w:val="00F352E7"/>
    <w:rsid w:val="00F35AC1"/>
    <w:rsid w:val="00F35DB8"/>
    <w:rsid w:val="00F35EF8"/>
    <w:rsid w:val="00F363DC"/>
    <w:rsid w:val="00F36554"/>
    <w:rsid w:val="00F36DEE"/>
    <w:rsid w:val="00F36FB6"/>
    <w:rsid w:val="00F373A0"/>
    <w:rsid w:val="00F377E0"/>
    <w:rsid w:val="00F4005E"/>
    <w:rsid w:val="00F403F6"/>
    <w:rsid w:val="00F405D8"/>
    <w:rsid w:val="00F406F8"/>
    <w:rsid w:val="00F40F15"/>
    <w:rsid w:val="00F41503"/>
    <w:rsid w:val="00F41FA8"/>
    <w:rsid w:val="00F42103"/>
    <w:rsid w:val="00F42249"/>
    <w:rsid w:val="00F422BD"/>
    <w:rsid w:val="00F423A2"/>
    <w:rsid w:val="00F424DB"/>
    <w:rsid w:val="00F425E1"/>
    <w:rsid w:val="00F42614"/>
    <w:rsid w:val="00F42A53"/>
    <w:rsid w:val="00F42C81"/>
    <w:rsid w:val="00F433AE"/>
    <w:rsid w:val="00F43CA0"/>
    <w:rsid w:val="00F43CE3"/>
    <w:rsid w:val="00F43E27"/>
    <w:rsid w:val="00F4446B"/>
    <w:rsid w:val="00F444E9"/>
    <w:rsid w:val="00F4474A"/>
    <w:rsid w:val="00F44A70"/>
    <w:rsid w:val="00F44C12"/>
    <w:rsid w:val="00F44C2F"/>
    <w:rsid w:val="00F44CD6"/>
    <w:rsid w:val="00F44EF6"/>
    <w:rsid w:val="00F45B41"/>
    <w:rsid w:val="00F45FE0"/>
    <w:rsid w:val="00F46691"/>
    <w:rsid w:val="00F469E4"/>
    <w:rsid w:val="00F46A97"/>
    <w:rsid w:val="00F46E50"/>
    <w:rsid w:val="00F46E7B"/>
    <w:rsid w:val="00F46ECA"/>
    <w:rsid w:val="00F46FCB"/>
    <w:rsid w:val="00F46FDE"/>
    <w:rsid w:val="00F475B2"/>
    <w:rsid w:val="00F476D6"/>
    <w:rsid w:val="00F47BDD"/>
    <w:rsid w:val="00F47EDC"/>
    <w:rsid w:val="00F500CD"/>
    <w:rsid w:val="00F50211"/>
    <w:rsid w:val="00F50224"/>
    <w:rsid w:val="00F503CF"/>
    <w:rsid w:val="00F503E4"/>
    <w:rsid w:val="00F508D5"/>
    <w:rsid w:val="00F50C65"/>
    <w:rsid w:val="00F512EA"/>
    <w:rsid w:val="00F51C30"/>
    <w:rsid w:val="00F51D85"/>
    <w:rsid w:val="00F52002"/>
    <w:rsid w:val="00F52103"/>
    <w:rsid w:val="00F5228E"/>
    <w:rsid w:val="00F52442"/>
    <w:rsid w:val="00F5276C"/>
    <w:rsid w:val="00F528A4"/>
    <w:rsid w:val="00F52C32"/>
    <w:rsid w:val="00F53460"/>
    <w:rsid w:val="00F54337"/>
    <w:rsid w:val="00F54526"/>
    <w:rsid w:val="00F546D4"/>
    <w:rsid w:val="00F54708"/>
    <w:rsid w:val="00F54730"/>
    <w:rsid w:val="00F54943"/>
    <w:rsid w:val="00F54C79"/>
    <w:rsid w:val="00F54F40"/>
    <w:rsid w:val="00F55526"/>
    <w:rsid w:val="00F555AC"/>
    <w:rsid w:val="00F55B31"/>
    <w:rsid w:val="00F55B57"/>
    <w:rsid w:val="00F55E5A"/>
    <w:rsid w:val="00F56057"/>
    <w:rsid w:val="00F56788"/>
    <w:rsid w:val="00F56864"/>
    <w:rsid w:val="00F56A07"/>
    <w:rsid w:val="00F56C5A"/>
    <w:rsid w:val="00F56F40"/>
    <w:rsid w:val="00F57021"/>
    <w:rsid w:val="00F57395"/>
    <w:rsid w:val="00F574B0"/>
    <w:rsid w:val="00F57800"/>
    <w:rsid w:val="00F57FDC"/>
    <w:rsid w:val="00F60585"/>
    <w:rsid w:val="00F6084E"/>
    <w:rsid w:val="00F60BCF"/>
    <w:rsid w:val="00F60D59"/>
    <w:rsid w:val="00F61320"/>
    <w:rsid w:val="00F617E5"/>
    <w:rsid w:val="00F618DD"/>
    <w:rsid w:val="00F618F8"/>
    <w:rsid w:val="00F620E7"/>
    <w:rsid w:val="00F6219E"/>
    <w:rsid w:val="00F621B0"/>
    <w:rsid w:val="00F6320B"/>
    <w:rsid w:val="00F63306"/>
    <w:rsid w:val="00F6348E"/>
    <w:rsid w:val="00F63862"/>
    <w:rsid w:val="00F63AD9"/>
    <w:rsid w:val="00F63B89"/>
    <w:rsid w:val="00F640BA"/>
    <w:rsid w:val="00F6416E"/>
    <w:rsid w:val="00F644A2"/>
    <w:rsid w:val="00F647C5"/>
    <w:rsid w:val="00F64AB6"/>
    <w:rsid w:val="00F64C8B"/>
    <w:rsid w:val="00F650F1"/>
    <w:rsid w:val="00F66395"/>
    <w:rsid w:val="00F67154"/>
    <w:rsid w:val="00F67D3E"/>
    <w:rsid w:val="00F67F26"/>
    <w:rsid w:val="00F70181"/>
    <w:rsid w:val="00F70268"/>
    <w:rsid w:val="00F704B1"/>
    <w:rsid w:val="00F7050B"/>
    <w:rsid w:val="00F70A5E"/>
    <w:rsid w:val="00F70C9F"/>
    <w:rsid w:val="00F70EC5"/>
    <w:rsid w:val="00F71133"/>
    <w:rsid w:val="00F71377"/>
    <w:rsid w:val="00F714A7"/>
    <w:rsid w:val="00F71B4E"/>
    <w:rsid w:val="00F71D90"/>
    <w:rsid w:val="00F7239F"/>
    <w:rsid w:val="00F726D6"/>
    <w:rsid w:val="00F727D0"/>
    <w:rsid w:val="00F72995"/>
    <w:rsid w:val="00F72C95"/>
    <w:rsid w:val="00F73497"/>
    <w:rsid w:val="00F734AC"/>
    <w:rsid w:val="00F738DB"/>
    <w:rsid w:val="00F73DFA"/>
    <w:rsid w:val="00F7402F"/>
    <w:rsid w:val="00F745F8"/>
    <w:rsid w:val="00F74822"/>
    <w:rsid w:val="00F74B6B"/>
    <w:rsid w:val="00F74C8E"/>
    <w:rsid w:val="00F75054"/>
    <w:rsid w:val="00F750E3"/>
    <w:rsid w:val="00F7514C"/>
    <w:rsid w:val="00F753B0"/>
    <w:rsid w:val="00F755B3"/>
    <w:rsid w:val="00F75689"/>
    <w:rsid w:val="00F756BB"/>
    <w:rsid w:val="00F758F3"/>
    <w:rsid w:val="00F758FA"/>
    <w:rsid w:val="00F75C2C"/>
    <w:rsid w:val="00F76106"/>
    <w:rsid w:val="00F7623E"/>
    <w:rsid w:val="00F76692"/>
    <w:rsid w:val="00F767BA"/>
    <w:rsid w:val="00F76AEA"/>
    <w:rsid w:val="00F76EE0"/>
    <w:rsid w:val="00F7711F"/>
    <w:rsid w:val="00F7748A"/>
    <w:rsid w:val="00F7772E"/>
    <w:rsid w:val="00F77B84"/>
    <w:rsid w:val="00F77F73"/>
    <w:rsid w:val="00F8043C"/>
    <w:rsid w:val="00F805B7"/>
    <w:rsid w:val="00F805F1"/>
    <w:rsid w:val="00F80DF0"/>
    <w:rsid w:val="00F81620"/>
    <w:rsid w:val="00F819AA"/>
    <w:rsid w:val="00F819C7"/>
    <w:rsid w:val="00F81AD8"/>
    <w:rsid w:val="00F81EC6"/>
    <w:rsid w:val="00F823B5"/>
    <w:rsid w:val="00F826DB"/>
    <w:rsid w:val="00F82EFA"/>
    <w:rsid w:val="00F82F59"/>
    <w:rsid w:val="00F83085"/>
    <w:rsid w:val="00F83215"/>
    <w:rsid w:val="00F8380B"/>
    <w:rsid w:val="00F83BE4"/>
    <w:rsid w:val="00F83BE6"/>
    <w:rsid w:val="00F83CEB"/>
    <w:rsid w:val="00F83E00"/>
    <w:rsid w:val="00F84066"/>
    <w:rsid w:val="00F84118"/>
    <w:rsid w:val="00F84701"/>
    <w:rsid w:val="00F847A9"/>
    <w:rsid w:val="00F848EB"/>
    <w:rsid w:val="00F849D8"/>
    <w:rsid w:val="00F84EDD"/>
    <w:rsid w:val="00F850C0"/>
    <w:rsid w:val="00F8510F"/>
    <w:rsid w:val="00F8542B"/>
    <w:rsid w:val="00F859A4"/>
    <w:rsid w:val="00F85E19"/>
    <w:rsid w:val="00F85E43"/>
    <w:rsid w:val="00F85F86"/>
    <w:rsid w:val="00F86515"/>
    <w:rsid w:val="00F86F29"/>
    <w:rsid w:val="00F873C6"/>
    <w:rsid w:val="00F879AC"/>
    <w:rsid w:val="00F87C6A"/>
    <w:rsid w:val="00F87FCB"/>
    <w:rsid w:val="00F90805"/>
    <w:rsid w:val="00F90964"/>
    <w:rsid w:val="00F90C12"/>
    <w:rsid w:val="00F90D39"/>
    <w:rsid w:val="00F90E42"/>
    <w:rsid w:val="00F90EB7"/>
    <w:rsid w:val="00F9105C"/>
    <w:rsid w:val="00F914C5"/>
    <w:rsid w:val="00F92076"/>
    <w:rsid w:val="00F926A7"/>
    <w:rsid w:val="00F9282F"/>
    <w:rsid w:val="00F9296D"/>
    <w:rsid w:val="00F932A8"/>
    <w:rsid w:val="00F932E0"/>
    <w:rsid w:val="00F93505"/>
    <w:rsid w:val="00F935A3"/>
    <w:rsid w:val="00F9469C"/>
    <w:rsid w:val="00F94B56"/>
    <w:rsid w:val="00F94B7E"/>
    <w:rsid w:val="00F94F25"/>
    <w:rsid w:val="00F94FE8"/>
    <w:rsid w:val="00F95149"/>
    <w:rsid w:val="00F956AD"/>
    <w:rsid w:val="00F95739"/>
    <w:rsid w:val="00F9590B"/>
    <w:rsid w:val="00F959D5"/>
    <w:rsid w:val="00F95EF0"/>
    <w:rsid w:val="00F9655B"/>
    <w:rsid w:val="00F96AAA"/>
    <w:rsid w:val="00F96CD9"/>
    <w:rsid w:val="00F96FDD"/>
    <w:rsid w:val="00F970AC"/>
    <w:rsid w:val="00F9750F"/>
    <w:rsid w:val="00F977CF"/>
    <w:rsid w:val="00FA006F"/>
    <w:rsid w:val="00FA024A"/>
    <w:rsid w:val="00FA0763"/>
    <w:rsid w:val="00FA0910"/>
    <w:rsid w:val="00FA0924"/>
    <w:rsid w:val="00FA0EBB"/>
    <w:rsid w:val="00FA0F18"/>
    <w:rsid w:val="00FA0FB4"/>
    <w:rsid w:val="00FA140F"/>
    <w:rsid w:val="00FA1C20"/>
    <w:rsid w:val="00FA23D2"/>
    <w:rsid w:val="00FA2588"/>
    <w:rsid w:val="00FA277F"/>
    <w:rsid w:val="00FA27FF"/>
    <w:rsid w:val="00FA2BEC"/>
    <w:rsid w:val="00FA2C74"/>
    <w:rsid w:val="00FA3308"/>
    <w:rsid w:val="00FA3B55"/>
    <w:rsid w:val="00FA3CB9"/>
    <w:rsid w:val="00FA3CBD"/>
    <w:rsid w:val="00FA3DA2"/>
    <w:rsid w:val="00FA3E63"/>
    <w:rsid w:val="00FA3E98"/>
    <w:rsid w:val="00FA441A"/>
    <w:rsid w:val="00FA447C"/>
    <w:rsid w:val="00FA46EE"/>
    <w:rsid w:val="00FA4F18"/>
    <w:rsid w:val="00FA4FDC"/>
    <w:rsid w:val="00FA5041"/>
    <w:rsid w:val="00FA5C4C"/>
    <w:rsid w:val="00FA5DAC"/>
    <w:rsid w:val="00FA63F8"/>
    <w:rsid w:val="00FA68A3"/>
    <w:rsid w:val="00FA6FD1"/>
    <w:rsid w:val="00FA7214"/>
    <w:rsid w:val="00FA72AA"/>
    <w:rsid w:val="00FA7601"/>
    <w:rsid w:val="00FB01EA"/>
    <w:rsid w:val="00FB0D4E"/>
    <w:rsid w:val="00FB0DCB"/>
    <w:rsid w:val="00FB1109"/>
    <w:rsid w:val="00FB1370"/>
    <w:rsid w:val="00FB189D"/>
    <w:rsid w:val="00FB1D29"/>
    <w:rsid w:val="00FB1E62"/>
    <w:rsid w:val="00FB2721"/>
    <w:rsid w:val="00FB2B1C"/>
    <w:rsid w:val="00FB2CAD"/>
    <w:rsid w:val="00FB3159"/>
    <w:rsid w:val="00FB3703"/>
    <w:rsid w:val="00FB3919"/>
    <w:rsid w:val="00FB398C"/>
    <w:rsid w:val="00FB3E1B"/>
    <w:rsid w:val="00FB3FCC"/>
    <w:rsid w:val="00FB4207"/>
    <w:rsid w:val="00FB4721"/>
    <w:rsid w:val="00FB48F2"/>
    <w:rsid w:val="00FB4AF0"/>
    <w:rsid w:val="00FB4B64"/>
    <w:rsid w:val="00FB4C37"/>
    <w:rsid w:val="00FB573F"/>
    <w:rsid w:val="00FB6476"/>
    <w:rsid w:val="00FB6F6C"/>
    <w:rsid w:val="00FB6FE5"/>
    <w:rsid w:val="00FB727C"/>
    <w:rsid w:val="00FB72FE"/>
    <w:rsid w:val="00FB7350"/>
    <w:rsid w:val="00FB7660"/>
    <w:rsid w:val="00FB769E"/>
    <w:rsid w:val="00FB7700"/>
    <w:rsid w:val="00FB79D5"/>
    <w:rsid w:val="00FC0036"/>
    <w:rsid w:val="00FC022B"/>
    <w:rsid w:val="00FC0238"/>
    <w:rsid w:val="00FC043B"/>
    <w:rsid w:val="00FC05EC"/>
    <w:rsid w:val="00FC0A19"/>
    <w:rsid w:val="00FC0B77"/>
    <w:rsid w:val="00FC0B87"/>
    <w:rsid w:val="00FC0DFA"/>
    <w:rsid w:val="00FC17BC"/>
    <w:rsid w:val="00FC18C8"/>
    <w:rsid w:val="00FC1A6A"/>
    <w:rsid w:val="00FC1C6B"/>
    <w:rsid w:val="00FC1D52"/>
    <w:rsid w:val="00FC1E41"/>
    <w:rsid w:val="00FC211B"/>
    <w:rsid w:val="00FC2122"/>
    <w:rsid w:val="00FC2984"/>
    <w:rsid w:val="00FC2A93"/>
    <w:rsid w:val="00FC2E1F"/>
    <w:rsid w:val="00FC2FAA"/>
    <w:rsid w:val="00FC3399"/>
    <w:rsid w:val="00FC3A3E"/>
    <w:rsid w:val="00FC3B3D"/>
    <w:rsid w:val="00FC3F1A"/>
    <w:rsid w:val="00FC4018"/>
    <w:rsid w:val="00FC4071"/>
    <w:rsid w:val="00FC4281"/>
    <w:rsid w:val="00FC434F"/>
    <w:rsid w:val="00FC4370"/>
    <w:rsid w:val="00FC4862"/>
    <w:rsid w:val="00FC4D96"/>
    <w:rsid w:val="00FC514E"/>
    <w:rsid w:val="00FC515C"/>
    <w:rsid w:val="00FC5678"/>
    <w:rsid w:val="00FC58FE"/>
    <w:rsid w:val="00FC5A58"/>
    <w:rsid w:val="00FC5B5F"/>
    <w:rsid w:val="00FC5CA9"/>
    <w:rsid w:val="00FC5D7E"/>
    <w:rsid w:val="00FC5E5D"/>
    <w:rsid w:val="00FC610A"/>
    <w:rsid w:val="00FC6385"/>
    <w:rsid w:val="00FC6437"/>
    <w:rsid w:val="00FC675A"/>
    <w:rsid w:val="00FC6C14"/>
    <w:rsid w:val="00FC6CED"/>
    <w:rsid w:val="00FC6E9F"/>
    <w:rsid w:val="00FC6F23"/>
    <w:rsid w:val="00FC71F4"/>
    <w:rsid w:val="00FC723E"/>
    <w:rsid w:val="00FD0075"/>
    <w:rsid w:val="00FD029B"/>
    <w:rsid w:val="00FD043D"/>
    <w:rsid w:val="00FD08AE"/>
    <w:rsid w:val="00FD0C9E"/>
    <w:rsid w:val="00FD0CFA"/>
    <w:rsid w:val="00FD0D02"/>
    <w:rsid w:val="00FD0D5F"/>
    <w:rsid w:val="00FD134B"/>
    <w:rsid w:val="00FD1709"/>
    <w:rsid w:val="00FD18A3"/>
    <w:rsid w:val="00FD194E"/>
    <w:rsid w:val="00FD1C40"/>
    <w:rsid w:val="00FD1C56"/>
    <w:rsid w:val="00FD21D3"/>
    <w:rsid w:val="00FD22A4"/>
    <w:rsid w:val="00FD22A6"/>
    <w:rsid w:val="00FD22EA"/>
    <w:rsid w:val="00FD24D4"/>
    <w:rsid w:val="00FD252B"/>
    <w:rsid w:val="00FD2EBE"/>
    <w:rsid w:val="00FD31A7"/>
    <w:rsid w:val="00FD328E"/>
    <w:rsid w:val="00FD345B"/>
    <w:rsid w:val="00FD3ABB"/>
    <w:rsid w:val="00FD3B56"/>
    <w:rsid w:val="00FD3CA9"/>
    <w:rsid w:val="00FD3FE4"/>
    <w:rsid w:val="00FD402E"/>
    <w:rsid w:val="00FD48D6"/>
    <w:rsid w:val="00FD4AE8"/>
    <w:rsid w:val="00FD543B"/>
    <w:rsid w:val="00FD555F"/>
    <w:rsid w:val="00FD58C0"/>
    <w:rsid w:val="00FD5BB6"/>
    <w:rsid w:val="00FD6290"/>
    <w:rsid w:val="00FD63DC"/>
    <w:rsid w:val="00FD6681"/>
    <w:rsid w:val="00FD6AD7"/>
    <w:rsid w:val="00FD7080"/>
    <w:rsid w:val="00FD7437"/>
    <w:rsid w:val="00FD7659"/>
    <w:rsid w:val="00FD7AD0"/>
    <w:rsid w:val="00FD7BAF"/>
    <w:rsid w:val="00FD7C77"/>
    <w:rsid w:val="00FD7EC2"/>
    <w:rsid w:val="00FE0009"/>
    <w:rsid w:val="00FE00D8"/>
    <w:rsid w:val="00FE0865"/>
    <w:rsid w:val="00FE08AB"/>
    <w:rsid w:val="00FE0B0C"/>
    <w:rsid w:val="00FE0BBC"/>
    <w:rsid w:val="00FE1015"/>
    <w:rsid w:val="00FE1110"/>
    <w:rsid w:val="00FE14F9"/>
    <w:rsid w:val="00FE1995"/>
    <w:rsid w:val="00FE1F56"/>
    <w:rsid w:val="00FE3023"/>
    <w:rsid w:val="00FE34A2"/>
    <w:rsid w:val="00FE3777"/>
    <w:rsid w:val="00FE38C0"/>
    <w:rsid w:val="00FE3B59"/>
    <w:rsid w:val="00FE3D4F"/>
    <w:rsid w:val="00FE3ED1"/>
    <w:rsid w:val="00FE3FCB"/>
    <w:rsid w:val="00FE3FF0"/>
    <w:rsid w:val="00FE40F7"/>
    <w:rsid w:val="00FE41F4"/>
    <w:rsid w:val="00FE434E"/>
    <w:rsid w:val="00FE4560"/>
    <w:rsid w:val="00FE4EE2"/>
    <w:rsid w:val="00FE5AFF"/>
    <w:rsid w:val="00FE5CED"/>
    <w:rsid w:val="00FE5D68"/>
    <w:rsid w:val="00FE5FD5"/>
    <w:rsid w:val="00FE6023"/>
    <w:rsid w:val="00FE6046"/>
    <w:rsid w:val="00FE67E6"/>
    <w:rsid w:val="00FE6B3D"/>
    <w:rsid w:val="00FE6ED4"/>
    <w:rsid w:val="00FE6F10"/>
    <w:rsid w:val="00FE70DC"/>
    <w:rsid w:val="00FE7193"/>
    <w:rsid w:val="00FE735B"/>
    <w:rsid w:val="00FE7646"/>
    <w:rsid w:val="00FE7715"/>
    <w:rsid w:val="00FE7E44"/>
    <w:rsid w:val="00FE7F91"/>
    <w:rsid w:val="00FF0053"/>
    <w:rsid w:val="00FF01B4"/>
    <w:rsid w:val="00FF0279"/>
    <w:rsid w:val="00FF0B40"/>
    <w:rsid w:val="00FF0EF1"/>
    <w:rsid w:val="00FF0F90"/>
    <w:rsid w:val="00FF121F"/>
    <w:rsid w:val="00FF1254"/>
    <w:rsid w:val="00FF1720"/>
    <w:rsid w:val="00FF19DF"/>
    <w:rsid w:val="00FF20FB"/>
    <w:rsid w:val="00FF2261"/>
    <w:rsid w:val="00FF237F"/>
    <w:rsid w:val="00FF243E"/>
    <w:rsid w:val="00FF24DB"/>
    <w:rsid w:val="00FF26B4"/>
    <w:rsid w:val="00FF27E4"/>
    <w:rsid w:val="00FF2839"/>
    <w:rsid w:val="00FF28B3"/>
    <w:rsid w:val="00FF2C4F"/>
    <w:rsid w:val="00FF36F1"/>
    <w:rsid w:val="00FF373D"/>
    <w:rsid w:val="00FF3919"/>
    <w:rsid w:val="00FF39D0"/>
    <w:rsid w:val="00FF3C6B"/>
    <w:rsid w:val="00FF3EE5"/>
    <w:rsid w:val="00FF4500"/>
    <w:rsid w:val="00FF454B"/>
    <w:rsid w:val="00FF4683"/>
    <w:rsid w:val="00FF491F"/>
    <w:rsid w:val="00FF49AE"/>
    <w:rsid w:val="00FF4D21"/>
    <w:rsid w:val="00FF4E97"/>
    <w:rsid w:val="00FF4F32"/>
    <w:rsid w:val="00FF4F8E"/>
    <w:rsid w:val="00FF5056"/>
    <w:rsid w:val="00FF50E9"/>
    <w:rsid w:val="00FF51E7"/>
    <w:rsid w:val="00FF58D7"/>
    <w:rsid w:val="00FF5996"/>
    <w:rsid w:val="00FF5AA9"/>
    <w:rsid w:val="00FF5EAB"/>
    <w:rsid w:val="00FF63FD"/>
    <w:rsid w:val="00FF6566"/>
    <w:rsid w:val="00FF664E"/>
    <w:rsid w:val="00FF6708"/>
    <w:rsid w:val="00FF680C"/>
    <w:rsid w:val="00FF6A2E"/>
    <w:rsid w:val="00FF6B53"/>
    <w:rsid w:val="00FF6C95"/>
    <w:rsid w:val="00FF6D29"/>
    <w:rsid w:val="00FF71B5"/>
    <w:rsid w:val="00FF7262"/>
    <w:rsid w:val="00FF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93A"/>
    <w:rPr>
      <w:sz w:val="24"/>
      <w:szCs w:val="24"/>
      <w:lang w:val="pl-PL" w:eastAsia="pl-PL"/>
    </w:rPr>
  </w:style>
  <w:style w:type="paragraph" w:styleId="Heading1">
    <w:name w:val="heading 1"/>
    <w:basedOn w:val="Normal"/>
    <w:link w:val="Heading1Char"/>
    <w:uiPriority w:val="9"/>
    <w:qFormat/>
    <w:rsid w:val="00BC678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7799"/>
    <w:pPr>
      <w:tabs>
        <w:tab w:val="center" w:pos="4536"/>
        <w:tab w:val="right" w:pos="9072"/>
      </w:tabs>
    </w:pPr>
  </w:style>
  <w:style w:type="character" w:styleId="PageNumber">
    <w:name w:val="page number"/>
    <w:basedOn w:val="DefaultParagraphFont"/>
    <w:rsid w:val="005F7799"/>
  </w:style>
  <w:style w:type="paragraph" w:styleId="BodyTextIndent">
    <w:name w:val="Body Text Indent"/>
    <w:basedOn w:val="Normal"/>
    <w:rsid w:val="005F7799"/>
    <w:pPr>
      <w:spacing w:line="480" w:lineRule="auto"/>
      <w:ind w:firstLine="709"/>
      <w:jc w:val="both"/>
    </w:pPr>
    <w:rPr>
      <w:rFonts w:ascii="Arial" w:hAnsi="Arial" w:cs="Arial"/>
      <w:lang w:val="en-US"/>
    </w:rPr>
  </w:style>
  <w:style w:type="paragraph" w:styleId="FootnoteText">
    <w:name w:val="footnote text"/>
    <w:basedOn w:val="Normal"/>
    <w:link w:val="FootnoteTextChar"/>
    <w:uiPriority w:val="99"/>
    <w:semiHidden/>
    <w:rsid w:val="005F7799"/>
    <w:rPr>
      <w:sz w:val="20"/>
      <w:szCs w:val="20"/>
    </w:rPr>
  </w:style>
  <w:style w:type="character" w:styleId="FootnoteReference">
    <w:name w:val="footnote reference"/>
    <w:uiPriority w:val="99"/>
    <w:semiHidden/>
    <w:rsid w:val="005F7799"/>
    <w:rPr>
      <w:vertAlign w:val="superscript"/>
    </w:rPr>
  </w:style>
  <w:style w:type="paragraph" w:styleId="BodyTextIndent2">
    <w:name w:val="Body Text Indent 2"/>
    <w:basedOn w:val="Normal"/>
    <w:rsid w:val="005F7799"/>
    <w:pPr>
      <w:spacing w:line="480" w:lineRule="auto"/>
      <w:ind w:left="709" w:hanging="709"/>
      <w:jc w:val="both"/>
    </w:pPr>
    <w:rPr>
      <w:lang w:val="en-US" w:eastAsia="de-DE"/>
    </w:rPr>
  </w:style>
  <w:style w:type="character" w:styleId="Hyperlink">
    <w:name w:val="Hyperlink"/>
    <w:rsid w:val="005F7799"/>
    <w:rPr>
      <w:color w:val="0000FF"/>
      <w:u w:val="single"/>
    </w:rPr>
  </w:style>
  <w:style w:type="character" w:customStyle="1" w:styleId="hit">
    <w:name w:val="hit"/>
    <w:rsid w:val="005F7799"/>
    <w:rPr>
      <w:b/>
      <w:bCs/>
      <w:color w:val="FF0000"/>
    </w:rPr>
  </w:style>
  <w:style w:type="paragraph" w:styleId="Header">
    <w:name w:val="header"/>
    <w:basedOn w:val="Normal"/>
    <w:rsid w:val="005F7799"/>
    <w:pPr>
      <w:tabs>
        <w:tab w:val="center" w:pos="4320"/>
        <w:tab w:val="right" w:pos="8640"/>
      </w:tabs>
    </w:pPr>
  </w:style>
  <w:style w:type="paragraph" w:styleId="NormalWeb">
    <w:name w:val="Normal (Web)"/>
    <w:basedOn w:val="Normal"/>
    <w:uiPriority w:val="99"/>
    <w:rsid w:val="005F7799"/>
    <w:pPr>
      <w:spacing w:before="100" w:beforeAutospacing="1" w:after="100" w:afterAutospacing="1"/>
      <w:jc w:val="both"/>
    </w:pPr>
    <w:rPr>
      <w:lang w:val="en-US" w:eastAsia="en-US"/>
    </w:rPr>
  </w:style>
  <w:style w:type="character" w:styleId="FollowedHyperlink">
    <w:name w:val="FollowedHyperlink"/>
    <w:rsid w:val="005F7799"/>
    <w:rPr>
      <w:color w:val="800080"/>
      <w:u w:val="single"/>
    </w:rPr>
  </w:style>
  <w:style w:type="paragraph" w:styleId="BlockText">
    <w:name w:val="Block Text"/>
    <w:basedOn w:val="Normal"/>
    <w:rsid w:val="005F7799"/>
    <w:pPr>
      <w:ind w:left="720" w:right="758"/>
      <w:jc w:val="both"/>
    </w:pPr>
    <w:rPr>
      <w:rFonts w:ascii="Arial" w:hAnsi="Arial" w:cs="Arial"/>
      <w:lang w:val="en-US"/>
    </w:rPr>
  </w:style>
  <w:style w:type="paragraph" w:customStyle="1" w:styleId="Tekstdymka1">
    <w:name w:val="Tekst dymka1"/>
    <w:basedOn w:val="Normal"/>
    <w:semiHidden/>
    <w:unhideWhenUsed/>
    <w:rsid w:val="005F7799"/>
    <w:rPr>
      <w:rFonts w:ascii="Tahoma" w:hAnsi="Tahoma" w:cs="Tahoma"/>
      <w:sz w:val="16"/>
      <w:szCs w:val="16"/>
    </w:rPr>
  </w:style>
  <w:style w:type="character" w:customStyle="1" w:styleId="ZnakZnak">
    <w:name w:val="Znak Znak"/>
    <w:semiHidden/>
    <w:rsid w:val="005F7799"/>
    <w:rPr>
      <w:rFonts w:ascii="Tahoma" w:hAnsi="Tahoma" w:cs="Tahoma"/>
      <w:sz w:val="16"/>
      <w:szCs w:val="16"/>
      <w:lang w:val="pl-PL" w:eastAsia="pl-PL"/>
    </w:rPr>
  </w:style>
  <w:style w:type="paragraph" w:styleId="BalloonText">
    <w:name w:val="Balloon Text"/>
    <w:basedOn w:val="Normal"/>
    <w:semiHidden/>
    <w:rsid w:val="0009174B"/>
    <w:rPr>
      <w:rFonts w:ascii="Tahoma" w:hAnsi="Tahoma" w:cs="Tahoma"/>
      <w:sz w:val="16"/>
      <w:szCs w:val="16"/>
    </w:rPr>
  </w:style>
  <w:style w:type="character" w:customStyle="1" w:styleId="textklein">
    <w:name w:val="text_klein"/>
    <w:basedOn w:val="DefaultParagraphFont"/>
    <w:rsid w:val="00BC6785"/>
  </w:style>
  <w:style w:type="character" w:customStyle="1" w:styleId="Heading1Char">
    <w:name w:val="Heading 1 Char"/>
    <w:link w:val="Heading1"/>
    <w:uiPriority w:val="9"/>
    <w:rsid w:val="00BC6785"/>
    <w:rPr>
      <w:b/>
      <w:bCs/>
      <w:kern w:val="36"/>
      <w:sz w:val="48"/>
      <w:szCs w:val="48"/>
    </w:rPr>
  </w:style>
  <w:style w:type="character" w:customStyle="1" w:styleId="FootnoteTextChar">
    <w:name w:val="Footnote Text Char"/>
    <w:link w:val="FootnoteText"/>
    <w:uiPriority w:val="99"/>
    <w:semiHidden/>
    <w:rsid w:val="00DE19E2"/>
    <w:rPr>
      <w:lang w:val="pl-PL" w:eastAsia="pl-PL"/>
    </w:rPr>
  </w:style>
  <w:style w:type="character" w:customStyle="1" w:styleId="apple-style-span">
    <w:name w:val="apple-style-span"/>
    <w:basedOn w:val="DefaultParagraphFont"/>
    <w:rsid w:val="00A76E3A"/>
  </w:style>
  <w:style w:type="character" w:customStyle="1" w:styleId="apple-converted-space">
    <w:name w:val="apple-converted-space"/>
    <w:basedOn w:val="DefaultParagraphFont"/>
    <w:rsid w:val="00A76E3A"/>
  </w:style>
  <w:style w:type="paragraph" w:customStyle="1" w:styleId="Akapitzlist1">
    <w:name w:val="Akapit z listą1"/>
    <w:basedOn w:val="Normal"/>
    <w:qFormat/>
    <w:rsid w:val="0074019F"/>
    <w:pPr>
      <w:ind w:left="720"/>
    </w:pPr>
  </w:style>
  <w:style w:type="character" w:styleId="CommentReference">
    <w:name w:val="annotation reference"/>
    <w:rsid w:val="00B303BD"/>
    <w:rPr>
      <w:sz w:val="18"/>
      <w:szCs w:val="18"/>
    </w:rPr>
  </w:style>
  <w:style w:type="paragraph" w:styleId="CommentText">
    <w:name w:val="annotation text"/>
    <w:basedOn w:val="Normal"/>
    <w:link w:val="CommentTextChar"/>
    <w:rsid w:val="00B303BD"/>
  </w:style>
  <w:style w:type="character" w:customStyle="1" w:styleId="CommentTextChar">
    <w:name w:val="Comment Text Char"/>
    <w:link w:val="CommentText"/>
    <w:rsid w:val="00B303BD"/>
    <w:rPr>
      <w:sz w:val="24"/>
      <w:szCs w:val="24"/>
      <w:lang w:val="pl-PL" w:eastAsia="pl-PL"/>
    </w:rPr>
  </w:style>
  <w:style w:type="paragraph" w:styleId="CommentSubject">
    <w:name w:val="annotation subject"/>
    <w:basedOn w:val="CommentText"/>
    <w:next w:val="CommentText"/>
    <w:link w:val="CommentSubjectChar"/>
    <w:rsid w:val="00B303BD"/>
    <w:rPr>
      <w:b/>
      <w:bCs/>
    </w:rPr>
  </w:style>
  <w:style w:type="character" w:customStyle="1" w:styleId="CommentSubjectChar">
    <w:name w:val="Comment Subject Char"/>
    <w:link w:val="CommentSubject"/>
    <w:rsid w:val="00B303BD"/>
    <w:rPr>
      <w:b/>
      <w:bCs/>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93A"/>
    <w:rPr>
      <w:sz w:val="24"/>
      <w:szCs w:val="24"/>
      <w:lang w:val="pl-PL" w:eastAsia="pl-PL"/>
    </w:rPr>
  </w:style>
  <w:style w:type="paragraph" w:styleId="Heading1">
    <w:name w:val="heading 1"/>
    <w:basedOn w:val="Normal"/>
    <w:link w:val="Heading1Char"/>
    <w:uiPriority w:val="9"/>
    <w:qFormat/>
    <w:rsid w:val="00BC678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7799"/>
    <w:pPr>
      <w:tabs>
        <w:tab w:val="center" w:pos="4536"/>
        <w:tab w:val="right" w:pos="9072"/>
      </w:tabs>
    </w:pPr>
  </w:style>
  <w:style w:type="character" w:styleId="PageNumber">
    <w:name w:val="page number"/>
    <w:basedOn w:val="DefaultParagraphFont"/>
    <w:rsid w:val="005F7799"/>
  </w:style>
  <w:style w:type="paragraph" w:styleId="BodyTextIndent">
    <w:name w:val="Body Text Indent"/>
    <w:basedOn w:val="Normal"/>
    <w:rsid w:val="005F7799"/>
    <w:pPr>
      <w:spacing w:line="480" w:lineRule="auto"/>
      <w:ind w:firstLine="709"/>
      <w:jc w:val="both"/>
    </w:pPr>
    <w:rPr>
      <w:rFonts w:ascii="Arial" w:hAnsi="Arial" w:cs="Arial"/>
      <w:lang w:val="en-US"/>
    </w:rPr>
  </w:style>
  <w:style w:type="paragraph" w:styleId="FootnoteText">
    <w:name w:val="footnote text"/>
    <w:basedOn w:val="Normal"/>
    <w:link w:val="FootnoteTextChar"/>
    <w:uiPriority w:val="99"/>
    <w:semiHidden/>
    <w:rsid w:val="005F7799"/>
    <w:rPr>
      <w:sz w:val="20"/>
      <w:szCs w:val="20"/>
    </w:rPr>
  </w:style>
  <w:style w:type="character" w:styleId="FootnoteReference">
    <w:name w:val="footnote reference"/>
    <w:uiPriority w:val="99"/>
    <w:semiHidden/>
    <w:rsid w:val="005F7799"/>
    <w:rPr>
      <w:vertAlign w:val="superscript"/>
    </w:rPr>
  </w:style>
  <w:style w:type="paragraph" w:styleId="BodyTextIndent2">
    <w:name w:val="Body Text Indent 2"/>
    <w:basedOn w:val="Normal"/>
    <w:rsid w:val="005F7799"/>
    <w:pPr>
      <w:spacing w:line="480" w:lineRule="auto"/>
      <w:ind w:left="709" w:hanging="709"/>
      <w:jc w:val="both"/>
    </w:pPr>
    <w:rPr>
      <w:lang w:val="en-US" w:eastAsia="de-DE"/>
    </w:rPr>
  </w:style>
  <w:style w:type="character" w:styleId="Hyperlink">
    <w:name w:val="Hyperlink"/>
    <w:rsid w:val="005F7799"/>
    <w:rPr>
      <w:color w:val="0000FF"/>
      <w:u w:val="single"/>
    </w:rPr>
  </w:style>
  <w:style w:type="character" w:customStyle="1" w:styleId="hit">
    <w:name w:val="hit"/>
    <w:rsid w:val="005F7799"/>
    <w:rPr>
      <w:b/>
      <w:bCs/>
      <w:color w:val="FF0000"/>
    </w:rPr>
  </w:style>
  <w:style w:type="paragraph" w:styleId="Header">
    <w:name w:val="header"/>
    <w:basedOn w:val="Normal"/>
    <w:rsid w:val="005F7799"/>
    <w:pPr>
      <w:tabs>
        <w:tab w:val="center" w:pos="4320"/>
        <w:tab w:val="right" w:pos="8640"/>
      </w:tabs>
    </w:pPr>
  </w:style>
  <w:style w:type="paragraph" w:styleId="NormalWeb">
    <w:name w:val="Normal (Web)"/>
    <w:basedOn w:val="Normal"/>
    <w:uiPriority w:val="99"/>
    <w:rsid w:val="005F7799"/>
    <w:pPr>
      <w:spacing w:before="100" w:beforeAutospacing="1" w:after="100" w:afterAutospacing="1"/>
      <w:jc w:val="both"/>
    </w:pPr>
    <w:rPr>
      <w:lang w:val="en-US" w:eastAsia="en-US"/>
    </w:rPr>
  </w:style>
  <w:style w:type="character" w:styleId="FollowedHyperlink">
    <w:name w:val="FollowedHyperlink"/>
    <w:rsid w:val="005F7799"/>
    <w:rPr>
      <w:color w:val="800080"/>
      <w:u w:val="single"/>
    </w:rPr>
  </w:style>
  <w:style w:type="paragraph" w:styleId="BlockText">
    <w:name w:val="Block Text"/>
    <w:basedOn w:val="Normal"/>
    <w:rsid w:val="005F7799"/>
    <w:pPr>
      <w:ind w:left="720" w:right="758"/>
      <w:jc w:val="both"/>
    </w:pPr>
    <w:rPr>
      <w:rFonts w:ascii="Arial" w:hAnsi="Arial" w:cs="Arial"/>
      <w:lang w:val="en-US"/>
    </w:rPr>
  </w:style>
  <w:style w:type="paragraph" w:customStyle="1" w:styleId="Tekstdymka1">
    <w:name w:val="Tekst dymka1"/>
    <w:basedOn w:val="Normal"/>
    <w:semiHidden/>
    <w:unhideWhenUsed/>
    <w:rsid w:val="005F7799"/>
    <w:rPr>
      <w:rFonts w:ascii="Tahoma" w:hAnsi="Tahoma" w:cs="Tahoma"/>
      <w:sz w:val="16"/>
      <w:szCs w:val="16"/>
    </w:rPr>
  </w:style>
  <w:style w:type="character" w:customStyle="1" w:styleId="ZnakZnak">
    <w:name w:val="Znak Znak"/>
    <w:semiHidden/>
    <w:rsid w:val="005F7799"/>
    <w:rPr>
      <w:rFonts w:ascii="Tahoma" w:hAnsi="Tahoma" w:cs="Tahoma"/>
      <w:sz w:val="16"/>
      <w:szCs w:val="16"/>
      <w:lang w:val="pl-PL" w:eastAsia="pl-PL"/>
    </w:rPr>
  </w:style>
  <w:style w:type="paragraph" w:styleId="BalloonText">
    <w:name w:val="Balloon Text"/>
    <w:basedOn w:val="Normal"/>
    <w:semiHidden/>
    <w:rsid w:val="0009174B"/>
    <w:rPr>
      <w:rFonts w:ascii="Tahoma" w:hAnsi="Tahoma" w:cs="Tahoma"/>
      <w:sz w:val="16"/>
      <w:szCs w:val="16"/>
    </w:rPr>
  </w:style>
  <w:style w:type="character" w:customStyle="1" w:styleId="textklein">
    <w:name w:val="text_klein"/>
    <w:basedOn w:val="DefaultParagraphFont"/>
    <w:rsid w:val="00BC6785"/>
  </w:style>
  <w:style w:type="character" w:customStyle="1" w:styleId="Heading1Char">
    <w:name w:val="Heading 1 Char"/>
    <w:link w:val="Heading1"/>
    <w:uiPriority w:val="9"/>
    <w:rsid w:val="00BC6785"/>
    <w:rPr>
      <w:b/>
      <w:bCs/>
      <w:kern w:val="36"/>
      <w:sz w:val="48"/>
      <w:szCs w:val="48"/>
    </w:rPr>
  </w:style>
  <w:style w:type="character" w:customStyle="1" w:styleId="FootnoteTextChar">
    <w:name w:val="Footnote Text Char"/>
    <w:link w:val="FootnoteText"/>
    <w:uiPriority w:val="99"/>
    <w:semiHidden/>
    <w:rsid w:val="00DE19E2"/>
    <w:rPr>
      <w:lang w:val="pl-PL" w:eastAsia="pl-PL"/>
    </w:rPr>
  </w:style>
  <w:style w:type="character" w:customStyle="1" w:styleId="apple-style-span">
    <w:name w:val="apple-style-span"/>
    <w:basedOn w:val="DefaultParagraphFont"/>
    <w:rsid w:val="00A76E3A"/>
  </w:style>
  <w:style w:type="character" w:customStyle="1" w:styleId="apple-converted-space">
    <w:name w:val="apple-converted-space"/>
    <w:basedOn w:val="DefaultParagraphFont"/>
    <w:rsid w:val="00A76E3A"/>
  </w:style>
  <w:style w:type="paragraph" w:customStyle="1" w:styleId="Akapitzlist1">
    <w:name w:val="Akapit z listą1"/>
    <w:basedOn w:val="Normal"/>
    <w:qFormat/>
    <w:rsid w:val="0074019F"/>
    <w:pPr>
      <w:ind w:left="720"/>
    </w:pPr>
  </w:style>
  <w:style w:type="character" w:styleId="CommentReference">
    <w:name w:val="annotation reference"/>
    <w:rsid w:val="00B303BD"/>
    <w:rPr>
      <w:sz w:val="18"/>
      <w:szCs w:val="18"/>
    </w:rPr>
  </w:style>
  <w:style w:type="paragraph" w:styleId="CommentText">
    <w:name w:val="annotation text"/>
    <w:basedOn w:val="Normal"/>
    <w:link w:val="CommentTextChar"/>
    <w:rsid w:val="00B303BD"/>
  </w:style>
  <w:style w:type="character" w:customStyle="1" w:styleId="CommentTextChar">
    <w:name w:val="Comment Text Char"/>
    <w:link w:val="CommentText"/>
    <w:rsid w:val="00B303BD"/>
    <w:rPr>
      <w:sz w:val="24"/>
      <w:szCs w:val="24"/>
      <w:lang w:val="pl-PL" w:eastAsia="pl-PL"/>
    </w:rPr>
  </w:style>
  <w:style w:type="paragraph" w:styleId="CommentSubject">
    <w:name w:val="annotation subject"/>
    <w:basedOn w:val="CommentText"/>
    <w:next w:val="CommentText"/>
    <w:link w:val="CommentSubjectChar"/>
    <w:rsid w:val="00B303BD"/>
    <w:rPr>
      <w:b/>
      <w:bCs/>
    </w:rPr>
  </w:style>
  <w:style w:type="character" w:customStyle="1" w:styleId="CommentSubjectChar">
    <w:name w:val="Comment Subject Char"/>
    <w:link w:val="CommentSubject"/>
    <w:rsid w:val="00B303BD"/>
    <w:rPr>
      <w:b/>
      <w:bCs/>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7076">
      <w:bodyDiv w:val="1"/>
      <w:marLeft w:val="0"/>
      <w:marRight w:val="0"/>
      <w:marTop w:val="0"/>
      <w:marBottom w:val="0"/>
      <w:divBdr>
        <w:top w:val="none" w:sz="0" w:space="0" w:color="auto"/>
        <w:left w:val="none" w:sz="0" w:space="0" w:color="auto"/>
        <w:bottom w:val="none" w:sz="0" w:space="0" w:color="auto"/>
        <w:right w:val="none" w:sz="0" w:space="0" w:color="auto"/>
      </w:divBdr>
      <w:divsChild>
        <w:div w:id="307130609">
          <w:marLeft w:val="0"/>
          <w:marRight w:val="0"/>
          <w:marTop w:val="0"/>
          <w:marBottom w:val="0"/>
          <w:divBdr>
            <w:top w:val="none" w:sz="0" w:space="0" w:color="auto"/>
            <w:left w:val="none" w:sz="0" w:space="0" w:color="auto"/>
            <w:bottom w:val="none" w:sz="0" w:space="0" w:color="auto"/>
            <w:right w:val="none" w:sz="0" w:space="0" w:color="auto"/>
          </w:divBdr>
        </w:div>
        <w:div w:id="636835610">
          <w:marLeft w:val="0"/>
          <w:marRight w:val="0"/>
          <w:marTop w:val="0"/>
          <w:marBottom w:val="0"/>
          <w:divBdr>
            <w:top w:val="none" w:sz="0" w:space="0" w:color="auto"/>
            <w:left w:val="none" w:sz="0" w:space="0" w:color="auto"/>
            <w:bottom w:val="none" w:sz="0" w:space="0" w:color="auto"/>
            <w:right w:val="none" w:sz="0" w:space="0" w:color="auto"/>
          </w:divBdr>
        </w:div>
        <w:div w:id="878053633">
          <w:marLeft w:val="0"/>
          <w:marRight w:val="0"/>
          <w:marTop w:val="0"/>
          <w:marBottom w:val="0"/>
          <w:divBdr>
            <w:top w:val="none" w:sz="0" w:space="0" w:color="auto"/>
            <w:left w:val="none" w:sz="0" w:space="0" w:color="auto"/>
            <w:bottom w:val="none" w:sz="0" w:space="0" w:color="auto"/>
            <w:right w:val="none" w:sz="0" w:space="0" w:color="auto"/>
          </w:divBdr>
        </w:div>
        <w:div w:id="2047831282">
          <w:marLeft w:val="0"/>
          <w:marRight w:val="0"/>
          <w:marTop w:val="0"/>
          <w:marBottom w:val="0"/>
          <w:divBdr>
            <w:top w:val="none" w:sz="0" w:space="0" w:color="auto"/>
            <w:left w:val="none" w:sz="0" w:space="0" w:color="auto"/>
            <w:bottom w:val="none" w:sz="0" w:space="0" w:color="auto"/>
            <w:right w:val="none" w:sz="0" w:space="0" w:color="auto"/>
          </w:divBdr>
        </w:div>
      </w:divsChild>
    </w:div>
    <w:div w:id="285628138">
      <w:bodyDiv w:val="1"/>
      <w:marLeft w:val="0"/>
      <w:marRight w:val="0"/>
      <w:marTop w:val="0"/>
      <w:marBottom w:val="0"/>
      <w:divBdr>
        <w:top w:val="none" w:sz="0" w:space="0" w:color="auto"/>
        <w:left w:val="none" w:sz="0" w:space="0" w:color="auto"/>
        <w:bottom w:val="none" w:sz="0" w:space="0" w:color="auto"/>
        <w:right w:val="none" w:sz="0" w:space="0" w:color="auto"/>
      </w:divBdr>
    </w:div>
    <w:div w:id="460729531">
      <w:bodyDiv w:val="1"/>
      <w:marLeft w:val="0"/>
      <w:marRight w:val="0"/>
      <w:marTop w:val="0"/>
      <w:marBottom w:val="0"/>
      <w:divBdr>
        <w:top w:val="none" w:sz="0" w:space="0" w:color="auto"/>
        <w:left w:val="none" w:sz="0" w:space="0" w:color="auto"/>
        <w:bottom w:val="none" w:sz="0" w:space="0" w:color="auto"/>
        <w:right w:val="none" w:sz="0" w:space="0" w:color="auto"/>
      </w:divBdr>
    </w:div>
    <w:div w:id="603342336">
      <w:bodyDiv w:val="1"/>
      <w:marLeft w:val="0"/>
      <w:marRight w:val="0"/>
      <w:marTop w:val="0"/>
      <w:marBottom w:val="0"/>
      <w:divBdr>
        <w:top w:val="none" w:sz="0" w:space="0" w:color="auto"/>
        <w:left w:val="none" w:sz="0" w:space="0" w:color="auto"/>
        <w:bottom w:val="none" w:sz="0" w:space="0" w:color="auto"/>
        <w:right w:val="none" w:sz="0" w:space="0" w:color="auto"/>
      </w:divBdr>
    </w:div>
    <w:div w:id="634987771">
      <w:bodyDiv w:val="1"/>
      <w:marLeft w:val="0"/>
      <w:marRight w:val="0"/>
      <w:marTop w:val="0"/>
      <w:marBottom w:val="0"/>
      <w:divBdr>
        <w:top w:val="none" w:sz="0" w:space="0" w:color="auto"/>
        <w:left w:val="none" w:sz="0" w:space="0" w:color="auto"/>
        <w:bottom w:val="none" w:sz="0" w:space="0" w:color="auto"/>
        <w:right w:val="none" w:sz="0" w:space="0" w:color="auto"/>
      </w:divBdr>
      <w:divsChild>
        <w:div w:id="2088458981">
          <w:marLeft w:val="0"/>
          <w:marRight w:val="0"/>
          <w:marTop w:val="0"/>
          <w:marBottom w:val="0"/>
          <w:divBdr>
            <w:top w:val="none" w:sz="0" w:space="0" w:color="auto"/>
            <w:left w:val="none" w:sz="0" w:space="0" w:color="auto"/>
            <w:bottom w:val="none" w:sz="0" w:space="0" w:color="auto"/>
            <w:right w:val="none" w:sz="0" w:space="0" w:color="auto"/>
          </w:divBdr>
          <w:divsChild>
            <w:div w:id="128986468">
              <w:marLeft w:val="0"/>
              <w:marRight w:val="0"/>
              <w:marTop w:val="0"/>
              <w:marBottom w:val="0"/>
              <w:divBdr>
                <w:top w:val="none" w:sz="0" w:space="0" w:color="auto"/>
                <w:left w:val="none" w:sz="0" w:space="0" w:color="auto"/>
                <w:bottom w:val="none" w:sz="0" w:space="0" w:color="auto"/>
                <w:right w:val="none" w:sz="0" w:space="0" w:color="auto"/>
              </w:divBdr>
            </w:div>
            <w:div w:id="228812209">
              <w:marLeft w:val="0"/>
              <w:marRight w:val="0"/>
              <w:marTop w:val="0"/>
              <w:marBottom w:val="0"/>
              <w:divBdr>
                <w:top w:val="none" w:sz="0" w:space="0" w:color="auto"/>
                <w:left w:val="none" w:sz="0" w:space="0" w:color="auto"/>
                <w:bottom w:val="none" w:sz="0" w:space="0" w:color="auto"/>
                <w:right w:val="none" w:sz="0" w:space="0" w:color="auto"/>
              </w:divBdr>
            </w:div>
            <w:div w:id="705716131">
              <w:marLeft w:val="0"/>
              <w:marRight w:val="0"/>
              <w:marTop w:val="0"/>
              <w:marBottom w:val="0"/>
              <w:divBdr>
                <w:top w:val="none" w:sz="0" w:space="0" w:color="auto"/>
                <w:left w:val="none" w:sz="0" w:space="0" w:color="auto"/>
                <w:bottom w:val="none" w:sz="0" w:space="0" w:color="auto"/>
                <w:right w:val="none" w:sz="0" w:space="0" w:color="auto"/>
              </w:divBdr>
            </w:div>
            <w:div w:id="779883735">
              <w:marLeft w:val="0"/>
              <w:marRight w:val="0"/>
              <w:marTop w:val="0"/>
              <w:marBottom w:val="0"/>
              <w:divBdr>
                <w:top w:val="none" w:sz="0" w:space="0" w:color="auto"/>
                <w:left w:val="none" w:sz="0" w:space="0" w:color="auto"/>
                <w:bottom w:val="none" w:sz="0" w:space="0" w:color="auto"/>
                <w:right w:val="none" w:sz="0" w:space="0" w:color="auto"/>
              </w:divBdr>
            </w:div>
            <w:div w:id="846167864">
              <w:marLeft w:val="0"/>
              <w:marRight w:val="0"/>
              <w:marTop w:val="0"/>
              <w:marBottom w:val="0"/>
              <w:divBdr>
                <w:top w:val="none" w:sz="0" w:space="0" w:color="auto"/>
                <w:left w:val="none" w:sz="0" w:space="0" w:color="auto"/>
                <w:bottom w:val="none" w:sz="0" w:space="0" w:color="auto"/>
                <w:right w:val="none" w:sz="0" w:space="0" w:color="auto"/>
              </w:divBdr>
            </w:div>
            <w:div w:id="1680153872">
              <w:marLeft w:val="0"/>
              <w:marRight w:val="0"/>
              <w:marTop w:val="0"/>
              <w:marBottom w:val="0"/>
              <w:divBdr>
                <w:top w:val="none" w:sz="0" w:space="0" w:color="auto"/>
                <w:left w:val="none" w:sz="0" w:space="0" w:color="auto"/>
                <w:bottom w:val="none" w:sz="0" w:space="0" w:color="auto"/>
                <w:right w:val="none" w:sz="0" w:space="0" w:color="auto"/>
              </w:divBdr>
            </w:div>
            <w:div w:id="1704862700">
              <w:marLeft w:val="0"/>
              <w:marRight w:val="0"/>
              <w:marTop w:val="0"/>
              <w:marBottom w:val="0"/>
              <w:divBdr>
                <w:top w:val="none" w:sz="0" w:space="0" w:color="auto"/>
                <w:left w:val="none" w:sz="0" w:space="0" w:color="auto"/>
                <w:bottom w:val="none" w:sz="0" w:space="0" w:color="auto"/>
                <w:right w:val="none" w:sz="0" w:space="0" w:color="auto"/>
              </w:divBdr>
            </w:div>
            <w:div w:id="17321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57843">
      <w:bodyDiv w:val="1"/>
      <w:marLeft w:val="0"/>
      <w:marRight w:val="0"/>
      <w:marTop w:val="0"/>
      <w:marBottom w:val="0"/>
      <w:divBdr>
        <w:top w:val="none" w:sz="0" w:space="0" w:color="auto"/>
        <w:left w:val="none" w:sz="0" w:space="0" w:color="auto"/>
        <w:bottom w:val="none" w:sz="0" w:space="0" w:color="auto"/>
        <w:right w:val="none" w:sz="0" w:space="0" w:color="auto"/>
      </w:divBdr>
      <w:divsChild>
        <w:div w:id="133331037">
          <w:marLeft w:val="120"/>
          <w:marRight w:val="75"/>
          <w:marTop w:val="0"/>
          <w:marBottom w:val="0"/>
          <w:divBdr>
            <w:top w:val="none" w:sz="0" w:space="0" w:color="auto"/>
            <w:left w:val="none" w:sz="0" w:space="0" w:color="auto"/>
            <w:bottom w:val="none" w:sz="0" w:space="0" w:color="auto"/>
            <w:right w:val="none" w:sz="0" w:space="0" w:color="auto"/>
          </w:divBdr>
          <w:divsChild>
            <w:div w:id="430587939">
              <w:marLeft w:val="0"/>
              <w:marRight w:val="0"/>
              <w:marTop w:val="0"/>
              <w:marBottom w:val="0"/>
              <w:divBdr>
                <w:top w:val="none" w:sz="0" w:space="0" w:color="auto"/>
                <w:left w:val="none" w:sz="0" w:space="0" w:color="auto"/>
                <w:bottom w:val="none" w:sz="0" w:space="0" w:color="auto"/>
                <w:right w:val="none" w:sz="0" w:space="0" w:color="auto"/>
              </w:divBdr>
              <w:divsChild>
                <w:div w:id="953948089">
                  <w:marLeft w:val="0"/>
                  <w:marRight w:val="0"/>
                  <w:marTop w:val="0"/>
                  <w:marBottom w:val="0"/>
                  <w:divBdr>
                    <w:top w:val="none" w:sz="0" w:space="0" w:color="auto"/>
                    <w:left w:val="none" w:sz="0" w:space="0" w:color="auto"/>
                    <w:bottom w:val="none" w:sz="0" w:space="0" w:color="auto"/>
                    <w:right w:val="none" w:sz="0" w:space="0" w:color="auto"/>
                  </w:divBdr>
                  <w:divsChild>
                    <w:div w:id="1895267431">
                      <w:marLeft w:val="0"/>
                      <w:marRight w:val="0"/>
                      <w:marTop w:val="0"/>
                      <w:marBottom w:val="0"/>
                      <w:divBdr>
                        <w:top w:val="single" w:sz="6" w:space="0" w:color="D2E0C0"/>
                        <w:left w:val="single" w:sz="6" w:space="0" w:color="D2E0C0"/>
                        <w:bottom w:val="single" w:sz="6" w:space="0" w:color="D2E0C0"/>
                        <w:right w:val="single" w:sz="6" w:space="0" w:color="D2E0C0"/>
                      </w:divBdr>
                      <w:divsChild>
                        <w:div w:id="1184588203">
                          <w:marLeft w:val="0"/>
                          <w:marRight w:val="5490"/>
                          <w:marTop w:val="0"/>
                          <w:marBottom w:val="0"/>
                          <w:divBdr>
                            <w:top w:val="none" w:sz="0" w:space="0" w:color="auto"/>
                            <w:left w:val="none" w:sz="0" w:space="0" w:color="auto"/>
                            <w:bottom w:val="none" w:sz="0" w:space="0" w:color="auto"/>
                            <w:right w:val="none" w:sz="0" w:space="0" w:color="auto"/>
                          </w:divBdr>
                          <w:divsChild>
                            <w:div w:id="443621530">
                              <w:marLeft w:val="0"/>
                              <w:marRight w:val="0"/>
                              <w:marTop w:val="0"/>
                              <w:marBottom w:val="0"/>
                              <w:divBdr>
                                <w:top w:val="single" w:sz="6" w:space="0" w:color="D2E0C0"/>
                                <w:left w:val="none" w:sz="0" w:space="0" w:color="auto"/>
                                <w:bottom w:val="none" w:sz="0" w:space="0" w:color="auto"/>
                                <w:right w:val="none" w:sz="0" w:space="0" w:color="auto"/>
                              </w:divBdr>
                              <w:divsChild>
                                <w:div w:id="221601716">
                                  <w:marLeft w:val="0"/>
                                  <w:marRight w:val="0"/>
                                  <w:marTop w:val="0"/>
                                  <w:marBottom w:val="0"/>
                                  <w:divBdr>
                                    <w:top w:val="single" w:sz="6" w:space="0" w:color="F7F8F4"/>
                                    <w:left w:val="none" w:sz="0" w:space="0" w:color="auto"/>
                                    <w:bottom w:val="none" w:sz="0" w:space="0" w:color="auto"/>
                                    <w:right w:val="none" w:sz="0" w:space="0" w:color="auto"/>
                                  </w:divBdr>
                                  <w:divsChild>
                                    <w:div w:id="1137333918">
                                      <w:marLeft w:val="0"/>
                                      <w:marRight w:val="0"/>
                                      <w:marTop w:val="0"/>
                                      <w:marBottom w:val="0"/>
                                      <w:divBdr>
                                        <w:top w:val="none" w:sz="0" w:space="0" w:color="auto"/>
                                        <w:left w:val="none" w:sz="0" w:space="0" w:color="auto"/>
                                        <w:bottom w:val="none" w:sz="0" w:space="0" w:color="auto"/>
                                        <w:right w:val="none" w:sz="0" w:space="0" w:color="auto"/>
                                      </w:divBdr>
                                      <w:divsChild>
                                        <w:div w:id="1010137965">
                                          <w:marLeft w:val="0"/>
                                          <w:marRight w:val="0"/>
                                          <w:marTop w:val="0"/>
                                          <w:marBottom w:val="0"/>
                                          <w:divBdr>
                                            <w:top w:val="none" w:sz="0" w:space="0" w:color="auto"/>
                                            <w:left w:val="none" w:sz="0" w:space="0" w:color="auto"/>
                                            <w:bottom w:val="none" w:sz="0" w:space="0" w:color="auto"/>
                                            <w:right w:val="none" w:sz="0" w:space="0" w:color="auto"/>
                                          </w:divBdr>
                                          <w:divsChild>
                                            <w:div w:id="1472941079">
                                              <w:marLeft w:val="0"/>
                                              <w:marRight w:val="0"/>
                                              <w:marTop w:val="0"/>
                                              <w:marBottom w:val="0"/>
                                              <w:divBdr>
                                                <w:top w:val="none" w:sz="0" w:space="0" w:color="auto"/>
                                                <w:left w:val="none" w:sz="0" w:space="0" w:color="auto"/>
                                                <w:bottom w:val="none" w:sz="0" w:space="0" w:color="auto"/>
                                                <w:right w:val="none" w:sz="0" w:space="0" w:color="auto"/>
                                              </w:divBdr>
                                              <w:divsChild>
                                                <w:div w:id="889920416">
                                                  <w:marLeft w:val="45"/>
                                                  <w:marRight w:val="75"/>
                                                  <w:marTop w:val="0"/>
                                                  <w:marBottom w:val="0"/>
                                                  <w:divBdr>
                                                    <w:top w:val="none" w:sz="0" w:space="0" w:color="auto"/>
                                                    <w:left w:val="none" w:sz="0" w:space="0" w:color="auto"/>
                                                    <w:bottom w:val="none" w:sz="0" w:space="0" w:color="auto"/>
                                                    <w:right w:val="none" w:sz="0" w:space="0" w:color="auto"/>
                                                  </w:divBdr>
                                                  <w:divsChild>
                                                    <w:div w:id="214396213">
                                                      <w:marLeft w:val="0"/>
                                                      <w:marRight w:val="0"/>
                                                      <w:marTop w:val="0"/>
                                                      <w:marBottom w:val="0"/>
                                                      <w:divBdr>
                                                        <w:top w:val="none" w:sz="0" w:space="0" w:color="auto"/>
                                                        <w:left w:val="none" w:sz="0" w:space="0" w:color="auto"/>
                                                        <w:bottom w:val="none" w:sz="0" w:space="0" w:color="auto"/>
                                                        <w:right w:val="none" w:sz="0" w:space="0" w:color="auto"/>
                                                      </w:divBdr>
                                                      <w:divsChild>
                                                        <w:div w:id="1830900665">
                                                          <w:marLeft w:val="0"/>
                                                          <w:marRight w:val="-24000"/>
                                                          <w:marTop w:val="0"/>
                                                          <w:marBottom w:val="0"/>
                                                          <w:divBdr>
                                                            <w:top w:val="none" w:sz="0" w:space="0" w:color="auto"/>
                                                            <w:left w:val="none" w:sz="0" w:space="0" w:color="auto"/>
                                                            <w:bottom w:val="none" w:sz="0" w:space="0" w:color="auto"/>
                                                            <w:right w:val="none" w:sz="0" w:space="0" w:color="auto"/>
                                                          </w:divBdr>
                                                          <w:divsChild>
                                                            <w:div w:id="2018926258">
                                                              <w:marLeft w:val="0"/>
                                                              <w:marRight w:val="0"/>
                                                              <w:marTop w:val="0"/>
                                                              <w:marBottom w:val="0"/>
                                                              <w:divBdr>
                                                                <w:top w:val="none" w:sz="0" w:space="0" w:color="auto"/>
                                                                <w:left w:val="none" w:sz="0" w:space="0" w:color="auto"/>
                                                                <w:bottom w:val="none" w:sz="0" w:space="0" w:color="auto"/>
                                                                <w:right w:val="none" w:sz="0" w:space="0" w:color="auto"/>
                                                              </w:divBdr>
                                                              <w:divsChild>
                                                                <w:div w:id="1872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3425271">
      <w:bodyDiv w:val="1"/>
      <w:marLeft w:val="0"/>
      <w:marRight w:val="0"/>
      <w:marTop w:val="0"/>
      <w:marBottom w:val="0"/>
      <w:divBdr>
        <w:top w:val="none" w:sz="0" w:space="0" w:color="auto"/>
        <w:left w:val="none" w:sz="0" w:space="0" w:color="auto"/>
        <w:bottom w:val="none" w:sz="0" w:space="0" w:color="auto"/>
        <w:right w:val="none" w:sz="0" w:space="0" w:color="auto"/>
      </w:divBdr>
    </w:div>
    <w:div w:id="884292310">
      <w:bodyDiv w:val="1"/>
      <w:marLeft w:val="0"/>
      <w:marRight w:val="0"/>
      <w:marTop w:val="0"/>
      <w:marBottom w:val="0"/>
      <w:divBdr>
        <w:top w:val="none" w:sz="0" w:space="0" w:color="auto"/>
        <w:left w:val="none" w:sz="0" w:space="0" w:color="auto"/>
        <w:bottom w:val="none" w:sz="0" w:space="0" w:color="auto"/>
        <w:right w:val="none" w:sz="0" w:space="0" w:color="auto"/>
      </w:divBdr>
    </w:div>
    <w:div w:id="1062366991">
      <w:bodyDiv w:val="1"/>
      <w:marLeft w:val="0"/>
      <w:marRight w:val="0"/>
      <w:marTop w:val="0"/>
      <w:marBottom w:val="0"/>
      <w:divBdr>
        <w:top w:val="none" w:sz="0" w:space="0" w:color="auto"/>
        <w:left w:val="none" w:sz="0" w:space="0" w:color="auto"/>
        <w:bottom w:val="none" w:sz="0" w:space="0" w:color="auto"/>
        <w:right w:val="none" w:sz="0" w:space="0" w:color="auto"/>
      </w:divBdr>
    </w:div>
    <w:div w:id="1203861282">
      <w:bodyDiv w:val="1"/>
      <w:marLeft w:val="0"/>
      <w:marRight w:val="0"/>
      <w:marTop w:val="0"/>
      <w:marBottom w:val="0"/>
      <w:divBdr>
        <w:top w:val="none" w:sz="0" w:space="0" w:color="auto"/>
        <w:left w:val="none" w:sz="0" w:space="0" w:color="auto"/>
        <w:bottom w:val="none" w:sz="0" w:space="0" w:color="auto"/>
        <w:right w:val="none" w:sz="0" w:space="0" w:color="auto"/>
      </w:divBdr>
    </w:div>
    <w:div w:id="1338726272">
      <w:bodyDiv w:val="1"/>
      <w:marLeft w:val="0"/>
      <w:marRight w:val="0"/>
      <w:marTop w:val="0"/>
      <w:marBottom w:val="0"/>
      <w:divBdr>
        <w:top w:val="none" w:sz="0" w:space="0" w:color="auto"/>
        <w:left w:val="none" w:sz="0" w:space="0" w:color="auto"/>
        <w:bottom w:val="none" w:sz="0" w:space="0" w:color="auto"/>
        <w:right w:val="none" w:sz="0" w:space="0" w:color="auto"/>
      </w:divBdr>
    </w:div>
    <w:div w:id="1410535872">
      <w:bodyDiv w:val="1"/>
      <w:marLeft w:val="0"/>
      <w:marRight w:val="0"/>
      <w:marTop w:val="0"/>
      <w:marBottom w:val="0"/>
      <w:divBdr>
        <w:top w:val="none" w:sz="0" w:space="0" w:color="auto"/>
        <w:left w:val="none" w:sz="0" w:space="0" w:color="auto"/>
        <w:bottom w:val="none" w:sz="0" w:space="0" w:color="auto"/>
        <w:right w:val="none" w:sz="0" w:space="0" w:color="auto"/>
      </w:divBdr>
      <w:divsChild>
        <w:div w:id="1871602854">
          <w:marLeft w:val="0"/>
          <w:marRight w:val="0"/>
          <w:marTop w:val="0"/>
          <w:marBottom w:val="0"/>
          <w:divBdr>
            <w:top w:val="none" w:sz="0" w:space="0" w:color="auto"/>
            <w:left w:val="none" w:sz="0" w:space="0" w:color="auto"/>
            <w:bottom w:val="none" w:sz="0" w:space="0" w:color="auto"/>
            <w:right w:val="none" w:sz="0" w:space="0" w:color="auto"/>
          </w:divBdr>
          <w:divsChild>
            <w:div w:id="1898783336">
              <w:marLeft w:val="0"/>
              <w:marRight w:val="0"/>
              <w:marTop w:val="0"/>
              <w:marBottom w:val="0"/>
              <w:divBdr>
                <w:top w:val="none" w:sz="0" w:space="0" w:color="auto"/>
                <w:left w:val="none" w:sz="0" w:space="0" w:color="auto"/>
                <w:bottom w:val="none" w:sz="0" w:space="0" w:color="auto"/>
                <w:right w:val="none" w:sz="0" w:space="0" w:color="auto"/>
              </w:divBdr>
            </w:div>
          </w:divsChild>
        </w:div>
        <w:div w:id="1892691397">
          <w:marLeft w:val="0"/>
          <w:marRight w:val="0"/>
          <w:marTop w:val="0"/>
          <w:marBottom w:val="0"/>
          <w:divBdr>
            <w:top w:val="none" w:sz="0" w:space="0" w:color="auto"/>
            <w:left w:val="none" w:sz="0" w:space="0" w:color="auto"/>
            <w:bottom w:val="none" w:sz="0" w:space="0" w:color="auto"/>
            <w:right w:val="none" w:sz="0" w:space="0" w:color="auto"/>
          </w:divBdr>
          <w:divsChild>
            <w:div w:id="42296936">
              <w:marLeft w:val="0"/>
              <w:marRight w:val="0"/>
              <w:marTop w:val="0"/>
              <w:marBottom w:val="0"/>
              <w:divBdr>
                <w:top w:val="none" w:sz="0" w:space="0" w:color="auto"/>
                <w:left w:val="none" w:sz="0" w:space="0" w:color="auto"/>
                <w:bottom w:val="none" w:sz="0" w:space="0" w:color="auto"/>
                <w:right w:val="none" w:sz="0" w:space="0" w:color="auto"/>
              </w:divBdr>
              <w:divsChild>
                <w:div w:id="1299796250">
                  <w:marLeft w:val="0"/>
                  <w:marRight w:val="0"/>
                  <w:marTop w:val="0"/>
                  <w:marBottom w:val="0"/>
                  <w:divBdr>
                    <w:top w:val="none" w:sz="0" w:space="0" w:color="auto"/>
                    <w:left w:val="none" w:sz="0" w:space="0" w:color="auto"/>
                    <w:bottom w:val="none" w:sz="0" w:space="0" w:color="auto"/>
                    <w:right w:val="none" w:sz="0" w:space="0" w:color="auto"/>
                  </w:divBdr>
                </w:div>
              </w:divsChild>
            </w:div>
            <w:div w:id="11214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39476">
      <w:bodyDiv w:val="1"/>
      <w:marLeft w:val="0"/>
      <w:marRight w:val="0"/>
      <w:marTop w:val="0"/>
      <w:marBottom w:val="0"/>
      <w:divBdr>
        <w:top w:val="none" w:sz="0" w:space="0" w:color="auto"/>
        <w:left w:val="none" w:sz="0" w:space="0" w:color="auto"/>
        <w:bottom w:val="none" w:sz="0" w:space="0" w:color="auto"/>
        <w:right w:val="none" w:sz="0" w:space="0" w:color="auto"/>
      </w:divBdr>
    </w:div>
    <w:div w:id="1618753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1" Type="http://schemas.openxmlformats.org/officeDocument/2006/relationships/oleObject" Target="embeddings/oleObject6.bin"/><Relationship Id="rId42" Type="http://schemas.openxmlformats.org/officeDocument/2006/relationships/oleObject" Target="embeddings/oleObject17.bin"/><Relationship Id="rId63" Type="http://schemas.openxmlformats.org/officeDocument/2006/relationships/image" Target="media/image25.wmf"/><Relationship Id="rId84" Type="http://schemas.openxmlformats.org/officeDocument/2006/relationships/oleObject" Target="embeddings/oleObject44.bin"/><Relationship Id="rId138" Type="http://schemas.openxmlformats.org/officeDocument/2006/relationships/oleObject" Target="embeddings/oleObject78.bin"/><Relationship Id="rId159" Type="http://schemas.openxmlformats.org/officeDocument/2006/relationships/image" Target="media/image54.wmf"/><Relationship Id="rId170" Type="http://schemas.openxmlformats.org/officeDocument/2006/relationships/oleObject" Target="embeddings/oleObject105.bin"/><Relationship Id="rId191" Type="http://schemas.openxmlformats.org/officeDocument/2006/relationships/oleObject" Target="embeddings/oleObject122.bin"/><Relationship Id="rId205" Type="http://schemas.openxmlformats.org/officeDocument/2006/relationships/oleObject" Target="embeddings/oleObject136.bin"/><Relationship Id="rId226" Type="http://schemas.openxmlformats.org/officeDocument/2006/relationships/oleObject" Target="embeddings/oleObject155.bin"/><Relationship Id="rId247" Type="http://schemas.openxmlformats.org/officeDocument/2006/relationships/image" Target="media/image73.png"/><Relationship Id="rId107" Type="http://schemas.openxmlformats.org/officeDocument/2006/relationships/oleObject" Target="embeddings/oleObject57.bin"/><Relationship Id="rId11" Type="http://schemas.openxmlformats.org/officeDocument/2006/relationships/oleObject" Target="embeddings/oleObject1.bin"/><Relationship Id="rId32" Type="http://schemas.openxmlformats.org/officeDocument/2006/relationships/image" Target="media/image12.wmf"/><Relationship Id="rId53" Type="http://schemas.openxmlformats.org/officeDocument/2006/relationships/oleObject" Target="embeddings/oleObject23.bin"/><Relationship Id="rId74" Type="http://schemas.openxmlformats.org/officeDocument/2006/relationships/oleObject" Target="embeddings/oleObject36.bin"/><Relationship Id="rId128" Type="http://schemas.openxmlformats.org/officeDocument/2006/relationships/oleObject" Target="embeddings/oleObject68.bin"/><Relationship Id="rId149" Type="http://schemas.openxmlformats.org/officeDocument/2006/relationships/oleObject" Target="embeddings/oleObject87.bin"/><Relationship Id="rId5" Type="http://schemas.openxmlformats.org/officeDocument/2006/relationships/settings" Target="settings.xml"/><Relationship Id="rId95" Type="http://schemas.openxmlformats.org/officeDocument/2006/relationships/oleObject" Target="embeddings/oleObject51.bin"/><Relationship Id="rId160" Type="http://schemas.openxmlformats.org/officeDocument/2006/relationships/oleObject" Target="embeddings/oleObject97.bin"/><Relationship Id="rId181" Type="http://schemas.openxmlformats.org/officeDocument/2006/relationships/oleObject" Target="embeddings/oleObject115.bin"/><Relationship Id="rId216" Type="http://schemas.openxmlformats.org/officeDocument/2006/relationships/oleObject" Target="embeddings/oleObject145.bin"/><Relationship Id="rId237" Type="http://schemas.openxmlformats.org/officeDocument/2006/relationships/image" Target="media/image65.wmf"/><Relationship Id="rId22" Type="http://schemas.openxmlformats.org/officeDocument/2006/relationships/image" Target="media/image7.wmf"/><Relationship Id="rId43" Type="http://schemas.openxmlformats.org/officeDocument/2006/relationships/image" Target="media/image17.wmf"/><Relationship Id="rId64" Type="http://schemas.openxmlformats.org/officeDocument/2006/relationships/oleObject" Target="embeddings/oleObject30.bin"/><Relationship Id="rId118" Type="http://schemas.openxmlformats.org/officeDocument/2006/relationships/image" Target="media/image47.wmf"/><Relationship Id="rId139" Type="http://schemas.openxmlformats.org/officeDocument/2006/relationships/oleObject" Target="embeddings/oleObject79.bin"/><Relationship Id="rId85" Type="http://schemas.openxmlformats.org/officeDocument/2006/relationships/oleObject" Target="embeddings/oleObject45.bin"/><Relationship Id="rId150" Type="http://schemas.openxmlformats.org/officeDocument/2006/relationships/oleObject" Target="embeddings/oleObject88.bin"/><Relationship Id="rId171" Type="http://schemas.openxmlformats.org/officeDocument/2006/relationships/oleObject" Target="embeddings/oleObject106.bin"/><Relationship Id="rId192" Type="http://schemas.openxmlformats.org/officeDocument/2006/relationships/oleObject" Target="embeddings/oleObject123.bin"/><Relationship Id="rId206" Type="http://schemas.openxmlformats.org/officeDocument/2006/relationships/oleObject" Target="embeddings/oleObject137.bin"/><Relationship Id="rId227" Type="http://schemas.openxmlformats.org/officeDocument/2006/relationships/oleObject" Target="embeddings/oleObject156.bin"/><Relationship Id="rId248" Type="http://schemas.openxmlformats.org/officeDocument/2006/relationships/fontTable" Target="fontTable.xml"/><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5.wmf"/><Relationship Id="rId59" Type="http://schemas.openxmlformats.org/officeDocument/2006/relationships/image" Target="media/image23.wmf"/><Relationship Id="rId103" Type="http://schemas.openxmlformats.org/officeDocument/2006/relationships/oleObject" Target="embeddings/oleObject55.bin"/><Relationship Id="rId108" Type="http://schemas.openxmlformats.org/officeDocument/2006/relationships/image" Target="media/image42.wmf"/><Relationship Id="rId124" Type="http://schemas.openxmlformats.org/officeDocument/2006/relationships/image" Target="media/image50.wmf"/><Relationship Id="rId129" Type="http://schemas.openxmlformats.org/officeDocument/2006/relationships/oleObject" Target="embeddings/oleObject69.bin"/><Relationship Id="rId54" Type="http://schemas.openxmlformats.org/officeDocument/2006/relationships/oleObject" Target="embeddings/oleObject24.bin"/><Relationship Id="rId70" Type="http://schemas.openxmlformats.org/officeDocument/2006/relationships/oleObject" Target="embeddings/oleObject33.bin"/><Relationship Id="rId75" Type="http://schemas.openxmlformats.org/officeDocument/2006/relationships/image" Target="media/image30.wmf"/><Relationship Id="rId91" Type="http://schemas.openxmlformats.org/officeDocument/2006/relationships/oleObject" Target="embeddings/oleObject49.bin"/><Relationship Id="rId96" Type="http://schemas.openxmlformats.org/officeDocument/2006/relationships/image" Target="media/image36.wmf"/><Relationship Id="rId140" Type="http://schemas.openxmlformats.org/officeDocument/2006/relationships/oleObject" Target="embeddings/oleObject80.bin"/><Relationship Id="rId145" Type="http://schemas.openxmlformats.org/officeDocument/2006/relationships/image" Target="media/image52.wmf"/><Relationship Id="rId161" Type="http://schemas.openxmlformats.org/officeDocument/2006/relationships/oleObject" Target="embeddings/oleObject98.bin"/><Relationship Id="rId166" Type="http://schemas.openxmlformats.org/officeDocument/2006/relationships/oleObject" Target="embeddings/oleObject102.bin"/><Relationship Id="rId182" Type="http://schemas.openxmlformats.org/officeDocument/2006/relationships/oleObject" Target="embeddings/oleObject116.bin"/><Relationship Id="rId187" Type="http://schemas.openxmlformats.org/officeDocument/2006/relationships/oleObject" Target="embeddings/oleObject119.bin"/><Relationship Id="rId217" Type="http://schemas.openxmlformats.org/officeDocument/2006/relationships/oleObject" Target="embeddings/oleObject146.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62.wmf"/><Relationship Id="rId233" Type="http://schemas.openxmlformats.org/officeDocument/2006/relationships/footer" Target="footer2.xml"/><Relationship Id="rId238" Type="http://schemas.openxmlformats.org/officeDocument/2006/relationships/oleObject" Target="embeddings/oleObject162.bin"/><Relationship Id="rId23" Type="http://schemas.openxmlformats.org/officeDocument/2006/relationships/oleObject" Target="embeddings/oleObject7.bin"/><Relationship Id="rId28" Type="http://schemas.openxmlformats.org/officeDocument/2006/relationships/image" Target="media/image10.wmf"/><Relationship Id="rId49" Type="http://schemas.openxmlformats.org/officeDocument/2006/relationships/image" Target="media/image20.wmf"/><Relationship Id="rId114" Type="http://schemas.openxmlformats.org/officeDocument/2006/relationships/image" Target="media/image45.wmf"/><Relationship Id="rId119" Type="http://schemas.openxmlformats.org/officeDocument/2006/relationships/oleObject" Target="embeddings/oleObject63.bin"/><Relationship Id="rId44" Type="http://schemas.openxmlformats.org/officeDocument/2006/relationships/oleObject" Target="embeddings/oleObject18.bin"/><Relationship Id="rId60" Type="http://schemas.openxmlformats.org/officeDocument/2006/relationships/oleObject" Target="embeddings/oleObject28.bin"/><Relationship Id="rId65" Type="http://schemas.openxmlformats.org/officeDocument/2006/relationships/image" Target="media/image26.wmf"/><Relationship Id="rId81" Type="http://schemas.openxmlformats.org/officeDocument/2006/relationships/oleObject" Target="embeddings/oleObject41.bin"/><Relationship Id="rId86" Type="http://schemas.openxmlformats.org/officeDocument/2006/relationships/oleObject" Target="embeddings/oleObject46.bin"/><Relationship Id="rId130" Type="http://schemas.openxmlformats.org/officeDocument/2006/relationships/oleObject" Target="embeddings/oleObject70.bin"/><Relationship Id="rId135" Type="http://schemas.openxmlformats.org/officeDocument/2006/relationships/oleObject" Target="embeddings/oleObject75.bin"/><Relationship Id="rId151" Type="http://schemas.openxmlformats.org/officeDocument/2006/relationships/oleObject" Target="embeddings/oleObject89.bin"/><Relationship Id="rId156" Type="http://schemas.openxmlformats.org/officeDocument/2006/relationships/oleObject" Target="embeddings/oleObject94.bin"/><Relationship Id="rId177" Type="http://schemas.openxmlformats.org/officeDocument/2006/relationships/oleObject" Target="embeddings/oleObject112.bin"/><Relationship Id="rId198" Type="http://schemas.openxmlformats.org/officeDocument/2006/relationships/oleObject" Target="embeddings/oleObject129.bin"/><Relationship Id="rId172" Type="http://schemas.openxmlformats.org/officeDocument/2006/relationships/oleObject" Target="embeddings/oleObject107.bin"/><Relationship Id="rId193" Type="http://schemas.openxmlformats.org/officeDocument/2006/relationships/oleObject" Target="embeddings/oleObject124.bin"/><Relationship Id="rId202" Type="http://schemas.openxmlformats.org/officeDocument/2006/relationships/oleObject" Target="embeddings/oleObject133.bin"/><Relationship Id="rId207" Type="http://schemas.openxmlformats.org/officeDocument/2006/relationships/oleObject" Target="embeddings/oleObject138.bin"/><Relationship Id="rId223" Type="http://schemas.openxmlformats.org/officeDocument/2006/relationships/oleObject" Target="embeddings/oleObject152.bin"/><Relationship Id="rId228" Type="http://schemas.openxmlformats.org/officeDocument/2006/relationships/oleObject" Target="embeddings/oleObject157.bin"/><Relationship Id="rId244" Type="http://schemas.openxmlformats.org/officeDocument/2006/relationships/image" Target="media/image70.png"/><Relationship Id="rId249" Type="http://schemas.openxmlformats.org/officeDocument/2006/relationships/theme" Target="theme/theme1.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oleObject" Target="embeddings/oleObject58.bin"/><Relationship Id="rId34" Type="http://schemas.openxmlformats.org/officeDocument/2006/relationships/image" Target="media/image13.wmf"/><Relationship Id="rId50" Type="http://schemas.openxmlformats.org/officeDocument/2006/relationships/oleObject" Target="embeddings/oleObject21.bin"/><Relationship Id="rId55" Type="http://schemas.openxmlformats.org/officeDocument/2006/relationships/oleObject" Target="embeddings/oleObject25.bin"/><Relationship Id="rId76" Type="http://schemas.openxmlformats.org/officeDocument/2006/relationships/oleObject" Target="embeddings/oleObject37.bin"/><Relationship Id="rId97" Type="http://schemas.openxmlformats.org/officeDocument/2006/relationships/oleObject" Target="embeddings/oleObject52.bin"/><Relationship Id="rId104" Type="http://schemas.openxmlformats.org/officeDocument/2006/relationships/image" Target="media/image40.wmf"/><Relationship Id="rId120" Type="http://schemas.openxmlformats.org/officeDocument/2006/relationships/image" Target="media/image48.wmf"/><Relationship Id="rId125" Type="http://schemas.openxmlformats.org/officeDocument/2006/relationships/oleObject" Target="embeddings/oleObject66.bin"/><Relationship Id="rId141" Type="http://schemas.openxmlformats.org/officeDocument/2006/relationships/oleObject" Target="embeddings/oleObject81.bin"/><Relationship Id="rId146" Type="http://schemas.openxmlformats.org/officeDocument/2006/relationships/oleObject" Target="embeddings/oleObject85.bin"/><Relationship Id="rId167" Type="http://schemas.openxmlformats.org/officeDocument/2006/relationships/image" Target="media/image56.wmf"/><Relationship Id="rId188" Type="http://schemas.openxmlformats.org/officeDocument/2006/relationships/image" Target="media/image60.wmf"/><Relationship Id="rId7" Type="http://schemas.openxmlformats.org/officeDocument/2006/relationships/footnotes" Target="footnotes.xml"/><Relationship Id="rId71" Type="http://schemas.openxmlformats.org/officeDocument/2006/relationships/image" Target="media/image29.wmf"/><Relationship Id="rId92" Type="http://schemas.openxmlformats.org/officeDocument/2006/relationships/image" Target="media/image34.wmf"/><Relationship Id="rId162" Type="http://schemas.openxmlformats.org/officeDocument/2006/relationships/oleObject" Target="embeddings/oleObject99.bin"/><Relationship Id="rId183" Type="http://schemas.openxmlformats.org/officeDocument/2006/relationships/oleObject" Target="embeddings/oleObject117.bin"/><Relationship Id="rId213" Type="http://schemas.openxmlformats.org/officeDocument/2006/relationships/oleObject" Target="embeddings/oleObject142.bin"/><Relationship Id="rId218" Type="http://schemas.openxmlformats.org/officeDocument/2006/relationships/oleObject" Target="embeddings/oleObject147.bin"/><Relationship Id="rId234" Type="http://schemas.openxmlformats.org/officeDocument/2006/relationships/image" Target="media/image63.wmf"/><Relationship Id="rId239" Type="http://schemas.openxmlformats.org/officeDocument/2006/relationships/image" Target="media/image66.e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oleObject" Target="embeddings/oleObject16.bin"/><Relationship Id="rId45" Type="http://schemas.openxmlformats.org/officeDocument/2006/relationships/image" Target="media/image18.wmf"/><Relationship Id="rId66" Type="http://schemas.openxmlformats.org/officeDocument/2006/relationships/oleObject" Target="embeddings/oleObject31.bin"/><Relationship Id="rId87" Type="http://schemas.openxmlformats.org/officeDocument/2006/relationships/image" Target="media/image32.wmf"/><Relationship Id="rId110" Type="http://schemas.openxmlformats.org/officeDocument/2006/relationships/image" Target="media/image43.wmf"/><Relationship Id="rId115" Type="http://schemas.openxmlformats.org/officeDocument/2006/relationships/oleObject" Target="embeddings/oleObject61.bin"/><Relationship Id="rId131" Type="http://schemas.openxmlformats.org/officeDocument/2006/relationships/oleObject" Target="embeddings/oleObject71.bin"/><Relationship Id="rId136" Type="http://schemas.openxmlformats.org/officeDocument/2006/relationships/oleObject" Target="embeddings/oleObject76.bin"/><Relationship Id="rId157" Type="http://schemas.openxmlformats.org/officeDocument/2006/relationships/oleObject" Target="embeddings/oleObject95.bin"/><Relationship Id="rId178" Type="http://schemas.openxmlformats.org/officeDocument/2006/relationships/oleObject" Target="embeddings/oleObject113.bin"/><Relationship Id="rId61" Type="http://schemas.openxmlformats.org/officeDocument/2006/relationships/image" Target="media/image24.wmf"/><Relationship Id="rId82" Type="http://schemas.openxmlformats.org/officeDocument/2006/relationships/oleObject" Target="embeddings/oleObject42.bin"/><Relationship Id="rId152" Type="http://schemas.openxmlformats.org/officeDocument/2006/relationships/oleObject" Target="embeddings/oleObject90.bin"/><Relationship Id="rId173" Type="http://schemas.openxmlformats.org/officeDocument/2006/relationships/oleObject" Target="embeddings/oleObject108.bin"/><Relationship Id="rId194" Type="http://schemas.openxmlformats.org/officeDocument/2006/relationships/oleObject" Target="embeddings/oleObject125.bin"/><Relationship Id="rId199" Type="http://schemas.openxmlformats.org/officeDocument/2006/relationships/oleObject" Target="embeddings/oleObject130.bin"/><Relationship Id="rId203" Type="http://schemas.openxmlformats.org/officeDocument/2006/relationships/oleObject" Target="embeddings/oleObject134.bin"/><Relationship Id="rId208" Type="http://schemas.openxmlformats.org/officeDocument/2006/relationships/oleObject" Target="embeddings/oleObject139.bin"/><Relationship Id="rId229" Type="http://schemas.openxmlformats.org/officeDocument/2006/relationships/oleObject" Target="embeddings/oleObject158.bin"/><Relationship Id="rId19" Type="http://schemas.openxmlformats.org/officeDocument/2006/relationships/oleObject" Target="embeddings/oleObject5.bin"/><Relationship Id="rId224" Type="http://schemas.openxmlformats.org/officeDocument/2006/relationships/oleObject" Target="embeddings/oleObject153.bin"/><Relationship Id="rId240" Type="http://schemas.openxmlformats.org/officeDocument/2006/relationships/image" Target="media/image67.emf"/><Relationship Id="rId245" Type="http://schemas.openxmlformats.org/officeDocument/2006/relationships/image" Target="media/image71.png"/><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oleObject" Target="embeddings/oleObject26.bin"/><Relationship Id="rId77" Type="http://schemas.openxmlformats.org/officeDocument/2006/relationships/oleObject" Target="embeddings/oleObject38.bin"/><Relationship Id="rId100" Type="http://schemas.openxmlformats.org/officeDocument/2006/relationships/image" Target="media/image38.wmf"/><Relationship Id="rId105" Type="http://schemas.openxmlformats.org/officeDocument/2006/relationships/oleObject" Target="embeddings/oleObject56.bin"/><Relationship Id="rId126" Type="http://schemas.openxmlformats.org/officeDocument/2006/relationships/oleObject" Target="embeddings/oleObject67.bin"/><Relationship Id="rId147" Type="http://schemas.openxmlformats.org/officeDocument/2006/relationships/image" Target="media/image53.wmf"/><Relationship Id="rId168" Type="http://schemas.openxmlformats.org/officeDocument/2006/relationships/oleObject" Target="embeddings/oleObject103.bin"/><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oleObject" Target="embeddings/oleObject34.bin"/><Relationship Id="rId93" Type="http://schemas.openxmlformats.org/officeDocument/2006/relationships/oleObject" Target="embeddings/oleObject50.bin"/><Relationship Id="rId98" Type="http://schemas.openxmlformats.org/officeDocument/2006/relationships/image" Target="media/image37.wmf"/><Relationship Id="rId121" Type="http://schemas.openxmlformats.org/officeDocument/2006/relationships/oleObject" Target="embeddings/oleObject64.bin"/><Relationship Id="rId142" Type="http://schemas.openxmlformats.org/officeDocument/2006/relationships/oleObject" Target="embeddings/oleObject82.bin"/><Relationship Id="rId163" Type="http://schemas.openxmlformats.org/officeDocument/2006/relationships/oleObject" Target="embeddings/oleObject100.bin"/><Relationship Id="rId184" Type="http://schemas.openxmlformats.org/officeDocument/2006/relationships/image" Target="media/image58.wmf"/><Relationship Id="rId189" Type="http://schemas.openxmlformats.org/officeDocument/2006/relationships/oleObject" Target="embeddings/oleObject120.bin"/><Relationship Id="rId219" Type="http://schemas.openxmlformats.org/officeDocument/2006/relationships/oleObject" Target="embeddings/oleObject148.bin"/><Relationship Id="rId3" Type="http://schemas.openxmlformats.org/officeDocument/2006/relationships/styles" Target="styles.xml"/><Relationship Id="rId214" Type="http://schemas.openxmlformats.org/officeDocument/2006/relationships/oleObject" Target="embeddings/oleObject143.bin"/><Relationship Id="rId230" Type="http://schemas.openxmlformats.org/officeDocument/2006/relationships/oleObject" Target="embeddings/oleObject159.bin"/><Relationship Id="rId235" Type="http://schemas.openxmlformats.org/officeDocument/2006/relationships/oleObject" Target="embeddings/oleObject161.bin"/><Relationship Id="rId25" Type="http://schemas.openxmlformats.org/officeDocument/2006/relationships/oleObject" Target="embeddings/oleObject8.bin"/><Relationship Id="rId46" Type="http://schemas.openxmlformats.org/officeDocument/2006/relationships/oleObject" Target="embeddings/oleObject19.bin"/><Relationship Id="rId67" Type="http://schemas.openxmlformats.org/officeDocument/2006/relationships/image" Target="media/image27.wmf"/><Relationship Id="rId116" Type="http://schemas.openxmlformats.org/officeDocument/2006/relationships/image" Target="media/image46.wmf"/><Relationship Id="rId137" Type="http://schemas.openxmlformats.org/officeDocument/2006/relationships/oleObject" Target="embeddings/oleObject77.bin"/><Relationship Id="rId158" Type="http://schemas.openxmlformats.org/officeDocument/2006/relationships/oleObject" Target="embeddings/oleObject96.bin"/><Relationship Id="rId20" Type="http://schemas.openxmlformats.org/officeDocument/2006/relationships/image" Target="media/image6.wmf"/><Relationship Id="rId41" Type="http://schemas.openxmlformats.org/officeDocument/2006/relationships/image" Target="media/image16.wmf"/><Relationship Id="rId62" Type="http://schemas.openxmlformats.org/officeDocument/2006/relationships/oleObject" Target="embeddings/oleObject29.bin"/><Relationship Id="rId83" Type="http://schemas.openxmlformats.org/officeDocument/2006/relationships/oleObject" Target="embeddings/oleObject43.bin"/><Relationship Id="rId88" Type="http://schemas.openxmlformats.org/officeDocument/2006/relationships/oleObject" Target="embeddings/oleObject47.bin"/><Relationship Id="rId111" Type="http://schemas.openxmlformats.org/officeDocument/2006/relationships/oleObject" Target="embeddings/oleObject59.bin"/><Relationship Id="rId132" Type="http://schemas.openxmlformats.org/officeDocument/2006/relationships/oleObject" Target="embeddings/oleObject72.bin"/><Relationship Id="rId153" Type="http://schemas.openxmlformats.org/officeDocument/2006/relationships/oleObject" Target="embeddings/oleObject91.bin"/><Relationship Id="rId174" Type="http://schemas.openxmlformats.org/officeDocument/2006/relationships/oleObject" Target="embeddings/oleObject109.bin"/><Relationship Id="rId179" Type="http://schemas.openxmlformats.org/officeDocument/2006/relationships/image" Target="media/image57.wmf"/><Relationship Id="rId195" Type="http://schemas.openxmlformats.org/officeDocument/2006/relationships/oleObject" Target="embeddings/oleObject126.bin"/><Relationship Id="rId209" Type="http://schemas.openxmlformats.org/officeDocument/2006/relationships/oleObject" Target="embeddings/oleObject140.bin"/><Relationship Id="rId190" Type="http://schemas.openxmlformats.org/officeDocument/2006/relationships/oleObject" Target="embeddings/oleObject121.bin"/><Relationship Id="rId204" Type="http://schemas.openxmlformats.org/officeDocument/2006/relationships/oleObject" Target="embeddings/oleObject135.bin"/><Relationship Id="rId220" Type="http://schemas.openxmlformats.org/officeDocument/2006/relationships/oleObject" Target="embeddings/oleObject149.bin"/><Relationship Id="rId225" Type="http://schemas.openxmlformats.org/officeDocument/2006/relationships/oleObject" Target="embeddings/oleObject154.bin"/><Relationship Id="rId241" Type="http://schemas.openxmlformats.org/officeDocument/2006/relationships/image" Target="media/image68.emf"/><Relationship Id="rId246" Type="http://schemas.openxmlformats.org/officeDocument/2006/relationships/image" Target="media/image72.png"/><Relationship Id="rId15" Type="http://schemas.openxmlformats.org/officeDocument/2006/relationships/oleObject" Target="embeddings/oleObject3.bin"/><Relationship Id="rId36" Type="http://schemas.openxmlformats.org/officeDocument/2006/relationships/image" Target="media/image14.wmf"/><Relationship Id="rId57" Type="http://schemas.openxmlformats.org/officeDocument/2006/relationships/image" Target="media/image22.wmf"/><Relationship Id="rId106" Type="http://schemas.openxmlformats.org/officeDocument/2006/relationships/image" Target="media/image41.wmf"/><Relationship Id="rId127" Type="http://schemas.openxmlformats.org/officeDocument/2006/relationships/image" Target="media/image51.wmf"/><Relationship Id="rId10" Type="http://schemas.openxmlformats.org/officeDocument/2006/relationships/image" Target="media/image1.wmf"/><Relationship Id="rId31" Type="http://schemas.openxmlformats.org/officeDocument/2006/relationships/oleObject" Target="embeddings/oleObject11.bin"/><Relationship Id="rId52" Type="http://schemas.openxmlformats.org/officeDocument/2006/relationships/image" Target="media/image21.wmf"/><Relationship Id="rId73" Type="http://schemas.openxmlformats.org/officeDocument/2006/relationships/oleObject" Target="embeddings/oleObject35.bin"/><Relationship Id="rId78" Type="http://schemas.openxmlformats.org/officeDocument/2006/relationships/oleObject" Target="embeddings/oleObject39.bin"/><Relationship Id="rId94" Type="http://schemas.openxmlformats.org/officeDocument/2006/relationships/image" Target="media/image35.wmf"/><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image" Target="media/image49.wmf"/><Relationship Id="rId143" Type="http://schemas.openxmlformats.org/officeDocument/2006/relationships/oleObject" Target="embeddings/oleObject83.bin"/><Relationship Id="rId148" Type="http://schemas.openxmlformats.org/officeDocument/2006/relationships/oleObject" Target="embeddings/oleObject86.bin"/><Relationship Id="rId164" Type="http://schemas.openxmlformats.org/officeDocument/2006/relationships/image" Target="media/image55.wmf"/><Relationship Id="rId169" Type="http://schemas.openxmlformats.org/officeDocument/2006/relationships/oleObject" Target="embeddings/oleObject104.bin"/><Relationship Id="rId185" Type="http://schemas.openxmlformats.org/officeDocument/2006/relationships/oleObject" Target="embeddings/oleObject118.bin"/><Relationship Id="rId4" Type="http://schemas.microsoft.com/office/2007/relationships/stylesWithEffects" Target="stylesWithEffects.xml"/><Relationship Id="rId9" Type="http://schemas.openxmlformats.org/officeDocument/2006/relationships/hyperlink" Target="mailto:janusz.brzeszczynski@northumbria.ac.uk" TargetMode="External"/><Relationship Id="rId180" Type="http://schemas.openxmlformats.org/officeDocument/2006/relationships/oleObject" Target="embeddings/oleObject114.bin"/><Relationship Id="rId210" Type="http://schemas.openxmlformats.org/officeDocument/2006/relationships/image" Target="media/image61.wmf"/><Relationship Id="rId215" Type="http://schemas.openxmlformats.org/officeDocument/2006/relationships/oleObject" Target="embeddings/oleObject144.bin"/><Relationship Id="rId236" Type="http://schemas.openxmlformats.org/officeDocument/2006/relationships/image" Target="media/image64.emf"/><Relationship Id="rId26" Type="http://schemas.openxmlformats.org/officeDocument/2006/relationships/image" Target="media/image9.wmf"/><Relationship Id="rId231" Type="http://schemas.openxmlformats.org/officeDocument/2006/relationships/oleObject" Target="embeddings/oleObject160.bin"/><Relationship Id="rId47" Type="http://schemas.openxmlformats.org/officeDocument/2006/relationships/image" Target="media/image19.wmf"/><Relationship Id="rId68" Type="http://schemas.openxmlformats.org/officeDocument/2006/relationships/oleObject" Target="embeddings/oleObject32.bin"/><Relationship Id="rId89" Type="http://schemas.openxmlformats.org/officeDocument/2006/relationships/oleObject" Target="embeddings/oleObject48.bin"/><Relationship Id="rId112" Type="http://schemas.openxmlformats.org/officeDocument/2006/relationships/image" Target="media/image44.wmf"/><Relationship Id="rId133" Type="http://schemas.openxmlformats.org/officeDocument/2006/relationships/oleObject" Target="embeddings/oleObject73.bin"/><Relationship Id="rId154" Type="http://schemas.openxmlformats.org/officeDocument/2006/relationships/oleObject" Target="embeddings/oleObject92.bin"/><Relationship Id="rId175" Type="http://schemas.openxmlformats.org/officeDocument/2006/relationships/oleObject" Target="embeddings/oleObject110.bin"/><Relationship Id="rId196" Type="http://schemas.openxmlformats.org/officeDocument/2006/relationships/oleObject" Target="embeddings/oleObject127.bin"/><Relationship Id="rId200" Type="http://schemas.openxmlformats.org/officeDocument/2006/relationships/oleObject" Target="embeddings/oleObject131.bin"/><Relationship Id="rId16" Type="http://schemas.openxmlformats.org/officeDocument/2006/relationships/image" Target="media/image4.wmf"/><Relationship Id="rId221" Type="http://schemas.openxmlformats.org/officeDocument/2006/relationships/oleObject" Target="embeddings/oleObject150.bin"/><Relationship Id="rId242" Type="http://schemas.openxmlformats.org/officeDocument/2006/relationships/oleObject" Target="embeddings/oleObject163.bin"/><Relationship Id="rId37" Type="http://schemas.openxmlformats.org/officeDocument/2006/relationships/oleObject" Target="embeddings/oleObject14.bin"/><Relationship Id="rId58" Type="http://schemas.openxmlformats.org/officeDocument/2006/relationships/oleObject" Target="embeddings/oleObject27.bin"/><Relationship Id="rId79" Type="http://schemas.openxmlformats.org/officeDocument/2006/relationships/oleObject" Target="embeddings/oleObject40.bin"/><Relationship Id="rId102" Type="http://schemas.openxmlformats.org/officeDocument/2006/relationships/image" Target="media/image39.wmf"/><Relationship Id="rId123" Type="http://schemas.openxmlformats.org/officeDocument/2006/relationships/oleObject" Target="embeddings/oleObject65.bin"/><Relationship Id="rId144" Type="http://schemas.openxmlformats.org/officeDocument/2006/relationships/oleObject" Target="embeddings/oleObject84.bin"/><Relationship Id="rId90" Type="http://schemas.openxmlformats.org/officeDocument/2006/relationships/image" Target="media/image33.wmf"/><Relationship Id="rId165" Type="http://schemas.openxmlformats.org/officeDocument/2006/relationships/oleObject" Target="embeddings/oleObject101.bin"/><Relationship Id="rId186" Type="http://schemas.openxmlformats.org/officeDocument/2006/relationships/image" Target="media/image59.wmf"/><Relationship Id="rId211" Type="http://schemas.openxmlformats.org/officeDocument/2006/relationships/oleObject" Target="embeddings/oleObject141.bin"/><Relationship Id="rId232" Type="http://schemas.openxmlformats.org/officeDocument/2006/relationships/footer" Target="footer1.xml"/><Relationship Id="rId27" Type="http://schemas.openxmlformats.org/officeDocument/2006/relationships/oleObject" Target="embeddings/oleObject9.bin"/><Relationship Id="rId48" Type="http://schemas.openxmlformats.org/officeDocument/2006/relationships/oleObject" Target="embeddings/oleObject20.bin"/><Relationship Id="rId69" Type="http://schemas.openxmlformats.org/officeDocument/2006/relationships/image" Target="media/image28.wmf"/><Relationship Id="rId113" Type="http://schemas.openxmlformats.org/officeDocument/2006/relationships/oleObject" Target="embeddings/oleObject60.bin"/><Relationship Id="rId134" Type="http://schemas.openxmlformats.org/officeDocument/2006/relationships/oleObject" Target="embeddings/oleObject74.bin"/><Relationship Id="rId80" Type="http://schemas.openxmlformats.org/officeDocument/2006/relationships/image" Target="media/image31.wmf"/><Relationship Id="rId155" Type="http://schemas.openxmlformats.org/officeDocument/2006/relationships/oleObject" Target="embeddings/oleObject93.bin"/><Relationship Id="rId176" Type="http://schemas.openxmlformats.org/officeDocument/2006/relationships/oleObject" Target="embeddings/oleObject111.bin"/><Relationship Id="rId197" Type="http://schemas.openxmlformats.org/officeDocument/2006/relationships/oleObject" Target="embeddings/oleObject128.bin"/><Relationship Id="rId201" Type="http://schemas.openxmlformats.org/officeDocument/2006/relationships/oleObject" Target="embeddings/oleObject132.bin"/><Relationship Id="rId222" Type="http://schemas.openxmlformats.org/officeDocument/2006/relationships/oleObject" Target="embeddings/oleObject151.bin"/><Relationship Id="rId243" Type="http://schemas.openxmlformats.org/officeDocument/2006/relationships/image" Target="media/image6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A9650-C29F-4A24-995E-441616B3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17191</Words>
  <Characters>97991</Characters>
  <Application>Microsoft Office Word</Application>
  <DocSecurity>0</DocSecurity>
  <Lines>816</Lines>
  <Paragraphs>229</Paragraphs>
  <ScaleCrop>false</ScaleCrop>
  <HeadingPairs>
    <vt:vector size="6" baseType="variant">
      <vt:variant>
        <vt:lpstr>Title</vt:lpstr>
      </vt:variant>
      <vt:variant>
        <vt:i4>1</vt:i4>
      </vt:variant>
      <vt:variant>
        <vt:lpstr>Titel</vt:lpstr>
      </vt:variant>
      <vt:variant>
        <vt:i4>1</vt:i4>
      </vt:variant>
      <vt:variant>
        <vt:lpstr>Tytuł</vt:lpstr>
      </vt:variant>
      <vt:variant>
        <vt:i4>1</vt:i4>
      </vt:variant>
    </vt:vector>
  </HeadingPairs>
  <TitlesOfParts>
    <vt:vector size="3" baseType="lpstr">
      <vt:lpstr>NBP announcements paper</vt:lpstr>
      <vt:lpstr>NBP announcements paper</vt:lpstr>
      <vt:lpstr>NBP announcements paper</vt:lpstr>
    </vt:vector>
  </TitlesOfParts>
  <Company>Northumbria University</Company>
  <LinksUpToDate>false</LinksUpToDate>
  <CharactersWithSpaces>114953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NBP announcements paper</dc:title>
  <dc:creator>Janusz Brzeszczyński and Ali M. Kutan</dc:creator>
  <cp:lastModifiedBy>Administrator</cp:lastModifiedBy>
  <cp:revision>2</cp:revision>
  <cp:lastPrinted>2014-07-17T16:22:00Z</cp:lastPrinted>
  <dcterms:created xsi:type="dcterms:W3CDTF">2015-10-28T13:14:00Z</dcterms:created>
  <dcterms:modified xsi:type="dcterms:W3CDTF">2015-10-28T13:14:00Z</dcterms:modified>
</cp:coreProperties>
</file>