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65328" w14:textId="77777777" w:rsidR="00756FAF" w:rsidRDefault="00717539" w:rsidP="00724D5D">
      <w:pPr>
        <w:spacing w:after="0" w:line="240" w:lineRule="auto"/>
        <w:rPr>
          <w:rFonts w:cstheme="minorHAnsi"/>
          <w:b/>
          <w:sz w:val="24"/>
          <w:szCs w:val="24"/>
          <w:u w:val="single"/>
        </w:rPr>
      </w:pPr>
      <w:r w:rsidRPr="0059559C">
        <w:rPr>
          <w:rFonts w:cstheme="minorHAnsi"/>
          <w:b/>
          <w:sz w:val="24"/>
          <w:szCs w:val="24"/>
          <w:u w:val="single"/>
        </w:rPr>
        <w:t>The application of</w:t>
      </w:r>
      <w:r w:rsidR="00756FAF" w:rsidRPr="0059559C">
        <w:rPr>
          <w:rFonts w:cstheme="minorHAnsi"/>
          <w:b/>
          <w:sz w:val="24"/>
          <w:szCs w:val="24"/>
          <w:u w:val="single"/>
        </w:rPr>
        <w:t xml:space="preserve"> Directive 95/46/EC and </w:t>
      </w:r>
      <w:r w:rsidRPr="0059559C">
        <w:rPr>
          <w:rFonts w:cstheme="minorHAnsi"/>
          <w:b/>
          <w:sz w:val="24"/>
          <w:szCs w:val="24"/>
          <w:u w:val="single"/>
        </w:rPr>
        <w:t>the D</w:t>
      </w:r>
      <w:r w:rsidR="00C9191C" w:rsidRPr="0059559C">
        <w:rPr>
          <w:rFonts w:cstheme="minorHAnsi"/>
          <w:b/>
          <w:sz w:val="24"/>
          <w:szCs w:val="24"/>
          <w:u w:val="single"/>
        </w:rPr>
        <w:t>ata Protection Act 1998 when an</w:t>
      </w:r>
      <w:r w:rsidR="00411DA0" w:rsidRPr="0059559C">
        <w:rPr>
          <w:rFonts w:cstheme="minorHAnsi"/>
          <w:b/>
          <w:sz w:val="24"/>
          <w:szCs w:val="24"/>
          <w:u w:val="single"/>
        </w:rPr>
        <w:t xml:space="preserve"> </w:t>
      </w:r>
      <w:r w:rsidRPr="0059559C">
        <w:rPr>
          <w:rFonts w:cstheme="minorHAnsi"/>
          <w:b/>
          <w:sz w:val="24"/>
          <w:szCs w:val="24"/>
          <w:u w:val="single"/>
        </w:rPr>
        <w:t xml:space="preserve">individual posts photographs </w:t>
      </w:r>
      <w:r w:rsidR="00411DA0" w:rsidRPr="0059559C">
        <w:rPr>
          <w:rFonts w:cstheme="minorHAnsi"/>
          <w:b/>
          <w:sz w:val="24"/>
          <w:szCs w:val="24"/>
          <w:u w:val="single"/>
        </w:rPr>
        <w:t xml:space="preserve">of other individuals </w:t>
      </w:r>
      <w:r w:rsidRPr="0059559C">
        <w:rPr>
          <w:rFonts w:cstheme="minorHAnsi"/>
          <w:b/>
          <w:sz w:val="24"/>
          <w:szCs w:val="24"/>
          <w:u w:val="single"/>
        </w:rPr>
        <w:t xml:space="preserve">online </w:t>
      </w:r>
    </w:p>
    <w:p w14:paraId="0A0EDF12" w14:textId="77777777" w:rsidR="00075BB9" w:rsidRDefault="00075BB9" w:rsidP="00724D5D">
      <w:pPr>
        <w:spacing w:after="0" w:line="240" w:lineRule="auto"/>
        <w:rPr>
          <w:rFonts w:cstheme="minorHAnsi"/>
          <w:b/>
          <w:sz w:val="24"/>
          <w:szCs w:val="24"/>
          <w:u w:val="single"/>
        </w:rPr>
      </w:pPr>
    </w:p>
    <w:p w14:paraId="77906604" w14:textId="06BA6964" w:rsidR="00075BB9" w:rsidRPr="00137B63" w:rsidRDefault="00075BB9" w:rsidP="00724D5D">
      <w:pPr>
        <w:spacing w:after="0" w:line="240" w:lineRule="auto"/>
        <w:rPr>
          <w:rFonts w:cstheme="minorHAnsi"/>
          <w:b/>
          <w:sz w:val="24"/>
          <w:szCs w:val="24"/>
        </w:rPr>
      </w:pPr>
      <w:bookmarkStart w:id="0" w:name="_GoBack"/>
      <w:r w:rsidRPr="00137B63">
        <w:rPr>
          <w:rFonts w:cstheme="minorHAnsi"/>
          <w:b/>
          <w:sz w:val="24"/>
          <w:szCs w:val="24"/>
        </w:rPr>
        <w:t xml:space="preserve">Claire Bessant, Principal Lecturer, Northumbria Law School </w:t>
      </w:r>
    </w:p>
    <w:bookmarkEnd w:id="0"/>
    <w:p w14:paraId="79A6954B" w14:textId="70BE8AEE" w:rsidR="00075BB9" w:rsidRPr="00075BB9" w:rsidRDefault="00075BB9" w:rsidP="00724D5D">
      <w:pPr>
        <w:spacing w:after="0" w:line="240" w:lineRule="auto"/>
        <w:rPr>
          <w:rFonts w:cstheme="minorHAnsi"/>
          <w:b/>
          <w:sz w:val="24"/>
          <w:szCs w:val="24"/>
        </w:rPr>
      </w:pPr>
      <w:r>
        <w:rPr>
          <w:rFonts w:cstheme="minorHAnsi"/>
          <w:b/>
          <w:sz w:val="24"/>
          <w:szCs w:val="24"/>
        </w:rPr>
        <w:t>claire.bessant@northumbria.ac.uk</w:t>
      </w:r>
    </w:p>
    <w:p w14:paraId="5179F00A" w14:textId="77777777" w:rsidR="00160576" w:rsidRDefault="00160576" w:rsidP="00724D5D">
      <w:pPr>
        <w:spacing w:after="0" w:line="240" w:lineRule="auto"/>
        <w:rPr>
          <w:rFonts w:cstheme="minorHAnsi"/>
          <w:b/>
          <w:sz w:val="24"/>
          <w:szCs w:val="24"/>
          <w:u w:val="single"/>
        </w:rPr>
      </w:pPr>
    </w:p>
    <w:p w14:paraId="1DC0EC6B" w14:textId="16200274" w:rsidR="00160576" w:rsidRPr="00160576" w:rsidRDefault="00160576" w:rsidP="00160576">
      <w:pPr>
        <w:spacing w:after="0" w:line="240" w:lineRule="auto"/>
        <w:rPr>
          <w:rFonts w:cstheme="minorHAnsi"/>
          <w:i/>
          <w:sz w:val="24"/>
          <w:szCs w:val="24"/>
        </w:rPr>
      </w:pPr>
      <w:r w:rsidRPr="00160576">
        <w:rPr>
          <w:rFonts w:cstheme="minorHAnsi"/>
          <w:i/>
          <w:sz w:val="24"/>
          <w:szCs w:val="24"/>
        </w:rPr>
        <w:t xml:space="preserve">It has long been the tradition in the United Kingdom for parents to take photographs at school events.  </w:t>
      </w:r>
      <w:r w:rsidR="00421607">
        <w:rPr>
          <w:rFonts w:cstheme="minorHAnsi"/>
          <w:i/>
          <w:sz w:val="24"/>
          <w:szCs w:val="24"/>
        </w:rPr>
        <w:t>Such p</w:t>
      </w:r>
      <w:r w:rsidRPr="00160576">
        <w:rPr>
          <w:rFonts w:cstheme="minorHAnsi"/>
          <w:i/>
          <w:sz w:val="24"/>
          <w:szCs w:val="24"/>
        </w:rPr>
        <w:t xml:space="preserve">hotographs often capture images of several children.  </w:t>
      </w:r>
      <w:r w:rsidR="00421607">
        <w:rPr>
          <w:rFonts w:cstheme="minorHAnsi"/>
          <w:i/>
          <w:sz w:val="24"/>
          <w:szCs w:val="24"/>
        </w:rPr>
        <w:t>W</w:t>
      </w:r>
      <w:r w:rsidRPr="00160576">
        <w:rPr>
          <w:rFonts w:cstheme="minorHAnsi"/>
          <w:i/>
          <w:sz w:val="24"/>
          <w:szCs w:val="24"/>
        </w:rPr>
        <w:t xml:space="preserve">hen </w:t>
      </w:r>
      <w:r w:rsidR="00421607">
        <w:rPr>
          <w:rFonts w:cstheme="minorHAnsi"/>
          <w:i/>
          <w:sz w:val="24"/>
          <w:szCs w:val="24"/>
        </w:rPr>
        <w:t xml:space="preserve">parental </w:t>
      </w:r>
      <w:r w:rsidRPr="00160576">
        <w:rPr>
          <w:rFonts w:cstheme="minorHAnsi"/>
          <w:i/>
          <w:sz w:val="24"/>
          <w:szCs w:val="24"/>
        </w:rPr>
        <w:t xml:space="preserve">photographs were stored in family albums </w:t>
      </w:r>
      <w:r w:rsidR="00421607">
        <w:rPr>
          <w:rFonts w:cstheme="minorHAnsi"/>
          <w:i/>
          <w:sz w:val="24"/>
          <w:szCs w:val="24"/>
        </w:rPr>
        <w:t xml:space="preserve">this was </w:t>
      </w:r>
      <w:r w:rsidRPr="00160576">
        <w:rPr>
          <w:rFonts w:cstheme="minorHAnsi"/>
          <w:i/>
          <w:sz w:val="24"/>
          <w:szCs w:val="24"/>
        </w:rPr>
        <w:t>not perceive</w:t>
      </w:r>
      <w:r w:rsidR="00421607">
        <w:rPr>
          <w:rFonts w:cstheme="minorHAnsi"/>
          <w:i/>
          <w:sz w:val="24"/>
          <w:szCs w:val="24"/>
        </w:rPr>
        <w:t>d</w:t>
      </w:r>
      <w:r w:rsidRPr="00160576">
        <w:rPr>
          <w:rFonts w:cstheme="minorHAnsi"/>
          <w:i/>
          <w:sz w:val="24"/>
          <w:szCs w:val="24"/>
        </w:rPr>
        <w:t xml:space="preserve"> to be a problem.  However, with the internet increasingly being used to share photographs, questions </w:t>
      </w:r>
      <w:r w:rsidR="00421607">
        <w:rPr>
          <w:rFonts w:cstheme="minorHAnsi"/>
          <w:i/>
          <w:sz w:val="24"/>
          <w:szCs w:val="24"/>
        </w:rPr>
        <w:t xml:space="preserve">have been </w:t>
      </w:r>
      <w:r w:rsidRPr="00160576">
        <w:rPr>
          <w:rFonts w:cstheme="minorHAnsi"/>
          <w:i/>
          <w:sz w:val="24"/>
          <w:szCs w:val="24"/>
        </w:rPr>
        <w:t xml:space="preserve">raised </w:t>
      </w:r>
      <w:r w:rsidR="00421607">
        <w:rPr>
          <w:rFonts w:cstheme="minorHAnsi"/>
          <w:i/>
          <w:sz w:val="24"/>
          <w:szCs w:val="24"/>
        </w:rPr>
        <w:t xml:space="preserve">about whether </w:t>
      </w:r>
      <w:r w:rsidR="00421607" w:rsidRPr="00160576">
        <w:rPr>
          <w:rFonts w:cstheme="minorHAnsi"/>
          <w:i/>
          <w:sz w:val="24"/>
          <w:szCs w:val="24"/>
        </w:rPr>
        <w:t xml:space="preserve">schools </w:t>
      </w:r>
      <w:r w:rsidR="00421607">
        <w:rPr>
          <w:rFonts w:cstheme="minorHAnsi"/>
          <w:i/>
          <w:sz w:val="24"/>
          <w:szCs w:val="24"/>
        </w:rPr>
        <w:t xml:space="preserve">should </w:t>
      </w:r>
      <w:r w:rsidR="00421607">
        <w:rPr>
          <w:rFonts w:cstheme="minorHAnsi"/>
          <w:i/>
          <w:sz w:val="24"/>
          <w:szCs w:val="24"/>
        </w:rPr>
        <w:t>restrict parental photography</w:t>
      </w:r>
      <w:r w:rsidR="00421607" w:rsidRPr="00160576">
        <w:rPr>
          <w:rFonts w:cstheme="minorHAnsi"/>
          <w:i/>
          <w:sz w:val="24"/>
          <w:szCs w:val="24"/>
        </w:rPr>
        <w:t xml:space="preserve"> or</w:t>
      </w:r>
      <w:r w:rsidR="00421607">
        <w:rPr>
          <w:rFonts w:cstheme="minorHAnsi"/>
          <w:i/>
          <w:sz w:val="24"/>
          <w:szCs w:val="24"/>
        </w:rPr>
        <w:t xml:space="preserve"> </w:t>
      </w:r>
      <w:r w:rsidR="00421607" w:rsidRPr="00160576">
        <w:rPr>
          <w:rFonts w:cstheme="minorHAnsi"/>
          <w:i/>
          <w:sz w:val="24"/>
          <w:szCs w:val="24"/>
        </w:rPr>
        <w:t>impose conditions upon online dissemination of such photographs</w:t>
      </w:r>
      <w:r w:rsidRPr="00160576">
        <w:rPr>
          <w:rFonts w:cstheme="minorHAnsi"/>
          <w:i/>
          <w:sz w:val="24"/>
          <w:szCs w:val="24"/>
        </w:rPr>
        <w:t>, in order to protect c</w:t>
      </w:r>
      <w:r w:rsidR="00421607">
        <w:rPr>
          <w:rFonts w:cstheme="minorHAnsi"/>
          <w:i/>
          <w:sz w:val="24"/>
          <w:szCs w:val="24"/>
        </w:rPr>
        <w:t>hildren’s personal data</w:t>
      </w:r>
      <w:r w:rsidRPr="00160576">
        <w:rPr>
          <w:rFonts w:cstheme="minorHAnsi"/>
          <w:i/>
          <w:sz w:val="24"/>
          <w:szCs w:val="24"/>
        </w:rPr>
        <w:t xml:space="preserve">. </w:t>
      </w:r>
    </w:p>
    <w:p w14:paraId="0D3A889C" w14:textId="77777777" w:rsidR="00160576" w:rsidRPr="00160576" w:rsidRDefault="00160576" w:rsidP="00160576">
      <w:pPr>
        <w:spacing w:after="0" w:line="240" w:lineRule="auto"/>
        <w:rPr>
          <w:rFonts w:cstheme="minorHAnsi"/>
          <w:i/>
          <w:sz w:val="24"/>
          <w:szCs w:val="24"/>
        </w:rPr>
      </w:pPr>
    </w:p>
    <w:p w14:paraId="40F718FD" w14:textId="77777777" w:rsidR="00E24B98" w:rsidRDefault="00160576" w:rsidP="00160576">
      <w:pPr>
        <w:spacing w:after="0" w:line="240" w:lineRule="auto"/>
        <w:rPr>
          <w:rFonts w:cstheme="minorHAnsi"/>
          <w:i/>
          <w:sz w:val="24"/>
          <w:szCs w:val="24"/>
        </w:rPr>
      </w:pPr>
      <w:r w:rsidRPr="00160576">
        <w:rPr>
          <w:rFonts w:cstheme="minorHAnsi"/>
          <w:i/>
          <w:sz w:val="24"/>
          <w:szCs w:val="24"/>
        </w:rPr>
        <w:t>Unfortunately, as the UK data protection regulator (the Information Commissioner) recognised in 2010 it is not entirely clear how data protection legislation applies to individuals who are posting third party personal information online.   The first issue that this article seeks to explore, therefore, is how European and domestic regulators have interpreted relevant data protection legislation</w:t>
      </w:r>
      <w:r w:rsidR="00421607">
        <w:rPr>
          <w:rFonts w:cstheme="minorHAnsi"/>
          <w:i/>
          <w:sz w:val="24"/>
          <w:szCs w:val="24"/>
        </w:rPr>
        <w:t>.  It considers the</w:t>
      </w:r>
      <w:r w:rsidRPr="00160576">
        <w:rPr>
          <w:rFonts w:cstheme="minorHAnsi"/>
          <w:i/>
          <w:sz w:val="24"/>
          <w:szCs w:val="24"/>
        </w:rPr>
        <w:t xml:space="preserve"> extent </w:t>
      </w:r>
      <w:r w:rsidR="00421607">
        <w:rPr>
          <w:rFonts w:cstheme="minorHAnsi"/>
          <w:i/>
          <w:sz w:val="24"/>
          <w:szCs w:val="24"/>
        </w:rPr>
        <w:t xml:space="preserve">to which </w:t>
      </w:r>
      <w:r w:rsidRPr="00160576">
        <w:rPr>
          <w:rFonts w:cstheme="minorHAnsi"/>
          <w:i/>
          <w:sz w:val="24"/>
          <w:szCs w:val="24"/>
        </w:rPr>
        <w:t xml:space="preserve">parents who share photographs of third parties online </w:t>
      </w:r>
      <w:r w:rsidR="00421607">
        <w:rPr>
          <w:rFonts w:cstheme="minorHAnsi"/>
          <w:i/>
          <w:sz w:val="24"/>
          <w:szCs w:val="24"/>
        </w:rPr>
        <w:t xml:space="preserve">may be </w:t>
      </w:r>
      <w:r w:rsidRPr="00160576">
        <w:rPr>
          <w:rFonts w:cstheme="minorHAnsi"/>
          <w:i/>
          <w:sz w:val="24"/>
          <w:szCs w:val="24"/>
        </w:rPr>
        <w:t>caught by the obligations such legislation imposes.</w:t>
      </w:r>
      <w:r w:rsidR="00421607">
        <w:rPr>
          <w:rFonts w:cstheme="minorHAnsi"/>
          <w:i/>
          <w:sz w:val="24"/>
          <w:szCs w:val="24"/>
        </w:rPr>
        <w:t xml:space="preserve"> </w:t>
      </w:r>
    </w:p>
    <w:p w14:paraId="5BB3AD04" w14:textId="77777777" w:rsidR="00E24B98" w:rsidRDefault="00E24B98" w:rsidP="00160576">
      <w:pPr>
        <w:spacing w:after="0" w:line="240" w:lineRule="auto"/>
        <w:rPr>
          <w:rFonts w:cstheme="minorHAnsi"/>
          <w:i/>
          <w:sz w:val="24"/>
          <w:szCs w:val="24"/>
        </w:rPr>
      </w:pPr>
    </w:p>
    <w:p w14:paraId="64AD8206" w14:textId="1B092115" w:rsidR="00160576" w:rsidRPr="00160576" w:rsidRDefault="00421607" w:rsidP="00160576">
      <w:pPr>
        <w:spacing w:after="0" w:line="240" w:lineRule="auto"/>
        <w:rPr>
          <w:rFonts w:cstheme="minorHAnsi"/>
          <w:i/>
          <w:sz w:val="24"/>
          <w:szCs w:val="24"/>
        </w:rPr>
      </w:pPr>
      <w:r>
        <w:rPr>
          <w:rFonts w:cstheme="minorHAnsi"/>
          <w:i/>
          <w:sz w:val="24"/>
          <w:szCs w:val="24"/>
        </w:rPr>
        <w:t>T</w:t>
      </w:r>
      <w:r w:rsidR="00160576" w:rsidRPr="00160576">
        <w:rPr>
          <w:rFonts w:cstheme="minorHAnsi"/>
          <w:i/>
          <w:sz w:val="24"/>
          <w:szCs w:val="24"/>
        </w:rPr>
        <w:t>he European Commission</w:t>
      </w:r>
      <w:r w:rsidR="0010519A">
        <w:rPr>
          <w:rFonts w:cstheme="minorHAnsi"/>
          <w:i/>
          <w:sz w:val="24"/>
          <w:szCs w:val="24"/>
        </w:rPr>
        <w:t xml:space="preserve"> have acknowle</w:t>
      </w:r>
      <w:r>
        <w:rPr>
          <w:rFonts w:cstheme="minorHAnsi"/>
          <w:i/>
          <w:sz w:val="24"/>
          <w:szCs w:val="24"/>
        </w:rPr>
        <w:t>dge</w:t>
      </w:r>
      <w:r w:rsidR="0010519A">
        <w:rPr>
          <w:rFonts w:cstheme="minorHAnsi"/>
          <w:i/>
          <w:sz w:val="24"/>
          <w:szCs w:val="24"/>
        </w:rPr>
        <w:t>d that</w:t>
      </w:r>
      <w:r w:rsidR="0010519A" w:rsidRPr="00160576">
        <w:rPr>
          <w:rFonts w:cstheme="minorHAnsi"/>
          <w:i/>
          <w:sz w:val="24"/>
          <w:szCs w:val="24"/>
        </w:rPr>
        <w:t>,</w:t>
      </w:r>
      <w:r w:rsidR="0010519A">
        <w:rPr>
          <w:rFonts w:cstheme="minorHAnsi"/>
          <w:i/>
          <w:sz w:val="24"/>
          <w:szCs w:val="24"/>
        </w:rPr>
        <w:t xml:space="preserve"> with</w:t>
      </w:r>
      <w:r w:rsidR="0010519A" w:rsidRPr="00160576">
        <w:rPr>
          <w:rFonts w:cstheme="minorHAnsi"/>
          <w:i/>
          <w:sz w:val="24"/>
          <w:szCs w:val="24"/>
        </w:rPr>
        <w:t xml:space="preserve"> the development of new technologies,</w:t>
      </w:r>
      <w:r w:rsidR="00160576" w:rsidRPr="00160576">
        <w:rPr>
          <w:rFonts w:cstheme="minorHAnsi"/>
          <w:i/>
          <w:sz w:val="24"/>
          <w:szCs w:val="24"/>
        </w:rPr>
        <w:t xml:space="preserve"> current European Union data protection legislation may no longer afford effective protection to individuals’ personal information</w:t>
      </w:r>
      <w:r>
        <w:rPr>
          <w:rFonts w:cstheme="minorHAnsi"/>
          <w:i/>
          <w:sz w:val="24"/>
          <w:szCs w:val="24"/>
        </w:rPr>
        <w:t xml:space="preserve">.  This article, therefore, also explores the </w:t>
      </w:r>
      <w:r w:rsidR="0010519A">
        <w:rPr>
          <w:rFonts w:cstheme="minorHAnsi"/>
          <w:i/>
          <w:sz w:val="24"/>
          <w:szCs w:val="24"/>
        </w:rPr>
        <w:t xml:space="preserve">potential impact of the </w:t>
      </w:r>
      <w:r w:rsidR="00160576" w:rsidRPr="00160576">
        <w:rPr>
          <w:rFonts w:cstheme="minorHAnsi"/>
          <w:i/>
          <w:sz w:val="24"/>
          <w:szCs w:val="24"/>
        </w:rPr>
        <w:t>proposed data protection regulation</w:t>
      </w:r>
      <w:r w:rsidR="0010519A">
        <w:rPr>
          <w:rFonts w:cstheme="minorHAnsi"/>
          <w:i/>
          <w:sz w:val="24"/>
          <w:szCs w:val="24"/>
        </w:rPr>
        <w:t xml:space="preserve"> </w:t>
      </w:r>
      <w:r w:rsidR="00E24B98">
        <w:rPr>
          <w:rFonts w:cstheme="minorHAnsi"/>
          <w:i/>
          <w:sz w:val="24"/>
          <w:szCs w:val="24"/>
        </w:rPr>
        <w:t xml:space="preserve">both </w:t>
      </w:r>
      <w:r w:rsidR="0010519A">
        <w:rPr>
          <w:rFonts w:cstheme="minorHAnsi"/>
          <w:i/>
          <w:sz w:val="24"/>
          <w:szCs w:val="24"/>
        </w:rPr>
        <w:t xml:space="preserve">for </w:t>
      </w:r>
      <w:r w:rsidR="00E24B98">
        <w:rPr>
          <w:rFonts w:cstheme="minorHAnsi"/>
          <w:i/>
          <w:sz w:val="24"/>
          <w:szCs w:val="24"/>
        </w:rPr>
        <w:t xml:space="preserve">individuals </w:t>
      </w:r>
      <w:r w:rsidR="0010519A">
        <w:rPr>
          <w:rFonts w:cstheme="minorHAnsi"/>
          <w:i/>
          <w:sz w:val="24"/>
          <w:szCs w:val="24"/>
        </w:rPr>
        <w:t xml:space="preserve">sharing third party information online, and for </w:t>
      </w:r>
      <w:r w:rsidR="00E24B98">
        <w:rPr>
          <w:rFonts w:cstheme="minorHAnsi"/>
          <w:i/>
          <w:sz w:val="24"/>
          <w:szCs w:val="24"/>
        </w:rPr>
        <w:t xml:space="preserve">individuals </w:t>
      </w:r>
      <w:r w:rsidR="0010519A">
        <w:rPr>
          <w:rFonts w:cstheme="minorHAnsi"/>
          <w:i/>
          <w:sz w:val="24"/>
          <w:szCs w:val="24"/>
        </w:rPr>
        <w:t>whose information is shared</w:t>
      </w:r>
      <w:r>
        <w:rPr>
          <w:rFonts w:cstheme="minorHAnsi"/>
          <w:i/>
          <w:sz w:val="24"/>
          <w:szCs w:val="24"/>
        </w:rPr>
        <w:t>.</w:t>
      </w:r>
    </w:p>
    <w:p w14:paraId="4DFA7E02" w14:textId="77777777" w:rsidR="00160576" w:rsidRDefault="00160576" w:rsidP="00724D5D">
      <w:pPr>
        <w:spacing w:after="0" w:line="240" w:lineRule="auto"/>
        <w:rPr>
          <w:rFonts w:cstheme="minorHAnsi"/>
          <w:b/>
          <w:sz w:val="24"/>
          <w:szCs w:val="24"/>
          <w:u w:val="single"/>
        </w:rPr>
      </w:pPr>
    </w:p>
    <w:p w14:paraId="6F621956" w14:textId="0003434D" w:rsidR="00160576" w:rsidRPr="00160576" w:rsidRDefault="00160576" w:rsidP="00724D5D">
      <w:pPr>
        <w:spacing w:after="0" w:line="240" w:lineRule="auto"/>
        <w:rPr>
          <w:rFonts w:cstheme="minorHAnsi"/>
          <w:sz w:val="24"/>
          <w:szCs w:val="24"/>
        </w:rPr>
      </w:pPr>
      <w:r>
        <w:rPr>
          <w:rFonts w:cstheme="minorHAnsi"/>
          <w:b/>
          <w:i/>
          <w:sz w:val="24"/>
          <w:szCs w:val="24"/>
        </w:rPr>
        <w:t xml:space="preserve">Key words:  </w:t>
      </w:r>
      <w:r w:rsidRPr="00160576">
        <w:rPr>
          <w:rFonts w:cstheme="minorHAnsi"/>
          <w:i/>
          <w:sz w:val="24"/>
          <w:szCs w:val="24"/>
        </w:rPr>
        <w:t>data protection; personal information; privacy; data protection directive; data protection regulation</w:t>
      </w:r>
    </w:p>
    <w:p w14:paraId="3DB113E7" w14:textId="77777777" w:rsidR="001B3F9C" w:rsidRPr="0059559C" w:rsidRDefault="001B3F9C" w:rsidP="00724D5D">
      <w:pPr>
        <w:spacing w:after="0" w:line="240" w:lineRule="auto"/>
        <w:rPr>
          <w:rFonts w:cstheme="minorHAnsi"/>
          <w:b/>
          <w:sz w:val="24"/>
          <w:szCs w:val="24"/>
          <w:u w:val="single"/>
        </w:rPr>
      </w:pPr>
    </w:p>
    <w:p w14:paraId="4D554DD3" w14:textId="77777777" w:rsidR="00775DC5" w:rsidRPr="0059559C" w:rsidRDefault="00775DC5" w:rsidP="00724D5D">
      <w:pPr>
        <w:pStyle w:val="ListParagraph"/>
        <w:numPr>
          <w:ilvl w:val="0"/>
          <w:numId w:val="6"/>
        </w:numPr>
        <w:rPr>
          <w:rFonts w:asciiTheme="minorHAnsi" w:hAnsiTheme="minorHAnsi" w:cstheme="minorHAnsi"/>
          <w:b/>
          <w:sz w:val="24"/>
          <w:szCs w:val="24"/>
        </w:rPr>
      </w:pPr>
      <w:r w:rsidRPr="0059559C">
        <w:rPr>
          <w:rFonts w:asciiTheme="minorHAnsi" w:hAnsiTheme="minorHAnsi" w:cstheme="minorHAnsi"/>
          <w:b/>
          <w:sz w:val="24"/>
          <w:szCs w:val="24"/>
        </w:rPr>
        <w:t>Introduction</w:t>
      </w:r>
    </w:p>
    <w:p w14:paraId="5C976760" w14:textId="77777777" w:rsidR="00775DC5" w:rsidRPr="0059559C" w:rsidRDefault="00775DC5" w:rsidP="00724D5D">
      <w:pPr>
        <w:pStyle w:val="ListParagraph"/>
        <w:rPr>
          <w:rFonts w:asciiTheme="minorHAnsi" w:hAnsiTheme="minorHAnsi" w:cstheme="minorHAnsi"/>
          <w:sz w:val="24"/>
          <w:szCs w:val="24"/>
        </w:rPr>
      </w:pPr>
    </w:p>
    <w:p w14:paraId="3765B1E8" w14:textId="3F1EE24E" w:rsidR="00452130" w:rsidRPr="0059559C" w:rsidRDefault="002E7C3E" w:rsidP="00724D5D">
      <w:pPr>
        <w:spacing w:after="0" w:line="240" w:lineRule="auto"/>
        <w:rPr>
          <w:rFonts w:cstheme="minorHAnsi"/>
          <w:sz w:val="24"/>
          <w:szCs w:val="24"/>
        </w:rPr>
      </w:pPr>
      <w:r w:rsidRPr="0059559C">
        <w:rPr>
          <w:rFonts w:cstheme="minorHAnsi"/>
          <w:sz w:val="24"/>
          <w:szCs w:val="24"/>
        </w:rPr>
        <w:t>It is traditional for scho</w:t>
      </w:r>
      <w:r w:rsidR="0066079C" w:rsidRPr="0059559C">
        <w:rPr>
          <w:rFonts w:cstheme="minorHAnsi"/>
          <w:sz w:val="24"/>
          <w:szCs w:val="24"/>
        </w:rPr>
        <w:t xml:space="preserve">ols </w:t>
      </w:r>
      <w:r w:rsidRPr="0059559C">
        <w:rPr>
          <w:rFonts w:cstheme="minorHAnsi"/>
          <w:sz w:val="24"/>
          <w:szCs w:val="24"/>
        </w:rPr>
        <w:t xml:space="preserve">in the United Kingdom </w:t>
      </w:r>
      <w:r w:rsidR="0066079C" w:rsidRPr="0059559C">
        <w:rPr>
          <w:rFonts w:cstheme="minorHAnsi"/>
          <w:sz w:val="24"/>
          <w:szCs w:val="24"/>
        </w:rPr>
        <w:t xml:space="preserve">to host an </w:t>
      </w:r>
      <w:r w:rsidR="00D836C8" w:rsidRPr="0059559C">
        <w:rPr>
          <w:rFonts w:cstheme="minorHAnsi"/>
          <w:sz w:val="24"/>
          <w:szCs w:val="24"/>
        </w:rPr>
        <w:t>annual</w:t>
      </w:r>
      <w:r w:rsidR="006A6FD9" w:rsidRPr="0059559C">
        <w:rPr>
          <w:rFonts w:cstheme="minorHAnsi"/>
          <w:sz w:val="24"/>
          <w:szCs w:val="24"/>
        </w:rPr>
        <w:t xml:space="preserve"> Christmas</w:t>
      </w:r>
      <w:r w:rsidR="00D836C8" w:rsidRPr="0059559C">
        <w:rPr>
          <w:rFonts w:cstheme="minorHAnsi"/>
          <w:sz w:val="24"/>
          <w:szCs w:val="24"/>
        </w:rPr>
        <w:t xml:space="preserve"> </w:t>
      </w:r>
      <w:r w:rsidR="005774CE" w:rsidRPr="0059559C">
        <w:rPr>
          <w:rFonts w:cstheme="minorHAnsi"/>
          <w:sz w:val="24"/>
          <w:szCs w:val="24"/>
        </w:rPr>
        <w:t>play</w:t>
      </w:r>
      <w:r w:rsidR="00ED545C" w:rsidRPr="0059559C">
        <w:rPr>
          <w:rFonts w:cstheme="minorHAnsi"/>
          <w:sz w:val="24"/>
          <w:szCs w:val="24"/>
        </w:rPr>
        <w:t xml:space="preserve">, </w:t>
      </w:r>
      <w:r w:rsidR="00EC2942" w:rsidRPr="0059559C">
        <w:rPr>
          <w:rFonts w:cstheme="minorHAnsi"/>
          <w:sz w:val="24"/>
          <w:szCs w:val="24"/>
        </w:rPr>
        <w:t>at which p</w:t>
      </w:r>
      <w:r w:rsidR="00ED545C" w:rsidRPr="0059559C">
        <w:rPr>
          <w:rFonts w:cstheme="minorHAnsi"/>
          <w:sz w:val="24"/>
          <w:szCs w:val="24"/>
        </w:rPr>
        <w:t>arents</w:t>
      </w:r>
      <w:r w:rsidR="005774CE" w:rsidRPr="0059559C">
        <w:rPr>
          <w:rFonts w:cstheme="minorHAnsi"/>
          <w:sz w:val="24"/>
          <w:szCs w:val="24"/>
        </w:rPr>
        <w:t xml:space="preserve"> take ph</w:t>
      </w:r>
      <w:r w:rsidR="005D685B" w:rsidRPr="0059559C">
        <w:rPr>
          <w:rFonts w:cstheme="minorHAnsi"/>
          <w:sz w:val="24"/>
          <w:szCs w:val="24"/>
        </w:rPr>
        <w:t>otographs of their children</w:t>
      </w:r>
      <w:r w:rsidR="005774CE" w:rsidRPr="0059559C">
        <w:rPr>
          <w:rFonts w:cstheme="minorHAnsi"/>
          <w:sz w:val="24"/>
          <w:szCs w:val="24"/>
        </w:rPr>
        <w:t>.</w:t>
      </w:r>
      <w:r w:rsidR="0066079C" w:rsidRPr="0059559C">
        <w:rPr>
          <w:rFonts w:cstheme="minorHAnsi"/>
          <w:sz w:val="24"/>
          <w:szCs w:val="24"/>
        </w:rPr>
        <w:t xml:space="preserve"> </w:t>
      </w:r>
      <w:r w:rsidR="00165D78">
        <w:rPr>
          <w:rFonts w:cstheme="minorHAnsi"/>
          <w:sz w:val="24"/>
          <w:szCs w:val="24"/>
        </w:rPr>
        <w:t xml:space="preserve">  In the summer these</w:t>
      </w:r>
      <w:r w:rsidR="00452130" w:rsidRPr="0059559C">
        <w:rPr>
          <w:rFonts w:cstheme="minorHAnsi"/>
          <w:sz w:val="24"/>
          <w:szCs w:val="24"/>
        </w:rPr>
        <w:t xml:space="preserve"> schools </w:t>
      </w:r>
      <w:r w:rsidRPr="0059559C">
        <w:rPr>
          <w:rFonts w:cstheme="minorHAnsi"/>
          <w:sz w:val="24"/>
          <w:szCs w:val="24"/>
        </w:rPr>
        <w:t xml:space="preserve">also </w:t>
      </w:r>
      <w:r w:rsidR="00452130" w:rsidRPr="0059559C">
        <w:rPr>
          <w:rFonts w:cstheme="minorHAnsi"/>
          <w:sz w:val="24"/>
          <w:szCs w:val="24"/>
        </w:rPr>
        <w:t xml:space="preserve">host sports days, where again, parents are invited to attend, and to take a photographic record of their </w:t>
      </w:r>
      <w:r w:rsidR="00EC2942" w:rsidRPr="0059559C">
        <w:rPr>
          <w:rFonts w:cstheme="minorHAnsi"/>
          <w:sz w:val="24"/>
          <w:szCs w:val="24"/>
        </w:rPr>
        <w:t xml:space="preserve">children’s </w:t>
      </w:r>
      <w:r w:rsidR="00452130" w:rsidRPr="0059559C">
        <w:rPr>
          <w:rFonts w:cstheme="minorHAnsi"/>
          <w:sz w:val="24"/>
          <w:szCs w:val="24"/>
        </w:rPr>
        <w:t xml:space="preserve">achievements.  </w:t>
      </w:r>
      <w:r w:rsidR="00EC2942" w:rsidRPr="0059559C">
        <w:rPr>
          <w:rFonts w:cstheme="minorHAnsi"/>
          <w:sz w:val="24"/>
          <w:szCs w:val="24"/>
        </w:rPr>
        <w:t>S</w:t>
      </w:r>
      <w:r w:rsidR="00452130" w:rsidRPr="0059559C">
        <w:rPr>
          <w:rFonts w:cstheme="minorHAnsi"/>
          <w:sz w:val="24"/>
          <w:szCs w:val="24"/>
        </w:rPr>
        <w:t>chools have, traditionally imposed few</w:t>
      </w:r>
      <w:r w:rsidR="008B52E8" w:rsidRPr="0059559C">
        <w:rPr>
          <w:rFonts w:cstheme="minorHAnsi"/>
          <w:sz w:val="24"/>
          <w:szCs w:val="24"/>
        </w:rPr>
        <w:t xml:space="preserve"> </w:t>
      </w:r>
      <w:r w:rsidR="00452130" w:rsidRPr="0059559C">
        <w:rPr>
          <w:rFonts w:cstheme="minorHAnsi"/>
          <w:sz w:val="24"/>
          <w:szCs w:val="24"/>
        </w:rPr>
        <w:t>restrictions upon such photography</w:t>
      </w:r>
      <w:r w:rsidR="000F5C69" w:rsidRPr="0059559C">
        <w:rPr>
          <w:rFonts w:cstheme="minorHAnsi"/>
          <w:sz w:val="24"/>
          <w:szCs w:val="24"/>
        </w:rPr>
        <w:t>;</w:t>
      </w:r>
      <w:r w:rsidR="00EC2942" w:rsidRPr="0059559C">
        <w:rPr>
          <w:rFonts w:cstheme="minorHAnsi"/>
          <w:sz w:val="24"/>
          <w:szCs w:val="24"/>
        </w:rPr>
        <w:t xml:space="preserve"> </w:t>
      </w:r>
      <w:r w:rsidR="000F5C69" w:rsidRPr="0059559C">
        <w:rPr>
          <w:rFonts w:cstheme="minorHAnsi"/>
          <w:sz w:val="24"/>
          <w:szCs w:val="24"/>
        </w:rPr>
        <w:t>i</w:t>
      </w:r>
      <w:r w:rsidR="00EC2942" w:rsidRPr="0059559C">
        <w:rPr>
          <w:rFonts w:cstheme="minorHAnsi"/>
          <w:sz w:val="24"/>
          <w:szCs w:val="24"/>
        </w:rPr>
        <w:t xml:space="preserve">n the era when photographs were printed out </w:t>
      </w:r>
      <w:r w:rsidR="008B52E8" w:rsidRPr="0059559C">
        <w:rPr>
          <w:rFonts w:cstheme="minorHAnsi"/>
          <w:sz w:val="24"/>
          <w:szCs w:val="24"/>
        </w:rPr>
        <w:t>and stored in family albums</w:t>
      </w:r>
      <w:r w:rsidR="00EC2942" w:rsidRPr="0059559C">
        <w:rPr>
          <w:rFonts w:cstheme="minorHAnsi"/>
          <w:sz w:val="24"/>
          <w:szCs w:val="24"/>
        </w:rPr>
        <w:t xml:space="preserve"> few parents had any issue with the fact that another parent might take a photograph of their child.  In the age of digital photography, </w:t>
      </w:r>
      <w:r w:rsidR="008B52E8" w:rsidRPr="0059559C">
        <w:rPr>
          <w:rFonts w:cstheme="minorHAnsi"/>
          <w:sz w:val="24"/>
          <w:szCs w:val="24"/>
        </w:rPr>
        <w:t xml:space="preserve">however, </w:t>
      </w:r>
      <w:r w:rsidR="00EC2942" w:rsidRPr="0059559C">
        <w:rPr>
          <w:rFonts w:cstheme="minorHAnsi"/>
          <w:sz w:val="24"/>
          <w:szCs w:val="24"/>
        </w:rPr>
        <w:t xml:space="preserve">questions are </w:t>
      </w:r>
      <w:r w:rsidR="00452130" w:rsidRPr="0059559C">
        <w:rPr>
          <w:rFonts w:cstheme="minorHAnsi"/>
          <w:sz w:val="24"/>
          <w:szCs w:val="24"/>
        </w:rPr>
        <w:t>increasingly being raised about whether</w:t>
      </w:r>
      <w:r w:rsidR="00EC2942" w:rsidRPr="0059559C">
        <w:rPr>
          <w:rFonts w:cstheme="minorHAnsi"/>
          <w:sz w:val="24"/>
          <w:szCs w:val="24"/>
        </w:rPr>
        <w:t xml:space="preserve"> schools should restrict parental photography, or impose conditions upon the use of </w:t>
      </w:r>
      <w:r w:rsidR="008B52E8" w:rsidRPr="0059559C">
        <w:rPr>
          <w:rFonts w:cstheme="minorHAnsi"/>
          <w:sz w:val="24"/>
          <w:szCs w:val="24"/>
        </w:rPr>
        <w:t xml:space="preserve">such </w:t>
      </w:r>
      <w:r w:rsidR="00EC2942" w:rsidRPr="0059559C">
        <w:rPr>
          <w:rFonts w:cstheme="minorHAnsi"/>
          <w:sz w:val="24"/>
          <w:szCs w:val="24"/>
        </w:rPr>
        <w:t>photographs.</w:t>
      </w:r>
      <w:r w:rsidR="00452130" w:rsidRPr="0059559C">
        <w:rPr>
          <w:rFonts w:cstheme="minorHAnsi"/>
          <w:sz w:val="24"/>
          <w:szCs w:val="24"/>
        </w:rPr>
        <w:t xml:space="preserve"> </w:t>
      </w:r>
    </w:p>
    <w:p w14:paraId="5366D790" w14:textId="77777777" w:rsidR="00452130" w:rsidRPr="0059559C" w:rsidRDefault="00452130" w:rsidP="00724D5D">
      <w:pPr>
        <w:spacing w:after="0" w:line="240" w:lineRule="auto"/>
        <w:rPr>
          <w:rFonts w:cstheme="minorHAnsi"/>
          <w:sz w:val="24"/>
          <w:szCs w:val="24"/>
        </w:rPr>
      </w:pPr>
    </w:p>
    <w:p w14:paraId="409F4649" w14:textId="634C5385" w:rsidR="000F5C69" w:rsidRPr="0059559C" w:rsidRDefault="00452130" w:rsidP="00B72A47">
      <w:pPr>
        <w:spacing w:after="0" w:line="240" w:lineRule="auto"/>
        <w:rPr>
          <w:rFonts w:cstheme="minorHAnsi"/>
          <w:sz w:val="24"/>
          <w:szCs w:val="24"/>
        </w:rPr>
      </w:pPr>
      <w:r w:rsidRPr="0059559C">
        <w:rPr>
          <w:rFonts w:cstheme="minorHAnsi"/>
          <w:sz w:val="24"/>
          <w:szCs w:val="24"/>
        </w:rPr>
        <w:t xml:space="preserve">Consider the following scenario:  </w:t>
      </w:r>
      <w:r w:rsidR="00B72A47" w:rsidRPr="0059559C">
        <w:rPr>
          <w:rFonts w:cstheme="minorHAnsi"/>
          <w:sz w:val="24"/>
          <w:szCs w:val="24"/>
        </w:rPr>
        <w:t>A</w:t>
      </w:r>
      <w:r w:rsidR="00326B28" w:rsidRPr="0059559C">
        <w:rPr>
          <w:rFonts w:cstheme="minorHAnsi"/>
          <w:sz w:val="24"/>
          <w:szCs w:val="24"/>
        </w:rPr>
        <w:t xml:space="preserve"> </w:t>
      </w:r>
      <w:r w:rsidR="005774CE" w:rsidRPr="0059559C">
        <w:rPr>
          <w:rFonts w:cstheme="minorHAnsi"/>
          <w:sz w:val="24"/>
          <w:szCs w:val="24"/>
        </w:rPr>
        <w:t>parent ta</w:t>
      </w:r>
      <w:r w:rsidRPr="0059559C">
        <w:rPr>
          <w:rFonts w:cstheme="minorHAnsi"/>
          <w:sz w:val="24"/>
          <w:szCs w:val="24"/>
        </w:rPr>
        <w:t xml:space="preserve">kes several </w:t>
      </w:r>
      <w:r w:rsidR="00326B28" w:rsidRPr="0059559C">
        <w:rPr>
          <w:rFonts w:cstheme="minorHAnsi"/>
          <w:sz w:val="24"/>
          <w:szCs w:val="24"/>
        </w:rPr>
        <w:t>photograph</w:t>
      </w:r>
      <w:r w:rsidRPr="0059559C">
        <w:rPr>
          <w:rFonts w:cstheme="minorHAnsi"/>
          <w:sz w:val="24"/>
          <w:szCs w:val="24"/>
        </w:rPr>
        <w:t>s</w:t>
      </w:r>
      <w:r w:rsidR="00326B28" w:rsidRPr="0059559C">
        <w:rPr>
          <w:rFonts w:cstheme="minorHAnsi"/>
          <w:sz w:val="24"/>
          <w:szCs w:val="24"/>
        </w:rPr>
        <w:t xml:space="preserve"> of their child</w:t>
      </w:r>
      <w:r w:rsidR="005774CE" w:rsidRPr="0059559C">
        <w:rPr>
          <w:rFonts w:cstheme="minorHAnsi"/>
          <w:sz w:val="24"/>
          <w:szCs w:val="24"/>
        </w:rPr>
        <w:t xml:space="preserve"> </w:t>
      </w:r>
      <w:r w:rsidRPr="0059559C">
        <w:rPr>
          <w:rFonts w:cstheme="minorHAnsi"/>
          <w:sz w:val="24"/>
          <w:szCs w:val="24"/>
        </w:rPr>
        <w:t xml:space="preserve">and his </w:t>
      </w:r>
      <w:r w:rsidR="0066079C" w:rsidRPr="0059559C">
        <w:rPr>
          <w:rFonts w:cstheme="minorHAnsi"/>
          <w:sz w:val="24"/>
          <w:szCs w:val="24"/>
        </w:rPr>
        <w:t xml:space="preserve">school friends </w:t>
      </w:r>
      <w:r w:rsidRPr="0059559C">
        <w:rPr>
          <w:rFonts w:cstheme="minorHAnsi"/>
          <w:sz w:val="24"/>
          <w:szCs w:val="24"/>
        </w:rPr>
        <w:t>at sports day and subsequently posts those</w:t>
      </w:r>
      <w:r w:rsidR="005774CE" w:rsidRPr="0059559C">
        <w:rPr>
          <w:rFonts w:cstheme="minorHAnsi"/>
          <w:sz w:val="24"/>
          <w:szCs w:val="24"/>
        </w:rPr>
        <w:t xml:space="preserve"> photograph</w:t>
      </w:r>
      <w:r w:rsidRPr="0059559C">
        <w:rPr>
          <w:rFonts w:cstheme="minorHAnsi"/>
          <w:sz w:val="24"/>
          <w:szCs w:val="24"/>
        </w:rPr>
        <w:t>s</w:t>
      </w:r>
      <w:r w:rsidR="005774CE" w:rsidRPr="0059559C">
        <w:rPr>
          <w:rFonts w:cstheme="minorHAnsi"/>
          <w:sz w:val="24"/>
          <w:szCs w:val="24"/>
        </w:rPr>
        <w:t xml:space="preserve"> to their Facebook page and to their personal blog.  The parent photographer </w:t>
      </w:r>
      <w:r w:rsidRPr="0059559C">
        <w:rPr>
          <w:rFonts w:cstheme="minorHAnsi"/>
          <w:sz w:val="24"/>
          <w:szCs w:val="24"/>
        </w:rPr>
        <w:t xml:space="preserve">does not </w:t>
      </w:r>
      <w:r w:rsidR="005774CE" w:rsidRPr="0059559C">
        <w:rPr>
          <w:rFonts w:cstheme="minorHAnsi"/>
          <w:sz w:val="24"/>
          <w:szCs w:val="24"/>
        </w:rPr>
        <w:t>ask the children</w:t>
      </w:r>
      <w:r w:rsidR="0066079C" w:rsidRPr="0059559C">
        <w:rPr>
          <w:rFonts w:cstheme="minorHAnsi"/>
          <w:sz w:val="24"/>
          <w:szCs w:val="24"/>
        </w:rPr>
        <w:t xml:space="preserve"> or their parents whether they consent to their photographs being shared online.  Indeed t</w:t>
      </w:r>
      <w:r w:rsidR="005774CE" w:rsidRPr="0059559C">
        <w:rPr>
          <w:rFonts w:cstheme="minorHAnsi"/>
          <w:sz w:val="24"/>
          <w:szCs w:val="24"/>
        </w:rPr>
        <w:t>he parent who has posted the images</w:t>
      </w:r>
      <w:r w:rsidR="000F5C69" w:rsidRPr="0059559C">
        <w:rPr>
          <w:rFonts w:cstheme="minorHAnsi"/>
          <w:sz w:val="24"/>
          <w:szCs w:val="24"/>
        </w:rPr>
        <w:t xml:space="preserve"> perceive</w:t>
      </w:r>
      <w:r w:rsidR="00E94A1A" w:rsidRPr="0059559C">
        <w:rPr>
          <w:rFonts w:cstheme="minorHAnsi"/>
          <w:sz w:val="24"/>
          <w:szCs w:val="24"/>
        </w:rPr>
        <w:t>s no need to do so</w:t>
      </w:r>
      <w:r w:rsidR="00ED545C" w:rsidRPr="0059559C">
        <w:rPr>
          <w:rFonts w:cstheme="minorHAnsi"/>
          <w:sz w:val="24"/>
          <w:szCs w:val="24"/>
        </w:rPr>
        <w:t>.  A</w:t>
      </w:r>
      <w:r w:rsidR="0066079C" w:rsidRPr="0059559C">
        <w:rPr>
          <w:rFonts w:cstheme="minorHAnsi"/>
          <w:sz w:val="24"/>
          <w:szCs w:val="24"/>
        </w:rPr>
        <w:t xml:space="preserve">s Bennett (1992, p13) notes </w:t>
      </w:r>
      <w:proofErr w:type="spellStart"/>
      <w:r w:rsidR="005774CE" w:rsidRPr="0059559C">
        <w:rPr>
          <w:rFonts w:cstheme="minorHAnsi"/>
          <w:sz w:val="24"/>
          <w:szCs w:val="24"/>
        </w:rPr>
        <w:t>‘It</w:t>
      </w:r>
      <w:proofErr w:type="spellEnd"/>
      <w:r w:rsidR="005774CE" w:rsidRPr="0059559C">
        <w:rPr>
          <w:rFonts w:cstheme="minorHAnsi"/>
          <w:sz w:val="24"/>
          <w:szCs w:val="24"/>
        </w:rPr>
        <w:t xml:space="preserve"> is </w:t>
      </w:r>
      <w:r w:rsidR="005774CE" w:rsidRPr="0059559C">
        <w:rPr>
          <w:rFonts w:cstheme="minorHAnsi"/>
          <w:sz w:val="24"/>
          <w:szCs w:val="24"/>
        </w:rPr>
        <w:lastRenderedPageBreak/>
        <w:t xml:space="preserve">not immediately obvious … what harm results from the computerized collection, use </w:t>
      </w:r>
      <w:r w:rsidR="00D836C8" w:rsidRPr="0059559C">
        <w:rPr>
          <w:rFonts w:cstheme="minorHAnsi"/>
          <w:sz w:val="24"/>
          <w:szCs w:val="24"/>
        </w:rPr>
        <w:t>and disclosure of personal data</w:t>
      </w:r>
      <w:r w:rsidR="005774CE" w:rsidRPr="0059559C">
        <w:rPr>
          <w:rFonts w:cstheme="minorHAnsi"/>
          <w:sz w:val="24"/>
          <w:szCs w:val="24"/>
        </w:rPr>
        <w:t>’</w:t>
      </w:r>
      <w:r w:rsidR="00E12C16" w:rsidRPr="0059559C">
        <w:rPr>
          <w:rFonts w:cstheme="minorHAnsi"/>
          <w:sz w:val="24"/>
          <w:szCs w:val="24"/>
        </w:rPr>
        <w:t>.</w:t>
      </w:r>
      <w:r w:rsidR="00D836C8" w:rsidRPr="0059559C">
        <w:rPr>
          <w:rFonts w:cstheme="minorHAnsi"/>
          <w:sz w:val="24"/>
          <w:szCs w:val="24"/>
        </w:rPr>
        <w:t xml:space="preserve">  </w:t>
      </w:r>
      <w:r w:rsidR="005774CE" w:rsidRPr="0059559C">
        <w:rPr>
          <w:rFonts w:cstheme="minorHAnsi"/>
          <w:sz w:val="24"/>
          <w:szCs w:val="24"/>
        </w:rPr>
        <w:t xml:space="preserve">The other parents </w:t>
      </w:r>
      <w:r w:rsidRPr="0059559C">
        <w:rPr>
          <w:rFonts w:cstheme="minorHAnsi"/>
          <w:sz w:val="24"/>
          <w:szCs w:val="24"/>
        </w:rPr>
        <w:t xml:space="preserve">do in fact object to their children’s images being posted online, </w:t>
      </w:r>
      <w:r w:rsidR="0066079C" w:rsidRPr="0059559C">
        <w:rPr>
          <w:rFonts w:cstheme="minorHAnsi"/>
          <w:sz w:val="24"/>
          <w:szCs w:val="24"/>
        </w:rPr>
        <w:t xml:space="preserve">and </w:t>
      </w:r>
      <w:r w:rsidRPr="0059559C">
        <w:rPr>
          <w:rFonts w:cstheme="minorHAnsi"/>
          <w:sz w:val="24"/>
          <w:szCs w:val="24"/>
        </w:rPr>
        <w:t xml:space="preserve">they </w:t>
      </w:r>
      <w:r w:rsidR="0066079C" w:rsidRPr="0059559C">
        <w:rPr>
          <w:rFonts w:cstheme="minorHAnsi"/>
          <w:sz w:val="24"/>
          <w:szCs w:val="24"/>
        </w:rPr>
        <w:t>ask for the offending photographs to be taken down</w:t>
      </w:r>
      <w:r w:rsidR="005774CE" w:rsidRPr="0059559C">
        <w:rPr>
          <w:rFonts w:cstheme="minorHAnsi"/>
          <w:sz w:val="24"/>
          <w:szCs w:val="24"/>
        </w:rPr>
        <w:t xml:space="preserve">.  </w:t>
      </w:r>
      <w:r w:rsidR="00EC2942" w:rsidRPr="0059559C">
        <w:rPr>
          <w:rFonts w:cstheme="minorHAnsi"/>
          <w:sz w:val="24"/>
          <w:szCs w:val="24"/>
        </w:rPr>
        <w:t xml:space="preserve">They make clear that they are not happy for their children’s pictures to be disseminated online, and </w:t>
      </w:r>
      <w:r w:rsidR="000F5C69" w:rsidRPr="0059559C">
        <w:rPr>
          <w:rFonts w:cstheme="minorHAnsi"/>
          <w:sz w:val="24"/>
          <w:szCs w:val="24"/>
        </w:rPr>
        <w:t xml:space="preserve">state </w:t>
      </w:r>
      <w:r w:rsidR="00EC2942" w:rsidRPr="0059559C">
        <w:rPr>
          <w:rFonts w:cstheme="minorHAnsi"/>
          <w:sz w:val="24"/>
          <w:szCs w:val="24"/>
        </w:rPr>
        <w:t xml:space="preserve">that </w:t>
      </w:r>
      <w:r w:rsidR="000F5C69" w:rsidRPr="0059559C">
        <w:rPr>
          <w:rFonts w:cstheme="minorHAnsi"/>
          <w:sz w:val="24"/>
          <w:szCs w:val="24"/>
        </w:rPr>
        <w:t xml:space="preserve">if </w:t>
      </w:r>
      <w:r w:rsidR="00EC2942" w:rsidRPr="0059559C">
        <w:rPr>
          <w:rFonts w:cstheme="minorHAnsi"/>
          <w:sz w:val="24"/>
          <w:szCs w:val="24"/>
        </w:rPr>
        <w:t>such online dissem</w:t>
      </w:r>
      <w:r w:rsidR="000F5C69" w:rsidRPr="0059559C">
        <w:rPr>
          <w:rFonts w:cstheme="minorHAnsi"/>
          <w:sz w:val="24"/>
          <w:szCs w:val="24"/>
        </w:rPr>
        <w:t>ination is proposed their consent should be sought</w:t>
      </w:r>
      <w:r w:rsidR="00EC2942" w:rsidRPr="0059559C">
        <w:rPr>
          <w:rFonts w:cstheme="minorHAnsi"/>
          <w:sz w:val="24"/>
          <w:szCs w:val="24"/>
        </w:rPr>
        <w:t>.</w:t>
      </w:r>
      <w:r w:rsidR="004778A0" w:rsidRPr="0059559C">
        <w:rPr>
          <w:rFonts w:cstheme="minorHAnsi"/>
          <w:sz w:val="24"/>
          <w:szCs w:val="24"/>
        </w:rPr>
        <w:t xml:space="preserve"> </w:t>
      </w:r>
      <w:r w:rsidR="00326B28" w:rsidRPr="0059559C">
        <w:rPr>
          <w:rFonts w:cstheme="minorHAnsi"/>
          <w:sz w:val="24"/>
          <w:szCs w:val="24"/>
        </w:rPr>
        <w:t xml:space="preserve">It is arguable that </w:t>
      </w:r>
      <w:r w:rsidR="00E94A1A" w:rsidRPr="0059559C">
        <w:rPr>
          <w:rFonts w:cstheme="minorHAnsi"/>
          <w:sz w:val="24"/>
          <w:szCs w:val="24"/>
        </w:rPr>
        <w:t xml:space="preserve">in the situation described, the </w:t>
      </w:r>
      <w:r w:rsidR="005774CE" w:rsidRPr="0059559C">
        <w:rPr>
          <w:rFonts w:cstheme="minorHAnsi"/>
          <w:sz w:val="24"/>
          <w:szCs w:val="24"/>
        </w:rPr>
        <w:t xml:space="preserve">parents </w:t>
      </w:r>
      <w:r w:rsidR="00326B28" w:rsidRPr="0059559C">
        <w:rPr>
          <w:rFonts w:cstheme="minorHAnsi"/>
          <w:sz w:val="24"/>
          <w:szCs w:val="24"/>
        </w:rPr>
        <w:t>are</w:t>
      </w:r>
      <w:r w:rsidR="00D836C8" w:rsidRPr="0059559C">
        <w:rPr>
          <w:rFonts w:cstheme="minorHAnsi"/>
          <w:sz w:val="24"/>
          <w:szCs w:val="24"/>
        </w:rPr>
        <w:t xml:space="preserve"> </w:t>
      </w:r>
      <w:r w:rsidR="005774CE" w:rsidRPr="0059559C">
        <w:rPr>
          <w:rFonts w:cstheme="minorHAnsi"/>
          <w:sz w:val="24"/>
          <w:szCs w:val="24"/>
        </w:rPr>
        <w:t xml:space="preserve">justified in </w:t>
      </w:r>
      <w:r w:rsidR="00326B28" w:rsidRPr="0059559C">
        <w:rPr>
          <w:rFonts w:cstheme="minorHAnsi"/>
          <w:sz w:val="24"/>
          <w:szCs w:val="24"/>
        </w:rPr>
        <w:t>objecting to online dissemination of their children’s photographs</w:t>
      </w:r>
      <w:r w:rsidR="00ED2809" w:rsidRPr="0059559C">
        <w:rPr>
          <w:rFonts w:cstheme="minorHAnsi"/>
          <w:sz w:val="24"/>
          <w:szCs w:val="24"/>
        </w:rPr>
        <w:t xml:space="preserve"> without their knowledge or</w:t>
      </w:r>
      <w:r w:rsidR="00B72A47" w:rsidRPr="0059559C">
        <w:rPr>
          <w:rFonts w:cstheme="minorHAnsi"/>
          <w:sz w:val="24"/>
          <w:szCs w:val="24"/>
        </w:rPr>
        <w:t xml:space="preserve"> consent</w:t>
      </w:r>
      <w:r w:rsidR="005774CE" w:rsidRPr="0059559C">
        <w:rPr>
          <w:rFonts w:cstheme="minorHAnsi"/>
          <w:sz w:val="24"/>
          <w:szCs w:val="24"/>
        </w:rPr>
        <w:t>.  The right to data protection is recognised as a fundamental right</w:t>
      </w:r>
      <w:r w:rsidR="00326B28" w:rsidRPr="0059559C">
        <w:rPr>
          <w:rFonts w:cstheme="minorHAnsi"/>
          <w:sz w:val="24"/>
          <w:szCs w:val="24"/>
        </w:rPr>
        <w:t xml:space="preserve"> (</w:t>
      </w:r>
      <w:r w:rsidR="005774CE" w:rsidRPr="0059559C">
        <w:rPr>
          <w:rFonts w:cstheme="minorHAnsi"/>
          <w:sz w:val="24"/>
          <w:szCs w:val="24"/>
        </w:rPr>
        <w:t>Charter of Fundamental Rights of the European Union</w:t>
      </w:r>
      <w:r w:rsidR="00326B28" w:rsidRPr="0059559C">
        <w:rPr>
          <w:rFonts w:cstheme="minorHAnsi"/>
          <w:sz w:val="24"/>
          <w:szCs w:val="24"/>
        </w:rPr>
        <w:t>, Article 8)</w:t>
      </w:r>
      <w:r w:rsidR="005774CE" w:rsidRPr="0059559C">
        <w:rPr>
          <w:rFonts w:cstheme="minorHAnsi"/>
          <w:sz w:val="24"/>
          <w:szCs w:val="24"/>
        </w:rPr>
        <w:t xml:space="preserve">. </w:t>
      </w:r>
      <w:r w:rsidR="004778A0" w:rsidRPr="0059559C">
        <w:rPr>
          <w:rFonts w:cstheme="minorHAnsi"/>
          <w:sz w:val="24"/>
          <w:szCs w:val="24"/>
        </w:rPr>
        <w:t>The online posting of children’s images may also raise child protection issues (NSPCC, 2013).</w:t>
      </w:r>
    </w:p>
    <w:p w14:paraId="395828B3" w14:textId="77777777" w:rsidR="000F5C69" w:rsidRPr="0059559C" w:rsidRDefault="000F5C69" w:rsidP="00B72A47">
      <w:pPr>
        <w:spacing w:after="0" w:line="240" w:lineRule="auto"/>
        <w:rPr>
          <w:rFonts w:cstheme="minorHAnsi"/>
          <w:sz w:val="24"/>
          <w:szCs w:val="24"/>
        </w:rPr>
      </w:pPr>
    </w:p>
    <w:p w14:paraId="061E2E20" w14:textId="77777777" w:rsidR="00D836C8" w:rsidRPr="0059559C" w:rsidRDefault="005774CE" w:rsidP="00B72A47">
      <w:pPr>
        <w:spacing w:after="0" w:line="240" w:lineRule="auto"/>
        <w:rPr>
          <w:rFonts w:cstheme="minorHAnsi"/>
          <w:sz w:val="24"/>
          <w:szCs w:val="24"/>
        </w:rPr>
      </w:pPr>
      <w:r w:rsidRPr="0059559C">
        <w:rPr>
          <w:rFonts w:cstheme="minorHAnsi"/>
          <w:sz w:val="24"/>
          <w:szCs w:val="24"/>
        </w:rPr>
        <w:t>Whilst the Charter does not define data protection</w:t>
      </w:r>
      <w:r w:rsidR="00B72A47" w:rsidRPr="0059559C">
        <w:rPr>
          <w:rFonts w:cstheme="minorHAnsi"/>
          <w:sz w:val="24"/>
          <w:szCs w:val="24"/>
        </w:rPr>
        <w:t>,</w:t>
      </w:r>
      <w:r w:rsidRPr="0059559C">
        <w:rPr>
          <w:rFonts w:cstheme="minorHAnsi"/>
          <w:sz w:val="24"/>
          <w:szCs w:val="24"/>
        </w:rPr>
        <w:t xml:space="preserve"> ‘data protection is broadly analogous to </w:t>
      </w:r>
      <w:proofErr w:type="gramStart"/>
      <w:r w:rsidRPr="0059559C">
        <w:rPr>
          <w:rFonts w:cstheme="minorHAnsi"/>
          <w:sz w:val="24"/>
          <w:szCs w:val="24"/>
        </w:rPr>
        <w:t>the</w:t>
      </w:r>
      <w:proofErr w:type="gramEnd"/>
      <w:r w:rsidRPr="0059559C">
        <w:rPr>
          <w:rFonts w:cstheme="minorHAnsi"/>
          <w:sz w:val="24"/>
          <w:szCs w:val="24"/>
        </w:rPr>
        <w:t xml:space="preserve"> concept “information privacy”</w:t>
      </w:r>
      <w:r w:rsidR="00B72A47" w:rsidRPr="0059559C">
        <w:rPr>
          <w:rFonts w:cstheme="minorHAnsi"/>
          <w:sz w:val="24"/>
          <w:szCs w:val="24"/>
        </w:rPr>
        <w:t xml:space="preserve"> (Bennett, 1992, p14)</w:t>
      </w:r>
      <w:r w:rsidR="00D97DBA" w:rsidRPr="0059559C">
        <w:rPr>
          <w:rFonts w:cstheme="minorHAnsi"/>
          <w:sz w:val="24"/>
          <w:szCs w:val="24"/>
        </w:rPr>
        <w:t>.  It essentially describes</w:t>
      </w:r>
      <w:r w:rsidRPr="0059559C">
        <w:rPr>
          <w:rFonts w:cstheme="minorHAnsi"/>
          <w:sz w:val="24"/>
          <w:szCs w:val="24"/>
        </w:rPr>
        <w:t xml:space="preserve"> </w:t>
      </w:r>
      <w:r w:rsidR="00D97DBA" w:rsidRPr="0059559C">
        <w:rPr>
          <w:rFonts w:cstheme="minorHAnsi"/>
          <w:sz w:val="24"/>
          <w:szCs w:val="24"/>
        </w:rPr>
        <w:t>“the claim of individuals, groups or institutions to determine for themselves, when, how and to what extent information about them is communicated to others” (</w:t>
      </w:r>
      <w:r w:rsidRPr="0059559C">
        <w:rPr>
          <w:rFonts w:cstheme="minorHAnsi"/>
          <w:sz w:val="24"/>
          <w:szCs w:val="24"/>
        </w:rPr>
        <w:t>Westin</w:t>
      </w:r>
      <w:r w:rsidR="00D97DBA" w:rsidRPr="0059559C">
        <w:rPr>
          <w:rFonts w:cstheme="minorHAnsi"/>
          <w:sz w:val="24"/>
          <w:szCs w:val="24"/>
        </w:rPr>
        <w:t>,</w:t>
      </w:r>
      <w:r w:rsidR="00D836C8" w:rsidRPr="0059559C">
        <w:rPr>
          <w:rFonts w:cstheme="minorHAnsi"/>
          <w:sz w:val="24"/>
          <w:szCs w:val="24"/>
        </w:rPr>
        <w:t xml:space="preserve"> 1967, p7)</w:t>
      </w:r>
      <w:r w:rsidR="008B52E8" w:rsidRPr="0059559C">
        <w:rPr>
          <w:rFonts w:cstheme="minorHAnsi"/>
          <w:sz w:val="24"/>
          <w:szCs w:val="24"/>
        </w:rPr>
        <w:t>.</w:t>
      </w:r>
      <w:r w:rsidR="00D97DBA" w:rsidRPr="0059559C">
        <w:rPr>
          <w:rFonts w:cstheme="minorHAnsi"/>
          <w:sz w:val="24"/>
          <w:szCs w:val="24"/>
        </w:rPr>
        <w:t xml:space="preserve"> </w:t>
      </w:r>
      <w:r w:rsidR="008B52E8" w:rsidRPr="0059559C">
        <w:rPr>
          <w:rFonts w:cstheme="minorHAnsi"/>
          <w:sz w:val="24"/>
          <w:szCs w:val="24"/>
        </w:rPr>
        <w:t>O</w:t>
      </w:r>
      <w:r w:rsidRPr="0059559C">
        <w:rPr>
          <w:rFonts w:cstheme="minorHAnsi"/>
          <w:sz w:val="24"/>
          <w:szCs w:val="24"/>
        </w:rPr>
        <w:t>n that basis, it is</w:t>
      </w:r>
      <w:r w:rsidR="008B52E8" w:rsidRPr="0059559C">
        <w:rPr>
          <w:rFonts w:cstheme="minorHAnsi"/>
          <w:sz w:val="24"/>
          <w:szCs w:val="24"/>
        </w:rPr>
        <w:t xml:space="preserve"> </w:t>
      </w:r>
      <w:r w:rsidRPr="0059559C">
        <w:rPr>
          <w:rFonts w:cstheme="minorHAnsi"/>
          <w:sz w:val="24"/>
          <w:szCs w:val="24"/>
        </w:rPr>
        <w:t>the chi</w:t>
      </w:r>
      <w:r w:rsidR="00EC2942" w:rsidRPr="0059559C">
        <w:rPr>
          <w:rFonts w:cstheme="minorHAnsi"/>
          <w:sz w:val="24"/>
          <w:szCs w:val="24"/>
        </w:rPr>
        <w:t xml:space="preserve">ld, </w:t>
      </w:r>
      <w:r w:rsidR="00ED545C" w:rsidRPr="0059559C">
        <w:rPr>
          <w:rFonts w:cstheme="minorHAnsi"/>
          <w:sz w:val="24"/>
          <w:szCs w:val="24"/>
        </w:rPr>
        <w:t xml:space="preserve">or </w:t>
      </w:r>
      <w:r w:rsidR="00EC2942" w:rsidRPr="0059559C">
        <w:rPr>
          <w:rFonts w:cstheme="minorHAnsi"/>
          <w:sz w:val="24"/>
          <w:szCs w:val="24"/>
        </w:rPr>
        <w:t xml:space="preserve">upon their behalf, </w:t>
      </w:r>
      <w:r w:rsidR="00ED545C" w:rsidRPr="0059559C">
        <w:rPr>
          <w:rFonts w:cstheme="minorHAnsi"/>
          <w:sz w:val="24"/>
          <w:szCs w:val="24"/>
        </w:rPr>
        <w:t>their parent</w:t>
      </w:r>
      <w:r w:rsidRPr="0059559C">
        <w:rPr>
          <w:rFonts w:cstheme="minorHAnsi"/>
          <w:sz w:val="24"/>
          <w:szCs w:val="24"/>
        </w:rPr>
        <w:t>’s right to determine whether the child’s image</w:t>
      </w:r>
      <w:r w:rsidR="008B52E8" w:rsidRPr="0059559C">
        <w:rPr>
          <w:rFonts w:cstheme="minorHAnsi"/>
          <w:sz w:val="24"/>
          <w:szCs w:val="24"/>
        </w:rPr>
        <w:t xml:space="preserve"> </w:t>
      </w:r>
      <w:r w:rsidRPr="0059559C">
        <w:rPr>
          <w:rFonts w:cstheme="minorHAnsi"/>
          <w:sz w:val="24"/>
          <w:szCs w:val="24"/>
        </w:rPr>
        <w:t>is shared online, not the photographers</w:t>
      </w:r>
      <w:r w:rsidR="008B52E8" w:rsidRPr="0059559C">
        <w:rPr>
          <w:rFonts w:cstheme="minorHAnsi"/>
          <w:sz w:val="24"/>
          <w:szCs w:val="24"/>
        </w:rPr>
        <w:t xml:space="preserve">.  </w:t>
      </w:r>
    </w:p>
    <w:p w14:paraId="4EDC45F6" w14:textId="77777777" w:rsidR="004C5558" w:rsidRPr="0059559C" w:rsidRDefault="00ED2809" w:rsidP="00724D5D">
      <w:pPr>
        <w:spacing w:after="0" w:line="240" w:lineRule="auto"/>
        <w:rPr>
          <w:rFonts w:cstheme="minorHAnsi"/>
          <w:sz w:val="24"/>
          <w:szCs w:val="24"/>
        </w:rPr>
      </w:pPr>
      <w:r w:rsidRPr="0059559C">
        <w:rPr>
          <w:rFonts w:cstheme="minorHAnsi"/>
          <w:sz w:val="24"/>
          <w:szCs w:val="24"/>
        </w:rPr>
        <w:t xml:space="preserve"> </w:t>
      </w:r>
    </w:p>
    <w:p w14:paraId="7374BB04" w14:textId="77777777" w:rsidR="00D836C8" w:rsidRPr="0059559C" w:rsidRDefault="00D836C8" w:rsidP="00724D5D">
      <w:pPr>
        <w:spacing w:after="0" w:line="240" w:lineRule="auto"/>
        <w:rPr>
          <w:rFonts w:cstheme="minorHAnsi"/>
          <w:sz w:val="24"/>
          <w:szCs w:val="24"/>
        </w:rPr>
      </w:pPr>
      <w:r w:rsidRPr="0059559C">
        <w:rPr>
          <w:rFonts w:cstheme="minorHAnsi"/>
          <w:sz w:val="24"/>
          <w:szCs w:val="24"/>
        </w:rPr>
        <w:t xml:space="preserve">The principal legislative instrument protecting personal </w:t>
      </w:r>
      <w:r w:rsidR="008B52E8" w:rsidRPr="0059559C">
        <w:rPr>
          <w:rFonts w:cstheme="minorHAnsi"/>
          <w:sz w:val="24"/>
          <w:szCs w:val="24"/>
        </w:rPr>
        <w:t xml:space="preserve">information/personal </w:t>
      </w:r>
      <w:r w:rsidRPr="0059559C">
        <w:rPr>
          <w:rFonts w:cstheme="minorHAnsi"/>
          <w:sz w:val="24"/>
          <w:szCs w:val="24"/>
        </w:rPr>
        <w:t>data in Europe is Directive 95/46/EC on the protection of individuals with regard to the processing of personal data and on the free movement of such data (‘the Directive’). Whilst the Directive has been described as ‘a milestone in the history of data protection,’</w:t>
      </w:r>
      <w:r w:rsidR="00E12C16" w:rsidRPr="0059559C">
        <w:rPr>
          <w:rFonts w:cstheme="minorHAnsi"/>
          <w:sz w:val="24"/>
          <w:szCs w:val="24"/>
        </w:rPr>
        <w:t xml:space="preserve"> (European Commission, 2012a, p2) </w:t>
      </w:r>
      <w:r w:rsidRPr="0059559C">
        <w:rPr>
          <w:rFonts w:cstheme="minorHAnsi"/>
          <w:sz w:val="24"/>
          <w:szCs w:val="24"/>
        </w:rPr>
        <w:t xml:space="preserve">the unfortunate reality is that in 1990 when the </w:t>
      </w:r>
      <w:r w:rsidRPr="0059559C">
        <w:rPr>
          <w:rFonts w:eastAsia="Times New Roman" w:cstheme="minorHAnsi"/>
          <w:sz w:val="24"/>
          <w:szCs w:val="24"/>
          <w:lang w:eastAsia="en-GB"/>
        </w:rPr>
        <w:t xml:space="preserve">Directive was first proposed the Internet did not exist, indeed </w:t>
      </w:r>
      <w:r w:rsidR="00DD0116" w:rsidRPr="0059559C">
        <w:rPr>
          <w:rFonts w:eastAsia="Times New Roman" w:cstheme="minorHAnsi"/>
          <w:sz w:val="24"/>
          <w:szCs w:val="24"/>
          <w:lang w:eastAsia="en-GB"/>
        </w:rPr>
        <w:t xml:space="preserve">even </w:t>
      </w:r>
      <w:r w:rsidRPr="0059559C">
        <w:rPr>
          <w:rFonts w:eastAsia="Times New Roman" w:cstheme="minorHAnsi"/>
          <w:sz w:val="24"/>
          <w:szCs w:val="24"/>
          <w:lang w:eastAsia="en-GB"/>
        </w:rPr>
        <w:t>when the Directive was adopted in 1995 the internet had barely begun</w:t>
      </w:r>
      <w:r w:rsidR="00DD0116" w:rsidRPr="0059559C">
        <w:rPr>
          <w:rFonts w:eastAsia="Times New Roman" w:cstheme="minorHAnsi"/>
          <w:sz w:val="24"/>
          <w:szCs w:val="24"/>
          <w:lang w:eastAsia="en-GB"/>
        </w:rPr>
        <w:t xml:space="preserve"> (per Advocate General </w:t>
      </w:r>
      <w:proofErr w:type="spellStart"/>
      <w:r w:rsidR="00DD0116" w:rsidRPr="0059559C">
        <w:rPr>
          <w:rFonts w:eastAsia="Times New Roman" w:cstheme="minorHAnsi"/>
          <w:sz w:val="24"/>
          <w:szCs w:val="24"/>
          <w:lang w:eastAsia="en-GB"/>
        </w:rPr>
        <w:t>Jääskinen</w:t>
      </w:r>
      <w:proofErr w:type="spellEnd"/>
      <w:r w:rsidR="00DD0116" w:rsidRPr="0059559C">
        <w:rPr>
          <w:rFonts w:eastAsia="Times New Roman" w:cstheme="minorHAnsi"/>
          <w:sz w:val="24"/>
          <w:szCs w:val="24"/>
          <w:lang w:eastAsia="en-GB"/>
        </w:rPr>
        <w:t xml:space="preserve"> in </w:t>
      </w:r>
      <w:r w:rsidR="00DD0116" w:rsidRPr="0059559C">
        <w:rPr>
          <w:rFonts w:eastAsia="Times New Roman" w:cstheme="minorHAnsi"/>
          <w:bCs/>
          <w:sz w:val="24"/>
          <w:szCs w:val="24"/>
          <w:lang w:eastAsia="en-GB"/>
        </w:rPr>
        <w:t>C</w:t>
      </w:r>
      <w:r w:rsidR="00DD0116" w:rsidRPr="0059559C">
        <w:rPr>
          <w:rFonts w:eastAsia="Times New Roman" w:cstheme="minorHAnsi"/>
          <w:bCs/>
          <w:sz w:val="24"/>
          <w:szCs w:val="24"/>
          <w:lang w:eastAsia="en-GB"/>
        </w:rPr>
        <w:noBreakHyphen/>
        <w:t>131/12 ‘Google Spain’)</w:t>
      </w:r>
      <w:r w:rsidR="00DD0116" w:rsidRPr="0059559C">
        <w:rPr>
          <w:rFonts w:eastAsia="Times New Roman" w:cstheme="minorHAnsi"/>
          <w:sz w:val="24"/>
          <w:szCs w:val="24"/>
          <w:lang w:eastAsia="en-GB"/>
        </w:rPr>
        <w:t xml:space="preserve"> </w:t>
      </w:r>
      <w:r w:rsidRPr="0059559C">
        <w:rPr>
          <w:rFonts w:eastAsia="Times New Roman" w:cstheme="minorHAnsi"/>
          <w:sz w:val="24"/>
          <w:szCs w:val="24"/>
          <w:lang w:eastAsia="en-GB"/>
        </w:rPr>
        <w:t xml:space="preserve">and </w:t>
      </w:r>
      <w:r w:rsidRPr="0059559C">
        <w:rPr>
          <w:rFonts w:cstheme="minorHAnsi"/>
          <w:sz w:val="24"/>
          <w:szCs w:val="24"/>
        </w:rPr>
        <w:t>less than 1% of Europeans used the internet</w:t>
      </w:r>
      <w:r w:rsidR="00E12C16" w:rsidRPr="0059559C">
        <w:rPr>
          <w:rFonts w:cstheme="minorHAnsi"/>
          <w:sz w:val="24"/>
          <w:szCs w:val="24"/>
        </w:rPr>
        <w:t xml:space="preserve"> (European Commission, 2012b)</w:t>
      </w:r>
      <w:r w:rsidRPr="0059559C">
        <w:rPr>
          <w:rFonts w:eastAsia="Times New Roman" w:cstheme="minorHAnsi"/>
          <w:sz w:val="24"/>
          <w:szCs w:val="24"/>
          <w:lang w:eastAsia="en-GB"/>
        </w:rPr>
        <w:t>.</w:t>
      </w:r>
      <w:r w:rsidRPr="0059559C">
        <w:rPr>
          <w:rStyle w:val="FootnoteReference"/>
          <w:rFonts w:eastAsia="Times New Roman" w:cstheme="minorHAnsi"/>
          <w:sz w:val="24"/>
          <w:szCs w:val="24"/>
          <w:lang w:eastAsia="en-GB"/>
        </w:rPr>
        <w:t xml:space="preserve"> </w:t>
      </w:r>
      <w:r w:rsidRPr="0059559C">
        <w:rPr>
          <w:rFonts w:eastAsia="Times New Roman" w:cstheme="minorHAnsi"/>
          <w:sz w:val="24"/>
          <w:szCs w:val="24"/>
          <w:lang w:eastAsia="en-GB"/>
        </w:rPr>
        <w:t>Few could then have imagined the technological changes that have transformed the way we now disseminate and receive information</w:t>
      </w:r>
      <w:r w:rsidR="00ED2809" w:rsidRPr="0059559C">
        <w:rPr>
          <w:rFonts w:eastAsia="Times New Roman" w:cstheme="minorHAnsi"/>
          <w:sz w:val="24"/>
          <w:szCs w:val="24"/>
          <w:lang w:eastAsia="en-GB"/>
        </w:rPr>
        <w:t>; o</w:t>
      </w:r>
      <w:r w:rsidR="00ED545C" w:rsidRPr="0059559C">
        <w:rPr>
          <w:rFonts w:eastAsia="Times New Roman" w:cstheme="minorHAnsi"/>
          <w:sz w:val="24"/>
          <w:szCs w:val="24"/>
          <w:lang w:eastAsia="en-GB"/>
        </w:rPr>
        <w:t xml:space="preserve">nline information sharing is </w:t>
      </w:r>
      <w:r w:rsidRPr="0059559C">
        <w:rPr>
          <w:rFonts w:cstheme="minorHAnsi"/>
          <w:sz w:val="24"/>
          <w:szCs w:val="24"/>
        </w:rPr>
        <w:t xml:space="preserve">part of life for the 250 million individuals across Europe who now </w:t>
      </w:r>
      <w:proofErr w:type="gramStart"/>
      <w:r w:rsidRPr="0059559C">
        <w:rPr>
          <w:rFonts w:cstheme="minorHAnsi"/>
          <w:sz w:val="24"/>
          <w:szCs w:val="24"/>
        </w:rPr>
        <w:t>use</w:t>
      </w:r>
      <w:proofErr w:type="gramEnd"/>
      <w:r w:rsidRPr="0059559C">
        <w:rPr>
          <w:rFonts w:cstheme="minorHAnsi"/>
          <w:sz w:val="24"/>
          <w:szCs w:val="24"/>
        </w:rPr>
        <w:t xml:space="preserve"> the internet on a daily basis</w:t>
      </w:r>
      <w:r w:rsidR="00E12C16" w:rsidRPr="0059559C">
        <w:rPr>
          <w:rFonts w:cstheme="minorHAnsi"/>
          <w:sz w:val="24"/>
          <w:szCs w:val="24"/>
        </w:rPr>
        <w:t xml:space="preserve"> (Europ</w:t>
      </w:r>
      <w:r w:rsidR="000F5C69" w:rsidRPr="0059559C">
        <w:rPr>
          <w:rFonts w:cstheme="minorHAnsi"/>
          <w:sz w:val="24"/>
          <w:szCs w:val="24"/>
        </w:rPr>
        <w:t>ean Commission, 2012a</w:t>
      </w:r>
      <w:r w:rsidR="00E12C16" w:rsidRPr="0059559C">
        <w:rPr>
          <w:rFonts w:cstheme="minorHAnsi"/>
          <w:sz w:val="24"/>
          <w:szCs w:val="24"/>
        </w:rPr>
        <w:t>; European Commission 2012c)</w:t>
      </w:r>
      <w:r w:rsidRPr="0059559C">
        <w:rPr>
          <w:rFonts w:cstheme="minorHAnsi"/>
          <w:sz w:val="24"/>
          <w:szCs w:val="24"/>
        </w:rPr>
        <w:t xml:space="preserve">.  </w:t>
      </w:r>
    </w:p>
    <w:p w14:paraId="603781AF" w14:textId="77777777" w:rsidR="005D685B" w:rsidRPr="0059559C" w:rsidRDefault="005D685B" w:rsidP="00724D5D">
      <w:pPr>
        <w:spacing w:after="0" w:line="240" w:lineRule="auto"/>
        <w:rPr>
          <w:rFonts w:cstheme="minorHAnsi"/>
          <w:sz w:val="24"/>
          <w:szCs w:val="24"/>
        </w:rPr>
      </w:pPr>
    </w:p>
    <w:p w14:paraId="4C7712E1" w14:textId="1BE7459D" w:rsidR="00ED2809" w:rsidRPr="0059559C" w:rsidRDefault="00D836C8" w:rsidP="00724D5D">
      <w:pPr>
        <w:spacing w:after="0" w:line="240" w:lineRule="auto"/>
        <w:rPr>
          <w:rFonts w:cstheme="minorHAnsi"/>
          <w:sz w:val="24"/>
          <w:szCs w:val="24"/>
        </w:rPr>
      </w:pPr>
      <w:r w:rsidRPr="0059559C">
        <w:rPr>
          <w:rFonts w:cstheme="minorHAnsi"/>
          <w:sz w:val="24"/>
          <w:szCs w:val="24"/>
        </w:rPr>
        <w:t>That the internet</w:t>
      </w:r>
      <w:r w:rsidRPr="0059559C">
        <w:rPr>
          <w:rFonts w:eastAsia="Times New Roman" w:cstheme="minorHAnsi"/>
          <w:sz w:val="24"/>
          <w:szCs w:val="24"/>
          <w:lang w:eastAsia="en-GB"/>
        </w:rPr>
        <w:t xml:space="preserve"> revolution has brought with it new challenges when it comes to protecting personal information is widely acknowledged.</w:t>
      </w:r>
      <w:r w:rsidR="008F061F" w:rsidRPr="0059559C">
        <w:rPr>
          <w:rFonts w:cstheme="minorHAnsi"/>
          <w:sz w:val="24"/>
          <w:szCs w:val="24"/>
        </w:rPr>
        <w:t xml:space="preserve"> </w:t>
      </w:r>
      <w:r w:rsidR="005F7FF9" w:rsidRPr="0059559C">
        <w:rPr>
          <w:rFonts w:cstheme="minorHAnsi"/>
          <w:sz w:val="24"/>
          <w:szCs w:val="24"/>
        </w:rPr>
        <w:t>Across Europe, individuals, organisations and data protection authorities alike</w:t>
      </w:r>
      <w:r w:rsidR="004B645B" w:rsidRPr="0059559C">
        <w:rPr>
          <w:rFonts w:cstheme="minorHAnsi"/>
          <w:sz w:val="24"/>
          <w:szCs w:val="24"/>
        </w:rPr>
        <w:t>, seeking to ensure that individuals’ personal data are effectively protected,</w:t>
      </w:r>
      <w:r w:rsidR="005F7FF9" w:rsidRPr="0059559C">
        <w:rPr>
          <w:rFonts w:cstheme="minorHAnsi"/>
          <w:sz w:val="24"/>
          <w:szCs w:val="24"/>
        </w:rPr>
        <w:t xml:space="preserve"> have called for clarification as to </w:t>
      </w:r>
      <w:r w:rsidR="004B645B" w:rsidRPr="0059559C">
        <w:rPr>
          <w:rFonts w:cstheme="minorHAnsi"/>
          <w:sz w:val="24"/>
          <w:szCs w:val="24"/>
        </w:rPr>
        <w:t xml:space="preserve">how </w:t>
      </w:r>
      <w:r w:rsidR="005F7FF9" w:rsidRPr="0059559C">
        <w:rPr>
          <w:rFonts w:cstheme="minorHAnsi"/>
          <w:sz w:val="24"/>
          <w:szCs w:val="24"/>
        </w:rPr>
        <w:t xml:space="preserve">data protection principles </w:t>
      </w:r>
      <w:r w:rsidR="004B645B" w:rsidRPr="0059559C">
        <w:rPr>
          <w:rFonts w:cstheme="minorHAnsi"/>
          <w:sz w:val="24"/>
          <w:szCs w:val="24"/>
        </w:rPr>
        <w:t xml:space="preserve">apply </w:t>
      </w:r>
      <w:r w:rsidR="005F7FF9" w:rsidRPr="0059559C">
        <w:rPr>
          <w:rFonts w:cstheme="minorHAnsi"/>
          <w:sz w:val="24"/>
          <w:szCs w:val="24"/>
        </w:rPr>
        <w:t>to new technologies (</w:t>
      </w:r>
      <w:r w:rsidR="000F5C69" w:rsidRPr="0059559C">
        <w:rPr>
          <w:rFonts w:cstheme="minorHAnsi"/>
          <w:sz w:val="24"/>
          <w:szCs w:val="24"/>
        </w:rPr>
        <w:t>European Commission, 2010</w:t>
      </w:r>
      <w:r w:rsidR="005F7FF9" w:rsidRPr="0059559C">
        <w:rPr>
          <w:rFonts w:cstheme="minorHAnsi"/>
          <w:sz w:val="24"/>
          <w:szCs w:val="24"/>
        </w:rPr>
        <w:t xml:space="preserve">).  </w:t>
      </w:r>
      <w:r w:rsidR="00411DA0" w:rsidRPr="0059559C">
        <w:rPr>
          <w:rFonts w:cstheme="minorHAnsi"/>
          <w:sz w:val="24"/>
          <w:szCs w:val="24"/>
        </w:rPr>
        <w:t>T</w:t>
      </w:r>
      <w:r w:rsidR="005F7FF9" w:rsidRPr="0059559C">
        <w:rPr>
          <w:rFonts w:cstheme="minorHAnsi"/>
          <w:sz w:val="24"/>
          <w:szCs w:val="24"/>
        </w:rPr>
        <w:t>he Info</w:t>
      </w:r>
      <w:r w:rsidR="008359E1">
        <w:rPr>
          <w:rFonts w:cstheme="minorHAnsi"/>
          <w:sz w:val="24"/>
          <w:szCs w:val="24"/>
        </w:rPr>
        <w:t>rmation Commissioner’s Office (‘the ICO’), charged with</w:t>
      </w:r>
      <w:r w:rsidR="005F7FF9" w:rsidRPr="0059559C">
        <w:rPr>
          <w:rFonts w:cstheme="minorHAnsi"/>
          <w:sz w:val="24"/>
          <w:szCs w:val="24"/>
        </w:rPr>
        <w:t xml:space="preserve"> implementing data protection rules within the UK</w:t>
      </w:r>
      <w:r w:rsidR="00ED545C" w:rsidRPr="0059559C">
        <w:rPr>
          <w:rFonts w:cstheme="minorHAnsi"/>
          <w:sz w:val="24"/>
          <w:szCs w:val="24"/>
        </w:rPr>
        <w:t>,</w:t>
      </w:r>
      <w:r w:rsidR="005F7FF9" w:rsidRPr="0059559C">
        <w:rPr>
          <w:rFonts w:cstheme="minorHAnsi"/>
          <w:sz w:val="24"/>
          <w:szCs w:val="24"/>
        </w:rPr>
        <w:t xml:space="preserve"> </w:t>
      </w:r>
      <w:r w:rsidR="00411DA0" w:rsidRPr="0059559C">
        <w:rPr>
          <w:rFonts w:cstheme="minorHAnsi"/>
          <w:sz w:val="24"/>
          <w:szCs w:val="24"/>
        </w:rPr>
        <w:t xml:space="preserve">made clear </w:t>
      </w:r>
      <w:r w:rsidR="005F7FF9" w:rsidRPr="0059559C">
        <w:rPr>
          <w:rFonts w:cstheme="minorHAnsi"/>
          <w:sz w:val="24"/>
          <w:szCs w:val="24"/>
        </w:rPr>
        <w:t xml:space="preserve">in 2010 that </w:t>
      </w:r>
      <w:r w:rsidR="008B52E8" w:rsidRPr="0059559C">
        <w:rPr>
          <w:rFonts w:cstheme="minorHAnsi"/>
          <w:sz w:val="24"/>
          <w:szCs w:val="24"/>
        </w:rPr>
        <w:t xml:space="preserve">it </w:t>
      </w:r>
      <w:r w:rsidR="00500B4C" w:rsidRPr="0059559C">
        <w:rPr>
          <w:rFonts w:cstheme="minorHAnsi"/>
          <w:sz w:val="24"/>
          <w:szCs w:val="24"/>
        </w:rPr>
        <w:t xml:space="preserve">believed </w:t>
      </w:r>
      <w:r w:rsidR="008B52E8" w:rsidRPr="0059559C">
        <w:rPr>
          <w:rFonts w:cstheme="minorHAnsi"/>
          <w:sz w:val="24"/>
          <w:szCs w:val="24"/>
        </w:rPr>
        <w:t xml:space="preserve">clarification </w:t>
      </w:r>
      <w:r w:rsidR="00500B4C" w:rsidRPr="0059559C">
        <w:rPr>
          <w:rFonts w:cstheme="minorHAnsi"/>
          <w:sz w:val="24"/>
          <w:szCs w:val="24"/>
        </w:rPr>
        <w:t xml:space="preserve">was needed as to </w:t>
      </w:r>
      <w:r w:rsidR="00ED545C" w:rsidRPr="0059559C">
        <w:rPr>
          <w:rFonts w:cstheme="minorHAnsi"/>
          <w:sz w:val="24"/>
          <w:szCs w:val="24"/>
        </w:rPr>
        <w:t xml:space="preserve">how </w:t>
      </w:r>
      <w:r w:rsidR="005F7FF9" w:rsidRPr="0059559C">
        <w:rPr>
          <w:rFonts w:cstheme="minorHAnsi"/>
          <w:sz w:val="24"/>
          <w:szCs w:val="24"/>
        </w:rPr>
        <w:t xml:space="preserve">data protection legislation </w:t>
      </w:r>
      <w:r w:rsidR="008B52E8" w:rsidRPr="0059559C">
        <w:rPr>
          <w:rFonts w:cstheme="minorHAnsi"/>
          <w:sz w:val="24"/>
          <w:szCs w:val="24"/>
        </w:rPr>
        <w:t>applies</w:t>
      </w:r>
      <w:r w:rsidR="00ED545C" w:rsidRPr="0059559C">
        <w:rPr>
          <w:rFonts w:cstheme="minorHAnsi"/>
          <w:sz w:val="24"/>
          <w:szCs w:val="24"/>
        </w:rPr>
        <w:t xml:space="preserve"> </w:t>
      </w:r>
      <w:r w:rsidR="005F7FF9" w:rsidRPr="0059559C">
        <w:rPr>
          <w:rFonts w:cstheme="minorHAnsi"/>
          <w:sz w:val="24"/>
          <w:szCs w:val="24"/>
        </w:rPr>
        <w:t>when individuals post personal information online</w:t>
      </w:r>
      <w:r w:rsidR="00ED545C" w:rsidRPr="0059559C">
        <w:rPr>
          <w:rFonts w:cstheme="minorHAnsi"/>
          <w:sz w:val="24"/>
          <w:szCs w:val="24"/>
        </w:rPr>
        <w:t xml:space="preserve"> </w:t>
      </w:r>
      <w:r w:rsidR="005F7FF9" w:rsidRPr="0059559C">
        <w:rPr>
          <w:rFonts w:cstheme="minorHAnsi"/>
          <w:sz w:val="24"/>
          <w:szCs w:val="24"/>
        </w:rPr>
        <w:t>(ICO, 2010).</w:t>
      </w:r>
      <w:r w:rsidR="005F7FF9" w:rsidRPr="0059559C">
        <w:rPr>
          <w:rStyle w:val="FootnoteReference"/>
          <w:rFonts w:cstheme="minorHAnsi"/>
          <w:sz w:val="24"/>
          <w:szCs w:val="24"/>
        </w:rPr>
        <w:t xml:space="preserve">  </w:t>
      </w:r>
      <w:r w:rsidR="00ED545C" w:rsidRPr="0059559C">
        <w:rPr>
          <w:rFonts w:cstheme="minorHAnsi"/>
          <w:sz w:val="24"/>
          <w:szCs w:val="24"/>
        </w:rPr>
        <w:t>A</w:t>
      </w:r>
      <w:r w:rsidR="005F7FF9" w:rsidRPr="0059559C">
        <w:rPr>
          <w:rFonts w:cstheme="minorHAnsi"/>
          <w:sz w:val="24"/>
          <w:szCs w:val="24"/>
        </w:rPr>
        <w:t xml:space="preserve"> recent survey of UK education authorities provides evidence that professionals who</w:t>
      </w:r>
      <w:r w:rsidR="00ED545C" w:rsidRPr="0059559C">
        <w:rPr>
          <w:rFonts w:cstheme="minorHAnsi"/>
          <w:sz w:val="24"/>
          <w:szCs w:val="24"/>
        </w:rPr>
        <w:t xml:space="preserve"> provide</w:t>
      </w:r>
      <w:r w:rsidR="005F7FF9" w:rsidRPr="0059559C">
        <w:rPr>
          <w:rFonts w:cstheme="minorHAnsi"/>
          <w:sz w:val="24"/>
          <w:szCs w:val="24"/>
        </w:rPr>
        <w:t xml:space="preserve"> advice </w:t>
      </w:r>
      <w:r w:rsidR="00ED545C" w:rsidRPr="0059559C">
        <w:rPr>
          <w:rFonts w:cstheme="minorHAnsi"/>
          <w:sz w:val="24"/>
          <w:szCs w:val="24"/>
        </w:rPr>
        <w:t>upon</w:t>
      </w:r>
      <w:r w:rsidR="005F7FF9" w:rsidRPr="0059559C">
        <w:rPr>
          <w:rFonts w:cstheme="minorHAnsi"/>
          <w:sz w:val="24"/>
          <w:szCs w:val="24"/>
        </w:rPr>
        <w:t xml:space="preserve"> parental photography at school events are </w:t>
      </w:r>
      <w:r w:rsidR="00ED545C" w:rsidRPr="0059559C">
        <w:rPr>
          <w:rFonts w:cstheme="minorHAnsi"/>
          <w:sz w:val="24"/>
          <w:szCs w:val="24"/>
        </w:rPr>
        <w:t>similar</w:t>
      </w:r>
      <w:r w:rsidR="005F7FF9" w:rsidRPr="0059559C">
        <w:rPr>
          <w:rFonts w:cstheme="minorHAnsi"/>
          <w:sz w:val="24"/>
          <w:szCs w:val="24"/>
        </w:rPr>
        <w:t>ly unsure how the law applies when</w:t>
      </w:r>
      <w:r w:rsidR="004B645B" w:rsidRPr="0059559C">
        <w:rPr>
          <w:rFonts w:cstheme="minorHAnsi"/>
          <w:sz w:val="24"/>
          <w:szCs w:val="24"/>
        </w:rPr>
        <w:t xml:space="preserve"> individuals </w:t>
      </w:r>
      <w:r w:rsidR="00ED2809" w:rsidRPr="0059559C">
        <w:rPr>
          <w:rFonts w:cstheme="minorHAnsi"/>
          <w:sz w:val="24"/>
          <w:szCs w:val="24"/>
        </w:rPr>
        <w:t>take photographs which may subsequently be shared</w:t>
      </w:r>
      <w:r w:rsidR="005F7FF9" w:rsidRPr="0059559C">
        <w:rPr>
          <w:rFonts w:cstheme="minorHAnsi"/>
          <w:sz w:val="24"/>
          <w:szCs w:val="24"/>
        </w:rPr>
        <w:t xml:space="preserve"> online.  </w:t>
      </w:r>
      <w:r w:rsidRPr="0059559C">
        <w:rPr>
          <w:rFonts w:cstheme="minorHAnsi"/>
          <w:sz w:val="24"/>
          <w:szCs w:val="24"/>
        </w:rPr>
        <w:t xml:space="preserve">  </w:t>
      </w:r>
    </w:p>
    <w:p w14:paraId="0F1C28B1" w14:textId="77777777" w:rsidR="00ED2809" w:rsidRPr="0059559C" w:rsidRDefault="00ED2809" w:rsidP="00724D5D">
      <w:pPr>
        <w:spacing w:after="0" w:line="240" w:lineRule="auto"/>
        <w:rPr>
          <w:rFonts w:cstheme="minorHAnsi"/>
          <w:sz w:val="24"/>
          <w:szCs w:val="24"/>
        </w:rPr>
      </w:pPr>
    </w:p>
    <w:p w14:paraId="4651D7CE" w14:textId="77777777" w:rsidR="00D97DBA" w:rsidRPr="0059559C" w:rsidRDefault="00ED2809" w:rsidP="00ED2809">
      <w:pPr>
        <w:spacing w:after="0" w:line="240" w:lineRule="auto"/>
        <w:rPr>
          <w:rFonts w:cstheme="minorHAnsi"/>
          <w:sz w:val="24"/>
          <w:szCs w:val="24"/>
        </w:rPr>
      </w:pPr>
      <w:r w:rsidRPr="0059559C">
        <w:rPr>
          <w:rFonts w:cstheme="minorHAnsi"/>
          <w:sz w:val="24"/>
          <w:szCs w:val="24"/>
        </w:rPr>
        <w:t>T</w:t>
      </w:r>
      <w:r w:rsidR="00D836C8" w:rsidRPr="0059559C">
        <w:rPr>
          <w:rFonts w:cstheme="minorHAnsi"/>
          <w:sz w:val="24"/>
          <w:szCs w:val="24"/>
        </w:rPr>
        <w:t>he European Commission has accepted that in the digital age the Directive may no longer be an effective way to ensure the right to personal data protection</w:t>
      </w:r>
      <w:r w:rsidR="005F7FF9" w:rsidRPr="0059559C">
        <w:rPr>
          <w:rFonts w:cstheme="minorHAnsi"/>
          <w:sz w:val="24"/>
          <w:szCs w:val="24"/>
        </w:rPr>
        <w:t xml:space="preserve"> (</w:t>
      </w:r>
      <w:r w:rsidR="000F5C69" w:rsidRPr="0059559C">
        <w:rPr>
          <w:rFonts w:cstheme="minorHAnsi"/>
          <w:sz w:val="24"/>
          <w:szCs w:val="24"/>
        </w:rPr>
        <w:t>European Commission, 2012a</w:t>
      </w:r>
      <w:r w:rsidR="005F7FF9" w:rsidRPr="0059559C">
        <w:rPr>
          <w:rFonts w:cstheme="minorHAnsi"/>
          <w:sz w:val="24"/>
          <w:szCs w:val="24"/>
        </w:rPr>
        <w:t>)</w:t>
      </w:r>
      <w:r w:rsidRPr="0059559C">
        <w:rPr>
          <w:rFonts w:cstheme="minorHAnsi"/>
          <w:sz w:val="24"/>
          <w:szCs w:val="24"/>
        </w:rPr>
        <w:t>. It</w:t>
      </w:r>
      <w:r w:rsidR="00D836C8" w:rsidRPr="0059559C">
        <w:rPr>
          <w:rFonts w:cstheme="minorHAnsi"/>
          <w:sz w:val="24"/>
          <w:szCs w:val="24"/>
        </w:rPr>
        <w:t xml:space="preserve"> has accordingly proposed a comprehensive reform of the current data protection rules, with the Directive to be replaced by a new general data protectio</w:t>
      </w:r>
      <w:r w:rsidRPr="0059559C">
        <w:rPr>
          <w:rFonts w:cstheme="minorHAnsi"/>
          <w:sz w:val="24"/>
          <w:szCs w:val="24"/>
        </w:rPr>
        <w:t xml:space="preserve">n regulation (‘the </w:t>
      </w:r>
      <w:r w:rsidRPr="0059559C">
        <w:rPr>
          <w:rFonts w:cstheme="minorHAnsi"/>
          <w:sz w:val="24"/>
          <w:szCs w:val="24"/>
        </w:rPr>
        <w:lastRenderedPageBreak/>
        <w:t>Regulation’), which</w:t>
      </w:r>
      <w:r w:rsidR="000F5C69" w:rsidRPr="0059559C">
        <w:rPr>
          <w:rFonts w:cstheme="minorHAnsi"/>
          <w:sz w:val="24"/>
          <w:szCs w:val="24"/>
        </w:rPr>
        <w:t xml:space="preserve"> </w:t>
      </w:r>
      <w:r w:rsidR="00ED545C" w:rsidRPr="0059559C">
        <w:rPr>
          <w:rFonts w:cstheme="minorHAnsi"/>
          <w:sz w:val="24"/>
          <w:szCs w:val="24"/>
        </w:rPr>
        <w:t xml:space="preserve">will strengthen individuals’ rights by </w:t>
      </w:r>
      <w:r w:rsidR="000F5C69" w:rsidRPr="0059559C">
        <w:rPr>
          <w:rFonts w:cstheme="minorHAnsi"/>
          <w:sz w:val="24"/>
          <w:szCs w:val="24"/>
        </w:rPr>
        <w:t xml:space="preserve">enhancing the </w:t>
      </w:r>
      <w:r w:rsidR="00ED545C" w:rsidRPr="0059559C">
        <w:rPr>
          <w:rFonts w:cstheme="minorHAnsi"/>
          <w:sz w:val="24"/>
          <w:szCs w:val="24"/>
        </w:rPr>
        <w:t xml:space="preserve">protection and control </w:t>
      </w:r>
      <w:r w:rsidR="000F5C69" w:rsidRPr="0059559C">
        <w:rPr>
          <w:rFonts w:cstheme="minorHAnsi"/>
          <w:sz w:val="24"/>
          <w:szCs w:val="24"/>
        </w:rPr>
        <w:t>they have over their own data</w:t>
      </w:r>
      <w:r w:rsidR="00ED545C" w:rsidRPr="0059559C">
        <w:rPr>
          <w:rFonts w:cstheme="minorHAnsi"/>
          <w:sz w:val="24"/>
          <w:szCs w:val="24"/>
        </w:rPr>
        <w:t xml:space="preserve"> (European Commission, 2010</w:t>
      </w:r>
      <w:r w:rsidRPr="0059559C">
        <w:rPr>
          <w:rFonts w:cstheme="minorHAnsi"/>
          <w:sz w:val="24"/>
          <w:szCs w:val="24"/>
        </w:rPr>
        <w:t>b</w:t>
      </w:r>
      <w:r w:rsidR="00ED545C" w:rsidRPr="0059559C">
        <w:rPr>
          <w:rFonts w:cstheme="minorHAnsi"/>
          <w:sz w:val="24"/>
          <w:szCs w:val="24"/>
        </w:rPr>
        <w:t>).</w:t>
      </w:r>
      <w:r w:rsidR="00ED545C" w:rsidRPr="0059559C">
        <w:rPr>
          <w:rStyle w:val="FootnoteReference"/>
          <w:rFonts w:cstheme="minorHAnsi"/>
          <w:sz w:val="24"/>
          <w:szCs w:val="24"/>
        </w:rPr>
        <w:t xml:space="preserve"> </w:t>
      </w:r>
      <w:r w:rsidR="00D97DBA" w:rsidRPr="0059559C">
        <w:rPr>
          <w:rFonts w:cstheme="minorHAnsi"/>
          <w:sz w:val="24"/>
          <w:szCs w:val="24"/>
        </w:rPr>
        <w:t xml:space="preserve">  </w:t>
      </w:r>
    </w:p>
    <w:p w14:paraId="4CD0DAF1" w14:textId="77777777" w:rsidR="00D97DBA" w:rsidRPr="0059559C" w:rsidRDefault="00D97DBA" w:rsidP="00ED2809">
      <w:pPr>
        <w:spacing w:after="0" w:line="240" w:lineRule="auto"/>
        <w:rPr>
          <w:rFonts w:cstheme="minorHAnsi"/>
          <w:sz w:val="24"/>
          <w:szCs w:val="24"/>
        </w:rPr>
      </w:pPr>
    </w:p>
    <w:p w14:paraId="036C38FB" w14:textId="4463D56F" w:rsidR="00ED2809" w:rsidRPr="0059559C" w:rsidRDefault="00D836C8" w:rsidP="00ED2809">
      <w:pPr>
        <w:spacing w:after="0" w:line="240" w:lineRule="auto"/>
        <w:rPr>
          <w:rFonts w:cstheme="minorHAnsi"/>
          <w:sz w:val="24"/>
          <w:szCs w:val="24"/>
        </w:rPr>
      </w:pPr>
      <w:r w:rsidRPr="0059559C">
        <w:rPr>
          <w:rFonts w:cstheme="minorHAnsi"/>
          <w:sz w:val="24"/>
          <w:szCs w:val="24"/>
        </w:rPr>
        <w:t xml:space="preserve">The </w:t>
      </w:r>
      <w:r w:rsidR="00ED545C" w:rsidRPr="0059559C">
        <w:rPr>
          <w:rFonts w:cstheme="minorHAnsi"/>
          <w:sz w:val="24"/>
          <w:szCs w:val="24"/>
        </w:rPr>
        <w:t xml:space="preserve">two </w:t>
      </w:r>
      <w:r w:rsidRPr="0059559C">
        <w:rPr>
          <w:rFonts w:cstheme="minorHAnsi"/>
          <w:sz w:val="24"/>
          <w:szCs w:val="24"/>
        </w:rPr>
        <w:t>primary question</w:t>
      </w:r>
      <w:r w:rsidR="00ED545C" w:rsidRPr="0059559C">
        <w:rPr>
          <w:rFonts w:cstheme="minorHAnsi"/>
          <w:sz w:val="24"/>
          <w:szCs w:val="24"/>
        </w:rPr>
        <w:t>s</w:t>
      </w:r>
      <w:r w:rsidRPr="0059559C">
        <w:rPr>
          <w:rFonts w:cstheme="minorHAnsi"/>
          <w:sz w:val="24"/>
          <w:szCs w:val="24"/>
        </w:rPr>
        <w:t xml:space="preserve"> that this article seeks to answer, therefore, </w:t>
      </w:r>
      <w:r w:rsidR="00ED545C" w:rsidRPr="0059559C">
        <w:rPr>
          <w:rFonts w:cstheme="minorHAnsi"/>
          <w:sz w:val="24"/>
          <w:szCs w:val="24"/>
        </w:rPr>
        <w:t xml:space="preserve">are: </w:t>
      </w:r>
      <w:r w:rsidRPr="0059559C">
        <w:rPr>
          <w:rFonts w:cstheme="minorHAnsi"/>
          <w:sz w:val="24"/>
          <w:szCs w:val="24"/>
        </w:rPr>
        <w:t xml:space="preserve">how does data </w:t>
      </w:r>
      <w:r w:rsidR="005714A3" w:rsidRPr="0059559C">
        <w:rPr>
          <w:rFonts w:cstheme="minorHAnsi"/>
          <w:sz w:val="24"/>
          <w:szCs w:val="24"/>
        </w:rPr>
        <w:t xml:space="preserve">protection legislation </w:t>
      </w:r>
      <w:r w:rsidR="004B645B" w:rsidRPr="0059559C">
        <w:rPr>
          <w:rFonts w:cstheme="minorHAnsi"/>
          <w:sz w:val="24"/>
          <w:szCs w:val="24"/>
        </w:rPr>
        <w:t xml:space="preserve">currently </w:t>
      </w:r>
      <w:r w:rsidR="005714A3" w:rsidRPr="0059559C">
        <w:rPr>
          <w:rFonts w:cstheme="minorHAnsi"/>
          <w:sz w:val="24"/>
          <w:szCs w:val="24"/>
        </w:rPr>
        <w:t xml:space="preserve">apply </w:t>
      </w:r>
      <w:r w:rsidR="004B645B" w:rsidRPr="0059559C">
        <w:rPr>
          <w:rFonts w:cstheme="minorHAnsi"/>
          <w:sz w:val="24"/>
          <w:szCs w:val="24"/>
        </w:rPr>
        <w:t>to</w:t>
      </w:r>
      <w:r w:rsidR="005714A3" w:rsidRPr="0059559C">
        <w:rPr>
          <w:rFonts w:cstheme="minorHAnsi"/>
          <w:sz w:val="24"/>
          <w:szCs w:val="24"/>
        </w:rPr>
        <w:t xml:space="preserve"> </w:t>
      </w:r>
      <w:r w:rsidRPr="0059559C">
        <w:rPr>
          <w:rFonts w:cstheme="minorHAnsi"/>
          <w:sz w:val="24"/>
          <w:szCs w:val="24"/>
        </w:rPr>
        <w:t xml:space="preserve">individuals </w:t>
      </w:r>
      <w:r w:rsidR="004B645B" w:rsidRPr="0059559C">
        <w:rPr>
          <w:rFonts w:cstheme="minorHAnsi"/>
          <w:sz w:val="24"/>
          <w:szCs w:val="24"/>
        </w:rPr>
        <w:t xml:space="preserve">who share </w:t>
      </w:r>
      <w:r w:rsidR="005714A3" w:rsidRPr="0059559C">
        <w:rPr>
          <w:rFonts w:cstheme="minorHAnsi"/>
          <w:sz w:val="24"/>
          <w:szCs w:val="24"/>
        </w:rPr>
        <w:t xml:space="preserve">photographs </w:t>
      </w:r>
      <w:r w:rsidRPr="0059559C">
        <w:rPr>
          <w:rFonts w:cstheme="minorHAnsi"/>
          <w:sz w:val="24"/>
          <w:szCs w:val="24"/>
        </w:rPr>
        <w:t>online</w:t>
      </w:r>
      <w:r w:rsidR="00ED545C" w:rsidRPr="0059559C">
        <w:rPr>
          <w:rFonts w:cstheme="minorHAnsi"/>
          <w:sz w:val="24"/>
          <w:szCs w:val="24"/>
        </w:rPr>
        <w:t>; and to what extent will the Regulation clarify the position in relation to individuals processing third party personal information online.  In order to answer these</w:t>
      </w:r>
      <w:r w:rsidRPr="0059559C">
        <w:rPr>
          <w:rFonts w:cstheme="minorHAnsi"/>
          <w:sz w:val="24"/>
          <w:szCs w:val="24"/>
        </w:rPr>
        <w:t xml:space="preserve"> question</w:t>
      </w:r>
      <w:r w:rsidR="00ED545C" w:rsidRPr="0059559C">
        <w:rPr>
          <w:rFonts w:cstheme="minorHAnsi"/>
          <w:sz w:val="24"/>
          <w:szCs w:val="24"/>
        </w:rPr>
        <w:t>s the</w:t>
      </w:r>
      <w:r w:rsidRPr="0059559C">
        <w:rPr>
          <w:rFonts w:cstheme="minorHAnsi"/>
          <w:sz w:val="24"/>
          <w:szCs w:val="24"/>
        </w:rPr>
        <w:t xml:space="preserve"> article explore</w:t>
      </w:r>
      <w:r w:rsidR="00411DA0" w:rsidRPr="0059559C">
        <w:rPr>
          <w:rFonts w:cstheme="minorHAnsi"/>
          <w:sz w:val="24"/>
          <w:szCs w:val="24"/>
        </w:rPr>
        <w:t>s</w:t>
      </w:r>
      <w:r w:rsidRPr="0059559C">
        <w:rPr>
          <w:rFonts w:cstheme="minorHAnsi"/>
          <w:sz w:val="24"/>
          <w:szCs w:val="24"/>
        </w:rPr>
        <w:t xml:space="preserve"> current domestic and European case law and guidance, seeking to understand how </w:t>
      </w:r>
      <w:r w:rsidR="00320128" w:rsidRPr="0059559C">
        <w:rPr>
          <w:rFonts w:cstheme="minorHAnsi"/>
          <w:sz w:val="24"/>
          <w:szCs w:val="24"/>
        </w:rPr>
        <w:t>courts and regulator</w:t>
      </w:r>
      <w:r w:rsidR="000F5C69" w:rsidRPr="0059559C">
        <w:rPr>
          <w:rFonts w:cstheme="minorHAnsi"/>
          <w:sz w:val="24"/>
          <w:szCs w:val="24"/>
        </w:rPr>
        <w:t xml:space="preserve">s consider </w:t>
      </w:r>
      <w:r w:rsidRPr="0059559C">
        <w:rPr>
          <w:rFonts w:cstheme="minorHAnsi"/>
          <w:sz w:val="24"/>
          <w:szCs w:val="24"/>
        </w:rPr>
        <w:t xml:space="preserve">the Directive </w:t>
      </w:r>
      <w:r w:rsidR="000F5C69" w:rsidRPr="0059559C">
        <w:rPr>
          <w:rFonts w:cstheme="minorHAnsi"/>
          <w:sz w:val="24"/>
          <w:szCs w:val="24"/>
        </w:rPr>
        <w:t xml:space="preserve">to apply </w:t>
      </w:r>
      <w:r w:rsidRPr="0059559C">
        <w:rPr>
          <w:rFonts w:cstheme="minorHAnsi"/>
          <w:sz w:val="24"/>
          <w:szCs w:val="24"/>
        </w:rPr>
        <w:t xml:space="preserve">when an individual shares </w:t>
      </w:r>
      <w:r w:rsidR="006A6FD9" w:rsidRPr="0059559C">
        <w:rPr>
          <w:rFonts w:cstheme="minorHAnsi"/>
          <w:sz w:val="24"/>
          <w:szCs w:val="24"/>
        </w:rPr>
        <w:t xml:space="preserve">third party personal information, including </w:t>
      </w:r>
      <w:r w:rsidRPr="0059559C">
        <w:rPr>
          <w:rFonts w:cstheme="minorHAnsi"/>
          <w:sz w:val="24"/>
          <w:szCs w:val="24"/>
        </w:rPr>
        <w:t>photographs</w:t>
      </w:r>
      <w:r w:rsidR="006A6FD9" w:rsidRPr="0059559C">
        <w:rPr>
          <w:rFonts w:cstheme="minorHAnsi"/>
          <w:sz w:val="24"/>
          <w:szCs w:val="24"/>
        </w:rPr>
        <w:t>,</w:t>
      </w:r>
      <w:r w:rsidRPr="0059559C">
        <w:rPr>
          <w:rFonts w:cstheme="minorHAnsi"/>
          <w:sz w:val="24"/>
          <w:szCs w:val="24"/>
        </w:rPr>
        <w:t xml:space="preserve"> online. </w:t>
      </w:r>
      <w:r w:rsidR="002E7C3E" w:rsidRPr="0059559C">
        <w:rPr>
          <w:rFonts w:cstheme="minorHAnsi"/>
          <w:sz w:val="24"/>
          <w:szCs w:val="24"/>
        </w:rPr>
        <w:t xml:space="preserve"> Drawing upon the author’s own research in which freedom of information requests were made to local education authorities seeking information about the guidance that they provide to schools in relation to parental photography, i</w:t>
      </w:r>
      <w:r w:rsidR="006B57D0" w:rsidRPr="0059559C">
        <w:rPr>
          <w:rFonts w:cstheme="minorHAnsi"/>
          <w:sz w:val="24"/>
          <w:szCs w:val="24"/>
        </w:rPr>
        <w:t xml:space="preserve">t will consider the difficulties that practitioners </w:t>
      </w:r>
      <w:r w:rsidR="006A6FD9" w:rsidRPr="0059559C">
        <w:rPr>
          <w:rFonts w:cstheme="minorHAnsi"/>
          <w:sz w:val="24"/>
          <w:szCs w:val="24"/>
        </w:rPr>
        <w:t xml:space="preserve">apparently </w:t>
      </w:r>
      <w:r w:rsidR="006B57D0" w:rsidRPr="0059559C">
        <w:rPr>
          <w:rFonts w:cstheme="minorHAnsi"/>
          <w:sz w:val="24"/>
          <w:szCs w:val="24"/>
        </w:rPr>
        <w:t xml:space="preserve">face in understanding the application of the Directive.  </w:t>
      </w:r>
      <w:r w:rsidRPr="0059559C">
        <w:rPr>
          <w:rFonts w:cstheme="minorHAnsi"/>
          <w:sz w:val="24"/>
          <w:szCs w:val="24"/>
        </w:rPr>
        <w:t>The extent to which the Regulation will clarify the position in relation to individuals processing third party information online will</w:t>
      </w:r>
      <w:r w:rsidR="006B57D0" w:rsidRPr="0059559C">
        <w:rPr>
          <w:rFonts w:cstheme="minorHAnsi"/>
          <w:sz w:val="24"/>
          <w:szCs w:val="24"/>
        </w:rPr>
        <w:t xml:space="preserve"> then</w:t>
      </w:r>
      <w:r w:rsidRPr="0059559C">
        <w:rPr>
          <w:rFonts w:cstheme="minorHAnsi"/>
          <w:sz w:val="24"/>
          <w:szCs w:val="24"/>
        </w:rPr>
        <w:t xml:space="preserve"> be </w:t>
      </w:r>
      <w:r w:rsidR="006B57D0" w:rsidRPr="0059559C">
        <w:rPr>
          <w:rFonts w:cstheme="minorHAnsi"/>
          <w:sz w:val="24"/>
          <w:szCs w:val="24"/>
        </w:rPr>
        <w:t>reviewed</w:t>
      </w:r>
      <w:r w:rsidRPr="0059559C">
        <w:rPr>
          <w:rFonts w:cstheme="minorHAnsi"/>
          <w:sz w:val="24"/>
          <w:szCs w:val="24"/>
        </w:rPr>
        <w:t xml:space="preserve">. </w:t>
      </w:r>
      <w:r w:rsidR="00ED2809" w:rsidRPr="0059559C">
        <w:rPr>
          <w:rFonts w:cstheme="minorHAnsi"/>
          <w:sz w:val="24"/>
          <w:szCs w:val="24"/>
        </w:rPr>
        <w:t xml:space="preserve">  Whilst a child’s right to respect for private </w:t>
      </w:r>
      <w:r w:rsidR="00C9191C" w:rsidRPr="0059559C">
        <w:rPr>
          <w:rFonts w:cstheme="minorHAnsi"/>
          <w:sz w:val="24"/>
          <w:szCs w:val="24"/>
        </w:rPr>
        <w:t>life is</w:t>
      </w:r>
      <w:r w:rsidR="00ED2809" w:rsidRPr="0059559C">
        <w:rPr>
          <w:rFonts w:cstheme="minorHAnsi"/>
          <w:sz w:val="24"/>
          <w:szCs w:val="24"/>
        </w:rPr>
        <w:t xml:space="preserve"> also undoubtedly affected when a third party disseminates the child’s photographs online the protections offered by </w:t>
      </w:r>
      <w:r w:rsidR="0085609E" w:rsidRPr="0059559C">
        <w:rPr>
          <w:rFonts w:cstheme="minorHAnsi"/>
          <w:sz w:val="24"/>
          <w:szCs w:val="24"/>
        </w:rPr>
        <w:t>Article 8 European Convention for the Protection of Human Rights and Fundamental Freedoms</w:t>
      </w:r>
      <w:r w:rsidR="000F5C69" w:rsidRPr="0059559C">
        <w:rPr>
          <w:rFonts w:cstheme="minorHAnsi"/>
          <w:sz w:val="24"/>
          <w:szCs w:val="24"/>
        </w:rPr>
        <w:t xml:space="preserve"> (‘</w:t>
      </w:r>
      <w:r w:rsidR="0085609E" w:rsidRPr="0059559C">
        <w:rPr>
          <w:rFonts w:cstheme="minorHAnsi"/>
          <w:sz w:val="24"/>
          <w:szCs w:val="24"/>
        </w:rPr>
        <w:t xml:space="preserve">the European Convention’) </w:t>
      </w:r>
      <w:r w:rsidR="00ED2809" w:rsidRPr="0059559C">
        <w:rPr>
          <w:rFonts w:cstheme="minorHAnsi"/>
          <w:sz w:val="24"/>
          <w:szCs w:val="24"/>
        </w:rPr>
        <w:t xml:space="preserve">are not </w:t>
      </w:r>
      <w:r w:rsidR="008B52E8" w:rsidRPr="0059559C">
        <w:rPr>
          <w:rFonts w:cstheme="minorHAnsi"/>
          <w:sz w:val="24"/>
          <w:szCs w:val="24"/>
        </w:rPr>
        <w:t xml:space="preserve">explicitly </w:t>
      </w:r>
      <w:r w:rsidR="00ED2809" w:rsidRPr="0059559C">
        <w:rPr>
          <w:rFonts w:cstheme="minorHAnsi"/>
          <w:sz w:val="24"/>
          <w:szCs w:val="24"/>
        </w:rPr>
        <w:t>considered in this article</w:t>
      </w:r>
      <w:r w:rsidR="002E7C3E" w:rsidRPr="0059559C">
        <w:rPr>
          <w:rFonts w:cstheme="minorHAnsi"/>
          <w:sz w:val="24"/>
          <w:szCs w:val="24"/>
        </w:rPr>
        <w:t xml:space="preserve"> due to word constraints.</w:t>
      </w:r>
    </w:p>
    <w:p w14:paraId="69D29819" w14:textId="77777777" w:rsidR="004C5558" w:rsidRPr="0059559C" w:rsidRDefault="004C5558" w:rsidP="00724D5D">
      <w:pPr>
        <w:spacing w:after="0" w:line="240" w:lineRule="auto"/>
        <w:rPr>
          <w:rFonts w:cstheme="minorHAnsi"/>
          <w:sz w:val="24"/>
          <w:szCs w:val="24"/>
        </w:rPr>
      </w:pPr>
    </w:p>
    <w:p w14:paraId="4F21E9A6" w14:textId="77777777" w:rsidR="00D836C8" w:rsidRPr="0059559C" w:rsidRDefault="00F00207" w:rsidP="00724D5D">
      <w:pPr>
        <w:pStyle w:val="ListParagraph"/>
        <w:numPr>
          <w:ilvl w:val="0"/>
          <w:numId w:val="6"/>
        </w:numPr>
        <w:rPr>
          <w:rFonts w:asciiTheme="minorHAnsi" w:hAnsiTheme="minorHAnsi" w:cstheme="minorHAnsi"/>
          <w:b/>
          <w:sz w:val="24"/>
          <w:szCs w:val="24"/>
        </w:rPr>
      </w:pPr>
      <w:r w:rsidRPr="0059559C">
        <w:rPr>
          <w:rFonts w:asciiTheme="minorHAnsi" w:hAnsiTheme="minorHAnsi" w:cstheme="minorHAnsi"/>
          <w:b/>
          <w:sz w:val="24"/>
          <w:szCs w:val="24"/>
        </w:rPr>
        <w:t>The application of the Directive to online disclosures</w:t>
      </w:r>
    </w:p>
    <w:p w14:paraId="630D54BA" w14:textId="77777777" w:rsidR="00775DC5" w:rsidRPr="0059559C" w:rsidRDefault="00775DC5" w:rsidP="00724D5D">
      <w:pPr>
        <w:pStyle w:val="ListParagraph"/>
        <w:rPr>
          <w:rFonts w:asciiTheme="minorHAnsi" w:hAnsiTheme="minorHAnsi" w:cstheme="minorHAnsi"/>
          <w:b/>
          <w:sz w:val="24"/>
          <w:szCs w:val="24"/>
        </w:rPr>
      </w:pPr>
    </w:p>
    <w:p w14:paraId="11785218" w14:textId="2A4DBA9B" w:rsidR="00AA6904" w:rsidRPr="0059559C" w:rsidRDefault="005F1EB9" w:rsidP="00724D5D">
      <w:pPr>
        <w:spacing w:after="0" w:line="240" w:lineRule="auto"/>
        <w:rPr>
          <w:rFonts w:cstheme="minorHAnsi"/>
          <w:sz w:val="24"/>
          <w:szCs w:val="24"/>
        </w:rPr>
      </w:pPr>
      <w:r w:rsidRPr="0059559C">
        <w:rPr>
          <w:rFonts w:cstheme="minorHAnsi"/>
          <w:sz w:val="24"/>
          <w:szCs w:val="24"/>
        </w:rPr>
        <w:t xml:space="preserve">The Directive is </w:t>
      </w:r>
      <w:r w:rsidR="00E354AC" w:rsidRPr="0059559C">
        <w:rPr>
          <w:rFonts w:cstheme="minorHAnsi"/>
          <w:sz w:val="24"/>
          <w:szCs w:val="24"/>
        </w:rPr>
        <w:t xml:space="preserve">a </w:t>
      </w:r>
      <w:r w:rsidRPr="0059559C">
        <w:rPr>
          <w:rFonts w:cstheme="minorHAnsi"/>
          <w:sz w:val="24"/>
          <w:szCs w:val="24"/>
        </w:rPr>
        <w:t>general framework legislative provision</w:t>
      </w:r>
      <w:r w:rsidR="00D97DBA" w:rsidRPr="0059559C">
        <w:rPr>
          <w:rFonts w:cstheme="minorHAnsi"/>
          <w:sz w:val="24"/>
          <w:szCs w:val="24"/>
        </w:rPr>
        <w:t xml:space="preserve">.  </w:t>
      </w:r>
      <w:r w:rsidRPr="0059559C">
        <w:rPr>
          <w:rFonts w:cstheme="minorHAnsi"/>
          <w:sz w:val="24"/>
          <w:szCs w:val="24"/>
        </w:rPr>
        <w:t xml:space="preserve"> </w:t>
      </w:r>
      <w:r w:rsidR="00E354AC" w:rsidRPr="0059559C">
        <w:rPr>
          <w:rFonts w:cstheme="minorHAnsi"/>
          <w:sz w:val="24"/>
          <w:szCs w:val="24"/>
        </w:rPr>
        <w:t>I</w:t>
      </w:r>
      <w:r w:rsidR="00D97DBA" w:rsidRPr="0059559C">
        <w:rPr>
          <w:rFonts w:cstheme="minorHAnsi"/>
          <w:sz w:val="24"/>
          <w:szCs w:val="24"/>
        </w:rPr>
        <w:t>t ‘seeks to establish an equivalent level of protection for personal data in all Member States’</w:t>
      </w:r>
      <w:r w:rsidR="00E354AC" w:rsidRPr="0059559C">
        <w:rPr>
          <w:rFonts w:cstheme="minorHAnsi"/>
          <w:sz w:val="24"/>
          <w:szCs w:val="24"/>
        </w:rPr>
        <w:t xml:space="preserve"> (Carey, </w:t>
      </w:r>
      <w:r w:rsidR="000F5C69" w:rsidRPr="0059559C">
        <w:rPr>
          <w:rFonts w:cstheme="minorHAnsi"/>
          <w:sz w:val="24"/>
          <w:szCs w:val="24"/>
        </w:rPr>
        <w:t xml:space="preserve">2009, </w:t>
      </w:r>
      <w:r w:rsidR="00E354AC" w:rsidRPr="0059559C">
        <w:rPr>
          <w:rFonts w:cstheme="minorHAnsi"/>
          <w:sz w:val="24"/>
          <w:szCs w:val="24"/>
        </w:rPr>
        <w:t>p6)</w:t>
      </w:r>
      <w:r w:rsidR="00F00207" w:rsidRPr="0059559C">
        <w:rPr>
          <w:rFonts w:cstheme="minorHAnsi"/>
          <w:sz w:val="24"/>
          <w:szCs w:val="24"/>
        </w:rPr>
        <w:t>,</w:t>
      </w:r>
      <w:r w:rsidR="00D97DBA" w:rsidRPr="0059559C">
        <w:rPr>
          <w:rFonts w:cstheme="minorHAnsi"/>
          <w:sz w:val="24"/>
          <w:szCs w:val="24"/>
        </w:rPr>
        <w:t xml:space="preserve"> detailing certain</w:t>
      </w:r>
      <w:r w:rsidRPr="0059559C">
        <w:rPr>
          <w:rFonts w:cstheme="minorHAnsi"/>
          <w:sz w:val="24"/>
          <w:szCs w:val="24"/>
        </w:rPr>
        <w:t xml:space="preserve"> conditions under which personal data processing may be lawfully undertaken, the rights of individuals whose personal data is processed and certain standards to which tho</w:t>
      </w:r>
      <w:r w:rsidR="00D97DBA" w:rsidRPr="0059559C">
        <w:rPr>
          <w:rFonts w:cstheme="minorHAnsi"/>
          <w:sz w:val="24"/>
          <w:szCs w:val="24"/>
        </w:rPr>
        <w:t>se who process data must adhere</w:t>
      </w:r>
      <w:r w:rsidR="00E354AC" w:rsidRPr="0059559C">
        <w:rPr>
          <w:rFonts w:cstheme="minorHAnsi"/>
          <w:sz w:val="24"/>
          <w:szCs w:val="24"/>
        </w:rPr>
        <w:t>. T</w:t>
      </w:r>
      <w:r w:rsidRPr="0059559C">
        <w:rPr>
          <w:rFonts w:cstheme="minorHAnsi"/>
          <w:sz w:val="24"/>
          <w:szCs w:val="24"/>
        </w:rPr>
        <w:t>he Directive</w:t>
      </w:r>
      <w:r w:rsidR="00AA6904" w:rsidRPr="0059559C">
        <w:rPr>
          <w:rFonts w:cstheme="minorHAnsi"/>
          <w:sz w:val="24"/>
          <w:szCs w:val="24"/>
        </w:rPr>
        <w:t xml:space="preserve"> is not directly effect</w:t>
      </w:r>
      <w:r w:rsidRPr="0059559C">
        <w:rPr>
          <w:rFonts w:cstheme="minorHAnsi"/>
          <w:sz w:val="24"/>
          <w:szCs w:val="24"/>
        </w:rPr>
        <w:t>ive</w:t>
      </w:r>
      <w:r w:rsidR="00AA6904" w:rsidRPr="0059559C">
        <w:rPr>
          <w:rFonts w:cstheme="minorHAnsi"/>
          <w:sz w:val="24"/>
          <w:szCs w:val="24"/>
        </w:rPr>
        <w:t xml:space="preserve"> in the domestic law of EU Member States.  Member States </w:t>
      </w:r>
      <w:r w:rsidRPr="0059559C">
        <w:rPr>
          <w:rFonts w:cstheme="minorHAnsi"/>
          <w:sz w:val="24"/>
          <w:szCs w:val="24"/>
        </w:rPr>
        <w:t xml:space="preserve">must </w:t>
      </w:r>
      <w:r w:rsidR="00E354AC" w:rsidRPr="0059559C">
        <w:rPr>
          <w:rFonts w:cstheme="minorHAnsi"/>
          <w:sz w:val="24"/>
          <w:szCs w:val="24"/>
        </w:rPr>
        <w:t>thus</w:t>
      </w:r>
      <w:r w:rsidR="00CB1A52" w:rsidRPr="0059559C">
        <w:rPr>
          <w:rFonts w:cstheme="minorHAnsi"/>
          <w:sz w:val="24"/>
          <w:szCs w:val="24"/>
        </w:rPr>
        <w:t xml:space="preserve"> </w:t>
      </w:r>
      <w:r w:rsidRPr="0059559C">
        <w:rPr>
          <w:rFonts w:cstheme="minorHAnsi"/>
          <w:sz w:val="24"/>
          <w:szCs w:val="24"/>
        </w:rPr>
        <w:t xml:space="preserve">instead </w:t>
      </w:r>
      <w:r w:rsidR="00AA6904" w:rsidRPr="0059559C">
        <w:rPr>
          <w:rFonts w:cstheme="minorHAnsi"/>
          <w:sz w:val="24"/>
          <w:szCs w:val="24"/>
        </w:rPr>
        <w:t>pass national legislation to give effect to the Directive.  The UK government</w:t>
      </w:r>
      <w:r w:rsidR="00D97DBA" w:rsidRPr="0059559C">
        <w:rPr>
          <w:rFonts w:cstheme="minorHAnsi"/>
          <w:sz w:val="24"/>
          <w:szCs w:val="24"/>
        </w:rPr>
        <w:t xml:space="preserve"> </w:t>
      </w:r>
      <w:r w:rsidR="00AA6904" w:rsidRPr="0059559C">
        <w:rPr>
          <w:rFonts w:cstheme="minorHAnsi"/>
          <w:sz w:val="24"/>
          <w:szCs w:val="24"/>
        </w:rPr>
        <w:t>ostensibly fulfilled its obligations under the Directive when it implemented the Data Protection Act 1998 (‘the DPA’)</w:t>
      </w:r>
      <w:r w:rsidR="002E7C3E" w:rsidRPr="0059559C">
        <w:rPr>
          <w:rFonts w:cstheme="minorHAnsi"/>
          <w:sz w:val="24"/>
          <w:szCs w:val="24"/>
        </w:rPr>
        <w:t>.  I</w:t>
      </w:r>
      <w:r w:rsidR="00AA6904" w:rsidRPr="0059559C">
        <w:rPr>
          <w:rFonts w:cstheme="minorHAnsi"/>
          <w:sz w:val="24"/>
          <w:szCs w:val="24"/>
        </w:rPr>
        <w:t>t is necessary</w:t>
      </w:r>
      <w:r w:rsidR="002E7C3E" w:rsidRPr="0059559C">
        <w:rPr>
          <w:rFonts w:cstheme="minorHAnsi"/>
          <w:sz w:val="24"/>
          <w:szCs w:val="24"/>
        </w:rPr>
        <w:t>, therefore,</w:t>
      </w:r>
      <w:r w:rsidR="00AA6904" w:rsidRPr="0059559C">
        <w:rPr>
          <w:rFonts w:cstheme="minorHAnsi"/>
          <w:sz w:val="24"/>
          <w:szCs w:val="24"/>
        </w:rPr>
        <w:t xml:space="preserve"> to consider the relevant provisions both of the Directive and the DPA</w:t>
      </w:r>
      <w:r w:rsidR="00D97DBA" w:rsidRPr="0059559C">
        <w:rPr>
          <w:rFonts w:cstheme="minorHAnsi"/>
          <w:sz w:val="24"/>
          <w:szCs w:val="24"/>
        </w:rPr>
        <w:t xml:space="preserve"> when considering the Directive’s application within the UK</w:t>
      </w:r>
      <w:r w:rsidR="00AA6904" w:rsidRPr="0059559C">
        <w:rPr>
          <w:rFonts w:cstheme="minorHAnsi"/>
          <w:sz w:val="24"/>
          <w:szCs w:val="24"/>
        </w:rPr>
        <w:t>.</w:t>
      </w:r>
      <w:r w:rsidR="00043169" w:rsidRPr="0059559C">
        <w:rPr>
          <w:rFonts w:cstheme="minorHAnsi"/>
          <w:sz w:val="24"/>
          <w:szCs w:val="24"/>
        </w:rPr>
        <w:t xml:space="preserve">  </w:t>
      </w:r>
      <w:r w:rsidR="00DC0E96">
        <w:rPr>
          <w:rFonts w:cstheme="minorHAnsi"/>
          <w:sz w:val="24"/>
          <w:szCs w:val="24"/>
        </w:rPr>
        <w:t>Whilst</w:t>
      </w:r>
      <w:r w:rsidR="00043169" w:rsidRPr="0059559C">
        <w:rPr>
          <w:rFonts w:cstheme="minorHAnsi"/>
          <w:sz w:val="24"/>
          <w:szCs w:val="24"/>
        </w:rPr>
        <w:t xml:space="preserve"> the Directive is not directly enforceable within the UK, and any action for infringement of rights to data protection would be brought in accordance with the provisions of the DPA, the DPA must be interpreted in accordance with the Directive.</w:t>
      </w:r>
      <w:r w:rsidR="0056225B">
        <w:rPr>
          <w:rFonts w:cstheme="minorHAnsi"/>
          <w:sz w:val="24"/>
          <w:szCs w:val="24"/>
        </w:rPr>
        <w:t xml:space="preserve">  The recent Court of Appeal decision in Google v Vidal-Hall and others [2014] EWHC 13 confirms, further, that, in interpreting the domestic provisions, consideration should</w:t>
      </w:r>
      <w:r w:rsidR="00D05293">
        <w:rPr>
          <w:rFonts w:cstheme="minorHAnsi"/>
          <w:sz w:val="24"/>
          <w:szCs w:val="24"/>
        </w:rPr>
        <w:t xml:space="preserve"> also</w:t>
      </w:r>
      <w:r w:rsidR="0056225B">
        <w:rPr>
          <w:rFonts w:cstheme="minorHAnsi"/>
          <w:sz w:val="24"/>
          <w:szCs w:val="24"/>
        </w:rPr>
        <w:t xml:space="preserve"> be given to Article 8 of the Charter of the Fundamental Rights of the European Union, ‘which makes specific provision for the protection of the fundamental right to the protection of personal data’ (Google v Vidal-Hall, paragraph 78).</w:t>
      </w:r>
    </w:p>
    <w:p w14:paraId="4FF2131F" w14:textId="77777777" w:rsidR="004C5558" w:rsidRPr="0059559C" w:rsidRDefault="004C5558" w:rsidP="00724D5D">
      <w:pPr>
        <w:spacing w:after="0" w:line="240" w:lineRule="auto"/>
        <w:rPr>
          <w:rFonts w:cstheme="minorHAnsi"/>
          <w:sz w:val="24"/>
          <w:szCs w:val="24"/>
        </w:rPr>
      </w:pPr>
    </w:p>
    <w:p w14:paraId="14D47324" w14:textId="77777777" w:rsidR="001324EE" w:rsidRPr="0059559C" w:rsidRDefault="00CB1A52" w:rsidP="00724D5D">
      <w:pPr>
        <w:spacing w:after="0" w:line="240" w:lineRule="auto"/>
        <w:rPr>
          <w:rFonts w:cstheme="minorHAnsi"/>
          <w:sz w:val="24"/>
          <w:szCs w:val="24"/>
        </w:rPr>
      </w:pPr>
      <w:r w:rsidRPr="0059559C">
        <w:rPr>
          <w:rFonts w:cstheme="minorHAnsi"/>
          <w:sz w:val="24"/>
          <w:szCs w:val="24"/>
        </w:rPr>
        <w:t>T</w:t>
      </w:r>
      <w:r w:rsidR="00ED2809" w:rsidRPr="0059559C">
        <w:rPr>
          <w:rFonts w:cstheme="minorHAnsi"/>
          <w:sz w:val="24"/>
          <w:szCs w:val="24"/>
        </w:rPr>
        <w:t xml:space="preserve">he Directive </w:t>
      </w:r>
      <w:r w:rsidRPr="0059559C">
        <w:rPr>
          <w:rFonts w:cstheme="minorHAnsi"/>
          <w:sz w:val="24"/>
          <w:szCs w:val="24"/>
        </w:rPr>
        <w:t xml:space="preserve">states that it </w:t>
      </w:r>
      <w:r w:rsidR="00ED2809" w:rsidRPr="0059559C">
        <w:rPr>
          <w:rFonts w:cstheme="minorHAnsi"/>
          <w:sz w:val="24"/>
          <w:szCs w:val="24"/>
        </w:rPr>
        <w:t xml:space="preserve">applies ‘to the processing of personal data wholly or partly by automatic </w:t>
      </w:r>
      <w:proofErr w:type="gramStart"/>
      <w:r w:rsidR="00ED2809" w:rsidRPr="0059559C">
        <w:rPr>
          <w:rFonts w:cstheme="minorHAnsi"/>
          <w:sz w:val="24"/>
          <w:szCs w:val="24"/>
        </w:rPr>
        <w:t>means,</w:t>
      </w:r>
      <w:proofErr w:type="gramEnd"/>
      <w:r w:rsidR="00ED2809" w:rsidRPr="0059559C">
        <w:rPr>
          <w:rFonts w:cstheme="minorHAnsi"/>
          <w:sz w:val="24"/>
          <w:szCs w:val="24"/>
        </w:rPr>
        <w:t xml:space="preserve"> and to the processing otherwise than by automatic means of personal data which form part of a filing system’ (Directive </w:t>
      </w:r>
      <w:r w:rsidR="00810B8D" w:rsidRPr="0059559C">
        <w:rPr>
          <w:rFonts w:cstheme="minorHAnsi"/>
          <w:sz w:val="24"/>
          <w:szCs w:val="24"/>
        </w:rPr>
        <w:t>Article 3</w:t>
      </w:r>
      <w:r w:rsidR="00ED2809" w:rsidRPr="0059559C">
        <w:rPr>
          <w:rFonts w:cstheme="minorHAnsi"/>
          <w:sz w:val="24"/>
          <w:szCs w:val="24"/>
        </w:rPr>
        <w:t>).</w:t>
      </w:r>
      <w:r w:rsidR="00810B8D" w:rsidRPr="0059559C">
        <w:rPr>
          <w:rFonts w:cstheme="minorHAnsi"/>
          <w:sz w:val="24"/>
          <w:szCs w:val="24"/>
        </w:rPr>
        <w:t xml:space="preserve"> Where the Directive</w:t>
      </w:r>
      <w:r w:rsidR="00923FC7" w:rsidRPr="0059559C">
        <w:rPr>
          <w:rFonts w:cstheme="minorHAnsi"/>
          <w:sz w:val="24"/>
          <w:szCs w:val="24"/>
        </w:rPr>
        <w:t>,</w:t>
      </w:r>
      <w:r w:rsidR="00810B8D" w:rsidRPr="0059559C">
        <w:rPr>
          <w:rFonts w:cstheme="minorHAnsi"/>
          <w:sz w:val="24"/>
          <w:szCs w:val="24"/>
        </w:rPr>
        <w:t xml:space="preserve"> </w:t>
      </w:r>
      <w:r w:rsidRPr="0059559C">
        <w:rPr>
          <w:rFonts w:cstheme="minorHAnsi"/>
          <w:sz w:val="24"/>
          <w:szCs w:val="24"/>
        </w:rPr>
        <w:t xml:space="preserve">and thus in the United Kingdom the DPA </w:t>
      </w:r>
      <w:r w:rsidR="00810B8D" w:rsidRPr="0059559C">
        <w:rPr>
          <w:rFonts w:cstheme="minorHAnsi"/>
          <w:sz w:val="24"/>
          <w:szCs w:val="24"/>
        </w:rPr>
        <w:t>applies</w:t>
      </w:r>
      <w:r w:rsidR="00923FC7" w:rsidRPr="0059559C">
        <w:rPr>
          <w:rFonts w:cstheme="minorHAnsi"/>
          <w:sz w:val="24"/>
          <w:szCs w:val="24"/>
        </w:rPr>
        <w:t>,</w:t>
      </w:r>
      <w:r w:rsidR="00810B8D" w:rsidRPr="0059559C">
        <w:rPr>
          <w:rFonts w:cstheme="minorHAnsi"/>
          <w:sz w:val="24"/>
          <w:szCs w:val="24"/>
        </w:rPr>
        <w:t xml:space="preserve"> certain obligations</w:t>
      </w:r>
      <w:r w:rsidR="00AA6904" w:rsidRPr="0059559C">
        <w:rPr>
          <w:rFonts w:cstheme="minorHAnsi"/>
          <w:sz w:val="24"/>
          <w:szCs w:val="24"/>
        </w:rPr>
        <w:t xml:space="preserve"> </w:t>
      </w:r>
      <w:r w:rsidR="00810B8D" w:rsidRPr="0059559C">
        <w:rPr>
          <w:rFonts w:cstheme="minorHAnsi"/>
          <w:sz w:val="24"/>
          <w:szCs w:val="24"/>
        </w:rPr>
        <w:t>are i</w:t>
      </w:r>
      <w:r w:rsidR="00E61871" w:rsidRPr="0059559C">
        <w:rPr>
          <w:rFonts w:cstheme="minorHAnsi"/>
          <w:sz w:val="24"/>
          <w:szCs w:val="24"/>
        </w:rPr>
        <w:t xml:space="preserve">mposed upon the data </w:t>
      </w:r>
      <w:r w:rsidR="00E61871" w:rsidRPr="0059559C">
        <w:rPr>
          <w:rFonts w:cstheme="minorHAnsi"/>
          <w:sz w:val="24"/>
          <w:szCs w:val="24"/>
        </w:rPr>
        <w:lastRenderedPageBreak/>
        <w:t>controller</w:t>
      </w:r>
      <w:r w:rsidR="00ED2809" w:rsidRPr="0059559C">
        <w:rPr>
          <w:rFonts w:cstheme="minorHAnsi"/>
          <w:sz w:val="24"/>
          <w:szCs w:val="24"/>
        </w:rPr>
        <w:t xml:space="preserve">; </w:t>
      </w:r>
      <w:r w:rsidR="00810B8D" w:rsidRPr="0059559C">
        <w:rPr>
          <w:rFonts w:cstheme="minorHAnsi"/>
          <w:sz w:val="24"/>
          <w:szCs w:val="24"/>
        </w:rPr>
        <w:t>the person who determines the purposes and means of processing of personal data</w:t>
      </w:r>
      <w:r w:rsidR="00E61871" w:rsidRPr="0059559C">
        <w:rPr>
          <w:rFonts w:cstheme="minorHAnsi"/>
          <w:sz w:val="24"/>
          <w:szCs w:val="24"/>
        </w:rPr>
        <w:t xml:space="preserve"> (</w:t>
      </w:r>
      <w:r w:rsidR="00ED2809" w:rsidRPr="0059559C">
        <w:rPr>
          <w:rFonts w:cstheme="minorHAnsi"/>
          <w:sz w:val="24"/>
          <w:szCs w:val="24"/>
        </w:rPr>
        <w:t xml:space="preserve">Directive Article 2; </w:t>
      </w:r>
      <w:r w:rsidR="00E61871" w:rsidRPr="0059559C">
        <w:rPr>
          <w:rFonts w:cstheme="minorHAnsi"/>
          <w:sz w:val="24"/>
          <w:szCs w:val="24"/>
        </w:rPr>
        <w:t xml:space="preserve">Section 1 DPA).  </w:t>
      </w:r>
    </w:p>
    <w:p w14:paraId="3551EE9E" w14:textId="77777777" w:rsidR="001324EE" w:rsidRPr="0059559C" w:rsidRDefault="001324EE" w:rsidP="00724D5D">
      <w:pPr>
        <w:spacing w:after="0" w:line="240" w:lineRule="auto"/>
        <w:rPr>
          <w:rFonts w:cstheme="minorHAnsi"/>
          <w:sz w:val="24"/>
          <w:szCs w:val="24"/>
        </w:rPr>
      </w:pPr>
    </w:p>
    <w:p w14:paraId="233BE244" w14:textId="77777777" w:rsidR="00D856C6" w:rsidRPr="0059559C" w:rsidRDefault="001324EE" w:rsidP="00724D5D">
      <w:pPr>
        <w:spacing w:after="0" w:line="240" w:lineRule="auto"/>
        <w:rPr>
          <w:rFonts w:cstheme="minorHAnsi"/>
          <w:sz w:val="24"/>
          <w:szCs w:val="24"/>
        </w:rPr>
      </w:pPr>
      <w:r w:rsidRPr="0059559C">
        <w:rPr>
          <w:rFonts w:cstheme="minorHAnsi"/>
          <w:sz w:val="24"/>
          <w:szCs w:val="24"/>
        </w:rPr>
        <w:t>The phrase ‘personal data’, a phrase which is essential to an understanding of the European data protection regime, means ‘</w:t>
      </w:r>
      <w:r w:rsidRPr="0059559C">
        <w:rPr>
          <w:rFonts w:cs="Tahoma"/>
          <w:sz w:val="24"/>
          <w:szCs w:val="24"/>
          <w:lang w:val="en"/>
        </w:rPr>
        <w:t xml:space="preserve">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(Directive Article 2(a)).   </w:t>
      </w:r>
      <w:r w:rsidR="00810B8D" w:rsidRPr="0059559C">
        <w:rPr>
          <w:rFonts w:cstheme="minorHAnsi"/>
          <w:sz w:val="24"/>
          <w:szCs w:val="24"/>
        </w:rPr>
        <w:t xml:space="preserve">The </w:t>
      </w:r>
      <w:r w:rsidR="00E61871" w:rsidRPr="0059559C">
        <w:rPr>
          <w:rFonts w:cstheme="minorHAnsi"/>
          <w:sz w:val="24"/>
          <w:szCs w:val="24"/>
        </w:rPr>
        <w:t xml:space="preserve">leading European </w:t>
      </w:r>
      <w:r w:rsidR="00810B8D" w:rsidRPr="0059559C">
        <w:rPr>
          <w:rFonts w:cstheme="minorHAnsi"/>
          <w:sz w:val="24"/>
          <w:szCs w:val="24"/>
        </w:rPr>
        <w:t xml:space="preserve">case of </w:t>
      </w:r>
      <w:proofErr w:type="spellStart"/>
      <w:r w:rsidR="00810B8D" w:rsidRPr="0059559C">
        <w:rPr>
          <w:rFonts w:cstheme="minorHAnsi"/>
          <w:sz w:val="24"/>
          <w:szCs w:val="24"/>
        </w:rPr>
        <w:t>Lindqvist</w:t>
      </w:r>
      <w:proofErr w:type="spellEnd"/>
      <w:r w:rsidR="00810B8D" w:rsidRPr="0059559C">
        <w:rPr>
          <w:rFonts w:cstheme="minorHAnsi"/>
          <w:sz w:val="24"/>
          <w:szCs w:val="24"/>
        </w:rPr>
        <w:t xml:space="preserve"> </w:t>
      </w:r>
      <w:r w:rsidR="00AA6904" w:rsidRPr="0059559C">
        <w:rPr>
          <w:rFonts w:cstheme="minorHAnsi"/>
          <w:sz w:val="24"/>
          <w:szCs w:val="24"/>
        </w:rPr>
        <w:t>(ECJ C101/01 [27]) confirms that ‘the act of referring, on an internet page, to various persons and identifying them by name or by other means,</w:t>
      </w:r>
      <w:r w:rsidR="00D63314" w:rsidRPr="0059559C">
        <w:rPr>
          <w:rFonts w:cstheme="minorHAnsi"/>
          <w:sz w:val="24"/>
          <w:szCs w:val="24"/>
        </w:rPr>
        <w:t>…</w:t>
      </w:r>
      <w:r w:rsidR="00AA6904" w:rsidRPr="0059559C">
        <w:rPr>
          <w:rFonts w:cstheme="minorHAnsi"/>
          <w:sz w:val="24"/>
          <w:szCs w:val="24"/>
        </w:rPr>
        <w:t xml:space="preserve"> constitutes the processing of personal data wholly or partly by automatic means within the meaning of Article 3(1) of Directive 95/46.’</w:t>
      </w:r>
      <w:r w:rsidR="00C621E4" w:rsidRPr="0059559C">
        <w:rPr>
          <w:rFonts w:cstheme="minorHAnsi"/>
          <w:sz w:val="24"/>
          <w:szCs w:val="24"/>
        </w:rPr>
        <w:t xml:space="preserve"> </w:t>
      </w:r>
      <w:r w:rsidR="00E61871" w:rsidRPr="0059559C">
        <w:rPr>
          <w:rFonts w:cstheme="minorHAnsi"/>
          <w:sz w:val="24"/>
          <w:szCs w:val="24"/>
        </w:rPr>
        <w:t>Accordingly,</w:t>
      </w:r>
      <w:r w:rsidR="00AA6904" w:rsidRPr="0059559C">
        <w:rPr>
          <w:rFonts w:cstheme="minorHAnsi"/>
          <w:sz w:val="24"/>
          <w:szCs w:val="24"/>
        </w:rPr>
        <w:t xml:space="preserve"> </w:t>
      </w:r>
      <w:r w:rsidR="00F00207" w:rsidRPr="0059559C">
        <w:rPr>
          <w:rFonts w:cstheme="minorHAnsi"/>
          <w:sz w:val="24"/>
          <w:szCs w:val="24"/>
        </w:rPr>
        <w:t xml:space="preserve">the European jurisprudence appears to suggest that </w:t>
      </w:r>
      <w:r w:rsidR="00AA6904" w:rsidRPr="0059559C">
        <w:rPr>
          <w:rFonts w:cstheme="minorHAnsi"/>
          <w:sz w:val="24"/>
          <w:szCs w:val="24"/>
        </w:rPr>
        <w:t>when a p</w:t>
      </w:r>
      <w:r w:rsidR="00CB1A52" w:rsidRPr="0059559C">
        <w:rPr>
          <w:rFonts w:cstheme="minorHAnsi"/>
          <w:sz w:val="24"/>
          <w:szCs w:val="24"/>
        </w:rPr>
        <w:t>erson</w:t>
      </w:r>
      <w:r w:rsidR="00AA6904" w:rsidRPr="0059559C">
        <w:rPr>
          <w:rFonts w:cstheme="minorHAnsi"/>
          <w:sz w:val="24"/>
          <w:szCs w:val="24"/>
        </w:rPr>
        <w:t xml:space="preserve"> </w:t>
      </w:r>
      <w:r w:rsidR="00F00207" w:rsidRPr="0059559C">
        <w:rPr>
          <w:rFonts w:cstheme="minorHAnsi"/>
          <w:sz w:val="24"/>
          <w:szCs w:val="24"/>
        </w:rPr>
        <w:t>posts</w:t>
      </w:r>
      <w:r w:rsidR="006A6502" w:rsidRPr="0059559C">
        <w:rPr>
          <w:rFonts w:cstheme="minorHAnsi"/>
          <w:sz w:val="24"/>
          <w:szCs w:val="24"/>
        </w:rPr>
        <w:t xml:space="preserve"> information about</w:t>
      </w:r>
      <w:r w:rsidR="00CB1A52" w:rsidRPr="0059559C">
        <w:rPr>
          <w:rFonts w:cstheme="minorHAnsi"/>
          <w:sz w:val="24"/>
          <w:szCs w:val="24"/>
        </w:rPr>
        <w:t xml:space="preserve"> another person</w:t>
      </w:r>
      <w:r w:rsidR="00F00207" w:rsidRPr="0059559C">
        <w:rPr>
          <w:rFonts w:cstheme="minorHAnsi"/>
          <w:sz w:val="24"/>
          <w:szCs w:val="24"/>
        </w:rPr>
        <w:t xml:space="preserve"> </w:t>
      </w:r>
      <w:r w:rsidR="00CB1A52" w:rsidRPr="0059559C">
        <w:rPr>
          <w:rFonts w:cstheme="minorHAnsi"/>
          <w:sz w:val="24"/>
          <w:szCs w:val="24"/>
        </w:rPr>
        <w:t>online, and this action results in the identification of those individuals, that person is processing data.</w:t>
      </w:r>
      <w:r w:rsidR="006A6502" w:rsidRPr="0059559C">
        <w:rPr>
          <w:rFonts w:cstheme="minorHAnsi"/>
          <w:sz w:val="24"/>
          <w:szCs w:val="24"/>
        </w:rPr>
        <w:t xml:space="preserve">  </w:t>
      </w:r>
      <w:r w:rsidRPr="0059559C">
        <w:rPr>
          <w:rFonts w:cstheme="minorHAnsi"/>
          <w:sz w:val="24"/>
          <w:szCs w:val="24"/>
        </w:rPr>
        <w:t xml:space="preserve">It is certainly arguable that some photographs taken at school events may when uploaded, and depending also upon any accompanying information, result in the identification of a child.  If that is indeed the case then, the photographer is to be treated as </w:t>
      </w:r>
      <w:r w:rsidR="00E61871" w:rsidRPr="0059559C">
        <w:rPr>
          <w:rFonts w:cstheme="minorHAnsi"/>
          <w:sz w:val="24"/>
          <w:szCs w:val="24"/>
        </w:rPr>
        <w:t>a data controller</w:t>
      </w:r>
      <w:r w:rsidR="00CB1A52" w:rsidRPr="0059559C">
        <w:rPr>
          <w:rFonts w:cstheme="minorHAnsi"/>
          <w:sz w:val="24"/>
          <w:szCs w:val="24"/>
        </w:rPr>
        <w:t xml:space="preserve"> and</w:t>
      </w:r>
      <w:r w:rsidRPr="0059559C">
        <w:rPr>
          <w:rFonts w:cstheme="minorHAnsi"/>
          <w:sz w:val="24"/>
          <w:szCs w:val="24"/>
        </w:rPr>
        <w:t>,</w:t>
      </w:r>
      <w:r w:rsidR="00CB1A52" w:rsidRPr="0059559C">
        <w:rPr>
          <w:rFonts w:cstheme="minorHAnsi"/>
          <w:sz w:val="24"/>
          <w:szCs w:val="24"/>
        </w:rPr>
        <w:t xml:space="preserve"> </w:t>
      </w:r>
      <w:r w:rsidRPr="0059559C">
        <w:rPr>
          <w:rFonts w:cstheme="minorHAnsi"/>
          <w:sz w:val="24"/>
          <w:szCs w:val="24"/>
        </w:rPr>
        <w:t xml:space="preserve">as such, they must </w:t>
      </w:r>
      <w:r w:rsidR="006A6502" w:rsidRPr="0059559C">
        <w:rPr>
          <w:rFonts w:cstheme="minorHAnsi"/>
          <w:sz w:val="24"/>
          <w:szCs w:val="24"/>
        </w:rPr>
        <w:t xml:space="preserve">comply with the obligations detailed </w:t>
      </w:r>
      <w:r w:rsidR="00AA6904" w:rsidRPr="0059559C">
        <w:rPr>
          <w:rFonts w:cstheme="minorHAnsi"/>
          <w:sz w:val="24"/>
          <w:szCs w:val="24"/>
        </w:rPr>
        <w:t xml:space="preserve">within the </w:t>
      </w:r>
      <w:r w:rsidR="006A6502" w:rsidRPr="0059559C">
        <w:rPr>
          <w:rFonts w:cstheme="minorHAnsi"/>
          <w:sz w:val="24"/>
          <w:szCs w:val="24"/>
        </w:rPr>
        <w:t xml:space="preserve">Directive and thus the </w:t>
      </w:r>
      <w:r w:rsidR="00E61871" w:rsidRPr="0059559C">
        <w:rPr>
          <w:rFonts w:cstheme="minorHAnsi"/>
          <w:sz w:val="24"/>
          <w:szCs w:val="24"/>
        </w:rPr>
        <w:t>DPA</w:t>
      </w:r>
      <w:r w:rsidR="00AA6904" w:rsidRPr="0059559C">
        <w:rPr>
          <w:rFonts w:cstheme="minorHAnsi"/>
          <w:sz w:val="24"/>
          <w:szCs w:val="24"/>
        </w:rPr>
        <w:t xml:space="preserve">.  </w:t>
      </w:r>
    </w:p>
    <w:p w14:paraId="4B640D64" w14:textId="77777777" w:rsidR="004C5558" w:rsidRPr="0059559C" w:rsidRDefault="004C5558" w:rsidP="00724D5D">
      <w:pPr>
        <w:spacing w:after="0" w:line="240" w:lineRule="auto"/>
        <w:rPr>
          <w:rFonts w:cstheme="minorHAnsi"/>
          <w:sz w:val="24"/>
          <w:szCs w:val="24"/>
        </w:rPr>
      </w:pPr>
    </w:p>
    <w:p w14:paraId="58628221" w14:textId="3754DBC6" w:rsidR="00AA6904" w:rsidRPr="0059559C" w:rsidRDefault="00CB1A52" w:rsidP="00724D5D">
      <w:pPr>
        <w:spacing w:after="0" w:line="240" w:lineRule="auto"/>
        <w:rPr>
          <w:rFonts w:cstheme="minorHAnsi"/>
          <w:sz w:val="24"/>
          <w:szCs w:val="24"/>
        </w:rPr>
      </w:pPr>
      <w:r w:rsidRPr="0059559C">
        <w:rPr>
          <w:rFonts w:cstheme="minorHAnsi"/>
          <w:sz w:val="24"/>
          <w:szCs w:val="24"/>
        </w:rPr>
        <w:t>Whilst the position so far seems clear, t</w:t>
      </w:r>
      <w:r w:rsidR="00AA6904" w:rsidRPr="0059559C">
        <w:rPr>
          <w:rFonts w:cstheme="minorHAnsi"/>
          <w:sz w:val="24"/>
          <w:szCs w:val="24"/>
        </w:rPr>
        <w:t xml:space="preserve">he difficulty, </w:t>
      </w:r>
      <w:r w:rsidR="00D856C6" w:rsidRPr="0059559C">
        <w:rPr>
          <w:rFonts w:cstheme="minorHAnsi"/>
          <w:sz w:val="24"/>
          <w:szCs w:val="24"/>
        </w:rPr>
        <w:t>unfortunately</w:t>
      </w:r>
      <w:r w:rsidR="00AA6904" w:rsidRPr="0059559C">
        <w:rPr>
          <w:rFonts w:cstheme="minorHAnsi"/>
          <w:sz w:val="24"/>
          <w:szCs w:val="24"/>
        </w:rPr>
        <w:t xml:space="preserve">, arises when one recognises that certain exemptions </w:t>
      </w:r>
      <w:r w:rsidRPr="0059559C">
        <w:rPr>
          <w:rFonts w:cstheme="minorHAnsi"/>
          <w:sz w:val="24"/>
          <w:szCs w:val="24"/>
        </w:rPr>
        <w:t xml:space="preserve">and derogations </w:t>
      </w:r>
      <w:r w:rsidR="00AA6904" w:rsidRPr="0059559C">
        <w:rPr>
          <w:rFonts w:cstheme="minorHAnsi"/>
          <w:sz w:val="24"/>
          <w:szCs w:val="24"/>
        </w:rPr>
        <w:t>from the Directive</w:t>
      </w:r>
      <w:r w:rsidR="00E61871" w:rsidRPr="0059559C">
        <w:rPr>
          <w:rFonts w:cstheme="minorHAnsi"/>
          <w:sz w:val="24"/>
          <w:szCs w:val="24"/>
        </w:rPr>
        <w:t xml:space="preserve"> </w:t>
      </w:r>
      <w:r w:rsidR="00F00207" w:rsidRPr="0059559C">
        <w:rPr>
          <w:rFonts w:cstheme="minorHAnsi"/>
          <w:sz w:val="24"/>
          <w:szCs w:val="24"/>
        </w:rPr>
        <w:t>exist</w:t>
      </w:r>
      <w:r w:rsidR="00AA6904" w:rsidRPr="0059559C">
        <w:rPr>
          <w:rFonts w:cstheme="minorHAnsi"/>
          <w:sz w:val="24"/>
          <w:szCs w:val="24"/>
        </w:rPr>
        <w:t xml:space="preserve">.  </w:t>
      </w:r>
      <w:r w:rsidR="002E7C3E" w:rsidRPr="0059559C">
        <w:rPr>
          <w:rFonts w:cstheme="minorHAnsi"/>
          <w:sz w:val="24"/>
          <w:szCs w:val="24"/>
        </w:rPr>
        <w:t>Two</w:t>
      </w:r>
      <w:r w:rsidR="00AA6904" w:rsidRPr="0059559C">
        <w:rPr>
          <w:rFonts w:cstheme="minorHAnsi"/>
          <w:sz w:val="24"/>
          <w:szCs w:val="24"/>
        </w:rPr>
        <w:t xml:space="preserve"> potential exemptions or derogations</w:t>
      </w:r>
      <w:r w:rsidRPr="0059559C">
        <w:rPr>
          <w:rFonts w:cstheme="minorHAnsi"/>
          <w:sz w:val="24"/>
          <w:szCs w:val="24"/>
        </w:rPr>
        <w:t xml:space="preserve"> </w:t>
      </w:r>
      <w:r w:rsidR="00AA6904" w:rsidRPr="0059559C">
        <w:rPr>
          <w:rFonts w:cstheme="minorHAnsi"/>
          <w:sz w:val="24"/>
          <w:szCs w:val="24"/>
        </w:rPr>
        <w:t>apply</w:t>
      </w:r>
      <w:r w:rsidRPr="0059559C">
        <w:rPr>
          <w:rFonts w:cstheme="minorHAnsi"/>
          <w:sz w:val="24"/>
          <w:szCs w:val="24"/>
        </w:rPr>
        <w:t xml:space="preserve"> when a parent </w:t>
      </w:r>
      <w:r w:rsidR="006A6502" w:rsidRPr="0059559C">
        <w:rPr>
          <w:rFonts w:cstheme="minorHAnsi"/>
          <w:sz w:val="24"/>
          <w:szCs w:val="24"/>
        </w:rPr>
        <w:t xml:space="preserve">takes and </w:t>
      </w:r>
      <w:r w:rsidRPr="0059559C">
        <w:rPr>
          <w:rFonts w:cstheme="minorHAnsi"/>
          <w:sz w:val="24"/>
          <w:szCs w:val="24"/>
        </w:rPr>
        <w:t xml:space="preserve">shares a photograph </w:t>
      </w:r>
      <w:r w:rsidR="006A6502" w:rsidRPr="0059559C">
        <w:rPr>
          <w:rFonts w:cstheme="minorHAnsi"/>
          <w:sz w:val="24"/>
          <w:szCs w:val="24"/>
        </w:rPr>
        <w:t xml:space="preserve">of </w:t>
      </w:r>
      <w:r w:rsidRPr="0059559C">
        <w:rPr>
          <w:rFonts w:cstheme="minorHAnsi"/>
          <w:sz w:val="24"/>
          <w:szCs w:val="24"/>
        </w:rPr>
        <w:t>a school event</w:t>
      </w:r>
      <w:r w:rsidR="00D63314" w:rsidRPr="0059559C">
        <w:rPr>
          <w:rFonts w:cstheme="minorHAnsi"/>
          <w:sz w:val="24"/>
          <w:szCs w:val="24"/>
        </w:rPr>
        <w:t xml:space="preserve">. If either of these exemptions or derogations </w:t>
      </w:r>
      <w:proofErr w:type="gramStart"/>
      <w:r w:rsidR="00D63314" w:rsidRPr="0059559C">
        <w:rPr>
          <w:rFonts w:cstheme="minorHAnsi"/>
          <w:sz w:val="24"/>
          <w:szCs w:val="24"/>
        </w:rPr>
        <w:t>apply</w:t>
      </w:r>
      <w:proofErr w:type="gramEnd"/>
      <w:r w:rsidR="00ED2809" w:rsidRPr="0059559C">
        <w:rPr>
          <w:rFonts w:cstheme="minorHAnsi"/>
          <w:sz w:val="24"/>
          <w:szCs w:val="24"/>
        </w:rPr>
        <w:t xml:space="preserve"> </w:t>
      </w:r>
      <w:r w:rsidRPr="0059559C">
        <w:rPr>
          <w:rFonts w:cstheme="minorHAnsi"/>
          <w:sz w:val="24"/>
          <w:szCs w:val="24"/>
        </w:rPr>
        <w:t xml:space="preserve">that parent is </w:t>
      </w:r>
      <w:r w:rsidR="00AA6904" w:rsidRPr="0059559C">
        <w:rPr>
          <w:rFonts w:cstheme="minorHAnsi"/>
          <w:sz w:val="24"/>
          <w:szCs w:val="24"/>
        </w:rPr>
        <w:t xml:space="preserve">not </w:t>
      </w:r>
      <w:r w:rsidR="00ED2809" w:rsidRPr="0059559C">
        <w:rPr>
          <w:rFonts w:cstheme="minorHAnsi"/>
          <w:sz w:val="24"/>
          <w:szCs w:val="24"/>
        </w:rPr>
        <w:t xml:space="preserve">required </w:t>
      </w:r>
      <w:r w:rsidR="00AA6904" w:rsidRPr="0059559C">
        <w:rPr>
          <w:rFonts w:cstheme="minorHAnsi"/>
          <w:sz w:val="24"/>
          <w:szCs w:val="24"/>
        </w:rPr>
        <w:t>to comply with the Directive</w:t>
      </w:r>
      <w:r w:rsidR="00E61871" w:rsidRPr="0059559C">
        <w:rPr>
          <w:rFonts w:cstheme="minorHAnsi"/>
          <w:sz w:val="24"/>
          <w:szCs w:val="24"/>
        </w:rPr>
        <w:t>/the DPA</w:t>
      </w:r>
      <w:r w:rsidR="00AA6904" w:rsidRPr="0059559C">
        <w:rPr>
          <w:rFonts w:cstheme="minorHAnsi"/>
          <w:sz w:val="24"/>
          <w:szCs w:val="24"/>
        </w:rPr>
        <w:t>.</w:t>
      </w:r>
    </w:p>
    <w:p w14:paraId="56270CCB" w14:textId="77777777" w:rsidR="00F00207" w:rsidRPr="0059559C" w:rsidRDefault="00F00207" w:rsidP="00724D5D">
      <w:pPr>
        <w:spacing w:after="0" w:line="240" w:lineRule="auto"/>
        <w:rPr>
          <w:rFonts w:cstheme="minorHAnsi"/>
          <w:sz w:val="24"/>
          <w:szCs w:val="24"/>
        </w:rPr>
      </w:pPr>
    </w:p>
    <w:p w14:paraId="3322BBA9" w14:textId="77777777" w:rsidR="00F00207" w:rsidRPr="0059559C" w:rsidRDefault="00F00207" w:rsidP="00F00207">
      <w:pPr>
        <w:pStyle w:val="ListParagraph"/>
        <w:numPr>
          <w:ilvl w:val="0"/>
          <w:numId w:val="6"/>
        </w:numPr>
        <w:rPr>
          <w:rFonts w:asciiTheme="minorHAnsi" w:hAnsiTheme="minorHAnsi" w:cstheme="minorHAnsi"/>
          <w:b/>
          <w:sz w:val="24"/>
          <w:szCs w:val="24"/>
        </w:rPr>
      </w:pPr>
      <w:r w:rsidRPr="0059559C">
        <w:rPr>
          <w:rFonts w:asciiTheme="minorHAnsi" w:hAnsiTheme="minorHAnsi" w:cstheme="minorHAnsi"/>
          <w:b/>
          <w:sz w:val="24"/>
          <w:szCs w:val="24"/>
        </w:rPr>
        <w:t>When the Directive might not apply to an individual who has posted photographs online</w:t>
      </w:r>
    </w:p>
    <w:p w14:paraId="56861C28" w14:textId="77777777" w:rsidR="004C5558" w:rsidRPr="0059559C" w:rsidRDefault="004C5558" w:rsidP="00724D5D">
      <w:pPr>
        <w:spacing w:after="0" w:line="240" w:lineRule="auto"/>
        <w:rPr>
          <w:rFonts w:cstheme="minorHAnsi"/>
          <w:sz w:val="24"/>
          <w:szCs w:val="24"/>
        </w:rPr>
      </w:pPr>
    </w:p>
    <w:p w14:paraId="71F31B98" w14:textId="77777777" w:rsidR="004C5558" w:rsidRPr="0059559C" w:rsidRDefault="005F1EB9" w:rsidP="00724D5D">
      <w:pPr>
        <w:spacing w:after="0" w:line="240" w:lineRule="auto"/>
        <w:rPr>
          <w:rFonts w:cstheme="minorHAnsi"/>
          <w:sz w:val="24"/>
          <w:szCs w:val="24"/>
        </w:rPr>
      </w:pPr>
      <w:r w:rsidRPr="0059559C">
        <w:rPr>
          <w:rFonts w:cstheme="minorHAnsi"/>
          <w:sz w:val="24"/>
          <w:szCs w:val="24"/>
        </w:rPr>
        <w:t xml:space="preserve">The second limb of </w:t>
      </w:r>
      <w:r w:rsidR="005774CE" w:rsidRPr="0059559C">
        <w:rPr>
          <w:rFonts w:cstheme="minorHAnsi"/>
          <w:sz w:val="24"/>
          <w:szCs w:val="24"/>
        </w:rPr>
        <w:t>Article 3(2) of the Directive s</w:t>
      </w:r>
      <w:r w:rsidR="00C621E4" w:rsidRPr="0059559C">
        <w:rPr>
          <w:rFonts w:cstheme="minorHAnsi"/>
          <w:sz w:val="24"/>
          <w:szCs w:val="24"/>
        </w:rPr>
        <w:t xml:space="preserve">tates that the Directive </w:t>
      </w:r>
      <w:r w:rsidR="005774CE" w:rsidRPr="0059559C">
        <w:rPr>
          <w:rFonts w:cstheme="minorHAnsi"/>
          <w:sz w:val="24"/>
          <w:szCs w:val="24"/>
        </w:rPr>
        <w:t>‘</w:t>
      </w:r>
      <w:r w:rsidR="005774CE" w:rsidRPr="0059559C">
        <w:rPr>
          <w:rFonts w:cstheme="minorHAnsi"/>
          <w:sz w:val="24"/>
          <w:szCs w:val="24"/>
          <w:lang w:val="en"/>
        </w:rPr>
        <w:t>shall not apply to the processing of personal data … by a natural person in the course of a purely personal or household activity</w:t>
      </w:r>
      <w:r w:rsidR="00D856C6" w:rsidRPr="0059559C">
        <w:rPr>
          <w:rFonts w:cstheme="minorHAnsi"/>
          <w:sz w:val="24"/>
          <w:szCs w:val="24"/>
          <w:lang w:val="en"/>
        </w:rPr>
        <w:t>’</w:t>
      </w:r>
      <w:r w:rsidR="005774CE" w:rsidRPr="0059559C">
        <w:rPr>
          <w:rFonts w:cstheme="minorHAnsi"/>
          <w:sz w:val="24"/>
          <w:szCs w:val="24"/>
          <w:lang w:val="en"/>
        </w:rPr>
        <w:t xml:space="preserve">. </w:t>
      </w:r>
      <w:r w:rsidRPr="0059559C">
        <w:rPr>
          <w:rFonts w:cstheme="minorHAnsi"/>
          <w:sz w:val="24"/>
          <w:szCs w:val="24"/>
          <w:lang w:val="en"/>
        </w:rPr>
        <w:t>This provision</w:t>
      </w:r>
      <w:r w:rsidR="005774CE" w:rsidRPr="0059559C">
        <w:rPr>
          <w:rFonts w:cstheme="minorHAnsi"/>
          <w:sz w:val="24"/>
          <w:szCs w:val="24"/>
        </w:rPr>
        <w:t xml:space="preserve"> is implemented in UK law through Section 36 DPA</w:t>
      </w:r>
      <w:r w:rsidR="00F00207" w:rsidRPr="0059559C">
        <w:rPr>
          <w:rFonts w:cstheme="minorHAnsi"/>
          <w:sz w:val="24"/>
          <w:szCs w:val="24"/>
        </w:rPr>
        <w:t xml:space="preserve">, which </w:t>
      </w:r>
      <w:r w:rsidR="005774CE" w:rsidRPr="0059559C">
        <w:rPr>
          <w:rFonts w:cstheme="minorHAnsi"/>
          <w:sz w:val="24"/>
          <w:szCs w:val="24"/>
        </w:rPr>
        <w:t xml:space="preserve">states that ‘Personal data processed by an individual only for the purposes of that individual’s personal, family or household affairs (including recreational purposes) are exempt from the data protection principles and the provisions of Parts II and III.’ </w:t>
      </w:r>
      <w:r w:rsidR="00E61871" w:rsidRPr="0059559C">
        <w:rPr>
          <w:rFonts w:cstheme="minorHAnsi"/>
          <w:sz w:val="24"/>
          <w:szCs w:val="24"/>
        </w:rPr>
        <w:t xml:space="preserve">We will return shortly to consider the different terminology which appears in the two provisions.  The important thing to note </w:t>
      </w:r>
      <w:r w:rsidR="00F00207" w:rsidRPr="0059559C">
        <w:rPr>
          <w:rFonts w:cstheme="minorHAnsi"/>
          <w:sz w:val="24"/>
          <w:szCs w:val="24"/>
        </w:rPr>
        <w:t>here</w:t>
      </w:r>
      <w:r w:rsidR="00E61871" w:rsidRPr="0059559C">
        <w:rPr>
          <w:rFonts w:cstheme="minorHAnsi"/>
          <w:sz w:val="24"/>
          <w:szCs w:val="24"/>
        </w:rPr>
        <w:t xml:space="preserve"> is that if </w:t>
      </w:r>
      <w:r w:rsidR="00C621E4" w:rsidRPr="0059559C">
        <w:rPr>
          <w:rFonts w:cstheme="minorHAnsi"/>
          <w:sz w:val="24"/>
          <w:szCs w:val="24"/>
        </w:rPr>
        <w:t>the parent photographer is considered to</w:t>
      </w:r>
      <w:r w:rsidR="00B7722D" w:rsidRPr="0059559C">
        <w:rPr>
          <w:rFonts w:cstheme="minorHAnsi"/>
          <w:sz w:val="24"/>
          <w:szCs w:val="24"/>
        </w:rPr>
        <w:t xml:space="preserve"> fall within the personal/household exemption</w:t>
      </w:r>
      <w:r w:rsidR="00C621E4" w:rsidRPr="0059559C">
        <w:rPr>
          <w:rFonts w:cstheme="minorHAnsi"/>
          <w:sz w:val="24"/>
          <w:szCs w:val="24"/>
        </w:rPr>
        <w:t xml:space="preserve"> when posting </w:t>
      </w:r>
      <w:r w:rsidR="00F00207" w:rsidRPr="0059559C">
        <w:rPr>
          <w:rFonts w:cstheme="minorHAnsi"/>
          <w:sz w:val="24"/>
          <w:szCs w:val="24"/>
        </w:rPr>
        <w:t xml:space="preserve">a photograph </w:t>
      </w:r>
      <w:r w:rsidR="00C621E4" w:rsidRPr="0059559C">
        <w:rPr>
          <w:rFonts w:cstheme="minorHAnsi"/>
          <w:sz w:val="24"/>
          <w:szCs w:val="24"/>
        </w:rPr>
        <w:t xml:space="preserve">to </w:t>
      </w:r>
      <w:r w:rsidR="00C9191C" w:rsidRPr="0059559C">
        <w:rPr>
          <w:rFonts w:cstheme="minorHAnsi"/>
          <w:sz w:val="24"/>
          <w:szCs w:val="24"/>
        </w:rPr>
        <w:t>Facebook</w:t>
      </w:r>
      <w:r w:rsidR="00F00207" w:rsidRPr="0059559C">
        <w:rPr>
          <w:rFonts w:cstheme="minorHAnsi"/>
          <w:sz w:val="24"/>
          <w:szCs w:val="24"/>
        </w:rPr>
        <w:t xml:space="preserve"> or </w:t>
      </w:r>
      <w:r w:rsidR="00C621E4" w:rsidRPr="0059559C">
        <w:rPr>
          <w:rFonts w:cstheme="minorHAnsi"/>
          <w:sz w:val="24"/>
          <w:szCs w:val="24"/>
        </w:rPr>
        <w:t xml:space="preserve">their personal/family blog </w:t>
      </w:r>
      <w:r w:rsidR="00F00207" w:rsidRPr="0059559C">
        <w:rPr>
          <w:rFonts w:cstheme="minorHAnsi"/>
          <w:sz w:val="24"/>
          <w:szCs w:val="24"/>
        </w:rPr>
        <w:t>(even a photograph which includes images of t</w:t>
      </w:r>
      <w:r w:rsidR="006A6502" w:rsidRPr="0059559C">
        <w:rPr>
          <w:rFonts w:cstheme="minorHAnsi"/>
          <w:sz w:val="24"/>
          <w:szCs w:val="24"/>
        </w:rPr>
        <w:t>hird parties</w:t>
      </w:r>
      <w:r w:rsidR="00F00207" w:rsidRPr="0059559C">
        <w:rPr>
          <w:rFonts w:cstheme="minorHAnsi"/>
          <w:sz w:val="24"/>
          <w:szCs w:val="24"/>
        </w:rPr>
        <w:t xml:space="preserve">) </w:t>
      </w:r>
      <w:r w:rsidR="00C621E4" w:rsidRPr="0059559C">
        <w:rPr>
          <w:rFonts w:cstheme="minorHAnsi"/>
          <w:sz w:val="24"/>
          <w:szCs w:val="24"/>
        </w:rPr>
        <w:t xml:space="preserve">then </w:t>
      </w:r>
      <w:r w:rsidR="00E61871" w:rsidRPr="0059559C">
        <w:rPr>
          <w:rFonts w:cstheme="minorHAnsi"/>
          <w:sz w:val="24"/>
          <w:szCs w:val="24"/>
        </w:rPr>
        <w:t xml:space="preserve">Article 3(2)/s36 </w:t>
      </w:r>
      <w:r w:rsidR="00C621E4" w:rsidRPr="0059559C">
        <w:rPr>
          <w:rFonts w:cstheme="minorHAnsi"/>
          <w:sz w:val="24"/>
          <w:szCs w:val="24"/>
        </w:rPr>
        <w:t>will</w:t>
      </w:r>
      <w:r w:rsidR="005774CE" w:rsidRPr="0059559C">
        <w:rPr>
          <w:rFonts w:cstheme="minorHAnsi"/>
          <w:sz w:val="24"/>
          <w:szCs w:val="24"/>
        </w:rPr>
        <w:t xml:space="preserve"> apply</w:t>
      </w:r>
      <w:r w:rsidR="00C621E4" w:rsidRPr="0059559C">
        <w:rPr>
          <w:rFonts w:cstheme="minorHAnsi"/>
          <w:sz w:val="24"/>
          <w:szCs w:val="24"/>
        </w:rPr>
        <w:t>. If Article 3(2)/s36</w:t>
      </w:r>
      <w:r w:rsidR="00F00207" w:rsidRPr="0059559C">
        <w:rPr>
          <w:rFonts w:cstheme="minorHAnsi"/>
          <w:sz w:val="24"/>
          <w:szCs w:val="24"/>
        </w:rPr>
        <w:t xml:space="preserve"> applies</w:t>
      </w:r>
      <w:r w:rsidR="00E61871" w:rsidRPr="0059559C">
        <w:rPr>
          <w:rFonts w:cstheme="minorHAnsi"/>
          <w:sz w:val="24"/>
          <w:szCs w:val="24"/>
        </w:rPr>
        <w:t>,</w:t>
      </w:r>
      <w:r w:rsidR="005774CE" w:rsidRPr="0059559C">
        <w:rPr>
          <w:rFonts w:cstheme="minorHAnsi"/>
          <w:sz w:val="24"/>
          <w:szCs w:val="24"/>
        </w:rPr>
        <w:t xml:space="preserve"> the parent photographer is under no obligation to </w:t>
      </w:r>
      <w:r w:rsidR="00E61871" w:rsidRPr="0059559C">
        <w:rPr>
          <w:rFonts w:cstheme="minorHAnsi"/>
          <w:sz w:val="24"/>
          <w:szCs w:val="24"/>
        </w:rPr>
        <w:t xml:space="preserve">tell </w:t>
      </w:r>
      <w:r w:rsidR="00F00207" w:rsidRPr="0059559C">
        <w:rPr>
          <w:rFonts w:cstheme="minorHAnsi"/>
          <w:sz w:val="24"/>
          <w:szCs w:val="24"/>
        </w:rPr>
        <w:t xml:space="preserve">the child whose photograph she has taken </w:t>
      </w:r>
      <w:r w:rsidR="00E61871" w:rsidRPr="0059559C">
        <w:rPr>
          <w:rFonts w:cstheme="minorHAnsi"/>
          <w:sz w:val="24"/>
          <w:szCs w:val="24"/>
        </w:rPr>
        <w:t>that she intends to post those images online</w:t>
      </w:r>
      <w:r w:rsidR="006A6502" w:rsidRPr="0059559C">
        <w:rPr>
          <w:rFonts w:cstheme="minorHAnsi"/>
          <w:sz w:val="24"/>
          <w:szCs w:val="24"/>
        </w:rPr>
        <w:t>,</w:t>
      </w:r>
      <w:r w:rsidR="00F00207" w:rsidRPr="0059559C">
        <w:rPr>
          <w:rFonts w:cstheme="minorHAnsi"/>
          <w:sz w:val="24"/>
          <w:szCs w:val="24"/>
        </w:rPr>
        <w:t xml:space="preserve"> nor is she required </w:t>
      </w:r>
      <w:r w:rsidR="00E61871" w:rsidRPr="0059559C">
        <w:rPr>
          <w:rFonts w:cstheme="minorHAnsi"/>
          <w:sz w:val="24"/>
          <w:szCs w:val="24"/>
        </w:rPr>
        <w:t xml:space="preserve">to </w:t>
      </w:r>
      <w:r w:rsidR="005774CE" w:rsidRPr="0059559C">
        <w:rPr>
          <w:rFonts w:cstheme="minorHAnsi"/>
          <w:sz w:val="24"/>
          <w:szCs w:val="24"/>
        </w:rPr>
        <w:t>obtain consent to taking/sharing the</w:t>
      </w:r>
      <w:r w:rsidR="00F00207" w:rsidRPr="0059559C">
        <w:rPr>
          <w:rFonts w:cstheme="minorHAnsi"/>
          <w:sz w:val="24"/>
          <w:szCs w:val="24"/>
        </w:rPr>
        <w:t>ir</w:t>
      </w:r>
      <w:r w:rsidR="005774CE" w:rsidRPr="0059559C">
        <w:rPr>
          <w:rFonts w:cstheme="minorHAnsi"/>
          <w:sz w:val="24"/>
          <w:szCs w:val="24"/>
        </w:rPr>
        <w:t xml:space="preserve"> images.  </w:t>
      </w:r>
    </w:p>
    <w:p w14:paraId="16769A18" w14:textId="77777777" w:rsidR="00923FC7" w:rsidRPr="0059559C" w:rsidRDefault="00923FC7" w:rsidP="00724D5D">
      <w:pPr>
        <w:spacing w:after="0" w:line="240" w:lineRule="auto"/>
        <w:rPr>
          <w:rFonts w:cstheme="minorHAnsi"/>
          <w:sz w:val="24"/>
          <w:szCs w:val="24"/>
        </w:rPr>
      </w:pPr>
    </w:p>
    <w:p w14:paraId="5F025891" w14:textId="77777777" w:rsidR="00C621E4" w:rsidRPr="0059559C" w:rsidRDefault="005774CE" w:rsidP="00724D5D">
      <w:pPr>
        <w:spacing w:after="0" w:line="240" w:lineRule="auto"/>
        <w:rPr>
          <w:rFonts w:cstheme="minorHAnsi"/>
          <w:sz w:val="24"/>
          <w:szCs w:val="24"/>
        </w:rPr>
      </w:pPr>
      <w:r w:rsidRPr="0059559C">
        <w:rPr>
          <w:rFonts w:cstheme="minorHAnsi"/>
          <w:sz w:val="24"/>
          <w:szCs w:val="24"/>
        </w:rPr>
        <w:t xml:space="preserve">Even if Article 3(2)/s36 </w:t>
      </w:r>
      <w:r w:rsidR="00F00207" w:rsidRPr="0059559C">
        <w:rPr>
          <w:rFonts w:cstheme="minorHAnsi"/>
          <w:sz w:val="24"/>
          <w:szCs w:val="24"/>
        </w:rPr>
        <w:t>were</w:t>
      </w:r>
      <w:r w:rsidRPr="0059559C">
        <w:rPr>
          <w:rFonts w:cstheme="minorHAnsi"/>
          <w:sz w:val="24"/>
          <w:szCs w:val="24"/>
        </w:rPr>
        <w:t xml:space="preserve"> not considered </w:t>
      </w:r>
      <w:r w:rsidR="00F00207" w:rsidRPr="0059559C">
        <w:rPr>
          <w:rFonts w:cstheme="minorHAnsi"/>
          <w:sz w:val="24"/>
          <w:szCs w:val="24"/>
        </w:rPr>
        <w:t xml:space="preserve">relevant (perhaps because </w:t>
      </w:r>
      <w:r w:rsidRPr="0059559C">
        <w:rPr>
          <w:rFonts w:cstheme="minorHAnsi"/>
          <w:sz w:val="24"/>
          <w:szCs w:val="24"/>
        </w:rPr>
        <w:t>the parent photographer</w:t>
      </w:r>
      <w:r w:rsidR="00F00207" w:rsidRPr="0059559C">
        <w:rPr>
          <w:rFonts w:cstheme="minorHAnsi"/>
          <w:sz w:val="24"/>
          <w:szCs w:val="24"/>
        </w:rPr>
        <w:t xml:space="preserve">’s blog is used for </w:t>
      </w:r>
      <w:r w:rsidR="006A6502" w:rsidRPr="0059559C">
        <w:rPr>
          <w:rFonts w:cstheme="minorHAnsi"/>
          <w:sz w:val="24"/>
          <w:szCs w:val="24"/>
        </w:rPr>
        <w:t xml:space="preserve">both </w:t>
      </w:r>
      <w:r w:rsidR="00C92048" w:rsidRPr="0059559C">
        <w:rPr>
          <w:rFonts w:cstheme="minorHAnsi"/>
          <w:sz w:val="24"/>
          <w:szCs w:val="24"/>
        </w:rPr>
        <w:t>commercial and personal purposes) the photographer</w:t>
      </w:r>
      <w:r w:rsidRPr="0059559C">
        <w:rPr>
          <w:rFonts w:cstheme="minorHAnsi"/>
          <w:sz w:val="24"/>
          <w:szCs w:val="24"/>
        </w:rPr>
        <w:t xml:space="preserve"> might argue that their actions, particularly when compiling their blog, are undertaken in the exercise of their right to freedom of expression.</w:t>
      </w:r>
      <w:r w:rsidR="005714A3" w:rsidRPr="0059559C">
        <w:rPr>
          <w:rFonts w:cstheme="minorHAnsi"/>
          <w:sz w:val="24"/>
          <w:szCs w:val="24"/>
        </w:rPr>
        <w:t xml:space="preserve">  Section 32</w:t>
      </w:r>
      <w:r w:rsidR="00C92048" w:rsidRPr="0059559C">
        <w:rPr>
          <w:rFonts w:cstheme="minorHAnsi"/>
          <w:sz w:val="24"/>
          <w:szCs w:val="24"/>
        </w:rPr>
        <w:t xml:space="preserve"> DPA</w:t>
      </w:r>
      <w:r w:rsidR="005714A3" w:rsidRPr="0059559C">
        <w:rPr>
          <w:rFonts w:cstheme="minorHAnsi"/>
          <w:sz w:val="24"/>
          <w:szCs w:val="24"/>
        </w:rPr>
        <w:t xml:space="preserve"> (implementing Article 9) </w:t>
      </w:r>
      <w:r w:rsidR="005714A3" w:rsidRPr="0059559C">
        <w:rPr>
          <w:rFonts w:cstheme="minorHAnsi"/>
          <w:sz w:val="24"/>
          <w:szCs w:val="24"/>
        </w:rPr>
        <w:lastRenderedPageBreak/>
        <w:t>specifically provides for an exemption from</w:t>
      </w:r>
      <w:r w:rsidR="00B7722D" w:rsidRPr="0059559C">
        <w:rPr>
          <w:rFonts w:cstheme="minorHAnsi"/>
          <w:sz w:val="24"/>
          <w:szCs w:val="24"/>
        </w:rPr>
        <w:t xml:space="preserve"> data protection principles 1-6</w:t>
      </w:r>
      <w:r w:rsidR="005714A3" w:rsidRPr="0059559C">
        <w:rPr>
          <w:rFonts w:cstheme="minorHAnsi"/>
          <w:sz w:val="24"/>
          <w:szCs w:val="24"/>
        </w:rPr>
        <w:t xml:space="preserve"> and 8 </w:t>
      </w:r>
      <w:r w:rsidR="00B7722D" w:rsidRPr="0059559C">
        <w:rPr>
          <w:rFonts w:cstheme="minorHAnsi"/>
          <w:sz w:val="24"/>
          <w:szCs w:val="24"/>
        </w:rPr>
        <w:t>and</w:t>
      </w:r>
      <w:r w:rsidR="005714A3" w:rsidRPr="0059559C">
        <w:rPr>
          <w:rFonts w:cstheme="minorHAnsi"/>
          <w:sz w:val="24"/>
          <w:szCs w:val="24"/>
        </w:rPr>
        <w:t xml:space="preserve"> Sections 7, 10, 12, 12A or 14(1)-(3) </w:t>
      </w:r>
      <w:r w:rsidR="00B7722D" w:rsidRPr="0059559C">
        <w:rPr>
          <w:rFonts w:cstheme="minorHAnsi"/>
          <w:sz w:val="24"/>
          <w:szCs w:val="24"/>
        </w:rPr>
        <w:t xml:space="preserve">of the DPA </w:t>
      </w:r>
      <w:r w:rsidR="005714A3" w:rsidRPr="0059559C">
        <w:rPr>
          <w:rFonts w:cstheme="minorHAnsi"/>
          <w:sz w:val="24"/>
          <w:szCs w:val="24"/>
        </w:rPr>
        <w:t>where a data controller processes personal data (for example by sharing photographs online) for journalistic, literary or artistic purposes</w:t>
      </w:r>
      <w:r w:rsidR="006A6502" w:rsidRPr="0059559C">
        <w:rPr>
          <w:rFonts w:cstheme="minorHAnsi"/>
          <w:sz w:val="24"/>
          <w:szCs w:val="24"/>
        </w:rPr>
        <w:t>,</w:t>
      </w:r>
      <w:r w:rsidR="00C92048" w:rsidRPr="0059559C">
        <w:rPr>
          <w:rFonts w:cstheme="minorHAnsi"/>
          <w:sz w:val="24"/>
          <w:szCs w:val="24"/>
        </w:rPr>
        <w:t xml:space="preserve"> and</w:t>
      </w:r>
      <w:r w:rsidR="005714A3" w:rsidRPr="0059559C">
        <w:rPr>
          <w:rFonts w:cstheme="minorHAnsi"/>
          <w:sz w:val="24"/>
          <w:szCs w:val="24"/>
        </w:rPr>
        <w:t xml:space="preserve"> </w:t>
      </w:r>
      <w:r w:rsidR="00C92048" w:rsidRPr="0059559C">
        <w:rPr>
          <w:rFonts w:cstheme="minorHAnsi"/>
          <w:sz w:val="24"/>
          <w:szCs w:val="24"/>
        </w:rPr>
        <w:t xml:space="preserve">where that </w:t>
      </w:r>
      <w:r w:rsidR="005714A3" w:rsidRPr="0059559C">
        <w:rPr>
          <w:rFonts w:cstheme="minorHAnsi"/>
          <w:sz w:val="24"/>
          <w:szCs w:val="24"/>
        </w:rPr>
        <w:t xml:space="preserve">data controller reasonably believes </w:t>
      </w:r>
      <w:r w:rsidR="00C92048" w:rsidRPr="0059559C">
        <w:rPr>
          <w:rFonts w:cstheme="minorHAnsi"/>
          <w:sz w:val="24"/>
          <w:szCs w:val="24"/>
        </w:rPr>
        <w:t>that dissemination is in the public interest</w:t>
      </w:r>
      <w:r w:rsidR="005714A3" w:rsidRPr="0059559C">
        <w:rPr>
          <w:rFonts w:cstheme="minorHAnsi"/>
          <w:sz w:val="24"/>
          <w:szCs w:val="24"/>
        </w:rPr>
        <w:t>.</w:t>
      </w:r>
      <w:r w:rsidR="00C621E4" w:rsidRPr="0059559C">
        <w:rPr>
          <w:rFonts w:cstheme="minorHAnsi"/>
          <w:sz w:val="24"/>
          <w:szCs w:val="24"/>
        </w:rPr>
        <w:t xml:space="preserve"> </w:t>
      </w:r>
    </w:p>
    <w:p w14:paraId="780CA84F" w14:textId="77777777" w:rsidR="00C621E4" w:rsidRPr="0059559C" w:rsidRDefault="00C621E4" w:rsidP="00724D5D">
      <w:pPr>
        <w:spacing w:after="0" w:line="240" w:lineRule="auto"/>
        <w:rPr>
          <w:rFonts w:cstheme="minorHAnsi"/>
          <w:sz w:val="24"/>
          <w:szCs w:val="24"/>
        </w:rPr>
      </w:pPr>
    </w:p>
    <w:p w14:paraId="18A1E5A6" w14:textId="77777777" w:rsidR="00294D79" w:rsidRPr="0059559C" w:rsidRDefault="00C92048" w:rsidP="00724D5D">
      <w:pPr>
        <w:spacing w:after="0" w:line="240" w:lineRule="auto"/>
        <w:rPr>
          <w:rFonts w:cstheme="minorHAnsi"/>
          <w:sz w:val="24"/>
          <w:szCs w:val="24"/>
        </w:rPr>
      </w:pPr>
      <w:r w:rsidRPr="0059559C">
        <w:rPr>
          <w:rFonts w:cstheme="minorHAnsi"/>
          <w:sz w:val="24"/>
          <w:szCs w:val="24"/>
        </w:rPr>
        <w:t xml:space="preserve">If </w:t>
      </w:r>
      <w:proofErr w:type="gramStart"/>
      <w:r w:rsidRPr="0059559C">
        <w:rPr>
          <w:rFonts w:cstheme="minorHAnsi"/>
          <w:sz w:val="24"/>
          <w:szCs w:val="24"/>
        </w:rPr>
        <w:t xml:space="preserve">either </w:t>
      </w:r>
      <w:r w:rsidR="006A6502" w:rsidRPr="0059559C">
        <w:rPr>
          <w:rFonts w:cstheme="minorHAnsi"/>
          <w:sz w:val="24"/>
          <w:szCs w:val="24"/>
        </w:rPr>
        <w:t>Article</w:t>
      </w:r>
      <w:proofErr w:type="gramEnd"/>
      <w:r w:rsidR="006A6502" w:rsidRPr="0059559C">
        <w:rPr>
          <w:rFonts w:cstheme="minorHAnsi"/>
          <w:sz w:val="24"/>
          <w:szCs w:val="24"/>
        </w:rPr>
        <w:t xml:space="preserve"> 3(2)/s36 </w:t>
      </w:r>
      <w:r w:rsidR="00717539" w:rsidRPr="0059559C">
        <w:rPr>
          <w:rFonts w:cstheme="minorHAnsi"/>
          <w:sz w:val="24"/>
          <w:szCs w:val="24"/>
        </w:rPr>
        <w:t xml:space="preserve">or Article 9/s32 </w:t>
      </w:r>
      <w:r w:rsidRPr="0059559C">
        <w:rPr>
          <w:rFonts w:cstheme="minorHAnsi"/>
          <w:sz w:val="24"/>
          <w:szCs w:val="24"/>
        </w:rPr>
        <w:t xml:space="preserve">were </w:t>
      </w:r>
      <w:r w:rsidR="006A6502" w:rsidRPr="0059559C">
        <w:rPr>
          <w:rFonts w:cstheme="minorHAnsi"/>
          <w:sz w:val="24"/>
          <w:szCs w:val="24"/>
        </w:rPr>
        <w:t xml:space="preserve">considered </w:t>
      </w:r>
      <w:r w:rsidR="00717539" w:rsidRPr="0059559C">
        <w:rPr>
          <w:rFonts w:cstheme="minorHAnsi"/>
          <w:sz w:val="24"/>
          <w:szCs w:val="24"/>
        </w:rPr>
        <w:t xml:space="preserve">to </w:t>
      </w:r>
      <w:r w:rsidRPr="0059559C">
        <w:rPr>
          <w:rFonts w:cstheme="minorHAnsi"/>
          <w:sz w:val="24"/>
          <w:szCs w:val="24"/>
        </w:rPr>
        <w:t xml:space="preserve">apply </w:t>
      </w:r>
      <w:r w:rsidR="00717539" w:rsidRPr="0059559C">
        <w:rPr>
          <w:rFonts w:cstheme="minorHAnsi"/>
          <w:sz w:val="24"/>
          <w:szCs w:val="24"/>
        </w:rPr>
        <w:t xml:space="preserve">the parent photographer </w:t>
      </w:r>
      <w:r w:rsidR="006A6502" w:rsidRPr="0059559C">
        <w:rPr>
          <w:rFonts w:cstheme="minorHAnsi"/>
          <w:sz w:val="24"/>
          <w:szCs w:val="24"/>
        </w:rPr>
        <w:t xml:space="preserve">would </w:t>
      </w:r>
      <w:r w:rsidR="008F355A" w:rsidRPr="0059559C">
        <w:rPr>
          <w:rFonts w:cstheme="minorHAnsi"/>
          <w:sz w:val="24"/>
          <w:szCs w:val="24"/>
        </w:rPr>
        <w:t xml:space="preserve">effectively </w:t>
      </w:r>
      <w:r w:rsidR="006A6502" w:rsidRPr="0059559C">
        <w:rPr>
          <w:rFonts w:cstheme="minorHAnsi"/>
          <w:sz w:val="24"/>
          <w:szCs w:val="24"/>
        </w:rPr>
        <w:t xml:space="preserve">be </w:t>
      </w:r>
      <w:r w:rsidR="008F355A" w:rsidRPr="0059559C">
        <w:rPr>
          <w:rFonts w:cstheme="minorHAnsi"/>
          <w:sz w:val="24"/>
          <w:szCs w:val="24"/>
        </w:rPr>
        <w:t xml:space="preserve">free to </w:t>
      </w:r>
      <w:r w:rsidR="00923FC7" w:rsidRPr="0059559C">
        <w:rPr>
          <w:rFonts w:cstheme="minorHAnsi"/>
          <w:sz w:val="24"/>
          <w:szCs w:val="24"/>
        </w:rPr>
        <w:t>disseminate</w:t>
      </w:r>
      <w:r w:rsidR="008F355A" w:rsidRPr="0059559C">
        <w:rPr>
          <w:rFonts w:cstheme="minorHAnsi"/>
          <w:sz w:val="24"/>
          <w:szCs w:val="24"/>
        </w:rPr>
        <w:t xml:space="preserve"> </w:t>
      </w:r>
      <w:r w:rsidR="006A6502" w:rsidRPr="0059559C">
        <w:rPr>
          <w:rFonts w:cstheme="minorHAnsi"/>
          <w:sz w:val="24"/>
          <w:szCs w:val="24"/>
        </w:rPr>
        <w:t xml:space="preserve">their photographs </w:t>
      </w:r>
      <w:r w:rsidR="008F355A" w:rsidRPr="0059559C">
        <w:rPr>
          <w:rFonts w:cstheme="minorHAnsi"/>
          <w:sz w:val="24"/>
          <w:szCs w:val="24"/>
        </w:rPr>
        <w:t xml:space="preserve">online (including </w:t>
      </w:r>
      <w:r w:rsidR="006A6502" w:rsidRPr="0059559C">
        <w:rPr>
          <w:rFonts w:cstheme="minorHAnsi"/>
          <w:sz w:val="24"/>
          <w:szCs w:val="24"/>
        </w:rPr>
        <w:t xml:space="preserve">photographs </w:t>
      </w:r>
      <w:r w:rsidR="008F355A" w:rsidRPr="0059559C">
        <w:rPr>
          <w:rFonts w:cstheme="minorHAnsi"/>
          <w:sz w:val="24"/>
          <w:szCs w:val="24"/>
        </w:rPr>
        <w:t>of friends, family and acquaintances</w:t>
      </w:r>
      <w:r w:rsidR="00D63314" w:rsidRPr="0059559C">
        <w:rPr>
          <w:rFonts w:cstheme="minorHAnsi"/>
          <w:sz w:val="24"/>
          <w:szCs w:val="24"/>
        </w:rPr>
        <w:t>)</w:t>
      </w:r>
      <w:r w:rsidR="008F355A" w:rsidRPr="0059559C">
        <w:rPr>
          <w:rFonts w:cstheme="minorHAnsi"/>
          <w:sz w:val="24"/>
          <w:szCs w:val="24"/>
        </w:rPr>
        <w:t>.</w:t>
      </w:r>
      <w:r w:rsidR="00717539" w:rsidRPr="0059559C">
        <w:rPr>
          <w:rFonts w:cstheme="minorHAnsi"/>
          <w:sz w:val="24"/>
          <w:szCs w:val="24"/>
        </w:rPr>
        <w:t xml:space="preserve">  Many might agree that this is only right and proper, that it is not the state’s role to intervene when an individual uses the internet in such circumstances</w:t>
      </w:r>
      <w:r w:rsidR="006D5E8D" w:rsidRPr="0059559C">
        <w:rPr>
          <w:rFonts w:cstheme="minorHAnsi"/>
          <w:sz w:val="24"/>
          <w:szCs w:val="24"/>
        </w:rPr>
        <w:t>, and indeed that it is impractical for the state to intervene in all such cases</w:t>
      </w:r>
      <w:r w:rsidR="00C621E4" w:rsidRPr="0059559C">
        <w:rPr>
          <w:rFonts w:cstheme="minorHAnsi"/>
          <w:sz w:val="24"/>
          <w:szCs w:val="24"/>
        </w:rPr>
        <w:t>.  The consequence</w:t>
      </w:r>
      <w:r w:rsidR="00717539" w:rsidRPr="0059559C">
        <w:rPr>
          <w:rFonts w:cstheme="minorHAnsi"/>
          <w:sz w:val="24"/>
          <w:szCs w:val="24"/>
        </w:rPr>
        <w:t xml:space="preserve"> of such an approach, however, is </w:t>
      </w:r>
      <w:r w:rsidR="006D5E8D" w:rsidRPr="0059559C">
        <w:rPr>
          <w:rFonts w:cstheme="minorHAnsi"/>
          <w:sz w:val="24"/>
          <w:szCs w:val="24"/>
        </w:rPr>
        <w:t>to leave</w:t>
      </w:r>
      <w:r w:rsidR="00717539" w:rsidRPr="0059559C">
        <w:rPr>
          <w:rFonts w:cstheme="minorHAnsi"/>
          <w:sz w:val="24"/>
          <w:szCs w:val="24"/>
        </w:rPr>
        <w:t xml:space="preserve"> </w:t>
      </w:r>
      <w:r w:rsidR="008F355A" w:rsidRPr="0059559C">
        <w:rPr>
          <w:rFonts w:cstheme="minorHAnsi"/>
          <w:sz w:val="24"/>
          <w:szCs w:val="24"/>
        </w:rPr>
        <w:t xml:space="preserve">third parties </w:t>
      </w:r>
      <w:r w:rsidR="006D5E8D" w:rsidRPr="0059559C">
        <w:rPr>
          <w:rFonts w:cstheme="minorHAnsi"/>
          <w:sz w:val="24"/>
          <w:szCs w:val="24"/>
        </w:rPr>
        <w:t>with</w:t>
      </w:r>
      <w:r w:rsidR="008F355A" w:rsidRPr="0059559C">
        <w:rPr>
          <w:rFonts w:cstheme="minorHAnsi"/>
          <w:sz w:val="24"/>
          <w:szCs w:val="24"/>
        </w:rPr>
        <w:t xml:space="preserve"> no </w:t>
      </w:r>
      <w:r w:rsidR="00717539" w:rsidRPr="0059559C">
        <w:rPr>
          <w:rFonts w:cstheme="minorHAnsi"/>
          <w:sz w:val="24"/>
          <w:szCs w:val="24"/>
        </w:rPr>
        <w:t xml:space="preserve">effective </w:t>
      </w:r>
      <w:r w:rsidR="008F355A" w:rsidRPr="0059559C">
        <w:rPr>
          <w:rFonts w:cstheme="minorHAnsi"/>
          <w:sz w:val="24"/>
          <w:szCs w:val="24"/>
        </w:rPr>
        <w:t>remedy under data protection legislation, and if their complaint would not lead to the possibility of an alternative legal claim (for example under the law of libel)</w:t>
      </w:r>
      <w:proofErr w:type="gramStart"/>
      <w:r w:rsidR="008F355A" w:rsidRPr="0059559C">
        <w:rPr>
          <w:rFonts w:cstheme="minorHAnsi"/>
          <w:sz w:val="24"/>
          <w:szCs w:val="24"/>
        </w:rPr>
        <w:t>,</w:t>
      </w:r>
      <w:proofErr w:type="gramEnd"/>
      <w:r w:rsidR="008F355A" w:rsidRPr="0059559C">
        <w:rPr>
          <w:rFonts w:cstheme="minorHAnsi"/>
          <w:sz w:val="24"/>
          <w:szCs w:val="24"/>
        </w:rPr>
        <w:t xml:space="preserve"> there is effectively nothing they can do to prevent that information</w:t>
      </w:r>
      <w:r w:rsidR="006A6502" w:rsidRPr="0059559C">
        <w:rPr>
          <w:rFonts w:cstheme="minorHAnsi"/>
          <w:sz w:val="24"/>
          <w:szCs w:val="24"/>
        </w:rPr>
        <w:t xml:space="preserve"> being disseminated</w:t>
      </w:r>
      <w:r w:rsidR="008F355A" w:rsidRPr="0059559C">
        <w:rPr>
          <w:rFonts w:cstheme="minorHAnsi"/>
          <w:sz w:val="24"/>
          <w:szCs w:val="24"/>
        </w:rPr>
        <w:t xml:space="preserve">.  </w:t>
      </w:r>
      <w:r w:rsidR="001E6941" w:rsidRPr="0059559C">
        <w:rPr>
          <w:rFonts w:cstheme="minorHAnsi"/>
          <w:sz w:val="24"/>
          <w:szCs w:val="24"/>
        </w:rPr>
        <w:t>Th</w:t>
      </w:r>
      <w:r w:rsidR="006A6FD9" w:rsidRPr="0059559C">
        <w:rPr>
          <w:rFonts w:cstheme="minorHAnsi"/>
          <w:sz w:val="24"/>
          <w:szCs w:val="24"/>
        </w:rPr>
        <w:t xml:space="preserve">at individuals should be left with no effective remedy under the very legislation designed to protect their personal information, indeed to protect their privacy, </w:t>
      </w:r>
      <w:r w:rsidR="001E6941" w:rsidRPr="0059559C">
        <w:rPr>
          <w:rFonts w:cstheme="minorHAnsi"/>
          <w:sz w:val="24"/>
          <w:szCs w:val="24"/>
        </w:rPr>
        <w:t>is no small concern, g</w:t>
      </w:r>
      <w:r w:rsidR="008F355A" w:rsidRPr="0059559C">
        <w:rPr>
          <w:rFonts w:cstheme="minorHAnsi"/>
          <w:sz w:val="24"/>
          <w:szCs w:val="24"/>
        </w:rPr>
        <w:t xml:space="preserve">iven </w:t>
      </w:r>
      <w:r w:rsidRPr="0059559C">
        <w:rPr>
          <w:rFonts w:cstheme="minorHAnsi"/>
          <w:sz w:val="24"/>
          <w:szCs w:val="24"/>
        </w:rPr>
        <w:t xml:space="preserve">the extent of </w:t>
      </w:r>
      <w:r w:rsidR="001E6941" w:rsidRPr="0059559C">
        <w:rPr>
          <w:rFonts w:cstheme="minorHAnsi"/>
          <w:sz w:val="24"/>
          <w:szCs w:val="24"/>
        </w:rPr>
        <w:t>data sharing</w:t>
      </w:r>
      <w:r w:rsidRPr="0059559C">
        <w:rPr>
          <w:rFonts w:cstheme="minorHAnsi"/>
          <w:sz w:val="24"/>
          <w:szCs w:val="24"/>
        </w:rPr>
        <w:t xml:space="preserve"> in Europe</w:t>
      </w:r>
      <w:r w:rsidR="00C621E4" w:rsidRPr="0059559C">
        <w:rPr>
          <w:rFonts w:cstheme="minorHAnsi"/>
          <w:sz w:val="24"/>
          <w:szCs w:val="24"/>
        </w:rPr>
        <w:t>. 29</w:t>
      </w:r>
      <w:r w:rsidR="00294D79" w:rsidRPr="0059559C">
        <w:rPr>
          <w:rFonts w:cstheme="minorHAnsi"/>
          <w:sz w:val="24"/>
          <w:szCs w:val="24"/>
        </w:rPr>
        <w:t xml:space="preserve">% </w:t>
      </w:r>
      <w:r w:rsidR="00C621E4" w:rsidRPr="0059559C">
        <w:rPr>
          <w:rFonts w:cstheme="minorHAnsi"/>
          <w:sz w:val="24"/>
          <w:szCs w:val="24"/>
        </w:rPr>
        <w:t xml:space="preserve">of the Europeans interviewed for a Eurobarometer survey published in 2011 use sharing sites for pictures, videos and/or movies, 34% </w:t>
      </w:r>
      <w:r w:rsidR="00294D79" w:rsidRPr="0059559C">
        <w:rPr>
          <w:rFonts w:cstheme="minorHAnsi"/>
          <w:sz w:val="24"/>
          <w:szCs w:val="24"/>
        </w:rPr>
        <w:t>use social networking sites</w:t>
      </w:r>
      <w:r w:rsidR="00BF6429" w:rsidRPr="0059559C">
        <w:rPr>
          <w:rFonts w:cstheme="minorHAnsi"/>
          <w:sz w:val="24"/>
          <w:szCs w:val="24"/>
        </w:rPr>
        <w:t xml:space="preserve"> (</w:t>
      </w:r>
      <w:r w:rsidR="000F5C69" w:rsidRPr="0059559C">
        <w:rPr>
          <w:rFonts w:cstheme="minorHAnsi"/>
          <w:sz w:val="24"/>
          <w:szCs w:val="24"/>
        </w:rPr>
        <w:t>European Commission, 2011</w:t>
      </w:r>
      <w:r w:rsidR="00BF6429" w:rsidRPr="0059559C">
        <w:rPr>
          <w:rFonts w:cstheme="minorHAnsi"/>
          <w:sz w:val="24"/>
          <w:szCs w:val="24"/>
        </w:rPr>
        <w:t>)</w:t>
      </w:r>
      <w:r w:rsidR="00C621E4" w:rsidRPr="0059559C">
        <w:rPr>
          <w:rFonts w:cstheme="minorHAnsi"/>
          <w:sz w:val="24"/>
          <w:szCs w:val="24"/>
        </w:rPr>
        <w:t>.</w:t>
      </w:r>
      <w:r w:rsidR="00294D79" w:rsidRPr="0059559C">
        <w:rPr>
          <w:rFonts w:cstheme="minorHAnsi"/>
          <w:sz w:val="24"/>
          <w:szCs w:val="24"/>
        </w:rPr>
        <w:t xml:space="preserve">  </w:t>
      </w:r>
      <w:r w:rsidR="006A6FD9" w:rsidRPr="0059559C">
        <w:rPr>
          <w:rFonts w:cstheme="minorHAnsi"/>
          <w:sz w:val="24"/>
          <w:szCs w:val="24"/>
        </w:rPr>
        <w:t>Europeans</w:t>
      </w:r>
      <w:r w:rsidR="00294D79" w:rsidRPr="0059559C">
        <w:rPr>
          <w:rFonts w:cstheme="minorHAnsi"/>
          <w:sz w:val="24"/>
          <w:szCs w:val="24"/>
        </w:rPr>
        <w:t xml:space="preserve"> regularly disclose personal information online</w:t>
      </w:r>
      <w:r w:rsidR="00923FC7" w:rsidRPr="0059559C">
        <w:rPr>
          <w:rFonts w:cstheme="minorHAnsi"/>
          <w:sz w:val="24"/>
          <w:szCs w:val="24"/>
        </w:rPr>
        <w:t>;</w:t>
      </w:r>
      <w:r w:rsidR="00294D79" w:rsidRPr="0059559C">
        <w:rPr>
          <w:rFonts w:cstheme="minorHAnsi"/>
          <w:sz w:val="24"/>
          <w:szCs w:val="24"/>
        </w:rPr>
        <w:t xml:space="preserve"> </w:t>
      </w:r>
      <w:r w:rsidR="006A6FD9" w:rsidRPr="0059559C">
        <w:rPr>
          <w:rFonts w:cstheme="minorHAnsi"/>
          <w:sz w:val="24"/>
          <w:szCs w:val="24"/>
        </w:rPr>
        <w:t>‘</w:t>
      </w:r>
      <w:r w:rsidR="00923FC7" w:rsidRPr="0059559C">
        <w:rPr>
          <w:rFonts w:cstheme="minorHAnsi"/>
          <w:sz w:val="24"/>
          <w:szCs w:val="24"/>
        </w:rPr>
        <w:t>[c]</w:t>
      </w:r>
      <w:proofErr w:type="spellStart"/>
      <w:r w:rsidR="00294D79" w:rsidRPr="0059559C">
        <w:rPr>
          <w:rFonts w:cstheme="minorHAnsi"/>
          <w:sz w:val="24"/>
          <w:szCs w:val="24"/>
        </w:rPr>
        <w:t>ountry</w:t>
      </w:r>
      <w:proofErr w:type="spellEnd"/>
      <w:r w:rsidR="00294D79" w:rsidRPr="0059559C">
        <w:rPr>
          <w:rFonts w:cstheme="minorHAnsi"/>
          <w:sz w:val="24"/>
          <w:szCs w:val="24"/>
        </w:rPr>
        <w:t xml:space="preserve">-by-country analysis of social networking or sharing sites </w:t>
      </w:r>
      <w:r w:rsidR="006A6FD9" w:rsidRPr="0059559C">
        <w:rPr>
          <w:rFonts w:cstheme="minorHAnsi"/>
          <w:sz w:val="24"/>
          <w:szCs w:val="24"/>
        </w:rPr>
        <w:t>reveals that photographs are regularly disclosed by social network users  (</w:t>
      </w:r>
      <w:r w:rsidR="00294D79" w:rsidRPr="0059559C">
        <w:rPr>
          <w:rFonts w:cstheme="minorHAnsi"/>
          <w:sz w:val="24"/>
          <w:szCs w:val="24"/>
        </w:rPr>
        <w:t>in the United Kingdom (67%), Denmark, Sweden (64%), and Malta (61%)</w:t>
      </w:r>
      <w:r w:rsidR="006A6FD9" w:rsidRPr="0059559C">
        <w:rPr>
          <w:rFonts w:cstheme="minorHAnsi"/>
          <w:sz w:val="24"/>
          <w:szCs w:val="24"/>
        </w:rPr>
        <w:t>)</w:t>
      </w:r>
      <w:r w:rsidR="00120865" w:rsidRPr="0059559C">
        <w:rPr>
          <w:rFonts w:cstheme="minorHAnsi"/>
          <w:sz w:val="24"/>
          <w:szCs w:val="24"/>
        </w:rPr>
        <w:t xml:space="preserve"> (European Commission, 2011</w:t>
      </w:r>
      <w:r w:rsidR="008E467C" w:rsidRPr="0059559C">
        <w:rPr>
          <w:rFonts w:cstheme="minorHAnsi"/>
          <w:sz w:val="24"/>
          <w:szCs w:val="24"/>
        </w:rPr>
        <w:t xml:space="preserve"> </w:t>
      </w:r>
      <w:r w:rsidR="00120865" w:rsidRPr="0059559C">
        <w:rPr>
          <w:rFonts w:cstheme="minorHAnsi"/>
          <w:sz w:val="24"/>
          <w:szCs w:val="24"/>
        </w:rPr>
        <w:t>p</w:t>
      </w:r>
      <w:r w:rsidR="008E467C" w:rsidRPr="0059559C">
        <w:rPr>
          <w:rFonts w:cstheme="minorHAnsi"/>
          <w:sz w:val="24"/>
          <w:szCs w:val="24"/>
        </w:rPr>
        <w:t>41</w:t>
      </w:r>
      <w:r w:rsidR="00120865" w:rsidRPr="0059559C">
        <w:rPr>
          <w:rFonts w:cstheme="minorHAnsi"/>
          <w:sz w:val="24"/>
          <w:szCs w:val="24"/>
        </w:rPr>
        <w:t>)</w:t>
      </w:r>
      <w:r w:rsidR="00294D79" w:rsidRPr="0059559C">
        <w:rPr>
          <w:rFonts w:cstheme="minorHAnsi"/>
          <w:sz w:val="24"/>
          <w:szCs w:val="24"/>
        </w:rPr>
        <w:t xml:space="preserve">. A </w:t>
      </w:r>
      <w:r w:rsidR="008E467C" w:rsidRPr="0059559C">
        <w:rPr>
          <w:rFonts w:cstheme="minorHAnsi"/>
          <w:sz w:val="24"/>
          <w:szCs w:val="24"/>
        </w:rPr>
        <w:t xml:space="preserve">more </w:t>
      </w:r>
      <w:r w:rsidR="00294D79" w:rsidRPr="0059559C">
        <w:rPr>
          <w:rFonts w:cstheme="minorHAnsi"/>
          <w:sz w:val="24"/>
          <w:szCs w:val="24"/>
        </w:rPr>
        <w:t xml:space="preserve">recent OFCOM survey suggests that within the UK </w:t>
      </w:r>
      <w:r w:rsidR="008E467C" w:rsidRPr="0059559C">
        <w:rPr>
          <w:rFonts w:cstheme="minorHAnsi"/>
          <w:sz w:val="24"/>
          <w:szCs w:val="24"/>
        </w:rPr>
        <w:t xml:space="preserve">at least </w:t>
      </w:r>
      <w:r w:rsidR="00294D79" w:rsidRPr="0059559C">
        <w:rPr>
          <w:rFonts w:cstheme="minorHAnsi"/>
          <w:sz w:val="24"/>
          <w:szCs w:val="24"/>
        </w:rPr>
        <w:t>in</w:t>
      </w:r>
      <w:r w:rsidR="008E467C" w:rsidRPr="0059559C">
        <w:rPr>
          <w:rFonts w:cstheme="minorHAnsi"/>
          <w:sz w:val="24"/>
          <w:szCs w:val="24"/>
        </w:rPr>
        <w:t>ternet use continues to grow, with</w:t>
      </w:r>
      <w:r w:rsidR="00294D79" w:rsidRPr="0059559C">
        <w:rPr>
          <w:rFonts w:cstheme="minorHAnsi"/>
          <w:sz w:val="24"/>
          <w:szCs w:val="24"/>
        </w:rPr>
        <w:t xml:space="preserve"> internet take-up </w:t>
      </w:r>
      <w:r w:rsidR="008E467C" w:rsidRPr="0059559C">
        <w:rPr>
          <w:rFonts w:cstheme="minorHAnsi"/>
          <w:sz w:val="24"/>
          <w:szCs w:val="24"/>
        </w:rPr>
        <w:t xml:space="preserve">increasing </w:t>
      </w:r>
      <w:r w:rsidR="00294D79" w:rsidRPr="0059559C">
        <w:rPr>
          <w:rFonts w:cstheme="minorHAnsi"/>
          <w:sz w:val="24"/>
          <w:szCs w:val="24"/>
        </w:rPr>
        <w:t>‘from 54% of UK households in 2005 to 79% in 2012’ (</w:t>
      </w:r>
      <w:r w:rsidR="008E467C" w:rsidRPr="0059559C">
        <w:rPr>
          <w:rFonts w:cstheme="minorHAnsi"/>
          <w:sz w:val="24"/>
          <w:szCs w:val="24"/>
        </w:rPr>
        <w:t>OFCOM 2013</w:t>
      </w:r>
      <w:r w:rsidR="00294D79" w:rsidRPr="0059559C">
        <w:rPr>
          <w:rFonts w:cstheme="minorHAnsi"/>
          <w:i/>
          <w:iCs/>
          <w:sz w:val="24"/>
          <w:szCs w:val="24"/>
        </w:rPr>
        <w:t xml:space="preserve">, </w:t>
      </w:r>
      <w:r w:rsidR="00294D79" w:rsidRPr="0059559C">
        <w:rPr>
          <w:rFonts w:cstheme="minorHAnsi"/>
          <w:sz w:val="24"/>
          <w:szCs w:val="24"/>
        </w:rPr>
        <w:t>p14). Of particular relevance to</w:t>
      </w:r>
      <w:r w:rsidR="00C621E4" w:rsidRPr="0059559C">
        <w:rPr>
          <w:rFonts w:cstheme="minorHAnsi"/>
          <w:sz w:val="24"/>
          <w:szCs w:val="24"/>
        </w:rPr>
        <w:t xml:space="preserve"> this article</w:t>
      </w:r>
      <w:r w:rsidR="00294D79" w:rsidRPr="0059559C">
        <w:rPr>
          <w:rFonts w:cstheme="minorHAnsi"/>
          <w:sz w:val="24"/>
          <w:szCs w:val="24"/>
        </w:rPr>
        <w:t xml:space="preserve">, </w:t>
      </w:r>
      <w:r w:rsidR="008E467C" w:rsidRPr="0059559C">
        <w:rPr>
          <w:rFonts w:cstheme="minorHAnsi"/>
          <w:sz w:val="24"/>
          <w:szCs w:val="24"/>
        </w:rPr>
        <w:t>in 2013 64% of adult internet users had their own social n</w:t>
      </w:r>
      <w:r w:rsidR="00120865" w:rsidRPr="0059559C">
        <w:rPr>
          <w:rFonts w:cstheme="minorHAnsi"/>
          <w:sz w:val="24"/>
          <w:szCs w:val="24"/>
        </w:rPr>
        <w:t>etwork profile (OFCOM, 2013</w:t>
      </w:r>
      <w:r w:rsidR="008E467C" w:rsidRPr="0059559C">
        <w:rPr>
          <w:rFonts w:cstheme="minorHAnsi"/>
          <w:sz w:val="24"/>
          <w:szCs w:val="24"/>
        </w:rPr>
        <w:t xml:space="preserve">), </w:t>
      </w:r>
      <w:r w:rsidR="00294D79" w:rsidRPr="0059559C">
        <w:rPr>
          <w:rFonts w:cstheme="minorHAnsi"/>
          <w:sz w:val="24"/>
          <w:szCs w:val="24"/>
        </w:rPr>
        <w:t xml:space="preserve">17% of </w:t>
      </w:r>
      <w:r w:rsidR="008E467C" w:rsidRPr="0059559C">
        <w:rPr>
          <w:rFonts w:cstheme="minorHAnsi"/>
          <w:sz w:val="24"/>
          <w:szCs w:val="24"/>
        </w:rPr>
        <w:t xml:space="preserve">these </w:t>
      </w:r>
      <w:r w:rsidR="00294D79" w:rsidRPr="0059559C">
        <w:rPr>
          <w:rFonts w:cstheme="minorHAnsi"/>
          <w:sz w:val="24"/>
          <w:szCs w:val="24"/>
        </w:rPr>
        <w:t xml:space="preserve">social network users </w:t>
      </w:r>
      <w:r w:rsidR="00507567" w:rsidRPr="0059559C">
        <w:rPr>
          <w:rFonts w:cstheme="minorHAnsi"/>
          <w:sz w:val="24"/>
          <w:szCs w:val="24"/>
        </w:rPr>
        <w:t>confirmed they were</w:t>
      </w:r>
      <w:r w:rsidR="00C621E4" w:rsidRPr="0059559C">
        <w:rPr>
          <w:rFonts w:cstheme="minorHAnsi"/>
          <w:sz w:val="24"/>
          <w:szCs w:val="24"/>
        </w:rPr>
        <w:t xml:space="preserve"> </w:t>
      </w:r>
      <w:r w:rsidR="00294D79" w:rsidRPr="0059559C">
        <w:rPr>
          <w:rFonts w:cstheme="minorHAnsi"/>
          <w:sz w:val="24"/>
          <w:szCs w:val="24"/>
        </w:rPr>
        <w:t>shar</w:t>
      </w:r>
      <w:r w:rsidR="00C621E4" w:rsidRPr="0059559C">
        <w:rPr>
          <w:rFonts w:cstheme="minorHAnsi"/>
          <w:sz w:val="24"/>
          <w:szCs w:val="24"/>
        </w:rPr>
        <w:t>ing</w:t>
      </w:r>
      <w:r w:rsidR="00294D79" w:rsidRPr="0059559C">
        <w:rPr>
          <w:rFonts w:cstheme="minorHAnsi"/>
          <w:sz w:val="24"/>
          <w:szCs w:val="24"/>
        </w:rPr>
        <w:t xml:space="preserve"> video cl</w:t>
      </w:r>
      <w:r w:rsidR="00C621E4" w:rsidRPr="0059559C">
        <w:rPr>
          <w:rFonts w:cstheme="minorHAnsi"/>
          <w:sz w:val="24"/>
          <w:szCs w:val="24"/>
        </w:rPr>
        <w:t>ips and other content online</w:t>
      </w:r>
      <w:r w:rsidR="008E467C" w:rsidRPr="0059559C">
        <w:rPr>
          <w:rFonts w:cstheme="minorHAnsi"/>
          <w:sz w:val="24"/>
          <w:szCs w:val="24"/>
        </w:rPr>
        <w:t xml:space="preserve">, </w:t>
      </w:r>
      <w:r w:rsidR="00507567" w:rsidRPr="0059559C">
        <w:rPr>
          <w:rFonts w:cstheme="minorHAnsi"/>
          <w:sz w:val="24"/>
          <w:szCs w:val="24"/>
        </w:rPr>
        <w:t xml:space="preserve">and </w:t>
      </w:r>
      <w:r w:rsidR="00294D79" w:rsidRPr="0059559C">
        <w:rPr>
          <w:rFonts w:cstheme="minorHAnsi"/>
          <w:sz w:val="24"/>
          <w:szCs w:val="24"/>
        </w:rPr>
        <w:t xml:space="preserve">between 2 and 3 out of 10 of those adults with a social networking profile </w:t>
      </w:r>
      <w:r w:rsidR="00507567" w:rsidRPr="0059559C">
        <w:rPr>
          <w:rFonts w:cstheme="minorHAnsi"/>
          <w:sz w:val="24"/>
          <w:szCs w:val="24"/>
        </w:rPr>
        <w:t xml:space="preserve">admitted to </w:t>
      </w:r>
      <w:r w:rsidR="00294D79" w:rsidRPr="0059559C">
        <w:rPr>
          <w:rFonts w:cstheme="minorHAnsi"/>
          <w:sz w:val="24"/>
          <w:szCs w:val="24"/>
        </w:rPr>
        <w:t>sharing photographs with people potenti</w:t>
      </w:r>
      <w:r w:rsidR="00120865" w:rsidRPr="0059559C">
        <w:rPr>
          <w:rFonts w:cstheme="minorHAnsi"/>
          <w:sz w:val="24"/>
          <w:szCs w:val="24"/>
        </w:rPr>
        <w:t>ally unknown to them (OFCOM, 2013</w:t>
      </w:r>
      <w:r w:rsidR="00294D79" w:rsidRPr="0059559C">
        <w:rPr>
          <w:rFonts w:cstheme="minorHAnsi"/>
          <w:sz w:val="24"/>
          <w:szCs w:val="24"/>
        </w:rPr>
        <w:t xml:space="preserve">).  </w:t>
      </w:r>
    </w:p>
    <w:p w14:paraId="15F3CA07" w14:textId="77777777" w:rsidR="00294D79" w:rsidRPr="0059559C" w:rsidRDefault="00294D79" w:rsidP="00724D5D">
      <w:pPr>
        <w:spacing w:after="0" w:line="240" w:lineRule="auto"/>
        <w:rPr>
          <w:rFonts w:cstheme="minorHAnsi"/>
          <w:sz w:val="24"/>
          <w:szCs w:val="24"/>
        </w:rPr>
      </w:pPr>
    </w:p>
    <w:p w14:paraId="449A3546" w14:textId="263E2AEB" w:rsidR="00500B4C" w:rsidRPr="0059559C" w:rsidRDefault="006D5E8D" w:rsidP="00500B4C">
      <w:pPr>
        <w:spacing w:after="0" w:line="240" w:lineRule="auto"/>
        <w:rPr>
          <w:rFonts w:cstheme="minorHAnsi"/>
          <w:sz w:val="24"/>
          <w:szCs w:val="24"/>
        </w:rPr>
      </w:pPr>
      <w:r w:rsidRPr="0059559C">
        <w:rPr>
          <w:rFonts w:cstheme="minorHAnsi"/>
          <w:sz w:val="24"/>
          <w:szCs w:val="24"/>
        </w:rPr>
        <w:t xml:space="preserve">As </w:t>
      </w:r>
      <w:r w:rsidR="00294D79" w:rsidRPr="0059559C">
        <w:rPr>
          <w:rFonts w:cstheme="minorHAnsi"/>
          <w:sz w:val="24"/>
          <w:szCs w:val="24"/>
        </w:rPr>
        <w:t>internet usage</w:t>
      </w:r>
      <w:r w:rsidR="006A6FD9" w:rsidRPr="0059559C">
        <w:rPr>
          <w:rFonts w:cstheme="minorHAnsi"/>
          <w:sz w:val="24"/>
          <w:szCs w:val="24"/>
        </w:rPr>
        <w:t xml:space="preserve"> and online information sharing</w:t>
      </w:r>
      <w:r w:rsidR="00294D79" w:rsidRPr="0059559C">
        <w:rPr>
          <w:rFonts w:cstheme="minorHAnsi"/>
          <w:sz w:val="24"/>
          <w:szCs w:val="24"/>
        </w:rPr>
        <w:t xml:space="preserve"> </w:t>
      </w:r>
      <w:r w:rsidR="00500B4C" w:rsidRPr="0059559C">
        <w:rPr>
          <w:rFonts w:cstheme="minorHAnsi"/>
          <w:sz w:val="24"/>
          <w:szCs w:val="24"/>
        </w:rPr>
        <w:t>has increased</w:t>
      </w:r>
      <w:r w:rsidR="00294D79" w:rsidRPr="0059559C">
        <w:rPr>
          <w:rFonts w:cstheme="minorHAnsi"/>
          <w:sz w:val="24"/>
          <w:szCs w:val="24"/>
        </w:rPr>
        <w:t xml:space="preserve"> so </w:t>
      </w:r>
      <w:r w:rsidR="00500B4C" w:rsidRPr="0059559C">
        <w:rPr>
          <w:rFonts w:cstheme="minorHAnsi"/>
          <w:sz w:val="24"/>
          <w:szCs w:val="24"/>
        </w:rPr>
        <w:t xml:space="preserve">has </w:t>
      </w:r>
      <w:r w:rsidR="008B575A" w:rsidRPr="0059559C">
        <w:rPr>
          <w:rFonts w:cstheme="minorHAnsi"/>
          <w:sz w:val="24"/>
          <w:szCs w:val="24"/>
        </w:rPr>
        <w:t>the</w:t>
      </w:r>
      <w:r w:rsidR="00294D79" w:rsidRPr="0059559C">
        <w:rPr>
          <w:rFonts w:cstheme="minorHAnsi"/>
          <w:sz w:val="24"/>
          <w:szCs w:val="24"/>
        </w:rPr>
        <w:t xml:space="preserve"> need to clarify how the Directive applies to </w:t>
      </w:r>
      <w:r w:rsidR="008B575A" w:rsidRPr="0059559C">
        <w:rPr>
          <w:rFonts w:cstheme="minorHAnsi"/>
          <w:sz w:val="24"/>
          <w:szCs w:val="24"/>
        </w:rPr>
        <w:t>such activity</w:t>
      </w:r>
      <w:r w:rsidR="00294D79" w:rsidRPr="0059559C">
        <w:rPr>
          <w:rFonts w:cstheme="minorHAnsi"/>
          <w:sz w:val="24"/>
          <w:szCs w:val="24"/>
        </w:rPr>
        <w:t xml:space="preserve">.  </w:t>
      </w:r>
      <w:r w:rsidR="00500B4C" w:rsidRPr="0059559C">
        <w:rPr>
          <w:rFonts w:cstheme="minorHAnsi"/>
          <w:sz w:val="24"/>
          <w:szCs w:val="24"/>
        </w:rPr>
        <w:t>I</w:t>
      </w:r>
      <w:proofErr w:type="spellStart"/>
      <w:r w:rsidR="008359E1">
        <w:rPr>
          <w:rStyle w:val="legds2"/>
          <w:rFonts w:cstheme="minorHAnsi"/>
          <w:sz w:val="24"/>
          <w:szCs w:val="24"/>
          <w:lang w:val="en"/>
          <w:specVanish w:val="0"/>
        </w:rPr>
        <w:t>ndeed</w:t>
      </w:r>
      <w:proofErr w:type="spellEnd"/>
      <w:r w:rsidR="008359E1">
        <w:rPr>
          <w:rStyle w:val="legds2"/>
          <w:rFonts w:cstheme="minorHAnsi"/>
          <w:sz w:val="24"/>
          <w:szCs w:val="24"/>
          <w:lang w:val="en"/>
          <w:specVanish w:val="0"/>
        </w:rPr>
        <w:t>, in 2010 the ICO</w:t>
      </w:r>
      <w:r w:rsidR="00500B4C" w:rsidRPr="0059559C">
        <w:rPr>
          <w:rStyle w:val="legds2"/>
          <w:rFonts w:cstheme="minorHAnsi"/>
          <w:sz w:val="24"/>
          <w:szCs w:val="24"/>
          <w:lang w:val="en"/>
          <w:specVanish w:val="0"/>
        </w:rPr>
        <w:t xml:space="preserve"> made clear that</w:t>
      </w:r>
      <w:r w:rsidR="00500B4C" w:rsidRPr="0059559C">
        <w:rPr>
          <w:rFonts w:cstheme="minorHAnsi"/>
          <w:sz w:val="24"/>
          <w:szCs w:val="24"/>
        </w:rPr>
        <w:t>:</w:t>
      </w:r>
    </w:p>
    <w:p w14:paraId="6AFAAA40" w14:textId="77777777" w:rsidR="00500B4C" w:rsidRPr="0059559C" w:rsidRDefault="00500B4C" w:rsidP="00500B4C">
      <w:pPr>
        <w:spacing w:after="0" w:line="240" w:lineRule="auto"/>
        <w:rPr>
          <w:rFonts w:cstheme="minorHAnsi"/>
          <w:sz w:val="24"/>
          <w:szCs w:val="24"/>
        </w:rPr>
      </w:pPr>
    </w:p>
    <w:p w14:paraId="2D6241B4" w14:textId="77777777" w:rsidR="00500B4C" w:rsidRPr="0059559C" w:rsidRDefault="00500B4C" w:rsidP="00500B4C">
      <w:pPr>
        <w:spacing w:after="0" w:line="240" w:lineRule="auto"/>
        <w:ind w:left="720"/>
        <w:rPr>
          <w:rFonts w:cstheme="minorHAnsi"/>
          <w:sz w:val="24"/>
          <w:szCs w:val="24"/>
        </w:rPr>
      </w:pPr>
      <w:r w:rsidRPr="0059559C">
        <w:rPr>
          <w:rFonts w:cstheme="minorHAnsi"/>
          <w:sz w:val="24"/>
          <w:szCs w:val="24"/>
        </w:rPr>
        <w:t>‘A better understanding is needed of what comes within the scope of purely personal or household activity. This is becoming an acute practical problem given private individuals’ capacity to process personal data on the internet and to make it widely available to other individuals, for example through social networking services. There are also questions about how far the current exemption that relates to journalism or the purposes of literary or artistic expression can be applied to the activities of private individuals on the internet. There are also significant practical consequences for data protection authorities in terms of the extent to which any new legislative framework may require them to regulate private individuals’ online behaviour’ (ICO, 2010, p5).</w:t>
      </w:r>
    </w:p>
    <w:p w14:paraId="2D7F51F6" w14:textId="77777777" w:rsidR="00500B4C" w:rsidRPr="0059559C" w:rsidRDefault="00500B4C" w:rsidP="00724D5D">
      <w:pPr>
        <w:spacing w:after="0" w:line="240" w:lineRule="auto"/>
        <w:rPr>
          <w:rFonts w:cstheme="minorHAnsi"/>
          <w:sz w:val="24"/>
          <w:szCs w:val="24"/>
        </w:rPr>
      </w:pPr>
    </w:p>
    <w:p w14:paraId="08780D5B" w14:textId="77777777" w:rsidR="006720A0" w:rsidRPr="0059559C" w:rsidRDefault="00294D79" w:rsidP="00724D5D">
      <w:pPr>
        <w:spacing w:after="0" w:line="240" w:lineRule="auto"/>
        <w:rPr>
          <w:rFonts w:cstheme="minorHAnsi"/>
          <w:sz w:val="24"/>
          <w:szCs w:val="24"/>
        </w:rPr>
      </w:pPr>
      <w:r w:rsidRPr="0059559C">
        <w:rPr>
          <w:rFonts w:cstheme="minorHAnsi"/>
          <w:sz w:val="24"/>
          <w:szCs w:val="24"/>
        </w:rPr>
        <w:t xml:space="preserve">As </w:t>
      </w:r>
      <w:r w:rsidR="006D5E8D" w:rsidRPr="0059559C">
        <w:rPr>
          <w:rFonts w:cstheme="minorHAnsi"/>
          <w:sz w:val="24"/>
          <w:szCs w:val="24"/>
        </w:rPr>
        <w:t xml:space="preserve">our consideration of the European and UK guidance on the matter will demonstrate, </w:t>
      </w:r>
      <w:r w:rsidRPr="0059559C">
        <w:rPr>
          <w:rFonts w:cstheme="minorHAnsi"/>
          <w:sz w:val="24"/>
          <w:szCs w:val="24"/>
        </w:rPr>
        <w:t xml:space="preserve">however, </w:t>
      </w:r>
      <w:r w:rsidR="006D5E8D" w:rsidRPr="0059559C">
        <w:rPr>
          <w:rFonts w:cstheme="minorHAnsi"/>
          <w:sz w:val="24"/>
          <w:szCs w:val="24"/>
        </w:rPr>
        <w:t xml:space="preserve">domestic and European authorities </w:t>
      </w:r>
      <w:r w:rsidRPr="0059559C">
        <w:rPr>
          <w:rFonts w:cstheme="minorHAnsi"/>
          <w:sz w:val="24"/>
          <w:szCs w:val="24"/>
        </w:rPr>
        <w:t xml:space="preserve">have </w:t>
      </w:r>
      <w:r w:rsidR="008B575A" w:rsidRPr="0059559C">
        <w:rPr>
          <w:rFonts w:cstheme="minorHAnsi"/>
          <w:sz w:val="24"/>
          <w:szCs w:val="24"/>
        </w:rPr>
        <w:t xml:space="preserve">interpreted the requirements of Article </w:t>
      </w:r>
      <w:r w:rsidR="008B575A" w:rsidRPr="0059559C">
        <w:rPr>
          <w:rFonts w:cstheme="minorHAnsi"/>
          <w:sz w:val="24"/>
          <w:szCs w:val="24"/>
        </w:rPr>
        <w:lastRenderedPageBreak/>
        <w:t xml:space="preserve">3(2) and Article 9 very differently; they have </w:t>
      </w:r>
      <w:r w:rsidR="00C621E4" w:rsidRPr="0059559C">
        <w:rPr>
          <w:rFonts w:cstheme="minorHAnsi"/>
          <w:sz w:val="24"/>
          <w:szCs w:val="24"/>
        </w:rPr>
        <w:t xml:space="preserve">reacted in very different ways to the challenge of </w:t>
      </w:r>
      <w:r w:rsidR="006D5E8D" w:rsidRPr="0059559C">
        <w:rPr>
          <w:rFonts w:cstheme="minorHAnsi"/>
          <w:sz w:val="24"/>
          <w:szCs w:val="24"/>
        </w:rPr>
        <w:t>a</w:t>
      </w:r>
      <w:r w:rsidR="00C621E4" w:rsidRPr="0059559C">
        <w:rPr>
          <w:rFonts w:cstheme="minorHAnsi"/>
          <w:sz w:val="24"/>
          <w:szCs w:val="24"/>
        </w:rPr>
        <w:t>chieving</w:t>
      </w:r>
      <w:r w:rsidR="006720A0" w:rsidRPr="0059559C">
        <w:rPr>
          <w:rFonts w:cstheme="minorHAnsi"/>
          <w:sz w:val="24"/>
          <w:szCs w:val="24"/>
        </w:rPr>
        <w:t xml:space="preserve"> a balance between data protection on one hand and freedom of expression and freedom from state interference on the other.</w:t>
      </w:r>
      <w:r w:rsidR="008B575A" w:rsidRPr="0059559C">
        <w:rPr>
          <w:rFonts w:cstheme="minorHAnsi"/>
          <w:sz w:val="24"/>
          <w:szCs w:val="24"/>
        </w:rPr>
        <w:t xml:space="preserve">  As a result practitioners are struggling to understand how the law actually applies. </w:t>
      </w:r>
    </w:p>
    <w:p w14:paraId="00A51E60" w14:textId="77777777" w:rsidR="004C5558" w:rsidRPr="0059559C" w:rsidRDefault="004C5558" w:rsidP="00724D5D">
      <w:pPr>
        <w:spacing w:after="0" w:line="240" w:lineRule="auto"/>
        <w:rPr>
          <w:rFonts w:cstheme="minorHAnsi"/>
          <w:sz w:val="24"/>
          <w:szCs w:val="24"/>
        </w:rPr>
      </w:pPr>
    </w:p>
    <w:p w14:paraId="598AF2D5" w14:textId="77777777" w:rsidR="006720A0" w:rsidRPr="0059559C" w:rsidRDefault="00775DC5" w:rsidP="00724D5D">
      <w:pPr>
        <w:pStyle w:val="ListParagraph"/>
        <w:numPr>
          <w:ilvl w:val="0"/>
          <w:numId w:val="6"/>
        </w:numPr>
        <w:rPr>
          <w:rFonts w:asciiTheme="minorHAnsi" w:hAnsiTheme="minorHAnsi" w:cstheme="minorHAnsi"/>
          <w:b/>
          <w:sz w:val="24"/>
          <w:szCs w:val="24"/>
        </w:rPr>
      </w:pPr>
      <w:r w:rsidRPr="0059559C">
        <w:rPr>
          <w:rFonts w:asciiTheme="minorHAnsi" w:hAnsiTheme="minorHAnsi" w:cstheme="minorHAnsi"/>
          <w:b/>
          <w:sz w:val="24"/>
          <w:szCs w:val="24"/>
        </w:rPr>
        <w:t xml:space="preserve">The </w:t>
      </w:r>
      <w:r w:rsidR="00320128" w:rsidRPr="0059559C">
        <w:rPr>
          <w:rFonts w:asciiTheme="minorHAnsi" w:hAnsiTheme="minorHAnsi" w:cstheme="minorHAnsi"/>
          <w:b/>
          <w:sz w:val="24"/>
          <w:szCs w:val="24"/>
        </w:rPr>
        <w:t>European position</w:t>
      </w:r>
    </w:p>
    <w:p w14:paraId="4292CACB" w14:textId="77777777" w:rsidR="00294D79" w:rsidRPr="0059559C" w:rsidRDefault="00294D79" w:rsidP="00724D5D">
      <w:pPr>
        <w:pStyle w:val="ListParagraph"/>
        <w:ind w:left="360"/>
        <w:rPr>
          <w:rFonts w:asciiTheme="minorHAnsi" w:hAnsiTheme="minorHAnsi" w:cstheme="minorHAnsi"/>
          <w:b/>
          <w:sz w:val="24"/>
          <w:szCs w:val="24"/>
        </w:rPr>
      </w:pPr>
    </w:p>
    <w:p w14:paraId="147AA4E4" w14:textId="77777777" w:rsidR="00775DC5" w:rsidRPr="0059559C" w:rsidRDefault="00775DC5" w:rsidP="00724D5D">
      <w:pPr>
        <w:pStyle w:val="ListParagraph"/>
        <w:numPr>
          <w:ilvl w:val="1"/>
          <w:numId w:val="6"/>
        </w:numPr>
        <w:rPr>
          <w:rFonts w:asciiTheme="minorHAnsi" w:hAnsiTheme="minorHAnsi" w:cstheme="minorHAnsi"/>
          <w:b/>
          <w:sz w:val="24"/>
          <w:szCs w:val="24"/>
        </w:rPr>
      </w:pPr>
      <w:proofErr w:type="spellStart"/>
      <w:r w:rsidRPr="0059559C">
        <w:rPr>
          <w:rFonts w:asciiTheme="minorHAnsi" w:hAnsiTheme="minorHAnsi" w:cstheme="minorHAnsi"/>
          <w:b/>
          <w:sz w:val="24"/>
          <w:szCs w:val="24"/>
        </w:rPr>
        <w:t>Lindqvist</w:t>
      </w:r>
      <w:proofErr w:type="spellEnd"/>
      <w:r w:rsidR="008B575A" w:rsidRPr="0059559C">
        <w:rPr>
          <w:rFonts w:asciiTheme="minorHAnsi" w:hAnsiTheme="minorHAnsi" w:cstheme="minorHAnsi"/>
          <w:b/>
          <w:sz w:val="24"/>
          <w:szCs w:val="24"/>
        </w:rPr>
        <w:t xml:space="preserve"> (ECJ C-101/01)</w:t>
      </w:r>
      <w:r w:rsidR="007C24D6" w:rsidRPr="0059559C">
        <w:rPr>
          <w:rFonts w:asciiTheme="minorHAnsi" w:hAnsiTheme="minorHAnsi" w:cstheme="minorHAnsi"/>
          <w:b/>
          <w:sz w:val="24"/>
          <w:szCs w:val="24"/>
        </w:rPr>
        <w:t>: the starting point</w:t>
      </w:r>
    </w:p>
    <w:p w14:paraId="40147BD2" w14:textId="77777777" w:rsidR="00775DC5" w:rsidRPr="0059559C" w:rsidRDefault="00775DC5" w:rsidP="00724D5D">
      <w:pPr>
        <w:pStyle w:val="ListParagraph"/>
        <w:rPr>
          <w:rFonts w:asciiTheme="minorHAnsi" w:hAnsiTheme="minorHAnsi" w:cstheme="minorHAnsi"/>
          <w:b/>
          <w:sz w:val="24"/>
          <w:szCs w:val="24"/>
        </w:rPr>
      </w:pPr>
    </w:p>
    <w:p w14:paraId="110630E1" w14:textId="5C976131" w:rsidR="00923FC7" w:rsidRPr="0059559C" w:rsidRDefault="00C621E4" w:rsidP="00724D5D">
      <w:pPr>
        <w:spacing w:after="0" w:line="240" w:lineRule="auto"/>
        <w:rPr>
          <w:rFonts w:cstheme="minorHAnsi"/>
          <w:sz w:val="24"/>
          <w:szCs w:val="24"/>
        </w:rPr>
      </w:pPr>
      <w:proofErr w:type="spellStart"/>
      <w:r w:rsidRPr="0059559C">
        <w:rPr>
          <w:rFonts w:cstheme="minorHAnsi"/>
          <w:sz w:val="24"/>
          <w:szCs w:val="24"/>
        </w:rPr>
        <w:t>Lindqvist</w:t>
      </w:r>
      <w:proofErr w:type="spellEnd"/>
      <w:r w:rsidRPr="0059559C">
        <w:rPr>
          <w:rFonts w:cstheme="minorHAnsi"/>
          <w:sz w:val="24"/>
          <w:szCs w:val="24"/>
        </w:rPr>
        <w:t>, a case decided more than 10 years ago, remains t</w:t>
      </w:r>
      <w:r w:rsidR="006720A0" w:rsidRPr="0059559C">
        <w:rPr>
          <w:rFonts w:cstheme="minorHAnsi"/>
          <w:sz w:val="24"/>
          <w:szCs w:val="24"/>
        </w:rPr>
        <w:t xml:space="preserve">he leading European case </w:t>
      </w:r>
      <w:r w:rsidRPr="0059559C">
        <w:rPr>
          <w:rFonts w:cstheme="minorHAnsi"/>
          <w:sz w:val="24"/>
          <w:szCs w:val="24"/>
        </w:rPr>
        <w:t>on</w:t>
      </w:r>
      <w:r w:rsidR="006720A0" w:rsidRPr="0059559C">
        <w:rPr>
          <w:rFonts w:cstheme="minorHAnsi"/>
          <w:sz w:val="24"/>
          <w:szCs w:val="24"/>
        </w:rPr>
        <w:t xml:space="preserve"> the</w:t>
      </w:r>
      <w:r w:rsidRPr="0059559C">
        <w:rPr>
          <w:rFonts w:cstheme="minorHAnsi"/>
          <w:sz w:val="24"/>
          <w:szCs w:val="24"/>
        </w:rPr>
        <w:t xml:space="preserve"> application </w:t>
      </w:r>
      <w:r w:rsidR="00923FC7" w:rsidRPr="0059559C">
        <w:rPr>
          <w:rFonts w:cstheme="minorHAnsi"/>
          <w:sz w:val="24"/>
          <w:szCs w:val="24"/>
        </w:rPr>
        <w:t>of Articles 3(2) and 9 when</w:t>
      </w:r>
      <w:r w:rsidR="00BF35A7" w:rsidRPr="0059559C">
        <w:rPr>
          <w:rFonts w:cstheme="minorHAnsi"/>
          <w:sz w:val="24"/>
          <w:szCs w:val="24"/>
        </w:rPr>
        <w:t xml:space="preserve"> </w:t>
      </w:r>
      <w:r w:rsidR="006720A0" w:rsidRPr="0059559C">
        <w:rPr>
          <w:rFonts w:cstheme="minorHAnsi"/>
          <w:sz w:val="24"/>
          <w:szCs w:val="24"/>
        </w:rPr>
        <w:t xml:space="preserve">an individual </w:t>
      </w:r>
      <w:r w:rsidR="00BF35A7" w:rsidRPr="0059559C">
        <w:rPr>
          <w:rFonts w:cstheme="minorHAnsi"/>
          <w:sz w:val="24"/>
          <w:szCs w:val="24"/>
        </w:rPr>
        <w:t>shares</w:t>
      </w:r>
      <w:r w:rsidR="006720A0" w:rsidRPr="0059559C">
        <w:rPr>
          <w:rFonts w:cstheme="minorHAnsi"/>
          <w:sz w:val="24"/>
          <w:szCs w:val="24"/>
        </w:rPr>
        <w:t xml:space="preserve"> </w:t>
      </w:r>
      <w:r w:rsidR="00923FC7" w:rsidRPr="0059559C">
        <w:rPr>
          <w:rFonts w:cstheme="minorHAnsi"/>
          <w:sz w:val="24"/>
          <w:szCs w:val="24"/>
        </w:rPr>
        <w:t xml:space="preserve">other people’s </w:t>
      </w:r>
      <w:r w:rsidR="006720A0" w:rsidRPr="0059559C">
        <w:rPr>
          <w:rFonts w:cstheme="minorHAnsi"/>
          <w:sz w:val="24"/>
          <w:szCs w:val="24"/>
        </w:rPr>
        <w:t xml:space="preserve">information </w:t>
      </w:r>
      <w:r w:rsidR="006D5E8D" w:rsidRPr="0059559C">
        <w:rPr>
          <w:rFonts w:cstheme="minorHAnsi"/>
          <w:sz w:val="24"/>
          <w:szCs w:val="24"/>
        </w:rPr>
        <w:t>on the internet</w:t>
      </w:r>
      <w:r w:rsidRPr="0059559C">
        <w:rPr>
          <w:rFonts w:cstheme="minorHAnsi"/>
          <w:sz w:val="24"/>
          <w:szCs w:val="24"/>
        </w:rPr>
        <w:t>.</w:t>
      </w:r>
      <w:r w:rsidR="00667264" w:rsidRPr="0059559C">
        <w:rPr>
          <w:rFonts w:cstheme="minorHAnsi"/>
          <w:sz w:val="24"/>
          <w:szCs w:val="24"/>
        </w:rPr>
        <w:t xml:space="preserve">  This relatively unusual</w:t>
      </w:r>
      <w:r w:rsidR="008B575A" w:rsidRPr="0059559C">
        <w:rPr>
          <w:rFonts w:cstheme="minorHAnsi"/>
          <w:sz w:val="24"/>
          <w:szCs w:val="24"/>
        </w:rPr>
        <w:t xml:space="preserve"> case concerned a Swedish lady </w:t>
      </w:r>
      <w:r w:rsidR="00667264" w:rsidRPr="0059559C">
        <w:rPr>
          <w:rFonts w:cstheme="minorHAnsi"/>
          <w:sz w:val="24"/>
          <w:szCs w:val="24"/>
        </w:rPr>
        <w:t>who worked on a voluntary basis for the Swedish P</w:t>
      </w:r>
      <w:r w:rsidRPr="0059559C">
        <w:rPr>
          <w:rFonts w:cstheme="minorHAnsi"/>
          <w:sz w:val="24"/>
          <w:szCs w:val="24"/>
        </w:rPr>
        <w:t>rotestant Church as a catechist</w:t>
      </w:r>
      <w:r w:rsidR="00667264" w:rsidRPr="0059559C">
        <w:rPr>
          <w:rFonts w:cstheme="minorHAnsi"/>
          <w:sz w:val="24"/>
          <w:szCs w:val="24"/>
        </w:rPr>
        <w:t xml:space="preserve"> and had created a website to </w:t>
      </w:r>
      <w:r w:rsidR="001329AA" w:rsidRPr="0059559C">
        <w:rPr>
          <w:rFonts w:cstheme="minorHAnsi"/>
          <w:sz w:val="24"/>
          <w:szCs w:val="24"/>
        </w:rPr>
        <w:t xml:space="preserve">provide </w:t>
      </w:r>
      <w:r w:rsidRPr="0059559C">
        <w:rPr>
          <w:rFonts w:cstheme="minorHAnsi"/>
          <w:sz w:val="24"/>
          <w:szCs w:val="24"/>
        </w:rPr>
        <w:t>parishioners</w:t>
      </w:r>
      <w:r w:rsidR="00667264" w:rsidRPr="0059559C">
        <w:rPr>
          <w:rFonts w:cstheme="minorHAnsi"/>
          <w:sz w:val="24"/>
          <w:szCs w:val="24"/>
        </w:rPr>
        <w:t xml:space="preserve"> </w:t>
      </w:r>
      <w:r w:rsidR="001329AA" w:rsidRPr="0059559C">
        <w:rPr>
          <w:rFonts w:cstheme="minorHAnsi"/>
          <w:sz w:val="24"/>
          <w:szCs w:val="24"/>
        </w:rPr>
        <w:t>with</w:t>
      </w:r>
      <w:r w:rsidR="006D5E8D" w:rsidRPr="0059559C">
        <w:rPr>
          <w:rFonts w:cstheme="minorHAnsi"/>
          <w:sz w:val="24"/>
          <w:szCs w:val="24"/>
        </w:rPr>
        <w:t xml:space="preserve"> </w:t>
      </w:r>
      <w:r w:rsidR="00667264" w:rsidRPr="0059559C">
        <w:rPr>
          <w:rFonts w:cstheme="minorHAnsi"/>
          <w:sz w:val="24"/>
          <w:szCs w:val="24"/>
        </w:rPr>
        <w:t>information. This website</w:t>
      </w:r>
      <w:r w:rsidR="006D5E8D" w:rsidRPr="0059559C">
        <w:rPr>
          <w:rFonts w:cstheme="minorHAnsi"/>
          <w:sz w:val="24"/>
          <w:szCs w:val="24"/>
        </w:rPr>
        <w:t>,</w:t>
      </w:r>
      <w:r w:rsidR="00667264" w:rsidRPr="0059559C">
        <w:rPr>
          <w:rFonts w:cstheme="minorHAnsi"/>
          <w:sz w:val="24"/>
          <w:szCs w:val="24"/>
        </w:rPr>
        <w:t xml:space="preserve"> which could be directly accessed by members of the public from a link on the website of the Swedish Protestant Church, included personal information </w:t>
      </w:r>
      <w:r w:rsidR="006D5E8D" w:rsidRPr="0059559C">
        <w:rPr>
          <w:rFonts w:cstheme="minorHAnsi"/>
          <w:sz w:val="24"/>
          <w:szCs w:val="24"/>
        </w:rPr>
        <w:t xml:space="preserve">about Ms </w:t>
      </w:r>
      <w:proofErr w:type="spellStart"/>
      <w:r w:rsidR="006D5E8D" w:rsidRPr="0059559C">
        <w:rPr>
          <w:rFonts w:cstheme="minorHAnsi"/>
          <w:sz w:val="24"/>
          <w:szCs w:val="24"/>
        </w:rPr>
        <w:t>Lindqvist’s</w:t>
      </w:r>
      <w:proofErr w:type="spellEnd"/>
      <w:r w:rsidR="00667264" w:rsidRPr="0059559C">
        <w:rPr>
          <w:rFonts w:cstheme="minorHAnsi"/>
          <w:sz w:val="24"/>
          <w:szCs w:val="24"/>
        </w:rPr>
        <w:t xml:space="preserve"> colleagues, </w:t>
      </w:r>
      <w:r w:rsidR="001533A5" w:rsidRPr="0059559C">
        <w:rPr>
          <w:rFonts w:cstheme="minorHAnsi"/>
          <w:sz w:val="24"/>
          <w:szCs w:val="24"/>
        </w:rPr>
        <w:t>and it was one of those colleagues who</w:t>
      </w:r>
      <w:r w:rsidR="006D5E8D" w:rsidRPr="0059559C">
        <w:rPr>
          <w:rFonts w:cstheme="minorHAnsi"/>
          <w:sz w:val="24"/>
          <w:szCs w:val="24"/>
        </w:rPr>
        <w:t xml:space="preserve">, objected to online dissemination of her personal information.  The Swedish Government had initially </w:t>
      </w:r>
      <w:r w:rsidR="001533A5" w:rsidRPr="0059559C">
        <w:rPr>
          <w:rFonts w:cstheme="minorHAnsi"/>
          <w:sz w:val="24"/>
          <w:szCs w:val="24"/>
        </w:rPr>
        <w:t xml:space="preserve">found Ms </w:t>
      </w:r>
      <w:proofErr w:type="spellStart"/>
      <w:r w:rsidR="001533A5" w:rsidRPr="0059559C">
        <w:rPr>
          <w:rFonts w:cstheme="minorHAnsi"/>
          <w:sz w:val="24"/>
          <w:szCs w:val="24"/>
        </w:rPr>
        <w:t>Lindqvist</w:t>
      </w:r>
      <w:proofErr w:type="spellEnd"/>
      <w:r w:rsidR="001533A5" w:rsidRPr="0059559C">
        <w:rPr>
          <w:rFonts w:cstheme="minorHAnsi"/>
          <w:sz w:val="24"/>
          <w:szCs w:val="24"/>
        </w:rPr>
        <w:t xml:space="preserve"> liable for breach of the Directive</w:t>
      </w:r>
      <w:r w:rsidR="006D5E8D" w:rsidRPr="0059559C">
        <w:rPr>
          <w:rFonts w:cstheme="minorHAnsi"/>
          <w:sz w:val="24"/>
          <w:szCs w:val="24"/>
        </w:rPr>
        <w:t xml:space="preserve">, but doubtful as to its interpretation of the law in this area it referred the case to the European Court of Justice </w:t>
      </w:r>
      <w:r w:rsidR="00923FC7" w:rsidRPr="0059559C">
        <w:rPr>
          <w:rFonts w:cstheme="minorHAnsi"/>
          <w:sz w:val="24"/>
          <w:szCs w:val="24"/>
        </w:rPr>
        <w:t xml:space="preserve">(‘the ECJ’) </w:t>
      </w:r>
      <w:r w:rsidR="006D5E8D" w:rsidRPr="0059559C">
        <w:rPr>
          <w:rFonts w:cstheme="minorHAnsi"/>
          <w:sz w:val="24"/>
          <w:szCs w:val="24"/>
        </w:rPr>
        <w:t>for a preliminary ruling</w:t>
      </w:r>
      <w:r w:rsidRPr="0059559C">
        <w:rPr>
          <w:rFonts w:cstheme="minorHAnsi"/>
          <w:sz w:val="24"/>
          <w:szCs w:val="24"/>
        </w:rPr>
        <w:t xml:space="preserve">. </w:t>
      </w:r>
      <w:r w:rsidR="00923FC7" w:rsidRPr="0059559C">
        <w:rPr>
          <w:rFonts w:cstheme="minorHAnsi"/>
          <w:sz w:val="24"/>
          <w:szCs w:val="24"/>
        </w:rPr>
        <w:t xml:space="preserve">The ECJ agreed with the Swedish authorities; Ms </w:t>
      </w:r>
      <w:proofErr w:type="spellStart"/>
      <w:r w:rsidR="00923FC7" w:rsidRPr="0059559C">
        <w:rPr>
          <w:rFonts w:cstheme="minorHAnsi"/>
          <w:sz w:val="24"/>
          <w:szCs w:val="24"/>
        </w:rPr>
        <w:t>Lindqvist</w:t>
      </w:r>
      <w:proofErr w:type="spellEnd"/>
      <w:r w:rsidR="00923FC7" w:rsidRPr="0059559C">
        <w:rPr>
          <w:rFonts w:cstheme="minorHAnsi"/>
          <w:sz w:val="24"/>
          <w:szCs w:val="24"/>
        </w:rPr>
        <w:t xml:space="preserve"> was in breach of</w:t>
      </w:r>
      <w:r w:rsidRPr="0059559C">
        <w:rPr>
          <w:rFonts w:cstheme="minorHAnsi"/>
          <w:sz w:val="24"/>
          <w:szCs w:val="24"/>
        </w:rPr>
        <w:t xml:space="preserve"> </w:t>
      </w:r>
      <w:r w:rsidR="00923FC7" w:rsidRPr="0059559C">
        <w:rPr>
          <w:rFonts w:cstheme="minorHAnsi"/>
          <w:sz w:val="24"/>
          <w:szCs w:val="24"/>
        </w:rPr>
        <w:t xml:space="preserve">the Directive.  </w:t>
      </w:r>
    </w:p>
    <w:p w14:paraId="358DDA3E" w14:textId="77777777" w:rsidR="00923FC7" w:rsidRPr="0059559C" w:rsidRDefault="00923FC7" w:rsidP="00724D5D">
      <w:pPr>
        <w:spacing w:after="0" w:line="240" w:lineRule="auto"/>
        <w:rPr>
          <w:rFonts w:cstheme="minorHAnsi"/>
          <w:sz w:val="24"/>
          <w:szCs w:val="24"/>
        </w:rPr>
      </w:pPr>
    </w:p>
    <w:p w14:paraId="1DFA4056" w14:textId="7F9AC66C" w:rsidR="00923FC7" w:rsidRPr="0059559C" w:rsidRDefault="00923FC7" w:rsidP="00923FC7">
      <w:pPr>
        <w:spacing w:after="0" w:line="240" w:lineRule="auto"/>
        <w:rPr>
          <w:rFonts w:cstheme="minorHAnsi"/>
          <w:sz w:val="24"/>
          <w:szCs w:val="24"/>
        </w:rPr>
      </w:pPr>
      <w:r w:rsidRPr="0059559C">
        <w:rPr>
          <w:rFonts w:cstheme="minorHAnsi"/>
          <w:sz w:val="24"/>
          <w:szCs w:val="24"/>
        </w:rPr>
        <w:t xml:space="preserve">The first of Ms </w:t>
      </w:r>
      <w:proofErr w:type="spellStart"/>
      <w:r w:rsidRPr="0059559C">
        <w:rPr>
          <w:rFonts w:cstheme="minorHAnsi"/>
          <w:sz w:val="24"/>
          <w:szCs w:val="24"/>
        </w:rPr>
        <w:t>Lindqvists’s</w:t>
      </w:r>
      <w:proofErr w:type="spellEnd"/>
      <w:r w:rsidRPr="0059559C">
        <w:rPr>
          <w:rFonts w:cstheme="minorHAnsi"/>
          <w:sz w:val="24"/>
          <w:szCs w:val="24"/>
        </w:rPr>
        <w:t xml:space="preserve"> arguments to be considered by the ECJ was that, as a private individual, her activities, not being market-related activities, fell “outside the scope of Community law.” Had Ms </w:t>
      </w:r>
      <w:proofErr w:type="spellStart"/>
      <w:r w:rsidRPr="0059559C">
        <w:rPr>
          <w:rFonts w:cstheme="minorHAnsi"/>
          <w:sz w:val="24"/>
          <w:szCs w:val="24"/>
        </w:rPr>
        <w:t>Lindqvist’s</w:t>
      </w:r>
      <w:proofErr w:type="spellEnd"/>
      <w:r w:rsidRPr="0059559C">
        <w:rPr>
          <w:rFonts w:cstheme="minorHAnsi"/>
          <w:sz w:val="24"/>
          <w:szCs w:val="24"/>
        </w:rPr>
        <w:t xml:space="preserve"> argument been accepted she would have </w:t>
      </w:r>
      <w:r w:rsidR="00C30007" w:rsidRPr="0059559C">
        <w:rPr>
          <w:rFonts w:cstheme="minorHAnsi"/>
          <w:sz w:val="24"/>
          <w:szCs w:val="24"/>
        </w:rPr>
        <w:t xml:space="preserve">been </w:t>
      </w:r>
      <w:r w:rsidRPr="0059559C">
        <w:rPr>
          <w:rFonts w:cstheme="minorHAnsi"/>
          <w:sz w:val="24"/>
          <w:szCs w:val="24"/>
        </w:rPr>
        <w:t>ex</w:t>
      </w:r>
      <w:r w:rsidR="00C30007" w:rsidRPr="0059559C">
        <w:rPr>
          <w:rFonts w:cstheme="minorHAnsi"/>
          <w:sz w:val="24"/>
          <w:szCs w:val="24"/>
        </w:rPr>
        <w:t>em</w:t>
      </w:r>
      <w:r w:rsidRPr="0059559C">
        <w:rPr>
          <w:rFonts w:cstheme="minorHAnsi"/>
          <w:sz w:val="24"/>
          <w:szCs w:val="24"/>
        </w:rPr>
        <w:t xml:space="preserve">pted from complying with the Directive by virtue of the first limb of Article 3(2).  The ECJ were adamant, however, that the Directive was as applicable to Ms </w:t>
      </w:r>
      <w:proofErr w:type="spellStart"/>
      <w:r w:rsidRPr="0059559C">
        <w:rPr>
          <w:rFonts w:cstheme="minorHAnsi"/>
          <w:sz w:val="24"/>
          <w:szCs w:val="24"/>
        </w:rPr>
        <w:t>Lindqvist</w:t>
      </w:r>
      <w:proofErr w:type="spellEnd"/>
      <w:r w:rsidRPr="0059559C">
        <w:rPr>
          <w:rFonts w:cstheme="minorHAnsi"/>
          <w:sz w:val="24"/>
          <w:szCs w:val="24"/>
        </w:rPr>
        <w:t xml:space="preserve"> and her personal website as to large corporations. Whilst the ECJ might be criticised for the stance it took, it is arguable that the ECJ’s interpretation was a realistic or pragmatic one, ‘driven not so much by the text as by the spectre of future litigation’</w:t>
      </w:r>
      <w:r w:rsidR="002E7C3E" w:rsidRPr="0059559C">
        <w:rPr>
          <w:rFonts w:cstheme="minorHAnsi"/>
          <w:sz w:val="24"/>
          <w:szCs w:val="24"/>
        </w:rPr>
        <w:t xml:space="preserve"> (</w:t>
      </w:r>
      <w:proofErr w:type="spellStart"/>
      <w:r w:rsidR="002E7C3E" w:rsidRPr="0059559C">
        <w:rPr>
          <w:rFonts w:cstheme="minorHAnsi"/>
          <w:sz w:val="24"/>
          <w:szCs w:val="24"/>
        </w:rPr>
        <w:t>Bignami</w:t>
      </w:r>
      <w:proofErr w:type="spellEnd"/>
      <w:r w:rsidR="002E7C3E" w:rsidRPr="0059559C">
        <w:rPr>
          <w:rFonts w:cstheme="minorHAnsi"/>
          <w:sz w:val="24"/>
          <w:szCs w:val="24"/>
        </w:rPr>
        <w:t>, 2008, p232). A</w:t>
      </w:r>
      <w:r w:rsidRPr="0059559C">
        <w:rPr>
          <w:rFonts w:cstheme="minorHAnsi"/>
          <w:sz w:val="24"/>
          <w:szCs w:val="24"/>
        </w:rPr>
        <w:t>ny other interpretation would undoubtedly have resulted in arguments about the distinction between market-relate</w:t>
      </w:r>
      <w:r w:rsidR="00120865" w:rsidRPr="0059559C">
        <w:rPr>
          <w:rFonts w:cstheme="minorHAnsi"/>
          <w:sz w:val="24"/>
          <w:szCs w:val="24"/>
        </w:rPr>
        <w:t>d and other activities</w:t>
      </w:r>
      <w:r w:rsidR="002E7C3E" w:rsidRPr="0059559C">
        <w:rPr>
          <w:rFonts w:cstheme="minorHAnsi"/>
          <w:sz w:val="24"/>
          <w:szCs w:val="24"/>
        </w:rPr>
        <w:t xml:space="preserve"> (</w:t>
      </w:r>
      <w:proofErr w:type="spellStart"/>
      <w:r w:rsidR="002E7C3E" w:rsidRPr="0059559C">
        <w:rPr>
          <w:rFonts w:cstheme="minorHAnsi"/>
          <w:sz w:val="24"/>
          <w:szCs w:val="24"/>
        </w:rPr>
        <w:t>Bignami</w:t>
      </w:r>
      <w:proofErr w:type="spellEnd"/>
      <w:r w:rsidR="002E7C3E" w:rsidRPr="0059559C">
        <w:rPr>
          <w:rFonts w:cstheme="minorHAnsi"/>
          <w:sz w:val="24"/>
          <w:szCs w:val="24"/>
        </w:rPr>
        <w:t>, 2008, p232)</w:t>
      </w:r>
      <w:r w:rsidRPr="0059559C">
        <w:rPr>
          <w:rFonts w:cstheme="minorHAnsi"/>
          <w:sz w:val="24"/>
          <w:szCs w:val="24"/>
        </w:rPr>
        <w:t xml:space="preserve">. </w:t>
      </w:r>
    </w:p>
    <w:p w14:paraId="2482E57B" w14:textId="77777777" w:rsidR="00923FC7" w:rsidRPr="0059559C" w:rsidRDefault="00923FC7" w:rsidP="00923FC7">
      <w:pPr>
        <w:spacing w:after="0" w:line="240" w:lineRule="auto"/>
        <w:rPr>
          <w:rFonts w:cstheme="minorHAnsi"/>
          <w:sz w:val="24"/>
          <w:szCs w:val="24"/>
        </w:rPr>
      </w:pPr>
    </w:p>
    <w:p w14:paraId="4CAA690A" w14:textId="77777777" w:rsidR="00C30007" w:rsidRPr="0059559C" w:rsidRDefault="00923FC7" w:rsidP="00923FC7">
      <w:pPr>
        <w:spacing w:after="0" w:line="240" w:lineRule="auto"/>
        <w:rPr>
          <w:rFonts w:cstheme="minorHAnsi"/>
          <w:sz w:val="24"/>
          <w:szCs w:val="24"/>
        </w:rPr>
      </w:pPr>
      <w:r w:rsidRPr="0059559C">
        <w:rPr>
          <w:rFonts w:cstheme="minorHAnsi"/>
          <w:sz w:val="24"/>
          <w:szCs w:val="24"/>
        </w:rPr>
        <w:t xml:space="preserve">It is, however, the ECJ’s conclusions in relation to the second limb of Article 3(2) that are most relevant to this article.  Importantly, the ECJ determined that Article 3(2) </w:t>
      </w:r>
    </w:p>
    <w:p w14:paraId="408C77CE" w14:textId="77777777" w:rsidR="00C30007" w:rsidRPr="0059559C" w:rsidRDefault="00C30007" w:rsidP="00923FC7">
      <w:pPr>
        <w:spacing w:after="0" w:line="240" w:lineRule="auto"/>
        <w:rPr>
          <w:rFonts w:cstheme="minorHAnsi"/>
          <w:sz w:val="24"/>
          <w:szCs w:val="24"/>
        </w:rPr>
      </w:pPr>
    </w:p>
    <w:p w14:paraId="67DCE523" w14:textId="77777777" w:rsidR="00923FC7" w:rsidRPr="0059559C" w:rsidRDefault="00923FC7" w:rsidP="00C30007">
      <w:pPr>
        <w:spacing w:after="0" w:line="240" w:lineRule="auto"/>
        <w:ind w:left="720"/>
        <w:rPr>
          <w:rFonts w:cstheme="minorHAnsi"/>
          <w:sz w:val="24"/>
          <w:szCs w:val="24"/>
        </w:rPr>
      </w:pPr>
      <w:r w:rsidRPr="0059559C">
        <w:rPr>
          <w:rFonts w:cstheme="minorHAnsi"/>
          <w:sz w:val="24"/>
          <w:szCs w:val="24"/>
        </w:rPr>
        <w:t>‘must … be interpreted as relating only to activities which are carried out in the course of private or family life of individuals, which is clearly not the case with the processing of personal data consisting in publication on the internet so that those data are made accessible to an indefinite number of people’.</w:t>
      </w:r>
    </w:p>
    <w:p w14:paraId="204F5E9C" w14:textId="77777777" w:rsidR="00923FC7" w:rsidRPr="0059559C" w:rsidRDefault="00923FC7" w:rsidP="00923FC7">
      <w:pPr>
        <w:spacing w:after="0" w:line="240" w:lineRule="auto"/>
        <w:rPr>
          <w:rFonts w:cstheme="minorHAnsi"/>
          <w:sz w:val="24"/>
          <w:szCs w:val="24"/>
        </w:rPr>
      </w:pPr>
    </w:p>
    <w:p w14:paraId="1FED59EB" w14:textId="77777777" w:rsidR="00923FC7" w:rsidRPr="0059559C" w:rsidRDefault="00923FC7" w:rsidP="00923FC7">
      <w:pPr>
        <w:pStyle w:val="c01pointnumerotealtn"/>
        <w:spacing w:before="0" w:beforeAutospacing="0" w:after="0"/>
        <w:ind w:left="28" w:firstLine="0"/>
        <w:rPr>
          <w:rFonts w:asciiTheme="minorHAnsi" w:hAnsiTheme="minorHAnsi" w:cstheme="minorHAnsi"/>
        </w:rPr>
      </w:pPr>
      <w:r w:rsidRPr="0059559C">
        <w:rPr>
          <w:rFonts w:asciiTheme="minorHAnsi" w:hAnsiTheme="minorHAnsi" w:cstheme="minorHAnsi"/>
        </w:rPr>
        <w:t xml:space="preserve">Effectively, therefore, the ECJ closed the door on the use of Article 3(2) when an individual provides unrestricted online access to </w:t>
      </w:r>
      <w:r w:rsidR="00C30007" w:rsidRPr="0059559C">
        <w:rPr>
          <w:rFonts w:asciiTheme="minorHAnsi" w:hAnsiTheme="minorHAnsi" w:cstheme="minorHAnsi"/>
        </w:rPr>
        <w:t xml:space="preserve">another person’s </w:t>
      </w:r>
      <w:r w:rsidRPr="0059559C">
        <w:rPr>
          <w:rFonts w:asciiTheme="minorHAnsi" w:hAnsiTheme="minorHAnsi" w:cstheme="minorHAnsi"/>
        </w:rPr>
        <w:t xml:space="preserve">personal information.  If one follows the </w:t>
      </w:r>
      <w:proofErr w:type="spellStart"/>
      <w:r w:rsidRPr="0059559C">
        <w:rPr>
          <w:rFonts w:asciiTheme="minorHAnsi" w:hAnsiTheme="minorHAnsi" w:cstheme="minorHAnsi"/>
        </w:rPr>
        <w:t>Lindqvist</w:t>
      </w:r>
      <w:proofErr w:type="spellEnd"/>
      <w:r w:rsidRPr="0059559C">
        <w:rPr>
          <w:rFonts w:asciiTheme="minorHAnsi" w:hAnsiTheme="minorHAnsi" w:cstheme="minorHAnsi"/>
        </w:rPr>
        <w:t xml:space="preserve"> decision to its logical conclusion</w:t>
      </w:r>
      <w:r w:rsidR="00E87118" w:rsidRPr="0059559C">
        <w:rPr>
          <w:rFonts w:asciiTheme="minorHAnsi" w:hAnsiTheme="minorHAnsi" w:cstheme="minorHAnsi"/>
        </w:rPr>
        <w:t>,</w:t>
      </w:r>
      <w:r w:rsidRPr="0059559C">
        <w:rPr>
          <w:rFonts w:asciiTheme="minorHAnsi" w:hAnsiTheme="minorHAnsi" w:cstheme="minorHAnsi"/>
        </w:rPr>
        <w:t xml:space="preserve"> an individual who lives in the UK and </w:t>
      </w:r>
      <w:r w:rsidR="00E87118" w:rsidRPr="0059559C">
        <w:rPr>
          <w:rFonts w:asciiTheme="minorHAnsi" w:hAnsiTheme="minorHAnsi" w:cstheme="minorHAnsi"/>
        </w:rPr>
        <w:t>who posts</w:t>
      </w:r>
      <w:r w:rsidRPr="0059559C">
        <w:rPr>
          <w:rFonts w:asciiTheme="minorHAnsi" w:hAnsiTheme="minorHAnsi" w:cstheme="minorHAnsi"/>
        </w:rPr>
        <w:t xml:space="preserve"> photographs of third parties to a blog or website</w:t>
      </w:r>
      <w:r w:rsidR="00E87118" w:rsidRPr="0059559C">
        <w:rPr>
          <w:rFonts w:asciiTheme="minorHAnsi" w:hAnsiTheme="minorHAnsi" w:cstheme="minorHAnsi"/>
        </w:rPr>
        <w:t>,</w:t>
      </w:r>
      <w:r w:rsidRPr="0059559C">
        <w:rPr>
          <w:rFonts w:asciiTheme="minorHAnsi" w:hAnsiTheme="minorHAnsi" w:cstheme="minorHAnsi"/>
        </w:rPr>
        <w:t xml:space="preserve"> </w:t>
      </w:r>
      <w:r w:rsidR="00E87118" w:rsidRPr="0059559C">
        <w:rPr>
          <w:rFonts w:asciiTheme="minorHAnsi" w:hAnsiTheme="minorHAnsi" w:cstheme="minorHAnsi"/>
        </w:rPr>
        <w:t xml:space="preserve">thus </w:t>
      </w:r>
      <w:r w:rsidRPr="0059559C">
        <w:rPr>
          <w:rFonts w:asciiTheme="minorHAnsi" w:hAnsiTheme="minorHAnsi" w:cstheme="minorHAnsi"/>
        </w:rPr>
        <w:t>reveal</w:t>
      </w:r>
      <w:r w:rsidR="00E87118" w:rsidRPr="0059559C">
        <w:rPr>
          <w:rFonts w:asciiTheme="minorHAnsi" w:hAnsiTheme="minorHAnsi" w:cstheme="minorHAnsi"/>
        </w:rPr>
        <w:t>ing</w:t>
      </w:r>
      <w:r w:rsidRPr="0059559C">
        <w:rPr>
          <w:rFonts w:asciiTheme="minorHAnsi" w:hAnsiTheme="minorHAnsi" w:cstheme="minorHAnsi"/>
        </w:rPr>
        <w:t xml:space="preserve"> personal information about </w:t>
      </w:r>
      <w:r w:rsidR="00E87118" w:rsidRPr="0059559C">
        <w:rPr>
          <w:rFonts w:asciiTheme="minorHAnsi" w:hAnsiTheme="minorHAnsi" w:cstheme="minorHAnsi"/>
        </w:rPr>
        <w:t xml:space="preserve">those individuals, cannot rely upon Article 3(2).  They </w:t>
      </w:r>
      <w:r w:rsidRPr="0059559C">
        <w:rPr>
          <w:rFonts w:asciiTheme="minorHAnsi" w:hAnsiTheme="minorHAnsi" w:cstheme="minorHAnsi"/>
        </w:rPr>
        <w:t xml:space="preserve">should: register with the ICO; inform those individuals of the purposes of the processing, and to comply with </w:t>
      </w:r>
      <w:r w:rsidRPr="0059559C">
        <w:rPr>
          <w:rFonts w:asciiTheme="minorHAnsi" w:hAnsiTheme="minorHAnsi" w:cstheme="minorHAnsi"/>
        </w:rPr>
        <w:lastRenderedPageBreak/>
        <w:t>the conditions for processing detailed at Schedule 2 DPA they are likely to need to obtain that individual’s consent to processing.  Any individual whose information is processed on such a blog will be able to ask the processor what information they are processing and for what purposes (s7 DPA), and if the information being processed causes the individual unwarranted and substantial damage or unwarranted and substantial distress (s10 DPA) require the blogger or website owner to cease processing their information.  The individual would potentially have recourse to the court and/or the ICO.</w:t>
      </w:r>
    </w:p>
    <w:p w14:paraId="6F9F5EA4" w14:textId="77777777" w:rsidR="00923FC7" w:rsidRPr="0059559C" w:rsidRDefault="00923FC7" w:rsidP="00724D5D">
      <w:pPr>
        <w:spacing w:after="0" w:line="240" w:lineRule="auto"/>
        <w:rPr>
          <w:rFonts w:cstheme="minorHAnsi"/>
          <w:sz w:val="24"/>
          <w:szCs w:val="24"/>
        </w:rPr>
      </w:pPr>
    </w:p>
    <w:p w14:paraId="4FFEA45A" w14:textId="6BB41DD6" w:rsidR="007C24D6" w:rsidRPr="0059559C" w:rsidRDefault="002E7C3E" w:rsidP="00DE7865">
      <w:pPr>
        <w:spacing w:after="0" w:line="240" w:lineRule="auto"/>
        <w:ind w:firstLine="720"/>
        <w:rPr>
          <w:rFonts w:cstheme="minorHAnsi"/>
          <w:b/>
          <w:sz w:val="24"/>
          <w:szCs w:val="24"/>
        </w:rPr>
      </w:pPr>
      <w:r w:rsidRPr="0059559C">
        <w:rPr>
          <w:rFonts w:cstheme="minorHAnsi"/>
          <w:b/>
          <w:sz w:val="24"/>
          <w:szCs w:val="24"/>
        </w:rPr>
        <w:t>4</w:t>
      </w:r>
      <w:r w:rsidR="007C24D6" w:rsidRPr="0059559C">
        <w:rPr>
          <w:rFonts w:cstheme="minorHAnsi"/>
          <w:b/>
          <w:sz w:val="24"/>
          <w:szCs w:val="24"/>
        </w:rPr>
        <w:t>.2</w:t>
      </w:r>
      <w:r w:rsidR="007C24D6" w:rsidRPr="0059559C">
        <w:rPr>
          <w:rFonts w:cstheme="minorHAnsi"/>
          <w:b/>
          <w:sz w:val="24"/>
          <w:szCs w:val="24"/>
        </w:rPr>
        <w:tab/>
        <w:t xml:space="preserve">The interpretation of Article 3(2) in </w:t>
      </w:r>
      <w:proofErr w:type="spellStart"/>
      <w:r w:rsidR="007C24D6" w:rsidRPr="0059559C">
        <w:rPr>
          <w:rFonts w:cstheme="minorHAnsi"/>
          <w:b/>
          <w:sz w:val="24"/>
          <w:szCs w:val="24"/>
        </w:rPr>
        <w:t>Lindqvist</w:t>
      </w:r>
      <w:proofErr w:type="spellEnd"/>
      <w:r w:rsidR="007C24D6" w:rsidRPr="0059559C">
        <w:rPr>
          <w:rFonts w:cstheme="minorHAnsi"/>
          <w:b/>
          <w:sz w:val="24"/>
          <w:szCs w:val="24"/>
        </w:rPr>
        <w:t>, and subsequently</w:t>
      </w:r>
    </w:p>
    <w:p w14:paraId="76F3E463" w14:textId="77777777" w:rsidR="00777118" w:rsidRPr="0059559C" w:rsidRDefault="00777118" w:rsidP="00724D5D">
      <w:pPr>
        <w:spacing w:after="0" w:line="240" w:lineRule="auto"/>
        <w:rPr>
          <w:rFonts w:cstheme="minorHAnsi"/>
          <w:b/>
          <w:sz w:val="24"/>
          <w:szCs w:val="24"/>
        </w:rPr>
      </w:pPr>
    </w:p>
    <w:p w14:paraId="144849A0" w14:textId="77777777" w:rsidR="009A325F" w:rsidRDefault="00A44DE6" w:rsidP="00724D5D">
      <w:pPr>
        <w:pStyle w:val="c01pointnumerotealtn"/>
        <w:spacing w:before="0" w:beforeAutospacing="0" w:after="0"/>
        <w:ind w:left="28" w:firstLine="0"/>
        <w:rPr>
          <w:rFonts w:asciiTheme="minorHAnsi" w:hAnsiTheme="minorHAnsi" w:cstheme="minorHAnsi"/>
        </w:rPr>
      </w:pPr>
      <w:proofErr w:type="spellStart"/>
      <w:r w:rsidRPr="0059559C">
        <w:rPr>
          <w:rFonts w:asciiTheme="minorHAnsi" w:hAnsiTheme="minorHAnsi" w:cstheme="minorHAnsi"/>
        </w:rPr>
        <w:t>Bignami</w:t>
      </w:r>
      <w:proofErr w:type="spellEnd"/>
      <w:r w:rsidRPr="0059559C">
        <w:rPr>
          <w:rFonts w:asciiTheme="minorHAnsi" w:hAnsiTheme="minorHAnsi" w:cstheme="minorHAnsi"/>
        </w:rPr>
        <w:t xml:space="preserve"> </w:t>
      </w:r>
      <w:r w:rsidR="0064774D">
        <w:rPr>
          <w:rFonts w:asciiTheme="minorHAnsi" w:hAnsiTheme="minorHAnsi" w:cstheme="minorHAnsi"/>
        </w:rPr>
        <w:t>suggests</w:t>
      </w:r>
      <w:r w:rsidR="00E45957" w:rsidRPr="0059559C">
        <w:rPr>
          <w:rFonts w:asciiTheme="minorHAnsi" w:hAnsiTheme="minorHAnsi" w:cstheme="minorHAnsi"/>
        </w:rPr>
        <w:t xml:space="preserve"> that </w:t>
      </w:r>
      <w:r w:rsidRPr="0059559C">
        <w:rPr>
          <w:rFonts w:asciiTheme="minorHAnsi" w:hAnsiTheme="minorHAnsi" w:cstheme="minorHAnsi"/>
        </w:rPr>
        <w:t xml:space="preserve">whilst </w:t>
      </w:r>
      <w:r w:rsidR="00E45957" w:rsidRPr="0059559C">
        <w:rPr>
          <w:rFonts w:asciiTheme="minorHAnsi" w:hAnsiTheme="minorHAnsi" w:cstheme="minorHAnsi"/>
        </w:rPr>
        <w:t xml:space="preserve">the ECJ ‘easily found </w:t>
      </w:r>
      <w:r w:rsidR="00E87118" w:rsidRPr="0059559C">
        <w:rPr>
          <w:rFonts w:asciiTheme="minorHAnsi" w:hAnsiTheme="minorHAnsi" w:cstheme="minorHAnsi"/>
        </w:rPr>
        <w:t xml:space="preserve">that uploading personal data </w:t>
      </w:r>
      <w:r w:rsidR="00E45957" w:rsidRPr="0059559C">
        <w:rPr>
          <w:rFonts w:asciiTheme="minorHAnsi" w:hAnsiTheme="minorHAnsi" w:cstheme="minorHAnsi"/>
        </w:rPr>
        <w:t xml:space="preserve">onto </w:t>
      </w:r>
      <w:proofErr w:type="spellStart"/>
      <w:r w:rsidR="00E45957" w:rsidRPr="0059559C">
        <w:rPr>
          <w:rFonts w:asciiTheme="minorHAnsi" w:hAnsiTheme="minorHAnsi" w:cstheme="minorHAnsi"/>
        </w:rPr>
        <w:t>Lindqvist’s</w:t>
      </w:r>
      <w:proofErr w:type="spellEnd"/>
      <w:r w:rsidR="00E45957" w:rsidRPr="0059559C">
        <w:rPr>
          <w:rFonts w:asciiTheme="minorHAnsi" w:hAnsiTheme="minorHAnsi" w:cstheme="minorHAnsi"/>
        </w:rPr>
        <w:t xml:space="preserve"> website constituted “personal data processing” covered by the Directive’ it was ‘[w]</w:t>
      </w:r>
      <w:proofErr w:type="spellStart"/>
      <w:r w:rsidR="00E45957" w:rsidRPr="0059559C">
        <w:rPr>
          <w:rFonts w:asciiTheme="minorHAnsi" w:hAnsiTheme="minorHAnsi" w:cstheme="minorHAnsi"/>
        </w:rPr>
        <w:t>ith</w:t>
      </w:r>
      <w:proofErr w:type="spellEnd"/>
      <w:r w:rsidR="00E45957" w:rsidRPr="0059559C">
        <w:rPr>
          <w:rFonts w:asciiTheme="minorHAnsi" w:hAnsiTheme="minorHAnsi" w:cstheme="minorHAnsi"/>
        </w:rPr>
        <w:t xml:space="preserve"> a bit more difficulty’ that ‘the Court determined that </w:t>
      </w:r>
      <w:proofErr w:type="spellStart"/>
      <w:r w:rsidR="00E45957" w:rsidRPr="0059559C">
        <w:rPr>
          <w:rFonts w:asciiTheme="minorHAnsi" w:hAnsiTheme="minorHAnsi" w:cstheme="minorHAnsi"/>
        </w:rPr>
        <w:t>Li</w:t>
      </w:r>
      <w:r w:rsidR="000D040A" w:rsidRPr="0059559C">
        <w:rPr>
          <w:rFonts w:asciiTheme="minorHAnsi" w:hAnsiTheme="minorHAnsi" w:cstheme="minorHAnsi"/>
        </w:rPr>
        <w:t>ndqvist’s</w:t>
      </w:r>
      <w:proofErr w:type="spellEnd"/>
      <w:r w:rsidR="000D040A" w:rsidRPr="0059559C">
        <w:rPr>
          <w:rFonts w:asciiTheme="minorHAnsi" w:hAnsiTheme="minorHAnsi" w:cstheme="minorHAnsi"/>
        </w:rPr>
        <w:t xml:space="preserve"> website did not qualif</w:t>
      </w:r>
      <w:r w:rsidR="00E45957" w:rsidRPr="0059559C">
        <w:rPr>
          <w:rFonts w:asciiTheme="minorHAnsi" w:hAnsiTheme="minorHAnsi" w:cstheme="minorHAnsi"/>
        </w:rPr>
        <w:t>y for any of the exceptions to the personal data processing covered by the Directive’</w:t>
      </w:r>
      <w:r w:rsidR="00120865" w:rsidRPr="0059559C">
        <w:rPr>
          <w:rFonts w:asciiTheme="minorHAnsi" w:hAnsiTheme="minorHAnsi" w:cstheme="minorHAnsi"/>
        </w:rPr>
        <w:t xml:space="preserve"> (</w:t>
      </w:r>
      <w:proofErr w:type="spellStart"/>
      <w:r w:rsidR="00120865" w:rsidRPr="0059559C">
        <w:rPr>
          <w:rFonts w:asciiTheme="minorHAnsi" w:hAnsiTheme="minorHAnsi" w:cstheme="minorHAnsi"/>
        </w:rPr>
        <w:t>Bignam</w:t>
      </w:r>
      <w:r w:rsidR="000648D0" w:rsidRPr="0059559C">
        <w:rPr>
          <w:rFonts w:asciiTheme="minorHAnsi" w:hAnsiTheme="minorHAnsi" w:cstheme="minorHAnsi"/>
        </w:rPr>
        <w:t>i</w:t>
      </w:r>
      <w:proofErr w:type="spellEnd"/>
      <w:r w:rsidR="000648D0" w:rsidRPr="0059559C">
        <w:rPr>
          <w:rFonts w:asciiTheme="minorHAnsi" w:hAnsiTheme="minorHAnsi" w:cstheme="minorHAnsi"/>
        </w:rPr>
        <w:t>, 2008, p230-1)</w:t>
      </w:r>
      <w:r w:rsidR="00E45957" w:rsidRPr="0059559C">
        <w:rPr>
          <w:rFonts w:asciiTheme="minorHAnsi" w:hAnsiTheme="minorHAnsi" w:cstheme="minorHAnsi"/>
        </w:rPr>
        <w:t>.</w:t>
      </w:r>
      <w:r w:rsidR="00A1332D" w:rsidRPr="0059559C">
        <w:rPr>
          <w:rFonts w:asciiTheme="minorHAnsi" w:hAnsiTheme="minorHAnsi" w:cstheme="minorHAnsi"/>
        </w:rPr>
        <w:t xml:space="preserve">  </w:t>
      </w:r>
      <w:r w:rsidR="0064774D">
        <w:rPr>
          <w:rFonts w:asciiTheme="minorHAnsi" w:hAnsiTheme="minorHAnsi" w:cstheme="minorHAnsi"/>
        </w:rPr>
        <w:t xml:space="preserve">One of the suggestions that </w:t>
      </w:r>
      <w:proofErr w:type="spellStart"/>
      <w:r w:rsidRPr="0059559C">
        <w:rPr>
          <w:rFonts w:asciiTheme="minorHAnsi" w:hAnsiTheme="minorHAnsi" w:cstheme="minorHAnsi"/>
        </w:rPr>
        <w:t>Bignami</w:t>
      </w:r>
      <w:proofErr w:type="spellEnd"/>
      <w:r w:rsidRPr="0059559C">
        <w:rPr>
          <w:rFonts w:asciiTheme="minorHAnsi" w:hAnsiTheme="minorHAnsi" w:cstheme="minorHAnsi"/>
        </w:rPr>
        <w:t xml:space="preserve"> </w:t>
      </w:r>
      <w:r w:rsidR="0064774D">
        <w:rPr>
          <w:rFonts w:asciiTheme="minorHAnsi" w:hAnsiTheme="minorHAnsi" w:cstheme="minorHAnsi"/>
        </w:rPr>
        <w:t xml:space="preserve">makes </w:t>
      </w:r>
      <w:r w:rsidRPr="0059559C">
        <w:rPr>
          <w:rFonts w:asciiTheme="minorHAnsi" w:hAnsiTheme="minorHAnsi" w:cstheme="minorHAnsi"/>
        </w:rPr>
        <w:t xml:space="preserve">is that </w:t>
      </w:r>
      <w:r w:rsidR="009A325F">
        <w:rPr>
          <w:rFonts w:asciiTheme="minorHAnsi" w:hAnsiTheme="minorHAnsi" w:cstheme="minorHAnsi"/>
        </w:rPr>
        <w:t xml:space="preserve">in order to reach the conclusion that it did, </w:t>
      </w:r>
      <w:r w:rsidRPr="0059559C">
        <w:rPr>
          <w:rFonts w:asciiTheme="minorHAnsi" w:hAnsiTheme="minorHAnsi" w:cstheme="minorHAnsi"/>
        </w:rPr>
        <w:t>the ECJ adopted an overly narrow interpretation of the term ‘outside the scope of community law</w:t>
      </w:r>
      <w:r w:rsidR="009A325F">
        <w:rPr>
          <w:rFonts w:asciiTheme="minorHAnsi" w:hAnsiTheme="minorHAnsi" w:cstheme="minorHAnsi"/>
        </w:rPr>
        <w:t>,</w:t>
      </w:r>
      <w:r w:rsidRPr="0059559C">
        <w:rPr>
          <w:rFonts w:asciiTheme="minorHAnsi" w:hAnsiTheme="minorHAnsi" w:cstheme="minorHAnsi"/>
        </w:rPr>
        <w:t>’ in doing so depart</w:t>
      </w:r>
      <w:r w:rsidR="009A325F">
        <w:rPr>
          <w:rFonts w:asciiTheme="minorHAnsi" w:hAnsiTheme="minorHAnsi" w:cstheme="minorHAnsi"/>
        </w:rPr>
        <w:t>ing</w:t>
      </w:r>
      <w:r w:rsidRPr="0059559C">
        <w:rPr>
          <w:rFonts w:asciiTheme="minorHAnsi" w:hAnsiTheme="minorHAnsi" w:cstheme="minorHAnsi"/>
        </w:rPr>
        <w:t xml:space="preserve"> from the plain meaning of the directive (</w:t>
      </w:r>
      <w:proofErr w:type="spellStart"/>
      <w:r w:rsidRPr="0059559C">
        <w:rPr>
          <w:rFonts w:asciiTheme="minorHAnsi" w:hAnsiTheme="minorHAnsi" w:cstheme="minorHAnsi"/>
        </w:rPr>
        <w:t>Bignami</w:t>
      </w:r>
      <w:proofErr w:type="spellEnd"/>
      <w:r w:rsidRPr="0059559C">
        <w:rPr>
          <w:rFonts w:asciiTheme="minorHAnsi" w:hAnsiTheme="minorHAnsi" w:cstheme="minorHAnsi"/>
        </w:rPr>
        <w:t xml:space="preserve">, 2008, p231-2).  </w:t>
      </w:r>
      <w:r w:rsidR="001C016A">
        <w:rPr>
          <w:rFonts w:asciiTheme="minorHAnsi" w:hAnsiTheme="minorHAnsi" w:cstheme="minorHAnsi"/>
        </w:rPr>
        <w:t xml:space="preserve">Criticisms might also be made </w:t>
      </w:r>
      <w:r w:rsidR="004249F2">
        <w:rPr>
          <w:rFonts w:asciiTheme="minorHAnsi" w:hAnsiTheme="minorHAnsi" w:cstheme="minorHAnsi"/>
        </w:rPr>
        <w:t>of</w:t>
      </w:r>
      <w:r w:rsidR="001C016A">
        <w:rPr>
          <w:rFonts w:asciiTheme="minorHAnsi" w:hAnsiTheme="minorHAnsi" w:cstheme="minorHAnsi"/>
        </w:rPr>
        <w:t xml:space="preserve"> the narrow interpretation of the personal and household exemption</w:t>
      </w:r>
      <w:r w:rsidR="004249F2">
        <w:rPr>
          <w:rFonts w:asciiTheme="minorHAnsi" w:hAnsiTheme="minorHAnsi" w:cstheme="minorHAnsi"/>
        </w:rPr>
        <w:t xml:space="preserve"> adopted by the ECJ in </w:t>
      </w:r>
      <w:proofErr w:type="spellStart"/>
      <w:r w:rsidR="004249F2">
        <w:rPr>
          <w:rFonts w:asciiTheme="minorHAnsi" w:hAnsiTheme="minorHAnsi" w:cstheme="minorHAnsi"/>
        </w:rPr>
        <w:t>Lindqvist</w:t>
      </w:r>
      <w:proofErr w:type="spellEnd"/>
      <w:r w:rsidR="001C016A">
        <w:rPr>
          <w:rFonts w:asciiTheme="minorHAnsi" w:hAnsiTheme="minorHAnsi" w:cstheme="minorHAnsi"/>
        </w:rPr>
        <w:t xml:space="preserve">.   </w:t>
      </w:r>
      <w:r w:rsidR="0064774D">
        <w:rPr>
          <w:rFonts w:asciiTheme="minorHAnsi" w:hAnsiTheme="minorHAnsi" w:cstheme="minorHAnsi"/>
        </w:rPr>
        <w:t xml:space="preserve">It must be recognised, however, that </w:t>
      </w:r>
      <w:r w:rsidR="001C016A">
        <w:rPr>
          <w:rFonts w:asciiTheme="minorHAnsi" w:hAnsiTheme="minorHAnsi" w:cstheme="minorHAnsi"/>
        </w:rPr>
        <w:t xml:space="preserve">the recent case of </w:t>
      </w:r>
      <w:proofErr w:type="spellStart"/>
      <w:r w:rsidR="001C016A">
        <w:rPr>
          <w:rFonts w:asciiTheme="minorHAnsi" w:hAnsiTheme="minorHAnsi" w:cstheme="minorHAnsi"/>
        </w:rPr>
        <w:t>Ryneš</w:t>
      </w:r>
      <w:proofErr w:type="spellEnd"/>
      <w:r w:rsidR="001C016A">
        <w:rPr>
          <w:rFonts w:asciiTheme="minorHAnsi" w:hAnsiTheme="minorHAnsi" w:cstheme="minorHAnsi"/>
        </w:rPr>
        <w:t>, appears to offer some support for the ECJ’s approach.</w:t>
      </w:r>
    </w:p>
    <w:p w14:paraId="29414156" w14:textId="77777777" w:rsidR="009A325F" w:rsidRDefault="009A325F" w:rsidP="00724D5D">
      <w:pPr>
        <w:pStyle w:val="c01pointnumerotealtn"/>
        <w:spacing w:before="0" w:beforeAutospacing="0" w:after="0"/>
        <w:ind w:left="28" w:firstLine="0"/>
        <w:rPr>
          <w:rFonts w:asciiTheme="minorHAnsi" w:hAnsiTheme="minorHAnsi" w:cstheme="minorHAnsi"/>
        </w:rPr>
      </w:pPr>
    </w:p>
    <w:p w14:paraId="058DA60D" w14:textId="53FE9CD4" w:rsidR="00EA4A19" w:rsidRPr="0059559C" w:rsidRDefault="001C016A" w:rsidP="00724D5D">
      <w:pPr>
        <w:pStyle w:val="c01pointnumerotealtn"/>
        <w:spacing w:before="0" w:beforeAutospacing="0" w:after="0"/>
        <w:ind w:left="28" w:firstLine="0"/>
        <w:rPr>
          <w:rFonts w:asciiTheme="minorHAnsi" w:hAnsiTheme="minorHAnsi" w:cstheme="minorHAnsi"/>
        </w:rPr>
      </w:pPr>
      <w:r>
        <w:rPr>
          <w:rFonts w:asciiTheme="minorHAnsi" w:hAnsiTheme="minorHAnsi" w:cstheme="minorHAnsi"/>
        </w:rPr>
        <w:t xml:space="preserve">In </w:t>
      </w:r>
      <w:proofErr w:type="spellStart"/>
      <w:r>
        <w:rPr>
          <w:rFonts w:asciiTheme="minorHAnsi" w:hAnsiTheme="minorHAnsi" w:cstheme="minorHAnsi"/>
        </w:rPr>
        <w:t>Ryneš</w:t>
      </w:r>
      <w:proofErr w:type="spellEnd"/>
      <w:r>
        <w:rPr>
          <w:rFonts w:asciiTheme="minorHAnsi" w:hAnsiTheme="minorHAnsi" w:cstheme="minorHAnsi"/>
        </w:rPr>
        <w:t xml:space="preserve"> the court states explicitly that ‘the exception provided for in the second indent of Article 3(2) … must be narrowly construed’ in order to protect the right to privacy, and to ensure respect for the fundamental rights set out in the European Union Charter of Fundamental Rights (</w:t>
      </w:r>
      <w:proofErr w:type="spellStart"/>
      <w:r>
        <w:rPr>
          <w:rFonts w:asciiTheme="minorHAnsi" w:hAnsiTheme="minorHAnsi" w:cstheme="minorHAnsi"/>
        </w:rPr>
        <w:t>Ryneš</w:t>
      </w:r>
      <w:proofErr w:type="spellEnd"/>
      <w:r>
        <w:rPr>
          <w:rFonts w:asciiTheme="minorHAnsi" w:hAnsiTheme="minorHAnsi" w:cstheme="minorHAnsi"/>
        </w:rPr>
        <w:t xml:space="preserve"> C-212/13, paragraph 29).  T</w:t>
      </w:r>
      <w:r w:rsidR="0064774D">
        <w:rPr>
          <w:rFonts w:asciiTheme="minorHAnsi" w:hAnsiTheme="minorHAnsi" w:cstheme="minorHAnsi"/>
        </w:rPr>
        <w:t xml:space="preserve">he facts of the </w:t>
      </w:r>
      <w:proofErr w:type="spellStart"/>
      <w:r w:rsidR="0064774D">
        <w:rPr>
          <w:rFonts w:asciiTheme="minorHAnsi" w:hAnsiTheme="minorHAnsi" w:cstheme="minorHAnsi"/>
        </w:rPr>
        <w:t>Ryneš</w:t>
      </w:r>
      <w:proofErr w:type="spellEnd"/>
      <w:r w:rsidR="0064774D">
        <w:rPr>
          <w:rFonts w:asciiTheme="minorHAnsi" w:hAnsiTheme="minorHAnsi" w:cstheme="minorHAnsi"/>
        </w:rPr>
        <w:t xml:space="preserve"> case were very different to those in </w:t>
      </w:r>
      <w:proofErr w:type="spellStart"/>
      <w:r w:rsidR="0064774D">
        <w:rPr>
          <w:rFonts w:asciiTheme="minorHAnsi" w:hAnsiTheme="minorHAnsi" w:cstheme="minorHAnsi"/>
        </w:rPr>
        <w:t>Lindqvist</w:t>
      </w:r>
      <w:proofErr w:type="spellEnd"/>
      <w:r>
        <w:rPr>
          <w:rFonts w:asciiTheme="minorHAnsi" w:hAnsiTheme="minorHAnsi" w:cstheme="minorHAnsi"/>
        </w:rPr>
        <w:t xml:space="preserve">; </w:t>
      </w:r>
      <w:r w:rsidR="0064774D">
        <w:rPr>
          <w:rFonts w:asciiTheme="minorHAnsi" w:hAnsiTheme="minorHAnsi" w:cstheme="minorHAnsi"/>
        </w:rPr>
        <w:t xml:space="preserve">Mr </w:t>
      </w:r>
      <w:proofErr w:type="spellStart"/>
      <w:r w:rsidR="0064774D">
        <w:rPr>
          <w:rFonts w:asciiTheme="minorHAnsi" w:hAnsiTheme="minorHAnsi" w:cstheme="minorHAnsi"/>
        </w:rPr>
        <w:t>Ryneš</w:t>
      </w:r>
      <w:proofErr w:type="spellEnd"/>
      <w:r w:rsidR="0064774D">
        <w:rPr>
          <w:rFonts w:asciiTheme="minorHAnsi" w:hAnsiTheme="minorHAnsi" w:cstheme="minorHAnsi"/>
        </w:rPr>
        <w:t xml:space="preserve"> had installed a camera system on his home to protect his home and family</w:t>
      </w:r>
      <w:r>
        <w:rPr>
          <w:rFonts w:asciiTheme="minorHAnsi" w:hAnsiTheme="minorHAnsi" w:cstheme="minorHAnsi"/>
        </w:rPr>
        <w:t xml:space="preserve"> and t</w:t>
      </w:r>
      <w:r w:rsidR="0064774D">
        <w:rPr>
          <w:rFonts w:asciiTheme="minorHAnsi" w:hAnsiTheme="minorHAnsi" w:cstheme="minorHAnsi"/>
        </w:rPr>
        <w:t xml:space="preserve">his camera also monitored the public footpath and entrance to a house opposite.  What </w:t>
      </w:r>
      <w:proofErr w:type="spellStart"/>
      <w:r w:rsidR="0064774D">
        <w:rPr>
          <w:rFonts w:asciiTheme="minorHAnsi" w:hAnsiTheme="minorHAnsi" w:cstheme="minorHAnsi"/>
        </w:rPr>
        <w:t>Ryneš</w:t>
      </w:r>
      <w:proofErr w:type="spellEnd"/>
      <w:r>
        <w:rPr>
          <w:rFonts w:asciiTheme="minorHAnsi" w:hAnsiTheme="minorHAnsi" w:cstheme="minorHAnsi"/>
        </w:rPr>
        <w:t xml:space="preserve"> might be considered to signal, </w:t>
      </w:r>
      <w:r w:rsidR="0064774D">
        <w:rPr>
          <w:rFonts w:asciiTheme="minorHAnsi" w:hAnsiTheme="minorHAnsi" w:cstheme="minorHAnsi"/>
        </w:rPr>
        <w:t xml:space="preserve">however, is that </w:t>
      </w:r>
      <w:r>
        <w:rPr>
          <w:rFonts w:asciiTheme="minorHAnsi" w:hAnsiTheme="minorHAnsi" w:cstheme="minorHAnsi"/>
        </w:rPr>
        <w:t xml:space="preserve">the CJEU is not currently inclined to review the approach to the personal and household exemption that it first adopted in </w:t>
      </w:r>
      <w:proofErr w:type="spellStart"/>
      <w:proofErr w:type="gramStart"/>
      <w:r>
        <w:rPr>
          <w:rFonts w:asciiTheme="minorHAnsi" w:hAnsiTheme="minorHAnsi" w:cstheme="minorHAnsi"/>
        </w:rPr>
        <w:t>LIndqvist</w:t>
      </w:r>
      <w:proofErr w:type="spellEnd"/>
      <w:r w:rsidR="0064774D">
        <w:rPr>
          <w:rFonts w:asciiTheme="minorHAnsi" w:hAnsiTheme="minorHAnsi" w:cstheme="minorHAnsi"/>
        </w:rPr>
        <w:t>.</w:t>
      </w:r>
      <w:proofErr w:type="gramEnd"/>
      <w:r w:rsidR="0064774D">
        <w:rPr>
          <w:rFonts w:asciiTheme="minorHAnsi" w:hAnsiTheme="minorHAnsi" w:cstheme="minorHAnsi"/>
        </w:rPr>
        <w:t xml:space="preserve"> </w:t>
      </w:r>
      <w:r>
        <w:rPr>
          <w:rFonts w:asciiTheme="minorHAnsi" w:hAnsiTheme="minorHAnsi" w:cstheme="minorHAnsi"/>
        </w:rPr>
        <w:t>This is notwithstanding the fact that c</w:t>
      </w:r>
      <w:r w:rsidR="00EA4A19" w:rsidRPr="0059559C">
        <w:rPr>
          <w:rFonts w:asciiTheme="minorHAnsi" w:hAnsiTheme="minorHAnsi" w:cstheme="minorHAnsi"/>
        </w:rPr>
        <w:t xml:space="preserve">oncerns have been raised about whether, in the digital age, the premises which inform Article 3(2), and its interpretation in </w:t>
      </w:r>
      <w:proofErr w:type="spellStart"/>
      <w:r w:rsidR="00EA4A19" w:rsidRPr="0059559C">
        <w:rPr>
          <w:rFonts w:asciiTheme="minorHAnsi" w:hAnsiTheme="minorHAnsi" w:cstheme="minorHAnsi"/>
        </w:rPr>
        <w:t>Lindqvist</w:t>
      </w:r>
      <w:proofErr w:type="spellEnd"/>
      <w:r w:rsidR="00EA4A19" w:rsidRPr="0059559C">
        <w:rPr>
          <w:rFonts w:asciiTheme="minorHAnsi" w:hAnsiTheme="minorHAnsi" w:cstheme="minorHAnsi"/>
        </w:rPr>
        <w:t xml:space="preserve"> ‘can be insisted upon … considering the central role private individuals are assuming in the processing of data’</w:t>
      </w:r>
      <w:r w:rsidR="000D040A" w:rsidRPr="0059559C">
        <w:rPr>
          <w:rFonts w:asciiTheme="minorHAnsi" w:hAnsiTheme="minorHAnsi" w:cstheme="minorHAnsi"/>
        </w:rPr>
        <w:t xml:space="preserve"> (</w:t>
      </w:r>
      <w:proofErr w:type="spellStart"/>
      <w:r w:rsidR="000D040A" w:rsidRPr="0059559C">
        <w:rPr>
          <w:rFonts w:asciiTheme="minorHAnsi" w:hAnsiTheme="minorHAnsi" w:cstheme="minorHAnsi"/>
        </w:rPr>
        <w:t>Warso</w:t>
      </w:r>
      <w:proofErr w:type="spellEnd"/>
      <w:r w:rsidR="000D040A" w:rsidRPr="0059559C">
        <w:rPr>
          <w:rFonts w:asciiTheme="minorHAnsi" w:hAnsiTheme="minorHAnsi" w:cstheme="minorHAnsi"/>
        </w:rPr>
        <w:t>, 2013, p495)</w:t>
      </w:r>
      <w:r w:rsidR="00EA4A19" w:rsidRPr="0059559C">
        <w:rPr>
          <w:rFonts w:asciiTheme="minorHAnsi" w:hAnsiTheme="minorHAnsi" w:cstheme="minorHAnsi"/>
        </w:rPr>
        <w:t>.</w:t>
      </w:r>
    </w:p>
    <w:p w14:paraId="2627EC68" w14:textId="77777777" w:rsidR="007C198D" w:rsidRPr="0059559C" w:rsidRDefault="007C198D" w:rsidP="00923FC7">
      <w:pPr>
        <w:pStyle w:val="c01pointnumerotealtn"/>
        <w:spacing w:before="0" w:beforeAutospacing="0" w:after="0"/>
        <w:ind w:left="0" w:firstLine="0"/>
        <w:rPr>
          <w:rFonts w:asciiTheme="minorHAnsi" w:hAnsiTheme="minorHAnsi" w:cstheme="minorHAnsi"/>
        </w:rPr>
      </w:pPr>
    </w:p>
    <w:p w14:paraId="64A527A6" w14:textId="77777777" w:rsidR="00A7397E" w:rsidRPr="0059559C" w:rsidRDefault="00894592" w:rsidP="00894592">
      <w:pPr>
        <w:pStyle w:val="c01pointnumerotealtn"/>
        <w:spacing w:before="0" w:beforeAutospacing="0" w:after="0"/>
        <w:ind w:left="28" w:firstLine="0"/>
        <w:rPr>
          <w:rFonts w:asciiTheme="minorHAnsi" w:hAnsiTheme="minorHAnsi" w:cstheme="minorHAnsi"/>
        </w:rPr>
      </w:pPr>
      <w:r w:rsidRPr="0059559C">
        <w:rPr>
          <w:rFonts w:asciiTheme="minorHAnsi" w:hAnsiTheme="minorHAnsi" w:cstheme="minorHAnsi"/>
        </w:rPr>
        <w:t xml:space="preserve">A key </w:t>
      </w:r>
      <w:r w:rsidR="00BF35A7" w:rsidRPr="0059559C">
        <w:rPr>
          <w:rFonts w:asciiTheme="minorHAnsi" w:hAnsiTheme="minorHAnsi" w:cstheme="minorHAnsi"/>
        </w:rPr>
        <w:t xml:space="preserve">difficulty with </w:t>
      </w:r>
      <w:proofErr w:type="spellStart"/>
      <w:r w:rsidR="00BF35A7" w:rsidRPr="0059559C">
        <w:rPr>
          <w:rFonts w:asciiTheme="minorHAnsi" w:hAnsiTheme="minorHAnsi" w:cstheme="minorHAnsi"/>
        </w:rPr>
        <w:t>Lindqvist</w:t>
      </w:r>
      <w:proofErr w:type="spellEnd"/>
      <w:r w:rsidR="00BF35A7" w:rsidRPr="0059559C">
        <w:rPr>
          <w:rFonts w:asciiTheme="minorHAnsi" w:hAnsiTheme="minorHAnsi" w:cstheme="minorHAnsi"/>
        </w:rPr>
        <w:t>, of course, is that</w:t>
      </w:r>
      <w:r w:rsidR="00E87118" w:rsidRPr="0059559C">
        <w:rPr>
          <w:rFonts w:asciiTheme="minorHAnsi" w:hAnsiTheme="minorHAnsi" w:cstheme="minorHAnsi"/>
        </w:rPr>
        <w:t xml:space="preserve"> </w:t>
      </w:r>
      <w:r w:rsidRPr="0059559C">
        <w:rPr>
          <w:rFonts w:asciiTheme="minorHAnsi" w:hAnsiTheme="minorHAnsi" w:cstheme="minorHAnsi"/>
        </w:rPr>
        <w:t>it reflects an assumption that ‘if something happens online, it is accessed by an unres</w:t>
      </w:r>
      <w:r w:rsidR="00E87118" w:rsidRPr="0059559C">
        <w:rPr>
          <w:rFonts w:asciiTheme="minorHAnsi" w:hAnsiTheme="minorHAnsi" w:cstheme="minorHAnsi"/>
        </w:rPr>
        <w:t>tricted number of people</w:t>
      </w:r>
      <w:r w:rsidRPr="0059559C">
        <w:rPr>
          <w:rFonts w:asciiTheme="minorHAnsi" w:hAnsiTheme="minorHAnsi" w:cstheme="minorHAnsi"/>
        </w:rPr>
        <w:t>’</w:t>
      </w:r>
      <w:r w:rsidR="00E87118" w:rsidRPr="0059559C">
        <w:rPr>
          <w:rFonts w:asciiTheme="minorHAnsi" w:hAnsiTheme="minorHAnsi" w:cstheme="minorHAnsi"/>
        </w:rPr>
        <w:t xml:space="preserve"> (</w:t>
      </w:r>
      <w:proofErr w:type="spellStart"/>
      <w:r w:rsidR="00E87118" w:rsidRPr="0059559C">
        <w:rPr>
          <w:rFonts w:asciiTheme="minorHAnsi" w:hAnsiTheme="minorHAnsi" w:cstheme="minorHAnsi"/>
        </w:rPr>
        <w:t>Warso</w:t>
      </w:r>
      <w:proofErr w:type="spellEnd"/>
      <w:r w:rsidR="00E87118" w:rsidRPr="0059559C">
        <w:rPr>
          <w:rFonts w:asciiTheme="minorHAnsi" w:hAnsiTheme="minorHAnsi" w:cstheme="minorHAnsi"/>
        </w:rPr>
        <w:t>, 2013, p495-6).</w:t>
      </w:r>
      <w:r w:rsidRPr="0059559C">
        <w:rPr>
          <w:rFonts w:asciiTheme="minorHAnsi" w:hAnsiTheme="minorHAnsi" w:cstheme="minorHAnsi"/>
        </w:rPr>
        <w:t xml:space="preserve">  The CJEU’s position therefore is that consequently an online disclosure ‘must be “public”, and therefore the application of the personal/household exemption is out of question.’  </w:t>
      </w:r>
      <w:r w:rsidR="00EA4A19" w:rsidRPr="0059559C">
        <w:rPr>
          <w:rFonts w:asciiTheme="minorHAnsi" w:hAnsiTheme="minorHAnsi" w:cstheme="minorHAnsi"/>
        </w:rPr>
        <w:t xml:space="preserve">At the time of the </w:t>
      </w:r>
      <w:proofErr w:type="spellStart"/>
      <w:r w:rsidR="00EA4A19" w:rsidRPr="0059559C">
        <w:rPr>
          <w:rFonts w:asciiTheme="minorHAnsi" w:hAnsiTheme="minorHAnsi" w:cstheme="minorHAnsi"/>
        </w:rPr>
        <w:t>Lindqvist</w:t>
      </w:r>
      <w:proofErr w:type="spellEnd"/>
      <w:r w:rsidR="00EA4A19" w:rsidRPr="0059559C">
        <w:rPr>
          <w:rFonts w:asciiTheme="minorHAnsi" w:hAnsiTheme="minorHAnsi" w:cstheme="minorHAnsi"/>
        </w:rPr>
        <w:t xml:space="preserve"> decision </w:t>
      </w:r>
      <w:r w:rsidR="00A7397E" w:rsidRPr="0059559C">
        <w:rPr>
          <w:rFonts w:asciiTheme="minorHAnsi" w:hAnsiTheme="minorHAnsi" w:cstheme="minorHAnsi"/>
        </w:rPr>
        <w:t xml:space="preserve">websites such as </w:t>
      </w:r>
      <w:r w:rsidR="00EA4A19" w:rsidRPr="0059559C">
        <w:rPr>
          <w:rFonts w:asciiTheme="minorHAnsi" w:hAnsiTheme="minorHAnsi" w:cstheme="minorHAnsi"/>
        </w:rPr>
        <w:t>Twitter</w:t>
      </w:r>
      <w:r w:rsidR="00A7397E" w:rsidRPr="0059559C">
        <w:rPr>
          <w:rFonts w:asciiTheme="minorHAnsi" w:hAnsiTheme="minorHAnsi" w:cstheme="minorHAnsi"/>
        </w:rPr>
        <w:t>,</w:t>
      </w:r>
      <w:r w:rsidR="00EA4A19" w:rsidRPr="0059559C">
        <w:rPr>
          <w:rFonts w:asciiTheme="minorHAnsi" w:hAnsiTheme="minorHAnsi" w:cstheme="minorHAnsi"/>
        </w:rPr>
        <w:t xml:space="preserve"> Facebook</w:t>
      </w:r>
      <w:r w:rsidR="00A7397E" w:rsidRPr="0059559C">
        <w:rPr>
          <w:rFonts w:asciiTheme="minorHAnsi" w:hAnsiTheme="minorHAnsi" w:cstheme="minorHAnsi"/>
        </w:rPr>
        <w:t>, Instagram and Flickr had yet to be created;</w:t>
      </w:r>
      <w:r w:rsidR="00EA4A19" w:rsidRPr="0059559C">
        <w:rPr>
          <w:rFonts w:asciiTheme="minorHAnsi" w:hAnsiTheme="minorHAnsi" w:cstheme="minorHAnsi"/>
        </w:rPr>
        <w:t xml:space="preserve"> the extent to which individuals would use </w:t>
      </w:r>
      <w:r w:rsidR="00A7397E" w:rsidRPr="0059559C">
        <w:rPr>
          <w:rFonts w:asciiTheme="minorHAnsi" w:hAnsiTheme="minorHAnsi" w:cstheme="minorHAnsi"/>
        </w:rPr>
        <w:t>the internet</w:t>
      </w:r>
      <w:r w:rsidR="00EA4A19" w:rsidRPr="0059559C">
        <w:rPr>
          <w:rFonts w:asciiTheme="minorHAnsi" w:hAnsiTheme="minorHAnsi" w:cstheme="minorHAnsi"/>
        </w:rPr>
        <w:t xml:space="preserve"> to share information could not be foreseen.  The fact that individuals could choose whether to share information online with a select group, or the public </w:t>
      </w:r>
      <w:proofErr w:type="gramStart"/>
      <w:r w:rsidR="00EA4A19" w:rsidRPr="0059559C">
        <w:rPr>
          <w:rFonts w:asciiTheme="minorHAnsi" w:hAnsiTheme="minorHAnsi" w:cstheme="minorHAnsi"/>
        </w:rPr>
        <w:t>generall</w:t>
      </w:r>
      <w:r w:rsidRPr="0059559C">
        <w:rPr>
          <w:rFonts w:asciiTheme="minorHAnsi" w:hAnsiTheme="minorHAnsi" w:cstheme="minorHAnsi"/>
        </w:rPr>
        <w:t>y,</w:t>
      </w:r>
      <w:proofErr w:type="gramEnd"/>
      <w:r w:rsidRPr="0059559C">
        <w:rPr>
          <w:rFonts w:asciiTheme="minorHAnsi" w:hAnsiTheme="minorHAnsi" w:cstheme="minorHAnsi"/>
        </w:rPr>
        <w:t xml:space="preserve"> was simply not relevant in</w:t>
      </w:r>
      <w:r w:rsidR="00EA4A19" w:rsidRPr="0059559C">
        <w:rPr>
          <w:rFonts w:asciiTheme="minorHAnsi" w:hAnsiTheme="minorHAnsi" w:cstheme="minorHAnsi"/>
        </w:rPr>
        <w:t xml:space="preserve"> </w:t>
      </w:r>
      <w:proofErr w:type="spellStart"/>
      <w:r w:rsidR="00EA4A19" w:rsidRPr="0059559C">
        <w:rPr>
          <w:rFonts w:asciiTheme="minorHAnsi" w:hAnsiTheme="minorHAnsi" w:cstheme="minorHAnsi"/>
        </w:rPr>
        <w:t>Lindqvist</w:t>
      </w:r>
      <w:proofErr w:type="spellEnd"/>
      <w:r w:rsidR="00EA4A19" w:rsidRPr="0059559C">
        <w:rPr>
          <w:rFonts w:asciiTheme="minorHAnsi" w:hAnsiTheme="minorHAnsi" w:cstheme="minorHAnsi"/>
        </w:rPr>
        <w:t xml:space="preserve">.  </w:t>
      </w:r>
      <w:r w:rsidR="00A7397E" w:rsidRPr="0059559C">
        <w:rPr>
          <w:rFonts w:asciiTheme="minorHAnsi" w:hAnsiTheme="minorHAnsi" w:cstheme="minorHAnsi"/>
        </w:rPr>
        <w:t xml:space="preserve">Yet it is now undoubtedly the case that when an individual shares photographs on a social networking or </w:t>
      </w:r>
      <w:r w:rsidR="00C9191C" w:rsidRPr="0059559C">
        <w:rPr>
          <w:rFonts w:asciiTheme="minorHAnsi" w:hAnsiTheme="minorHAnsi" w:cstheme="minorHAnsi"/>
        </w:rPr>
        <w:t>photo sharing</w:t>
      </w:r>
      <w:r w:rsidR="00A7397E" w:rsidRPr="0059559C">
        <w:rPr>
          <w:rFonts w:asciiTheme="minorHAnsi" w:hAnsiTheme="minorHAnsi" w:cstheme="minorHAnsi"/>
        </w:rPr>
        <w:t xml:space="preserve"> site they may, if they know how, take steps to ensure that only ‘friends’ or ‘followers’ can view those photos.  Indeed across Europe, but </w:t>
      </w:r>
      <w:r w:rsidR="00A7397E" w:rsidRPr="0059559C">
        <w:rPr>
          <w:rFonts w:asciiTheme="minorHAnsi" w:hAnsiTheme="minorHAnsi" w:cstheme="minorHAnsi"/>
        </w:rPr>
        <w:lastRenderedPageBreak/>
        <w:t>particularly in the UK,</w:t>
      </w:r>
      <w:r w:rsidRPr="0059559C">
        <w:rPr>
          <w:rFonts w:asciiTheme="minorHAnsi" w:hAnsiTheme="minorHAnsi" w:cstheme="minorHAnsi"/>
        </w:rPr>
        <w:t xml:space="preserve"> many</w:t>
      </w:r>
      <w:r w:rsidR="00A7397E" w:rsidRPr="0059559C">
        <w:rPr>
          <w:rFonts w:asciiTheme="minorHAnsi" w:hAnsiTheme="minorHAnsi" w:cstheme="minorHAnsi"/>
        </w:rPr>
        <w:t xml:space="preserve"> individuals do take steps to change their privacy pr</w:t>
      </w:r>
      <w:r w:rsidRPr="0059559C">
        <w:rPr>
          <w:rFonts w:asciiTheme="minorHAnsi" w:hAnsiTheme="minorHAnsi" w:cstheme="minorHAnsi"/>
        </w:rPr>
        <w:t>ofiles in order to limit access (E</w:t>
      </w:r>
      <w:r w:rsidR="00120865" w:rsidRPr="0059559C">
        <w:rPr>
          <w:rFonts w:asciiTheme="minorHAnsi" w:hAnsiTheme="minorHAnsi" w:cstheme="minorHAnsi"/>
        </w:rPr>
        <w:t>uropean Commission, 2011</w:t>
      </w:r>
      <w:r w:rsidRPr="0059559C">
        <w:rPr>
          <w:rFonts w:asciiTheme="minorHAnsi" w:hAnsiTheme="minorHAnsi" w:cstheme="minorHAnsi"/>
        </w:rPr>
        <w:t>).</w:t>
      </w:r>
    </w:p>
    <w:p w14:paraId="2EEEEB4A" w14:textId="77777777" w:rsidR="007C198D" w:rsidRPr="0059559C" w:rsidRDefault="007C198D" w:rsidP="00724D5D">
      <w:pPr>
        <w:pStyle w:val="c01pointnumerotealtn"/>
        <w:spacing w:before="0" w:beforeAutospacing="0" w:after="0"/>
        <w:ind w:left="28" w:firstLine="0"/>
        <w:rPr>
          <w:rFonts w:asciiTheme="minorHAnsi" w:hAnsiTheme="minorHAnsi" w:cstheme="minorHAnsi"/>
        </w:rPr>
      </w:pPr>
    </w:p>
    <w:p w14:paraId="1EC54383" w14:textId="77777777" w:rsidR="00120577" w:rsidRPr="0059559C" w:rsidRDefault="00EA4A19" w:rsidP="00724D5D">
      <w:pPr>
        <w:pStyle w:val="c01pointnumerotealtn"/>
        <w:spacing w:before="0" w:beforeAutospacing="0" w:after="0"/>
        <w:ind w:left="28" w:firstLine="0"/>
        <w:rPr>
          <w:rFonts w:asciiTheme="minorHAnsi" w:hAnsiTheme="minorHAnsi" w:cstheme="minorHAnsi"/>
        </w:rPr>
      </w:pPr>
      <w:r w:rsidRPr="0059559C">
        <w:rPr>
          <w:rFonts w:asciiTheme="minorHAnsi" w:hAnsiTheme="minorHAnsi" w:cstheme="minorHAnsi"/>
        </w:rPr>
        <w:t xml:space="preserve">The ECJ cannot </w:t>
      </w:r>
      <w:r w:rsidR="00BF35A7" w:rsidRPr="0059559C">
        <w:rPr>
          <w:rFonts w:asciiTheme="minorHAnsi" w:hAnsiTheme="minorHAnsi" w:cstheme="minorHAnsi"/>
        </w:rPr>
        <w:t xml:space="preserve">perhaps </w:t>
      </w:r>
      <w:r w:rsidRPr="0059559C">
        <w:rPr>
          <w:rFonts w:asciiTheme="minorHAnsi" w:hAnsiTheme="minorHAnsi" w:cstheme="minorHAnsi"/>
        </w:rPr>
        <w:t>be blamed for not anticipating the technological changes that would ensue over the next ten years</w:t>
      </w:r>
      <w:r w:rsidR="00BF35A7" w:rsidRPr="0059559C">
        <w:rPr>
          <w:rFonts w:asciiTheme="minorHAnsi" w:hAnsiTheme="minorHAnsi" w:cstheme="minorHAnsi"/>
        </w:rPr>
        <w:t>, and thus for not foreseeing the wider implications of its decision</w:t>
      </w:r>
      <w:r w:rsidRPr="0059559C">
        <w:rPr>
          <w:rFonts w:asciiTheme="minorHAnsi" w:hAnsiTheme="minorHAnsi" w:cstheme="minorHAnsi"/>
        </w:rPr>
        <w:t xml:space="preserve">.  Indeed, none of the governments </w:t>
      </w:r>
      <w:proofErr w:type="gramStart"/>
      <w:r w:rsidRPr="0059559C">
        <w:rPr>
          <w:rFonts w:asciiTheme="minorHAnsi" w:hAnsiTheme="minorHAnsi" w:cstheme="minorHAnsi"/>
        </w:rPr>
        <w:t>submitting remarks</w:t>
      </w:r>
      <w:proofErr w:type="gramEnd"/>
      <w:r w:rsidRPr="0059559C">
        <w:rPr>
          <w:rFonts w:asciiTheme="minorHAnsi" w:hAnsiTheme="minorHAnsi" w:cstheme="minorHAnsi"/>
        </w:rPr>
        <w:t>, nor the Commission thought that Art 3(2) should apply.  The A</w:t>
      </w:r>
      <w:r w:rsidR="00E87118" w:rsidRPr="0059559C">
        <w:rPr>
          <w:rFonts w:asciiTheme="minorHAnsi" w:hAnsiTheme="minorHAnsi" w:cstheme="minorHAnsi"/>
        </w:rPr>
        <w:t xml:space="preserve">dvocate </w:t>
      </w:r>
      <w:r w:rsidR="00B7722D" w:rsidRPr="0059559C">
        <w:rPr>
          <w:rFonts w:asciiTheme="minorHAnsi" w:hAnsiTheme="minorHAnsi" w:cstheme="minorHAnsi"/>
        </w:rPr>
        <w:t>General</w:t>
      </w:r>
      <w:r w:rsidR="00894592" w:rsidRPr="0059559C">
        <w:rPr>
          <w:rFonts w:asciiTheme="minorHAnsi" w:hAnsiTheme="minorHAnsi" w:cstheme="minorHAnsi"/>
        </w:rPr>
        <w:t>, similarly,</w:t>
      </w:r>
      <w:r w:rsidRPr="0059559C">
        <w:rPr>
          <w:rFonts w:asciiTheme="minorHAnsi" w:hAnsiTheme="minorHAnsi" w:cstheme="minorHAnsi"/>
        </w:rPr>
        <w:t xml:space="preserve"> did not consider that activity wit</w:t>
      </w:r>
      <w:r w:rsidR="00BF35A7" w:rsidRPr="0059559C">
        <w:rPr>
          <w:rFonts w:asciiTheme="minorHAnsi" w:hAnsiTheme="minorHAnsi" w:cstheme="minorHAnsi"/>
        </w:rPr>
        <w:t>h a ‘strong social connotation’</w:t>
      </w:r>
      <w:r w:rsidRPr="0059559C">
        <w:rPr>
          <w:rFonts w:asciiTheme="minorHAnsi" w:hAnsiTheme="minorHAnsi" w:cstheme="minorHAnsi"/>
        </w:rPr>
        <w:t xml:space="preserve"> could be purely</w:t>
      </w:r>
      <w:r w:rsidR="00416AF8" w:rsidRPr="0059559C">
        <w:rPr>
          <w:rFonts w:asciiTheme="minorHAnsi" w:hAnsiTheme="minorHAnsi" w:cstheme="minorHAnsi"/>
        </w:rPr>
        <w:t xml:space="preserve"> personal or household activity, and indeed this was perhaps at the time a logical stance to have taken</w:t>
      </w:r>
      <w:r w:rsidR="00894592" w:rsidRPr="0059559C">
        <w:rPr>
          <w:rFonts w:asciiTheme="minorHAnsi" w:hAnsiTheme="minorHAnsi" w:cstheme="minorHAnsi"/>
        </w:rPr>
        <w:t>.</w:t>
      </w:r>
      <w:r w:rsidRPr="0059559C">
        <w:rPr>
          <w:rFonts w:asciiTheme="minorHAnsi" w:hAnsiTheme="minorHAnsi" w:cstheme="minorHAnsi"/>
        </w:rPr>
        <w:t xml:space="preserve">  The decision, </w:t>
      </w:r>
      <w:r w:rsidR="007D5A05" w:rsidRPr="0059559C">
        <w:rPr>
          <w:rFonts w:asciiTheme="minorHAnsi" w:hAnsiTheme="minorHAnsi" w:cstheme="minorHAnsi"/>
        </w:rPr>
        <w:t>nonetheless</w:t>
      </w:r>
      <w:r w:rsidRPr="0059559C">
        <w:rPr>
          <w:rFonts w:asciiTheme="minorHAnsi" w:hAnsiTheme="minorHAnsi" w:cstheme="minorHAnsi"/>
        </w:rPr>
        <w:t xml:space="preserve">, does pose challenges 10 years on.  </w:t>
      </w:r>
      <w:r w:rsidR="00120577" w:rsidRPr="0059559C">
        <w:rPr>
          <w:rFonts w:asciiTheme="minorHAnsi" w:hAnsiTheme="minorHAnsi" w:cstheme="minorHAnsi"/>
        </w:rPr>
        <w:t xml:space="preserve">It is </w:t>
      </w:r>
      <w:r w:rsidR="00346C4D" w:rsidRPr="0059559C">
        <w:rPr>
          <w:rFonts w:asciiTheme="minorHAnsi" w:hAnsiTheme="minorHAnsi" w:cstheme="minorHAnsi"/>
        </w:rPr>
        <w:t>presumably</w:t>
      </w:r>
      <w:r w:rsidR="00120577" w:rsidRPr="0059559C">
        <w:rPr>
          <w:rFonts w:asciiTheme="minorHAnsi" w:hAnsiTheme="minorHAnsi" w:cstheme="minorHAnsi"/>
        </w:rPr>
        <w:t xml:space="preserve"> for this very reason that the Article 29 </w:t>
      </w:r>
      <w:r w:rsidR="007D4BBA" w:rsidRPr="0059559C">
        <w:rPr>
          <w:rFonts w:asciiTheme="minorHAnsi" w:hAnsiTheme="minorHAnsi" w:cstheme="minorHAnsi"/>
        </w:rPr>
        <w:t xml:space="preserve">Data Protection </w:t>
      </w:r>
      <w:r w:rsidR="00120577" w:rsidRPr="0059559C">
        <w:rPr>
          <w:rFonts w:asciiTheme="minorHAnsi" w:hAnsiTheme="minorHAnsi" w:cstheme="minorHAnsi"/>
        </w:rPr>
        <w:t>Working Party</w:t>
      </w:r>
      <w:r w:rsidR="001A3339" w:rsidRPr="0059559C">
        <w:rPr>
          <w:rFonts w:asciiTheme="minorHAnsi" w:hAnsiTheme="minorHAnsi" w:cstheme="minorHAnsi"/>
        </w:rPr>
        <w:t xml:space="preserve"> (‘the Working Party’)</w:t>
      </w:r>
      <w:r w:rsidR="00B33944" w:rsidRPr="0059559C">
        <w:rPr>
          <w:rFonts w:asciiTheme="minorHAnsi" w:hAnsiTheme="minorHAnsi" w:cstheme="minorHAnsi"/>
        </w:rPr>
        <w:t xml:space="preserve"> have offered their opinion on how Article 3(2) should apply in the online context, specifically when individuals share information using social media</w:t>
      </w:r>
      <w:r w:rsidR="00473E5E" w:rsidRPr="0059559C">
        <w:rPr>
          <w:rFonts w:asciiTheme="minorHAnsi" w:hAnsiTheme="minorHAnsi" w:cstheme="minorHAnsi"/>
        </w:rPr>
        <w:t>.</w:t>
      </w:r>
      <w:r w:rsidR="00193416" w:rsidRPr="0059559C">
        <w:rPr>
          <w:rFonts w:asciiTheme="minorHAnsi" w:hAnsiTheme="minorHAnsi" w:cstheme="minorHAnsi"/>
        </w:rPr>
        <w:t xml:space="preserve"> </w:t>
      </w:r>
      <w:r w:rsidR="00777118" w:rsidRPr="0059559C">
        <w:rPr>
          <w:rFonts w:asciiTheme="minorHAnsi" w:hAnsiTheme="minorHAnsi" w:cstheme="minorHAnsi"/>
        </w:rPr>
        <w:t>I</w:t>
      </w:r>
      <w:r w:rsidR="00193416" w:rsidRPr="0059559C">
        <w:rPr>
          <w:rFonts w:asciiTheme="minorHAnsi" w:hAnsiTheme="minorHAnsi" w:cstheme="minorHAnsi"/>
        </w:rPr>
        <w:t xml:space="preserve">n doing so </w:t>
      </w:r>
      <w:r w:rsidR="00473E5E" w:rsidRPr="0059559C">
        <w:rPr>
          <w:rFonts w:asciiTheme="minorHAnsi" w:hAnsiTheme="minorHAnsi" w:cstheme="minorHAnsi"/>
        </w:rPr>
        <w:t xml:space="preserve">they </w:t>
      </w:r>
      <w:r w:rsidR="00E87118" w:rsidRPr="0059559C">
        <w:rPr>
          <w:rFonts w:asciiTheme="minorHAnsi" w:hAnsiTheme="minorHAnsi" w:cstheme="minorHAnsi"/>
        </w:rPr>
        <w:t xml:space="preserve">are </w:t>
      </w:r>
      <w:r w:rsidR="00473E5E" w:rsidRPr="0059559C">
        <w:rPr>
          <w:rFonts w:asciiTheme="minorHAnsi" w:hAnsiTheme="minorHAnsi" w:cstheme="minorHAnsi"/>
        </w:rPr>
        <w:t xml:space="preserve">undoubtedly </w:t>
      </w:r>
      <w:r w:rsidR="00E87118" w:rsidRPr="0059559C">
        <w:rPr>
          <w:rFonts w:asciiTheme="minorHAnsi" w:hAnsiTheme="minorHAnsi" w:cstheme="minorHAnsi"/>
        </w:rPr>
        <w:t xml:space="preserve">proposing a relaxation of </w:t>
      </w:r>
      <w:r w:rsidR="00193416" w:rsidRPr="0059559C">
        <w:rPr>
          <w:rFonts w:asciiTheme="minorHAnsi" w:hAnsiTheme="minorHAnsi" w:cstheme="minorHAnsi"/>
        </w:rPr>
        <w:t xml:space="preserve">the constraints </w:t>
      </w:r>
      <w:r w:rsidR="00E87118" w:rsidRPr="0059559C">
        <w:rPr>
          <w:rFonts w:asciiTheme="minorHAnsi" w:hAnsiTheme="minorHAnsi" w:cstheme="minorHAnsi"/>
        </w:rPr>
        <w:t xml:space="preserve">resulting from </w:t>
      </w:r>
      <w:proofErr w:type="spellStart"/>
      <w:r w:rsidR="00193416" w:rsidRPr="0059559C">
        <w:rPr>
          <w:rFonts w:asciiTheme="minorHAnsi" w:hAnsiTheme="minorHAnsi" w:cstheme="minorHAnsi"/>
        </w:rPr>
        <w:t>Lindqvist</w:t>
      </w:r>
      <w:proofErr w:type="spellEnd"/>
      <w:r w:rsidR="00193416" w:rsidRPr="0059559C">
        <w:rPr>
          <w:rFonts w:asciiTheme="minorHAnsi" w:hAnsiTheme="minorHAnsi" w:cstheme="minorHAnsi"/>
        </w:rPr>
        <w:t>.</w:t>
      </w:r>
    </w:p>
    <w:p w14:paraId="10BBB2F6" w14:textId="77777777" w:rsidR="007C198D" w:rsidRPr="0059559C" w:rsidRDefault="007C198D" w:rsidP="00724D5D">
      <w:pPr>
        <w:spacing w:after="0" w:line="240" w:lineRule="auto"/>
        <w:rPr>
          <w:rFonts w:cstheme="minorHAnsi"/>
          <w:sz w:val="24"/>
          <w:szCs w:val="24"/>
        </w:rPr>
      </w:pPr>
    </w:p>
    <w:p w14:paraId="0BCD4DF4" w14:textId="77777777" w:rsidR="001A3339" w:rsidRPr="0059559C" w:rsidRDefault="00B33944" w:rsidP="001A3339">
      <w:pPr>
        <w:pStyle w:val="c01pointnumerotealtn"/>
        <w:spacing w:before="0" w:beforeAutospacing="0" w:after="0"/>
        <w:ind w:left="28" w:firstLine="0"/>
        <w:rPr>
          <w:rFonts w:asciiTheme="minorHAnsi" w:hAnsiTheme="minorHAnsi" w:cstheme="minorHAnsi"/>
        </w:rPr>
      </w:pPr>
      <w:r w:rsidRPr="0059559C">
        <w:rPr>
          <w:rFonts w:asciiTheme="minorHAnsi" w:hAnsiTheme="minorHAnsi" w:cstheme="minorHAnsi"/>
        </w:rPr>
        <w:t xml:space="preserve">The Working Party </w:t>
      </w:r>
      <w:r w:rsidR="006259B8" w:rsidRPr="0059559C">
        <w:rPr>
          <w:rFonts w:asciiTheme="minorHAnsi" w:hAnsiTheme="minorHAnsi" w:cstheme="minorHAnsi"/>
        </w:rPr>
        <w:t xml:space="preserve">pragmatically </w:t>
      </w:r>
      <w:r w:rsidRPr="0059559C">
        <w:rPr>
          <w:rFonts w:asciiTheme="minorHAnsi" w:hAnsiTheme="minorHAnsi" w:cstheme="minorHAnsi"/>
        </w:rPr>
        <w:t xml:space="preserve">recognises </w:t>
      </w:r>
      <w:r w:rsidR="006259B8" w:rsidRPr="0059559C">
        <w:rPr>
          <w:rFonts w:asciiTheme="minorHAnsi" w:hAnsiTheme="minorHAnsi" w:cstheme="minorHAnsi"/>
        </w:rPr>
        <w:t xml:space="preserve">the need </w:t>
      </w:r>
      <w:r w:rsidRPr="0059559C">
        <w:rPr>
          <w:rFonts w:asciiTheme="minorHAnsi" w:hAnsiTheme="minorHAnsi" w:cstheme="minorHAnsi"/>
        </w:rPr>
        <w:t xml:space="preserve">to </w:t>
      </w:r>
      <w:r w:rsidR="006259B8" w:rsidRPr="0059559C">
        <w:rPr>
          <w:rFonts w:asciiTheme="minorHAnsi" w:hAnsiTheme="minorHAnsi" w:cstheme="minorHAnsi"/>
        </w:rPr>
        <w:t xml:space="preserve">accept that </w:t>
      </w:r>
      <w:r w:rsidRPr="0059559C">
        <w:rPr>
          <w:rFonts w:asciiTheme="minorHAnsi" w:hAnsiTheme="minorHAnsi" w:cstheme="minorHAnsi"/>
        </w:rPr>
        <w:t>the personal/household exem</w:t>
      </w:r>
      <w:r w:rsidR="001A3339" w:rsidRPr="0059559C">
        <w:rPr>
          <w:rFonts w:asciiTheme="minorHAnsi" w:hAnsiTheme="minorHAnsi" w:cstheme="minorHAnsi"/>
        </w:rPr>
        <w:t xml:space="preserve">ption </w:t>
      </w:r>
      <w:r w:rsidR="006259B8" w:rsidRPr="0059559C">
        <w:rPr>
          <w:rFonts w:asciiTheme="minorHAnsi" w:hAnsiTheme="minorHAnsi" w:cstheme="minorHAnsi"/>
        </w:rPr>
        <w:t xml:space="preserve">applies </w:t>
      </w:r>
      <w:r w:rsidR="001A3339" w:rsidRPr="0059559C">
        <w:rPr>
          <w:rFonts w:asciiTheme="minorHAnsi" w:hAnsiTheme="minorHAnsi" w:cstheme="minorHAnsi"/>
        </w:rPr>
        <w:t>to s</w:t>
      </w:r>
      <w:r w:rsidR="00120865" w:rsidRPr="0059559C">
        <w:rPr>
          <w:rFonts w:asciiTheme="minorHAnsi" w:hAnsiTheme="minorHAnsi" w:cstheme="minorHAnsi"/>
        </w:rPr>
        <w:t>ome online activities</w:t>
      </w:r>
      <w:r w:rsidR="006259B8" w:rsidRPr="0059559C">
        <w:rPr>
          <w:rFonts w:asciiTheme="minorHAnsi" w:hAnsiTheme="minorHAnsi" w:cstheme="minorHAnsi"/>
        </w:rPr>
        <w:t>.</w:t>
      </w:r>
      <w:r w:rsidRPr="0059559C">
        <w:rPr>
          <w:rFonts w:asciiTheme="minorHAnsi" w:hAnsiTheme="minorHAnsi" w:cstheme="minorHAnsi"/>
        </w:rPr>
        <w:t xml:space="preserve"> </w:t>
      </w:r>
      <w:r w:rsidR="001A3339" w:rsidRPr="0059559C">
        <w:rPr>
          <w:rFonts w:asciiTheme="minorHAnsi" w:hAnsiTheme="minorHAnsi" w:cstheme="minorHAnsi"/>
        </w:rPr>
        <w:t xml:space="preserve">Whether or not Article 3(2) does apply to online information sharing, will, </w:t>
      </w:r>
      <w:r w:rsidR="006259B8" w:rsidRPr="0059559C">
        <w:rPr>
          <w:rFonts w:asciiTheme="minorHAnsi" w:hAnsiTheme="minorHAnsi" w:cstheme="minorHAnsi"/>
        </w:rPr>
        <w:t xml:space="preserve">however, </w:t>
      </w:r>
      <w:r w:rsidR="001A3339" w:rsidRPr="0059559C">
        <w:rPr>
          <w:rFonts w:asciiTheme="minorHAnsi" w:hAnsiTheme="minorHAnsi" w:cstheme="minorHAnsi"/>
        </w:rPr>
        <w:t xml:space="preserve">according to the Working Party </w:t>
      </w:r>
      <w:proofErr w:type="gramStart"/>
      <w:r w:rsidR="001A3339" w:rsidRPr="0059559C">
        <w:rPr>
          <w:rFonts w:asciiTheme="minorHAnsi" w:hAnsiTheme="minorHAnsi" w:cstheme="minorHAnsi"/>
        </w:rPr>
        <w:t>be</w:t>
      </w:r>
      <w:proofErr w:type="gramEnd"/>
      <w:r w:rsidR="001A3339" w:rsidRPr="0059559C">
        <w:rPr>
          <w:rFonts w:asciiTheme="minorHAnsi" w:hAnsiTheme="minorHAnsi" w:cstheme="minorHAnsi"/>
        </w:rPr>
        <w:t xml:space="preserve"> essentially a matter of judgment in each case.</w:t>
      </w:r>
      <w:r w:rsidRPr="0059559C">
        <w:rPr>
          <w:rFonts w:asciiTheme="minorHAnsi" w:hAnsiTheme="minorHAnsi" w:cstheme="minorHAnsi"/>
        </w:rPr>
        <w:t xml:space="preserve">  </w:t>
      </w:r>
      <w:r w:rsidR="007D4BBA" w:rsidRPr="0059559C">
        <w:rPr>
          <w:rFonts w:asciiTheme="minorHAnsi" w:hAnsiTheme="minorHAnsi" w:cstheme="minorHAnsi"/>
        </w:rPr>
        <w:t xml:space="preserve">Crucially, </w:t>
      </w:r>
      <w:r w:rsidR="001A3339" w:rsidRPr="0059559C">
        <w:rPr>
          <w:rFonts w:asciiTheme="minorHAnsi" w:hAnsiTheme="minorHAnsi" w:cstheme="minorHAnsi"/>
        </w:rPr>
        <w:t xml:space="preserve">the Working Party acknowledges that many social network users change their privacy settings to limit access to material posted.  The Working Party thus introduces the concept of </w:t>
      </w:r>
      <w:r w:rsidR="007D4BBA" w:rsidRPr="0059559C">
        <w:rPr>
          <w:rFonts w:asciiTheme="minorHAnsi" w:hAnsiTheme="minorHAnsi" w:cstheme="minorHAnsi"/>
        </w:rPr>
        <w:t>‘access restriction’ (</w:t>
      </w:r>
      <w:proofErr w:type="spellStart"/>
      <w:r w:rsidR="007D4BBA" w:rsidRPr="0059559C">
        <w:rPr>
          <w:rFonts w:asciiTheme="minorHAnsi" w:hAnsiTheme="minorHAnsi" w:cstheme="minorHAnsi"/>
        </w:rPr>
        <w:t>Warso</w:t>
      </w:r>
      <w:proofErr w:type="spellEnd"/>
      <w:r w:rsidR="007D4BBA" w:rsidRPr="0059559C">
        <w:rPr>
          <w:rFonts w:asciiTheme="minorHAnsi" w:hAnsiTheme="minorHAnsi" w:cstheme="minorHAnsi"/>
        </w:rPr>
        <w:t xml:space="preserve">, 2013, p496).  Effectively in determining whether Article 3(2) applies it is necessary to consider </w:t>
      </w:r>
      <w:r w:rsidR="001A3339" w:rsidRPr="0059559C">
        <w:rPr>
          <w:rFonts w:asciiTheme="minorHAnsi" w:hAnsiTheme="minorHAnsi" w:cstheme="minorHAnsi"/>
        </w:rPr>
        <w:t>whether the user took steps</w:t>
      </w:r>
      <w:r w:rsidR="007D4BBA" w:rsidRPr="0059559C">
        <w:rPr>
          <w:rFonts w:asciiTheme="minorHAnsi" w:hAnsiTheme="minorHAnsi" w:cstheme="minorHAnsi"/>
        </w:rPr>
        <w:t xml:space="preserve"> to limit </w:t>
      </w:r>
      <w:r w:rsidR="001A3339" w:rsidRPr="0059559C">
        <w:rPr>
          <w:rFonts w:asciiTheme="minorHAnsi" w:hAnsiTheme="minorHAnsi" w:cstheme="minorHAnsi"/>
        </w:rPr>
        <w:t>accessibility of the information</w:t>
      </w:r>
      <w:r w:rsidR="007D4BBA" w:rsidRPr="0059559C">
        <w:rPr>
          <w:rFonts w:asciiTheme="minorHAnsi" w:hAnsiTheme="minorHAnsi" w:cstheme="minorHAnsi"/>
        </w:rPr>
        <w:t xml:space="preserve"> to </w:t>
      </w:r>
      <w:r w:rsidR="001A3339" w:rsidRPr="0059559C">
        <w:rPr>
          <w:rFonts w:asciiTheme="minorHAnsi" w:hAnsiTheme="minorHAnsi" w:cstheme="minorHAnsi"/>
        </w:rPr>
        <w:t xml:space="preserve">self-selected contacts </w:t>
      </w:r>
      <w:r w:rsidR="007D4BBA" w:rsidRPr="0059559C">
        <w:rPr>
          <w:rFonts w:asciiTheme="minorHAnsi" w:hAnsiTheme="minorHAnsi" w:cstheme="minorHAnsi"/>
        </w:rPr>
        <w:t>or allowed it to be made</w:t>
      </w:r>
      <w:r w:rsidR="001A3339" w:rsidRPr="0059559C">
        <w:rPr>
          <w:rFonts w:asciiTheme="minorHAnsi" w:hAnsiTheme="minorHAnsi" w:cstheme="minorHAnsi"/>
        </w:rPr>
        <w:t xml:space="preserve"> available either to all members </w:t>
      </w:r>
      <w:r w:rsidR="007D4BBA" w:rsidRPr="0059559C">
        <w:rPr>
          <w:rFonts w:asciiTheme="minorHAnsi" w:hAnsiTheme="minorHAnsi" w:cstheme="minorHAnsi"/>
        </w:rPr>
        <w:t xml:space="preserve">of a social network, or to be publically available </w:t>
      </w:r>
      <w:r w:rsidR="001A3339" w:rsidRPr="0059559C">
        <w:rPr>
          <w:rFonts w:asciiTheme="minorHAnsi" w:hAnsiTheme="minorHAnsi" w:cstheme="minorHAnsi"/>
        </w:rPr>
        <w:t xml:space="preserve">and </w:t>
      </w:r>
      <w:proofErr w:type="spellStart"/>
      <w:r w:rsidR="001A3339" w:rsidRPr="0059559C">
        <w:rPr>
          <w:rFonts w:asciiTheme="minorHAnsi" w:hAnsiTheme="minorHAnsi" w:cstheme="minorHAnsi"/>
        </w:rPr>
        <w:t>indexable</w:t>
      </w:r>
      <w:proofErr w:type="spellEnd"/>
      <w:r w:rsidR="001A3339" w:rsidRPr="0059559C">
        <w:rPr>
          <w:rFonts w:asciiTheme="minorHAnsi" w:hAnsiTheme="minorHAnsi" w:cstheme="minorHAnsi"/>
        </w:rPr>
        <w:t xml:space="preserve"> by search engine. It is </w:t>
      </w:r>
      <w:r w:rsidR="007D4BBA" w:rsidRPr="0059559C">
        <w:rPr>
          <w:rFonts w:asciiTheme="minorHAnsi" w:hAnsiTheme="minorHAnsi" w:cstheme="minorHAnsi"/>
        </w:rPr>
        <w:t xml:space="preserve">the Working Party’s submission, therefore, </w:t>
      </w:r>
      <w:r w:rsidR="001A3339" w:rsidRPr="0059559C">
        <w:rPr>
          <w:rFonts w:asciiTheme="minorHAnsi" w:hAnsiTheme="minorHAnsi" w:cstheme="minorHAnsi"/>
        </w:rPr>
        <w:t>that ‘[a] high number of contacts could be an indication that the household exception does not apply’ or, alternatively, that if a user takes an informed decision to extend access beyond self-selected ‘friends’ they then acquire data controller responsibilities and are subject to the same legal regime as applies to any person who pub</w:t>
      </w:r>
      <w:r w:rsidR="006259B8" w:rsidRPr="0059559C">
        <w:rPr>
          <w:rFonts w:asciiTheme="minorHAnsi" w:hAnsiTheme="minorHAnsi" w:cstheme="minorHAnsi"/>
        </w:rPr>
        <w:t>lishes personal data on the web</w:t>
      </w:r>
      <w:r w:rsidR="001A3339" w:rsidRPr="0059559C">
        <w:rPr>
          <w:rFonts w:asciiTheme="minorHAnsi" w:hAnsiTheme="minorHAnsi" w:cstheme="minorHAnsi"/>
        </w:rPr>
        <w:t>’</w:t>
      </w:r>
      <w:r w:rsidR="006259B8" w:rsidRPr="0059559C">
        <w:rPr>
          <w:rFonts w:asciiTheme="minorHAnsi" w:hAnsiTheme="minorHAnsi" w:cstheme="minorHAnsi"/>
        </w:rPr>
        <w:t xml:space="preserve"> (Working Party, 2009, p6).</w:t>
      </w:r>
      <w:r w:rsidR="001A3339" w:rsidRPr="0059559C">
        <w:rPr>
          <w:rFonts w:asciiTheme="minorHAnsi" w:hAnsiTheme="minorHAnsi" w:cstheme="minorHAnsi"/>
        </w:rPr>
        <w:t xml:space="preserve">  Similarly, if a social network user ‘acts on behalf of a company or association, or uses the SNS mainly as a platform to advance commercial, political or charitable goal</w:t>
      </w:r>
      <w:r w:rsidR="007D4BBA" w:rsidRPr="0059559C">
        <w:rPr>
          <w:rFonts w:asciiTheme="minorHAnsi" w:hAnsiTheme="minorHAnsi" w:cstheme="minorHAnsi"/>
        </w:rPr>
        <w:t>s, the exception does not apply</w:t>
      </w:r>
      <w:r w:rsidR="001A3339" w:rsidRPr="0059559C">
        <w:rPr>
          <w:rFonts w:asciiTheme="minorHAnsi" w:hAnsiTheme="minorHAnsi" w:cstheme="minorHAnsi"/>
        </w:rPr>
        <w:t>’</w:t>
      </w:r>
      <w:r w:rsidR="007D4BBA" w:rsidRPr="0059559C">
        <w:rPr>
          <w:rFonts w:asciiTheme="minorHAnsi" w:hAnsiTheme="minorHAnsi" w:cstheme="minorHAnsi"/>
        </w:rPr>
        <w:t xml:space="preserve"> (Working Party, 2009</w:t>
      </w:r>
      <w:r w:rsidR="006259B8" w:rsidRPr="0059559C">
        <w:rPr>
          <w:rFonts w:asciiTheme="minorHAnsi" w:hAnsiTheme="minorHAnsi" w:cstheme="minorHAnsi"/>
        </w:rPr>
        <w:t>, p6</w:t>
      </w:r>
      <w:r w:rsidR="007D4BBA" w:rsidRPr="0059559C">
        <w:rPr>
          <w:rFonts w:asciiTheme="minorHAnsi" w:hAnsiTheme="minorHAnsi" w:cstheme="minorHAnsi"/>
        </w:rPr>
        <w:t xml:space="preserve">). </w:t>
      </w:r>
    </w:p>
    <w:p w14:paraId="5E344129" w14:textId="77777777" w:rsidR="007C198D" w:rsidRPr="0059559C" w:rsidRDefault="007C198D" w:rsidP="00724D5D">
      <w:pPr>
        <w:pStyle w:val="c01pointnumerotealtn"/>
        <w:spacing w:before="0" w:beforeAutospacing="0" w:after="0"/>
        <w:ind w:left="28" w:firstLine="0"/>
        <w:rPr>
          <w:rFonts w:asciiTheme="minorHAnsi" w:hAnsiTheme="minorHAnsi" w:cstheme="minorHAnsi"/>
        </w:rPr>
      </w:pPr>
    </w:p>
    <w:p w14:paraId="15B4B297" w14:textId="77777777" w:rsidR="00193416" w:rsidRPr="0059559C" w:rsidRDefault="00B33944" w:rsidP="00724D5D">
      <w:pPr>
        <w:spacing w:after="0" w:line="240" w:lineRule="auto"/>
        <w:rPr>
          <w:rFonts w:cstheme="minorHAnsi"/>
          <w:sz w:val="24"/>
          <w:szCs w:val="24"/>
        </w:rPr>
      </w:pPr>
      <w:r w:rsidRPr="0059559C">
        <w:rPr>
          <w:rFonts w:cstheme="minorHAnsi"/>
          <w:sz w:val="24"/>
          <w:szCs w:val="24"/>
        </w:rPr>
        <w:t>There is certainly</w:t>
      </w:r>
      <w:r w:rsidR="007D4BBA" w:rsidRPr="0059559C">
        <w:rPr>
          <w:rFonts w:cstheme="minorHAnsi"/>
          <w:sz w:val="24"/>
          <w:szCs w:val="24"/>
        </w:rPr>
        <w:t xml:space="preserve"> </w:t>
      </w:r>
      <w:r w:rsidRPr="0059559C">
        <w:rPr>
          <w:rFonts w:cstheme="minorHAnsi"/>
          <w:sz w:val="24"/>
          <w:szCs w:val="24"/>
        </w:rPr>
        <w:t xml:space="preserve">much to be recommended in the Working Party’s opinion, which </w:t>
      </w:r>
      <w:r w:rsidR="007D4BBA" w:rsidRPr="0059559C">
        <w:rPr>
          <w:rFonts w:cstheme="minorHAnsi"/>
          <w:sz w:val="24"/>
          <w:szCs w:val="24"/>
        </w:rPr>
        <w:t xml:space="preserve">now </w:t>
      </w:r>
      <w:r w:rsidR="001A3339" w:rsidRPr="0059559C">
        <w:rPr>
          <w:rFonts w:cstheme="minorHAnsi"/>
          <w:sz w:val="24"/>
          <w:szCs w:val="24"/>
        </w:rPr>
        <w:t xml:space="preserve">answers a key question that </w:t>
      </w:r>
      <w:proofErr w:type="spellStart"/>
      <w:r w:rsidR="001A3339" w:rsidRPr="0059559C">
        <w:rPr>
          <w:rFonts w:cstheme="minorHAnsi"/>
          <w:sz w:val="24"/>
          <w:szCs w:val="24"/>
        </w:rPr>
        <w:t>Lindqvist</w:t>
      </w:r>
      <w:proofErr w:type="spellEnd"/>
      <w:r w:rsidR="001A3339" w:rsidRPr="0059559C">
        <w:rPr>
          <w:rFonts w:cstheme="minorHAnsi"/>
          <w:sz w:val="24"/>
          <w:szCs w:val="24"/>
        </w:rPr>
        <w:t xml:space="preserve"> failed to, indeed had no need to answer; how does the second limb of Article 3(2) apply when an individual is sharing information online, but only with a limited number of friends or contacts?   </w:t>
      </w:r>
      <w:r w:rsidRPr="0059559C">
        <w:rPr>
          <w:rFonts w:cstheme="minorHAnsi"/>
          <w:sz w:val="24"/>
          <w:szCs w:val="24"/>
        </w:rPr>
        <w:t>It still, however, undoubtedly, leaves questions to be answered</w:t>
      </w:r>
      <w:r w:rsidR="005D685B" w:rsidRPr="0059559C">
        <w:rPr>
          <w:rFonts w:cstheme="minorHAnsi"/>
          <w:sz w:val="24"/>
          <w:szCs w:val="24"/>
        </w:rPr>
        <w:t xml:space="preserve"> about how far the ‘personal’ and ‘household’ sphere actually extends</w:t>
      </w:r>
      <w:r w:rsidR="006259B8" w:rsidRPr="0059559C">
        <w:rPr>
          <w:rFonts w:cstheme="minorHAnsi"/>
          <w:sz w:val="24"/>
          <w:szCs w:val="24"/>
        </w:rPr>
        <w:t xml:space="preserve"> (</w:t>
      </w:r>
      <w:proofErr w:type="spellStart"/>
      <w:r w:rsidR="006259B8" w:rsidRPr="0059559C">
        <w:rPr>
          <w:rFonts w:cstheme="minorHAnsi"/>
          <w:sz w:val="24"/>
          <w:szCs w:val="24"/>
        </w:rPr>
        <w:t>Korff</w:t>
      </w:r>
      <w:proofErr w:type="spellEnd"/>
      <w:r w:rsidR="006259B8" w:rsidRPr="0059559C">
        <w:rPr>
          <w:rFonts w:cstheme="minorHAnsi"/>
          <w:sz w:val="24"/>
          <w:szCs w:val="24"/>
        </w:rPr>
        <w:t>, 2010</w:t>
      </w:r>
      <w:r w:rsidR="007D4BBA" w:rsidRPr="0059559C">
        <w:rPr>
          <w:rFonts w:cstheme="minorHAnsi"/>
          <w:sz w:val="24"/>
          <w:szCs w:val="24"/>
        </w:rPr>
        <w:t>).</w:t>
      </w:r>
      <w:r w:rsidR="005D685B" w:rsidRPr="0059559C">
        <w:rPr>
          <w:rFonts w:cstheme="minorHAnsi"/>
          <w:sz w:val="24"/>
          <w:szCs w:val="24"/>
        </w:rPr>
        <w:t xml:space="preserve">  Furthermore, a</w:t>
      </w:r>
      <w:r w:rsidRPr="0059559C">
        <w:rPr>
          <w:rFonts w:cstheme="minorHAnsi"/>
          <w:sz w:val="24"/>
          <w:szCs w:val="24"/>
        </w:rPr>
        <w:t xml:space="preserve">s </w:t>
      </w:r>
      <w:proofErr w:type="spellStart"/>
      <w:r w:rsidRPr="0059559C">
        <w:rPr>
          <w:rFonts w:cstheme="minorHAnsi"/>
          <w:sz w:val="24"/>
          <w:szCs w:val="24"/>
        </w:rPr>
        <w:t>Warso</w:t>
      </w:r>
      <w:proofErr w:type="spellEnd"/>
      <w:r w:rsidRPr="0059559C">
        <w:rPr>
          <w:rFonts w:cstheme="minorHAnsi"/>
          <w:sz w:val="24"/>
          <w:szCs w:val="24"/>
        </w:rPr>
        <w:t xml:space="preserve"> notes</w:t>
      </w:r>
      <w:r w:rsidR="007D4BBA" w:rsidRPr="0059559C">
        <w:rPr>
          <w:rFonts w:cstheme="minorHAnsi"/>
          <w:sz w:val="24"/>
          <w:szCs w:val="24"/>
        </w:rPr>
        <w:t xml:space="preserve"> (2013, p496)</w:t>
      </w:r>
      <w:r w:rsidRPr="0059559C">
        <w:rPr>
          <w:rFonts w:cstheme="minorHAnsi"/>
          <w:sz w:val="24"/>
          <w:szCs w:val="24"/>
        </w:rPr>
        <w:t xml:space="preserve"> </w:t>
      </w:r>
      <w:r w:rsidR="00473E5E" w:rsidRPr="0059559C">
        <w:rPr>
          <w:rFonts w:cstheme="minorHAnsi"/>
          <w:sz w:val="24"/>
          <w:szCs w:val="24"/>
        </w:rPr>
        <w:t xml:space="preserve">the </w:t>
      </w:r>
      <w:r w:rsidRPr="0059559C">
        <w:rPr>
          <w:rFonts w:cstheme="minorHAnsi"/>
          <w:sz w:val="24"/>
          <w:szCs w:val="24"/>
        </w:rPr>
        <w:t xml:space="preserve">‘approach where the onus is placed on the user to restrict access to their pages to a defined group is based on the dichotomy of “private” and “public”.  The criterion used by the </w:t>
      </w:r>
      <w:r w:rsidR="007D4BBA" w:rsidRPr="0059559C">
        <w:rPr>
          <w:rFonts w:cstheme="minorHAnsi"/>
          <w:sz w:val="24"/>
          <w:szCs w:val="24"/>
        </w:rPr>
        <w:t>[</w:t>
      </w:r>
      <w:r w:rsidRPr="0059559C">
        <w:rPr>
          <w:rFonts w:cstheme="minorHAnsi"/>
          <w:sz w:val="24"/>
          <w:szCs w:val="24"/>
        </w:rPr>
        <w:t>W</w:t>
      </w:r>
      <w:r w:rsidR="007D4BBA" w:rsidRPr="0059559C">
        <w:rPr>
          <w:rFonts w:cstheme="minorHAnsi"/>
          <w:sz w:val="24"/>
          <w:szCs w:val="24"/>
        </w:rPr>
        <w:t xml:space="preserve">orking </w:t>
      </w:r>
      <w:r w:rsidRPr="0059559C">
        <w:rPr>
          <w:rFonts w:cstheme="minorHAnsi"/>
          <w:sz w:val="24"/>
          <w:szCs w:val="24"/>
        </w:rPr>
        <w:t>P</w:t>
      </w:r>
      <w:r w:rsidR="007D4BBA" w:rsidRPr="0059559C">
        <w:rPr>
          <w:rFonts w:cstheme="minorHAnsi"/>
          <w:sz w:val="24"/>
          <w:szCs w:val="24"/>
        </w:rPr>
        <w:t>arty]</w:t>
      </w:r>
      <w:r w:rsidRPr="0059559C">
        <w:rPr>
          <w:rFonts w:cstheme="minorHAnsi"/>
          <w:sz w:val="24"/>
          <w:szCs w:val="24"/>
        </w:rPr>
        <w:t xml:space="preserve"> may … however, prove incompatible with reality as daily experience shows that the borders of the private and public spheres are often blurry, and that the notions of private and public rather than constituting a binary opposition, form a continuum.  Also in the online context, various types of content are positioned at different points within this continuum.  At one end </w:t>
      </w:r>
      <w:proofErr w:type="gramStart"/>
      <w:r w:rsidRPr="0059559C">
        <w:rPr>
          <w:rFonts w:cstheme="minorHAnsi"/>
          <w:sz w:val="24"/>
          <w:szCs w:val="24"/>
        </w:rPr>
        <w:t>are</w:t>
      </w:r>
      <w:proofErr w:type="gramEnd"/>
      <w:r w:rsidRPr="0059559C">
        <w:rPr>
          <w:rFonts w:cstheme="minorHAnsi"/>
          <w:sz w:val="24"/>
          <w:szCs w:val="24"/>
        </w:rPr>
        <w:t xml:space="preserve"> data published seeking broad dissemination, at the other, that, which although in the open </w:t>
      </w:r>
      <w:r w:rsidRPr="0059559C">
        <w:rPr>
          <w:rFonts w:cstheme="minorHAnsi"/>
          <w:sz w:val="24"/>
          <w:szCs w:val="24"/>
        </w:rPr>
        <w:lastRenderedPageBreak/>
        <w:t>and public space of the Internet, are not intended for mass communication (or mass communication in aggregate).</w:t>
      </w:r>
      <w:r w:rsidR="005D685B" w:rsidRPr="0059559C">
        <w:rPr>
          <w:rFonts w:cstheme="minorHAnsi"/>
          <w:sz w:val="24"/>
          <w:szCs w:val="24"/>
        </w:rPr>
        <w:t xml:space="preserve">’ </w:t>
      </w:r>
    </w:p>
    <w:p w14:paraId="50340586" w14:textId="77777777" w:rsidR="007C198D" w:rsidRPr="0059559C" w:rsidRDefault="007C198D" w:rsidP="00724D5D">
      <w:pPr>
        <w:spacing w:after="0" w:line="240" w:lineRule="auto"/>
        <w:rPr>
          <w:rFonts w:cstheme="minorHAnsi"/>
          <w:sz w:val="24"/>
          <w:szCs w:val="24"/>
        </w:rPr>
      </w:pPr>
    </w:p>
    <w:p w14:paraId="76C4C822" w14:textId="4ECFCD3E" w:rsidR="00346C4D" w:rsidRPr="0059559C" w:rsidRDefault="00346C4D" w:rsidP="00724D5D">
      <w:pPr>
        <w:pStyle w:val="c01pointnumerotealtn"/>
        <w:spacing w:before="0" w:beforeAutospacing="0" w:after="0"/>
        <w:ind w:left="28" w:firstLine="0"/>
        <w:rPr>
          <w:rFonts w:asciiTheme="minorHAnsi" w:hAnsiTheme="minorHAnsi" w:cstheme="minorHAnsi"/>
        </w:rPr>
      </w:pPr>
      <w:r w:rsidRPr="0059559C">
        <w:rPr>
          <w:rFonts w:asciiTheme="minorHAnsi" w:hAnsiTheme="minorHAnsi" w:cstheme="minorHAnsi"/>
        </w:rPr>
        <w:t xml:space="preserve">These are not, however, the only concerns that must be raised about the </w:t>
      </w:r>
      <w:r w:rsidR="00495720" w:rsidRPr="0059559C">
        <w:rPr>
          <w:rFonts w:asciiTheme="minorHAnsi" w:hAnsiTheme="minorHAnsi" w:cstheme="minorHAnsi"/>
        </w:rPr>
        <w:t xml:space="preserve">European interpretation of the personal and household exemption.  </w:t>
      </w:r>
      <w:r w:rsidRPr="0059559C">
        <w:rPr>
          <w:rFonts w:asciiTheme="minorHAnsi" w:hAnsiTheme="minorHAnsi" w:cstheme="minorHAnsi"/>
        </w:rPr>
        <w:t xml:space="preserve">  </w:t>
      </w:r>
      <w:r w:rsidR="00495720" w:rsidRPr="0059559C">
        <w:rPr>
          <w:rFonts w:asciiTheme="minorHAnsi" w:hAnsiTheme="minorHAnsi" w:cstheme="minorHAnsi"/>
        </w:rPr>
        <w:t>The Working Party make an interesting comment, in suggesting that an individual who shares information online but cannot rely on Article 3(2) due to the extent of dissemination, may be considered to have ‘taken on some of the responsibilities of a data controller’.  In reality</w:t>
      </w:r>
      <w:r w:rsidR="009E4696" w:rsidRPr="0059559C">
        <w:rPr>
          <w:rFonts w:asciiTheme="minorHAnsi" w:hAnsiTheme="minorHAnsi" w:cstheme="minorHAnsi"/>
        </w:rPr>
        <w:t>, however,</w:t>
      </w:r>
      <w:r w:rsidR="00495720" w:rsidRPr="0059559C">
        <w:rPr>
          <w:rFonts w:asciiTheme="minorHAnsi" w:hAnsiTheme="minorHAnsi" w:cstheme="minorHAnsi"/>
        </w:rPr>
        <w:t xml:space="preserve"> t</w:t>
      </w:r>
      <w:r w:rsidRPr="0059559C">
        <w:rPr>
          <w:rFonts w:asciiTheme="minorHAnsi" w:hAnsiTheme="minorHAnsi" w:cstheme="minorHAnsi"/>
        </w:rPr>
        <w:t xml:space="preserve">he outcome of the </w:t>
      </w:r>
      <w:proofErr w:type="spellStart"/>
      <w:r w:rsidRPr="0059559C">
        <w:rPr>
          <w:rFonts w:asciiTheme="minorHAnsi" w:hAnsiTheme="minorHAnsi" w:cstheme="minorHAnsi"/>
        </w:rPr>
        <w:t>Lindqvist</w:t>
      </w:r>
      <w:proofErr w:type="spellEnd"/>
      <w:r w:rsidRPr="0059559C">
        <w:rPr>
          <w:rFonts w:asciiTheme="minorHAnsi" w:hAnsiTheme="minorHAnsi" w:cstheme="minorHAnsi"/>
        </w:rPr>
        <w:t xml:space="preserve"> decision </w:t>
      </w:r>
      <w:r w:rsidR="00495720" w:rsidRPr="0059559C">
        <w:rPr>
          <w:rFonts w:asciiTheme="minorHAnsi" w:hAnsiTheme="minorHAnsi" w:cstheme="minorHAnsi"/>
        </w:rPr>
        <w:t xml:space="preserve">is that </w:t>
      </w:r>
      <w:r w:rsidRPr="0059559C">
        <w:rPr>
          <w:rFonts w:asciiTheme="minorHAnsi" w:hAnsiTheme="minorHAnsi" w:cstheme="minorHAnsi"/>
        </w:rPr>
        <w:t>the same regulatory scheme applies to all online entities,</w:t>
      </w:r>
      <w:r w:rsidR="009E4696" w:rsidRPr="0059559C">
        <w:rPr>
          <w:rFonts w:asciiTheme="minorHAnsi" w:hAnsiTheme="minorHAnsi" w:cstheme="minorHAnsi"/>
        </w:rPr>
        <w:t xml:space="preserve"> irrespective of their lega</w:t>
      </w:r>
      <w:r w:rsidR="006259B8" w:rsidRPr="0059559C">
        <w:rPr>
          <w:rFonts w:asciiTheme="minorHAnsi" w:hAnsiTheme="minorHAnsi" w:cstheme="minorHAnsi"/>
        </w:rPr>
        <w:t>l status or the purpose</w:t>
      </w:r>
      <w:r w:rsidRPr="0059559C">
        <w:rPr>
          <w:rFonts w:asciiTheme="minorHAnsi" w:hAnsiTheme="minorHAnsi" w:cstheme="minorHAnsi"/>
        </w:rPr>
        <w:t xml:space="preserve"> </w:t>
      </w:r>
      <w:r w:rsidR="009E4696" w:rsidRPr="0059559C">
        <w:rPr>
          <w:rFonts w:asciiTheme="minorHAnsi" w:hAnsiTheme="minorHAnsi" w:cstheme="minorHAnsi"/>
        </w:rPr>
        <w:t>of their posts</w:t>
      </w:r>
      <w:r w:rsidR="007D4BBA" w:rsidRPr="0059559C">
        <w:rPr>
          <w:rFonts w:asciiTheme="minorHAnsi" w:hAnsiTheme="minorHAnsi" w:cstheme="minorHAnsi"/>
        </w:rPr>
        <w:t>.</w:t>
      </w:r>
      <w:r w:rsidRPr="0059559C">
        <w:rPr>
          <w:rFonts w:asciiTheme="minorHAnsi" w:hAnsiTheme="minorHAnsi" w:cstheme="minorHAnsi"/>
        </w:rPr>
        <w:t xml:space="preserve"> </w:t>
      </w:r>
      <w:r w:rsidR="00495720" w:rsidRPr="0059559C">
        <w:rPr>
          <w:rFonts w:asciiTheme="minorHAnsi" w:hAnsiTheme="minorHAnsi" w:cstheme="minorHAnsi"/>
        </w:rPr>
        <w:t xml:space="preserve">Whether </w:t>
      </w:r>
      <w:r w:rsidRPr="0059559C">
        <w:rPr>
          <w:rFonts w:asciiTheme="minorHAnsi" w:hAnsiTheme="minorHAnsi" w:cstheme="minorHAnsi"/>
        </w:rPr>
        <w:t>this is what the drafters of the Directive would have intended is debatable.  Pragmatically</w:t>
      </w:r>
      <w:r w:rsidR="007D4BBA" w:rsidRPr="0059559C">
        <w:rPr>
          <w:rFonts w:asciiTheme="minorHAnsi" w:hAnsiTheme="minorHAnsi" w:cstheme="minorHAnsi"/>
        </w:rPr>
        <w:t xml:space="preserve">, is it </w:t>
      </w:r>
      <w:r w:rsidRPr="0059559C">
        <w:rPr>
          <w:rFonts w:asciiTheme="minorHAnsi" w:hAnsiTheme="minorHAnsi" w:cstheme="minorHAnsi"/>
        </w:rPr>
        <w:t>feasible for Member States to ensure that every individual who makes third party personal information available online complies with</w:t>
      </w:r>
      <w:r w:rsidR="007D4BBA" w:rsidRPr="0059559C">
        <w:rPr>
          <w:rFonts w:asciiTheme="minorHAnsi" w:hAnsiTheme="minorHAnsi" w:cstheme="minorHAnsi"/>
        </w:rPr>
        <w:t xml:space="preserve"> the Directive?</w:t>
      </w:r>
      <w:r w:rsidRPr="0059559C">
        <w:rPr>
          <w:rFonts w:asciiTheme="minorHAnsi" w:hAnsiTheme="minorHAnsi" w:cstheme="minorHAnsi"/>
        </w:rPr>
        <w:t xml:space="preserve">  </w:t>
      </w:r>
      <w:r w:rsidR="00495720" w:rsidRPr="0059559C">
        <w:rPr>
          <w:rFonts w:asciiTheme="minorHAnsi" w:hAnsiTheme="minorHAnsi" w:cstheme="minorHAnsi"/>
        </w:rPr>
        <w:t xml:space="preserve">An obvious alternative might be to grant </w:t>
      </w:r>
      <w:r w:rsidRPr="0059559C">
        <w:rPr>
          <w:rFonts w:asciiTheme="minorHAnsi" w:hAnsiTheme="minorHAnsi" w:cstheme="minorHAnsi"/>
        </w:rPr>
        <w:t>a full exemption from data protection requirements to anyone who uploads materials to the Internet as a pr</w:t>
      </w:r>
      <w:r w:rsidR="00495720" w:rsidRPr="0059559C">
        <w:rPr>
          <w:rFonts w:asciiTheme="minorHAnsi" w:hAnsiTheme="minorHAnsi" w:cstheme="minorHAnsi"/>
        </w:rPr>
        <w:t xml:space="preserve">ivate individual.  The problem with this, however, </w:t>
      </w:r>
      <w:r w:rsidRPr="0059559C">
        <w:rPr>
          <w:rFonts w:asciiTheme="minorHAnsi" w:hAnsiTheme="minorHAnsi" w:cstheme="minorHAnsi"/>
        </w:rPr>
        <w:t xml:space="preserve">would </w:t>
      </w:r>
      <w:r w:rsidR="00495720" w:rsidRPr="0059559C">
        <w:rPr>
          <w:rFonts w:asciiTheme="minorHAnsi" w:hAnsiTheme="minorHAnsi" w:cstheme="minorHAnsi"/>
        </w:rPr>
        <w:t xml:space="preserve">be to </w:t>
      </w:r>
      <w:r w:rsidRPr="0059559C">
        <w:rPr>
          <w:rFonts w:asciiTheme="minorHAnsi" w:hAnsiTheme="minorHAnsi" w:cstheme="minorHAnsi"/>
        </w:rPr>
        <w:t>fundamentally undermine data pr</w:t>
      </w:r>
      <w:r w:rsidR="005F37DB" w:rsidRPr="0059559C">
        <w:rPr>
          <w:rFonts w:asciiTheme="minorHAnsi" w:hAnsiTheme="minorHAnsi" w:cstheme="minorHAnsi"/>
        </w:rPr>
        <w:t>otection</w:t>
      </w:r>
      <w:r w:rsidRPr="0059559C">
        <w:rPr>
          <w:rFonts w:asciiTheme="minorHAnsi" w:hAnsiTheme="minorHAnsi" w:cstheme="minorHAnsi"/>
        </w:rPr>
        <w:t xml:space="preserve">.  </w:t>
      </w:r>
      <w:r w:rsidR="00495720" w:rsidRPr="0059559C">
        <w:rPr>
          <w:rFonts w:asciiTheme="minorHAnsi" w:hAnsiTheme="minorHAnsi" w:cstheme="minorHAnsi"/>
        </w:rPr>
        <w:t>‘T</w:t>
      </w:r>
      <w:r w:rsidRPr="0059559C">
        <w:rPr>
          <w:rFonts w:asciiTheme="minorHAnsi" w:hAnsiTheme="minorHAnsi" w:cstheme="minorHAnsi"/>
        </w:rPr>
        <w:t>he question</w:t>
      </w:r>
      <w:r w:rsidR="005F37DB" w:rsidRPr="0059559C">
        <w:rPr>
          <w:rFonts w:asciiTheme="minorHAnsi" w:hAnsiTheme="minorHAnsi" w:cstheme="minorHAnsi"/>
        </w:rPr>
        <w:t xml:space="preserve"> - the challenge - </w:t>
      </w:r>
      <w:r w:rsidRPr="0059559C">
        <w:rPr>
          <w:rFonts w:asciiTheme="minorHAnsi" w:hAnsiTheme="minorHAnsi" w:cstheme="minorHAnsi"/>
        </w:rPr>
        <w:t xml:space="preserve">is then perhaps </w:t>
      </w:r>
      <w:r w:rsidR="00495720" w:rsidRPr="0059559C">
        <w:rPr>
          <w:rFonts w:asciiTheme="minorHAnsi" w:hAnsiTheme="minorHAnsi" w:cstheme="minorHAnsi"/>
        </w:rPr>
        <w:t xml:space="preserve">whether a middle way </w:t>
      </w:r>
      <w:proofErr w:type="gramStart"/>
      <w:r w:rsidR="00495720" w:rsidRPr="0059559C">
        <w:rPr>
          <w:rFonts w:asciiTheme="minorHAnsi" w:hAnsiTheme="minorHAnsi" w:cstheme="minorHAnsi"/>
        </w:rPr>
        <w:t>be</w:t>
      </w:r>
      <w:proofErr w:type="gramEnd"/>
      <w:r w:rsidR="00495720" w:rsidRPr="0059559C">
        <w:rPr>
          <w:rFonts w:asciiTheme="minorHAnsi" w:hAnsiTheme="minorHAnsi" w:cstheme="minorHAnsi"/>
        </w:rPr>
        <w:t xml:space="preserve"> found?</w:t>
      </w:r>
      <w:r w:rsidR="00A30A96">
        <w:rPr>
          <w:rFonts w:asciiTheme="minorHAnsi" w:hAnsiTheme="minorHAnsi" w:cstheme="minorHAnsi"/>
        </w:rPr>
        <w:t>’</w:t>
      </w:r>
      <w:r w:rsidR="00495720" w:rsidRPr="0059559C">
        <w:rPr>
          <w:rFonts w:asciiTheme="minorHAnsi" w:hAnsiTheme="minorHAnsi" w:cstheme="minorHAnsi"/>
        </w:rPr>
        <w:t xml:space="preserve"> (</w:t>
      </w:r>
      <w:proofErr w:type="spellStart"/>
      <w:r w:rsidR="00495720" w:rsidRPr="0059559C">
        <w:rPr>
          <w:rFonts w:asciiTheme="minorHAnsi" w:hAnsiTheme="minorHAnsi" w:cstheme="minorHAnsi"/>
        </w:rPr>
        <w:t>Korff</w:t>
      </w:r>
      <w:proofErr w:type="spellEnd"/>
      <w:r w:rsidR="00495720" w:rsidRPr="0059559C">
        <w:rPr>
          <w:rFonts w:asciiTheme="minorHAnsi" w:hAnsiTheme="minorHAnsi" w:cstheme="minorHAnsi"/>
        </w:rPr>
        <w:t>, 2010, p8)</w:t>
      </w:r>
      <w:r w:rsidRPr="0059559C">
        <w:rPr>
          <w:rFonts w:asciiTheme="minorHAnsi" w:hAnsiTheme="minorHAnsi" w:cstheme="minorHAnsi"/>
        </w:rPr>
        <w:t xml:space="preserve">  </w:t>
      </w:r>
    </w:p>
    <w:p w14:paraId="763EB41D" w14:textId="77777777" w:rsidR="007C198D" w:rsidRPr="0059559C" w:rsidRDefault="007C198D" w:rsidP="00724D5D">
      <w:pPr>
        <w:pStyle w:val="c01pointnumerotealtn"/>
        <w:spacing w:before="0" w:beforeAutospacing="0" w:after="0"/>
        <w:ind w:left="28" w:firstLine="0"/>
        <w:rPr>
          <w:rFonts w:asciiTheme="minorHAnsi" w:hAnsiTheme="minorHAnsi" w:cstheme="minorHAnsi"/>
        </w:rPr>
      </w:pPr>
    </w:p>
    <w:p w14:paraId="2C805A73" w14:textId="09D686F5" w:rsidR="00A30A96" w:rsidRDefault="00495720" w:rsidP="00724D5D">
      <w:pPr>
        <w:pStyle w:val="c01pointnumerotealtn"/>
        <w:spacing w:before="0" w:beforeAutospacing="0" w:after="0"/>
        <w:ind w:left="28" w:firstLine="0"/>
        <w:rPr>
          <w:rFonts w:asciiTheme="minorHAnsi" w:hAnsiTheme="minorHAnsi" w:cstheme="minorHAnsi"/>
        </w:rPr>
      </w:pPr>
      <w:r w:rsidRPr="0059559C">
        <w:rPr>
          <w:rFonts w:asciiTheme="minorHAnsi" w:hAnsiTheme="minorHAnsi" w:cstheme="minorHAnsi"/>
        </w:rPr>
        <w:t xml:space="preserve">In France, where the national data protection authority has applied Article 3(2) strictly, and restrictively, ‘to really purely personal distribution of personal information only’, </w:t>
      </w:r>
      <w:r w:rsidR="00A87944" w:rsidRPr="0059559C">
        <w:rPr>
          <w:rFonts w:asciiTheme="minorHAnsi" w:hAnsiTheme="minorHAnsi" w:cstheme="minorHAnsi"/>
        </w:rPr>
        <w:t>one possible</w:t>
      </w:r>
      <w:r w:rsidRPr="0059559C">
        <w:rPr>
          <w:rFonts w:asciiTheme="minorHAnsi" w:hAnsiTheme="minorHAnsi" w:cstheme="minorHAnsi"/>
        </w:rPr>
        <w:t xml:space="preserve"> mid</w:t>
      </w:r>
      <w:r w:rsidR="001B498A" w:rsidRPr="0059559C">
        <w:rPr>
          <w:rFonts w:asciiTheme="minorHAnsi" w:hAnsiTheme="minorHAnsi" w:cstheme="minorHAnsi"/>
        </w:rPr>
        <w:t>dle</w:t>
      </w:r>
      <w:r w:rsidRPr="0059559C">
        <w:rPr>
          <w:rFonts w:asciiTheme="minorHAnsi" w:hAnsiTheme="minorHAnsi" w:cstheme="minorHAnsi"/>
        </w:rPr>
        <w:t xml:space="preserve"> way has</w:t>
      </w:r>
      <w:r w:rsidR="001B498A" w:rsidRPr="0059559C">
        <w:rPr>
          <w:rFonts w:asciiTheme="minorHAnsi" w:hAnsiTheme="minorHAnsi" w:cstheme="minorHAnsi"/>
        </w:rPr>
        <w:t xml:space="preserve"> already </w:t>
      </w:r>
      <w:r w:rsidRPr="0059559C">
        <w:rPr>
          <w:rFonts w:asciiTheme="minorHAnsi" w:hAnsiTheme="minorHAnsi" w:cstheme="minorHAnsi"/>
        </w:rPr>
        <w:t xml:space="preserve">been found. Whilst the French data protection law </w:t>
      </w:r>
      <w:r w:rsidR="001B498A" w:rsidRPr="0059559C">
        <w:rPr>
          <w:rFonts w:asciiTheme="minorHAnsi" w:hAnsiTheme="minorHAnsi" w:cstheme="minorHAnsi"/>
        </w:rPr>
        <w:t>applies</w:t>
      </w:r>
      <w:r w:rsidRPr="0059559C">
        <w:rPr>
          <w:rFonts w:asciiTheme="minorHAnsi" w:hAnsiTheme="minorHAnsi" w:cstheme="minorHAnsi"/>
        </w:rPr>
        <w:t xml:space="preserve"> to blogs, bloggers are exempt from notification</w:t>
      </w:r>
      <w:r w:rsidR="001B498A" w:rsidRPr="0059559C">
        <w:rPr>
          <w:rFonts w:asciiTheme="minorHAnsi" w:hAnsiTheme="minorHAnsi" w:cstheme="minorHAnsi"/>
        </w:rPr>
        <w:t xml:space="preserve">, </w:t>
      </w:r>
      <w:r w:rsidRPr="0059559C">
        <w:rPr>
          <w:rFonts w:asciiTheme="minorHAnsi" w:hAnsiTheme="minorHAnsi" w:cstheme="minorHAnsi"/>
        </w:rPr>
        <w:t>a technicality which would otherwise potentially pose a significant administrative burden</w:t>
      </w:r>
      <w:r w:rsidR="001B498A" w:rsidRPr="0059559C">
        <w:rPr>
          <w:rFonts w:asciiTheme="minorHAnsi" w:hAnsiTheme="minorHAnsi" w:cstheme="minorHAnsi"/>
        </w:rPr>
        <w:t xml:space="preserve"> (</w:t>
      </w:r>
      <w:proofErr w:type="spellStart"/>
      <w:r w:rsidR="001B498A" w:rsidRPr="0059559C">
        <w:rPr>
          <w:rFonts w:asciiTheme="minorHAnsi" w:hAnsiTheme="minorHAnsi" w:cstheme="minorHAnsi"/>
        </w:rPr>
        <w:t>Korff</w:t>
      </w:r>
      <w:proofErr w:type="spellEnd"/>
      <w:r w:rsidR="001B498A" w:rsidRPr="0059559C">
        <w:rPr>
          <w:rFonts w:asciiTheme="minorHAnsi" w:hAnsiTheme="minorHAnsi" w:cstheme="minorHAnsi"/>
        </w:rPr>
        <w:t>, 2010, p9</w:t>
      </w:r>
      <w:r w:rsidRPr="0059559C">
        <w:rPr>
          <w:rFonts w:asciiTheme="minorHAnsi" w:hAnsiTheme="minorHAnsi" w:cstheme="minorHAnsi"/>
        </w:rPr>
        <w:t>).</w:t>
      </w:r>
      <w:r w:rsidR="001B498A" w:rsidRPr="0059559C">
        <w:rPr>
          <w:rFonts w:asciiTheme="minorHAnsi" w:hAnsiTheme="minorHAnsi" w:cstheme="minorHAnsi"/>
        </w:rPr>
        <w:t xml:space="preserve"> </w:t>
      </w:r>
      <w:r w:rsidR="00346C4D" w:rsidRPr="0059559C">
        <w:rPr>
          <w:rFonts w:asciiTheme="minorHAnsi" w:hAnsiTheme="minorHAnsi" w:cstheme="minorHAnsi"/>
        </w:rPr>
        <w:t>The Commission clearly recognised the onerous nature of many of the obligations imposed upon data controllers by Euro</w:t>
      </w:r>
      <w:r w:rsidR="00813E4D">
        <w:rPr>
          <w:rFonts w:asciiTheme="minorHAnsi" w:hAnsiTheme="minorHAnsi" w:cstheme="minorHAnsi"/>
        </w:rPr>
        <w:t>pean data protection legislation, suggesting</w:t>
      </w:r>
      <w:r w:rsidR="00346C4D" w:rsidRPr="0059559C">
        <w:rPr>
          <w:rFonts w:asciiTheme="minorHAnsi" w:hAnsiTheme="minorHAnsi" w:cstheme="minorHAnsi"/>
        </w:rPr>
        <w:t xml:space="preserve"> that </w:t>
      </w:r>
      <w:r w:rsidR="009E4696" w:rsidRPr="0059559C">
        <w:rPr>
          <w:rFonts w:asciiTheme="minorHAnsi" w:hAnsiTheme="minorHAnsi" w:cstheme="minorHAnsi"/>
        </w:rPr>
        <w:t>under the new regulation</w:t>
      </w:r>
      <w:r w:rsidR="00346C4D" w:rsidRPr="0059559C">
        <w:rPr>
          <w:rFonts w:asciiTheme="minorHAnsi" w:hAnsiTheme="minorHAnsi" w:cstheme="minorHAnsi"/>
        </w:rPr>
        <w:t xml:space="preserve"> where the data controller is a micro, small or medium enterprise some relaxing </w:t>
      </w:r>
      <w:r w:rsidR="00EF2A1F" w:rsidRPr="0059559C">
        <w:rPr>
          <w:rFonts w:asciiTheme="minorHAnsi" w:hAnsiTheme="minorHAnsi" w:cstheme="minorHAnsi"/>
        </w:rPr>
        <w:t>of the rules may be appropriate (Recital to the Regulation as originally drafted).</w:t>
      </w:r>
      <w:r w:rsidR="00346C4D" w:rsidRPr="0059559C">
        <w:rPr>
          <w:rFonts w:asciiTheme="minorHAnsi" w:hAnsiTheme="minorHAnsi" w:cstheme="minorHAnsi"/>
        </w:rPr>
        <w:t xml:space="preserve">  </w:t>
      </w:r>
      <w:r w:rsidR="00813E4D">
        <w:rPr>
          <w:rFonts w:asciiTheme="minorHAnsi" w:hAnsiTheme="minorHAnsi" w:cstheme="minorHAnsi"/>
        </w:rPr>
        <w:t xml:space="preserve">The Council of Ministers’ proposed revisions to Chapter IV of the Regulation and their proposed risk-based approach to data protection regulation, similarly recognises that not all data controllers need necessarily to be subject to the same onerous requirements.  </w:t>
      </w:r>
      <w:r w:rsidR="00346C4D" w:rsidRPr="0059559C">
        <w:rPr>
          <w:rFonts w:asciiTheme="minorHAnsi" w:hAnsiTheme="minorHAnsi" w:cstheme="minorHAnsi"/>
        </w:rPr>
        <w:t>There is an argument that if relaxations from obligations are appropriate for SMEs, there is a still greater need to relax the rules which apply to individuals processing personal information, particularly when individuals are disseminating information not to the world at large but only to ‘friends’.</w:t>
      </w:r>
      <w:r w:rsidR="00A30A96">
        <w:rPr>
          <w:rFonts w:asciiTheme="minorHAnsi" w:hAnsiTheme="minorHAnsi" w:cstheme="minorHAnsi"/>
        </w:rPr>
        <w:t xml:space="preserve">  The idea that the law should take into account apply appropriate legal penalties according not merely to the nature of the information disclosed but also </w:t>
      </w:r>
      <w:r w:rsidR="009A325F">
        <w:rPr>
          <w:rFonts w:asciiTheme="minorHAnsi" w:hAnsiTheme="minorHAnsi" w:cstheme="minorHAnsi"/>
        </w:rPr>
        <w:t>taking account of who has disclosed</w:t>
      </w:r>
      <w:r w:rsidR="00813E4D">
        <w:rPr>
          <w:rFonts w:asciiTheme="minorHAnsi" w:hAnsiTheme="minorHAnsi" w:cstheme="minorHAnsi"/>
        </w:rPr>
        <w:t xml:space="preserve"> that information</w:t>
      </w:r>
      <w:r w:rsidR="00A30A96">
        <w:rPr>
          <w:rFonts w:asciiTheme="minorHAnsi" w:hAnsiTheme="minorHAnsi" w:cstheme="minorHAnsi"/>
        </w:rPr>
        <w:t xml:space="preserve"> has been suggested elsewhere in the context of the regulation of free speech</w:t>
      </w:r>
      <w:r w:rsidR="00813E4D">
        <w:rPr>
          <w:rFonts w:asciiTheme="minorHAnsi" w:hAnsiTheme="minorHAnsi" w:cstheme="minorHAnsi"/>
        </w:rPr>
        <w:t>, with a recommendation made</w:t>
      </w:r>
      <w:r w:rsidR="00A30A96">
        <w:rPr>
          <w:rFonts w:asciiTheme="minorHAnsi" w:hAnsiTheme="minorHAnsi" w:cstheme="minorHAnsi"/>
        </w:rPr>
        <w:t xml:space="preserve"> that;</w:t>
      </w:r>
    </w:p>
    <w:p w14:paraId="70C99279" w14:textId="77777777" w:rsidR="00A30A96" w:rsidRDefault="00A30A96" w:rsidP="00724D5D">
      <w:pPr>
        <w:pStyle w:val="c01pointnumerotealtn"/>
        <w:spacing w:before="0" w:beforeAutospacing="0" w:after="0"/>
        <w:ind w:left="28" w:firstLine="0"/>
        <w:rPr>
          <w:rFonts w:asciiTheme="minorHAnsi" w:hAnsiTheme="minorHAnsi" w:cstheme="minorHAnsi"/>
        </w:rPr>
      </w:pPr>
    </w:p>
    <w:p w14:paraId="4B25A598" w14:textId="030C4E1B" w:rsidR="00A30A96" w:rsidRDefault="00A30A96" w:rsidP="00A30A96">
      <w:pPr>
        <w:pStyle w:val="c01pointnumerotealtn"/>
        <w:spacing w:before="0" w:beforeAutospacing="0" w:after="0"/>
        <w:ind w:left="720" w:firstLine="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the</w:t>
      </w:r>
      <w:proofErr w:type="gramEnd"/>
      <w:r>
        <w:rPr>
          <w:rFonts w:asciiTheme="minorHAnsi" w:hAnsiTheme="minorHAnsi" w:cstheme="minorHAnsi"/>
        </w:rPr>
        <w:t xml:space="preserve"> casual amateur speaker with limited resources or legal advice should be held to lower standards than professional journalists.  ..</w:t>
      </w:r>
      <w:proofErr w:type="gramStart"/>
      <w:r>
        <w:rPr>
          <w:rFonts w:asciiTheme="minorHAnsi" w:hAnsiTheme="minorHAnsi" w:cstheme="minorHAnsi"/>
        </w:rPr>
        <w:t>,any</w:t>
      </w:r>
      <w:proofErr w:type="gramEnd"/>
      <w:r>
        <w:rPr>
          <w:rFonts w:asciiTheme="minorHAnsi" w:hAnsiTheme="minorHAnsi" w:cstheme="minorHAnsi"/>
        </w:rPr>
        <w:t xml:space="preserve"> regulations should be suited to the digital context, and the procedure and sanctions should be proportionate not only to the harm, but to the level of responsibility expected from the speaker.’ (</w:t>
      </w:r>
      <w:proofErr w:type="spellStart"/>
      <w:r>
        <w:rPr>
          <w:rFonts w:asciiTheme="minorHAnsi" w:hAnsiTheme="minorHAnsi" w:cstheme="minorHAnsi"/>
        </w:rPr>
        <w:t>Rowbottom</w:t>
      </w:r>
      <w:proofErr w:type="spellEnd"/>
      <w:r>
        <w:rPr>
          <w:rFonts w:asciiTheme="minorHAnsi" w:hAnsiTheme="minorHAnsi" w:cstheme="minorHAnsi"/>
        </w:rPr>
        <w:t>, 2012)</w:t>
      </w:r>
    </w:p>
    <w:p w14:paraId="25FF0580" w14:textId="77777777" w:rsidR="00A30A96" w:rsidRDefault="00A30A96" w:rsidP="00A30A96">
      <w:pPr>
        <w:pStyle w:val="c01pointnumerotealtn"/>
        <w:spacing w:before="0" w:beforeAutospacing="0" w:after="0"/>
        <w:ind w:left="28" w:firstLine="0"/>
        <w:rPr>
          <w:rFonts w:asciiTheme="minorHAnsi" w:hAnsiTheme="minorHAnsi" w:cstheme="minorHAnsi"/>
        </w:rPr>
      </w:pPr>
    </w:p>
    <w:p w14:paraId="53AD367A" w14:textId="71A5952B" w:rsidR="007C198D" w:rsidRPr="0059559C" w:rsidRDefault="009A325F" w:rsidP="00A30A96">
      <w:pPr>
        <w:pStyle w:val="c01pointnumerotealtn"/>
        <w:spacing w:before="0" w:beforeAutospacing="0" w:after="0"/>
        <w:ind w:left="28" w:firstLine="0"/>
        <w:rPr>
          <w:rFonts w:asciiTheme="minorHAnsi" w:hAnsiTheme="minorHAnsi" w:cstheme="minorHAnsi"/>
        </w:rPr>
      </w:pPr>
      <w:r>
        <w:rPr>
          <w:rFonts w:asciiTheme="minorHAnsi" w:hAnsiTheme="minorHAnsi" w:cstheme="minorHAnsi"/>
        </w:rPr>
        <w:t xml:space="preserve">Whilst </w:t>
      </w:r>
      <w:proofErr w:type="spellStart"/>
      <w:r>
        <w:rPr>
          <w:rFonts w:asciiTheme="minorHAnsi" w:hAnsiTheme="minorHAnsi" w:cstheme="minorHAnsi"/>
        </w:rPr>
        <w:t>Rowbottom’s</w:t>
      </w:r>
      <w:proofErr w:type="spellEnd"/>
      <w:r>
        <w:rPr>
          <w:rFonts w:asciiTheme="minorHAnsi" w:hAnsiTheme="minorHAnsi" w:cstheme="minorHAnsi"/>
        </w:rPr>
        <w:t xml:space="preserve"> suggestion may make sense also in the data protection context, u</w:t>
      </w:r>
      <w:r w:rsidR="008F43A9" w:rsidRPr="0059559C">
        <w:rPr>
          <w:rFonts w:asciiTheme="minorHAnsi" w:hAnsiTheme="minorHAnsi" w:cstheme="minorHAnsi"/>
        </w:rPr>
        <w:t>n</w:t>
      </w:r>
      <w:r w:rsidR="009E4696" w:rsidRPr="0059559C">
        <w:rPr>
          <w:rFonts w:asciiTheme="minorHAnsi" w:hAnsiTheme="minorHAnsi" w:cstheme="minorHAnsi"/>
        </w:rPr>
        <w:t>til or un</w:t>
      </w:r>
      <w:r w:rsidR="008F43A9" w:rsidRPr="0059559C">
        <w:rPr>
          <w:rFonts w:asciiTheme="minorHAnsi" w:hAnsiTheme="minorHAnsi" w:cstheme="minorHAnsi"/>
        </w:rPr>
        <w:t xml:space="preserve">less </w:t>
      </w:r>
      <w:r w:rsidR="00346C4D" w:rsidRPr="0059559C">
        <w:rPr>
          <w:rFonts w:asciiTheme="minorHAnsi" w:hAnsiTheme="minorHAnsi" w:cstheme="minorHAnsi"/>
        </w:rPr>
        <w:t xml:space="preserve">‘special rules’ </w:t>
      </w:r>
      <w:r w:rsidR="00813E4D">
        <w:rPr>
          <w:rFonts w:asciiTheme="minorHAnsi" w:hAnsiTheme="minorHAnsi" w:cstheme="minorHAnsi"/>
        </w:rPr>
        <w:t xml:space="preserve">are introduced specifically </w:t>
      </w:r>
      <w:r w:rsidR="00346C4D" w:rsidRPr="0059559C">
        <w:rPr>
          <w:rFonts w:asciiTheme="minorHAnsi" w:hAnsiTheme="minorHAnsi" w:cstheme="minorHAnsi"/>
        </w:rPr>
        <w:t>for individua</w:t>
      </w:r>
      <w:r w:rsidR="00A87944" w:rsidRPr="0059559C">
        <w:rPr>
          <w:rFonts w:asciiTheme="minorHAnsi" w:hAnsiTheme="minorHAnsi" w:cstheme="minorHAnsi"/>
        </w:rPr>
        <w:t xml:space="preserve">ls who share information online, individuals who wish to make third party information (including photographs) widely </w:t>
      </w:r>
      <w:r w:rsidR="00A87944" w:rsidRPr="0059559C">
        <w:rPr>
          <w:rFonts w:asciiTheme="minorHAnsi" w:hAnsiTheme="minorHAnsi" w:cstheme="minorHAnsi"/>
        </w:rPr>
        <w:lastRenderedPageBreak/>
        <w:t xml:space="preserve">available online </w:t>
      </w:r>
      <w:r w:rsidR="009E4696" w:rsidRPr="0059559C">
        <w:rPr>
          <w:rFonts w:asciiTheme="minorHAnsi" w:hAnsiTheme="minorHAnsi" w:cstheme="minorHAnsi"/>
        </w:rPr>
        <w:t xml:space="preserve">may </w:t>
      </w:r>
      <w:r w:rsidR="00A87944" w:rsidRPr="0059559C">
        <w:rPr>
          <w:rFonts w:asciiTheme="minorHAnsi" w:hAnsiTheme="minorHAnsi" w:cstheme="minorHAnsi"/>
        </w:rPr>
        <w:t>need to consider an</w:t>
      </w:r>
      <w:r w:rsidR="00346C4D" w:rsidRPr="0059559C">
        <w:rPr>
          <w:rFonts w:asciiTheme="minorHAnsi" w:hAnsiTheme="minorHAnsi" w:cstheme="minorHAnsi"/>
        </w:rPr>
        <w:t xml:space="preserve"> alternative route</w:t>
      </w:r>
      <w:r>
        <w:rPr>
          <w:rFonts w:asciiTheme="minorHAnsi" w:hAnsiTheme="minorHAnsi" w:cstheme="minorHAnsi"/>
        </w:rPr>
        <w:t>, Article 9,</w:t>
      </w:r>
      <w:r w:rsidR="00346C4D" w:rsidRPr="0059559C">
        <w:rPr>
          <w:rFonts w:asciiTheme="minorHAnsi" w:hAnsiTheme="minorHAnsi" w:cstheme="minorHAnsi"/>
        </w:rPr>
        <w:t xml:space="preserve"> </w:t>
      </w:r>
      <w:r w:rsidR="009E4696" w:rsidRPr="0059559C">
        <w:rPr>
          <w:rFonts w:asciiTheme="minorHAnsi" w:hAnsiTheme="minorHAnsi" w:cstheme="minorHAnsi"/>
        </w:rPr>
        <w:t xml:space="preserve">if they wish </w:t>
      </w:r>
      <w:r w:rsidR="00A87944" w:rsidRPr="0059559C">
        <w:rPr>
          <w:rFonts w:asciiTheme="minorHAnsi" w:hAnsiTheme="minorHAnsi" w:cstheme="minorHAnsi"/>
        </w:rPr>
        <w:t>to</w:t>
      </w:r>
      <w:r w:rsidR="00346C4D" w:rsidRPr="0059559C">
        <w:rPr>
          <w:rFonts w:asciiTheme="minorHAnsi" w:hAnsiTheme="minorHAnsi" w:cstheme="minorHAnsi"/>
        </w:rPr>
        <w:t xml:space="preserve"> ‘escape’ the </w:t>
      </w:r>
      <w:r w:rsidR="00A87944" w:rsidRPr="0059559C">
        <w:rPr>
          <w:rFonts w:asciiTheme="minorHAnsi" w:hAnsiTheme="minorHAnsi" w:cstheme="minorHAnsi"/>
        </w:rPr>
        <w:t xml:space="preserve">Directive’s </w:t>
      </w:r>
      <w:r w:rsidR="00346C4D" w:rsidRPr="0059559C">
        <w:rPr>
          <w:rFonts w:asciiTheme="minorHAnsi" w:hAnsiTheme="minorHAnsi" w:cstheme="minorHAnsi"/>
        </w:rPr>
        <w:t>obligations.</w:t>
      </w:r>
      <w:r w:rsidR="00BF35A7" w:rsidRPr="0059559C">
        <w:rPr>
          <w:rFonts w:asciiTheme="minorHAnsi" w:hAnsiTheme="minorHAnsi" w:cstheme="minorHAnsi"/>
        </w:rPr>
        <w:t xml:space="preserve"> </w:t>
      </w:r>
    </w:p>
    <w:p w14:paraId="370FB778" w14:textId="77777777" w:rsidR="009E4696" w:rsidRPr="0059559C" w:rsidRDefault="009E4696" w:rsidP="00724D5D">
      <w:pPr>
        <w:pStyle w:val="c01pointnumerotealtn"/>
        <w:spacing w:before="0" w:beforeAutospacing="0" w:after="0"/>
        <w:ind w:left="28" w:firstLine="0"/>
        <w:rPr>
          <w:rFonts w:asciiTheme="minorHAnsi" w:hAnsiTheme="minorHAnsi" w:cstheme="minorHAnsi"/>
        </w:rPr>
      </w:pPr>
    </w:p>
    <w:p w14:paraId="70FE4591" w14:textId="5D64E296" w:rsidR="00B04312" w:rsidRPr="0059559C" w:rsidRDefault="002E7C3E" w:rsidP="00DE7865">
      <w:pPr>
        <w:ind w:firstLine="720"/>
        <w:rPr>
          <w:rFonts w:cstheme="minorHAnsi"/>
          <w:b/>
          <w:sz w:val="24"/>
          <w:szCs w:val="24"/>
        </w:rPr>
      </w:pPr>
      <w:r w:rsidRPr="0059559C">
        <w:rPr>
          <w:rFonts w:cstheme="minorHAnsi"/>
          <w:b/>
          <w:sz w:val="24"/>
          <w:szCs w:val="24"/>
        </w:rPr>
        <w:t>4.3</w:t>
      </w:r>
      <w:r w:rsidRPr="0059559C">
        <w:rPr>
          <w:rFonts w:cstheme="minorHAnsi"/>
          <w:b/>
          <w:sz w:val="24"/>
          <w:szCs w:val="24"/>
        </w:rPr>
        <w:tab/>
      </w:r>
      <w:r w:rsidR="00B04312" w:rsidRPr="0059559C">
        <w:rPr>
          <w:rFonts w:cstheme="minorHAnsi"/>
          <w:b/>
          <w:sz w:val="24"/>
          <w:szCs w:val="24"/>
        </w:rPr>
        <w:t>Article 9</w:t>
      </w:r>
      <w:r w:rsidR="00346C4D" w:rsidRPr="0059559C">
        <w:rPr>
          <w:rFonts w:cstheme="minorHAnsi"/>
          <w:b/>
          <w:sz w:val="24"/>
          <w:szCs w:val="24"/>
        </w:rPr>
        <w:t xml:space="preserve"> and the right to freedom of expression</w:t>
      </w:r>
    </w:p>
    <w:p w14:paraId="65BFB6BF" w14:textId="77777777" w:rsidR="007C198D" w:rsidRPr="0059559C" w:rsidRDefault="007C198D" w:rsidP="00724D5D">
      <w:pPr>
        <w:spacing w:after="0" w:line="240" w:lineRule="auto"/>
        <w:rPr>
          <w:rFonts w:cstheme="minorHAnsi"/>
          <w:sz w:val="24"/>
          <w:szCs w:val="24"/>
        </w:rPr>
      </w:pPr>
    </w:p>
    <w:p w14:paraId="06D2ACF5" w14:textId="77777777" w:rsidR="00473E5E" w:rsidRPr="0059559C" w:rsidRDefault="00DA1040" w:rsidP="00724D5D">
      <w:pPr>
        <w:spacing w:after="0" w:line="240" w:lineRule="auto"/>
        <w:rPr>
          <w:rFonts w:cstheme="minorHAnsi"/>
          <w:sz w:val="24"/>
          <w:szCs w:val="24"/>
        </w:rPr>
      </w:pPr>
      <w:r w:rsidRPr="0059559C">
        <w:rPr>
          <w:rFonts w:cstheme="minorHAnsi"/>
          <w:sz w:val="24"/>
          <w:szCs w:val="24"/>
        </w:rPr>
        <w:t xml:space="preserve">It is to </w:t>
      </w:r>
      <w:proofErr w:type="spellStart"/>
      <w:r w:rsidRPr="0059559C">
        <w:rPr>
          <w:rFonts w:cstheme="minorHAnsi"/>
          <w:sz w:val="24"/>
          <w:szCs w:val="24"/>
        </w:rPr>
        <w:t>Lindqvist</w:t>
      </w:r>
      <w:proofErr w:type="spellEnd"/>
      <w:r w:rsidRPr="0059559C">
        <w:rPr>
          <w:rFonts w:cstheme="minorHAnsi"/>
          <w:sz w:val="24"/>
          <w:szCs w:val="24"/>
        </w:rPr>
        <w:t xml:space="preserve"> that we </w:t>
      </w:r>
      <w:r w:rsidR="005A24C3" w:rsidRPr="0059559C">
        <w:rPr>
          <w:rFonts w:cstheme="minorHAnsi"/>
          <w:sz w:val="24"/>
          <w:szCs w:val="24"/>
        </w:rPr>
        <w:t xml:space="preserve">must </w:t>
      </w:r>
      <w:r w:rsidRPr="0059559C">
        <w:rPr>
          <w:rFonts w:cstheme="minorHAnsi"/>
          <w:sz w:val="24"/>
          <w:szCs w:val="24"/>
        </w:rPr>
        <w:t xml:space="preserve">again </w:t>
      </w:r>
      <w:r w:rsidR="005A24C3" w:rsidRPr="0059559C">
        <w:rPr>
          <w:rFonts w:cstheme="minorHAnsi"/>
          <w:sz w:val="24"/>
          <w:szCs w:val="24"/>
        </w:rPr>
        <w:t xml:space="preserve">turn </w:t>
      </w:r>
      <w:r w:rsidR="00E21EB8" w:rsidRPr="0059559C">
        <w:rPr>
          <w:rFonts w:cstheme="minorHAnsi"/>
          <w:sz w:val="24"/>
          <w:szCs w:val="24"/>
        </w:rPr>
        <w:t>to understand the European position in relation to Article 9</w:t>
      </w:r>
      <w:r w:rsidRPr="0059559C">
        <w:rPr>
          <w:rFonts w:cstheme="minorHAnsi"/>
          <w:sz w:val="24"/>
          <w:szCs w:val="24"/>
        </w:rPr>
        <w:t xml:space="preserve">.   </w:t>
      </w:r>
      <w:r w:rsidR="00E734A4" w:rsidRPr="0059559C">
        <w:rPr>
          <w:rFonts w:cstheme="minorHAnsi"/>
          <w:sz w:val="24"/>
          <w:szCs w:val="24"/>
        </w:rPr>
        <w:t>T</w:t>
      </w:r>
      <w:r w:rsidRPr="0059559C">
        <w:rPr>
          <w:rFonts w:cstheme="minorHAnsi"/>
          <w:sz w:val="24"/>
          <w:szCs w:val="24"/>
        </w:rPr>
        <w:t xml:space="preserve">he </w:t>
      </w:r>
      <w:r w:rsidR="00E734A4" w:rsidRPr="0059559C">
        <w:rPr>
          <w:rFonts w:cstheme="minorHAnsi"/>
          <w:sz w:val="24"/>
          <w:szCs w:val="24"/>
        </w:rPr>
        <w:t xml:space="preserve">Swedish Government, the </w:t>
      </w:r>
      <w:r w:rsidRPr="0059559C">
        <w:rPr>
          <w:rFonts w:cstheme="minorHAnsi"/>
          <w:sz w:val="24"/>
          <w:szCs w:val="24"/>
        </w:rPr>
        <w:t xml:space="preserve">ECJ and those making submissions to the ECJ were </w:t>
      </w:r>
      <w:r w:rsidR="00E734A4" w:rsidRPr="0059559C">
        <w:rPr>
          <w:rFonts w:cstheme="minorHAnsi"/>
          <w:sz w:val="24"/>
          <w:szCs w:val="24"/>
        </w:rPr>
        <w:t xml:space="preserve">all </w:t>
      </w:r>
      <w:r w:rsidRPr="0059559C">
        <w:rPr>
          <w:rFonts w:cstheme="minorHAnsi"/>
          <w:sz w:val="24"/>
          <w:szCs w:val="24"/>
        </w:rPr>
        <w:t xml:space="preserve">alive to the </w:t>
      </w:r>
      <w:r w:rsidR="009E4696" w:rsidRPr="0059559C">
        <w:rPr>
          <w:rFonts w:cstheme="minorHAnsi"/>
          <w:sz w:val="24"/>
          <w:szCs w:val="24"/>
        </w:rPr>
        <w:t xml:space="preserve">possibility that </w:t>
      </w:r>
      <w:r w:rsidR="001251E0" w:rsidRPr="0059559C">
        <w:rPr>
          <w:rFonts w:cstheme="minorHAnsi"/>
          <w:sz w:val="24"/>
          <w:szCs w:val="24"/>
        </w:rPr>
        <w:t xml:space="preserve">Ms </w:t>
      </w:r>
      <w:proofErr w:type="spellStart"/>
      <w:r w:rsidR="001251E0" w:rsidRPr="0059559C">
        <w:rPr>
          <w:rFonts w:cstheme="minorHAnsi"/>
          <w:sz w:val="24"/>
          <w:szCs w:val="24"/>
        </w:rPr>
        <w:t>Lindqvist</w:t>
      </w:r>
      <w:proofErr w:type="spellEnd"/>
      <w:r w:rsidRPr="0059559C">
        <w:rPr>
          <w:rFonts w:cstheme="minorHAnsi"/>
          <w:sz w:val="24"/>
          <w:szCs w:val="24"/>
        </w:rPr>
        <w:t xml:space="preserve"> might be said to</w:t>
      </w:r>
      <w:r w:rsidR="00E734A4" w:rsidRPr="0059559C">
        <w:rPr>
          <w:rFonts w:cstheme="minorHAnsi"/>
          <w:sz w:val="24"/>
          <w:szCs w:val="24"/>
        </w:rPr>
        <w:t xml:space="preserve"> be exercising her right to freedom of expression</w:t>
      </w:r>
      <w:r w:rsidRPr="0059559C">
        <w:rPr>
          <w:rFonts w:cstheme="minorHAnsi"/>
          <w:sz w:val="24"/>
          <w:szCs w:val="24"/>
        </w:rPr>
        <w:t xml:space="preserve">. </w:t>
      </w:r>
      <w:r w:rsidR="005A24C3" w:rsidRPr="0059559C">
        <w:rPr>
          <w:rFonts w:cstheme="minorHAnsi"/>
          <w:sz w:val="24"/>
          <w:szCs w:val="24"/>
        </w:rPr>
        <w:t xml:space="preserve"> </w:t>
      </w:r>
      <w:r w:rsidR="00E734A4" w:rsidRPr="0059559C">
        <w:rPr>
          <w:rFonts w:cstheme="minorHAnsi"/>
          <w:sz w:val="24"/>
          <w:szCs w:val="24"/>
        </w:rPr>
        <w:t xml:space="preserve">The Swedish Government accepted, for example, </w:t>
      </w:r>
      <w:r w:rsidR="001533A5" w:rsidRPr="0059559C">
        <w:rPr>
          <w:rFonts w:cstheme="minorHAnsi"/>
          <w:sz w:val="24"/>
          <w:szCs w:val="24"/>
        </w:rPr>
        <w:t>that Article 3(2) ‘might cover cases in which a natural person publishes personal data on an internet page solely in the exercise of his freedom of expression and without any connection with a professional or commercial activity’</w:t>
      </w:r>
      <w:r w:rsidR="00E734A4" w:rsidRPr="0059559C">
        <w:rPr>
          <w:rFonts w:cstheme="minorHAnsi"/>
          <w:sz w:val="24"/>
          <w:szCs w:val="24"/>
        </w:rPr>
        <w:t xml:space="preserve"> (</w:t>
      </w:r>
      <w:proofErr w:type="spellStart"/>
      <w:r w:rsidR="00E734A4" w:rsidRPr="0059559C">
        <w:rPr>
          <w:rFonts w:cstheme="minorHAnsi"/>
          <w:sz w:val="24"/>
          <w:szCs w:val="24"/>
        </w:rPr>
        <w:t>Lindqvist</w:t>
      </w:r>
      <w:proofErr w:type="spellEnd"/>
      <w:r w:rsidR="00E734A4" w:rsidRPr="0059559C">
        <w:rPr>
          <w:rFonts w:cstheme="minorHAnsi"/>
          <w:sz w:val="24"/>
          <w:szCs w:val="24"/>
        </w:rPr>
        <w:t xml:space="preserve">, para 31).  </w:t>
      </w:r>
      <w:r w:rsidR="001533A5" w:rsidRPr="0059559C">
        <w:rPr>
          <w:rFonts w:cstheme="minorHAnsi"/>
          <w:sz w:val="24"/>
          <w:szCs w:val="24"/>
        </w:rPr>
        <w:t xml:space="preserve">The European Commission </w:t>
      </w:r>
      <w:r w:rsidR="00E734A4" w:rsidRPr="0059559C">
        <w:rPr>
          <w:rFonts w:cstheme="minorHAnsi"/>
          <w:sz w:val="24"/>
          <w:szCs w:val="24"/>
        </w:rPr>
        <w:t>submitted alternatively</w:t>
      </w:r>
      <w:r w:rsidR="001533A5" w:rsidRPr="0059559C">
        <w:rPr>
          <w:rFonts w:cstheme="minorHAnsi"/>
          <w:sz w:val="24"/>
          <w:szCs w:val="24"/>
        </w:rPr>
        <w:t xml:space="preserve"> ‘that an internet page such as that at issue in the main proceedings cannot be considered to fall outside the scope of Directive 95/46 by virtue of Article 3(2) thereof, but constitutes, given the purpose of the internet page at issue in the main proceedings, an artistic and literary creation within the meaning</w:t>
      </w:r>
      <w:r w:rsidR="00E734A4" w:rsidRPr="0059559C">
        <w:rPr>
          <w:rFonts w:cstheme="minorHAnsi"/>
          <w:sz w:val="24"/>
          <w:szCs w:val="24"/>
        </w:rPr>
        <w:t xml:space="preserve"> of Article 9 of that Directive</w:t>
      </w:r>
      <w:r w:rsidR="001533A5" w:rsidRPr="0059559C">
        <w:rPr>
          <w:rFonts w:cstheme="minorHAnsi"/>
          <w:sz w:val="24"/>
          <w:szCs w:val="24"/>
        </w:rPr>
        <w:t>’</w:t>
      </w:r>
      <w:r w:rsidR="006259B8" w:rsidRPr="0059559C">
        <w:rPr>
          <w:rFonts w:cstheme="minorHAnsi"/>
          <w:sz w:val="24"/>
          <w:szCs w:val="24"/>
        </w:rPr>
        <w:t xml:space="preserve"> (</w:t>
      </w:r>
      <w:proofErr w:type="spellStart"/>
      <w:r w:rsidR="006259B8" w:rsidRPr="0059559C">
        <w:rPr>
          <w:rFonts w:cstheme="minorHAnsi"/>
          <w:sz w:val="24"/>
          <w:szCs w:val="24"/>
        </w:rPr>
        <w:t>Lindqvist</w:t>
      </w:r>
      <w:proofErr w:type="spellEnd"/>
      <w:r w:rsidR="006259B8" w:rsidRPr="0059559C">
        <w:rPr>
          <w:rFonts w:cstheme="minorHAnsi"/>
          <w:sz w:val="24"/>
          <w:szCs w:val="24"/>
        </w:rPr>
        <w:t xml:space="preserve"> [33]</w:t>
      </w:r>
      <w:r w:rsidR="00E734A4" w:rsidRPr="0059559C">
        <w:rPr>
          <w:rFonts w:cstheme="minorHAnsi"/>
          <w:sz w:val="24"/>
          <w:szCs w:val="24"/>
        </w:rPr>
        <w:t>).</w:t>
      </w:r>
      <w:r w:rsidR="001533A5" w:rsidRPr="0059559C">
        <w:rPr>
          <w:rFonts w:cstheme="minorHAnsi"/>
          <w:sz w:val="24"/>
          <w:szCs w:val="24"/>
        </w:rPr>
        <w:t xml:space="preserve">  </w:t>
      </w:r>
    </w:p>
    <w:p w14:paraId="5B41F83C" w14:textId="77777777" w:rsidR="00777118" w:rsidRPr="0059559C" w:rsidRDefault="00777118" w:rsidP="00724D5D">
      <w:pPr>
        <w:spacing w:after="0" w:line="240" w:lineRule="auto"/>
        <w:rPr>
          <w:rFonts w:cstheme="minorHAnsi"/>
          <w:sz w:val="24"/>
          <w:szCs w:val="24"/>
        </w:rPr>
      </w:pPr>
    </w:p>
    <w:p w14:paraId="0CDD0FB5" w14:textId="77777777" w:rsidR="00DF77C9" w:rsidRPr="0059559C" w:rsidRDefault="00943FDA" w:rsidP="00724D5D">
      <w:pPr>
        <w:spacing w:after="0" w:line="240" w:lineRule="auto"/>
        <w:rPr>
          <w:rFonts w:cstheme="minorHAnsi"/>
          <w:sz w:val="24"/>
          <w:szCs w:val="24"/>
        </w:rPr>
      </w:pPr>
      <w:r w:rsidRPr="0059559C">
        <w:rPr>
          <w:rFonts w:cstheme="minorHAnsi"/>
          <w:sz w:val="24"/>
          <w:szCs w:val="24"/>
        </w:rPr>
        <w:t xml:space="preserve">The ECJ </w:t>
      </w:r>
      <w:r w:rsidR="00BB2779" w:rsidRPr="0059559C">
        <w:rPr>
          <w:rFonts w:cstheme="minorHAnsi"/>
          <w:sz w:val="24"/>
          <w:szCs w:val="24"/>
        </w:rPr>
        <w:t xml:space="preserve">ultimately </w:t>
      </w:r>
      <w:r w:rsidR="00473E5E" w:rsidRPr="0059559C">
        <w:rPr>
          <w:rFonts w:cstheme="minorHAnsi"/>
          <w:sz w:val="24"/>
          <w:szCs w:val="24"/>
        </w:rPr>
        <w:t>accepted neither of these interpretations</w:t>
      </w:r>
      <w:r w:rsidR="00777118" w:rsidRPr="0059559C">
        <w:rPr>
          <w:rFonts w:cstheme="minorHAnsi"/>
          <w:sz w:val="24"/>
          <w:szCs w:val="24"/>
        </w:rPr>
        <w:t xml:space="preserve">, choosing instead to return the question of the application of Article 9 to the national authorities, and stating </w:t>
      </w:r>
      <w:r w:rsidR="00DF77C9" w:rsidRPr="0059559C">
        <w:rPr>
          <w:rFonts w:cstheme="minorHAnsi"/>
          <w:sz w:val="24"/>
          <w:szCs w:val="24"/>
        </w:rPr>
        <w:t>that it is ‘at the stage of the application at national level of the legislation implementing Directive 95/46 in individual cases that a balance must be found between th</w:t>
      </w:r>
      <w:r w:rsidR="00BB2779" w:rsidRPr="0059559C">
        <w:rPr>
          <w:rFonts w:cstheme="minorHAnsi"/>
          <w:sz w:val="24"/>
          <w:szCs w:val="24"/>
        </w:rPr>
        <w:t>e rights and interests involved</w:t>
      </w:r>
      <w:r w:rsidR="00DF77C9" w:rsidRPr="0059559C">
        <w:rPr>
          <w:rFonts w:cstheme="minorHAnsi"/>
          <w:sz w:val="24"/>
          <w:szCs w:val="24"/>
        </w:rPr>
        <w:t>’</w:t>
      </w:r>
      <w:r w:rsidR="00BB2779" w:rsidRPr="0059559C">
        <w:rPr>
          <w:rFonts w:cstheme="minorHAnsi"/>
          <w:sz w:val="24"/>
          <w:szCs w:val="24"/>
        </w:rPr>
        <w:t xml:space="preserve"> (</w:t>
      </w:r>
      <w:proofErr w:type="spellStart"/>
      <w:r w:rsidR="00BB2779" w:rsidRPr="0059559C">
        <w:rPr>
          <w:rFonts w:cstheme="minorHAnsi"/>
          <w:sz w:val="24"/>
          <w:szCs w:val="24"/>
        </w:rPr>
        <w:t>Lindqvist</w:t>
      </w:r>
      <w:proofErr w:type="spellEnd"/>
      <w:r w:rsidR="006259B8" w:rsidRPr="0059559C">
        <w:rPr>
          <w:rFonts w:cstheme="minorHAnsi"/>
          <w:sz w:val="24"/>
          <w:szCs w:val="24"/>
        </w:rPr>
        <w:t xml:space="preserve"> [8</w:t>
      </w:r>
      <w:r w:rsidR="00BB2779" w:rsidRPr="0059559C">
        <w:rPr>
          <w:rFonts w:cstheme="minorHAnsi"/>
          <w:sz w:val="24"/>
          <w:szCs w:val="24"/>
        </w:rPr>
        <w:t>5</w:t>
      </w:r>
      <w:r w:rsidR="006259B8" w:rsidRPr="0059559C">
        <w:rPr>
          <w:rFonts w:cstheme="minorHAnsi"/>
          <w:sz w:val="24"/>
          <w:szCs w:val="24"/>
        </w:rPr>
        <w:t>]</w:t>
      </w:r>
      <w:r w:rsidR="00BB2779" w:rsidRPr="0059559C">
        <w:rPr>
          <w:rFonts w:cstheme="minorHAnsi"/>
          <w:sz w:val="24"/>
          <w:szCs w:val="24"/>
        </w:rPr>
        <w:t>).</w:t>
      </w:r>
      <w:r w:rsidR="00DF77C9" w:rsidRPr="0059559C">
        <w:rPr>
          <w:rFonts w:cstheme="minorHAnsi"/>
          <w:sz w:val="24"/>
          <w:szCs w:val="24"/>
        </w:rPr>
        <w:t xml:space="preserve">  Whilst</w:t>
      </w:r>
      <w:r w:rsidR="00473E5E" w:rsidRPr="0059559C">
        <w:rPr>
          <w:rFonts w:cstheme="minorHAnsi"/>
          <w:sz w:val="24"/>
          <w:szCs w:val="24"/>
        </w:rPr>
        <w:t xml:space="preserve"> recognising that Ms </w:t>
      </w:r>
      <w:proofErr w:type="spellStart"/>
      <w:r w:rsidR="00473E5E" w:rsidRPr="0059559C">
        <w:rPr>
          <w:rFonts w:cstheme="minorHAnsi"/>
          <w:sz w:val="24"/>
          <w:szCs w:val="24"/>
        </w:rPr>
        <w:t>Lindqvist’s</w:t>
      </w:r>
      <w:proofErr w:type="spellEnd"/>
      <w:r w:rsidR="00473E5E" w:rsidRPr="0059559C">
        <w:rPr>
          <w:rFonts w:cstheme="minorHAnsi"/>
          <w:sz w:val="24"/>
          <w:szCs w:val="24"/>
        </w:rPr>
        <w:t xml:space="preserve"> situation did highlight tensions between data protection/privacy and freedom of expression </w:t>
      </w:r>
      <w:r w:rsidR="00DF77C9" w:rsidRPr="0059559C">
        <w:rPr>
          <w:rFonts w:cstheme="minorHAnsi"/>
          <w:sz w:val="24"/>
          <w:szCs w:val="24"/>
        </w:rPr>
        <w:t>the ECJ thus</w:t>
      </w:r>
      <w:r w:rsidR="00473E5E" w:rsidRPr="0059559C">
        <w:rPr>
          <w:rFonts w:cstheme="minorHAnsi"/>
          <w:sz w:val="24"/>
          <w:szCs w:val="24"/>
        </w:rPr>
        <w:t xml:space="preserve"> effectively abdicated </w:t>
      </w:r>
      <w:r w:rsidRPr="0059559C">
        <w:rPr>
          <w:rFonts w:cstheme="minorHAnsi"/>
          <w:sz w:val="24"/>
          <w:szCs w:val="24"/>
        </w:rPr>
        <w:t xml:space="preserve">responsibility to </w:t>
      </w:r>
      <w:r w:rsidR="00473E5E" w:rsidRPr="0059559C">
        <w:rPr>
          <w:rFonts w:cstheme="minorHAnsi"/>
          <w:sz w:val="24"/>
          <w:szCs w:val="24"/>
        </w:rPr>
        <w:t xml:space="preserve">the </w:t>
      </w:r>
      <w:r w:rsidRPr="0059559C">
        <w:rPr>
          <w:rFonts w:cstheme="minorHAnsi"/>
          <w:sz w:val="24"/>
          <w:szCs w:val="24"/>
        </w:rPr>
        <w:t xml:space="preserve">national authorities to balance </w:t>
      </w:r>
      <w:r w:rsidR="00473E5E" w:rsidRPr="0059559C">
        <w:rPr>
          <w:rFonts w:cstheme="minorHAnsi"/>
          <w:sz w:val="24"/>
          <w:szCs w:val="24"/>
        </w:rPr>
        <w:t>these competing rights</w:t>
      </w:r>
      <w:r w:rsidR="006F6FFC" w:rsidRPr="0059559C">
        <w:rPr>
          <w:rFonts w:cstheme="minorHAnsi"/>
          <w:sz w:val="24"/>
          <w:szCs w:val="24"/>
        </w:rPr>
        <w:t>.</w:t>
      </w:r>
      <w:r w:rsidRPr="0059559C">
        <w:rPr>
          <w:rFonts w:cstheme="minorHAnsi"/>
          <w:sz w:val="24"/>
          <w:szCs w:val="24"/>
        </w:rPr>
        <w:t xml:space="preserve"> </w:t>
      </w:r>
    </w:p>
    <w:p w14:paraId="17B05A8A" w14:textId="77777777" w:rsidR="007C198D" w:rsidRPr="0059559C" w:rsidRDefault="007C198D" w:rsidP="00724D5D">
      <w:pPr>
        <w:spacing w:after="0" w:line="240" w:lineRule="auto"/>
        <w:rPr>
          <w:rFonts w:cstheme="minorHAnsi"/>
          <w:sz w:val="24"/>
          <w:szCs w:val="24"/>
        </w:rPr>
      </w:pPr>
    </w:p>
    <w:p w14:paraId="638E140E" w14:textId="77777777" w:rsidR="006F6FFC" w:rsidRPr="0059559C" w:rsidRDefault="00DF77C9" w:rsidP="00724D5D">
      <w:pPr>
        <w:spacing w:after="0" w:line="240" w:lineRule="auto"/>
        <w:rPr>
          <w:rFonts w:cstheme="minorHAnsi"/>
          <w:sz w:val="24"/>
          <w:szCs w:val="24"/>
        </w:rPr>
      </w:pPr>
      <w:r w:rsidRPr="0059559C">
        <w:rPr>
          <w:rFonts w:cstheme="minorHAnsi"/>
          <w:sz w:val="24"/>
          <w:szCs w:val="24"/>
        </w:rPr>
        <w:t xml:space="preserve">In support of the decision, </w:t>
      </w:r>
      <w:proofErr w:type="spellStart"/>
      <w:r w:rsidR="00B7722D" w:rsidRPr="0059559C">
        <w:rPr>
          <w:rFonts w:cstheme="minorHAnsi"/>
          <w:sz w:val="24"/>
          <w:szCs w:val="24"/>
        </w:rPr>
        <w:t>Bignam</w:t>
      </w:r>
      <w:r w:rsidR="006F6FFC" w:rsidRPr="0059559C">
        <w:rPr>
          <w:rFonts w:cstheme="minorHAnsi"/>
          <w:sz w:val="24"/>
          <w:szCs w:val="24"/>
        </w:rPr>
        <w:t>i</w:t>
      </w:r>
      <w:proofErr w:type="spellEnd"/>
      <w:r w:rsidR="006F6FFC" w:rsidRPr="0059559C">
        <w:rPr>
          <w:rFonts w:cstheme="minorHAnsi"/>
          <w:sz w:val="24"/>
          <w:szCs w:val="24"/>
        </w:rPr>
        <w:t xml:space="preserve"> </w:t>
      </w:r>
      <w:r w:rsidRPr="0059559C">
        <w:rPr>
          <w:rFonts w:cstheme="minorHAnsi"/>
          <w:sz w:val="24"/>
          <w:szCs w:val="24"/>
        </w:rPr>
        <w:t>comments</w:t>
      </w:r>
      <w:r w:rsidR="006F6FFC" w:rsidRPr="0059559C">
        <w:rPr>
          <w:rFonts w:cstheme="minorHAnsi"/>
          <w:sz w:val="24"/>
          <w:szCs w:val="24"/>
        </w:rPr>
        <w:t xml:space="preserve"> that in ‘sending the fundamental rights question back to the Swedish court, the Court of Justice both avoided a difficult issue and allowed for consideration national discretion.  The fundamental-rights balance between privacy and speech is by no means a precise science and by holding the Swedish court responsible for the balancing, the Court acknowledged that the outcome would be distinctive to Swedish law.’  Accordingly, </w:t>
      </w:r>
      <w:r w:rsidR="00711738" w:rsidRPr="0059559C">
        <w:rPr>
          <w:rFonts w:cstheme="minorHAnsi"/>
          <w:sz w:val="24"/>
          <w:szCs w:val="24"/>
        </w:rPr>
        <w:t>in deferring to the Member State to consider the</w:t>
      </w:r>
      <w:r w:rsidR="00943FDA" w:rsidRPr="0059559C">
        <w:rPr>
          <w:rFonts w:cstheme="minorHAnsi"/>
          <w:sz w:val="24"/>
          <w:szCs w:val="24"/>
        </w:rPr>
        <w:t xml:space="preserve"> privacy-speech </w:t>
      </w:r>
      <w:r w:rsidR="00711738" w:rsidRPr="0059559C">
        <w:rPr>
          <w:rFonts w:cstheme="minorHAnsi"/>
          <w:sz w:val="24"/>
          <w:szCs w:val="24"/>
        </w:rPr>
        <w:t>balance</w:t>
      </w:r>
      <w:r w:rsidR="00943FDA" w:rsidRPr="0059559C">
        <w:rPr>
          <w:rFonts w:cstheme="minorHAnsi"/>
          <w:sz w:val="24"/>
          <w:szCs w:val="24"/>
        </w:rPr>
        <w:t xml:space="preserve"> the </w:t>
      </w:r>
      <w:r w:rsidR="00711738" w:rsidRPr="0059559C">
        <w:rPr>
          <w:rFonts w:cstheme="minorHAnsi"/>
          <w:sz w:val="24"/>
          <w:szCs w:val="24"/>
        </w:rPr>
        <w:t>ECJ Court in Luxembourg ‘</w:t>
      </w:r>
      <w:r w:rsidR="00943FDA" w:rsidRPr="0059559C">
        <w:rPr>
          <w:rFonts w:cstheme="minorHAnsi"/>
          <w:sz w:val="24"/>
          <w:szCs w:val="24"/>
        </w:rPr>
        <w:t xml:space="preserve">both affirmed a European commitment to privacy and free expression </w:t>
      </w:r>
      <w:r w:rsidR="00943FDA" w:rsidRPr="0059559C">
        <w:rPr>
          <w:rFonts w:cstheme="minorHAnsi"/>
          <w:i/>
          <w:sz w:val="24"/>
          <w:szCs w:val="24"/>
        </w:rPr>
        <w:t xml:space="preserve">and </w:t>
      </w:r>
      <w:r w:rsidR="00943FDA" w:rsidRPr="0059559C">
        <w:rPr>
          <w:rFonts w:cstheme="minorHAnsi"/>
          <w:sz w:val="24"/>
          <w:szCs w:val="24"/>
        </w:rPr>
        <w:t>made a room for diverse moral orderings of public life at the national level</w:t>
      </w:r>
      <w:r w:rsidR="00711738" w:rsidRPr="0059559C">
        <w:rPr>
          <w:rFonts w:cstheme="minorHAnsi"/>
          <w:sz w:val="24"/>
          <w:szCs w:val="24"/>
        </w:rPr>
        <w:t>’</w:t>
      </w:r>
      <w:r w:rsidR="00943FDA" w:rsidRPr="0059559C">
        <w:rPr>
          <w:rFonts w:cstheme="minorHAnsi"/>
          <w:sz w:val="24"/>
          <w:szCs w:val="24"/>
        </w:rPr>
        <w:t xml:space="preserve">. </w:t>
      </w:r>
      <w:r w:rsidR="006F6FFC" w:rsidRPr="0059559C">
        <w:rPr>
          <w:rFonts w:cstheme="minorHAnsi"/>
          <w:sz w:val="24"/>
          <w:szCs w:val="24"/>
        </w:rPr>
        <w:t>The ECJ’s decision can thus be seen a</w:t>
      </w:r>
      <w:r w:rsidR="00711738" w:rsidRPr="0059559C">
        <w:rPr>
          <w:rFonts w:cstheme="minorHAnsi"/>
          <w:sz w:val="24"/>
          <w:szCs w:val="24"/>
        </w:rPr>
        <w:t>s</w:t>
      </w:r>
      <w:r w:rsidR="006F6FFC" w:rsidRPr="0059559C">
        <w:rPr>
          <w:rFonts w:cstheme="minorHAnsi"/>
          <w:sz w:val="24"/>
          <w:szCs w:val="24"/>
        </w:rPr>
        <w:t xml:space="preserve"> demonstrating </w:t>
      </w:r>
      <w:r w:rsidR="00943FDA" w:rsidRPr="0059559C">
        <w:rPr>
          <w:rFonts w:cstheme="minorHAnsi"/>
          <w:sz w:val="24"/>
          <w:szCs w:val="24"/>
        </w:rPr>
        <w:t xml:space="preserve">tolerance for constitutional diversity </w:t>
      </w:r>
      <w:r w:rsidR="009E4696" w:rsidRPr="0059559C">
        <w:rPr>
          <w:rFonts w:cstheme="minorHAnsi"/>
          <w:sz w:val="24"/>
          <w:szCs w:val="24"/>
        </w:rPr>
        <w:t>(</w:t>
      </w:r>
      <w:proofErr w:type="spellStart"/>
      <w:r w:rsidR="00B7722D" w:rsidRPr="0059559C">
        <w:rPr>
          <w:rFonts w:cstheme="minorHAnsi"/>
          <w:sz w:val="24"/>
          <w:szCs w:val="24"/>
        </w:rPr>
        <w:t>Bignam</w:t>
      </w:r>
      <w:r w:rsidR="00711738" w:rsidRPr="0059559C">
        <w:rPr>
          <w:rFonts w:cstheme="minorHAnsi"/>
          <w:sz w:val="24"/>
          <w:szCs w:val="24"/>
        </w:rPr>
        <w:t>i</w:t>
      </w:r>
      <w:proofErr w:type="spellEnd"/>
      <w:r w:rsidR="009E4696" w:rsidRPr="0059559C">
        <w:rPr>
          <w:rFonts w:cstheme="minorHAnsi"/>
          <w:sz w:val="24"/>
          <w:szCs w:val="24"/>
        </w:rPr>
        <w:t>, 2008, p</w:t>
      </w:r>
      <w:r w:rsidR="00711738" w:rsidRPr="0059559C">
        <w:rPr>
          <w:rFonts w:cstheme="minorHAnsi"/>
          <w:sz w:val="24"/>
          <w:szCs w:val="24"/>
        </w:rPr>
        <w:t>243-4</w:t>
      </w:r>
      <w:r w:rsidR="00943FDA" w:rsidRPr="0059559C">
        <w:rPr>
          <w:rFonts w:cstheme="minorHAnsi"/>
          <w:sz w:val="24"/>
          <w:szCs w:val="24"/>
        </w:rPr>
        <w:t xml:space="preserve">) </w:t>
      </w:r>
    </w:p>
    <w:p w14:paraId="5CA45891" w14:textId="77777777" w:rsidR="007C198D" w:rsidRPr="0059559C" w:rsidRDefault="007C198D" w:rsidP="00724D5D">
      <w:pPr>
        <w:spacing w:after="0" w:line="240" w:lineRule="auto"/>
        <w:rPr>
          <w:rFonts w:cstheme="minorHAnsi"/>
          <w:sz w:val="24"/>
          <w:szCs w:val="24"/>
        </w:rPr>
      </w:pPr>
    </w:p>
    <w:p w14:paraId="27E699B4" w14:textId="2CE344D0" w:rsidR="00DF77C9" w:rsidRPr="0059559C" w:rsidRDefault="00B7722D" w:rsidP="006259B8">
      <w:pPr>
        <w:pStyle w:val="FootnoteText"/>
        <w:rPr>
          <w:rFonts w:cstheme="minorHAnsi"/>
          <w:sz w:val="24"/>
          <w:szCs w:val="24"/>
        </w:rPr>
      </w:pPr>
      <w:r w:rsidRPr="0059559C">
        <w:rPr>
          <w:rFonts w:cstheme="minorHAnsi"/>
          <w:sz w:val="24"/>
          <w:szCs w:val="24"/>
        </w:rPr>
        <w:t xml:space="preserve">In stark contrast to </w:t>
      </w:r>
      <w:proofErr w:type="spellStart"/>
      <w:r w:rsidRPr="0059559C">
        <w:rPr>
          <w:rFonts w:cstheme="minorHAnsi"/>
          <w:sz w:val="24"/>
          <w:szCs w:val="24"/>
        </w:rPr>
        <w:t>Bignam</w:t>
      </w:r>
      <w:r w:rsidR="00EB03C9" w:rsidRPr="0059559C">
        <w:rPr>
          <w:rFonts w:cstheme="minorHAnsi"/>
          <w:sz w:val="24"/>
          <w:szCs w:val="24"/>
        </w:rPr>
        <w:t>i’s</w:t>
      </w:r>
      <w:proofErr w:type="spellEnd"/>
      <w:r w:rsidR="00EB03C9" w:rsidRPr="0059559C">
        <w:rPr>
          <w:rFonts w:cstheme="minorHAnsi"/>
          <w:sz w:val="24"/>
          <w:szCs w:val="24"/>
        </w:rPr>
        <w:t xml:space="preserve"> plaudits come </w:t>
      </w:r>
      <w:r w:rsidR="00CD3B34" w:rsidRPr="0059559C">
        <w:rPr>
          <w:rFonts w:cstheme="minorHAnsi"/>
          <w:sz w:val="24"/>
          <w:szCs w:val="24"/>
        </w:rPr>
        <w:t>c</w:t>
      </w:r>
      <w:r w:rsidR="006F6FFC" w:rsidRPr="0059559C">
        <w:rPr>
          <w:rFonts w:cstheme="minorHAnsi"/>
          <w:sz w:val="24"/>
          <w:szCs w:val="24"/>
        </w:rPr>
        <w:t xml:space="preserve">riticisms </w:t>
      </w:r>
      <w:r w:rsidR="00CD3B34" w:rsidRPr="0059559C">
        <w:rPr>
          <w:rFonts w:cstheme="minorHAnsi"/>
          <w:sz w:val="24"/>
          <w:szCs w:val="24"/>
        </w:rPr>
        <w:t>that the judgement</w:t>
      </w:r>
      <w:r w:rsidR="00711738" w:rsidRPr="0059559C">
        <w:rPr>
          <w:rFonts w:cstheme="minorHAnsi"/>
          <w:sz w:val="24"/>
          <w:szCs w:val="24"/>
        </w:rPr>
        <w:t xml:space="preserve"> leads almost inevitably to a too narrow interpretation of freedom of expression across the Member States.  </w:t>
      </w:r>
      <w:r w:rsidR="00CD3B34" w:rsidRPr="0059559C">
        <w:rPr>
          <w:rFonts w:cstheme="minorHAnsi"/>
          <w:sz w:val="24"/>
          <w:szCs w:val="24"/>
        </w:rPr>
        <w:t xml:space="preserve">This is particularly the case when one recognises that </w:t>
      </w:r>
      <w:r w:rsidR="00711738" w:rsidRPr="0059559C">
        <w:rPr>
          <w:rFonts w:cstheme="minorHAnsi"/>
          <w:sz w:val="24"/>
          <w:szCs w:val="24"/>
        </w:rPr>
        <w:t xml:space="preserve">Article 9 does not recognise the right to freedom of expression per se </w:t>
      </w:r>
      <w:r w:rsidR="00CD3B34" w:rsidRPr="0059559C">
        <w:rPr>
          <w:rFonts w:cstheme="minorHAnsi"/>
          <w:sz w:val="24"/>
          <w:szCs w:val="24"/>
        </w:rPr>
        <w:t xml:space="preserve">(as the similar provision in Article 10 of the European Convention does) </w:t>
      </w:r>
      <w:r w:rsidR="00711738" w:rsidRPr="0059559C">
        <w:rPr>
          <w:rFonts w:cstheme="minorHAnsi"/>
          <w:sz w:val="24"/>
          <w:szCs w:val="24"/>
        </w:rPr>
        <w:t>but provides only for exemptions or derogations ‘for journalistic purposes or the purpose of artistic or literary expression</w:t>
      </w:r>
      <w:r w:rsidR="0085609E" w:rsidRPr="0059559C">
        <w:rPr>
          <w:rFonts w:cstheme="minorHAnsi"/>
          <w:sz w:val="24"/>
          <w:szCs w:val="24"/>
        </w:rPr>
        <w:t>,</w:t>
      </w:r>
      <w:r w:rsidR="00711738" w:rsidRPr="0059559C">
        <w:rPr>
          <w:rFonts w:cstheme="minorHAnsi"/>
          <w:sz w:val="24"/>
          <w:szCs w:val="24"/>
        </w:rPr>
        <w:t xml:space="preserve">’ and then ‘only if they are necessary to reconcile the right to privacy with the rules governing freedom of expression.’  </w:t>
      </w:r>
      <w:r w:rsidR="00CB2B68">
        <w:rPr>
          <w:rFonts w:cstheme="minorHAnsi"/>
          <w:sz w:val="24"/>
          <w:szCs w:val="24"/>
        </w:rPr>
        <w:t>T</w:t>
      </w:r>
      <w:r w:rsidR="0085609E" w:rsidRPr="0059559C">
        <w:rPr>
          <w:rFonts w:cstheme="minorHAnsi"/>
          <w:sz w:val="24"/>
          <w:szCs w:val="24"/>
        </w:rPr>
        <w:t xml:space="preserve">he CJEU in </w:t>
      </w:r>
      <w:proofErr w:type="spellStart"/>
      <w:r w:rsidR="006259B8" w:rsidRPr="0059559C">
        <w:rPr>
          <w:sz w:val="24"/>
          <w:szCs w:val="24"/>
        </w:rPr>
        <w:t>Tietosuojavaltuutettu</w:t>
      </w:r>
      <w:proofErr w:type="spellEnd"/>
      <w:r w:rsidR="006259B8" w:rsidRPr="0059559C">
        <w:rPr>
          <w:sz w:val="24"/>
          <w:szCs w:val="24"/>
        </w:rPr>
        <w:t xml:space="preserve"> v </w:t>
      </w:r>
      <w:proofErr w:type="spellStart"/>
      <w:r w:rsidR="006259B8" w:rsidRPr="0059559C">
        <w:rPr>
          <w:sz w:val="24"/>
          <w:szCs w:val="24"/>
        </w:rPr>
        <w:t>Satakunnan</w:t>
      </w:r>
      <w:proofErr w:type="spellEnd"/>
      <w:r w:rsidR="006259B8" w:rsidRPr="0059559C">
        <w:rPr>
          <w:sz w:val="24"/>
          <w:szCs w:val="24"/>
        </w:rPr>
        <w:t xml:space="preserve"> </w:t>
      </w:r>
      <w:proofErr w:type="spellStart"/>
      <w:r w:rsidR="006259B8" w:rsidRPr="0059559C">
        <w:rPr>
          <w:sz w:val="24"/>
          <w:szCs w:val="24"/>
        </w:rPr>
        <w:t>Markkinapörssi</w:t>
      </w:r>
      <w:proofErr w:type="spellEnd"/>
      <w:r w:rsidR="006259B8" w:rsidRPr="0059559C">
        <w:rPr>
          <w:sz w:val="24"/>
          <w:szCs w:val="24"/>
        </w:rPr>
        <w:t xml:space="preserve"> Oy and </w:t>
      </w:r>
      <w:proofErr w:type="spellStart"/>
      <w:r w:rsidR="006259B8" w:rsidRPr="0059559C">
        <w:rPr>
          <w:sz w:val="24"/>
          <w:szCs w:val="24"/>
        </w:rPr>
        <w:t>Satamedia</w:t>
      </w:r>
      <w:proofErr w:type="spellEnd"/>
      <w:r w:rsidR="006259B8" w:rsidRPr="0059559C">
        <w:rPr>
          <w:sz w:val="24"/>
          <w:szCs w:val="24"/>
        </w:rPr>
        <w:t xml:space="preserve"> Oy</w:t>
      </w:r>
      <w:r w:rsidR="006259B8" w:rsidRPr="0059559C">
        <w:rPr>
          <w:rStyle w:val="affairetitle"/>
          <w:sz w:val="24"/>
          <w:szCs w:val="24"/>
        </w:rPr>
        <w:t xml:space="preserve"> </w:t>
      </w:r>
      <w:r w:rsidR="006259B8" w:rsidRPr="0059559C">
        <w:rPr>
          <w:rFonts w:cstheme="minorHAnsi"/>
          <w:sz w:val="24"/>
          <w:szCs w:val="24"/>
        </w:rPr>
        <w:t xml:space="preserve">CJEU C-73/07 </w:t>
      </w:r>
      <w:r w:rsidR="006259B8" w:rsidRPr="0059559C">
        <w:rPr>
          <w:rStyle w:val="affairetitle"/>
          <w:sz w:val="24"/>
          <w:szCs w:val="24"/>
        </w:rPr>
        <w:t>(</w:t>
      </w:r>
      <w:proofErr w:type="spellStart"/>
      <w:r w:rsidR="006259B8" w:rsidRPr="0059559C">
        <w:rPr>
          <w:rFonts w:cstheme="minorHAnsi"/>
          <w:sz w:val="24"/>
          <w:szCs w:val="24"/>
        </w:rPr>
        <w:t>Satamedia</w:t>
      </w:r>
      <w:proofErr w:type="spellEnd"/>
      <w:r w:rsidR="006259B8" w:rsidRPr="0059559C">
        <w:rPr>
          <w:rFonts w:cstheme="minorHAnsi"/>
          <w:sz w:val="24"/>
          <w:szCs w:val="24"/>
        </w:rPr>
        <w:t xml:space="preserve">) </w:t>
      </w:r>
      <w:r w:rsidR="0085609E" w:rsidRPr="0059559C">
        <w:rPr>
          <w:rFonts w:cstheme="minorHAnsi"/>
          <w:sz w:val="24"/>
          <w:szCs w:val="24"/>
        </w:rPr>
        <w:t xml:space="preserve">has recently recognised that the term ‘journalistic purposes’ </w:t>
      </w:r>
      <w:r w:rsidR="00991E04" w:rsidRPr="0059559C">
        <w:rPr>
          <w:rFonts w:cstheme="minorHAnsi"/>
          <w:sz w:val="24"/>
          <w:szCs w:val="24"/>
        </w:rPr>
        <w:t xml:space="preserve">is a wide </w:t>
      </w:r>
      <w:proofErr w:type="gramStart"/>
      <w:r w:rsidR="00991E04" w:rsidRPr="0059559C">
        <w:rPr>
          <w:rFonts w:cstheme="minorHAnsi"/>
          <w:sz w:val="24"/>
          <w:szCs w:val="24"/>
        </w:rPr>
        <w:t>one, that</w:t>
      </w:r>
      <w:proofErr w:type="gramEnd"/>
      <w:r w:rsidR="00991E04" w:rsidRPr="0059559C">
        <w:rPr>
          <w:rFonts w:cstheme="minorHAnsi"/>
          <w:sz w:val="24"/>
          <w:szCs w:val="24"/>
        </w:rPr>
        <w:t xml:space="preserve"> </w:t>
      </w:r>
      <w:r w:rsidR="0085609E" w:rsidRPr="0059559C">
        <w:rPr>
          <w:rFonts w:cstheme="minorHAnsi"/>
          <w:sz w:val="24"/>
          <w:szCs w:val="24"/>
        </w:rPr>
        <w:t>does not necessarily mean activity unde</w:t>
      </w:r>
      <w:r w:rsidR="00717C9B">
        <w:rPr>
          <w:rFonts w:cstheme="minorHAnsi"/>
          <w:sz w:val="24"/>
          <w:szCs w:val="24"/>
        </w:rPr>
        <w:t xml:space="preserve">rtaken by a media organisation.  It </w:t>
      </w:r>
      <w:r w:rsidR="00717C9B">
        <w:rPr>
          <w:rFonts w:cstheme="minorHAnsi"/>
          <w:sz w:val="24"/>
          <w:szCs w:val="24"/>
        </w:rPr>
        <w:lastRenderedPageBreak/>
        <w:t>suggests it</w:t>
      </w:r>
      <w:r w:rsidR="00991E04" w:rsidRPr="0059559C">
        <w:rPr>
          <w:rFonts w:cstheme="minorHAnsi"/>
          <w:sz w:val="24"/>
          <w:szCs w:val="24"/>
        </w:rPr>
        <w:t xml:space="preserve"> </w:t>
      </w:r>
      <w:r w:rsidR="004249F2">
        <w:rPr>
          <w:rFonts w:cstheme="minorHAnsi"/>
          <w:sz w:val="24"/>
          <w:szCs w:val="24"/>
        </w:rPr>
        <w:t xml:space="preserve">is </w:t>
      </w:r>
      <w:r w:rsidR="00991E04" w:rsidRPr="0059559C">
        <w:rPr>
          <w:rFonts w:cstheme="minorHAnsi"/>
          <w:sz w:val="24"/>
          <w:szCs w:val="24"/>
        </w:rPr>
        <w:t xml:space="preserve">a term which </w:t>
      </w:r>
      <w:r w:rsidR="0085609E" w:rsidRPr="0059559C">
        <w:rPr>
          <w:rFonts w:cstheme="minorHAnsi"/>
          <w:sz w:val="24"/>
          <w:szCs w:val="24"/>
        </w:rPr>
        <w:t>might also encompass the online processing of personal information by an individual</w:t>
      </w:r>
      <w:r w:rsidR="00717C9B">
        <w:rPr>
          <w:rFonts w:cstheme="minorHAnsi"/>
          <w:sz w:val="24"/>
          <w:szCs w:val="24"/>
        </w:rPr>
        <w:t>,</w:t>
      </w:r>
      <w:r w:rsidR="0085609E" w:rsidRPr="0059559C">
        <w:rPr>
          <w:rFonts w:cstheme="minorHAnsi"/>
          <w:sz w:val="24"/>
          <w:szCs w:val="24"/>
        </w:rPr>
        <w:t xml:space="preserve"> if their object is </w:t>
      </w:r>
      <w:r w:rsidR="00991E04" w:rsidRPr="0059559C">
        <w:rPr>
          <w:rFonts w:cstheme="minorHAnsi"/>
          <w:sz w:val="24"/>
          <w:szCs w:val="24"/>
        </w:rPr>
        <w:t>to disclose information,</w:t>
      </w:r>
      <w:r w:rsidR="00717C9B">
        <w:rPr>
          <w:rFonts w:cstheme="minorHAnsi"/>
          <w:sz w:val="24"/>
          <w:szCs w:val="24"/>
        </w:rPr>
        <w:t xml:space="preserve"> opinion or ideas to the public</w:t>
      </w:r>
      <w:r w:rsidR="00CB2B68">
        <w:rPr>
          <w:rFonts w:cstheme="minorHAnsi"/>
          <w:sz w:val="24"/>
          <w:szCs w:val="24"/>
        </w:rPr>
        <w:t xml:space="preserve">.  </w:t>
      </w:r>
      <w:r w:rsidR="00717C9B">
        <w:rPr>
          <w:rFonts w:cstheme="minorHAnsi"/>
          <w:sz w:val="24"/>
          <w:szCs w:val="24"/>
        </w:rPr>
        <w:t>Nonetheless</w:t>
      </w:r>
      <w:r w:rsidR="00991E04" w:rsidRPr="0059559C">
        <w:rPr>
          <w:rFonts w:cstheme="minorHAnsi"/>
          <w:sz w:val="24"/>
          <w:szCs w:val="24"/>
        </w:rPr>
        <w:t xml:space="preserve"> under the Directive individuals are </w:t>
      </w:r>
      <w:r w:rsidR="00717C9B">
        <w:rPr>
          <w:rFonts w:cstheme="minorHAnsi"/>
          <w:sz w:val="24"/>
          <w:szCs w:val="24"/>
        </w:rPr>
        <w:t xml:space="preserve">still </w:t>
      </w:r>
      <w:r w:rsidR="00991E04" w:rsidRPr="0059559C">
        <w:rPr>
          <w:rFonts w:cstheme="minorHAnsi"/>
          <w:sz w:val="24"/>
          <w:szCs w:val="24"/>
        </w:rPr>
        <w:t>afforded</w:t>
      </w:r>
      <w:r w:rsidR="0085609E" w:rsidRPr="0059559C">
        <w:rPr>
          <w:rFonts w:cstheme="minorHAnsi"/>
          <w:sz w:val="24"/>
          <w:szCs w:val="24"/>
        </w:rPr>
        <w:t xml:space="preserve"> only a limited right to freedom of </w:t>
      </w:r>
      <w:proofErr w:type="gramStart"/>
      <w:r w:rsidR="0085609E" w:rsidRPr="0059559C">
        <w:rPr>
          <w:rFonts w:cstheme="minorHAnsi"/>
          <w:sz w:val="24"/>
          <w:szCs w:val="24"/>
        </w:rPr>
        <w:t>expression</w:t>
      </w:r>
      <w:r w:rsidR="00DF77C9" w:rsidRPr="0059559C">
        <w:rPr>
          <w:rFonts w:cstheme="minorHAnsi"/>
          <w:sz w:val="24"/>
          <w:szCs w:val="24"/>
        </w:rPr>
        <w:t>,</w:t>
      </w:r>
      <w:proofErr w:type="gramEnd"/>
      <w:r w:rsidR="00DF77C9" w:rsidRPr="0059559C">
        <w:rPr>
          <w:rFonts w:cstheme="minorHAnsi"/>
          <w:sz w:val="24"/>
          <w:szCs w:val="24"/>
        </w:rPr>
        <w:t xml:space="preserve"> </w:t>
      </w:r>
      <w:r w:rsidR="00991E04" w:rsidRPr="0059559C">
        <w:rPr>
          <w:rFonts w:cstheme="minorHAnsi"/>
          <w:sz w:val="24"/>
          <w:szCs w:val="24"/>
        </w:rPr>
        <w:t xml:space="preserve">and </w:t>
      </w:r>
      <w:r w:rsidR="00DF77C9" w:rsidRPr="0059559C">
        <w:rPr>
          <w:rFonts w:cstheme="minorHAnsi"/>
          <w:sz w:val="24"/>
          <w:szCs w:val="24"/>
        </w:rPr>
        <w:t xml:space="preserve">only </w:t>
      </w:r>
      <w:r w:rsidR="00991E04" w:rsidRPr="0059559C">
        <w:rPr>
          <w:rFonts w:cstheme="minorHAnsi"/>
          <w:sz w:val="24"/>
          <w:szCs w:val="24"/>
        </w:rPr>
        <w:t xml:space="preserve">when </w:t>
      </w:r>
      <w:r w:rsidR="00DF77C9" w:rsidRPr="0059559C">
        <w:rPr>
          <w:rFonts w:cstheme="minorHAnsi"/>
          <w:sz w:val="24"/>
          <w:szCs w:val="24"/>
        </w:rPr>
        <w:t xml:space="preserve">those </w:t>
      </w:r>
      <w:r w:rsidR="00991E04" w:rsidRPr="0059559C">
        <w:rPr>
          <w:rFonts w:cstheme="minorHAnsi"/>
          <w:sz w:val="24"/>
          <w:szCs w:val="24"/>
        </w:rPr>
        <w:t xml:space="preserve">individuals are </w:t>
      </w:r>
      <w:r w:rsidR="00DF77C9" w:rsidRPr="0059559C">
        <w:rPr>
          <w:rFonts w:cstheme="minorHAnsi"/>
          <w:sz w:val="24"/>
          <w:szCs w:val="24"/>
        </w:rPr>
        <w:t>exercising their right to freedom of expression for specified limited purposes</w:t>
      </w:r>
      <w:r w:rsidR="00CB2B68">
        <w:rPr>
          <w:rFonts w:cstheme="minorHAnsi"/>
          <w:sz w:val="24"/>
          <w:szCs w:val="24"/>
        </w:rPr>
        <w:t>.</w:t>
      </w:r>
      <w:r w:rsidR="00717C9B">
        <w:rPr>
          <w:rFonts w:cstheme="minorHAnsi"/>
          <w:sz w:val="24"/>
          <w:szCs w:val="24"/>
        </w:rPr>
        <w:t xml:space="preserve">  There has been no sign from the CJEU that it believes that a more expansive interpretation of freedom of expression is appropriate.  Indeed the 2014 judgement in Google Spain and Google </w:t>
      </w:r>
      <w:proofErr w:type="spellStart"/>
      <w:r w:rsidR="00717C9B">
        <w:rPr>
          <w:rFonts w:cstheme="minorHAnsi"/>
          <w:sz w:val="24"/>
          <w:szCs w:val="24"/>
        </w:rPr>
        <w:t>Inc</w:t>
      </w:r>
      <w:proofErr w:type="spellEnd"/>
      <w:r w:rsidR="00717C9B">
        <w:rPr>
          <w:rFonts w:cstheme="minorHAnsi"/>
          <w:sz w:val="24"/>
          <w:szCs w:val="24"/>
        </w:rPr>
        <w:t xml:space="preserve"> v Mario </w:t>
      </w:r>
      <w:proofErr w:type="spellStart"/>
      <w:r w:rsidR="00717C9B">
        <w:rPr>
          <w:rFonts w:cstheme="minorHAnsi"/>
          <w:sz w:val="24"/>
          <w:szCs w:val="24"/>
        </w:rPr>
        <w:t>Costeja</w:t>
      </w:r>
      <w:proofErr w:type="spellEnd"/>
      <w:r w:rsidR="00717C9B">
        <w:rPr>
          <w:rFonts w:cstheme="minorHAnsi"/>
          <w:sz w:val="24"/>
          <w:szCs w:val="24"/>
        </w:rPr>
        <w:t xml:space="preserve"> Gonzalez (C-131/12, paragraphs 69 and 85) suggests the contrary.  </w:t>
      </w:r>
    </w:p>
    <w:p w14:paraId="54A35EDD" w14:textId="77777777" w:rsidR="007C198D" w:rsidRPr="0059559C" w:rsidRDefault="007C198D" w:rsidP="00724D5D">
      <w:pPr>
        <w:spacing w:after="0" w:line="240" w:lineRule="auto"/>
        <w:rPr>
          <w:rFonts w:cstheme="minorHAnsi"/>
          <w:sz w:val="24"/>
          <w:szCs w:val="24"/>
        </w:rPr>
      </w:pPr>
    </w:p>
    <w:p w14:paraId="1A7B2146" w14:textId="2D031DB1" w:rsidR="00E21EB8" w:rsidRPr="0059559C" w:rsidRDefault="00711738" w:rsidP="00724D5D">
      <w:pPr>
        <w:spacing w:after="0" w:line="240" w:lineRule="auto"/>
        <w:rPr>
          <w:rFonts w:cstheme="minorHAnsi"/>
          <w:sz w:val="24"/>
          <w:szCs w:val="24"/>
        </w:rPr>
      </w:pPr>
      <w:r w:rsidRPr="0059559C">
        <w:rPr>
          <w:rFonts w:cstheme="minorHAnsi"/>
          <w:sz w:val="24"/>
          <w:szCs w:val="24"/>
        </w:rPr>
        <w:t xml:space="preserve">The </w:t>
      </w:r>
      <w:r w:rsidR="00DF77C9" w:rsidRPr="0059559C">
        <w:rPr>
          <w:rFonts w:cstheme="minorHAnsi"/>
          <w:sz w:val="24"/>
          <w:szCs w:val="24"/>
        </w:rPr>
        <w:t xml:space="preserve">second major criticism that can be made of the </w:t>
      </w:r>
      <w:proofErr w:type="spellStart"/>
      <w:r w:rsidRPr="0059559C">
        <w:rPr>
          <w:rFonts w:cstheme="minorHAnsi"/>
          <w:sz w:val="24"/>
          <w:szCs w:val="24"/>
        </w:rPr>
        <w:t>Li</w:t>
      </w:r>
      <w:r w:rsidR="00DF77C9" w:rsidRPr="0059559C">
        <w:rPr>
          <w:rFonts w:cstheme="minorHAnsi"/>
          <w:sz w:val="24"/>
          <w:szCs w:val="24"/>
        </w:rPr>
        <w:t>ndqvist</w:t>
      </w:r>
      <w:proofErr w:type="spellEnd"/>
      <w:r w:rsidR="00DF77C9" w:rsidRPr="0059559C">
        <w:rPr>
          <w:rFonts w:cstheme="minorHAnsi"/>
          <w:sz w:val="24"/>
          <w:szCs w:val="24"/>
        </w:rPr>
        <w:t xml:space="preserve"> decision in relation to the Article 9 </w:t>
      </w:r>
      <w:proofErr w:type="gramStart"/>
      <w:r w:rsidR="00DF77C9" w:rsidRPr="0059559C">
        <w:rPr>
          <w:rFonts w:cstheme="minorHAnsi"/>
          <w:sz w:val="24"/>
          <w:szCs w:val="24"/>
        </w:rPr>
        <w:t>issue,</w:t>
      </w:r>
      <w:proofErr w:type="gramEnd"/>
      <w:r w:rsidR="00DF77C9" w:rsidRPr="0059559C">
        <w:rPr>
          <w:rFonts w:cstheme="minorHAnsi"/>
          <w:sz w:val="24"/>
          <w:szCs w:val="24"/>
        </w:rPr>
        <w:t xml:space="preserve"> is that it can arguably be seen as </w:t>
      </w:r>
      <w:r w:rsidRPr="0059559C">
        <w:rPr>
          <w:rFonts w:cstheme="minorHAnsi"/>
          <w:sz w:val="24"/>
          <w:szCs w:val="24"/>
        </w:rPr>
        <w:t>the root cause of an inconsistent approach to the privacy-free speech issue</w:t>
      </w:r>
      <w:r w:rsidR="00340EEE" w:rsidRPr="0059559C">
        <w:rPr>
          <w:rFonts w:cstheme="minorHAnsi"/>
          <w:sz w:val="24"/>
          <w:szCs w:val="24"/>
        </w:rPr>
        <w:t>;</w:t>
      </w:r>
      <w:r w:rsidR="00E21EB8" w:rsidRPr="0059559C">
        <w:rPr>
          <w:rFonts w:cstheme="minorHAnsi"/>
          <w:sz w:val="24"/>
          <w:szCs w:val="24"/>
        </w:rPr>
        <w:t xml:space="preserve"> across Europe marked divergences in approach to the implementation of Article 9 can be seen.  </w:t>
      </w:r>
      <w:r w:rsidR="00340EEE" w:rsidRPr="0059559C">
        <w:rPr>
          <w:rFonts w:cstheme="minorHAnsi"/>
          <w:sz w:val="24"/>
          <w:szCs w:val="24"/>
        </w:rPr>
        <w:t xml:space="preserve">Whilst the most liberal states, </w:t>
      </w:r>
      <w:r w:rsidR="00E21EB8" w:rsidRPr="0059559C">
        <w:rPr>
          <w:rFonts w:cstheme="minorHAnsi"/>
          <w:sz w:val="24"/>
          <w:szCs w:val="24"/>
        </w:rPr>
        <w:t>Denmark and Sweden, have extend</w:t>
      </w:r>
      <w:r w:rsidR="00A86FCF" w:rsidRPr="0059559C">
        <w:rPr>
          <w:rFonts w:cstheme="minorHAnsi"/>
          <w:sz w:val="24"/>
          <w:szCs w:val="24"/>
        </w:rPr>
        <w:t>ed</w:t>
      </w:r>
      <w:r w:rsidR="00E21EB8" w:rsidRPr="0059559C">
        <w:rPr>
          <w:rFonts w:cstheme="minorHAnsi"/>
          <w:sz w:val="24"/>
          <w:szCs w:val="24"/>
        </w:rPr>
        <w:t xml:space="preserve"> the exception related to freedom of expression to everyone</w:t>
      </w:r>
      <w:r w:rsidR="006259B8" w:rsidRPr="0059559C">
        <w:rPr>
          <w:rFonts w:cstheme="minorHAnsi"/>
          <w:sz w:val="24"/>
          <w:szCs w:val="24"/>
        </w:rPr>
        <w:t>,</w:t>
      </w:r>
      <w:r w:rsidR="00E21EB8" w:rsidRPr="0059559C">
        <w:rPr>
          <w:rFonts w:cstheme="minorHAnsi"/>
          <w:sz w:val="24"/>
          <w:szCs w:val="24"/>
        </w:rPr>
        <w:t xml:space="preserve"> not just journalists, artists and artistic writers</w:t>
      </w:r>
      <w:r w:rsidR="006259B8" w:rsidRPr="0059559C">
        <w:rPr>
          <w:rFonts w:cstheme="minorHAnsi"/>
          <w:sz w:val="24"/>
          <w:szCs w:val="24"/>
        </w:rPr>
        <w:t>,</w:t>
      </w:r>
      <w:r w:rsidR="00B87466" w:rsidRPr="0059559C">
        <w:rPr>
          <w:rFonts w:cstheme="minorHAnsi"/>
          <w:sz w:val="24"/>
          <w:szCs w:val="24"/>
        </w:rPr>
        <w:t xml:space="preserve"> </w:t>
      </w:r>
      <w:r w:rsidR="00A86FCF" w:rsidRPr="0059559C">
        <w:rPr>
          <w:rFonts w:cstheme="minorHAnsi"/>
          <w:sz w:val="24"/>
          <w:szCs w:val="24"/>
        </w:rPr>
        <w:t xml:space="preserve">recognising that everyone should be able to effectively exercise their </w:t>
      </w:r>
      <w:r w:rsidR="00E21EB8" w:rsidRPr="0059559C">
        <w:rPr>
          <w:rFonts w:cstheme="minorHAnsi"/>
          <w:sz w:val="24"/>
          <w:szCs w:val="24"/>
        </w:rPr>
        <w:t>freedom to seek</w:t>
      </w:r>
      <w:r w:rsidR="00340EEE" w:rsidRPr="0059559C">
        <w:rPr>
          <w:rFonts w:cstheme="minorHAnsi"/>
          <w:sz w:val="24"/>
          <w:szCs w:val="24"/>
        </w:rPr>
        <w:t xml:space="preserve">, receive or impart information, at the other extreme </w:t>
      </w:r>
      <w:r w:rsidR="00A86FCF" w:rsidRPr="0059559C">
        <w:rPr>
          <w:rFonts w:cstheme="minorHAnsi"/>
          <w:sz w:val="24"/>
          <w:szCs w:val="24"/>
        </w:rPr>
        <w:t xml:space="preserve">one </w:t>
      </w:r>
      <w:r w:rsidR="00E21EB8" w:rsidRPr="0059559C">
        <w:rPr>
          <w:rFonts w:cstheme="minorHAnsi"/>
          <w:sz w:val="24"/>
          <w:szCs w:val="24"/>
        </w:rPr>
        <w:t xml:space="preserve">finds Spain, which makes no reference to freedom of expression at all in </w:t>
      </w:r>
      <w:r w:rsidR="00340EEE" w:rsidRPr="0059559C">
        <w:rPr>
          <w:rFonts w:cstheme="minorHAnsi"/>
          <w:sz w:val="24"/>
          <w:szCs w:val="24"/>
        </w:rPr>
        <w:t xml:space="preserve">Spanish </w:t>
      </w:r>
      <w:r w:rsidR="00E21EB8" w:rsidRPr="0059559C">
        <w:rPr>
          <w:rFonts w:cstheme="minorHAnsi"/>
          <w:sz w:val="24"/>
          <w:szCs w:val="24"/>
        </w:rPr>
        <w:t>law</w:t>
      </w:r>
      <w:r w:rsidR="006259B8" w:rsidRPr="0059559C">
        <w:rPr>
          <w:rFonts w:cstheme="minorHAnsi"/>
          <w:sz w:val="24"/>
          <w:szCs w:val="24"/>
        </w:rPr>
        <w:t xml:space="preserve"> (</w:t>
      </w:r>
      <w:proofErr w:type="spellStart"/>
      <w:r w:rsidR="006259B8" w:rsidRPr="0059559C">
        <w:rPr>
          <w:rFonts w:cstheme="minorHAnsi"/>
          <w:sz w:val="24"/>
          <w:szCs w:val="24"/>
        </w:rPr>
        <w:t>Korff</w:t>
      </w:r>
      <w:proofErr w:type="spellEnd"/>
      <w:r w:rsidR="006259B8" w:rsidRPr="0059559C">
        <w:rPr>
          <w:rFonts w:cstheme="minorHAnsi"/>
          <w:sz w:val="24"/>
          <w:szCs w:val="24"/>
        </w:rPr>
        <w:t>, 2010)</w:t>
      </w:r>
      <w:r w:rsidR="00340EEE" w:rsidRPr="0059559C">
        <w:rPr>
          <w:rFonts w:cstheme="minorHAnsi"/>
          <w:sz w:val="24"/>
          <w:szCs w:val="24"/>
        </w:rPr>
        <w:t xml:space="preserve">.  </w:t>
      </w:r>
      <w:r w:rsidR="00E21EB8" w:rsidRPr="0059559C">
        <w:rPr>
          <w:rFonts w:cstheme="minorHAnsi"/>
          <w:sz w:val="24"/>
          <w:szCs w:val="24"/>
        </w:rPr>
        <w:t>In between numerous countries</w:t>
      </w:r>
      <w:r w:rsidR="00A86FCF" w:rsidRPr="0059559C">
        <w:rPr>
          <w:rFonts w:cstheme="minorHAnsi"/>
          <w:sz w:val="24"/>
          <w:szCs w:val="24"/>
        </w:rPr>
        <w:t>, including the UK,</w:t>
      </w:r>
      <w:r w:rsidR="00E21EB8" w:rsidRPr="0059559C">
        <w:rPr>
          <w:rFonts w:cstheme="minorHAnsi"/>
          <w:sz w:val="24"/>
          <w:szCs w:val="24"/>
        </w:rPr>
        <w:t xml:space="preserve"> adhere strictly to the letter of Article 9, with exemptions or exceptions applying only to press, to journalists, or for journalist, artistic or literary purposes.</w:t>
      </w:r>
      <w:r w:rsidR="00A86FCF" w:rsidRPr="0059559C">
        <w:rPr>
          <w:rFonts w:cstheme="minorHAnsi"/>
          <w:sz w:val="24"/>
          <w:szCs w:val="24"/>
        </w:rPr>
        <w:t xml:space="preserve">  </w:t>
      </w:r>
      <w:r w:rsidR="008B5F88">
        <w:rPr>
          <w:rFonts w:cstheme="minorHAnsi"/>
          <w:sz w:val="24"/>
          <w:szCs w:val="24"/>
        </w:rPr>
        <w:t xml:space="preserve">  </w:t>
      </w:r>
      <w:r w:rsidR="00E21EB8" w:rsidRPr="0059559C">
        <w:rPr>
          <w:rFonts w:cstheme="minorHAnsi"/>
          <w:sz w:val="24"/>
          <w:szCs w:val="24"/>
        </w:rPr>
        <w:t>The extent to which an individual who has posted photographs online in the exercise of their</w:t>
      </w:r>
      <w:r w:rsidR="00EB03C9" w:rsidRPr="0059559C">
        <w:rPr>
          <w:rFonts w:cstheme="minorHAnsi"/>
          <w:sz w:val="24"/>
          <w:szCs w:val="24"/>
        </w:rPr>
        <w:t xml:space="preserve"> right to freedom of expression</w:t>
      </w:r>
      <w:r w:rsidR="00E21EB8" w:rsidRPr="0059559C">
        <w:rPr>
          <w:rFonts w:cstheme="minorHAnsi"/>
          <w:sz w:val="24"/>
          <w:szCs w:val="24"/>
        </w:rPr>
        <w:t xml:space="preserve"> may rely upon Article 9, and thus receive relief from the </w:t>
      </w:r>
      <w:r w:rsidR="00EB03C9" w:rsidRPr="0059559C">
        <w:rPr>
          <w:rFonts w:cstheme="minorHAnsi"/>
          <w:sz w:val="24"/>
          <w:szCs w:val="24"/>
        </w:rPr>
        <w:t>Directive’s strict obligations</w:t>
      </w:r>
      <w:r w:rsidR="00E21EB8" w:rsidRPr="0059559C">
        <w:rPr>
          <w:rFonts w:cstheme="minorHAnsi"/>
          <w:sz w:val="24"/>
          <w:szCs w:val="24"/>
        </w:rPr>
        <w:t xml:space="preserve"> is therefore an issue that cannot be established from consideration of European law alone.  It is </w:t>
      </w:r>
      <w:r w:rsidR="00A86FCF" w:rsidRPr="0059559C">
        <w:rPr>
          <w:rFonts w:cstheme="minorHAnsi"/>
          <w:sz w:val="24"/>
          <w:szCs w:val="24"/>
        </w:rPr>
        <w:t xml:space="preserve">necessary also to </w:t>
      </w:r>
      <w:r w:rsidR="00E21EB8" w:rsidRPr="0059559C">
        <w:rPr>
          <w:rFonts w:cstheme="minorHAnsi"/>
          <w:sz w:val="24"/>
          <w:szCs w:val="24"/>
        </w:rPr>
        <w:t xml:space="preserve">consider the applicable domestic law.  </w:t>
      </w:r>
      <w:r w:rsidR="002E5867" w:rsidRPr="0059559C">
        <w:rPr>
          <w:rFonts w:cstheme="minorHAnsi"/>
          <w:sz w:val="24"/>
          <w:szCs w:val="24"/>
        </w:rPr>
        <w:t>It is thus that we turn to the UK law, and the guidance issued by the UK regulator to determine how, in practice Article 3(2) and Article 9 are being applied to UK individuals who share images of third parties online.</w:t>
      </w:r>
    </w:p>
    <w:p w14:paraId="00B83DDF" w14:textId="77777777" w:rsidR="007C198D" w:rsidRPr="0059559C" w:rsidRDefault="007C198D" w:rsidP="00724D5D">
      <w:pPr>
        <w:spacing w:after="0" w:line="240" w:lineRule="auto"/>
        <w:rPr>
          <w:rFonts w:cstheme="minorHAnsi"/>
          <w:sz w:val="24"/>
          <w:szCs w:val="24"/>
        </w:rPr>
      </w:pPr>
    </w:p>
    <w:p w14:paraId="372A3368" w14:textId="77777777" w:rsidR="00D856C6" w:rsidRPr="0059559C" w:rsidRDefault="0079333A" w:rsidP="00724D5D">
      <w:pPr>
        <w:pStyle w:val="ListParagraph"/>
        <w:numPr>
          <w:ilvl w:val="0"/>
          <w:numId w:val="6"/>
        </w:numPr>
        <w:rPr>
          <w:rFonts w:asciiTheme="minorHAnsi" w:hAnsiTheme="minorHAnsi" w:cstheme="minorHAnsi"/>
          <w:b/>
          <w:sz w:val="24"/>
          <w:szCs w:val="24"/>
        </w:rPr>
      </w:pPr>
      <w:r w:rsidRPr="0059559C">
        <w:rPr>
          <w:rFonts w:asciiTheme="minorHAnsi" w:hAnsiTheme="minorHAnsi" w:cstheme="minorHAnsi"/>
          <w:b/>
          <w:sz w:val="24"/>
          <w:szCs w:val="24"/>
        </w:rPr>
        <w:t>The UK position</w:t>
      </w:r>
    </w:p>
    <w:p w14:paraId="6902FABE" w14:textId="00C94827" w:rsidR="00500B4C" w:rsidRPr="0059559C" w:rsidRDefault="00943FDA" w:rsidP="004F09FA">
      <w:pPr>
        <w:spacing w:after="0" w:line="240" w:lineRule="auto"/>
        <w:rPr>
          <w:rFonts w:cstheme="minorHAnsi"/>
          <w:sz w:val="24"/>
          <w:szCs w:val="24"/>
        </w:rPr>
      </w:pPr>
      <w:r w:rsidRPr="0059559C">
        <w:rPr>
          <w:rFonts w:cstheme="minorHAnsi"/>
          <w:sz w:val="24"/>
          <w:szCs w:val="24"/>
        </w:rPr>
        <w:br/>
      </w:r>
      <w:r w:rsidR="004E496E" w:rsidRPr="0059559C">
        <w:rPr>
          <w:rFonts w:cstheme="minorHAnsi"/>
          <w:sz w:val="24"/>
          <w:szCs w:val="24"/>
        </w:rPr>
        <w:t>T</w:t>
      </w:r>
      <w:r w:rsidRPr="0059559C">
        <w:rPr>
          <w:rFonts w:cstheme="minorHAnsi"/>
          <w:sz w:val="24"/>
          <w:szCs w:val="24"/>
        </w:rPr>
        <w:t xml:space="preserve">he </w:t>
      </w:r>
      <w:r w:rsidR="0061688F" w:rsidRPr="0059559C">
        <w:rPr>
          <w:rFonts w:cstheme="minorHAnsi"/>
          <w:sz w:val="24"/>
          <w:szCs w:val="24"/>
        </w:rPr>
        <w:t xml:space="preserve">UK </w:t>
      </w:r>
      <w:r w:rsidRPr="0059559C">
        <w:rPr>
          <w:rFonts w:cstheme="minorHAnsi"/>
          <w:sz w:val="24"/>
          <w:szCs w:val="24"/>
        </w:rPr>
        <w:t>I</w:t>
      </w:r>
      <w:r w:rsidR="0061688F" w:rsidRPr="0059559C">
        <w:rPr>
          <w:rFonts w:cstheme="minorHAnsi"/>
          <w:sz w:val="24"/>
          <w:szCs w:val="24"/>
        </w:rPr>
        <w:t xml:space="preserve">nformation Commissioner </w:t>
      </w:r>
      <w:r w:rsidR="004E496E" w:rsidRPr="0059559C">
        <w:rPr>
          <w:rStyle w:val="legds2"/>
          <w:rFonts w:cstheme="minorHAnsi"/>
          <w:sz w:val="24"/>
          <w:szCs w:val="24"/>
          <w:lang w:val="en"/>
          <w:specVanish w:val="0"/>
        </w:rPr>
        <w:t xml:space="preserve">is </w:t>
      </w:r>
      <w:r w:rsidR="00500B4C" w:rsidRPr="0059559C">
        <w:rPr>
          <w:rStyle w:val="legds2"/>
          <w:rFonts w:cstheme="minorHAnsi"/>
          <w:sz w:val="24"/>
          <w:szCs w:val="24"/>
          <w:lang w:val="en"/>
          <w:specVanish w:val="0"/>
        </w:rPr>
        <w:t xml:space="preserve">charged both with promoting </w:t>
      </w:r>
      <w:r w:rsidRPr="0059559C">
        <w:rPr>
          <w:rStyle w:val="legds2"/>
          <w:rFonts w:cstheme="minorHAnsi"/>
          <w:sz w:val="24"/>
          <w:szCs w:val="24"/>
          <w:lang w:val="en"/>
          <w:specVanish w:val="0"/>
        </w:rPr>
        <w:t xml:space="preserve">good practice and </w:t>
      </w:r>
      <w:r w:rsidR="006D2B88" w:rsidRPr="0059559C">
        <w:rPr>
          <w:rStyle w:val="legds2"/>
          <w:rFonts w:cstheme="minorHAnsi"/>
          <w:sz w:val="24"/>
          <w:szCs w:val="24"/>
          <w:lang w:val="en"/>
          <w:specVanish w:val="0"/>
        </w:rPr>
        <w:t xml:space="preserve">ensuring </w:t>
      </w:r>
      <w:r w:rsidRPr="0059559C">
        <w:rPr>
          <w:rStyle w:val="legds2"/>
          <w:rFonts w:cstheme="minorHAnsi"/>
          <w:sz w:val="24"/>
          <w:szCs w:val="24"/>
          <w:lang w:val="en"/>
          <w:specVanish w:val="0"/>
        </w:rPr>
        <w:t xml:space="preserve">observance of </w:t>
      </w:r>
      <w:r w:rsidR="004E496E" w:rsidRPr="0059559C">
        <w:rPr>
          <w:rStyle w:val="legds2"/>
          <w:rFonts w:cstheme="minorHAnsi"/>
          <w:sz w:val="24"/>
          <w:szCs w:val="24"/>
          <w:lang w:val="en"/>
          <w:specVanish w:val="0"/>
        </w:rPr>
        <w:t>the DPA</w:t>
      </w:r>
      <w:r w:rsidRPr="0059559C">
        <w:rPr>
          <w:rStyle w:val="legds2"/>
          <w:rFonts w:cstheme="minorHAnsi"/>
          <w:sz w:val="24"/>
          <w:szCs w:val="24"/>
          <w:lang w:val="en"/>
          <w:specVanish w:val="0"/>
        </w:rPr>
        <w:t>, in particular through the dissemination of appropriate information and advice</w:t>
      </w:r>
      <w:r w:rsidR="007F1409" w:rsidRPr="0059559C">
        <w:rPr>
          <w:rStyle w:val="legds2"/>
          <w:rFonts w:cstheme="minorHAnsi"/>
          <w:sz w:val="24"/>
          <w:szCs w:val="24"/>
          <w:lang w:val="en"/>
          <w:specVanish w:val="0"/>
        </w:rPr>
        <w:t xml:space="preserve"> (Section 51 Data Protection Act 1998)</w:t>
      </w:r>
      <w:r w:rsidRPr="0059559C">
        <w:rPr>
          <w:rStyle w:val="legds2"/>
          <w:rFonts w:cstheme="minorHAnsi"/>
          <w:sz w:val="24"/>
          <w:szCs w:val="24"/>
          <w:lang w:val="en"/>
          <w:specVanish w:val="0"/>
        </w:rPr>
        <w:t xml:space="preserve">.  If ever there were an area in which guidance were needed it would </w:t>
      </w:r>
      <w:r w:rsidR="007C198D" w:rsidRPr="0059559C">
        <w:rPr>
          <w:rStyle w:val="legds2"/>
          <w:rFonts w:cstheme="minorHAnsi"/>
          <w:sz w:val="24"/>
          <w:szCs w:val="24"/>
          <w:lang w:val="en"/>
          <w:specVanish w:val="0"/>
        </w:rPr>
        <w:t xml:space="preserve">seem to </w:t>
      </w:r>
      <w:r w:rsidRPr="0059559C">
        <w:rPr>
          <w:rStyle w:val="legds2"/>
          <w:rFonts w:cstheme="minorHAnsi"/>
          <w:sz w:val="24"/>
          <w:szCs w:val="24"/>
          <w:lang w:val="en"/>
          <w:specVanish w:val="0"/>
        </w:rPr>
        <w:t>be in relation to the DPA</w:t>
      </w:r>
      <w:r w:rsidR="00500B4C" w:rsidRPr="0059559C">
        <w:rPr>
          <w:rStyle w:val="legds2"/>
          <w:rFonts w:cstheme="minorHAnsi"/>
          <w:sz w:val="24"/>
          <w:szCs w:val="24"/>
          <w:lang w:val="en"/>
          <w:specVanish w:val="0"/>
        </w:rPr>
        <w:t>’s application in</w:t>
      </w:r>
      <w:r w:rsidRPr="0059559C">
        <w:rPr>
          <w:rStyle w:val="legds2"/>
          <w:rFonts w:cstheme="minorHAnsi"/>
          <w:sz w:val="24"/>
          <w:szCs w:val="24"/>
          <w:lang w:val="en"/>
          <w:specVanish w:val="0"/>
        </w:rPr>
        <w:t xml:space="preserve"> the online sphere.  </w:t>
      </w:r>
      <w:r w:rsidR="00500B4C" w:rsidRPr="0059559C">
        <w:rPr>
          <w:rStyle w:val="legds2"/>
          <w:rFonts w:cstheme="minorHAnsi"/>
          <w:sz w:val="24"/>
          <w:szCs w:val="24"/>
          <w:lang w:val="en"/>
          <w:specVanish w:val="0"/>
        </w:rPr>
        <w:t>Whilst the I</w:t>
      </w:r>
      <w:r w:rsidR="008359E1">
        <w:rPr>
          <w:rStyle w:val="legds2"/>
          <w:rFonts w:cstheme="minorHAnsi"/>
          <w:sz w:val="24"/>
          <w:szCs w:val="24"/>
          <w:lang w:val="en"/>
          <w:specVanish w:val="0"/>
        </w:rPr>
        <w:t xml:space="preserve">nformation </w:t>
      </w:r>
      <w:r w:rsidR="00500B4C" w:rsidRPr="0059559C">
        <w:rPr>
          <w:rStyle w:val="legds2"/>
          <w:rFonts w:cstheme="minorHAnsi"/>
          <w:sz w:val="24"/>
          <w:szCs w:val="24"/>
          <w:lang w:val="en"/>
          <w:specVanish w:val="0"/>
        </w:rPr>
        <w:t>C</w:t>
      </w:r>
      <w:r w:rsidR="008359E1">
        <w:rPr>
          <w:rStyle w:val="legds2"/>
          <w:rFonts w:cstheme="minorHAnsi"/>
          <w:sz w:val="24"/>
          <w:szCs w:val="24"/>
          <w:lang w:val="en"/>
          <w:specVanish w:val="0"/>
        </w:rPr>
        <w:t xml:space="preserve">ommissioner’s </w:t>
      </w:r>
      <w:r w:rsidR="00500B4C" w:rsidRPr="0059559C">
        <w:rPr>
          <w:rStyle w:val="legds2"/>
          <w:rFonts w:cstheme="minorHAnsi"/>
          <w:sz w:val="24"/>
          <w:szCs w:val="24"/>
          <w:lang w:val="en"/>
          <w:specVanish w:val="0"/>
        </w:rPr>
        <w:t>O</w:t>
      </w:r>
      <w:r w:rsidR="008359E1">
        <w:rPr>
          <w:rStyle w:val="legds2"/>
          <w:rFonts w:cstheme="minorHAnsi"/>
          <w:sz w:val="24"/>
          <w:szCs w:val="24"/>
          <w:lang w:val="en"/>
          <w:specVanish w:val="0"/>
        </w:rPr>
        <w:t>ffice (‘the ICO’)</w:t>
      </w:r>
      <w:r w:rsidR="00500B4C" w:rsidRPr="0059559C">
        <w:rPr>
          <w:rStyle w:val="legds2"/>
          <w:rFonts w:cstheme="minorHAnsi"/>
          <w:sz w:val="24"/>
          <w:szCs w:val="24"/>
          <w:lang w:val="en"/>
          <w:specVanish w:val="0"/>
        </w:rPr>
        <w:t xml:space="preserve"> has </w:t>
      </w:r>
      <w:r w:rsidR="006D2B88" w:rsidRPr="0059559C">
        <w:rPr>
          <w:rStyle w:val="legds2"/>
          <w:rFonts w:cstheme="minorHAnsi"/>
          <w:sz w:val="24"/>
          <w:szCs w:val="24"/>
          <w:lang w:val="en"/>
          <w:specVanish w:val="0"/>
        </w:rPr>
        <w:t>undoubtedly</w:t>
      </w:r>
      <w:r w:rsidR="00500B4C" w:rsidRPr="0059559C">
        <w:rPr>
          <w:rStyle w:val="legds2"/>
          <w:rFonts w:cstheme="minorHAnsi"/>
          <w:sz w:val="24"/>
          <w:szCs w:val="24"/>
          <w:lang w:val="en"/>
          <w:specVanish w:val="0"/>
        </w:rPr>
        <w:t xml:space="preserve"> </w:t>
      </w:r>
      <w:proofErr w:type="spellStart"/>
      <w:r w:rsidR="00500B4C" w:rsidRPr="0059559C">
        <w:rPr>
          <w:rStyle w:val="legds2"/>
          <w:rFonts w:cstheme="minorHAnsi"/>
          <w:sz w:val="24"/>
          <w:szCs w:val="24"/>
          <w:lang w:val="en"/>
          <w:specVanish w:val="0"/>
        </w:rPr>
        <w:t>recognised</w:t>
      </w:r>
      <w:proofErr w:type="spellEnd"/>
      <w:r w:rsidR="00500B4C" w:rsidRPr="0059559C">
        <w:rPr>
          <w:rStyle w:val="legds2"/>
          <w:rFonts w:cstheme="minorHAnsi"/>
          <w:sz w:val="24"/>
          <w:szCs w:val="24"/>
          <w:lang w:val="en"/>
          <w:specVanish w:val="0"/>
        </w:rPr>
        <w:t xml:space="preserve"> this, </w:t>
      </w:r>
      <w:r w:rsidR="00500B4C" w:rsidRPr="0059559C">
        <w:rPr>
          <w:rFonts w:cstheme="minorHAnsi"/>
          <w:sz w:val="24"/>
          <w:szCs w:val="24"/>
        </w:rPr>
        <w:t xml:space="preserve">publishing guidance </w:t>
      </w:r>
      <w:r w:rsidR="004E496E" w:rsidRPr="0059559C">
        <w:rPr>
          <w:rFonts w:cstheme="minorHAnsi"/>
          <w:sz w:val="24"/>
          <w:szCs w:val="24"/>
        </w:rPr>
        <w:t xml:space="preserve">on </w:t>
      </w:r>
      <w:r w:rsidR="004F09FA" w:rsidRPr="0059559C">
        <w:rPr>
          <w:rFonts w:cstheme="minorHAnsi"/>
          <w:sz w:val="24"/>
          <w:szCs w:val="24"/>
        </w:rPr>
        <w:t>the DPA,</w:t>
      </w:r>
      <w:r w:rsidR="004E496E" w:rsidRPr="0059559C">
        <w:rPr>
          <w:rFonts w:cstheme="minorHAnsi"/>
          <w:sz w:val="24"/>
          <w:szCs w:val="24"/>
        </w:rPr>
        <w:t xml:space="preserve"> social networking and online forums</w:t>
      </w:r>
      <w:r w:rsidR="007F1409" w:rsidRPr="0059559C">
        <w:rPr>
          <w:rFonts w:cstheme="minorHAnsi"/>
          <w:sz w:val="24"/>
          <w:szCs w:val="24"/>
        </w:rPr>
        <w:t xml:space="preserve"> (ICO, </w:t>
      </w:r>
      <w:r w:rsidR="004F09FA" w:rsidRPr="0059559C">
        <w:rPr>
          <w:rFonts w:cstheme="minorHAnsi"/>
          <w:sz w:val="24"/>
          <w:szCs w:val="24"/>
        </w:rPr>
        <w:t xml:space="preserve">2014a) </w:t>
      </w:r>
      <w:r w:rsidR="00500B4C" w:rsidRPr="0059559C">
        <w:rPr>
          <w:rFonts w:cstheme="minorHAnsi"/>
          <w:sz w:val="24"/>
          <w:szCs w:val="24"/>
        </w:rPr>
        <w:t xml:space="preserve">and </w:t>
      </w:r>
      <w:r w:rsidR="004F09FA" w:rsidRPr="0059559C">
        <w:rPr>
          <w:rFonts w:cstheme="minorHAnsi"/>
          <w:sz w:val="24"/>
          <w:szCs w:val="24"/>
        </w:rPr>
        <w:t>guidance on data protection and journalism (ICO, 2014b)</w:t>
      </w:r>
      <w:r w:rsidR="00500B4C" w:rsidRPr="0059559C">
        <w:rPr>
          <w:rFonts w:cstheme="minorHAnsi"/>
          <w:sz w:val="24"/>
          <w:szCs w:val="24"/>
        </w:rPr>
        <w:t>, u</w:t>
      </w:r>
      <w:r w:rsidR="004E496E" w:rsidRPr="0059559C">
        <w:rPr>
          <w:rFonts w:cstheme="minorHAnsi"/>
          <w:sz w:val="24"/>
          <w:szCs w:val="24"/>
        </w:rPr>
        <w:t>nfortunately the</w:t>
      </w:r>
      <w:r w:rsidR="007C198D" w:rsidRPr="0059559C">
        <w:rPr>
          <w:rFonts w:cstheme="minorHAnsi"/>
          <w:sz w:val="24"/>
          <w:szCs w:val="24"/>
        </w:rPr>
        <w:t>se pieces of</w:t>
      </w:r>
      <w:r w:rsidR="004E496E" w:rsidRPr="0059559C">
        <w:rPr>
          <w:rFonts w:cstheme="minorHAnsi"/>
          <w:sz w:val="24"/>
          <w:szCs w:val="24"/>
        </w:rPr>
        <w:t xml:space="preserve"> guidance </w:t>
      </w:r>
      <w:r w:rsidR="007C198D" w:rsidRPr="0059559C">
        <w:rPr>
          <w:rFonts w:cstheme="minorHAnsi"/>
          <w:sz w:val="24"/>
          <w:szCs w:val="24"/>
        </w:rPr>
        <w:t>do</w:t>
      </w:r>
      <w:r w:rsidR="004E496E" w:rsidRPr="0059559C">
        <w:rPr>
          <w:rFonts w:cstheme="minorHAnsi"/>
          <w:sz w:val="24"/>
          <w:szCs w:val="24"/>
        </w:rPr>
        <w:t xml:space="preserve"> not address all questions which this article has raised.  </w:t>
      </w:r>
    </w:p>
    <w:p w14:paraId="325A27C9" w14:textId="77777777" w:rsidR="00500B4C" w:rsidRPr="0059559C" w:rsidRDefault="00500B4C" w:rsidP="004F09FA">
      <w:pPr>
        <w:spacing w:after="0" w:line="240" w:lineRule="auto"/>
        <w:rPr>
          <w:rFonts w:cstheme="minorHAnsi"/>
          <w:sz w:val="24"/>
          <w:szCs w:val="24"/>
        </w:rPr>
      </w:pPr>
    </w:p>
    <w:p w14:paraId="47B51EEA" w14:textId="77777777" w:rsidR="00894592" w:rsidRPr="0059559C" w:rsidRDefault="004E496E" w:rsidP="004F09FA">
      <w:pPr>
        <w:spacing w:after="0" w:line="240" w:lineRule="auto"/>
        <w:rPr>
          <w:rFonts w:cstheme="minorHAnsi"/>
          <w:sz w:val="24"/>
          <w:szCs w:val="24"/>
        </w:rPr>
      </w:pPr>
      <w:r w:rsidRPr="0059559C">
        <w:rPr>
          <w:rFonts w:cstheme="minorHAnsi"/>
          <w:sz w:val="24"/>
          <w:szCs w:val="24"/>
        </w:rPr>
        <w:t xml:space="preserve">Whilst the guidance relating to Section 32 </w:t>
      </w:r>
      <w:r w:rsidR="004F09FA" w:rsidRPr="0059559C">
        <w:rPr>
          <w:rFonts w:cstheme="minorHAnsi"/>
          <w:sz w:val="24"/>
          <w:szCs w:val="24"/>
        </w:rPr>
        <w:t xml:space="preserve">(which implements Article 9 in UK law) </w:t>
      </w:r>
      <w:r w:rsidRPr="0059559C">
        <w:rPr>
          <w:rFonts w:cstheme="minorHAnsi"/>
          <w:sz w:val="24"/>
          <w:szCs w:val="24"/>
        </w:rPr>
        <w:t xml:space="preserve">does acknowledge the need to broadly interpret the notion of journalism (as per </w:t>
      </w:r>
      <w:proofErr w:type="spellStart"/>
      <w:r w:rsidRPr="0059559C">
        <w:rPr>
          <w:rFonts w:cstheme="minorHAnsi"/>
          <w:sz w:val="24"/>
          <w:szCs w:val="24"/>
        </w:rPr>
        <w:t>Satamedia</w:t>
      </w:r>
      <w:proofErr w:type="spellEnd"/>
      <w:r w:rsidRPr="0059559C">
        <w:rPr>
          <w:rFonts w:cstheme="minorHAnsi"/>
          <w:sz w:val="24"/>
          <w:szCs w:val="24"/>
        </w:rPr>
        <w:t xml:space="preserve">), little consideration is given to how the </w:t>
      </w:r>
      <w:r w:rsidR="004F09FA" w:rsidRPr="0059559C">
        <w:rPr>
          <w:rFonts w:cstheme="minorHAnsi"/>
          <w:sz w:val="24"/>
          <w:szCs w:val="24"/>
        </w:rPr>
        <w:t xml:space="preserve">Section 32 </w:t>
      </w:r>
      <w:r w:rsidRPr="0059559C">
        <w:rPr>
          <w:rFonts w:cstheme="minorHAnsi"/>
          <w:sz w:val="24"/>
          <w:szCs w:val="24"/>
        </w:rPr>
        <w:t>exemption applies to individual</w:t>
      </w:r>
      <w:r w:rsidR="004F09FA" w:rsidRPr="0059559C">
        <w:rPr>
          <w:rFonts w:cstheme="minorHAnsi"/>
          <w:sz w:val="24"/>
          <w:szCs w:val="24"/>
        </w:rPr>
        <w:t>s</w:t>
      </w:r>
      <w:r w:rsidR="00500B4C" w:rsidRPr="0059559C">
        <w:rPr>
          <w:rFonts w:cstheme="minorHAnsi"/>
          <w:sz w:val="24"/>
          <w:szCs w:val="24"/>
        </w:rPr>
        <w:t>.  Of greater concern</w:t>
      </w:r>
      <w:r w:rsidRPr="0059559C">
        <w:rPr>
          <w:rFonts w:cstheme="minorHAnsi"/>
          <w:sz w:val="24"/>
          <w:szCs w:val="24"/>
        </w:rPr>
        <w:t xml:space="preserve">, the </w:t>
      </w:r>
      <w:r w:rsidR="00E276F1" w:rsidRPr="0059559C">
        <w:rPr>
          <w:rFonts w:cstheme="minorHAnsi"/>
          <w:sz w:val="24"/>
          <w:szCs w:val="24"/>
        </w:rPr>
        <w:t>UK/</w:t>
      </w:r>
      <w:r w:rsidRPr="0059559C">
        <w:rPr>
          <w:rFonts w:cstheme="minorHAnsi"/>
          <w:sz w:val="24"/>
          <w:szCs w:val="24"/>
        </w:rPr>
        <w:t xml:space="preserve">ICO’s </w:t>
      </w:r>
      <w:r w:rsidR="007C198D" w:rsidRPr="0059559C">
        <w:rPr>
          <w:rFonts w:cstheme="minorHAnsi"/>
          <w:sz w:val="24"/>
          <w:szCs w:val="24"/>
        </w:rPr>
        <w:t>interpretation of Section 36, the personal/household exemption</w:t>
      </w:r>
      <w:r w:rsidR="00500B4C" w:rsidRPr="0059559C">
        <w:rPr>
          <w:rFonts w:cstheme="minorHAnsi"/>
          <w:sz w:val="24"/>
          <w:szCs w:val="24"/>
        </w:rPr>
        <w:t>,</w:t>
      </w:r>
      <w:r w:rsidR="007C198D" w:rsidRPr="0059559C">
        <w:rPr>
          <w:rFonts w:cstheme="minorHAnsi"/>
          <w:sz w:val="24"/>
          <w:szCs w:val="24"/>
        </w:rPr>
        <w:t xml:space="preserve"> </w:t>
      </w:r>
      <w:r w:rsidRPr="0059559C">
        <w:rPr>
          <w:rFonts w:cstheme="minorHAnsi"/>
          <w:sz w:val="24"/>
          <w:szCs w:val="24"/>
        </w:rPr>
        <w:t xml:space="preserve">seems to be at direct </w:t>
      </w:r>
      <w:r w:rsidR="006D2B88" w:rsidRPr="0059559C">
        <w:rPr>
          <w:rFonts w:cstheme="minorHAnsi"/>
          <w:sz w:val="24"/>
          <w:szCs w:val="24"/>
        </w:rPr>
        <w:t xml:space="preserve">odds with the European approach, an issue which understandably </w:t>
      </w:r>
      <w:r w:rsidR="004F09FA" w:rsidRPr="0059559C">
        <w:rPr>
          <w:rFonts w:cstheme="minorHAnsi"/>
          <w:sz w:val="24"/>
          <w:szCs w:val="24"/>
        </w:rPr>
        <w:t>causes problems for practitioners</w:t>
      </w:r>
      <w:r w:rsidR="00894592" w:rsidRPr="0059559C">
        <w:rPr>
          <w:rFonts w:cstheme="minorHAnsi"/>
          <w:sz w:val="24"/>
          <w:szCs w:val="24"/>
        </w:rPr>
        <w:t>.</w:t>
      </w:r>
    </w:p>
    <w:p w14:paraId="0A6FC922" w14:textId="77777777" w:rsidR="004E496E" w:rsidRPr="0059559C" w:rsidRDefault="004E496E" w:rsidP="00724D5D">
      <w:pPr>
        <w:spacing w:after="0" w:line="240" w:lineRule="auto"/>
        <w:rPr>
          <w:rStyle w:val="legds2"/>
          <w:rFonts w:cstheme="minorHAnsi"/>
          <w:sz w:val="24"/>
          <w:szCs w:val="24"/>
          <w:lang w:val="en"/>
        </w:rPr>
      </w:pPr>
    </w:p>
    <w:p w14:paraId="7D83D3D2" w14:textId="3EB427D8" w:rsidR="004E496E" w:rsidRPr="0059559C" w:rsidRDefault="00A44DE6" w:rsidP="00DE7865">
      <w:pPr>
        <w:spacing w:after="0" w:line="240" w:lineRule="auto"/>
        <w:ind w:firstLine="720"/>
        <w:rPr>
          <w:rStyle w:val="legds2"/>
          <w:rFonts w:cstheme="minorHAnsi"/>
          <w:b/>
          <w:sz w:val="24"/>
          <w:szCs w:val="24"/>
          <w:lang w:val="en"/>
        </w:rPr>
      </w:pPr>
      <w:r w:rsidRPr="0059559C">
        <w:rPr>
          <w:rStyle w:val="legds2"/>
          <w:rFonts w:cstheme="minorHAnsi"/>
          <w:b/>
          <w:sz w:val="24"/>
          <w:szCs w:val="24"/>
          <w:lang w:val="en"/>
          <w:specVanish w:val="0"/>
        </w:rPr>
        <w:t>5</w:t>
      </w:r>
      <w:r w:rsidR="004E496E" w:rsidRPr="0059559C">
        <w:rPr>
          <w:rStyle w:val="legds2"/>
          <w:rFonts w:cstheme="minorHAnsi"/>
          <w:b/>
          <w:sz w:val="24"/>
          <w:szCs w:val="24"/>
          <w:lang w:val="en"/>
          <w:specVanish w:val="0"/>
        </w:rPr>
        <w:t xml:space="preserve">.1 </w:t>
      </w:r>
      <w:r w:rsidR="007D4011" w:rsidRPr="0059559C">
        <w:rPr>
          <w:rStyle w:val="legds2"/>
          <w:rFonts w:cstheme="minorHAnsi"/>
          <w:b/>
          <w:sz w:val="24"/>
          <w:szCs w:val="24"/>
          <w:lang w:val="en"/>
          <w:specVanish w:val="0"/>
        </w:rPr>
        <w:t xml:space="preserve">Section </w:t>
      </w:r>
      <w:r w:rsidR="004E496E" w:rsidRPr="0059559C">
        <w:rPr>
          <w:rStyle w:val="legds2"/>
          <w:rFonts w:cstheme="minorHAnsi"/>
          <w:b/>
          <w:sz w:val="24"/>
          <w:szCs w:val="24"/>
          <w:lang w:val="en"/>
          <w:specVanish w:val="0"/>
        </w:rPr>
        <w:t>36, the personal/household exemption</w:t>
      </w:r>
    </w:p>
    <w:p w14:paraId="45622184" w14:textId="77777777" w:rsidR="007C198D" w:rsidRPr="0059559C" w:rsidRDefault="007C198D" w:rsidP="00724D5D">
      <w:pPr>
        <w:spacing w:after="0" w:line="240" w:lineRule="auto"/>
        <w:rPr>
          <w:rStyle w:val="legds2"/>
          <w:rFonts w:cstheme="minorHAnsi"/>
          <w:b/>
          <w:sz w:val="24"/>
          <w:szCs w:val="24"/>
          <w:lang w:val="en"/>
        </w:rPr>
      </w:pPr>
    </w:p>
    <w:p w14:paraId="60AC931A" w14:textId="77777777" w:rsidR="006D2B88" w:rsidRPr="0059559C" w:rsidRDefault="00400682" w:rsidP="000E1FE2">
      <w:pPr>
        <w:pStyle w:val="Default"/>
        <w:rPr>
          <w:rFonts w:asciiTheme="minorHAnsi" w:hAnsiTheme="minorHAnsi" w:cstheme="minorHAnsi"/>
        </w:rPr>
      </w:pPr>
      <w:r w:rsidRPr="0059559C">
        <w:rPr>
          <w:rStyle w:val="legds2"/>
          <w:rFonts w:asciiTheme="minorHAnsi" w:hAnsiTheme="minorHAnsi" w:cstheme="minorHAnsi"/>
          <w:lang w:val="en"/>
          <w:specVanish w:val="0"/>
        </w:rPr>
        <w:lastRenderedPageBreak/>
        <w:t xml:space="preserve">The first thing </w:t>
      </w:r>
      <w:r w:rsidR="004F09FA" w:rsidRPr="0059559C">
        <w:rPr>
          <w:rStyle w:val="legds2"/>
          <w:rFonts w:asciiTheme="minorHAnsi" w:hAnsiTheme="minorHAnsi" w:cstheme="minorHAnsi"/>
          <w:lang w:val="en"/>
          <w:specVanish w:val="0"/>
        </w:rPr>
        <w:t>to</w:t>
      </w:r>
      <w:r w:rsidRPr="0059559C">
        <w:rPr>
          <w:rStyle w:val="legds2"/>
          <w:rFonts w:asciiTheme="minorHAnsi" w:hAnsiTheme="minorHAnsi" w:cstheme="minorHAnsi"/>
          <w:lang w:val="en"/>
          <w:specVanish w:val="0"/>
        </w:rPr>
        <w:t xml:space="preserve"> be said about </w:t>
      </w:r>
      <w:r w:rsidR="007D4011" w:rsidRPr="0059559C">
        <w:rPr>
          <w:rStyle w:val="legds2"/>
          <w:rFonts w:asciiTheme="minorHAnsi" w:hAnsiTheme="minorHAnsi" w:cstheme="minorHAnsi"/>
          <w:lang w:val="en"/>
          <w:specVanish w:val="0"/>
        </w:rPr>
        <w:t xml:space="preserve">Section 36 </w:t>
      </w:r>
      <w:r w:rsidRPr="0059559C">
        <w:rPr>
          <w:rStyle w:val="legds2"/>
          <w:rFonts w:asciiTheme="minorHAnsi" w:hAnsiTheme="minorHAnsi" w:cstheme="minorHAnsi"/>
          <w:lang w:val="en"/>
          <w:specVanish w:val="0"/>
        </w:rPr>
        <w:t xml:space="preserve">is that its wording is noticeably different to that used </w:t>
      </w:r>
      <w:r w:rsidR="007D4011" w:rsidRPr="0059559C">
        <w:rPr>
          <w:rStyle w:val="legds2"/>
          <w:rFonts w:asciiTheme="minorHAnsi" w:hAnsiTheme="minorHAnsi" w:cstheme="minorHAnsi"/>
          <w:lang w:val="en"/>
          <w:specVanish w:val="0"/>
        </w:rPr>
        <w:t xml:space="preserve">in Article 3(2).  </w:t>
      </w:r>
      <w:proofErr w:type="gramStart"/>
      <w:r w:rsidR="007D4011" w:rsidRPr="0059559C">
        <w:rPr>
          <w:rStyle w:val="legds2"/>
          <w:rFonts w:asciiTheme="minorHAnsi" w:hAnsiTheme="minorHAnsi" w:cstheme="minorHAnsi"/>
          <w:lang w:val="en"/>
          <w:specVanish w:val="0"/>
        </w:rPr>
        <w:t xml:space="preserve">Whilst </w:t>
      </w:r>
      <w:r w:rsidR="00EB03C9" w:rsidRPr="0059559C">
        <w:rPr>
          <w:rStyle w:val="legds2"/>
          <w:rFonts w:asciiTheme="minorHAnsi" w:hAnsiTheme="minorHAnsi" w:cstheme="minorHAnsi"/>
          <w:lang w:val="en"/>
          <w:specVanish w:val="0"/>
        </w:rPr>
        <w:t xml:space="preserve">Article 3(2) </w:t>
      </w:r>
      <w:r w:rsidR="007D4011" w:rsidRPr="0059559C">
        <w:rPr>
          <w:rStyle w:val="legds2"/>
          <w:rFonts w:asciiTheme="minorHAnsi" w:hAnsiTheme="minorHAnsi" w:cstheme="minorHAnsi"/>
          <w:lang w:val="en"/>
          <w:specVanish w:val="0"/>
        </w:rPr>
        <w:t>refers to processing ‘in the course of a purely personal or household activity’, section</w:t>
      </w:r>
      <w:r w:rsidR="00EB03C9" w:rsidRPr="0059559C">
        <w:rPr>
          <w:rStyle w:val="legds2"/>
          <w:rFonts w:asciiTheme="minorHAnsi" w:hAnsiTheme="minorHAnsi" w:cstheme="minorHAnsi"/>
          <w:lang w:val="en"/>
          <w:specVanish w:val="0"/>
        </w:rPr>
        <w:t xml:space="preserve"> 36</w:t>
      </w:r>
      <w:r w:rsidR="007D4011" w:rsidRPr="0059559C">
        <w:rPr>
          <w:rStyle w:val="legds2"/>
          <w:rFonts w:asciiTheme="minorHAnsi" w:hAnsiTheme="minorHAnsi" w:cstheme="minorHAnsi"/>
          <w:lang w:val="en"/>
          <w:specVanish w:val="0"/>
        </w:rPr>
        <w:t xml:space="preserve"> refers instead to processing ‘</w:t>
      </w:r>
      <w:r w:rsidR="007D4011" w:rsidRPr="0059559C">
        <w:rPr>
          <w:rFonts w:asciiTheme="minorHAnsi" w:hAnsiTheme="minorHAnsi" w:cstheme="minorHAnsi"/>
        </w:rPr>
        <w:t>only for the purposes of that individual’s personal, family or household affairs (including recreational purposes)’.</w:t>
      </w:r>
      <w:proofErr w:type="gramEnd"/>
      <w:r w:rsidR="007D4011" w:rsidRPr="0059559C">
        <w:rPr>
          <w:rFonts w:asciiTheme="minorHAnsi" w:hAnsiTheme="minorHAnsi" w:cstheme="minorHAnsi"/>
        </w:rPr>
        <w:t xml:space="preserve"> The potential scope of </w:t>
      </w:r>
      <w:r w:rsidR="00EB03C9" w:rsidRPr="0059559C">
        <w:rPr>
          <w:rFonts w:asciiTheme="minorHAnsi" w:hAnsiTheme="minorHAnsi" w:cstheme="minorHAnsi"/>
        </w:rPr>
        <w:t>s36</w:t>
      </w:r>
      <w:r w:rsidR="007D4011" w:rsidRPr="0059559C">
        <w:rPr>
          <w:rFonts w:asciiTheme="minorHAnsi" w:hAnsiTheme="minorHAnsi" w:cstheme="minorHAnsi"/>
        </w:rPr>
        <w:t xml:space="preserve"> is therefore significantly wider</w:t>
      </w:r>
      <w:r w:rsidR="004F09FA" w:rsidRPr="0059559C">
        <w:rPr>
          <w:rFonts w:asciiTheme="minorHAnsi" w:hAnsiTheme="minorHAnsi" w:cstheme="minorHAnsi"/>
        </w:rPr>
        <w:t>; the phrase</w:t>
      </w:r>
      <w:r w:rsidR="001D5788" w:rsidRPr="0059559C">
        <w:rPr>
          <w:rFonts w:asciiTheme="minorHAnsi" w:hAnsiTheme="minorHAnsi" w:cstheme="minorHAnsi"/>
        </w:rPr>
        <w:t xml:space="preserve"> ‘recreational’ potentially including any activity undertaken for one’s own p</w:t>
      </w:r>
      <w:r w:rsidR="009707C3" w:rsidRPr="0059559C">
        <w:rPr>
          <w:rFonts w:asciiTheme="minorHAnsi" w:hAnsiTheme="minorHAnsi" w:cstheme="minorHAnsi"/>
        </w:rPr>
        <w:t>ersonal enjoyment or relaxation</w:t>
      </w:r>
      <w:r w:rsidR="007D4011" w:rsidRPr="0059559C">
        <w:rPr>
          <w:rFonts w:asciiTheme="minorHAnsi" w:hAnsiTheme="minorHAnsi" w:cstheme="minorHAnsi"/>
        </w:rPr>
        <w:t>.</w:t>
      </w:r>
      <w:r w:rsidR="00C51F3A" w:rsidRPr="0059559C">
        <w:rPr>
          <w:rFonts w:asciiTheme="minorHAnsi" w:hAnsiTheme="minorHAnsi" w:cstheme="minorHAnsi"/>
        </w:rPr>
        <w:t xml:space="preserve"> A key distinction needs </w:t>
      </w:r>
      <w:r w:rsidR="006D2B88" w:rsidRPr="0059559C">
        <w:rPr>
          <w:rFonts w:asciiTheme="minorHAnsi" w:hAnsiTheme="minorHAnsi" w:cstheme="minorHAnsi"/>
        </w:rPr>
        <w:t xml:space="preserve">also </w:t>
      </w:r>
      <w:r w:rsidR="00C51F3A" w:rsidRPr="0059559C">
        <w:rPr>
          <w:rFonts w:asciiTheme="minorHAnsi" w:hAnsiTheme="minorHAnsi" w:cstheme="minorHAnsi"/>
        </w:rPr>
        <w:t xml:space="preserve">to be made between </w:t>
      </w:r>
      <w:r w:rsidR="007D4011" w:rsidRPr="0059559C">
        <w:rPr>
          <w:rFonts w:asciiTheme="minorHAnsi" w:hAnsiTheme="minorHAnsi" w:cstheme="minorHAnsi"/>
        </w:rPr>
        <w:t>the word ‘activities’</w:t>
      </w:r>
      <w:r w:rsidR="006A5F8A" w:rsidRPr="0059559C">
        <w:rPr>
          <w:rFonts w:asciiTheme="minorHAnsi" w:hAnsiTheme="minorHAnsi" w:cstheme="minorHAnsi"/>
        </w:rPr>
        <w:t xml:space="preserve"> (which signifies something that an individual does) with the word ‘purposes’ (signifying the reason for which something is done).</w:t>
      </w:r>
      <w:r w:rsidR="001D5788" w:rsidRPr="0059559C">
        <w:rPr>
          <w:rFonts w:asciiTheme="minorHAnsi" w:hAnsiTheme="minorHAnsi" w:cstheme="minorHAnsi"/>
        </w:rPr>
        <w:t xml:space="preserve">  </w:t>
      </w:r>
      <w:r w:rsidR="002B2A47" w:rsidRPr="0059559C">
        <w:rPr>
          <w:rFonts w:asciiTheme="minorHAnsi" w:hAnsiTheme="minorHAnsi" w:cstheme="minorHAnsi"/>
        </w:rPr>
        <w:t xml:space="preserve">Although these </w:t>
      </w:r>
      <w:r w:rsidR="00C51F3A" w:rsidRPr="0059559C">
        <w:rPr>
          <w:rFonts w:asciiTheme="minorHAnsi" w:hAnsiTheme="minorHAnsi" w:cstheme="minorHAnsi"/>
        </w:rPr>
        <w:t xml:space="preserve">might appear to be only minor </w:t>
      </w:r>
      <w:r w:rsidR="00347E4A" w:rsidRPr="0059559C">
        <w:rPr>
          <w:rFonts w:asciiTheme="minorHAnsi" w:hAnsiTheme="minorHAnsi" w:cstheme="minorHAnsi"/>
        </w:rPr>
        <w:t xml:space="preserve">differences in </w:t>
      </w:r>
      <w:r w:rsidR="00C51F3A" w:rsidRPr="0059559C">
        <w:rPr>
          <w:rFonts w:asciiTheme="minorHAnsi" w:hAnsiTheme="minorHAnsi" w:cstheme="minorHAnsi"/>
        </w:rPr>
        <w:t>wording</w:t>
      </w:r>
      <w:r w:rsidR="002B2A47" w:rsidRPr="0059559C">
        <w:rPr>
          <w:rFonts w:asciiTheme="minorHAnsi" w:hAnsiTheme="minorHAnsi" w:cstheme="minorHAnsi"/>
        </w:rPr>
        <w:t>, the outcome, when one compares the UK interpretation of s36 with the European interpretation of Article 3(2), is a significant divergence in</w:t>
      </w:r>
      <w:r w:rsidR="00347E4A" w:rsidRPr="0059559C">
        <w:rPr>
          <w:rFonts w:asciiTheme="minorHAnsi" w:hAnsiTheme="minorHAnsi" w:cstheme="minorHAnsi"/>
        </w:rPr>
        <w:t xml:space="preserve"> approach</w:t>
      </w:r>
      <w:r w:rsidR="00C51F3A" w:rsidRPr="0059559C">
        <w:rPr>
          <w:rFonts w:asciiTheme="minorHAnsi" w:hAnsiTheme="minorHAnsi" w:cstheme="minorHAnsi"/>
        </w:rPr>
        <w:t>.</w:t>
      </w:r>
    </w:p>
    <w:p w14:paraId="57943797" w14:textId="77777777" w:rsidR="006D2B88" w:rsidRPr="0059559C" w:rsidRDefault="006D2B88" w:rsidP="000E1FE2">
      <w:pPr>
        <w:pStyle w:val="Default"/>
        <w:rPr>
          <w:rFonts w:asciiTheme="minorHAnsi" w:hAnsiTheme="minorHAnsi" w:cstheme="minorHAnsi"/>
        </w:rPr>
      </w:pPr>
    </w:p>
    <w:p w14:paraId="6C259251" w14:textId="77777777" w:rsidR="00C51F3A" w:rsidRPr="0059559C" w:rsidRDefault="00347E4A" w:rsidP="00C51F3A">
      <w:pPr>
        <w:pStyle w:val="Default"/>
        <w:rPr>
          <w:rFonts w:asciiTheme="minorHAnsi" w:hAnsiTheme="minorHAnsi" w:cstheme="minorHAnsi"/>
        </w:rPr>
      </w:pPr>
      <w:r w:rsidRPr="0059559C">
        <w:rPr>
          <w:rFonts w:asciiTheme="minorHAnsi" w:hAnsiTheme="minorHAnsi" w:cstheme="minorHAnsi"/>
        </w:rPr>
        <w:t>W</w:t>
      </w:r>
      <w:r w:rsidR="00E276F1" w:rsidRPr="0059559C">
        <w:rPr>
          <w:rFonts w:asciiTheme="minorHAnsi" w:hAnsiTheme="minorHAnsi" w:cstheme="minorHAnsi"/>
        </w:rPr>
        <w:t xml:space="preserve">hilst </w:t>
      </w:r>
      <w:proofErr w:type="spellStart"/>
      <w:r w:rsidR="00E276F1" w:rsidRPr="0059559C">
        <w:rPr>
          <w:rFonts w:asciiTheme="minorHAnsi" w:hAnsiTheme="minorHAnsi" w:cstheme="minorHAnsi"/>
        </w:rPr>
        <w:t>Lindqvist</w:t>
      </w:r>
      <w:proofErr w:type="spellEnd"/>
      <w:r w:rsidR="00E276F1" w:rsidRPr="0059559C">
        <w:rPr>
          <w:rFonts w:asciiTheme="minorHAnsi" w:hAnsiTheme="minorHAnsi" w:cstheme="minorHAnsi"/>
        </w:rPr>
        <w:t xml:space="preserve"> focus</w:t>
      </w:r>
      <w:r w:rsidR="000E1FE2" w:rsidRPr="0059559C">
        <w:rPr>
          <w:rFonts w:asciiTheme="minorHAnsi" w:hAnsiTheme="minorHAnsi" w:cstheme="minorHAnsi"/>
        </w:rPr>
        <w:t>es</w:t>
      </w:r>
      <w:r w:rsidR="00E276F1" w:rsidRPr="0059559C">
        <w:rPr>
          <w:rFonts w:asciiTheme="minorHAnsi" w:hAnsiTheme="minorHAnsi" w:cstheme="minorHAnsi"/>
        </w:rPr>
        <w:t xml:space="preserve"> upon </w:t>
      </w:r>
      <w:r w:rsidR="00623DEF" w:rsidRPr="0059559C">
        <w:rPr>
          <w:rFonts w:asciiTheme="minorHAnsi" w:hAnsiTheme="minorHAnsi" w:cstheme="minorHAnsi"/>
        </w:rPr>
        <w:t xml:space="preserve">whether </w:t>
      </w:r>
      <w:r w:rsidR="00E276F1" w:rsidRPr="0059559C">
        <w:rPr>
          <w:rFonts w:asciiTheme="minorHAnsi" w:hAnsiTheme="minorHAnsi" w:cstheme="minorHAnsi"/>
        </w:rPr>
        <w:t xml:space="preserve">the </w:t>
      </w:r>
      <w:r w:rsidR="000E1FE2" w:rsidRPr="0059559C">
        <w:rPr>
          <w:rFonts w:asciiTheme="minorHAnsi" w:hAnsiTheme="minorHAnsi" w:cstheme="minorHAnsi"/>
        </w:rPr>
        <w:t xml:space="preserve">online processing of personal information might be construed </w:t>
      </w:r>
      <w:r w:rsidR="00623DEF" w:rsidRPr="0059559C">
        <w:rPr>
          <w:rFonts w:asciiTheme="minorHAnsi" w:hAnsiTheme="minorHAnsi" w:cstheme="minorHAnsi"/>
        </w:rPr>
        <w:t>as an action</w:t>
      </w:r>
      <w:r w:rsidR="00E276F1" w:rsidRPr="0059559C">
        <w:rPr>
          <w:rFonts w:asciiTheme="minorHAnsi" w:hAnsiTheme="minorHAnsi" w:cstheme="minorHAnsi"/>
        </w:rPr>
        <w:t xml:space="preserve"> </w:t>
      </w:r>
      <w:r w:rsidR="00623DEF" w:rsidRPr="0059559C">
        <w:rPr>
          <w:rFonts w:asciiTheme="minorHAnsi" w:hAnsiTheme="minorHAnsi" w:cstheme="minorHAnsi"/>
        </w:rPr>
        <w:t xml:space="preserve">falling within the </w:t>
      </w:r>
      <w:r w:rsidR="00E276F1" w:rsidRPr="0059559C">
        <w:rPr>
          <w:rFonts w:asciiTheme="minorHAnsi" w:hAnsiTheme="minorHAnsi" w:cstheme="minorHAnsi"/>
        </w:rPr>
        <w:t xml:space="preserve">personal/household </w:t>
      </w:r>
      <w:r w:rsidR="00623DEF" w:rsidRPr="0059559C">
        <w:rPr>
          <w:rFonts w:asciiTheme="minorHAnsi" w:hAnsiTheme="minorHAnsi" w:cstheme="minorHAnsi"/>
        </w:rPr>
        <w:t xml:space="preserve">sphere (a term which in </w:t>
      </w:r>
      <w:proofErr w:type="spellStart"/>
      <w:r w:rsidR="00623DEF" w:rsidRPr="0059559C">
        <w:rPr>
          <w:rFonts w:asciiTheme="minorHAnsi" w:hAnsiTheme="minorHAnsi" w:cstheme="minorHAnsi"/>
        </w:rPr>
        <w:t>Lindqvist</w:t>
      </w:r>
      <w:proofErr w:type="spellEnd"/>
      <w:r w:rsidR="00623DEF" w:rsidRPr="0059559C">
        <w:rPr>
          <w:rFonts w:asciiTheme="minorHAnsi" w:hAnsiTheme="minorHAnsi" w:cstheme="minorHAnsi"/>
        </w:rPr>
        <w:t xml:space="preserve"> is narrowly construed)</w:t>
      </w:r>
      <w:r w:rsidR="00E276F1" w:rsidRPr="0059559C">
        <w:rPr>
          <w:rFonts w:asciiTheme="minorHAnsi" w:hAnsiTheme="minorHAnsi" w:cstheme="minorHAnsi"/>
        </w:rPr>
        <w:t xml:space="preserve">, the ICO guidance </w:t>
      </w:r>
      <w:r w:rsidR="000E1FE2" w:rsidRPr="0059559C">
        <w:rPr>
          <w:rFonts w:asciiTheme="minorHAnsi" w:hAnsiTheme="minorHAnsi" w:cstheme="minorHAnsi"/>
        </w:rPr>
        <w:t xml:space="preserve">instead </w:t>
      </w:r>
      <w:r w:rsidR="00E276F1" w:rsidRPr="0059559C">
        <w:rPr>
          <w:rFonts w:asciiTheme="minorHAnsi" w:hAnsiTheme="minorHAnsi" w:cstheme="minorHAnsi"/>
        </w:rPr>
        <w:t>emphasises the ‘</w:t>
      </w:r>
      <w:r w:rsidR="00E276F1" w:rsidRPr="0059559C">
        <w:rPr>
          <w:rFonts w:asciiTheme="minorHAnsi" w:hAnsiTheme="minorHAnsi" w:cstheme="minorHAnsi"/>
          <w:i/>
        </w:rPr>
        <w:t>purposes</w:t>
      </w:r>
      <w:r w:rsidR="00E276F1" w:rsidRPr="0059559C">
        <w:rPr>
          <w:rFonts w:asciiTheme="minorHAnsi" w:hAnsiTheme="minorHAnsi" w:cstheme="minorHAnsi"/>
        </w:rPr>
        <w:t>’ for whi</w:t>
      </w:r>
      <w:r w:rsidR="002D584F" w:rsidRPr="0059559C">
        <w:rPr>
          <w:rFonts w:asciiTheme="minorHAnsi" w:hAnsiTheme="minorHAnsi" w:cstheme="minorHAnsi"/>
        </w:rPr>
        <w:t>ch information is shared online</w:t>
      </w:r>
      <w:r w:rsidR="006D2B88" w:rsidRPr="0059559C">
        <w:rPr>
          <w:rFonts w:asciiTheme="minorHAnsi" w:hAnsiTheme="minorHAnsi" w:cstheme="minorHAnsi"/>
        </w:rPr>
        <w:t xml:space="preserve">.  </w:t>
      </w:r>
      <w:r w:rsidR="00C51F3A" w:rsidRPr="0059559C">
        <w:rPr>
          <w:rFonts w:asciiTheme="minorHAnsi" w:hAnsiTheme="minorHAnsi" w:cstheme="minorHAnsi"/>
        </w:rPr>
        <w:t>T</w:t>
      </w:r>
      <w:r w:rsidR="006D2B88" w:rsidRPr="0059559C">
        <w:rPr>
          <w:rFonts w:asciiTheme="minorHAnsi" w:hAnsiTheme="minorHAnsi" w:cstheme="minorHAnsi"/>
        </w:rPr>
        <w:t>he ICO</w:t>
      </w:r>
      <w:r w:rsidR="00C51F3A" w:rsidRPr="0059559C">
        <w:rPr>
          <w:rFonts w:asciiTheme="minorHAnsi" w:hAnsiTheme="minorHAnsi" w:cstheme="minorHAnsi"/>
        </w:rPr>
        <w:t xml:space="preserve"> thus</w:t>
      </w:r>
      <w:r w:rsidR="006D2B88" w:rsidRPr="0059559C">
        <w:rPr>
          <w:rFonts w:asciiTheme="minorHAnsi" w:hAnsiTheme="minorHAnsi" w:cstheme="minorHAnsi"/>
        </w:rPr>
        <w:t xml:space="preserve"> suggests that if an individual is sharing information online, in a personal capacity, and </w:t>
      </w:r>
      <w:r w:rsidR="006D2B88" w:rsidRPr="0059559C">
        <w:rPr>
          <w:rFonts w:asciiTheme="minorHAnsi" w:hAnsiTheme="minorHAnsi" w:cstheme="minorHAnsi"/>
          <w:i/>
        </w:rPr>
        <w:t xml:space="preserve">purely </w:t>
      </w:r>
      <w:r w:rsidR="006D2B88" w:rsidRPr="0059559C">
        <w:rPr>
          <w:rFonts w:asciiTheme="minorHAnsi" w:hAnsiTheme="minorHAnsi" w:cstheme="minorHAnsi"/>
        </w:rPr>
        <w:t xml:space="preserve">for their own domestic or recreational </w:t>
      </w:r>
      <w:r w:rsidR="006259B8" w:rsidRPr="0059559C">
        <w:rPr>
          <w:rFonts w:asciiTheme="minorHAnsi" w:hAnsiTheme="minorHAnsi" w:cstheme="minorHAnsi"/>
        </w:rPr>
        <w:t>purposes (ICO, 2014</w:t>
      </w:r>
      <w:r w:rsidR="006D2B88" w:rsidRPr="0059559C">
        <w:rPr>
          <w:rFonts w:asciiTheme="minorHAnsi" w:hAnsiTheme="minorHAnsi" w:cstheme="minorHAnsi"/>
        </w:rPr>
        <w:t xml:space="preserve">) the exemption </w:t>
      </w:r>
      <w:r w:rsidR="006D2B88" w:rsidRPr="0059559C">
        <w:rPr>
          <w:rFonts w:asciiTheme="minorHAnsi" w:hAnsiTheme="minorHAnsi" w:cstheme="minorHAnsi"/>
          <w:i/>
        </w:rPr>
        <w:t>will apply</w:t>
      </w:r>
      <w:r w:rsidR="006D2B88" w:rsidRPr="0059559C">
        <w:rPr>
          <w:rFonts w:asciiTheme="minorHAnsi" w:hAnsiTheme="minorHAnsi" w:cstheme="minorHAnsi"/>
        </w:rPr>
        <w:t>, irrespective of the nature of the data being shared, what that data reveals</w:t>
      </w:r>
      <w:r w:rsidR="00C51F3A" w:rsidRPr="0059559C">
        <w:rPr>
          <w:rFonts w:asciiTheme="minorHAnsi" w:hAnsiTheme="minorHAnsi" w:cstheme="minorHAnsi"/>
        </w:rPr>
        <w:t>, or indeed the number of people to whom that information is revealed</w:t>
      </w:r>
      <w:r w:rsidR="006D2B88" w:rsidRPr="0059559C">
        <w:rPr>
          <w:rFonts w:asciiTheme="minorHAnsi" w:hAnsiTheme="minorHAnsi" w:cstheme="minorHAnsi"/>
        </w:rPr>
        <w:t>.</w:t>
      </w:r>
      <w:r w:rsidR="00C51F3A" w:rsidRPr="0059559C">
        <w:rPr>
          <w:rFonts w:asciiTheme="minorHAnsi" w:hAnsiTheme="minorHAnsi" w:cstheme="minorHAnsi"/>
        </w:rPr>
        <w:t xml:space="preserve">  </w:t>
      </w:r>
      <w:r w:rsidR="004D42F1" w:rsidRPr="0059559C">
        <w:rPr>
          <w:rFonts w:asciiTheme="minorHAnsi" w:hAnsiTheme="minorHAnsi" w:cstheme="minorHAnsi"/>
        </w:rPr>
        <w:t xml:space="preserve">Accordingly the ICO suggests that the s36 exemption </w:t>
      </w:r>
      <w:r w:rsidRPr="0059559C">
        <w:rPr>
          <w:rFonts w:asciiTheme="minorHAnsi" w:hAnsiTheme="minorHAnsi" w:cstheme="minorHAnsi"/>
        </w:rPr>
        <w:t>applies</w:t>
      </w:r>
      <w:r w:rsidR="004D42F1" w:rsidRPr="0059559C">
        <w:rPr>
          <w:rFonts w:asciiTheme="minorHAnsi" w:hAnsiTheme="minorHAnsi" w:cstheme="minorHAnsi"/>
        </w:rPr>
        <w:t xml:space="preserve"> whenever individuals, post personal data on social networking sites to keep in touch with friends, when they publish blogs or online diaries sharing information about their daily life, and when they use online forums to ‘rant’ about neighbours or political figures (ICO, 2011).  The ICO suggests further that e</w:t>
      </w:r>
      <w:r w:rsidR="00F077EC" w:rsidRPr="0059559C">
        <w:rPr>
          <w:rFonts w:asciiTheme="minorHAnsi" w:hAnsiTheme="minorHAnsi" w:cstheme="minorHAnsi"/>
        </w:rPr>
        <w:t xml:space="preserve">ven </w:t>
      </w:r>
      <w:r w:rsidR="004D42F1" w:rsidRPr="0059559C">
        <w:rPr>
          <w:rFonts w:asciiTheme="minorHAnsi" w:hAnsiTheme="minorHAnsi" w:cstheme="minorHAnsi"/>
        </w:rPr>
        <w:t>when</w:t>
      </w:r>
      <w:r w:rsidR="00F077EC" w:rsidRPr="0059559C">
        <w:rPr>
          <w:rFonts w:asciiTheme="minorHAnsi" w:hAnsiTheme="minorHAnsi" w:cstheme="minorHAnsi"/>
        </w:rPr>
        <w:t xml:space="preserve"> a group of friends share information, for example, </w:t>
      </w:r>
      <w:r w:rsidR="009707C3" w:rsidRPr="0059559C">
        <w:rPr>
          <w:rFonts w:asciiTheme="minorHAnsi" w:hAnsiTheme="minorHAnsi" w:cstheme="minorHAnsi"/>
        </w:rPr>
        <w:t xml:space="preserve">if </w:t>
      </w:r>
      <w:r w:rsidR="000E1FE2" w:rsidRPr="0059559C">
        <w:rPr>
          <w:rFonts w:asciiTheme="minorHAnsi" w:hAnsiTheme="minorHAnsi" w:cstheme="minorHAnsi"/>
        </w:rPr>
        <w:t>a group of friends meet on holiday and subsequently set up a social networking page to share photographs</w:t>
      </w:r>
      <w:r w:rsidR="00F077EC" w:rsidRPr="0059559C">
        <w:rPr>
          <w:rFonts w:asciiTheme="minorHAnsi" w:hAnsiTheme="minorHAnsi" w:cstheme="minorHAnsi"/>
        </w:rPr>
        <w:t>,</w:t>
      </w:r>
      <w:r w:rsidR="000E1FE2" w:rsidRPr="0059559C">
        <w:rPr>
          <w:rFonts w:asciiTheme="minorHAnsi" w:hAnsiTheme="minorHAnsi" w:cstheme="minorHAnsi"/>
        </w:rPr>
        <w:t xml:space="preserve"> the online sharing of such photographs </w:t>
      </w:r>
      <w:r w:rsidR="009707C3" w:rsidRPr="0059559C">
        <w:rPr>
          <w:rFonts w:asciiTheme="minorHAnsi" w:hAnsiTheme="minorHAnsi" w:cstheme="minorHAnsi"/>
        </w:rPr>
        <w:t xml:space="preserve">will </w:t>
      </w:r>
      <w:r w:rsidR="004D42F1" w:rsidRPr="0059559C">
        <w:rPr>
          <w:rFonts w:asciiTheme="minorHAnsi" w:hAnsiTheme="minorHAnsi" w:cstheme="minorHAnsi"/>
        </w:rPr>
        <w:t xml:space="preserve">fall within the exemption, because it will </w:t>
      </w:r>
      <w:r w:rsidR="006D2B88" w:rsidRPr="0059559C">
        <w:rPr>
          <w:rFonts w:asciiTheme="minorHAnsi" w:hAnsiTheme="minorHAnsi" w:cstheme="minorHAnsi"/>
        </w:rPr>
        <w:t xml:space="preserve">be </w:t>
      </w:r>
      <w:r w:rsidR="004D42F1" w:rsidRPr="0059559C">
        <w:rPr>
          <w:rFonts w:asciiTheme="minorHAnsi" w:hAnsiTheme="minorHAnsi" w:cstheme="minorHAnsi"/>
        </w:rPr>
        <w:t xml:space="preserve">processing </w:t>
      </w:r>
      <w:r w:rsidR="009707C3" w:rsidRPr="0059559C">
        <w:rPr>
          <w:rFonts w:asciiTheme="minorHAnsi" w:hAnsiTheme="minorHAnsi" w:cstheme="minorHAnsi"/>
        </w:rPr>
        <w:t xml:space="preserve">undertaken </w:t>
      </w:r>
      <w:r w:rsidR="000E1FE2" w:rsidRPr="0059559C">
        <w:rPr>
          <w:rFonts w:asciiTheme="minorHAnsi" w:hAnsiTheme="minorHAnsi" w:cstheme="minorHAnsi"/>
        </w:rPr>
        <w:t xml:space="preserve">for ‘recreational purposes’ </w:t>
      </w:r>
      <w:r w:rsidR="006259B8" w:rsidRPr="0059559C">
        <w:rPr>
          <w:rFonts w:asciiTheme="minorHAnsi" w:hAnsiTheme="minorHAnsi" w:cstheme="minorHAnsi"/>
        </w:rPr>
        <w:t>(ICO, 2014a</w:t>
      </w:r>
      <w:r w:rsidR="009707C3" w:rsidRPr="0059559C">
        <w:rPr>
          <w:rFonts w:asciiTheme="minorHAnsi" w:hAnsiTheme="minorHAnsi" w:cstheme="minorHAnsi"/>
        </w:rPr>
        <w:t>).</w:t>
      </w:r>
      <w:r w:rsidR="000E1FE2" w:rsidRPr="0059559C">
        <w:rPr>
          <w:rFonts w:asciiTheme="minorHAnsi" w:hAnsiTheme="minorHAnsi" w:cstheme="minorHAnsi"/>
        </w:rPr>
        <w:t xml:space="preserve"> </w:t>
      </w:r>
    </w:p>
    <w:p w14:paraId="786B0DEE" w14:textId="77777777" w:rsidR="00C51F3A" w:rsidRPr="0059559C" w:rsidRDefault="00C51F3A" w:rsidP="00C51F3A">
      <w:pPr>
        <w:pStyle w:val="Default"/>
        <w:rPr>
          <w:rFonts w:asciiTheme="minorHAnsi" w:hAnsiTheme="minorHAnsi" w:cstheme="minorHAnsi"/>
        </w:rPr>
      </w:pPr>
    </w:p>
    <w:p w14:paraId="208841D9" w14:textId="7749F2AC" w:rsidR="007F4EC3" w:rsidRPr="0059559C" w:rsidRDefault="004D42F1" w:rsidP="002A65D6">
      <w:pPr>
        <w:pStyle w:val="Default"/>
        <w:rPr>
          <w:rFonts w:asciiTheme="minorHAnsi" w:hAnsiTheme="minorHAnsi" w:cstheme="minorHAnsi"/>
        </w:rPr>
      </w:pPr>
      <w:r w:rsidRPr="0059559C">
        <w:rPr>
          <w:rFonts w:asciiTheme="minorHAnsi" w:hAnsiTheme="minorHAnsi" w:cstheme="minorHAnsi"/>
        </w:rPr>
        <w:t>T</w:t>
      </w:r>
      <w:r w:rsidR="00D05209" w:rsidRPr="0059559C">
        <w:rPr>
          <w:rFonts w:asciiTheme="minorHAnsi" w:hAnsiTheme="minorHAnsi" w:cstheme="minorHAnsi"/>
        </w:rPr>
        <w:t>he ICO</w:t>
      </w:r>
      <w:r w:rsidRPr="0059559C">
        <w:rPr>
          <w:rFonts w:asciiTheme="minorHAnsi" w:hAnsiTheme="minorHAnsi" w:cstheme="minorHAnsi"/>
        </w:rPr>
        <w:t>’s</w:t>
      </w:r>
      <w:r w:rsidR="00D05209" w:rsidRPr="0059559C">
        <w:rPr>
          <w:rFonts w:asciiTheme="minorHAnsi" w:hAnsiTheme="minorHAnsi" w:cstheme="minorHAnsi"/>
        </w:rPr>
        <w:t xml:space="preserve"> </w:t>
      </w:r>
      <w:r w:rsidR="00C51F3A" w:rsidRPr="0059559C">
        <w:rPr>
          <w:rFonts w:asciiTheme="minorHAnsi" w:hAnsiTheme="minorHAnsi" w:cstheme="minorHAnsi"/>
        </w:rPr>
        <w:t xml:space="preserve">2014 </w:t>
      </w:r>
      <w:r w:rsidR="00D05209" w:rsidRPr="0059559C">
        <w:rPr>
          <w:rFonts w:asciiTheme="minorHAnsi" w:hAnsiTheme="minorHAnsi" w:cstheme="minorHAnsi"/>
        </w:rPr>
        <w:t xml:space="preserve">guidance, </w:t>
      </w:r>
      <w:r w:rsidR="00347E4A" w:rsidRPr="0059559C">
        <w:rPr>
          <w:rFonts w:asciiTheme="minorHAnsi" w:hAnsiTheme="minorHAnsi" w:cstheme="minorHAnsi"/>
        </w:rPr>
        <w:t>indicate</w:t>
      </w:r>
      <w:r w:rsidR="006D2B88" w:rsidRPr="0059559C">
        <w:rPr>
          <w:rFonts w:asciiTheme="minorHAnsi" w:hAnsiTheme="minorHAnsi" w:cstheme="minorHAnsi"/>
        </w:rPr>
        <w:t>s</w:t>
      </w:r>
      <w:r w:rsidR="00D05209" w:rsidRPr="0059559C">
        <w:rPr>
          <w:rFonts w:asciiTheme="minorHAnsi" w:hAnsiTheme="minorHAnsi" w:cstheme="minorHAnsi"/>
        </w:rPr>
        <w:t xml:space="preserve"> that</w:t>
      </w:r>
      <w:r w:rsidR="008359E1">
        <w:rPr>
          <w:rFonts w:asciiTheme="minorHAnsi" w:hAnsiTheme="minorHAnsi" w:cstheme="minorHAnsi"/>
        </w:rPr>
        <w:t xml:space="preserve"> it</w:t>
      </w:r>
      <w:r w:rsidR="00D05209" w:rsidRPr="0059559C">
        <w:rPr>
          <w:rFonts w:asciiTheme="minorHAnsi" w:hAnsiTheme="minorHAnsi" w:cstheme="minorHAnsi"/>
        </w:rPr>
        <w:t xml:space="preserve"> conceives of few, if any situations, when an individual who is posting information online for </w:t>
      </w:r>
      <w:r w:rsidR="00D05209" w:rsidRPr="0059559C">
        <w:rPr>
          <w:rFonts w:asciiTheme="minorHAnsi" w:hAnsiTheme="minorHAnsi" w:cstheme="minorHAnsi"/>
          <w:i/>
        </w:rPr>
        <w:t xml:space="preserve">purely </w:t>
      </w:r>
      <w:r w:rsidR="00D05209" w:rsidRPr="0059559C">
        <w:rPr>
          <w:rFonts w:asciiTheme="minorHAnsi" w:hAnsiTheme="minorHAnsi" w:cstheme="minorHAnsi"/>
        </w:rPr>
        <w:t xml:space="preserve">personal, family, household or recreational purposes would not be able to rely upon the s36 exemption.  </w:t>
      </w:r>
      <w:r w:rsidR="009707C3" w:rsidRPr="0059559C">
        <w:rPr>
          <w:rFonts w:asciiTheme="minorHAnsi" w:hAnsiTheme="minorHAnsi" w:cstheme="minorHAnsi"/>
        </w:rPr>
        <w:t>It is only when an individual shares information online for non-personal purposes, for example for business or charitable purposes</w:t>
      </w:r>
      <w:r w:rsidR="00C51F3A" w:rsidRPr="0059559C">
        <w:rPr>
          <w:rFonts w:asciiTheme="minorHAnsi" w:hAnsiTheme="minorHAnsi" w:cstheme="minorHAnsi"/>
        </w:rPr>
        <w:t xml:space="preserve"> </w:t>
      </w:r>
      <w:r w:rsidR="009707C3" w:rsidRPr="0059559C">
        <w:rPr>
          <w:rFonts w:asciiTheme="minorHAnsi" w:hAnsiTheme="minorHAnsi" w:cstheme="minorHAnsi"/>
        </w:rPr>
        <w:t xml:space="preserve">that the </w:t>
      </w:r>
      <w:r w:rsidR="00D05209" w:rsidRPr="0059559C">
        <w:rPr>
          <w:rFonts w:asciiTheme="minorHAnsi" w:hAnsiTheme="minorHAnsi" w:cstheme="minorHAnsi"/>
        </w:rPr>
        <w:t xml:space="preserve">ICO </w:t>
      </w:r>
      <w:r w:rsidR="0079252B" w:rsidRPr="0059559C">
        <w:rPr>
          <w:rFonts w:asciiTheme="minorHAnsi" w:hAnsiTheme="minorHAnsi" w:cstheme="minorHAnsi"/>
        </w:rPr>
        <w:t>consider</w:t>
      </w:r>
      <w:r w:rsidR="00D05209" w:rsidRPr="0059559C">
        <w:rPr>
          <w:rFonts w:asciiTheme="minorHAnsi" w:hAnsiTheme="minorHAnsi" w:cstheme="minorHAnsi"/>
        </w:rPr>
        <w:t xml:space="preserve"> the </w:t>
      </w:r>
      <w:r w:rsidR="009707C3" w:rsidRPr="0059559C">
        <w:rPr>
          <w:rFonts w:asciiTheme="minorHAnsi" w:hAnsiTheme="minorHAnsi" w:cstheme="minorHAnsi"/>
        </w:rPr>
        <w:t>exemption would not apply</w:t>
      </w:r>
      <w:r w:rsidR="007D20EA" w:rsidRPr="0059559C">
        <w:rPr>
          <w:rFonts w:asciiTheme="minorHAnsi" w:hAnsiTheme="minorHAnsi" w:cstheme="minorHAnsi"/>
        </w:rPr>
        <w:t xml:space="preserve"> to that individual.  Accordingly, t</w:t>
      </w:r>
      <w:r w:rsidR="006D2B88" w:rsidRPr="0059559C">
        <w:rPr>
          <w:rFonts w:asciiTheme="minorHAnsi" w:hAnsiTheme="minorHAnsi" w:cstheme="minorHAnsi"/>
        </w:rPr>
        <w:t xml:space="preserve">he ICO has </w:t>
      </w:r>
      <w:r w:rsidR="009A1B63" w:rsidRPr="0059559C">
        <w:rPr>
          <w:rFonts w:asciiTheme="minorHAnsi" w:hAnsiTheme="minorHAnsi" w:cstheme="minorHAnsi"/>
        </w:rPr>
        <w:t xml:space="preserve">made clear that </w:t>
      </w:r>
      <w:r w:rsidR="009A1B63" w:rsidRPr="0059559C">
        <w:rPr>
          <w:rFonts w:asciiTheme="minorHAnsi" w:hAnsiTheme="minorHAnsi"/>
        </w:rPr>
        <w:t>it ‘will not consider complaints made against individuals who have posted personal data whilst acting in a personal capacity, no matter how unfair, derogatory or distressing the posts may be’ (ICO, 2014a, p15).</w:t>
      </w:r>
      <w:r w:rsidR="006D2B88" w:rsidRPr="0059559C">
        <w:rPr>
          <w:rFonts w:asciiTheme="minorHAnsi" w:hAnsiTheme="minorHAnsi" w:cstheme="minorHAnsi"/>
        </w:rPr>
        <w:t xml:space="preserve">  </w:t>
      </w:r>
      <w:r w:rsidR="00E67FD2" w:rsidRPr="0059559C">
        <w:rPr>
          <w:rFonts w:asciiTheme="minorHAnsi" w:hAnsiTheme="minorHAnsi" w:cstheme="minorHAnsi"/>
        </w:rPr>
        <w:t>First</w:t>
      </w:r>
      <w:r w:rsidR="00F02A2B" w:rsidRPr="0059559C">
        <w:rPr>
          <w:rFonts w:asciiTheme="minorHAnsi" w:hAnsiTheme="minorHAnsi" w:cstheme="minorHAnsi"/>
        </w:rPr>
        <w:t>ly</w:t>
      </w:r>
      <w:r w:rsidR="00E67FD2" w:rsidRPr="0059559C">
        <w:rPr>
          <w:rFonts w:asciiTheme="minorHAnsi" w:hAnsiTheme="minorHAnsi" w:cstheme="minorHAnsi"/>
        </w:rPr>
        <w:t xml:space="preserve">, the ICO has made clear that it believes that it is the right of individuals to use the online space to express their own personal views, in accordance with Article 10 of the European Convention, and that the protection afforded by Article 10 is reflected in both s36 and s32 (ICO, 2011; The Law Society and others v Rick </w:t>
      </w:r>
      <w:proofErr w:type="spellStart"/>
      <w:r w:rsidR="00E67FD2" w:rsidRPr="0059559C">
        <w:rPr>
          <w:rFonts w:asciiTheme="minorHAnsi" w:hAnsiTheme="minorHAnsi" w:cstheme="minorHAnsi"/>
        </w:rPr>
        <w:t>Kordowski</w:t>
      </w:r>
      <w:proofErr w:type="spellEnd"/>
      <w:r w:rsidR="00E67FD2" w:rsidRPr="0059559C">
        <w:rPr>
          <w:rFonts w:asciiTheme="minorHAnsi" w:hAnsiTheme="minorHAnsi" w:cstheme="minorHAnsi"/>
        </w:rPr>
        <w:t xml:space="preserve"> [2011] EWHC 3185 (QB) </w:t>
      </w:r>
      <w:r w:rsidR="006259B8" w:rsidRPr="0059559C">
        <w:rPr>
          <w:rFonts w:asciiTheme="minorHAnsi" w:hAnsiTheme="minorHAnsi" w:cstheme="minorHAnsi"/>
        </w:rPr>
        <w:t>[</w:t>
      </w:r>
      <w:r w:rsidR="00E67FD2" w:rsidRPr="0059559C">
        <w:rPr>
          <w:rFonts w:asciiTheme="minorHAnsi" w:hAnsiTheme="minorHAnsi" w:cstheme="minorHAnsi"/>
        </w:rPr>
        <w:t>96</w:t>
      </w:r>
      <w:r w:rsidR="006259B8" w:rsidRPr="0059559C">
        <w:rPr>
          <w:rFonts w:asciiTheme="minorHAnsi" w:hAnsiTheme="minorHAnsi" w:cstheme="minorHAnsi"/>
        </w:rPr>
        <w:t>] (‘</w:t>
      </w:r>
      <w:proofErr w:type="spellStart"/>
      <w:r w:rsidR="006259B8" w:rsidRPr="0059559C">
        <w:rPr>
          <w:rFonts w:asciiTheme="minorHAnsi" w:hAnsiTheme="minorHAnsi" w:cstheme="minorHAnsi"/>
        </w:rPr>
        <w:t>Kordowski</w:t>
      </w:r>
      <w:proofErr w:type="spellEnd"/>
      <w:r w:rsidR="006259B8" w:rsidRPr="0059559C">
        <w:rPr>
          <w:rFonts w:asciiTheme="minorHAnsi" w:hAnsiTheme="minorHAnsi" w:cstheme="minorHAnsi"/>
        </w:rPr>
        <w:t>’)</w:t>
      </w:r>
      <w:r w:rsidR="00E67FD2" w:rsidRPr="0059559C">
        <w:rPr>
          <w:rFonts w:asciiTheme="minorHAnsi" w:hAnsiTheme="minorHAnsi" w:cstheme="minorHAnsi"/>
        </w:rPr>
        <w:t>).</w:t>
      </w:r>
      <w:r w:rsidR="00F02A2B" w:rsidRPr="0059559C">
        <w:rPr>
          <w:rFonts w:asciiTheme="minorHAnsi" w:hAnsiTheme="minorHAnsi" w:cstheme="minorHAnsi"/>
        </w:rPr>
        <w:t xml:space="preserve">  </w:t>
      </w:r>
      <w:r w:rsidR="00717C9B">
        <w:rPr>
          <w:rFonts w:asciiTheme="minorHAnsi" w:hAnsiTheme="minorHAnsi" w:cstheme="minorHAnsi"/>
        </w:rPr>
        <w:t xml:space="preserve">This is in stark contrast to the views of the CJEU in Google Spain, in which the court (C-131/12, para 69) emphasised not the right to freedom of expression but the right to respect for private life and right to protection of personal data.  </w:t>
      </w:r>
      <w:r w:rsidR="00F02A2B" w:rsidRPr="0059559C">
        <w:rPr>
          <w:rFonts w:asciiTheme="minorHAnsi" w:hAnsiTheme="minorHAnsi" w:cstheme="minorHAnsi"/>
        </w:rPr>
        <w:t xml:space="preserve">Secondly, </w:t>
      </w:r>
      <w:r w:rsidR="00347E4A" w:rsidRPr="0059559C">
        <w:rPr>
          <w:rFonts w:asciiTheme="minorHAnsi" w:hAnsiTheme="minorHAnsi" w:cstheme="minorHAnsi"/>
        </w:rPr>
        <w:t>the ICO has argued</w:t>
      </w:r>
      <w:r w:rsidR="00F02A2B" w:rsidRPr="0059559C">
        <w:rPr>
          <w:rFonts w:asciiTheme="minorHAnsi" w:hAnsiTheme="minorHAnsi" w:cstheme="minorHAnsi"/>
        </w:rPr>
        <w:t xml:space="preserve"> </w:t>
      </w:r>
      <w:r w:rsidR="00347E4A" w:rsidRPr="0059559C">
        <w:rPr>
          <w:rFonts w:asciiTheme="minorHAnsi" w:hAnsiTheme="minorHAnsi" w:cstheme="minorHAnsi"/>
        </w:rPr>
        <w:t>that the DPA is simply not equipped to deal with such a situation, and that</w:t>
      </w:r>
      <w:r w:rsidR="00F02A2B" w:rsidRPr="0059559C">
        <w:rPr>
          <w:rFonts w:asciiTheme="minorHAnsi" w:hAnsiTheme="minorHAnsi" w:cstheme="minorHAnsi"/>
        </w:rPr>
        <w:t xml:space="preserve"> </w:t>
      </w:r>
      <w:r w:rsidR="00E67FD2" w:rsidRPr="0059559C">
        <w:rPr>
          <w:rFonts w:asciiTheme="minorHAnsi" w:eastAsia="Times New Roman" w:hAnsiTheme="minorHAnsi" w:cstheme="minorHAnsi"/>
          <w:lang w:eastAsia="en-GB"/>
        </w:rPr>
        <w:t xml:space="preserve">it is </w:t>
      </w:r>
      <w:r w:rsidR="00347E4A" w:rsidRPr="0059559C">
        <w:rPr>
          <w:rFonts w:asciiTheme="minorHAnsi" w:eastAsia="Times New Roman" w:hAnsiTheme="minorHAnsi" w:cstheme="minorHAnsi"/>
          <w:lang w:eastAsia="en-GB"/>
        </w:rPr>
        <w:t xml:space="preserve">impossible for the ICO </w:t>
      </w:r>
      <w:r w:rsidR="00E67FD2" w:rsidRPr="0059559C">
        <w:rPr>
          <w:rFonts w:asciiTheme="minorHAnsi" w:eastAsia="Times New Roman" w:hAnsiTheme="minorHAnsi" w:cstheme="minorHAnsi"/>
          <w:lang w:eastAsia="en-GB"/>
        </w:rPr>
        <w:t xml:space="preserve">to regulate </w:t>
      </w:r>
      <w:r w:rsidR="00347E4A" w:rsidRPr="0059559C">
        <w:rPr>
          <w:rFonts w:asciiTheme="minorHAnsi" w:eastAsia="Times New Roman" w:hAnsiTheme="minorHAnsi" w:cstheme="minorHAnsi"/>
          <w:lang w:eastAsia="en-GB"/>
        </w:rPr>
        <w:t xml:space="preserve">what one </w:t>
      </w:r>
      <w:r w:rsidR="00E67FD2" w:rsidRPr="0059559C">
        <w:rPr>
          <w:rFonts w:asciiTheme="minorHAnsi" w:eastAsia="Times New Roman" w:hAnsiTheme="minorHAnsi" w:cstheme="minorHAnsi"/>
          <w:lang w:eastAsia="en-GB"/>
        </w:rPr>
        <w:t>individual</w:t>
      </w:r>
      <w:r w:rsidR="00F02A2B" w:rsidRPr="0059559C">
        <w:rPr>
          <w:rFonts w:asciiTheme="minorHAnsi" w:eastAsia="Times New Roman" w:hAnsiTheme="minorHAnsi" w:cstheme="minorHAnsi"/>
          <w:lang w:eastAsia="en-GB"/>
        </w:rPr>
        <w:t xml:space="preserve"> </w:t>
      </w:r>
      <w:r w:rsidR="00347E4A" w:rsidRPr="0059559C">
        <w:rPr>
          <w:rFonts w:asciiTheme="minorHAnsi" w:eastAsia="Times New Roman" w:hAnsiTheme="minorHAnsi" w:cstheme="minorHAnsi"/>
          <w:lang w:eastAsia="en-GB"/>
        </w:rPr>
        <w:t xml:space="preserve">wishes to say about another when exercising their </w:t>
      </w:r>
      <w:r w:rsidR="00F02A2B" w:rsidRPr="0059559C">
        <w:rPr>
          <w:rFonts w:asciiTheme="minorHAnsi" w:eastAsia="Times New Roman" w:hAnsiTheme="minorHAnsi" w:cstheme="minorHAnsi"/>
          <w:lang w:eastAsia="en-GB"/>
        </w:rPr>
        <w:t>right to freedom of expression</w:t>
      </w:r>
      <w:r w:rsidR="00347E4A" w:rsidRPr="0059559C">
        <w:rPr>
          <w:rFonts w:asciiTheme="minorHAnsi" w:eastAsia="Times New Roman" w:hAnsiTheme="minorHAnsi" w:cstheme="minorHAnsi"/>
          <w:lang w:eastAsia="en-GB"/>
        </w:rPr>
        <w:t xml:space="preserve"> (</w:t>
      </w:r>
      <w:proofErr w:type="spellStart"/>
      <w:r w:rsidR="00347E4A" w:rsidRPr="0059559C">
        <w:rPr>
          <w:rFonts w:asciiTheme="minorHAnsi" w:eastAsia="Times New Roman" w:hAnsiTheme="minorHAnsi" w:cstheme="minorHAnsi"/>
          <w:lang w:eastAsia="en-GB"/>
        </w:rPr>
        <w:t>Kordowski</w:t>
      </w:r>
      <w:proofErr w:type="spellEnd"/>
      <w:r w:rsidR="00347E4A" w:rsidRPr="0059559C">
        <w:rPr>
          <w:rFonts w:asciiTheme="minorHAnsi" w:eastAsia="Times New Roman" w:hAnsiTheme="minorHAnsi" w:cstheme="minorHAnsi"/>
          <w:lang w:eastAsia="en-GB"/>
        </w:rPr>
        <w:t xml:space="preserve">).  </w:t>
      </w:r>
      <w:r w:rsidR="00347E4A" w:rsidRPr="0059559C">
        <w:rPr>
          <w:rFonts w:asciiTheme="minorHAnsi" w:hAnsiTheme="minorHAnsi" w:cstheme="minorHAnsi"/>
        </w:rPr>
        <w:t xml:space="preserve">Whilst the ICO’s position is </w:t>
      </w:r>
      <w:r w:rsidR="00347E4A" w:rsidRPr="0059559C">
        <w:rPr>
          <w:rFonts w:asciiTheme="minorHAnsi" w:hAnsiTheme="minorHAnsi" w:cstheme="minorHAnsi"/>
        </w:rPr>
        <w:lastRenderedPageBreak/>
        <w:t xml:space="preserve">perhaps understandable given the resources available to it, </w:t>
      </w:r>
      <w:r w:rsidR="007F4EC3" w:rsidRPr="0059559C">
        <w:rPr>
          <w:rFonts w:asciiTheme="minorHAnsi" w:hAnsiTheme="minorHAnsi" w:cstheme="minorHAnsi"/>
        </w:rPr>
        <w:t>it is undoubtedly problematic, for several reasons.</w:t>
      </w:r>
    </w:p>
    <w:p w14:paraId="2652E319" w14:textId="77777777" w:rsidR="007F4EC3" w:rsidRPr="0059559C" w:rsidRDefault="007F4EC3" w:rsidP="00347E4A">
      <w:pPr>
        <w:spacing w:after="0" w:line="240" w:lineRule="auto"/>
        <w:rPr>
          <w:rFonts w:cstheme="minorHAnsi"/>
          <w:sz w:val="24"/>
          <w:szCs w:val="24"/>
        </w:rPr>
      </w:pPr>
    </w:p>
    <w:p w14:paraId="54DEF193" w14:textId="77777777" w:rsidR="007F4EC3" w:rsidRPr="0059559C" w:rsidRDefault="007F4EC3" w:rsidP="007F4EC3">
      <w:pPr>
        <w:tabs>
          <w:tab w:val="left" w:pos="3600"/>
        </w:tabs>
        <w:spacing w:after="0" w:line="240" w:lineRule="auto"/>
        <w:rPr>
          <w:rFonts w:cstheme="minorHAnsi"/>
          <w:sz w:val="24"/>
          <w:szCs w:val="24"/>
        </w:rPr>
      </w:pPr>
      <w:r w:rsidRPr="0059559C">
        <w:rPr>
          <w:rFonts w:cstheme="minorHAnsi"/>
          <w:sz w:val="24"/>
          <w:szCs w:val="24"/>
        </w:rPr>
        <w:t>Whilst the ICO does recognise that individuals often use the internet to make both commercial and personal postings, and makes clear that those posts which are made for commercial purposes would be required to comp</w:t>
      </w:r>
      <w:r w:rsidR="006259B8" w:rsidRPr="0059559C">
        <w:rPr>
          <w:rFonts w:cstheme="minorHAnsi"/>
          <w:sz w:val="24"/>
          <w:szCs w:val="24"/>
        </w:rPr>
        <w:t>ly with the DPA (ICO, 2014a</w:t>
      </w:r>
      <w:r w:rsidRPr="0059559C">
        <w:rPr>
          <w:rFonts w:cstheme="minorHAnsi"/>
          <w:sz w:val="24"/>
          <w:szCs w:val="24"/>
        </w:rPr>
        <w:t xml:space="preserve">), the ICO arguably fails to recognise the fact that parents are increasingly making postings which are neither clearly personal nor clearly for business purposes, and where the line between the personal/private and public/business sphere is increasingly blurred.  Consider, for example, when parents use blogs both to share the minutiae of their family lives and to publicise well-known brands (see </w:t>
      </w:r>
      <w:hyperlink r:id="rId9" w:history="1">
        <w:r w:rsidRPr="0059559C">
          <w:rPr>
            <w:rStyle w:val="Hyperlink"/>
            <w:rFonts w:cstheme="minorHAnsi"/>
            <w:color w:val="auto"/>
            <w:sz w:val="24"/>
            <w:szCs w:val="24"/>
          </w:rPr>
          <w:t>www.tots100.co.uk</w:t>
        </w:r>
      </w:hyperlink>
      <w:r w:rsidRPr="0059559C">
        <w:rPr>
          <w:rStyle w:val="Hyperlink"/>
          <w:rFonts w:cstheme="minorHAnsi"/>
          <w:color w:val="auto"/>
          <w:sz w:val="24"/>
          <w:szCs w:val="24"/>
        </w:rPr>
        <w:t xml:space="preserve"> </w:t>
      </w:r>
      <w:r w:rsidRPr="0059559C">
        <w:rPr>
          <w:rFonts w:cstheme="minorHAnsi"/>
          <w:sz w:val="24"/>
          <w:szCs w:val="24"/>
        </w:rPr>
        <w:t xml:space="preserve">for an illustration of the way in which brands work with parent bloggers).  </w:t>
      </w:r>
    </w:p>
    <w:p w14:paraId="07E676C9" w14:textId="77777777" w:rsidR="007F4EC3" w:rsidRPr="0059559C" w:rsidRDefault="007F4EC3" w:rsidP="00347E4A">
      <w:pPr>
        <w:spacing w:after="0" w:line="240" w:lineRule="auto"/>
        <w:rPr>
          <w:rFonts w:cstheme="minorHAnsi"/>
          <w:sz w:val="24"/>
          <w:szCs w:val="24"/>
        </w:rPr>
      </w:pPr>
    </w:p>
    <w:p w14:paraId="4FF1D6F2" w14:textId="2F9294D7" w:rsidR="008359E1" w:rsidRDefault="007F4EC3" w:rsidP="00347E4A">
      <w:pPr>
        <w:spacing w:after="0" w:line="240" w:lineRule="auto"/>
        <w:rPr>
          <w:rFonts w:cstheme="minorHAnsi"/>
          <w:sz w:val="24"/>
          <w:szCs w:val="24"/>
        </w:rPr>
      </w:pPr>
      <w:r w:rsidRPr="0059559C">
        <w:rPr>
          <w:rFonts w:cstheme="minorHAnsi"/>
          <w:sz w:val="24"/>
          <w:szCs w:val="24"/>
        </w:rPr>
        <w:t xml:space="preserve">The ICO’s </w:t>
      </w:r>
      <w:r w:rsidR="00347E4A" w:rsidRPr="0059559C">
        <w:rPr>
          <w:rFonts w:cstheme="minorHAnsi"/>
          <w:sz w:val="24"/>
          <w:szCs w:val="24"/>
        </w:rPr>
        <w:t xml:space="preserve">interpretation of the personal/household exemption flies in the face of the European jurisprudence and the Working Party opinion.  (Whilst neither of these </w:t>
      </w:r>
      <w:proofErr w:type="gramStart"/>
      <w:r w:rsidR="00347E4A" w:rsidRPr="0059559C">
        <w:rPr>
          <w:rFonts w:cstheme="minorHAnsi"/>
          <w:sz w:val="24"/>
          <w:szCs w:val="24"/>
        </w:rPr>
        <w:t>are</w:t>
      </w:r>
      <w:proofErr w:type="gramEnd"/>
      <w:r w:rsidR="00347E4A" w:rsidRPr="0059559C">
        <w:rPr>
          <w:rFonts w:cstheme="minorHAnsi"/>
          <w:sz w:val="24"/>
          <w:szCs w:val="24"/>
        </w:rPr>
        <w:t xml:space="preserve"> mentioned in the 2014 guidance, </w:t>
      </w:r>
      <w:r w:rsidR="006259B8" w:rsidRPr="0059559C">
        <w:rPr>
          <w:rFonts w:cstheme="minorHAnsi"/>
          <w:sz w:val="24"/>
          <w:szCs w:val="24"/>
        </w:rPr>
        <w:t>internal guidance (ICO, 2011</w:t>
      </w:r>
      <w:r w:rsidR="00347E4A" w:rsidRPr="0059559C">
        <w:rPr>
          <w:rFonts w:cstheme="minorHAnsi"/>
          <w:sz w:val="24"/>
          <w:szCs w:val="24"/>
        </w:rPr>
        <w:t xml:space="preserve">) makes clear that the ICO is certainly aware of </w:t>
      </w:r>
      <w:proofErr w:type="spellStart"/>
      <w:r w:rsidR="00347E4A" w:rsidRPr="0059559C">
        <w:rPr>
          <w:rFonts w:cstheme="minorHAnsi"/>
          <w:sz w:val="24"/>
          <w:szCs w:val="24"/>
        </w:rPr>
        <w:t>Lindqvist</w:t>
      </w:r>
      <w:proofErr w:type="spellEnd"/>
      <w:r w:rsidR="00347E4A" w:rsidRPr="0059559C">
        <w:rPr>
          <w:rFonts w:cstheme="minorHAnsi"/>
          <w:sz w:val="24"/>
          <w:szCs w:val="24"/>
        </w:rPr>
        <w:t>, but simply disagrees with that decision).   It should also be no</w:t>
      </w:r>
      <w:r w:rsidR="006259B8" w:rsidRPr="0059559C">
        <w:rPr>
          <w:rFonts w:cstheme="minorHAnsi"/>
          <w:sz w:val="24"/>
          <w:szCs w:val="24"/>
        </w:rPr>
        <w:t>ted that the ICO’s approach</w:t>
      </w:r>
      <w:r w:rsidR="00347E4A" w:rsidRPr="0059559C">
        <w:rPr>
          <w:rFonts w:cstheme="minorHAnsi"/>
          <w:sz w:val="24"/>
          <w:szCs w:val="24"/>
        </w:rPr>
        <w:t xml:space="preserve"> has failed to find favour in the domestic courts.  Although</w:t>
      </w:r>
      <w:r w:rsidR="00347E4A" w:rsidRPr="0059559C">
        <w:rPr>
          <w:rFonts w:eastAsia="Times New Roman" w:cstheme="minorHAnsi"/>
          <w:sz w:val="24"/>
          <w:szCs w:val="24"/>
          <w:lang w:eastAsia="en-GB"/>
        </w:rPr>
        <w:t xml:space="preserve"> expressing sympathy </w:t>
      </w:r>
      <w:bookmarkStart w:id="1" w:name="para97"/>
      <w:r w:rsidR="00347E4A" w:rsidRPr="0059559C">
        <w:rPr>
          <w:rFonts w:cstheme="minorHAnsi"/>
          <w:sz w:val="24"/>
          <w:szCs w:val="24"/>
        </w:rPr>
        <w:t xml:space="preserve">with the practical difficulties that the ICO would undoubtedly face if s36 were not deemed to apply when individuals posted third parties’ personal information online, Mr Justice Tugendhat made clear </w:t>
      </w:r>
      <w:r w:rsidR="008359E1">
        <w:rPr>
          <w:rFonts w:cstheme="minorHAnsi"/>
          <w:sz w:val="24"/>
          <w:szCs w:val="24"/>
        </w:rPr>
        <w:t>that he did not consider the Information Commissioner</w:t>
      </w:r>
      <w:r w:rsidR="00347E4A" w:rsidRPr="0059559C">
        <w:rPr>
          <w:rFonts w:cstheme="minorHAnsi"/>
          <w:sz w:val="24"/>
          <w:szCs w:val="24"/>
        </w:rPr>
        <w:t>’s approach to be sustainable.  Whilst acknowledging that ‘the DPA was not designed to deal with the way in which the internet now works’ (</w:t>
      </w:r>
      <w:proofErr w:type="spellStart"/>
      <w:r w:rsidR="00347E4A" w:rsidRPr="0059559C">
        <w:rPr>
          <w:rFonts w:cstheme="minorHAnsi"/>
          <w:sz w:val="24"/>
          <w:szCs w:val="24"/>
        </w:rPr>
        <w:t>Kordowski</w:t>
      </w:r>
      <w:proofErr w:type="spellEnd"/>
      <w:r w:rsidR="006259B8" w:rsidRPr="0059559C">
        <w:rPr>
          <w:rFonts w:cstheme="minorHAnsi"/>
          <w:sz w:val="24"/>
          <w:szCs w:val="24"/>
        </w:rPr>
        <w:t xml:space="preserve"> [</w:t>
      </w:r>
      <w:r w:rsidR="00347E4A" w:rsidRPr="0059559C">
        <w:rPr>
          <w:rFonts w:cstheme="minorHAnsi"/>
          <w:sz w:val="24"/>
          <w:szCs w:val="24"/>
        </w:rPr>
        <w:t>97</w:t>
      </w:r>
      <w:r w:rsidR="006259B8" w:rsidRPr="0059559C">
        <w:rPr>
          <w:rFonts w:cstheme="minorHAnsi"/>
          <w:sz w:val="24"/>
          <w:szCs w:val="24"/>
        </w:rPr>
        <w:t>]</w:t>
      </w:r>
      <w:r w:rsidR="00347E4A" w:rsidRPr="0059559C">
        <w:rPr>
          <w:rFonts w:cstheme="minorHAnsi"/>
          <w:sz w:val="24"/>
          <w:szCs w:val="24"/>
        </w:rPr>
        <w:t xml:space="preserve">), Mr Justice Tugendhat made clear that he did believe that </w:t>
      </w:r>
      <w:bookmarkStart w:id="2" w:name="para100"/>
      <w:bookmarkEnd w:id="1"/>
    </w:p>
    <w:p w14:paraId="42FCEC74" w14:textId="77777777" w:rsidR="008359E1" w:rsidRDefault="008359E1" w:rsidP="00347E4A">
      <w:pPr>
        <w:spacing w:after="0" w:line="240" w:lineRule="auto"/>
        <w:rPr>
          <w:rFonts w:cstheme="minorHAnsi"/>
          <w:sz w:val="24"/>
          <w:szCs w:val="24"/>
        </w:rPr>
      </w:pPr>
    </w:p>
    <w:p w14:paraId="2F67C374" w14:textId="0BCFEE7D" w:rsidR="00347E4A" w:rsidRPr="0059559C" w:rsidRDefault="00347E4A" w:rsidP="008359E1">
      <w:pPr>
        <w:spacing w:after="0" w:line="240" w:lineRule="auto"/>
        <w:ind w:left="720"/>
        <w:rPr>
          <w:rFonts w:cstheme="minorHAnsi"/>
          <w:sz w:val="24"/>
          <w:szCs w:val="24"/>
        </w:rPr>
      </w:pPr>
      <w:r w:rsidRPr="0059559C">
        <w:rPr>
          <w:rFonts w:cstheme="minorHAnsi"/>
          <w:sz w:val="24"/>
          <w:szCs w:val="24"/>
        </w:rPr>
        <w:t xml:space="preserve">‘the DPA does envisage that the Information Commissioner should consider what it is acceptable for one individual to say about another, </w:t>
      </w:r>
      <w:bookmarkEnd w:id="2"/>
      <w:r w:rsidRPr="0059559C">
        <w:rPr>
          <w:rFonts w:cstheme="minorHAnsi"/>
          <w:sz w:val="24"/>
          <w:szCs w:val="24"/>
        </w:rPr>
        <w:t>… The fact that a claimant may have claims under common law torts, or under HRA s.6, does not preclude there being a claim under, or other means of enforcement of, the DPA.’</w:t>
      </w:r>
    </w:p>
    <w:p w14:paraId="3AC20917" w14:textId="77777777" w:rsidR="007C198D" w:rsidRPr="0059559C" w:rsidRDefault="007C198D" w:rsidP="00724D5D">
      <w:pPr>
        <w:spacing w:after="0" w:line="240" w:lineRule="auto"/>
        <w:rPr>
          <w:rFonts w:cstheme="minorHAnsi"/>
          <w:sz w:val="24"/>
          <w:szCs w:val="24"/>
        </w:rPr>
      </w:pPr>
    </w:p>
    <w:p w14:paraId="40E389ED" w14:textId="509A6482" w:rsidR="00250588" w:rsidRPr="0059559C" w:rsidRDefault="007F4EC3" w:rsidP="00724D5D">
      <w:pPr>
        <w:spacing w:after="0" w:line="240" w:lineRule="auto"/>
        <w:rPr>
          <w:rFonts w:eastAsia="Times New Roman" w:cstheme="minorHAnsi"/>
          <w:sz w:val="24"/>
          <w:szCs w:val="24"/>
          <w:lang w:eastAsia="en-GB"/>
        </w:rPr>
      </w:pPr>
      <w:r w:rsidRPr="0059559C">
        <w:rPr>
          <w:rFonts w:cstheme="minorHAnsi"/>
          <w:sz w:val="24"/>
          <w:szCs w:val="24"/>
        </w:rPr>
        <w:t>The ICO’s refusal to follow the European line undoubtedly poses problems</w:t>
      </w:r>
      <w:r w:rsidR="00B7722D" w:rsidRPr="0059559C">
        <w:rPr>
          <w:rFonts w:cstheme="minorHAnsi"/>
          <w:sz w:val="24"/>
          <w:szCs w:val="24"/>
        </w:rPr>
        <w:t xml:space="preserve"> in practice</w:t>
      </w:r>
      <w:r w:rsidRPr="0059559C">
        <w:rPr>
          <w:rFonts w:cstheme="minorHAnsi"/>
          <w:sz w:val="24"/>
          <w:szCs w:val="24"/>
        </w:rPr>
        <w:t xml:space="preserve">.  </w:t>
      </w:r>
      <w:r w:rsidR="00B7722D" w:rsidRPr="0059559C">
        <w:rPr>
          <w:rFonts w:cstheme="minorHAnsi"/>
          <w:sz w:val="24"/>
          <w:szCs w:val="24"/>
        </w:rPr>
        <w:t xml:space="preserve">Most individuals based in the UK who wish to complain about online postings effectively have no remedy.  </w:t>
      </w:r>
      <w:r w:rsidR="008359E1">
        <w:rPr>
          <w:rFonts w:cstheme="minorHAnsi"/>
          <w:sz w:val="24"/>
          <w:szCs w:val="24"/>
        </w:rPr>
        <w:t>The ICO</w:t>
      </w:r>
      <w:r w:rsidR="00347E4A" w:rsidRPr="0059559C">
        <w:rPr>
          <w:rFonts w:cstheme="minorHAnsi"/>
          <w:sz w:val="24"/>
          <w:szCs w:val="24"/>
        </w:rPr>
        <w:t>, to whom a complaint about breach of the DPA would ordinaril</w:t>
      </w:r>
      <w:r w:rsidR="008359E1">
        <w:rPr>
          <w:rFonts w:cstheme="minorHAnsi"/>
          <w:sz w:val="24"/>
          <w:szCs w:val="24"/>
        </w:rPr>
        <w:t>y lie, has made clear that the ICO is</w:t>
      </w:r>
      <w:r w:rsidR="00347E4A" w:rsidRPr="0059559C">
        <w:rPr>
          <w:rFonts w:cstheme="minorHAnsi"/>
          <w:sz w:val="24"/>
          <w:szCs w:val="24"/>
        </w:rPr>
        <w:t xml:space="preserve"> unlikely to take action in response to a complaint that one individual has posted information online about another individual.   </w:t>
      </w:r>
      <w:r w:rsidRPr="0059559C">
        <w:rPr>
          <w:rFonts w:cstheme="minorHAnsi"/>
          <w:sz w:val="24"/>
          <w:szCs w:val="24"/>
        </w:rPr>
        <w:t xml:space="preserve">This is notwithstanding </w:t>
      </w:r>
      <w:proofErr w:type="gramStart"/>
      <w:r w:rsidRPr="0059559C">
        <w:rPr>
          <w:rFonts w:cstheme="minorHAnsi"/>
          <w:sz w:val="24"/>
          <w:szCs w:val="24"/>
        </w:rPr>
        <w:t>that</w:t>
      </w:r>
      <w:r w:rsidR="00347E4A" w:rsidRPr="0059559C">
        <w:rPr>
          <w:rFonts w:cstheme="minorHAnsi"/>
          <w:sz w:val="24"/>
          <w:szCs w:val="24"/>
        </w:rPr>
        <w:t>,</w:t>
      </w:r>
      <w:proofErr w:type="gramEnd"/>
      <w:r w:rsidR="00347E4A" w:rsidRPr="0059559C">
        <w:rPr>
          <w:rFonts w:cstheme="minorHAnsi"/>
          <w:sz w:val="24"/>
          <w:szCs w:val="24"/>
        </w:rPr>
        <w:t xml:space="preserve"> under European law the aggrieved individual would have a potential remedy under the Directive, provided at least that the information has been disseminated to an unlimited number of individuals.   </w:t>
      </w:r>
      <w:r w:rsidR="00B7722D" w:rsidRPr="0059559C">
        <w:rPr>
          <w:rFonts w:cstheme="minorHAnsi"/>
          <w:sz w:val="24"/>
          <w:szCs w:val="24"/>
        </w:rPr>
        <w:t>It is only i</w:t>
      </w:r>
      <w:r w:rsidR="00B40C99" w:rsidRPr="0059559C">
        <w:rPr>
          <w:rFonts w:cstheme="minorHAnsi"/>
          <w:sz w:val="24"/>
          <w:szCs w:val="24"/>
        </w:rPr>
        <w:t>f an individu</w:t>
      </w:r>
      <w:r w:rsidR="00B7722D" w:rsidRPr="0059559C">
        <w:rPr>
          <w:rFonts w:cstheme="minorHAnsi"/>
          <w:sz w:val="24"/>
          <w:szCs w:val="24"/>
        </w:rPr>
        <w:t xml:space="preserve">al were minded to, and had the </w:t>
      </w:r>
      <w:r w:rsidR="00B40C99" w:rsidRPr="0059559C">
        <w:rPr>
          <w:rFonts w:cstheme="minorHAnsi"/>
          <w:sz w:val="24"/>
          <w:szCs w:val="24"/>
        </w:rPr>
        <w:t xml:space="preserve">money to bring a claim </w:t>
      </w:r>
      <w:r w:rsidR="00B7722D" w:rsidRPr="0059559C">
        <w:rPr>
          <w:rFonts w:cstheme="minorHAnsi"/>
          <w:sz w:val="24"/>
          <w:szCs w:val="24"/>
        </w:rPr>
        <w:t xml:space="preserve">before the domestic courts, </w:t>
      </w:r>
      <w:r w:rsidR="00B40C99" w:rsidRPr="0059559C">
        <w:rPr>
          <w:rFonts w:cstheme="minorHAnsi"/>
          <w:sz w:val="24"/>
          <w:szCs w:val="24"/>
        </w:rPr>
        <w:t xml:space="preserve">for example under Section 10 (the right to prevent processing likely to cause damage or distress) </w:t>
      </w:r>
      <w:r w:rsidR="009A325F">
        <w:rPr>
          <w:rFonts w:cstheme="minorHAnsi"/>
          <w:sz w:val="24"/>
          <w:szCs w:val="24"/>
        </w:rPr>
        <w:t xml:space="preserve">or Section 13 (relating to compensation for failure to comply with the DPA) </w:t>
      </w:r>
      <w:r w:rsidR="00B7722D" w:rsidRPr="0059559C">
        <w:rPr>
          <w:rFonts w:cstheme="minorHAnsi"/>
          <w:sz w:val="24"/>
          <w:szCs w:val="24"/>
        </w:rPr>
        <w:t>that such an individual might obtain a remedy</w:t>
      </w:r>
      <w:r w:rsidR="009A325F">
        <w:rPr>
          <w:rFonts w:cstheme="minorHAnsi"/>
          <w:sz w:val="24"/>
          <w:szCs w:val="24"/>
        </w:rPr>
        <w:t>.  I</w:t>
      </w:r>
      <w:r w:rsidR="00B40C99" w:rsidRPr="0059559C">
        <w:rPr>
          <w:rFonts w:cstheme="minorHAnsi"/>
          <w:sz w:val="24"/>
          <w:szCs w:val="24"/>
        </w:rPr>
        <w:t xml:space="preserve">t </w:t>
      </w:r>
      <w:r w:rsidR="00B40C99" w:rsidRPr="0059559C">
        <w:rPr>
          <w:rFonts w:cstheme="minorHAnsi"/>
          <w:i/>
          <w:sz w:val="24"/>
          <w:szCs w:val="24"/>
        </w:rPr>
        <w:t xml:space="preserve">seems </w:t>
      </w:r>
      <w:r w:rsidR="00B40C99" w:rsidRPr="0059559C">
        <w:rPr>
          <w:rFonts w:cstheme="minorHAnsi"/>
          <w:sz w:val="24"/>
          <w:szCs w:val="24"/>
        </w:rPr>
        <w:t>that</w:t>
      </w:r>
      <w:r w:rsidR="00506B9F" w:rsidRPr="0059559C">
        <w:rPr>
          <w:rFonts w:cstheme="minorHAnsi"/>
          <w:sz w:val="24"/>
          <w:szCs w:val="24"/>
        </w:rPr>
        <w:t xml:space="preserve"> </w:t>
      </w:r>
      <w:r w:rsidR="009A325F">
        <w:rPr>
          <w:rFonts w:cstheme="minorHAnsi"/>
          <w:sz w:val="24"/>
          <w:szCs w:val="24"/>
        </w:rPr>
        <w:t xml:space="preserve">before the courts </w:t>
      </w:r>
      <w:r w:rsidR="00506B9F" w:rsidRPr="0059559C">
        <w:rPr>
          <w:rFonts w:cstheme="minorHAnsi"/>
          <w:sz w:val="24"/>
          <w:szCs w:val="24"/>
        </w:rPr>
        <w:t xml:space="preserve">an interpretation more in line with the European position would </w:t>
      </w:r>
      <w:r w:rsidR="00B40C99" w:rsidRPr="0059559C">
        <w:rPr>
          <w:rFonts w:cstheme="minorHAnsi"/>
          <w:sz w:val="24"/>
          <w:szCs w:val="24"/>
        </w:rPr>
        <w:t xml:space="preserve">be </w:t>
      </w:r>
      <w:r w:rsidR="00506B9F" w:rsidRPr="0059559C">
        <w:rPr>
          <w:rFonts w:cstheme="minorHAnsi"/>
          <w:sz w:val="24"/>
          <w:szCs w:val="24"/>
        </w:rPr>
        <w:t>likely.</w:t>
      </w:r>
      <w:r w:rsidR="006A6FD9" w:rsidRPr="0059559C">
        <w:rPr>
          <w:rFonts w:cstheme="minorHAnsi"/>
          <w:sz w:val="24"/>
          <w:szCs w:val="24"/>
        </w:rPr>
        <w:t xml:space="preserve">  </w:t>
      </w:r>
      <w:r w:rsidR="00CB2B68">
        <w:rPr>
          <w:rFonts w:cstheme="minorHAnsi"/>
          <w:sz w:val="24"/>
          <w:szCs w:val="24"/>
        </w:rPr>
        <w:t xml:space="preserve">Certainly the cases of </w:t>
      </w:r>
      <w:proofErr w:type="spellStart"/>
      <w:r w:rsidR="00CB2B68">
        <w:rPr>
          <w:rFonts w:cstheme="minorHAnsi"/>
          <w:sz w:val="24"/>
          <w:szCs w:val="24"/>
        </w:rPr>
        <w:t>Hegglin</w:t>
      </w:r>
      <w:proofErr w:type="spellEnd"/>
      <w:r w:rsidR="00CB2B68">
        <w:rPr>
          <w:rFonts w:cstheme="minorHAnsi"/>
          <w:sz w:val="24"/>
          <w:szCs w:val="24"/>
        </w:rPr>
        <w:t xml:space="preserve"> and another v Google </w:t>
      </w:r>
      <w:proofErr w:type="spellStart"/>
      <w:r w:rsidR="00CB2B68">
        <w:rPr>
          <w:rFonts w:cstheme="minorHAnsi"/>
          <w:sz w:val="24"/>
          <w:szCs w:val="24"/>
        </w:rPr>
        <w:t>inc</w:t>
      </w:r>
      <w:proofErr w:type="spellEnd"/>
      <w:r w:rsidR="00CB2B68">
        <w:rPr>
          <w:rFonts w:cstheme="minorHAnsi"/>
          <w:sz w:val="24"/>
          <w:szCs w:val="24"/>
        </w:rPr>
        <w:t xml:space="preserve"> [2014] EWHC 2808 and Google v Vidal-Hall [2014] EWHC 13 both suggest that the courts may be willing to use the Data Protection Act to afford a claimant a remedy in damages if their personal data is used in such a way that they are caused damage (whether of a pecuniary or non-pecuniary nature) </w:t>
      </w:r>
      <w:r w:rsidR="00CB2B68">
        <w:rPr>
          <w:rFonts w:cstheme="minorHAnsi"/>
          <w:sz w:val="24"/>
          <w:szCs w:val="24"/>
        </w:rPr>
        <w:lastRenderedPageBreak/>
        <w:t xml:space="preserve">and/or distress.  </w:t>
      </w:r>
      <w:r w:rsidR="006A6FD9" w:rsidRPr="0059559C">
        <w:rPr>
          <w:rFonts w:cstheme="minorHAnsi"/>
          <w:sz w:val="24"/>
          <w:szCs w:val="24"/>
        </w:rPr>
        <w:t xml:space="preserve">At present, </w:t>
      </w:r>
      <w:r w:rsidR="00CB2B68">
        <w:rPr>
          <w:rFonts w:cstheme="minorHAnsi"/>
          <w:sz w:val="24"/>
          <w:szCs w:val="24"/>
        </w:rPr>
        <w:t xml:space="preserve">however, </w:t>
      </w:r>
      <w:r w:rsidR="00347E4A" w:rsidRPr="0059559C">
        <w:rPr>
          <w:rFonts w:cstheme="minorHAnsi"/>
          <w:sz w:val="24"/>
          <w:szCs w:val="24"/>
        </w:rPr>
        <w:t>t</w:t>
      </w:r>
      <w:r w:rsidR="006A6FD9" w:rsidRPr="0059559C">
        <w:rPr>
          <w:rFonts w:eastAsia="Times New Roman" w:cstheme="minorHAnsi"/>
          <w:sz w:val="24"/>
          <w:szCs w:val="24"/>
          <w:lang w:eastAsia="en-GB"/>
        </w:rPr>
        <w:t>he area</w:t>
      </w:r>
      <w:r w:rsidR="00B40C99" w:rsidRPr="0059559C">
        <w:rPr>
          <w:rFonts w:eastAsia="Times New Roman" w:cstheme="minorHAnsi"/>
          <w:sz w:val="24"/>
          <w:szCs w:val="24"/>
          <w:lang w:eastAsia="en-GB"/>
        </w:rPr>
        <w:t xml:space="preserve"> is a potential minefield for practitioners tasked with advising upon and implementing the DPA.  </w:t>
      </w:r>
    </w:p>
    <w:p w14:paraId="742F2961" w14:textId="77777777" w:rsidR="007F4EC3" w:rsidRPr="0059559C" w:rsidRDefault="007F4EC3" w:rsidP="00724D5D">
      <w:pPr>
        <w:spacing w:after="0" w:line="240" w:lineRule="auto"/>
        <w:rPr>
          <w:rFonts w:eastAsia="Times New Roman" w:cstheme="minorHAnsi"/>
          <w:sz w:val="24"/>
          <w:szCs w:val="24"/>
          <w:lang w:eastAsia="en-GB"/>
        </w:rPr>
      </w:pPr>
    </w:p>
    <w:p w14:paraId="505357BD" w14:textId="06FF54C5" w:rsidR="00250588" w:rsidRPr="0059559C" w:rsidRDefault="00A44DE6" w:rsidP="00DE7865">
      <w:pPr>
        <w:spacing w:after="0" w:line="240" w:lineRule="auto"/>
        <w:ind w:firstLine="720"/>
        <w:rPr>
          <w:rFonts w:eastAsia="Times New Roman" w:cstheme="minorHAnsi"/>
          <w:b/>
          <w:sz w:val="24"/>
          <w:szCs w:val="24"/>
          <w:lang w:eastAsia="en-GB"/>
        </w:rPr>
      </w:pPr>
      <w:r w:rsidRPr="0059559C">
        <w:rPr>
          <w:rFonts w:eastAsia="Times New Roman" w:cstheme="minorHAnsi"/>
          <w:b/>
          <w:sz w:val="24"/>
          <w:szCs w:val="24"/>
          <w:lang w:eastAsia="en-GB"/>
        </w:rPr>
        <w:t>5</w:t>
      </w:r>
      <w:r w:rsidR="00400682" w:rsidRPr="0059559C">
        <w:rPr>
          <w:rFonts w:eastAsia="Times New Roman" w:cstheme="minorHAnsi"/>
          <w:b/>
          <w:sz w:val="24"/>
          <w:szCs w:val="24"/>
          <w:lang w:eastAsia="en-GB"/>
        </w:rPr>
        <w:t xml:space="preserve">.2 </w:t>
      </w:r>
      <w:r w:rsidR="00250588" w:rsidRPr="0059559C">
        <w:rPr>
          <w:rFonts w:eastAsia="Times New Roman" w:cstheme="minorHAnsi"/>
          <w:b/>
          <w:sz w:val="24"/>
          <w:szCs w:val="24"/>
          <w:lang w:eastAsia="en-GB"/>
        </w:rPr>
        <w:t>Section 32</w:t>
      </w:r>
    </w:p>
    <w:p w14:paraId="2859BDE9" w14:textId="77777777" w:rsidR="00250588" w:rsidRPr="0059559C" w:rsidRDefault="00250588" w:rsidP="00724D5D">
      <w:pPr>
        <w:spacing w:after="0" w:line="240" w:lineRule="auto"/>
        <w:rPr>
          <w:rFonts w:eastAsia="Times New Roman" w:cstheme="minorHAnsi"/>
          <w:b/>
          <w:sz w:val="24"/>
          <w:szCs w:val="24"/>
          <w:lang w:eastAsia="en-GB"/>
        </w:rPr>
      </w:pPr>
    </w:p>
    <w:p w14:paraId="01E6BE60" w14:textId="523B3083" w:rsidR="000E5CFF" w:rsidRPr="0059559C" w:rsidRDefault="007F4EC3" w:rsidP="00724D5D">
      <w:pPr>
        <w:spacing w:after="0" w:line="240" w:lineRule="auto"/>
        <w:rPr>
          <w:rFonts w:eastAsia="Times New Roman" w:cstheme="minorHAnsi"/>
          <w:sz w:val="24"/>
          <w:szCs w:val="24"/>
          <w:lang w:eastAsia="en-GB"/>
        </w:rPr>
      </w:pPr>
      <w:r w:rsidRPr="0059559C">
        <w:rPr>
          <w:rFonts w:eastAsia="Times New Roman" w:cstheme="minorHAnsi"/>
          <w:sz w:val="24"/>
          <w:szCs w:val="24"/>
          <w:lang w:eastAsia="en-GB"/>
        </w:rPr>
        <w:t xml:space="preserve">If the ICO interpretation of s36 is problematic, the position in relation to s32 is </w:t>
      </w:r>
      <w:r w:rsidR="000E5CFF" w:rsidRPr="0059559C">
        <w:rPr>
          <w:rFonts w:eastAsia="Times New Roman" w:cstheme="minorHAnsi"/>
          <w:sz w:val="24"/>
          <w:szCs w:val="24"/>
          <w:lang w:eastAsia="en-GB"/>
        </w:rPr>
        <w:t>little better</w:t>
      </w:r>
      <w:r w:rsidRPr="0059559C">
        <w:rPr>
          <w:rFonts w:eastAsia="Times New Roman" w:cstheme="minorHAnsi"/>
          <w:sz w:val="24"/>
          <w:szCs w:val="24"/>
          <w:lang w:eastAsia="en-GB"/>
        </w:rPr>
        <w:t xml:space="preserve">. </w:t>
      </w:r>
    </w:p>
    <w:p w14:paraId="0C220726" w14:textId="77777777" w:rsidR="001C239E" w:rsidRPr="0059559C" w:rsidRDefault="001C239E" w:rsidP="00724D5D">
      <w:pPr>
        <w:spacing w:after="0" w:line="240" w:lineRule="auto"/>
        <w:rPr>
          <w:rFonts w:eastAsia="Times New Roman" w:cstheme="minorHAnsi"/>
          <w:sz w:val="24"/>
          <w:szCs w:val="24"/>
          <w:lang w:eastAsia="en-GB"/>
        </w:rPr>
      </w:pPr>
      <w:r w:rsidRPr="0059559C">
        <w:rPr>
          <w:rFonts w:eastAsia="Times New Roman" w:cstheme="minorHAnsi"/>
          <w:sz w:val="24"/>
          <w:szCs w:val="24"/>
          <w:lang w:eastAsia="en-GB"/>
        </w:rPr>
        <w:t xml:space="preserve">In 2011 </w:t>
      </w:r>
      <w:r w:rsidR="00A50E5B" w:rsidRPr="0059559C">
        <w:rPr>
          <w:rFonts w:eastAsia="Times New Roman" w:cstheme="minorHAnsi"/>
          <w:sz w:val="24"/>
          <w:szCs w:val="24"/>
          <w:lang w:eastAsia="en-GB"/>
        </w:rPr>
        <w:t>Mr Justice Tugendhat dealt</w:t>
      </w:r>
      <w:r w:rsidRPr="0059559C">
        <w:rPr>
          <w:rFonts w:eastAsia="Times New Roman" w:cstheme="minorHAnsi"/>
          <w:sz w:val="24"/>
          <w:szCs w:val="24"/>
          <w:lang w:eastAsia="en-GB"/>
        </w:rPr>
        <w:t xml:space="preserve"> explicitly with the application of Section 32, and the interaction between Articles 8 and 10, commenting that:</w:t>
      </w:r>
    </w:p>
    <w:p w14:paraId="1078FEF9" w14:textId="77777777" w:rsidR="001C239E" w:rsidRPr="0059559C" w:rsidRDefault="001C239E" w:rsidP="00724D5D">
      <w:pPr>
        <w:spacing w:after="0" w:line="240" w:lineRule="auto"/>
        <w:rPr>
          <w:rFonts w:eastAsia="Times New Roman" w:cstheme="minorHAnsi"/>
          <w:sz w:val="24"/>
          <w:szCs w:val="24"/>
          <w:lang w:eastAsia="en-GB"/>
        </w:rPr>
      </w:pPr>
    </w:p>
    <w:p w14:paraId="0CDA497A" w14:textId="77777777" w:rsidR="00C77B16" w:rsidRPr="0059559C" w:rsidRDefault="001C239E" w:rsidP="00D87A88">
      <w:pPr>
        <w:spacing w:after="0" w:line="240" w:lineRule="auto"/>
        <w:ind w:left="720"/>
        <w:rPr>
          <w:rFonts w:eastAsia="Times New Roman" w:cstheme="minorHAnsi"/>
          <w:sz w:val="24"/>
          <w:szCs w:val="24"/>
          <w:lang w:eastAsia="en-GB"/>
        </w:rPr>
      </w:pPr>
      <w:r w:rsidRPr="0059559C">
        <w:rPr>
          <w:sz w:val="24"/>
          <w:szCs w:val="24"/>
        </w:rPr>
        <w:t xml:space="preserve">‘Those who drafted the directive and the DPA omitted to address generally the relationship between the Art 8 rights which the Directive sought to implement, and the Art 10 rights which must also be respected, in accordance with both EU and English law. If there is a provision of the DPA which would give effect to Art 10 rights …, it would be s.32 (journalism, literature and art). Journalism that is protected by s.32 involves communication of information or ideas to the public at large in the public interest. Today anyone with access to the internet can </w:t>
      </w:r>
      <w:r w:rsidR="006259B8" w:rsidRPr="0059559C">
        <w:rPr>
          <w:sz w:val="24"/>
          <w:szCs w:val="24"/>
        </w:rPr>
        <w:t>engage in journalism at no cost</w:t>
      </w:r>
      <w:r w:rsidRPr="0059559C">
        <w:rPr>
          <w:sz w:val="24"/>
          <w:szCs w:val="24"/>
        </w:rPr>
        <w:t>’</w:t>
      </w:r>
      <w:r w:rsidR="006259B8" w:rsidRPr="0059559C">
        <w:rPr>
          <w:sz w:val="24"/>
          <w:szCs w:val="24"/>
        </w:rPr>
        <w:t xml:space="preserve"> (</w:t>
      </w:r>
      <w:proofErr w:type="spellStart"/>
      <w:r w:rsidR="006259B8" w:rsidRPr="0059559C">
        <w:rPr>
          <w:rFonts w:eastAsia="Times New Roman" w:cstheme="minorHAnsi"/>
          <w:sz w:val="24"/>
          <w:szCs w:val="24"/>
          <w:lang w:eastAsia="en-GB"/>
        </w:rPr>
        <w:t>Kordowski</w:t>
      </w:r>
      <w:proofErr w:type="spellEnd"/>
      <w:r w:rsidR="006259B8" w:rsidRPr="0059559C">
        <w:rPr>
          <w:rFonts w:eastAsia="Times New Roman" w:cstheme="minorHAnsi"/>
          <w:sz w:val="24"/>
          <w:szCs w:val="24"/>
          <w:lang w:eastAsia="en-GB"/>
        </w:rPr>
        <w:t xml:space="preserve"> [99]).  </w:t>
      </w:r>
    </w:p>
    <w:p w14:paraId="2D418C4D" w14:textId="77777777" w:rsidR="00C77B16" w:rsidRPr="0059559C" w:rsidRDefault="00C77B16" w:rsidP="00A50E5B">
      <w:pPr>
        <w:spacing w:after="0" w:line="240" w:lineRule="auto"/>
        <w:rPr>
          <w:rFonts w:eastAsia="Times New Roman" w:cstheme="minorHAnsi"/>
          <w:sz w:val="24"/>
          <w:szCs w:val="24"/>
          <w:lang w:eastAsia="en-GB"/>
        </w:rPr>
      </w:pPr>
    </w:p>
    <w:p w14:paraId="46B01FEE" w14:textId="77777777" w:rsidR="00A50E5B" w:rsidRPr="0059559C" w:rsidRDefault="001C239E" w:rsidP="00A50E5B">
      <w:pPr>
        <w:spacing w:after="0" w:line="240" w:lineRule="auto"/>
        <w:rPr>
          <w:sz w:val="24"/>
          <w:szCs w:val="24"/>
        </w:rPr>
      </w:pPr>
      <w:r w:rsidRPr="0059559C">
        <w:rPr>
          <w:sz w:val="24"/>
          <w:szCs w:val="24"/>
        </w:rPr>
        <w:t xml:space="preserve">It is clear, therefore, that, in line with </w:t>
      </w:r>
      <w:proofErr w:type="spellStart"/>
      <w:r w:rsidRPr="0059559C">
        <w:rPr>
          <w:sz w:val="24"/>
          <w:szCs w:val="24"/>
        </w:rPr>
        <w:t>Satamedia</w:t>
      </w:r>
      <w:proofErr w:type="spellEnd"/>
      <w:r w:rsidRPr="0059559C">
        <w:rPr>
          <w:sz w:val="24"/>
          <w:szCs w:val="24"/>
        </w:rPr>
        <w:t xml:space="preserve">, the domestic courts clearly recognise the potential application of s32 to ordinary individuals.  </w:t>
      </w:r>
      <w:r w:rsidR="00A50E5B" w:rsidRPr="0059559C">
        <w:rPr>
          <w:sz w:val="24"/>
          <w:szCs w:val="24"/>
        </w:rPr>
        <w:t>The ICO similarly acknowledges in its social networking guidance that s32 might apply to an individual who has posted personal data online if such information has been posted for one of the special purposes of journalism, art and literature, in the reasonable belief both that publication would be in the public interest and that compliance with the DPA would be incompatible with the s</w:t>
      </w:r>
      <w:r w:rsidR="006259B8" w:rsidRPr="0059559C">
        <w:rPr>
          <w:sz w:val="24"/>
          <w:szCs w:val="24"/>
        </w:rPr>
        <w:t>pecial purposes (ICO, 2014a</w:t>
      </w:r>
      <w:r w:rsidR="00A50E5B" w:rsidRPr="0059559C">
        <w:rPr>
          <w:sz w:val="24"/>
          <w:szCs w:val="24"/>
        </w:rPr>
        <w:t>).  The problem for individuals, unfortunately, is that the ICO has yet to publish guidance which explains clearly when s32 would be considered to apply to an individual</w:t>
      </w:r>
      <w:r w:rsidRPr="0059559C">
        <w:rPr>
          <w:sz w:val="24"/>
          <w:szCs w:val="24"/>
        </w:rPr>
        <w:t>.</w:t>
      </w:r>
      <w:r w:rsidR="00A50E5B" w:rsidRPr="0059559C">
        <w:rPr>
          <w:sz w:val="24"/>
          <w:szCs w:val="24"/>
        </w:rPr>
        <w:t xml:space="preserve">  </w:t>
      </w:r>
      <w:r w:rsidR="004C5C3E" w:rsidRPr="0059559C">
        <w:rPr>
          <w:sz w:val="24"/>
          <w:szCs w:val="24"/>
        </w:rPr>
        <w:t>The one brief reference t</w:t>
      </w:r>
      <w:r w:rsidR="006259B8" w:rsidRPr="0059559C">
        <w:rPr>
          <w:sz w:val="24"/>
          <w:szCs w:val="24"/>
        </w:rPr>
        <w:t xml:space="preserve">o individuals in the ICO’s recent </w:t>
      </w:r>
      <w:r w:rsidR="004C5C3E" w:rsidRPr="0059559C">
        <w:rPr>
          <w:sz w:val="24"/>
          <w:szCs w:val="24"/>
        </w:rPr>
        <w:t>guidance (</w:t>
      </w:r>
      <w:r w:rsidR="006259B8" w:rsidRPr="0059559C">
        <w:rPr>
          <w:sz w:val="24"/>
          <w:szCs w:val="24"/>
        </w:rPr>
        <w:t xml:space="preserve">ICO, </w:t>
      </w:r>
      <w:r w:rsidR="004C5C3E" w:rsidRPr="0059559C">
        <w:rPr>
          <w:sz w:val="24"/>
          <w:szCs w:val="24"/>
        </w:rPr>
        <w:t>2014a) is not particularly helpful;</w:t>
      </w:r>
    </w:p>
    <w:p w14:paraId="6DC5C743" w14:textId="77777777" w:rsidR="004C5C3E" w:rsidRPr="0059559C" w:rsidRDefault="004C5C3E" w:rsidP="00A50E5B">
      <w:pPr>
        <w:spacing w:after="0" w:line="240" w:lineRule="auto"/>
        <w:rPr>
          <w:sz w:val="24"/>
          <w:szCs w:val="24"/>
        </w:rPr>
      </w:pPr>
    </w:p>
    <w:p w14:paraId="577A36BF" w14:textId="77777777" w:rsidR="004C5C3E" w:rsidRPr="0059559C" w:rsidRDefault="004C5C3E" w:rsidP="005414E3">
      <w:pPr>
        <w:spacing w:after="0" w:line="240" w:lineRule="auto"/>
        <w:ind w:left="720"/>
        <w:rPr>
          <w:sz w:val="24"/>
          <w:szCs w:val="24"/>
        </w:rPr>
      </w:pPr>
      <w:r w:rsidRPr="0059559C">
        <w:rPr>
          <w:sz w:val="24"/>
          <w:szCs w:val="24"/>
        </w:rPr>
        <w:t>‘We accept that individuals may be able to invoke the journalism exemption if they are posting information or ideas for public consumption online, even if they are not professional journalists and are not paid to do so. … Of course, this doesn’t mean that every blog or comment posted online will be journalism.  In many cases, people will simply intend to take part in normal social interaction or other recreational internet use.’</w:t>
      </w:r>
    </w:p>
    <w:p w14:paraId="06931C53" w14:textId="77777777" w:rsidR="00A50E5B" w:rsidRPr="0059559C" w:rsidRDefault="00A50E5B" w:rsidP="00A50E5B">
      <w:pPr>
        <w:spacing w:after="0" w:line="240" w:lineRule="auto"/>
        <w:rPr>
          <w:rFonts w:eastAsia="Times New Roman" w:cstheme="minorHAnsi"/>
          <w:sz w:val="24"/>
          <w:szCs w:val="24"/>
          <w:lang w:eastAsia="en-GB"/>
        </w:rPr>
      </w:pPr>
      <w:r w:rsidRPr="0059559C">
        <w:rPr>
          <w:sz w:val="24"/>
          <w:szCs w:val="24"/>
        </w:rPr>
        <w:t xml:space="preserve">  </w:t>
      </w:r>
      <w:r w:rsidR="001C239E" w:rsidRPr="0059559C">
        <w:rPr>
          <w:sz w:val="24"/>
          <w:szCs w:val="24"/>
        </w:rPr>
        <w:t xml:space="preserve">  </w:t>
      </w:r>
    </w:p>
    <w:p w14:paraId="54B254F2" w14:textId="77777777" w:rsidR="005414E3" w:rsidRPr="0059559C" w:rsidRDefault="00250588" w:rsidP="00F84A30">
      <w:pPr>
        <w:spacing w:after="0" w:line="240" w:lineRule="auto"/>
        <w:rPr>
          <w:rFonts w:eastAsia="Times New Roman" w:cstheme="minorHAnsi"/>
          <w:sz w:val="24"/>
          <w:szCs w:val="24"/>
          <w:lang w:eastAsia="en-GB"/>
        </w:rPr>
      </w:pPr>
      <w:r w:rsidRPr="0059559C">
        <w:rPr>
          <w:rFonts w:eastAsia="Times New Roman" w:cstheme="minorHAnsi"/>
          <w:sz w:val="24"/>
          <w:szCs w:val="24"/>
          <w:lang w:eastAsia="en-GB"/>
        </w:rPr>
        <w:t xml:space="preserve">What can be gleaned from the guidance that has been issued to the media </w:t>
      </w:r>
      <w:r w:rsidR="00A50E5B" w:rsidRPr="0059559C">
        <w:rPr>
          <w:rFonts w:eastAsia="Times New Roman" w:cstheme="minorHAnsi"/>
          <w:sz w:val="24"/>
          <w:szCs w:val="24"/>
          <w:lang w:eastAsia="en-GB"/>
        </w:rPr>
        <w:t>(</w:t>
      </w:r>
      <w:r w:rsidR="00347E4A" w:rsidRPr="0059559C">
        <w:rPr>
          <w:rFonts w:eastAsia="Times New Roman" w:cstheme="minorHAnsi"/>
          <w:sz w:val="24"/>
          <w:szCs w:val="24"/>
          <w:lang w:eastAsia="en-GB"/>
        </w:rPr>
        <w:t xml:space="preserve">ICO, 2014b) </w:t>
      </w:r>
      <w:proofErr w:type="gramStart"/>
      <w:r w:rsidRPr="0059559C">
        <w:rPr>
          <w:rFonts w:eastAsia="Times New Roman" w:cstheme="minorHAnsi"/>
          <w:sz w:val="24"/>
          <w:szCs w:val="24"/>
          <w:lang w:eastAsia="en-GB"/>
        </w:rPr>
        <w:t>however,</w:t>
      </w:r>
      <w:proofErr w:type="gramEnd"/>
      <w:r w:rsidRPr="0059559C">
        <w:rPr>
          <w:rFonts w:eastAsia="Times New Roman" w:cstheme="minorHAnsi"/>
          <w:sz w:val="24"/>
          <w:szCs w:val="24"/>
          <w:lang w:eastAsia="en-GB"/>
        </w:rPr>
        <w:t xml:space="preserve"> is that</w:t>
      </w:r>
      <w:r w:rsidR="00A50E5B" w:rsidRPr="0059559C">
        <w:rPr>
          <w:rFonts w:eastAsia="Times New Roman" w:cstheme="minorHAnsi"/>
          <w:sz w:val="24"/>
          <w:szCs w:val="24"/>
          <w:lang w:eastAsia="en-GB"/>
        </w:rPr>
        <w:t xml:space="preserve"> if</w:t>
      </w:r>
      <w:r w:rsidRPr="0059559C">
        <w:rPr>
          <w:rFonts w:eastAsia="Times New Roman" w:cstheme="minorHAnsi"/>
          <w:sz w:val="24"/>
          <w:szCs w:val="24"/>
          <w:lang w:eastAsia="en-GB"/>
        </w:rPr>
        <w:t xml:space="preserve"> individuals </w:t>
      </w:r>
      <w:r w:rsidR="00A50E5B" w:rsidRPr="0059559C">
        <w:rPr>
          <w:rFonts w:eastAsia="Times New Roman" w:cstheme="minorHAnsi"/>
          <w:sz w:val="24"/>
          <w:szCs w:val="24"/>
          <w:lang w:eastAsia="en-GB"/>
        </w:rPr>
        <w:t xml:space="preserve">do wish to </w:t>
      </w:r>
      <w:r w:rsidRPr="0059559C">
        <w:rPr>
          <w:rFonts w:eastAsia="Times New Roman" w:cstheme="minorHAnsi"/>
          <w:sz w:val="24"/>
          <w:szCs w:val="24"/>
          <w:lang w:eastAsia="en-GB"/>
        </w:rPr>
        <w:t xml:space="preserve">rely upon Section 32, </w:t>
      </w:r>
      <w:r w:rsidR="00A50E5B" w:rsidRPr="0059559C">
        <w:rPr>
          <w:rFonts w:eastAsia="Times New Roman" w:cstheme="minorHAnsi"/>
          <w:sz w:val="24"/>
          <w:szCs w:val="24"/>
          <w:lang w:eastAsia="en-GB"/>
        </w:rPr>
        <w:t xml:space="preserve">they must </w:t>
      </w:r>
      <w:r w:rsidRPr="0059559C">
        <w:rPr>
          <w:rFonts w:eastAsia="Times New Roman" w:cstheme="minorHAnsi"/>
          <w:sz w:val="24"/>
          <w:szCs w:val="24"/>
          <w:lang w:eastAsia="en-GB"/>
        </w:rPr>
        <w:t>demonstrate that their actions in making information public are in the ‘</w:t>
      </w:r>
      <w:r w:rsidRPr="0059559C">
        <w:rPr>
          <w:rFonts w:eastAsia="Times New Roman" w:cstheme="minorHAnsi"/>
          <w:i/>
          <w:sz w:val="24"/>
          <w:szCs w:val="24"/>
          <w:lang w:eastAsia="en-GB"/>
        </w:rPr>
        <w:t>public interest</w:t>
      </w:r>
      <w:r w:rsidRPr="0059559C">
        <w:rPr>
          <w:rFonts w:eastAsia="Times New Roman" w:cstheme="minorHAnsi"/>
          <w:sz w:val="24"/>
          <w:szCs w:val="24"/>
          <w:lang w:eastAsia="en-GB"/>
        </w:rPr>
        <w:t>’.</w:t>
      </w:r>
      <w:r w:rsidR="00A50E5B" w:rsidRPr="0059559C">
        <w:rPr>
          <w:rFonts w:eastAsia="Times New Roman" w:cstheme="minorHAnsi"/>
          <w:sz w:val="24"/>
          <w:szCs w:val="24"/>
          <w:lang w:eastAsia="en-GB"/>
        </w:rPr>
        <w:t xml:space="preserve">  </w:t>
      </w:r>
      <w:r w:rsidR="005414E3" w:rsidRPr="0059559C">
        <w:rPr>
          <w:rFonts w:eastAsia="Times New Roman" w:cstheme="minorHAnsi"/>
          <w:sz w:val="24"/>
          <w:szCs w:val="24"/>
          <w:lang w:eastAsia="en-GB"/>
        </w:rPr>
        <w:t>It is establishing the necessary public interest that many individuals who share information online are likely to struggle with.</w:t>
      </w:r>
    </w:p>
    <w:p w14:paraId="5871BBFA" w14:textId="77777777" w:rsidR="005414E3" w:rsidRPr="0059559C" w:rsidRDefault="005414E3" w:rsidP="00F84A30">
      <w:pPr>
        <w:spacing w:after="0" w:line="240" w:lineRule="auto"/>
        <w:rPr>
          <w:rFonts w:eastAsia="Times New Roman" w:cstheme="minorHAnsi"/>
          <w:sz w:val="24"/>
          <w:szCs w:val="24"/>
          <w:lang w:eastAsia="en-GB"/>
        </w:rPr>
      </w:pPr>
    </w:p>
    <w:p w14:paraId="1E454D86" w14:textId="77777777" w:rsidR="006D0941" w:rsidRPr="0059559C" w:rsidRDefault="00A50E5B" w:rsidP="00F84A30">
      <w:pPr>
        <w:spacing w:after="0" w:line="240" w:lineRule="auto"/>
        <w:rPr>
          <w:rFonts w:cstheme="minorHAnsi"/>
          <w:sz w:val="24"/>
          <w:szCs w:val="24"/>
        </w:rPr>
      </w:pPr>
      <w:r w:rsidRPr="0059559C">
        <w:rPr>
          <w:rFonts w:eastAsia="Times New Roman" w:cstheme="minorHAnsi"/>
          <w:sz w:val="24"/>
          <w:szCs w:val="24"/>
          <w:lang w:eastAsia="en-GB"/>
        </w:rPr>
        <w:t>Although t</w:t>
      </w:r>
      <w:r w:rsidR="006A6FD9" w:rsidRPr="0059559C">
        <w:rPr>
          <w:rFonts w:cstheme="minorHAnsi"/>
          <w:sz w:val="24"/>
          <w:szCs w:val="24"/>
        </w:rPr>
        <w:t>here is</w:t>
      </w:r>
      <w:r w:rsidRPr="0059559C">
        <w:rPr>
          <w:rFonts w:cstheme="minorHAnsi"/>
          <w:sz w:val="24"/>
          <w:szCs w:val="24"/>
        </w:rPr>
        <w:t>, unfortunately,</w:t>
      </w:r>
      <w:r w:rsidR="006A6FD9" w:rsidRPr="0059559C">
        <w:rPr>
          <w:rFonts w:cstheme="minorHAnsi"/>
          <w:sz w:val="24"/>
          <w:szCs w:val="24"/>
        </w:rPr>
        <w:t xml:space="preserve"> no definitive public interest test to which an individual can turn</w:t>
      </w:r>
      <w:r w:rsidRPr="0059559C">
        <w:rPr>
          <w:rFonts w:cstheme="minorHAnsi"/>
          <w:sz w:val="24"/>
          <w:szCs w:val="24"/>
        </w:rPr>
        <w:t>, the ICO does provide some ‘pointers’</w:t>
      </w:r>
      <w:r w:rsidR="004C5C3E" w:rsidRPr="0059559C">
        <w:rPr>
          <w:rFonts w:cstheme="minorHAnsi"/>
          <w:sz w:val="24"/>
          <w:szCs w:val="24"/>
        </w:rPr>
        <w:t xml:space="preserve"> for the media</w:t>
      </w:r>
      <w:r w:rsidRPr="0059559C">
        <w:rPr>
          <w:rFonts w:cstheme="minorHAnsi"/>
          <w:sz w:val="24"/>
          <w:szCs w:val="24"/>
        </w:rPr>
        <w:t xml:space="preserve">, which would appear to be </w:t>
      </w:r>
      <w:r w:rsidR="004C5C3E" w:rsidRPr="0059559C">
        <w:rPr>
          <w:rFonts w:cstheme="minorHAnsi"/>
          <w:sz w:val="24"/>
          <w:szCs w:val="24"/>
        </w:rPr>
        <w:t xml:space="preserve">equally relevant </w:t>
      </w:r>
      <w:r w:rsidRPr="0059559C">
        <w:rPr>
          <w:rFonts w:cstheme="minorHAnsi"/>
          <w:sz w:val="24"/>
          <w:szCs w:val="24"/>
        </w:rPr>
        <w:t xml:space="preserve">to individuals.  </w:t>
      </w:r>
      <w:r w:rsidR="00B818BD" w:rsidRPr="0059559C">
        <w:rPr>
          <w:rFonts w:cstheme="minorHAnsi"/>
          <w:sz w:val="24"/>
          <w:szCs w:val="24"/>
        </w:rPr>
        <w:t xml:space="preserve">Crucially, the ICO makes clear that </w:t>
      </w:r>
      <w:r w:rsidR="006A6FD9" w:rsidRPr="0059559C">
        <w:rPr>
          <w:rFonts w:cstheme="minorHAnsi"/>
          <w:sz w:val="24"/>
          <w:szCs w:val="24"/>
        </w:rPr>
        <w:t>the public interest is not the same as wh</w:t>
      </w:r>
      <w:r w:rsidR="00B818BD" w:rsidRPr="0059559C">
        <w:rPr>
          <w:rFonts w:cstheme="minorHAnsi"/>
          <w:sz w:val="24"/>
          <w:szCs w:val="24"/>
        </w:rPr>
        <w:t xml:space="preserve">at is interesting to the public.  He confirms </w:t>
      </w:r>
      <w:r w:rsidR="006D0941" w:rsidRPr="0059559C">
        <w:rPr>
          <w:rFonts w:cstheme="minorHAnsi"/>
          <w:sz w:val="24"/>
          <w:szCs w:val="24"/>
        </w:rPr>
        <w:t xml:space="preserve">also </w:t>
      </w:r>
      <w:r w:rsidR="00B818BD" w:rsidRPr="0059559C">
        <w:rPr>
          <w:rFonts w:cstheme="minorHAnsi"/>
          <w:sz w:val="24"/>
          <w:szCs w:val="24"/>
        </w:rPr>
        <w:t xml:space="preserve">that </w:t>
      </w:r>
      <w:r w:rsidR="00347E4A" w:rsidRPr="0059559C">
        <w:rPr>
          <w:rFonts w:cstheme="minorHAnsi"/>
          <w:sz w:val="24"/>
          <w:szCs w:val="24"/>
        </w:rPr>
        <w:t>to be in the public interest, an</w:t>
      </w:r>
      <w:r w:rsidR="00B818BD" w:rsidRPr="0059559C">
        <w:rPr>
          <w:rFonts w:cstheme="minorHAnsi"/>
          <w:sz w:val="24"/>
          <w:szCs w:val="24"/>
        </w:rPr>
        <w:t>y</w:t>
      </w:r>
      <w:r w:rsidR="00347E4A" w:rsidRPr="0059559C">
        <w:rPr>
          <w:rFonts w:cstheme="minorHAnsi"/>
          <w:sz w:val="24"/>
          <w:szCs w:val="24"/>
        </w:rPr>
        <w:t xml:space="preserve"> online publication of third part</w:t>
      </w:r>
      <w:r w:rsidR="00B818BD" w:rsidRPr="0059559C">
        <w:rPr>
          <w:rFonts w:cstheme="minorHAnsi"/>
          <w:sz w:val="24"/>
          <w:szCs w:val="24"/>
        </w:rPr>
        <w:t xml:space="preserve">y personal information must be </w:t>
      </w:r>
      <w:r w:rsidR="00347E4A" w:rsidRPr="0059559C">
        <w:rPr>
          <w:rFonts w:cstheme="minorHAnsi"/>
          <w:sz w:val="24"/>
          <w:szCs w:val="24"/>
        </w:rPr>
        <w:t xml:space="preserve">in the best interests of </w:t>
      </w:r>
      <w:r w:rsidR="00347E4A" w:rsidRPr="0059559C">
        <w:rPr>
          <w:rFonts w:cstheme="minorHAnsi"/>
          <w:sz w:val="24"/>
          <w:szCs w:val="24"/>
        </w:rPr>
        <w:lastRenderedPageBreak/>
        <w:t>society as a whole</w:t>
      </w:r>
      <w:r w:rsidRPr="0059559C">
        <w:rPr>
          <w:rFonts w:cstheme="minorHAnsi"/>
          <w:sz w:val="24"/>
          <w:szCs w:val="24"/>
        </w:rPr>
        <w:t>.</w:t>
      </w:r>
      <w:r w:rsidR="00B818BD" w:rsidRPr="0059559C">
        <w:rPr>
          <w:rFonts w:cstheme="minorHAnsi"/>
          <w:sz w:val="24"/>
          <w:szCs w:val="24"/>
        </w:rPr>
        <w:t xml:space="preserve">  </w:t>
      </w:r>
      <w:r w:rsidR="006D0941" w:rsidRPr="0059559C">
        <w:rPr>
          <w:rFonts w:cstheme="minorHAnsi"/>
          <w:sz w:val="24"/>
          <w:szCs w:val="24"/>
        </w:rPr>
        <w:t xml:space="preserve">These comments </w:t>
      </w:r>
      <w:r w:rsidR="00B818BD" w:rsidRPr="0059559C">
        <w:rPr>
          <w:rFonts w:cstheme="minorHAnsi"/>
          <w:sz w:val="24"/>
          <w:szCs w:val="24"/>
        </w:rPr>
        <w:t>might suggest that few, if any, online posts by individuals will be deemed to be in the public interest.  I</w:t>
      </w:r>
      <w:r w:rsidR="00642B85" w:rsidRPr="0059559C">
        <w:rPr>
          <w:rFonts w:cstheme="minorHAnsi"/>
          <w:sz w:val="24"/>
          <w:szCs w:val="24"/>
        </w:rPr>
        <w:t>t is important to</w:t>
      </w:r>
      <w:r w:rsidR="00D75B59" w:rsidRPr="0059559C">
        <w:rPr>
          <w:rFonts w:cstheme="minorHAnsi"/>
          <w:sz w:val="24"/>
          <w:szCs w:val="24"/>
        </w:rPr>
        <w:t xml:space="preserve"> recognise</w:t>
      </w:r>
      <w:r w:rsidR="00B818BD" w:rsidRPr="0059559C">
        <w:rPr>
          <w:rFonts w:cstheme="minorHAnsi"/>
          <w:sz w:val="24"/>
          <w:szCs w:val="24"/>
        </w:rPr>
        <w:t>, however,</w:t>
      </w:r>
      <w:r w:rsidR="00D75B59" w:rsidRPr="0059559C">
        <w:rPr>
          <w:rFonts w:cstheme="minorHAnsi"/>
          <w:sz w:val="24"/>
          <w:szCs w:val="24"/>
        </w:rPr>
        <w:t xml:space="preserve"> that there </w:t>
      </w:r>
      <w:r w:rsidR="0023559D" w:rsidRPr="0059559C">
        <w:rPr>
          <w:rFonts w:cstheme="minorHAnsi"/>
          <w:sz w:val="24"/>
          <w:szCs w:val="24"/>
        </w:rPr>
        <w:t xml:space="preserve">is </w:t>
      </w:r>
      <w:r w:rsidR="00D75B59" w:rsidRPr="0059559C">
        <w:rPr>
          <w:rFonts w:cstheme="minorHAnsi"/>
          <w:sz w:val="24"/>
          <w:szCs w:val="24"/>
        </w:rPr>
        <w:t>a general</w:t>
      </w:r>
      <w:r w:rsidR="00642B85" w:rsidRPr="0059559C">
        <w:rPr>
          <w:rFonts w:cstheme="minorHAnsi"/>
          <w:sz w:val="24"/>
          <w:szCs w:val="24"/>
        </w:rPr>
        <w:t xml:space="preserve"> public interest in freedom of expression</w:t>
      </w:r>
      <w:r w:rsidR="0023559D" w:rsidRPr="0059559C">
        <w:rPr>
          <w:rFonts w:cstheme="minorHAnsi"/>
          <w:sz w:val="24"/>
          <w:szCs w:val="24"/>
        </w:rPr>
        <w:t xml:space="preserve"> itself</w:t>
      </w:r>
      <w:r w:rsidR="00642B85" w:rsidRPr="0059559C">
        <w:rPr>
          <w:rFonts w:cstheme="minorHAnsi"/>
          <w:sz w:val="24"/>
          <w:szCs w:val="24"/>
        </w:rPr>
        <w:t>,</w:t>
      </w:r>
      <w:r w:rsidR="00B818BD" w:rsidRPr="0059559C">
        <w:rPr>
          <w:rFonts w:cstheme="minorHAnsi"/>
          <w:sz w:val="24"/>
          <w:szCs w:val="24"/>
        </w:rPr>
        <w:t xml:space="preserve"> and that the ICO has made clear that it ‘will always consider the importance of freedom of expression’ in its interpretation of the DPA and when it decides whether to exercise its powers (ICO, 2014b, p19)</w:t>
      </w:r>
      <w:r w:rsidR="006D0941" w:rsidRPr="0059559C">
        <w:rPr>
          <w:rFonts w:cstheme="minorHAnsi"/>
          <w:sz w:val="24"/>
          <w:szCs w:val="24"/>
        </w:rPr>
        <w:t xml:space="preserve">.  </w:t>
      </w:r>
      <w:r w:rsidR="00B818BD" w:rsidRPr="0059559C">
        <w:rPr>
          <w:rFonts w:cstheme="minorHAnsi"/>
          <w:sz w:val="24"/>
          <w:szCs w:val="24"/>
        </w:rPr>
        <w:t xml:space="preserve">What this means, therefore, is that, in principle, online postings relating to another individual </w:t>
      </w:r>
      <w:r w:rsidR="00B818BD" w:rsidRPr="0059559C">
        <w:rPr>
          <w:rFonts w:cstheme="minorHAnsi"/>
          <w:i/>
          <w:sz w:val="24"/>
          <w:szCs w:val="24"/>
        </w:rPr>
        <w:t xml:space="preserve">might </w:t>
      </w:r>
      <w:r w:rsidR="00B818BD" w:rsidRPr="0059559C">
        <w:rPr>
          <w:rFonts w:cstheme="minorHAnsi"/>
          <w:sz w:val="24"/>
          <w:szCs w:val="24"/>
        </w:rPr>
        <w:t xml:space="preserve">be deemed to fall within the s32 exemption – although the fact that information has been posted online in the exercise of one’s freedom of expression is decidedly not the end of the matter.   </w:t>
      </w:r>
    </w:p>
    <w:p w14:paraId="63BBD024" w14:textId="77777777" w:rsidR="006D0941" w:rsidRPr="0059559C" w:rsidRDefault="006D0941" w:rsidP="00F84A30">
      <w:pPr>
        <w:spacing w:after="0" w:line="240" w:lineRule="auto"/>
        <w:rPr>
          <w:rFonts w:cstheme="minorHAnsi"/>
          <w:sz w:val="24"/>
          <w:szCs w:val="24"/>
        </w:rPr>
      </w:pPr>
    </w:p>
    <w:p w14:paraId="1A36FC0C" w14:textId="77777777" w:rsidR="00DE7865" w:rsidRPr="0059559C" w:rsidRDefault="00B818BD" w:rsidP="00F84A30">
      <w:pPr>
        <w:spacing w:after="0" w:line="240" w:lineRule="auto"/>
        <w:rPr>
          <w:rFonts w:cstheme="minorHAnsi"/>
          <w:sz w:val="24"/>
          <w:szCs w:val="24"/>
        </w:rPr>
      </w:pPr>
      <w:r w:rsidRPr="0059559C">
        <w:rPr>
          <w:rFonts w:cstheme="minorHAnsi"/>
          <w:sz w:val="24"/>
          <w:szCs w:val="24"/>
        </w:rPr>
        <w:t xml:space="preserve">The ICO has also made clear that consideration must always still be given to the impact that a publication will have on the individual whose information is disseminated.  One should not automatically assume that an individual’s private life is the subject of legitimate public interest (ICO, 2014b, </w:t>
      </w:r>
      <w:proofErr w:type="gramStart"/>
      <w:r w:rsidRPr="0059559C">
        <w:rPr>
          <w:rFonts w:cstheme="minorHAnsi"/>
          <w:sz w:val="24"/>
          <w:szCs w:val="24"/>
        </w:rPr>
        <w:t>p34</w:t>
      </w:r>
      <w:proofErr w:type="gramEnd"/>
      <w:r w:rsidRPr="0059559C">
        <w:rPr>
          <w:rFonts w:cstheme="minorHAnsi"/>
          <w:sz w:val="24"/>
          <w:szCs w:val="24"/>
        </w:rPr>
        <w:t xml:space="preserve">) and indeed the ICO makes clear that </w:t>
      </w:r>
    </w:p>
    <w:p w14:paraId="4C2EAC9D" w14:textId="77777777" w:rsidR="00DE7865" w:rsidRPr="0059559C" w:rsidRDefault="00DE7865" w:rsidP="00F84A30">
      <w:pPr>
        <w:spacing w:after="0" w:line="240" w:lineRule="auto"/>
        <w:rPr>
          <w:rFonts w:cstheme="minorHAnsi"/>
          <w:sz w:val="24"/>
          <w:szCs w:val="24"/>
        </w:rPr>
      </w:pPr>
    </w:p>
    <w:p w14:paraId="35A0E86A" w14:textId="77777777" w:rsidR="00DE7865" w:rsidRDefault="00B818BD" w:rsidP="00DE7865">
      <w:pPr>
        <w:spacing w:after="0" w:line="240" w:lineRule="auto"/>
        <w:ind w:left="720"/>
        <w:rPr>
          <w:rFonts w:cstheme="minorHAnsi"/>
          <w:sz w:val="24"/>
          <w:szCs w:val="24"/>
        </w:rPr>
      </w:pPr>
      <w:proofErr w:type="spellStart"/>
      <w:r w:rsidRPr="0059559C">
        <w:rPr>
          <w:rFonts w:cstheme="minorHAnsi"/>
          <w:sz w:val="24"/>
          <w:szCs w:val="24"/>
        </w:rPr>
        <w:t>‘</w:t>
      </w:r>
      <w:proofErr w:type="gramStart"/>
      <w:r w:rsidRPr="0059559C">
        <w:rPr>
          <w:rFonts w:cstheme="minorHAnsi"/>
          <w:sz w:val="24"/>
          <w:szCs w:val="24"/>
        </w:rPr>
        <w:t>it</w:t>
      </w:r>
      <w:proofErr w:type="spellEnd"/>
      <w:proofErr w:type="gramEnd"/>
      <w:r w:rsidRPr="0059559C">
        <w:rPr>
          <w:rFonts w:cstheme="minorHAnsi"/>
          <w:sz w:val="24"/>
          <w:szCs w:val="24"/>
        </w:rPr>
        <w:t xml:space="preserve"> cannot be in the public interest to disproportionately or unthinkingly interfere with an individual’s fundamental privacy and data protection rights. If … the details … published are particularly intrusive or damaging to an individual a stronger and more case-specific public interest argument  will be required to justify [disclosure] over and above the general public interest in freedom of expression.’  </w:t>
      </w:r>
    </w:p>
    <w:p w14:paraId="395E3E2E" w14:textId="77777777" w:rsidR="00D87A88" w:rsidRPr="0059559C" w:rsidRDefault="00D87A88" w:rsidP="00DE7865">
      <w:pPr>
        <w:spacing w:after="0" w:line="240" w:lineRule="auto"/>
        <w:ind w:left="720"/>
        <w:rPr>
          <w:rFonts w:cstheme="minorHAnsi"/>
          <w:sz w:val="24"/>
          <w:szCs w:val="24"/>
        </w:rPr>
      </w:pPr>
    </w:p>
    <w:p w14:paraId="372CD357" w14:textId="7900FB21" w:rsidR="00F84A30" w:rsidRPr="0059559C" w:rsidRDefault="006D0941" w:rsidP="00DE7865">
      <w:pPr>
        <w:spacing w:after="0" w:line="240" w:lineRule="auto"/>
        <w:rPr>
          <w:rFonts w:cstheme="minorHAnsi"/>
          <w:sz w:val="24"/>
          <w:szCs w:val="24"/>
        </w:rPr>
      </w:pPr>
      <w:r w:rsidRPr="0059559C">
        <w:rPr>
          <w:rFonts w:cstheme="minorHAnsi"/>
          <w:sz w:val="24"/>
          <w:szCs w:val="24"/>
        </w:rPr>
        <w:t xml:space="preserve">It is where a publication is of an intrusive nature that an individual may struggle to demonstrate that their publication is in the public interest.  </w:t>
      </w:r>
      <w:r w:rsidR="00B818BD" w:rsidRPr="0059559C">
        <w:rPr>
          <w:rFonts w:cstheme="minorHAnsi"/>
          <w:sz w:val="24"/>
          <w:szCs w:val="24"/>
        </w:rPr>
        <w:t xml:space="preserve">The type of </w:t>
      </w:r>
      <w:r w:rsidR="0023559D" w:rsidRPr="0059559C">
        <w:rPr>
          <w:rFonts w:cstheme="minorHAnsi"/>
          <w:sz w:val="24"/>
          <w:szCs w:val="24"/>
        </w:rPr>
        <w:t>case-specific justification for/</w:t>
      </w:r>
      <w:r w:rsidRPr="0059559C">
        <w:rPr>
          <w:rFonts w:cstheme="minorHAnsi"/>
          <w:sz w:val="24"/>
          <w:szCs w:val="24"/>
        </w:rPr>
        <w:t xml:space="preserve">public interest in publication that the ICO envisages here, includes </w:t>
      </w:r>
      <w:r w:rsidR="00F84A30" w:rsidRPr="0059559C">
        <w:rPr>
          <w:rFonts w:cstheme="minorHAnsi"/>
          <w:sz w:val="24"/>
          <w:szCs w:val="24"/>
        </w:rPr>
        <w:t xml:space="preserve">for example, </w:t>
      </w:r>
      <w:r w:rsidRPr="0059559C">
        <w:rPr>
          <w:rFonts w:cstheme="minorHAnsi"/>
          <w:sz w:val="24"/>
          <w:szCs w:val="24"/>
        </w:rPr>
        <w:t xml:space="preserve">a </w:t>
      </w:r>
      <w:r w:rsidR="00F84A30" w:rsidRPr="0059559C">
        <w:rPr>
          <w:rFonts w:cstheme="minorHAnsi"/>
          <w:sz w:val="24"/>
          <w:szCs w:val="24"/>
        </w:rPr>
        <w:t>publication that exposes crime or anti-social behaviour, a publication which will prevent people from being misled by a statement made by an individual or organisation, or a publication which serves to disseminate information that will help people understand matters of pub</w:t>
      </w:r>
      <w:r w:rsidR="006259B8" w:rsidRPr="0059559C">
        <w:rPr>
          <w:rFonts w:cstheme="minorHAnsi"/>
          <w:sz w:val="24"/>
          <w:szCs w:val="24"/>
        </w:rPr>
        <w:t>lic importance (ICO, 2014b</w:t>
      </w:r>
      <w:r w:rsidR="0023559D" w:rsidRPr="0059559C">
        <w:rPr>
          <w:rFonts w:cstheme="minorHAnsi"/>
          <w:sz w:val="24"/>
          <w:szCs w:val="24"/>
        </w:rPr>
        <w:t>)</w:t>
      </w:r>
      <w:r w:rsidR="00F84A30" w:rsidRPr="0059559C">
        <w:rPr>
          <w:rFonts w:cstheme="minorHAnsi"/>
          <w:sz w:val="24"/>
          <w:szCs w:val="24"/>
        </w:rPr>
        <w:t>.</w:t>
      </w:r>
      <w:r w:rsidR="0023559D" w:rsidRPr="0059559C">
        <w:rPr>
          <w:rFonts w:cstheme="minorHAnsi"/>
          <w:sz w:val="24"/>
          <w:szCs w:val="24"/>
        </w:rPr>
        <w:t xml:space="preserve"> </w:t>
      </w:r>
    </w:p>
    <w:p w14:paraId="4DB4776A" w14:textId="77777777" w:rsidR="00D75B59" w:rsidRPr="0059559C" w:rsidRDefault="00D75B59" w:rsidP="00347E4A">
      <w:pPr>
        <w:spacing w:after="0" w:line="240" w:lineRule="auto"/>
        <w:rPr>
          <w:rFonts w:cstheme="minorHAnsi"/>
          <w:sz w:val="24"/>
          <w:szCs w:val="24"/>
        </w:rPr>
      </w:pPr>
    </w:p>
    <w:p w14:paraId="1F55E9F0" w14:textId="77777777" w:rsidR="00250588" w:rsidRPr="0059559C" w:rsidRDefault="005F37DB" w:rsidP="00724D5D">
      <w:pPr>
        <w:spacing w:after="0" w:line="240" w:lineRule="auto"/>
        <w:rPr>
          <w:rFonts w:cstheme="minorHAnsi"/>
          <w:sz w:val="24"/>
          <w:szCs w:val="24"/>
        </w:rPr>
      </w:pPr>
      <w:r w:rsidRPr="0059559C">
        <w:rPr>
          <w:rFonts w:eastAsia="Times New Roman" w:cstheme="minorHAnsi"/>
          <w:sz w:val="24"/>
          <w:szCs w:val="24"/>
          <w:lang w:eastAsia="en-GB"/>
        </w:rPr>
        <w:t xml:space="preserve">What can, as a minimum, be concluded from the guidance, </w:t>
      </w:r>
      <w:r w:rsidR="0023559D" w:rsidRPr="0059559C">
        <w:rPr>
          <w:rFonts w:eastAsia="Times New Roman" w:cstheme="minorHAnsi"/>
          <w:sz w:val="24"/>
          <w:szCs w:val="24"/>
          <w:lang w:eastAsia="en-GB"/>
        </w:rPr>
        <w:t>therefore</w:t>
      </w:r>
      <w:r w:rsidRPr="0059559C">
        <w:rPr>
          <w:rFonts w:eastAsia="Times New Roman" w:cstheme="minorHAnsi"/>
          <w:sz w:val="24"/>
          <w:szCs w:val="24"/>
          <w:lang w:eastAsia="en-GB"/>
        </w:rPr>
        <w:t xml:space="preserve">, is the </w:t>
      </w:r>
      <w:r w:rsidR="00F74053" w:rsidRPr="0059559C">
        <w:rPr>
          <w:rFonts w:eastAsia="Times New Roman" w:cstheme="minorHAnsi"/>
          <w:sz w:val="24"/>
          <w:szCs w:val="24"/>
          <w:lang w:eastAsia="en-GB"/>
        </w:rPr>
        <w:t xml:space="preserve">fact that an amateur blogger </w:t>
      </w:r>
      <w:r w:rsidR="006A6FD9" w:rsidRPr="0059559C">
        <w:rPr>
          <w:rFonts w:eastAsia="Times New Roman" w:cstheme="minorHAnsi"/>
          <w:sz w:val="24"/>
          <w:szCs w:val="24"/>
          <w:lang w:eastAsia="en-GB"/>
        </w:rPr>
        <w:t xml:space="preserve">is acting in the exercise of their right to freedom of expression, or that they </w:t>
      </w:r>
      <w:r w:rsidR="00F74053" w:rsidRPr="0059559C">
        <w:rPr>
          <w:rFonts w:eastAsia="Times New Roman" w:cstheme="minorHAnsi"/>
          <w:sz w:val="24"/>
          <w:szCs w:val="24"/>
          <w:lang w:eastAsia="en-GB"/>
        </w:rPr>
        <w:t>claim their purpose to be journalism (or art or literature)</w:t>
      </w:r>
      <w:r w:rsidR="006A6FD9" w:rsidRPr="0059559C">
        <w:rPr>
          <w:rFonts w:eastAsia="Times New Roman" w:cstheme="minorHAnsi"/>
          <w:sz w:val="24"/>
          <w:szCs w:val="24"/>
          <w:lang w:eastAsia="en-GB"/>
        </w:rPr>
        <w:t>,</w:t>
      </w:r>
      <w:r w:rsidR="00F74053" w:rsidRPr="0059559C">
        <w:rPr>
          <w:rFonts w:eastAsia="Times New Roman" w:cstheme="minorHAnsi"/>
          <w:sz w:val="24"/>
          <w:szCs w:val="24"/>
          <w:lang w:eastAsia="en-GB"/>
        </w:rPr>
        <w:t xml:space="preserve"> will</w:t>
      </w:r>
      <w:r w:rsidRPr="0059559C">
        <w:rPr>
          <w:rFonts w:eastAsia="Times New Roman" w:cstheme="minorHAnsi"/>
          <w:sz w:val="24"/>
          <w:szCs w:val="24"/>
          <w:lang w:eastAsia="en-GB"/>
        </w:rPr>
        <w:t xml:space="preserve"> not always</w:t>
      </w:r>
      <w:r w:rsidR="00F74053" w:rsidRPr="0059559C">
        <w:rPr>
          <w:rFonts w:eastAsia="Times New Roman" w:cstheme="minorHAnsi"/>
          <w:sz w:val="24"/>
          <w:szCs w:val="24"/>
          <w:lang w:eastAsia="en-GB"/>
        </w:rPr>
        <w:t xml:space="preserve"> be sufficient </w:t>
      </w:r>
      <w:r w:rsidRPr="0059559C">
        <w:rPr>
          <w:rFonts w:eastAsia="Times New Roman" w:cstheme="minorHAnsi"/>
          <w:sz w:val="24"/>
          <w:szCs w:val="24"/>
          <w:lang w:eastAsia="en-GB"/>
        </w:rPr>
        <w:t>justification for interference with another person’s privacy</w:t>
      </w:r>
      <w:r w:rsidR="008251D6" w:rsidRPr="0059559C">
        <w:rPr>
          <w:rFonts w:eastAsia="Times New Roman" w:cstheme="minorHAnsi"/>
          <w:sz w:val="24"/>
          <w:szCs w:val="24"/>
          <w:lang w:eastAsia="en-GB"/>
        </w:rPr>
        <w:t xml:space="preserve">.  Certainly, whilst online dissemination via a blog might satisfy the general public interest in freedom of expression, the topics covered in </w:t>
      </w:r>
      <w:r w:rsidR="008251D6" w:rsidRPr="0059559C">
        <w:rPr>
          <w:rFonts w:cstheme="minorHAnsi"/>
          <w:sz w:val="24"/>
          <w:szCs w:val="24"/>
        </w:rPr>
        <w:t xml:space="preserve">personal blogs, websites and on </w:t>
      </w:r>
      <w:r w:rsidR="006A4629" w:rsidRPr="0059559C">
        <w:rPr>
          <w:rFonts w:cstheme="minorHAnsi"/>
          <w:sz w:val="24"/>
          <w:szCs w:val="24"/>
        </w:rPr>
        <w:t>social media posts</w:t>
      </w:r>
      <w:r w:rsidR="008251D6" w:rsidRPr="0059559C">
        <w:rPr>
          <w:rFonts w:cstheme="minorHAnsi"/>
          <w:sz w:val="24"/>
          <w:szCs w:val="24"/>
        </w:rPr>
        <w:t xml:space="preserve"> are rarely of the type to satisfy more specific public interests</w:t>
      </w:r>
      <w:r w:rsidR="006A4629" w:rsidRPr="0059559C">
        <w:rPr>
          <w:rFonts w:cstheme="minorHAnsi"/>
          <w:sz w:val="24"/>
          <w:szCs w:val="24"/>
        </w:rPr>
        <w:t>.</w:t>
      </w:r>
      <w:r w:rsidR="008251D6" w:rsidRPr="0059559C">
        <w:rPr>
          <w:rFonts w:cstheme="minorHAnsi"/>
          <w:sz w:val="24"/>
          <w:szCs w:val="24"/>
        </w:rPr>
        <w:t xml:space="preserve">  </w:t>
      </w:r>
      <w:r w:rsidR="00F74053" w:rsidRPr="0059559C">
        <w:rPr>
          <w:rFonts w:eastAsia="Times New Roman" w:cstheme="minorHAnsi"/>
          <w:sz w:val="24"/>
          <w:szCs w:val="24"/>
          <w:lang w:eastAsia="en-GB"/>
        </w:rPr>
        <w:t xml:space="preserve">  </w:t>
      </w:r>
      <w:r w:rsidRPr="0059559C">
        <w:rPr>
          <w:rFonts w:eastAsia="Times New Roman" w:cstheme="minorHAnsi"/>
          <w:sz w:val="24"/>
          <w:szCs w:val="24"/>
          <w:lang w:eastAsia="en-GB"/>
        </w:rPr>
        <w:t xml:space="preserve">  </w:t>
      </w:r>
      <w:r w:rsidR="006A6FD9" w:rsidRPr="0059559C">
        <w:rPr>
          <w:rFonts w:eastAsia="Times New Roman" w:cstheme="minorHAnsi"/>
          <w:sz w:val="24"/>
          <w:szCs w:val="24"/>
          <w:lang w:eastAsia="en-GB"/>
        </w:rPr>
        <w:t>For this reason, i</w:t>
      </w:r>
      <w:r w:rsidR="00F74053" w:rsidRPr="0059559C">
        <w:rPr>
          <w:rFonts w:eastAsia="Times New Roman" w:cstheme="minorHAnsi"/>
          <w:sz w:val="24"/>
          <w:szCs w:val="24"/>
          <w:lang w:eastAsia="en-GB"/>
        </w:rPr>
        <w:t xml:space="preserve">t is </w:t>
      </w:r>
      <w:r w:rsidRPr="0059559C">
        <w:rPr>
          <w:rFonts w:eastAsia="Times New Roman" w:cstheme="minorHAnsi"/>
          <w:sz w:val="24"/>
          <w:szCs w:val="24"/>
          <w:lang w:eastAsia="en-GB"/>
        </w:rPr>
        <w:t>perhaps safest for individuals to assume</w:t>
      </w:r>
      <w:r w:rsidR="00F74053" w:rsidRPr="0059559C">
        <w:rPr>
          <w:rFonts w:eastAsia="Times New Roman" w:cstheme="minorHAnsi"/>
          <w:sz w:val="24"/>
          <w:szCs w:val="24"/>
          <w:lang w:eastAsia="en-GB"/>
        </w:rPr>
        <w:t xml:space="preserve"> that </w:t>
      </w:r>
      <w:r w:rsidRPr="0059559C">
        <w:rPr>
          <w:rFonts w:eastAsia="Times New Roman" w:cstheme="minorHAnsi"/>
          <w:sz w:val="24"/>
          <w:szCs w:val="24"/>
          <w:lang w:eastAsia="en-GB"/>
        </w:rPr>
        <w:t xml:space="preserve">their </w:t>
      </w:r>
      <w:r w:rsidR="00F74053" w:rsidRPr="0059559C">
        <w:rPr>
          <w:rFonts w:eastAsia="Times New Roman" w:cstheme="minorHAnsi"/>
          <w:sz w:val="24"/>
          <w:szCs w:val="24"/>
          <w:lang w:eastAsia="en-GB"/>
        </w:rPr>
        <w:t xml:space="preserve">blogs and online comments </w:t>
      </w:r>
      <w:r w:rsidRPr="0059559C">
        <w:rPr>
          <w:rFonts w:eastAsia="Times New Roman" w:cstheme="minorHAnsi"/>
          <w:sz w:val="24"/>
          <w:szCs w:val="24"/>
          <w:lang w:eastAsia="en-GB"/>
        </w:rPr>
        <w:t xml:space="preserve">may </w:t>
      </w:r>
      <w:r w:rsidR="00F74053" w:rsidRPr="0059559C">
        <w:rPr>
          <w:rFonts w:eastAsia="Times New Roman" w:cstheme="minorHAnsi"/>
          <w:sz w:val="24"/>
          <w:szCs w:val="24"/>
          <w:lang w:eastAsia="en-GB"/>
        </w:rPr>
        <w:t>not be considered</w:t>
      </w:r>
      <w:r w:rsidR="006A6FD9" w:rsidRPr="0059559C">
        <w:rPr>
          <w:rFonts w:eastAsia="Times New Roman" w:cstheme="minorHAnsi"/>
          <w:sz w:val="24"/>
          <w:szCs w:val="24"/>
          <w:lang w:eastAsia="en-GB"/>
        </w:rPr>
        <w:t xml:space="preserve"> to fall within the ‘special purposes’</w:t>
      </w:r>
      <w:r w:rsidR="00F74053" w:rsidRPr="0059559C">
        <w:rPr>
          <w:rFonts w:eastAsia="Times New Roman" w:cstheme="minorHAnsi"/>
          <w:sz w:val="24"/>
          <w:szCs w:val="24"/>
          <w:lang w:eastAsia="en-GB"/>
        </w:rPr>
        <w:t xml:space="preserve">.  </w:t>
      </w:r>
      <w:r w:rsidRPr="0059559C">
        <w:rPr>
          <w:rFonts w:eastAsia="Times New Roman" w:cstheme="minorHAnsi"/>
          <w:sz w:val="24"/>
          <w:szCs w:val="24"/>
          <w:lang w:eastAsia="en-GB"/>
        </w:rPr>
        <w:t>Th</w:t>
      </w:r>
      <w:r w:rsidR="008251D6" w:rsidRPr="0059559C">
        <w:rPr>
          <w:rFonts w:eastAsia="Times New Roman" w:cstheme="minorHAnsi"/>
          <w:sz w:val="24"/>
          <w:szCs w:val="24"/>
          <w:lang w:eastAsia="en-GB"/>
        </w:rPr>
        <w:t xml:space="preserve">is certainly seems to be the implication in the ICO’s media guidance (referred to above).  </w:t>
      </w:r>
      <w:r w:rsidRPr="0059559C">
        <w:rPr>
          <w:rFonts w:cstheme="minorHAnsi"/>
          <w:sz w:val="24"/>
          <w:szCs w:val="24"/>
        </w:rPr>
        <w:t>Given that there appear to be few situations when the ICO would not allow an individual posting information online to rely upon the s36 exemption there is probably little need for an individual to seek recourse to s32 in any event.</w:t>
      </w:r>
    </w:p>
    <w:p w14:paraId="3DFC5A27" w14:textId="77777777" w:rsidR="005F37DB" w:rsidRPr="0059559C" w:rsidRDefault="005F37DB" w:rsidP="00724D5D">
      <w:pPr>
        <w:spacing w:after="0" w:line="240" w:lineRule="auto"/>
        <w:rPr>
          <w:rFonts w:cstheme="minorHAnsi"/>
          <w:sz w:val="24"/>
          <w:szCs w:val="24"/>
        </w:rPr>
      </w:pPr>
    </w:p>
    <w:p w14:paraId="151B6C54" w14:textId="77777777" w:rsidR="005F37DB" w:rsidRPr="0059559C" w:rsidRDefault="005F37DB" w:rsidP="00724D5D">
      <w:pPr>
        <w:pStyle w:val="ListParagraph"/>
        <w:numPr>
          <w:ilvl w:val="0"/>
          <w:numId w:val="6"/>
        </w:numPr>
        <w:rPr>
          <w:rFonts w:asciiTheme="minorHAnsi" w:hAnsiTheme="minorHAnsi" w:cstheme="minorHAnsi"/>
          <w:b/>
          <w:sz w:val="24"/>
          <w:szCs w:val="24"/>
        </w:rPr>
      </w:pPr>
      <w:r w:rsidRPr="0059559C">
        <w:rPr>
          <w:rFonts w:asciiTheme="minorHAnsi" w:hAnsiTheme="minorHAnsi" w:cstheme="minorHAnsi"/>
          <w:b/>
          <w:sz w:val="24"/>
          <w:szCs w:val="24"/>
        </w:rPr>
        <w:t xml:space="preserve">The parent photographer revisited </w:t>
      </w:r>
    </w:p>
    <w:p w14:paraId="5817840B" w14:textId="77777777" w:rsidR="005F37DB" w:rsidRPr="0059559C" w:rsidRDefault="005F37DB" w:rsidP="00724D5D">
      <w:pPr>
        <w:spacing w:after="0" w:line="240" w:lineRule="auto"/>
        <w:rPr>
          <w:rFonts w:cstheme="minorHAnsi"/>
          <w:b/>
          <w:sz w:val="24"/>
          <w:szCs w:val="24"/>
        </w:rPr>
      </w:pPr>
    </w:p>
    <w:p w14:paraId="1931764F" w14:textId="77777777" w:rsidR="00BF4EBB" w:rsidRPr="0059559C" w:rsidRDefault="005F37DB" w:rsidP="00724D5D">
      <w:pPr>
        <w:spacing w:after="0" w:line="240" w:lineRule="auto"/>
        <w:rPr>
          <w:rFonts w:cstheme="minorHAnsi"/>
          <w:sz w:val="24"/>
          <w:szCs w:val="24"/>
        </w:rPr>
      </w:pPr>
      <w:r w:rsidRPr="0059559C">
        <w:rPr>
          <w:rFonts w:cstheme="minorHAnsi"/>
          <w:sz w:val="24"/>
          <w:szCs w:val="24"/>
        </w:rPr>
        <w:t>This article began with an illustration of a specific situation in which a parent takes a photogr</w:t>
      </w:r>
      <w:r w:rsidR="00E20726" w:rsidRPr="0059559C">
        <w:rPr>
          <w:rFonts w:cstheme="minorHAnsi"/>
          <w:sz w:val="24"/>
          <w:szCs w:val="24"/>
        </w:rPr>
        <w:t>aph at a school event, captures</w:t>
      </w:r>
      <w:r w:rsidRPr="0059559C">
        <w:rPr>
          <w:rFonts w:cstheme="minorHAnsi"/>
          <w:sz w:val="24"/>
          <w:szCs w:val="24"/>
        </w:rPr>
        <w:t xml:space="preserve"> images of her own and other people’s children and subsequently shares that photograph online.  It has </w:t>
      </w:r>
      <w:r w:rsidR="00536ECF" w:rsidRPr="0059559C">
        <w:rPr>
          <w:rFonts w:cstheme="minorHAnsi"/>
          <w:sz w:val="24"/>
          <w:szCs w:val="24"/>
        </w:rPr>
        <w:t xml:space="preserve">now </w:t>
      </w:r>
      <w:r w:rsidRPr="0059559C">
        <w:rPr>
          <w:rFonts w:cstheme="minorHAnsi"/>
          <w:sz w:val="24"/>
          <w:szCs w:val="24"/>
        </w:rPr>
        <w:t xml:space="preserve">been established that </w:t>
      </w:r>
      <w:r w:rsidR="00E63622" w:rsidRPr="0059559C">
        <w:rPr>
          <w:rFonts w:cstheme="minorHAnsi"/>
          <w:sz w:val="24"/>
          <w:szCs w:val="24"/>
        </w:rPr>
        <w:t>if such</w:t>
      </w:r>
      <w:r w:rsidR="002C214C" w:rsidRPr="0059559C">
        <w:rPr>
          <w:rFonts w:cstheme="minorHAnsi"/>
          <w:sz w:val="24"/>
          <w:szCs w:val="24"/>
        </w:rPr>
        <w:t xml:space="preserve"> </w:t>
      </w:r>
      <w:r w:rsidR="002C214C" w:rsidRPr="0059559C">
        <w:rPr>
          <w:rFonts w:cstheme="minorHAnsi"/>
          <w:sz w:val="24"/>
          <w:szCs w:val="24"/>
        </w:rPr>
        <w:lastRenderedPageBreak/>
        <w:t xml:space="preserve">photographs </w:t>
      </w:r>
      <w:r w:rsidR="001324EE" w:rsidRPr="0059559C">
        <w:rPr>
          <w:rFonts w:cstheme="minorHAnsi"/>
          <w:sz w:val="24"/>
          <w:szCs w:val="24"/>
        </w:rPr>
        <w:t xml:space="preserve">identify the children </w:t>
      </w:r>
      <w:r w:rsidRPr="0059559C">
        <w:rPr>
          <w:rFonts w:cstheme="minorHAnsi"/>
          <w:sz w:val="24"/>
          <w:szCs w:val="24"/>
        </w:rPr>
        <w:t>the</w:t>
      </w:r>
      <w:r w:rsidR="001324EE" w:rsidRPr="0059559C">
        <w:rPr>
          <w:rFonts w:cstheme="minorHAnsi"/>
          <w:sz w:val="24"/>
          <w:szCs w:val="24"/>
        </w:rPr>
        <w:t xml:space="preserve">n, unless the parent photographer can rely upon </w:t>
      </w:r>
      <w:r w:rsidRPr="0059559C">
        <w:rPr>
          <w:rFonts w:cstheme="minorHAnsi"/>
          <w:sz w:val="24"/>
          <w:szCs w:val="24"/>
        </w:rPr>
        <w:t>o</w:t>
      </w:r>
      <w:r w:rsidR="00E20726" w:rsidRPr="0059559C">
        <w:rPr>
          <w:rFonts w:cstheme="minorHAnsi"/>
          <w:sz w:val="24"/>
          <w:szCs w:val="24"/>
        </w:rPr>
        <w:t>ne of the exceptions to the DPA</w:t>
      </w:r>
      <w:r w:rsidRPr="0059559C">
        <w:rPr>
          <w:rFonts w:cstheme="minorHAnsi"/>
          <w:sz w:val="24"/>
          <w:szCs w:val="24"/>
        </w:rPr>
        <w:t xml:space="preserve"> the parent will be treated as a data controller, and must therefore comply with the obligations detailed within that Act. The </w:t>
      </w:r>
      <w:r w:rsidR="001324EE" w:rsidRPr="0059559C">
        <w:rPr>
          <w:rFonts w:cstheme="minorHAnsi"/>
          <w:sz w:val="24"/>
          <w:szCs w:val="24"/>
        </w:rPr>
        <w:t xml:space="preserve">primary </w:t>
      </w:r>
      <w:r w:rsidRPr="0059559C">
        <w:rPr>
          <w:rFonts w:cstheme="minorHAnsi"/>
          <w:sz w:val="24"/>
          <w:szCs w:val="24"/>
        </w:rPr>
        <w:t xml:space="preserve">difficulty, as this article has illustrated, is in establishing </w:t>
      </w:r>
      <w:r w:rsidR="00536ECF" w:rsidRPr="0059559C">
        <w:rPr>
          <w:rFonts w:cstheme="minorHAnsi"/>
          <w:sz w:val="24"/>
          <w:szCs w:val="24"/>
        </w:rPr>
        <w:t xml:space="preserve">whether any exceptions to the DPA </w:t>
      </w:r>
      <w:r w:rsidRPr="0059559C">
        <w:rPr>
          <w:rFonts w:cstheme="minorHAnsi"/>
          <w:sz w:val="24"/>
          <w:szCs w:val="24"/>
        </w:rPr>
        <w:t>apply</w:t>
      </w:r>
      <w:r w:rsidR="003667DA" w:rsidRPr="0059559C">
        <w:rPr>
          <w:rFonts w:cstheme="minorHAnsi"/>
          <w:sz w:val="24"/>
          <w:szCs w:val="24"/>
        </w:rPr>
        <w:t xml:space="preserve"> in this specific situation</w:t>
      </w:r>
      <w:r w:rsidRPr="0059559C">
        <w:rPr>
          <w:rFonts w:cstheme="minorHAnsi"/>
          <w:sz w:val="24"/>
          <w:szCs w:val="24"/>
        </w:rPr>
        <w:t>.</w:t>
      </w:r>
      <w:r w:rsidR="00BF4EBB" w:rsidRPr="0059559C">
        <w:rPr>
          <w:rFonts w:cstheme="minorHAnsi"/>
          <w:sz w:val="24"/>
          <w:szCs w:val="24"/>
        </w:rPr>
        <w:t xml:space="preserve">  </w:t>
      </w:r>
    </w:p>
    <w:p w14:paraId="19948626" w14:textId="77777777" w:rsidR="00BF4EBB" w:rsidRPr="0059559C" w:rsidRDefault="00BF4EBB" w:rsidP="00724D5D">
      <w:pPr>
        <w:spacing w:after="0" w:line="240" w:lineRule="auto"/>
        <w:rPr>
          <w:rFonts w:cstheme="minorHAnsi"/>
          <w:sz w:val="24"/>
          <w:szCs w:val="24"/>
        </w:rPr>
      </w:pPr>
    </w:p>
    <w:p w14:paraId="71EB2449" w14:textId="77777777" w:rsidR="00E63622" w:rsidRPr="0059559C" w:rsidRDefault="00BF4EBB" w:rsidP="00BF4EBB">
      <w:pPr>
        <w:spacing w:after="0" w:line="240" w:lineRule="auto"/>
        <w:rPr>
          <w:sz w:val="24"/>
          <w:szCs w:val="24"/>
        </w:rPr>
      </w:pPr>
      <w:r w:rsidRPr="0059559C">
        <w:rPr>
          <w:sz w:val="24"/>
          <w:szCs w:val="24"/>
        </w:rPr>
        <w:t xml:space="preserve">Various articles published in the press </w:t>
      </w:r>
      <w:r w:rsidR="00E63622" w:rsidRPr="0059559C">
        <w:rPr>
          <w:sz w:val="24"/>
          <w:szCs w:val="24"/>
        </w:rPr>
        <w:t>between 2009</w:t>
      </w:r>
      <w:r w:rsidRPr="0059559C">
        <w:rPr>
          <w:sz w:val="24"/>
          <w:szCs w:val="24"/>
        </w:rPr>
        <w:t xml:space="preserve"> and 2012 </w:t>
      </w:r>
      <w:r w:rsidR="00E63622" w:rsidRPr="0059559C">
        <w:rPr>
          <w:sz w:val="24"/>
          <w:szCs w:val="24"/>
        </w:rPr>
        <w:t>(Appleton (2012)</w:t>
      </w:r>
      <w:r w:rsidR="006259B8" w:rsidRPr="0059559C">
        <w:rPr>
          <w:sz w:val="24"/>
          <w:szCs w:val="24"/>
        </w:rPr>
        <w:t>;</w:t>
      </w:r>
      <w:r w:rsidR="00E63622" w:rsidRPr="0059559C">
        <w:rPr>
          <w:sz w:val="24"/>
          <w:szCs w:val="24"/>
        </w:rPr>
        <w:t xml:space="preserve"> Clark (2009); </w:t>
      </w:r>
      <w:proofErr w:type="spellStart"/>
      <w:r w:rsidR="00E63622" w:rsidRPr="0059559C">
        <w:rPr>
          <w:sz w:val="24"/>
          <w:szCs w:val="24"/>
        </w:rPr>
        <w:t>Shoesmith</w:t>
      </w:r>
      <w:proofErr w:type="spellEnd"/>
      <w:r w:rsidR="00E63622" w:rsidRPr="0059559C">
        <w:rPr>
          <w:sz w:val="24"/>
          <w:szCs w:val="24"/>
        </w:rPr>
        <w:t xml:space="preserve"> (2010)) certainly suggest that schools a</w:t>
      </w:r>
      <w:r w:rsidRPr="0059559C">
        <w:rPr>
          <w:sz w:val="24"/>
          <w:szCs w:val="24"/>
        </w:rPr>
        <w:t>re struggling to understa</w:t>
      </w:r>
      <w:r w:rsidR="00E63622" w:rsidRPr="0059559C">
        <w:rPr>
          <w:sz w:val="24"/>
          <w:szCs w:val="24"/>
        </w:rPr>
        <w:t>nd how the law applies to parent photographers</w:t>
      </w:r>
      <w:r w:rsidRPr="0059559C">
        <w:rPr>
          <w:sz w:val="24"/>
          <w:szCs w:val="24"/>
        </w:rPr>
        <w:t xml:space="preserve">.  These </w:t>
      </w:r>
      <w:r w:rsidR="00E63622" w:rsidRPr="0059559C">
        <w:rPr>
          <w:sz w:val="24"/>
          <w:szCs w:val="24"/>
        </w:rPr>
        <w:t xml:space="preserve">articles indicate that many </w:t>
      </w:r>
      <w:r w:rsidR="00E20726" w:rsidRPr="0059559C">
        <w:rPr>
          <w:sz w:val="24"/>
          <w:szCs w:val="24"/>
        </w:rPr>
        <w:t>schools have either</w:t>
      </w:r>
      <w:r w:rsidR="00E63622" w:rsidRPr="0059559C">
        <w:rPr>
          <w:sz w:val="24"/>
          <w:szCs w:val="24"/>
        </w:rPr>
        <w:t xml:space="preserve"> impos</w:t>
      </w:r>
      <w:r w:rsidR="00E20726" w:rsidRPr="0059559C">
        <w:rPr>
          <w:sz w:val="24"/>
          <w:szCs w:val="24"/>
        </w:rPr>
        <w:t>ed</w:t>
      </w:r>
      <w:r w:rsidR="00E63622" w:rsidRPr="0059559C">
        <w:rPr>
          <w:sz w:val="24"/>
          <w:szCs w:val="24"/>
        </w:rPr>
        <w:t xml:space="preserve"> stringent restrictions on </w:t>
      </w:r>
      <w:r w:rsidRPr="0059559C">
        <w:rPr>
          <w:sz w:val="24"/>
          <w:szCs w:val="24"/>
        </w:rPr>
        <w:t>parental photography</w:t>
      </w:r>
      <w:r w:rsidR="00E20726" w:rsidRPr="0059559C">
        <w:rPr>
          <w:sz w:val="24"/>
          <w:szCs w:val="24"/>
        </w:rPr>
        <w:t xml:space="preserve"> or banned</w:t>
      </w:r>
      <w:r w:rsidR="00E63622" w:rsidRPr="0059559C">
        <w:rPr>
          <w:sz w:val="24"/>
          <w:szCs w:val="24"/>
        </w:rPr>
        <w:t xml:space="preserve"> it entirely </w:t>
      </w:r>
      <w:r w:rsidR="00E20726" w:rsidRPr="0059559C">
        <w:rPr>
          <w:sz w:val="24"/>
          <w:szCs w:val="24"/>
        </w:rPr>
        <w:t>because they believe</w:t>
      </w:r>
      <w:r w:rsidR="00E63622" w:rsidRPr="0059559C">
        <w:rPr>
          <w:sz w:val="24"/>
          <w:szCs w:val="24"/>
        </w:rPr>
        <w:t xml:space="preserve"> that the law require</w:t>
      </w:r>
      <w:r w:rsidR="00E20726" w:rsidRPr="0059559C">
        <w:rPr>
          <w:sz w:val="24"/>
          <w:szCs w:val="24"/>
        </w:rPr>
        <w:t>s</w:t>
      </w:r>
      <w:r w:rsidR="00E63622" w:rsidRPr="0059559C">
        <w:rPr>
          <w:sz w:val="24"/>
          <w:szCs w:val="24"/>
        </w:rPr>
        <w:t xml:space="preserve"> such action</w:t>
      </w:r>
      <w:r w:rsidR="00E20726" w:rsidRPr="0059559C">
        <w:rPr>
          <w:sz w:val="24"/>
          <w:szCs w:val="24"/>
        </w:rPr>
        <w:t>s</w:t>
      </w:r>
      <w:r w:rsidR="00E63622" w:rsidRPr="0059559C">
        <w:rPr>
          <w:sz w:val="24"/>
          <w:szCs w:val="24"/>
        </w:rPr>
        <w:t xml:space="preserve"> to be taken.   </w:t>
      </w:r>
    </w:p>
    <w:p w14:paraId="64DC0578" w14:textId="77777777" w:rsidR="00E63622" w:rsidRPr="0059559C" w:rsidRDefault="00E63622" w:rsidP="00BF4EBB">
      <w:pPr>
        <w:spacing w:after="0" w:line="240" w:lineRule="auto"/>
        <w:rPr>
          <w:sz w:val="24"/>
          <w:szCs w:val="24"/>
        </w:rPr>
      </w:pPr>
    </w:p>
    <w:p w14:paraId="67CABDA9" w14:textId="77777777" w:rsidR="00E63622" w:rsidRPr="0059559C" w:rsidRDefault="00BF4EBB" w:rsidP="00BF4EBB">
      <w:pPr>
        <w:spacing w:after="0" w:line="240" w:lineRule="auto"/>
        <w:rPr>
          <w:rFonts w:cs="Arial"/>
          <w:sz w:val="24"/>
          <w:szCs w:val="24"/>
        </w:rPr>
      </w:pPr>
      <w:r w:rsidRPr="0059559C">
        <w:rPr>
          <w:sz w:val="24"/>
          <w:szCs w:val="24"/>
        </w:rPr>
        <w:t xml:space="preserve">In order to determine </w:t>
      </w:r>
      <w:r w:rsidR="00E63622" w:rsidRPr="0059559C">
        <w:rPr>
          <w:sz w:val="24"/>
          <w:szCs w:val="24"/>
        </w:rPr>
        <w:t>what advice schools actually receive about parental photography</w:t>
      </w:r>
      <w:r w:rsidR="003667DA" w:rsidRPr="0059559C">
        <w:rPr>
          <w:sz w:val="24"/>
          <w:szCs w:val="24"/>
        </w:rPr>
        <w:t>, and the relevant law</w:t>
      </w:r>
      <w:r w:rsidRPr="0059559C">
        <w:rPr>
          <w:sz w:val="24"/>
          <w:szCs w:val="24"/>
        </w:rPr>
        <w:t xml:space="preserve">, in December 2013 </w:t>
      </w:r>
      <w:r w:rsidRPr="0059559C">
        <w:rPr>
          <w:rFonts w:eastAsia="Times New Roman" w:cs="Segoe UI"/>
          <w:sz w:val="24"/>
          <w:szCs w:val="24"/>
          <w:lang w:eastAsia="en-GB"/>
        </w:rPr>
        <w:t xml:space="preserve">Freedom of information requests were sent to all 206 local education authorities </w:t>
      </w:r>
      <w:r w:rsidRPr="0059559C">
        <w:rPr>
          <w:sz w:val="24"/>
          <w:szCs w:val="24"/>
        </w:rPr>
        <w:t xml:space="preserve">in England, Scotland and Wales.  Each authority was asked whether it had </w:t>
      </w:r>
      <w:r w:rsidRPr="0059559C">
        <w:rPr>
          <w:rFonts w:cs="Arial"/>
          <w:sz w:val="24"/>
          <w:szCs w:val="24"/>
        </w:rPr>
        <w:t xml:space="preserve">produced any guidance or policy documents or had provided advice to schools in their area in relation to parental photography at school events.  </w:t>
      </w:r>
      <w:r w:rsidR="00E63622" w:rsidRPr="0059559C">
        <w:rPr>
          <w:rFonts w:cs="Arial"/>
          <w:sz w:val="24"/>
          <w:szCs w:val="24"/>
        </w:rPr>
        <w:t>198 authorities responded; 74 of these authorities did not provide any guidance, 28 stated that they refer schools exclusively to guidance produced by the ICO</w:t>
      </w:r>
      <w:r w:rsidR="00E20726" w:rsidRPr="0059559C">
        <w:rPr>
          <w:rFonts w:cs="Arial"/>
          <w:sz w:val="24"/>
          <w:szCs w:val="24"/>
        </w:rPr>
        <w:t>,</w:t>
      </w:r>
      <w:r w:rsidR="00E63622" w:rsidRPr="0059559C">
        <w:rPr>
          <w:rFonts w:cs="Arial"/>
          <w:sz w:val="24"/>
          <w:szCs w:val="24"/>
        </w:rPr>
        <w:t xml:space="preserve"> 96 provide their own guidance (18 of those providing guidance also refer schools to the ICO guidance).</w:t>
      </w:r>
    </w:p>
    <w:p w14:paraId="67DAD9E7" w14:textId="77777777" w:rsidR="00E63622" w:rsidRPr="0059559C" w:rsidRDefault="00E63622" w:rsidP="00BF4EBB">
      <w:pPr>
        <w:spacing w:after="0" w:line="240" w:lineRule="auto"/>
        <w:rPr>
          <w:rFonts w:cs="Arial"/>
          <w:sz w:val="24"/>
          <w:szCs w:val="24"/>
        </w:rPr>
      </w:pPr>
    </w:p>
    <w:p w14:paraId="51E66722" w14:textId="77777777" w:rsidR="00E20726" w:rsidRPr="0059559C" w:rsidRDefault="00E63622" w:rsidP="00E63622">
      <w:pPr>
        <w:spacing w:after="0" w:line="240" w:lineRule="auto"/>
        <w:rPr>
          <w:rFonts w:cstheme="minorHAnsi"/>
          <w:sz w:val="24"/>
          <w:szCs w:val="24"/>
        </w:rPr>
      </w:pPr>
      <w:r w:rsidRPr="0059559C">
        <w:rPr>
          <w:rFonts w:cs="Arial"/>
          <w:sz w:val="24"/>
          <w:szCs w:val="24"/>
        </w:rPr>
        <w:t xml:space="preserve">Reading through the guidance it was clear that there was significant disagreement between authorities </w:t>
      </w:r>
      <w:r w:rsidRPr="0059559C">
        <w:rPr>
          <w:rFonts w:cstheme="minorHAnsi"/>
          <w:sz w:val="24"/>
          <w:szCs w:val="24"/>
        </w:rPr>
        <w:t xml:space="preserve">as to whether parents should be allowed to take photographs at school events, or alternatively whether parents who take photographs at school events should be permitted to upload those photographs.  </w:t>
      </w:r>
      <w:r w:rsidRPr="0059559C">
        <w:rPr>
          <w:sz w:val="24"/>
          <w:szCs w:val="24"/>
        </w:rPr>
        <w:t>36 authorities (37% of the 98 authorities who provide guidance and 18% of the authorities who responded) explicitly state that posting online is not permitted, distinguishing clearly between the situation when parents keep photos for close family and friends to view (when they consider s36 will apply) and the situation when photos are shared online/more widely (when potentially s36 may not apply). Only 6 of these 36 authorities explicitly state</w:t>
      </w:r>
      <w:r w:rsidR="00C77B16" w:rsidRPr="0059559C">
        <w:rPr>
          <w:sz w:val="24"/>
          <w:szCs w:val="24"/>
        </w:rPr>
        <w:t>, however,</w:t>
      </w:r>
      <w:r w:rsidRPr="0059559C">
        <w:rPr>
          <w:sz w:val="24"/>
          <w:szCs w:val="24"/>
        </w:rPr>
        <w:t xml:space="preserve"> that online sharing may contravene the DPA.</w:t>
      </w:r>
      <w:r w:rsidR="00E20726" w:rsidRPr="0059559C">
        <w:rPr>
          <w:sz w:val="24"/>
          <w:szCs w:val="24"/>
        </w:rPr>
        <w:t xml:space="preserve">  </w:t>
      </w:r>
      <w:r w:rsidR="00E20726" w:rsidRPr="0059559C">
        <w:rPr>
          <w:rFonts w:cs="Arial"/>
          <w:sz w:val="24"/>
          <w:szCs w:val="24"/>
        </w:rPr>
        <w:t xml:space="preserve">By contrast, </w:t>
      </w:r>
      <w:r w:rsidR="00E20726" w:rsidRPr="0059559C">
        <w:rPr>
          <w:sz w:val="24"/>
          <w:szCs w:val="24"/>
        </w:rPr>
        <w:t xml:space="preserve">46 authorities (24% of respondents) explicitly refer schools to guidance published by the ICO, guidance which asserts that </w:t>
      </w:r>
      <w:r w:rsidR="00E20726" w:rsidRPr="0059559C">
        <w:rPr>
          <w:i/>
          <w:sz w:val="24"/>
          <w:szCs w:val="24"/>
        </w:rPr>
        <w:t>the DPA imposes no restriction on parental photography at school events</w:t>
      </w:r>
      <w:r w:rsidR="00E20726" w:rsidRPr="0059559C">
        <w:rPr>
          <w:sz w:val="24"/>
          <w:szCs w:val="24"/>
        </w:rPr>
        <w:t xml:space="preserve">.  This ICO guidance, which was first published in 2005 and has been regularly republished in a variety of forms since that date </w:t>
      </w:r>
      <w:r w:rsidRPr="0059559C">
        <w:rPr>
          <w:rFonts w:cstheme="minorHAnsi"/>
          <w:sz w:val="24"/>
          <w:szCs w:val="24"/>
        </w:rPr>
        <w:t>(ICO</w:t>
      </w:r>
      <w:r w:rsidR="00E20726" w:rsidRPr="0059559C">
        <w:rPr>
          <w:rFonts w:cstheme="minorHAnsi"/>
          <w:sz w:val="24"/>
          <w:szCs w:val="24"/>
        </w:rPr>
        <w:t xml:space="preserve">, </w:t>
      </w:r>
      <w:r w:rsidRPr="0059559C">
        <w:rPr>
          <w:rFonts w:cstheme="minorHAnsi"/>
          <w:sz w:val="24"/>
          <w:szCs w:val="24"/>
        </w:rPr>
        <w:t xml:space="preserve">2005, 2007, 2010b, 2010c, 2010c, 2012b, 2014c and </w:t>
      </w:r>
      <w:r w:rsidRPr="0059559C">
        <w:rPr>
          <w:rFonts w:eastAsia="Times New Roman" w:cstheme="minorHAnsi"/>
          <w:sz w:val="24"/>
          <w:szCs w:val="24"/>
          <w:lang w:val="en" w:eastAsia="en-GB"/>
        </w:rPr>
        <w:t>undated)</w:t>
      </w:r>
      <w:r w:rsidR="00E20726" w:rsidRPr="0059559C">
        <w:rPr>
          <w:rFonts w:cstheme="minorHAnsi"/>
          <w:sz w:val="24"/>
          <w:szCs w:val="24"/>
        </w:rPr>
        <w:t xml:space="preserve"> is premised upon the belief that </w:t>
      </w:r>
      <w:r w:rsidRPr="0059559C">
        <w:rPr>
          <w:rFonts w:cstheme="minorHAnsi"/>
          <w:sz w:val="24"/>
          <w:szCs w:val="24"/>
        </w:rPr>
        <w:t xml:space="preserve">s36 </w:t>
      </w:r>
      <w:r w:rsidR="00E20726" w:rsidRPr="0059559C">
        <w:rPr>
          <w:rFonts w:cstheme="minorHAnsi"/>
          <w:sz w:val="24"/>
          <w:szCs w:val="24"/>
        </w:rPr>
        <w:t>applies</w:t>
      </w:r>
      <w:r w:rsidRPr="0059559C">
        <w:rPr>
          <w:rFonts w:cstheme="minorHAnsi"/>
          <w:sz w:val="24"/>
          <w:szCs w:val="24"/>
        </w:rPr>
        <w:t xml:space="preserve"> to parents taking photographs at school ‘for personal or domestic use’</w:t>
      </w:r>
      <w:r w:rsidR="00E20726" w:rsidRPr="0059559C">
        <w:rPr>
          <w:rFonts w:cstheme="minorHAnsi"/>
          <w:sz w:val="24"/>
          <w:szCs w:val="24"/>
        </w:rPr>
        <w:t xml:space="preserve">.  (No reference is made to the s32 exemption but given the ICO’s advice </w:t>
      </w:r>
      <w:r w:rsidR="00AA4D16" w:rsidRPr="0059559C">
        <w:rPr>
          <w:rFonts w:cstheme="minorHAnsi"/>
          <w:sz w:val="24"/>
          <w:szCs w:val="24"/>
        </w:rPr>
        <w:t>that s32 is unlikely to apply when people are simply taking part in normal social interaction or other recreational internet use</w:t>
      </w:r>
      <w:r w:rsidR="006259B8" w:rsidRPr="0059559C">
        <w:rPr>
          <w:rFonts w:cstheme="minorHAnsi"/>
          <w:sz w:val="24"/>
          <w:szCs w:val="24"/>
        </w:rPr>
        <w:t xml:space="preserve"> (ICO, 2014b</w:t>
      </w:r>
      <w:r w:rsidR="00E20726" w:rsidRPr="0059559C">
        <w:rPr>
          <w:rFonts w:cstheme="minorHAnsi"/>
          <w:sz w:val="24"/>
          <w:szCs w:val="24"/>
        </w:rPr>
        <w:t xml:space="preserve">) </w:t>
      </w:r>
      <w:r w:rsidR="00AA4D16" w:rsidRPr="0059559C">
        <w:rPr>
          <w:rFonts w:cstheme="minorHAnsi"/>
          <w:sz w:val="24"/>
          <w:szCs w:val="24"/>
        </w:rPr>
        <w:t xml:space="preserve">this is understandable).  </w:t>
      </w:r>
    </w:p>
    <w:p w14:paraId="0F0F52A1" w14:textId="77777777" w:rsidR="00AA4D16" w:rsidRPr="0059559C" w:rsidRDefault="00AA4D16" w:rsidP="00E63622">
      <w:pPr>
        <w:spacing w:after="0" w:line="240" w:lineRule="auto"/>
        <w:rPr>
          <w:rFonts w:cstheme="minorHAnsi"/>
          <w:sz w:val="24"/>
          <w:szCs w:val="24"/>
        </w:rPr>
      </w:pPr>
    </w:p>
    <w:p w14:paraId="59E1A4B5" w14:textId="77777777" w:rsidR="003667DA" w:rsidRPr="0059559C" w:rsidRDefault="00E20726" w:rsidP="003667DA">
      <w:pPr>
        <w:spacing w:after="0" w:line="240" w:lineRule="auto"/>
        <w:rPr>
          <w:rFonts w:cstheme="minorHAnsi"/>
          <w:sz w:val="24"/>
          <w:szCs w:val="24"/>
        </w:rPr>
      </w:pPr>
      <w:r w:rsidRPr="0059559C">
        <w:rPr>
          <w:rFonts w:cstheme="minorHAnsi"/>
          <w:sz w:val="24"/>
          <w:szCs w:val="24"/>
        </w:rPr>
        <w:t xml:space="preserve">As discussed above, the ICO </w:t>
      </w:r>
      <w:r w:rsidR="003667DA" w:rsidRPr="0059559C">
        <w:rPr>
          <w:rFonts w:cstheme="minorHAnsi"/>
          <w:sz w:val="24"/>
          <w:szCs w:val="24"/>
        </w:rPr>
        <w:t>has interpreted s36 widely.  The ICO has made clear that in most instances, when parents post information online in their personal capacity and either for purely personal or recreational purposes then s36 will apply.   Strangely, however, t</w:t>
      </w:r>
      <w:r w:rsidRPr="0059559C">
        <w:rPr>
          <w:rFonts w:cstheme="minorHAnsi"/>
          <w:sz w:val="24"/>
          <w:szCs w:val="24"/>
        </w:rPr>
        <w:t>he ICO</w:t>
      </w:r>
      <w:r w:rsidR="00E63622" w:rsidRPr="0059559C">
        <w:rPr>
          <w:rFonts w:cstheme="minorHAnsi"/>
          <w:sz w:val="24"/>
          <w:szCs w:val="24"/>
        </w:rPr>
        <w:t xml:space="preserve"> guidance </w:t>
      </w:r>
      <w:r w:rsidR="003667DA" w:rsidRPr="0059559C">
        <w:rPr>
          <w:rFonts w:cstheme="minorHAnsi"/>
          <w:sz w:val="24"/>
          <w:szCs w:val="24"/>
        </w:rPr>
        <w:t xml:space="preserve">on parental photography makes no reference to </w:t>
      </w:r>
      <w:r w:rsidR="00E63622" w:rsidRPr="0059559C">
        <w:rPr>
          <w:rFonts w:cstheme="minorHAnsi"/>
          <w:sz w:val="24"/>
          <w:szCs w:val="24"/>
        </w:rPr>
        <w:t xml:space="preserve">parents </w:t>
      </w:r>
      <w:r w:rsidR="003667DA" w:rsidRPr="0059559C">
        <w:rPr>
          <w:rFonts w:cstheme="minorHAnsi"/>
          <w:sz w:val="24"/>
          <w:szCs w:val="24"/>
        </w:rPr>
        <w:t xml:space="preserve">taking digital photographs to </w:t>
      </w:r>
      <w:r w:rsidR="00E63622" w:rsidRPr="0059559C">
        <w:rPr>
          <w:rFonts w:cstheme="minorHAnsi"/>
          <w:sz w:val="24"/>
          <w:szCs w:val="24"/>
        </w:rPr>
        <w:t>share photographs online</w:t>
      </w:r>
      <w:r w:rsidR="003667DA" w:rsidRPr="0059559C">
        <w:rPr>
          <w:rFonts w:cstheme="minorHAnsi"/>
          <w:sz w:val="24"/>
          <w:szCs w:val="24"/>
        </w:rPr>
        <w:t>.</w:t>
      </w:r>
      <w:r w:rsidR="00E63622" w:rsidRPr="0059559C">
        <w:rPr>
          <w:rFonts w:cstheme="minorHAnsi"/>
          <w:sz w:val="24"/>
          <w:szCs w:val="24"/>
        </w:rPr>
        <w:t xml:space="preserve">  </w:t>
      </w:r>
      <w:r w:rsidR="003667DA" w:rsidRPr="0059559C">
        <w:rPr>
          <w:rFonts w:cstheme="minorHAnsi"/>
          <w:sz w:val="24"/>
          <w:szCs w:val="24"/>
        </w:rPr>
        <w:t xml:space="preserve"> Although the examples that the ICO includes in his guidance (of parents storing photographs in a family album and taking a video for family viewing) hark back to before the digital era, one cannot imagine that the ICO is not aware </w:t>
      </w:r>
      <w:r w:rsidR="003667DA" w:rsidRPr="0059559C">
        <w:rPr>
          <w:rFonts w:cstheme="minorHAnsi"/>
          <w:sz w:val="24"/>
          <w:szCs w:val="24"/>
        </w:rPr>
        <w:lastRenderedPageBreak/>
        <w:t xml:space="preserve">that parents might share photographs of school events online.  Certainly, many education authorities seem to be aware, not only of the possibility that parents will wish to share photographs online, but also of the risks involved when they do so (disclosure of the whereabouts of vulnerable children whose identity and whereabouts should not be revealed, identification and possible grooming of children, misuse of images, breach of privacy).  </w:t>
      </w:r>
    </w:p>
    <w:p w14:paraId="407892C3" w14:textId="77777777" w:rsidR="003667DA" w:rsidRPr="0059559C" w:rsidRDefault="003667DA" w:rsidP="00E63622">
      <w:pPr>
        <w:spacing w:after="0" w:line="240" w:lineRule="auto"/>
        <w:rPr>
          <w:rFonts w:cstheme="minorHAnsi"/>
          <w:sz w:val="24"/>
          <w:szCs w:val="24"/>
        </w:rPr>
      </w:pPr>
    </w:p>
    <w:p w14:paraId="6CA328F7" w14:textId="77777777" w:rsidR="003667DA" w:rsidRPr="0059559C" w:rsidRDefault="003667DA" w:rsidP="00724D5D">
      <w:pPr>
        <w:spacing w:after="0" w:line="240" w:lineRule="auto"/>
        <w:rPr>
          <w:rFonts w:cstheme="minorHAnsi"/>
          <w:sz w:val="24"/>
          <w:szCs w:val="24"/>
        </w:rPr>
      </w:pPr>
      <w:r w:rsidRPr="0059559C">
        <w:rPr>
          <w:rFonts w:cstheme="minorHAnsi"/>
          <w:sz w:val="24"/>
          <w:szCs w:val="24"/>
        </w:rPr>
        <w:t xml:space="preserve">In the absence of explicit guidance on how s36 applies to a parent who wishes to post photographs online, it is perhaps inevitable </w:t>
      </w:r>
      <w:r w:rsidR="00E20726" w:rsidRPr="0059559C">
        <w:rPr>
          <w:rFonts w:cstheme="minorHAnsi"/>
          <w:sz w:val="24"/>
          <w:szCs w:val="24"/>
        </w:rPr>
        <w:t xml:space="preserve">that some confusion about the application of the DPA continues to exist.   </w:t>
      </w:r>
      <w:r w:rsidR="00E63622" w:rsidRPr="0059559C">
        <w:rPr>
          <w:rFonts w:cstheme="minorHAnsi"/>
          <w:sz w:val="24"/>
          <w:szCs w:val="24"/>
        </w:rPr>
        <w:t>It may, of course, be the case, that as discussed above, the ICO holds a firm conviction that the s36 exemption will apply when a parent takes a photograph at a school event, whether or not that photograph will subsequently be placed in the family album, stored on a computer or shared online.</w:t>
      </w:r>
      <w:r w:rsidRPr="0059559C">
        <w:rPr>
          <w:rFonts w:cstheme="minorHAnsi"/>
          <w:sz w:val="24"/>
          <w:szCs w:val="24"/>
        </w:rPr>
        <w:t xml:space="preserve">   If this is the case then it would be helpful for the ICO to update its parental photography guidance to clarify this.  Even if the ICO were to do so, however, questions must be asked about whether this would in reality resolve the issue once and for all.  </w:t>
      </w:r>
    </w:p>
    <w:p w14:paraId="4A677BAC" w14:textId="77777777" w:rsidR="003667DA" w:rsidRPr="0059559C" w:rsidRDefault="003667DA" w:rsidP="00724D5D">
      <w:pPr>
        <w:spacing w:after="0" w:line="240" w:lineRule="auto"/>
        <w:rPr>
          <w:rFonts w:cstheme="minorHAnsi"/>
          <w:sz w:val="24"/>
          <w:szCs w:val="24"/>
        </w:rPr>
      </w:pPr>
    </w:p>
    <w:p w14:paraId="4A5F8733" w14:textId="3EE236EE" w:rsidR="00D63314" w:rsidRPr="0059559C" w:rsidRDefault="003667DA" w:rsidP="003667DA">
      <w:pPr>
        <w:spacing w:after="0" w:line="240" w:lineRule="auto"/>
        <w:rPr>
          <w:rFonts w:cstheme="minorHAnsi"/>
          <w:sz w:val="24"/>
          <w:szCs w:val="24"/>
        </w:rPr>
      </w:pPr>
      <w:r w:rsidRPr="0059559C">
        <w:rPr>
          <w:rFonts w:cstheme="minorHAnsi"/>
          <w:sz w:val="24"/>
          <w:szCs w:val="24"/>
        </w:rPr>
        <w:t xml:space="preserve">The divergence between the ICO’s interpretation and the European interpretation are likely to cause continuing confusion for education authorities and thus also for parents.  </w:t>
      </w:r>
      <w:r w:rsidR="006259B8" w:rsidRPr="0059559C">
        <w:rPr>
          <w:rFonts w:cstheme="minorHAnsi"/>
          <w:sz w:val="24"/>
          <w:szCs w:val="24"/>
        </w:rPr>
        <w:t>At present, d</w:t>
      </w:r>
      <w:r w:rsidR="005F37DB" w:rsidRPr="0059559C">
        <w:rPr>
          <w:rFonts w:cstheme="minorHAnsi"/>
          <w:sz w:val="24"/>
          <w:szCs w:val="24"/>
        </w:rPr>
        <w:t>epending upon which school</w:t>
      </w:r>
      <w:r w:rsidRPr="0059559C">
        <w:rPr>
          <w:rFonts w:cstheme="minorHAnsi"/>
          <w:sz w:val="24"/>
          <w:szCs w:val="24"/>
        </w:rPr>
        <w:t xml:space="preserve"> a</w:t>
      </w:r>
      <w:r w:rsidR="005F37DB" w:rsidRPr="0059559C">
        <w:rPr>
          <w:rFonts w:cstheme="minorHAnsi"/>
          <w:sz w:val="24"/>
          <w:szCs w:val="24"/>
        </w:rPr>
        <w:t xml:space="preserve"> child attends/which </w:t>
      </w:r>
      <w:r w:rsidRPr="0059559C">
        <w:rPr>
          <w:rFonts w:cstheme="minorHAnsi"/>
          <w:sz w:val="24"/>
          <w:szCs w:val="24"/>
        </w:rPr>
        <w:t>local education authority a child lives</w:t>
      </w:r>
      <w:r w:rsidR="005F37DB" w:rsidRPr="0059559C">
        <w:rPr>
          <w:rFonts w:cstheme="minorHAnsi"/>
          <w:sz w:val="24"/>
          <w:szCs w:val="24"/>
        </w:rPr>
        <w:t xml:space="preserve"> in, </w:t>
      </w:r>
      <w:r w:rsidRPr="0059559C">
        <w:rPr>
          <w:rFonts w:cstheme="minorHAnsi"/>
          <w:sz w:val="24"/>
          <w:szCs w:val="24"/>
        </w:rPr>
        <w:t>a parent</w:t>
      </w:r>
      <w:r w:rsidR="005F37DB" w:rsidRPr="0059559C">
        <w:rPr>
          <w:rFonts w:cstheme="minorHAnsi"/>
          <w:sz w:val="24"/>
          <w:szCs w:val="24"/>
        </w:rPr>
        <w:t xml:space="preserve"> may, or may not, be permitted to take photographs, and may or </w:t>
      </w:r>
      <w:r w:rsidR="00536ECF" w:rsidRPr="0059559C">
        <w:rPr>
          <w:rFonts w:cstheme="minorHAnsi"/>
          <w:sz w:val="24"/>
          <w:szCs w:val="24"/>
        </w:rPr>
        <w:t xml:space="preserve">may </w:t>
      </w:r>
      <w:r w:rsidR="005F37DB" w:rsidRPr="0059559C">
        <w:rPr>
          <w:rFonts w:cstheme="minorHAnsi"/>
          <w:sz w:val="24"/>
          <w:szCs w:val="24"/>
        </w:rPr>
        <w:t xml:space="preserve">not be </w:t>
      </w:r>
      <w:r w:rsidR="00536ECF" w:rsidRPr="0059559C">
        <w:rPr>
          <w:rFonts w:cstheme="minorHAnsi"/>
          <w:sz w:val="24"/>
          <w:szCs w:val="24"/>
        </w:rPr>
        <w:t xml:space="preserve">told that they must not </w:t>
      </w:r>
      <w:r w:rsidR="005F37DB" w:rsidRPr="0059559C">
        <w:rPr>
          <w:rFonts w:cstheme="minorHAnsi"/>
          <w:sz w:val="24"/>
          <w:szCs w:val="24"/>
        </w:rPr>
        <w:t>share those photographs online.</w:t>
      </w:r>
      <w:r w:rsidR="00D63314" w:rsidRPr="0059559C">
        <w:rPr>
          <w:rFonts w:cstheme="minorHAnsi"/>
          <w:sz w:val="24"/>
          <w:szCs w:val="24"/>
        </w:rPr>
        <w:t xml:space="preserve"> </w:t>
      </w:r>
      <w:r w:rsidR="00536ECF" w:rsidRPr="0059559C">
        <w:rPr>
          <w:rFonts w:cstheme="minorHAnsi"/>
          <w:sz w:val="24"/>
          <w:szCs w:val="24"/>
        </w:rPr>
        <w:t xml:space="preserve">  </w:t>
      </w:r>
      <w:r w:rsidR="005F37DB" w:rsidRPr="0059559C">
        <w:rPr>
          <w:rFonts w:cstheme="minorHAnsi"/>
          <w:sz w:val="24"/>
          <w:szCs w:val="24"/>
        </w:rPr>
        <w:t>Can we expect the position to improve if and when the Directive is replaced by the Regulation?</w:t>
      </w:r>
      <w:r w:rsidR="008F43A9" w:rsidRPr="0059559C">
        <w:rPr>
          <w:rFonts w:cstheme="minorHAnsi"/>
          <w:sz w:val="24"/>
          <w:szCs w:val="24"/>
        </w:rPr>
        <w:t xml:space="preserve">  </w:t>
      </w:r>
    </w:p>
    <w:p w14:paraId="4DD286E5" w14:textId="77777777" w:rsidR="001E6941" w:rsidRPr="0059559C" w:rsidRDefault="001E6941" w:rsidP="00724D5D">
      <w:pPr>
        <w:spacing w:after="0" w:line="240" w:lineRule="auto"/>
        <w:rPr>
          <w:rFonts w:cstheme="minorHAnsi"/>
          <w:sz w:val="24"/>
          <w:szCs w:val="24"/>
          <w:u w:val="single"/>
        </w:rPr>
      </w:pPr>
    </w:p>
    <w:p w14:paraId="208DD117" w14:textId="77777777" w:rsidR="008F43A9" w:rsidRPr="0059559C" w:rsidRDefault="008F43A9" w:rsidP="00724D5D">
      <w:pPr>
        <w:pStyle w:val="ListParagraph"/>
        <w:numPr>
          <w:ilvl w:val="0"/>
          <w:numId w:val="6"/>
        </w:numPr>
        <w:rPr>
          <w:rFonts w:asciiTheme="minorHAnsi" w:hAnsiTheme="minorHAnsi" w:cstheme="minorHAnsi"/>
          <w:b/>
          <w:sz w:val="24"/>
          <w:szCs w:val="24"/>
        </w:rPr>
      </w:pPr>
      <w:r w:rsidRPr="0059559C">
        <w:rPr>
          <w:rFonts w:asciiTheme="minorHAnsi" w:hAnsiTheme="minorHAnsi" w:cstheme="minorHAnsi"/>
          <w:b/>
          <w:sz w:val="24"/>
          <w:szCs w:val="24"/>
        </w:rPr>
        <w:t>Updating the law to ensure it remains fit for the 21</w:t>
      </w:r>
      <w:r w:rsidRPr="0059559C">
        <w:rPr>
          <w:rFonts w:asciiTheme="minorHAnsi" w:hAnsiTheme="minorHAnsi" w:cstheme="minorHAnsi"/>
          <w:b/>
          <w:sz w:val="24"/>
          <w:szCs w:val="24"/>
          <w:vertAlign w:val="superscript"/>
        </w:rPr>
        <w:t>st</w:t>
      </w:r>
      <w:r w:rsidRPr="0059559C">
        <w:rPr>
          <w:rFonts w:asciiTheme="minorHAnsi" w:hAnsiTheme="minorHAnsi" w:cstheme="minorHAnsi"/>
          <w:b/>
          <w:sz w:val="24"/>
          <w:szCs w:val="24"/>
        </w:rPr>
        <w:t xml:space="preserve"> century</w:t>
      </w:r>
    </w:p>
    <w:p w14:paraId="7B9B2749" w14:textId="77777777" w:rsidR="008F43A9" w:rsidRPr="0059559C" w:rsidRDefault="008F43A9" w:rsidP="00724D5D">
      <w:pPr>
        <w:spacing w:after="0" w:line="240" w:lineRule="auto"/>
        <w:rPr>
          <w:rFonts w:cstheme="minorHAnsi"/>
          <w:sz w:val="24"/>
          <w:szCs w:val="24"/>
        </w:rPr>
      </w:pPr>
    </w:p>
    <w:p w14:paraId="6CDE68FC" w14:textId="5C96A0F3" w:rsidR="00724D5D" w:rsidRPr="0059559C" w:rsidRDefault="008F43A9" w:rsidP="00724D5D">
      <w:pPr>
        <w:spacing w:after="0" w:line="240" w:lineRule="auto"/>
        <w:rPr>
          <w:rFonts w:cstheme="minorHAnsi"/>
          <w:sz w:val="24"/>
          <w:szCs w:val="24"/>
        </w:rPr>
      </w:pPr>
      <w:r w:rsidRPr="0059559C">
        <w:rPr>
          <w:rFonts w:cstheme="minorHAnsi"/>
          <w:sz w:val="24"/>
          <w:szCs w:val="24"/>
        </w:rPr>
        <w:t xml:space="preserve">In a communication to the European Parliament in 2010 the European Commission spelt out clearly </w:t>
      </w:r>
      <w:r w:rsidR="00724D5D" w:rsidRPr="0059559C">
        <w:rPr>
          <w:rFonts w:cstheme="minorHAnsi"/>
          <w:sz w:val="24"/>
          <w:szCs w:val="24"/>
        </w:rPr>
        <w:t xml:space="preserve">its belief that </w:t>
      </w:r>
      <w:r w:rsidRPr="0059559C">
        <w:rPr>
          <w:rFonts w:cstheme="minorHAnsi"/>
          <w:sz w:val="24"/>
          <w:szCs w:val="24"/>
        </w:rPr>
        <w:t xml:space="preserve">a new data protection framework </w:t>
      </w:r>
      <w:r w:rsidR="00724D5D" w:rsidRPr="0059559C">
        <w:rPr>
          <w:rFonts w:cstheme="minorHAnsi"/>
          <w:sz w:val="24"/>
          <w:szCs w:val="24"/>
        </w:rPr>
        <w:t>is neede</w:t>
      </w:r>
      <w:r w:rsidR="00DE19F8" w:rsidRPr="0059559C">
        <w:rPr>
          <w:rFonts w:cstheme="minorHAnsi"/>
          <w:sz w:val="24"/>
          <w:szCs w:val="24"/>
        </w:rPr>
        <w:t>d, both</w:t>
      </w:r>
      <w:r w:rsidRPr="0059559C">
        <w:rPr>
          <w:rFonts w:cstheme="minorHAnsi"/>
          <w:sz w:val="24"/>
          <w:szCs w:val="24"/>
        </w:rPr>
        <w:t xml:space="preserve"> </w:t>
      </w:r>
      <w:r w:rsidR="00DE19F8" w:rsidRPr="0059559C">
        <w:rPr>
          <w:rFonts w:cstheme="minorHAnsi"/>
          <w:sz w:val="24"/>
          <w:szCs w:val="24"/>
        </w:rPr>
        <w:t>‘</w:t>
      </w:r>
      <w:r w:rsidRPr="0059559C">
        <w:rPr>
          <w:rFonts w:cstheme="minorHAnsi"/>
          <w:sz w:val="24"/>
          <w:szCs w:val="24"/>
        </w:rPr>
        <w:t xml:space="preserve">to clarify and specify the application of data protection principles to new technologies’ </w:t>
      </w:r>
      <w:r w:rsidR="00DE19F8" w:rsidRPr="0059559C">
        <w:rPr>
          <w:rFonts w:cstheme="minorHAnsi"/>
          <w:sz w:val="24"/>
          <w:szCs w:val="24"/>
        </w:rPr>
        <w:t>(European Commission, 2010a, p3)</w:t>
      </w:r>
      <w:r w:rsidRPr="0059559C">
        <w:rPr>
          <w:rFonts w:cstheme="minorHAnsi"/>
          <w:sz w:val="24"/>
          <w:szCs w:val="24"/>
        </w:rPr>
        <w:t xml:space="preserve"> and to address ‘divergences between the national laws implementing the Directive</w:t>
      </w:r>
      <w:r w:rsidR="00DE19F8" w:rsidRPr="0059559C">
        <w:rPr>
          <w:rFonts w:cstheme="minorHAnsi"/>
          <w:sz w:val="24"/>
          <w:szCs w:val="24"/>
        </w:rPr>
        <w:t>,</w:t>
      </w:r>
      <w:r w:rsidRPr="0059559C">
        <w:rPr>
          <w:rFonts w:cstheme="minorHAnsi"/>
          <w:sz w:val="24"/>
          <w:szCs w:val="24"/>
        </w:rPr>
        <w:t>’ divergences which create ‘legal uncertainty not only for data controllers but also for data subjects, creating the risk of distorting the equivalent level of protection that the Directive is su</w:t>
      </w:r>
      <w:r w:rsidR="00DE19F8" w:rsidRPr="0059559C">
        <w:rPr>
          <w:rFonts w:cstheme="minorHAnsi"/>
          <w:sz w:val="24"/>
          <w:szCs w:val="24"/>
        </w:rPr>
        <w:t>pposed to achieve and ensure.’ (European Commission, 2010a, p10</w:t>
      </w:r>
      <w:r w:rsidRPr="0059559C">
        <w:rPr>
          <w:rFonts w:cstheme="minorHAnsi"/>
          <w:sz w:val="24"/>
          <w:szCs w:val="24"/>
        </w:rPr>
        <w:t>)</w:t>
      </w:r>
      <w:r w:rsidR="00DE19F8" w:rsidRPr="0059559C">
        <w:rPr>
          <w:rFonts w:cstheme="minorHAnsi"/>
          <w:sz w:val="24"/>
          <w:szCs w:val="24"/>
        </w:rPr>
        <w:t>.</w:t>
      </w:r>
      <w:r w:rsidRPr="0059559C">
        <w:rPr>
          <w:rFonts w:cstheme="minorHAnsi"/>
          <w:sz w:val="24"/>
          <w:szCs w:val="24"/>
        </w:rPr>
        <w:t xml:space="preserve"> </w:t>
      </w:r>
      <w:r w:rsidR="00724D5D" w:rsidRPr="0059559C">
        <w:rPr>
          <w:rFonts w:cstheme="minorHAnsi"/>
          <w:sz w:val="24"/>
          <w:szCs w:val="24"/>
        </w:rPr>
        <w:t xml:space="preserve">The Commission’s comments </w:t>
      </w:r>
      <w:r w:rsidR="00DE19F8" w:rsidRPr="0059559C">
        <w:rPr>
          <w:rFonts w:cstheme="minorHAnsi"/>
          <w:sz w:val="24"/>
          <w:szCs w:val="24"/>
        </w:rPr>
        <w:t xml:space="preserve">certainly seem to be well founded given the </w:t>
      </w:r>
      <w:r w:rsidRPr="0059559C">
        <w:rPr>
          <w:rFonts w:cstheme="minorHAnsi"/>
          <w:sz w:val="24"/>
          <w:szCs w:val="24"/>
        </w:rPr>
        <w:t xml:space="preserve">differing approaches to Article 9 </w:t>
      </w:r>
      <w:r w:rsidR="00DE19F8" w:rsidRPr="0059559C">
        <w:rPr>
          <w:rFonts w:cstheme="minorHAnsi"/>
          <w:sz w:val="24"/>
          <w:szCs w:val="24"/>
        </w:rPr>
        <w:t xml:space="preserve">(the freedom of expression exemption) and to </w:t>
      </w:r>
      <w:r w:rsidR="00724D5D" w:rsidRPr="0059559C">
        <w:rPr>
          <w:rFonts w:cstheme="minorHAnsi"/>
          <w:sz w:val="24"/>
          <w:szCs w:val="24"/>
        </w:rPr>
        <w:t xml:space="preserve">the </w:t>
      </w:r>
      <w:r w:rsidRPr="0059559C">
        <w:rPr>
          <w:rFonts w:cstheme="minorHAnsi"/>
          <w:sz w:val="24"/>
          <w:szCs w:val="24"/>
        </w:rPr>
        <w:t xml:space="preserve">personal/household exemption </w:t>
      </w:r>
      <w:r w:rsidR="00DE19F8" w:rsidRPr="0059559C">
        <w:rPr>
          <w:rFonts w:cstheme="minorHAnsi"/>
          <w:sz w:val="24"/>
          <w:szCs w:val="24"/>
        </w:rPr>
        <w:t>highlighted above</w:t>
      </w:r>
      <w:r w:rsidRPr="0059559C">
        <w:rPr>
          <w:rFonts w:cstheme="minorHAnsi"/>
          <w:sz w:val="24"/>
          <w:szCs w:val="24"/>
        </w:rPr>
        <w:t>.</w:t>
      </w:r>
      <w:r w:rsidR="00724D5D" w:rsidRPr="0059559C">
        <w:rPr>
          <w:rFonts w:cstheme="minorHAnsi"/>
          <w:sz w:val="24"/>
          <w:szCs w:val="24"/>
        </w:rPr>
        <w:t xml:space="preserve">  Whether the Commission’s ambitions are realisable, however, have yet to be seen.</w:t>
      </w:r>
    </w:p>
    <w:p w14:paraId="2B6E7738" w14:textId="77777777" w:rsidR="00724D5D" w:rsidRPr="0059559C" w:rsidRDefault="00724D5D" w:rsidP="00724D5D">
      <w:pPr>
        <w:spacing w:after="0" w:line="240" w:lineRule="auto"/>
        <w:rPr>
          <w:rFonts w:cstheme="minorHAnsi"/>
          <w:sz w:val="24"/>
          <w:szCs w:val="24"/>
        </w:rPr>
      </w:pPr>
    </w:p>
    <w:p w14:paraId="225C88AF" w14:textId="170D2F8D" w:rsidR="00724D5D" w:rsidRPr="0059559C" w:rsidRDefault="00724D5D" w:rsidP="00B7722D">
      <w:pPr>
        <w:spacing w:after="0" w:line="240" w:lineRule="auto"/>
        <w:rPr>
          <w:rFonts w:cstheme="minorHAnsi"/>
          <w:sz w:val="24"/>
          <w:szCs w:val="24"/>
        </w:rPr>
      </w:pPr>
      <w:r w:rsidRPr="0059559C">
        <w:rPr>
          <w:rFonts w:cstheme="minorHAnsi"/>
          <w:sz w:val="24"/>
          <w:szCs w:val="24"/>
        </w:rPr>
        <w:t>Certainly the ICO</w:t>
      </w:r>
      <w:r w:rsidR="00DE19F8" w:rsidRPr="0059559C">
        <w:rPr>
          <w:rFonts w:cstheme="minorHAnsi"/>
          <w:sz w:val="24"/>
          <w:szCs w:val="24"/>
        </w:rPr>
        <w:t xml:space="preserve"> has recognised a need for comprehensive updating to address the challenges posed by new technologies, and, given ‘</w:t>
      </w:r>
      <w:r w:rsidRPr="0059559C">
        <w:rPr>
          <w:rFonts w:cstheme="minorHAnsi"/>
          <w:sz w:val="24"/>
          <w:szCs w:val="24"/>
        </w:rPr>
        <w:t>the pan-European nature of the problem</w:t>
      </w:r>
      <w:r w:rsidR="00DE19F8" w:rsidRPr="0059559C">
        <w:rPr>
          <w:rFonts w:cstheme="minorHAnsi"/>
          <w:sz w:val="24"/>
          <w:szCs w:val="24"/>
        </w:rPr>
        <w:t xml:space="preserve">’ accepts the need for </w:t>
      </w:r>
      <w:r w:rsidRPr="0059559C">
        <w:rPr>
          <w:rFonts w:cstheme="minorHAnsi"/>
          <w:sz w:val="24"/>
          <w:szCs w:val="24"/>
        </w:rPr>
        <w:t>either a Regulation or new Directive (</w:t>
      </w:r>
      <w:r w:rsidR="00DE19F8" w:rsidRPr="0059559C">
        <w:rPr>
          <w:rFonts w:cstheme="minorHAnsi"/>
          <w:sz w:val="24"/>
          <w:szCs w:val="24"/>
        </w:rPr>
        <w:t>ICO, 2012a, p2</w:t>
      </w:r>
      <w:r w:rsidRPr="0059559C">
        <w:rPr>
          <w:rFonts w:cstheme="minorHAnsi"/>
          <w:sz w:val="24"/>
          <w:szCs w:val="24"/>
        </w:rPr>
        <w:t>)</w:t>
      </w:r>
      <w:r w:rsidR="00DE19F8" w:rsidRPr="0059559C">
        <w:rPr>
          <w:rFonts w:cstheme="minorHAnsi"/>
          <w:sz w:val="24"/>
          <w:szCs w:val="24"/>
        </w:rPr>
        <w:t xml:space="preserve">.  </w:t>
      </w:r>
      <w:r w:rsidRPr="0059559C">
        <w:rPr>
          <w:rFonts w:cstheme="minorHAnsi"/>
          <w:sz w:val="24"/>
          <w:szCs w:val="24"/>
        </w:rPr>
        <w:t>It is clear, howev</w:t>
      </w:r>
      <w:r w:rsidR="00DE19F8" w:rsidRPr="0059559C">
        <w:rPr>
          <w:rFonts w:cstheme="minorHAnsi"/>
          <w:sz w:val="24"/>
          <w:szCs w:val="24"/>
        </w:rPr>
        <w:t xml:space="preserve">er, that the ICO is not </w:t>
      </w:r>
      <w:r w:rsidRPr="0059559C">
        <w:rPr>
          <w:rFonts w:cstheme="minorHAnsi"/>
          <w:sz w:val="24"/>
          <w:szCs w:val="24"/>
        </w:rPr>
        <w:t>wholly convinced that the Regulation will achieve all that the Commission suggests.  The more detailed, prescriptive approach detailed in the regulation, an approach which the ICO suggests may not necessarily result in better data protection, is questioned (</w:t>
      </w:r>
      <w:r w:rsidR="006259B8" w:rsidRPr="0059559C">
        <w:rPr>
          <w:rFonts w:cstheme="minorHAnsi"/>
          <w:sz w:val="24"/>
          <w:szCs w:val="24"/>
        </w:rPr>
        <w:t>ICO, 2012a</w:t>
      </w:r>
      <w:r w:rsidRPr="0059559C">
        <w:rPr>
          <w:rFonts w:cstheme="minorHAnsi"/>
          <w:sz w:val="24"/>
          <w:szCs w:val="24"/>
        </w:rPr>
        <w:t xml:space="preserve">).  The ICO further queries whether complete harmonisation is possible or even desirable (noting that key concepts in the law </w:t>
      </w:r>
      <w:r w:rsidR="00DE19F8" w:rsidRPr="0059559C">
        <w:rPr>
          <w:rFonts w:cstheme="minorHAnsi"/>
          <w:sz w:val="24"/>
          <w:szCs w:val="24"/>
        </w:rPr>
        <w:t>such as fairness depend on</w:t>
      </w:r>
      <w:r w:rsidRPr="0059559C">
        <w:rPr>
          <w:rFonts w:cstheme="minorHAnsi"/>
          <w:sz w:val="24"/>
          <w:szCs w:val="24"/>
        </w:rPr>
        <w:t xml:space="preserve"> factors which necessarily vary f</w:t>
      </w:r>
      <w:r w:rsidR="006259B8" w:rsidRPr="0059559C">
        <w:rPr>
          <w:rFonts w:cstheme="minorHAnsi"/>
          <w:sz w:val="24"/>
          <w:szCs w:val="24"/>
        </w:rPr>
        <w:t>rom one member state to another</w:t>
      </w:r>
      <w:r w:rsidRPr="0059559C">
        <w:rPr>
          <w:rFonts w:cstheme="minorHAnsi"/>
          <w:sz w:val="24"/>
          <w:szCs w:val="24"/>
        </w:rPr>
        <w:t xml:space="preserve">). </w:t>
      </w:r>
      <w:r w:rsidR="006259B8" w:rsidRPr="0059559C">
        <w:rPr>
          <w:rFonts w:cstheme="minorHAnsi"/>
          <w:sz w:val="24"/>
          <w:szCs w:val="24"/>
        </w:rPr>
        <w:t xml:space="preserve">Given the current lack of </w:t>
      </w:r>
      <w:r w:rsidR="006259B8" w:rsidRPr="0059559C">
        <w:rPr>
          <w:rFonts w:cstheme="minorHAnsi"/>
          <w:sz w:val="24"/>
          <w:szCs w:val="24"/>
        </w:rPr>
        <w:lastRenderedPageBreak/>
        <w:t xml:space="preserve">harmony of interpretation both of Article 3(2) and Article 9, the issue of harmonisation is a key issue to be considered </w:t>
      </w:r>
      <w:r w:rsidRPr="0059559C">
        <w:rPr>
          <w:rFonts w:cstheme="minorHAnsi"/>
          <w:sz w:val="24"/>
          <w:szCs w:val="24"/>
        </w:rPr>
        <w:t>in the analysis of the new personal/household provision (Article 2(2</w:t>
      </w:r>
      <w:proofErr w:type="gramStart"/>
      <w:r w:rsidRPr="0059559C">
        <w:rPr>
          <w:rFonts w:cstheme="minorHAnsi"/>
          <w:sz w:val="24"/>
          <w:szCs w:val="24"/>
        </w:rPr>
        <w:t>)(</w:t>
      </w:r>
      <w:proofErr w:type="gramEnd"/>
      <w:r w:rsidRPr="0059559C">
        <w:rPr>
          <w:rFonts w:cstheme="minorHAnsi"/>
          <w:sz w:val="24"/>
          <w:szCs w:val="24"/>
        </w:rPr>
        <w:t xml:space="preserve">d)) and the new provision </w:t>
      </w:r>
      <w:r w:rsidR="0096578A" w:rsidRPr="0059559C">
        <w:rPr>
          <w:rFonts w:cstheme="minorHAnsi"/>
          <w:sz w:val="24"/>
          <w:szCs w:val="24"/>
        </w:rPr>
        <w:t>authorising</w:t>
      </w:r>
      <w:r w:rsidRPr="0059559C">
        <w:rPr>
          <w:rFonts w:cstheme="minorHAnsi"/>
          <w:sz w:val="24"/>
          <w:szCs w:val="24"/>
        </w:rPr>
        <w:t xml:space="preserve"> derogation</w:t>
      </w:r>
      <w:r w:rsidR="0096578A" w:rsidRPr="0059559C">
        <w:rPr>
          <w:rFonts w:cstheme="minorHAnsi"/>
          <w:sz w:val="24"/>
          <w:szCs w:val="24"/>
        </w:rPr>
        <w:t>s</w:t>
      </w:r>
      <w:r w:rsidRPr="0059559C">
        <w:rPr>
          <w:rFonts w:cstheme="minorHAnsi"/>
          <w:sz w:val="24"/>
          <w:szCs w:val="24"/>
        </w:rPr>
        <w:t xml:space="preserve"> from the directive in the interest of freedom of expression (Article 80)</w:t>
      </w:r>
      <w:r w:rsidR="00104598" w:rsidRPr="0059559C">
        <w:rPr>
          <w:rFonts w:cstheme="minorHAnsi"/>
          <w:sz w:val="24"/>
          <w:szCs w:val="24"/>
        </w:rPr>
        <w:t>.</w:t>
      </w:r>
    </w:p>
    <w:p w14:paraId="52F4738C" w14:textId="77777777" w:rsidR="00B7722D" w:rsidRPr="0059559C" w:rsidRDefault="00B7722D" w:rsidP="00B7722D">
      <w:pPr>
        <w:spacing w:after="0" w:line="240" w:lineRule="auto"/>
        <w:rPr>
          <w:rFonts w:cstheme="minorHAnsi"/>
          <w:sz w:val="24"/>
          <w:szCs w:val="24"/>
        </w:rPr>
      </w:pPr>
    </w:p>
    <w:p w14:paraId="070190C3" w14:textId="218799DD" w:rsidR="002E5777" w:rsidRPr="0059559C" w:rsidRDefault="00DE7865" w:rsidP="00DE7865">
      <w:pPr>
        <w:ind w:firstLine="720"/>
        <w:rPr>
          <w:rFonts w:cstheme="minorHAnsi"/>
          <w:b/>
          <w:sz w:val="24"/>
          <w:szCs w:val="24"/>
        </w:rPr>
      </w:pPr>
      <w:r w:rsidRPr="0059559C">
        <w:rPr>
          <w:rFonts w:cstheme="minorHAnsi"/>
          <w:b/>
          <w:sz w:val="24"/>
          <w:szCs w:val="24"/>
        </w:rPr>
        <w:t>7.1</w:t>
      </w:r>
      <w:r w:rsidR="00F4049F" w:rsidRPr="0059559C">
        <w:rPr>
          <w:rFonts w:cstheme="minorHAnsi"/>
          <w:b/>
          <w:sz w:val="24"/>
          <w:szCs w:val="24"/>
        </w:rPr>
        <w:tab/>
        <w:t>The revised personal/household exemption</w:t>
      </w:r>
    </w:p>
    <w:p w14:paraId="4B6F8F61" w14:textId="59C0A6D4" w:rsidR="00416AF8" w:rsidRPr="0059559C" w:rsidRDefault="000838CD" w:rsidP="00416AF8">
      <w:pPr>
        <w:rPr>
          <w:rFonts w:cstheme="minorHAnsi"/>
          <w:sz w:val="24"/>
          <w:szCs w:val="24"/>
        </w:rPr>
      </w:pPr>
      <w:r w:rsidRPr="0059559C">
        <w:rPr>
          <w:rFonts w:cstheme="minorHAnsi"/>
          <w:sz w:val="24"/>
          <w:szCs w:val="24"/>
        </w:rPr>
        <w:t>The wording of Article 2(2</w:t>
      </w:r>
      <w:proofErr w:type="gramStart"/>
      <w:r w:rsidRPr="0059559C">
        <w:rPr>
          <w:rFonts w:cstheme="minorHAnsi"/>
          <w:sz w:val="24"/>
          <w:szCs w:val="24"/>
        </w:rPr>
        <w:t>)(</w:t>
      </w:r>
      <w:proofErr w:type="gramEnd"/>
      <w:r w:rsidRPr="0059559C">
        <w:rPr>
          <w:rFonts w:cstheme="minorHAnsi"/>
          <w:sz w:val="24"/>
          <w:szCs w:val="24"/>
        </w:rPr>
        <w:t xml:space="preserve">d) </w:t>
      </w:r>
      <w:r w:rsidR="00F4049F" w:rsidRPr="0059559C">
        <w:rPr>
          <w:rFonts w:cstheme="minorHAnsi"/>
          <w:sz w:val="24"/>
          <w:szCs w:val="24"/>
        </w:rPr>
        <w:t>(</w:t>
      </w:r>
      <w:r w:rsidRPr="0059559C">
        <w:rPr>
          <w:rFonts w:cstheme="minorHAnsi"/>
          <w:sz w:val="24"/>
          <w:szCs w:val="24"/>
        </w:rPr>
        <w:t xml:space="preserve">and </w:t>
      </w:r>
      <w:r w:rsidR="00F4049F" w:rsidRPr="0059559C">
        <w:rPr>
          <w:rFonts w:cstheme="minorHAnsi"/>
          <w:sz w:val="24"/>
          <w:szCs w:val="24"/>
        </w:rPr>
        <w:t xml:space="preserve">of the related </w:t>
      </w:r>
      <w:r w:rsidRPr="0059559C">
        <w:rPr>
          <w:rFonts w:cstheme="minorHAnsi"/>
          <w:sz w:val="24"/>
          <w:szCs w:val="24"/>
        </w:rPr>
        <w:t>Recital 15</w:t>
      </w:r>
      <w:r w:rsidR="00F4049F" w:rsidRPr="0059559C">
        <w:rPr>
          <w:rFonts w:cstheme="minorHAnsi"/>
          <w:sz w:val="24"/>
          <w:szCs w:val="24"/>
        </w:rPr>
        <w:t xml:space="preserve">) </w:t>
      </w:r>
      <w:r w:rsidRPr="0059559C">
        <w:rPr>
          <w:rFonts w:cstheme="minorHAnsi"/>
          <w:sz w:val="24"/>
          <w:szCs w:val="24"/>
        </w:rPr>
        <w:t>have</w:t>
      </w:r>
      <w:r w:rsidR="005E4CCC" w:rsidRPr="0059559C">
        <w:rPr>
          <w:rFonts w:cstheme="minorHAnsi"/>
          <w:sz w:val="24"/>
          <w:szCs w:val="24"/>
        </w:rPr>
        <w:t xml:space="preserve"> </w:t>
      </w:r>
      <w:r w:rsidR="0059559C">
        <w:rPr>
          <w:rFonts w:cstheme="minorHAnsi"/>
          <w:sz w:val="24"/>
          <w:szCs w:val="24"/>
        </w:rPr>
        <w:t>proved to be</w:t>
      </w:r>
      <w:r w:rsidRPr="0059559C">
        <w:rPr>
          <w:rFonts w:cstheme="minorHAnsi"/>
          <w:sz w:val="24"/>
          <w:szCs w:val="24"/>
        </w:rPr>
        <w:t xml:space="preserve"> </w:t>
      </w:r>
      <w:r w:rsidR="0059559C">
        <w:rPr>
          <w:rFonts w:cstheme="minorHAnsi"/>
          <w:sz w:val="24"/>
          <w:szCs w:val="24"/>
        </w:rPr>
        <w:t xml:space="preserve">a </w:t>
      </w:r>
      <w:r w:rsidRPr="0059559C">
        <w:rPr>
          <w:rFonts w:cstheme="minorHAnsi"/>
          <w:sz w:val="24"/>
          <w:szCs w:val="24"/>
        </w:rPr>
        <w:t xml:space="preserve">subject of </w:t>
      </w:r>
      <w:r w:rsidR="0059559C">
        <w:rPr>
          <w:rFonts w:cstheme="minorHAnsi"/>
          <w:sz w:val="24"/>
          <w:szCs w:val="24"/>
        </w:rPr>
        <w:t>some contention</w:t>
      </w:r>
      <w:r w:rsidR="00DE7865" w:rsidRPr="0059559C">
        <w:rPr>
          <w:rFonts w:cstheme="minorHAnsi"/>
          <w:sz w:val="24"/>
          <w:szCs w:val="24"/>
        </w:rPr>
        <w:t xml:space="preserve"> </w:t>
      </w:r>
      <w:r w:rsidR="009A325F">
        <w:rPr>
          <w:rFonts w:cstheme="minorHAnsi"/>
          <w:sz w:val="24"/>
          <w:szCs w:val="24"/>
        </w:rPr>
        <w:t>for those involved in</w:t>
      </w:r>
      <w:r w:rsidR="00DE7865" w:rsidRPr="0059559C">
        <w:rPr>
          <w:rFonts w:cstheme="minorHAnsi"/>
          <w:sz w:val="24"/>
          <w:szCs w:val="24"/>
        </w:rPr>
        <w:t xml:space="preserve"> the process of agreeing the new regulation.  </w:t>
      </w:r>
      <w:r w:rsidR="005E4CCC" w:rsidRPr="0059559C">
        <w:rPr>
          <w:rFonts w:cstheme="minorHAnsi"/>
          <w:sz w:val="24"/>
          <w:szCs w:val="24"/>
        </w:rPr>
        <w:t>T</w:t>
      </w:r>
      <w:r w:rsidR="00F4049F" w:rsidRPr="0059559C">
        <w:rPr>
          <w:rFonts w:cstheme="minorHAnsi"/>
          <w:sz w:val="24"/>
          <w:szCs w:val="24"/>
        </w:rPr>
        <w:t>his is to be expected given current divergences in approach</w:t>
      </w:r>
      <w:r w:rsidR="005E4CCC" w:rsidRPr="0059559C">
        <w:rPr>
          <w:rFonts w:cstheme="minorHAnsi"/>
          <w:sz w:val="24"/>
          <w:szCs w:val="24"/>
        </w:rPr>
        <w:t xml:space="preserve"> to the personal/household exemption. Article 2(2)(d), as originally drafted by the Commission stated simply that the Regulation ‘does not apply to the processing of personal data … (d) by a natural person without any gainful interest in the course of its own exclusively personal or household activity.’  </w:t>
      </w:r>
      <w:r w:rsidR="00416AF8" w:rsidRPr="0059559C">
        <w:rPr>
          <w:rFonts w:cstheme="minorHAnsi"/>
          <w:sz w:val="24"/>
          <w:szCs w:val="24"/>
        </w:rPr>
        <w:t xml:space="preserve">In its earliest iteration Recital 15 stated </w:t>
      </w:r>
      <w:r w:rsidR="005E4CCC" w:rsidRPr="0059559C">
        <w:rPr>
          <w:rFonts w:cstheme="minorHAnsi"/>
          <w:sz w:val="24"/>
          <w:szCs w:val="24"/>
        </w:rPr>
        <w:t xml:space="preserve">similarly </w:t>
      </w:r>
      <w:r w:rsidR="00416AF8" w:rsidRPr="0059559C">
        <w:rPr>
          <w:rFonts w:cstheme="minorHAnsi"/>
          <w:sz w:val="24"/>
          <w:szCs w:val="24"/>
        </w:rPr>
        <w:t>that the Regulation ‘should not apply to processing of personal data by a natural person, which are exclusively personal or domestic, such as correspondence and the holding of addresses, and without any gainful interest and thus without any connection with a professional or commercial activity. The exemption should also not apply to controllers or processors which provide the means for processing personal data for such personal or domestic activities.</w:t>
      </w:r>
      <w:r w:rsidR="005E4CCC" w:rsidRPr="0059559C">
        <w:rPr>
          <w:rFonts w:cstheme="minorHAnsi"/>
          <w:sz w:val="24"/>
          <w:szCs w:val="24"/>
        </w:rPr>
        <w:t>’</w:t>
      </w:r>
    </w:p>
    <w:p w14:paraId="11DC607F" w14:textId="77777777" w:rsidR="00701E92" w:rsidRPr="0059559C" w:rsidRDefault="005E4CCC" w:rsidP="005E4CCC">
      <w:pPr>
        <w:rPr>
          <w:rFonts w:cstheme="minorHAnsi"/>
          <w:sz w:val="24"/>
          <w:szCs w:val="24"/>
        </w:rPr>
      </w:pPr>
      <w:r w:rsidRPr="0059559C">
        <w:rPr>
          <w:rFonts w:cstheme="minorHAnsi"/>
          <w:sz w:val="24"/>
          <w:szCs w:val="24"/>
        </w:rPr>
        <w:t>The application of the exemption to the online sphere was thus not explicitly addressed by the Commission in the initial version of the Regulation (at best it is hinted at in the final sentence of the recital).  The undoubted problem with this first iteration of the Regulation, therefore, was that it quite simply left wide open the question of whether Article 2(2</w:t>
      </w:r>
      <w:proofErr w:type="gramStart"/>
      <w:r w:rsidRPr="0059559C">
        <w:rPr>
          <w:rFonts w:cstheme="minorHAnsi"/>
          <w:sz w:val="24"/>
          <w:szCs w:val="24"/>
        </w:rPr>
        <w:t>)(</w:t>
      </w:r>
      <w:proofErr w:type="gramEnd"/>
      <w:r w:rsidRPr="0059559C">
        <w:rPr>
          <w:rFonts w:cstheme="minorHAnsi"/>
          <w:sz w:val="24"/>
          <w:szCs w:val="24"/>
        </w:rPr>
        <w:t>d)</w:t>
      </w:r>
      <w:r w:rsidR="00F4049F" w:rsidRPr="0059559C">
        <w:rPr>
          <w:rFonts w:cstheme="minorHAnsi"/>
          <w:sz w:val="24"/>
          <w:szCs w:val="24"/>
        </w:rPr>
        <w:t xml:space="preserve"> never applies within </w:t>
      </w:r>
      <w:r w:rsidRPr="0059559C">
        <w:rPr>
          <w:rFonts w:cstheme="minorHAnsi"/>
          <w:sz w:val="24"/>
          <w:szCs w:val="24"/>
        </w:rPr>
        <w:t xml:space="preserve">the online sphere (as </w:t>
      </w:r>
      <w:proofErr w:type="spellStart"/>
      <w:r w:rsidRPr="0059559C">
        <w:rPr>
          <w:rFonts w:cstheme="minorHAnsi"/>
          <w:sz w:val="24"/>
          <w:szCs w:val="24"/>
        </w:rPr>
        <w:t>Lin</w:t>
      </w:r>
      <w:r w:rsidR="00F4049F" w:rsidRPr="0059559C">
        <w:rPr>
          <w:rFonts w:cstheme="minorHAnsi"/>
          <w:sz w:val="24"/>
          <w:szCs w:val="24"/>
        </w:rPr>
        <w:t>d</w:t>
      </w:r>
      <w:r w:rsidRPr="0059559C">
        <w:rPr>
          <w:rFonts w:cstheme="minorHAnsi"/>
          <w:sz w:val="24"/>
          <w:szCs w:val="24"/>
        </w:rPr>
        <w:t>qvist</w:t>
      </w:r>
      <w:proofErr w:type="spellEnd"/>
      <w:r w:rsidRPr="0059559C">
        <w:rPr>
          <w:rFonts w:cstheme="minorHAnsi"/>
          <w:sz w:val="24"/>
          <w:szCs w:val="24"/>
        </w:rPr>
        <w:t xml:space="preserve"> suggests), </w:t>
      </w:r>
      <w:r w:rsidR="00F4049F" w:rsidRPr="0059559C">
        <w:rPr>
          <w:rFonts w:cstheme="minorHAnsi"/>
          <w:sz w:val="24"/>
          <w:szCs w:val="24"/>
        </w:rPr>
        <w:t xml:space="preserve">instead </w:t>
      </w:r>
      <w:r w:rsidRPr="0059559C">
        <w:rPr>
          <w:rFonts w:cstheme="minorHAnsi"/>
          <w:sz w:val="24"/>
          <w:szCs w:val="24"/>
        </w:rPr>
        <w:t xml:space="preserve">applies to all individuals processing information online in the course of personal activities (the ICO approach) or </w:t>
      </w:r>
      <w:r w:rsidR="00F4049F" w:rsidRPr="0059559C">
        <w:rPr>
          <w:rFonts w:cstheme="minorHAnsi"/>
          <w:sz w:val="24"/>
          <w:szCs w:val="24"/>
        </w:rPr>
        <w:t xml:space="preserve">alternatively applies </w:t>
      </w:r>
      <w:r w:rsidRPr="0059559C">
        <w:rPr>
          <w:rFonts w:cstheme="minorHAnsi"/>
          <w:sz w:val="24"/>
          <w:szCs w:val="24"/>
        </w:rPr>
        <w:t>only to certain individuals (as the Working Party suggests).  Surprisingly, however, it was</w:t>
      </w:r>
      <w:r w:rsidR="003029C6" w:rsidRPr="0059559C">
        <w:rPr>
          <w:rFonts w:cstheme="minorHAnsi"/>
          <w:sz w:val="24"/>
          <w:szCs w:val="24"/>
        </w:rPr>
        <w:t xml:space="preserve"> the phrase ‘without any gainful interest’, </w:t>
      </w:r>
      <w:r w:rsidRPr="0059559C">
        <w:rPr>
          <w:rFonts w:cstheme="minorHAnsi"/>
          <w:sz w:val="24"/>
          <w:szCs w:val="24"/>
        </w:rPr>
        <w:t xml:space="preserve">which seemed initially to cause </w:t>
      </w:r>
      <w:r w:rsidR="003029C6" w:rsidRPr="0059559C">
        <w:rPr>
          <w:rFonts w:cstheme="minorHAnsi"/>
          <w:sz w:val="24"/>
          <w:szCs w:val="24"/>
        </w:rPr>
        <w:t xml:space="preserve">most </w:t>
      </w:r>
      <w:r w:rsidRPr="0059559C">
        <w:rPr>
          <w:rFonts w:cstheme="minorHAnsi"/>
          <w:sz w:val="24"/>
          <w:szCs w:val="24"/>
        </w:rPr>
        <w:t>offence</w:t>
      </w:r>
      <w:r w:rsidR="003029C6" w:rsidRPr="0059559C">
        <w:rPr>
          <w:rFonts w:cstheme="minorHAnsi"/>
          <w:sz w:val="24"/>
          <w:szCs w:val="24"/>
        </w:rPr>
        <w:t xml:space="preserve"> both to the European Parliament </w:t>
      </w:r>
      <w:r w:rsidR="00783E2F" w:rsidRPr="0059559C">
        <w:rPr>
          <w:rFonts w:cstheme="minorHAnsi"/>
          <w:sz w:val="24"/>
          <w:szCs w:val="24"/>
        </w:rPr>
        <w:t xml:space="preserve">(European Parliament, 2012), </w:t>
      </w:r>
      <w:r w:rsidR="003029C6" w:rsidRPr="0059559C">
        <w:rPr>
          <w:rFonts w:cstheme="minorHAnsi"/>
          <w:sz w:val="24"/>
          <w:szCs w:val="24"/>
        </w:rPr>
        <w:t>and to the ICO</w:t>
      </w:r>
      <w:r w:rsidR="00783E2F" w:rsidRPr="0059559C">
        <w:rPr>
          <w:rFonts w:cstheme="minorHAnsi"/>
          <w:sz w:val="24"/>
          <w:szCs w:val="24"/>
        </w:rPr>
        <w:t xml:space="preserve"> (ICO, 2012a)</w:t>
      </w:r>
      <w:r w:rsidRPr="0059559C">
        <w:rPr>
          <w:rFonts w:cstheme="minorHAnsi"/>
          <w:sz w:val="24"/>
          <w:szCs w:val="24"/>
        </w:rPr>
        <w:t>,</w:t>
      </w:r>
      <w:r w:rsidR="00783E2F" w:rsidRPr="0059559C">
        <w:rPr>
          <w:rFonts w:cstheme="minorHAnsi"/>
          <w:sz w:val="24"/>
          <w:szCs w:val="24"/>
        </w:rPr>
        <w:t xml:space="preserve"> both of whom recognised that a natural person who processes </w:t>
      </w:r>
      <w:r w:rsidR="00783E2F" w:rsidRPr="0059559C">
        <w:rPr>
          <w:sz w:val="24"/>
          <w:szCs w:val="24"/>
        </w:rPr>
        <w:t>personal data for private and household purposes may sometimes have a gainful interest in doing so (e.g. when selling private belongings to other private persons) but that such a person should still fall outside the Regulation provided there is no connection to a professional or commercial activity.</w:t>
      </w:r>
      <w:r w:rsidR="003029C6" w:rsidRPr="0059559C">
        <w:rPr>
          <w:rFonts w:cstheme="minorHAnsi"/>
          <w:sz w:val="24"/>
          <w:szCs w:val="24"/>
        </w:rPr>
        <w:t xml:space="preserve"> </w:t>
      </w:r>
    </w:p>
    <w:p w14:paraId="5D24B36E" w14:textId="5C675A10" w:rsidR="00552839" w:rsidRPr="0059559C" w:rsidRDefault="00DE7865" w:rsidP="00416AF8">
      <w:pPr>
        <w:spacing w:after="0" w:line="240" w:lineRule="auto"/>
        <w:rPr>
          <w:rFonts w:cstheme="minorHAnsi"/>
          <w:sz w:val="24"/>
          <w:szCs w:val="24"/>
        </w:rPr>
      </w:pPr>
      <w:r w:rsidRPr="0059559C">
        <w:rPr>
          <w:rFonts w:cstheme="minorHAnsi"/>
          <w:sz w:val="24"/>
          <w:szCs w:val="24"/>
        </w:rPr>
        <w:t xml:space="preserve">The </w:t>
      </w:r>
      <w:r w:rsidR="005E4CCC" w:rsidRPr="0059559C">
        <w:rPr>
          <w:rFonts w:cstheme="minorHAnsi"/>
          <w:sz w:val="24"/>
          <w:szCs w:val="24"/>
        </w:rPr>
        <w:t xml:space="preserve">amended version of Article 2(2) and Recital 15, approved by the European Parliament in March 2014 </w:t>
      </w:r>
      <w:r w:rsidR="0059559C">
        <w:rPr>
          <w:rFonts w:cstheme="minorHAnsi"/>
          <w:sz w:val="24"/>
          <w:szCs w:val="24"/>
        </w:rPr>
        <w:t>made</w:t>
      </w:r>
      <w:r w:rsidR="005E4CCC" w:rsidRPr="0059559C">
        <w:rPr>
          <w:rFonts w:cstheme="minorHAnsi"/>
          <w:sz w:val="24"/>
          <w:szCs w:val="24"/>
        </w:rPr>
        <w:t xml:space="preserve"> no reference to ‘gainful interest.’ Indeed</w:t>
      </w:r>
      <w:r w:rsidRPr="0059559C">
        <w:rPr>
          <w:rFonts w:cstheme="minorHAnsi"/>
          <w:sz w:val="24"/>
          <w:szCs w:val="24"/>
        </w:rPr>
        <w:t xml:space="preserve"> the European Parliament’s version of</w:t>
      </w:r>
      <w:r w:rsidR="005E4CCC" w:rsidRPr="0059559C">
        <w:rPr>
          <w:rFonts w:cstheme="minorHAnsi"/>
          <w:sz w:val="24"/>
          <w:szCs w:val="24"/>
        </w:rPr>
        <w:t xml:space="preserve"> Article 2(2</w:t>
      </w:r>
      <w:proofErr w:type="gramStart"/>
      <w:r w:rsidR="005E4CCC" w:rsidRPr="0059559C">
        <w:rPr>
          <w:rFonts w:cstheme="minorHAnsi"/>
          <w:sz w:val="24"/>
          <w:szCs w:val="24"/>
        </w:rPr>
        <w:t>)(</w:t>
      </w:r>
      <w:proofErr w:type="gramEnd"/>
      <w:r w:rsidR="005E4CCC" w:rsidRPr="0059559C">
        <w:rPr>
          <w:rFonts w:cstheme="minorHAnsi"/>
          <w:sz w:val="24"/>
          <w:szCs w:val="24"/>
        </w:rPr>
        <w:t xml:space="preserve">d) </w:t>
      </w:r>
      <w:r w:rsidRPr="0059559C">
        <w:rPr>
          <w:rFonts w:cstheme="minorHAnsi"/>
          <w:sz w:val="24"/>
          <w:szCs w:val="24"/>
        </w:rPr>
        <w:t>revealed</w:t>
      </w:r>
      <w:r w:rsidR="005E4CCC" w:rsidRPr="0059559C">
        <w:rPr>
          <w:rFonts w:cstheme="minorHAnsi"/>
          <w:sz w:val="24"/>
          <w:szCs w:val="24"/>
        </w:rPr>
        <w:t xml:space="preserve"> little difference to the original Article 3(2).  </w:t>
      </w:r>
      <w:r w:rsidR="008B4F0E" w:rsidRPr="0059559C">
        <w:rPr>
          <w:rFonts w:cstheme="minorHAnsi"/>
          <w:sz w:val="24"/>
          <w:szCs w:val="24"/>
        </w:rPr>
        <w:t xml:space="preserve">The most important </w:t>
      </w:r>
      <w:r w:rsidR="005E4CCC" w:rsidRPr="0059559C">
        <w:rPr>
          <w:rFonts w:cstheme="minorHAnsi"/>
          <w:sz w:val="24"/>
          <w:szCs w:val="24"/>
        </w:rPr>
        <w:t>change</w:t>
      </w:r>
      <w:r w:rsidR="008B4F0E" w:rsidRPr="0059559C">
        <w:rPr>
          <w:rFonts w:cstheme="minorHAnsi"/>
          <w:sz w:val="24"/>
          <w:szCs w:val="24"/>
        </w:rPr>
        <w:t>s</w:t>
      </w:r>
      <w:r w:rsidR="005E4CCC" w:rsidRPr="0059559C">
        <w:rPr>
          <w:rFonts w:cstheme="minorHAnsi"/>
          <w:sz w:val="24"/>
          <w:szCs w:val="24"/>
        </w:rPr>
        <w:t xml:space="preserve">, </w:t>
      </w:r>
      <w:r w:rsidR="008B4F0E" w:rsidRPr="0059559C">
        <w:rPr>
          <w:rFonts w:cstheme="minorHAnsi"/>
          <w:sz w:val="24"/>
          <w:szCs w:val="24"/>
        </w:rPr>
        <w:t>were</w:t>
      </w:r>
      <w:r w:rsidR="005E4CCC" w:rsidRPr="0059559C">
        <w:rPr>
          <w:rFonts w:cstheme="minorHAnsi"/>
          <w:sz w:val="24"/>
          <w:szCs w:val="24"/>
        </w:rPr>
        <w:t xml:space="preserve"> that the </w:t>
      </w:r>
      <w:r w:rsidRPr="0059559C">
        <w:rPr>
          <w:rFonts w:cstheme="minorHAnsi"/>
          <w:sz w:val="24"/>
          <w:szCs w:val="24"/>
        </w:rPr>
        <w:t>revised draft provision referred</w:t>
      </w:r>
      <w:r w:rsidR="005E4CCC" w:rsidRPr="0059559C">
        <w:rPr>
          <w:rFonts w:cstheme="minorHAnsi"/>
          <w:sz w:val="24"/>
          <w:szCs w:val="24"/>
        </w:rPr>
        <w:t xml:space="preserve"> to ‘processing … by a natural person in the course of </w:t>
      </w:r>
      <w:r w:rsidR="005E4CCC" w:rsidRPr="0059559C">
        <w:rPr>
          <w:rFonts w:cstheme="minorHAnsi"/>
          <w:i/>
          <w:sz w:val="24"/>
          <w:szCs w:val="24"/>
        </w:rPr>
        <w:t xml:space="preserve">its own exclusively </w:t>
      </w:r>
      <w:r w:rsidR="005E4CCC" w:rsidRPr="0059559C">
        <w:rPr>
          <w:rFonts w:cstheme="minorHAnsi"/>
          <w:sz w:val="24"/>
          <w:szCs w:val="24"/>
        </w:rPr>
        <w:t xml:space="preserve">personal or household activity’ as opposed to processing ‘in the course of a </w:t>
      </w:r>
      <w:r w:rsidR="005E4CCC" w:rsidRPr="0059559C">
        <w:rPr>
          <w:rFonts w:cstheme="minorHAnsi"/>
          <w:i/>
          <w:sz w:val="24"/>
          <w:szCs w:val="24"/>
        </w:rPr>
        <w:t xml:space="preserve">‘purely </w:t>
      </w:r>
      <w:r w:rsidR="005E4CCC" w:rsidRPr="0059559C">
        <w:rPr>
          <w:rFonts w:cstheme="minorHAnsi"/>
          <w:sz w:val="24"/>
          <w:szCs w:val="24"/>
        </w:rPr>
        <w:t>personal or household activity’.</w:t>
      </w:r>
      <w:r w:rsidR="00552839" w:rsidRPr="0059559C">
        <w:rPr>
          <w:rFonts w:cstheme="minorHAnsi"/>
          <w:sz w:val="24"/>
          <w:szCs w:val="24"/>
        </w:rPr>
        <w:t xml:space="preserve">  The Parliament also suggested that the exemption should only apply where it could be reasonably expected that the publication of data would only be accessed by a limited number of persons.  I</w:t>
      </w:r>
      <w:r w:rsidR="00701E92" w:rsidRPr="0059559C">
        <w:rPr>
          <w:rFonts w:cstheme="minorHAnsi"/>
          <w:sz w:val="24"/>
          <w:szCs w:val="24"/>
        </w:rPr>
        <w:t>mportantly</w:t>
      </w:r>
      <w:r w:rsidR="003029C6" w:rsidRPr="0059559C">
        <w:rPr>
          <w:rFonts w:cstheme="minorHAnsi"/>
          <w:sz w:val="24"/>
          <w:szCs w:val="24"/>
        </w:rPr>
        <w:t xml:space="preserve">, </w:t>
      </w:r>
      <w:r w:rsidR="005E4CCC" w:rsidRPr="0059559C">
        <w:rPr>
          <w:rFonts w:cstheme="minorHAnsi"/>
          <w:sz w:val="24"/>
          <w:szCs w:val="24"/>
        </w:rPr>
        <w:t xml:space="preserve">the European Parliament </w:t>
      </w:r>
      <w:r w:rsidR="00552839" w:rsidRPr="0059559C">
        <w:rPr>
          <w:rFonts w:cstheme="minorHAnsi"/>
          <w:sz w:val="24"/>
          <w:szCs w:val="24"/>
        </w:rPr>
        <w:t xml:space="preserve">also </w:t>
      </w:r>
      <w:r w:rsidR="005E4CCC" w:rsidRPr="0059559C">
        <w:rPr>
          <w:rFonts w:cstheme="minorHAnsi"/>
          <w:sz w:val="24"/>
          <w:szCs w:val="24"/>
        </w:rPr>
        <w:t>made significant changes to the Recital to address</w:t>
      </w:r>
      <w:r w:rsidR="003029C6" w:rsidRPr="0059559C">
        <w:rPr>
          <w:rFonts w:cstheme="minorHAnsi"/>
          <w:sz w:val="24"/>
          <w:szCs w:val="24"/>
        </w:rPr>
        <w:t xml:space="preserve"> the </w:t>
      </w:r>
      <w:r w:rsidR="005E4CCC" w:rsidRPr="0059559C">
        <w:rPr>
          <w:rFonts w:cstheme="minorHAnsi"/>
          <w:sz w:val="24"/>
          <w:szCs w:val="24"/>
        </w:rPr>
        <w:t xml:space="preserve">vital </w:t>
      </w:r>
      <w:r w:rsidR="003029C6" w:rsidRPr="0059559C">
        <w:rPr>
          <w:rFonts w:cstheme="minorHAnsi"/>
          <w:sz w:val="24"/>
          <w:szCs w:val="24"/>
        </w:rPr>
        <w:t>need to clarify how, and whether the exempti</w:t>
      </w:r>
      <w:r w:rsidR="00552839" w:rsidRPr="0059559C">
        <w:rPr>
          <w:rFonts w:cstheme="minorHAnsi"/>
          <w:sz w:val="24"/>
          <w:szCs w:val="24"/>
        </w:rPr>
        <w:t>on applied</w:t>
      </w:r>
      <w:r w:rsidR="005E4CCC" w:rsidRPr="0059559C">
        <w:rPr>
          <w:rFonts w:cstheme="minorHAnsi"/>
          <w:sz w:val="24"/>
          <w:szCs w:val="24"/>
        </w:rPr>
        <w:t xml:space="preserve"> to the online sphere</w:t>
      </w:r>
      <w:r w:rsidR="00E37DD8" w:rsidRPr="0059559C">
        <w:rPr>
          <w:rFonts w:cstheme="minorHAnsi"/>
          <w:sz w:val="24"/>
          <w:szCs w:val="24"/>
        </w:rPr>
        <w:t xml:space="preserve"> (European Parliament, 2012)</w:t>
      </w:r>
      <w:r w:rsidR="005E4CCC" w:rsidRPr="0059559C">
        <w:rPr>
          <w:rFonts w:cstheme="minorHAnsi"/>
          <w:sz w:val="24"/>
          <w:szCs w:val="24"/>
        </w:rPr>
        <w:t xml:space="preserve">.  </w:t>
      </w:r>
      <w:r w:rsidR="00552839" w:rsidRPr="0059559C">
        <w:rPr>
          <w:rFonts w:cstheme="minorHAnsi"/>
          <w:sz w:val="24"/>
          <w:szCs w:val="24"/>
        </w:rPr>
        <w:t xml:space="preserve">Taking the Parliament’s wording of Article </w:t>
      </w:r>
      <w:r w:rsidR="00552839" w:rsidRPr="0059559C">
        <w:rPr>
          <w:rFonts w:cstheme="minorHAnsi"/>
          <w:sz w:val="24"/>
          <w:szCs w:val="24"/>
        </w:rPr>
        <w:lastRenderedPageBreak/>
        <w:t xml:space="preserve">3(2) and Recital 15 together, therefore, the personal/household exemption, undoubtedly moved much closer to the interpretation of Article 3(2) that is currently found in UK law, which sees s36 being used as a vehicle by which to recognise individuals’ rights to freedom of expression.  At the same time, however, it sensibly also </w:t>
      </w:r>
      <w:r w:rsidR="008B4F0E" w:rsidRPr="0059559C">
        <w:rPr>
          <w:rFonts w:cstheme="minorHAnsi"/>
          <w:sz w:val="24"/>
          <w:szCs w:val="24"/>
        </w:rPr>
        <w:t>recognised</w:t>
      </w:r>
      <w:r w:rsidR="00552839" w:rsidRPr="0059559C">
        <w:rPr>
          <w:rFonts w:cstheme="minorHAnsi"/>
          <w:sz w:val="24"/>
          <w:szCs w:val="24"/>
        </w:rPr>
        <w:t xml:space="preserve"> the logic of the Working Party opinion, the need to recognise that widespread online sharing, by definition, may not always be ‘personal’.  It thus </w:t>
      </w:r>
      <w:r w:rsidR="0059559C">
        <w:rPr>
          <w:rFonts w:cstheme="minorHAnsi"/>
          <w:sz w:val="24"/>
          <w:szCs w:val="24"/>
        </w:rPr>
        <w:t>specifically addressed</w:t>
      </w:r>
      <w:r w:rsidR="00552839" w:rsidRPr="0059559C">
        <w:rPr>
          <w:rFonts w:cstheme="minorHAnsi"/>
          <w:sz w:val="24"/>
          <w:szCs w:val="24"/>
        </w:rPr>
        <w:t xml:space="preserve"> one of the key concerns raised by the ICO when the Regulation was first published, that the Regulation should</w:t>
      </w:r>
      <w:r w:rsidR="00552839" w:rsidRPr="0059559C">
        <w:rPr>
          <w:rFonts w:cstheme="minorHAnsi"/>
          <w:i/>
          <w:sz w:val="24"/>
          <w:szCs w:val="24"/>
        </w:rPr>
        <w:t xml:space="preserve"> explicitly</w:t>
      </w:r>
      <w:r w:rsidR="00552839" w:rsidRPr="0059559C">
        <w:rPr>
          <w:rFonts w:cstheme="minorHAnsi"/>
          <w:sz w:val="24"/>
          <w:szCs w:val="24"/>
        </w:rPr>
        <w:t xml:space="preserve"> consider whether the activities of individuals processing personal data online, about themselves and others, should fall within the personal/household exemption.  </w:t>
      </w:r>
    </w:p>
    <w:p w14:paraId="5E447A90" w14:textId="3EACEC01" w:rsidR="0059559C" w:rsidRPr="0059559C" w:rsidRDefault="00552839" w:rsidP="0059559C">
      <w:pPr>
        <w:pStyle w:val="NormalWeb"/>
        <w:rPr>
          <w:rFonts w:asciiTheme="minorHAnsi" w:hAnsiTheme="minorHAnsi" w:cstheme="minorHAnsi"/>
        </w:rPr>
      </w:pPr>
      <w:r w:rsidRPr="0059559C">
        <w:rPr>
          <w:rFonts w:asciiTheme="minorHAnsi" w:hAnsiTheme="minorHAnsi" w:cstheme="minorHAnsi"/>
        </w:rPr>
        <w:t xml:space="preserve">What the final version of Article </w:t>
      </w:r>
      <w:r w:rsidR="008B4F0E" w:rsidRPr="0059559C">
        <w:rPr>
          <w:rFonts w:asciiTheme="minorHAnsi" w:hAnsiTheme="minorHAnsi" w:cstheme="minorHAnsi"/>
        </w:rPr>
        <w:t>2</w:t>
      </w:r>
      <w:r w:rsidRPr="0059559C">
        <w:rPr>
          <w:rFonts w:asciiTheme="minorHAnsi" w:hAnsiTheme="minorHAnsi" w:cstheme="minorHAnsi"/>
        </w:rPr>
        <w:t xml:space="preserve">(2) </w:t>
      </w:r>
      <w:r w:rsidR="008B4F0E" w:rsidRPr="0059559C">
        <w:rPr>
          <w:rFonts w:asciiTheme="minorHAnsi" w:hAnsiTheme="minorHAnsi" w:cstheme="minorHAnsi"/>
        </w:rPr>
        <w:t>and Recital 15</w:t>
      </w:r>
      <w:r w:rsidRPr="0059559C">
        <w:rPr>
          <w:rFonts w:asciiTheme="minorHAnsi" w:hAnsiTheme="minorHAnsi" w:cstheme="minorHAnsi"/>
        </w:rPr>
        <w:t xml:space="preserve"> will </w:t>
      </w:r>
      <w:r w:rsidR="008B4F0E" w:rsidRPr="0059559C">
        <w:rPr>
          <w:rFonts w:asciiTheme="minorHAnsi" w:hAnsiTheme="minorHAnsi" w:cstheme="minorHAnsi"/>
        </w:rPr>
        <w:t xml:space="preserve">look like is as yet unclear.   The Council of Ministers is in apparent agreement with the European Parliament that the application of the personal and household exemption to the online sphere needed clarifying.  The </w:t>
      </w:r>
      <w:r w:rsidR="009A325F">
        <w:rPr>
          <w:rFonts w:asciiTheme="minorHAnsi" w:hAnsiTheme="minorHAnsi" w:cstheme="minorHAnsi"/>
        </w:rPr>
        <w:t>most recent</w:t>
      </w:r>
      <w:r w:rsidR="008B4F0E" w:rsidRPr="0059559C">
        <w:rPr>
          <w:rFonts w:asciiTheme="minorHAnsi" w:hAnsiTheme="minorHAnsi" w:cstheme="minorHAnsi"/>
        </w:rPr>
        <w:t xml:space="preserve"> version of the regulation </w:t>
      </w:r>
      <w:r w:rsidR="009A325F">
        <w:rPr>
          <w:rFonts w:asciiTheme="minorHAnsi" w:hAnsiTheme="minorHAnsi" w:cstheme="minorHAnsi"/>
        </w:rPr>
        <w:t xml:space="preserve">proposed by the Council </w:t>
      </w:r>
      <w:r w:rsidR="008B4F0E" w:rsidRPr="0059559C">
        <w:rPr>
          <w:rFonts w:asciiTheme="minorHAnsi" w:hAnsiTheme="minorHAnsi" w:cstheme="minorHAnsi"/>
        </w:rPr>
        <w:t xml:space="preserve">thus retains the following sentence in Recital 15; ‘Personal and household activities include social networking and on-line activity undertaken within the context of such personal and household activities.’ The </w:t>
      </w:r>
      <w:r w:rsidR="0059559C">
        <w:rPr>
          <w:rFonts w:asciiTheme="minorHAnsi" w:hAnsiTheme="minorHAnsi" w:cstheme="minorHAnsi"/>
        </w:rPr>
        <w:t xml:space="preserve">Parliament’s </w:t>
      </w:r>
      <w:r w:rsidR="008B4F0E" w:rsidRPr="0059559C">
        <w:rPr>
          <w:rFonts w:asciiTheme="minorHAnsi" w:hAnsiTheme="minorHAnsi" w:cstheme="minorHAnsi"/>
        </w:rPr>
        <w:t xml:space="preserve">wording of Article 2(2) has, however, been changed by the Council of Ministers.  The wording of the personal and household exemption proposed </w:t>
      </w:r>
      <w:r w:rsidR="0059559C">
        <w:rPr>
          <w:rFonts w:asciiTheme="minorHAnsi" w:hAnsiTheme="minorHAnsi" w:cstheme="minorHAnsi"/>
        </w:rPr>
        <w:t>by the Ministers now</w:t>
      </w:r>
      <w:r w:rsidR="008B4F0E" w:rsidRPr="0059559C">
        <w:rPr>
          <w:rFonts w:asciiTheme="minorHAnsi" w:hAnsiTheme="minorHAnsi" w:cstheme="minorHAnsi"/>
        </w:rPr>
        <w:t xml:space="preserve"> states that ‘the Regulation does not apply to the processing of personal data … by a natural person in the course of a personal or household activity.’  </w:t>
      </w:r>
    </w:p>
    <w:p w14:paraId="08B6FD89" w14:textId="0AE6BF6E" w:rsidR="0059559C" w:rsidRPr="0059559C" w:rsidRDefault="008B4F0E" w:rsidP="0059559C">
      <w:pPr>
        <w:pStyle w:val="NormalWeb"/>
        <w:rPr>
          <w:rFonts w:asciiTheme="minorHAnsi" w:hAnsiTheme="minorHAnsi"/>
        </w:rPr>
      </w:pPr>
      <w:r w:rsidRPr="0059559C">
        <w:rPr>
          <w:rFonts w:asciiTheme="minorHAnsi" w:hAnsiTheme="minorHAnsi" w:cstheme="minorHAnsi"/>
        </w:rPr>
        <w:t>Potentially significant changes have</w:t>
      </w:r>
      <w:r w:rsidR="009A325F">
        <w:rPr>
          <w:rFonts w:asciiTheme="minorHAnsi" w:hAnsiTheme="minorHAnsi" w:cstheme="minorHAnsi"/>
        </w:rPr>
        <w:t xml:space="preserve"> thus</w:t>
      </w:r>
      <w:r w:rsidRPr="0059559C">
        <w:rPr>
          <w:rFonts w:asciiTheme="minorHAnsi" w:hAnsiTheme="minorHAnsi" w:cstheme="minorHAnsi"/>
        </w:rPr>
        <w:t xml:space="preserve"> been made to the Parliament’s version.  The Parliament’s version of Article </w:t>
      </w:r>
      <w:r w:rsidR="0059559C">
        <w:rPr>
          <w:rFonts w:asciiTheme="minorHAnsi" w:hAnsiTheme="minorHAnsi" w:cstheme="minorHAnsi"/>
        </w:rPr>
        <w:t>2(2) using</w:t>
      </w:r>
      <w:r w:rsidRPr="0059559C">
        <w:rPr>
          <w:rFonts w:asciiTheme="minorHAnsi" w:hAnsiTheme="minorHAnsi" w:cstheme="minorHAnsi"/>
        </w:rPr>
        <w:t xml:space="preserve"> </w:t>
      </w:r>
      <w:r w:rsidRPr="0059559C">
        <w:rPr>
          <w:rFonts w:asciiTheme="minorHAnsi" w:hAnsiTheme="minorHAnsi"/>
        </w:rPr>
        <w:t>the word “</w:t>
      </w:r>
      <w:r w:rsidRPr="0059559C">
        <w:rPr>
          <w:rStyle w:val="Emphasis"/>
          <w:rFonts w:asciiTheme="minorHAnsi" w:hAnsiTheme="minorHAnsi"/>
        </w:rPr>
        <w:t>exclusively</w:t>
      </w:r>
      <w:r w:rsidRPr="0059559C">
        <w:rPr>
          <w:rFonts w:asciiTheme="minorHAnsi" w:hAnsiTheme="minorHAnsi"/>
        </w:rPr>
        <w:t xml:space="preserve">” and </w:t>
      </w:r>
      <w:r w:rsidR="0059559C">
        <w:rPr>
          <w:rFonts w:asciiTheme="minorHAnsi" w:hAnsiTheme="minorHAnsi"/>
        </w:rPr>
        <w:t>making</w:t>
      </w:r>
      <w:r w:rsidRPr="0059559C">
        <w:rPr>
          <w:rFonts w:asciiTheme="minorHAnsi" w:hAnsiTheme="minorHAnsi"/>
        </w:rPr>
        <w:t xml:space="preserve"> specific reference to disclosures being to a “</w:t>
      </w:r>
      <w:r w:rsidRPr="0059559C">
        <w:rPr>
          <w:rStyle w:val="Emphasis"/>
          <w:rFonts w:asciiTheme="minorHAnsi" w:hAnsiTheme="minorHAnsi"/>
        </w:rPr>
        <w:t>limited number of persons,</w:t>
      </w:r>
      <w:r w:rsidRPr="0059559C">
        <w:rPr>
          <w:rFonts w:asciiTheme="minorHAnsi" w:hAnsiTheme="minorHAnsi"/>
        </w:rPr>
        <w:t xml:space="preserve">” </w:t>
      </w:r>
      <w:r w:rsidR="0059559C">
        <w:rPr>
          <w:rFonts w:asciiTheme="minorHAnsi" w:hAnsiTheme="minorHAnsi"/>
        </w:rPr>
        <w:t>reinforced</w:t>
      </w:r>
      <w:r w:rsidRPr="0059559C">
        <w:rPr>
          <w:rFonts w:asciiTheme="minorHAnsi" w:hAnsiTheme="minorHAnsi"/>
        </w:rPr>
        <w:t xml:space="preserve"> the idea that personal data should not be widely distributed.  Both of these constraints have been removed. It has been suggested that this implies that ‘the Council of Ministers seek a broad “personal use” category involving an unknown (perhaps unlimited) number of persons’ (Pounder, 2015)</w:t>
      </w:r>
      <w:r w:rsidR="0009493A" w:rsidRPr="0059559C">
        <w:rPr>
          <w:rFonts w:asciiTheme="minorHAnsi" w:hAnsiTheme="minorHAnsi"/>
        </w:rPr>
        <w:t xml:space="preserve">. </w:t>
      </w:r>
      <w:r w:rsidR="0059559C" w:rsidRPr="0059559C">
        <w:rPr>
          <w:rFonts w:asciiTheme="minorHAnsi" w:hAnsiTheme="minorHAnsi"/>
        </w:rPr>
        <w:t xml:space="preserve"> Perhaps more importantly Chris Pounder </w:t>
      </w:r>
      <w:r w:rsidR="0009493A" w:rsidRPr="0059559C">
        <w:rPr>
          <w:rFonts w:asciiTheme="minorHAnsi" w:hAnsiTheme="minorHAnsi"/>
        </w:rPr>
        <w:t xml:space="preserve">has </w:t>
      </w:r>
      <w:r w:rsidR="0059559C" w:rsidRPr="0059559C">
        <w:rPr>
          <w:rFonts w:asciiTheme="minorHAnsi" w:hAnsiTheme="minorHAnsi"/>
        </w:rPr>
        <w:t xml:space="preserve">suggested that the Council of Ministers’ text directly undermines the CJEU’s conclusions in </w:t>
      </w:r>
      <w:proofErr w:type="spellStart"/>
      <w:r w:rsidR="0059559C" w:rsidRPr="0059559C">
        <w:rPr>
          <w:rFonts w:asciiTheme="minorHAnsi" w:hAnsiTheme="minorHAnsi"/>
          <w:iCs/>
        </w:rPr>
        <w:t>Ryneš</w:t>
      </w:r>
      <w:proofErr w:type="spellEnd"/>
      <w:r w:rsidR="0059559C" w:rsidRPr="0059559C">
        <w:rPr>
          <w:rFonts w:asciiTheme="minorHAnsi" w:hAnsiTheme="minorHAnsi"/>
          <w:iCs/>
        </w:rPr>
        <w:t xml:space="preserve"> (Pounder, 2015). In </w:t>
      </w:r>
      <w:proofErr w:type="spellStart"/>
      <w:r w:rsidR="0059559C" w:rsidRPr="0059559C">
        <w:rPr>
          <w:rFonts w:asciiTheme="minorHAnsi" w:hAnsiTheme="minorHAnsi"/>
          <w:iCs/>
        </w:rPr>
        <w:t>Ryneš</w:t>
      </w:r>
      <w:proofErr w:type="spellEnd"/>
      <w:r w:rsidR="0059559C" w:rsidRPr="0059559C">
        <w:rPr>
          <w:rFonts w:asciiTheme="minorHAnsi" w:hAnsiTheme="minorHAnsi"/>
          <w:iCs/>
        </w:rPr>
        <w:t xml:space="preserve"> the CJEU made clear that the personal and household exemption was ‘to be </w:t>
      </w:r>
      <w:r w:rsidR="0059559C" w:rsidRPr="0059559C">
        <w:rPr>
          <w:rFonts w:asciiTheme="minorHAnsi" w:hAnsiTheme="minorHAnsi"/>
          <w:bCs/>
          <w:iCs/>
        </w:rPr>
        <w:t>narrowly</w:t>
      </w:r>
      <w:r w:rsidR="0059559C" w:rsidRPr="0059559C">
        <w:rPr>
          <w:rFonts w:asciiTheme="minorHAnsi" w:hAnsiTheme="minorHAnsi"/>
          <w:iCs/>
        </w:rPr>
        <w:t xml:space="preserve"> construed’ recognising that Article 3(“) refers to processing carried out as a ‘‘</w:t>
      </w:r>
      <w:r w:rsidR="0059559C" w:rsidRPr="0059559C">
        <w:rPr>
          <w:rFonts w:asciiTheme="minorHAnsi" w:hAnsiTheme="minorHAnsi"/>
          <w:bCs/>
          <w:iCs/>
        </w:rPr>
        <w:t>purely’</w:t>
      </w:r>
      <w:r w:rsidR="0059559C" w:rsidRPr="0059559C">
        <w:rPr>
          <w:rFonts w:asciiTheme="minorHAnsi" w:hAnsiTheme="minorHAnsi"/>
          <w:iCs/>
        </w:rPr>
        <w:t xml:space="preserve"> personal or household activity … not simply a personal or household activity</w:t>
      </w:r>
      <w:r w:rsidR="0059559C" w:rsidRPr="0059559C">
        <w:rPr>
          <w:rFonts w:asciiTheme="minorHAnsi" w:hAnsiTheme="minorHAnsi"/>
        </w:rPr>
        <w:t>”’ (</w:t>
      </w:r>
      <w:proofErr w:type="spellStart"/>
      <w:r w:rsidR="0059559C" w:rsidRPr="0059559C">
        <w:rPr>
          <w:rFonts w:asciiTheme="minorHAnsi" w:hAnsiTheme="minorHAnsi"/>
        </w:rPr>
        <w:t>Ryneš</w:t>
      </w:r>
      <w:proofErr w:type="spellEnd"/>
      <w:r w:rsidR="0059559C" w:rsidRPr="0059559C">
        <w:rPr>
          <w:rFonts w:asciiTheme="minorHAnsi" w:hAnsiTheme="minorHAnsi"/>
        </w:rPr>
        <w:t>, paragraph 30).  The absence of the words ‘purely’ or ‘</w:t>
      </w:r>
      <w:r w:rsidR="0059559C">
        <w:rPr>
          <w:rFonts w:asciiTheme="minorHAnsi" w:hAnsiTheme="minorHAnsi"/>
        </w:rPr>
        <w:t xml:space="preserve">exclusively’ </w:t>
      </w:r>
      <w:r w:rsidR="0059559C" w:rsidRPr="0059559C">
        <w:rPr>
          <w:rFonts w:asciiTheme="minorHAnsi" w:hAnsiTheme="minorHAnsi"/>
        </w:rPr>
        <w:t xml:space="preserve">in the Council of Ministers’ version of the Regulation text means that the personal and household exemption proposed by the Council of Ministers </w:t>
      </w:r>
      <w:r w:rsidR="0059559C">
        <w:rPr>
          <w:rFonts w:asciiTheme="minorHAnsi" w:hAnsiTheme="minorHAnsi"/>
        </w:rPr>
        <w:t>now does refer</w:t>
      </w:r>
      <w:r w:rsidR="0059559C" w:rsidRPr="0059559C">
        <w:rPr>
          <w:rFonts w:asciiTheme="minorHAnsi" w:hAnsiTheme="minorHAnsi"/>
        </w:rPr>
        <w:t xml:space="preserve"> simply to ‘</w:t>
      </w:r>
      <w:r w:rsidR="0059559C" w:rsidRPr="0059559C">
        <w:rPr>
          <w:rFonts w:asciiTheme="minorHAnsi" w:hAnsiTheme="minorHAnsi"/>
          <w:iCs/>
        </w:rPr>
        <w:t>a personal or household activity’.</w:t>
      </w:r>
      <w:r w:rsidR="0059559C" w:rsidRPr="0059559C">
        <w:rPr>
          <w:rFonts w:asciiTheme="minorHAnsi" w:hAnsiTheme="minorHAnsi"/>
        </w:rPr>
        <w:t>   This is not, however, the only problem that has been identified with the Council’s new wording.  It has been suggested that;</w:t>
      </w:r>
    </w:p>
    <w:p w14:paraId="17D93CA4" w14:textId="30E6ACAC" w:rsidR="0059559C" w:rsidRPr="0059559C" w:rsidRDefault="0059559C" w:rsidP="0059559C">
      <w:pPr>
        <w:spacing w:before="100" w:beforeAutospacing="1" w:after="100" w:afterAutospacing="1" w:line="240" w:lineRule="auto"/>
        <w:ind w:left="720"/>
        <w:rPr>
          <w:rFonts w:eastAsia="Times New Roman" w:cs="Times New Roman"/>
          <w:sz w:val="24"/>
          <w:szCs w:val="24"/>
          <w:lang w:eastAsia="en-GB"/>
        </w:rPr>
      </w:pPr>
      <w:r w:rsidRPr="0059559C">
        <w:rPr>
          <w:rFonts w:eastAsia="Times New Roman" w:cs="Times New Roman"/>
          <w:sz w:val="24"/>
          <w:szCs w:val="24"/>
          <w:lang w:eastAsia="en-GB"/>
        </w:rPr>
        <w:t>‘[t]here is also an issue with the absence of the word “</w:t>
      </w:r>
      <w:r w:rsidRPr="0059559C">
        <w:rPr>
          <w:rFonts w:eastAsia="Times New Roman" w:cs="Times New Roman"/>
          <w:i/>
          <w:iCs/>
          <w:sz w:val="24"/>
          <w:szCs w:val="24"/>
          <w:lang w:eastAsia="en-GB"/>
        </w:rPr>
        <w:t>limited</w:t>
      </w:r>
      <w:r w:rsidRPr="0059559C">
        <w:rPr>
          <w:rFonts w:eastAsia="Times New Roman" w:cs="Times New Roman"/>
          <w:sz w:val="24"/>
          <w:szCs w:val="24"/>
          <w:lang w:eastAsia="en-GB"/>
        </w:rPr>
        <w:t xml:space="preserve">” (which appears in the Parliament’s text). For instance, </w:t>
      </w:r>
      <w:proofErr w:type="spellStart"/>
      <w:r w:rsidRPr="0059559C">
        <w:rPr>
          <w:rFonts w:eastAsia="Times New Roman" w:cs="Times New Roman"/>
          <w:sz w:val="24"/>
          <w:szCs w:val="24"/>
          <w:lang w:eastAsia="en-GB"/>
        </w:rPr>
        <w:t>FaceBook</w:t>
      </w:r>
      <w:proofErr w:type="spellEnd"/>
      <w:r w:rsidRPr="0059559C">
        <w:rPr>
          <w:rFonts w:eastAsia="Times New Roman" w:cs="Times New Roman"/>
          <w:sz w:val="24"/>
          <w:szCs w:val="24"/>
          <w:lang w:eastAsia="en-GB"/>
        </w:rPr>
        <w:t xml:space="preserve"> has a maximum number of 5000 friends; more than 5000 then you have to have a “fan page” (of which I have several anonymous ones).  The Council of Ministers’ text opens up an argument that a posting to say 500 friends is “personal” (because it is “limited” to well below the 5000 maximum) (Pounder, 2015). </w:t>
      </w:r>
    </w:p>
    <w:p w14:paraId="1AACA9AB" w14:textId="59236904" w:rsidR="00943FDA" w:rsidRPr="0059559C" w:rsidRDefault="0059559C" w:rsidP="00D87A88">
      <w:pPr>
        <w:spacing w:before="100" w:beforeAutospacing="1" w:after="100" w:afterAutospacing="1" w:line="240" w:lineRule="auto"/>
        <w:rPr>
          <w:rFonts w:cstheme="minorHAnsi"/>
          <w:sz w:val="24"/>
          <w:szCs w:val="24"/>
        </w:rPr>
      </w:pPr>
      <w:r w:rsidRPr="0059559C">
        <w:rPr>
          <w:rFonts w:eastAsia="Times New Roman" w:cs="Times New Roman"/>
          <w:sz w:val="24"/>
          <w:szCs w:val="24"/>
          <w:lang w:eastAsia="en-GB"/>
        </w:rPr>
        <w:t xml:space="preserve">Let us consider again the scenario posed at the beginning of this article, when a parent takes a photograph capturing images of her </w:t>
      </w:r>
      <w:r w:rsidR="009A325F">
        <w:rPr>
          <w:rFonts w:eastAsia="Times New Roman" w:cs="Times New Roman"/>
          <w:sz w:val="24"/>
          <w:szCs w:val="24"/>
          <w:lang w:eastAsia="en-GB"/>
        </w:rPr>
        <w:t>child and their</w:t>
      </w:r>
      <w:r w:rsidRPr="0059559C">
        <w:rPr>
          <w:rFonts w:eastAsia="Times New Roman" w:cs="Times New Roman"/>
          <w:sz w:val="24"/>
          <w:szCs w:val="24"/>
          <w:lang w:eastAsia="en-GB"/>
        </w:rPr>
        <w:t xml:space="preserve"> friends at a school sports day and </w:t>
      </w:r>
      <w:r w:rsidRPr="0059559C">
        <w:rPr>
          <w:rFonts w:eastAsia="Times New Roman" w:cs="Times New Roman"/>
          <w:sz w:val="24"/>
          <w:szCs w:val="24"/>
          <w:lang w:eastAsia="en-GB"/>
        </w:rPr>
        <w:lastRenderedPageBreak/>
        <w:t>posts the images to Facebook. It seems relatively easy to see how this could be construed as a “personal activity.” If so, the effect of the Council’s revisions to Article 2(2) is that the Regulation will do little to protect the children whose images have been shared.</w:t>
      </w:r>
      <w:r w:rsidR="00D87A88">
        <w:rPr>
          <w:rFonts w:eastAsia="Times New Roman" w:cs="Times New Roman"/>
          <w:sz w:val="24"/>
          <w:szCs w:val="24"/>
          <w:lang w:eastAsia="en-GB"/>
        </w:rPr>
        <w:t xml:space="preserve">  </w:t>
      </w:r>
      <w:r w:rsidR="009A325F">
        <w:rPr>
          <w:rFonts w:eastAsia="Times New Roman" w:cs="Times New Roman"/>
          <w:sz w:val="24"/>
          <w:szCs w:val="24"/>
          <w:lang w:eastAsia="en-GB"/>
        </w:rPr>
        <w:t>This is of concern given that t</w:t>
      </w:r>
      <w:r w:rsidR="009E749A" w:rsidRPr="0059559C">
        <w:rPr>
          <w:rFonts w:cstheme="minorHAnsi"/>
          <w:sz w:val="24"/>
          <w:szCs w:val="24"/>
        </w:rPr>
        <w:t>he rights of third parties whose information is processed by individual</w:t>
      </w:r>
      <w:r>
        <w:rPr>
          <w:rFonts w:cstheme="minorHAnsi"/>
          <w:sz w:val="24"/>
          <w:szCs w:val="24"/>
        </w:rPr>
        <w:t>s subject to the exemption seem</w:t>
      </w:r>
      <w:r w:rsidR="009E749A" w:rsidRPr="0059559C">
        <w:rPr>
          <w:rFonts w:cstheme="minorHAnsi"/>
          <w:sz w:val="24"/>
          <w:szCs w:val="24"/>
        </w:rPr>
        <w:t xml:space="preserve"> to have been largely neglected.  </w:t>
      </w:r>
      <w:r w:rsidR="00452F80" w:rsidRPr="0059559C">
        <w:rPr>
          <w:rFonts w:cstheme="minorHAnsi"/>
          <w:sz w:val="24"/>
          <w:szCs w:val="24"/>
        </w:rPr>
        <w:t>The</w:t>
      </w:r>
      <w:r w:rsidR="00E37DD8" w:rsidRPr="0059559C">
        <w:rPr>
          <w:rFonts w:cstheme="minorHAnsi"/>
          <w:sz w:val="24"/>
          <w:szCs w:val="24"/>
        </w:rPr>
        <w:t xml:space="preserve"> Article 29 Working Party/Working Party on Police and Justice</w:t>
      </w:r>
      <w:r w:rsidR="006259B8" w:rsidRPr="0059559C">
        <w:rPr>
          <w:rFonts w:cstheme="minorHAnsi"/>
          <w:sz w:val="24"/>
          <w:szCs w:val="24"/>
        </w:rPr>
        <w:t xml:space="preserve"> noted in 2009 (p</w:t>
      </w:r>
      <w:r w:rsidR="003029C6" w:rsidRPr="0059559C">
        <w:rPr>
          <w:rFonts w:cstheme="minorHAnsi"/>
          <w:sz w:val="24"/>
          <w:szCs w:val="24"/>
        </w:rPr>
        <w:t>18)</w:t>
      </w:r>
      <w:r w:rsidR="00452F80" w:rsidRPr="0059559C">
        <w:rPr>
          <w:rFonts w:cstheme="minorHAnsi"/>
          <w:sz w:val="24"/>
          <w:szCs w:val="24"/>
        </w:rPr>
        <w:t xml:space="preserve"> that</w:t>
      </w:r>
      <w:r w:rsidR="003029C6" w:rsidRPr="0059559C">
        <w:rPr>
          <w:rFonts w:cstheme="minorHAnsi"/>
          <w:sz w:val="24"/>
          <w:szCs w:val="24"/>
        </w:rPr>
        <w:t xml:space="preserve"> ‘</w:t>
      </w:r>
      <w:r w:rsidR="00037737" w:rsidRPr="0059559C">
        <w:rPr>
          <w:rFonts w:cstheme="minorHAnsi"/>
          <w:sz w:val="24"/>
          <w:szCs w:val="24"/>
        </w:rPr>
        <w:t>thought should be given to the question whether data subjects should be given more means to execute their rights on the internet, including the protection of rights of third parties whose personal data may be object of processing (</w:t>
      </w:r>
      <w:proofErr w:type="spellStart"/>
      <w:r w:rsidR="00037737" w:rsidRPr="0059559C">
        <w:rPr>
          <w:rFonts w:cstheme="minorHAnsi"/>
          <w:sz w:val="24"/>
          <w:szCs w:val="24"/>
        </w:rPr>
        <w:t>eg</w:t>
      </w:r>
      <w:proofErr w:type="spellEnd"/>
      <w:r w:rsidR="00037737" w:rsidRPr="0059559C">
        <w:rPr>
          <w:rFonts w:cstheme="minorHAnsi"/>
          <w:sz w:val="24"/>
          <w:szCs w:val="24"/>
        </w:rPr>
        <w:t xml:space="preserve"> social networks).</w:t>
      </w:r>
      <w:r w:rsidR="005E4CCC" w:rsidRPr="0059559C">
        <w:rPr>
          <w:rFonts w:cstheme="minorHAnsi"/>
          <w:sz w:val="24"/>
          <w:szCs w:val="24"/>
        </w:rPr>
        <w:t>’</w:t>
      </w:r>
      <w:r w:rsidR="00E37DD8" w:rsidRPr="0059559C">
        <w:rPr>
          <w:rFonts w:cstheme="minorHAnsi"/>
          <w:sz w:val="24"/>
          <w:szCs w:val="24"/>
        </w:rPr>
        <w:t xml:space="preserve"> If</w:t>
      </w:r>
      <w:r w:rsidR="005E4CCC" w:rsidRPr="0059559C">
        <w:rPr>
          <w:rFonts w:cstheme="minorHAnsi"/>
          <w:sz w:val="24"/>
          <w:szCs w:val="24"/>
        </w:rPr>
        <w:t xml:space="preserve"> </w:t>
      </w:r>
      <w:r w:rsidR="00E37DD8" w:rsidRPr="0059559C">
        <w:rPr>
          <w:rFonts w:cstheme="minorHAnsi"/>
          <w:sz w:val="24"/>
          <w:szCs w:val="24"/>
        </w:rPr>
        <w:t>many</w:t>
      </w:r>
      <w:r w:rsidR="005E4CCC" w:rsidRPr="0059559C">
        <w:rPr>
          <w:rFonts w:cstheme="minorHAnsi"/>
          <w:sz w:val="24"/>
          <w:szCs w:val="24"/>
        </w:rPr>
        <w:t xml:space="preserve"> online activities will fall outside the </w:t>
      </w:r>
      <w:r w:rsidR="00E37DD8" w:rsidRPr="0059559C">
        <w:rPr>
          <w:rFonts w:cstheme="minorHAnsi"/>
          <w:sz w:val="24"/>
          <w:szCs w:val="24"/>
        </w:rPr>
        <w:t>Regulation</w:t>
      </w:r>
      <w:r w:rsidR="005E4CCC" w:rsidRPr="0059559C">
        <w:rPr>
          <w:rFonts w:cstheme="minorHAnsi"/>
          <w:sz w:val="24"/>
          <w:szCs w:val="24"/>
        </w:rPr>
        <w:t xml:space="preserve">, </w:t>
      </w:r>
      <w:r w:rsidR="00E37DD8" w:rsidRPr="0059559C">
        <w:rPr>
          <w:rFonts w:cstheme="minorHAnsi"/>
          <w:sz w:val="24"/>
          <w:szCs w:val="24"/>
        </w:rPr>
        <w:t xml:space="preserve">as is proposed, </w:t>
      </w:r>
      <w:r w:rsidR="005E4CCC" w:rsidRPr="0059559C">
        <w:rPr>
          <w:rFonts w:cstheme="minorHAnsi"/>
          <w:sz w:val="24"/>
          <w:szCs w:val="24"/>
        </w:rPr>
        <w:t>the rights of third parties who</w:t>
      </w:r>
      <w:r w:rsidR="00E37DD8" w:rsidRPr="0059559C">
        <w:rPr>
          <w:rFonts w:cstheme="minorHAnsi"/>
          <w:sz w:val="24"/>
          <w:szCs w:val="24"/>
        </w:rPr>
        <w:t>se</w:t>
      </w:r>
      <w:r w:rsidR="005E4CCC" w:rsidRPr="0059559C">
        <w:rPr>
          <w:rFonts w:cstheme="minorHAnsi"/>
          <w:sz w:val="24"/>
          <w:szCs w:val="24"/>
        </w:rPr>
        <w:t xml:space="preserve"> personal data is processed will presumably be commensurately more limited.  Despite assertions by the </w:t>
      </w:r>
      <w:r w:rsidR="006259B8" w:rsidRPr="0059559C">
        <w:rPr>
          <w:rFonts w:cstheme="minorHAnsi"/>
          <w:sz w:val="24"/>
          <w:szCs w:val="24"/>
        </w:rPr>
        <w:t xml:space="preserve">Commission that the Regulation </w:t>
      </w:r>
      <w:r w:rsidR="005E4CCC" w:rsidRPr="0059559C">
        <w:rPr>
          <w:rFonts w:cstheme="minorHAnsi"/>
          <w:sz w:val="24"/>
          <w:szCs w:val="24"/>
        </w:rPr>
        <w:t xml:space="preserve">will strengthen individuals’ rights </w:t>
      </w:r>
      <w:r w:rsidR="00E37DD8" w:rsidRPr="0059559C">
        <w:rPr>
          <w:rFonts w:cstheme="minorHAnsi"/>
          <w:sz w:val="24"/>
          <w:szCs w:val="24"/>
        </w:rPr>
        <w:t>(European Commission, 2010b),</w:t>
      </w:r>
      <w:r w:rsidR="005E4CCC" w:rsidRPr="0059559C">
        <w:rPr>
          <w:rFonts w:cstheme="minorHAnsi"/>
          <w:sz w:val="24"/>
          <w:szCs w:val="24"/>
        </w:rPr>
        <w:t xml:space="preserve"> it is arguable that for third parties whose information is processed online the opposite may be the case.</w:t>
      </w:r>
      <w:r w:rsidR="009E749A" w:rsidRPr="0059559C">
        <w:rPr>
          <w:rFonts w:cstheme="minorHAnsi"/>
          <w:sz w:val="24"/>
          <w:szCs w:val="24"/>
        </w:rPr>
        <w:t xml:space="preserve">  Clarity, </w:t>
      </w:r>
      <w:r w:rsidR="004F6BFF" w:rsidRPr="0059559C">
        <w:rPr>
          <w:rFonts w:cstheme="minorHAnsi"/>
          <w:sz w:val="24"/>
          <w:szCs w:val="24"/>
        </w:rPr>
        <w:t xml:space="preserve">harmonisation </w:t>
      </w:r>
      <w:r w:rsidR="009E749A" w:rsidRPr="0059559C">
        <w:rPr>
          <w:rFonts w:cstheme="minorHAnsi"/>
          <w:sz w:val="24"/>
          <w:szCs w:val="24"/>
        </w:rPr>
        <w:t>and a renewed emphasis on individuals’ rights to freedom of expression</w:t>
      </w:r>
      <w:r w:rsidR="004F6BFF" w:rsidRPr="0059559C">
        <w:rPr>
          <w:rFonts w:cstheme="minorHAnsi"/>
          <w:sz w:val="24"/>
          <w:szCs w:val="24"/>
        </w:rPr>
        <w:t xml:space="preserve"> through th</w:t>
      </w:r>
      <w:r w:rsidR="00E37DD8" w:rsidRPr="0059559C">
        <w:rPr>
          <w:rFonts w:cstheme="minorHAnsi"/>
          <w:sz w:val="24"/>
          <w:szCs w:val="24"/>
        </w:rPr>
        <w:t>e personal/household exemption</w:t>
      </w:r>
      <w:r w:rsidR="009E749A" w:rsidRPr="0059559C">
        <w:rPr>
          <w:rFonts w:cstheme="minorHAnsi"/>
          <w:sz w:val="24"/>
          <w:szCs w:val="24"/>
        </w:rPr>
        <w:t xml:space="preserve"> may </w:t>
      </w:r>
      <w:r w:rsidR="004F6BFF" w:rsidRPr="0059559C">
        <w:rPr>
          <w:rFonts w:cstheme="minorHAnsi"/>
          <w:sz w:val="24"/>
          <w:szCs w:val="24"/>
        </w:rPr>
        <w:t xml:space="preserve">arguably </w:t>
      </w:r>
      <w:r w:rsidR="00E37DD8" w:rsidRPr="0059559C">
        <w:rPr>
          <w:rFonts w:cstheme="minorHAnsi"/>
          <w:sz w:val="24"/>
          <w:szCs w:val="24"/>
        </w:rPr>
        <w:t>in future be improved</w:t>
      </w:r>
      <w:r w:rsidR="004F6BFF" w:rsidRPr="0059559C">
        <w:rPr>
          <w:rFonts w:cstheme="minorHAnsi"/>
          <w:sz w:val="24"/>
          <w:szCs w:val="24"/>
        </w:rPr>
        <w:t>, but</w:t>
      </w:r>
      <w:r w:rsidR="009E749A" w:rsidRPr="0059559C">
        <w:rPr>
          <w:rFonts w:cstheme="minorHAnsi"/>
          <w:sz w:val="24"/>
          <w:szCs w:val="24"/>
        </w:rPr>
        <w:t xml:space="preserve"> </w:t>
      </w:r>
      <w:r w:rsidR="00E37DD8" w:rsidRPr="0059559C">
        <w:rPr>
          <w:rFonts w:cstheme="minorHAnsi"/>
          <w:sz w:val="24"/>
          <w:szCs w:val="24"/>
        </w:rPr>
        <w:t xml:space="preserve">this appears to be </w:t>
      </w:r>
      <w:r w:rsidR="009E749A" w:rsidRPr="0059559C">
        <w:rPr>
          <w:rFonts w:cstheme="minorHAnsi"/>
          <w:sz w:val="24"/>
          <w:szCs w:val="24"/>
        </w:rPr>
        <w:t>at the expense of other individuals’ right to data protection.</w:t>
      </w:r>
      <w:r w:rsidR="00E96875" w:rsidRPr="0059559C">
        <w:rPr>
          <w:rFonts w:cstheme="minorHAnsi"/>
          <w:sz w:val="24"/>
          <w:szCs w:val="24"/>
        </w:rPr>
        <w:t xml:space="preserve">  </w:t>
      </w:r>
    </w:p>
    <w:p w14:paraId="6CF5C568" w14:textId="73BCEF6A" w:rsidR="005E4CCC" w:rsidRPr="0059559C" w:rsidRDefault="00DE7865" w:rsidP="00DE7865">
      <w:pPr>
        <w:ind w:firstLine="720"/>
        <w:rPr>
          <w:rFonts w:cstheme="minorHAnsi"/>
          <w:b/>
          <w:sz w:val="24"/>
          <w:szCs w:val="24"/>
        </w:rPr>
      </w:pPr>
      <w:r w:rsidRPr="0059559C">
        <w:rPr>
          <w:rFonts w:cstheme="minorHAnsi"/>
          <w:b/>
          <w:sz w:val="24"/>
          <w:szCs w:val="24"/>
        </w:rPr>
        <w:t>7</w:t>
      </w:r>
      <w:r w:rsidR="005E4CCC" w:rsidRPr="0059559C">
        <w:rPr>
          <w:rFonts w:cstheme="minorHAnsi"/>
          <w:b/>
          <w:sz w:val="24"/>
          <w:szCs w:val="24"/>
        </w:rPr>
        <w:t>.</w:t>
      </w:r>
      <w:r w:rsidRPr="0059559C">
        <w:rPr>
          <w:rFonts w:cstheme="minorHAnsi"/>
          <w:b/>
          <w:sz w:val="24"/>
          <w:szCs w:val="24"/>
        </w:rPr>
        <w:t>2</w:t>
      </w:r>
      <w:r w:rsidR="005E4CCC" w:rsidRPr="0059559C">
        <w:rPr>
          <w:rFonts w:cstheme="minorHAnsi"/>
          <w:b/>
          <w:sz w:val="24"/>
          <w:szCs w:val="24"/>
        </w:rPr>
        <w:t xml:space="preserve"> Article 80 of the Regulation </w:t>
      </w:r>
    </w:p>
    <w:p w14:paraId="2BA32124" w14:textId="77777777" w:rsidR="004F6BFF" w:rsidRPr="0059559C" w:rsidRDefault="004F6BFF" w:rsidP="005E4CCC">
      <w:pPr>
        <w:rPr>
          <w:rFonts w:cstheme="minorHAnsi"/>
          <w:sz w:val="24"/>
          <w:szCs w:val="24"/>
        </w:rPr>
      </w:pPr>
      <w:r w:rsidRPr="0059559C">
        <w:rPr>
          <w:rFonts w:cstheme="minorHAnsi"/>
          <w:sz w:val="24"/>
          <w:szCs w:val="24"/>
        </w:rPr>
        <w:t xml:space="preserve">Although Article 2(2)(d) may expand the sphere in which individuals can exercise their rights of freedom of expression to the online world, there is undoubtedly still room for a further derogation or exemption for freedom of expression, one that applies to organisations, the media, and individuals whose activities do not fall wholly within the personal sphere.  This is certainly recognised by the Commission in their inclusion of Article 80. </w:t>
      </w:r>
    </w:p>
    <w:p w14:paraId="2C3B2D62" w14:textId="77777777" w:rsidR="005E4CCC" w:rsidRPr="0059559C" w:rsidRDefault="005E4CCC" w:rsidP="005E4CCC">
      <w:pPr>
        <w:rPr>
          <w:rFonts w:cstheme="minorHAnsi"/>
          <w:sz w:val="24"/>
          <w:szCs w:val="24"/>
        </w:rPr>
      </w:pPr>
      <w:r w:rsidRPr="0059559C">
        <w:rPr>
          <w:rFonts w:cstheme="minorHAnsi"/>
          <w:sz w:val="24"/>
          <w:szCs w:val="24"/>
        </w:rPr>
        <w:t xml:space="preserve">The explanatory memorandum which accompanies the Regulation states simply that ‘Article 80 obliges Member States to adopt exemptions and derogations from specific provisions of the Regulation where necessary to reconcile the right to the protection of personal data with the right of freedom of expression. It is based on Article 9 of Directive 95/46/EC, as interpreted by the Court of Justice of the EU’ (in </w:t>
      </w:r>
      <w:proofErr w:type="spellStart"/>
      <w:r w:rsidRPr="0059559C">
        <w:rPr>
          <w:rFonts w:cstheme="minorHAnsi"/>
          <w:sz w:val="24"/>
          <w:szCs w:val="24"/>
        </w:rPr>
        <w:t>Satamedia</w:t>
      </w:r>
      <w:proofErr w:type="spellEnd"/>
      <w:r w:rsidRPr="0059559C">
        <w:rPr>
          <w:rFonts w:cstheme="minorHAnsi"/>
          <w:sz w:val="24"/>
          <w:szCs w:val="24"/>
        </w:rPr>
        <w:t xml:space="preserve">). </w:t>
      </w:r>
    </w:p>
    <w:p w14:paraId="7548D121" w14:textId="77777777" w:rsidR="005E4CCC" w:rsidRPr="0059559C" w:rsidRDefault="005E4CCC" w:rsidP="00E37DD8">
      <w:pPr>
        <w:rPr>
          <w:rFonts w:cstheme="minorHAnsi"/>
          <w:sz w:val="24"/>
          <w:szCs w:val="24"/>
        </w:rPr>
      </w:pPr>
      <w:r w:rsidRPr="0059559C">
        <w:rPr>
          <w:rFonts w:cstheme="minorHAnsi"/>
          <w:sz w:val="24"/>
          <w:szCs w:val="24"/>
        </w:rPr>
        <w:t xml:space="preserve">Despite the memorandum’s comments, which suggest that Article 80 is little different to Article 9, </w:t>
      </w:r>
      <w:r w:rsidR="00E37DD8" w:rsidRPr="0059559C">
        <w:rPr>
          <w:rFonts w:cstheme="minorHAnsi"/>
          <w:sz w:val="24"/>
          <w:szCs w:val="24"/>
        </w:rPr>
        <w:t xml:space="preserve">in </w:t>
      </w:r>
      <w:r w:rsidRPr="0059559C">
        <w:rPr>
          <w:rFonts w:cstheme="minorHAnsi"/>
          <w:sz w:val="24"/>
          <w:szCs w:val="24"/>
        </w:rPr>
        <w:t>its first iteration, as drafted by the Commission</w:t>
      </w:r>
      <w:r w:rsidR="00E37DD8" w:rsidRPr="0059559C">
        <w:rPr>
          <w:rFonts w:cstheme="minorHAnsi"/>
          <w:sz w:val="24"/>
          <w:szCs w:val="24"/>
        </w:rPr>
        <w:t>,</w:t>
      </w:r>
      <w:r w:rsidRPr="0059559C">
        <w:rPr>
          <w:rFonts w:cstheme="minorHAnsi"/>
          <w:sz w:val="24"/>
          <w:szCs w:val="24"/>
        </w:rPr>
        <w:t xml:space="preserve"> two key differences </w:t>
      </w:r>
      <w:r w:rsidR="00E37DD8" w:rsidRPr="0059559C">
        <w:rPr>
          <w:rFonts w:cstheme="minorHAnsi"/>
          <w:sz w:val="24"/>
          <w:szCs w:val="24"/>
        </w:rPr>
        <w:t>in wording</w:t>
      </w:r>
      <w:r w:rsidRPr="0059559C">
        <w:rPr>
          <w:rFonts w:cstheme="minorHAnsi"/>
          <w:sz w:val="24"/>
          <w:szCs w:val="24"/>
        </w:rPr>
        <w:t xml:space="preserve"> could be identified.    Where Article 9 allows for exemptions or derogations ‘</w:t>
      </w:r>
      <w:r w:rsidRPr="0059559C">
        <w:rPr>
          <w:rFonts w:cstheme="minorHAnsi"/>
          <w:i/>
          <w:sz w:val="24"/>
          <w:szCs w:val="24"/>
        </w:rPr>
        <w:t>only if they are necessary</w:t>
      </w:r>
      <w:r w:rsidRPr="0059559C">
        <w:rPr>
          <w:rFonts w:cstheme="minorHAnsi"/>
          <w:sz w:val="24"/>
          <w:szCs w:val="24"/>
        </w:rPr>
        <w:t xml:space="preserve"> to reconcile the right to privacy with the rules g</w:t>
      </w:r>
      <w:r w:rsidR="00E37DD8" w:rsidRPr="0059559C">
        <w:rPr>
          <w:rFonts w:cstheme="minorHAnsi"/>
          <w:sz w:val="24"/>
          <w:szCs w:val="24"/>
        </w:rPr>
        <w:t>overning freedom of expression’</w:t>
      </w:r>
      <w:r w:rsidRPr="0059559C">
        <w:rPr>
          <w:rFonts w:cstheme="minorHAnsi"/>
          <w:sz w:val="24"/>
          <w:szCs w:val="24"/>
        </w:rPr>
        <w:t xml:space="preserve"> Article 80</w:t>
      </w:r>
      <w:r w:rsidR="00E37DD8" w:rsidRPr="0059559C">
        <w:rPr>
          <w:rFonts w:cstheme="minorHAnsi"/>
          <w:sz w:val="24"/>
          <w:szCs w:val="24"/>
        </w:rPr>
        <w:t>,</w:t>
      </w:r>
      <w:r w:rsidRPr="0059559C">
        <w:rPr>
          <w:rFonts w:cstheme="minorHAnsi"/>
          <w:sz w:val="24"/>
          <w:szCs w:val="24"/>
        </w:rPr>
        <w:t xml:space="preserve"> </w:t>
      </w:r>
      <w:r w:rsidR="00E37DD8" w:rsidRPr="0059559C">
        <w:rPr>
          <w:rFonts w:cstheme="minorHAnsi"/>
          <w:sz w:val="24"/>
          <w:szCs w:val="24"/>
        </w:rPr>
        <w:t>as originally drafted, provided</w:t>
      </w:r>
      <w:r w:rsidRPr="0059559C">
        <w:rPr>
          <w:rFonts w:cstheme="minorHAnsi"/>
          <w:sz w:val="24"/>
          <w:szCs w:val="24"/>
        </w:rPr>
        <w:t xml:space="preserve"> for such derogations ‘</w:t>
      </w:r>
      <w:r w:rsidRPr="0059559C">
        <w:rPr>
          <w:rFonts w:cstheme="minorHAnsi"/>
          <w:i/>
          <w:sz w:val="24"/>
          <w:szCs w:val="24"/>
        </w:rPr>
        <w:t>in order to</w:t>
      </w:r>
      <w:r w:rsidRPr="0059559C">
        <w:rPr>
          <w:rFonts w:cstheme="minorHAnsi"/>
          <w:sz w:val="24"/>
          <w:szCs w:val="24"/>
        </w:rPr>
        <w:t xml:space="preserve"> reconcile the right to the protection of personal data with the rules governing freedom of expression’. Article 80 </w:t>
      </w:r>
      <w:r w:rsidR="00E37DD8" w:rsidRPr="0059559C">
        <w:rPr>
          <w:rFonts w:cstheme="minorHAnsi"/>
          <w:sz w:val="24"/>
          <w:szCs w:val="24"/>
        </w:rPr>
        <w:t xml:space="preserve">thus </w:t>
      </w:r>
      <w:r w:rsidRPr="0059559C">
        <w:rPr>
          <w:rFonts w:cstheme="minorHAnsi"/>
          <w:sz w:val="24"/>
          <w:szCs w:val="24"/>
        </w:rPr>
        <w:t>re</w:t>
      </w:r>
      <w:r w:rsidR="00E37DD8" w:rsidRPr="0059559C">
        <w:rPr>
          <w:rFonts w:cstheme="minorHAnsi"/>
          <w:sz w:val="24"/>
          <w:szCs w:val="24"/>
        </w:rPr>
        <w:t>moved</w:t>
      </w:r>
      <w:r w:rsidRPr="0059559C">
        <w:rPr>
          <w:rFonts w:cstheme="minorHAnsi"/>
          <w:sz w:val="24"/>
          <w:szCs w:val="24"/>
        </w:rPr>
        <w:t xml:space="preserve"> the need for derogations to be ‘necessary’ replacing it with the weaker wording ‘in order to’.  A more subtle change to the wording is also introduced in its reference to the balance to be achieved between </w:t>
      </w:r>
      <w:r w:rsidRPr="0059559C">
        <w:rPr>
          <w:rFonts w:cstheme="minorHAnsi"/>
          <w:i/>
          <w:sz w:val="24"/>
          <w:szCs w:val="24"/>
        </w:rPr>
        <w:t>data protection</w:t>
      </w:r>
      <w:r w:rsidRPr="0059559C">
        <w:rPr>
          <w:rFonts w:cstheme="minorHAnsi"/>
          <w:sz w:val="24"/>
          <w:szCs w:val="24"/>
        </w:rPr>
        <w:t xml:space="preserve"> and freedom of expression rather than privacy and freedom of expression (such a reference to data protection in place of privacy is a theme throughout the regulation</w:t>
      </w:r>
      <w:r w:rsidR="00EF5924" w:rsidRPr="0059559C">
        <w:rPr>
          <w:rFonts w:cstheme="minorHAnsi"/>
          <w:sz w:val="24"/>
          <w:szCs w:val="24"/>
        </w:rPr>
        <w:t>, perhaps in acknowledgement that the Article 8 of Charter of Fundamental Rights of the European Union and Article 16 of the Treaty on the functioning of the European Union now explicitly recognise a free-standing right to data protection</w:t>
      </w:r>
      <w:r w:rsidRPr="0059559C">
        <w:rPr>
          <w:rFonts w:cstheme="minorHAnsi"/>
          <w:sz w:val="24"/>
          <w:szCs w:val="24"/>
        </w:rPr>
        <w:t xml:space="preserve">).  </w:t>
      </w:r>
      <w:r w:rsidR="00E37DD8" w:rsidRPr="0059559C">
        <w:rPr>
          <w:rFonts w:cstheme="minorHAnsi"/>
          <w:sz w:val="24"/>
          <w:szCs w:val="24"/>
        </w:rPr>
        <w:t xml:space="preserve">These changes in wording were, however, only minor when compared with the later changes introduced by the Parliament.  </w:t>
      </w:r>
      <w:r w:rsidR="00E37DD8" w:rsidRPr="0059559C">
        <w:rPr>
          <w:rFonts w:cstheme="minorHAnsi"/>
          <w:sz w:val="24"/>
          <w:szCs w:val="24"/>
        </w:rPr>
        <w:lastRenderedPageBreak/>
        <w:t xml:space="preserve">The Commission’s position was to effectively clarify and reiterate the existing position, as interpreted by the CJEU.  The exemption continued to apply only for the limited specific purposes of journalism, literature and art (albeit that journalistic </w:t>
      </w:r>
      <w:proofErr w:type="gramStart"/>
      <w:r w:rsidR="00E37DD8" w:rsidRPr="0059559C">
        <w:rPr>
          <w:rFonts w:cstheme="minorHAnsi"/>
          <w:sz w:val="24"/>
          <w:szCs w:val="24"/>
        </w:rPr>
        <w:t>purposes</w:t>
      </w:r>
      <w:proofErr w:type="gramEnd"/>
      <w:r w:rsidR="00E37DD8" w:rsidRPr="0059559C">
        <w:rPr>
          <w:rFonts w:cstheme="minorHAnsi"/>
          <w:sz w:val="24"/>
          <w:szCs w:val="24"/>
        </w:rPr>
        <w:t xml:space="preserve"> was to be interpreted widely to apply to anyone (R</w:t>
      </w:r>
      <w:r w:rsidRPr="0059559C">
        <w:rPr>
          <w:rFonts w:cstheme="minorHAnsi"/>
          <w:sz w:val="24"/>
          <w:szCs w:val="24"/>
        </w:rPr>
        <w:t>ecital 121 to the Regulation</w:t>
      </w:r>
      <w:r w:rsidR="00E37DD8" w:rsidRPr="0059559C">
        <w:rPr>
          <w:rFonts w:cstheme="minorHAnsi"/>
          <w:sz w:val="24"/>
          <w:szCs w:val="24"/>
        </w:rPr>
        <w:t xml:space="preserve">).  </w:t>
      </w:r>
    </w:p>
    <w:p w14:paraId="058BD89A" w14:textId="1DC9233D" w:rsidR="00EF0B6D" w:rsidRPr="0059559C" w:rsidRDefault="005E4CCC" w:rsidP="00C77B16">
      <w:pPr>
        <w:rPr>
          <w:rFonts w:cstheme="minorHAnsi"/>
          <w:sz w:val="24"/>
          <w:szCs w:val="24"/>
        </w:rPr>
      </w:pPr>
      <w:r w:rsidRPr="0059559C">
        <w:rPr>
          <w:rFonts w:cstheme="minorHAnsi"/>
          <w:sz w:val="24"/>
          <w:szCs w:val="24"/>
        </w:rPr>
        <w:t xml:space="preserve">Interestingly, however, the European Parliament in its review of Recital 121 and Article 80 clearly considered that the Commission had not gone far enough.  Article 80, as revised by the Parliament, </w:t>
      </w:r>
      <w:r w:rsidR="008359E1">
        <w:rPr>
          <w:rFonts w:cstheme="minorHAnsi"/>
          <w:sz w:val="24"/>
          <w:szCs w:val="24"/>
        </w:rPr>
        <w:t>referred</w:t>
      </w:r>
      <w:r w:rsidRPr="0059559C">
        <w:rPr>
          <w:rFonts w:cstheme="minorHAnsi"/>
          <w:sz w:val="24"/>
          <w:szCs w:val="24"/>
        </w:rPr>
        <w:t xml:space="preserve"> explicitly to Member States providing exemptions or derogations ‘whenever this is necessary in order to reconcile the right to the protection of personal data with the rules governing freedom of expression in accordance with the Charter of Fundamental Rights of the European Union.’  </w:t>
      </w:r>
      <w:r w:rsidR="00EF0B6D" w:rsidRPr="0059559C">
        <w:rPr>
          <w:rFonts w:cstheme="minorHAnsi"/>
          <w:sz w:val="24"/>
          <w:szCs w:val="24"/>
        </w:rPr>
        <w:t>The Parliament thus t</w:t>
      </w:r>
      <w:r w:rsidR="008359E1">
        <w:rPr>
          <w:rFonts w:cstheme="minorHAnsi"/>
          <w:sz w:val="24"/>
          <w:szCs w:val="24"/>
        </w:rPr>
        <w:t>ook</w:t>
      </w:r>
      <w:r w:rsidR="00EF0B6D" w:rsidRPr="0059559C">
        <w:rPr>
          <w:rFonts w:cstheme="minorHAnsi"/>
          <w:sz w:val="24"/>
          <w:szCs w:val="24"/>
        </w:rPr>
        <w:t xml:space="preserve"> a significant </w:t>
      </w:r>
      <w:r w:rsidRPr="0059559C">
        <w:rPr>
          <w:rFonts w:cstheme="minorHAnsi"/>
          <w:sz w:val="24"/>
          <w:szCs w:val="24"/>
        </w:rPr>
        <w:t>step forward, going beyond the court’s interpretation of t</w:t>
      </w:r>
      <w:r w:rsidR="00EF0B6D" w:rsidRPr="0059559C">
        <w:rPr>
          <w:rFonts w:cstheme="minorHAnsi"/>
          <w:sz w:val="24"/>
          <w:szCs w:val="24"/>
        </w:rPr>
        <w:t>he directive, an</w:t>
      </w:r>
      <w:r w:rsidRPr="0059559C">
        <w:rPr>
          <w:rFonts w:cstheme="minorHAnsi"/>
          <w:sz w:val="24"/>
          <w:szCs w:val="24"/>
        </w:rPr>
        <w:t xml:space="preserve"> interpretation which had been restricted by the need to pigeonhole data processing activities into journalistic, artistic or literary purposes.  If</w:t>
      </w:r>
      <w:r w:rsidR="008359E1">
        <w:rPr>
          <w:rFonts w:cstheme="minorHAnsi"/>
          <w:sz w:val="24"/>
          <w:szCs w:val="24"/>
        </w:rPr>
        <w:t xml:space="preserve"> a version of Article 80 akin to that drafted by the Parliament were ultimately accepted</w:t>
      </w:r>
      <w:r w:rsidRPr="0059559C">
        <w:rPr>
          <w:rFonts w:cstheme="minorHAnsi"/>
          <w:sz w:val="24"/>
          <w:szCs w:val="24"/>
        </w:rPr>
        <w:t xml:space="preserve">, one </w:t>
      </w:r>
      <w:r w:rsidR="008359E1">
        <w:rPr>
          <w:rFonts w:cstheme="minorHAnsi"/>
          <w:sz w:val="24"/>
          <w:szCs w:val="24"/>
        </w:rPr>
        <w:t>might</w:t>
      </w:r>
      <w:r w:rsidRPr="0059559C">
        <w:rPr>
          <w:rFonts w:cstheme="minorHAnsi"/>
          <w:sz w:val="24"/>
          <w:szCs w:val="24"/>
        </w:rPr>
        <w:t xml:space="preserve"> anticipate a significantly different approach to the freedom of expression/privacy/da</w:t>
      </w:r>
      <w:r w:rsidR="00EF0B6D" w:rsidRPr="0059559C">
        <w:rPr>
          <w:rFonts w:cstheme="minorHAnsi"/>
          <w:sz w:val="24"/>
          <w:szCs w:val="24"/>
        </w:rPr>
        <w:t>ta protection balancing act</w:t>
      </w:r>
      <w:r w:rsidR="008359E1">
        <w:rPr>
          <w:rFonts w:cstheme="minorHAnsi"/>
          <w:sz w:val="24"/>
          <w:szCs w:val="24"/>
        </w:rPr>
        <w:t xml:space="preserve"> within the UK,</w:t>
      </w:r>
      <w:r w:rsidR="00D87A88">
        <w:rPr>
          <w:rFonts w:cstheme="minorHAnsi"/>
          <w:sz w:val="24"/>
          <w:szCs w:val="24"/>
        </w:rPr>
        <w:t xml:space="preserve"> adopting a </w:t>
      </w:r>
      <w:r w:rsidRPr="0059559C">
        <w:rPr>
          <w:rFonts w:cstheme="minorHAnsi"/>
          <w:sz w:val="24"/>
          <w:szCs w:val="24"/>
        </w:rPr>
        <w:t xml:space="preserve">much wider notion of freedom of expression </w:t>
      </w:r>
      <w:r w:rsidR="00D87A88">
        <w:rPr>
          <w:rFonts w:cstheme="minorHAnsi"/>
          <w:sz w:val="24"/>
          <w:szCs w:val="24"/>
        </w:rPr>
        <w:t xml:space="preserve">in line with that </w:t>
      </w:r>
      <w:r w:rsidRPr="0059559C">
        <w:rPr>
          <w:rFonts w:cstheme="minorHAnsi"/>
          <w:sz w:val="24"/>
          <w:szCs w:val="24"/>
        </w:rPr>
        <w:t>which is seen in Denmark and Sweden</w:t>
      </w:r>
      <w:r w:rsidR="00EF0B6D" w:rsidRPr="0059559C">
        <w:rPr>
          <w:rFonts w:cstheme="minorHAnsi"/>
          <w:sz w:val="24"/>
          <w:szCs w:val="24"/>
        </w:rPr>
        <w:t>, and which more clearly reflect</w:t>
      </w:r>
      <w:r w:rsidR="00D87A88">
        <w:rPr>
          <w:rFonts w:cstheme="minorHAnsi"/>
          <w:sz w:val="24"/>
          <w:szCs w:val="24"/>
        </w:rPr>
        <w:t>s</w:t>
      </w:r>
      <w:r w:rsidR="00EF0B6D" w:rsidRPr="0059559C">
        <w:rPr>
          <w:rFonts w:cstheme="minorHAnsi"/>
          <w:sz w:val="24"/>
          <w:szCs w:val="24"/>
        </w:rPr>
        <w:t xml:space="preserve"> the approach of the European Court of Human Rights (</w:t>
      </w:r>
      <w:proofErr w:type="spellStart"/>
      <w:r w:rsidR="00EF0B6D" w:rsidRPr="0059559C">
        <w:rPr>
          <w:rFonts w:cstheme="minorHAnsi"/>
          <w:sz w:val="24"/>
          <w:szCs w:val="24"/>
        </w:rPr>
        <w:t>Warso</w:t>
      </w:r>
      <w:proofErr w:type="spellEnd"/>
      <w:r w:rsidR="00EF0B6D" w:rsidRPr="0059559C">
        <w:rPr>
          <w:rFonts w:cstheme="minorHAnsi"/>
          <w:sz w:val="24"/>
          <w:szCs w:val="24"/>
        </w:rPr>
        <w:t>, 2013)</w:t>
      </w:r>
      <w:r w:rsidRPr="0059559C">
        <w:rPr>
          <w:rFonts w:cstheme="minorHAnsi"/>
          <w:sz w:val="24"/>
          <w:szCs w:val="24"/>
        </w:rPr>
        <w:t xml:space="preserve">. </w:t>
      </w:r>
      <w:r w:rsidR="008359E1">
        <w:rPr>
          <w:rFonts w:cstheme="minorHAnsi"/>
          <w:sz w:val="24"/>
          <w:szCs w:val="24"/>
        </w:rPr>
        <w:t xml:space="preserve">  The Council’s version of Article 80</w:t>
      </w:r>
      <w:r w:rsidR="00165D78">
        <w:rPr>
          <w:rFonts w:cstheme="minorHAnsi"/>
          <w:sz w:val="24"/>
          <w:szCs w:val="24"/>
        </w:rPr>
        <w:t>, however, has much more in common with the Commission’s more narrow exemption. Article 80(1) states that ‘[t]</w:t>
      </w:r>
      <w:r w:rsidR="00165D78" w:rsidRPr="00165D78">
        <w:rPr>
          <w:rFonts w:cstheme="minorHAnsi"/>
          <w:sz w:val="24"/>
          <w:szCs w:val="24"/>
        </w:rPr>
        <w:t>he national law of the Member States shall</w:t>
      </w:r>
      <w:r w:rsidR="00165D78">
        <w:rPr>
          <w:rFonts w:cstheme="minorHAnsi"/>
          <w:sz w:val="24"/>
          <w:szCs w:val="24"/>
        </w:rPr>
        <w:t xml:space="preserve"> </w:t>
      </w:r>
      <w:r w:rsidR="00165D78" w:rsidRPr="00165D78">
        <w:rPr>
          <w:rFonts w:cstheme="minorHAnsi"/>
          <w:sz w:val="24"/>
          <w:szCs w:val="24"/>
        </w:rPr>
        <w:t>reconcile the right to the protection of personal data pursuant to this Regulation with the right to freedom of expression and information, including the processing of personal data for journalistic purposes and the purposes of artistic or literary expression.</w:t>
      </w:r>
      <w:r w:rsidR="00165D78">
        <w:rPr>
          <w:rFonts w:cstheme="minorHAnsi"/>
          <w:sz w:val="24"/>
          <w:szCs w:val="24"/>
        </w:rPr>
        <w:t>’  This might perhaps be interpreted expansively, to allow for the balancing of privacy/data protection and freedom of expression in all cases, including but not limited to situations where personal data is processed for journalistic purposes.  Article 80(2) however refers very clearly to member states providing exemptions and derogations ‘[f]</w:t>
      </w:r>
      <w:r w:rsidR="00165D78" w:rsidRPr="00165D78">
        <w:rPr>
          <w:rFonts w:cstheme="minorHAnsi"/>
          <w:sz w:val="24"/>
          <w:szCs w:val="24"/>
        </w:rPr>
        <w:t>or the processing of personal data carried out for journalistic purposes or the purpose of academic artistic or literary expression</w:t>
      </w:r>
      <w:r w:rsidR="00165D78">
        <w:rPr>
          <w:rFonts w:cstheme="minorHAnsi"/>
          <w:sz w:val="24"/>
          <w:szCs w:val="24"/>
        </w:rPr>
        <w:t>.’  This suggests that the Council’s intention is to maintain the status quo.</w:t>
      </w:r>
    </w:p>
    <w:p w14:paraId="610137ED" w14:textId="6BB7B061" w:rsidR="00F46BDF" w:rsidRPr="0059559C" w:rsidRDefault="00320128" w:rsidP="00DE7865">
      <w:pPr>
        <w:pStyle w:val="ListParagraph"/>
        <w:numPr>
          <w:ilvl w:val="0"/>
          <w:numId w:val="6"/>
        </w:numPr>
        <w:rPr>
          <w:rFonts w:asciiTheme="minorHAnsi" w:hAnsiTheme="minorHAnsi" w:cstheme="minorHAnsi"/>
          <w:b/>
          <w:sz w:val="24"/>
          <w:szCs w:val="24"/>
          <w:lang w:eastAsia="en-GB"/>
        </w:rPr>
      </w:pPr>
      <w:r w:rsidRPr="0059559C">
        <w:rPr>
          <w:rFonts w:asciiTheme="minorHAnsi" w:hAnsiTheme="minorHAnsi" w:cstheme="minorHAnsi"/>
          <w:b/>
          <w:sz w:val="24"/>
          <w:szCs w:val="24"/>
          <w:lang w:eastAsia="en-GB"/>
        </w:rPr>
        <w:t>Conclusion</w:t>
      </w:r>
    </w:p>
    <w:p w14:paraId="06CB70D8" w14:textId="77777777" w:rsidR="00C77B16" w:rsidRPr="0059559C" w:rsidRDefault="00C77B16" w:rsidP="00724D5D">
      <w:pPr>
        <w:spacing w:after="0" w:line="240" w:lineRule="auto"/>
        <w:rPr>
          <w:rFonts w:cstheme="minorHAnsi"/>
          <w:sz w:val="24"/>
          <w:szCs w:val="24"/>
        </w:rPr>
      </w:pPr>
    </w:p>
    <w:p w14:paraId="45B4B79B" w14:textId="77777777" w:rsidR="00A6422E" w:rsidRPr="0059559C" w:rsidRDefault="00783E2F" w:rsidP="00724D5D">
      <w:pPr>
        <w:spacing w:after="0" w:line="240" w:lineRule="auto"/>
        <w:rPr>
          <w:rFonts w:cstheme="minorHAnsi"/>
          <w:sz w:val="24"/>
          <w:szCs w:val="24"/>
        </w:rPr>
      </w:pPr>
      <w:proofErr w:type="spellStart"/>
      <w:r w:rsidRPr="0059559C">
        <w:rPr>
          <w:rFonts w:cstheme="minorHAnsi"/>
          <w:sz w:val="24"/>
          <w:szCs w:val="24"/>
        </w:rPr>
        <w:t>Warso</w:t>
      </w:r>
      <w:proofErr w:type="spellEnd"/>
      <w:r w:rsidRPr="0059559C">
        <w:rPr>
          <w:rFonts w:cstheme="minorHAnsi"/>
          <w:sz w:val="24"/>
          <w:szCs w:val="24"/>
        </w:rPr>
        <w:t xml:space="preserve"> suggests</w:t>
      </w:r>
      <w:r w:rsidR="002E5867" w:rsidRPr="0059559C">
        <w:rPr>
          <w:rFonts w:cstheme="minorHAnsi"/>
          <w:sz w:val="24"/>
          <w:szCs w:val="24"/>
        </w:rPr>
        <w:t xml:space="preserve"> that the fact that Art 9 is restrictive (far more so than Art 10 ECHR), the fact that the ECJ in </w:t>
      </w:r>
      <w:proofErr w:type="spellStart"/>
      <w:r w:rsidR="002E5867" w:rsidRPr="0059559C">
        <w:rPr>
          <w:rFonts w:cstheme="minorHAnsi"/>
          <w:sz w:val="24"/>
          <w:szCs w:val="24"/>
        </w:rPr>
        <w:t>Lindqvist</w:t>
      </w:r>
      <w:proofErr w:type="spellEnd"/>
      <w:r w:rsidR="002E5867" w:rsidRPr="0059559C">
        <w:rPr>
          <w:rFonts w:cstheme="minorHAnsi"/>
          <w:sz w:val="24"/>
          <w:szCs w:val="24"/>
        </w:rPr>
        <w:t xml:space="preserve"> has shown a willingness to defer to national authorities to undertake the privacy-free speech balancing exercise, and the </w:t>
      </w:r>
      <w:r w:rsidRPr="0059559C">
        <w:rPr>
          <w:rFonts w:cstheme="minorHAnsi"/>
          <w:sz w:val="24"/>
          <w:szCs w:val="24"/>
        </w:rPr>
        <w:t xml:space="preserve">fact that the </w:t>
      </w:r>
      <w:r w:rsidR="002E5867" w:rsidRPr="0059559C">
        <w:rPr>
          <w:rFonts w:cstheme="minorHAnsi"/>
          <w:sz w:val="24"/>
          <w:szCs w:val="24"/>
        </w:rPr>
        <w:t xml:space="preserve">ECJ’s </w:t>
      </w:r>
      <w:r w:rsidRPr="0059559C">
        <w:rPr>
          <w:rFonts w:cstheme="minorHAnsi"/>
          <w:sz w:val="24"/>
          <w:szCs w:val="24"/>
        </w:rPr>
        <w:t xml:space="preserve">chose to interpret </w:t>
      </w:r>
      <w:r w:rsidR="002E5867" w:rsidRPr="0059559C">
        <w:rPr>
          <w:rFonts w:cstheme="minorHAnsi"/>
          <w:sz w:val="24"/>
          <w:szCs w:val="24"/>
        </w:rPr>
        <w:t xml:space="preserve">Art 3(2) </w:t>
      </w:r>
      <w:r w:rsidRPr="0059559C">
        <w:rPr>
          <w:rFonts w:cstheme="minorHAnsi"/>
          <w:sz w:val="24"/>
          <w:szCs w:val="24"/>
        </w:rPr>
        <w:t xml:space="preserve">narrowly </w:t>
      </w:r>
      <w:r w:rsidR="002E5867" w:rsidRPr="0059559C">
        <w:rPr>
          <w:rFonts w:cstheme="minorHAnsi"/>
          <w:sz w:val="24"/>
          <w:szCs w:val="24"/>
        </w:rPr>
        <w:t>‘shows that EU law “tilts” towards the protection of privacy</w:t>
      </w:r>
      <w:r w:rsidRPr="0059559C">
        <w:rPr>
          <w:rFonts w:cstheme="minorHAnsi"/>
          <w:sz w:val="24"/>
          <w:szCs w:val="24"/>
        </w:rPr>
        <w:t xml:space="preserve"> …</w:t>
      </w:r>
      <w:r w:rsidR="002E5867" w:rsidRPr="0059559C">
        <w:rPr>
          <w:rFonts w:cstheme="minorHAnsi"/>
          <w:sz w:val="24"/>
          <w:szCs w:val="24"/>
        </w:rPr>
        <w:t xml:space="preserve"> at the expense of other fundamental rights.’ </w:t>
      </w:r>
      <w:proofErr w:type="spellStart"/>
      <w:r w:rsidRPr="0059559C">
        <w:rPr>
          <w:rFonts w:cstheme="minorHAnsi"/>
          <w:sz w:val="24"/>
          <w:szCs w:val="24"/>
        </w:rPr>
        <w:t>Warso</w:t>
      </w:r>
      <w:proofErr w:type="spellEnd"/>
      <w:r w:rsidRPr="0059559C">
        <w:rPr>
          <w:rFonts w:cstheme="minorHAnsi"/>
          <w:sz w:val="24"/>
          <w:szCs w:val="24"/>
        </w:rPr>
        <w:t xml:space="preserve"> argues further</w:t>
      </w:r>
      <w:r w:rsidR="002E5867" w:rsidRPr="0059559C">
        <w:rPr>
          <w:rFonts w:cstheme="minorHAnsi"/>
          <w:sz w:val="24"/>
          <w:szCs w:val="24"/>
        </w:rPr>
        <w:t xml:space="preserve"> that ‘[</w:t>
      </w:r>
      <w:proofErr w:type="spellStart"/>
      <w:r w:rsidR="002E5867" w:rsidRPr="0059559C">
        <w:rPr>
          <w:rFonts w:cstheme="minorHAnsi"/>
          <w:sz w:val="24"/>
          <w:szCs w:val="24"/>
        </w:rPr>
        <w:t>i</w:t>
      </w:r>
      <w:proofErr w:type="spellEnd"/>
      <w:r w:rsidR="002E5867" w:rsidRPr="0059559C">
        <w:rPr>
          <w:rFonts w:cstheme="minorHAnsi"/>
          <w:sz w:val="24"/>
          <w:szCs w:val="24"/>
        </w:rPr>
        <w:t xml:space="preserve">]n light of the human rights standards established by the </w:t>
      </w:r>
      <w:proofErr w:type="spellStart"/>
      <w:r w:rsidR="002E5867" w:rsidRPr="0059559C">
        <w:rPr>
          <w:rFonts w:cstheme="minorHAnsi"/>
          <w:sz w:val="24"/>
          <w:szCs w:val="24"/>
        </w:rPr>
        <w:t>ECtHR</w:t>
      </w:r>
      <w:proofErr w:type="spellEnd"/>
      <w:r w:rsidR="002E5867" w:rsidRPr="0059559C">
        <w:rPr>
          <w:rFonts w:cstheme="minorHAnsi"/>
          <w:sz w:val="24"/>
          <w:szCs w:val="24"/>
        </w:rPr>
        <w:t>, this puts into question whether the Directive 95/46/EC fulfils the task of balancing</w:t>
      </w:r>
      <w:r w:rsidRPr="0059559C">
        <w:rPr>
          <w:rFonts w:cstheme="minorHAnsi"/>
          <w:sz w:val="24"/>
          <w:szCs w:val="24"/>
        </w:rPr>
        <w:t xml:space="preserve"> all fundamental values involve.  Perhaps</w:t>
      </w:r>
      <w:r w:rsidR="002E5867" w:rsidRPr="0059559C">
        <w:rPr>
          <w:rFonts w:cstheme="minorHAnsi"/>
          <w:sz w:val="24"/>
          <w:szCs w:val="24"/>
        </w:rPr>
        <w:t xml:space="preserve">, most importantly </w:t>
      </w:r>
      <w:r w:rsidRPr="0059559C">
        <w:rPr>
          <w:rFonts w:cstheme="minorHAnsi"/>
          <w:sz w:val="24"/>
          <w:szCs w:val="24"/>
        </w:rPr>
        <w:t xml:space="preserve">she contends that </w:t>
      </w:r>
      <w:r w:rsidR="002E5867" w:rsidRPr="0059559C">
        <w:rPr>
          <w:rFonts w:cstheme="minorHAnsi"/>
          <w:sz w:val="24"/>
          <w:szCs w:val="24"/>
        </w:rPr>
        <w:t xml:space="preserve">‘the standard set by CJEU in </w:t>
      </w:r>
      <w:proofErr w:type="spellStart"/>
      <w:r w:rsidR="002E5867" w:rsidRPr="0059559C">
        <w:rPr>
          <w:rFonts w:cstheme="minorHAnsi"/>
          <w:sz w:val="24"/>
          <w:szCs w:val="24"/>
        </w:rPr>
        <w:t>Lindqvist</w:t>
      </w:r>
      <w:proofErr w:type="spellEnd"/>
      <w:r w:rsidR="002E5867" w:rsidRPr="0059559C">
        <w:rPr>
          <w:rFonts w:cstheme="minorHAnsi"/>
          <w:sz w:val="24"/>
          <w:szCs w:val="24"/>
        </w:rPr>
        <w:t>, which still constitutes the main point of reference with regard to the application of the personal/household exemption online, fails to keep up with the rapid development of new communication technologies and ignores</w:t>
      </w:r>
      <w:r w:rsidRPr="0059559C">
        <w:rPr>
          <w:rFonts w:cstheme="minorHAnsi"/>
          <w:sz w:val="24"/>
          <w:szCs w:val="24"/>
        </w:rPr>
        <w:t xml:space="preserve"> the complex fabric of the Web’ (</w:t>
      </w:r>
      <w:proofErr w:type="spellStart"/>
      <w:r w:rsidRPr="0059559C">
        <w:rPr>
          <w:rFonts w:cstheme="minorHAnsi"/>
          <w:sz w:val="24"/>
          <w:szCs w:val="24"/>
        </w:rPr>
        <w:t>Warso</w:t>
      </w:r>
      <w:proofErr w:type="spellEnd"/>
      <w:r w:rsidRPr="0059559C">
        <w:rPr>
          <w:rFonts w:cstheme="minorHAnsi"/>
          <w:sz w:val="24"/>
          <w:szCs w:val="24"/>
        </w:rPr>
        <w:t>, 2013, p496)</w:t>
      </w:r>
    </w:p>
    <w:p w14:paraId="40F4846F" w14:textId="77777777" w:rsidR="004F6BFF" w:rsidRPr="0059559C" w:rsidRDefault="004F6BFF" w:rsidP="00724D5D">
      <w:pPr>
        <w:spacing w:after="0" w:line="240" w:lineRule="auto"/>
        <w:rPr>
          <w:rFonts w:cstheme="minorHAnsi"/>
          <w:sz w:val="24"/>
          <w:szCs w:val="24"/>
        </w:rPr>
      </w:pPr>
    </w:p>
    <w:p w14:paraId="7F8968F7" w14:textId="77777777" w:rsidR="004F6BFF" w:rsidRPr="0059559C" w:rsidRDefault="004F6BFF" w:rsidP="00724D5D">
      <w:pPr>
        <w:spacing w:after="0" w:line="240" w:lineRule="auto"/>
        <w:rPr>
          <w:rFonts w:cstheme="minorHAnsi"/>
          <w:sz w:val="24"/>
          <w:szCs w:val="24"/>
        </w:rPr>
      </w:pPr>
      <w:r w:rsidRPr="0059559C">
        <w:rPr>
          <w:rFonts w:cstheme="minorHAnsi"/>
          <w:sz w:val="24"/>
          <w:szCs w:val="24"/>
        </w:rPr>
        <w:lastRenderedPageBreak/>
        <w:t xml:space="preserve">These criticisms are certainly understandable when one considers the approach that the ECJ/CJEU </w:t>
      </w:r>
      <w:proofErr w:type="gramStart"/>
      <w:r w:rsidRPr="0059559C">
        <w:rPr>
          <w:rFonts w:cstheme="minorHAnsi"/>
          <w:sz w:val="24"/>
          <w:szCs w:val="24"/>
        </w:rPr>
        <w:t>have</w:t>
      </w:r>
      <w:proofErr w:type="gramEnd"/>
      <w:r w:rsidRPr="0059559C">
        <w:rPr>
          <w:rFonts w:cstheme="minorHAnsi"/>
          <w:sz w:val="24"/>
          <w:szCs w:val="24"/>
        </w:rPr>
        <w:t xml:space="preserve"> taken to the issue of individuals sharing pe</w:t>
      </w:r>
      <w:r w:rsidR="00783E2F" w:rsidRPr="0059559C">
        <w:rPr>
          <w:rFonts w:cstheme="minorHAnsi"/>
          <w:sz w:val="24"/>
          <w:szCs w:val="24"/>
        </w:rPr>
        <w:t>rsonal information online.  The European court’s approach</w:t>
      </w:r>
      <w:r w:rsidRPr="0059559C">
        <w:rPr>
          <w:rFonts w:cstheme="minorHAnsi"/>
          <w:sz w:val="24"/>
          <w:szCs w:val="24"/>
        </w:rPr>
        <w:t xml:space="preserve"> </w:t>
      </w:r>
      <w:r w:rsidR="00783E2F" w:rsidRPr="0059559C">
        <w:rPr>
          <w:rFonts w:cstheme="minorHAnsi"/>
          <w:sz w:val="24"/>
          <w:szCs w:val="24"/>
        </w:rPr>
        <w:t xml:space="preserve">currently </w:t>
      </w:r>
      <w:r w:rsidRPr="0059559C">
        <w:rPr>
          <w:rFonts w:cstheme="minorHAnsi"/>
          <w:sz w:val="24"/>
          <w:szCs w:val="24"/>
        </w:rPr>
        <w:t>prevents individuals from sharing personal information onl</w:t>
      </w:r>
      <w:r w:rsidR="00783E2F" w:rsidRPr="0059559C">
        <w:rPr>
          <w:rFonts w:cstheme="minorHAnsi"/>
          <w:sz w:val="24"/>
          <w:szCs w:val="24"/>
        </w:rPr>
        <w:t xml:space="preserve">ine (unless they accept the substantial </w:t>
      </w:r>
      <w:r w:rsidRPr="0059559C">
        <w:rPr>
          <w:rFonts w:cstheme="minorHAnsi"/>
          <w:sz w:val="24"/>
          <w:szCs w:val="24"/>
        </w:rPr>
        <w:t>obligation</w:t>
      </w:r>
      <w:r w:rsidR="00783E2F" w:rsidRPr="0059559C">
        <w:rPr>
          <w:rFonts w:cstheme="minorHAnsi"/>
          <w:sz w:val="24"/>
          <w:szCs w:val="24"/>
        </w:rPr>
        <w:t>s which lie upon them</w:t>
      </w:r>
      <w:r w:rsidRPr="0059559C">
        <w:rPr>
          <w:rFonts w:cstheme="minorHAnsi"/>
          <w:sz w:val="24"/>
          <w:szCs w:val="24"/>
        </w:rPr>
        <w:t>, as data controllers</w:t>
      </w:r>
      <w:r w:rsidR="00783E2F" w:rsidRPr="0059559C">
        <w:rPr>
          <w:rFonts w:cstheme="minorHAnsi"/>
          <w:sz w:val="24"/>
          <w:szCs w:val="24"/>
        </w:rPr>
        <w:t xml:space="preserve"> (and which are likely to continue even once the regulation becomes law, no specific provision being included in the Regulation to relieve an individual of the full burden of data controller obligations)</w:t>
      </w:r>
      <w:r w:rsidRPr="0059559C">
        <w:rPr>
          <w:rFonts w:cstheme="minorHAnsi"/>
          <w:sz w:val="24"/>
          <w:szCs w:val="24"/>
        </w:rPr>
        <w:t>.</w:t>
      </w:r>
      <w:r w:rsidR="00783E2F" w:rsidRPr="0059559C">
        <w:rPr>
          <w:rFonts w:cstheme="minorHAnsi"/>
          <w:sz w:val="24"/>
          <w:szCs w:val="24"/>
        </w:rPr>
        <w:t xml:space="preserve">  Whilst the Working Party opinion undoubtedly lessens the full effect of the </w:t>
      </w:r>
      <w:proofErr w:type="spellStart"/>
      <w:r w:rsidR="00783E2F" w:rsidRPr="0059559C">
        <w:rPr>
          <w:rFonts w:cstheme="minorHAnsi"/>
          <w:sz w:val="24"/>
          <w:szCs w:val="24"/>
        </w:rPr>
        <w:t>Lindqvist</w:t>
      </w:r>
      <w:proofErr w:type="spellEnd"/>
      <w:r w:rsidR="00783E2F" w:rsidRPr="0059559C">
        <w:rPr>
          <w:rFonts w:cstheme="minorHAnsi"/>
          <w:sz w:val="24"/>
          <w:szCs w:val="24"/>
        </w:rPr>
        <w:t xml:space="preserve"> judgment, it remains the case that individuals who do not choose to limit who has access to online postings should only post information online if they are prepared to accept their obligations under the Directive.  </w:t>
      </w:r>
    </w:p>
    <w:p w14:paraId="558CD958" w14:textId="77777777" w:rsidR="00783E2F" w:rsidRPr="0059559C" w:rsidRDefault="00783E2F" w:rsidP="00724D5D">
      <w:pPr>
        <w:spacing w:after="0" w:line="240" w:lineRule="auto"/>
        <w:rPr>
          <w:rFonts w:cstheme="minorHAnsi"/>
          <w:sz w:val="24"/>
          <w:szCs w:val="24"/>
        </w:rPr>
      </w:pPr>
    </w:p>
    <w:p w14:paraId="177AEA80" w14:textId="7AEE29EC" w:rsidR="00783E2F" w:rsidRPr="0059559C" w:rsidRDefault="00A6422E" w:rsidP="00724D5D">
      <w:pPr>
        <w:spacing w:after="0" w:line="240" w:lineRule="auto"/>
        <w:rPr>
          <w:rFonts w:cstheme="minorHAnsi"/>
          <w:sz w:val="24"/>
          <w:szCs w:val="24"/>
        </w:rPr>
      </w:pPr>
      <w:r w:rsidRPr="0059559C">
        <w:rPr>
          <w:rFonts w:cstheme="minorHAnsi"/>
          <w:sz w:val="24"/>
          <w:szCs w:val="24"/>
        </w:rPr>
        <w:t xml:space="preserve">Within the UK, however, </w:t>
      </w:r>
      <w:r w:rsidR="004F6BFF" w:rsidRPr="0059559C">
        <w:rPr>
          <w:rFonts w:cstheme="minorHAnsi"/>
          <w:sz w:val="24"/>
          <w:szCs w:val="24"/>
        </w:rPr>
        <w:t>very different</w:t>
      </w:r>
      <w:r w:rsidRPr="0059559C">
        <w:rPr>
          <w:rFonts w:cstheme="minorHAnsi"/>
          <w:sz w:val="24"/>
          <w:szCs w:val="24"/>
        </w:rPr>
        <w:t xml:space="preserve"> criticisms can be made. </w:t>
      </w:r>
      <w:r w:rsidR="00A72C53" w:rsidRPr="0059559C">
        <w:rPr>
          <w:rFonts w:cstheme="minorHAnsi"/>
          <w:sz w:val="24"/>
          <w:szCs w:val="24"/>
        </w:rPr>
        <w:t xml:space="preserve"> With the ICO having effectively chosen to ignore the decision in </w:t>
      </w:r>
      <w:proofErr w:type="spellStart"/>
      <w:r w:rsidR="00A72C53" w:rsidRPr="0059559C">
        <w:rPr>
          <w:rFonts w:cstheme="minorHAnsi"/>
          <w:sz w:val="24"/>
          <w:szCs w:val="24"/>
        </w:rPr>
        <w:t>Lindqvist</w:t>
      </w:r>
      <w:proofErr w:type="spellEnd"/>
      <w:r w:rsidR="00A72C53" w:rsidRPr="0059559C">
        <w:rPr>
          <w:rFonts w:cstheme="minorHAnsi"/>
          <w:sz w:val="24"/>
          <w:szCs w:val="24"/>
        </w:rPr>
        <w:t>, i</w:t>
      </w:r>
      <w:r w:rsidRPr="0059559C">
        <w:rPr>
          <w:rFonts w:cstheme="minorHAnsi"/>
          <w:sz w:val="24"/>
          <w:szCs w:val="24"/>
        </w:rPr>
        <w:t xml:space="preserve">t is apparent that UK </w:t>
      </w:r>
      <w:proofErr w:type="gramStart"/>
      <w:r w:rsidRPr="0059559C">
        <w:rPr>
          <w:rFonts w:cstheme="minorHAnsi"/>
          <w:sz w:val="24"/>
          <w:szCs w:val="24"/>
        </w:rPr>
        <w:t>individuals</w:t>
      </w:r>
      <w:proofErr w:type="gramEnd"/>
      <w:r w:rsidRPr="0059559C">
        <w:rPr>
          <w:rFonts w:cstheme="minorHAnsi"/>
          <w:sz w:val="24"/>
          <w:szCs w:val="24"/>
        </w:rPr>
        <w:t xml:space="preserve"> who share information online, including information and images of third parties, are free to do so, in the exercise of their right to freedom of expression</w:t>
      </w:r>
      <w:r w:rsidR="00A72C53" w:rsidRPr="0059559C">
        <w:rPr>
          <w:rFonts w:cstheme="minorHAnsi"/>
          <w:sz w:val="24"/>
          <w:szCs w:val="24"/>
        </w:rPr>
        <w:t>. This is subject only to the proviso</w:t>
      </w:r>
      <w:r w:rsidRPr="0059559C">
        <w:rPr>
          <w:rFonts w:cstheme="minorHAnsi"/>
          <w:sz w:val="24"/>
          <w:szCs w:val="24"/>
        </w:rPr>
        <w:t xml:space="preserve"> that their actions are undertaken for personal, domestic or recreational purposes</w:t>
      </w:r>
      <w:r w:rsidR="002A65D6" w:rsidRPr="0059559C">
        <w:rPr>
          <w:rFonts w:cstheme="minorHAnsi"/>
          <w:sz w:val="24"/>
          <w:szCs w:val="24"/>
        </w:rPr>
        <w:t xml:space="preserve">.  The ICO has chosen to define such terms widely, and it is entirely possible that even when a parent receives economic benefits </w:t>
      </w:r>
      <w:r w:rsidR="009A325F">
        <w:rPr>
          <w:rFonts w:cstheme="minorHAnsi"/>
          <w:sz w:val="24"/>
          <w:szCs w:val="24"/>
        </w:rPr>
        <w:t xml:space="preserve">such as </w:t>
      </w:r>
      <w:r w:rsidR="002A65D6" w:rsidRPr="0059559C">
        <w:rPr>
          <w:rFonts w:cstheme="minorHAnsi"/>
          <w:sz w:val="24"/>
          <w:szCs w:val="24"/>
        </w:rPr>
        <w:t>free merchandise</w:t>
      </w:r>
      <w:r w:rsidR="009A325F">
        <w:rPr>
          <w:rFonts w:cstheme="minorHAnsi"/>
          <w:sz w:val="24"/>
          <w:szCs w:val="24"/>
        </w:rPr>
        <w:t xml:space="preserve"> or</w:t>
      </w:r>
      <w:r w:rsidR="002A65D6" w:rsidRPr="0059559C">
        <w:rPr>
          <w:rFonts w:cstheme="minorHAnsi"/>
          <w:sz w:val="24"/>
          <w:szCs w:val="24"/>
        </w:rPr>
        <w:t xml:space="preserve"> free</w:t>
      </w:r>
      <w:r w:rsidR="009A325F">
        <w:rPr>
          <w:rFonts w:cstheme="minorHAnsi"/>
          <w:sz w:val="24"/>
          <w:szCs w:val="24"/>
        </w:rPr>
        <w:t xml:space="preserve"> or reduced entrance fees</w:t>
      </w:r>
      <w:r w:rsidR="002A65D6" w:rsidRPr="0059559C">
        <w:rPr>
          <w:rFonts w:cstheme="minorHAnsi"/>
          <w:sz w:val="24"/>
          <w:szCs w:val="24"/>
        </w:rPr>
        <w:t xml:space="preserve"> as a result of blogging about the lives, likes and activities of their family and friends they will still benefit from the s36 exemption</w:t>
      </w:r>
      <w:r w:rsidRPr="0059559C">
        <w:rPr>
          <w:rFonts w:cstheme="minorHAnsi"/>
          <w:sz w:val="24"/>
          <w:szCs w:val="24"/>
        </w:rPr>
        <w:t>.</w:t>
      </w:r>
      <w:r w:rsidR="004F6BFF" w:rsidRPr="0059559C">
        <w:rPr>
          <w:rFonts w:cstheme="minorHAnsi"/>
          <w:sz w:val="24"/>
          <w:szCs w:val="24"/>
        </w:rPr>
        <w:t xml:space="preserve">  Such individuals thus effectively have little or no need to rely upon the s32 exemption introduced into UK law to ensure that in appropriate cases (specifically for the special purposes of journalism, art and literature) individuals’ rights to freedom of expression are not entirely disregarded in favour of the right to privacy/data protection.  The </w:t>
      </w:r>
      <w:r w:rsidR="00A72C53" w:rsidRPr="0059559C">
        <w:rPr>
          <w:rFonts w:cstheme="minorHAnsi"/>
          <w:sz w:val="24"/>
          <w:szCs w:val="24"/>
        </w:rPr>
        <w:t xml:space="preserve">effect of the ICO position, however, is that </w:t>
      </w:r>
      <w:r w:rsidR="004F6BFF" w:rsidRPr="0059559C">
        <w:rPr>
          <w:rFonts w:cstheme="minorHAnsi"/>
          <w:sz w:val="24"/>
          <w:szCs w:val="24"/>
        </w:rPr>
        <w:t>individuals whose information is shared online by others have</w:t>
      </w:r>
      <w:r w:rsidR="00783E2F" w:rsidRPr="0059559C">
        <w:rPr>
          <w:rFonts w:cstheme="minorHAnsi"/>
          <w:sz w:val="24"/>
          <w:szCs w:val="24"/>
        </w:rPr>
        <w:t xml:space="preserve"> seen an erosion of their rights to privacy and data protection, with</w:t>
      </w:r>
      <w:r w:rsidR="004F6BFF" w:rsidRPr="0059559C">
        <w:rPr>
          <w:rFonts w:cstheme="minorHAnsi"/>
          <w:sz w:val="24"/>
          <w:szCs w:val="24"/>
        </w:rPr>
        <w:t xml:space="preserve"> no remedy afforded to them under the DPA, and no real ability to prevent </w:t>
      </w:r>
      <w:r w:rsidR="00A72C53" w:rsidRPr="0059559C">
        <w:rPr>
          <w:rFonts w:cstheme="minorHAnsi"/>
          <w:sz w:val="24"/>
          <w:szCs w:val="24"/>
        </w:rPr>
        <w:t xml:space="preserve">online processing of their information by others.  </w:t>
      </w:r>
    </w:p>
    <w:p w14:paraId="6182E8B2" w14:textId="77777777" w:rsidR="00783E2F" w:rsidRPr="0059559C" w:rsidRDefault="00783E2F" w:rsidP="00724D5D">
      <w:pPr>
        <w:spacing w:after="0" w:line="240" w:lineRule="auto"/>
        <w:rPr>
          <w:rFonts w:cstheme="minorHAnsi"/>
          <w:sz w:val="24"/>
          <w:szCs w:val="24"/>
        </w:rPr>
      </w:pPr>
    </w:p>
    <w:p w14:paraId="7625D757" w14:textId="77777777" w:rsidR="00A6422E" w:rsidRPr="0059559C" w:rsidRDefault="00A72C53" w:rsidP="00724D5D">
      <w:pPr>
        <w:spacing w:after="0" w:line="240" w:lineRule="auto"/>
        <w:rPr>
          <w:rFonts w:eastAsia="Times New Roman" w:cstheme="minorHAnsi"/>
          <w:sz w:val="24"/>
          <w:szCs w:val="24"/>
          <w:lang w:eastAsia="en-GB"/>
        </w:rPr>
      </w:pPr>
      <w:r w:rsidRPr="0059559C">
        <w:rPr>
          <w:rFonts w:cstheme="minorHAnsi"/>
          <w:sz w:val="24"/>
          <w:szCs w:val="24"/>
        </w:rPr>
        <w:t>The clear</w:t>
      </w:r>
      <w:r w:rsidR="004F6BFF" w:rsidRPr="0059559C">
        <w:rPr>
          <w:rFonts w:eastAsia="Times New Roman" w:cstheme="minorHAnsi"/>
          <w:sz w:val="24"/>
          <w:szCs w:val="24"/>
          <w:lang w:eastAsia="en-GB"/>
        </w:rPr>
        <w:t xml:space="preserve"> divergence between the European and UK problems</w:t>
      </w:r>
      <w:r w:rsidRPr="0059559C">
        <w:rPr>
          <w:rFonts w:eastAsia="Times New Roman" w:cstheme="minorHAnsi"/>
          <w:sz w:val="24"/>
          <w:szCs w:val="24"/>
          <w:lang w:eastAsia="en-GB"/>
        </w:rPr>
        <w:t xml:space="preserve"> and the uncertainty that it causes for organisations and individuals</w:t>
      </w:r>
      <w:r w:rsidR="00783E2F" w:rsidRPr="0059559C">
        <w:rPr>
          <w:rFonts w:eastAsia="Times New Roman" w:cstheme="minorHAnsi"/>
          <w:sz w:val="24"/>
          <w:szCs w:val="24"/>
          <w:lang w:eastAsia="en-GB"/>
        </w:rPr>
        <w:t xml:space="preserve"> can be illustrated by reference to a scenario where a parent takes a photograph at a school event with the intention of posting that photograph online</w:t>
      </w:r>
      <w:r w:rsidR="004F6BFF" w:rsidRPr="0059559C">
        <w:rPr>
          <w:rFonts w:eastAsia="Times New Roman" w:cstheme="minorHAnsi"/>
          <w:sz w:val="24"/>
          <w:szCs w:val="24"/>
          <w:lang w:eastAsia="en-GB"/>
        </w:rPr>
        <w:t>.</w:t>
      </w:r>
      <w:r w:rsidR="00783E2F" w:rsidRPr="0059559C">
        <w:rPr>
          <w:rFonts w:eastAsia="Times New Roman" w:cstheme="minorHAnsi"/>
          <w:sz w:val="24"/>
          <w:szCs w:val="24"/>
          <w:lang w:eastAsia="en-GB"/>
        </w:rPr>
        <w:t xml:space="preserve">  Whether the parent is allowed to take that photograph and post it online appears to largely depend upon whether the school believes that s36 DPA does or not apply to the parent. If the school accepts the ICO position then no restriction upon parental photography is required (at least for DPA purposes).  By contrast if the school adopts the approach advocated in </w:t>
      </w:r>
      <w:proofErr w:type="spellStart"/>
      <w:r w:rsidR="00783E2F" w:rsidRPr="0059559C">
        <w:rPr>
          <w:rFonts w:eastAsia="Times New Roman" w:cstheme="minorHAnsi"/>
          <w:sz w:val="24"/>
          <w:szCs w:val="24"/>
          <w:lang w:eastAsia="en-GB"/>
        </w:rPr>
        <w:t>Lindqvist</w:t>
      </w:r>
      <w:proofErr w:type="spellEnd"/>
      <w:r w:rsidR="00783E2F" w:rsidRPr="0059559C">
        <w:rPr>
          <w:rFonts w:eastAsia="Times New Roman" w:cstheme="minorHAnsi"/>
          <w:sz w:val="24"/>
          <w:szCs w:val="24"/>
          <w:lang w:eastAsia="en-GB"/>
        </w:rPr>
        <w:t xml:space="preserve"> the school is likely, as a minimum, to ask parents not to share photographs online.</w:t>
      </w:r>
    </w:p>
    <w:p w14:paraId="24C32D47" w14:textId="77777777" w:rsidR="00A72C53" w:rsidRPr="0059559C" w:rsidRDefault="00A72C53" w:rsidP="00724D5D">
      <w:pPr>
        <w:spacing w:after="0" w:line="240" w:lineRule="auto"/>
        <w:rPr>
          <w:rFonts w:eastAsia="Times New Roman" w:cstheme="minorHAnsi"/>
          <w:sz w:val="24"/>
          <w:szCs w:val="24"/>
          <w:lang w:eastAsia="en-GB"/>
        </w:rPr>
      </w:pPr>
    </w:p>
    <w:p w14:paraId="6EACBC41" w14:textId="77777777" w:rsidR="00A72C53" w:rsidRPr="0059559C" w:rsidRDefault="00A72C53" w:rsidP="00724D5D">
      <w:pPr>
        <w:spacing w:after="0" w:line="240" w:lineRule="auto"/>
        <w:rPr>
          <w:rFonts w:eastAsia="Times New Roman" w:cstheme="minorHAnsi"/>
          <w:sz w:val="24"/>
          <w:szCs w:val="24"/>
          <w:lang w:eastAsia="en-GB"/>
        </w:rPr>
      </w:pPr>
      <w:r w:rsidRPr="0059559C">
        <w:rPr>
          <w:rFonts w:eastAsia="Times New Roman" w:cstheme="minorHAnsi"/>
          <w:sz w:val="24"/>
          <w:szCs w:val="24"/>
          <w:lang w:eastAsia="en-GB"/>
        </w:rPr>
        <w:t xml:space="preserve">If the European Parliament’s revisions to the Regulation are accepted it is </w:t>
      </w:r>
      <w:r w:rsidR="00783E2F" w:rsidRPr="0059559C">
        <w:rPr>
          <w:rFonts w:eastAsia="Times New Roman" w:cstheme="minorHAnsi"/>
          <w:sz w:val="24"/>
          <w:szCs w:val="24"/>
          <w:lang w:eastAsia="en-GB"/>
        </w:rPr>
        <w:t xml:space="preserve">arguable </w:t>
      </w:r>
      <w:r w:rsidRPr="0059559C">
        <w:rPr>
          <w:rFonts w:eastAsia="Times New Roman" w:cstheme="minorHAnsi"/>
          <w:sz w:val="24"/>
          <w:szCs w:val="24"/>
          <w:lang w:eastAsia="en-GB"/>
        </w:rPr>
        <w:t xml:space="preserve">that the </w:t>
      </w:r>
      <w:r w:rsidR="00E0467F" w:rsidRPr="0059559C">
        <w:rPr>
          <w:rFonts w:eastAsia="Times New Roman" w:cstheme="minorHAnsi"/>
          <w:sz w:val="24"/>
          <w:szCs w:val="24"/>
          <w:lang w:eastAsia="en-GB"/>
        </w:rPr>
        <w:t>current uncertainties will be removed</w:t>
      </w:r>
      <w:r w:rsidRPr="0059559C">
        <w:rPr>
          <w:rFonts w:eastAsia="Times New Roman" w:cstheme="minorHAnsi"/>
          <w:sz w:val="24"/>
          <w:szCs w:val="24"/>
          <w:lang w:eastAsia="en-GB"/>
        </w:rPr>
        <w:t xml:space="preserve">.  Recital 15 to the Regulation goes a long way to clarifying how, throughout the Member </w:t>
      </w:r>
      <w:proofErr w:type="gramStart"/>
      <w:r w:rsidRPr="0059559C">
        <w:rPr>
          <w:rFonts w:eastAsia="Times New Roman" w:cstheme="minorHAnsi"/>
          <w:sz w:val="24"/>
          <w:szCs w:val="24"/>
          <w:lang w:eastAsia="en-GB"/>
        </w:rPr>
        <w:t>States,</w:t>
      </w:r>
      <w:proofErr w:type="gramEnd"/>
      <w:r w:rsidRPr="0059559C">
        <w:rPr>
          <w:rFonts w:eastAsia="Times New Roman" w:cstheme="minorHAnsi"/>
          <w:sz w:val="24"/>
          <w:szCs w:val="24"/>
          <w:lang w:eastAsia="en-GB"/>
        </w:rPr>
        <w:t xml:space="preserve"> the personal/household exemption should be applied.  In many cases where individuals are sharing information only with </w:t>
      </w:r>
      <w:r w:rsidR="00783E2F" w:rsidRPr="0059559C">
        <w:rPr>
          <w:rFonts w:eastAsia="Times New Roman" w:cstheme="minorHAnsi"/>
          <w:sz w:val="24"/>
          <w:szCs w:val="24"/>
          <w:lang w:eastAsia="en-GB"/>
        </w:rPr>
        <w:t>a defined number (</w:t>
      </w:r>
      <w:r w:rsidRPr="0059559C">
        <w:rPr>
          <w:rFonts w:eastAsia="Times New Roman" w:cstheme="minorHAnsi"/>
          <w:sz w:val="24"/>
          <w:szCs w:val="24"/>
          <w:lang w:eastAsia="en-GB"/>
        </w:rPr>
        <w:t xml:space="preserve">friends or family </w:t>
      </w:r>
      <w:r w:rsidR="00783E2F" w:rsidRPr="0059559C">
        <w:rPr>
          <w:rFonts w:eastAsia="Times New Roman" w:cstheme="minorHAnsi"/>
          <w:sz w:val="24"/>
          <w:szCs w:val="24"/>
          <w:lang w:eastAsia="en-GB"/>
        </w:rPr>
        <w:t xml:space="preserve">only) </w:t>
      </w:r>
      <w:r w:rsidRPr="0059559C">
        <w:rPr>
          <w:rFonts w:eastAsia="Times New Roman" w:cstheme="minorHAnsi"/>
          <w:sz w:val="24"/>
          <w:szCs w:val="24"/>
          <w:lang w:eastAsia="en-GB"/>
        </w:rPr>
        <w:t>the Parliament has signalled clearly that it believes that the personal/household exemption should apply.  Its revisions to Recital 121 also open the door to individuals being able to rely upon Article 80 as an alternative to Article 2(2</w:t>
      </w:r>
      <w:proofErr w:type="gramStart"/>
      <w:r w:rsidRPr="0059559C">
        <w:rPr>
          <w:rFonts w:eastAsia="Times New Roman" w:cstheme="minorHAnsi"/>
          <w:sz w:val="24"/>
          <w:szCs w:val="24"/>
          <w:lang w:eastAsia="en-GB"/>
        </w:rPr>
        <w:t>)(</w:t>
      </w:r>
      <w:proofErr w:type="gramEnd"/>
      <w:r w:rsidRPr="0059559C">
        <w:rPr>
          <w:rFonts w:eastAsia="Times New Roman" w:cstheme="minorHAnsi"/>
          <w:sz w:val="24"/>
          <w:szCs w:val="24"/>
          <w:lang w:eastAsia="en-GB"/>
        </w:rPr>
        <w:t xml:space="preserve">d) when information is disseminated to the public at large.   For individuals who wish to share personal information online, including third party information, the position is therefore </w:t>
      </w:r>
      <w:r w:rsidRPr="0059559C">
        <w:rPr>
          <w:rFonts w:eastAsia="Times New Roman" w:cstheme="minorHAnsi"/>
          <w:sz w:val="24"/>
          <w:szCs w:val="24"/>
          <w:lang w:eastAsia="en-GB"/>
        </w:rPr>
        <w:lastRenderedPageBreak/>
        <w:t xml:space="preserve">improved; it seems clear that in </w:t>
      </w:r>
      <w:r w:rsidR="00783E2F" w:rsidRPr="0059559C">
        <w:rPr>
          <w:rFonts w:eastAsia="Times New Roman" w:cstheme="minorHAnsi"/>
          <w:sz w:val="24"/>
          <w:szCs w:val="24"/>
          <w:lang w:eastAsia="en-GB"/>
        </w:rPr>
        <w:t xml:space="preserve">many </w:t>
      </w:r>
      <w:r w:rsidRPr="0059559C">
        <w:rPr>
          <w:rFonts w:eastAsia="Times New Roman" w:cstheme="minorHAnsi"/>
          <w:sz w:val="24"/>
          <w:szCs w:val="24"/>
          <w:lang w:eastAsia="en-GB"/>
        </w:rPr>
        <w:t>cases the data protection framework will not apply.   For the individuals whose information is being shared by others, however, the position is not so much improved as clarified.  It seems likely that their rights to object to the online processing of their information by other individuals are effectively disappearing.</w:t>
      </w:r>
    </w:p>
    <w:p w14:paraId="73BF040B" w14:textId="77777777" w:rsidR="00E84574" w:rsidRPr="0059559C" w:rsidRDefault="00E84574" w:rsidP="00A16033">
      <w:pPr>
        <w:spacing w:after="0" w:line="240" w:lineRule="auto"/>
        <w:rPr>
          <w:rFonts w:cstheme="minorHAnsi"/>
          <w:b/>
          <w:sz w:val="24"/>
          <w:szCs w:val="24"/>
        </w:rPr>
      </w:pPr>
    </w:p>
    <w:p w14:paraId="020B12B6" w14:textId="77777777" w:rsidR="00A16033" w:rsidRPr="0059559C" w:rsidRDefault="00A16033" w:rsidP="00A16033">
      <w:pPr>
        <w:spacing w:after="0" w:line="240" w:lineRule="auto"/>
        <w:rPr>
          <w:rFonts w:cstheme="minorHAnsi"/>
          <w:sz w:val="24"/>
          <w:szCs w:val="24"/>
        </w:rPr>
      </w:pPr>
    </w:p>
    <w:p w14:paraId="7DD97534" w14:textId="77777777" w:rsidR="009C2A4D" w:rsidRPr="0059559C" w:rsidRDefault="009C2A4D" w:rsidP="009C2A4D">
      <w:pPr>
        <w:spacing w:after="0" w:line="240" w:lineRule="auto"/>
        <w:rPr>
          <w:rFonts w:cstheme="minorHAnsi"/>
          <w:b/>
          <w:sz w:val="24"/>
          <w:szCs w:val="24"/>
        </w:rPr>
      </w:pPr>
    </w:p>
    <w:p w14:paraId="1A7248BA" w14:textId="77777777" w:rsidR="006259B8" w:rsidRPr="0059559C" w:rsidRDefault="006259B8">
      <w:pPr>
        <w:rPr>
          <w:rFonts w:cstheme="minorHAnsi"/>
          <w:b/>
          <w:sz w:val="24"/>
          <w:szCs w:val="24"/>
        </w:rPr>
      </w:pPr>
      <w:r w:rsidRPr="0059559C">
        <w:rPr>
          <w:rFonts w:cstheme="minorHAnsi"/>
          <w:b/>
          <w:sz w:val="24"/>
          <w:szCs w:val="24"/>
        </w:rPr>
        <w:br w:type="page"/>
      </w:r>
    </w:p>
    <w:p w14:paraId="2D5CC34A" w14:textId="77777777" w:rsidR="009C2A4D" w:rsidRPr="0059559C" w:rsidRDefault="009C2A4D" w:rsidP="009C2A4D">
      <w:pPr>
        <w:spacing w:after="0" w:line="240" w:lineRule="auto"/>
        <w:rPr>
          <w:rFonts w:cstheme="minorHAnsi"/>
          <w:b/>
          <w:sz w:val="24"/>
          <w:szCs w:val="24"/>
        </w:rPr>
      </w:pPr>
      <w:r w:rsidRPr="0059559C">
        <w:rPr>
          <w:rFonts w:cstheme="minorHAnsi"/>
          <w:b/>
          <w:sz w:val="24"/>
          <w:szCs w:val="24"/>
        </w:rPr>
        <w:lastRenderedPageBreak/>
        <w:t>References</w:t>
      </w:r>
    </w:p>
    <w:p w14:paraId="5ABCBECE" w14:textId="77777777" w:rsidR="009C2A4D" w:rsidRPr="0059559C" w:rsidRDefault="009C2A4D" w:rsidP="009C2A4D">
      <w:pPr>
        <w:spacing w:after="0" w:line="240" w:lineRule="auto"/>
        <w:rPr>
          <w:rFonts w:cstheme="minorHAnsi"/>
          <w:sz w:val="24"/>
          <w:szCs w:val="24"/>
        </w:rPr>
      </w:pPr>
    </w:p>
    <w:p w14:paraId="15F0C546" w14:textId="77777777" w:rsidR="009C2A4D" w:rsidRPr="0059559C" w:rsidRDefault="009C2A4D" w:rsidP="009C2A4D">
      <w:pPr>
        <w:pStyle w:val="FootnoteText"/>
        <w:rPr>
          <w:rFonts w:cstheme="minorHAnsi"/>
          <w:sz w:val="24"/>
          <w:szCs w:val="24"/>
        </w:rPr>
      </w:pPr>
      <w:r w:rsidRPr="0059559C">
        <w:rPr>
          <w:rFonts w:cstheme="minorHAnsi"/>
          <w:sz w:val="24"/>
          <w:szCs w:val="24"/>
        </w:rPr>
        <w:t>Appleto</w:t>
      </w:r>
      <w:r w:rsidR="00E0467F" w:rsidRPr="0059559C">
        <w:rPr>
          <w:rFonts w:cstheme="minorHAnsi"/>
          <w:sz w:val="24"/>
          <w:szCs w:val="24"/>
        </w:rPr>
        <w:t xml:space="preserve">n, Josie, </w:t>
      </w:r>
      <w:r w:rsidRPr="0059559C">
        <w:rPr>
          <w:rFonts w:cstheme="minorHAnsi"/>
          <w:sz w:val="24"/>
          <w:szCs w:val="24"/>
        </w:rPr>
        <w:t xml:space="preserve">(2012) </w:t>
      </w:r>
      <w:r w:rsidR="00E0467F" w:rsidRPr="0059559C">
        <w:rPr>
          <w:rFonts w:cstheme="minorHAnsi"/>
          <w:sz w:val="24"/>
          <w:szCs w:val="24"/>
        </w:rPr>
        <w:t>‘</w:t>
      </w:r>
      <w:r w:rsidRPr="0059559C">
        <w:rPr>
          <w:rFonts w:cstheme="minorHAnsi"/>
          <w:sz w:val="24"/>
          <w:szCs w:val="24"/>
        </w:rPr>
        <w:t>Why do schools really stop parents taking photographs of their children?</w:t>
      </w:r>
      <w:r w:rsidR="00E0467F" w:rsidRPr="0059559C">
        <w:rPr>
          <w:rFonts w:cstheme="minorHAnsi"/>
          <w:sz w:val="24"/>
          <w:szCs w:val="24"/>
        </w:rPr>
        <w:t>’</w:t>
      </w:r>
      <w:r w:rsidRPr="0059559C">
        <w:rPr>
          <w:rFonts w:cstheme="minorHAnsi"/>
          <w:sz w:val="24"/>
          <w:szCs w:val="24"/>
        </w:rPr>
        <w:t xml:space="preserve"> The Guardian 23 June 2012 </w:t>
      </w:r>
      <w:hyperlink r:id="rId10" w:history="1">
        <w:r w:rsidRPr="0059559C">
          <w:rPr>
            <w:rStyle w:val="Hyperlink"/>
            <w:rFonts w:cstheme="minorHAnsi"/>
            <w:sz w:val="24"/>
            <w:szCs w:val="24"/>
          </w:rPr>
          <w:t>http://www.theguardian.com/lifeandstyle/2012/jun/23/photos-children-school-ban</w:t>
        </w:r>
      </w:hyperlink>
    </w:p>
    <w:p w14:paraId="50CCB923" w14:textId="77777777" w:rsidR="009C2A4D" w:rsidRPr="0059559C" w:rsidRDefault="009C2A4D" w:rsidP="009C2A4D">
      <w:pPr>
        <w:pStyle w:val="FootnoteText"/>
        <w:rPr>
          <w:rFonts w:cstheme="minorHAnsi"/>
          <w:sz w:val="24"/>
          <w:szCs w:val="24"/>
        </w:rPr>
      </w:pPr>
    </w:p>
    <w:p w14:paraId="58E76215"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Article 29 Data Protection Working Party (2009), </w:t>
      </w:r>
      <w:r w:rsidR="00E0467F" w:rsidRPr="0059559C">
        <w:rPr>
          <w:rFonts w:cstheme="minorHAnsi"/>
          <w:sz w:val="24"/>
          <w:szCs w:val="24"/>
        </w:rPr>
        <w:t>‘</w:t>
      </w:r>
      <w:r w:rsidRPr="0059559C">
        <w:rPr>
          <w:rFonts w:cstheme="minorHAnsi"/>
          <w:sz w:val="24"/>
          <w:szCs w:val="24"/>
        </w:rPr>
        <w:t>Opinion 5/2</w:t>
      </w:r>
      <w:r w:rsidR="00E0467F" w:rsidRPr="0059559C">
        <w:rPr>
          <w:rFonts w:cstheme="minorHAnsi"/>
          <w:sz w:val="24"/>
          <w:szCs w:val="24"/>
        </w:rPr>
        <w:t>009 on online social networking’</w:t>
      </w:r>
      <w:r w:rsidRPr="0059559C">
        <w:rPr>
          <w:rFonts w:cstheme="minorHAnsi"/>
          <w:sz w:val="24"/>
          <w:szCs w:val="24"/>
        </w:rPr>
        <w:t xml:space="preserve"> 00189/09/EN WP 163, adopted 12 June 2009</w:t>
      </w:r>
    </w:p>
    <w:p w14:paraId="3FAAAED3" w14:textId="77777777" w:rsidR="009C2A4D" w:rsidRPr="0059559C" w:rsidRDefault="009C2A4D" w:rsidP="009C2A4D">
      <w:pPr>
        <w:spacing w:after="0" w:line="240" w:lineRule="auto"/>
        <w:rPr>
          <w:rFonts w:cstheme="minorHAnsi"/>
          <w:sz w:val="24"/>
          <w:szCs w:val="24"/>
        </w:rPr>
      </w:pPr>
    </w:p>
    <w:p w14:paraId="12019D69"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Article 29 Working Party/Working Party on Police and Justice (2009) ‘The Future of Privacy: Joint contribution to the consultation of the European Commission on the legal framework for the fundamental right to the protection of personal data’ 02356/09/EN WP 168, adopted 1 Dec 2009</w:t>
      </w:r>
    </w:p>
    <w:p w14:paraId="630086EE" w14:textId="77777777" w:rsidR="009C2A4D" w:rsidRPr="0059559C" w:rsidRDefault="009C2A4D" w:rsidP="009C2A4D">
      <w:pPr>
        <w:spacing w:after="0" w:line="240" w:lineRule="auto"/>
        <w:rPr>
          <w:rFonts w:cstheme="minorHAnsi"/>
          <w:sz w:val="24"/>
          <w:szCs w:val="24"/>
        </w:rPr>
      </w:pPr>
    </w:p>
    <w:p w14:paraId="264544BC"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Bennett, Colin (1992) </w:t>
      </w:r>
      <w:r w:rsidR="00E0467F" w:rsidRPr="0059559C">
        <w:rPr>
          <w:rFonts w:cstheme="minorHAnsi"/>
          <w:sz w:val="24"/>
          <w:szCs w:val="24"/>
        </w:rPr>
        <w:t>‘</w:t>
      </w:r>
      <w:r w:rsidRPr="0059559C">
        <w:rPr>
          <w:rFonts w:cstheme="minorHAnsi"/>
          <w:sz w:val="24"/>
          <w:szCs w:val="24"/>
        </w:rPr>
        <w:t>Regulating privacy: Data protection and public policy in Europe and the United States</w:t>
      </w:r>
      <w:r w:rsidR="00E0467F" w:rsidRPr="0059559C">
        <w:rPr>
          <w:rFonts w:cstheme="minorHAnsi"/>
          <w:i/>
          <w:sz w:val="24"/>
          <w:szCs w:val="24"/>
        </w:rPr>
        <w:t>’</w:t>
      </w:r>
      <w:r w:rsidRPr="0059559C">
        <w:rPr>
          <w:rFonts w:cstheme="minorHAnsi"/>
          <w:i/>
          <w:sz w:val="24"/>
          <w:szCs w:val="24"/>
        </w:rPr>
        <w:t xml:space="preserve"> (</w:t>
      </w:r>
      <w:r w:rsidRPr="0059559C">
        <w:rPr>
          <w:rFonts w:cstheme="minorHAnsi"/>
          <w:sz w:val="24"/>
          <w:szCs w:val="24"/>
        </w:rPr>
        <w:t>Ithaca: Cornell University Press)</w:t>
      </w:r>
    </w:p>
    <w:p w14:paraId="4A6AA5D4" w14:textId="77777777" w:rsidR="009C2A4D" w:rsidRPr="0059559C" w:rsidRDefault="009C2A4D" w:rsidP="009C2A4D">
      <w:pPr>
        <w:spacing w:after="0" w:line="240" w:lineRule="auto"/>
        <w:rPr>
          <w:rFonts w:cstheme="minorHAnsi"/>
          <w:sz w:val="24"/>
          <w:szCs w:val="24"/>
        </w:rPr>
      </w:pPr>
    </w:p>
    <w:p w14:paraId="7868A56E" w14:textId="77777777" w:rsidR="009C2A4D" w:rsidRPr="0059559C" w:rsidRDefault="00E0467F" w:rsidP="009C2A4D">
      <w:pPr>
        <w:pStyle w:val="FootnoteText"/>
        <w:rPr>
          <w:rFonts w:cstheme="minorHAnsi"/>
          <w:sz w:val="24"/>
          <w:szCs w:val="24"/>
        </w:rPr>
      </w:pPr>
      <w:proofErr w:type="spellStart"/>
      <w:r w:rsidRPr="0059559C">
        <w:rPr>
          <w:rFonts w:cstheme="minorHAnsi"/>
          <w:sz w:val="24"/>
          <w:szCs w:val="24"/>
        </w:rPr>
        <w:t>Bignam</w:t>
      </w:r>
      <w:r w:rsidR="009C2A4D" w:rsidRPr="0059559C">
        <w:rPr>
          <w:rFonts w:cstheme="minorHAnsi"/>
          <w:sz w:val="24"/>
          <w:szCs w:val="24"/>
        </w:rPr>
        <w:t>i</w:t>
      </w:r>
      <w:proofErr w:type="spellEnd"/>
      <w:r w:rsidR="009C2A4D" w:rsidRPr="0059559C">
        <w:rPr>
          <w:rFonts w:cstheme="minorHAnsi"/>
          <w:sz w:val="24"/>
          <w:szCs w:val="24"/>
        </w:rPr>
        <w:t xml:space="preserve">, Francesca (2008) </w:t>
      </w:r>
      <w:r w:rsidRPr="0059559C">
        <w:rPr>
          <w:rFonts w:cstheme="minorHAnsi"/>
          <w:sz w:val="24"/>
          <w:szCs w:val="24"/>
        </w:rPr>
        <w:t>‘</w:t>
      </w:r>
      <w:proofErr w:type="gramStart"/>
      <w:r w:rsidR="009C2A4D" w:rsidRPr="0059559C">
        <w:rPr>
          <w:rFonts w:cstheme="minorHAnsi"/>
          <w:sz w:val="24"/>
          <w:szCs w:val="24"/>
        </w:rPr>
        <w:t>The</w:t>
      </w:r>
      <w:proofErr w:type="gramEnd"/>
      <w:r w:rsidR="009C2A4D" w:rsidRPr="0059559C">
        <w:rPr>
          <w:rFonts w:cstheme="minorHAnsi"/>
          <w:sz w:val="24"/>
          <w:szCs w:val="24"/>
        </w:rPr>
        <w:t xml:space="preserve"> case for tolerant constitutional patriotism: The right to privacy before the European courts</w:t>
      </w:r>
      <w:r w:rsidRPr="0059559C">
        <w:rPr>
          <w:rFonts w:cstheme="minorHAnsi"/>
          <w:sz w:val="24"/>
          <w:szCs w:val="24"/>
        </w:rPr>
        <w:t>’</w:t>
      </w:r>
      <w:r w:rsidR="009C2A4D" w:rsidRPr="0059559C">
        <w:rPr>
          <w:rFonts w:cstheme="minorHAnsi"/>
          <w:sz w:val="24"/>
          <w:szCs w:val="24"/>
        </w:rPr>
        <w:t xml:space="preserve">, </w:t>
      </w:r>
      <w:r w:rsidRPr="0059559C">
        <w:rPr>
          <w:rFonts w:cstheme="minorHAnsi"/>
          <w:sz w:val="24"/>
          <w:szCs w:val="24"/>
        </w:rPr>
        <w:t xml:space="preserve">Cornell International Law Journal 41(2) </w:t>
      </w:r>
      <w:r w:rsidR="009C2A4D" w:rsidRPr="0059559C">
        <w:rPr>
          <w:rFonts w:cstheme="minorHAnsi"/>
          <w:sz w:val="24"/>
          <w:szCs w:val="24"/>
        </w:rPr>
        <w:t>230-231</w:t>
      </w:r>
    </w:p>
    <w:p w14:paraId="619F70FC" w14:textId="77777777" w:rsidR="009C2A4D" w:rsidRPr="0059559C" w:rsidRDefault="009C2A4D" w:rsidP="009C2A4D">
      <w:pPr>
        <w:pStyle w:val="FootnoteText"/>
        <w:rPr>
          <w:rFonts w:cstheme="minorHAnsi"/>
          <w:sz w:val="24"/>
          <w:szCs w:val="24"/>
        </w:rPr>
      </w:pPr>
    </w:p>
    <w:p w14:paraId="3CBE4F7C" w14:textId="77777777" w:rsidR="009C2A4D" w:rsidRPr="0059559C" w:rsidRDefault="009C2A4D" w:rsidP="009C2A4D">
      <w:pPr>
        <w:pStyle w:val="FootnoteText"/>
        <w:rPr>
          <w:rFonts w:cstheme="minorHAnsi"/>
          <w:sz w:val="24"/>
          <w:szCs w:val="24"/>
        </w:rPr>
      </w:pPr>
      <w:r w:rsidRPr="0059559C">
        <w:rPr>
          <w:rFonts w:cstheme="minorHAnsi"/>
          <w:sz w:val="24"/>
          <w:szCs w:val="24"/>
        </w:rPr>
        <w:t xml:space="preserve">Carey, Peter (2009) </w:t>
      </w:r>
      <w:r w:rsidR="00E0467F" w:rsidRPr="0059559C">
        <w:rPr>
          <w:rFonts w:cstheme="minorHAnsi"/>
          <w:sz w:val="24"/>
          <w:szCs w:val="24"/>
        </w:rPr>
        <w:t>‘</w:t>
      </w:r>
      <w:r w:rsidRPr="0059559C">
        <w:rPr>
          <w:rFonts w:cstheme="minorHAnsi"/>
          <w:sz w:val="24"/>
          <w:szCs w:val="24"/>
        </w:rPr>
        <w:t>Data Protection: A Practical Guide to UK and EU Law</w:t>
      </w:r>
      <w:r w:rsidR="00E0467F" w:rsidRPr="0059559C">
        <w:rPr>
          <w:rFonts w:cstheme="minorHAnsi"/>
          <w:i/>
          <w:sz w:val="24"/>
          <w:szCs w:val="24"/>
        </w:rPr>
        <w:t>’ (</w:t>
      </w:r>
      <w:r w:rsidR="00E0467F" w:rsidRPr="0059559C">
        <w:rPr>
          <w:rFonts w:cstheme="minorHAnsi"/>
          <w:sz w:val="24"/>
          <w:szCs w:val="24"/>
        </w:rPr>
        <w:t>Oxford:</w:t>
      </w:r>
      <w:r w:rsidRPr="0059559C">
        <w:rPr>
          <w:rFonts w:cstheme="minorHAnsi"/>
          <w:i/>
          <w:sz w:val="24"/>
          <w:szCs w:val="24"/>
        </w:rPr>
        <w:t xml:space="preserve"> </w:t>
      </w:r>
      <w:r w:rsidRPr="0059559C">
        <w:rPr>
          <w:rFonts w:cstheme="minorHAnsi"/>
          <w:sz w:val="24"/>
          <w:szCs w:val="24"/>
        </w:rPr>
        <w:t>OUP Oxford</w:t>
      </w:r>
      <w:r w:rsidR="00E0467F" w:rsidRPr="0059559C">
        <w:rPr>
          <w:rFonts w:cstheme="minorHAnsi"/>
          <w:sz w:val="24"/>
          <w:szCs w:val="24"/>
        </w:rPr>
        <w:t>)</w:t>
      </w:r>
      <w:r w:rsidRPr="0059559C">
        <w:rPr>
          <w:rFonts w:cstheme="minorHAnsi"/>
          <w:sz w:val="24"/>
          <w:szCs w:val="24"/>
        </w:rPr>
        <w:t xml:space="preserve"> 3</w:t>
      </w:r>
      <w:r w:rsidRPr="0059559C">
        <w:rPr>
          <w:rFonts w:cstheme="minorHAnsi"/>
          <w:sz w:val="24"/>
          <w:szCs w:val="24"/>
          <w:vertAlign w:val="superscript"/>
        </w:rPr>
        <w:t>rd</w:t>
      </w:r>
      <w:r w:rsidRPr="0059559C">
        <w:rPr>
          <w:rFonts w:cstheme="minorHAnsi"/>
          <w:sz w:val="24"/>
          <w:szCs w:val="24"/>
        </w:rPr>
        <w:t xml:space="preserve"> Edition</w:t>
      </w:r>
    </w:p>
    <w:p w14:paraId="6BFC1D03" w14:textId="77777777" w:rsidR="009C2A4D" w:rsidRPr="0059559C" w:rsidRDefault="009C2A4D" w:rsidP="009C2A4D">
      <w:pPr>
        <w:pStyle w:val="FootnoteText"/>
        <w:rPr>
          <w:rFonts w:cstheme="minorHAnsi"/>
          <w:sz w:val="24"/>
          <w:szCs w:val="24"/>
        </w:rPr>
      </w:pPr>
    </w:p>
    <w:p w14:paraId="41F1FB8B" w14:textId="77777777" w:rsidR="009C2A4D" w:rsidRPr="0059559C" w:rsidRDefault="009C2A4D" w:rsidP="009C2A4D">
      <w:pPr>
        <w:rPr>
          <w:sz w:val="24"/>
          <w:szCs w:val="24"/>
        </w:rPr>
      </w:pPr>
      <w:r w:rsidRPr="0059559C">
        <w:rPr>
          <w:sz w:val="24"/>
          <w:szCs w:val="24"/>
        </w:rPr>
        <w:t>Clark, Laura</w:t>
      </w:r>
      <w:r w:rsidR="00E0467F" w:rsidRPr="0059559C">
        <w:rPr>
          <w:sz w:val="24"/>
          <w:szCs w:val="24"/>
        </w:rPr>
        <w:t xml:space="preserve"> (2009)</w:t>
      </w:r>
      <w:r w:rsidRPr="0059559C">
        <w:rPr>
          <w:sz w:val="24"/>
          <w:szCs w:val="24"/>
        </w:rPr>
        <w:t xml:space="preserve"> </w:t>
      </w:r>
      <w:r w:rsidR="00E0467F" w:rsidRPr="0059559C">
        <w:rPr>
          <w:sz w:val="24"/>
          <w:szCs w:val="24"/>
        </w:rPr>
        <w:t>‘</w:t>
      </w:r>
      <w:r w:rsidRPr="0059559C">
        <w:rPr>
          <w:sz w:val="24"/>
          <w:szCs w:val="24"/>
        </w:rPr>
        <w:t>Parents banned from taking photos of their own children at school sports day</w:t>
      </w:r>
      <w:r w:rsidR="00E0467F" w:rsidRPr="0059559C">
        <w:rPr>
          <w:sz w:val="24"/>
          <w:szCs w:val="24"/>
        </w:rPr>
        <w:t>’</w:t>
      </w:r>
      <w:r w:rsidRPr="0059559C">
        <w:rPr>
          <w:sz w:val="24"/>
          <w:szCs w:val="24"/>
        </w:rPr>
        <w:t xml:space="preserve"> The Daily Mail,</w:t>
      </w:r>
      <w:r w:rsidRPr="0059559C">
        <w:rPr>
          <w:i/>
          <w:sz w:val="24"/>
          <w:szCs w:val="24"/>
        </w:rPr>
        <w:t xml:space="preserve"> </w:t>
      </w:r>
      <w:r w:rsidRPr="0059559C">
        <w:rPr>
          <w:sz w:val="24"/>
          <w:szCs w:val="24"/>
        </w:rPr>
        <w:t xml:space="preserve">17 June 2009) </w:t>
      </w:r>
      <w:hyperlink r:id="rId11" w:history="1">
        <w:r w:rsidRPr="0059559C">
          <w:rPr>
            <w:rStyle w:val="Hyperlink"/>
            <w:sz w:val="24"/>
            <w:szCs w:val="24"/>
          </w:rPr>
          <w:t>http://www.dailymail.co.uk/news/article-1193697/Parents-banned-taking-photos-children-school-sports-day.html</w:t>
        </w:r>
      </w:hyperlink>
    </w:p>
    <w:p w14:paraId="7B4BDC48" w14:textId="77777777" w:rsidR="009C2A4D" w:rsidRDefault="009C2A4D" w:rsidP="009C2A4D">
      <w:pPr>
        <w:pStyle w:val="FootnoteText"/>
        <w:rPr>
          <w:rFonts w:cstheme="minorHAnsi"/>
          <w:sz w:val="24"/>
          <w:szCs w:val="24"/>
        </w:rPr>
      </w:pPr>
      <w:r w:rsidRPr="0059559C">
        <w:rPr>
          <w:rFonts w:cstheme="minorHAnsi"/>
          <w:sz w:val="24"/>
          <w:szCs w:val="24"/>
        </w:rPr>
        <w:t xml:space="preserve">Costa, Luis and </w:t>
      </w:r>
      <w:proofErr w:type="spellStart"/>
      <w:r w:rsidRPr="0059559C">
        <w:rPr>
          <w:rFonts w:cstheme="minorHAnsi"/>
          <w:sz w:val="24"/>
          <w:szCs w:val="24"/>
        </w:rPr>
        <w:t>Poullet</w:t>
      </w:r>
      <w:proofErr w:type="spellEnd"/>
      <w:r w:rsidRPr="0059559C">
        <w:rPr>
          <w:rFonts w:cstheme="minorHAnsi"/>
          <w:sz w:val="24"/>
          <w:szCs w:val="24"/>
        </w:rPr>
        <w:t>, Yves (2012) ‘Priva</w:t>
      </w:r>
      <w:r w:rsidR="00E0467F" w:rsidRPr="0059559C">
        <w:rPr>
          <w:rFonts w:cstheme="minorHAnsi"/>
          <w:sz w:val="24"/>
          <w:szCs w:val="24"/>
        </w:rPr>
        <w:t xml:space="preserve">cy and the Regulation of 2012’ </w:t>
      </w:r>
      <w:r w:rsidRPr="0059559C">
        <w:rPr>
          <w:rFonts w:cstheme="minorHAnsi"/>
          <w:sz w:val="24"/>
          <w:szCs w:val="24"/>
        </w:rPr>
        <w:t>Computer Law &amp; Security Review 28, 254-262</w:t>
      </w:r>
    </w:p>
    <w:p w14:paraId="485994DB" w14:textId="77777777" w:rsidR="00165D78" w:rsidRDefault="00165D78" w:rsidP="009C2A4D">
      <w:pPr>
        <w:pStyle w:val="FootnoteText"/>
        <w:rPr>
          <w:rFonts w:cstheme="minorHAnsi"/>
          <w:sz w:val="24"/>
          <w:szCs w:val="24"/>
        </w:rPr>
      </w:pPr>
    </w:p>
    <w:p w14:paraId="2FB06A27" w14:textId="66E572B9" w:rsidR="00165D78" w:rsidRPr="0059559C" w:rsidRDefault="00165D78" w:rsidP="009C2A4D">
      <w:pPr>
        <w:pStyle w:val="FootnoteText"/>
        <w:rPr>
          <w:rFonts w:cstheme="minorHAnsi"/>
          <w:sz w:val="24"/>
          <w:szCs w:val="24"/>
        </w:rPr>
      </w:pPr>
      <w:r>
        <w:rPr>
          <w:rFonts w:cstheme="minorHAnsi"/>
          <w:sz w:val="24"/>
          <w:szCs w:val="24"/>
        </w:rPr>
        <w:t xml:space="preserve">Council of the European Union (2014) </w:t>
      </w:r>
      <w:r w:rsidRPr="00165D78">
        <w:rPr>
          <w:rFonts w:cstheme="minorHAnsi"/>
          <w:sz w:val="24"/>
          <w:szCs w:val="24"/>
        </w:rPr>
        <w:t>Proposal for a Regulation of the European Parliament and of the Council on the protection of individuals with regard to the processing of personal data and on the free movement of such data (General Data Protection Regulation)</w:t>
      </w:r>
    </w:p>
    <w:p w14:paraId="284EBFBA" w14:textId="77777777" w:rsidR="009C2A4D" w:rsidRPr="0059559C" w:rsidRDefault="009C2A4D" w:rsidP="009C2A4D">
      <w:pPr>
        <w:spacing w:after="0" w:line="240" w:lineRule="auto"/>
        <w:rPr>
          <w:rFonts w:cstheme="minorHAnsi"/>
          <w:sz w:val="24"/>
          <w:szCs w:val="24"/>
        </w:rPr>
      </w:pPr>
    </w:p>
    <w:p w14:paraId="701E08ED" w14:textId="77777777" w:rsidR="009C2A4D" w:rsidRPr="0059559C" w:rsidRDefault="009C2A4D" w:rsidP="009C2A4D">
      <w:pPr>
        <w:pStyle w:val="FootnoteText"/>
        <w:rPr>
          <w:rFonts w:cstheme="minorHAnsi"/>
          <w:sz w:val="24"/>
          <w:szCs w:val="24"/>
        </w:rPr>
      </w:pPr>
      <w:r w:rsidRPr="0059559C">
        <w:rPr>
          <w:rFonts w:cstheme="minorHAnsi"/>
          <w:sz w:val="24"/>
          <w:szCs w:val="24"/>
        </w:rPr>
        <w:t>Data Protection Act 1998</w:t>
      </w:r>
    </w:p>
    <w:p w14:paraId="4B495B71" w14:textId="77777777" w:rsidR="009C2A4D" w:rsidRPr="0059559C" w:rsidRDefault="009C2A4D" w:rsidP="009C2A4D">
      <w:pPr>
        <w:pStyle w:val="FootnoteText"/>
        <w:rPr>
          <w:rFonts w:cstheme="minorHAnsi"/>
          <w:sz w:val="24"/>
          <w:szCs w:val="24"/>
        </w:rPr>
      </w:pPr>
    </w:p>
    <w:p w14:paraId="5845D4E4" w14:textId="77777777" w:rsidR="009C2A4D" w:rsidRPr="0059559C" w:rsidRDefault="009C2A4D" w:rsidP="009C2A4D">
      <w:pPr>
        <w:pStyle w:val="FootnoteText"/>
        <w:rPr>
          <w:rFonts w:cstheme="minorHAnsi"/>
          <w:sz w:val="24"/>
          <w:szCs w:val="24"/>
        </w:rPr>
      </w:pPr>
      <w:r w:rsidRPr="0059559C">
        <w:rPr>
          <w:rFonts w:cstheme="minorHAnsi"/>
          <w:sz w:val="24"/>
          <w:szCs w:val="24"/>
        </w:rPr>
        <w:t>Directive 95/46/EC on the protection of individuals with regard to the processing of personal data and on the free movement of such data</w:t>
      </w:r>
    </w:p>
    <w:p w14:paraId="0A051CAD" w14:textId="77777777" w:rsidR="009C2A4D" w:rsidRPr="0059559C" w:rsidRDefault="009C2A4D" w:rsidP="009C2A4D">
      <w:pPr>
        <w:pStyle w:val="FootnoteText"/>
        <w:rPr>
          <w:rFonts w:cstheme="minorHAnsi"/>
          <w:sz w:val="24"/>
          <w:szCs w:val="24"/>
        </w:rPr>
      </w:pPr>
    </w:p>
    <w:p w14:paraId="0129D744"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European Commission (2010a), Communication from the Commission to the European Parliament, the Council, the Economic and social committee and the committee of the regions: A comprehensive approach on personal data protection in the European Union COM (2010) 609 final 4.11.2010</w:t>
      </w:r>
    </w:p>
    <w:p w14:paraId="3D340AF1" w14:textId="77777777" w:rsidR="009C2A4D" w:rsidRPr="0059559C" w:rsidRDefault="009C2A4D" w:rsidP="009C2A4D">
      <w:pPr>
        <w:spacing w:after="0" w:line="240" w:lineRule="auto"/>
        <w:rPr>
          <w:rFonts w:cstheme="minorHAnsi"/>
          <w:sz w:val="24"/>
          <w:szCs w:val="24"/>
        </w:rPr>
      </w:pPr>
    </w:p>
    <w:p w14:paraId="1094A515"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European Commission (2010b), Data Protection Reform Frequently Asked Question Memo/10/542 04/11/2010</w:t>
      </w:r>
    </w:p>
    <w:p w14:paraId="318DDA4A" w14:textId="77777777" w:rsidR="009C2A4D" w:rsidRPr="0059559C" w:rsidRDefault="009C2A4D" w:rsidP="009C2A4D">
      <w:pPr>
        <w:spacing w:after="0" w:line="240" w:lineRule="auto"/>
        <w:rPr>
          <w:rFonts w:cstheme="minorHAnsi"/>
          <w:sz w:val="24"/>
          <w:szCs w:val="24"/>
        </w:rPr>
      </w:pPr>
    </w:p>
    <w:p w14:paraId="29FC238C" w14:textId="77777777" w:rsidR="009C2A4D" w:rsidRPr="0059559C" w:rsidRDefault="009C2A4D" w:rsidP="009C2A4D">
      <w:pPr>
        <w:pStyle w:val="FootnoteText"/>
        <w:rPr>
          <w:rFonts w:cstheme="minorHAnsi"/>
          <w:sz w:val="24"/>
          <w:szCs w:val="24"/>
        </w:rPr>
      </w:pPr>
      <w:r w:rsidRPr="0059559C">
        <w:rPr>
          <w:rFonts w:cstheme="minorHAnsi"/>
          <w:sz w:val="24"/>
          <w:szCs w:val="24"/>
        </w:rPr>
        <w:lastRenderedPageBreak/>
        <w:t xml:space="preserve">European Commission (2011) Special Eurobarometer 359: Attitudes on Data Protection and Electronic Identity in the European Union </w:t>
      </w:r>
    </w:p>
    <w:p w14:paraId="48EC8375" w14:textId="77777777" w:rsidR="009C2A4D" w:rsidRPr="0059559C" w:rsidRDefault="009C2A4D" w:rsidP="009C2A4D">
      <w:pPr>
        <w:spacing w:after="0" w:line="240" w:lineRule="auto"/>
        <w:rPr>
          <w:rFonts w:cstheme="minorHAnsi"/>
          <w:sz w:val="24"/>
          <w:szCs w:val="24"/>
        </w:rPr>
      </w:pPr>
    </w:p>
    <w:p w14:paraId="347BF1ED"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European Commission, (2012a) Communication from the Commission to the European Parliament, the Council, the European Economic and Social Committee and the Committee of the Regions: Safeguarding Privacy in a Connected World: A European Data Protection Framework for the 21</w:t>
      </w:r>
      <w:r w:rsidRPr="0059559C">
        <w:rPr>
          <w:rFonts w:cstheme="minorHAnsi"/>
          <w:sz w:val="24"/>
          <w:szCs w:val="24"/>
          <w:vertAlign w:val="superscript"/>
        </w:rPr>
        <w:t>st</w:t>
      </w:r>
      <w:r w:rsidRPr="0059559C">
        <w:rPr>
          <w:rFonts w:cstheme="minorHAnsi"/>
          <w:sz w:val="24"/>
          <w:szCs w:val="24"/>
        </w:rPr>
        <w:t xml:space="preserve"> Century (COM (2012) 9 Final) 25.12.12</w:t>
      </w:r>
    </w:p>
    <w:p w14:paraId="11FCE372" w14:textId="77777777" w:rsidR="009C2A4D" w:rsidRPr="0059559C" w:rsidRDefault="009C2A4D" w:rsidP="009C2A4D">
      <w:pPr>
        <w:spacing w:after="0" w:line="240" w:lineRule="auto"/>
        <w:rPr>
          <w:rFonts w:cstheme="minorHAnsi"/>
          <w:sz w:val="24"/>
          <w:szCs w:val="24"/>
        </w:rPr>
      </w:pPr>
    </w:p>
    <w:p w14:paraId="2DAE57CB"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European Commission (2012b)– Press Release ‘Commission proposes a comprehensive reform of data protection rules to increase users’ control of their data and to cut costs for businesses IP/12/46 25/01/12 </w:t>
      </w:r>
      <w:hyperlink r:id="rId12" w:history="1">
        <w:r w:rsidRPr="0059559C">
          <w:rPr>
            <w:rStyle w:val="Hyperlink"/>
            <w:rFonts w:cstheme="minorHAnsi"/>
            <w:sz w:val="24"/>
            <w:szCs w:val="24"/>
          </w:rPr>
          <w:t>http://europa.eu/rapid/press-release_IP-12-46_en.htm</w:t>
        </w:r>
      </w:hyperlink>
      <w:r w:rsidRPr="0059559C">
        <w:rPr>
          <w:rFonts w:cstheme="minorHAnsi"/>
          <w:sz w:val="24"/>
          <w:szCs w:val="24"/>
        </w:rPr>
        <w:t xml:space="preserve"> </w:t>
      </w:r>
    </w:p>
    <w:p w14:paraId="146AD63F" w14:textId="77777777" w:rsidR="009C2A4D" w:rsidRPr="0059559C" w:rsidRDefault="009C2A4D" w:rsidP="009C2A4D">
      <w:pPr>
        <w:spacing w:after="0" w:line="240" w:lineRule="auto"/>
        <w:rPr>
          <w:rFonts w:cstheme="minorHAnsi"/>
          <w:sz w:val="24"/>
          <w:szCs w:val="24"/>
        </w:rPr>
      </w:pPr>
    </w:p>
    <w:p w14:paraId="61A9FE02"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European Commission (2012c) </w:t>
      </w:r>
      <w:proofErr w:type="gramStart"/>
      <w:r w:rsidRPr="0059559C">
        <w:rPr>
          <w:rFonts w:cstheme="minorHAnsi"/>
          <w:sz w:val="24"/>
          <w:szCs w:val="24"/>
        </w:rPr>
        <w:t>How</w:t>
      </w:r>
      <w:proofErr w:type="gramEnd"/>
      <w:r w:rsidRPr="0059559C">
        <w:rPr>
          <w:rFonts w:cstheme="minorHAnsi"/>
          <w:sz w:val="24"/>
          <w:szCs w:val="24"/>
        </w:rPr>
        <w:t xml:space="preserve"> does the data protection reform strengthen citizens’ rights? </w:t>
      </w:r>
      <w:hyperlink r:id="rId13" w:history="1">
        <w:r w:rsidRPr="0059559C">
          <w:rPr>
            <w:rStyle w:val="Hyperlink"/>
            <w:rFonts w:cstheme="minorHAnsi"/>
            <w:sz w:val="24"/>
            <w:szCs w:val="24"/>
          </w:rPr>
          <w:t>http://ec.europa.eu/justice/data-protection/document/index_en.htm</w:t>
        </w:r>
      </w:hyperlink>
      <w:r w:rsidRPr="0059559C">
        <w:rPr>
          <w:rFonts w:cstheme="minorHAnsi"/>
          <w:sz w:val="24"/>
          <w:szCs w:val="24"/>
        </w:rPr>
        <w:t xml:space="preserve"> </w:t>
      </w:r>
    </w:p>
    <w:p w14:paraId="51828BBC" w14:textId="77777777" w:rsidR="009C2A4D" w:rsidRPr="0059559C" w:rsidRDefault="009C2A4D" w:rsidP="009C2A4D">
      <w:pPr>
        <w:spacing w:after="0" w:line="240" w:lineRule="auto"/>
        <w:rPr>
          <w:rFonts w:cstheme="minorHAnsi"/>
          <w:sz w:val="24"/>
          <w:szCs w:val="24"/>
        </w:rPr>
      </w:pPr>
    </w:p>
    <w:p w14:paraId="1837928D"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European Parliament (2012) Draft report on the proposal for a regulation of the European Parliament and of the Council on the protection of individual with regard to the processing of personal data and on the free movement of such data (General Data Protection  Regulation) (COM (2012)0011 – C7-0025/2012 – 2012/0011 (COD)) </w:t>
      </w:r>
    </w:p>
    <w:p w14:paraId="26FDEA3D" w14:textId="77777777" w:rsidR="009C2A4D" w:rsidRPr="0059559C" w:rsidRDefault="009C2A4D" w:rsidP="009C2A4D">
      <w:pPr>
        <w:spacing w:after="0" w:line="240" w:lineRule="auto"/>
        <w:rPr>
          <w:rFonts w:cstheme="minorHAnsi"/>
          <w:sz w:val="24"/>
          <w:szCs w:val="24"/>
        </w:rPr>
      </w:pPr>
    </w:p>
    <w:p w14:paraId="760FF6C8"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ICO (2005) Data Protection Good Practice Note Taking Photographs in Schools</w:t>
      </w:r>
    </w:p>
    <w:p w14:paraId="5D7B4194" w14:textId="77777777" w:rsidR="009C2A4D" w:rsidRPr="0059559C" w:rsidRDefault="009C2A4D" w:rsidP="009C2A4D">
      <w:pPr>
        <w:spacing w:after="0" w:line="240" w:lineRule="auto"/>
        <w:rPr>
          <w:rFonts w:cstheme="minorHAnsi"/>
          <w:sz w:val="24"/>
          <w:szCs w:val="24"/>
        </w:rPr>
      </w:pPr>
    </w:p>
    <w:p w14:paraId="5C8FAC65"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ICO (2007) Data Protection Good Practice Note Taking Photographs in Schools</w:t>
      </w:r>
    </w:p>
    <w:p w14:paraId="0ED59289" w14:textId="77777777" w:rsidR="009C2A4D" w:rsidRPr="0059559C" w:rsidRDefault="009C2A4D" w:rsidP="009C2A4D">
      <w:pPr>
        <w:spacing w:after="0" w:line="240" w:lineRule="auto"/>
        <w:rPr>
          <w:rFonts w:cstheme="minorHAnsi"/>
          <w:sz w:val="24"/>
          <w:szCs w:val="24"/>
        </w:rPr>
      </w:pPr>
    </w:p>
    <w:p w14:paraId="32633E34" w14:textId="77777777" w:rsidR="009C2A4D" w:rsidRPr="0059559C" w:rsidRDefault="009C2A4D" w:rsidP="009C2A4D">
      <w:pPr>
        <w:pStyle w:val="FootnoteText"/>
        <w:rPr>
          <w:rFonts w:cstheme="minorHAnsi"/>
          <w:sz w:val="24"/>
          <w:szCs w:val="24"/>
        </w:rPr>
      </w:pPr>
      <w:r w:rsidRPr="0059559C">
        <w:rPr>
          <w:rFonts w:cstheme="minorHAnsi"/>
          <w:sz w:val="24"/>
          <w:szCs w:val="24"/>
        </w:rPr>
        <w:t>ICO (2010a) The Information Commissioner’s response to the Ministry of Justice’s call for evidence on the current data protection legislative framework</w:t>
      </w:r>
    </w:p>
    <w:p w14:paraId="24561FB8" w14:textId="77777777" w:rsidR="009C2A4D" w:rsidRPr="0059559C" w:rsidRDefault="009C2A4D" w:rsidP="009C2A4D">
      <w:pPr>
        <w:spacing w:after="0" w:line="240" w:lineRule="auto"/>
        <w:rPr>
          <w:rFonts w:cstheme="minorHAnsi"/>
          <w:sz w:val="24"/>
          <w:szCs w:val="24"/>
        </w:rPr>
      </w:pPr>
    </w:p>
    <w:p w14:paraId="170B8C9F"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ICO (2010b) Data Protection Good Practice Note Taking Photographs in Schools</w:t>
      </w:r>
    </w:p>
    <w:p w14:paraId="311E5AC6" w14:textId="77777777" w:rsidR="009C2A4D" w:rsidRPr="0059559C" w:rsidRDefault="009C2A4D" w:rsidP="009C2A4D">
      <w:pPr>
        <w:spacing w:after="0" w:line="240" w:lineRule="auto"/>
        <w:rPr>
          <w:rFonts w:cstheme="minorHAnsi"/>
          <w:sz w:val="24"/>
          <w:szCs w:val="24"/>
        </w:rPr>
      </w:pPr>
    </w:p>
    <w:p w14:paraId="748D1B71"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ICO (2010c) Parents can snap away at this year’s sports day </w:t>
      </w:r>
    </w:p>
    <w:p w14:paraId="6462C31F" w14:textId="77777777" w:rsidR="009C2A4D" w:rsidRPr="0059559C" w:rsidRDefault="009C2A4D" w:rsidP="009C2A4D">
      <w:pPr>
        <w:spacing w:after="0" w:line="240" w:lineRule="auto"/>
        <w:rPr>
          <w:rFonts w:cstheme="minorHAnsi"/>
          <w:sz w:val="24"/>
          <w:szCs w:val="24"/>
        </w:rPr>
      </w:pPr>
    </w:p>
    <w:p w14:paraId="3BE46CE1"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ICO (2010d) Parents can snap away this Christmas </w:t>
      </w:r>
    </w:p>
    <w:p w14:paraId="4531CDCD" w14:textId="77777777" w:rsidR="009C2A4D" w:rsidRPr="0059559C" w:rsidRDefault="009C2A4D" w:rsidP="009C2A4D">
      <w:pPr>
        <w:spacing w:after="0" w:line="240" w:lineRule="auto"/>
        <w:rPr>
          <w:rFonts w:cstheme="minorHAnsi"/>
          <w:sz w:val="24"/>
          <w:szCs w:val="24"/>
        </w:rPr>
      </w:pPr>
    </w:p>
    <w:p w14:paraId="22B1180D"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ICO (2011), Line to take - Dealing with complaints about information published online</w:t>
      </w:r>
    </w:p>
    <w:p w14:paraId="7EF477BF" w14:textId="77777777" w:rsidR="009C2A4D" w:rsidRPr="0059559C" w:rsidRDefault="009C2A4D" w:rsidP="009C2A4D">
      <w:pPr>
        <w:pStyle w:val="FootnoteText"/>
        <w:rPr>
          <w:rFonts w:cstheme="minorHAnsi"/>
          <w:sz w:val="24"/>
          <w:szCs w:val="24"/>
        </w:rPr>
      </w:pPr>
    </w:p>
    <w:p w14:paraId="03A2D01A"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ICO (2012a) Information Commissioner’s Office: initial analysis of the European Commission’s proposals a revised data protection legislative framework </w:t>
      </w:r>
    </w:p>
    <w:p w14:paraId="181636B6" w14:textId="77777777" w:rsidR="009C2A4D" w:rsidRPr="0059559C" w:rsidRDefault="009C2A4D" w:rsidP="009C2A4D">
      <w:pPr>
        <w:spacing w:after="0" w:line="240" w:lineRule="auto"/>
        <w:rPr>
          <w:rFonts w:cstheme="minorHAnsi"/>
          <w:sz w:val="24"/>
          <w:szCs w:val="24"/>
        </w:rPr>
      </w:pPr>
    </w:p>
    <w:p w14:paraId="273D9F9D"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ICO (2012b) Report on the data protection guidance we gave schools in 2012</w:t>
      </w:r>
    </w:p>
    <w:p w14:paraId="0221060F" w14:textId="77777777" w:rsidR="009C2A4D" w:rsidRPr="0059559C" w:rsidRDefault="009C2A4D" w:rsidP="009C2A4D">
      <w:pPr>
        <w:spacing w:after="0" w:line="240" w:lineRule="auto"/>
        <w:rPr>
          <w:rFonts w:cstheme="minorHAnsi"/>
          <w:sz w:val="24"/>
          <w:szCs w:val="24"/>
        </w:rPr>
      </w:pPr>
    </w:p>
    <w:p w14:paraId="47F20D85"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ICO (2013) Proposed new EU general data protection regulation: Article-by-article analysis paper </w:t>
      </w:r>
    </w:p>
    <w:p w14:paraId="2BFD7745" w14:textId="77777777" w:rsidR="009C2A4D" w:rsidRPr="0059559C" w:rsidRDefault="009C2A4D" w:rsidP="009C2A4D">
      <w:pPr>
        <w:spacing w:after="0" w:line="240" w:lineRule="auto"/>
        <w:rPr>
          <w:rFonts w:cstheme="minorHAnsi"/>
          <w:sz w:val="24"/>
          <w:szCs w:val="24"/>
        </w:rPr>
      </w:pPr>
    </w:p>
    <w:p w14:paraId="35D55547" w14:textId="77777777" w:rsidR="009C2A4D" w:rsidRPr="0059559C" w:rsidRDefault="009C2A4D" w:rsidP="009C2A4D">
      <w:pPr>
        <w:pStyle w:val="Default"/>
        <w:rPr>
          <w:rFonts w:asciiTheme="minorHAnsi" w:hAnsiTheme="minorHAnsi" w:cstheme="minorHAnsi"/>
        </w:rPr>
      </w:pPr>
      <w:r w:rsidRPr="0059559C">
        <w:rPr>
          <w:rFonts w:asciiTheme="minorHAnsi" w:hAnsiTheme="minorHAnsi" w:cstheme="minorHAnsi"/>
        </w:rPr>
        <w:t>ICO (2014a) Social networking and online forums – when does the DPA apply? V1.1</w:t>
      </w:r>
    </w:p>
    <w:p w14:paraId="54355C02" w14:textId="77777777" w:rsidR="009C2A4D" w:rsidRPr="0059559C" w:rsidRDefault="009C2A4D" w:rsidP="009C2A4D">
      <w:pPr>
        <w:pStyle w:val="Default"/>
        <w:rPr>
          <w:rFonts w:asciiTheme="minorHAnsi" w:hAnsiTheme="minorHAnsi" w:cstheme="minorHAnsi"/>
        </w:rPr>
      </w:pPr>
    </w:p>
    <w:p w14:paraId="1E17A30D"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ICO (2014b) Data protection and journalism: a guide for the media </w:t>
      </w:r>
    </w:p>
    <w:p w14:paraId="0BD6F9E6" w14:textId="77777777" w:rsidR="009C2A4D" w:rsidRPr="0059559C" w:rsidRDefault="009C2A4D" w:rsidP="009C2A4D">
      <w:pPr>
        <w:spacing w:after="0" w:line="240" w:lineRule="auto"/>
        <w:rPr>
          <w:rFonts w:cstheme="minorHAnsi"/>
          <w:sz w:val="24"/>
          <w:szCs w:val="24"/>
        </w:rPr>
      </w:pPr>
    </w:p>
    <w:p w14:paraId="513DADAB"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lastRenderedPageBreak/>
        <w:t>ICO 2014c) Data Protection Good Practice Note Taking Photographs in Schools</w:t>
      </w:r>
    </w:p>
    <w:p w14:paraId="463C4D0A" w14:textId="77777777" w:rsidR="009C2A4D" w:rsidRPr="0059559C" w:rsidRDefault="009C2A4D" w:rsidP="009C2A4D">
      <w:pPr>
        <w:spacing w:after="0" w:line="240" w:lineRule="auto"/>
        <w:rPr>
          <w:rFonts w:cstheme="minorHAnsi"/>
          <w:sz w:val="24"/>
          <w:szCs w:val="24"/>
        </w:rPr>
      </w:pPr>
    </w:p>
    <w:p w14:paraId="12646342"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ICO (undated) D</w:t>
      </w:r>
      <w:proofErr w:type="spellStart"/>
      <w:r w:rsidRPr="0059559C">
        <w:rPr>
          <w:rFonts w:eastAsia="Times New Roman" w:cstheme="minorHAnsi"/>
          <w:sz w:val="24"/>
          <w:szCs w:val="24"/>
          <w:lang w:val="en" w:eastAsia="en-GB"/>
        </w:rPr>
        <w:t>oes</w:t>
      </w:r>
      <w:proofErr w:type="spellEnd"/>
      <w:r w:rsidRPr="0059559C">
        <w:rPr>
          <w:rFonts w:eastAsia="Times New Roman" w:cstheme="minorHAnsi"/>
          <w:sz w:val="24"/>
          <w:szCs w:val="24"/>
          <w:lang w:val="en" w:eastAsia="en-GB"/>
        </w:rPr>
        <w:t xml:space="preserve"> the Data Protection Act stop me taking photos of my children at school? </w:t>
      </w:r>
    </w:p>
    <w:p w14:paraId="3040A0A9" w14:textId="77777777" w:rsidR="009C2A4D" w:rsidRPr="0059559C" w:rsidRDefault="009C2A4D" w:rsidP="009C2A4D">
      <w:pPr>
        <w:pStyle w:val="FootnoteText"/>
        <w:rPr>
          <w:rFonts w:cstheme="minorHAnsi"/>
          <w:sz w:val="24"/>
          <w:szCs w:val="24"/>
        </w:rPr>
      </w:pPr>
    </w:p>
    <w:p w14:paraId="3A604A63" w14:textId="77777777" w:rsidR="009C2A4D" w:rsidRPr="0059559C" w:rsidRDefault="009C2A4D" w:rsidP="009C2A4D">
      <w:pPr>
        <w:autoSpaceDE w:val="0"/>
        <w:autoSpaceDN w:val="0"/>
        <w:adjustRightInd w:val="0"/>
        <w:spacing w:after="0" w:line="240" w:lineRule="auto"/>
        <w:rPr>
          <w:rFonts w:cstheme="minorHAnsi"/>
          <w:sz w:val="24"/>
          <w:szCs w:val="24"/>
        </w:rPr>
      </w:pPr>
      <w:proofErr w:type="spellStart"/>
      <w:r w:rsidRPr="0059559C">
        <w:rPr>
          <w:rFonts w:cstheme="minorHAnsi"/>
          <w:sz w:val="24"/>
          <w:szCs w:val="24"/>
        </w:rPr>
        <w:t>Korff</w:t>
      </w:r>
      <w:proofErr w:type="spellEnd"/>
      <w:r w:rsidRPr="0059559C">
        <w:rPr>
          <w:rFonts w:cstheme="minorHAnsi"/>
          <w:sz w:val="24"/>
          <w:szCs w:val="24"/>
        </w:rPr>
        <w:t xml:space="preserve">, </w:t>
      </w:r>
      <w:proofErr w:type="spellStart"/>
      <w:r w:rsidRPr="0059559C">
        <w:rPr>
          <w:rFonts w:cstheme="minorHAnsi"/>
          <w:sz w:val="24"/>
          <w:szCs w:val="24"/>
        </w:rPr>
        <w:t>Douwe</w:t>
      </w:r>
      <w:proofErr w:type="spellEnd"/>
      <w:r w:rsidRPr="0059559C">
        <w:rPr>
          <w:rFonts w:cstheme="minorHAnsi"/>
          <w:sz w:val="24"/>
          <w:szCs w:val="24"/>
        </w:rPr>
        <w:t xml:space="preserve"> (2002) </w:t>
      </w:r>
      <w:r w:rsidRPr="0059559C">
        <w:rPr>
          <w:rFonts w:cstheme="minorHAnsi"/>
          <w:bCs/>
          <w:sz w:val="24"/>
          <w:szCs w:val="24"/>
        </w:rPr>
        <w:t>EC study on implementation of data protection directive</w:t>
      </w:r>
      <w:r w:rsidRPr="0059559C">
        <w:rPr>
          <w:rFonts w:cstheme="minorHAnsi"/>
          <w:b/>
          <w:bCs/>
          <w:sz w:val="24"/>
          <w:szCs w:val="24"/>
        </w:rPr>
        <w:t xml:space="preserve"> </w:t>
      </w:r>
      <w:r w:rsidRPr="0059559C">
        <w:rPr>
          <w:rFonts w:cstheme="minorHAnsi"/>
          <w:sz w:val="24"/>
          <w:szCs w:val="24"/>
        </w:rPr>
        <w:t xml:space="preserve">(Study Contract ETD/2001/B5-3001/A/49) </w:t>
      </w:r>
      <w:r w:rsidR="00E0467F" w:rsidRPr="0059559C">
        <w:rPr>
          <w:rFonts w:cstheme="minorHAnsi"/>
          <w:sz w:val="24"/>
          <w:szCs w:val="24"/>
        </w:rPr>
        <w:t>C</w:t>
      </w:r>
      <w:r w:rsidRPr="0059559C">
        <w:rPr>
          <w:rFonts w:cstheme="minorHAnsi"/>
          <w:iCs/>
          <w:sz w:val="24"/>
          <w:szCs w:val="24"/>
        </w:rPr>
        <w:t>omparative summary of national laws</w:t>
      </w:r>
    </w:p>
    <w:p w14:paraId="1B128D63" w14:textId="77777777" w:rsidR="009C2A4D" w:rsidRPr="0059559C" w:rsidRDefault="009C2A4D" w:rsidP="009C2A4D">
      <w:pPr>
        <w:pStyle w:val="FootnoteText"/>
        <w:rPr>
          <w:rFonts w:cstheme="minorHAnsi"/>
          <w:sz w:val="24"/>
          <w:szCs w:val="24"/>
        </w:rPr>
      </w:pPr>
    </w:p>
    <w:p w14:paraId="31C6C524" w14:textId="77777777" w:rsidR="009C2A4D" w:rsidRPr="0059559C" w:rsidRDefault="009C2A4D" w:rsidP="009C2A4D">
      <w:pPr>
        <w:pStyle w:val="FootnoteText"/>
        <w:rPr>
          <w:rFonts w:cstheme="minorHAnsi"/>
          <w:sz w:val="24"/>
          <w:szCs w:val="24"/>
        </w:rPr>
      </w:pPr>
      <w:proofErr w:type="spellStart"/>
      <w:r w:rsidRPr="0059559C">
        <w:rPr>
          <w:rFonts w:cstheme="minorHAnsi"/>
          <w:sz w:val="24"/>
          <w:szCs w:val="24"/>
        </w:rPr>
        <w:t>Korff</w:t>
      </w:r>
      <w:proofErr w:type="spellEnd"/>
      <w:r w:rsidRPr="0059559C">
        <w:rPr>
          <w:rFonts w:cstheme="minorHAnsi"/>
          <w:sz w:val="24"/>
          <w:szCs w:val="24"/>
        </w:rPr>
        <w:t xml:space="preserve">, </w:t>
      </w:r>
      <w:proofErr w:type="spellStart"/>
      <w:r w:rsidRPr="0059559C">
        <w:rPr>
          <w:rFonts w:cstheme="minorHAnsi"/>
          <w:sz w:val="24"/>
          <w:szCs w:val="24"/>
        </w:rPr>
        <w:t>Douwe</w:t>
      </w:r>
      <w:proofErr w:type="spellEnd"/>
      <w:r w:rsidRPr="0059559C">
        <w:rPr>
          <w:rFonts w:cstheme="minorHAnsi"/>
          <w:sz w:val="24"/>
          <w:szCs w:val="24"/>
        </w:rPr>
        <w:t>, (2010) Comparative Study on Different App</w:t>
      </w:r>
      <w:r w:rsidR="00E0467F" w:rsidRPr="0059559C">
        <w:rPr>
          <w:rFonts w:cstheme="minorHAnsi"/>
          <w:sz w:val="24"/>
          <w:szCs w:val="24"/>
        </w:rPr>
        <w:t>roaches</w:t>
      </w:r>
      <w:r w:rsidRPr="0059559C">
        <w:rPr>
          <w:rFonts w:cstheme="minorHAnsi"/>
          <w:sz w:val="24"/>
          <w:szCs w:val="24"/>
        </w:rPr>
        <w:t xml:space="preserve"> to new privacy challenges, in particular in the light of technological developments.  </w:t>
      </w:r>
      <w:proofErr w:type="gramStart"/>
      <w:r w:rsidRPr="0059559C">
        <w:rPr>
          <w:rFonts w:cstheme="minorHAnsi"/>
          <w:sz w:val="24"/>
          <w:szCs w:val="24"/>
        </w:rPr>
        <w:t>Working paper</w:t>
      </w:r>
      <w:proofErr w:type="gramEnd"/>
      <w:r w:rsidRPr="0059559C">
        <w:rPr>
          <w:rFonts w:cstheme="minorHAnsi"/>
          <w:sz w:val="24"/>
          <w:szCs w:val="24"/>
        </w:rPr>
        <w:t xml:space="preserve"> no 2: Data protection laws in the EU: The difficulties in meeting the challenges posed by global social and technical developments</w:t>
      </w:r>
    </w:p>
    <w:p w14:paraId="3185B611" w14:textId="77777777" w:rsidR="00C9191C" w:rsidRPr="0059559C" w:rsidRDefault="00C9191C" w:rsidP="009C2A4D">
      <w:pPr>
        <w:pStyle w:val="FootnoteText"/>
        <w:rPr>
          <w:rFonts w:cstheme="minorHAnsi"/>
          <w:sz w:val="24"/>
          <w:szCs w:val="24"/>
        </w:rPr>
      </w:pPr>
    </w:p>
    <w:p w14:paraId="71A688A8" w14:textId="77777777" w:rsidR="009C2A4D" w:rsidRPr="0059559C" w:rsidRDefault="009C2A4D" w:rsidP="009C2A4D">
      <w:pPr>
        <w:pStyle w:val="FootnoteText"/>
        <w:rPr>
          <w:rFonts w:cstheme="minorHAnsi"/>
          <w:sz w:val="24"/>
          <w:szCs w:val="24"/>
        </w:rPr>
      </w:pPr>
      <w:proofErr w:type="spellStart"/>
      <w:r w:rsidRPr="0059559C">
        <w:rPr>
          <w:rFonts w:cstheme="minorHAnsi"/>
          <w:sz w:val="24"/>
          <w:szCs w:val="24"/>
        </w:rPr>
        <w:t>Lindqvist</w:t>
      </w:r>
      <w:proofErr w:type="spellEnd"/>
      <w:r w:rsidRPr="0059559C">
        <w:rPr>
          <w:rFonts w:cstheme="minorHAnsi"/>
          <w:sz w:val="24"/>
          <w:szCs w:val="24"/>
        </w:rPr>
        <w:t xml:space="preserve"> ECJ C-101/01</w:t>
      </w:r>
    </w:p>
    <w:p w14:paraId="071F4EBB" w14:textId="77777777" w:rsidR="004778A0" w:rsidRPr="0059559C" w:rsidRDefault="004778A0" w:rsidP="009C2A4D">
      <w:pPr>
        <w:pStyle w:val="FootnoteText"/>
        <w:rPr>
          <w:rFonts w:cstheme="minorHAnsi"/>
          <w:sz w:val="24"/>
          <w:szCs w:val="24"/>
        </w:rPr>
      </w:pPr>
    </w:p>
    <w:p w14:paraId="6BA773E2" w14:textId="5DA82ADC" w:rsidR="004778A0" w:rsidRPr="0059559C" w:rsidRDefault="004778A0" w:rsidP="004778A0">
      <w:pPr>
        <w:shd w:val="clear" w:color="auto" w:fill="FFFFFF"/>
        <w:spacing w:after="0" w:line="240" w:lineRule="auto"/>
        <w:outlineLvl w:val="2"/>
        <w:rPr>
          <w:sz w:val="24"/>
          <w:szCs w:val="24"/>
        </w:rPr>
      </w:pPr>
      <w:r w:rsidRPr="0059559C">
        <w:rPr>
          <w:sz w:val="24"/>
          <w:szCs w:val="24"/>
        </w:rPr>
        <w:t>NSPCC (2013</w:t>
      </w:r>
      <w:proofErr w:type="gramStart"/>
      <w:r w:rsidRPr="0059559C">
        <w:rPr>
          <w:sz w:val="24"/>
          <w:szCs w:val="24"/>
        </w:rPr>
        <w:t>)  ‘</w:t>
      </w:r>
      <w:r w:rsidRPr="0059559C">
        <w:rPr>
          <w:rFonts w:eastAsia="Times New Roman" w:cs="Arial"/>
          <w:color w:val="333333"/>
          <w:sz w:val="24"/>
          <w:szCs w:val="24"/>
          <w:lang w:val="en" w:eastAsia="en-GB"/>
        </w:rPr>
        <w:t>Using</w:t>
      </w:r>
      <w:proofErr w:type="gramEnd"/>
      <w:r w:rsidRPr="0059559C">
        <w:rPr>
          <w:rFonts w:eastAsia="Times New Roman" w:cs="Arial"/>
          <w:color w:val="333333"/>
          <w:sz w:val="24"/>
          <w:szCs w:val="24"/>
          <w:lang w:val="en" w:eastAsia="en-GB"/>
        </w:rPr>
        <w:t xml:space="preserve"> photographs of children for publication: </w:t>
      </w:r>
      <w:r w:rsidRPr="0059559C">
        <w:rPr>
          <w:rFonts w:eastAsia="Times New Roman" w:cs="Arial"/>
          <w:color w:val="545454"/>
          <w:sz w:val="24"/>
          <w:szCs w:val="24"/>
          <w:lang w:val="en" w:eastAsia="en-GB"/>
        </w:rPr>
        <w:t xml:space="preserve">NSPCC factsheet’ </w:t>
      </w:r>
      <w:hyperlink r:id="rId14" w:history="1">
        <w:r w:rsidRPr="0059559C">
          <w:rPr>
            <w:rStyle w:val="Hyperlink"/>
            <w:rFonts w:eastAsia="Times New Roman" w:cs="Arial"/>
            <w:sz w:val="24"/>
            <w:szCs w:val="24"/>
            <w:lang w:val="en" w:eastAsia="en-GB"/>
          </w:rPr>
          <w:t>http://www.nspcc.org.uk/Inform/research/briefings/Photographing-children_wda96007.html</w:t>
        </w:r>
      </w:hyperlink>
      <w:r w:rsidRPr="0059559C">
        <w:rPr>
          <w:rFonts w:eastAsia="Times New Roman" w:cs="Arial"/>
          <w:color w:val="2D2C2C"/>
          <w:sz w:val="24"/>
          <w:szCs w:val="24"/>
          <w:lang w:val="en" w:eastAsia="en-GB"/>
        </w:rPr>
        <w:t xml:space="preserve"> </w:t>
      </w:r>
    </w:p>
    <w:p w14:paraId="1CD5971C" w14:textId="77777777" w:rsidR="009C2A4D" w:rsidRPr="0059559C" w:rsidRDefault="009C2A4D" w:rsidP="009C2A4D">
      <w:pPr>
        <w:pStyle w:val="FootnoteText"/>
        <w:rPr>
          <w:rFonts w:cstheme="minorHAnsi"/>
          <w:sz w:val="24"/>
          <w:szCs w:val="24"/>
        </w:rPr>
      </w:pPr>
    </w:p>
    <w:p w14:paraId="4912CD3C" w14:textId="77777777" w:rsidR="009C2A4D" w:rsidRPr="0059559C" w:rsidRDefault="009C2A4D" w:rsidP="009C2A4D">
      <w:pPr>
        <w:pStyle w:val="FootnoteText"/>
        <w:rPr>
          <w:rFonts w:cstheme="minorHAnsi"/>
          <w:sz w:val="24"/>
          <w:szCs w:val="24"/>
        </w:rPr>
      </w:pPr>
      <w:r w:rsidRPr="0059559C">
        <w:rPr>
          <w:rFonts w:cstheme="minorHAnsi"/>
          <w:sz w:val="24"/>
          <w:szCs w:val="24"/>
        </w:rPr>
        <w:t>OFCOM (</w:t>
      </w:r>
      <w:r w:rsidRPr="0059559C">
        <w:rPr>
          <w:rFonts w:cstheme="minorHAnsi"/>
          <w:i/>
          <w:iCs/>
          <w:sz w:val="24"/>
          <w:szCs w:val="24"/>
        </w:rPr>
        <w:t>2013) Adults Media Use and Attitudes Report</w:t>
      </w:r>
    </w:p>
    <w:p w14:paraId="71585C3F" w14:textId="77777777" w:rsidR="009C2A4D" w:rsidRPr="0059559C" w:rsidRDefault="009C2A4D" w:rsidP="009C2A4D">
      <w:pPr>
        <w:pStyle w:val="FootnoteText"/>
        <w:rPr>
          <w:rFonts w:cstheme="minorHAnsi"/>
          <w:sz w:val="24"/>
          <w:szCs w:val="24"/>
        </w:rPr>
      </w:pPr>
    </w:p>
    <w:p w14:paraId="65D7DAD7" w14:textId="77777777" w:rsidR="009C2A4D" w:rsidRPr="0059559C" w:rsidRDefault="009C2A4D" w:rsidP="009C2A4D">
      <w:pPr>
        <w:spacing w:after="0" w:line="240" w:lineRule="auto"/>
        <w:rPr>
          <w:rFonts w:eastAsia="Times New Roman" w:cstheme="minorHAnsi"/>
          <w:bCs/>
          <w:sz w:val="24"/>
          <w:szCs w:val="24"/>
          <w:lang w:eastAsia="en-GB"/>
        </w:rPr>
      </w:pPr>
      <w:r w:rsidRPr="0059559C">
        <w:rPr>
          <w:rFonts w:eastAsia="Times New Roman" w:cstheme="minorHAnsi"/>
          <w:sz w:val="24"/>
          <w:szCs w:val="24"/>
          <w:lang w:eastAsia="en-GB"/>
        </w:rPr>
        <w:t xml:space="preserve">Opinion of Advocate General </w:t>
      </w:r>
      <w:proofErr w:type="spellStart"/>
      <w:r w:rsidRPr="0059559C">
        <w:rPr>
          <w:rFonts w:eastAsia="Times New Roman" w:cstheme="minorHAnsi"/>
          <w:sz w:val="24"/>
          <w:szCs w:val="24"/>
          <w:lang w:eastAsia="en-GB"/>
        </w:rPr>
        <w:t>Jääskinen</w:t>
      </w:r>
      <w:proofErr w:type="spellEnd"/>
      <w:r w:rsidRPr="0059559C">
        <w:rPr>
          <w:rFonts w:eastAsia="Times New Roman" w:cstheme="minorHAnsi"/>
          <w:sz w:val="24"/>
          <w:szCs w:val="24"/>
          <w:lang w:eastAsia="en-GB"/>
        </w:rPr>
        <w:t xml:space="preserve"> delivered on 25 June 2013 in </w:t>
      </w:r>
      <w:r w:rsidRPr="0059559C">
        <w:rPr>
          <w:rFonts w:eastAsia="Times New Roman" w:cstheme="minorHAnsi"/>
          <w:bCs/>
          <w:sz w:val="24"/>
          <w:szCs w:val="24"/>
          <w:lang w:eastAsia="en-GB"/>
        </w:rPr>
        <w:t>Case C</w:t>
      </w:r>
      <w:r w:rsidRPr="0059559C">
        <w:rPr>
          <w:rFonts w:eastAsia="Times New Roman" w:cstheme="minorHAnsi"/>
          <w:bCs/>
          <w:sz w:val="24"/>
          <w:szCs w:val="24"/>
          <w:lang w:eastAsia="en-GB"/>
        </w:rPr>
        <w:noBreakHyphen/>
        <w:t xml:space="preserve">131/12 Google Spain SL Google Inc. v </w:t>
      </w:r>
      <w:proofErr w:type="spellStart"/>
      <w:r w:rsidRPr="0059559C">
        <w:rPr>
          <w:rFonts w:eastAsia="Times New Roman" w:cstheme="minorHAnsi"/>
          <w:bCs/>
          <w:sz w:val="24"/>
          <w:szCs w:val="24"/>
          <w:lang w:eastAsia="en-GB"/>
        </w:rPr>
        <w:t>Agencia</w:t>
      </w:r>
      <w:proofErr w:type="spellEnd"/>
      <w:r w:rsidRPr="0059559C">
        <w:rPr>
          <w:rFonts w:eastAsia="Times New Roman" w:cstheme="minorHAnsi"/>
          <w:bCs/>
          <w:sz w:val="24"/>
          <w:szCs w:val="24"/>
          <w:lang w:eastAsia="en-GB"/>
        </w:rPr>
        <w:t xml:space="preserve"> Española de </w:t>
      </w:r>
      <w:proofErr w:type="spellStart"/>
      <w:r w:rsidRPr="0059559C">
        <w:rPr>
          <w:rFonts w:eastAsia="Times New Roman" w:cstheme="minorHAnsi"/>
          <w:bCs/>
          <w:sz w:val="24"/>
          <w:szCs w:val="24"/>
          <w:lang w:eastAsia="en-GB"/>
        </w:rPr>
        <w:t>Protección</w:t>
      </w:r>
      <w:proofErr w:type="spellEnd"/>
      <w:r w:rsidRPr="0059559C">
        <w:rPr>
          <w:rFonts w:eastAsia="Times New Roman" w:cstheme="minorHAnsi"/>
          <w:bCs/>
          <w:sz w:val="24"/>
          <w:szCs w:val="24"/>
          <w:lang w:eastAsia="en-GB"/>
        </w:rPr>
        <w:t xml:space="preserve"> de </w:t>
      </w:r>
      <w:proofErr w:type="spellStart"/>
      <w:r w:rsidRPr="0059559C">
        <w:rPr>
          <w:rFonts w:eastAsia="Times New Roman" w:cstheme="minorHAnsi"/>
          <w:bCs/>
          <w:sz w:val="24"/>
          <w:szCs w:val="24"/>
          <w:lang w:eastAsia="en-GB"/>
        </w:rPr>
        <w:t>Datos</w:t>
      </w:r>
      <w:proofErr w:type="spellEnd"/>
      <w:r w:rsidRPr="0059559C">
        <w:rPr>
          <w:rFonts w:eastAsia="Times New Roman" w:cstheme="minorHAnsi"/>
          <w:bCs/>
          <w:sz w:val="24"/>
          <w:szCs w:val="24"/>
          <w:lang w:eastAsia="en-GB"/>
        </w:rPr>
        <w:t xml:space="preserve"> (AEPD) and Mario </w:t>
      </w:r>
      <w:proofErr w:type="spellStart"/>
      <w:r w:rsidRPr="0059559C">
        <w:rPr>
          <w:rFonts w:eastAsia="Times New Roman" w:cstheme="minorHAnsi"/>
          <w:bCs/>
          <w:sz w:val="24"/>
          <w:szCs w:val="24"/>
          <w:lang w:eastAsia="en-GB"/>
        </w:rPr>
        <w:t>Costeja</w:t>
      </w:r>
      <w:proofErr w:type="spellEnd"/>
      <w:r w:rsidRPr="0059559C">
        <w:rPr>
          <w:rFonts w:eastAsia="Times New Roman" w:cstheme="minorHAnsi"/>
          <w:bCs/>
          <w:sz w:val="24"/>
          <w:szCs w:val="24"/>
          <w:lang w:eastAsia="en-GB"/>
        </w:rPr>
        <w:t xml:space="preserve"> González </w:t>
      </w:r>
    </w:p>
    <w:p w14:paraId="678ADB30" w14:textId="77777777" w:rsidR="0009493A" w:rsidRPr="0059559C" w:rsidRDefault="0009493A" w:rsidP="009C2A4D">
      <w:pPr>
        <w:spacing w:after="0" w:line="240" w:lineRule="auto"/>
        <w:rPr>
          <w:rFonts w:eastAsia="Times New Roman" w:cstheme="minorHAnsi"/>
          <w:bCs/>
          <w:sz w:val="24"/>
          <w:szCs w:val="24"/>
          <w:lang w:eastAsia="en-GB"/>
        </w:rPr>
      </w:pPr>
    </w:p>
    <w:p w14:paraId="5507A5E4" w14:textId="26FC8A06" w:rsidR="0009493A" w:rsidRPr="0059559C" w:rsidRDefault="0009493A" w:rsidP="009C2A4D">
      <w:pPr>
        <w:spacing w:after="0" w:line="240" w:lineRule="auto"/>
        <w:rPr>
          <w:rFonts w:eastAsia="Times New Roman" w:cstheme="minorHAnsi"/>
          <w:sz w:val="24"/>
          <w:szCs w:val="24"/>
          <w:lang w:eastAsia="en-GB"/>
        </w:rPr>
      </w:pPr>
      <w:r w:rsidRPr="0059559C">
        <w:rPr>
          <w:rFonts w:eastAsia="Times New Roman" w:cstheme="minorHAnsi"/>
          <w:bCs/>
          <w:sz w:val="24"/>
          <w:szCs w:val="24"/>
          <w:lang w:eastAsia="en-GB"/>
        </w:rPr>
        <w:t xml:space="preserve">Pounder, Chris (2015) ‘Council of Ministers’ Regulation text negates ECJ rulings in </w:t>
      </w:r>
      <w:proofErr w:type="spellStart"/>
      <w:r w:rsidRPr="0059559C">
        <w:rPr>
          <w:rFonts w:eastAsia="Times New Roman" w:cstheme="minorHAnsi"/>
          <w:bCs/>
          <w:sz w:val="24"/>
          <w:szCs w:val="24"/>
          <w:lang w:eastAsia="en-GB"/>
        </w:rPr>
        <w:t>Linqvist</w:t>
      </w:r>
      <w:proofErr w:type="spellEnd"/>
      <w:r w:rsidRPr="0059559C">
        <w:rPr>
          <w:rFonts w:eastAsia="Times New Roman" w:cstheme="minorHAnsi"/>
          <w:bCs/>
          <w:sz w:val="24"/>
          <w:szCs w:val="24"/>
          <w:lang w:eastAsia="en-GB"/>
        </w:rPr>
        <w:t xml:space="preserve"> and </w:t>
      </w:r>
      <w:proofErr w:type="spellStart"/>
      <w:r w:rsidRPr="0059559C">
        <w:rPr>
          <w:rFonts w:eastAsia="Times New Roman" w:cstheme="minorHAnsi"/>
          <w:bCs/>
          <w:sz w:val="24"/>
          <w:szCs w:val="24"/>
          <w:lang w:eastAsia="en-GB"/>
        </w:rPr>
        <w:t>Ryneš</w:t>
      </w:r>
      <w:proofErr w:type="spellEnd"/>
      <w:r w:rsidRPr="0059559C">
        <w:rPr>
          <w:rFonts w:eastAsia="Times New Roman" w:cstheme="minorHAnsi"/>
          <w:bCs/>
          <w:sz w:val="24"/>
          <w:szCs w:val="24"/>
          <w:lang w:eastAsia="en-GB"/>
        </w:rPr>
        <w:t xml:space="preserve"> </w:t>
      </w:r>
      <w:hyperlink r:id="rId15" w:history="1">
        <w:r w:rsidRPr="0059559C">
          <w:rPr>
            <w:rStyle w:val="Hyperlink"/>
            <w:rFonts w:eastAsia="Times New Roman" w:cstheme="minorHAnsi"/>
            <w:bCs/>
            <w:sz w:val="24"/>
            <w:szCs w:val="24"/>
            <w:lang w:eastAsia="en-GB"/>
          </w:rPr>
          <w:t>http://amberhawk.typepad.com/amberhawk/2015/07/council-of-ministers-regulation-text-negates-ecj-rulings-in-lindqvist-and-ryne%C5%A1.html</w:t>
        </w:r>
      </w:hyperlink>
      <w:r w:rsidRPr="0059559C">
        <w:rPr>
          <w:rFonts w:eastAsia="Times New Roman" w:cstheme="minorHAnsi"/>
          <w:bCs/>
          <w:sz w:val="24"/>
          <w:szCs w:val="24"/>
          <w:lang w:eastAsia="en-GB"/>
        </w:rPr>
        <w:t xml:space="preserve"> </w:t>
      </w:r>
      <w:r w:rsidRPr="0059559C">
        <w:rPr>
          <w:rFonts w:eastAsia="Times New Roman" w:cstheme="minorHAnsi"/>
          <w:sz w:val="24"/>
          <w:szCs w:val="24"/>
          <w:lang w:eastAsia="en-GB"/>
        </w:rPr>
        <w:t xml:space="preserve"> </w:t>
      </w:r>
    </w:p>
    <w:p w14:paraId="24F350FC" w14:textId="77777777" w:rsidR="009C2A4D" w:rsidRPr="0059559C" w:rsidRDefault="009C2A4D" w:rsidP="009C2A4D">
      <w:pPr>
        <w:pStyle w:val="FootnoteText"/>
        <w:rPr>
          <w:rFonts w:cstheme="minorHAnsi"/>
          <w:sz w:val="24"/>
          <w:szCs w:val="24"/>
        </w:rPr>
      </w:pPr>
    </w:p>
    <w:p w14:paraId="25769616" w14:textId="77777777" w:rsidR="009C2A4D" w:rsidRPr="0059559C" w:rsidRDefault="009C2A4D" w:rsidP="009C2A4D">
      <w:pPr>
        <w:rPr>
          <w:sz w:val="24"/>
          <w:szCs w:val="24"/>
        </w:rPr>
      </w:pPr>
      <w:proofErr w:type="spellStart"/>
      <w:r w:rsidRPr="0059559C">
        <w:rPr>
          <w:sz w:val="24"/>
          <w:szCs w:val="24"/>
        </w:rPr>
        <w:t>Shoesmith</w:t>
      </w:r>
      <w:proofErr w:type="spellEnd"/>
      <w:r w:rsidRPr="0059559C">
        <w:rPr>
          <w:sz w:val="24"/>
          <w:szCs w:val="24"/>
        </w:rPr>
        <w:t xml:space="preserve">, Ian </w:t>
      </w:r>
      <w:r w:rsidR="00E0467F" w:rsidRPr="0059559C">
        <w:rPr>
          <w:sz w:val="24"/>
          <w:szCs w:val="24"/>
        </w:rPr>
        <w:t>‘</w:t>
      </w:r>
      <w:r w:rsidRPr="0059559C">
        <w:rPr>
          <w:sz w:val="24"/>
          <w:szCs w:val="24"/>
        </w:rPr>
        <w:t>When can’t you take photos of a nativity play?</w:t>
      </w:r>
      <w:r w:rsidR="00E0467F" w:rsidRPr="0059559C">
        <w:rPr>
          <w:sz w:val="24"/>
          <w:szCs w:val="24"/>
        </w:rPr>
        <w:t xml:space="preserve">’ </w:t>
      </w:r>
      <w:r w:rsidRPr="0059559C">
        <w:rPr>
          <w:sz w:val="24"/>
          <w:szCs w:val="24"/>
        </w:rPr>
        <w:t xml:space="preserve">BBC News UK, 8 December 2010) </w:t>
      </w:r>
      <w:hyperlink r:id="rId16" w:history="1">
        <w:r w:rsidRPr="0059559C">
          <w:rPr>
            <w:rStyle w:val="Hyperlink"/>
            <w:sz w:val="24"/>
            <w:szCs w:val="24"/>
          </w:rPr>
          <w:t>http://www.bbc.co.uk/news/uk-11947374</w:t>
        </w:r>
      </w:hyperlink>
      <w:r w:rsidRPr="0059559C">
        <w:rPr>
          <w:sz w:val="24"/>
          <w:szCs w:val="24"/>
        </w:rPr>
        <w:t xml:space="preserve"> </w:t>
      </w:r>
    </w:p>
    <w:p w14:paraId="516888DB" w14:textId="77777777" w:rsidR="009C2A4D" w:rsidRPr="0059559C" w:rsidRDefault="009C2A4D" w:rsidP="009C2A4D">
      <w:pPr>
        <w:pStyle w:val="FootnoteText"/>
        <w:rPr>
          <w:rFonts w:cstheme="minorHAnsi"/>
          <w:sz w:val="24"/>
          <w:szCs w:val="24"/>
        </w:rPr>
      </w:pPr>
      <w:r w:rsidRPr="0059559C">
        <w:rPr>
          <w:rFonts w:cstheme="minorHAnsi"/>
          <w:sz w:val="24"/>
          <w:szCs w:val="24"/>
        </w:rPr>
        <w:t xml:space="preserve">The Law Society and others v Rick </w:t>
      </w:r>
      <w:proofErr w:type="spellStart"/>
      <w:r w:rsidRPr="0059559C">
        <w:rPr>
          <w:rFonts w:cstheme="minorHAnsi"/>
          <w:sz w:val="24"/>
          <w:szCs w:val="24"/>
        </w:rPr>
        <w:t>Kordowski</w:t>
      </w:r>
      <w:proofErr w:type="spellEnd"/>
      <w:r w:rsidRPr="0059559C">
        <w:rPr>
          <w:rFonts w:cstheme="minorHAnsi"/>
          <w:sz w:val="24"/>
          <w:szCs w:val="24"/>
        </w:rPr>
        <w:t xml:space="preserve"> [2011] EWHC 3185 (QB)</w:t>
      </w:r>
    </w:p>
    <w:p w14:paraId="3257229C" w14:textId="77777777" w:rsidR="009C2A4D" w:rsidRPr="0059559C" w:rsidRDefault="009C2A4D" w:rsidP="009C2A4D">
      <w:pPr>
        <w:pStyle w:val="FootnoteText"/>
        <w:rPr>
          <w:rFonts w:cstheme="minorHAnsi"/>
          <w:sz w:val="24"/>
          <w:szCs w:val="24"/>
        </w:rPr>
      </w:pPr>
    </w:p>
    <w:p w14:paraId="53D78779" w14:textId="77777777" w:rsidR="006259B8" w:rsidRPr="0059559C" w:rsidRDefault="006259B8" w:rsidP="006259B8">
      <w:pPr>
        <w:pStyle w:val="FootnoteText"/>
        <w:rPr>
          <w:rFonts w:cstheme="minorHAnsi"/>
          <w:sz w:val="24"/>
          <w:szCs w:val="24"/>
        </w:rPr>
      </w:pPr>
      <w:proofErr w:type="spellStart"/>
      <w:r w:rsidRPr="0059559C">
        <w:rPr>
          <w:sz w:val="24"/>
          <w:szCs w:val="24"/>
        </w:rPr>
        <w:t>Tietosuojavaltuutettu</w:t>
      </w:r>
      <w:proofErr w:type="spellEnd"/>
      <w:r w:rsidRPr="0059559C">
        <w:rPr>
          <w:sz w:val="24"/>
          <w:szCs w:val="24"/>
        </w:rPr>
        <w:t xml:space="preserve"> v </w:t>
      </w:r>
      <w:proofErr w:type="spellStart"/>
      <w:r w:rsidRPr="0059559C">
        <w:rPr>
          <w:sz w:val="24"/>
          <w:szCs w:val="24"/>
        </w:rPr>
        <w:t>Satakunnan</w:t>
      </w:r>
      <w:proofErr w:type="spellEnd"/>
      <w:r w:rsidRPr="0059559C">
        <w:rPr>
          <w:sz w:val="24"/>
          <w:szCs w:val="24"/>
        </w:rPr>
        <w:t xml:space="preserve"> </w:t>
      </w:r>
      <w:proofErr w:type="spellStart"/>
      <w:r w:rsidRPr="0059559C">
        <w:rPr>
          <w:sz w:val="24"/>
          <w:szCs w:val="24"/>
        </w:rPr>
        <w:t>Markkinapörssi</w:t>
      </w:r>
      <w:proofErr w:type="spellEnd"/>
      <w:r w:rsidRPr="0059559C">
        <w:rPr>
          <w:sz w:val="24"/>
          <w:szCs w:val="24"/>
        </w:rPr>
        <w:t xml:space="preserve"> Oy and </w:t>
      </w:r>
      <w:proofErr w:type="spellStart"/>
      <w:r w:rsidRPr="0059559C">
        <w:rPr>
          <w:sz w:val="24"/>
          <w:szCs w:val="24"/>
        </w:rPr>
        <w:t>Satamedia</w:t>
      </w:r>
      <w:proofErr w:type="spellEnd"/>
      <w:r w:rsidRPr="0059559C">
        <w:rPr>
          <w:sz w:val="24"/>
          <w:szCs w:val="24"/>
        </w:rPr>
        <w:t xml:space="preserve"> Oy</w:t>
      </w:r>
      <w:r w:rsidRPr="0059559C">
        <w:rPr>
          <w:rStyle w:val="affairetitle"/>
          <w:sz w:val="24"/>
          <w:szCs w:val="24"/>
        </w:rPr>
        <w:t xml:space="preserve"> </w:t>
      </w:r>
      <w:r w:rsidRPr="0059559C">
        <w:rPr>
          <w:rFonts w:cstheme="minorHAnsi"/>
          <w:sz w:val="24"/>
          <w:szCs w:val="24"/>
        </w:rPr>
        <w:t xml:space="preserve">CJEU C-73/07 </w:t>
      </w:r>
    </w:p>
    <w:p w14:paraId="0E750DC5" w14:textId="77777777" w:rsidR="006259B8" w:rsidRPr="0059559C" w:rsidRDefault="006259B8" w:rsidP="009C2A4D">
      <w:pPr>
        <w:pStyle w:val="FootnoteText"/>
        <w:rPr>
          <w:rFonts w:cstheme="minorHAnsi"/>
          <w:sz w:val="24"/>
          <w:szCs w:val="24"/>
        </w:rPr>
      </w:pPr>
    </w:p>
    <w:p w14:paraId="3B9DE5C1" w14:textId="77777777" w:rsidR="009C2A4D" w:rsidRPr="0059559C" w:rsidRDefault="009C2A4D" w:rsidP="009C2A4D">
      <w:pPr>
        <w:pStyle w:val="FootnoteText"/>
        <w:rPr>
          <w:rFonts w:cstheme="minorHAnsi"/>
          <w:sz w:val="24"/>
          <w:szCs w:val="24"/>
        </w:rPr>
      </w:pPr>
      <w:proofErr w:type="spellStart"/>
      <w:r w:rsidRPr="0059559C">
        <w:rPr>
          <w:rFonts w:cstheme="minorHAnsi"/>
          <w:sz w:val="24"/>
          <w:szCs w:val="24"/>
        </w:rPr>
        <w:t>Warso</w:t>
      </w:r>
      <w:proofErr w:type="spellEnd"/>
      <w:r w:rsidRPr="0059559C">
        <w:rPr>
          <w:rFonts w:cstheme="minorHAnsi"/>
          <w:sz w:val="24"/>
          <w:szCs w:val="24"/>
        </w:rPr>
        <w:t xml:space="preserve">, </w:t>
      </w:r>
      <w:proofErr w:type="spellStart"/>
      <w:r w:rsidRPr="0059559C">
        <w:rPr>
          <w:rFonts w:cstheme="minorHAnsi"/>
          <w:sz w:val="24"/>
          <w:szCs w:val="24"/>
        </w:rPr>
        <w:t>Zuzanna</w:t>
      </w:r>
      <w:proofErr w:type="spellEnd"/>
      <w:r w:rsidRPr="0059559C">
        <w:rPr>
          <w:rFonts w:cstheme="minorHAnsi"/>
          <w:sz w:val="24"/>
          <w:szCs w:val="24"/>
        </w:rPr>
        <w:t xml:space="preserve">, (2013) </w:t>
      </w:r>
      <w:r w:rsidR="00E0467F" w:rsidRPr="0059559C">
        <w:rPr>
          <w:rFonts w:cstheme="minorHAnsi"/>
          <w:sz w:val="24"/>
          <w:szCs w:val="24"/>
        </w:rPr>
        <w:t>‘</w:t>
      </w:r>
      <w:r w:rsidRPr="0059559C">
        <w:rPr>
          <w:rFonts w:cstheme="minorHAnsi"/>
          <w:sz w:val="24"/>
          <w:szCs w:val="24"/>
        </w:rPr>
        <w:t>There’s more to it than data protection – Fundamental rights, privacy and the personal/household exemption in the digital age</w:t>
      </w:r>
      <w:r w:rsidR="00E0467F" w:rsidRPr="0059559C">
        <w:rPr>
          <w:rFonts w:cstheme="minorHAnsi"/>
          <w:sz w:val="24"/>
          <w:szCs w:val="24"/>
        </w:rPr>
        <w:t>’</w:t>
      </w:r>
      <w:r w:rsidRPr="0059559C">
        <w:rPr>
          <w:rFonts w:cstheme="minorHAnsi"/>
          <w:sz w:val="24"/>
          <w:szCs w:val="24"/>
        </w:rPr>
        <w:t>,</w:t>
      </w:r>
      <w:r w:rsidRPr="0059559C">
        <w:rPr>
          <w:rFonts w:cstheme="minorHAnsi"/>
          <w:i/>
          <w:sz w:val="24"/>
          <w:szCs w:val="24"/>
        </w:rPr>
        <w:t xml:space="preserve"> </w:t>
      </w:r>
      <w:r w:rsidRPr="0059559C">
        <w:rPr>
          <w:rFonts w:cstheme="minorHAnsi"/>
          <w:sz w:val="24"/>
          <w:szCs w:val="24"/>
        </w:rPr>
        <w:t>Computer Law &amp; Security Review (29) 491-500</w:t>
      </w:r>
    </w:p>
    <w:p w14:paraId="3383F6E1" w14:textId="77777777" w:rsidR="009C2A4D" w:rsidRPr="0059559C" w:rsidRDefault="009C2A4D" w:rsidP="009C2A4D">
      <w:pPr>
        <w:spacing w:after="0" w:line="240" w:lineRule="auto"/>
        <w:rPr>
          <w:rFonts w:cstheme="minorHAnsi"/>
          <w:sz w:val="24"/>
          <w:szCs w:val="24"/>
        </w:rPr>
      </w:pPr>
    </w:p>
    <w:p w14:paraId="68A2E071" w14:textId="77777777" w:rsidR="009C2A4D" w:rsidRPr="0059559C" w:rsidRDefault="009C2A4D" w:rsidP="009C2A4D">
      <w:pPr>
        <w:spacing w:after="0" w:line="240" w:lineRule="auto"/>
        <w:rPr>
          <w:rFonts w:cstheme="minorHAnsi"/>
          <w:sz w:val="24"/>
          <w:szCs w:val="24"/>
        </w:rPr>
      </w:pPr>
      <w:r w:rsidRPr="0059559C">
        <w:rPr>
          <w:rFonts w:cstheme="minorHAnsi"/>
          <w:sz w:val="24"/>
          <w:szCs w:val="24"/>
        </w:rPr>
        <w:t xml:space="preserve">Westin, A. (1967) Privacy and Freedom (New York: </w:t>
      </w:r>
      <w:proofErr w:type="spellStart"/>
      <w:r w:rsidRPr="0059559C">
        <w:rPr>
          <w:rFonts w:cstheme="minorHAnsi"/>
          <w:sz w:val="24"/>
          <w:szCs w:val="24"/>
        </w:rPr>
        <w:t>Atheneum</w:t>
      </w:r>
      <w:proofErr w:type="spellEnd"/>
      <w:r w:rsidRPr="0059559C">
        <w:rPr>
          <w:rFonts w:cstheme="minorHAnsi"/>
          <w:sz w:val="24"/>
          <w:szCs w:val="24"/>
        </w:rPr>
        <w:t>)</w:t>
      </w:r>
    </w:p>
    <w:p w14:paraId="4B892C90" w14:textId="77777777" w:rsidR="009C2A4D" w:rsidRPr="0059559C" w:rsidRDefault="009C2A4D" w:rsidP="009C2A4D">
      <w:pPr>
        <w:rPr>
          <w:rFonts w:cstheme="minorHAnsi"/>
          <w:sz w:val="24"/>
          <w:szCs w:val="24"/>
        </w:rPr>
      </w:pPr>
    </w:p>
    <w:p w14:paraId="687F5E29" w14:textId="77777777" w:rsidR="00783E2F" w:rsidRPr="0059559C" w:rsidRDefault="00783E2F" w:rsidP="00A16033">
      <w:pPr>
        <w:spacing w:after="0" w:line="240" w:lineRule="auto"/>
        <w:rPr>
          <w:rFonts w:cstheme="minorHAnsi"/>
          <w:sz w:val="24"/>
          <w:szCs w:val="24"/>
        </w:rPr>
      </w:pPr>
    </w:p>
    <w:sectPr w:rsidR="00783E2F" w:rsidRPr="005955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4F013" w14:textId="77777777" w:rsidR="00165D78" w:rsidRDefault="00165D78" w:rsidP="00F46BDF">
      <w:pPr>
        <w:spacing w:after="0" w:line="240" w:lineRule="auto"/>
      </w:pPr>
      <w:r>
        <w:separator/>
      </w:r>
    </w:p>
  </w:endnote>
  <w:endnote w:type="continuationSeparator" w:id="0">
    <w:p w14:paraId="30B9DCD3" w14:textId="77777777" w:rsidR="00165D78" w:rsidRDefault="00165D78" w:rsidP="00F4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80CA3" w14:textId="77777777" w:rsidR="00165D78" w:rsidRDefault="00165D78" w:rsidP="00F46BDF">
      <w:pPr>
        <w:spacing w:after="0" w:line="240" w:lineRule="auto"/>
      </w:pPr>
      <w:r>
        <w:separator/>
      </w:r>
    </w:p>
  </w:footnote>
  <w:footnote w:type="continuationSeparator" w:id="0">
    <w:p w14:paraId="3440BB3F" w14:textId="77777777" w:rsidR="00165D78" w:rsidRDefault="00165D78" w:rsidP="00F46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6FE"/>
    <w:multiLevelType w:val="hybridMultilevel"/>
    <w:tmpl w:val="0DF23ABE"/>
    <w:lvl w:ilvl="0" w:tplc="662C07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0349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03524D"/>
    <w:multiLevelType w:val="hybridMultilevel"/>
    <w:tmpl w:val="0082F87A"/>
    <w:lvl w:ilvl="0" w:tplc="0F92B8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B2325"/>
    <w:multiLevelType w:val="hybridMultilevel"/>
    <w:tmpl w:val="22BE4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90172E"/>
    <w:multiLevelType w:val="hybridMultilevel"/>
    <w:tmpl w:val="4D48319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2E16B9B"/>
    <w:multiLevelType w:val="hybridMultilevel"/>
    <w:tmpl w:val="DC7050B2"/>
    <w:lvl w:ilvl="0" w:tplc="CE3E9940">
      <w:start w:val="2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414AD"/>
    <w:multiLevelType w:val="hybridMultilevel"/>
    <w:tmpl w:val="DDB2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129A1"/>
    <w:multiLevelType w:val="hybridMultilevel"/>
    <w:tmpl w:val="872E7E14"/>
    <w:lvl w:ilvl="0" w:tplc="2A0451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3FB153A"/>
    <w:multiLevelType w:val="hybridMultilevel"/>
    <w:tmpl w:val="826C0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F11DFF"/>
    <w:multiLevelType w:val="hybridMultilevel"/>
    <w:tmpl w:val="0A36F5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69CB53D9"/>
    <w:multiLevelType w:val="hybridMultilevel"/>
    <w:tmpl w:val="EBD02184"/>
    <w:lvl w:ilvl="0" w:tplc="60028FF4">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nsid w:val="73E7431A"/>
    <w:multiLevelType w:val="multilevel"/>
    <w:tmpl w:val="DD06B1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41F2BE1"/>
    <w:multiLevelType w:val="hybridMultilevel"/>
    <w:tmpl w:val="2AF08620"/>
    <w:lvl w:ilvl="0" w:tplc="CE3E9940">
      <w:start w:val="2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1"/>
  </w:num>
  <w:num w:numId="7">
    <w:abstractNumId w:val="5"/>
  </w:num>
  <w:num w:numId="8">
    <w:abstractNumId w:val="12"/>
  </w:num>
  <w:num w:numId="9">
    <w:abstractNumId w:val="6"/>
  </w:num>
  <w:num w:numId="10">
    <w:abstractNumId w:val="9"/>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DF"/>
    <w:rsid w:val="000135E1"/>
    <w:rsid w:val="00037737"/>
    <w:rsid w:val="00043169"/>
    <w:rsid w:val="0004324C"/>
    <w:rsid w:val="000648D0"/>
    <w:rsid w:val="00075BB9"/>
    <w:rsid w:val="000838CD"/>
    <w:rsid w:val="000947A8"/>
    <w:rsid w:val="0009485A"/>
    <w:rsid w:val="0009493A"/>
    <w:rsid w:val="00095B73"/>
    <w:rsid w:val="000C14C1"/>
    <w:rsid w:val="000D040A"/>
    <w:rsid w:val="000E1FE2"/>
    <w:rsid w:val="000E5CFF"/>
    <w:rsid w:val="000F38EA"/>
    <w:rsid w:val="000F5C69"/>
    <w:rsid w:val="00104598"/>
    <w:rsid w:val="0010519A"/>
    <w:rsid w:val="00120577"/>
    <w:rsid w:val="00120865"/>
    <w:rsid w:val="001251E0"/>
    <w:rsid w:val="001324EE"/>
    <w:rsid w:val="001329AA"/>
    <w:rsid w:val="00137B63"/>
    <w:rsid w:val="001505A9"/>
    <w:rsid w:val="001533A5"/>
    <w:rsid w:val="00160576"/>
    <w:rsid w:val="00165D78"/>
    <w:rsid w:val="00172401"/>
    <w:rsid w:val="0017634F"/>
    <w:rsid w:val="00193416"/>
    <w:rsid w:val="001A3339"/>
    <w:rsid w:val="001B1A42"/>
    <w:rsid w:val="001B3F9C"/>
    <w:rsid w:val="001B4445"/>
    <w:rsid w:val="001B498A"/>
    <w:rsid w:val="001C016A"/>
    <w:rsid w:val="001C239E"/>
    <w:rsid w:val="001D5788"/>
    <w:rsid w:val="001E6941"/>
    <w:rsid w:val="002163FE"/>
    <w:rsid w:val="0023559D"/>
    <w:rsid w:val="00237130"/>
    <w:rsid w:val="00250588"/>
    <w:rsid w:val="00293189"/>
    <w:rsid w:val="00294D79"/>
    <w:rsid w:val="002A65D6"/>
    <w:rsid w:val="002B2A47"/>
    <w:rsid w:val="002C214C"/>
    <w:rsid w:val="002D584F"/>
    <w:rsid w:val="002E5777"/>
    <w:rsid w:val="002E5867"/>
    <w:rsid w:val="002E7C3E"/>
    <w:rsid w:val="003029C6"/>
    <w:rsid w:val="003060E5"/>
    <w:rsid w:val="00320128"/>
    <w:rsid w:val="00326B28"/>
    <w:rsid w:val="00340EEE"/>
    <w:rsid w:val="00342B61"/>
    <w:rsid w:val="00346C4D"/>
    <w:rsid w:val="00347E4A"/>
    <w:rsid w:val="003667DA"/>
    <w:rsid w:val="003A0CA6"/>
    <w:rsid w:val="003A7FA6"/>
    <w:rsid w:val="003B74DB"/>
    <w:rsid w:val="00400682"/>
    <w:rsid w:val="00411DA0"/>
    <w:rsid w:val="00416AF8"/>
    <w:rsid w:val="00421607"/>
    <w:rsid w:val="004249F2"/>
    <w:rsid w:val="00452130"/>
    <w:rsid w:val="00452F80"/>
    <w:rsid w:val="00473E5E"/>
    <w:rsid w:val="004778A0"/>
    <w:rsid w:val="00495720"/>
    <w:rsid w:val="004B645B"/>
    <w:rsid w:val="004C5558"/>
    <w:rsid w:val="004C5C3E"/>
    <w:rsid w:val="004D42F1"/>
    <w:rsid w:val="004E496E"/>
    <w:rsid w:val="004F09FA"/>
    <w:rsid w:val="004F1F99"/>
    <w:rsid w:val="004F6BFF"/>
    <w:rsid w:val="00500B4C"/>
    <w:rsid w:val="00506B9F"/>
    <w:rsid w:val="00507567"/>
    <w:rsid w:val="00536ECF"/>
    <w:rsid w:val="005414E3"/>
    <w:rsid w:val="00552839"/>
    <w:rsid w:val="0056225B"/>
    <w:rsid w:val="005714A3"/>
    <w:rsid w:val="005774CE"/>
    <w:rsid w:val="00591B1A"/>
    <w:rsid w:val="0059559C"/>
    <w:rsid w:val="005A0FBA"/>
    <w:rsid w:val="005A24C3"/>
    <w:rsid w:val="005D685B"/>
    <w:rsid w:val="005E4CCC"/>
    <w:rsid w:val="005F1EB9"/>
    <w:rsid w:val="005F37DB"/>
    <w:rsid w:val="005F7FF9"/>
    <w:rsid w:val="0060345A"/>
    <w:rsid w:val="0061688F"/>
    <w:rsid w:val="00623DEF"/>
    <w:rsid w:val="006259B8"/>
    <w:rsid w:val="00642B85"/>
    <w:rsid w:val="0064774D"/>
    <w:rsid w:val="0066079C"/>
    <w:rsid w:val="00664631"/>
    <w:rsid w:val="00667264"/>
    <w:rsid w:val="006720A0"/>
    <w:rsid w:val="00677CE0"/>
    <w:rsid w:val="00681A4C"/>
    <w:rsid w:val="006A1DF4"/>
    <w:rsid w:val="006A4629"/>
    <w:rsid w:val="006A5F8A"/>
    <w:rsid w:val="006A6502"/>
    <w:rsid w:val="006A6FD9"/>
    <w:rsid w:val="006B57D0"/>
    <w:rsid w:val="006D0941"/>
    <w:rsid w:val="006D2B88"/>
    <w:rsid w:val="006D5E8D"/>
    <w:rsid w:val="006F6FFC"/>
    <w:rsid w:val="00701E92"/>
    <w:rsid w:val="0070279B"/>
    <w:rsid w:val="00711738"/>
    <w:rsid w:val="00717539"/>
    <w:rsid w:val="00717C9B"/>
    <w:rsid w:val="0072354B"/>
    <w:rsid w:val="00724D5D"/>
    <w:rsid w:val="007378F6"/>
    <w:rsid w:val="00742F6C"/>
    <w:rsid w:val="00744753"/>
    <w:rsid w:val="00756FAF"/>
    <w:rsid w:val="00775DC5"/>
    <w:rsid w:val="00777118"/>
    <w:rsid w:val="00783E2F"/>
    <w:rsid w:val="0079252B"/>
    <w:rsid w:val="0079333A"/>
    <w:rsid w:val="007B5597"/>
    <w:rsid w:val="007C198D"/>
    <w:rsid w:val="007C24D6"/>
    <w:rsid w:val="007D20EA"/>
    <w:rsid w:val="007D4011"/>
    <w:rsid w:val="007D48D1"/>
    <w:rsid w:val="007D4BBA"/>
    <w:rsid w:val="007D5A05"/>
    <w:rsid w:val="007E3CDE"/>
    <w:rsid w:val="007F1409"/>
    <w:rsid w:val="007F4EC3"/>
    <w:rsid w:val="00800140"/>
    <w:rsid w:val="00810B8D"/>
    <w:rsid w:val="00813E4D"/>
    <w:rsid w:val="008251D6"/>
    <w:rsid w:val="00825E12"/>
    <w:rsid w:val="008359E1"/>
    <w:rsid w:val="00854733"/>
    <w:rsid w:val="0085609E"/>
    <w:rsid w:val="00882E43"/>
    <w:rsid w:val="00894592"/>
    <w:rsid w:val="008B4F0E"/>
    <w:rsid w:val="008B52E8"/>
    <w:rsid w:val="008B575A"/>
    <w:rsid w:val="008B5F88"/>
    <w:rsid w:val="008C170F"/>
    <w:rsid w:val="008E467C"/>
    <w:rsid w:val="008F061F"/>
    <w:rsid w:val="008F355A"/>
    <w:rsid w:val="008F43A9"/>
    <w:rsid w:val="00923FC7"/>
    <w:rsid w:val="00943FDA"/>
    <w:rsid w:val="009542D3"/>
    <w:rsid w:val="00961006"/>
    <w:rsid w:val="0096578A"/>
    <w:rsid w:val="009707C3"/>
    <w:rsid w:val="00976169"/>
    <w:rsid w:val="00984197"/>
    <w:rsid w:val="00991E04"/>
    <w:rsid w:val="009A1B63"/>
    <w:rsid w:val="009A325F"/>
    <w:rsid w:val="009C2A4D"/>
    <w:rsid w:val="009E44A2"/>
    <w:rsid w:val="009E4696"/>
    <w:rsid w:val="009E749A"/>
    <w:rsid w:val="00A1332D"/>
    <w:rsid w:val="00A16033"/>
    <w:rsid w:val="00A30A96"/>
    <w:rsid w:val="00A44DE6"/>
    <w:rsid w:val="00A50E5B"/>
    <w:rsid w:val="00A6422E"/>
    <w:rsid w:val="00A67398"/>
    <w:rsid w:val="00A72C53"/>
    <w:rsid w:val="00A7397E"/>
    <w:rsid w:val="00A86FCF"/>
    <w:rsid w:val="00A87944"/>
    <w:rsid w:val="00AA1665"/>
    <w:rsid w:val="00AA4D16"/>
    <w:rsid w:val="00AA6904"/>
    <w:rsid w:val="00AC433B"/>
    <w:rsid w:val="00AE0405"/>
    <w:rsid w:val="00B04312"/>
    <w:rsid w:val="00B04A90"/>
    <w:rsid w:val="00B241A0"/>
    <w:rsid w:val="00B33944"/>
    <w:rsid w:val="00B40C99"/>
    <w:rsid w:val="00B446D6"/>
    <w:rsid w:val="00B57E58"/>
    <w:rsid w:val="00B72A47"/>
    <w:rsid w:val="00B7722D"/>
    <w:rsid w:val="00B818BD"/>
    <w:rsid w:val="00B87466"/>
    <w:rsid w:val="00B93587"/>
    <w:rsid w:val="00BB2779"/>
    <w:rsid w:val="00BE3E00"/>
    <w:rsid w:val="00BF35A7"/>
    <w:rsid w:val="00BF4EBB"/>
    <w:rsid w:val="00BF6429"/>
    <w:rsid w:val="00C30007"/>
    <w:rsid w:val="00C51F3A"/>
    <w:rsid w:val="00C621E4"/>
    <w:rsid w:val="00C77B16"/>
    <w:rsid w:val="00C9191C"/>
    <w:rsid w:val="00C92048"/>
    <w:rsid w:val="00CB1A52"/>
    <w:rsid w:val="00CB2B68"/>
    <w:rsid w:val="00CC1119"/>
    <w:rsid w:val="00CD3B34"/>
    <w:rsid w:val="00CF1D02"/>
    <w:rsid w:val="00D05209"/>
    <w:rsid w:val="00D05293"/>
    <w:rsid w:val="00D613A5"/>
    <w:rsid w:val="00D63314"/>
    <w:rsid w:val="00D75B59"/>
    <w:rsid w:val="00D836C8"/>
    <w:rsid w:val="00D84C48"/>
    <w:rsid w:val="00D856C6"/>
    <w:rsid w:val="00D87A88"/>
    <w:rsid w:val="00D9701C"/>
    <w:rsid w:val="00D97DBA"/>
    <w:rsid w:val="00DA1040"/>
    <w:rsid w:val="00DA74CE"/>
    <w:rsid w:val="00DB0654"/>
    <w:rsid w:val="00DC0E96"/>
    <w:rsid w:val="00DD0116"/>
    <w:rsid w:val="00DE19F8"/>
    <w:rsid w:val="00DE290A"/>
    <w:rsid w:val="00DE7865"/>
    <w:rsid w:val="00DF77C9"/>
    <w:rsid w:val="00E0467F"/>
    <w:rsid w:val="00E12C16"/>
    <w:rsid w:val="00E20726"/>
    <w:rsid w:val="00E21EB8"/>
    <w:rsid w:val="00E24B98"/>
    <w:rsid w:val="00E276F1"/>
    <w:rsid w:val="00E354AC"/>
    <w:rsid w:val="00E3595E"/>
    <w:rsid w:val="00E37DD8"/>
    <w:rsid w:val="00E45957"/>
    <w:rsid w:val="00E4797C"/>
    <w:rsid w:val="00E61871"/>
    <w:rsid w:val="00E63622"/>
    <w:rsid w:val="00E67FD2"/>
    <w:rsid w:val="00E734A4"/>
    <w:rsid w:val="00E73A2A"/>
    <w:rsid w:val="00E803C4"/>
    <w:rsid w:val="00E83A32"/>
    <w:rsid w:val="00E84574"/>
    <w:rsid w:val="00E86375"/>
    <w:rsid w:val="00E87118"/>
    <w:rsid w:val="00E94A1A"/>
    <w:rsid w:val="00E96875"/>
    <w:rsid w:val="00EA3DD5"/>
    <w:rsid w:val="00EA4A19"/>
    <w:rsid w:val="00EB03C9"/>
    <w:rsid w:val="00EB7DAF"/>
    <w:rsid w:val="00EC2942"/>
    <w:rsid w:val="00ED1294"/>
    <w:rsid w:val="00ED2809"/>
    <w:rsid w:val="00ED545C"/>
    <w:rsid w:val="00EE4165"/>
    <w:rsid w:val="00EF0B6D"/>
    <w:rsid w:val="00EF2A1F"/>
    <w:rsid w:val="00EF5924"/>
    <w:rsid w:val="00F00207"/>
    <w:rsid w:val="00F02A2B"/>
    <w:rsid w:val="00F077EC"/>
    <w:rsid w:val="00F13557"/>
    <w:rsid w:val="00F4049F"/>
    <w:rsid w:val="00F46BDF"/>
    <w:rsid w:val="00F67341"/>
    <w:rsid w:val="00F74053"/>
    <w:rsid w:val="00F84A30"/>
    <w:rsid w:val="00F86B45"/>
    <w:rsid w:val="00FC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6BDF"/>
    <w:pPr>
      <w:spacing w:after="0" w:line="240" w:lineRule="auto"/>
    </w:pPr>
    <w:rPr>
      <w:sz w:val="20"/>
      <w:szCs w:val="20"/>
    </w:rPr>
  </w:style>
  <w:style w:type="character" w:customStyle="1" w:styleId="FootnoteTextChar">
    <w:name w:val="Footnote Text Char"/>
    <w:basedOn w:val="DefaultParagraphFont"/>
    <w:link w:val="FootnoteText"/>
    <w:uiPriority w:val="99"/>
    <w:rsid w:val="00F46BDF"/>
    <w:rPr>
      <w:sz w:val="20"/>
      <w:szCs w:val="20"/>
    </w:rPr>
  </w:style>
  <w:style w:type="character" w:styleId="FootnoteReference">
    <w:name w:val="footnote reference"/>
    <w:basedOn w:val="DefaultParagraphFont"/>
    <w:uiPriority w:val="99"/>
    <w:semiHidden/>
    <w:unhideWhenUsed/>
    <w:rsid w:val="00F46BDF"/>
    <w:rPr>
      <w:vertAlign w:val="superscript"/>
    </w:rPr>
  </w:style>
  <w:style w:type="character" w:styleId="CommentReference">
    <w:name w:val="annotation reference"/>
    <w:basedOn w:val="DefaultParagraphFont"/>
    <w:uiPriority w:val="99"/>
    <w:semiHidden/>
    <w:unhideWhenUsed/>
    <w:rsid w:val="002163FE"/>
    <w:rPr>
      <w:sz w:val="16"/>
      <w:szCs w:val="16"/>
    </w:rPr>
  </w:style>
  <w:style w:type="paragraph" w:styleId="CommentText">
    <w:name w:val="annotation text"/>
    <w:basedOn w:val="Normal"/>
    <w:link w:val="CommentTextChar"/>
    <w:uiPriority w:val="99"/>
    <w:semiHidden/>
    <w:unhideWhenUsed/>
    <w:rsid w:val="002163FE"/>
    <w:pPr>
      <w:spacing w:line="240" w:lineRule="auto"/>
    </w:pPr>
    <w:rPr>
      <w:sz w:val="20"/>
      <w:szCs w:val="20"/>
    </w:rPr>
  </w:style>
  <w:style w:type="character" w:customStyle="1" w:styleId="CommentTextChar">
    <w:name w:val="Comment Text Char"/>
    <w:basedOn w:val="DefaultParagraphFont"/>
    <w:link w:val="CommentText"/>
    <w:uiPriority w:val="99"/>
    <w:semiHidden/>
    <w:rsid w:val="002163FE"/>
    <w:rPr>
      <w:sz w:val="20"/>
      <w:szCs w:val="20"/>
    </w:rPr>
  </w:style>
  <w:style w:type="paragraph" w:styleId="CommentSubject">
    <w:name w:val="annotation subject"/>
    <w:basedOn w:val="CommentText"/>
    <w:next w:val="CommentText"/>
    <w:link w:val="CommentSubjectChar"/>
    <w:uiPriority w:val="99"/>
    <w:semiHidden/>
    <w:unhideWhenUsed/>
    <w:rsid w:val="002163FE"/>
    <w:rPr>
      <w:b/>
      <w:bCs/>
    </w:rPr>
  </w:style>
  <w:style w:type="character" w:customStyle="1" w:styleId="CommentSubjectChar">
    <w:name w:val="Comment Subject Char"/>
    <w:basedOn w:val="CommentTextChar"/>
    <w:link w:val="CommentSubject"/>
    <w:uiPriority w:val="99"/>
    <w:semiHidden/>
    <w:rsid w:val="002163FE"/>
    <w:rPr>
      <w:b/>
      <w:bCs/>
      <w:sz w:val="20"/>
      <w:szCs w:val="20"/>
    </w:rPr>
  </w:style>
  <w:style w:type="paragraph" w:styleId="BalloonText">
    <w:name w:val="Balloon Text"/>
    <w:basedOn w:val="Normal"/>
    <w:link w:val="BalloonTextChar"/>
    <w:uiPriority w:val="99"/>
    <w:semiHidden/>
    <w:unhideWhenUsed/>
    <w:rsid w:val="0021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FE"/>
    <w:rPr>
      <w:rFonts w:ascii="Segoe UI" w:hAnsi="Segoe UI" w:cs="Segoe UI"/>
      <w:sz w:val="18"/>
      <w:szCs w:val="18"/>
    </w:rPr>
  </w:style>
  <w:style w:type="paragraph" w:styleId="NormalWeb">
    <w:name w:val="Normal (Web)"/>
    <w:basedOn w:val="Normal"/>
    <w:uiPriority w:val="99"/>
    <w:unhideWhenUsed/>
    <w:rsid w:val="00DB06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3314"/>
    <w:pPr>
      <w:spacing w:after="0" w:line="240"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6B57D0"/>
    <w:rPr>
      <w:color w:val="0563C1" w:themeColor="hyperlink"/>
      <w:u w:val="single"/>
    </w:rPr>
  </w:style>
  <w:style w:type="paragraph" w:customStyle="1" w:styleId="legclearfix2">
    <w:name w:val="legclearfix2"/>
    <w:basedOn w:val="Normal"/>
    <w:rsid w:val="006720A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720A0"/>
    <w:rPr>
      <w:vanish w:val="0"/>
      <w:webHidden w:val="0"/>
      <w:specVanish w:val="0"/>
    </w:rPr>
  </w:style>
  <w:style w:type="paragraph" w:customStyle="1" w:styleId="c01pointnumerotealtn">
    <w:name w:val="c01pointnumerotealtn"/>
    <w:basedOn w:val="Normal"/>
    <w:rsid w:val="00943FDA"/>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paragraph" w:customStyle="1" w:styleId="Default">
    <w:name w:val="Default"/>
    <w:rsid w:val="000E1FE2"/>
    <w:pPr>
      <w:autoSpaceDE w:val="0"/>
      <w:autoSpaceDN w:val="0"/>
      <w:adjustRightInd w:val="0"/>
      <w:spacing w:after="0" w:line="240" w:lineRule="auto"/>
    </w:pPr>
    <w:rPr>
      <w:rFonts w:ascii="Verdana" w:hAnsi="Verdana" w:cs="Verdana"/>
      <w:color w:val="000000"/>
      <w:sz w:val="24"/>
      <w:szCs w:val="24"/>
    </w:rPr>
  </w:style>
  <w:style w:type="character" w:customStyle="1" w:styleId="affairetitle">
    <w:name w:val="affaire_title"/>
    <w:basedOn w:val="DefaultParagraphFont"/>
    <w:rsid w:val="00E0467F"/>
  </w:style>
  <w:style w:type="paragraph" w:styleId="Header">
    <w:name w:val="header"/>
    <w:basedOn w:val="Normal"/>
    <w:link w:val="HeaderChar"/>
    <w:uiPriority w:val="99"/>
    <w:unhideWhenUsed/>
    <w:rsid w:val="00DE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865"/>
  </w:style>
  <w:style w:type="paragraph" w:styleId="Footer">
    <w:name w:val="footer"/>
    <w:basedOn w:val="Normal"/>
    <w:link w:val="FooterChar"/>
    <w:uiPriority w:val="99"/>
    <w:unhideWhenUsed/>
    <w:rsid w:val="00DE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865"/>
  </w:style>
  <w:style w:type="character" w:styleId="Emphasis">
    <w:name w:val="Emphasis"/>
    <w:basedOn w:val="DefaultParagraphFont"/>
    <w:uiPriority w:val="20"/>
    <w:qFormat/>
    <w:rsid w:val="00552839"/>
    <w:rPr>
      <w:i/>
      <w:iCs/>
    </w:rPr>
  </w:style>
  <w:style w:type="character" w:styleId="Strong">
    <w:name w:val="Strong"/>
    <w:basedOn w:val="DefaultParagraphFont"/>
    <w:uiPriority w:val="22"/>
    <w:qFormat/>
    <w:rsid w:val="005955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6BDF"/>
    <w:pPr>
      <w:spacing w:after="0" w:line="240" w:lineRule="auto"/>
    </w:pPr>
    <w:rPr>
      <w:sz w:val="20"/>
      <w:szCs w:val="20"/>
    </w:rPr>
  </w:style>
  <w:style w:type="character" w:customStyle="1" w:styleId="FootnoteTextChar">
    <w:name w:val="Footnote Text Char"/>
    <w:basedOn w:val="DefaultParagraphFont"/>
    <w:link w:val="FootnoteText"/>
    <w:uiPriority w:val="99"/>
    <w:rsid w:val="00F46BDF"/>
    <w:rPr>
      <w:sz w:val="20"/>
      <w:szCs w:val="20"/>
    </w:rPr>
  </w:style>
  <w:style w:type="character" w:styleId="FootnoteReference">
    <w:name w:val="footnote reference"/>
    <w:basedOn w:val="DefaultParagraphFont"/>
    <w:uiPriority w:val="99"/>
    <w:semiHidden/>
    <w:unhideWhenUsed/>
    <w:rsid w:val="00F46BDF"/>
    <w:rPr>
      <w:vertAlign w:val="superscript"/>
    </w:rPr>
  </w:style>
  <w:style w:type="character" w:styleId="CommentReference">
    <w:name w:val="annotation reference"/>
    <w:basedOn w:val="DefaultParagraphFont"/>
    <w:uiPriority w:val="99"/>
    <w:semiHidden/>
    <w:unhideWhenUsed/>
    <w:rsid w:val="002163FE"/>
    <w:rPr>
      <w:sz w:val="16"/>
      <w:szCs w:val="16"/>
    </w:rPr>
  </w:style>
  <w:style w:type="paragraph" w:styleId="CommentText">
    <w:name w:val="annotation text"/>
    <w:basedOn w:val="Normal"/>
    <w:link w:val="CommentTextChar"/>
    <w:uiPriority w:val="99"/>
    <w:semiHidden/>
    <w:unhideWhenUsed/>
    <w:rsid w:val="002163FE"/>
    <w:pPr>
      <w:spacing w:line="240" w:lineRule="auto"/>
    </w:pPr>
    <w:rPr>
      <w:sz w:val="20"/>
      <w:szCs w:val="20"/>
    </w:rPr>
  </w:style>
  <w:style w:type="character" w:customStyle="1" w:styleId="CommentTextChar">
    <w:name w:val="Comment Text Char"/>
    <w:basedOn w:val="DefaultParagraphFont"/>
    <w:link w:val="CommentText"/>
    <w:uiPriority w:val="99"/>
    <w:semiHidden/>
    <w:rsid w:val="002163FE"/>
    <w:rPr>
      <w:sz w:val="20"/>
      <w:szCs w:val="20"/>
    </w:rPr>
  </w:style>
  <w:style w:type="paragraph" w:styleId="CommentSubject">
    <w:name w:val="annotation subject"/>
    <w:basedOn w:val="CommentText"/>
    <w:next w:val="CommentText"/>
    <w:link w:val="CommentSubjectChar"/>
    <w:uiPriority w:val="99"/>
    <w:semiHidden/>
    <w:unhideWhenUsed/>
    <w:rsid w:val="002163FE"/>
    <w:rPr>
      <w:b/>
      <w:bCs/>
    </w:rPr>
  </w:style>
  <w:style w:type="character" w:customStyle="1" w:styleId="CommentSubjectChar">
    <w:name w:val="Comment Subject Char"/>
    <w:basedOn w:val="CommentTextChar"/>
    <w:link w:val="CommentSubject"/>
    <w:uiPriority w:val="99"/>
    <w:semiHidden/>
    <w:rsid w:val="002163FE"/>
    <w:rPr>
      <w:b/>
      <w:bCs/>
      <w:sz w:val="20"/>
      <w:szCs w:val="20"/>
    </w:rPr>
  </w:style>
  <w:style w:type="paragraph" w:styleId="BalloonText">
    <w:name w:val="Balloon Text"/>
    <w:basedOn w:val="Normal"/>
    <w:link w:val="BalloonTextChar"/>
    <w:uiPriority w:val="99"/>
    <w:semiHidden/>
    <w:unhideWhenUsed/>
    <w:rsid w:val="0021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FE"/>
    <w:rPr>
      <w:rFonts w:ascii="Segoe UI" w:hAnsi="Segoe UI" w:cs="Segoe UI"/>
      <w:sz w:val="18"/>
      <w:szCs w:val="18"/>
    </w:rPr>
  </w:style>
  <w:style w:type="paragraph" w:styleId="NormalWeb">
    <w:name w:val="Normal (Web)"/>
    <w:basedOn w:val="Normal"/>
    <w:uiPriority w:val="99"/>
    <w:unhideWhenUsed/>
    <w:rsid w:val="00DB06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3314"/>
    <w:pPr>
      <w:spacing w:after="0" w:line="240"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6B57D0"/>
    <w:rPr>
      <w:color w:val="0563C1" w:themeColor="hyperlink"/>
      <w:u w:val="single"/>
    </w:rPr>
  </w:style>
  <w:style w:type="paragraph" w:customStyle="1" w:styleId="legclearfix2">
    <w:name w:val="legclearfix2"/>
    <w:basedOn w:val="Normal"/>
    <w:rsid w:val="006720A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720A0"/>
    <w:rPr>
      <w:vanish w:val="0"/>
      <w:webHidden w:val="0"/>
      <w:specVanish w:val="0"/>
    </w:rPr>
  </w:style>
  <w:style w:type="paragraph" w:customStyle="1" w:styleId="c01pointnumerotealtn">
    <w:name w:val="c01pointnumerotealtn"/>
    <w:basedOn w:val="Normal"/>
    <w:rsid w:val="00943FDA"/>
    <w:pPr>
      <w:spacing w:before="100" w:beforeAutospacing="1" w:after="240" w:line="240" w:lineRule="auto"/>
      <w:ind w:left="567" w:hanging="539"/>
      <w:jc w:val="both"/>
    </w:pPr>
    <w:rPr>
      <w:rFonts w:ascii="Times New Roman" w:eastAsia="Times New Roman" w:hAnsi="Times New Roman" w:cs="Times New Roman"/>
      <w:sz w:val="24"/>
      <w:szCs w:val="24"/>
      <w:lang w:eastAsia="en-GB"/>
    </w:rPr>
  </w:style>
  <w:style w:type="paragraph" w:customStyle="1" w:styleId="Default">
    <w:name w:val="Default"/>
    <w:rsid w:val="000E1FE2"/>
    <w:pPr>
      <w:autoSpaceDE w:val="0"/>
      <w:autoSpaceDN w:val="0"/>
      <w:adjustRightInd w:val="0"/>
      <w:spacing w:after="0" w:line="240" w:lineRule="auto"/>
    </w:pPr>
    <w:rPr>
      <w:rFonts w:ascii="Verdana" w:hAnsi="Verdana" w:cs="Verdana"/>
      <w:color w:val="000000"/>
      <w:sz w:val="24"/>
      <w:szCs w:val="24"/>
    </w:rPr>
  </w:style>
  <w:style w:type="character" w:customStyle="1" w:styleId="affairetitle">
    <w:name w:val="affaire_title"/>
    <w:basedOn w:val="DefaultParagraphFont"/>
    <w:rsid w:val="00E0467F"/>
  </w:style>
  <w:style w:type="paragraph" w:styleId="Header">
    <w:name w:val="header"/>
    <w:basedOn w:val="Normal"/>
    <w:link w:val="HeaderChar"/>
    <w:uiPriority w:val="99"/>
    <w:unhideWhenUsed/>
    <w:rsid w:val="00DE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865"/>
  </w:style>
  <w:style w:type="paragraph" w:styleId="Footer">
    <w:name w:val="footer"/>
    <w:basedOn w:val="Normal"/>
    <w:link w:val="FooterChar"/>
    <w:uiPriority w:val="99"/>
    <w:unhideWhenUsed/>
    <w:rsid w:val="00DE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865"/>
  </w:style>
  <w:style w:type="character" w:styleId="Emphasis">
    <w:name w:val="Emphasis"/>
    <w:basedOn w:val="DefaultParagraphFont"/>
    <w:uiPriority w:val="20"/>
    <w:qFormat/>
    <w:rsid w:val="00552839"/>
    <w:rPr>
      <w:i/>
      <w:iCs/>
    </w:rPr>
  </w:style>
  <w:style w:type="character" w:styleId="Strong">
    <w:name w:val="Strong"/>
    <w:basedOn w:val="DefaultParagraphFont"/>
    <w:uiPriority w:val="22"/>
    <w:qFormat/>
    <w:rsid w:val="00595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7609">
      <w:bodyDiv w:val="1"/>
      <w:marLeft w:val="0"/>
      <w:marRight w:val="0"/>
      <w:marTop w:val="0"/>
      <w:marBottom w:val="0"/>
      <w:divBdr>
        <w:top w:val="none" w:sz="0" w:space="0" w:color="auto"/>
        <w:left w:val="none" w:sz="0" w:space="0" w:color="auto"/>
        <w:bottom w:val="none" w:sz="0" w:space="0" w:color="auto"/>
        <w:right w:val="none" w:sz="0" w:space="0" w:color="auto"/>
      </w:divBdr>
      <w:divsChild>
        <w:div w:id="1664579963">
          <w:marLeft w:val="0"/>
          <w:marRight w:val="0"/>
          <w:marTop w:val="0"/>
          <w:marBottom w:val="0"/>
          <w:divBdr>
            <w:top w:val="none" w:sz="0" w:space="0" w:color="auto"/>
            <w:left w:val="none" w:sz="0" w:space="0" w:color="auto"/>
            <w:bottom w:val="none" w:sz="0" w:space="0" w:color="auto"/>
            <w:right w:val="none" w:sz="0" w:space="0" w:color="auto"/>
          </w:divBdr>
        </w:div>
      </w:divsChild>
    </w:div>
    <w:div w:id="1025015413">
      <w:bodyDiv w:val="1"/>
      <w:marLeft w:val="0"/>
      <w:marRight w:val="0"/>
      <w:marTop w:val="0"/>
      <w:marBottom w:val="0"/>
      <w:divBdr>
        <w:top w:val="none" w:sz="0" w:space="0" w:color="auto"/>
        <w:left w:val="none" w:sz="0" w:space="0" w:color="auto"/>
        <w:bottom w:val="none" w:sz="0" w:space="0" w:color="auto"/>
        <w:right w:val="none" w:sz="0" w:space="0" w:color="auto"/>
      </w:divBdr>
      <w:divsChild>
        <w:div w:id="1911427935">
          <w:marLeft w:val="0"/>
          <w:marRight w:val="0"/>
          <w:marTop w:val="0"/>
          <w:marBottom w:val="0"/>
          <w:divBdr>
            <w:top w:val="none" w:sz="0" w:space="0" w:color="auto"/>
            <w:left w:val="none" w:sz="0" w:space="0" w:color="auto"/>
            <w:bottom w:val="none" w:sz="0" w:space="0" w:color="auto"/>
            <w:right w:val="none" w:sz="0" w:space="0" w:color="auto"/>
          </w:divBdr>
          <w:divsChild>
            <w:div w:id="1424106031">
              <w:marLeft w:val="0"/>
              <w:marRight w:val="0"/>
              <w:marTop w:val="0"/>
              <w:marBottom w:val="0"/>
              <w:divBdr>
                <w:top w:val="none" w:sz="0" w:space="0" w:color="auto"/>
                <w:left w:val="none" w:sz="0" w:space="0" w:color="auto"/>
                <w:bottom w:val="none" w:sz="0" w:space="0" w:color="auto"/>
                <w:right w:val="none" w:sz="0" w:space="0" w:color="auto"/>
              </w:divBdr>
              <w:divsChild>
                <w:div w:id="2069375815">
                  <w:marLeft w:val="0"/>
                  <w:marRight w:val="0"/>
                  <w:marTop w:val="0"/>
                  <w:marBottom w:val="0"/>
                  <w:divBdr>
                    <w:top w:val="none" w:sz="0" w:space="0" w:color="auto"/>
                    <w:left w:val="none" w:sz="0" w:space="0" w:color="auto"/>
                    <w:bottom w:val="none" w:sz="0" w:space="0" w:color="auto"/>
                    <w:right w:val="none" w:sz="0" w:space="0" w:color="auto"/>
                  </w:divBdr>
                  <w:divsChild>
                    <w:div w:id="1329750706">
                      <w:marLeft w:val="0"/>
                      <w:marRight w:val="0"/>
                      <w:marTop w:val="0"/>
                      <w:marBottom w:val="0"/>
                      <w:divBdr>
                        <w:top w:val="none" w:sz="0" w:space="0" w:color="auto"/>
                        <w:left w:val="none" w:sz="0" w:space="0" w:color="auto"/>
                        <w:bottom w:val="none" w:sz="0" w:space="0" w:color="auto"/>
                        <w:right w:val="none" w:sz="0" w:space="0" w:color="auto"/>
                      </w:divBdr>
                      <w:divsChild>
                        <w:div w:id="639070428">
                          <w:marLeft w:val="0"/>
                          <w:marRight w:val="0"/>
                          <w:marTop w:val="0"/>
                          <w:marBottom w:val="0"/>
                          <w:divBdr>
                            <w:top w:val="none" w:sz="0" w:space="0" w:color="auto"/>
                            <w:left w:val="none" w:sz="0" w:space="0" w:color="auto"/>
                            <w:bottom w:val="none" w:sz="0" w:space="0" w:color="auto"/>
                            <w:right w:val="none" w:sz="0" w:space="0" w:color="auto"/>
                          </w:divBdr>
                          <w:divsChild>
                            <w:div w:id="1613511995">
                              <w:marLeft w:val="0"/>
                              <w:marRight w:val="0"/>
                              <w:marTop w:val="0"/>
                              <w:marBottom w:val="0"/>
                              <w:divBdr>
                                <w:top w:val="none" w:sz="0" w:space="0" w:color="auto"/>
                                <w:left w:val="none" w:sz="0" w:space="0" w:color="auto"/>
                                <w:bottom w:val="none" w:sz="0" w:space="0" w:color="auto"/>
                                <w:right w:val="none" w:sz="0" w:space="0" w:color="auto"/>
                              </w:divBdr>
                              <w:divsChild>
                                <w:div w:id="2145655065">
                                  <w:marLeft w:val="0"/>
                                  <w:marRight w:val="0"/>
                                  <w:marTop w:val="0"/>
                                  <w:marBottom w:val="0"/>
                                  <w:divBdr>
                                    <w:top w:val="none" w:sz="0" w:space="0" w:color="auto"/>
                                    <w:left w:val="none" w:sz="0" w:space="0" w:color="auto"/>
                                    <w:bottom w:val="none" w:sz="0" w:space="0" w:color="auto"/>
                                    <w:right w:val="none" w:sz="0" w:space="0" w:color="auto"/>
                                  </w:divBdr>
                                  <w:divsChild>
                                    <w:div w:id="467628417">
                                      <w:marLeft w:val="0"/>
                                      <w:marRight w:val="0"/>
                                      <w:marTop w:val="0"/>
                                      <w:marBottom w:val="0"/>
                                      <w:divBdr>
                                        <w:top w:val="none" w:sz="0" w:space="0" w:color="auto"/>
                                        <w:left w:val="none" w:sz="0" w:space="0" w:color="auto"/>
                                        <w:bottom w:val="none" w:sz="0" w:space="0" w:color="auto"/>
                                        <w:right w:val="none" w:sz="0" w:space="0" w:color="auto"/>
                                      </w:divBdr>
                                      <w:divsChild>
                                        <w:div w:id="1194339972">
                                          <w:marLeft w:val="0"/>
                                          <w:marRight w:val="0"/>
                                          <w:marTop w:val="0"/>
                                          <w:marBottom w:val="0"/>
                                          <w:divBdr>
                                            <w:top w:val="none" w:sz="0" w:space="0" w:color="auto"/>
                                            <w:left w:val="none" w:sz="0" w:space="0" w:color="auto"/>
                                            <w:bottom w:val="none" w:sz="0" w:space="0" w:color="auto"/>
                                            <w:right w:val="none" w:sz="0" w:space="0" w:color="auto"/>
                                          </w:divBdr>
                                          <w:divsChild>
                                            <w:div w:id="603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689229">
      <w:bodyDiv w:val="1"/>
      <w:marLeft w:val="0"/>
      <w:marRight w:val="0"/>
      <w:marTop w:val="0"/>
      <w:marBottom w:val="0"/>
      <w:divBdr>
        <w:top w:val="none" w:sz="0" w:space="0" w:color="auto"/>
        <w:left w:val="none" w:sz="0" w:space="0" w:color="auto"/>
        <w:bottom w:val="none" w:sz="0" w:space="0" w:color="auto"/>
        <w:right w:val="none" w:sz="0" w:space="0" w:color="auto"/>
      </w:divBdr>
      <w:divsChild>
        <w:div w:id="290940276">
          <w:marLeft w:val="0"/>
          <w:marRight w:val="0"/>
          <w:marTop w:val="0"/>
          <w:marBottom w:val="0"/>
          <w:divBdr>
            <w:top w:val="none" w:sz="0" w:space="0" w:color="auto"/>
            <w:left w:val="none" w:sz="0" w:space="0" w:color="auto"/>
            <w:bottom w:val="none" w:sz="0" w:space="0" w:color="auto"/>
            <w:right w:val="none" w:sz="0" w:space="0" w:color="auto"/>
          </w:divBdr>
          <w:divsChild>
            <w:div w:id="993681729">
              <w:marLeft w:val="0"/>
              <w:marRight w:val="0"/>
              <w:marTop w:val="0"/>
              <w:marBottom w:val="0"/>
              <w:divBdr>
                <w:top w:val="single" w:sz="2" w:space="0" w:color="FFFFFF"/>
                <w:left w:val="single" w:sz="6" w:space="0" w:color="FFFFFF"/>
                <w:bottom w:val="single" w:sz="6" w:space="0" w:color="FFFFFF"/>
                <w:right w:val="single" w:sz="6" w:space="0" w:color="FFFFFF"/>
              </w:divBdr>
              <w:divsChild>
                <w:div w:id="1204639515">
                  <w:marLeft w:val="0"/>
                  <w:marRight w:val="0"/>
                  <w:marTop w:val="0"/>
                  <w:marBottom w:val="0"/>
                  <w:divBdr>
                    <w:top w:val="single" w:sz="6" w:space="1" w:color="D3D3D3"/>
                    <w:left w:val="none" w:sz="0" w:space="0" w:color="auto"/>
                    <w:bottom w:val="none" w:sz="0" w:space="0" w:color="auto"/>
                    <w:right w:val="none" w:sz="0" w:space="0" w:color="auto"/>
                  </w:divBdr>
                  <w:divsChild>
                    <w:div w:id="7684306">
                      <w:marLeft w:val="0"/>
                      <w:marRight w:val="0"/>
                      <w:marTop w:val="0"/>
                      <w:marBottom w:val="0"/>
                      <w:divBdr>
                        <w:top w:val="none" w:sz="0" w:space="0" w:color="auto"/>
                        <w:left w:val="none" w:sz="0" w:space="0" w:color="auto"/>
                        <w:bottom w:val="none" w:sz="0" w:space="0" w:color="auto"/>
                        <w:right w:val="none" w:sz="0" w:space="0" w:color="auto"/>
                      </w:divBdr>
                      <w:divsChild>
                        <w:div w:id="7058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justice/data-protection/document/index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opa.eu/rapid/press-release_IP-12-46_e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uk/news/uk-119473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ilymail.co.uk/news/article-1193697/Parents-banned-taking-photos-children-school-sports-day.html" TargetMode="External"/><Relationship Id="rId5" Type="http://schemas.openxmlformats.org/officeDocument/2006/relationships/settings" Target="settings.xml"/><Relationship Id="rId15" Type="http://schemas.openxmlformats.org/officeDocument/2006/relationships/hyperlink" Target="http://amberhawk.typepad.com/amberhawk/2015/07/council-of-ministers-regulation-text-negates-ecj-rulings-in-lindqvist-and-ryne%C5%A1.html" TargetMode="External"/><Relationship Id="rId10" Type="http://schemas.openxmlformats.org/officeDocument/2006/relationships/hyperlink" Target="http://www.theguardian.com/lifeandstyle/2012/jun/23/photos-children-school-ban" TargetMode="External"/><Relationship Id="rId4" Type="http://schemas.microsoft.com/office/2007/relationships/stylesWithEffects" Target="stylesWithEffects.xml"/><Relationship Id="rId9" Type="http://schemas.openxmlformats.org/officeDocument/2006/relationships/hyperlink" Target="http://www.tots100.co.uk" TargetMode="External"/><Relationship Id="rId14" Type="http://schemas.openxmlformats.org/officeDocument/2006/relationships/hyperlink" Target="http://www.nspcc.org.uk/Inform/research/briefings/Photographing-children_wda96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7D3D-BB96-498C-81F4-7E8CBAF6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12840</Words>
  <Characters>73189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2015-09-08T09:35:00Z</dcterms:created>
  <dcterms:modified xsi:type="dcterms:W3CDTF">2015-09-08T09:52:00Z</dcterms:modified>
</cp:coreProperties>
</file>