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32" w:rsidRDefault="00B35332" w:rsidP="00B35332">
      <w:pPr>
        <w:spacing w:after="0"/>
        <w:rPr>
          <w:rFonts w:cs="Times New Roman"/>
          <w:b/>
          <w:szCs w:val="24"/>
        </w:rPr>
      </w:pPr>
      <w:r>
        <w:rPr>
          <w:rFonts w:cs="Times New Roman"/>
          <w:b/>
          <w:szCs w:val="24"/>
        </w:rPr>
        <w:t>Routine use of probiotics in preterm infants: longitudinal impact on the microbiome and metabolome</w:t>
      </w:r>
    </w:p>
    <w:p w:rsidR="00B35332" w:rsidRDefault="00B35332" w:rsidP="00B35332">
      <w:pPr>
        <w:spacing w:after="0"/>
        <w:rPr>
          <w:rFonts w:cs="Times New Roman"/>
          <w:b/>
          <w:szCs w:val="24"/>
        </w:rPr>
      </w:pPr>
    </w:p>
    <w:p w:rsidR="00B35332" w:rsidRDefault="00B35332" w:rsidP="00B35332">
      <w:pPr>
        <w:spacing w:after="0"/>
        <w:rPr>
          <w:rFonts w:cs="Times New Roman"/>
          <w:szCs w:val="24"/>
          <w:vertAlign w:val="superscript"/>
        </w:rPr>
      </w:pPr>
      <w:r w:rsidRPr="00881B43">
        <w:rPr>
          <w:rFonts w:cs="Times New Roman"/>
          <w:szCs w:val="24"/>
        </w:rPr>
        <w:t>Bashir Abdulkadir</w:t>
      </w:r>
      <w:r w:rsidRPr="00881B43">
        <w:rPr>
          <w:rFonts w:cs="Times New Roman"/>
          <w:szCs w:val="24"/>
          <w:vertAlign w:val="superscript"/>
        </w:rPr>
        <w:t>1</w:t>
      </w:r>
      <w:r w:rsidRPr="00881B43">
        <w:rPr>
          <w:rFonts w:cs="Times New Roman"/>
          <w:szCs w:val="24"/>
        </w:rPr>
        <w:t>, Andrew Nelson</w:t>
      </w:r>
      <w:r w:rsidRPr="00881B43">
        <w:rPr>
          <w:rFonts w:cs="Times New Roman"/>
          <w:szCs w:val="24"/>
          <w:vertAlign w:val="superscript"/>
        </w:rPr>
        <w:t>1</w:t>
      </w:r>
      <w:r w:rsidRPr="00881B43">
        <w:rPr>
          <w:rFonts w:cs="Times New Roman"/>
          <w:szCs w:val="24"/>
        </w:rPr>
        <w:t>, Tom Skeath</w:t>
      </w:r>
      <w:r w:rsidRPr="00881B43">
        <w:rPr>
          <w:rFonts w:cs="Times New Roman"/>
          <w:szCs w:val="24"/>
          <w:vertAlign w:val="superscript"/>
        </w:rPr>
        <w:t>2</w:t>
      </w:r>
      <w:r w:rsidRPr="00881B43">
        <w:rPr>
          <w:rFonts w:cs="Times New Roman"/>
          <w:szCs w:val="24"/>
        </w:rPr>
        <w:t>, Emma CL Marrs</w:t>
      </w:r>
      <w:r w:rsidRPr="00881B43">
        <w:rPr>
          <w:rFonts w:cs="Times New Roman"/>
          <w:szCs w:val="24"/>
          <w:vertAlign w:val="superscript"/>
        </w:rPr>
        <w:t>3</w:t>
      </w:r>
      <w:r w:rsidRPr="00881B43">
        <w:rPr>
          <w:rFonts w:cs="Times New Roman"/>
          <w:szCs w:val="24"/>
        </w:rPr>
        <w:t>, John D Perry</w:t>
      </w:r>
      <w:r w:rsidRPr="00881B43">
        <w:rPr>
          <w:rFonts w:cs="Times New Roman"/>
          <w:szCs w:val="24"/>
          <w:vertAlign w:val="superscript"/>
        </w:rPr>
        <w:t>3</w:t>
      </w:r>
      <w:r w:rsidRPr="00881B43">
        <w:rPr>
          <w:rFonts w:cs="Times New Roman"/>
          <w:szCs w:val="24"/>
        </w:rPr>
        <w:t>, Stephen P Cummings</w:t>
      </w:r>
      <w:r w:rsidRPr="00881B43">
        <w:rPr>
          <w:rFonts w:cs="Times New Roman"/>
          <w:szCs w:val="24"/>
          <w:vertAlign w:val="superscript"/>
        </w:rPr>
        <w:t>1</w:t>
      </w:r>
      <w:r>
        <w:rPr>
          <w:rFonts w:cs="Times New Roman"/>
          <w:szCs w:val="24"/>
        </w:rPr>
        <w:t xml:space="preserve">, </w:t>
      </w:r>
      <w:r w:rsidRPr="00881B43">
        <w:rPr>
          <w:rFonts w:cs="Times New Roman"/>
          <w:szCs w:val="24"/>
        </w:rPr>
        <w:t>Nicholas D Embleton</w:t>
      </w:r>
      <w:r w:rsidRPr="00881B43">
        <w:rPr>
          <w:rFonts w:cs="Times New Roman"/>
          <w:szCs w:val="24"/>
          <w:vertAlign w:val="superscript"/>
        </w:rPr>
        <w:t>2</w:t>
      </w:r>
      <w:r w:rsidRPr="00881B43">
        <w:rPr>
          <w:rFonts w:cs="Times New Roman"/>
          <w:szCs w:val="24"/>
        </w:rPr>
        <w:t xml:space="preserve">, </w:t>
      </w:r>
      <w:r>
        <w:rPr>
          <w:rFonts w:cs="Times New Roman"/>
          <w:szCs w:val="24"/>
        </w:rPr>
        <w:t>J</w:t>
      </w:r>
      <w:r w:rsidRPr="00881B43">
        <w:rPr>
          <w:rFonts w:cs="Times New Roman"/>
          <w:szCs w:val="24"/>
        </w:rPr>
        <w:t>anet E Berrington</w:t>
      </w:r>
      <w:r w:rsidRPr="00881B43">
        <w:rPr>
          <w:rFonts w:cs="Times New Roman"/>
          <w:szCs w:val="24"/>
          <w:vertAlign w:val="superscript"/>
        </w:rPr>
        <w:t>2</w:t>
      </w:r>
      <w:r w:rsidRPr="00881B43">
        <w:rPr>
          <w:rFonts w:cs="Times New Roman"/>
          <w:szCs w:val="24"/>
        </w:rPr>
        <w:t>, Christopher J Stewart</w:t>
      </w:r>
      <w:r w:rsidRPr="00881B43">
        <w:rPr>
          <w:rFonts w:cs="Times New Roman"/>
          <w:szCs w:val="24"/>
          <w:vertAlign w:val="superscript"/>
        </w:rPr>
        <w:t>1</w:t>
      </w:r>
    </w:p>
    <w:p w:rsidR="00B35332" w:rsidRPr="00881B43" w:rsidRDefault="00B35332" w:rsidP="00B35332">
      <w:pPr>
        <w:spacing w:after="0"/>
        <w:rPr>
          <w:rFonts w:cs="Times New Roman"/>
          <w:szCs w:val="24"/>
        </w:rPr>
      </w:pPr>
    </w:p>
    <w:p w:rsidR="00B35332" w:rsidRPr="00881B43" w:rsidRDefault="00B35332" w:rsidP="00B35332">
      <w:pPr>
        <w:spacing w:after="0"/>
        <w:rPr>
          <w:rFonts w:cs="Times New Roman"/>
          <w:szCs w:val="24"/>
        </w:rPr>
      </w:pPr>
      <w:r w:rsidRPr="00881B43">
        <w:rPr>
          <w:rFonts w:cs="Times New Roman"/>
          <w:szCs w:val="24"/>
          <w:vertAlign w:val="superscript"/>
        </w:rPr>
        <w:t>1</w:t>
      </w:r>
      <w:r w:rsidRPr="00881B43">
        <w:rPr>
          <w:rFonts w:cs="Times New Roman"/>
          <w:szCs w:val="24"/>
        </w:rPr>
        <w:t>Faculty of Health and Life Sciences, Northumbria University, Newcastle upon Tyne, United Kingdom</w:t>
      </w:r>
    </w:p>
    <w:p w:rsidR="00B35332" w:rsidRPr="00881B43" w:rsidRDefault="00B35332" w:rsidP="00B35332">
      <w:pPr>
        <w:spacing w:after="0"/>
        <w:rPr>
          <w:rFonts w:cs="Times New Roman"/>
          <w:iCs/>
          <w:szCs w:val="24"/>
        </w:rPr>
      </w:pPr>
      <w:r w:rsidRPr="00881B43">
        <w:rPr>
          <w:rFonts w:cs="Times New Roman"/>
          <w:szCs w:val="24"/>
          <w:vertAlign w:val="superscript"/>
        </w:rPr>
        <w:t>2</w:t>
      </w:r>
      <w:r w:rsidRPr="00881B43">
        <w:rPr>
          <w:rFonts w:cs="Times New Roman"/>
          <w:szCs w:val="24"/>
        </w:rPr>
        <w:t xml:space="preserve">Newcastle Neonatal Service, </w:t>
      </w:r>
      <w:r w:rsidRPr="00881B43">
        <w:rPr>
          <w:rFonts w:cs="Times New Roman"/>
          <w:iCs/>
          <w:szCs w:val="24"/>
        </w:rPr>
        <w:t>Royal Victoria Infirmary, Newcastle upon Tyne, United Kingdom</w:t>
      </w:r>
    </w:p>
    <w:p w:rsidR="00B35332" w:rsidRPr="00881B43" w:rsidRDefault="00B35332" w:rsidP="00B35332">
      <w:pPr>
        <w:spacing w:after="0"/>
        <w:rPr>
          <w:rFonts w:cs="Times New Roman"/>
          <w:b/>
          <w:szCs w:val="24"/>
          <w:lang w:val="en-US"/>
        </w:rPr>
      </w:pPr>
      <w:r w:rsidRPr="00881B43">
        <w:rPr>
          <w:rFonts w:cs="Times New Roman"/>
          <w:szCs w:val="24"/>
          <w:vertAlign w:val="superscript"/>
        </w:rPr>
        <w:t>3</w:t>
      </w:r>
      <w:r w:rsidRPr="00881B43">
        <w:rPr>
          <w:rFonts w:cs="Times New Roman"/>
          <w:szCs w:val="24"/>
        </w:rPr>
        <w:t>Department of Microbiology, Freeman Hospital, Newcastle upon Tyne, United Kingdom</w:t>
      </w:r>
    </w:p>
    <w:p w:rsidR="00B35332" w:rsidRDefault="00B35332" w:rsidP="00B35332">
      <w:pPr>
        <w:spacing w:after="0"/>
        <w:rPr>
          <w:rFonts w:cs="Times New Roman"/>
          <w:b/>
          <w:szCs w:val="24"/>
          <w:lang w:val="en-US"/>
        </w:rPr>
      </w:pPr>
    </w:p>
    <w:p w:rsidR="00B35332" w:rsidRDefault="00B35332" w:rsidP="00B35332">
      <w:pPr>
        <w:spacing w:after="0"/>
        <w:rPr>
          <w:rStyle w:val="Hyperlink"/>
          <w:szCs w:val="24"/>
        </w:rPr>
      </w:pPr>
      <w:r w:rsidRPr="00881B43">
        <w:rPr>
          <w:rFonts w:cs="Times New Roman"/>
          <w:b/>
          <w:szCs w:val="24"/>
          <w:lang w:val="en-US"/>
        </w:rPr>
        <w:t>Correspondence</w:t>
      </w:r>
      <w:r w:rsidRPr="00881B43">
        <w:rPr>
          <w:rFonts w:cs="Times New Roman"/>
          <w:szCs w:val="24"/>
          <w:lang w:val="en-US"/>
        </w:rPr>
        <w:t xml:space="preserve">: Christopher Stewart, Ph.D., </w:t>
      </w:r>
      <w:r w:rsidRPr="00881B43">
        <w:rPr>
          <w:rFonts w:cs="Times New Roman"/>
          <w:szCs w:val="24"/>
        </w:rPr>
        <w:t xml:space="preserve">Faculty of Health and Life Sciences, Ellison Building, Northumbria University, Newcastle upon Tyne, NE1 8ST, United Kingdom. Phone: +44 191 227 3176. Fax: +44 191 227 3903. E-mail: </w:t>
      </w:r>
      <w:hyperlink r:id="rId7" w:history="1">
        <w:r w:rsidRPr="00A04FF6">
          <w:rPr>
            <w:rStyle w:val="Hyperlink"/>
            <w:szCs w:val="24"/>
          </w:rPr>
          <w:t>christopher.stewart@northumbria.ac.uk</w:t>
        </w:r>
      </w:hyperlink>
    </w:p>
    <w:p w:rsidR="00B35332" w:rsidRDefault="00B35332" w:rsidP="00B35332">
      <w:pPr>
        <w:spacing w:after="0"/>
        <w:rPr>
          <w:rStyle w:val="Hyperlink"/>
          <w:szCs w:val="24"/>
        </w:rPr>
      </w:pPr>
    </w:p>
    <w:p w:rsidR="00B35332" w:rsidRDefault="00B35332" w:rsidP="00B35332">
      <w:pPr>
        <w:spacing w:after="0"/>
        <w:rPr>
          <w:szCs w:val="24"/>
        </w:rPr>
      </w:pPr>
      <w:r>
        <w:rPr>
          <w:szCs w:val="24"/>
        </w:rPr>
        <w:t xml:space="preserve">Short title - </w:t>
      </w:r>
      <w:r w:rsidRPr="00664537">
        <w:rPr>
          <w:rFonts w:cs="Times New Roman"/>
          <w:szCs w:val="24"/>
        </w:rPr>
        <w:t>probiotics in preterm infants</w:t>
      </w:r>
    </w:p>
    <w:p w:rsidR="00B35332" w:rsidRPr="00B476A9" w:rsidRDefault="00B35332" w:rsidP="00B35332">
      <w:pPr>
        <w:spacing w:after="0"/>
        <w:rPr>
          <w:szCs w:val="24"/>
          <w:u w:val="single"/>
        </w:rPr>
      </w:pPr>
      <w:r w:rsidRPr="00B476A9">
        <w:rPr>
          <w:szCs w:val="24"/>
        </w:rPr>
        <w:t xml:space="preserve">Keywords – </w:t>
      </w:r>
      <w:r>
        <w:rPr>
          <w:szCs w:val="24"/>
        </w:rPr>
        <w:t>Preterm</w:t>
      </w:r>
      <w:r w:rsidRPr="00B476A9">
        <w:rPr>
          <w:szCs w:val="24"/>
        </w:rPr>
        <w:t xml:space="preserve">, gut microbiota, </w:t>
      </w:r>
      <w:r>
        <w:rPr>
          <w:szCs w:val="24"/>
        </w:rPr>
        <w:t>probiotics, NGS, metabolomics</w:t>
      </w:r>
    </w:p>
    <w:p w:rsidR="00B35332" w:rsidRPr="00607F26" w:rsidRDefault="00B35332" w:rsidP="00B35332">
      <w:pPr>
        <w:spacing w:after="0"/>
        <w:rPr>
          <w:rFonts w:cs="Times New Roman"/>
          <w:szCs w:val="24"/>
        </w:rPr>
      </w:pPr>
      <w:r w:rsidRPr="00607F26">
        <w:rPr>
          <w:rFonts w:cs="Times New Roman"/>
          <w:szCs w:val="24"/>
        </w:rPr>
        <w:t>Word count - 2449</w:t>
      </w:r>
    </w:p>
    <w:p w:rsidR="00B35332" w:rsidRDefault="00B35332" w:rsidP="00B35332">
      <w:pPr>
        <w:spacing w:after="0"/>
        <w:rPr>
          <w:rFonts w:cs="Times New Roman"/>
          <w:szCs w:val="24"/>
          <w:u w:val="single"/>
        </w:rPr>
      </w:pPr>
    </w:p>
    <w:p w:rsidR="00B35332" w:rsidRDefault="00B35332" w:rsidP="00B35332">
      <w:pPr>
        <w:spacing w:after="0"/>
        <w:rPr>
          <w:rFonts w:cs="Times New Roman"/>
          <w:szCs w:val="24"/>
          <w:u w:val="single"/>
        </w:rPr>
        <w:sectPr w:rsidR="00B35332" w:rsidSect="006A6276">
          <w:footerReference w:type="default" r:id="rId8"/>
          <w:pgSz w:w="11906" w:h="16838"/>
          <w:pgMar w:top="1440" w:right="1440" w:bottom="1440" w:left="1440" w:header="709" w:footer="454" w:gutter="0"/>
          <w:cols w:space="708"/>
          <w:docGrid w:linePitch="299"/>
        </w:sectPr>
      </w:pPr>
    </w:p>
    <w:p w:rsidR="00B35332" w:rsidRDefault="00B35332" w:rsidP="00B35332">
      <w:pPr>
        <w:spacing w:after="0"/>
        <w:rPr>
          <w:rFonts w:cs="Times New Roman"/>
          <w:b/>
          <w:bCs/>
          <w:szCs w:val="24"/>
        </w:rPr>
      </w:pPr>
      <w:r>
        <w:rPr>
          <w:rFonts w:cs="Times New Roman"/>
          <w:b/>
          <w:bCs/>
          <w:szCs w:val="24"/>
        </w:rPr>
        <w:lastRenderedPageBreak/>
        <w:t>ABSTRACT</w:t>
      </w:r>
    </w:p>
    <w:p w:rsidR="00B35332" w:rsidRPr="00881B43" w:rsidRDefault="00B35332" w:rsidP="00B35332">
      <w:pPr>
        <w:spacing w:after="0"/>
        <w:rPr>
          <w:rFonts w:cs="Times New Roman"/>
          <w:b/>
          <w:bCs/>
          <w:szCs w:val="24"/>
        </w:rPr>
      </w:pPr>
    </w:p>
    <w:p w:rsidR="00B35332" w:rsidRDefault="00B35332" w:rsidP="00B35332">
      <w:pPr>
        <w:spacing w:after="0"/>
        <w:rPr>
          <w:rFonts w:cs="Times New Roman"/>
          <w:szCs w:val="24"/>
        </w:rPr>
      </w:pPr>
      <w:r w:rsidRPr="0017123C">
        <w:rPr>
          <w:rFonts w:cs="Times New Roman"/>
          <w:b/>
          <w:szCs w:val="24"/>
        </w:rPr>
        <w:t>Objective</w:t>
      </w:r>
    </w:p>
    <w:p w:rsidR="00B35332" w:rsidRDefault="00B35332" w:rsidP="00B35332">
      <w:pPr>
        <w:spacing w:after="0"/>
        <w:rPr>
          <w:rFonts w:cs="Times New Roman"/>
          <w:szCs w:val="24"/>
        </w:rPr>
      </w:pPr>
      <w:r w:rsidRPr="00881B43">
        <w:rPr>
          <w:rFonts w:cs="Times New Roman"/>
          <w:szCs w:val="24"/>
        </w:rPr>
        <w:t xml:space="preserve">Probiotics are live microbial supplements that colonize the gut and potentially exert health benefit to the host. We </w:t>
      </w:r>
      <w:r>
        <w:rPr>
          <w:rFonts w:cs="Times New Roman"/>
          <w:szCs w:val="24"/>
        </w:rPr>
        <w:t xml:space="preserve">aimed to determine the impact of probiotic </w:t>
      </w:r>
      <w:r w:rsidRPr="00881B43">
        <w:rPr>
          <w:rFonts w:cs="Times New Roman"/>
          <w:szCs w:val="24"/>
        </w:rPr>
        <w:t>(Infloran</w:t>
      </w:r>
      <w:r>
        <w:rPr>
          <w:rFonts w:cs="Times New Roman"/>
          <w:szCs w:val="24"/>
        </w:rPr>
        <w:t>®</w:t>
      </w:r>
      <w:r w:rsidRPr="00881B43">
        <w:rPr>
          <w:rFonts w:cs="Times New Roman"/>
          <w:szCs w:val="24"/>
        </w:rPr>
        <w:t xml:space="preserve">: </w:t>
      </w:r>
      <w:r w:rsidRPr="00881B43">
        <w:rPr>
          <w:rFonts w:cs="Times New Roman"/>
          <w:i/>
          <w:szCs w:val="24"/>
        </w:rPr>
        <w:t>Lactobacillus acidophilus</w:t>
      </w:r>
      <w:r>
        <w:rPr>
          <w:rFonts w:cs="Times New Roman"/>
          <w:szCs w:val="24"/>
        </w:rPr>
        <w:t>-NCIMB</w:t>
      </w:r>
      <w:r w:rsidRPr="00881B43">
        <w:rPr>
          <w:rFonts w:cs="Times New Roman"/>
          <w:szCs w:val="24"/>
        </w:rPr>
        <w:t xml:space="preserve">701748 and </w:t>
      </w:r>
      <w:r w:rsidRPr="00881B43">
        <w:rPr>
          <w:rFonts w:cs="Times New Roman"/>
          <w:i/>
          <w:szCs w:val="24"/>
        </w:rPr>
        <w:t>Bifidobacterium bifidum</w:t>
      </w:r>
      <w:r>
        <w:rPr>
          <w:rFonts w:cs="Times New Roman"/>
          <w:szCs w:val="24"/>
        </w:rPr>
        <w:t>-ATCC1569</w:t>
      </w:r>
      <w:r w:rsidRPr="00881B43">
        <w:rPr>
          <w:rFonts w:cs="Times New Roman"/>
          <w:szCs w:val="24"/>
        </w:rPr>
        <w:t xml:space="preserve">6) </w:t>
      </w:r>
      <w:r>
        <w:rPr>
          <w:rFonts w:cs="Times New Roman"/>
          <w:szCs w:val="24"/>
        </w:rPr>
        <w:t xml:space="preserve">on the bacterial and metabolic function of the preterm gut while on the </w:t>
      </w:r>
      <w:r w:rsidRPr="00881B43">
        <w:rPr>
          <w:rFonts w:cs="Times New Roman"/>
          <w:szCs w:val="24"/>
        </w:rPr>
        <w:t>neonatal intensive care unit</w:t>
      </w:r>
      <w:r>
        <w:rPr>
          <w:rFonts w:cs="Times New Roman"/>
          <w:szCs w:val="24"/>
        </w:rPr>
        <w:t xml:space="preserve"> (NICU) and following discharge. </w:t>
      </w:r>
    </w:p>
    <w:p w:rsidR="00B35332" w:rsidRDefault="00B35332" w:rsidP="00B35332">
      <w:pPr>
        <w:spacing w:after="0"/>
        <w:rPr>
          <w:rFonts w:cs="Times New Roman"/>
          <w:b/>
          <w:szCs w:val="24"/>
        </w:rPr>
      </w:pPr>
    </w:p>
    <w:p w:rsidR="00B35332" w:rsidRPr="00BD0CB0" w:rsidRDefault="00B35332" w:rsidP="00B35332">
      <w:pPr>
        <w:spacing w:after="0"/>
        <w:rPr>
          <w:rFonts w:cs="Times New Roman"/>
          <w:b/>
          <w:szCs w:val="24"/>
        </w:rPr>
      </w:pPr>
      <w:r w:rsidRPr="00B74CB2">
        <w:rPr>
          <w:rFonts w:cs="Times New Roman"/>
          <w:b/>
          <w:szCs w:val="24"/>
        </w:rPr>
        <w:t>Patients</w:t>
      </w:r>
    </w:p>
    <w:p w:rsidR="00B35332" w:rsidRDefault="00B35332" w:rsidP="00B35332">
      <w:pPr>
        <w:spacing w:after="0"/>
        <w:rPr>
          <w:rFonts w:cs="Times New Roman"/>
          <w:szCs w:val="24"/>
        </w:rPr>
      </w:pPr>
      <w:r w:rsidRPr="00881B43">
        <w:rPr>
          <w:rFonts w:cs="Times New Roman"/>
          <w:szCs w:val="24"/>
        </w:rPr>
        <w:t>Stool samples (</w:t>
      </w:r>
      <w:r w:rsidRPr="006F132C">
        <w:rPr>
          <w:rFonts w:cs="Times New Roman"/>
          <w:i/>
          <w:szCs w:val="24"/>
        </w:rPr>
        <w:t>n =</w:t>
      </w:r>
      <w:r>
        <w:rPr>
          <w:rFonts w:cs="Times New Roman"/>
          <w:i/>
          <w:szCs w:val="24"/>
        </w:rPr>
        <w:t xml:space="preserve"> 88</w:t>
      </w:r>
      <w:r w:rsidRPr="006F132C">
        <w:rPr>
          <w:rFonts w:cs="Times New Roman"/>
          <w:szCs w:val="24"/>
        </w:rPr>
        <w:t xml:space="preserve">) </w:t>
      </w:r>
      <w:r>
        <w:rPr>
          <w:rFonts w:cs="Times New Roman"/>
          <w:szCs w:val="24"/>
        </w:rPr>
        <w:t>were collected</w:t>
      </w:r>
      <w:r w:rsidRPr="00881B43">
        <w:rPr>
          <w:rFonts w:cs="Times New Roman"/>
          <w:szCs w:val="24"/>
        </w:rPr>
        <w:t xml:space="preserve"> before, during</w:t>
      </w:r>
      <w:r>
        <w:rPr>
          <w:rFonts w:cs="Times New Roman"/>
          <w:szCs w:val="24"/>
        </w:rPr>
        <w:t>, and after probiotic intake from 7 patients</w:t>
      </w:r>
      <w:r w:rsidRPr="00881B43">
        <w:rPr>
          <w:rFonts w:cs="Times New Roman"/>
          <w:szCs w:val="24"/>
        </w:rPr>
        <w:t xml:space="preserve">, </w:t>
      </w:r>
      <w:r>
        <w:rPr>
          <w:rFonts w:cs="Times New Roman"/>
          <w:szCs w:val="24"/>
        </w:rPr>
        <w:t>along with time-</w:t>
      </w:r>
      <w:r w:rsidRPr="00881B43">
        <w:rPr>
          <w:rFonts w:cs="Times New Roman"/>
          <w:szCs w:val="24"/>
        </w:rPr>
        <w:t>matched controls</w:t>
      </w:r>
      <w:r>
        <w:rPr>
          <w:rFonts w:cs="Times New Roman"/>
          <w:szCs w:val="24"/>
        </w:rPr>
        <w:t xml:space="preserve"> from 3 patients. S</w:t>
      </w:r>
      <w:r w:rsidRPr="00881B43">
        <w:rPr>
          <w:rFonts w:cs="Times New Roman"/>
          <w:szCs w:val="24"/>
        </w:rPr>
        <w:t xml:space="preserve">amples </w:t>
      </w:r>
      <w:r>
        <w:rPr>
          <w:rFonts w:cs="Times New Roman"/>
          <w:szCs w:val="24"/>
        </w:rPr>
        <w:t xml:space="preserve">were also </w:t>
      </w:r>
      <w:r w:rsidRPr="00881B43">
        <w:rPr>
          <w:rFonts w:cs="Times New Roman"/>
          <w:szCs w:val="24"/>
        </w:rPr>
        <w:t xml:space="preserve">collected following discharge </w:t>
      </w:r>
      <w:r>
        <w:rPr>
          <w:rFonts w:cs="Times New Roman"/>
          <w:szCs w:val="24"/>
        </w:rPr>
        <w:t xml:space="preserve">home </w:t>
      </w:r>
      <w:r w:rsidRPr="00881B43">
        <w:rPr>
          <w:rFonts w:cs="Times New Roman"/>
          <w:szCs w:val="24"/>
        </w:rPr>
        <w:t xml:space="preserve">from </w:t>
      </w:r>
      <w:r>
        <w:rPr>
          <w:rFonts w:cs="Times New Roman"/>
          <w:szCs w:val="24"/>
        </w:rPr>
        <w:t>the</w:t>
      </w:r>
      <w:r w:rsidRPr="00881B43">
        <w:rPr>
          <w:rFonts w:cs="Times New Roman"/>
          <w:szCs w:val="24"/>
        </w:rPr>
        <w:t xml:space="preserve"> </w:t>
      </w:r>
      <w:r>
        <w:rPr>
          <w:rFonts w:cs="Times New Roman"/>
          <w:szCs w:val="24"/>
        </w:rPr>
        <w:t>NICU</w:t>
      </w:r>
      <w:r w:rsidRPr="00881B43">
        <w:rPr>
          <w:rFonts w:cs="Times New Roman"/>
          <w:szCs w:val="24"/>
        </w:rPr>
        <w:t xml:space="preserve">. </w:t>
      </w:r>
    </w:p>
    <w:p w:rsidR="00B35332" w:rsidRDefault="00B35332" w:rsidP="00B35332">
      <w:pPr>
        <w:spacing w:after="0"/>
        <w:rPr>
          <w:rFonts w:cs="Times New Roman"/>
          <w:b/>
          <w:szCs w:val="24"/>
        </w:rPr>
      </w:pPr>
    </w:p>
    <w:p w:rsidR="00B35332" w:rsidRPr="00BD0CB0" w:rsidRDefault="00B35332" w:rsidP="00B35332">
      <w:pPr>
        <w:spacing w:after="0"/>
        <w:rPr>
          <w:rFonts w:cs="Times New Roman"/>
          <w:b/>
          <w:szCs w:val="24"/>
        </w:rPr>
      </w:pPr>
      <w:r w:rsidRPr="0017123C">
        <w:rPr>
          <w:rFonts w:cs="Times New Roman"/>
          <w:b/>
          <w:szCs w:val="24"/>
        </w:rPr>
        <w:t>Methods</w:t>
      </w:r>
    </w:p>
    <w:p w:rsidR="00B35332" w:rsidRDefault="00B35332" w:rsidP="00B35332">
      <w:pPr>
        <w:spacing w:after="0"/>
        <w:rPr>
          <w:rFonts w:cs="Times New Roman"/>
          <w:szCs w:val="24"/>
        </w:rPr>
      </w:pPr>
      <w:r w:rsidRPr="00881B43">
        <w:rPr>
          <w:rFonts w:cs="Times New Roman"/>
          <w:szCs w:val="24"/>
        </w:rPr>
        <w:t>Samples underwent bac</w:t>
      </w:r>
      <w:r>
        <w:rPr>
          <w:rFonts w:cs="Times New Roman"/>
          <w:szCs w:val="24"/>
        </w:rPr>
        <w:t>terial profiling analysis by</w:t>
      </w:r>
      <w:r w:rsidRPr="00881B43">
        <w:rPr>
          <w:rFonts w:cs="Times New Roman"/>
          <w:szCs w:val="24"/>
        </w:rPr>
        <w:t xml:space="preserve"> 16S </w:t>
      </w:r>
      <w:r>
        <w:rPr>
          <w:rFonts w:cs="Times New Roman"/>
          <w:szCs w:val="24"/>
        </w:rPr>
        <w:t>r</w:t>
      </w:r>
      <w:r w:rsidRPr="00881B43">
        <w:rPr>
          <w:rFonts w:cs="Times New Roman"/>
          <w:szCs w:val="24"/>
        </w:rPr>
        <w:t xml:space="preserve">RNA gene </w:t>
      </w:r>
      <w:r>
        <w:rPr>
          <w:rFonts w:cs="Times New Roman"/>
          <w:szCs w:val="24"/>
        </w:rPr>
        <w:t xml:space="preserve">sequencing and </w:t>
      </w:r>
      <w:r w:rsidRPr="00881B43">
        <w:rPr>
          <w:rFonts w:cs="Times New Roman"/>
          <w:szCs w:val="24"/>
        </w:rPr>
        <w:t>quantitative PCR (qPCR)</w:t>
      </w:r>
      <w:r>
        <w:rPr>
          <w:rFonts w:cs="Times New Roman"/>
          <w:szCs w:val="24"/>
        </w:rPr>
        <w:t>, as well as metabolomic</w:t>
      </w:r>
      <w:r w:rsidR="00185889">
        <w:rPr>
          <w:rFonts w:cs="Times New Roman"/>
          <w:szCs w:val="24"/>
        </w:rPr>
        <w:t>s</w:t>
      </w:r>
      <w:r w:rsidRPr="00881B43">
        <w:rPr>
          <w:rFonts w:cs="Times New Roman"/>
          <w:szCs w:val="24"/>
        </w:rPr>
        <w:t xml:space="preserve"> profiling </w:t>
      </w:r>
      <w:r>
        <w:rPr>
          <w:rFonts w:cs="Times New Roman"/>
          <w:szCs w:val="24"/>
        </w:rPr>
        <w:t xml:space="preserve">using </w:t>
      </w:r>
      <w:r w:rsidRPr="00881B43">
        <w:rPr>
          <w:rFonts w:cs="Times New Roman"/>
          <w:szCs w:val="24"/>
        </w:rPr>
        <w:t xml:space="preserve">liquid chromatography mass spectrometry (LCMS). </w:t>
      </w:r>
    </w:p>
    <w:p w:rsidR="00B35332" w:rsidRDefault="00B35332" w:rsidP="00B35332">
      <w:pPr>
        <w:spacing w:after="0"/>
        <w:rPr>
          <w:rFonts w:cs="Times New Roman"/>
          <w:szCs w:val="24"/>
        </w:rPr>
      </w:pPr>
    </w:p>
    <w:p w:rsidR="00B35332" w:rsidRDefault="00B35332" w:rsidP="00B35332">
      <w:pPr>
        <w:spacing w:after="0"/>
        <w:rPr>
          <w:rFonts w:cs="Times New Roman"/>
          <w:szCs w:val="24"/>
        </w:rPr>
      </w:pPr>
      <w:r w:rsidRPr="00EF12F1">
        <w:rPr>
          <w:rFonts w:cs="Times New Roman"/>
          <w:b/>
          <w:szCs w:val="24"/>
        </w:rPr>
        <w:t>Results</w:t>
      </w:r>
    </w:p>
    <w:p w:rsidR="00B35332" w:rsidRDefault="00B35332" w:rsidP="00B35332">
      <w:pPr>
        <w:spacing w:after="0"/>
        <w:rPr>
          <w:rFonts w:cs="Times New Roman"/>
          <w:szCs w:val="24"/>
        </w:rPr>
      </w:pPr>
      <w:r>
        <w:rPr>
          <w:rFonts w:cs="Times New Roman"/>
          <w:szCs w:val="24"/>
        </w:rPr>
        <w:t>Bacterial</w:t>
      </w:r>
      <w:r w:rsidRPr="00881B43">
        <w:rPr>
          <w:rFonts w:cs="Times New Roman"/>
          <w:szCs w:val="24"/>
        </w:rPr>
        <w:t xml:space="preserve"> profiling </w:t>
      </w:r>
      <w:r>
        <w:rPr>
          <w:rFonts w:cs="Times New Roman"/>
          <w:szCs w:val="24"/>
        </w:rPr>
        <w:t>showed</w:t>
      </w:r>
      <w:r w:rsidRPr="00881B43">
        <w:rPr>
          <w:rFonts w:cs="Times New Roman"/>
          <w:szCs w:val="24"/>
        </w:rPr>
        <w:t xml:space="preserve"> greater </w:t>
      </w:r>
      <w:r>
        <w:rPr>
          <w:rFonts w:cs="Times New Roman"/>
          <w:i/>
          <w:szCs w:val="24"/>
        </w:rPr>
        <w:t>Bifidobacterium</w:t>
      </w:r>
      <w:r w:rsidRPr="00881B43">
        <w:rPr>
          <w:rFonts w:cs="Times New Roman"/>
          <w:i/>
          <w:szCs w:val="24"/>
        </w:rPr>
        <w:t xml:space="preserve"> </w:t>
      </w:r>
      <w:r w:rsidRPr="00881B43">
        <w:rPr>
          <w:rFonts w:cs="Times New Roman"/>
          <w:szCs w:val="24"/>
        </w:rPr>
        <w:t>(15.1%)</w:t>
      </w:r>
      <w:r>
        <w:rPr>
          <w:rFonts w:cs="Times New Roman"/>
          <w:szCs w:val="24"/>
        </w:rPr>
        <w:t xml:space="preserve"> </w:t>
      </w:r>
      <w:r>
        <w:rPr>
          <w:rFonts w:cs="Times New Roman"/>
          <w:i/>
          <w:szCs w:val="24"/>
        </w:rPr>
        <w:t xml:space="preserve">and </w:t>
      </w:r>
      <w:r w:rsidRPr="00881B43">
        <w:rPr>
          <w:rFonts w:cs="Times New Roman"/>
          <w:i/>
          <w:szCs w:val="24"/>
        </w:rPr>
        <w:t>Lactobacillus</w:t>
      </w:r>
      <w:r w:rsidRPr="00881B43">
        <w:rPr>
          <w:rFonts w:cs="Times New Roman"/>
          <w:szCs w:val="24"/>
        </w:rPr>
        <w:t xml:space="preserve"> (4.2%) during supplementation compared to the control group (4.0%</w:t>
      </w:r>
      <w:r>
        <w:rPr>
          <w:rFonts w:cs="Times New Roman"/>
          <w:szCs w:val="24"/>
        </w:rPr>
        <w:t xml:space="preserve"> and 0%, respectively</w:t>
      </w:r>
      <w:r w:rsidRPr="00881B43">
        <w:rPr>
          <w:rFonts w:cs="Times New Roman"/>
          <w:szCs w:val="24"/>
        </w:rPr>
        <w:t>)</w:t>
      </w:r>
      <w:r>
        <w:rPr>
          <w:rFonts w:cs="Times New Roman"/>
          <w:szCs w:val="24"/>
        </w:rPr>
        <w:t xml:space="preserve">. While </w:t>
      </w:r>
      <w:r w:rsidRPr="00881B43">
        <w:rPr>
          <w:rFonts w:cs="Times New Roman"/>
          <w:i/>
          <w:szCs w:val="24"/>
        </w:rPr>
        <w:t>Lactobacillus</w:t>
      </w:r>
      <w:r>
        <w:rPr>
          <w:rFonts w:cs="Times New Roman"/>
          <w:szCs w:val="24"/>
        </w:rPr>
        <w:t xml:space="preserve"> reduced after probiotic was stopped, </w:t>
      </w:r>
      <w:r w:rsidRPr="00881B43">
        <w:rPr>
          <w:rFonts w:cs="Times New Roman"/>
          <w:i/>
          <w:szCs w:val="24"/>
        </w:rPr>
        <w:t>Bifidobacterium</w:t>
      </w:r>
      <w:r w:rsidRPr="00881B43">
        <w:rPr>
          <w:rFonts w:cs="Times New Roman"/>
          <w:szCs w:val="24"/>
        </w:rPr>
        <w:t xml:space="preserve"> </w:t>
      </w:r>
      <w:r>
        <w:rPr>
          <w:rFonts w:cs="Times New Roman"/>
          <w:szCs w:val="24"/>
        </w:rPr>
        <w:t>remained high following discharge, suggestive of successful colonisation</w:t>
      </w:r>
      <w:r w:rsidRPr="00881B43">
        <w:rPr>
          <w:rFonts w:cs="Times New Roman"/>
          <w:szCs w:val="24"/>
        </w:rPr>
        <w:t xml:space="preserve">. </w:t>
      </w:r>
      <w:r>
        <w:rPr>
          <w:rFonts w:cs="Times New Roman"/>
          <w:szCs w:val="24"/>
        </w:rPr>
        <w:t>q</w:t>
      </w:r>
      <w:r w:rsidRPr="00881B43">
        <w:rPr>
          <w:rFonts w:cs="Times New Roman"/>
          <w:szCs w:val="24"/>
        </w:rPr>
        <w:t>PCR analysis showed a significant increase (</w:t>
      </w:r>
      <w:r w:rsidRPr="00881B43">
        <w:rPr>
          <w:rFonts w:cs="Times New Roman"/>
          <w:i/>
          <w:szCs w:val="24"/>
        </w:rPr>
        <w:t xml:space="preserve">P = </w:t>
      </w:r>
      <w:r w:rsidRPr="00881B43">
        <w:rPr>
          <w:rFonts w:cs="Times New Roman"/>
          <w:szCs w:val="24"/>
        </w:rPr>
        <w:t xml:space="preserve">&lt;0.01) of </w:t>
      </w:r>
      <w:r w:rsidRPr="00881B43">
        <w:rPr>
          <w:rFonts w:cs="Times New Roman"/>
          <w:i/>
          <w:szCs w:val="24"/>
        </w:rPr>
        <w:t>B. bifidum</w:t>
      </w:r>
      <w:r w:rsidRPr="00881B43">
        <w:rPr>
          <w:rFonts w:cs="Times New Roman"/>
          <w:szCs w:val="24"/>
        </w:rPr>
        <w:t xml:space="preserve"> in </w:t>
      </w:r>
      <w:r>
        <w:rPr>
          <w:rFonts w:cs="Times New Roman"/>
          <w:szCs w:val="24"/>
        </w:rPr>
        <w:t xml:space="preserve">infants who received probiotic </w:t>
      </w:r>
      <w:r w:rsidRPr="00881B43">
        <w:rPr>
          <w:rFonts w:cs="Times New Roman"/>
          <w:szCs w:val="24"/>
        </w:rPr>
        <w:t xml:space="preserve">treatment compared to controls, but no </w:t>
      </w:r>
      <w:r>
        <w:rPr>
          <w:rFonts w:cs="Times New Roman"/>
          <w:szCs w:val="24"/>
        </w:rPr>
        <w:t>significant increase</w:t>
      </w:r>
      <w:r w:rsidRPr="00881B43">
        <w:rPr>
          <w:rFonts w:cs="Times New Roman"/>
          <w:szCs w:val="24"/>
        </w:rPr>
        <w:t xml:space="preserve"> was observed for </w:t>
      </w:r>
      <w:r w:rsidRPr="00881B43">
        <w:rPr>
          <w:rFonts w:cs="Times New Roman"/>
          <w:i/>
          <w:szCs w:val="24"/>
        </w:rPr>
        <w:t>L. acidophilus</w:t>
      </w:r>
      <w:r w:rsidRPr="00881B43">
        <w:rPr>
          <w:rFonts w:cs="Times New Roman"/>
          <w:bCs/>
          <w:color w:val="000000"/>
          <w:szCs w:val="24"/>
        </w:rPr>
        <w:t xml:space="preserve"> </w:t>
      </w:r>
      <w:r w:rsidRPr="00881B43">
        <w:rPr>
          <w:rFonts w:cs="Times New Roman"/>
          <w:szCs w:val="24"/>
        </w:rPr>
        <w:t>(</w:t>
      </w:r>
      <w:r>
        <w:rPr>
          <w:rFonts w:cs="Times New Roman"/>
          <w:i/>
          <w:szCs w:val="24"/>
        </w:rPr>
        <w:t xml:space="preserve">P </w:t>
      </w:r>
      <w:r w:rsidRPr="00881B43">
        <w:rPr>
          <w:rFonts w:cs="Times New Roman"/>
          <w:i/>
          <w:szCs w:val="24"/>
        </w:rPr>
        <w:t>=</w:t>
      </w:r>
      <w:r w:rsidRPr="00881B43">
        <w:rPr>
          <w:rFonts w:cs="Times New Roman"/>
          <w:szCs w:val="24"/>
        </w:rPr>
        <w:t xml:space="preserve"> 0.15</w:t>
      </w:r>
      <w:r w:rsidRPr="006F132C">
        <w:rPr>
          <w:rFonts w:cs="Times New Roman"/>
          <w:szCs w:val="24"/>
        </w:rPr>
        <w:t>3</w:t>
      </w:r>
      <w:r w:rsidRPr="00881B43">
        <w:rPr>
          <w:rFonts w:cs="Times New Roman"/>
          <w:szCs w:val="24"/>
        </w:rPr>
        <w:t xml:space="preserve">). Metabolite profiling showed </w:t>
      </w:r>
      <w:r>
        <w:rPr>
          <w:rFonts w:cs="Times New Roman"/>
          <w:szCs w:val="24"/>
        </w:rPr>
        <w:t>clustering based on receiving probiotic or matched controls</w:t>
      </w:r>
      <w:r w:rsidRPr="00881B43">
        <w:rPr>
          <w:rFonts w:cs="Times New Roman"/>
          <w:szCs w:val="24"/>
        </w:rPr>
        <w:t>, with distinct metabolites associated with probiotic administration.</w:t>
      </w:r>
    </w:p>
    <w:p w:rsidR="00B35332" w:rsidRPr="00881B43" w:rsidRDefault="00B35332" w:rsidP="00B35332">
      <w:pPr>
        <w:spacing w:after="0"/>
        <w:rPr>
          <w:rFonts w:cs="Times New Roman"/>
          <w:szCs w:val="24"/>
        </w:rPr>
      </w:pPr>
    </w:p>
    <w:p w:rsidR="00B35332" w:rsidRDefault="00B35332" w:rsidP="00B35332">
      <w:pPr>
        <w:spacing w:after="0"/>
        <w:rPr>
          <w:rFonts w:cs="Times New Roman"/>
          <w:szCs w:val="24"/>
        </w:rPr>
      </w:pPr>
      <w:r w:rsidRPr="00EF12F1">
        <w:rPr>
          <w:rFonts w:cs="Times New Roman"/>
          <w:b/>
          <w:szCs w:val="24"/>
        </w:rPr>
        <w:t>Conclusions</w:t>
      </w:r>
    </w:p>
    <w:p w:rsidR="00B35332" w:rsidRPr="00881B43" w:rsidRDefault="00B35332" w:rsidP="00B35332">
      <w:pPr>
        <w:spacing w:after="0"/>
        <w:rPr>
          <w:rFonts w:cs="Times New Roman"/>
          <w:szCs w:val="24"/>
        </w:rPr>
      </w:pPr>
      <w:r>
        <w:rPr>
          <w:rFonts w:cs="Times New Roman"/>
          <w:szCs w:val="24"/>
        </w:rPr>
        <w:t xml:space="preserve">Probiotic species successfully colonise the preterm gut, reducing the relative abundance of potentially pathogenic bacteria, and effecting gut functioning. </w:t>
      </w:r>
      <w:r w:rsidRPr="00881B43">
        <w:rPr>
          <w:rFonts w:cs="Times New Roman"/>
          <w:i/>
          <w:szCs w:val="24"/>
        </w:rPr>
        <w:t>Bifidobacterium</w:t>
      </w:r>
      <w:r w:rsidRPr="00881B43">
        <w:rPr>
          <w:rFonts w:cs="Times New Roman"/>
          <w:szCs w:val="24"/>
        </w:rPr>
        <w:t xml:space="preserve"> </w:t>
      </w:r>
      <w:r>
        <w:rPr>
          <w:rFonts w:cs="Times New Roman"/>
          <w:szCs w:val="24"/>
        </w:rPr>
        <w:t xml:space="preserve">(but not </w:t>
      </w:r>
      <w:r w:rsidRPr="00881B43">
        <w:rPr>
          <w:rFonts w:cs="Times New Roman"/>
          <w:i/>
          <w:szCs w:val="24"/>
        </w:rPr>
        <w:t>Lactobacillus</w:t>
      </w:r>
      <w:r>
        <w:rPr>
          <w:rFonts w:cs="Times New Roman"/>
          <w:szCs w:val="24"/>
        </w:rPr>
        <w:t xml:space="preserve">) </w:t>
      </w:r>
      <w:r w:rsidRPr="00881B43">
        <w:rPr>
          <w:rFonts w:cs="Times New Roman"/>
          <w:szCs w:val="24"/>
        </w:rPr>
        <w:t>colonize</w:t>
      </w:r>
      <w:r>
        <w:rPr>
          <w:rFonts w:cs="Times New Roman"/>
          <w:szCs w:val="24"/>
        </w:rPr>
        <w:t>d</w:t>
      </w:r>
      <w:r w:rsidRPr="00881B43">
        <w:rPr>
          <w:rFonts w:cs="Times New Roman"/>
          <w:szCs w:val="24"/>
        </w:rPr>
        <w:t xml:space="preserve"> the gut</w:t>
      </w:r>
      <w:r>
        <w:rPr>
          <w:rFonts w:cs="Times New Roman"/>
          <w:szCs w:val="24"/>
        </w:rPr>
        <w:t xml:space="preserve"> long-term;</w:t>
      </w:r>
      <w:r w:rsidRPr="00881B43">
        <w:rPr>
          <w:rFonts w:cs="Times New Roman"/>
          <w:szCs w:val="24"/>
        </w:rPr>
        <w:t xml:space="preserve"> suggesting </w:t>
      </w:r>
      <w:r>
        <w:rPr>
          <w:rFonts w:cs="Times New Roman"/>
          <w:szCs w:val="24"/>
        </w:rPr>
        <w:t xml:space="preserve">the possibility that therapeutically administered </w:t>
      </w:r>
      <w:r w:rsidRPr="00881B43">
        <w:rPr>
          <w:rFonts w:cs="Times New Roman"/>
          <w:szCs w:val="24"/>
        </w:rPr>
        <w:t xml:space="preserve">probiotics </w:t>
      </w:r>
      <w:r>
        <w:rPr>
          <w:rFonts w:cs="Times New Roman"/>
          <w:szCs w:val="24"/>
        </w:rPr>
        <w:t>may continue to exert</w:t>
      </w:r>
      <w:r w:rsidRPr="00881B43">
        <w:rPr>
          <w:rFonts w:cs="Times New Roman"/>
          <w:szCs w:val="24"/>
        </w:rPr>
        <w:t xml:space="preserve"> </w:t>
      </w:r>
      <w:r>
        <w:rPr>
          <w:rFonts w:cs="Times New Roman"/>
          <w:szCs w:val="24"/>
        </w:rPr>
        <w:t>important functional effects on</w:t>
      </w:r>
      <w:r w:rsidRPr="00881B43">
        <w:rPr>
          <w:rFonts w:cs="Times New Roman"/>
          <w:szCs w:val="24"/>
        </w:rPr>
        <w:t xml:space="preserve"> gut microbial communities</w:t>
      </w:r>
      <w:r>
        <w:rPr>
          <w:rFonts w:cs="Times New Roman"/>
          <w:szCs w:val="24"/>
        </w:rPr>
        <w:t xml:space="preserve"> in early infancy</w:t>
      </w:r>
      <w:r w:rsidRPr="00881B43">
        <w:rPr>
          <w:rFonts w:cs="Times New Roman"/>
          <w:szCs w:val="24"/>
        </w:rPr>
        <w:t xml:space="preserve">. </w:t>
      </w:r>
    </w:p>
    <w:p w:rsidR="00B35332" w:rsidRPr="00881B43" w:rsidRDefault="00B35332" w:rsidP="00B35332">
      <w:pPr>
        <w:spacing w:after="0"/>
        <w:rPr>
          <w:rFonts w:cs="Times New Roman"/>
          <w:szCs w:val="24"/>
        </w:rPr>
        <w:sectPr w:rsidR="00B35332" w:rsidRPr="00881B43" w:rsidSect="006A6276">
          <w:pgSz w:w="11906" w:h="16838"/>
          <w:pgMar w:top="1440" w:right="1440" w:bottom="1440" w:left="1440" w:header="709" w:footer="454" w:gutter="0"/>
          <w:cols w:space="708"/>
          <w:docGrid w:linePitch="299"/>
        </w:sectPr>
      </w:pPr>
    </w:p>
    <w:p w:rsidR="00B35332" w:rsidRDefault="00B35332" w:rsidP="00B35332">
      <w:pPr>
        <w:spacing w:after="0"/>
        <w:rPr>
          <w:rFonts w:cs="Times New Roman"/>
          <w:b/>
          <w:szCs w:val="24"/>
        </w:rPr>
      </w:pPr>
      <w:r>
        <w:rPr>
          <w:rFonts w:cs="Times New Roman"/>
          <w:b/>
          <w:szCs w:val="24"/>
        </w:rPr>
        <w:t>INTRODUCTION</w:t>
      </w:r>
    </w:p>
    <w:p w:rsidR="00B35332" w:rsidRPr="00E22104" w:rsidRDefault="00B35332" w:rsidP="00B35332">
      <w:pPr>
        <w:spacing w:after="0"/>
        <w:rPr>
          <w:b/>
          <w:szCs w:val="24"/>
        </w:rPr>
      </w:pPr>
      <w:r>
        <w:rPr>
          <w:szCs w:val="24"/>
        </w:rPr>
        <w:t>Probiotics are live microorganism which when administered in an appropriate amount will confer a health benefits to the host.</w:t>
      </w:r>
      <w:r>
        <w:rPr>
          <w:szCs w:val="24"/>
        </w:rPr>
        <w:fldChar w:fldCharType="begin" w:fldLock="1"/>
      </w:r>
      <w:r>
        <w:rPr>
          <w:szCs w:val="24"/>
        </w:rPr>
        <w:instrText>ADDIN CSL_CITATION { "citationItems" : [ { "id" : "ITEM-1", "itemData" : { "ISBN" : "0254-4725", "author" : [ { "dropping-particle" : "", "family" : "FAO/WHO", "given" : "", "non-dropping-particle" : "", "parse-names" : false, "suffix" : "" } ], "edition" : "Cordoba, Argentina", "id" : "ITEM-1", "issued" : { "date-parts" : [ [ "2001" ] ] }, "shortTitle" : "FAO FOOD AND NUTRITION PAPER", "title" : "Probiotics in food - Health and nutritional properties and guidelines for evaluation", "type" : "article-journal" }, "uris" : [ "http://www.mendeley.com/documents/?uuid=1ee1582c-9fd3-4cbb-80f0-b70c98cd63fd", "http://www.mendeley.com/documents/?uuid=b47f49bb-a735-46e1-9dce-1986ed5370ba" ] } ], "mendeley" : { "previouslyFormattedCitation" : "[1]" }, "properties" : { "noteIndex" : 0 }, "schema" : "https://github.com/citation-style-language/schema/raw/master/csl-citation.json" }</w:instrText>
      </w:r>
      <w:r>
        <w:rPr>
          <w:szCs w:val="24"/>
        </w:rPr>
        <w:fldChar w:fldCharType="separate"/>
      </w:r>
      <w:r w:rsidRPr="00171584">
        <w:rPr>
          <w:noProof/>
          <w:szCs w:val="24"/>
        </w:rPr>
        <w:t>[1]</w:t>
      </w:r>
      <w:r>
        <w:rPr>
          <w:szCs w:val="24"/>
        </w:rPr>
        <w:fldChar w:fldCharType="end"/>
      </w:r>
      <w:r>
        <w:rPr>
          <w:szCs w:val="24"/>
        </w:rPr>
        <w:t xml:space="preserve"> </w:t>
      </w:r>
      <w:r w:rsidRPr="004C3CB9">
        <w:rPr>
          <w:szCs w:val="24"/>
        </w:rPr>
        <w:t xml:space="preserve">Globally </w:t>
      </w:r>
      <w:r w:rsidRPr="004C3CB9">
        <w:rPr>
          <w:i/>
          <w:szCs w:val="24"/>
        </w:rPr>
        <w:t>Lactobacillus</w:t>
      </w:r>
      <w:r w:rsidRPr="004C3CB9">
        <w:rPr>
          <w:szCs w:val="24"/>
        </w:rPr>
        <w:t xml:space="preserve"> spp</w:t>
      </w:r>
      <w:r w:rsidRPr="004C3CB9">
        <w:rPr>
          <w:i/>
          <w:szCs w:val="24"/>
        </w:rPr>
        <w:t>.</w:t>
      </w:r>
      <w:r w:rsidRPr="004C3CB9">
        <w:rPr>
          <w:szCs w:val="24"/>
        </w:rPr>
        <w:t xml:space="preserve"> and </w:t>
      </w:r>
      <w:r w:rsidRPr="004C3CB9">
        <w:rPr>
          <w:i/>
          <w:szCs w:val="24"/>
        </w:rPr>
        <w:t xml:space="preserve">Bifidobacterium spp. </w:t>
      </w:r>
      <w:r w:rsidRPr="004C3CB9">
        <w:rPr>
          <w:szCs w:val="24"/>
        </w:rPr>
        <w:t>are most common</w:t>
      </w:r>
      <w:r>
        <w:rPr>
          <w:szCs w:val="24"/>
        </w:rPr>
        <w:t xml:space="preserve">ly </w:t>
      </w:r>
      <w:r w:rsidRPr="004C3CB9">
        <w:rPr>
          <w:szCs w:val="24"/>
        </w:rPr>
        <w:t>used.</w:t>
      </w:r>
      <w:r>
        <w:rPr>
          <w:szCs w:val="24"/>
        </w:rPr>
        <w:fldChar w:fldCharType="begin" w:fldLock="1"/>
      </w:r>
      <w:r>
        <w:rPr>
          <w:szCs w:val="24"/>
        </w:rPr>
        <w:instrText>ADDIN CSL_CITATION { "citationItems" : [ { "id" : "ITEM-1", "itemData" : { "DOI" : "10.1371/journal.pone.0010066", "abstract" : "Background Necrotizing enterocolitis (NEC) is a severe disease of the gastrointestinal tract of pre-term babies and is thought to be related to the physiological immaturity of the intestine and altered levels of normal flora in the gut. Understanding the factors that contribute to the pathology of NEC may lead to the development of treatment strategies aimed at re-establishing the integrity of the epithelial wall and preventing the propagation of inflammation in NEC. Several studies have shown a reduced incidence and severity of NEC in neonates treated with probiotics (beneficial bacteria species). Methodology/Principal Findings The objective of this study is to use a mathematical model to predict the conditions under which probiotics may be successful in promoting the health of infants suffering from NEC. An ordinary differential equation model is developed that tracks the populations of pathogenic and probiotic bacteria in the intestinal lumen and in the blood/tissue region. The permeability of the intestinal epithelial layer is treated as a variable, and the role of the inflammatory response is included. The model predicts that in the presence of probiotics health is restored in many cases that would have been otherwise pathogenic. The timing of probiotic administration is also shown to determine whether or not health is restored. Finally, the model predicts that probiotics may be harmful to the NEC patient under very specific conditions, perhaps explaining the detrimental effects of probiotics observed in some clinical studies. Conclusions/Significance The reduced, experimentally motivated mathematical model that we have developed suggests how a certain general set of characteristics of probiotics can lead to beneficial or detrimental outcomes for infants suffering from NEC, depending on the influences of probiotics on defined features of the inflammatory response.", "author" : [ { "dropping-particle" : "", "family" : "Julia", "given" : "C Arciero", "non-dropping-particle" : "", "parse-names" : false, "suffix" : "" }, { "dropping-particle" : "", "family" : "Ermentrout", "given" : "G Bard", "non-dropping-particle" : "", "parse-names" : false, "suffix" : "" }, { "dropping-particle" : "", "family" : "Jeffrey", "given" : "S Upperman", "non-dropping-particle" : "", "parse-names" : false, "suffix" : "" }, { "dropping-particle" : "", "family" : "Yoram", "given" : "Vodovotz", "non-dropping-particle" : "", "parse-names" : false, "suffix" : "" }, { "dropping-particle" : "", "family" : "Jonathan", "given" : "E Rubin", "non-dropping-particle" : "", "parse-names" : false, "suffix" : "" } ], "container-title" : "PloS one", "id" : "ITEM-1", "issue" : "4", "issued" : { "date-parts" : [ [ "2010" ] ] }, "publisher" : "Public Library of Science", "publisher-place" : "San Francisco", "title" : "Using a Mathematical Model to Analyze the Role of Probiotics and Inflammation in Necrotizing Enterocolitis: e10066", "type" : "article-journal", "volume" : "5" }, "uris" : [ "http://www.mendeley.com/documents/?uuid=58f38b08-0cf9-45db-adf2-14175e468559", "http://www.mendeley.com/documents/?uuid=ee6fca40-68e1-4f12-858e-95c56726cb4b" ] } ], "mendeley" : { "previouslyFormattedCitation" : "[2]" }, "properties" : { "noteIndex" : 0 }, "schema" : "https://github.com/citation-style-language/schema/raw/master/csl-citation.json" }</w:instrText>
      </w:r>
      <w:r>
        <w:rPr>
          <w:szCs w:val="24"/>
        </w:rPr>
        <w:fldChar w:fldCharType="separate"/>
      </w:r>
      <w:r w:rsidRPr="00171584">
        <w:rPr>
          <w:noProof/>
          <w:szCs w:val="24"/>
        </w:rPr>
        <w:t>[2]</w:t>
      </w:r>
      <w:r>
        <w:rPr>
          <w:szCs w:val="24"/>
        </w:rPr>
        <w:fldChar w:fldCharType="end"/>
      </w:r>
      <w:r w:rsidRPr="004C3CB9">
        <w:rPr>
          <w:szCs w:val="24"/>
        </w:rPr>
        <w:t xml:space="preserve"> For preterm infants</w:t>
      </w:r>
      <w:r>
        <w:rPr>
          <w:szCs w:val="24"/>
        </w:rPr>
        <w:t>,</w:t>
      </w:r>
      <w:r w:rsidRPr="004C3CB9">
        <w:rPr>
          <w:szCs w:val="24"/>
        </w:rPr>
        <w:t xml:space="preserve"> probiotic use has focused on potential reduction in necrotising enterocolitis (NEC) and late onset sepsis (LOS),</w:t>
      </w:r>
      <w:r>
        <w:rPr>
          <w:szCs w:val="24"/>
        </w:rPr>
        <w:fldChar w:fldCharType="begin" w:fldLock="1"/>
      </w:r>
      <w:r>
        <w:rPr>
          <w:szCs w:val="24"/>
        </w:rPr>
        <w:instrText>ADDIN CSL_CITATION { "citationItems" : [ { "id" : "ITEM-1", "itemData" : { "ISBN" : "0730-0832", "author" : [ { "dropping-particle" : "", "family" : "Gaul", "given" : "Janeen", "non-dropping-particle" : "", "parse-names" : false, "suffix" : "" } ], "container-title" : "Neonatal Network: The Journal of Neonatal Nursing", "id" : "ITEM-1", "issue" : "2", "issued" : { "date-parts" : [ [ "2008" ] ] }, "page" : "75-80", "title" : "Probiotics for the prevention of necrotizing enterocolitis", "type" : "article-journal", "volume" : "27" }, "uris" : [ "http://www.mendeley.com/documents/?uuid=af982935-d686-4aec-a400-f9c2d970c5bc", "http://www.mendeley.com/documents/?uuid=8f094a3f-100c-4add-be35-5ca387066f26" ] } ], "mendeley" : { "previouslyFormattedCitation" : "[3]" }, "properties" : { "noteIndex" : 0 }, "schema" : "https://github.com/citation-style-language/schema/raw/master/csl-citation.json" }</w:instrText>
      </w:r>
      <w:r>
        <w:rPr>
          <w:szCs w:val="24"/>
        </w:rPr>
        <w:fldChar w:fldCharType="separate"/>
      </w:r>
      <w:r w:rsidRPr="00171584">
        <w:rPr>
          <w:noProof/>
          <w:szCs w:val="24"/>
        </w:rPr>
        <w:t>[3]</w:t>
      </w:r>
      <w:r>
        <w:rPr>
          <w:szCs w:val="24"/>
        </w:rPr>
        <w:fldChar w:fldCharType="end"/>
      </w:r>
      <w:r w:rsidRPr="004C3CB9">
        <w:rPr>
          <w:szCs w:val="24"/>
        </w:rPr>
        <w:t xml:space="preserve"> but </w:t>
      </w:r>
      <w:r>
        <w:rPr>
          <w:szCs w:val="24"/>
        </w:rPr>
        <w:t>other important outcomes</w:t>
      </w:r>
      <w:r w:rsidRPr="004C3CB9">
        <w:rPr>
          <w:szCs w:val="24"/>
        </w:rPr>
        <w:t xml:space="preserve"> </w:t>
      </w:r>
      <w:r>
        <w:rPr>
          <w:szCs w:val="24"/>
        </w:rPr>
        <w:t>(</w:t>
      </w:r>
      <w:r w:rsidRPr="004C3CB9">
        <w:rPr>
          <w:szCs w:val="24"/>
        </w:rPr>
        <w:t>feed tolerance, asthma, allergy</w:t>
      </w:r>
      <w:r>
        <w:rPr>
          <w:szCs w:val="24"/>
        </w:rPr>
        <w:t>)</w:t>
      </w:r>
      <w:r w:rsidRPr="004C3CB9">
        <w:rPr>
          <w:szCs w:val="24"/>
        </w:rPr>
        <w:t xml:space="preserve"> </w:t>
      </w:r>
      <w:r>
        <w:rPr>
          <w:szCs w:val="24"/>
        </w:rPr>
        <w:t>may be relevant</w:t>
      </w:r>
      <w:r w:rsidRPr="004C3CB9">
        <w:rPr>
          <w:szCs w:val="24"/>
        </w:rPr>
        <w:t>.</w:t>
      </w:r>
      <w:r>
        <w:rPr>
          <w:szCs w:val="24"/>
        </w:rPr>
        <w:fldChar w:fldCharType="begin" w:fldLock="1"/>
      </w:r>
      <w:r>
        <w:rPr>
          <w:szCs w:val="24"/>
        </w:rPr>
        <w:instrText>ADDIN CSL_CITATION { "citationItems" : [ { "id" : "ITEM-1", "itemData" : { "DOI" : "10.1097/QCO.0000000000000061", "ISBN" : "0000000000000", "ISSN" : "1473-6527", "PMID" : "24751892", "abstract" : "PURPOSE OF REVIEW: In newborns, interactions between the host and the microbiome operate synergistically, modulating host immune function and shaping the microbiome. Next generation molecular sequencing methodologies in tandem with modeling complex communities allow insights into the role of the microbiome in health and disease states. Infection-related disease states in which dysbiosis is integral include late-onset sepsis (LOS) and necrotizing enterocolitis (NEC), which still cause deaths and morbidity. Understanding microbiomic interactions may lead to alternative prevention, monitoring or treatment strategies, and modulation of long-term health outcomes especially in the preterm population. Recent studies have advanced understanding of the microbiome in NEC and LOS.\n\nRECENT FINDINGS: Mechanisms of host-microbiome interaction have been demonstrated. Patterns of microbiomic change in association with NEC and LOS have been observed, with community changes dominated by Proteobacteria and Firmicutes appearing to precede NEC, and very early microbiomic signatures influencing LOS. Data on viral and fungal elements are emerging.\n\nSUMMARY: Greater understanding of the neonatal bowel microbiome may allow tailored clinical practice and therapeutic intervention. Data handling and interpretation is challenging. Mechanistic studies of clinical interventions that affect the gut microbiome are important next steps.", "author" : [ { "dropping-particle" : "", "family" : "Berrington", "given" : "Janet E", "non-dropping-particle" : "", "parse-names" : false, "suffix" : "" }, { "dropping-particle" : "", "family" : "Stewart", "given" : "Christopher J", "non-dropping-particle" : "", "parse-names" : false, "suffix" : "" }, { "dropping-particle" : "", "family" : "Cummings", "given" : "Stephen P", "non-dropping-particle" : "", "parse-names" : false, "suffix" : "" }, { "dropping-particle" : "", "family" : "Embleton", "given" : "Nicholas D", "non-dropping-particle" : "", "parse-names" : false, "suffix" : "" } ], "container-title" : "Current opinion in infectious diseases", "id" : "ITEM-1", "issue" : "3", "issued" : { "date-parts" : [ [ "2014", "6" ] ] }, "page" : "236-43", "title" : "The neonatal bowel microbiome in health and infection.", "type" : "article-journal", "volume" : "27" }, "uris" : [ "http://www.mendeley.com/documents/?uuid=ffd1770f-6ddf-4fb7-84a8-220b1bad0514" ] } ], "mendeley" : { "previouslyFormattedCitation" : "[4]" }, "properties" : { "noteIndex" : 0 }, "schema" : "https://github.com/citation-style-language/schema/raw/master/csl-citation.json" }</w:instrText>
      </w:r>
      <w:r>
        <w:rPr>
          <w:szCs w:val="24"/>
        </w:rPr>
        <w:fldChar w:fldCharType="separate"/>
      </w:r>
      <w:r w:rsidRPr="0083592E">
        <w:rPr>
          <w:noProof/>
          <w:szCs w:val="24"/>
        </w:rPr>
        <w:t>[4]</w:t>
      </w:r>
      <w:r>
        <w:rPr>
          <w:szCs w:val="24"/>
        </w:rPr>
        <w:fldChar w:fldCharType="end"/>
      </w:r>
      <w:r w:rsidRPr="004C3CB9">
        <w:rPr>
          <w:szCs w:val="24"/>
        </w:rPr>
        <w:t xml:space="preserve"> </w:t>
      </w:r>
      <w:r>
        <w:rPr>
          <w:szCs w:val="24"/>
        </w:rPr>
        <w:t>Evidence</w:t>
      </w:r>
      <w:r w:rsidRPr="004C3CB9">
        <w:rPr>
          <w:szCs w:val="24"/>
        </w:rPr>
        <w:t xml:space="preserve"> from </w:t>
      </w:r>
      <w:r>
        <w:rPr>
          <w:szCs w:val="24"/>
        </w:rPr>
        <w:t xml:space="preserve">more than </w:t>
      </w:r>
      <w:r w:rsidRPr="004C3CB9">
        <w:rPr>
          <w:szCs w:val="24"/>
        </w:rPr>
        <w:t>20 RCTs suggests probiotics reduce NEC.</w:t>
      </w:r>
      <w:r>
        <w:rPr>
          <w:szCs w:val="24"/>
        </w:rPr>
        <w:fldChar w:fldCharType="begin" w:fldLock="1"/>
      </w:r>
      <w:r>
        <w:rPr>
          <w:szCs w:val="24"/>
        </w:rPr>
        <w:instrText>ADDIN CSL_CITATION { "citationItems" : [ { "id" : "ITEM-1", "itemData" : { "DOI" : "10.1159/000354891", "ISSN" : "1661-7819", "PMID" : "24281648", "abstract" : "Necrotizing enterocolitis (NEC) is a major cause of mortality (25%) and morbidity including recurrent sepsis, dependence on parenteral nutrition, need for surgery, and survival with short bowel syndrome in preterm very low birth weight infants. Mortality (45-100%) and morbidity including the risk of long-term neurodevelopmental impairment are higher in extremely preterm infants needing surgery for NEC. Systematic reviews of randomized controlled trials (RCT) indicate that probiotics significantly reduce the risk of NEC (RR 0.39; 95% CI 0.29-0.52; p &lt; 0.00001) and all-cause mortality (RR 0.52; 95% CI 0.40-0.69; p &lt; 0.00001) while facilitating enteral feeds in preterm infants. At present, data from 25 RCT (\u223c5,000 neonates) and reports on routine use (\u223c3,000 neonates) indicates that significant adverse effects of probiotics are rare. Despite the robust evidence, there is still reluctance in incorporating routine probiotic prophylaxis in clinical practice. If the goal is to have zero tolerance for NEC, then probiotic prophylaxis must be adopted as soon as possible. Current gaps in knowledge can be addressed by continued research while providing routine probiotic supplementation. We believe that the concept of evidence-based practice of medicine has been stretched too far in this case. Trial sequential analysis has already shown that the evidence for probiotic supplementation was conclusive after 10 trials. Results of the ongoing trials are unlikely to change the conclusions of the systematic reviews significantly. Currently we are at trial number 25; how many more trials do we need? What will it take to change clinical practice? \u00a9 2013 S. Karger AG, Basel.", "author" : [ { "dropping-particle" : "", "family" : "Ofek Shlomai", "given" : "N", "non-dropping-particle" : "", "parse-names" : false, "suffix" : "" }, { "dropping-particle" : "", "family" : "Deshpande", "given" : "G", "non-dropping-particle" : "", "parse-names" : false, "suffix" : "" }, { "dropping-particle" : "", "family" : "Rao", "given" : "S", "non-dropping-particle" : "", "parse-names" : false, "suffix" : "" }, { "dropping-particle" : "", "family" : "Patole", "given" : "S", "non-dropping-particle" : "", "parse-names" : false, "suffix" : "" } ], "container-title" : "Neonatology", "id" : "ITEM-1", "issue" : "1", "issued" : { "date-parts" : [ [ "2013", "11", "23" ] ] }, "page" : "64-70", "title" : "Probiotics for Preterm Neonates: What Will It Take to Change Clinical Practice?", "type" : "article-journal", "volume" : "105" }, "uris" : [ "http://www.mendeley.com/documents/?uuid=8ba881c2-ab3d-47b2-99e4-b819908b37ad" ] } ], "mendeley" : { "previouslyFormattedCitation" : "[5]" }, "properties" : { "noteIndex" : 0 }, "schema" : "https://github.com/citation-style-language/schema/raw/master/csl-citation.json" }</w:instrText>
      </w:r>
      <w:r>
        <w:rPr>
          <w:szCs w:val="24"/>
        </w:rPr>
        <w:fldChar w:fldCharType="separate"/>
      </w:r>
      <w:r w:rsidRPr="0083592E">
        <w:rPr>
          <w:noProof/>
          <w:szCs w:val="24"/>
        </w:rPr>
        <w:t>[5]</w:t>
      </w:r>
      <w:r>
        <w:rPr>
          <w:szCs w:val="24"/>
        </w:rPr>
        <w:fldChar w:fldCharType="end"/>
      </w:r>
      <w:r w:rsidRPr="004C3CB9">
        <w:rPr>
          <w:szCs w:val="24"/>
        </w:rPr>
        <w:t xml:space="preserve"> </w:t>
      </w:r>
      <w:r>
        <w:rPr>
          <w:szCs w:val="24"/>
        </w:rPr>
        <w:t>Meta-analysis shows</w:t>
      </w:r>
      <w:r w:rsidRPr="004C3CB9">
        <w:rPr>
          <w:szCs w:val="24"/>
        </w:rPr>
        <w:t xml:space="preserve"> a relative risk (RR) of 0.43 (95% CI 0.33-0.56) for </w:t>
      </w:r>
      <w:r>
        <w:rPr>
          <w:szCs w:val="24"/>
        </w:rPr>
        <w:t xml:space="preserve">NEC, and no impact on </w:t>
      </w:r>
      <w:r w:rsidRPr="004C3CB9">
        <w:rPr>
          <w:szCs w:val="24"/>
        </w:rPr>
        <w:t xml:space="preserve">LOS </w:t>
      </w:r>
      <w:r>
        <w:rPr>
          <w:szCs w:val="24"/>
        </w:rPr>
        <w:t>(</w:t>
      </w:r>
      <w:r w:rsidRPr="004C3CB9">
        <w:rPr>
          <w:szCs w:val="24"/>
        </w:rPr>
        <w:t>RR 0.91 95% CI 0.8-1.03).</w:t>
      </w:r>
      <w:r w:rsidRPr="00096513">
        <w:rPr>
          <w:szCs w:val="24"/>
        </w:rPr>
        <w:t xml:space="preserve"> </w:t>
      </w:r>
      <w:r>
        <w:rPr>
          <w:szCs w:val="24"/>
        </w:rPr>
        <w:fldChar w:fldCharType="begin" w:fldLock="1"/>
      </w:r>
      <w:r>
        <w:rPr>
          <w:szCs w:val="24"/>
        </w:rPr>
        <w:instrText>ADDIN CSL_CITATION { "citationItems" : [ { "id" : "ITEM-1", "itemData" : { "author" : [ { "dropping-particle" : "", "family" : "Deshpande", "given" : "Girish", "non-dropping-particle" : "", "parse-names" : false, "suffix" : "" }, { "dropping-particle" : "", "family" : "Patole", "given" : "Sanjay", "non-dropping-particle" : "", "parse-names" : false, "suffix" : "" } ], "container-title" : "Eastern Journal of Medicine", "id" : "ITEM-1", "issue" : "4", "issued" : { "date-parts" : [ [ "2013" ] ] }, "page" : "168-174", "title" : "Probiotic for preventing necrotising enterocolitis in preterm neonates-The past, present, and the future", "type" : "article-journal", "volume" : "15" }, "uris" : [ "http://www.mendeley.com/documents/?uuid=14c11248-82c1-4c18-a43c-fbe54857e0a2", "http://www.mendeley.com/documents/?uuid=6b8bc50c-b551-420d-82b2-7502fc036f8c" ] }, { "id" : "ITEM-2", "itemData" : { "DOI" : "10.1016/j.clnu.2011.09.004", "ISBN" : "1532-1983 (Electronic)\r0261-5614 (Linking)", "PMID" : "21996513", "abstract" : "BACKGROUND &amp; AIMS: Probiotics have been suggested to prevent severe necrotizing enterocolitis (NEC) and decrease mortality in preterm infants. The aim of this paper was to systematically analyze the level of evidence (LoE) of published controlled randomized trials (RCTs) on probiotics in preterm infants. METHODS: Literature searches were made up to November 2010. LoE of recommendations based on single trials or meta-analyses were scored following the Oxford Center for Evidence based Medicine approach (1a - meta-analyses of 1b LoE studies; 1b - well designed RCT; 2a - meta-analyses which include 2b LoE studies; 2b - lesser quality RCT). RESULTS: Fifteen trials were included (Two 1b LoE trials and thirteen 2b LoE trials). Methodological assessment revealed considerable heterogeneity. Some probiotics may be beneficial in relation to reduction of severe NEC (2b LoE) and reduction of mortality (2b LoE). Probiotics do not accelerate feeding advancement (1b and 2b LoE). There was no convincing benefit with regard to prevention of sepsis (1b and 2b LoE). CONCLUSION: There is insufficient evidence to recommend routine probiotics. However, there is encouraging data (2b LoE) which justifies the further investigation regarding the efficacy and safety of specific probiotics in circumstances of high local incidence of severe NEC.", "author" : [ { "dropping-particle" : "", "family" : "Mihatsch", "given" : "W A", "non-dropping-particle" : "", "parse-names" : false, "suffix" : "" }, { "dropping-particle" : "", "family" : "Braegger", "given" : "C P", "non-dropping-particle" : "", "parse-names" : false, "suffix" : "" }, { "dropping-particle" : "", "family" : "Decsi", "given" : "T", "non-dropping-particle" : "", "parse-names" : false, "suffix" : "" }, { "dropping-particle" : "", "family" : "Kolacek", "given" : "S", "non-dropping-particle" : "", "parse-names" : false, "suffix" : "" }, { "dropping-particle" : "", "family" : "Lanzinger", "given" : "H", "non-dropping-particle" : "", "parse-names" : false, "suffix" : "" }, { "dropping-particle" : "", "family" : "Mayer", "given" : "B", "non-dropping-particle" : "", "parse-names" : false, "suffix" : "" }, { "dropping-particle" : "", "family" : "Moreno", "given" : "L A", "non-dropping-particle" : "", "parse-names" : false, "suffix" : "" }, { "dropping-particle" : "", "family" : "Pohlandt", "given" : "F", "non-dropping-particle" : "", "parse-names" : false, "suffix" : "" }, { "dropping-particle" : "", "family" : "Puntis", "given" : "J", "non-dropping-particle" : "", "parse-names" : false, "suffix" : "" }, { "dropping-particle" : "", "family" : "Shamir", "given" : "R", "non-dropping-particle" : "", "parse-names" : false, "suffix" : "" }, { "dropping-particle" : "", "family" : "Stadtmuller", "given" : "U", "non-dropping-particle" : "", "parse-names" : false, "suffix" : "" }, { "dropping-particle" : "", "family" : "Szajewska", "given" : "H", "non-dropping-particle" : "", "parse-names" : false, "suffix" : "" }, { "dropping-particle" : "", "family" : "Turck", "given" : "D", "non-dropping-particle" : "", "parse-names" : false, "suffix" : "" }, { "dropping-particle" : "", "family" : "Goudoever", "given" : "J B", "non-dropping-particle" : "van", "parse-names" : false, "suffix" : "" } ], "container-title" : "Clin Nutr", "id" : "ITEM-2", "issue" : "1", "issued" : { "date-parts" : [ [ "2012" ] ] }, "page" : "6-15", "title" : "Critical systematic review of the level of evidence for routine use of probiotics for reduction of mortality and prevention of necrotizing enterocolitis and sepsis in preterm infants", "type" : "article-journal", "volume" : "31" }, "uris" : [ "http://www.mendeley.com/documents/?uuid=691447c6-8b40-4c44-985b-d3ce13e7c69b", "http://www.mendeley.com/documents/?uuid=4d47354e-612a-4031-8da7-430321327100" ] } ], "mendeley" : { "previouslyFormattedCitation" : "[6,7]" }, "properties" : { "noteIndex" : 0 }, "schema" : "https://github.com/citation-style-language/schema/raw/master/csl-citation.json" }</w:instrText>
      </w:r>
      <w:r>
        <w:rPr>
          <w:szCs w:val="24"/>
        </w:rPr>
        <w:fldChar w:fldCharType="separate"/>
      </w:r>
      <w:r w:rsidRPr="0083592E">
        <w:rPr>
          <w:noProof/>
          <w:szCs w:val="24"/>
        </w:rPr>
        <w:t>[6,7]</w:t>
      </w:r>
      <w:r>
        <w:rPr>
          <w:szCs w:val="24"/>
        </w:rPr>
        <w:fldChar w:fldCharType="end"/>
      </w:r>
      <w:r w:rsidRPr="004C3CB9">
        <w:rPr>
          <w:szCs w:val="24"/>
        </w:rPr>
        <w:t xml:space="preserve"> </w:t>
      </w:r>
    </w:p>
    <w:p w:rsidR="00B35332" w:rsidRPr="0011305C" w:rsidRDefault="00B35332" w:rsidP="00B35332">
      <w:pPr>
        <w:autoSpaceDE w:val="0"/>
        <w:autoSpaceDN w:val="0"/>
        <w:adjustRightInd w:val="0"/>
        <w:spacing w:after="0"/>
        <w:rPr>
          <w:rFonts w:cs="Times New Roman"/>
          <w:noProof/>
          <w:szCs w:val="24"/>
        </w:rPr>
      </w:pPr>
      <w:r w:rsidRPr="0011305C">
        <w:rPr>
          <w:rFonts w:cs="Times New Roman"/>
          <w:szCs w:val="24"/>
        </w:rPr>
        <w:t xml:space="preserve">Mechanisms of probiotic action in </w:t>
      </w:r>
      <w:r w:rsidR="006A6276" w:rsidRPr="0011305C">
        <w:rPr>
          <w:rFonts w:cs="Times New Roman"/>
          <w:szCs w:val="24"/>
        </w:rPr>
        <w:t>preterm</w:t>
      </w:r>
      <w:r w:rsidRPr="0011305C">
        <w:rPr>
          <w:rFonts w:cs="Times New Roman"/>
          <w:szCs w:val="24"/>
        </w:rPr>
        <w:t xml:space="preserve"> are multiple and complex</w:t>
      </w:r>
      <w:r>
        <w:rPr>
          <w:rFonts w:cs="Times New Roman"/>
          <w:szCs w:val="24"/>
        </w:rPr>
        <w:t xml:space="preserve"> and </w:t>
      </w:r>
      <w:r w:rsidRPr="0011305C">
        <w:rPr>
          <w:rFonts w:cs="Times New Roman"/>
          <w:szCs w:val="24"/>
        </w:rPr>
        <w:t>include potential competition with pathogenic bacteria in the gut ecosystem, direct effects on naive host immune mechanisms and enhancing intestinal maturation</w:t>
      </w:r>
      <w:r>
        <w:rPr>
          <w:rFonts w:cs="Times New Roman"/>
          <w:szCs w:val="24"/>
        </w:rPr>
        <w:t>,</w:t>
      </w:r>
      <w:r>
        <w:rPr>
          <w:rFonts w:cs="Times New Roman"/>
          <w:szCs w:val="24"/>
        </w:rPr>
        <w:fldChar w:fldCharType="begin" w:fldLock="1"/>
      </w:r>
      <w:r>
        <w:rPr>
          <w:rFonts w:cs="Times New Roman"/>
          <w:szCs w:val="24"/>
        </w:rPr>
        <w:instrText>ADDIN CSL_CITATION { "citationItems" : [ { "id" : "ITEM-1", "itemData" : { "author" : [ { "dropping-particle" : "", "family" : "Berrington", "given" : "JE", "non-dropping-particle" : "", "parse-names" : false, "suffix" : "" }, { "dropping-particle" : "", "family" : "Stewart", "given" : "CJ", "non-dropping-particle" : "", "parse-names" : false, "suffix" : "" }, { "dropping-particle" : "", "family" : "Embleton", "given" : "ND", "non-dropping-particle" : "", "parse-names" : false, "suffix" : "" }, { "dropping-particle" : "", "family" : "Cummings", "given" : "SP", "non-dropping-particle" : "", "parse-names" : false, "suffix" : "" } ], "container-title" : "Arch Dis Child Fetal Neonatal Ed", "id" : "ITEM-1", "issue" : "4", "issued" : { "date-parts" : [ [ "2013" ] ] }, "page" : "F286-90", "title" : "Gut microbiota in preterm infants: assessment and relevance to health and disease", "type" : "article-journal", "volume" : "98" }, "uris" : [ "http://www.mendeley.com/documents/?uuid=e7958228-4cdd-46e0-bab6-54e3c6148934" ] } ], "mendeley" : { "previouslyFormattedCitation" : "[8]" }, "properties" : { "noteIndex" : 0 }, "schema" : "https://github.com/citation-style-language/schema/raw/master/csl-citation.json" }</w:instrText>
      </w:r>
      <w:r>
        <w:rPr>
          <w:rFonts w:cs="Times New Roman"/>
          <w:szCs w:val="24"/>
        </w:rPr>
        <w:fldChar w:fldCharType="separate"/>
      </w:r>
      <w:r w:rsidRPr="0083592E">
        <w:rPr>
          <w:rFonts w:cs="Times New Roman"/>
          <w:noProof/>
          <w:szCs w:val="24"/>
        </w:rPr>
        <w:t>[8]</w:t>
      </w:r>
      <w:r>
        <w:rPr>
          <w:rFonts w:cs="Times New Roman"/>
          <w:szCs w:val="24"/>
        </w:rPr>
        <w:fldChar w:fldCharType="end"/>
      </w:r>
      <w:r w:rsidRPr="0011305C">
        <w:rPr>
          <w:rFonts w:cs="Times New Roman"/>
          <w:szCs w:val="24"/>
        </w:rPr>
        <w:t xml:space="preserve"> including enhancing tight junction integrity.</w:t>
      </w:r>
      <w:r>
        <w:rPr>
          <w:rFonts w:cs="Times New Roman"/>
          <w:szCs w:val="24"/>
        </w:rPr>
        <w:fldChar w:fldCharType="begin" w:fldLock="1"/>
      </w:r>
      <w:r>
        <w:rPr>
          <w:rFonts w:cs="Times New Roman"/>
          <w:szCs w:val="24"/>
        </w:rPr>
        <w:instrText>ADDIN CSL_CITATION { "citationItems" : [ { "id" : "ITEM-1", "itemData" : { "DOI" : "10.1371/journal.pone.0010066", "abstract" : "Background Necrotizing enterocolitis (NEC) is a severe disease of the gastrointestinal tract of pre-term babies and is thought to be related to the physiological immaturity of the intestine and altered levels of normal flora in the gut. Understanding the factors that contribute to the pathology of NEC may lead to the development of treatment strategies aimed at re-establishing the integrity of the epithelial wall and preventing the propagation of inflammation in NEC. Several studies have shown a reduced incidence and severity of NEC in neonates treated with probiotics (beneficial bacteria species). Methodology/Principal Findings The objective of this study is to use a mathematical model to predict the conditions under which probiotics may be successful in promoting the health of infants suffering from NEC. An ordinary differential equation model is developed that tracks the populations of pathogenic and probiotic bacteria in the intestinal lumen and in the blood/tissue region. The permeability of the intestinal epithelial layer is treated as a variable, and the role of the inflammatory response is included. The model predicts that in the presence of probiotics health is restored in many cases that would have been otherwise pathogenic. The timing of probiotic administration is also shown to determine whether or not health is restored. Finally, the model predicts that probiotics may be harmful to the NEC patient under very specific conditions, perhaps explaining the detrimental effects of probiotics observed in some clinical studies. Conclusions/Significance The reduced, experimentally motivated mathematical model that we have developed suggests how a certain general set of characteristics of probiotics can lead to beneficial or detrimental outcomes for infants suffering from NEC, depending on the influences of probiotics on defined features of the inflammatory response.", "author" : [ { "dropping-particle" : "", "family" : "Julia", "given" : "C Arciero", "non-dropping-particle" : "", "parse-names" : false, "suffix" : "" }, { "dropping-particle" : "", "family" : "Ermentrout", "given" : "G Bard", "non-dropping-particle" : "", "parse-names" : false, "suffix" : "" }, { "dropping-particle" : "", "family" : "Jeffrey", "given" : "S Upperman", "non-dropping-particle" : "", "parse-names" : false, "suffix" : "" }, { "dropping-particle" : "", "family" : "Yoram", "given" : "Vodovotz", "non-dropping-particle" : "", "parse-names" : false, "suffix" : "" }, { "dropping-particle" : "", "family" : "Jonathan", "given" : "E Rubin", "non-dropping-particle" : "", "parse-names" : false, "suffix" : "" } ], "container-title" : "PloS one", "id" : "ITEM-1", "issue" : "4", "issued" : { "date-parts" : [ [ "2010" ] ] }, "publisher" : "Public Library of Science", "publisher-place" : "San Francisco", "title" : "Using a Mathematical Model to Analyze the Role of Probiotics and Inflammation in Necrotizing Enterocolitis: e10066", "type" : "article-journal", "volume" : "5" }, "uris" : [ "http://www.mendeley.com/documents/?uuid=ee6fca40-68e1-4f12-858e-95c56726cb4b", "http://www.mendeley.com/documents/?uuid=58f38b08-0cf9-45db-adf2-14175e468559" ] } ], "mendeley" : { "previouslyFormattedCitation" : "[2]" }, "properties" : { "noteIndex" : 0 }, "schema" : "https://github.com/citation-style-language/schema/raw/master/csl-citation.json" }</w:instrText>
      </w:r>
      <w:r>
        <w:rPr>
          <w:rFonts w:cs="Times New Roman"/>
          <w:szCs w:val="24"/>
        </w:rPr>
        <w:fldChar w:fldCharType="separate"/>
      </w:r>
      <w:r w:rsidRPr="00171584">
        <w:rPr>
          <w:rFonts w:cs="Times New Roman"/>
          <w:noProof/>
          <w:szCs w:val="24"/>
        </w:rPr>
        <w:t>[2]</w:t>
      </w:r>
      <w:r>
        <w:rPr>
          <w:rFonts w:cs="Times New Roman"/>
          <w:szCs w:val="24"/>
        </w:rPr>
        <w:fldChar w:fldCharType="end"/>
      </w:r>
      <w:r w:rsidRPr="0011305C">
        <w:rPr>
          <w:rFonts w:cs="Times New Roman"/>
          <w:szCs w:val="24"/>
        </w:rPr>
        <w:t xml:space="preserve"> </w:t>
      </w:r>
      <w:r w:rsidRPr="0011305C">
        <w:rPr>
          <w:rFonts w:cs="Times New Roman"/>
          <w:noProof/>
          <w:szCs w:val="24"/>
        </w:rPr>
        <w:t xml:space="preserve">Data relating to probiotic mechanisms </w:t>
      </w:r>
      <w:r w:rsidRPr="0011305C">
        <w:rPr>
          <w:rFonts w:cs="Times New Roman"/>
          <w:i/>
          <w:noProof/>
          <w:szCs w:val="24"/>
        </w:rPr>
        <w:t>in vivo</w:t>
      </w:r>
      <w:r w:rsidRPr="0011305C">
        <w:rPr>
          <w:rFonts w:cs="Times New Roman"/>
          <w:noProof/>
          <w:szCs w:val="24"/>
        </w:rPr>
        <w:t xml:space="preserve"> in preterm infants are limited</w:t>
      </w:r>
      <w:r>
        <w:rPr>
          <w:rFonts w:cs="Times New Roman"/>
          <w:noProof/>
          <w:szCs w:val="24"/>
        </w:rPr>
        <w:t>:</w:t>
      </w:r>
      <w:r w:rsidRPr="0011305C">
        <w:rPr>
          <w:rFonts w:cs="Times New Roman"/>
          <w:noProof/>
          <w:szCs w:val="24"/>
        </w:rPr>
        <w:t xml:space="preserve"> few trials report colonisation rates or peristence, or factors affect</w:t>
      </w:r>
      <w:r>
        <w:rPr>
          <w:rFonts w:cs="Times New Roman"/>
          <w:noProof/>
          <w:szCs w:val="24"/>
        </w:rPr>
        <w:t>ing</w:t>
      </w:r>
      <w:r w:rsidRPr="0011305C">
        <w:rPr>
          <w:rFonts w:cs="Times New Roman"/>
          <w:noProof/>
          <w:szCs w:val="24"/>
        </w:rPr>
        <w:t xml:space="preserve"> these. Two ongoing/recently completed studies included stool microbiology </w:t>
      </w:r>
      <w:r>
        <w:rPr>
          <w:rFonts w:cs="Times New Roman"/>
          <w:noProof/>
          <w:szCs w:val="24"/>
        </w:rPr>
        <w:t>analysis</w:t>
      </w:r>
      <w:r w:rsidRPr="0011305C">
        <w:rPr>
          <w:rFonts w:cs="Times New Roman"/>
          <w:noProof/>
          <w:szCs w:val="24"/>
        </w:rPr>
        <w:t xml:space="preserve"> (Cooper </w:t>
      </w:r>
      <w:r w:rsidRPr="0011305C">
        <w:rPr>
          <w:rFonts w:cs="Times New Roman"/>
          <w:szCs w:val="24"/>
          <w:lang w:eastAsia="en-GB"/>
        </w:rPr>
        <w:t xml:space="preserve">NCT00977912 and Costeloe ISRCTN05511098) but are not yet published. </w:t>
      </w:r>
      <w:r w:rsidRPr="0011305C">
        <w:rPr>
          <w:rFonts w:cs="Times New Roman"/>
          <w:noProof/>
          <w:szCs w:val="24"/>
        </w:rPr>
        <w:t>However, dysbiosis preceding NEC has been well described.</w:t>
      </w:r>
      <w:r>
        <w:rPr>
          <w:rFonts w:cs="Times New Roman"/>
          <w:noProof/>
          <w:szCs w:val="24"/>
        </w:rPr>
        <w:fldChar w:fldCharType="begin" w:fldLock="1"/>
      </w:r>
      <w:r>
        <w:rPr>
          <w:rFonts w:cs="Times New Roman"/>
          <w:noProof/>
          <w:szCs w:val="24"/>
        </w:rPr>
        <w:instrText>ADDIN CSL_CITATION { "citationItems" : [ { "id" : "ITEM-1", "itemData" : { "DOI" : "10.1590/1414-431x20143857", "ISBN" : "1414-431X", "author" : [ { "dropping-particle" : "", "family" : "Yang", "given" : "Y", "non-dropping-particle" : "", "parse-names" : false, "suffix" : "" }, { "dropping-particle" : "", "family" : "Guo", "given" : "Y", "non-dropping-particle" : "", "parse-names" : false, "suffix" : "" }, { "dropping-particle" : "", "family" : "Kan", "given" : "Q", "non-dropping-particle" : "", "parse-names" : false, "suffix" : "" }, { "dropping-particle" : "", "family" : "Zhou", "given" : "X G", "non-dropping-particle" : "", "parse-names" : false, "suffix" : "" }, { "dropping-particle" : "", "family" : "Zhou", "given" : "X Y", "non-dropping-particle" : "", "parse-names" : false, "suffix" : "" }, { "dropping-particle" : "", "family" : "Li", "given" : "Y", "non-dropping-particle" : "", "parse-names" : false, "suffix" : "" } ], "container-title" : "Brazilian Journal of Medical and Biological Research", "id" : "ITEM-1", "issue" : "9", "issued" : { "date-parts" : [ [ "2014" ] ] }, "page" : "804-810", "title" : "A meta-analysis of probiotics for preventing necrotizing enterocolitis in preterm neonates", "type" : "article-journal", "volume" : "47" }, "uris" : [ "http://www.mendeley.com/documents/?uuid=e94f852a-2f72-43ef-b87e-3dd5b3f22785", "http://www.mendeley.com/documents/?uuid=25512895-390c-4d92-a7ce-7c6a840ad38f" ] }, { "id" : "ITEM-2", "itemData" : { "ISSN" : "1359-2998", "PMID" : "12937036", "abstract" : "Infants nursed in special care baby units develop an abnormal pattern of microbial colonisation, which may contribute to disease. Enteric feeding of live microbial supplements (probiotics) may provide benefit to such infants and help to prevent diseases such as neonatal necrotising enterocolitis.", "author" : [ { "dropping-particle" : "", "family" : "Millar", "given" : "M", "non-dropping-particle" : "", "parse-names" : false, "suffix" : "" }, { "dropping-particle" : "", "family" : "Wilks", "given" : "M", "non-dropping-particle" : "", "parse-names" : false, "suffix" : "" }, { "dropping-particle" : "", "family" : "Costeloe", "given" : "K", "non-dropping-particle" : "", "parse-names" : false, "suffix" : "" } ], "container-title" : "Archives of disease in childhood. Fetal and neonatal edition", "id" : "ITEM-2", "issue" : "5", "issued" : { "date-parts" : [ [ "2003", "9" ] ] }, "page" : "F354-8", "title" : "Probiotics for preterm infants?", "type" : "article-journal", "volume" : "88" }, "uris" : [ "http://www.mendeley.com/documents/?uuid=d4169b04-3c05-4d31-adcd-7ced56120a78" ] }, { "id" : "ITEM-3", "itemData" : { "DOI" : "10.1186/2049-2618-1-13", "ISSN" : "2049-2618", "author" : [ { "dropping-particle" : "", "family" : "Morrow", "given" : "Ardythe L", "non-dropping-particle" : "", "parse-names" : false, "suffix" : "" }, { "dropping-particle" : "", "family" : "Lagomarcino", "given" : "Anne J", "non-dropping-particle" : "", "parse-names" : false, "suffix" : "" }, { "dropping-particle" : "", "family" : "Schibler", "given" : "Kurt R", "non-dropping-particle" : "", "parse-names" : false, "suffix" : "" }, { "dropping-particle" : "", "family" : "Taft", "given" : "Diana H", "non-dropping-particle" : "", "parse-names" : false, "suffix" : "" }, { "dropping-particle" : "", "family" : "Yu", "given" : "Zhuoteng", "non-dropping-particle" : "", "parse-names" : false, "suffix" : "" }, { "dropping-particle" : "", "family" : "Wang", "given" : "Bo", "non-dropping-particle" : "", "parse-names" : false, "suffix" : "" }, { "dropping-particle" : "", "family" : "Altaye", "given" : "Mekibib", "non-dropping-particle" : "", "parse-names" : false, "suffix" : "" }, { "dropping-particle" : "", "family" : "Wagner", "given" : "Michael", "non-dropping-particle" : "", "parse-names" : false, "suffix" : "" }, { "dropping-particle" : "", "family" : "Gevers", "given" : "Dirk", "non-dropping-particle" : "", "parse-names" : false, "suffix" : "" }, { "dropping-particle" : "V", "family" : "Ward", "given" : "Doyle", "non-dropping-particle" : "", "parse-names" : false, "suffix" : "" }, { "dropping-particle" : "", "family" : "Kennedy", "given" : "Michael a", "non-dropping-particle" : "", "parse-names" : false, "suffix" : "" }, { "dropping-particle" : "", "family" : "Huttenhower", "given" : "Curtis", "non-dropping-particle" : "", "parse-names" : false, "suffix" : "" }, { "dropping-particle" : "", "family" : "Newburg", "given" : "David S", "non-dropping-particle" : "", "parse-names" : false, "suffix" : "" } ], "container-title" : "Microbiome", "id" : "ITEM-3", "issue" : "1", "issued" : { "date-parts" : [ [ "2013" ] ] }, "page" : "13", "title" : "Early microbial and metabolomic signatures predict later onset of necrotizing enterocolitis in preterm infants", "type" : "article-journal", "volume" : "1" }, "uris" : [ "http://www.mendeley.com/documents/?uuid=91e07c8d-6aad-4f99-a43e-7204ffcc6a8c" ] }, { "id" : "ITEM-4", "itemData" : { "DOI" : "10.1136/archdischild-2012-302119", "ISSN" : "1359-2998", "author" : [ { "dropping-particle" : "", "family" : "Stewart", "given" : "Christopher J", "non-dropping-particle" : "", "parse-names" : false, "suffix" : "" }, { "dropping-particle" : "", "family" : "Nelson", "given" : "Andrew", "non-dropping-particle" : "", "parse-names" : false, "suffix" : "" }, { "dropping-particle" : "", "family" : "Scribbins", "given" : "David", "non-dropping-particle" : "", "parse-names" : false, "suffix" : "" }, { "dropping-particle" : "", "family" : "Marrs", "given" : "Emma C. L.", "non-dropping-particle" : "", "parse-names" : false, "suffix" : "" }, { "dropping-particle" : "", "family" : "Perry", "given" : "John D.", "non-dropping-particle" : "", "parse-names" : false, "suffix" : "" }, { "dropping-particle" : "", "family" : "Embleton", "given" : "Nicholas D.", "non-dropping-particle" : "", "parse-names" : false, "suffix" : "" }, { "dropping-particle" : "", "family" : "Cummings", "given" : "Stephen P.", "non-dropping-particle" : "", "parse-names" : false, "suffix" : "" }, { "dropping-particle" : "", "family" : "Berrington", "given" : "Janet E.", "non-dropping-particle" : "", "parse-names" : false, "suffix" : "" } ], "container-title" : "Arch Dis Child Fetal Neonatal Ed", "id" : "ITEM-4", "issue" : "4", "issued" : { "date-parts" : [ [ "2013", "2", "20" ] ] }, "page" : "F298-303", "title" : "Bacterial and fungal viability in the preterm gut: NEC and sepsis", "type" : "article-journal", "volume" : "98" }, "uris" : [ "http://www.mendeley.com/documents/?uuid=7637f3ed-b978-4045-b500-af943ce01b48" ] }, { "id" : "ITEM-5", "itemData" : { "author" : [ { "dropping-particle" : "", "family" : "Berrington", "given" : "JE", "non-dropping-particle" : "", "parse-names" : false, "suffix" : "" }, { "dropping-particle" : "", "family" : "Stewart", "given" : "CJ", "non-dropping-particle" : "", "parse-names" : false, "suffix" : "" }, { "dropping-particle" : "", "family" : "Embleton", "given" : "ND", "non-dropping-particle" : "", "parse-names" : false, "suffix" : "" }, { "dropping-particle" : "", "family" : "Cummings", "given" : "SP", "non-dropping-particle" : "", "parse-names" : false, "suffix" : "" } ], "container-title" : "Arch Dis Child Fetal Neonatal Ed", "id" : "ITEM-5", "issue" : "4", "issued" : { "date-parts" : [ [ "2013" ] ] }, "page" : "F286-90", "title" : "Gut microbiota in preterm infants: assessment and relevance to health and disease", "type" : "article-journal", "volume" : "98" }, "uris" : [ "http://www.mendeley.com/documents/?uuid=e7958228-4cdd-46e0-bab6-54e3c6148934" ] } ], "mendeley" : { "previouslyFormattedCitation" : "[8\u201312]" }, "properties" : { "noteIndex" : 0 }, "schema" : "https://github.com/citation-style-language/schema/raw/master/csl-citation.json" }</w:instrText>
      </w:r>
      <w:r>
        <w:rPr>
          <w:rFonts w:cs="Times New Roman"/>
          <w:noProof/>
          <w:szCs w:val="24"/>
        </w:rPr>
        <w:fldChar w:fldCharType="separate"/>
      </w:r>
      <w:r w:rsidRPr="0083592E">
        <w:rPr>
          <w:rFonts w:cs="Times New Roman"/>
          <w:noProof/>
          <w:szCs w:val="24"/>
        </w:rPr>
        <w:t>[8–12]</w:t>
      </w:r>
      <w:r>
        <w:rPr>
          <w:rFonts w:cs="Times New Roman"/>
          <w:noProof/>
          <w:szCs w:val="24"/>
        </w:rPr>
        <w:fldChar w:fldCharType="end"/>
      </w:r>
    </w:p>
    <w:p w:rsidR="00B35332" w:rsidRPr="00AE323C" w:rsidRDefault="00B35332" w:rsidP="00B35332">
      <w:pPr>
        <w:spacing w:after="0"/>
        <w:rPr>
          <w:rFonts w:cs="Times New Roman"/>
          <w:szCs w:val="24"/>
        </w:rPr>
      </w:pPr>
      <w:r w:rsidRPr="0011305C">
        <w:rPr>
          <w:rFonts w:cs="Times New Roman"/>
          <w:szCs w:val="24"/>
        </w:rPr>
        <w:t xml:space="preserve">In order to better understand the potential role of probiotics we studied preterm infants </w:t>
      </w:r>
      <w:r>
        <w:rPr>
          <w:rFonts w:cs="Times New Roman"/>
          <w:szCs w:val="24"/>
        </w:rPr>
        <w:t>with</w:t>
      </w:r>
      <w:r w:rsidRPr="0011305C">
        <w:rPr>
          <w:rFonts w:cs="Times New Roman"/>
          <w:szCs w:val="24"/>
        </w:rPr>
        <w:t xml:space="preserve"> molecular sequencing and metabolomic techniques. Metabolomics is a relatively new technique </w:t>
      </w:r>
      <w:r>
        <w:rPr>
          <w:rFonts w:cs="Times New Roman"/>
          <w:szCs w:val="24"/>
        </w:rPr>
        <w:t>to</w:t>
      </w:r>
      <w:r w:rsidRPr="0011305C">
        <w:rPr>
          <w:rFonts w:cs="Times New Roman"/>
          <w:szCs w:val="24"/>
        </w:rPr>
        <w:t xml:space="preserve"> determine functional impacts of changes in gut microbial communities by analysing stool metabolites. When combined with microbiome analysis, </w:t>
      </w:r>
      <w:r>
        <w:rPr>
          <w:rFonts w:cs="Times New Roman"/>
          <w:szCs w:val="24"/>
        </w:rPr>
        <w:t>in</w:t>
      </w:r>
      <w:r w:rsidRPr="0011305C">
        <w:rPr>
          <w:rFonts w:cs="Times New Roman"/>
          <w:szCs w:val="24"/>
        </w:rPr>
        <w:t xml:space="preserve"> well phenotyped cases, </w:t>
      </w:r>
      <w:r>
        <w:rPr>
          <w:rFonts w:cs="Times New Roman"/>
          <w:szCs w:val="24"/>
        </w:rPr>
        <w:t>this can</w:t>
      </w:r>
      <w:r w:rsidRPr="0011305C">
        <w:rPr>
          <w:rFonts w:cs="Times New Roman"/>
          <w:szCs w:val="24"/>
        </w:rPr>
        <w:t xml:space="preserve"> improve our </w:t>
      </w:r>
      <w:r>
        <w:rPr>
          <w:rFonts w:cs="Times New Roman"/>
          <w:szCs w:val="24"/>
        </w:rPr>
        <w:t>mechanistic</w:t>
      </w:r>
      <w:r w:rsidRPr="0011305C">
        <w:rPr>
          <w:rFonts w:cs="Times New Roman"/>
          <w:szCs w:val="24"/>
        </w:rPr>
        <w:t xml:space="preserve"> understanding of health and disease and </w:t>
      </w:r>
      <w:r>
        <w:rPr>
          <w:rFonts w:cs="Times New Roman"/>
          <w:szCs w:val="24"/>
        </w:rPr>
        <w:t>the</w:t>
      </w:r>
      <w:r w:rsidRPr="0011305C">
        <w:rPr>
          <w:rFonts w:cs="Times New Roman"/>
          <w:szCs w:val="24"/>
        </w:rPr>
        <w:t xml:space="preserve"> effects of clinical interventions </w:t>
      </w:r>
      <w:r>
        <w:rPr>
          <w:rFonts w:cs="Times New Roman"/>
          <w:szCs w:val="24"/>
        </w:rPr>
        <w:t>like</w:t>
      </w:r>
      <w:r w:rsidRPr="0011305C">
        <w:rPr>
          <w:rFonts w:cs="Times New Roman"/>
          <w:szCs w:val="24"/>
        </w:rPr>
        <w:t xml:space="preserve"> probiotic</w:t>
      </w:r>
      <w:r>
        <w:rPr>
          <w:rFonts w:cs="Times New Roman"/>
          <w:szCs w:val="24"/>
        </w:rPr>
        <w:t>s</w:t>
      </w:r>
      <w:r w:rsidRPr="0011305C">
        <w:rPr>
          <w:rFonts w:cs="Times New Roman"/>
          <w:szCs w:val="24"/>
        </w:rPr>
        <w:t>.</w:t>
      </w:r>
      <w:r>
        <w:rPr>
          <w:rFonts w:cs="Times New Roman"/>
          <w:szCs w:val="24"/>
        </w:rPr>
        <w:t xml:space="preserve"> We aimed</w:t>
      </w:r>
      <w:r w:rsidRPr="0011305C">
        <w:rPr>
          <w:rFonts w:cs="Times New Roman"/>
          <w:szCs w:val="24"/>
        </w:rPr>
        <w:t xml:space="preserve"> to conduct a longitudinal</w:t>
      </w:r>
      <w:r w:rsidRPr="00AE323C">
        <w:rPr>
          <w:rFonts w:cs="Times New Roman"/>
          <w:szCs w:val="24"/>
        </w:rPr>
        <w:t xml:space="preserve"> examination of extremely preterm infants </w:t>
      </w:r>
      <w:r>
        <w:rPr>
          <w:rFonts w:cs="Times New Roman"/>
          <w:szCs w:val="24"/>
        </w:rPr>
        <w:t>through</w:t>
      </w:r>
      <w:r w:rsidRPr="00AE323C">
        <w:rPr>
          <w:rFonts w:cs="Times New Roman"/>
          <w:szCs w:val="24"/>
        </w:rPr>
        <w:t xml:space="preserve"> </w:t>
      </w:r>
      <w:r>
        <w:rPr>
          <w:rFonts w:cs="Times New Roman"/>
          <w:szCs w:val="24"/>
        </w:rPr>
        <w:t>a</w:t>
      </w:r>
      <w:r w:rsidRPr="00AE323C">
        <w:rPr>
          <w:rFonts w:cs="Times New Roman"/>
          <w:szCs w:val="24"/>
        </w:rPr>
        <w:t xml:space="preserve"> neonatal intensive care unit (NICU)</w:t>
      </w:r>
      <w:r>
        <w:rPr>
          <w:rFonts w:cs="Times New Roman"/>
          <w:szCs w:val="24"/>
        </w:rPr>
        <w:t xml:space="preserve"> and post discharge to determine </w:t>
      </w:r>
      <w:r w:rsidRPr="00AE323C">
        <w:rPr>
          <w:rFonts w:cs="Times New Roman"/>
          <w:szCs w:val="24"/>
        </w:rPr>
        <w:t>the effects of therapeutic exposure to the probiotic Infloran</w:t>
      </w:r>
      <w:r w:rsidRPr="00AE323C">
        <w:rPr>
          <w:rFonts w:cs="Times New Roman"/>
          <w:b/>
          <w:color w:val="000000"/>
          <w:szCs w:val="24"/>
        </w:rPr>
        <w:t>®</w:t>
      </w:r>
      <w:r w:rsidRPr="00AE323C">
        <w:rPr>
          <w:rFonts w:cs="Times New Roman"/>
          <w:szCs w:val="24"/>
        </w:rPr>
        <w:t xml:space="preserve"> (</w:t>
      </w:r>
      <w:r w:rsidRPr="00AE323C">
        <w:rPr>
          <w:rFonts w:cs="Times New Roman"/>
          <w:i/>
          <w:szCs w:val="24"/>
        </w:rPr>
        <w:t>B.bifidum</w:t>
      </w:r>
      <w:r w:rsidRPr="00AE323C">
        <w:rPr>
          <w:rFonts w:cs="Times New Roman"/>
          <w:szCs w:val="24"/>
        </w:rPr>
        <w:t xml:space="preserve">-ATCC-1569-6 and </w:t>
      </w:r>
      <w:r w:rsidRPr="00AE323C">
        <w:rPr>
          <w:rFonts w:cs="Times New Roman"/>
          <w:i/>
          <w:szCs w:val="24"/>
        </w:rPr>
        <w:t>L.acidophilus</w:t>
      </w:r>
      <w:r w:rsidRPr="00AE323C">
        <w:rPr>
          <w:rFonts w:cs="Times New Roman"/>
          <w:szCs w:val="24"/>
        </w:rPr>
        <w:t xml:space="preserve">-NCIMB 701748). </w:t>
      </w:r>
      <w:r>
        <w:rPr>
          <w:rFonts w:cs="Times New Roman"/>
          <w:szCs w:val="24"/>
        </w:rPr>
        <w:t>We</w:t>
      </w:r>
      <w:r w:rsidRPr="00AE323C">
        <w:rPr>
          <w:rFonts w:cs="Times New Roman"/>
          <w:szCs w:val="24"/>
        </w:rPr>
        <w:t xml:space="preserve"> </w:t>
      </w:r>
      <w:r>
        <w:rPr>
          <w:rFonts w:cs="Times New Roman"/>
          <w:szCs w:val="24"/>
        </w:rPr>
        <w:t>explored</w:t>
      </w:r>
      <w:r w:rsidRPr="00AE323C">
        <w:rPr>
          <w:rFonts w:cs="Times New Roman"/>
          <w:szCs w:val="24"/>
        </w:rPr>
        <w:t xml:space="preserve"> changes in the overall bacterial community (16S rRNA profiling) and accurately quantif</w:t>
      </w:r>
      <w:r>
        <w:rPr>
          <w:rFonts w:cs="Times New Roman"/>
          <w:szCs w:val="24"/>
        </w:rPr>
        <w:t xml:space="preserve">ied </w:t>
      </w:r>
      <w:r w:rsidRPr="00AE323C">
        <w:rPr>
          <w:rFonts w:cs="Times New Roman"/>
          <w:szCs w:val="24"/>
        </w:rPr>
        <w:t xml:space="preserve">the probiotic species (qPCR). In addition, </w:t>
      </w:r>
      <w:r>
        <w:rPr>
          <w:rFonts w:cs="Times New Roman"/>
          <w:szCs w:val="24"/>
        </w:rPr>
        <w:t>u</w:t>
      </w:r>
      <w:r w:rsidRPr="00AE323C">
        <w:rPr>
          <w:rFonts w:cs="Times New Roman"/>
          <w:szCs w:val="24"/>
        </w:rPr>
        <w:t>ltra-performance liquid chromatography mass spectrometry tandem mass-spectrometry</w:t>
      </w:r>
      <w:r>
        <w:rPr>
          <w:rFonts w:cs="Times New Roman"/>
          <w:szCs w:val="24"/>
        </w:rPr>
        <w:t xml:space="preserve"> (</w:t>
      </w:r>
      <w:r w:rsidRPr="00AE323C">
        <w:rPr>
          <w:rFonts w:cs="Times New Roman"/>
          <w:szCs w:val="24"/>
        </w:rPr>
        <w:t>UPLC-MS/MS</w:t>
      </w:r>
      <w:r>
        <w:rPr>
          <w:rFonts w:cs="Times New Roman"/>
          <w:szCs w:val="24"/>
        </w:rPr>
        <w:t>)</w:t>
      </w:r>
      <w:r w:rsidRPr="00AE323C">
        <w:rPr>
          <w:rFonts w:cs="Times New Roman"/>
          <w:szCs w:val="24"/>
        </w:rPr>
        <w:t xml:space="preserve"> stool metabolomic profiling was undertaken to ascertain if probiotic administration resulted in functional shifts at the metabolite level.</w:t>
      </w:r>
    </w:p>
    <w:p w:rsidR="00C157E6" w:rsidRDefault="00C157E6" w:rsidP="00C157E6">
      <w:pPr>
        <w:tabs>
          <w:tab w:val="left" w:pos="7035"/>
        </w:tabs>
        <w:spacing w:after="0"/>
        <w:rPr>
          <w:rFonts w:cs="Times New Roman"/>
          <w:szCs w:val="24"/>
        </w:rPr>
      </w:pPr>
      <w:r>
        <w:rPr>
          <w:rFonts w:cs="Times New Roman"/>
          <w:szCs w:val="24"/>
        </w:rPr>
        <w:tab/>
      </w:r>
    </w:p>
    <w:p w:rsidR="00B35332" w:rsidRPr="00881B43" w:rsidRDefault="00B35332" w:rsidP="00B35332">
      <w:pPr>
        <w:spacing w:after="0"/>
        <w:rPr>
          <w:rFonts w:cs="Times New Roman"/>
          <w:szCs w:val="24"/>
        </w:rPr>
      </w:pPr>
      <w:r w:rsidRPr="00C157E6">
        <w:rPr>
          <w:rFonts w:cs="Times New Roman"/>
          <w:szCs w:val="24"/>
        </w:rPr>
        <w:br w:type="page"/>
      </w:r>
      <w:r>
        <w:rPr>
          <w:rFonts w:cs="Times New Roman"/>
          <w:b/>
          <w:szCs w:val="24"/>
        </w:rPr>
        <w:t>METHODS</w:t>
      </w:r>
    </w:p>
    <w:p w:rsidR="00B35332" w:rsidRPr="00881B43" w:rsidRDefault="00B35332" w:rsidP="00B35332">
      <w:pPr>
        <w:spacing w:after="0"/>
        <w:rPr>
          <w:rFonts w:cs="Times New Roman"/>
          <w:szCs w:val="24"/>
        </w:rPr>
      </w:pPr>
      <w:r w:rsidRPr="00881B43">
        <w:rPr>
          <w:rFonts w:cs="Times New Roman"/>
          <w:b/>
          <w:szCs w:val="24"/>
        </w:rPr>
        <w:t>Study design</w:t>
      </w:r>
    </w:p>
    <w:p w:rsidR="00B35332" w:rsidRPr="00881B43" w:rsidRDefault="00B35332" w:rsidP="00B35332">
      <w:pPr>
        <w:spacing w:after="0"/>
        <w:rPr>
          <w:rFonts w:cs="Times New Roman"/>
          <w:szCs w:val="24"/>
        </w:rPr>
      </w:pPr>
      <w:r>
        <w:rPr>
          <w:rFonts w:cs="Times New Roman"/>
          <w:szCs w:val="24"/>
        </w:rPr>
        <w:t>E</w:t>
      </w:r>
      <w:r w:rsidRPr="00881B43">
        <w:rPr>
          <w:rFonts w:cs="Times New Roman"/>
          <w:szCs w:val="24"/>
        </w:rPr>
        <w:t>thic</w:t>
      </w:r>
      <w:r>
        <w:rPr>
          <w:rFonts w:cs="Times New Roman"/>
          <w:szCs w:val="24"/>
        </w:rPr>
        <w:t>s</w:t>
      </w:r>
      <w:r w:rsidRPr="00881B43">
        <w:rPr>
          <w:rFonts w:cs="Times New Roman"/>
          <w:szCs w:val="24"/>
        </w:rPr>
        <w:t xml:space="preserve"> approval was obtained from County Durham and Tees Valley Research Ethics Committee</w:t>
      </w:r>
      <w:r>
        <w:rPr>
          <w:rFonts w:cs="Times New Roman"/>
          <w:szCs w:val="24"/>
        </w:rPr>
        <w:t>, and parents gave signed consent for stool and data collection</w:t>
      </w:r>
      <w:r w:rsidRPr="00881B43">
        <w:rPr>
          <w:rFonts w:cs="Times New Roman"/>
          <w:szCs w:val="24"/>
        </w:rPr>
        <w:t xml:space="preserve">. </w:t>
      </w:r>
    </w:p>
    <w:p w:rsidR="00B35332" w:rsidRPr="00155173" w:rsidRDefault="00B35332" w:rsidP="00B35332">
      <w:pPr>
        <w:spacing w:after="0"/>
      </w:pPr>
      <w:r w:rsidRPr="00881B43">
        <w:rPr>
          <w:rFonts w:cs="Times New Roman"/>
          <w:szCs w:val="24"/>
        </w:rPr>
        <w:t>Infloran was in</w:t>
      </w:r>
      <w:r>
        <w:rPr>
          <w:rFonts w:cs="Times New Roman"/>
          <w:szCs w:val="24"/>
        </w:rPr>
        <w:t>troduced</w:t>
      </w:r>
      <w:r w:rsidRPr="00881B43">
        <w:rPr>
          <w:rFonts w:cs="Times New Roman"/>
          <w:szCs w:val="24"/>
        </w:rPr>
        <w:t xml:space="preserve"> </w:t>
      </w:r>
      <w:r>
        <w:rPr>
          <w:rFonts w:cs="Times New Roman"/>
          <w:szCs w:val="24"/>
        </w:rPr>
        <w:t>in</w:t>
      </w:r>
      <w:r w:rsidRPr="00881B43">
        <w:rPr>
          <w:rFonts w:cs="Times New Roman"/>
          <w:szCs w:val="24"/>
        </w:rPr>
        <w:t xml:space="preserve"> </w:t>
      </w:r>
      <w:r>
        <w:rPr>
          <w:rFonts w:cs="Times New Roman"/>
          <w:szCs w:val="24"/>
        </w:rPr>
        <w:t>January 2013 with the aim of giving it to all infants &lt;32 weeks gestation soon after initial introduction of feeds until 34 weeks corrected. All were born within 3 months: we also identified a small number of infants who met the criteria but did not receive probiotics. This contemporaneous group provided us with an opportunity to explore cross-colonisation of probiotic strains in our NICU.  Overall, 88 stools were analysed from 10 patients (7 probiotic and 3 controls). Of these, 60 were from probiotic exposed infants (10 before, 32 during, 14 after exposure and 4 after discharge) and 28 were from as day of life (DOL) matched control infants.  All samples underwent 16S bacterial profiling and of these a representative subset underwent quantitative PCR (qPCR) (</w:t>
      </w:r>
      <w:r w:rsidRPr="00506322">
        <w:rPr>
          <w:rFonts w:cs="Times New Roman"/>
          <w:i/>
          <w:szCs w:val="24"/>
        </w:rPr>
        <w:t>n =</w:t>
      </w:r>
      <w:r>
        <w:rPr>
          <w:rFonts w:cs="Times New Roman"/>
          <w:szCs w:val="24"/>
        </w:rPr>
        <w:t xml:space="preserve"> 75; 50 probiotic (5 before, 30 during, 11 after and 4 PD) and 25 control). All samples where sufficient stool remained also underwent metabolomic</w:t>
      </w:r>
      <w:r w:rsidR="00B430E7">
        <w:rPr>
          <w:rFonts w:cs="Times New Roman"/>
          <w:szCs w:val="24"/>
        </w:rPr>
        <w:t>s</w:t>
      </w:r>
      <w:r>
        <w:rPr>
          <w:rFonts w:cs="Times New Roman"/>
          <w:szCs w:val="24"/>
        </w:rPr>
        <w:t xml:space="preserve"> profiling (</w:t>
      </w:r>
      <w:r w:rsidRPr="00506322">
        <w:rPr>
          <w:rFonts w:cs="Times New Roman"/>
          <w:i/>
          <w:szCs w:val="24"/>
        </w:rPr>
        <w:t>n</w:t>
      </w:r>
      <w:r>
        <w:rPr>
          <w:rFonts w:cs="Times New Roman"/>
          <w:szCs w:val="24"/>
        </w:rPr>
        <w:t xml:space="preserve"> = 40; 28 probiotic (1 before, 17 during, 6 after and 4 PD) and 12 control). This number of samples compares favourably with previous work and allows gut profiles to be confidently discriminated</w:t>
      </w:r>
      <w:r>
        <w:t>.</w:t>
      </w:r>
      <w:r>
        <w:rPr>
          <w:rFonts w:cs="Times New Roman"/>
          <w:szCs w:val="24"/>
        </w:rPr>
        <w:fldChar w:fldCharType="begin" w:fldLock="1"/>
      </w:r>
      <w:r>
        <w:rPr>
          <w:rFonts w:cs="Times New Roman"/>
          <w:szCs w:val="24"/>
        </w:rPr>
        <w:instrText>ADDIN CSL_CITATION { "citationItems" : [ { "id" : "ITEM-1", "itemData" : { "DOI" : "10.1136/archdischild-2012-302119", "ISSN" : "1359-2998", "author" : [ { "dropping-particle" : "", "family" : "Stewart", "given" : "Christopher J", "non-dropping-particle" : "", "parse-names" : false, "suffix" : "" }, { "dropping-particle" : "", "family" : "Nelson", "given" : "Andrew", "non-dropping-particle" : "", "parse-names" : false, "suffix" : "" }, { "dropping-particle" : "", "family" : "Scribbins", "given" : "David", "non-dropping-particle" : "", "parse-names" : false, "suffix" : "" }, { "dropping-particle" : "", "family" : "Marrs", "given" : "Emma C. L.", "non-dropping-particle" : "", "parse-names" : false, "suffix" : "" }, { "dropping-particle" : "", "family" : "Perry", "given" : "John D.", "non-dropping-particle" : "", "parse-names" : false, "suffix" : "" }, { "dropping-particle" : "", "family" : "Embleton", "given" : "Nicholas D.", "non-dropping-particle" : "", "parse-names" : false, "suffix" : "" }, { "dropping-particle" : "", "family" : "Cummings", "given" : "Stephen P.", "non-dropping-particle" : "", "parse-names" : false, "suffix" : "" }, { "dropping-particle" : "", "family" : "Berrington", "given" : "Janet E.", "non-dropping-particle" : "", "parse-names" : false, "suffix" : "" } ], "container-title" : "Arch Dis Child Fetal Neonatal Ed", "id" : "ITEM-1", "issue" : "4", "issued" : { "date-parts" : [ [ "2013", "2", "20" ] ] }, "page" : "F298-303", "title" : "Bacterial and fungal viability in the preterm gut: NEC and sepsis", "type" : "article-journal", "volume" : "98" }, "uris" : [ "http://www.mendeley.com/documents/?uuid=7637f3ed-b978-4045-b500-af943ce01b48" ] }, { "id" : "ITEM-2", "itemData" : { "DOI" : "10.1111/j.1651-2227.2012.02801.x", "ISSN" : "1651-2227", "PMID" : "22845166", "abstract" : "Aim: To describe gut colonization in preterm infants using standard culture and 16S gene rRNA profiling, exploring differences in healthy infants and those who developed NEC/late onset sepsis (LOS). Methods: Ninety-nine stools from 38 infants of median 27-week gestation were cultured; 44 stools from 27 infants had their microbial profiles determined by 16S. Ordination analyses explored effects of patient variables on gut communities. Results: Standard microbiological culture identified a mean of two organisms (range 0-7), DGGE 12 (range 3-18) per patient. Enterococcus faecalis and coagulase negative staphylococci (CONS) were most common by culture (40% and 39% of specimens). Meconium was not sterile. No fungi were cultured. Bacterial community structures in infants with NEC and LOS differed from healthy infants. Infants who developed NEC carried more CONS (45% vs 30%) and less Enterococcus faecalis (31% vs 57%). 16S identified Enterobacter and Staphylococcus presence associated with NEC/LOS, respectively. Conclusions: Important differences were found in the gut microbiota of preterm infants who develop NEC/LOS. The relationship of these changes to current practices in neonatal intensive care requires further exploration.", "author" : [ { "dropping-particle" : "", "family" : "Stewart", "given" : "CJ", "non-dropping-particle" : "", "parse-names" : false, "suffix" : "" }, { "dropping-particle" : "", "family" : "Marrs", "given" : "ECL", "non-dropping-particle" : "", "parse-names" : false, "suffix" : "" }, { "dropping-particle" : "", "family" : "Magorrian", "given" : "S", "non-dropping-particle" : "", "parse-names" : false, "suffix" : "" }, { "dropping-particle" : "", "family" : "Nelson", "given" : "A", "non-dropping-particle" : "", "parse-names" : false, "suffix" : "" }, { "dropping-particle" : "", "family" : "Lanyon", "given" : "C", "non-dropping-particle" : "", "parse-names" : false, "suffix" : "" }, { "dropping-particle" : "", "family" : "Perry", "given" : "JD", "non-dropping-particle" : "", "parse-names" : false, "suffix" : "" }, { "dropping-particle" : "", "family" : "Embleton", "given" : "ND", "non-dropping-particle" : "", "parse-names" : false, "suffix" : "" }, { "dropping-particle" : "", "family" : "Cummings", "given" : "SP", "non-dropping-particle" : "", "parse-names" : false, "suffix" : "" }, { "dropping-particle" : "", "family" : "Berrington", "given" : "JE", "non-dropping-particle" : "", "parse-names" : false, "suffix" : "" } ], "container-title" : "Acta Paediatr", "id" : "ITEM-2", "issue" : "11", "issued" : { "date-parts" : [ [ "2012", "7", "30" ] ] }, "page" : "1121-7", "title" : "The preterm gut microbiota: changes associated with necrotizing enterocolitis and infection", "type" : "article-journal", "volume" : "101" }, "uris" : [ "http://www.mendeley.com/documents/?uuid=75e82fdc-bfb4-4cdb-9205-baa58029cb66" ] } ], "mendeley" : { "previouslyFormattedCitation" : "[12,13]" }, "properties" : { "noteIndex" : 0 }, "schema" : "https://github.com/citation-style-language/schema/raw/master/csl-citation.json" }</w:instrText>
      </w:r>
      <w:r>
        <w:rPr>
          <w:rFonts w:cs="Times New Roman"/>
          <w:szCs w:val="24"/>
        </w:rPr>
        <w:fldChar w:fldCharType="separate"/>
      </w:r>
      <w:r w:rsidRPr="0083592E">
        <w:rPr>
          <w:rFonts w:cs="Times New Roman"/>
          <w:noProof/>
          <w:szCs w:val="24"/>
        </w:rPr>
        <w:t>[12,13]</w:t>
      </w:r>
      <w:r>
        <w:rPr>
          <w:rFonts w:cs="Times New Roman"/>
          <w:szCs w:val="24"/>
        </w:rPr>
        <w:fldChar w:fldCharType="end"/>
      </w:r>
    </w:p>
    <w:p w:rsidR="00B35332" w:rsidRDefault="00B35332" w:rsidP="00B35332">
      <w:pPr>
        <w:spacing w:after="0"/>
        <w:rPr>
          <w:rFonts w:cs="Times New Roman"/>
          <w:szCs w:val="24"/>
        </w:rPr>
      </w:pPr>
      <w:r>
        <w:rPr>
          <w:rFonts w:cs="Times New Roman"/>
          <w:szCs w:val="24"/>
        </w:rPr>
        <w:t>All patients received some maternal breast milk</w:t>
      </w:r>
      <w:r w:rsidRPr="00881B43">
        <w:rPr>
          <w:rFonts w:cs="Times New Roman"/>
          <w:szCs w:val="24"/>
        </w:rPr>
        <w:t xml:space="preserve"> </w:t>
      </w:r>
      <w:r>
        <w:rPr>
          <w:rFonts w:cs="Times New Roman"/>
          <w:szCs w:val="24"/>
        </w:rPr>
        <w:t xml:space="preserve">additional </w:t>
      </w:r>
      <w:r w:rsidRPr="00881B43">
        <w:rPr>
          <w:rFonts w:cs="Times New Roman"/>
          <w:szCs w:val="24"/>
        </w:rPr>
        <w:t>demographics a</w:t>
      </w:r>
      <w:r>
        <w:rPr>
          <w:rFonts w:cs="Times New Roman"/>
          <w:szCs w:val="24"/>
        </w:rPr>
        <w:t xml:space="preserve">nd sampling in relation to probiotic exposure and age are </w:t>
      </w:r>
      <w:r w:rsidRPr="00881B43">
        <w:rPr>
          <w:rFonts w:cs="Times New Roman"/>
          <w:szCs w:val="24"/>
        </w:rPr>
        <w:t>summarised in Table 1</w:t>
      </w:r>
      <w:r>
        <w:rPr>
          <w:rFonts w:cs="Times New Roman"/>
          <w:szCs w:val="24"/>
        </w:rPr>
        <w:t xml:space="preserve">. </w:t>
      </w:r>
    </w:p>
    <w:p w:rsidR="00B35332" w:rsidRDefault="00B35332" w:rsidP="00B35332">
      <w:pPr>
        <w:spacing w:after="0"/>
        <w:rPr>
          <w:rFonts w:cs="Times New Roman"/>
          <w:szCs w:val="24"/>
        </w:rPr>
        <w:sectPr w:rsidR="00B35332" w:rsidSect="006A6276">
          <w:pgSz w:w="11906" w:h="16838"/>
          <w:pgMar w:top="1440" w:right="1440" w:bottom="1440" w:left="1440" w:header="708" w:footer="708" w:gutter="0"/>
          <w:cols w:space="708"/>
          <w:docGrid w:linePitch="360"/>
        </w:sectPr>
      </w:pPr>
    </w:p>
    <w:p w:rsidR="00B35332" w:rsidRDefault="00B35332" w:rsidP="00B35332">
      <w:pPr>
        <w:spacing w:after="0"/>
        <w:rPr>
          <w:rFonts w:cs="Times New Roman"/>
          <w:b/>
          <w:szCs w:val="24"/>
        </w:rPr>
      </w:pPr>
      <w:r>
        <w:rPr>
          <w:rFonts w:cs="Times New Roman"/>
          <w:b/>
          <w:szCs w:val="24"/>
        </w:rPr>
        <w:t>Table</w:t>
      </w:r>
      <w:r w:rsidRPr="00881B43">
        <w:rPr>
          <w:rFonts w:cs="Times New Roman"/>
          <w:b/>
          <w:szCs w:val="24"/>
        </w:rPr>
        <w:t xml:space="preserve"> 1</w:t>
      </w:r>
      <w:r>
        <w:rPr>
          <w:rFonts w:cs="Times New Roman"/>
          <w:b/>
          <w:szCs w:val="24"/>
        </w:rPr>
        <w:t xml:space="preserve"> -</w:t>
      </w:r>
      <w:r w:rsidRPr="00881B43">
        <w:rPr>
          <w:rFonts w:cs="Times New Roman"/>
          <w:b/>
          <w:szCs w:val="24"/>
        </w:rPr>
        <w:t xml:space="preserve"> Demographic data for the clinical cohort</w:t>
      </w:r>
    </w:p>
    <w:tbl>
      <w:tblPr>
        <w:tblW w:w="14425" w:type="dxa"/>
        <w:tblLayout w:type="fixed"/>
        <w:tblLook w:val="04A0" w:firstRow="1" w:lastRow="0" w:firstColumn="1" w:lastColumn="0" w:noHBand="0" w:noVBand="1"/>
      </w:tblPr>
      <w:tblGrid>
        <w:gridCol w:w="2196"/>
        <w:gridCol w:w="1330"/>
        <w:gridCol w:w="1083"/>
        <w:gridCol w:w="1083"/>
        <w:gridCol w:w="1265"/>
        <w:gridCol w:w="1069"/>
        <w:gridCol w:w="1164"/>
        <w:gridCol w:w="1083"/>
        <w:gridCol w:w="1058"/>
        <w:gridCol w:w="1774"/>
        <w:gridCol w:w="1320"/>
      </w:tblGrid>
      <w:tr w:rsidR="00B35332" w:rsidRPr="000E2A1A" w:rsidTr="006A6276">
        <w:trPr>
          <w:trHeight w:val="300"/>
        </w:trPr>
        <w:tc>
          <w:tcPr>
            <w:tcW w:w="2196" w:type="dxa"/>
            <w:vMerge w:val="restart"/>
            <w:tcBorders>
              <w:top w:val="single" w:sz="4" w:space="0" w:color="auto"/>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 </w:t>
            </w:r>
          </w:p>
        </w:tc>
        <w:tc>
          <w:tcPr>
            <w:tcW w:w="3496" w:type="dxa"/>
            <w:gridSpan w:val="3"/>
            <w:vMerge w:val="restart"/>
            <w:tcBorders>
              <w:top w:val="single" w:sz="4" w:space="0" w:color="auto"/>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Control</w:t>
            </w:r>
          </w:p>
        </w:tc>
        <w:tc>
          <w:tcPr>
            <w:tcW w:w="8733" w:type="dxa"/>
            <w:gridSpan w:val="7"/>
            <w:vMerge w:val="restart"/>
            <w:tcBorders>
              <w:top w:val="single" w:sz="4" w:space="0" w:color="auto"/>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Probiotic</w:t>
            </w:r>
          </w:p>
        </w:tc>
      </w:tr>
      <w:tr w:rsidR="00B35332" w:rsidRPr="000E2A1A" w:rsidTr="006A6276">
        <w:trPr>
          <w:trHeight w:val="300"/>
        </w:trPr>
        <w:tc>
          <w:tcPr>
            <w:tcW w:w="2196" w:type="dxa"/>
            <w:vMerge/>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p>
        </w:tc>
        <w:tc>
          <w:tcPr>
            <w:tcW w:w="3496" w:type="dxa"/>
            <w:gridSpan w:val="3"/>
            <w:vMerge/>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p>
        </w:tc>
        <w:tc>
          <w:tcPr>
            <w:tcW w:w="8733" w:type="dxa"/>
            <w:gridSpan w:val="7"/>
            <w:vMerge/>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p>
        </w:tc>
      </w:tr>
      <w:tr w:rsidR="00B35332" w:rsidRPr="000E2A1A" w:rsidTr="006A6276">
        <w:trPr>
          <w:trHeight w:val="564"/>
        </w:trPr>
        <w:tc>
          <w:tcPr>
            <w:tcW w:w="2196" w:type="dxa"/>
            <w:tcBorders>
              <w:top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Patient  ID</w:t>
            </w:r>
          </w:p>
        </w:tc>
        <w:tc>
          <w:tcPr>
            <w:tcW w:w="1330" w:type="dxa"/>
            <w:tcBorders>
              <w:top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263</w:t>
            </w:r>
          </w:p>
        </w:tc>
        <w:tc>
          <w:tcPr>
            <w:tcW w:w="1083" w:type="dxa"/>
            <w:tcBorders>
              <w:top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271</w:t>
            </w:r>
          </w:p>
        </w:tc>
        <w:tc>
          <w:tcPr>
            <w:tcW w:w="1083" w:type="dxa"/>
            <w:tcBorders>
              <w:top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272</w:t>
            </w:r>
          </w:p>
        </w:tc>
        <w:tc>
          <w:tcPr>
            <w:tcW w:w="1265" w:type="dxa"/>
            <w:tcBorders>
              <w:top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270</w:t>
            </w:r>
          </w:p>
        </w:tc>
        <w:tc>
          <w:tcPr>
            <w:tcW w:w="1069" w:type="dxa"/>
            <w:tcBorders>
              <w:top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273</w:t>
            </w:r>
          </w:p>
        </w:tc>
        <w:tc>
          <w:tcPr>
            <w:tcW w:w="1164" w:type="dxa"/>
            <w:tcBorders>
              <w:top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274</w:t>
            </w:r>
          </w:p>
        </w:tc>
        <w:tc>
          <w:tcPr>
            <w:tcW w:w="1083" w:type="dxa"/>
            <w:tcBorders>
              <w:top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275</w:t>
            </w:r>
          </w:p>
        </w:tc>
        <w:tc>
          <w:tcPr>
            <w:tcW w:w="1058" w:type="dxa"/>
            <w:tcBorders>
              <w:top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276</w:t>
            </w:r>
          </w:p>
        </w:tc>
        <w:tc>
          <w:tcPr>
            <w:tcW w:w="1774" w:type="dxa"/>
            <w:tcBorders>
              <w:top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277</w:t>
            </w:r>
          </w:p>
        </w:tc>
        <w:tc>
          <w:tcPr>
            <w:tcW w:w="1320" w:type="dxa"/>
            <w:tcBorders>
              <w:top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278</w:t>
            </w:r>
          </w:p>
        </w:tc>
      </w:tr>
      <w:tr w:rsidR="00B35332" w:rsidRPr="000E2A1A" w:rsidTr="006A6276">
        <w:trPr>
          <w:trHeight w:val="564"/>
        </w:trPr>
        <w:tc>
          <w:tcPr>
            <w:tcW w:w="2196"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Gestational age (weeks)</w:t>
            </w:r>
          </w:p>
        </w:tc>
        <w:tc>
          <w:tcPr>
            <w:tcW w:w="133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27</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31</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31</w:t>
            </w:r>
          </w:p>
        </w:tc>
        <w:tc>
          <w:tcPr>
            <w:tcW w:w="1265"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25</w:t>
            </w:r>
          </w:p>
        </w:tc>
        <w:tc>
          <w:tcPr>
            <w:tcW w:w="1069"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27</w:t>
            </w:r>
          </w:p>
        </w:tc>
        <w:tc>
          <w:tcPr>
            <w:tcW w:w="116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24</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28</w:t>
            </w:r>
          </w:p>
        </w:tc>
        <w:tc>
          <w:tcPr>
            <w:tcW w:w="1058"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28</w:t>
            </w:r>
          </w:p>
        </w:tc>
        <w:tc>
          <w:tcPr>
            <w:tcW w:w="177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24</w:t>
            </w:r>
          </w:p>
        </w:tc>
        <w:tc>
          <w:tcPr>
            <w:tcW w:w="132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24</w:t>
            </w:r>
          </w:p>
        </w:tc>
      </w:tr>
      <w:tr w:rsidR="00B35332" w:rsidRPr="000E2A1A" w:rsidTr="006A6276">
        <w:trPr>
          <w:trHeight w:val="564"/>
        </w:trPr>
        <w:tc>
          <w:tcPr>
            <w:tcW w:w="2196"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Birth weight (g)</w:t>
            </w:r>
          </w:p>
        </w:tc>
        <w:tc>
          <w:tcPr>
            <w:tcW w:w="133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550</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2030</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1535</w:t>
            </w:r>
          </w:p>
        </w:tc>
        <w:tc>
          <w:tcPr>
            <w:tcW w:w="1265"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750</w:t>
            </w:r>
          </w:p>
        </w:tc>
        <w:tc>
          <w:tcPr>
            <w:tcW w:w="1069"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945</w:t>
            </w:r>
          </w:p>
        </w:tc>
        <w:tc>
          <w:tcPr>
            <w:tcW w:w="116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700</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1100</w:t>
            </w:r>
          </w:p>
        </w:tc>
        <w:tc>
          <w:tcPr>
            <w:tcW w:w="1058"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1150</w:t>
            </w:r>
          </w:p>
        </w:tc>
        <w:tc>
          <w:tcPr>
            <w:tcW w:w="177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620</w:t>
            </w:r>
          </w:p>
        </w:tc>
        <w:tc>
          <w:tcPr>
            <w:tcW w:w="132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620</w:t>
            </w:r>
          </w:p>
        </w:tc>
      </w:tr>
      <w:tr w:rsidR="00B35332" w:rsidRPr="000E2A1A" w:rsidTr="006A6276">
        <w:trPr>
          <w:trHeight w:val="564"/>
        </w:trPr>
        <w:tc>
          <w:tcPr>
            <w:tcW w:w="2196"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Delivery mode</w:t>
            </w:r>
          </w:p>
        </w:tc>
        <w:tc>
          <w:tcPr>
            <w:tcW w:w="133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CS</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V</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V</w:t>
            </w:r>
          </w:p>
        </w:tc>
        <w:tc>
          <w:tcPr>
            <w:tcW w:w="1265"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V</w:t>
            </w:r>
          </w:p>
        </w:tc>
        <w:tc>
          <w:tcPr>
            <w:tcW w:w="1069"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CS</w:t>
            </w:r>
          </w:p>
        </w:tc>
        <w:tc>
          <w:tcPr>
            <w:tcW w:w="116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V</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CS</w:t>
            </w:r>
          </w:p>
        </w:tc>
        <w:tc>
          <w:tcPr>
            <w:tcW w:w="1058"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CS</w:t>
            </w:r>
          </w:p>
        </w:tc>
        <w:tc>
          <w:tcPr>
            <w:tcW w:w="177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CS</w:t>
            </w:r>
          </w:p>
        </w:tc>
        <w:tc>
          <w:tcPr>
            <w:tcW w:w="132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CS</w:t>
            </w:r>
          </w:p>
        </w:tc>
      </w:tr>
      <w:tr w:rsidR="00B35332" w:rsidRPr="000E2A1A" w:rsidTr="006A6276">
        <w:trPr>
          <w:trHeight w:val="564"/>
        </w:trPr>
        <w:tc>
          <w:tcPr>
            <w:tcW w:w="2196"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Pathology</w:t>
            </w:r>
          </w:p>
        </w:tc>
        <w:tc>
          <w:tcPr>
            <w:tcW w:w="133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c>
          <w:tcPr>
            <w:tcW w:w="1265"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Surgical NEC</w:t>
            </w:r>
          </w:p>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 xml:space="preserve">day 4 </w:t>
            </w:r>
          </w:p>
        </w:tc>
        <w:tc>
          <w:tcPr>
            <w:tcW w:w="1069"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c>
          <w:tcPr>
            <w:tcW w:w="1164" w:type="dxa"/>
          </w:tcPr>
          <w:p w:rsidR="00B35332" w:rsidRPr="000E2A1A" w:rsidRDefault="00B35332" w:rsidP="006A6276">
            <w:pPr>
              <w:spacing w:after="0" w:line="240" w:lineRule="auto"/>
              <w:contextualSpacing/>
              <w:jc w:val="left"/>
              <w:rPr>
                <w:rFonts w:cs="Times New Roman"/>
                <w:color w:val="000000"/>
                <w:sz w:val="20"/>
                <w:lang w:eastAsia="en-GB"/>
              </w:rPr>
            </w:pPr>
            <w:r>
              <w:rPr>
                <w:rFonts w:cs="Times New Roman"/>
                <w:color w:val="000000"/>
                <w:sz w:val="20"/>
                <w:lang w:eastAsia="en-GB"/>
              </w:rPr>
              <w:t>S. epidermidis</w:t>
            </w:r>
            <w:r w:rsidRPr="000E2A1A">
              <w:rPr>
                <w:rFonts w:cs="Times New Roman"/>
                <w:color w:val="000000"/>
                <w:sz w:val="20"/>
                <w:lang w:eastAsia="en-GB"/>
              </w:rPr>
              <w:t>LOS</w:t>
            </w:r>
          </w:p>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 xml:space="preserve">day 14 </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c>
          <w:tcPr>
            <w:tcW w:w="1058"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c>
          <w:tcPr>
            <w:tcW w:w="177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Medical NEC</w:t>
            </w:r>
          </w:p>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 xml:space="preserve">day 28 + </w:t>
            </w:r>
            <w:r>
              <w:rPr>
                <w:rFonts w:cs="Times New Roman"/>
                <w:color w:val="000000"/>
                <w:sz w:val="20"/>
                <w:lang w:eastAsia="en-GB"/>
              </w:rPr>
              <w:t xml:space="preserve">CoNS </w:t>
            </w:r>
            <w:r w:rsidRPr="000E2A1A">
              <w:rPr>
                <w:rFonts w:cs="Times New Roman"/>
                <w:color w:val="000000"/>
                <w:sz w:val="20"/>
                <w:lang w:eastAsia="en-GB"/>
              </w:rPr>
              <w:t>LOS day 13</w:t>
            </w:r>
          </w:p>
        </w:tc>
        <w:tc>
          <w:tcPr>
            <w:tcW w:w="132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r>
      <w:tr w:rsidR="00B35332" w:rsidRPr="000E2A1A" w:rsidTr="006A6276">
        <w:trPr>
          <w:trHeight w:val="564"/>
        </w:trPr>
        <w:tc>
          <w:tcPr>
            <w:tcW w:w="2196"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Live</w:t>
            </w:r>
          </w:p>
        </w:tc>
        <w:tc>
          <w:tcPr>
            <w:tcW w:w="133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Yes</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Yes</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Yes</w:t>
            </w:r>
          </w:p>
        </w:tc>
        <w:tc>
          <w:tcPr>
            <w:tcW w:w="1265"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Yes</w:t>
            </w:r>
          </w:p>
        </w:tc>
        <w:tc>
          <w:tcPr>
            <w:tcW w:w="1069"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Yes</w:t>
            </w:r>
          </w:p>
        </w:tc>
        <w:tc>
          <w:tcPr>
            <w:tcW w:w="116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Yes</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Yes</w:t>
            </w:r>
          </w:p>
        </w:tc>
        <w:tc>
          <w:tcPr>
            <w:tcW w:w="1058"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Yes</w:t>
            </w:r>
          </w:p>
        </w:tc>
        <w:tc>
          <w:tcPr>
            <w:tcW w:w="177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No</w:t>
            </w:r>
          </w:p>
        </w:tc>
        <w:tc>
          <w:tcPr>
            <w:tcW w:w="132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Yes</w:t>
            </w:r>
          </w:p>
        </w:tc>
      </w:tr>
      <w:tr w:rsidR="00B35332" w:rsidRPr="000E2A1A" w:rsidTr="006A6276">
        <w:trPr>
          <w:trHeight w:val="564"/>
        </w:trPr>
        <w:tc>
          <w:tcPr>
            <w:tcW w:w="2196"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Sex</w:t>
            </w:r>
          </w:p>
        </w:tc>
        <w:tc>
          <w:tcPr>
            <w:tcW w:w="133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F</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F</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M</w:t>
            </w:r>
          </w:p>
        </w:tc>
        <w:tc>
          <w:tcPr>
            <w:tcW w:w="1265"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M</w:t>
            </w:r>
          </w:p>
        </w:tc>
        <w:tc>
          <w:tcPr>
            <w:tcW w:w="1069"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F</w:t>
            </w:r>
          </w:p>
        </w:tc>
        <w:tc>
          <w:tcPr>
            <w:tcW w:w="116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M</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F</w:t>
            </w:r>
          </w:p>
        </w:tc>
        <w:tc>
          <w:tcPr>
            <w:tcW w:w="1058"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M</w:t>
            </w:r>
          </w:p>
        </w:tc>
        <w:tc>
          <w:tcPr>
            <w:tcW w:w="177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F</w:t>
            </w:r>
          </w:p>
        </w:tc>
        <w:tc>
          <w:tcPr>
            <w:tcW w:w="132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M</w:t>
            </w:r>
          </w:p>
        </w:tc>
      </w:tr>
      <w:tr w:rsidR="00B35332" w:rsidRPr="000E2A1A" w:rsidTr="006A6276">
        <w:trPr>
          <w:trHeight w:val="564"/>
        </w:trPr>
        <w:tc>
          <w:tcPr>
            <w:tcW w:w="2196"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DOL on probiotics</w:t>
            </w:r>
          </w:p>
        </w:tc>
        <w:tc>
          <w:tcPr>
            <w:tcW w:w="133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w:t>
            </w:r>
          </w:p>
        </w:tc>
        <w:tc>
          <w:tcPr>
            <w:tcW w:w="1265"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31-61</w:t>
            </w:r>
          </w:p>
        </w:tc>
        <w:tc>
          <w:tcPr>
            <w:tcW w:w="1069"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14-28</w:t>
            </w:r>
          </w:p>
        </w:tc>
        <w:tc>
          <w:tcPr>
            <w:tcW w:w="116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12-70</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3-12</w:t>
            </w:r>
          </w:p>
        </w:tc>
        <w:tc>
          <w:tcPr>
            <w:tcW w:w="1058"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8-26</w:t>
            </w:r>
          </w:p>
        </w:tc>
        <w:tc>
          <w:tcPr>
            <w:tcW w:w="177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14-26</w:t>
            </w:r>
          </w:p>
        </w:tc>
        <w:tc>
          <w:tcPr>
            <w:tcW w:w="132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5-73</w:t>
            </w:r>
          </w:p>
        </w:tc>
      </w:tr>
      <w:tr w:rsidR="00B35332" w:rsidRPr="000E2A1A" w:rsidTr="006A6276">
        <w:trPr>
          <w:trHeight w:val="564"/>
        </w:trPr>
        <w:tc>
          <w:tcPr>
            <w:tcW w:w="2196"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Samples</w:t>
            </w:r>
          </w:p>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 (DOL Range, median)</w:t>
            </w:r>
          </w:p>
        </w:tc>
        <w:tc>
          <w:tcPr>
            <w:tcW w:w="133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10 (12-108, 55)</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7 (3-35, 14)</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7 (3-35, 14)</w:t>
            </w:r>
          </w:p>
        </w:tc>
        <w:tc>
          <w:tcPr>
            <w:tcW w:w="1265"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7 (9-77, 59)</w:t>
            </w:r>
          </w:p>
        </w:tc>
        <w:tc>
          <w:tcPr>
            <w:tcW w:w="1069"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7 (9-54, 40)</w:t>
            </w:r>
          </w:p>
        </w:tc>
        <w:tc>
          <w:tcPr>
            <w:tcW w:w="116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12 (9-64, 29)</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5 (6-21, 10)</w:t>
            </w:r>
          </w:p>
        </w:tc>
        <w:tc>
          <w:tcPr>
            <w:tcW w:w="1058"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4 (9-29,19)</w:t>
            </w:r>
          </w:p>
        </w:tc>
        <w:tc>
          <w:tcPr>
            <w:tcW w:w="177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3 (6-27,16)</w:t>
            </w:r>
          </w:p>
        </w:tc>
        <w:tc>
          <w:tcPr>
            <w:tcW w:w="132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8 (7-38, 17)</w:t>
            </w:r>
          </w:p>
        </w:tc>
      </w:tr>
      <w:tr w:rsidR="00B35332" w:rsidRPr="000E2A1A" w:rsidTr="006A6276">
        <w:trPr>
          <w:trHeight w:val="564"/>
        </w:trPr>
        <w:tc>
          <w:tcPr>
            <w:tcW w:w="2196"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Post discharge age (weeks)</w:t>
            </w:r>
          </w:p>
        </w:tc>
        <w:tc>
          <w:tcPr>
            <w:tcW w:w="133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c>
          <w:tcPr>
            <w:tcW w:w="1265"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62</w:t>
            </w:r>
          </w:p>
        </w:tc>
        <w:tc>
          <w:tcPr>
            <w:tcW w:w="1069"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60</w:t>
            </w:r>
          </w:p>
        </w:tc>
        <w:tc>
          <w:tcPr>
            <w:tcW w:w="116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59</w:t>
            </w:r>
          </w:p>
        </w:tc>
        <w:tc>
          <w:tcPr>
            <w:tcW w:w="1083"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c>
          <w:tcPr>
            <w:tcW w:w="1058"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c>
          <w:tcPr>
            <w:tcW w:w="1774"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NA</w:t>
            </w:r>
          </w:p>
        </w:tc>
        <w:tc>
          <w:tcPr>
            <w:tcW w:w="1320" w:type="dxa"/>
          </w:tcPr>
          <w:p w:rsidR="00B35332" w:rsidRPr="000E2A1A" w:rsidRDefault="00B35332" w:rsidP="006A6276">
            <w:pPr>
              <w:spacing w:after="0" w:line="240" w:lineRule="auto"/>
              <w:contextualSpacing/>
              <w:jc w:val="left"/>
              <w:rPr>
                <w:rFonts w:cs="Times New Roman"/>
                <w:color w:val="000000"/>
                <w:sz w:val="20"/>
                <w:lang w:eastAsia="en-GB"/>
              </w:rPr>
            </w:pPr>
            <w:r w:rsidRPr="000E2A1A">
              <w:rPr>
                <w:rFonts w:cs="Times New Roman"/>
                <w:color w:val="000000"/>
                <w:sz w:val="20"/>
                <w:lang w:eastAsia="en-GB"/>
              </w:rPr>
              <w:t>54</w:t>
            </w:r>
          </w:p>
        </w:tc>
      </w:tr>
      <w:tr w:rsidR="00B35332" w:rsidRPr="000E2A1A" w:rsidTr="006A6276">
        <w:trPr>
          <w:trHeight w:val="564"/>
        </w:trPr>
        <w:tc>
          <w:tcPr>
            <w:tcW w:w="2196" w:type="dxa"/>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Pr>
                <w:rFonts w:cs="Times New Roman"/>
                <w:color w:val="000000"/>
                <w:sz w:val="20"/>
                <w:lang w:eastAsia="en-GB"/>
              </w:rPr>
              <w:t>Antibiotics course combination</w:t>
            </w:r>
          </w:p>
        </w:tc>
        <w:tc>
          <w:tcPr>
            <w:tcW w:w="1330" w:type="dxa"/>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6365CB">
              <w:rPr>
                <w:rFonts w:cs="Times New Roman"/>
                <w:color w:val="000000"/>
                <w:sz w:val="20"/>
                <w:lang w:eastAsia="en-GB"/>
              </w:rPr>
              <w:t>0(P2, g2) 6 (M2,C2,V2) 30 (A6,F6,G6)</w:t>
            </w:r>
          </w:p>
        </w:tc>
        <w:tc>
          <w:tcPr>
            <w:tcW w:w="1083" w:type="dxa"/>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6365CB">
              <w:rPr>
                <w:rFonts w:cs="Times New Roman"/>
                <w:color w:val="000000"/>
                <w:sz w:val="20"/>
                <w:lang w:eastAsia="en-GB"/>
              </w:rPr>
              <w:t>0(P2, G2)</w:t>
            </w:r>
          </w:p>
        </w:tc>
        <w:tc>
          <w:tcPr>
            <w:tcW w:w="1083" w:type="dxa"/>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6365CB">
              <w:rPr>
                <w:rFonts w:cs="Times New Roman"/>
                <w:color w:val="000000"/>
                <w:sz w:val="20"/>
                <w:lang w:eastAsia="en-GB"/>
              </w:rPr>
              <w:t>0(P2, G2)</w:t>
            </w:r>
          </w:p>
        </w:tc>
        <w:tc>
          <w:tcPr>
            <w:tcW w:w="1265" w:type="dxa"/>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6365CB">
              <w:rPr>
                <w:rFonts w:cs="Times New Roman"/>
                <w:color w:val="000000"/>
                <w:sz w:val="20"/>
                <w:lang w:eastAsia="en-GB"/>
              </w:rPr>
              <w:t>0(P,G2) 3 (C5,V7,M8) 14 (C5,V5,M5) 28 (C2,V2) 33 (C2,V2)</w:t>
            </w:r>
          </w:p>
        </w:tc>
        <w:tc>
          <w:tcPr>
            <w:tcW w:w="1069" w:type="dxa"/>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6365CB">
              <w:rPr>
                <w:rFonts w:cs="Times New Roman"/>
                <w:color w:val="000000"/>
                <w:sz w:val="20"/>
                <w:lang w:eastAsia="en-GB"/>
              </w:rPr>
              <w:t>0 (P2, G2)</w:t>
            </w:r>
          </w:p>
        </w:tc>
        <w:tc>
          <w:tcPr>
            <w:tcW w:w="1164" w:type="dxa"/>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6365CB">
              <w:rPr>
                <w:rFonts w:cs="Times New Roman"/>
                <w:color w:val="000000"/>
                <w:sz w:val="20"/>
                <w:lang w:eastAsia="en-GB"/>
              </w:rPr>
              <w:t>0(p,2 g2), 14 (V2, m2, c2) 36 (v4,c4,m4) 51 (v2,c2) y</w:t>
            </w:r>
          </w:p>
        </w:tc>
        <w:tc>
          <w:tcPr>
            <w:tcW w:w="1083" w:type="dxa"/>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6365CB">
              <w:rPr>
                <w:rFonts w:cs="Times New Roman"/>
                <w:color w:val="000000"/>
                <w:sz w:val="20"/>
                <w:lang w:eastAsia="en-GB"/>
              </w:rPr>
              <w:t>0(P2, G2)</w:t>
            </w:r>
          </w:p>
        </w:tc>
        <w:tc>
          <w:tcPr>
            <w:tcW w:w="1058" w:type="dxa"/>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6365CB">
              <w:rPr>
                <w:rFonts w:cs="Times New Roman"/>
                <w:color w:val="000000"/>
                <w:sz w:val="20"/>
                <w:lang w:eastAsia="en-GB"/>
              </w:rPr>
              <w:t>0(P2, G2)</w:t>
            </w:r>
          </w:p>
        </w:tc>
        <w:tc>
          <w:tcPr>
            <w:tcW w:w="1774" w:type="dxa"/>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6365CB">
              <w:rPr>
                <w:rFonts w:cs="Times New Roman"/>
                <w:color w:val="000000"/>
                <w:sz w:val="20"/>
                <w:lang w:eastAsia="en-GB"/>
              </w:rPr>
              <w:t>0(P2G2) 12(V7,C7,M7)</w:t>
            </w:r>
          </w:p>
        </w:tc>
        <w:tc>
          <w:tcPr>
            <w:tcW w:w="1320" w:type="dxa"/>
            <w:tcBorders>
              <w:bottom w:val="single" w:sz="4" w:space="0" w:color="auto"/>
            </w:tcBorders>
          </w:tcPr>
          <w:p w:rsidR="00B35332" w:rsidRPr="000E2A1A" w:rsidRDefault="00B35332" w:rsidP="006A6276">
            <w:pPr>
              <w:spacing w:after="0" w:line="240" w:lineRule="auto"/>
              <w:contextualSpacing/>
              <w:jc w:val="left"/>
              <w:rPr>
                <w:rFonts w:cs="Times New Roman"/>
                <w:color w:val="000000"/>
                <w:sz w:val="20"/>
                <w:lang w:eastAsia="en-GB"/>
              </w:rPr>
            </w:pPr>
            <w:r w:rsidRPr="006365CB">
              <w:rPr>
                <w:rFonts w:cs="Times New Roman"/>
                <w:color w:val="000000"/>
                <w:sz w:val="20"/>
                <w:lang w:eastAsia="en-GB"/>
              </w:rPr>
              <w:t>0(P2G2) 11 (A3,F3,G3) 23(A2,F2,G2) 28 (A2,F2,G2) 59 (A2,G2,F2)</w:t>
            </w:r>
          </w:p>
        </w:tc>
      </w:tr>
    </w:tbl>
    <w:p w:rsidR="00B35332" w:rsidRDefault="00B35332" w:rsidP="00B35332">
      <w:pPr>
        <w:spacing w:after="0" w:line="240" w:lineRule="auto"/>
        <w:jc w:val="left"/>
        <w:rPr>
          <w:rFonts w:cs="Times New Roman"/>
          <w:b/>
          <w:szCs w:val="24"/>
        </w:rPr>
        <w:sectPr w:rsidR="00B35332" w:rsidSect="006A6276">
          <w:pgSz w:w="16838" w:h="11906" w:orient="landscape"/>
          <w:pgMar w:top="1440" w:right="1440" w:bottom="1440" w:left="1440" w:header="708" w:footer="708" w:gutter="0"/>
          <w:cols w:space="708"/>
          <w:docGrid w:linePitch="360"/>
        </w:sectPr>
      </w:pPr>
    </w:p>
    <w:p w:rsidR="00B35332" w:rsidRDefault="00B35332" w:rsidP="00B35332">
      <w:pPr>
        <w:spacing w:after="0" w:line="240" w:lineRule="auto"/>
        <w:jc w:val="left"/>
        <w:rPr>
          <w:rFonts w:cs="Times New Roman"/>
          <w:b/>
          <w:szCs w:val="24"/>
        </w:rPr>
      </w:pPr>
    </w:p>
    <w:p w:rsidR="00B35332" w:rsidRPr="00881B43" w:rsidRDefault="00B35332" w:rsidP="00B35332">
      <w:pPr>
        <w:spacing w:after="0"/>
        <w:rPr>
          <w:rFonts w:cs="Times New Roman"/>
          <w:szCs w:val="24"/>
        </w:rPr>
      </w:pPr>
      <w:r w:rsidRPr="00881B43">
        <w:rPr>
          <w:rFonts w:cs="Times New Roman"/>
          <w:b/>
          <w:szCs w:val="24"/>
        </w:rPr>
        <w:t xml:space="preserve">Analysis of Faecal microbiota composition by </w:t>
      </w:r>
      <w:r>
        <w:rPr>
          <w:rFonts w:cs="Times New Roman"/>
          <w:b/>
          <w:szCs w:val="24"/>
        </w:rPr>
        <w:t>16S bacterial profiling</w:t>
      </w:r>
    </w:p>
    <w:p w:rsidR="00B35332" w:rsidRDefault="00B35332" w:rsidP="00B35332">
      <w:pPr>
        <w:autoSpaceDE w:val="0"/>
        <w:autoSpaceDN w:val="0"/>
        <w:adjustRightInd w:val="0"/>
        <w:spacing w:after="0"/>
        <w:rPr>
          <w:rFonts w:cs="Times New Roman"/>
          <w:szCs w:val="24"/>
        </w:rPr>
      </w:pPr>
      <w:r w:rsidRPr="00881B43">
        <w:rPr>
          <w:rFonts w:cs="Times New Roman"/>
          <w:szCs w:val="24"/>
        </w:rPr>
        <w:t xml:space="preserve">Bacterial DNA was extracted from 100 mg of stool using PowerLyzer™ PowerSoil® DNA Isolation Kit (MoBio) according to manufacturer’s instructions. Bacterial was carried out by NU-OMICS (Northumbria University) based on the Schloss wet-lab MiSeq SOP (available at - </w:t>
      </w:r>
      <w:hyperlink r:id="rId9" w:history="1">
        <w:r w:rsidRPr="00881B43">
          <w:rPr>
            <w:rFonts w:cs="Times New Roman"/>
            <w:szCs w:val="24"/>
          </w:rPr>
          <w:t>http://www.mothur.org/wiki/MiSeq_SOP</w:t>
        </w:r>
      </w:hyperlink>
      <w:r w:rsidRPr="00881B43">
        <w:rPr>
          <w:rFonts w:cs="Times New Roman"/>
          <w:szCs w:val="24"/>
        </w:rPr>
        <w:t>). Raw fastq data were processed using Mothur (version 1.31.2) as described in the MiSeq SOP.</w:t>
      </w:r>
      <w:r w:rsidRPr="00881B43">
        <w:rPr>
          <w:rFonts w:cs="Times New Roman"/>
          <w:szCs w:val="24"/>
        </w:rPr>
        <w:fldChar w:fldCharType="begin" w:fldLock="1"/>
      </w:r>
      <w:r>
        <w:rPr>
          <w:rFonts w:cs="Times New Roman"/>
          <w:szCs w:val="24"/>
        </w:rPr>
        <w:instrText>ADDIN CSL_CITATION { "citationItems" : [ { "id" : "ITEM-1", "itemData" : { "DOI" : "10.1128/AEM.01043-13", "ISSN" : "1098-5336", "PMID" : "23793624", "abstract" : "Rapid advances in sequencing technology have changed the experimental landscape of microbial ecology. In the last 10 years, the field has moved from sequencing hundreds of 16S rRNA gene fragments per study using clone libraries to the sequencing of millions of fragments per study using next-generation sequencing technologies from 454 and Illumina. As these technologies advance, it is critical to assess the strengths, weaknesses, and overall suitability of these platforms for the interrogation of microbial communities. Here, we present an improved method for sequencing variable regions within the 16S rRNA gene using Illumina's MiSeq platform, which is currently capable of producing paired 250-nucleotide reads. We evaluated three overlapping regions of the 16S rRNA gene that vary in length (i.e., V34, V4, and V45) by resequencing a mock community and natural samples from human feces, mouse feces, and soil. By titrating the concentration of 16S rRNA gene amplicons applied to the flow cell and using a quality score-based approach to correct discrepancies between reads used to construct contigs, we were able to reduce error rates by as much as two orders of magnitude. Finally, we reprocessed samples from a previous study to demonstrate that large numbers of samples could be multiplexed and sequenced in parallel with shotgun metagenomes. These analyses demonstrate that our approach can provide data that are at least as good as that generated by the 454 platform while providing considerably higher sequencing coverage for a fraction of the cost.", "author" : [ { "dropping-particle" : "", "family" : "Kozich", "given" : "James J", "non-dropping-particle" : "", "parse-names" : false, "suffix" : "" }, { "dropping-particle" : "", "family" : "Westcott", "given" : "Sarah L", "non-dropping-particle" : "", "parse-names" : false, "suffix" : "" }, { "dropping-particle" : "", "family" : "Baxter", "given" : "Nielson T", "non-dropping-particle" : "", "parse-names" : false, "suffix" : "" }, { "dropping-particle" : "", "family" : "Highlander", "given" : "Sarah K", "non-dropping-particle" : "", "parse-names" : false, "suffix" : "" }, { "dropping-particle" : "", "family" : "Schloss", "given" : "Patrick D", "non-dropping-particle" : "", "parse-names" : false, "suffix" : "" } ], "container-title" : "Applied and environmental microbiology", "id" : "ITEM-1", "issue" : "17", "issued" : { "date-parts" : [ [ "2013", "9" ] ] }, "page" : "5112-20", "title" : "Development of a dual-index sequencing strategy and curation pipeline for analyzing amplicon sequence data on the MiSeq Illumina sequencing platform.", "type" : "article-journal", "volume" : "79" }, "uris" : [ "http://www.mendeley.com/documents/?uuid=8e7510b1-4e97-407d-8e50-7b8e2b82d1b5", "http://www.mendeley.com/documents/?uuid=379fc666-ecd0-4aa8-85c5-60288ef0e985" ] } ], "mendeley" : { "formattedCitation" : "(Kozich &lt;i&gt;et al.&lt;/i&gt;, 2013)", "plainTextFormattedCitation" : "(Kozich et al., 2013)", "previouslyFormattedCitation" : "[14]" }, "properties" : { "noteIndex" : 0 }, "schema" : "https://github.com/citation-style-language/schema/raw/master/csl-citation.json" }</w:instrText>
      </w:r>
      <w:r w:rsidRPr="00881B43">
        <w:rPr>
          <w:rFonts w:cs="Times New Roman"/>
          <w:szCs w:val="24"/>
        </w:rPr>
        <w:fldChar w:fldCharType="separate"/>
      </w:r>
      <w:r w:rsidRPr="0083592E">
        <w:rPr>
          <w:rFonts w:cs="Times New Roman"/>
          <w:noProof/>
          <w:szCs w:val="24"/>
        </w:rPr>
        <w:t>[14]</w:t>
      </w:r>
      <w:r w:rsidRPr="00881B43">
        <w:rPr>
          <w:rFonts w:cs="Times New Roman"/>
          <w:szCs w:val="24"/>
        </w:rPr>
        <w:fldChar w:fldCharType="end"/>
      </w:r>
      <w:r w:rsidRPr="00881B43">
        <w:rPr>
          <w:rFonts w:cs="Times New Roman"/>
          <w:szCs w:val="24"/>
        </w:rPr>
        <w:t xml:space="preserve"> Sequences were deposited in MG-R</w:t>
      </w:r>
      <w:r>
        <w:rPr>
          <w:rFonts w:cs="Times New Roman"/>
          <w:szCs w:val="24"/>
        </w:rPr>
        <w:t>AST under the accession numbers</w:t>
      </w:r>
      <w:r w:rsidRPr="00881B43">
        <w:rPr>
          <w:rFonts w:cs="Times New Roman"/>
          <w:szCs w:val="24"/>
        </w:rPr>
        <w:t xml:space="preserve"> 4615668.3-4615749.3.</w:t>
      </w:r>
    </w:p>
    <w:p w:rsidR="00B35332" w:rsidRDefault="00B35332" w:rsidP="00B35332">
      <w:pPr>
        <w:autoSpaceDE w:val="0"/>
        <w:autoSpaceDN w:val="0"/>
        <w:adjustRightInd w:val="0"/>
        <w:spacing w:after="0"/>
        <w:rPr>
          <w:rFonts w:cs="Times New Roman"/>
          <w:szCs w:val="24"/>
        </w:rPr>
      </w:pPr>
    </w:p>
    <w:p w:rsidR="00B35332" w:rsidRPr="00881B43" w:rsidRDefault="00B35332" w:rsidP="00B35332">
      <w:pPr>
        <w:spacing w:after="0"/>
        <w:rPr>
          <w:rFonts w:cs="Times New Roman"/>
          <w:szCs w:val="24"/>
        </w:rPr>
      </w:pPr>
      <w:r w:rsidRPr="00881B43">
        <w:rPr>
          <w:rFonts w:cs="Times New Roman"/>
          <w:b/>
          <w:szCs w:val="24"/>
        </w:rPr>
        <w:t xml:space="preserve">Analysis of </w:t>
      </w:r>
      <w:r w:rsidRPr="00881B43">
        <w:rPr>
          <w:rFonts w:cs="Times New Roman"/>
          <w:b/>
          <w:i/>
          <w:szCs w:val="24"/>
        </w:rPr>
        <w:t>Lactobacillus acidophilus</w:t>
      </w:r>
      <w:r w:rsidRPr="00881B43">
        <w:rPr>
          <w:rFonts w:cs="Times New Roman"/>
          <w:b/>
          <w:szCs w:val="24"/>
        </w:rPr>
        <w:t xml:space="preserve"> and </w:t>
      </w:r>
      <w:r w:rsidRPr="00881B43">
        <w:rPr>
          <w:rFonts w:cs="Times New Roman"/>
          <w:b/>
          <w:i/>
          <w:szCs w:val="24"/>
        </w:rPr>
        <w:t>Bifidobacterium bifidum</w:t>
      </w:r>
      <w:r w:rsidRPr="00881B43">
        <w:rPr>
          <w:rFonts w:cs="Times New Roman"/>
          <w:b/>
          <w:szCs w:val="24"/>
        </w:rPr>
        <w:t xml:space="preserve"> by qPCR</w:t>
      </w:r>
    </w:p>
    <w:p w:rsidR="00B35332" w:rsidRDefault="00B35332" w:rsidP="00B35332">
      <w:pPr>
        <w:spacing w:after="0"/>
        <w:rPr>
          <w:rFonts w:cs="Times New Roman"/>
          <w:szCs w:val="24"/>
        </w:rPr>
      </w:pPr>
      <w:r>
        <w:rPr>
          <w:rFonts w:cs="Times New Roman"/>
          <w:szCs w:val="24"/>
        </w:rPr>
        <w:t xml:space="preserve">To generate standard curves, PCR products (Table 2) were cleaned using Exo-SAP-IT and cloned into pGEM-T easy vector (Promega) and expressed in </w:t>
      </w:r>
      <w:r w:rsidRPr="00FD4C97">
        <w:rPr>
          <w:rFonts w:cs="Times New Roman"/>
          <w:i/>
          <w:szCs w:val="24"/>
        </w:rPr>
        <w:t>E. coli</w:t>
      </w:r>
      <w:r>
        <w:rPr>
          <w:rFonts w:cs="Times New Roman"/>
          <w:szCs w:val="24"/>
        </w:rPr>
        <w:t xml:space="preserve"> K12 cells.</w:t>
      </w:r>
      <w:r>
        <w:rPr>
          <w:rFonts w:cs="Times New Roman"/>
          <w:szCs w:val="24"/>
        </w:rPr>
        <w:fldChar w:fldCharType="begin" w:fldLock="1"/>
      </w:r>
      <w:r>
        <w:rPr>
          <w:rFonts w:cs="Times New Roman"/>
          <w:szCs w:val="24"/>
        </w:rPr>
        <w:instrText>ADDIN CSL_CITATION { "citationItems" : [ { "id" : "ITEM-1", "itemData" : { "DOI" : "10.1016/j.idairyj.2007.01.010", "ISBN" : "09586946", "author" : [ { "dropping-particle" : "", "family" : "Tabasco", "given" : "R", "non-dropping-particle" : "", "parse-names" : false, "suffix" : "" }, { "dropping-particle" : "", "family" : "Paarup", "given" : "T", "non-dropping-particle" : "", "parse-names" : false, "suffix" : "" }, { "dropping-particle" : "", "family" : "Janer", "given" : "C", "non-dropping-particle" : "", "parse-names" : false, "suffix" : "" }, { "dropping-particle" : "", "family" : "Pel\u00e1ez", "given" : "C", "non-dropping-particle" : "", "parse-names" : false, "suffix" : "" }, { "dropping-particle" : "", "family" : "Requena", "given" : "T", "non-dropping-particle" : "", "parse-names" : false, "suffix" : "" } ], "container-title" : "International Dairy Journal", "id" : "ITEM-1", "issue" : "9", "issued" : { "date-parts" : [ [ "2007" ] ] }, "page" : "1107-1114", "title" : "Selective enumeration and identification of mixed cultures of Streptococcus thermophilus, Lactobacillus delbrueckii subsp. bulgaricus, L. acidophilus, L. paracasei subsp. paracasei and Bifidobacterium lactis in fermented milk", "type" : "article-journal", "volume" : "17" }, "uris" : [ "http://www.mendeley.com/documents/?uuid=5744f618-9819-418a-842f-f4f0613757af", "http://www.mendeley.com/documents/?uuid=7ca99fed-26a2-4c63-9ca2-d9661a2ba844" ] }, { "id" : "ITEM-2", "itemData" : { "DOI" : "10.1128/AEM.70.12.7220-7228.2004", "ISBN" : "0099-2240 (Print)\r0099-2240 (Linking)", "PMID" : "15574920", "author" : [ { "dropping-particle" : "", "family" : "Matsuki", "given" : "T", "non-dropping-particle" : "", "parse-names" : false, "suffix" : "" }, { "dropping-particle" : "", "family" : "Watanabe", "given" : "K", "non-dropping-particle" : "", "parse-names" : false, "suffix" : "" }, { "dropping-particle" : "", "family" : "Fujimoto", "given" : "J", "non-dropping-particle" : "", "parse-names" : false, "suffix" : "" }, { "dropping-particle" : "", "family" : "Takada", "given" : "T", "non-dropping-particle" : "", "parse-names" : false, "suffix" : "" }, { "dropping-particle" : "", "family" : "Tanaka", "given" : "R", "non-dropping-particle" : "", "parse-names" : false, "suffix" : "" } ], "container-title" : "Appl Environ Microbiol", "id" : "ITEM-2", "issue" : "12", "issued" : { "date-parts" : [ [ "2004" ] ] }, "page" : "7220-7228", "title" : "Use of 16S rRNA gene-targeted group-specific primers for real-time PCR analysis of predominant bacteria in human feces", "type" : "article-journal", "volume" : "70" }, "uris" : [ "http://www.mendeley.com/documents/?uuid=7d6bb7f0-c19a-4a81-b080-43ba9267044e", "http://www.mendeley.com/documents/?uuid=95484781-823a-44fb-ad6d-e831cbc01186" ] } ], "mendeley" : { "previouslyFormattedCitation" : "[15,16]" }, "properties" : { "noteIndex" : 0 }, "schema" : "https://github.com/citation-style-language/schema/raw/master/csl-citation.json" }</w:instrText>
      </w:r>
      <w:r>
        <w:rPr>
          <w:rFonts w:cs="Times New Roman"/>
          <w:szCs w:val="24"/>
        </w:rPr>
        <w:fldChar w:fldCharType="separate"/>
      </w:r>
      <w:r w:rsidRPr="0083592E">
        <w:rPr>
          <w:rFonts w:cs="Times New Roman"/>
          <w:noProof/>
          <w:szCs w:val="24"/>
        </w:rPr>
        <w:t>[15,16]</w:t>
      </w:r>
      <w:r>
        <w:rPr>
          <w:rFonts w:cs="Times New Roman"/>
          <w:szCs w:val="24"/>
        </w:rPr>
        <w:fldChar w:fldCharType="end"/>
      </w:r>
      <w:r>
        <w:rPr>
          <w:rFonts w:cs="Times New Roman"/>
          <w:szCs w:val="24"/>
        </w:rPr>
        <w:t xml:space="preserve"> Plasmid DNA was extracted using the </w:t>
      </w:r>
      <w:r w:rsidRPr="00881B43">
        <w:rPr>
          <w:rFonts w:cs="Times New Roman"/>
          <w:szCs w:val="24"/>
        </w:rPr>
        <w:t>PureYield™ Plasmid</w:t>
      </w:r>
      <w:r w:rsidRPr="00881B43">
        <w:rPr>
          <w:rFonts w:cs="Times New Roman"/>
          <w:i/>
          <w:szCs w:val="24"/>
        </w:rPr>
        <w:t xml:space="preserve"> </w:t>
      </w:r>
      <w:r w:rsidRPr="00881B43">
        <w:rPr>
          <w:rFonts w:cs="Times New Roman"/>
          <w:szCs w:val="24"/>
        </w:rPr>
        <w:t>Miniprep kit (Promega)</w:t>
      </w:r>
      <w:r>
        <w:rPr>
          <w:rFonts w:cs="Times New Roman"/>
          <w:szCs w:val="24"/>
        </w:rPr>
        <w:t xml:space="preserve">, quantified using </w:t>
      </w:r>
      <w:r w:rsidRPr="00881B43">
        <w:rPr>
          <w:rFonts w:cs="Times New Roman"/>
          <w:szCs w:val="24"/>
        </w:rPr>
        <w:t>NanoDrop 1000 (Thermo Scientific)</w:t>
      </w:r>
      <w:r>
        <w:rPr>
          <w:rFonts w:cs="Times New Roman"/>
          <w:szCs w:val="24"/>
        </w:rPr>
        <w:t xml:space="preserve"> and used to generate standards from X-Y copies/g. Absolute</w:t>
      </w:r>
      <w:r w:rsidRPr="000E0CDA">
        <w:rPr>
          <w:rFonts w:cs="Times New Roman"/>
          <w:szCs w:val="24"/>
        </w:rPr>
        <w:t xml:space="preserve"> </w:t>
      </w:r>
      <w:r>
        <w:rPr>
          <w:rFonts w:cs="Times New Roman"/>
          <w:szCs w:val="24"/>
        </w:rPr>
        <w:t xml:space="preserve">quantification was carried out in a CFX96 (Bio-Rad) using </w:t>
      </w:r>
      <w:r w:rsidRPr="000B5BEA">
        <w:rPr>
          <w:rFonts w:cs="Times New Roman"/>
          <w:szCs w:val="24"/>
        </w:rPr>
        <w:t>ABsolute QPCR SYBR Green</w:t>
      </w:r>
      <w:r>
        <w:rPr>
          <w:rFonts w:cs="Times New Roman"/>
          <w:szCs w:val="24"/>
        </w:rPr>
        <w:t xml:space="preserve"> mix (</w:t>
      </w:r>
      <w:r w:rsidRPr="00881B43">
        <w:rPr>
          <w:rFonts w:cs="Times New Roman"/>
          <w:szCs w:val="24"/>
        </w:rPr>
        <w:t>Thermo Scientific)</w:t>
      </w:r>
      <w:r>
        <w:rPr>
          <w:rFonts w:cs="Times New Roman"/>
          <w:szCs w:val="24"/>
        </w:rPr>
        <w:t>.</w:t>
      </w:r>
    </w:p>
    <w:p w:rsidR="00B35332" w:rsidRDefault="00B35332" w:rsidP="00B35332">
      <w:pPr>
        <w:spacing w:after="0"/>
        <w:rPr>
          <w:rFonts w:cs="Times New Roman"/>
          <w:szCs w:val="24"/>
        </w:rPr>
      </w:pPr>
    </w:p>
    <w:p w:rsidR="00B35332" w:rsidRPr="00881B43" w:rsidRDefault="00B35332" w:rsidP="00B35332">
      <w:pPr>
        <w:spacing w:after="0"/>
        <w:rPr>
          <w:rFonts w:cs="Times New Roman"/>
          <w:b/>
          <w:szCs w:val="24"/>
        </w:rPr>
      </w:pPr>
      <w:r w:rsidRPr="00881B43">
        <w:rPr>
          <w:rFonts w:cs="Times New Roman"/>
          <w:b/>
          <w:szCs w:val="24"/>
        </w:rPr>
        <w:t xml:space="preserve">Table 2: Primers used in </w:t>
      </w:r>
      <w:r>
        <w:rPr>
          <w:rFonts w:cs="Times New Roman"/>
          <w:b/>
          <w:szCs w:val="24"/>
        </w:rPr>
        <w:t>qPCR</w:t>
      </w:r>
    </w:p>
    <w:tbl>
      <w:tblPr>
        <w:tblpPr w:leftFromText="180" w:rightFromText="180" w:vertAnchor="text" w:horzAnchor="margin" w:tblpY="202"/>
        <w:tblW w:w="9464" w:type="dxa"/>
        <w:tblLayout w:type="fixed"/>
        <w:tblLook w:val="00A0" w:firstRow="1" w:lastRow="0" w:firstColumn="1" w:lastColumn="0" w:noHBand="0" w:noVBand="0"/>
      </w:tblPr>
      <w:tblGrid>
        <w:gridCol w:w="1242"/>
        <w:gridCol w:w="851"/>
        <w:gridCol w:w="2551"/>
        <w:gridCol w:w="1134"/>
        <w:gridCol w:w="1134"/>
        <w:gridCol w:w="851"/>
        <w:gridCol w:w="1701"/>
      </w:tblGrid>
      <w:tr w:rsidR="00B35332" w:rsidRPr="00160450" w:rsidTr="006A6276">
        <w:trPr>
          <w:trHeight w:val="557"/>
        </w:trPr>
        <w:tc>
          <w:tcPr>
            <w:tcW w:w="1242" w:type="dxa"/>
            <w:tcBorders>
              <w:top w:val="single" w:sz="4" w:space="0" w:color="auto"/>
              <w:bottom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Species</w:t>
            </w:r>
          </w:p>
        </w:tc>
        <w:tc>
          <w:tcPr>
            <w:tcW w:w="851" w:type="dxa"/>
            <w:tcBorders>
              <w:top w:val="single" w:sz="4" w:space="0" w:color="auto"/>
              <w:bottom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Name of</w:t>
            </w:r>
          </w:p>
          <w:p w:rsidR="00B35332" w:rsidRPr="00160450" w:rsidRDefault="00B35332" w:rsidP="006A6276">
            <w:pPr>
              <w:spacing w:after="0" w:line="240" w:lineRule="auto"/>
              <w:rPr>
                <w:rFonts w:cs="Times New Roman"/>
                <w:sz w:val="16"/>
                <w:szCs w:val="16"/>
              </w:rPr>
            </w:pPr>
            <w:r w:rsidRPr="00160450">
              <w:rPr>
                <w:rFonts w:cs="Times New Roman"/>
                <w:sz w:val="16"/>
                <w:szCs w:val="16"/>
              </w:rPr>
              <w:t>Primer</w:t>
            </w:r>
          </w:p>
        </w:tc>
        <w:tc>
          <w:tcPr>
            <w:tcW w:w="2551" w:type="dxa"/>
            <w:tcBorders>
              <w:top w:val="single" w:sz="4" w:space="0" w:color="auto"/>
              <w:bottom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Sequence (5'-3')</w:t>
            </w:r>
          </w:p>
        </w:tc>
        <w:tc>
          <w:tcPr>
            <w:tcW w:w="1134" w:type="dxa"/>
            <w:tcBorders>
              <w:top w:val="single" w:sz="4" w:space="0" w:color="auto"/>
              <w:bottom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Target</w:t>
            </w:r>
          </w:p>
          <w:p w:rsidR="00B35332" w:rsidRPr="00160450" w:rsidRDefault="00B35332" w:rsidP="006A6276">
            <w:pPr>
              <w:spacing w:after="0" w:line="240" w:lineRule="auto"/>
              <w:rPr>
                <w:rFonts w:cs="Times New Roman"/>
                <w:sz w:val="16"/>
                <w:szCs w:val="16"/>
              </w:rPr>
            </w:pPr>
            <w:r w:rsidRPr="00160450">
              <w:rPr>
                <w:rFonts w:cs="Times New Roman"/>
                <w:sz w:val="16"/>
                <w:szCs w:val="16"/>
              </w:rPr>
              <w:t>sequence</w:t>
            </w:r>
          </w:p>
        </w:tc>
        <w:tc>
          <w:tcPr>
            <w:tcW w:w="1134" w:type="dxa"/>
            <w:tcBorders>
              <w:top w:val="single" w:sz="4" w:space="0" w:color="auto"/>
              <w:bottom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Annealing temperature (°C)</w:t>
            </w:r>
          </w:p>
        </w:tc>
        <w:tc>
          <w:tcPr>
            <w:tcW w:w="851" w:type="dxa"/>
            <w:tcBorders>
              <w:top w:val="single" w:sz="4" w:space="0" w:color="auto"/>
              <w:bottom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Product</w:t>
            </w:r>
          </w:p>
          <w:p w:rsidR="00B35332" w:rsidRPr="00160450" w:rsidRDefault="00B35332" w:rsidP="006A6276">
            <w:pPr>
              <w:spacing w:after="0" w:line="240" w:lineRule="auto"/>
              <w:rPr>
                <w:rFonts w:cs="Times New Roman"/>
                <w:sz w:val="16"/>
                <w:szCs w:val="16"/>
              </w:rPr>
            </w:pPr>
            <w:r w:rsidRPr="00160450">
              <w:rPr>
                <w:rFonts w:cs="Times New Roman"/>
                <w:sz w:val="16"/>
                <w:szCs w:val="16"/>
              </w:rPr>
              <w:t>Size (bp)</w:t>
            </w:r>
          </w:p>
        </w:tc>
        <w:tc>
          <w:tcPr>
            <w:tcW w:w="1701" w:type="dxa"/>
            <w:tcBorders>
              <w:top w:val="single" w:sz="4" w:space="0" w:color="auto"/>
              <w:bottom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Reference</w:t>
            </w:r>
          </w:p>
        </w:tc>
      </w:tr>
      <w:tr w:rsidR="00B35332" w:rsidRPr="00160450" w:rsidTr="006A6276">
        <w:trPr>
          <w:trHeight w:val="416"/>
        </w:trPr>
        <w:tc>
          <w:tcPr>
            <w:tcW w:w="1242" w:type="dxa"/>
            <w:vMerge w:val="restart"/>
            <w:tcBorders>
              <w:top w:val="single" w:sz="4" w:space="0" w:color="auto"/>
            </w:tcBorders>
          </w:tcPr>
          <w:p w:rsidR="00B35332" w:rsidRPr="00160450" w:rsidRDefault="00B35332" w:rsidP="006A6276">
            <w:pPr>
              <w:spacing w:after="0" w:line="240" w:lineRule="auto"/>
              <w:rPr>
                <w:rFonts w:cs="Times New Roman"/>
                <w:i/>
                <w:iCs/>
                <w:sz w:val="16"/>
                <w:szCs w:val="16"/>
              </w:rPr>
            </w:pPr>
            <w:r w:rsidRPr="00160450">
              <w:rPr>
                <w:rFonts w:eastAsia="TimesNewRomanPS-ItalicMT" w:cs="Times New Roman"/>
                <w:i/>
                <w:iCs/>
                <w:sz w:val="16"/>
                <w:szCs w:val="16"/>
              </w:rPr>
              <w:t>B. bifidum</w:t>
            </w:r>
          </w:p>
        </w:tc>
        <w:tc>
          <w:tcPr>
            <w:tcW w:w="851" w:type="dxa"/>
            <w:tcBorders>
              <w:top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BiBIf- 1</w:t>
            </w:r>
          </w:p>
        </w:tc>
        <w:tc>
          <w:tcPr>
            <w:tcW w:w="2551" w:type="dxa"/>
            <w:tcBorders>
              <w:top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CCACATGATCGCATGTGATTG</w:t>
            </w:r>
          </w:p>
        </w:tc>
        <w:tc>
          <w:tcPr>
            <w:tcW w:w="1134" w:type="dxa"/>
            <w:vMerge w:val="restart"/>
            <w:tcBorders>
              <w:top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16S rDNA</w:t>
            </w:r>
          </w:p>
        </w:tc>
        <w:tc>
          <w:tcPr>
            <w:tcW w:w="1134" w:type="dxa"/>
            <w:vMerge w:val="restart"/>
            <w:tcBorders>
              <w:top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62</w:t>
            </w:r>
          </w:p>
        </w:tc>
        <w:tc>
          <w:tcPr>
            <w:tcW w:w="851" w:type="dxa"/>
            <w:vMerge w:val="restart"/>
            <w:tcBorders>
              <w:top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278</w:t>
            </w:r>
          </w:p>
        </w:tc>
        <w:tc>
          <w:tcPr>
            <w:tcW w:w="1701" w:type="dxa"/>
            <w:vMerge w:val="restart"/>
            <w:tcBorders>
              <w:top w:val="single" w:sz="4" w:space="0" w:color="auto"/>
            </w:tcBorders>
          </w:tcPr>
          <w:p w:rsidR="00B35332" w:rsidRPr="00160450" w:rsidRDefault="00B35332" w:rsidP="006A6276">
            <w:pPr>
              <w:spacing w:after="0" w:line="240" w:lineRule="auto"/>
              <w:rPr>
                <w:rFonts w:cs="Times New Roman"/>
                <w:sz w:val="16"/>
                <w:szCs w:val="16"/>
              </w:rPr>
            </w:pPr>
            <w:r>
              <w:rPr>
                <w:rFonts w:cs="Times New Roman"/>
                <w:sz w:val="16"/>
                <w:szCs w:val="16"/>
              </w:rPr>
              <w:t>Matsuki</w:t>
            </w:r>
            <w:r w:rsidRPr="00160450">
              <w:rPr>
                <w:rFonts w:cs="Times New Roman"/>
                <w:sz w:val="16"/>
                <w:szCs w:val="16"/>
              </w:rPr>
              <w:t xml:space="preserve"> </w:t>
            </w:r>
            <w:r w:rsidRPr="00EF12F1">
              <w:rPr>
                <w:rFonts w:cs="Times New Roman"/>
                <w:i/>
                <w:sz w:val="16"/>
                <w:szCs w:val="16"/>
              </w:rPr>
              <w:t>et al</w:t>
            </w:r>
            <w:r>
              <w:rPr>
                <w:rFonts w:cs="Times New Roman"/>
                <w:sz w:val="16"/>
                <w:szCs w:val="16"/>
              </w:rPr>
              <w:t>., 2004</w:t>
            </w:r>
          </w:p>
        </w:tc>
      </w:tr>
      <w:tr w:rsidR="00B35332" w:rsidRPr="00160450" w:rsidTr="006A6276">
        <w:trPr>
          <w:trHeight w:val="400"/>
        </w:trPr>
        <w:tc>
          <w:tcPr>
            <w:tcW w:w="1242" w:type="dxa"/>
            <w:vMerge/>
          </w:tcPr>
          <w:p w:rsidR="00B35332" w:rsidRPr="00160450" w:rsidRDefault="00B35332" w:rsidP="006A6276">
            <w:pPr>
              <w:spacing w:after="0" w:line="240" w:lineRule="auto"/>
              <w:rPr>
                <w:rFonts w:cs="Times New Roman"/>
                <w:sz w:val="16"/>
                <w:szCs w:val="16"/>
              </w:rPr>
            </w:pPr>
          </w:p>
        </w:tc>
        <w:tc>
          <w:tcPr>
            <w:tcW w:w="851" w:type="dxa"/>
          </w:tcPr>
          <w:p w:rsidR="00B35332" w:rsidRPr="00160450" w:rsidRDefault="00B35332" w:rsidP="006A6276">
            <w:pPr>
              <w:spacing w:after="0" w:line="240" w:lineRule="auto"/>
              <w:rPr>
                <w:rFonts w:cs="Times New Roman"/>
                <w:sz w:val="16"/>
                <w:szCs w:val="16"/>
              </w:rPr>
            </w:pPr>
            <w:r w:rsidRPr="00160450">
              <w:rPr>
                <w:rFonts w:cs="Times New Roman"/>
                <w:sz w:val="16"/>
                <w:szCs w:val="16"/>
              </w:rPr>
              <w:t>BiBIF- 2</w:t>
            </w:r>
          </w:p>
        </w:tc>
        <w:tc>
          <w:tcPr>
            <w:tcW w:w="2551" w:type="dxa"/>
          </w:tcPr>
          <w:p w:rsidR="00B35332" w:rsidRPr="00160450" w:rsidRDefault="00B35332" w:rsidP="006A6276">
            <w:pPr>
              <w:spacing w:after="0" w:line="240" w:lineRule="auto"/>
              <w:rPr>
                <w:rFonts w:cs="Times New Roman"/>
                <w:sz w:val="16"/>
                <w:szCs w:val="16"/>
              </w:rPr>
            </w:pPr>
            <w:r w:rsidRPr="00160450">
              <w:rPr>
                <w:rFonts w:cs="Times New Roman"/>
                <w:sz w:val="16"/>
                <w:szCs w:val="16"/>
              </w:rPr>
              <w:t>CCGAAGGCTTGCTCCCAAA</w:t>
            </w:r>
          </w:p>
        </w:tc>
        <w:tc>
          <w:tcPr>
            <w:tcW w:w="1134" w:type="dxa"/>
            <w:vMerge/>
          </w:tcPr>
          <w:p w:rsidR="00B35332" w:rsidRPr="00160450" w:rsidRDefault="00B35332" w:rsidP="006A6276">
            <w:pPr>
              <w:spacing w:after="0" w:line="240" w:lineRule="auto"/>
              <w:rPr>
                <w:rFonts w:cs="Times New Roman"/>
                <w:sz w:val="16"/>
                <w:szCs w:val="16"/>
              </w:rPr>
            </w:pPr>
          </w:p>
        </w:tc>
        <w:tc>
          <w:tcPr>
            <w:tcW w:w="1134" w:type="dxa"/>
            <w:vMerge/>
          </w:tcPr>
          <w:p w:rsidR="00B35332" w:rsidRPr="00160450" w:rsidRDefault="00B35332" w:rsidP="006A6276">
            <w:pPr>
              <w:spacing w:after="0" w:line="240" w:lineRule="auto"/>
              <w:rPr>
                <w:rFonts w:cs="Times New Roman"/>
                <w:sz w:val="16"/>
                <w:szCs w:val="16"/>
              </w:rPr>
            </w:pPr>
          </w:p>
        </w:tc>
        <w:tc>
          <w:tcPr>
            <w:tcW w:w="851" w:type="dxa"/>
            <w:vMerge/>
          </w:tcPr>
          <w:p w:rsidR="00B35332" w:rsidRPr="00160450" w:rsidRDefault="00B35332" w:rsidP="006A6276">
            <w:pPr>
              <w:spacing w:after="0" w:line="240" w:lineRule="auto"/>
              <w:rPr>
                <w:rFonts w:cs="Times New Roman"/>
                <w:sz w:val="16"/>
                <w:szCs w:val="16"/>
              </w:rPr>
            </w:pPr>
          </w:p>
        </w:tc>
        <w:tc>
          <w:tcPr>
            <w:tcW w:w="1701" w:type="dxa"/>
            <w:vMerge/>
          </w:tcPr>
          <w:p w:rsidR="00B35332" w:rsidRPr="00160450" w:rsidRDefault="00B35332" w:rsidP="006A6276">
            <w:pPr>
              <w:spacing w:after="0" w:line="240" w:lineRule="auto"/>
              <w:rPr>
                <w:rFonts w:cs="Times New Roman"/>
                <w:sz w:val="16"/>
                <w:szCs w:val="16"/>
              </w:rPr>
            </w:pPr>
          </w:p>
        </w:tc>
      </w:tr>
      <w:tr w:rsidR="00B35332" w:rsidRPr="00160450" w:rsidTr="006A6276">
        <w:trPr>
          <w:trHeight w:val="416"/>
        </w:trPr>
        <w:tc>
          <w:tcPr>
            <w:tcW w:w="1242" w:type="dxa"/>
            <w:vMerge w:val="restart"/>
          </w:tcPr>
          <w:p w:rsidR="00B35332" w:rsidRPr="00160450" w:rsidRDefault="00B35332" w:rsidP="006A6276">
            <w:pPr>
              <w:spacing w:after="0" w:line="240" w:lineRule="auto"/>
              <w:rPr>
                <w:rFonts w:cs="Times New Roman"/>
                <w:i/>
                <w:iCs/>
                <w:sz w:val="16"/>
                <w:szCs w:val="16"/>
              </w:rPr>
            </w:pPr>
            <w:r w:rsidRPr="00160450">
              <w:rPr>
                <w:rFonts w:cs="Times New Roman"/>
                <w:i/>
                <w:iCs/>
                <w:sz w:val="16"/>
                <w:szCs w:val="16"/>
              </w:rPr>
              <w:t>L. acidophilus</w:t>
            </w:r>
          </w:p>
        </w:tc>
        <w:tc>
          <w:tcPr>
            <w:tcW w:w="851" w:type="dxa"/>
          </w:tcPr>
          <w:p w:rsidR="00B35332" w:rsidRPr="00160450" w:rsidRDefault="00B35332" w:rsidP="006A6276">
            <w:pPr>
              <w:spacing w:after="0" w:line="240" w:lineRule="auto"/>
              <w:rPr>
                <w:rFonts w:cs="Times New Roman"/>
                <w:sz w:val="16"/>
                <w:szCs w:val="16"/>
              </w:rPr>
            </w:pPr>
            <w:r w:rsidRPr="00160450">
              <w:rPr>
                <w:rFonts w:cs="Times New Roman"/>
                <w:sz w:val="16"/>
                <w:szCs w:val="16"/>
              </w:rPr>
              <w:t>Acidfor</w:t>
            </w:r>
          </w:p>
        </w:tc>
        <w:tc>
          <w:tcPr>
            <w:tcW w:w="2551" w:type="dxa"/>
          </w:tcPr>
          <w:p w:rsidR="00B35332" w:rsidRPr="00160450" w:rsidRDefault="00B35332" w:rsidP="006A6276">
            <w:pPr>
              <w:spacing w:after="0" w:line="240" w:lineRule="auto"/>
              <w:rPr>
                <w:rFonts w:cs="Times New Roman"/>
                <w:sz w:val="16"/>
                <w:szCs w:val="16"/>
              </w:rPr>
            </w:pPr>
            <w:r w:rsidRPr="00160450">
              <w:rPr>
                <w:rFonts w:cs="Times New Roman"/>
                <w:sz w:val="16"/>
                <w:szCs w:val="16"/>
              </w:rPr>
              <w:t>AGCGAGCTGAACCAACAGAT</w:t>
            </w:r>
          </w:p>
        </w:tc>
        <w:tc>
          <w:tcPr>
            <w:tcW w:w="1134" w:type="dxa"/>
            <w:vMerge w:val="restart"/>
          </w:tcPr>
          <w:p w:rsidR="00B35332" w:rsidRPr="00160450" w:rsidRDefault="00B35332" w:rsidP="006A6276">
            <w:pPr>
              <w:spacing w:after="0" w:line="240" w:lineRule="auto"/>
              <w:rPr>
                <w:rFonts w:cs="Times New Roman"/>
                <w:sz w:val="16"/>
                <w:szCs w:val="16"/>
              </w:rPr>
            </w:pPr>
            <w:r w:rsidRPr="00160450">
              <w:rPr>
                <w:rFonts w:cs="Times New Roman"/>
                <w:sz w:val="16"/>
                <w:szCs w:val="16"/>
              </w:rPr>
              <w:t>16S rDNA</w:t>
            </w:r>
          </w:p>
        </w:tc>
        <w:tc>
          <w:tcPr>
            <w:tcW w:w="1134" w:type="dxa"/>
            <w:vMerge w:val="restart"/>
          </w:tcPr>
          <w:p w:rsidR="00B35332" w:rsidRPr="00160450" w:rsidRDefault="00B35332" w:rsidP="006A6276">
            <w:pPr>
              <w:spacing w:after="0" w:line="240" w:lineRule="auto"/>
              <w:rPr>
                <w:rFonts w:cs="Times New Roman"/>
                <w:sz w:val="16"/>
                <w:szCs w:val="16"/>
              </w:rPr>
            </w:pPr>
            <w:r w:rsidRPr="00160450">
              <w:rPr>
                <w:rFonts w:cs="Times New Roman"/>
                <w:sz w:val="16"/>
                <w:szCs w:val="16"/>
              </w:rPr>
              <w:t>60</w:t>
            </w:r>
          </w:p>
        </w:tc>
        <w:tc>
          <w:tcPr>
            <w:tcW w:w="851" w:type="dxa"/>
            <w:vMerge w:val="restart"/>
          </w:tcPr>
          <w:p w:rsidR="00B35332" w:rsidRPr="00160450" w:rsidRDefault="00B35332" w:rsidP="006A6276">
            <w:pPr>
              <w:spacing w:after="0" w:line="240" w:lineRule="auto"/>
              <w:rPr>
                <w:rFonts w:cs="Times New Roman"/>
                <w:sz w:val="16"/>
                <w:szCs w:val="16"/>
              </w:rPr>
            </w:pPr>
            <w:r w:rsidRPr="00160450">
              <w:rPr>
                <w:rFonts w:cs="Times New Roman"/>
                <w:sz w:val="16"/>
                <w:szCs w:val="16"/>
              </w:rPr>
              <w:t>227</w:t>
            </w:r>
          </w:p>
        </w:tc>
        <w:tc>
          <w:tcPr>
            <w:tcW w:w="1701" w:type="dxa"/>
            <w:vMerge w:val="restart"/>
          </w:tcPr>
          <w:p w:rsidR="00B35332" w:rsidRPr="00160450" w:rsidRDefault="00B35332" w:rsidP="006A6276">
            <w:pPr>
              <w:spacing w:after="0" w:line="240" w:lineRule="auto"/>
              <w:rPr>
                <w:rFonts w:cs="Times New Roman"/>
                <w:sz w:val="16"/>
                <w:szCs w:val="16"/>
              </w:rPr>
            </w:pPr>
            <w:r w:rsidRPr="00160450">
              <w:rPr>
                <w:rFonts w:cs="Times New Roman"/>
                <w:sz w:val="16"/>
                <w:szCs w:val="16"/>
              </w:rPr>
              <w:t xml:space="preserve">Tabasco </w:t>
            </w:r>
            <w:r w:rsidRPr="00EF12F1">
              <w:rPr>
                <w:rFonts w:cs="Times New Roman"/>
                <w:i/>
                <w:sz w:val="16"/>
                <w:szCs w:val="16"/>
              </w:rPr>
              <w:t>et al</w:t>
            </w:r>
            <w:r w:rsidRPr="00160450">
              <w:rPr>
                <w:rFonts w:cs="Times New Roman"/>
                <w:sz w:val="16"/>
                <w:szCs w:val="16"/>
              </w:rPr>
              <w:t>., 2007</w:t>
            </w:r>
          </w:p>
        </w:tc>
      </w:tr>
      <w:tr w:rsidR="00B35332" w:rsidRPr="00160450" w:rsidTr="006A6276">
        <w:trPr>
          <w:trHeight w:val="80"/>
        </w:trPr>
        <w:tc>
          <w:tcPr>
            <w:tcW w:w="1242" w:type="dxa"/>
            <w:vMerge/>
            <w:tcBorders>
              <w:bottom w:val="single" w:sz="4" w:space="0" w:color="auto"/>
            </w:tcBorders>
          </w:tcPr>
          <w:p w:rsidR="00B35332" w:rsidRPr="00160450" w:rsidRDefault="00B35332" w:rsidP="006A6276">
            <w:pPr>
              <w:spacing w:after="0" w:line="240" w:lineRule="auto"/>
              <w:rPr>
                <w:rFonts w:cs="Times New Roman"/>
                <w:sz w:val="16"/>
                <w:szCs w:val="16"/>
              </w:rPr>
            </w:pPr>
          </w:p>
        </w:tc>
        <w:tc>
          <w:tcPr>
            <w:tcW w:w="851" w:type="dxa"/>
            <w:tcBorders>
              <w:bottom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Acidrev</w:t>
            </w:r>
          </w:p>
        </w:tc>
        <w:tc>
          <w:tcPr>
            <w:tcW w:w="2551" w:type="dxa"/>
            <w:tcBorders>
              <w:bottom w:val="single" w:sz="4" w:space="0" w:color="auto"/>
            </w:tcBorders>
          </w:tcPr>
          <w:p w:rsidR="00B35332" w:rsidRPr="00160450" w:rsidRDefault="00B35332" w:rsidP="006A6276">
            <w:pPr>
              <w:spacing w:after="0" w:line="240" w:lineRule="auto"/>
              <w:rPr>
                <w:rFonts w:cs="Times New Roman"/>
                <w:sz w:val="16"/>
                <w:szCs w:val="16"/>
              </w:rPr>
            </w:pPr>
            <w:r w:rsidRPr="00160450">
              <w:rPr>
                <w:rFonts w:cs="Times New Roman"/>
                <w:sz w:val="16"/>
                <w:szCs w:val="16"/>
              </w:rPr>
              <w:t>AGGCCGTTACCCTACCAACT</w:t>
            </w:r>
          </w:p>
        </w:tc>
        <w:tc>
          <w:tcPr>
            <w:tcW w:w="1134" w:type="dxa"/>
            <w:vMerge/>
            <w:tcBorders>
              <w:bottom w:val="single" w:sz="4" w:space="0" w:color="auto"/>
            </w:tcBorders>
          </w:tcPr>
          <w:p w:rsidR="00B35332" w:rsidRPr="00160450" w:rsidRDefault="00B35332" w:rsidP="006A6276">
            <w:pPr>
              <w:spacing w:after="0" w:line="240" w:lineRule="auto"/>
              <w:rPr>
                <w:rFonts w:cs="Times New Roman"/>
                <w:sz w:val="16"/>
                <w:szCs w:val="16"/>
              </w:rPr>
            </w:pPr>
          </w:p>
        </w:tc>
        <w:tc>
          <w:tcPr>
            <w:tcW w:w="1134" w:type="dxa"/>
            <w:vMerge/>
            <w:tcBorders>
              <w:bottom w:val="single" w:sz="4" w:space="0" w:color="auto"/>
            </w:tcBorders>
          </w:tcPr>
          <w:p w:rsidR="00B35332" w:rsidRPr="00160450" w:rsidRDefault="00B35332" w:rsidP="006A6276">
            <w:pPr>
              <w:spacing w:after="0" w:line="240" w:lineRule="auto"/>
              <w:rPr>
                <w:rFonts w:cs="Times New Roman"/>
                <w:sz w:val="16"/>
                <w:szCs w:val="16"/>
              </w:rPr>
            </w:pPr>
          </w:p>
        </w:tc>
        <w:tc>
          <w:tcPr>
            <w:tcW w:w="851" w:type="dxa"/>
            <w:vMerge/>
            <w:tcBorders>
              <w:bottom w:val="single" w:sz="4" w:space="0" w:color="auto"/>
            </w:tcBorders>
          </w:tcPr>
          <w:p w:rsidR="00B35332" w:rsidRPr="00160450" w:rsidRDefault="00B35332" w:rsidP="006A6276">
            <w:pPr>
              <w:spacing w:after="0" w:line="240" w:lineRule="auto"/>
              <w:rPr>
                <w:rFonts w:cs="Times New Roman"/>
                <w:sz w:val="16"/>
                <w:szCs w:val="16"/>
              </w:rPr>
            </w:pPr>
          </w:p>
        </w:tc>
        <w:tc>
          <w:tcPr>
            <w:tcW w:w="1701" w:type="dxa"/>
            <w:vMerge/>
            <w:tcBorders>
              <w:bottom w:val="single" w:sz="4" w:space="0" w:color="auto"/>
            </w:tcBorders>
          </w:tcPr>
          <w:p w:rsidR="00B35332" w:rsidRPr="00160450" w:rsidRDefault="00B35332" w:rsidP="006A6276">
            <w:pPr>
              <w:spacing w:after="0" w:line="240" w:lineRule="auto"/>
              <w:rPr>
                <w:rFonts w:cs="Times New Roman"/>
                <w:sz w:val="16"/>
                <w:szCs w:val="16"/>
              </w:rPr>
            </w:pPr>
          </w:p>
        </w:tc>
      </w:tr>
    </w:tbl>
    <w:p w:rsidR="00B35332" w:rsidRDefault="00B35332" w:rsidP="00B35332">
      <w:pPr>
        <w:spacing w:after="0"/>
        <w:rPr>
          <w:rFonts w:cs="Times New Roman"/>
          <w:szCs w:val="24"/>
        </w:rPr>
      </w:pPr>
    </w:p>
    <w:p w:rsidR="00B35332" w:rsidRPr="0081009B" w:rsidRDefault="00B35332" w:rsidP="00B35332">
      <w:pPr>
        <w:spacing w:after="0"/>
      </w:pPr>
    </w:p>
    <w:p w:rsidR="00B35332" w:rsidRDefault="00B35332" w:rsidP="00B35332">
      <w:pPr>
        <w:spacing w:after="0"/>
        <w:rPr>
          <w:rFonts w:cs="Times New Roman"/>
          <w:iCs/>
          <w:szCs w:val="24"/>
        </w:rPr>
      </w:pPr>
    </w:p>
    <w:p w:rsidR="00B35332" w:rsidRDefault="00B35332" w:rsidP="00B35332">
      <w:pPr>
        <w:spacing w:after="0"/>
        <w:rPr>
          <w:rFonts w:cs="Times New Roman"/>
          <w:b/>
          <w:szCs w:val="24"/>
          <w:lang w:val="en-AU"/>
        </w:rPr>
      </w:pPr>
    </w:p>
    <w:p w:rsidR="00B35332" w:rsidRPr="00881B43" w:rsidRDefault="00B35332" w:rsidP="00B35332">
      <w:pPr>
        <w:spacing w:after="0"/>
        <w:rPr>
          <w:rFonts w:cs="Times New Roman"/>
          <w:szCs w:val="24"/>
          <w:lang w:val="en-AU"/>
        </w:rPr>
      </w:pPr>
      <w:r w:rsidRPr="00881B43">
        <w:rPr>
          <w:rFonts w:cs="Times New Roman"/>
          <w:b/>
          <w:szCs w:val="24"/>
          <w:lang w:val="en-AU"/>
        </w:rPr>
        <w:t>Metabolomic profiling</w:t>
      </w:r>
    </w:p>
    <w:p w:rsidR="00B35332" w:rsidRPr="00881B43" w:rsidRDefault="00B35332" w:rsidP="00B35332">
      <w:pPr>
        <w:autoSpaceDE w:val="0"/>
        <w:autoSpaceDN w:val="0"/>
        <w:adjustRightInd w:val="0"/>
        <w:spacing w:after="0"/>
        <w:rPr>
          <w:rFonts w:cs="Times New Roman"/>
          <w:szCs w:val="24"/>
          <w:lang w:eastAsia="en-GB"/>
        </w:rPr>
      </w:pPr>
      <w:r w:rsidRPr="00881B43">
        <w:rPr>
          <w:rFonts w:cs="Times New Roman"/>
          <w:szCs w:val="24"/>
        </w:rPr>
        <w:t xml:space="preserve">Water, methanol, and acetonitrile (ACN) were </w:t>
      </w:r>
      <w:r>
        <w:rPr>
          <w:rFonts w:cs="Times New Roman"/>
          <w:szCs w:val="24"/>
        </w:rPr>
        <w:t xml:space="preserve">LCMS </w:t>
      </w:r>
      <w:r w:rsidRPr="00881B43">
        <w:rPr>
          <w:rFonts w:cs="Times New Roman"/>
          <w:szCs w:val="24"/>
        </w:rPr>
        <w:t xml:space="preserve">grade (Sigma-Aldrich). </w:t>
      </w:r>
      <w:r>
        <w:rPr>
          <w:rFonts w:cs="Times New Roman"/>
          <w:szCs w:val="24"/>
        </w:rPr>
        <w:t>M</w:t>
      </w:r>
      <w:r w:rsidRPr="00881B43">
        <w:rPr>
          <w:rFonts w:cs="Times New Roman"/>
          <w:szCs w:val="24"/>
        </w:rPr>
        <w:t xml:space="preserve">etabolites were extracted from 100mg stool and homogenised in cold 80% methanol by vortexing </w:t>
      </w:r>
      <w:r w:rsidRPr="00881B43">
        <w:rPr>
          <w:rFonts w:cs="Times New Roman"/>
          <w:szCs w:val="24"/>
          <w:lang w:eastAsia="en-GB"/>
        </w:rPr>
        <w:t>for 15 min at 4</w:t>
      </w:r>
      <w:r w:rsidRPr="00881B43">
        <w:rPr>
          <w:rFonts w:cs="Times New Roman"/>
          <w:szCs w:val="24"/>
          <w:vertAlign w:val="superscript"/>
          <w:lang w:eastAsia="en-GB"/>
        </w:rPr>
        <w:t>o</w:t>
      </w:r>
      <w:r w:rsidRPr="00881B43">
        <w:rPr>
          <w:rFonts w:cs="Times New Roman"/>
          <w:szCs w:val="24"/>
          <w:lang w:eastAsia="en-GB"/>
        </w:rPr>
        <w:t>C. The suspension was then centrifuged at 10,000×g for 10 min at 4</w:t>
      </w:r>
      <w:r w:rsidRPr="00881B43">
        <w:rPr>
          <w:rFonts w:cs="Times New Roman"/>
          <w:szCs w:val="24"/>
          <w:vertAlign w:val="superscript"/>
          <w:lang w:eastAsia="en-GB"/>
        </w:rPr>
        <w:t>o</w:t>
      </w:r>
      <w:r w:rsidRPr="00881B43">
        <w:rPr>
          <w:rFonts w:cs="Times New Roman"/>
          <w:szCs w:val="24"/>
          <w:lang w:eastAsia="en-GB"/>
        </w:rPr>
        <w:t>C and lyophilised. Samples were re-suspended in 1 ml and diluted a further 1:1 in initial start phase buffer (5% ACN).</w:t>
      </w:r>
    </w:p>
    <w:p w:rsidR="00B35332" w:rsidRPr="00881B43" w:rsidRDefault="00B35332" w:rsidP="00B35332">
      <w:pPr>
        <w:spacing w:after="0"/>
        <w:rPr>
          <w:rFonts w:cs="Times New Roman"/>
          <w:szCs w:val="24"/>
          <w:lang w:eastAsia="en-GB"/>
        </w:rPr>
      </w:pPr>
      <w:r w:rsidRPr="00881B43">
        <w:rPr>
          <w:rFonts w:cs="Times New Roman"/>
          <w:szCs w:val="24"/>
          <w:lang w:eastAsia="en-GB"/>
        </w:rPr>
        <w:t xml:space="preserve">Stool </w:t>
      </w:r>
      <w:r w:rsidR="00B430E7" w:rsidRPr="00881B43">
        <w:rPr>
          <w:rFonts w:cs="Times New Roman"/>
          <w:szCs w:val="24"/>
          <w:lang w:eastAsia="en-GB"/>
        </w:rPr>
        <w:t>metabolites</w:t>
      </w:r>
      <w:r w:rsidRPr="00881B43">
        <w:rPr>
          <w:rFonts w:cs="Times New Roman"/>
          <w:szCs w:val="24"/>
          <w:lang w:eastAsia="en-GB"/>
        </w:rPr>
        <w:t xml:space="preserve"> profiling was performed using reverse-phase </w:t>
      </w:r>
      <w:r w:rsidRPr="00881B43">
        <w:rPr>
          <w:rFonts w:cs="Times New Roman"/>
          <w:szCs w:val="24"/>
        </w:rPr>
        <w:t>UPLC-MS/MS</w:t>
      </w:r>
      <w:r w:rsidRPr="00881B43">
        <w:rPr>
          <w:rFonts w:cs="Times New Roman"/>
          <w:szCs w:val="24"/>
          <w:lang w:eastAsia="en-GB"/>
        </w:rPr>
        <w:t xml:space="preserve">. An Accucore C18 column (2.6 µm, 150 × 2.1 mm) was used at 40 ºC with a 3.0 µl </w:t>
      </w:r>
      <w:r w:rsidRPr="00881B43">
        <w:rPr>
          <w:rFonts w:cs="Times New Roman"/>
          <w:color w:val="000000"/>
          <w:szCs w:val="24"/>
          <w:lang w:eastAsia="en-GB"/>
        </w:rPr>
        <w:t xml:space="preserve">injection and 300 µl/min flow rate throughout. A multi-step LC gradient was used with 5% ACN increasing to 95% ACN over 22 minutes, with a further 95% ACN for 4 minutes followed by a final 4 minutes re-equilibration at 5% ACN. Samples were run in triplicate and the order in each triplicate sequence randomised. </w:t>
      </w:r>
      <w:r w:rsidRPr="00881B43">
        <w:rPr>
          <w:rFonts w:cs="Times New Roman"/>
          <w:szCs w:val="24"/>
          <w:lang w:eastAsia="en-GB"/>
        </w:rPr>
        <w:t>A Q-Exactive (Thermo) was used for the MS and subsequent data dependant MS/MS. Metabolomic profiling was performed usin</w:t>
      </w:r>
      <w:r>
        <w:rPr>
          <w:rFonts w:cs="Times New Roman"/>
          <w:szCs w:val="24"/>
          <w:lang w:eastAsia="en-GB"/>
        </w:rPr>
        <w:t>g HESI with high resolution (70,</w:t>
      </w:r>
      <w:r w:rsidRPr="00881B43">
        <w:rPr>
          <w:rFonts w:cs="Times New Roman"/>
          <w:szCs w:val="24"/>
          <w:lang w:eastAsia="en-GB"/>
        </w:rPr>
        <w:t>000)</w:t>
      </w:r>
      <w:r w:rsidRPr="00881B43">
        <w:rPr>
          <w:rFonts w:cs="Times New Roman"/>
          <w:color w:val="FF0000"/>
          <w:szCs w:val="24"/>
          <w:lang w:eastAsia="en-GB"/>
        </w:rPr>
        <w:t xml:space="preserve"> </w:t>
      </w:r>
      <w:r w:rsidRPr="00881B43">
        <w:rPr>
          <w:rFonts w:cs="Times New Roman"/>
          <w:szCs w:val="24"/>
          <w:lang w:eastAsia="en-GB"/>
        </w:rPr>
        <w:t>positive and negative switching. The mass range was set from 100 – 1</w:t>
      </w:r>
      <w:r>
        <w:rPr>
          <w:rFonts w:cs="Times New Roman"/>
          <w:szCs w:val="24"/>
          <w:lang w:eastAsia="en-GB"/>
        </w:rPr>
        <w:t>,</w:t>
      </w:r>
      <w:r w:rsidRPr="00881B43">
        <w:rPr>
          <w:rFonts w:cs="Times New Roman"/>
          <w:szCs w:val="24"/>
          <w:lang w:eastAsia="en-GB"/>
        </w:rPr>
        <w:t xml:space="preserve">000 m/z. </w:t>
      </w:r>
    </w:p>
    <w:p w:rsidR="00B35332" w:rsidRPr="00881B43" w:rsidRDefault="00B35332" w:rsidP="00B35332">
      <w:pPr>
        <w:spacing w:after="0"/>
        <w:rPr>
          <w:rFonts w:cs="Times New Roman"/>
          <w:szCs w:val="24"/>
          <w:lang w:eastAsia="en-GB"/>
        </w:rPr>
      </w:pPr>
      <w:r w:rsidRPr="00881B43">
        <w:rPr>
          <w:rFonts w:cs="Times New Roman"/>
          <w:szCs w:val="24"/>
          <w:lang w:eastAsia="en-GB"/>
        </w:rPr>
        <w:t xml:space="preserve">SIEVE (Version 2.2 </w:t>
      </w:r>
      <w:r w:rsidRPr="00881B43">
        <w:rPr>
          <w:rFonts w:cs="Times New Roman"/>
          <w:i/>
          <w:szCs w:val="24"/>
          <w:lang w:eastAsia="en-GB"/>
        </w:rPr>
        <w:t>beta</w:t>
      </w:r>
      <w:r w:rsidRPr="00881B43">
        <w:rPr>
          <w:rFonts w:cs="Times New Roman"/>
          <w:szCs w:val="24"/>
          <w:lang w:eastAsia="en-GB"/>
        </w:rPr>
        <w:t xml:space="preserve">) was used to process the Thermo RAW files by component extraction. All blanks were used in background subtraction. Positive and negative data were processed individually and combined prior to downstream analysis. </w:t>
      </w:r>
    </w:p>
    <w:p w:rsidR="00B35332" w:rsidRPr="00881B43" w:rsidRDefault="00B35332" w:rsidP="00B35332">
      <w:pPr>
        <w:spacing w:after="0"/>
        <w:rPr>
          <w:rFonts w:cs="Times New Roman"/>
          <w:szCs w:val="24"/>
        </w:rPr>
      </w:pPr>
    </w:p>
    <w:p w:rsidR="00B35332" w:rsidRPr="00881B43" w:rsidRDefault="00B35332" w:rsidP="00B35332">
      <w:pPr>
        <w:spacing w:after="0"/>
        <w:rPr>
          <w:rFonts w:cs="Times New Roman"/>
          <w:szCs w:val="24"/>
        </w:rPr>
      </w:pPr>
      <w:r w:rsidRPr="00881B43">
        <w:rPr>
          <w:rFonts w:cs="Times New Roman"/>
          <w:b/>
          <w:szCs w:val="24"/>
        </w:rPr>
        <w:t>Statistical analysis</w:t>
      </w:r>
    </w:p>
    <w:p w:rsidR="00B35332" w:rsidRDefault="00B35332" w:rsidP="00B35332">
      <w:pPr>
        <w:autoSpaceDE w:val="0"/>
        <w:autoSpaceDN w:val="0"/>
        <w:adjustRightInd w:val="0"/>
        <w:spacing w:after="0"/>
        <w:rPr>
          <w:rFonts w:cs="Times New Roman"/>
          <w:szCs w:val="24"/>
        </w:rPr>
      </w:pPr>
      <w:r w:rsidRPr="00881B43">
        <w:rPr>
          <w:rFonts w:cs="Times New Roman"/>
          <w:szCs w:val="24"/>
        </w:rPr>
        <w:t xml:space="preserve">The bacterial profiles were analysed by multivariate partial least squares discriminant analysis (PLS-DA) and the metabolite profiles underwent orthogonal PLS-DA (OPLS-DA) using SIMCA 13.0 (Umetrics, </w:t>
      </w:r>
      <w:r w:rsidRPr="00881B43">
        <w:rPr>
          <w:rStyle w:val="st1"/>
          <w:rFonts w:cs="Times New Roman"/>
          <w:szCs w:val="24"/>
        </w:rPr>
        <w:t>Stockholm</w:t>
      </w:r>
      <w:r w:rsidRPr="00881B43">
        <w:rPr>
          <w:rFonts w:cs="Times New Roman"/>
          <w:szCs w:val="24"/>
        </w:rPr>
        <w:t>, Sweden).</w:t>
      </w:r>
      <w:r w:rsidRPr="00881B43">
        <w:rPr>
          <w:rFonts w:cs="Times New Roman"/>
          <w:szCs w:val="24"/>
        </w:rPr>
        <w:fldChar w:fldCharType="begin" w:fldLock="1"/>
      </w:r>
      <w:r>
        <w:rPr>
          <w:rFonts w:cs="Times New Roman"/>
          <w:szCs w:val="24"/>
        </w:rPr>
        <w:instrText>ADDIN CSL_CITATION { "citationItems" : [ { "id" : "ITEM-1", "itemData" : { "ISBN" : "9197373036", "author" : [ { "dropping-particle" : "", "family" : "Eriksson", "given" : "L.", "non-dropping-particle" : "", "parse-names" : false, "suffix" : "" }, { "dropping-particle" : "", "family" : "Johansson", "given" : "E.", "non-dropping-particle" : "", "parse-names" : false, "suffix" : "" }, { "dropping-particle" : "", "family" : "Kettaneh-Wold", "given" : "N.", "non-dropping-particle" : "", "parse-names" : false, "suffix" : "" } ], "id" : "ITEM-1", "issued" : { "date-parts" : [ [ "2006" ] ] }, "page" : "307", "publisher" : "MKS Umetrics AB", "title" : "Multi-and Megavariate Data Analysis, Part 2, Advanced Applications and Method Extensions", "type" : "book" }, "uris" : [ "http://www.mendeley.com/documents/?uuid=602fd4a9-1adb-4354-a78b-b4c800f316ca", "http://www.mendeley.com/documents/?uuid=7576066d-f44f-489b-9255-44049891b678" ] } ], "mendeley" : { "formattedCitation" : "(Eriksson &lt;i&gt;et al.&lt;/i&gt;, 2006)", "plainTextFormattedCitation" : "(Eriksson et al., 2006)", "previouslyFormattedCitation" : "[17]" }, "properties" : { "noteIndex" : 0 }, "schema" : "https://github.com/citation-style-language/schema/raw/master/csl-citation.json" }</w:instrText>
      </w:r>
      <w:r w:rsidRPr="00881B43">
        <w:rPr>
          <w:rFonts w:cs="Times New Roman"/>
          <w:szCs w:val="24"/>
        </w:rPr>
        <w:fldChar w:fldCharType="separate"/>
      </w:r>
      <w:r w:rsidRPr="0083592E">
        <w:rPr>
          <w:rFonts w:cs="Times New Roman"/>
          <w:noProof/>
          <w:szCs w:val="24"/>
        </w:rPr>
        <w:t>[17]</w:t>
      </w:r>
      <w:r w:rsidRPr="00881B43">
        <w:rPr>
          <w:rFonts w:cs="Times New Roman"/>
          <w:szCs w:val="24"/>
        </w:rPr>
        <w:fldChar w:fldCharType="end"/>
      </w:r>
      <w:r w:rsidRPr="00881B43">
        <w:rPr>
          <w:rFonts w:cs="Times New Roman"/>
          <w:szCs w:val="24"/>
        </w:rPr>
        <w:t xml:space="preserve"> All variables, either </w:t>
      </w:r>
      <w:r>
        <w:rPr>
          <w:rFonts w:cs="Times New Roman"/>
          <w:szCs w:val="24"/>
        </w:rPr>
        <w:t>operational taxonomic unit (OTU)</w:t>
      </w:r>
      <w:r w:rsidRPr="00881B43">
        <w:rPr>
          <w:rFonts w:cs="Times New Roman"/>
          <w:szCs w:val="24"/>
        </w:rPr>
        <w:t xml:space="preserve"> or component, were automatically transformed within SIEVE. To check that data was adhering to multivariate normalities, Hotelling’s </w:t>
      </w:r>
      <w:r w:rsidRPr="00881B43">
        <w:rPr>
          <w:rFonts w:cs="Times New Roman"/>
          <w:i/>
          <w:szCs w:val="24"/>
        </w:rPr>
        <w:t>T</w:t>
      </w:r>
      <w:r w:rsidRPr="00881B43">
        <w:rPr>
          <w:rFonts w:cs="Times New Roman"/>
          <w:i/>
          <w:szCs w:val="24"/>
          <w:vertAlign w:val="superscript"/>
        </w:rPr>
        <w:t>2</w:t>
      </w:r>
      <w:r w:rsidRPr="00881B43">
        <w:rPr>
          <w:rFonts w:cs="Times New Roman"/>
          <w:szCs w:val="24"/>
        </w:rPr>
        <w:t xml:space="preserve"> tolerance limits were calculated and set at 0.95. To remove the high amounts of noise from the metabolomics </w:t>
      </w:r>
      <w:r>
        <w:rPr>
          <w:rFonts w:cs="Times New Roman"/>
          <w:szCs w:val="24"/>
        </w:rPr>
        <w:t>dataset, only variables</w:t>
      </w:r>
      <w:r w:rsidRPr="00881B43">
        <w:rPr>
          <w:rFonts w:cs="Times New Roman"/>
          <w:szCs w:val="24"/>
        </w:rPr>
        <w:t xml:space="preserve"> &gt;1 </w:t>
      </w:r>
      <w:r>
        <w:rPr>
          <w:rFonts w:cs="Times New Roman"/>
          <w:szCs w:val="24"/>
        </w:rPr>
        <w:t xml:space="preserve">in the variable importance plot (VIP) </w:t>
      </w:r>
      <w:r w:rsidRPr="00881B43">
        <w:rPr>
          <w:rFonts w:cs="Times New Roman"/>
          <w:szCs w:val="24"/>
        </w:rPr>
        <w:t>were included from the important variables plot</w:t>
      </w:r>
      <w:r>
        <w:rPr>
          <w:rFonts w:cs="Times New Roman"/>
          <w:szCs w:val="24"/>
        </w:rPr>
        <w:t>.</w:t>
      </w:r>
      <w:r>
        <w:rPr>
          <w:rFonts w:cs="Times New Roman"/>
          <w:szCs w:val="24"/>
        </w:rPr>
        <w:fldChar w:fldCharType="begin" w:fldLock="1"/>
      </w:r>
      <w:r>
        <w:rPr>
          <w:rFonts w:cs="Times New Roman"/>
          <w:szCs w:val="24"/>
        </w:rPr>
        <w:instrText>ADDIN CSL_CITATION { "citationItems" : [ { "id" : "ITEM-1", "itemData" : { "DOI" : "10.4172/2157-7064.1000145", "ISSN" : "21577064", "author" : [ { "dropping-particle" : "", "family" : "K Trivedi", "given" : "Drupad", "non-dropping-particle" : "", "parse-names" : false, "suffix" : "" } ], "container-title" : "Journal of Chromatography &amp; Separation Techniques", "id" : "ITEM-1", "issue" : "06", "issued" : { "date-parts" : [ [ "2012" ] ] }, "title" : "The Application of SIMCA P+ in Shotgun Metabolomics Analysis of ZIC\u24c7HILIC-MS Spectra of Human Urine - Experience with the Shimadzu IT-T of and Profiling Solutions Data Extraction Software", "type" : "article-journal", "volume" : "03" }, "uris" : [ "http://www.mendeley.com/documents/?uuid=5993e1e2-d03e-44b7-ac3a-94dffbbe348b" ] } ], "mendeley" : { "previouslyFormattedCitation" : "[18]" }, "properties" : { "noteIndex" : 0 }, "schema" : "https://github.com/citation-style-language/schema/raw/master/csl-citation.json" }</w:instrText>
      </w:r>
      <w:r>
        <w:rPr>
          <w:rFonts w:cs="Times New Roman"/>
          <w:szCs w:val="24"/>
        </w:rPr>
        <w:fldChar w:fldCharType="separate"/>
      </w:r>
      <w:r w:rsidRPr="0083592E">
        <w:rPr>
          <w:rFonts w:cs="Times New Roman"/>
          <w:noProof/>
          <w:szCs w:val="24"/>
        </w:rPr>
        <w:t>[18]</w:t>
      </w:r>
      <w:r>
        <w:rPr>
          <w:rFonts w:cs="Times New Roman"/>
          <w:szCs w:val="24"/>
        </w:rPr>
        <w:fldChar w:fldCharType="end"/>
      </w:r>
      <w:r>
        <w:rPr>
          <w:rFonts w:cs="Times New Roman"/>
          <w:szCs w:val="24"/>
        </w:rPr>
        <w:t xml:space="preserve"> Analysis of variance (ANOVA) was used to determine whether numbers of </w:t>
      </w:r>
      <w:r w:rsidRPr="00FD4C97">
        <w:rPr>
          <w:rFonts w:cs="Times New Roman"/>
          <w:i/>
          <w:szCs w:val="24"/>
        </w:rPr>
        <w:t>L. acidophilus</w:t>
      </w:r>
      <w:r>
        <w:rPr>
          <w:rFonts w:cs="Times New Roman"/>
          <w:szCs w:val="24"/>
        </w:rPr>
        <w:t xml:space="preserve"> and </w:t>
      </w:r>
      <w:r w:rsidRPr="00FD4C97">
        <w:rPr>
          <w:rFonts w:cs="Times New Roman"/>
          <w:i/>
          <w:szCs w:val="24"/>
        </w:rPr>
        <w:t>B. bifidum</w:t>
      </w:r>
      <w:r>
        <w:rPr>
          <w:rFonts w:cs="Times New Roman"/>
          <w:szCs w:val="24"/>
        </w:rPr>
        <w:t xml:space="preserve"> (qPCR) increased during probiotic treatment with</w:t>
      </w:r>
      <w:r w:rsidRPr="00664A16">
        <w:rPr>
          <w:rFonts w:cs="Times New Roman"/>
          <w:szCs w:val="24"/>
        </w:rPr>
        <w:t xml:space="preserve"> </w:t>
      </w:r>
      <w:r>
        <w:rPr>
          <w:rFonts w:cs="Times New Roman"/>
          <w:szCs w:val="24"/>
        </w:rPr>
        <w:t>post-hoc Tukey’s applied for multiple pairwise comparisons (Minitab 16).</w:t>
      </w:r>
    </w:p>
    <w:p w:rsidR="00B35332" w:rsidRDefault="00B35332" w:rsidP="00B35332">
      <w:pPr>
        <w:autoSpaceDE w:val="0"/>
        <w:autoSpaceDN w:val="0"/>
        <w:adjustRightInd w:val="0"/>
        <w:spacing w:after="0"/>
        <w:rPr>
          <w:rFonts w:cs="Times New Roman"/>
          <w:szCs w:val="24"/>
        </w:rPr>
      </w:pPr>
    </w:p>
    <w:p w:rsidR="00B35332" w:rsidRDefault="00B35332" w:rsidP="00B35332">
      <w:pPr>
        <w:autoSpaceDE w:val="0"/>
        <w:autoSpaceDN w:val="0"/>
        <w:adjustRightInd w:val="0"/>
        <w:spacing w:after="0"/>
        <w:rPr>
          <w:rFonts w:cs="Times New Roman"/>
          <w:b/>
          <w:szCs w:val="24"/>
        </w:rPr>
      </w:pPr>
      <w:r>
        <w:rPr>
          <w:rFonts w:cs="Times New Roman"/>
          <w:b/>
          <w:szCs w:val="24"/>
        </w:rPr>
        <w:br w:type="page"/>
      </w:r>
    </w:p>
    <w:p w:rsidR="00B35332" w:rsidRPr="00881B43" w:rsidRDefault="00B35332" w:rsidP="00B35332">
      <w:pPr>
        <w:autoSpaceDE w:val="0"/>
        <w:autoSpaceDN w:val="0"/>
        <w:adjustRightInd w:val="0"/>
        <w:spacing w:after="0"/>
        <w:rPr>
          <w:rFonts w:cs="Times New Roman"/>
          <w:szCs w:val="24"/>
        </w:rPr>
      </w:pPr>
      <w:r>
        <w:rPr>
          <w:rFonts w:cs="Times New Roman"/>
          <w:b/>
          <w:szCs w:val="24"/>
        </w:rPr>
        <w:t>RESULTS</w:t>
      </w:r>
    </w:p>
    <w:p w:rsidR="00B35332" w:rsidRPr="00881B43" w:rsidRDefault="00B35332" w:rsidP="00B35332">
      <w:pPr>
        <w:spacing w:after="0"/>
        <w:rPr>
          <w:rFonts w:cs="Times New Roman"/>
          <w:szCs w:val="24"/>
        </w:rPr>
      </w:pPr>
      <w:r>
        <w:rPr>
          <w:rFonts w:cs="Times New Roman"/>
          <w:b/>
          <w:szCs w:val="24"/>
        </w:rPr>
        <w:t xml:space="preserve">16S bacterial profiling of the gut microbiota </w:t>
      </w:r>
    </w:p>
    <w:p w:rsidR="00B35332" w:rsidRDefault="00B35332" w:rsidP="00B35332">
      <w:pPr>
        <w:spacing w:after="0"/>
        <w:rPr>
          <w:rFonts w:cs="Times New Roman"/>
          <w:szCs w:val="24"/>
        </w:rPr>
      </w:pPr>
      <w:r>
        <w:rPr>
          <w:rFonts w:cs="Times New Roman"/>
          <w:szCs w:val="24"/>
        </w:rPr>
        <w:t xml:space="preserve">Infants exposed to Infloran® had distinct gut microbiota profiles compared to controls (Figure 1A). The control group cluster independently irrespective of time points, the probiotic group cluster together before, during and after exposure. Using &gt;97% similarity cut-off applied in determining OTUs, three different OTUs identified as </w:t>
      </w:r>
      <w:r w:rsidRPr="00F6304F">
        <w:rPr>
          <w:rFonts w:cs="Times New Roman"/>
          <w:i/>
          <w:szCs w:val="24"/>
        </w:rPr>
        <w:t>Lactobacillus</w:t>
      </w:r>
      <w:r>
        <w:rPr>
          <w:rFonts w:cs="Times New Roman"/>
          <w:szCs w:val="24"/>
        </w:rPr>
        <w:t xml:space="preserve"> and one </w:t>
      </w:r>
      <w:r w:rsidRPr="005165E1">
        <w:rPr>
          <w:rFonts w:cs="Times New Roman"/>
          <w:i/>
          <w:szCs w:val="24"/>
        </w:rPr>
        <w:t>Bifidobac</w:t>
      </w:r>
      <w:r>
        <w:rPr>
          <w:rFonts w:cs="Times New Roman"/>
          <w:i/>
          <w:szCs w:val="24"/>
        </w:rPr>
        <w:t>t</w:t>
      </w:r>
      <w:r w:rsidRPr="005165E1">
        <w:rPr>
          <w:rFonts w:cs="Times New Roman"/>
          <w:i/>
          <w:szCs w:val="24"/>
        </w:rPr>
        <w:t>erium</w:t>
      </w:r>
      <w:r>
        <w:rPr>
          <w:rFonts w:cs="Times New Roman"/>
          <w:szCs w:val="24"/>
        </w:rPr>
        <w:t xml:space="preserve"> OTU were associated with current probiotic exposure (Figure 1B). Most of the </w:t>
      </w:r>
      <w:r w:rsidRPr="00F846E6">
        <w:rPr>
          <w:rFonts w:cs="Times New Roman"/>
          <w:i/>
          <w:szCs w:val="24"/>
        </w:rPr>
        <w:t>Lactobacillus</w:t>
      </w:r>
      <w:r>
        <w:rPr>
          <w:rFonts w:cs="Times New Roman"/>
          <w:szCs w:val="24"/>
        </w:rPr>
        <w:t xml:space="preserve"> spp. had the highest abundance during probiotic treatment, but these OTUs persisted after probiotic treatment had stopped. No</w:t>
      </w:r>
      <w:r w:rsidR="00B430E7">
        <w:rPr>
          <w:rFonts w:cs="Times New Roman"/>
          <w:szCs w:val="24"/>
        </w:rPr>
        <w:t xml:space="preserve"> </w:t>
      </w:r>
      <w:r w:rsidRPr="00F846E6">
        <w:rPr>
          <w:rFonts w:cs="Times New Roman"/>
          <w:i/>
          <w:szCs w:val="24"/>
        </w:rPr>
        <w:t>Lactobacillus</w:t>
      </w:r>
      <w:r>
        <w:rPr>
          <w:rFonts w:cs="Times New Roman"/>
          <w:szCs w:val="24"/>
        </w:rPr>
        <w:t xml:space="preserve"> OTUs associated with probiotic administration were detected in controls and one </w:t>
      </w:r>
      <w:r w:rsidRPr="00F846E6">
        <w:rPr>
          <w:rFonts w:cs="Times New Roman"/>
          <w:i/>
          <w:szCs w:val="24"/>
        </w:rPr>
        <w:t>Lactobacillus</w:t>
      </w:r>
      <w:r>
        <w:rPr>
          <w:rFonts w:cs="Times New Roman"/>
          <w:szCs w:val="24"/>
        </w:rPr>
        <w:t xml:space="preserve"> OTU was present at 0.1% relative abundance in the PD samples (Table 3 and Supplementary Figure 1). In contrast, the abundance of </w:t>
      </w:r>
      <w:r w:rsidRPr="005165E1">
        <w:rPr>
          <w:rFonts w:cs="Times New Roman"/>
          <w:i/>
          <w:szCs w:val="24"/>
        </w:rPr>
        <w:t>Bifidobac</w:t>
      </w:r>
      <w:r>
        <w:rPr>
          <w:rFonts w:cs="Times New Roman"/>
          <w:i/>
          <w:szCs w:val="24"/>
        </w:rPr>
        <w:t>t</w:t>
      </w:r>
      <w:r w:rsidRPr="005165E1">
        <w:rPr>
          <w:rFonts w:cs="Times New Roman"/>
          <w:i/>
          <w:szCs w:val="24"/>
        </w:rPr>
        <w:t>erium</w:t>
      </w:r>
      <w:r>
        <w:rPr>
          <w:rFonts w:cs="Times New Roman"/>
          <w:szCs w:val="24"/>
        </w:rPr>
        <w:t xml:space="preserve"> was relatively high before probiotic supplementation (11.1%) and in controls (4.0 %), but the abundance of this OTU continued to increase during (15.0%) and following (19.1%) probiotic administration in treated infants, falling slightly PD (14.2%). While the gut microbiota was distinct </w:t>
      </w:r>
      <w:r w:rsidRPr="003965C7">
        <w:rPr>
          <w:rFonts w:cs="Times New Roman"/>
          <w:i/>
          <w:szCs w:val="24"/>
        </w:rPr>
        <w:t>between</w:t>
      </w:r>
      <w:r>
        <w:rPr>
          <w:rFonts w:cs="Times New Roman"/>
          <w:szCs w:val="24"/>
        </w:rPr>
        <w:t xml:space="preserve"> patients receiving probiotics and controls (R2Y = 0.85, Q2 = 0.60), the gut microbiota </w:t>
      </w:r>
      <w:r w:rsidRPr="003965C7">
        <w:rPr>
          <w:rFonts w:cs="Times New Roman"/>
          <w:i/>
          <w:szCs w:val="24"/>
        </w:rPr>
        <w:t>within</w:t>
      </w:r>
      <w:r>
        <w:rPr>
          <w:rFonts w:cs="Times New Roman"/>
          <w:szCs w:val="24"/>
        </w:rPr>
        <w:t xml:space="preserve"> patients remained relatively comparable while receiving probiotics (R2Y = 0.36, Q2 = 0.27), compared to before (R2Y = 0.18, Q2 = 0.02), and after (R2Y = 0.25, Q2 = 0.09). Here R2Y represents how well the variable is explained and Q2 represents how well the variable is predicted. Thus demonstrating addition of probiotic OTUs, rather than large shifts in the overall gut microbiota as a result of probiotic administration.</w:t>
      </w:r>
    </w:p>
    <w:p w:rsidR="00B35332" w:rsidRDefault="00B35332" w:rsidP="00B35332">
      <w:pPr>
        <w:spacing w:after="0"/>
        <w:rPr>
          <w:rFonts w:cs="Times New Roman"/>
          <w:szCs w:val="24"/>
        </w:rPr>
      </w:pPr>
      <w:r>
        <w:rPr>
          <w:rFonts w:cs="Times New Roman"/>
          <w:szCs w:val="24"/>
        </w:rPr>
        <w:t xml:space="preserve">The OTUs associated with control samples included a </w:t>
      </w:r>
      <w:r w:rsidRPr="00DB56DC">
        <w:rPr>
          <w:rFonts w:cs="Times New Roman"/>
          <w:i/>
          <w:color w:val="000000"/>
          <w:szCs w:val="24"/>
        </w:rPr>
        <w:t>Clostridium</w:t>
      </w:r>
      <w:r>
        <w:rPr>
          <w:rFonts w:cs="Times New Roman"/>
          <w:color w:val="000000"/>
          <w:szCs w:val="24"/>
        </w:rPr>
        <w:t xml:space="preserve"> (3.84% in controls compared with 0.47% in probiotic, </w:t>
      </w:r>
      <w:r w:rsidRPr="008A41D9">
        <w:rPr>
          <w:rFonts w:cs="Times New Roman"/>
          <w:i/>
          <w:color w:val="000000"/>
          <w:szCs w:val="24"/>
        </w:rPr>
        <w:t>P</w:t>
      </w:r>
      <w:r>
        <w:rPr>
          <w:rFonts w:cs="Times New Roman"/>
          <w:color w:val="000000"/>
          <w:szCs w:val="24"/>
        </w:rPr>
        <w:t xml:space="preserve"> = 0.002) and</w:t>
      </w:r>
      <w:r>
        <w:rPr>
          <w:rFonts w:cs="Times New Roman"/>
          <w:szCs w:val="24"/>
        </w:rPr>
        <w:t xml:space="preserve"> a </w:t>
      </w:r>
      <w:r w:rsidRPr="00060F69">
        <w:rPr>
          <w:rFonts w:cs="Times New Roman"/>
          <w:i/>
          <w:szCs w:val="24"/>
        </w:rPr>
        <w:t>Streptococcus</w:t>
      </w:r>
      <w:r>
        <w:rPr>
          <w:rFonts w:cs="Times New Roman"/>
          <w:szCs w:val="24"/>
        </w:rPr>
        <w:t xml:space="preserve"> (3.09% in controls compared with 0.01% in probiotic, </w:t>
      </w:r>
      <w:r w:rsidRPr="008A41D9">
        <w:rPr>
          <w:rFonts w:cs="Times New Roman"/>
          <w:i/>
          <w:szCs w:val="24"/>
        </w:rPr>
        <w:t>P</w:t>
      </w:r>
      <w:r>
        <w:rPr>
          <w:rFonts w:cs="Times New Roman"/>
          <w:szCs w:val="24"/>
        </w:rPr>
        <w:t xml:space="preserve"> = 0.001). OTUs present in relatively high abundance in PD samples include </w:t>
      </w:r>
      <w:r w:rsidRPr="00DB56DC">
        <w:rPr>
          <w:rFonts w:cs="Times New Roman"/>
          <w:i/>
          <w:color w:val="000000"/>
          <w:szCs w:val="24"/>
        </w:rPr>
        <w:t>Anaerostipes</w:t>
      </w:r>
      <w:r>
        <w:rPr>
          <w:rFonts w:cs="Times New Roman"/>
          <w:color w:val="000000"/>
          <w:szCs w:val="24"/>
        </w:rPr>
        <w:t xml:space="preserve"> (4.37%), </w:t>
      </w:r>
      <w:r w:rsidRPr="00DB56DC">
        <w:rPr>
          <w:rFonts w:cs="Times New Roman"/>
          <w:i/>
          <w:color w:val="000000"/>
          <w:szCs w:val="24"/>
        </w:rPr>
        <w:t>Bacteroides</w:t>
      </w:r>
      <w:r>
        <w:rPr>
          <w:rFonts w:cs="Times New Roman"/>
          <w:color w:val="000000"/>
          <w:szCs w:val="24"/>
        </w:rPr>
        <w:t xml:space="preserve"> (10.36%), </w:t>
      </w:r>
      <w:r w:rsidRPr="00DB56DC">
        <w:rPr>
          <w:rFonts w:cs="Times New Roman"/>
          <w:i/>
          <w:color w:val="000000"/>
          <w:szCs w:val="24"/>
        </w:rPr>
        <w:t>Lachnospiracea</w:t>
      </w:r>
      <w:r>
        <w:rPr>
          <w:rFonts w:cs="Times New Roman"/>
          <w:color w:val="000000"/>
          <w:szCs w:val="24"/>
        </w:rPr>
        <w:t xml:space="preserve"> (5.1%), </w:t>
      </w:r>
      <w:r w:rsidRPr="00DB56DC">
        <w:rPr>
          <w:rFonts w:cs="Times New Roman"/>
          <w:i/>
          <w:color w:val="000000"/>
          <w:szCs w:val="24"/>
        </w:rPr>
        <w:t>Proteus</w:t>
      </w:r>
      <w:r>
        <w:rPr>
          <w:rFonts w:cs="Times New Roman"/>
          <w:color w:val="000000"/>
          <w:szCs w:val="24"/>
        </w:rPr>
        <w:t xml:space="preserve"> (5.53%), and </w:t>
      </w:r>
      <w:r w:rsidRPr="00DB56DC">
        <w:rPr>
          <w:rFonts w:cs="Times New Roman"/>
          <w:i/>
          <w:color w:val="000000"/>
          <w:szCs w:val="24"/>
        </w:rPr>
        <w:t>Veillonella</w:t>
      </w:r>
      <w:r>
        <w:rPr>
          <w:rFonts w:cs="Times New Roman"/>
          <w:color w:val="000000"/>
          <w:szCs w:val="24"/>
        </w:rPr>
        <w:t xml:space="preserve"> (4.47%).</w:t>
      </w:r>
    </w:p>
    <w:p w:rsidR="00B35332" w:rsidRDefault="00B35332" w:rsidP="00B35332">
      <w:pPr>
        <w:spacing w:after="0"/>
        <w:rPr>
          <w:rFonts w:cs="Times New Roman"/>
          <w:szCs w:val="24"/>
        </w:rPr>
      </w:pPr>
      <w:r>
        <w:rPr>
          <w:rFonts w:cs="Times New Roman"/>
          <w:szCs w:val="24"/>
        </w:rPr>
        <w:t>The Shannon diversity of the control group was higher than the probiotic group, with the during probiotic samples being significantly lower (</w:t>
      </w:r>
      <w:r w:rsidRPr="00E32DBE">
        <w:rPr>
          <w:rFonts w:cs="Times New Roman"/>
          <w:i/>
          <w:szCs w:val="24"/>
        </w:rPr>
        <w:t>P</w:t>
      </w:r>
      <w:r>
        <w:rPr>
          <w:rFonts w:cs="Times New Roman"/>
          <w:szCs w:val="24"/>
        </w:rPr>
        <w:t xml:space="preserve"> = &lt;0.001) (Figure 2). Within the probiotic groups the Shannon diversity increased across time.  All groups had a significantly lower (</w:t>
      </w:r>
      <w:r w:rsidRPr="00E32DBE">
        <w:rPr>
          <w:rFonts w:cs="Times New Roman"/>
          <w:i/>
          <w:szCs w:val="24"/>
        </w:rPr>
        <w:t>P</w:t>
      </w:r>
      <w:r>
        <w:rPr>
          <w:rFonts w:cs="Times New Roman"/>
          <w:szCs w:val="24"/>
        </w:rPr>
        <w:t xml:space="preserve"> = &lt;0.001) diversity compared to the PD samples.</w:t>
      </w:r>
    </w:p>
    <w:p w:rsidR="00B35332" w:rsidRDefault="00B35332" w:rsidP="00B35332">
      <w:pPr>
        <w:spacing w:after="0"/>
        <w:rPr>
          <w:rFonts w:cs="Times New Roman"/>
          <w:szCs w:val="24"/>
        </w:rPr>
      </w:pPr>
    </w:p>
    <w:p w:rsidR="00B35332" w:rsidRDefault="00B35332" w:rsidP="00B35332">
      <w:pPr>
        <w:spacing w:after="0"/>
        <w:rPr>
          <w:rFonts w:cs="Times New Roman"/>
          <w:szCs w:val="24"/>
        </w:rPr>
      </w:pPr>
    </w:p>
    <w:p w:rsidR="00B35332" w:rsidRPr="00D33F9B" w:rsidRDefault="00B35332" w:rsidP="00B35332">
      <w:pPr>
        <w:spacing w:after="0"/>
        <w:rPr>
          <w:rFonts w:cs="Times New Roman"/>
          <w:b/>
          <w:szCs w:val="24"/>
        </w:rPr>
      </w:pPr>
      <w:r>
        <w:rPr>
          <w:rFonts w:cs="Times New Roman"/>
          <w:b/>
          <w:szCs w:val="24"/>
        </w:rPr>
        <w:t xml:space="preserve">Table 3 – Relative percentage abundance of select OTUs </w:t>
      </w:r>
    </w:p>
    <w:tbl>
      <w:tblPr>
        <w:tblW w:w="6016" w:type="dxa"/>
        <w:tblInd w:w="93" w:type="dxa"/>
        <w:tblLook w:val="00A0" w:firstRow="1" w:lastRow="0" w:firstColumn="1" w:lastColumn="0" w:noHBand="0" w:noVBand="0"/>
      </w:tblPr>
      <w:tblGrid>
        <w:gridCol w:w="1789"/>
        <w:gridCol w:w="950"/>
        <w:gridCol w:w="869"/>
        <w:gridCol w:w="896"/>
        <w:gridCol w:w="756"/>
        <w:gridCol w:w="756"/>
      </w:tblGrid>
      <w:tr w:rsidR="00B35332" w:rsidRPr="00E36AC7" w:rsidTr="006A6276">
        <w:trPr>
          <w:trHeight w:val="300"/>
        </w:trPr>
        <w:tc>
          <w:tcPr>
            <w:tcW w:w="1789" w:type="dxa"/>
            <w:vMerge w:val="restart"/>
            <w:tcBorders>
              <w:top w:val="nil"/>
              <w:left w:val="single" w:sz="4" w:space="0" w:color="auto"/>
              <w:bottom w:val="single" w:sz="4" w:space="0" w:color="000000"/>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 </w:t>
            </w:r>
          </w:p>
        </w:tc>
        <w:tc>
          <w:tcPr>
            <w:tcW w:w="950" w:type="dxa"/>
            <w:vMerge w:val="restart"/>
            <w:tcBorders>
              <w:top w:val="nil"/>
              <w:left w:val="single" w:sz="4" w:space="0" w:color="auto"/>
              <w:bottom w:val="single" w:sz="4" w:space="0" w:color="000000"/>
              <w:right w:val="nil"/>
            </w:tcBorders>
            <w:noWrap/>
            <w:vAlign w:val="center"/>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Control</w:t>
            </w:r>
            <w:r>
              <w:rPr>
                <w:rFonts w:cs="Times New Roman"/>
                <w:color w:val="000000"/>
                <w:szCs w:val="24"/>
              </w:rPr>
              <w:t xml:space="preserve"> </w:t>
            </w:r>
          </w:p>
        </w:tc>
        <w:tc>
          <w:tcPr>
            <w:tcW w:w="2521" w:type="dxa"/>
            <w:gridSpan w:val="3"/>
            <w:tcBorders>
              <w:top w:val="nil"/>
              <w:left w:val="single" w:sz="4" w:space="0" w:color="auto"/>
              <w:bottom w:val="nil"/>
              <w:right w:val="single" w:sz="4" w:space="0" w:color="000000"/>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NICU Probiotic</w:t>
            </w:r>
          </w:p>
        </w:tc>
        <w:tc>
          <w:tcPr>
            <w:tcW w:w="756" w:type="dxa"/>
            <w:vMerge w:val="restart"/>
            <w:tcBorders>
              <w:top w:val="nil"/>
              <w:left w:val="single" w:sz="4" w:space="0" w:color="auto"/>
              <w:bottom w:val="single" w:sz="4" w:space="0" w:color="000000"/>
              <w:right w:val="single" w:sz="4" w:space="0" w:color="auto"/>
            </w:tcBorders>
            <w:noWrap/>
            <w:vAlign w:val="center"/>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PD</w:t>
            </w:r>
          </w:p>
        </w:tc>
      </w:tr>
      <w:tr w:rsidR="00B35332" w:rsidRPr="00E36AC7" w:rsidTr="006A6276">
        <w:trPr>
          <w:trHeight w:val="320"/>
        </w:trPr>
        <w:tc>
          <w:tcPr>
            <w:tcW w:w="1789" w:type="dxa"/>
            <w:vMerge/>
            <w:tcBorders>
              <w:top w:val="nil"/>
              <w:left w:val="single" w:sz="4" w:space="0" w:color="auto"/>
              <w:bottom w:val="single" w:sz="4" w:space="0" w:color="000000"/>
              <w:right w:val="single" w:sz="4" w:space="0" w:color="auto"/>
            </w:tcBorders>
            <w:vAlign w:val="center"/>
          </w:tcPr>
          <w:p w:rsidR="00B35332" w:rsidRPr="00E36AC7" w:rsidRDefault="00B35332" w:rsidP="006A6276">
            <w:pPr>
              <w:spacing w:after="0" w:line="240" w:lineRule="auto"/>
              <w:rPr>
                <w:rFonts w:cs="Times New Roman"/>
                <w:color w:val="000000"/>
                <w:szCs w:val="24"/>
              </w:rPr>
            </w:pPr>
          </w:p>
        </w:tc>
        <w:tc>
          <w:tcPr>
            <w:tcW w:w="950" w:type="dxa"/>
            <w:vMerge/>
            <w:tcBorders>
              <w:top w:val="nil"/>
              <w:left w:val="single" w:sz="4" w:space="0" w:color="auto"/>
              <w:bottom w:val="single" w:sz="4" w:space="0" w:color="000000"/>
              <w:right w:val="nil"/>
            </w:tcBorders>
            <w:vAlign w:val="center"/>
          </w:tcPr>
          <w:p w:rsidR="00B35332" w:rsidRPr="00E36AC7" w:rsidRDefault="00B35332" w:rsidP="006A6276">
            <w:pPr>
              <w:spacing w:after="0" w:line="240" w:lineRule="auto"/>
              <w:rPr>
                <w:rFonts w:cs="Times New Roman"/>
                <w:color w:val="000000"/>
                <w:szCs w:val="24"/>
              </w:rPr>
            </w:pPr>
          </w:p>
        </w:tc>
        <w:tc>
          <w:tcPr>
            <w:tcW w:w="869" w:type="dxa"/>
            <w:tcBorders>
              <w:top w:val="nil"/>
              <w:left w:val="single" w:sz="4" w:space="0" w:color="auto"/>
              <w:bottom w:val="single" w:sz="4" w:space="0" w:color="auto"/>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Before</w:t>
            </w:r>
          </w:p>
        </w:tc>
        <w:tc>
          <w:tcPr>
            <w:tcW w:w="896" w:type="dxa"/>
            <w:tcBorders>
              <w:top w:val="nil"/>
              <w:left w:val="nil"/>
              <w:bottom w:val="single" w:sz="4" w:space="0" w:color="auto"/>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During</w:t>
            </w:r>
          </w:p>
        </w:tc>
        <w:tc>
          <w:tcPr>
            <w:tcW w:w="756" w:type="dxa"/>
            <w:tcBorders>
              <w:top w:val="nil"/>
              <w:left w:val="nil"/>
              <w:bottom w:val="single" w:sz="4" w:space="0" w:color="auto"/>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After</w:t>
            </w:r>
          </w:p>
        </w:tc>
        <w:tc>
          <w:tcPr>
            <w:tcW w:w="756" w:type="dxa"/>
            <w:vMerge/>
            <w:tcBorders>
              <w:top w:val="nil"/>
              <w:left w:val="single" w:sz="4" w:space="0" w:color="auto"/>
              <w:bottom w:val="single" w:sz="4" w:space="0" w:color="000000"/>
              <w:right w:val="single" w:sz="4" w:space="0" w:color="auto"/>
            </w:tcBorders>
            <w:vAlign w:val="center"/>
          </w:tcPr>
          <w:p w:rsidR="00B35332" w:rsidRPr="00E36AC7" w:rsidRDefault="00B35332" w:rsidP="006A6276">
            <w:pPr>
              <w:spacing w:after="0" w:line="240" w:lineRule="auto"/>
              <w:rPr>
                <w:rFonts w:cs="Times New Roman"/>
                <w:color w:val="000000"/>
                <w:szCs w:val="24"/>
              </w:rPr>
            </w:pP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Acinetobacter</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1.38</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0.02</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Actinomyces</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2.36</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Anaerostipes</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4.37</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Bacteroides</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0.03</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10.36</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Bifidobacterium</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4.02</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11.06</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15.03</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19.10</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14.16</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Clostridium1</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3.84</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0.03</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0.02</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0.47</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Clostridium2</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0.81</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0.08</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Enterococcus</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18.41</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18.93</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24.38</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12.04</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1.16</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Escherichia</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11.44</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2.06</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19.66</w:t>
            </w:r>
          </w:p>
        </w:tc>
        <w:tc>
          <w:tcPr>
            <w:tcW w:w="756" w:type="dxa"/>
            <w:tcBorders>
              <w:top w:val="nil"/>
              <w:left w:val="nil"/>
              <w:bottom w:val="nil"/>
              <w:right w:val="nil"/>
            </w:tcBorders>
            <w:noWrap/>
            <w:vAlign w:val="bottom"/>
          </w:tcPr>
          <w:p w:rsidR="00B35332" w:rsidRPr="00AD1651" w:rsidRDefault="00B35332" w:rsidP="006A6276">
            <w:pPr>
              <w:spacing w:after="0" w:line="240" w:lineRule="auto"/>
              <w:rPr>
                <w:rFonts w:cs="Times New Roman"/>
                <w:b/>
                <w:color w:val="000000"/>
                <w:szCs w:val="24"/>
              </w:rPr>
            </w:pPr>
            <w:r w:rsidRPr="00AD1651">
              <w:rPr>
                <w:rFonts w:cs="Times New Roman"/>
                <w:b/>
                <w:color w:val="000000"/>
                <w:szCs w:val="24"/>
              </w:rPr>
              <w:t>23.77</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14.02</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Klebsiella</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37.41</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7.93</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16.54</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23.92</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12.84</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Lachnospiracea</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5.10</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Lactobacillus1</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1.73</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4.81</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4.77</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Lactobacillus2</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0.77</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5.80</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0.08</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Lactobacillus3</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0.73</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0.20</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2.32</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0.01</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Lactobacillus4</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0.06</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0.19</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0.24</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Proteus</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single" w:sz="4" w:space="0" w:color="auto"/>
              <w:bottom w:val="nil"/>
              <w:right w:val="single" w:sz="4" w:space="0" w:color="auto"/>
            </w:tcBorders>
            <w:noWrap/>
            <w:vAlign w:val="bottom"/>
          </w:tcPr>
          <w:p w:rsidR="00B35332" w:rsidRPr="00892531" w:rsidRDefault="00B35332" w:rsidP="006A6276">
            <w:pPr>
              <w:spacing w:after="0" w:line="240" w:lineRule="auto"/>
              <w:rPr>
                <w:rFonts w:cs="Times New Roman"/>
                <w:b/>
                <w:color w:val="000000"/>
                <w:szCs w:val="24"/>
              </w:rPr>
            </w:pPr>
            <w:r w:rsidRPr="00892531">
              <w:rPr>
                <w:rFonts w:cs="Times New Roman"/>
                <w:b/>
                <w:color w:val="000000"/>
                <w:szCs w:val="24"/>
              </w:rPr>
              <w:t>5.53</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Pseudomonas</w:t>
            </w:r>
          </w:p>
        </w:tc>
        <w:tc>
          <w:tcPr>
            <w:tcW w:w="950"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b/>
                <w:color w:val="000000"/>
                <w:szCs w:val="24"/>
              </w:rPr>
            </w:pPr>
            <w:r w:rsidRPr="00892531">
              <w:rPr>
                <w:rFonts w:cs="Times New Roman"/>
                <w:b/>
                <w:color w:val="000000"/>
                <w:szCs w:val="24"/>
              </w:rPr>
              <w:t>1.58</w:t>
            </w:r>
          </w:p>
        </w:tc>
        <w:tc>
          <w:tcPr>
            <w:tcW w:w="86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b/>
                <w:color w:val="000000"/>
                <w:szCs w:val="24"/>
              </w:rPr>
            </w:pPr>
            <w:r w:rsidRPr="00892531">
              <w:rPr>
                <w:rFonts w:cs="Times New Roman"/>
                <w:b/>
                <w:color w:val="000000"/>
                <w:szCs w:val="24"/>
              </w:rPr>
              <w:t>1.44</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0.49</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0.03</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0.01</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Staphylococcus</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5.86</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53.49</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9.73</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10.52</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0.02</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Streptococcus1</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3.09</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0.01</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0.01</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1.04</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Streptococcus2</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1.00</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r>
      <w:tr w:rsidR="00B35332" w:rsidRPr="00E36AC7" w:rsidTr="006A6276">
        <w:trPr>
          <w:trHeight w:val="300"/>
        </w:trPr>
        <w:tc>
          <w:tcPr>
            <w:tcW w:w="1789" w:type="dxa"/>
            <w:tcBorders>
              <w:top w:val="nil"/>
              <w:left w:val="single" w:sz="4" w:space="0" w:color="auto"/>
              <w:bottom w:val="nil"/>
              <w:right w:val="nil"/>
            </w:tcBorders>
            <w:noWrap/>
            <w:vAlign w:val="bottom"/>
          </w:tcPr>
          <w:p w:rsidR="00B35332" w:rsidRPr="00892531" w:rsidRDefault="00B35332" w:rsidP="006A6276">
            <w:pPr>
              <w:spacing w:after="0" w:line="240" w:lineRule="auto"/>
              <w:rPr>
                <w:rFonts w:cs="Times New Roman"/>
                <w:i/>
                <w:color w:val="000000"/>
                <w:szCs w:val="24"/>
              </w:rPr>
            </w:pPr>
            <w:r w:rsidRPr="00892531">
              <w:rPr>
                <w:rFonts w:cs="Times New Roman"/>
                <w:i/>
                <w:color w:val="000000"/>
                <w:szCs w:val="24"/>
              </w:rPr>
              <w:t>Veillonella</w:t>
            </w:r>
          </w:p>
        </w:tc>
        <w:tc>
          <w:tcPr>
            <w:tcW w:w="950"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69" w:type="dxa"/>
            <w:tcBorders>
              <w:top w:val="nil"/>
              <w:left w:val="single" w:sz="4" w:space="0" w:color="auto"/>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89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nil"/>
              <w:bottom w:val="nil"/>
              <w:right w:val="nil"/>
            </w:tcBorders>
            <w:noWrap/>
            <w:vAlign w:val="bottom"/>
          </w:tcPr>
          <w:p w:rsidR="00B35332" w:rsidRPr="00E36AC7" w:rsidRDefault="00B35332" w:rsidP="006A6276">
            <w:pPr>
              <w:spacing w:after="0" w:line="240" w:lineRule="auto"/>
              <w:rPr>
                <w:rFonts w:cs="Times New Roman"/>
                <w:color w:val="000000"/>
                <w:szCs w:val="24"/>
              </w:rPr>
            </w:pPr>
            <w:r w:rsidRPr="00E36AC7">
              <w:rPr>
                <w:rFonts w:cs="Times New Roman"/>
                <w:color w:val="000000"/>
                <w:szCs w:val="24"/>
              </w:rPr>
              <w:t>0.00</w:t>
            </w:r>
          </w:p>
        </w:tc>
        <w:tc>
          <w:tcPr>
            <w:tcW w:w="756" w:type="dxa"/>
            <w:tcBorders>
              <w:top w:val="nil"/>
              <w:left w:val="single" w:sz="4" w:space="0" w:color="auto"/>
              <w:bottom w:val="nil"/>
              <w:right w:val="single" w:sz="4" w:space="0" w:color="auto"/>
            </w:tcBorders>
            <w:noWrap/>
            <w:vAlign w:val="bottom"/>
          </w:tcPr>
          <w:p w:rsidR="00B35332" w:rsidRPr="00E36AC7" w:rsidRDefault="00B35332" w:rsidP="006A6276">
            <w:pPr>
              <w:spacing w:after="0" w:line="240" w:lineRule="auto"/>
              <w:rPr>
                <w:rFonts w:cs="Times New Roman"/>
                <w:b/>
                <w:bCs/>
                <w:color w:val="000000"/>
                <w:szCs w:val="24"/>
              </w:rPr>
            </w:pPr>
            <w:r w:rsidRPr="00E36AC7">
              <w:rPr>
                <w:rFonts w:cs="Times New Roman"/>
                <w:b/>
                <w:bCs/>
                <w:color w:val="000000"/>
                <w:szCs w:val="24"/>
              </w:rPr>
              <w:t>4.47</w:t>
            </w:r>
          </w:p>
        </w:tc>
      </w:tr>
    </w:tbl>
    <w:p w:rsidR="00B35332" w:rsidRDefault="00B35332" w:rsidP="00B35332">
      <w:pPr>
        <w:spacing w:after="0"/>
        <w:rPr>
          <w:rFonts w:cs="Times New Roman"/>
          <w:szCs w:val="24"/>
        </w:rPr>
      </w:pPr>
    </w:p>
    <w:p w:rsidR="00B35332" w:rsidRPr="00881B43" w:rsidRDefault="00B35332" w:rsidP="00B35332">
      <w:pPr>
        <w:spacing w:after="0"/>
        <w:rPr>
          <w:rFonts w:cs="Times New Roman"/>
          <w:szCs w:val="24"/>
        </w:rPr>
      </w:pPr>
    </w:p>
    <w:p w:rsidR="00B35332" w:rsidRDefault="00B35332" w:rsidP="00B35332">
      <w:pPr>
        <w:spacing w:after="0"/>
        <w:rPr>
          <w:rFonts w:cs="Times New Roman"/>
          <w:b/>
          <w:szCs w:val="24"/>
        </w:rPr>
      </w:pPr>
    </w:p>
    <w:p w:rsidR="00B35332" w:rsidRDefault="00B35332" w:rsidP="00B35332">
      <w:pPr>
        <w:spacing w:after="0"/>
        <w:rPr>
          <w:rFonts w:cs="Times New Roman"/>
          <w:b/>
          <w:szCs w:val="24"/>
        </w:rPr>
      </w:pPr>
    </w:p>
    <w:p w:rsidR="00B35332" w:rsidRPr="00881B43" w:rsidRDefault="00B35332" w:rsidP="00B35332">
      <w:pPr>
        <w:spacing w:after="0"/>
        <w:rPr>
          <w:rFonts w:cs="Times New Roman"/>
          <w:szCs w:val="24"/>
        </w:rPr>
      </w:pPr>
      <w:r w:rsidRPr="00881B43">
        <w:rPr>
          <w:rFonts w:cs="Times New Roman"/>
          <w:b/>
          <w:szCs w:val="24"/>
        </w:rPr>
        <w:t xml:space="preserve">Quantification of </w:t>
      </w:r>
      <w:r w:rsidRPr="00335A55">
        <w:rPr>
          <w:rFonts w:cs="Times New Roman"/>
          <w:b/>
          <w:i/>
          <w:szCs w:val="24"/>
        </w:rPr>
        <w:t>B.bifidum</w:t>
      </w:r>
      <w:r w:rsidRPr="00881B43">
        <w:rPr>
          <w:rFonts w:cs="Times New Roman"/>
          <w:b/>
          <w:szCs w:val="24"/>
        </w:rPr>
        <w:t xml:space="preserve">-ATCC-1569-6 </w:t>
      </w:r>
      <w:r>
        <w:rPr>
          <w:rFonts w:cs="Times New Roman"/>
          <w:b/>
          <w:szCs w:val="24"/>
        </w:rPr>
        <w:t xml:space="preserve">and </w:t>
      </w:r>
      <w:r w:rsidRPr="00807A27">
        <w:rPr>
          <w:rFonts w:cs="Times New Roman"/>
          <w:b/>
          <w:i/>
          <w:szCs w:val="24"/>
        </w:rPr>
        <w:t>L.acidophilus</w:t>
      </w:r>
      <w:r w:rsidRPr="00881B43">
        <w:rPr>
          <w:rFonts w:cs="Times New Roman"/>
          <w:b/>
          <w:szCs w:val="24"/>
        </w:rPr>
        <w:t xml:space="preserve">-NCIMB 701748 by qPCR </w:t>
      </w:r>
    </w:p>
    <w:p w:rsidR="00B35332" w:rsidRDefault="00B35332" w:rsidP="00B35332">
      <w:pPr>
        <w:spacing w:after="0"/>
        <w:rPr>
          <w:rFonts w:cs="Times New Roman"/>
          <w:bCs/>
          <w:color w:val="000000"/>
          <w:szCs w:val="24"/>
        </w:rPr>
      </w:pPr>
      <w:r w:rsidRPr="00881B43">
        <w:rPr>
          <w:rFonts w:cs="Times New Roman"/>
          <w:szCs w:val="24"/>
        </w:rPr>
        <w:t>In accordance with the OT</w:t>
      </w:r>
      <w:r>
        <w:rPr>
          <w:rFonts w:cs="Times New Roman"/>
          <w:szCs w:val="24"/>
        </w:rPr>
        <w:t>U</w:t>
      </w:r>
      <w:r w:rsidRPr="00881B43">
        <w:rPr>
          <w:rFonts w:cs="Times New Roman"/>
          <w:szCs w:val="24"/>
        </w:rPr>
        <w:t xml:space="preserve"> data, </w:t>
      </w:r>
      <w:r>
        <w:rPr>
          <w:rFonts w:cs="Times New Roman"/>
          <w:szCs w:val="24"/>
        </w:rPr>
        <w:t xml:space="preserve">the </w:t>
      </w:r>
      <w:r w:rsidRPr="00D625A1">
        <w:rPr>
          <w:rFonts w:cs="Times New Roman"/>
          <w:i/>
          <w:szCs w:val="24"/>
        </w:rPr>
        <w:t>B. bifidum</w:t>
      </w:r>
      <w:r w:rsidRPr="00881B43">
        <w:rPr>
          <w:rFonts w:cs="Times New Roman"/>
          <w:bCs/>
          <w:color w:val="000000"/>
          <w:szCs w:val="24"/>
        </w:rPr>
        <w:t xml:space="preserve"> </w:t>
      </w:r>
      <w:r>
        <w:rPr>
          <w:rFonts w:cs="Times New Roman"/>
          <w:bCs/>
          <w:color w:val="000000"/>
          <w:szCs w:val="24"/>
        </w:rPr>
        <w:t>load, (i.e copy number of this species), was</w:t>
      </w:r>
      <w:r w:rsidRPr="00881B43">
        <w:rPr>
          <w:rFonts w:cs="Times New Roman"/>
          <w:bCs/>
          <w:color w:val="000000"/>
          <w:szCs w:val="24"/>
        </w:rPr>
        <w:t xml:space="preserve"> </w:t>
      </w:r>
      <w:r>
        <w:rPr>
          <w:rFonts w:cs="Times New Roman"/>
          <w:bCs/>
          <w:color w:val="000000"/>
          <w:szCs w:val="24"/>
        </w:rPr>
        <w:t xml:space="preserve">significantly </w:t>
      </w:r>
      <w:r w:rsidRPr="00881B43">
        <w:rPr>
          <w:rFonts w:cs="Times New Roman"/>
          <w:bCs/>
          <w:color w:val="000000"/>
          <w:szCs w:val="24"/>
        </w:rPr>
        <w:t>(</w:t>
      </w:r>
      <w:r>
        <w:rPr>
          <w:rFonts w:cs="Times New Roman"/>
          <w:bCs/>
          <w:i/>
          <w:color w:val="000000"/>
          <w:szCs w:val="24"/>
        </w:rPr>
        <w:t>P</w:t>
      </w:r>
      <w:r w:rsidRPr="00881B43">
        <w:rPr>
          <w:rFonts w:cs="Times New Roman"/>
          <w:bCs/>
          <w:i/>
          <w:color w:val="000000"/>
          <w:szCs w:val="24"/>
        </w:rPr>
        <w:t xml:space="preserve"> =</w:t>
      </w:r>
      <w:r w:rsidRPr="00881B43">
        <w:rPr>
          <w:rFonts w:cs="Times New Roman"/>
          <w:bCs/>
          <w:color w:val="000000"/>
          <w:szCs w:val="24"/>
        </w:rPr>
        <w:t xml:space="preserve"> &lt;0.001</w:t>
      </w:r>
      <w:r>
        <w:rPr>
          <w:rFonts w:cs="Times New Roman"/>
          <w:bCs/>
          <w:color w:val="000000"/>
          <w:szCs w:val="24"/>
        </w:rPr>
        <w:t>)</w:t>
      </w:r>
      <w:r w:rsidRPr="00881B43">
        <w:rPr>
          <w:rFonts w:cs="Times New Roman"/>
          <w:bCs/>
          <w:color w:val="000000"/>
          <w:szCs w:val="24"/>
        </w:rPr>
        <w:t xml:space="preserve"> </w:t>
      </w:r>
      <w:r>
        <w:rPr>
          <w:rFonts w:cs="Times New Roman"/>
          <w:bCs/>
          <w:color w:val="000000"/>
          <w:szCs w:val="24"/>
        </w:rPr>
        <w:t>higher</w:t>
      </w:r>
      <w:r w:rsidRPr="00881B43">
        <w:rPr>
          <w:rFonts w:cs="Times New Roman"/>
          <w:bCs/>
          <w:color w:val="000000"/>
          <w:szCs w:val="24"/>
        </w:rPr>
        <w:t xml:space="preserve"> </w:t>
      </w:r>
      <w:r>
        <w:rPr>
          <w:rFonts w:cs="Times New Roman"/>
          <w:bCs/>
          <w:color w:val="000000"/>
          <w:szCs w:val="24"/>
        </w:rPr>
        <w:t>at all-time points following administration of</w:t>
      </w:r>
      <w:r w:rsidRPr="00881B43">
        <w:rPr>
          <w:rFonts w:cs="Times New Roman"/>
          <w:bCs/>
          <w:color w:val="000000"/>
          <w:szCs w:val="24"/>
        </w:rPr>
        <w:t xml:space="preserve"> </w:t>
      </w:r>
      <w:r>
        <w:rPr>
          <w:rFonts w:cs="Times New Roman"/>
          <w:bCs/>
          <w:color w:val="000000"/>
          <w:szCs w:val="24"/>
        </w:rPr>
        <w:t>probiotic (Figure 3A).</w:t>
      </w:r>
      <w:r w:rsidRPr="00881B43">
        <w:rPr>
          <w:rFonts w:cs="Times New Roman"/>
          <w:bCs/>
          <w:color w:val="000000"/>
          <w:szCs w:val="24"/>
        </w:rPr>
        <w:t xml:space="preserve"> </w:t>
      </w:r>
      <w:r w:rsidRPr="00335A55">
        <w:rPr>
          <w:rFonts w:cs="Times New Roman"/>
          <w:bCs/>
          <w:i/>
          <w:color w:val="000000"/>
          <w:szCs w:val="24"/>
        </w:rPr>
        <w:t>B</w:t>
      </w:r>
      <w:r>
        <w:rPr>
          <w:rFonts w:cs="Times New Roman"/>
          <w:bCs/>
          <w:i/>
          <w:color w:val="000000"/>
          <w:szCs w:val="24"/>
        </w:rPr>
        <w:t xml:space="preserve">. </w:t>
      </w:r>
      <w:r w:rsidRPr="00335A55">
        <w:rPr>
          <w:rFonts w:cs="Times New Roman"/>
          <w:i/>
          <w:szCs w:val="24"/>
        </w:rPr>
        <w:t>bifidum</w:t>
      </w:r>
      <w:r>
        <w:rPr>
          <w:rFonts w:cs="Times New Roman"/>
          <w:szCs w:val="24"/>
        </w:rPr>
        <w:t xml:space="preserve"> </w:t>
      </w:r>
      <w:r w:rsidRPr="00335A55">
        <w:rPr>
          <w:rFonts w:cs="Times New Roman"/>
          <w:szCs w:val="24"/>
        </w:rPr>
        <w:t>was</w:t>
      </w:r>
      <w:r>
        <w:rPr>
          <w:rFonts w:cs="Times New Roman"/>
          <w:szCs w:val="24"/>
        </w:rPr>
        <w:t xml:space="preserve"> only detected in one probiotic infant before administration and was not</w:t>
      </w:r>
      <w:r w:rsidRPr="00335A55">
        <w:rPr>
          <w:rFonts w:cs="Times New Roman"/>
          <w:szCs w:val="24"/>
        </w:rPr>
        <w:t xml:space="preserve"> detected</w:t>
      </w:r>
      <w:r>
        <w:rPr>
          <w:rFonts w:cs="Times New Roman"/>
          <w:szCs w:val="24"/>
        </w:rPr>
        <w:t xml:space="preserve"> in any control infants ever. </w:t>
      </w:r>
      <w:r w:rsidRPr="00881B43">
        <w:rPr>
          <w:rFonts w:cs="Times New Roman"/>
          <w:i/>
          <w:szCs w:val="24"/>
        </w:rPr>
        <w:t>L. acidophilus</w:t>
      </w:r>
      <w:r>
        <w:rPr>
          <w:rFonts w:cs="Times New Roman"/>
          <w:szCs w:val="24"/>
        </w:rPr>
        <w:t xml:space="preserve">, the reported strain in Infloran, was only </w:t>
      </w:r>
      <w:r w:rsidRPr="00881B43">
        <w:rPr>
          <w:rFonts w:cs="Times New Roman"/>
          <w:szCs w:val="24"/>
        </w:rPr>
        <w:t xml:space="preserve">detected </w:t>
      </w:r>
      <w:r>
        <w:rPr>
          <w:rFonts w:cs="Times New Roman"/>
          <w:szCs w:val="24"/>
        </w:rPr>
        <w:t xml:space="preserve">in </w:t>
      </w:r>
      <w:r w:rsidRPr="00881B43">
        <w:rPr>
          <w:rFonts w:cs="Times New Roman"/>
          <w:szCs w:val="24"/>
        </w:rPr>
        <w:t xml:space="preserve">quantifiable levels in 2 samples during probiotic administration and in </w:t>
      </w:r>
      <w:r>
        <w:rPr>
          <w:rFonts w:cs="Times New Roman"/>
          <w:szCs w:val="24"/>
        </w:rPr>
        <w:t>3 control samples (Figure 3B)</w:t>
      </w:r>
      <w:r w:rsidRPr="00881B43">
        <w:rPr>
          <w:rFonts w:cs="Times New Roman"/>
          <w:bCs/>
          <w:color w:val="000000"/>
          <w:szCs w:val="24"/>
        </w:rPr>
        <w:t xml:space="preserve">. </w:t>
      </w:r>
    </w:p>
    <w:p w:rsidR="00B35332" w:rsidRDefault="00B35332" w:rsidP="00B35332">
      <w:pPr>
        <w:spacing w:after="0"/>
        <w:rPr>
          <w:rFonts w:cs="Times New Roman"/>
          <w:b/>
          <w:szCs w:val="24"/>
          <w:lang w:val="en-AU"/>
        </w:rPr>
      </w:pPr>
    </w:p>
    <w:p w:rsidR="00B35332" w:rsidRPr="00881B43" w:rsidRDefault="00BA6122" w:rsidP="00B35332">
      <w:pPr>
        <w:spacing w:after="0"/>
        <w:rPr>
          <w:rFonts w:cs="Times New Roman"/>
          <w:szCs w:val="24"/>
          <w:lang w:val="en-AU"/>
        </w:rPr>
      </w:pPr>
      <w:r>
        <w:rPr>
          <w:rFonts w:cs="Times New Roman"/>
          <w:b/>
          <w:szCs w:val="24"/>
          <w:lang w:val="en-AU"/>
        </w:rPr>
        <w:t>Metabolomics</w:t>
      </w:r>
      <w:r w:rsidR="00B35332" w:rsidRPr="00881B43">
        <w:rPr>
          <w:rFonts w:cs="Times New Roman"/>
          <w:b/>
          <w:szCs w:val="24"/>
          <w:lang w:val="en-AU"/>
        </w:rPr>
        <w:t xml:space="preserve"> </w:t>
      </w:r>
      <w:r w:rsidR="00B35332">
        <w:rPr>
          <w:rFonts w:cs="Times New Roman"/>
          <w:b/>
          <w:szCs w:val="24"/>
          <w:lang w:val="en-AU"/>
        </w:rPr>
        <w:t>profiling of the gut microbiota</w:t>
      </w:r>
    </w:p>
    <w:p w:rsidR="00B35332" w:rsidRDefault="00B35332" w:rsidP="00B35332">
      <w:pPr>
        <w:spacing w:after="0"/>
        <w:rPr>
          <w:rFonts w:cs="Times New Roman"/>
          <w:szCs w:val="24"/>
        </w:rPr>
      </w:pPr>
      <w:r>
        <w:rPr>
          <w:rFonts w:cs="Times New Roman"/>
          <w:szCs w:val="24"/>
        </w:rPr>
        <w:t>Overall, metabolite profiles demonstrated comparably more uniformity than bacterial profiles. The PD samples were found to have a distinct metabolite profile when compared with NICU samples by OPLS-DA (R2Y = 0.99, Q2 = 0.8), with a strong association of unique metabolites and metabolites present in much greater abundance compared with NICU samples (Supplementary Figure 2). Due to low amount of sample in the ‘before’ samples (and the skew caused by the PD samples), these 2 groups were omitted from OPLS-DA of the probiotic and control groups. Due to the inherently similar metabolomics profiles, OPLS-DA was unable to robustly separate samples taken during or after probiotic administration, and control groups (Figure 4A: R2Y = 0.62, Q2 = 0.31)</w:t>
      </w:r>
      <w:r w:rsidRPr="00881B43">
        <w:rPr>
          <w:rFonts w:cs="Times New Roman"/>
          <w:szCs w:val="24"/>
        </w:rPr>
        <w:t xml:space="preserve">. </w:t>
      </w:r>
      <w:r>
        <w:rPr>
          <w:rFonts w:cs="Times New Roman"/>
          <w:szCs w:val="24"/>
        </w:rPr>
        <w:t>However, following removal of metabolites with a VIP of &lt;1 (leaving only significant metabolites with large differences in the relative intensities), the groups could be separated more robustly (Figure 4B: R2Y = 0.80, Q2 = 0.56). The loadings plot showed a cluster of metabolites associated with samples during probiotic intake. Further study will be required to robustly identify these and other metabolites of interest using additional techniques or known standards.</w:t>
      </w:r>
    </w:p>
    <w:p w:rsidR="00B35332" w:rsidRDefault="00B35332" w:rsidP="00B35332">
      <w:pPr>
        <w:spacing w:after="0"/>
        <w:rPr>
          <w:rFonts w:cs="Times New Roman"/>
          <w:szCs w:val="24"/>
        </w:rPr>
      </w:pPr>
    </w:p>
    <w:p w:rsidR="00B35332" w:rsidRPr="00881B43" w:rsidRDefault="00B35332" w:rsidP="00B35332">
      <w:pPr>
        <w:spacing w:after="0"/>
        <w:rPr>
          <w:rFonts w:cs="Times New Roman"/>
          <w:szCs w:val="24"/>
        </w:rPr>
      </w:pPr>
    </w:p>
    <w:p w:rsidR="00B35332" w:rsidRDefault="00B35332" w:rsidP="00B35332">
      <w:pPr>
        <w:spacing w:after="0"/>
        <w:rPr>
          <w:rFonts w:cs="Times New Roman"/>
          <w:b/>
          <w:szCs w:val="24"/>
        </w:rPr>
        <w:sectPr w:rsidR="00B35332" w:rsidSect="006A6276">
          <w:pgSz w:w="11906" w:h="16838"/>
          <w:pgMar w:top="1440" w:right="1440" w:bottom="1440" w:left="1440" w:header="708" w:footer="708" w:gutter="0"/>
          <w:cols w:space="708"/>
          <w:docGrid w:linePitch="360"/>
        </w:sectPr>
      </w:pPr>
    </w:p>
    <w:p w:rsidR="00B35332" w:rsidRPr="00881B43" w:rsidRDefault="00B35332" w:rsidP="00B35332">
      <w:pPr>
        <w:spacing w:after="0"/>
        <w:rPr>
          <w:rFonts w:cs="Times New Roman"/>
          <w:szCs w:val="24"/>
        </w:rPr>
      </w:pPr>
      <w:r>
        <w:rPr>
          <w:rFonts w:cs="Times New Roman"/>
          <w:b/>
          <w:szCs w:val="24"/>
        </w:rPr>
        <w:t>DISCUSSION</w:t>
      </w:r>
    </w:p>
    <w:p w:rsidR="00B35332" w:rsidRDefault="00B35332" w:rsidP="00B35332">
      <w:pPr>
        <w:spacing w:after="0"/>
        <w:rPr>
          <w:rFonts w:cs="Times New Roman"/>
          <w:szCs w:val="24"/>
        </w:rPr>
      </w:pPr>
      <w:r>
        <w:rPr>
          <w:rFonts w:cs="Times New Roman"/>
          <w:szCs w:val="24"/>
        </w:rPr>
        <w:t>We explored the gut microbiota in preterm neonates receiving the probiotic Infloran and non-exposed contemporaneous controls.  We also explored the persistence of effects after discharge of receiving probiotics on the NICU. Uniquely, both molecular sequencing and metabolomic profiling was performed to determine, 1) overall changes to the gut microbiota as a result of probiotic receipt, 2) the quantification of the reported species in Infloran, 3) long-term colonisation, and 4) associated functional shifts in gut metabolites.</w:t>
      </w:r>
    </w:p>
    <w:p w:rsidR="00B35332" w:rsidRDefault="00B35332" w:rsidP="00B35332">
      <w:pPr>
        <w:spacing w:after="0"/>
        <w:rPr>
          <w:rFonts w:cs="Times New Roman"/>
          <w:szCs w:val="24"/>
        </w:rPr>
      </w:pPr>
      <w:r>
        <w:rPr>
          <w:rFonts w:cs="Times New Roman"/>
          <w:szCs w:val="24"/>
        </w:rPr>
        <w:t>Supervised modelling demonstrated that infants receiving Infloran have a different gut microbiota to controls, where the probiotic genera used in this study (</w:t>
      </w:r>
      <w:r>
        <w:rPr>
          <w:rFonts w:cs="Times New Roman"/>
          <w:i/>
          <w:szCs w:val="24"/>
        </w:rPr>
        <w:t xml:space="preserve">Bifidobacterium </w:t>
      </w:r>
      <w:r w:rsidRPr="00881B43">
        <w:rPr>
          <w:rFonts w:cs="Times New Roman"/>
          <w:szCs w:val="24"/>
        </w:rPr>
        <w:t>and</w:t>
      </w:r>
      <w:r w:rsidRPr="00881B43">
        <w:rPr>
          <w:rFonts w:cs="Times New Roman"/>
          <w:i/>
          <w:szCs w:val="24"/>
        </w:rPr>
        <w:t xml:space="preserve"> </w:t>
      </w:r>
      <w:r w:rsidRPr="00F846E6">
        <w:rPr>
          <w:rFonts w:cs="Times New Roman"/>
          <w:i/>
          <w:szCs w:val="24"/>
        </w:rPr>
        <w:t>Lactobacillus</w:t>
      </w:r>
      <w:r>
        <w:rPr>
          <w:rFonts w:cs="Times New Roman"/>
          <w:szCs w:val="24"/>
        </w:rPr>
        <w:t>) were most associated with samples taken during probiotic receipt. During on-going administration, such detection is not necessarily indicative of colonisation but may simply represent the passage of DNA from the administered species through the host.</w:t>
      </w:r>
      <w:r>
        <w:rPr>
          <w:rFonts w:cs="Times New Roman"/>
          <w:szCs w:val="24"/>
        </w:rPr>
        <w:fldChar w:fldCharType="begin" w:fldLock="1"/>
      </w:r>
      <w:r>
        <w:rPr>
          <w:rFonts w:cs="Times New Roman"/>
          <w:szCs w:val="24"/>
        </w:rPr>
        <w:instrText>ADDIN CSL_CITATION { "citationItems" : [ { "id" : "ITEM-1", "itemData" : { "DOI" : "10.1542/peds.2013-1339", "ISSN" : "1098-4275", "PMID" : "24249817", "abstract" : "BACKGROUND AND OBJECTIVE: Late-onset sepsis frequently complicates prematurity, contributing to morbidity and mortality. Probiotics may reduce mortality and necrotizing enterocolitis (NEC) in preterm infants, with unclear effect on late-onset sepsis. This study aimed to determine the effect of administering a specific combination of probiotics to very preterm infants on culture-proven late-onset sepsis.\\n\\nMETHODS: A prospective multicenter, double-blinded, placebo-controlled, randomized trial compared daily administration of a probiotic combination (Bifidobacterium infantis, Streptococcus thermophilus, and Bifidobacterium lactis, containing 1 \u00d7 10(9) total organisms) with placebo (maltodextrin) in infants born before 32 completed weeks' gestation weighing &lt;1500 g. The primary outcome was at least 1 episode of definite late-onset sepsis.\\n\\nRESULTS: Between October 2007 and November 2011, 1099 very preterm infants from Australia and New Zealand were randomized. Rates of definite late-onset sepsis (16.2%), NEC of Bell stage 2 or more (4.4%), and mortality (5.1%) were low in controls, with high breast milk feeding rates (96.9%). No significant difference in definite late-onset sepsis or all-cause mortality was found, but this probiotic combination reduced NEC of Bell stage 2 or more (2.0% versus 4.4%; relative risk 0.46, 95% confidence interval 0.23 to 0.93, P = .03; number needed to treat 43, 95% confidence interval 23 to 333).\\n\\nCONCLUSIONS: The probiotics B infantis, S thermophilus, and B lactis significantly reduced NEC of Bell stage 2 or more in very preterm infants, but not definite late-onset sepsis or mortality. Treatment with this combination of probiotics appears to be safe.", "author" : [ { "dropping-particle" : "", "family" : "Jacobs", "given" : "Susan E", "non-dropping-particle" : "", "parse-names" : false, "suffix" : "" }, { "dropping-particle" : "", "family" : "Tobin", "given" : "Jacinta M", "non-dropping-particle" : "", "parse-names" : false, "suffix" : "" }, { "dropping-particle" : "", "family" : "Opie", "given" : "Gillian F", "non-dropping-particle" : "", "parse-names" : false, "suffix" : "" }, { "dropping-particle" : "", "family" : "Donath", "given" : "Susan", "non-dropping-particle" : "", "parse-names" : false, "suffix" : "" }, { "dropping-particle" : "", "family" : "Tabrizi", "given" : "Sepehr N", "non-dropping-particle" : "", "parse-names" : false, "suffix" : "" }, { "dropping-particle" : "", "family" : "Pirotta", "given" : "Marie", "non-dropping-particle" : "", "parse-names" : false, "suffix" : "" }, { "dropping-particle" : "", "family" : "Morley", "given" : "Colin J", "non-dropping-particle" : "", "parse-names" : false, "suffix" : "" }, { "dropping-particle" : "", "family" : "Garland", "given" : "Suzanne M", "non-dropping-particle" : "", "parse-names" : false, "suffix" : "" } ], "container-title" : "Pediatrics", "id" : "ITEM-1", "issued" : { "date-parts" : [ [ "2013" ] ] }, "page" : "1055-62", "title" : "Probiotic effects on late-onset sepsis in very preterm infants: a randomized controlled trial.", "type" : "article-journal", "volume" : "132" }, "uris" : [ "http://www.mendeley.com/documents/?uuid=480a3fba-2302-4e92-b410-2e4efc169026", "http://www.mendeley.com/documents/?uuid=11ee2c24-db1b-4339-b49f-3c95a2d3e9e6" ] } ], "mendeley" : { "previouslyFormattedCitation" : "[19]" }, "properties" : { "noteIndex" : 0 }, "schema" : "https://github.com/citation-style-language/schema/raw/master/csl-citation.json" }</w:instrText>
      </w:r>
      <w:r>
        <w:rPr>
          <w:rFonts w:cs="Times New Roman"/>
          <w:szCs w:val="24"/>
        </w:rPr>
        <w:fldChar w:fldCharType="separate"/>
      </w:r>
      <w:r w:rsidRPr="0083592E">
        <w:rPr>
          <w:rFonts w:cs="Times New Roman"/>
          <w:noProof/>
          <w:szCs w:val="24"/>
        </w:rPr>
        <w:t>[19]</w:t>
      </w:r>
      <w:r>
        <w:rPr>
          <w:rFonts w:cs="Times New Roman"/>
          <w:szCs w:val="24"/>
        </w:rPr>
        <w:fldChar w:fldCharType="end"/>
      </w:r>
      <w:r>
        <w:rPr>
          <w:rFonts w:cs="Times New Roman"/>
          <w:szCs w:val="24"/>
        </w:rPr>
        <w:t xml:space="preserve"> However, by exploring persistence following administration ceased and after discharge we found the </w:t>
      </w:r>
      <w:r>
        <w:rPr>
          <w:rFonts w:cs="Times New Roman"/>
          <w:i/>
          <w:szCs w:val="24"/>
        </w:rPr>
        <w:t xml:space="preserve">Bifidobacterium </w:t>
      </w:r>
      <w:r>
        <w:rPr>
          <w:rFonts w:cs="Times New Roman"/>
          <w:szCs w:val="24"/>
        </w:rPr>
        <w:t xml:space="preserve">OTU associated with probiotic intake was able to successfully establish in the resident flora long-term, with comparable levels PD as during active administration. Although we attempted to obtain PD control samples none were obtained, preventing direct comparison. </w:t>
      </w:r>
    </w:p>
    <w:p w:rsidR="00B35332" w:rsidRPr="00F43638" w:rsidRDefault="00B35332" w:rsidP="00B35332">
      <w:pPr>
        <w:spacing w:after="0"/>
        <w:rPr>
          <w:rFonts w:cs="Times New Roman"/>
          <w:szCs w:val="24"/>
        </w:rPr>
      </w:pPr>
      <w:r>
        <w:rPr>
          <w:rFonts w:cs="Times New Roman"/>
          <w:i/>
          <w:szCs w:val="24"/>
        </w:rPr>
        <w:t>Bifidobacterium</w:t>
      </w:r>
      <w:r>
        <w:rPr>
          <w:rFonts w:cs="Times New Roman"/>
          <w:szCs w:val="24"/>
        </w:rPr>
        <w:t xml:space="preserve"> OTUs were present in control samples and before probiotic administration in the NGS data, but the strain of </w:t>
      </w:r>
      <w:r>
        <w:rPr>
          <w:rFonts w:cs="Times New Roman"/>
          <w:i/>
          <w:szCs w:val="24"/>
        </w:rPr>
        <w:t>B. bifidum</w:t>
      </w:r>
      <w:r>
        <w:rPr>
          <w:rFonts w:cs="Times New Roman"/>
          <w:szCs w:val="24"/>
        </w:rPr>
        <w:t xml:space="preserve"> used in the probiotic was not detected by qPCR in controls and was detected in only 1 ‘before’ probiotic sample. While the NGS and qPCR data were in agreement for </w:t>
      </w:r>
      <w:r>
        <w:rPr>
          <w:rFonts w:cs="Times New Roman"/>
          <w:i/>
          <w:szCs w:val="24"/>
        </w:rPr>
        <w:t>B. bifidum</w:t>
      </w:r>
      <w:r>
        <w:rPr>
          <w:rFonts w:cs="Times New Roman"/>
          <w:szCs w:val="24"/>
        </w:rPr>
        <w:t xml:space="preserve">, data were less comparable for </w:t>
      </w:r>
      <w:r w:rsidRPr="00881B43">
        <w:rPr>
          <w:rFonts w:cs="Times New Roman"/>
          <w:i/>
          <w:szCs w:val="24"/>
        </w:rPr>
        <w:t>L. acidophilus</w:t>
      </w:r>
      <w:r>
        <w:rPr>
          <w:rFonts w:cs="Times New Roman"/>
          <w:szCs w:val="24"/>
        </w:rPr>
        <w:t xml:space="preserve">. By NGS </w:t>
      </w:r>
      <w:r w:rsidRPr="00F846E6">
        <w:rPr>
          <w:rFonts w:cs="Times New Roman"/>
          <w:i/>
          <w:szCs w:val="24"/>
        </w:rPr>
        <w:t>Lactobacillus</w:t>
      </w:r>
      <w:r>
        <w:rPr>
          <w:rFonts w:cs="Times New Roman"/>
          <w:szCs w:val="24"/>
        </w:rPr>
        <w:t xml:space="preserve"> OTUs were not detected from controls, and scarcely detected before probiotics or PD. However, three </w:t>
      </w:r>
      <w:r w:rsidRPr="00F846E6">
        <w:rPr>
          <w:rFonts w:cs="Times New Roman"/>
          <w:i/>
          <w:szCs w:val="24"/>
        </w:rPr>
        <w:t>Lactobacillus</w:t>
      </w:r>
      <w:r>
        <w:rPr>
          <w:rFonts w:cs="Times New Roman"/>
          <w:szCs w:val="24"/>
        </w:rPr>
        <w:t xml:space="preserve"> OTUs increased during and after probiotic, compared with control and PD samples. Multiple OTUs of </w:t>
      </w:r>
      <w:r w:rsidRPr="00F846E6">
        <w:rPr>
          <w:rFonts w:cs="Times New Roman"/>
          <w:i/>
          <w:szCs w:val="24"/>
        </w:rPr>
        <w:t>Lactobacillus</w:t>
      </w:r>
      <w:r>
        <w:rPr>
          <w:rFonts w:cs="Times New Roman"/>
          <w:szCs w:val="24"/>
        </w:rPr>
        <w:t xml:space="preserve"> may represent issues in the bioinformatic alignment and identification, or the potential that more than one species of </w:t>
      </w:r>
      <w:r w:rsidRPr="00F846E6">
        <w:rPr>
          <w:rFonts w:cs="Times New Roman"/>
          <w:i/>
          <w:szCs w:val="24"/>
        </w:rPr>
        <w:t>Lactobacillus</w:t>
      </w:r>
      <w:r>
        <w:rPr>
          <w:rFonts w:cs="Times New Roman"/>
          <w:szCs w:val="24"/>
        </w:rPr>
        <w:t xml:space="preserve"> was present in</w:t>
      </w:r>
      <w:r w:rsidRPr="00DB5D75">
        <w:rPr>
          <w:rFonts w:cs="Times New Roman"/>
          <w:szCs w:val="24"/>
        </w:rPr>
        <w:t xml:space="preserve"> </w:t>
      </w:r>
      <w:r>
        <w:rPr>
          <w:rFonts w:cs="Times New Roman"/>
          <w:szCs w:val="24"/>
        </w:rPr>
        <w:t>Infloran.</w:t>
      </w:r>
      <w:r w:rsidRPr="00282B9D">
        <w:rPr>
          <w:rFonts w:cs="Times New Roman"/>
          <w:szCs w:val="24"/>
        </w:rPr>
        <w:t xml:space="preserve"> </w:t>
      </w:r>
      <w:r w:rsidRPr="00F67C8F">
        <w:rPr>
          <w:rFonts w:cs="Times New Roman"/>
          <w:szCs w:val="24"/>
        </w:rPr>
        <w:t xml:space="preserve">The enhanced ability of </w:t>
      </w:r>
      <w:r w:rsidRPr="00F67C8F">
        <w:rPr>
          <w:rFonts w:cs="Times New Roman"/>
          <w:i/>
          <w:szCs w:val="24"/>
        </w:rPr>
        <w:t>Bifidobacterium</w:t>
      </w:r>
      <w:r w:rsidRPr="00F67C8F">
        <w:rPr>
          <w:rFonts w:cs="Times New Roman"/>
          <w:szCs w:val="24"/>
        </w:rPr>
        <w:t xml:space="preserve"> to successfully colonise and proliferate</w:t>
      </w:r>
      <w:r>
        <w:rPr>
          <w:rFonts w:cs="Times New Roman"/>
          <w:szCs w:val="24"/>
        </w:rPr>
        <w:t xml:space="preserve"> with higher abundance and greater persistence compared to</w:t>
      </w:r>
      <w:r w:rsidRPr="00F67C8F">
        <w:rPr>
          <w:rFonts w:cs="Times New Roman"/>
          <w:szCs w:val="24"/>
        </w:rPr>
        <w:t xml:space="preserve"> </w:t>
      </w:r>
      <w:r w:rsidRPr="00F846E6">
        <w:rPr>
          <w:rFonts w:cs="Times New Roman"/>
          <w:i/>
          <w:szCs w:val="24"/>
        </w:rPr>
        <w:t>Lactobacillus</w:t>
      </w:r>
      <w:r>
        <w:rPr>
          <w:rFonts w:cs="Times New Roman"/>
          <w:szCs w:val="24"/>
        </w:rPr>
        <w:t xml:space="preserve"> is important, and may suggest the potential differing probiotic efficacy in clinical trials. Increased colonisation by</w:t>
      </w:r>
      <w:r w:rsidRPr="00813A5F">
        <w:rPr>
          <w:rFonts w:cs="Times New Roman"/>
          <w:i/>
          <w:szCs w:val="24"/>
        </w:rPr>
        <w:t xml:space="preserve"> </w:t>
      </w:r>
      <w:r w:rsidRPr="00F67C8F">
        <w:rPr>
          <w:rFonts w:cs="Times New Roman"/>
          <w:i/>
          <w:szCs w:val="24"/>
        </w:rPr>
        <w:t>Bifidobacterium</w:t>
      </w:r>
      <w:r>
        <w:rPr>
          <w:rFonts w:cs="Times New Roman"/>
          <w:szCs w:val="24"/>
        </w:rPr>
        <w:t xml:space="preserve"> over </w:t>
      </w:r>
      <w:r w:rsidRPr="00F846E6">
        <w:rPr>
          <w:rFonts w:cs="Times New Roman"/>
          <w:i/>
          <w:szCs w:val="24"/>
        </w:rPr>
        <w:t>Lactobacillus</w:t>
      </w:r>
      <w:r>
        <w:rPr>
          <w:rFonts w:cs="Times New Roman"/>
          <w:szCs w:val="24"/>
        </w:rPr>
        <w:t xml:space="preserve"> has previously been shown in one breastfed preterm population,</w:t>
      </w:r>
      <w:r>
        <w:rPr>
          <w:rFonts w:cs="Times New Roman"/>
          <w:szCs w:val="24"/>
        </w:rPr>
        <w:fldChar w:fldCharType="begin" w:fldLock="1"/>
      </w:r>
      <w:r>
        <w:rPr>
          <w:rFonts w:cs="Times New Roman"/>
          <w:szCs w:val="24"/>
        </w:rPr>
        <w:instrText>ADDIN CSL_CITATION { "citationItems" : [ { "id" : "ITEM-1", "itemData" : { "DOI" : "10.1002/mbo3.64", "ISSN" : "2045-8827", "PMID" : "23349073", "abstract" : "The composition of the microbiota associated with the human ileum and colon in the early weeks of life of two preterm infants was examined, with particular emphasis on the Lactobacillus and Bifidobacterium members. Culturing work showed that bifidobacteria and lactobacilli in the ileostomy changed over time, compared with the colostomy effluent where there was far less variation. The colostomy infant was dominated by two phyla, Actinobacteria and Firmicutes, while in the ileostomy samples, Proteobacteria emerged at the expense of Actinobacteria. Bacteroidetes were only detected following the reversal of the ileostomy in the final fecal sample and were not detected in any colonic fluid samples. Clostridia levels were unstable in the colostomy fluid, suggesting that the ileostomy/colostomy itself influenced the gut microbiota, in particular the strict anaerobes. Pyrosequencing analysis of microbiota composition indicated that bifidobacteria and lactobacilli are among the dominant genera in both the ileal and colonic fluids. Bifidobacteria and lactobacilli levels were unstable in the ileostomy fluid, with large reductions in numbers and relative proportions of both observed. These decreases were characterized by an increase in proportions of Streptococcus and Enterobacteriaceae. Clostridium was detected only in the colonic effluent, with large changes in the relative proportions over time.", "author" : [ { "dropping-particle" : "", "family" : "Barrett", "given" : "Eoin", "non-dropping-particle" : "", "parse-names" : false, "suffix" : "" }, { "dropping-particle" : "", "family" : "Guinane", "given" : "CM", "non-dropping-particle" : "", "parse-names" : false, "suffix" : "" } ], "container-title" : "Microbiologyopen", "id" : "ITEM-1", "issued" : { "date-parts" : [ [ "2013", "1", "24" ] ] }, "title" : "Microbiota diversity and stability of the preterm neonatal ileum and colon of two infants", "type" : "article-journal" }, "uris" : [ "http://www.mendeley.com/documents/?uuid=8b58c15e-6884-44e0-b566-3a608855e865" ] } ], "mendeley" : { "previouslyFormattedCitation" : "[20]" }, "properties" : { "noteIndex" : 0 }, "schema" : "https://github.com/citation-style-language/schema/raw/master/csl-citation.json" }</w:instrText>
      </w:r>
      <w:r>
        <w:rPr>
          <w:rFonts w:cs="Times New Roman"/>
          <w:szCs w:val="24"/>
        </w:rPr>
        <w:fldChar w:fldCharType="separate"/>
      </w:r>
      <w:r w:rsidRPr="0083592E">
        <w:rPr>
          <w:rFonts w:cs="Times New Roman"/>
          <w:noProof/>
          <w:szCs w:val="24"/>
        </w:rPr>
        <w:t>[20]</w:t>
      </w:r>
      <w:r>
        <w:rPr>
          <w:rFonts w:cs="Times New Roman"/>
          <w:szCs w:val="24"/>
        </w:rPr>
        <w:fldChar w:fldCharType="end"/>
      </w:r>
      <w:r>
        <w:rPr>
          <w:rFonts w:cs="Times New Roman"/>
          <w:szCs w:val="24"/>
        </w:rPr>
        <w:t xml:space="preserve"> but opposing trends  with increased colonisation by </w:t>
      </w:r>
      <w:r w:rsidRPr="00F846E6">
        <w:rPr>
          <w:rFonts w:cs="Times New Roman"/>
          <w:i/>
          <w:szCs w:val="24"/>
        </w:rPr>
        <w:t>Lactobacillus</w:t>
      </w:r>
      <w:r>
        <w:rPr>
          <w:rFonts w:cs="Times New Roman"/>
          <w:szCs w:val="24"/>
        </w:rPr>
        <w:t xml:space="preserve"> have been shown for term neonates.</w:t>
      </w:r>
      <w:r>
        <w:rPr>
          <w:rFonts w:cs="Times New Roman"/>
          <w:szCs w:val="24"/>
        </w:rPr>
        <w:fldChar w:fldCharType="begin" w:fldLock="1"/>
      </w:r>
      <w:r>
        <w:rPr>
          <w:rFonts w:cs="Times New Roman"/>
          <w:szCs w:val="24"/>
        </w:rPr>
        <w:instrText>ADDIN CSL_CITATION { "citationItems" : [ { "id" : "ITEM-1", "itemData" : { "author" : [ { "dropping-particle" : "", "family" : "Chen", "given" : "Reng Wang and Jinjin", "non-dropping-particle" : "", "parse-names" : false, "suffix" : "" } ], "container-title" : "Saudi Medical Journal", "id" : "ITEM-1", "issued" : { "date-parts" : [ [ "2011" ] ] }, "title" : "Early colonization of intestinal bifidobacteria and lactobacilli in the postoperative neonates with congenital intestinal atresia.", "type" : "article-journal", "volume" : "32" }, "uris" : [ "http://www.mendeley.com/documents/?uuid=084b6a12-cebd-4ca7-b050-f0f6af966985", "http://www.mendeley.com/documents/?uuid=06fee3b2-edbc-4bfe-9da5-23ff8116791f" ] } ], "mendeley" : { "previouslyFormattedCitation" : "[21]" }, "properties" : { "noteIndex" : 0 }, "schema" : "https://github.com/citation-style-language/schema/raw/master/csl-citation.json" }</w:instrText>
      </w:r>
      <w:r>
        <w:rPr>
          <w:rFonts w:cs="Times New Roman"/>
          <w:szCs w:val="24"/>
        </w:rPr>
        <w:fldChar w:fldCharType="separate"/>
      </w:r>
      <w:r w:rsidRPr="0083592E">
        <w:rPr>
          <w:rFonts w:cs="Times New Roman"/>
          <w:noProof/>
          <w:szCs w:val="24"/>
        </w:rPr>
        <w:t>[21]</w:t>
      </w:r>
      <w:r>
        <w:rPr>
          <w:rFonts w:cs="Times New Roman"/>
          <w:szCs w:val="24"/>
        </w:rPr>
        <w:fldChar w:fldCharType="end"/>
      </w:r>
    </w:p>
    <w:p w:rsidR="00B35332" w:rsidRPr="00E34AE8" w:rsidRDefault="00B35332" w:rsidP="00B35332">
      <w:pPr>
        <w:spacing w:after="0"/>
        <w:rPr>
          <w:rFonts w:cs="Times New Roman"/>
          <w:color w:val="000000"/>
          <w:szCs w:val="24"/>
        </w:rPr>
      </w:pPr>
      <w:r>
        <w:rPr>
          <w:rFonts w:cs="Times New Roman"/>
          <w:szCs w:val="24"/>
        </w:rPr>
        <w:t xml:space="preserve">Administration of probiotic did not significantly alter the total composition of gut microbiota, with most bacterial OTUs being detected in all samples. However, changes in the relative </w:t>
      </w:r>
      <w:r w:rsidRPr="00813A5F">
        <w:rPr>
          <w:rFonts w:cs="Times New Roman"/>
          <w:i/>
          <w:szCs w:val="24"/>
        </w:rPr>
        <w:t>abundance</w:t>
      </w:r>
      <w:r>
        <w:rPr>
          <w:rFonts w:cs="Times New Roman"/>
          <w:szCs w:val="24"/>
        </w:rPr>
        <w:t xml:space="preserve"> of OTUs did occur in probiotic infants, with an increased abundance of </w:t>
      </w:r>
      <w:r>
        <w:rPr>
          <w:rFonts w:cs="Times New Roman"/>
          <w:i/>
          <w:szCs w:val="24"/>
        </w:rPr>
        <w:t>Bifidobacterium</w:t>
      </w:r>
      <w:r>
        <w:rPr>
          <w:rFonts w:cs="Times New Roman"/>
          <w:szCs w:val="24"/>
        </w:rPr>
        <w:t xml:space="preserve"> and </w:t>
      </w:r>
      <w:r w:rsidRPr="00F846E6">
        <w:rPr>
          <w:rFonts w:cs="Times New Roman"/>
          <w:i/>
          <w:szCs w:val="24"/>
        </w:rPr>
        <w:t>Lactobacillus</w:t>
      </w:r>
      <w:r>
        <w:rPr>
          <w:rFonts w:cs="Times New Roman"/>
          <w:szCs w:val="24"/>
        </w:rPr>
        <w:t xml:space="preserve"> and notable decreases in the relative abundances of other taxa. The relatively high abundance of </w:t>
      </w:r>
      <w:r w:rsidRPr="00892531">
        <w:rPr>
          <w:rFonts w:cs="Times New Roman"/>
          <w:i/>
          <w:szCs w:val="24"/>
        </w:rPr>
        <w:t>Staphylococcus</w:t>
      </w:r>
      <w:r>
        <w:rPr>
          <w:rFonts w:cs="Times New Roman"/>
          <w:szCs w:val="24"/>
        </w:rPr>
        <w:t xml:space="preserve"> spp. before probiotics were administered likely reflects high rates of caesarean delivery in probiotic infants.</w:t>
      </w:r>
      <w:r>
        <w:rPr>
          <w:rFonts w:cs="Times New Roman"/>
          <w:szCs w:val="24"/>
        </w:rPr>
        <w:fldChar w:fldCharType="begin" w:fldLock="1"/>
      </w:r>
      <w:r>
        <w:rPr>
          <w:rFonts w:cs="Times New Roman"/>
          <w:szCs w:val="24"/>
        </w:rPr>
        <w:instrText>ADDIN CSL_CITATION { "citationItems" : [ { "id" : "ITEM-1", "itemData" : { "DOI" : "10.1073/pnas.1002601107", "ISSN" : "1091-6490", "PMID" : "20566857", "abstract" : "Upon delivery, the neonate is exposed for the first time to a wide array of microbes from a variety of sources, including maternal bacteria. Although prior studies have suggested that delivery mode shapes the microbiota's establishment and, subsequently, its role in child health, most researchers have focused on specific bacterial taxa or on a single body habitat, the gut. Thus, the initiation stage of human microbiome development remains obscure. The goal of the present study was to obtain a community-wide perspective on the influence of delivery mode and body habitat on the neonate's first microbiota. We used multiplexed 16S rRNA gene pyrosequencing to characterize bacterial communities from mothers and their newborn babies, four born vaginally and six born via Cesarean section. Mothers' skin, oral mucosa, and vagina were sampled 1 h before delivery, and neonates' skin, oral mucosa, and nasopharyngeal aspirate were sampled &lt;5 min, and meconium &lt;24 h, after delivery. We found that in direct contrast to the highly differentiated communities of their mothers, neonates harbored bacterial communities that were undifferentiated across multiple body habitats, regardless of delivery mode. Our results also show that vaginally delivered infants acquired bacterial communities resembling their own mother's vaginal microbiota, dominated by Lactobacillus, Prevotella, or Sneathia spp., and C-section infants harbored bacterial communities similar to those found on the skin surface, dominated by Staphylococcus, Corynebacterium, and Propionibacterium spp. These findings establish an important baseline for studies tracking the human microbiome's successional development in different body habitats following different delivery modes, and their associated effects on infant health.", "author" : [ { "dropping-particle" : "", "family" : "Dominguez-Bello", "given" : "Maria G", "non-dropping-particle" : "", "parse-names" : false, "suffix" : "" }, { "dropping-particle" : "", "family" : "Costello", "given" : "Elizabeth K", "non-dropping-particle" : "", "parse-names" : false, "suffix" : "" }, { "dropping-particle" : "", "family" : "Contreras", "given" : "Monica", "non-dropping-particle" : "", "parse-names" : false, "suffix" : "" }, { "dropping-particle" : "", "family" : "Magris", "given" : "Magda", "non-dropping-particle" : "", "parse-names" : false, "suffix" : "" }, { "dropping-particle" : "", "family" : "Hidalgo", "given" : "Glida", "non-dropping-particle" : "", "parse-names" : false, "suffix" : "" }, { "dropping-particle" : "", "family" : "Fierer", "given" : "Noah", "non-dropping-particle" : "", "parse-names" : false, "suffix" : "" }, { "dropping-particle" : "", "family" : "Knight", "given" : "Rob", "non-dropping-particle" : "", "parse-names" : false, "suffix" : "" } ], "container-title" : "Proc Natl Acad Sci U S A", "id" : "ITEM-1", "issue" : "26", "issued" : { "date-parts" : [ [ "2010", "6", "29" ] ] }, "page" : "11971-5", "title" : "Delivery mode shapes the acquisition and structure of the initial microbiota across multiple body habitats in newborns.", "type" : "article-journal", "volume" : "107" }, "uris" : [ "http://www.mendeley.com/documents/?uuid=7ceba23f-8bcc-44df-a5f6-85768770de7e" ] }, { "id" : "ITEM-2", "itemData" : { "DOI" : "10.1007/s10620-006-9285-z", "ISBN" : "0163-2116 (Print)\r0163-2116 (Linking)", "PMID" : "17420934", "abstract" : "The aim of this study was to review the process of microbial colonization and the environmental and host factors that influence colonization and microbial succession. The impact of some diseases on intestinal microbiota composition is also described. Microbial colonization of the gut by maternal vaginal and fecal bacteria begins during and after birth. During the first 2 years of life, specific microbes become established in a process designated microbial succession. Microbial succession in the gastrointestinal tract is influenced by numerous external and internal host-related factors, and by the second year of life, the intestinal microbiota composition is considered identical to that of adults. Nevertheless, intestinal microbiota in both infants and adults remain incompletely characterized and their diversity poorly defined. The main explanation is that many intestinal bacteria that live in an anaerobic environment are difficult or impossible to culture outside the intestine. However, recent advances in molecular biology techniques have initiated the description of new bacteria species. The composition of gut microbiota can be modulated by host, environmental, and bacterial factors, and strong evidence has emerged of substantial modifications during illness or exposure to threatening experiences. It has been postulated that improvements in hygienic measures have led to an increase in allergic diseases (\"hygiene hypothesis\"). Alterations in gut microbiota and their functions have been widely associated with many chronic and degenerative diseases, including inflammatory bowel disease, colon cancer, and rheumatoid arthritis.", "author" : [ { "dropping-particle" : "", "family" : "Thompson-Chagoyan", "given" : "O C", "non-dropping-particle" : "", "parse-names" : false, "suffix" : "" }, { "dropping-particle" : "", "family" : "Maldonado", "given" : "J", "non-dropping-particle" : "", "parse-names" : false, "suffix" : "" }, { "dropping-particle" : "", "family" : "Gil", "given" : "A", "non-dropping-particle" : "", "parse-names" : false, "suffix" : "" } ], "container-title" : "Dig Dis Sci", "id" : "ITEM-2", "issue" : "9", "issued" : { "date-parts" : [ [ "2007" ] ] }, "page" : "2069-2077", "title" : "Colonization and impact of disease and other factors on intestinal microbiota", "type" : "article-journal", "volume" : "52" }, "uris" : [ "http://www.mendeley.com/documents/?uuid=b55f0d67-9201-47bb-b4a7-357ae5d7e8b5", "http://www.mendeley.com/documents/?uuid=fa67f619-9ffb-4650-b656-09e625e04c24" ] } ], "mendeley" : { "previouslyFormattedCitation" : "[22,23]" }, "properties" : { "noteIndex" : 0 }, "schema" : "https://github.com/citation-style-language/schema/raw/master/csl-citation.json" }</w:instrText>
      </w:r>
      <w:r>
        <w:rPr>
          <w:rFonts w:cs="Times New Roman"/>
          <w:szCs w:val="24"/>
        </w:rPr>
        <w:fldChar w:fldCharType="separate"/>
      </w:r>
      <w:r w:rsidRPr="0083592E">
        <w:rPr>
          <w:rFonts w:cs="Times New Roman"/>
          <w:noProof/>
          <w:szCs w:val="24"/>
        </w:rPr>
        <w:t>[22,23]</w:t>
      </w:r>
      <w:r>
        <w:rPr>
          <w:rFonts w:cs="Times New Roman"/>
          <w:szCs w:val="24"/>
        </w:rPr>
        <w:fldChar w:fldCharType="end"/>
      </w:r>
      <w:r>
        <w:rPr>
          <w:rFonts w:cs="Times New Roman"/>
          <w:color w:val="FF0000"/>
          <w:szCs w:val="24"/>
        </w:rPr>
        <w:t xml:space="preserve"> </w:t>
      </w:r>
      <w:r>
        <w:rPr>
          <w:rFonts w:cs="Times New Roman"/>
          <w:szCs w:val="24"/>
        </w:rPr>
        <w:t xml:space="preserve">Organisms </w:t>
      </w:r>
      <w:r>
        <w:rPr>
          <w:rFonts w:cs="Times New Roman"/>
          <w:color w:val="000000"/>
          <w:szCs w:val="24"/>
        </w:rPr>
        <w:t xml:space="preserve">detected almost exclusively in controls </w:t>
      </w:r>
      <w:r>
        <w:rPr>
          <w:rFonts w:cs="Times New Roman"/>
          <w:szCs w:val="24"/>
        </w:rPr>
        <w:t xml:space="preserve">included </w:t>
      </w:r>
      <w:r w:rsidRPr="00892531">
        <w:rPr>
          <w:rFonts w:cs="Times New Roman"/>
          <w:i/>
          <w:color w:val="000000"/>
          <w:szCs w:val="24"/>
        </w:rPr>
        <w:t>Acinetobacter</w:t>
      </w:r>
      <w:r>
        <w:rPr>
          <w:rFonts w:cs="Times New Roman"/>
          <w:i/>
          <w:color w:val="000000"/>
          <w:szCs w:val="24"/>
        </w:rPr>
        <w:t>,</w:t>
      </w:r>
      <w:r w:rsidRPr="00892531">
        <w:rPr>
          <w:rFonts w:cs="Times New Roman"/>
          <w:i/>
          <w:color w:val="000000"/>
          <w:szCs w:val="24"/>
        </w:rPr>
        <w:t xml:space="preserve"> Actinomyces</w:t>
      </w:r>
      <w:r>
        <w:rPr>
          <w:rFonts w:cs="Times New Roman"/>
          <w:i/>
          <w:color w:val="000000"/>
          <w:szCs w:val="24"/>
        </w:rPr>
        <w:t xml:space="preserve">, Clostridium, </w:t>
      </w:r>
      <w:r>
        <w:rPr>
          <w:rFonts w:cs="Times New Roman"/>
          <w:color w:val="000000"/>
          <w:szCs w:val="24"/>
        </w:rPr>
        <w:t>and</w:t>
      </w:r>
      <w:r>
        <w:rPr>
          <w:rFonts w:cs="Times New Roman"/>
          <w:i/>
          <w:color w:val="000000"/>
          <w:szCs w:val="24"/>
        </w:rPr>
        <w:t xml:space="preserve"> Streptococcus, </w:t>
      </w:r>
      <w:r>
        <w:rPr>
          <w:rFonts w:cs="Times New Roman"/>
          <w:color w:val="000000"/>
          <w:szCs w:val="24"/>
        </w:rPr>
        <w:t>agreeing</w:t>
      </w:r>
      <w:r>
        <w:rPr>
          <w:rFonts w:cs="Times New Roman"/>
          <w:szCs w:val="24"/>
        </w:rPr>
        <w:t xml:space="preserve"> with published data</w:t>
      </w:r>
      <w:r w:rsidRPr="00E95F12">
        <w:rPr>
          <w:rFonts w:cs="Times New Roman"/>
          <w:szCs w:val="24"/>
        </w:rPr>
        <w:t>.</w:t>
      </w:r>
      <w:r>
        <w:rPr>
          <w:rFonts w:cs="Times New Roman"/>
          <w:szCs w:val="24"/>
        </w:rPr>
        <w:fldChar w:fldCharType="begin" w:fldLock="1"/>
      </w:r>
      <w:r>
        <w:rPr>
          <w:rFonts w:cs="Times New Roman"/>
          <w:szCs w:val="24"/>
        </w:rPr>
        <w:instrText>ADDIN CSL_CITATION { "citationItems" : [ { "id" : "ITEM-1", "itemData" : { "DOI" : "10.1016/j.jpeds.2013.05.035", "ISSN" : "1097-6833", "PMID" : "23915796", "abstract" : "OBJECTIVE: To evaluate the impact of early prebiotic and probiotic intervention on preterm infants' well-being, crying, growth, and microbiological programming. STUDY DESIGN: Ninety-four preterm infants (gestational age 32-36 weeks and birth weight &gt;1500 g) randomized to receive prebiotics (mixture of galacto-oligosaccharide and polydextrose 1:1), probiotics (Lactobacillus rhamnosus GG), or placebo during the first 2 months of life were followed up for 1 year. Infants were categorized based on the extent of crying and irritability during the first 2 months of life, and their gut microbiota was investigated by fluorescence in situ hybridization (n = 66) and quantitative polymerase chain reaction (n = 63). RESULTS: A total of 27 of 94 infants (29%) infants were classified as excessive criers, significantly less frequently in the prebiotic and the probiotic groups than in the placebo group (19% vs 19% vs 47%, respectively; P = .02). The placebo group had a higher percentage of Clostridium histolyticum group bacteria in their stools than did the probiotic group (13.9% vs 8.9%, respectively; P = .05). There were no adverse events related to either supplementation. CONCLUSIONS: Early prebiotic and probiotic supplementation may alleviate symptoms associated with crying and fussing in preterm infants. This original finding may offer new therapeutic and preventive measures for this common disturbance in early life.", "author" : [ { "dropping-particle" : "", "family" : "P\u00e4rtty", "given" : "Anna", "non-dropping-particle" : "", "parse-names" : false, "suffix" : "" }, { "dropping-particle" : "", "family" : "Luoto", "given" : "Raakel", "non-dropping-particle" : "", "parse-names" : false, "suffix" : "" }, { "dropping-particle" : "", "family" : "Kalliom\u00e4ki", "given" : "Marko", "non-dropping-particle" : "", "parse-names" : false, "suffix" : "" }, { "dropping-particle" : "", "family" : "Salminen", "given" : "Seppo", "non-dropping-particle" : "", "parse-names" : false, "suffix" : "" }, { "dropping-particle" : "", "family" : "Isolauri", "given" : "Erika", "non-dropping-particle" : "", "parse-names" : false, "suffix" : "" } ], "container-title" : "J Pediatr", "id" : "ITEM-1", "issued" : { "date-parts" : [ [ "2013", "7", "31" ] ] }, "publisher" : "Elsevier", "title" : "Effects of Early Prebiotic and Probiotic Supplementation on Development of Gut Microbiota and Fussing and Crying in Preterm Infants: A Randomized, Double-Blind, Placebo-Controlled Trial.", "type" : "article-journal" }, "uris" : [ "http://www.mendeley.com/documents/?uuid=16f8f9f1-f3a9-4e95-a189-2fcc36ed9cdf" ] }, { "id" : "ITEM-2", "itemData" : { "DOI" : "10.1002/mbo3.64", "ISSN" : "2045-8827", "PMID" : "23349073", "abstract" : "The composition of the microbiota associated with the human ileum and colon in the early weeks of life of two preterm infants was examined, with particular emphasis on the Lactobacillus and Bifidobacterium members. Culturing work showed that bifidobacteria and lactobacilli in the ileostomy changed over time, compared with the colostomy effluent where there was far less variation. The colostomy infant was dominated by two phyla, Actinobacteria and Firmicutes, while in the ileostomy samples, Proteobacteria emerged at the expense of Actinobacteria. Bacteroidetes were only detected following the reversal of the ileostomy in the final fecal sample and were not detected in any colonic fluid samples. Clostridia levels were unstable in the colostomy fluid, suggesting that the ileostomy/colostomy itself influenced the gut microbiota, in particular the strict anaerobes. Pyrosequencing analysis of microbiota composition indicated that bifidobacteria and lactobacilli are among the dominant genera in both the ileal and colonic fluids. Bifidobacteria and lactobacilli levels were unstable in the ileostomy fluid, with large reductions in numbers and relative proportions of both observed. These decreases were characterized by an increase in proportions of Streptococcus and Enterobacteriaceae. Clostridium was detected only in the colonic effluent, with large changes in the relative proportions over time.", "author" : [ { "dropping-particle" : "", "family" : "Barrett", "given" : "Eoin", "non-dropping-particle" : "", "parse-names" : false, "suffix" : "" }, { "dropping-particle" : "", "family" : "Guinane", "given" : "CM", "non-dropping-particle" : "", "parse-names" : false, "suffix" : "" } ], "container-title" : "Microbiologyopen", "id" : "ITEM-2", "issued" : { "date-parts" : [ [ "2013", "1", "24" ] ] }, "title" : "Microbiota diversity and stability of the preterm neonatal ileum and colon of two infants", "type" : "article-journal" }, "uris" : [ "http://www.mendeley.com/documents/?uuid=8b58c15e-6884-44e0-b566-3a608855e865" ] } ], "mendeley" : { "previouslyFormattedCitation" : "[20,24]" }, "properties" : { "noteIndex" : 0 }, "schema" : "https://github.com/citation-style-language/schema/raw/master/csl-citation.json" }</w:instrText>
      </w:r>
      <w:r>
        <w:rPr>
          <w:rFonts w:cs="Times New Roman"/>
          <w:szCs w:val="24"/>
        </w:rPr>
        <w:fldChar w:fldCharType="separate"/>
      </w:r>
      <w:r w:rsidRPr="0083592E">
        <w:rPr>
          <w:rFonts w:cs="Times New Roman"/>
          <w:noProof/>
          <w:szCs w:val="24"/>
        </w:rPr>
        <w:t>[20,24]</w:t>
      </w:r>
      <w:r>
        <w:rPr>
          <w:rFonts w:cs="Times New Roman"/>
          <w:szCs w:val="24"/>
        </w:rPr>
        <w:fldChar w:fldCharType="end"/>
      </w:r>
      <w:r w:rsidRPr="00E95F12">
        <w:rPr>
          <w:rFonts w:cs="Times New Roman"/>
          <w:szCs w:val="24"/>
        </w:rPr>
        <w:t xml:space="preserve"> </w:t>
      </w:r>
      <w:r>
        <w:rPr>
          <w:rFonts w:cs="Times New Roman"/>
          <w:color w:val="000000"/>
          <w:szCs w:val="24"/>
        </w:rPr>
        <w:t xml:space="preserve">Importantly, a significant reduction in organisms associated with NEC or LOS, including </w:t>
      </w:r>
      <w:r>
        <w:rPr>
          <w:rFonts w:cs="Times New Roman"/>
          <w:i/>
          <w:color w:val="000000"/>
          <w:szCs w:val="24"/>
        </w:rPr>
        <w:t>Clostridium</w:t>
      </w:r>
      <w:r>
        <w:rPr>
          <w:rFonts w:cs="Times New Roman"/>
          <w:color w:val="000000"/>
          <w:szCs w:val="24"/>
        </w:rPr>
        <w:t xml:space="preserve"> and </w:t>
      </w:r>
      <w:r>
        <w:rPr>
          <w:rFonts w:cs="Times New Roman"/>
          <w:i/>
          <w:color w:val="000000"/>
          <w:szCs w:val="24"/>
        </w:rPr>
        <w:t>Klebsiella</w:t>
      </w:r>
      <w:r>
        <w:rPr>
          <w:rFonts w:cs="Times New Roman"/>
          <w:color w:val="000000"/>
          <w:szCs w:val="24"/>
        </w:rPr>
        <w:t>, were found in probiotic infants.</w:t>
      </w:r>
      <w:r>
        <w:rPr>
          <w:rFonts w:cs="Times New Roman"/>
          <w:color w:val="000000"/>
          <w:szCs w:val="24"/>
        </w:rPr>
        <w:fldChar w:fldCharType="begin" w:fldLock="1"/>
      </w:r>
      <w:r>
        <w:rPr>
          <w:rFonts w:cs="Times New Roman"/>
          <w:color w:val="000000"/>
          <w:szCs w:val="24"/>
        </w:rPr>
        <w:instrText>ADDIN CSL_CITATION { "citationItems" : [ { "id" : "ITEM-1", "itemData" : { "DOI" : "10.1093/cid/ciu822", "ISSN" : "1537-6591", "PMID" : "25344536", "abstract" : "BACKGROUND: \u2003Necrotizing enterocolitis (NEC) is a devastating inflammatory bowel disease of premature infants speculatively associated with infection. Suspected NEC can be indistinguishable from sepsis, and in established cases an infant may die within hours of diagnosis. Present treatment is supportive. A means of pre-symptomatic diagnosis is urgently needed. We aimed to identify microbial signatures in the gastrointestinal microbiota preceding NEC diagnosis in premature infants.\n\nMETHODS: \u2003Faecal samples and clinical data were collected from a two-year cohort of 369 premature neonates. Next-generation sequencing of 16S rRNA gene regions was used to characterise the microbiota of pre-diagnosis faecal samples from 12 neonates with NEC, 8 with suspected NEC and 44 controls. Logistic regression was used to determine clinical characteristics and operational taxonomic units (OTUs) discriminating cases from controls. Samples were cultured and isolates identified using MALDI-TOF. Clostridial isolates were typed and toxin genes detected.\n\nRESULTS: \u2003A clostridial OTU was over-abundant in pre-diagnosis samples from infants with established NEC (p=0\u00b7006). Culture confirmed the presence of C. perfringens type A. fAFLP typing established that no isolates were identical. Pre-diagnosis samples from NEC infants not carrying profuse C. perfringens revealed an over-abundance of a Klebsiella OTU (p=0\u00b7049). Prolonged continuous positive airway pressure (CPAP) therapy with supplemental oxygen was also associated with increased NEC risk.\n\nCONCLUSION: \u2003Two faecal microbiota signatures (Clostridium and Klebsiella OTUs), and need for prolonged CPAP oxygen, signal increased risk of NEC in presymptomatic infants. These biomarkers will assist development of a screening tool to allow very early diagnosis of NEC.", "author" : [ { "dropping-particle" : "", "family" : "Sim", "given" : "Kathleen", "non-dropping-particle" : "", "parse-names" : false, "suffix" : "" }, { "dropping-particle" : "", "family" : "Shaw", "given" : "Alexander G", "non-dropping-particle" : "", "parse-names" : false, "suffix" : "" }, { "dropping-particle" : "", "family" : "Randell", "given" : "Paul", "non-dropping-particle" : "", "parse-names" : false, "suffix" : "" }, { "dropping-particle" : "", "family" : "Cox", "given" : "Michael J", "non-dropping-particle" : "", "parse-names" : false, "suffix" : "" }, { "dropping-particle" : "", "family" : "McClure", "given" : "Zo\u00eb E", "non-dropping-particle" : "", "parse-names" : false, "suffix" : "" }, { "dropping-particle" : "", "family" : "Li", "given" : "Ming-Shi", "non-dropping-particle" : "", "parse-names" : false, "suffix" : "" }, { "dropping-particle" : "", "family" : "Haddad", "given" : "Munther", "non-dropping-particle" : "", "parse-names" : false, "suffix" : "" }, { "dropping-particle" : "", "family" : "Langford", "given" : "Paul R", "non-dropping-particle" : "", "parse-names" : false, "suffix" : "" }, { "dropping-particle" : "", "family" : "Cookson", "given" : "William O C M", "non-dropping-particle" : "", "parse-names" : false, "suffix" : "" }, { "dropping-particle" : "", "family" : "Moffatt", "given" : "Miriam F", "non-dropping-particle" : "", "parse-names" : false, "suffix" : "" }, { "dropping-particle" : "", "family" : "Kroll", "given" : "J Simon", "non-dropping-particle" : "", "parse-names" : false, "suffix" : "" } ], "container-title" : "Clinical infectious diseases : an official publication of the Infectious Diseases Society of America", "id" : "ITEM-1", "issued" : { "date-parts" : [ [ "2014", "10", "23" ] ] }, "page" : "ciu822-", "title" : "Dysbiosis anticipating necrotizing enterocolitis in very premature infants.", "type" : "article-journal" }, "uris" : [ "http://www.mendeley.com/documents/?uuid=e6d1d944-6ab1-4c34-acec-a8fedd23299a" ] }, { "id" : "ITEM-2", "itemData" : { "DOI" : "10.1203/01.PDR.0000134251.45878.D5", "ISSN" : "0031-3998", "PMID" : "15201403", "abstract" : "Necrotizing enterocolitis (NEC) is among the most severe conditions that can affect preterm infants. Although the etiology of NEC remains unknown, initial bacterial colonization could play a pivotal role in the development of NEC. To further explore the putative relationship between pathogen microorganisms and NEC, we conducted a prospective case-control study in 12 preterm infants with a new approach based on molecular techniques. Over an inclusion period of 24 mo, 12 neonates of &lt;34 wk gestational age admitted to the neonatal unit were enrolled. The group included three cases of NEC, and nine control infants without evidence of NEC who were matched for gestational age and birth weight. Stool samples were collected at weekly intervals from all infants. PCR and temporal temperature gradient gel electrophoresis of 16S ribosomal DNA were used to detect the establishment of bacterial communities in the digestive tract. A salient feature of the bacteriological pattern was observed only in the three infants who later developed NEC: A band corresponding to the Clostridium perfringens subgroup could be detected in early samples, before diagnosis. There was no evidence for this specific band in any of the nine controls. To our knowledge, the current report is the first to demonstrate that the use of molecular techniques based on the study of bacterial 16S rRNA genes allowed the recognition of C. perfringens species in the first 2 wk of life of three infants who later displayed symptoms of NEC. A significant temporal relationship was thus established between early colonization by Clostridium and the later development of NEC. Compared with conventional bacteriological culturing methods, the use of this new molecular approach to analyze the gastrointestinal ecosystem should therefore allow a more complete and rapid assessment of intestinal flora. Although the current data do not constitute definitive proof that the identified bacterial species was a causative agent in the development of NEC, they outline the promise of this new technique based on molecular biology, and suggest that large-scale studies on a much wider population at high risk for NEC may be warranted.", "author" : [ { "dropping-particle" : "", "family" : "la Cochetiere", "given" : "Marie-France", "non-dropping-particle" : "de", "parse-names" : false, "suffix" : "" }, { "dropping-particle" : "", "family" : "Piloquet", "given" : "Hugues", "non-dropping-particle" : "", "parse-names" : false, "suffix" : "" }, { "dropping-particle" : "", "family" : "Robert", "given" : "Clotilde", "non-dropping-particle" : "des", "parse-names" : false, "suffix" : "" }, { "dropping-particle" : "", "family" : "Darmaun", "given" : "Dominique", "non-dropping-particle" : "", "parse-names" : false, "suffix" : "" }, { "dropping-particle" : "", "family" : "Galmiche", "given" : "Jean-Paul", "non-dropping-particle" : "", "parse-names" : false, "suffix" : "" }, { "dropping-particle" : "", "family" : "Roze", "given" : "Jean-Christophe", "non-dropping-particle" : "", "parse-names" : false, "suffix" : "" } ], "container-title" : "Pediatric research", "id" : "ITEM-2", "issue" : "3", "issued" : { "date-parts" : [ [ "2004", "9" ] ] }, "page" : "366-70", "title" : "Early intestinal bacterial colonization and necrotizing enterocolitis in premature infants: the putative role of Clostridium.", "type" : "article-journal", "volume" : "56" }, "uris" : [ "http://www.mendeley.com/documents/?uuid=99528ddb-2f9f-4b75-a1ac-ed599feb0f3f" ] } ], "mendeley" : { "previouslyFormattedCitation" : "[25,26]" }, "properties" : { "noteIndex" : 0 }, "schema" : "https://github.com/citation-style-language/schema/raw/master/csl-citation.json" }</w:instrText>
      </w:r>
      <w:r>
        <w:rPr>
          <w:rFonts w:cs="Times New Roman"/>
          <w:color w:val="000000"/>
          <w:szCs w:val="24"/>
        </w:rPr>
        <w:fldChar w:fldCharType="separate"/>
      </w:r>
      <w:r w:rsidRPr="0083592E">
        <w:rPr>
          <w:rFonts w:cs="Times New Roman"/>
          <w:noProof/>
          <w:color w:val="000000"/>
          <w:szCs w:val="24"/>
        </w:rPr>
        <w:t>[25,26]</w:t>
      </w:r>
      <w:r>
        <w:rPr>
          <w:rFonts w:cs="Times New Roman"/>
          <w:color w:val="000000"/>
          <w:szCs w:val="24"/>
        </w:rPr>
        <w:fldChar w:fldCharType="end"/>
      </w:r>
    </w:p>
    <w:p w:rsidR="00B35332" w:rsidRDefault="00B35332" w:rsidP="00B35332">
      <w:pPr>
        <w:spacing w:after="0"/>
        <w:rPr>
          <w:rFonts w:cs="Times New Roman"/>
          <w:szCs w:val="24"/>
        </w:rPr>
      </w:pPr>
      <w:r>
        <w:rPr>
          <w:rFonts w:cs="Times New Roman"/>
          <w:szCs w:val="24"/>
        </w:rPr>
        <w:t>In accordance with a small number of published studies, the metabolomic profiles were more comparable and stable than bacterial profiles.</w:t>
      </w:r>
      <w:r>
        <w:rPr>
          <w:rFonts w:cs="Times New Roman"/>
          <w:szCs w:val="24"/>
        </w:rPr>
        <w:fldChar w:fldCharType="begin" w:fldLock="1"/>
      </w:r>
      <w:r>
        <w:rPr>
          <w:rFonts w:cs="Times New Roman"/>
          <w:szCs w:val="24"/>
        </w:rPr>
        <w:instrText>ADDIN CSL_CITATION { "citationItems" : [ { "id" : "ITEM-1", "itemData" : { "DOI" : "10.1038/nature07540.A", "author" : [ { "dropping-particle" : "", "family" : "Turnbaugh", "given" : "Peter J", "non-dropping-particle" : "", "parse-names" : false, "suffix" : "" }, { "dropping-particle" : "", "family" : "Hamady", "given" : "Micah", "non-dropping-particle" : "", "parse-names" : false, "suffix" : "" }, { "dropping-particle" : "", "family" : "Yatsunenko", "given" : "Tanya", "non-dropping-particle" : "", "parse-names" : false, "suffix" : "" }, { "dropping-particle" : "", "family" : "Cantarel", "given" : "Brandi L", "non-dropping-particle" : "", "parse-names" : false, "suffix" : "" }, { "dropping-particle" : "", "family" : "Ley", "given" : "Ruth E", "non-dropping-particle" : "", "parse-names" : false, "suffix" : "" }, { "dropping-particle" : "", "family" : "Sogin", "given" : "Mitchell L", "non-dropping-particle" : "", "parse-names" : false, "suffix" : "" }, { "dropping-particle" : "", "family" : "Jones", "given" : "William J", "non-dropping-particle" : "", "parse-names" : false, "suffix" : "" }, { "dropping-particle" : "", "family" : "Roe", "given" : "Bruce A", "non-dropping-particle" : "", "parse-names" : false, "suffix" : "" }, { "dropping-particle" : "", "family" : "Jason", "given" : "P", "non-dropping-particle" : "", "parse-names" : false, "suffix" : "" }, { "dropping-particle" : "", "family" : "Egholm", "given" : "Michael", "non-dropping-particle" : "", "parse-names" : false, "suffix" : "" }, { "dropping-particle" : "", "family" : "Henrissat", "given" : "Bernard", "non-dropping-particle" : "", "parse-names" : false, "suffix" : "" }, { "dropping-particle" : "", "family" : "Heath", "given" : "Andrew C", "non-dropping-particle" : "", "parse-names" : false, "suffix" : "" }, { "dropping-particle" : "", "family" : "Knight", "given" : "Rob", "non-dropping-particle" : "", "parse-names" : false, "suffix" : "" }, { "dropping-particle" : "", "family" : "Gordon", "given" : "Jeffrey I", "non-dropping-particle" : "", "parse-names" : false, "suffix" : "" } ], "id" : "ITEM-1", "issue" : "32089", "issued" : { "date-parts" : [ [ "2009" ] ] }, "page" : "480-484", "title" : "A core gut microbiome in obese and lean twins", "type" : "article-journal", "volume" : "457" }, "uris" : [ "http://www.mendeley.com/documents/?uuid=cc462bb4-de07-4436-87f2-b2870522510c" ] }, { "id" : "ITEM-2", "itemData" : { "DOI" : "10.1186/2049-2618-1-13", "ISSN" : "2049-2618", "author" : [ { "dropping-particle" : "", "family" : "Morrow", "given" : "Ardythe L", "non-dropping-particle" : "", "parse-names" : false, "suffix" : "" }, { "dropping-particle" : "", "family" : "Lagomarcino", "given" : "Anne J", "non-dropping-particle" : "", "parse-names" : false, "suffix" : "" }, { "dropping-particle" : "", "family" : "Schibler", "given" : "Kurt R", "non-dropping-particle" : "", "parse-names" : false, "suffix" : "" }, { "dropping-particle" : "", "family" : "Taft", "given" : "Diana H", "non-dropping-particle" : "", "parse-names" : false, "suffix" : "" }, { "dropping-particle" : "", "family" : "Yu", "given" : "Zhuoteng", "non-dropping-particle" : "", "parse-names" : false, "suffix" : "" }, { "dropping-particle" : "", "family" : "Wang", "given" : "Bo", "non-dropping-particle" : "", "parse-names" : false, "suffix" : "" }, { "dropping-particle" : "", "family" : "Altaye", "given" : "Mekibib", "non-dropping-particle" : "", "parse-names" : false, "suffix" : "" }, { "dropping-particle" : "", "family" : "Wagner", "given" : "Michael", "non-dropping-particle" : "", "parse-names" : false, "suffix" : "" }, { "dropping-particle" : "", "family" : "Gevers", "given" : "Dirk", "non-dropping-particle" : "", "parse-names" : false, "suffix" : "" }, { "dropping-particle" : "V", "family" : "Ward", "given" : "Doyle", "non-dropping-particle" : "", "parse-names" : false, "suffix" : "" }, { "dropping-particle" : "", "family" : "Kennedy", "given" : "Michael a", "non-dropping-particle" : "", "parse-names" : false, "suffix" : "" }, { "dropping-particle" : "", "family" : "Huttenhower", "given" : "Curtis", "non-dropping-particle" : "", "parse-names" : false, "suffix" : "" }, { "dropping-particle" : "", "family" : "Newburg", "given" : "David S", "non-dropping-particle" : "", "parse-names" : false, "suffix" : "" } ], "container-title" : "Microbiome", "id" : "ITEM-2", "issue" : "1", "issued" : { "date-parts" : [ [ "2013" ] ] }, "page" : "13", "title" : "Early microbial and metabolomic signatures predict later onset of necrotizing enterocolitis in preterm infants", "type" : "article-journal", "volume" : "1" }, "uris" : [ "http://www.mendeley.com/documents/?uuid=91e07c8d-6aad-4f99-a43e-7204ffcc6a8c" ] } ], "mendeley" : { "previouslyFormattedCitation" : "[11,27]" }, "properties" : { "noteIndex" : 0 }, "schema" : "https://github.com/citation-style-language/schema/raw/master/csl-citation.json" }</w:instrText>
      </w:r>
      <w:r>
        <w:rPr>
          <w:rFonts w:cs="Times New Roman"/>
          <w:szCs w:val="24"/>
        </w:rPr>
        <w:fldChar w:fldCharType="separate"/>
      </w:r>
      <w:r w:rsidRPr="0083592E">
        <w:rPr>
          <w:rFonts w:cs="Times New Roman"/>
          <w:noProof/>
          <w:szCs w:val="24"/>
        </w:rPr>
        <w:t>[11,27]</w:t>
      </w:r>
      <w:r>
        <w:rPr>
          <w:rFonts w:cs="Times New Roman"/>
          <w:szCs w:val="24"/>
        </w:rPr>
        <w:fldChar w:fldCharType="end"/>
      </w:r>
      <w:r>
        <w:rPr>
          <w:rFonts w:cs="Times New Roman"/>
          <w:szCs w:val="24"/>
        </w:rPr>
        <w:t xml:space="preserve"> </w:t>
      </w:r>
      <w:r w:rsidR="00CE148D">
        <w:rPr>
          <w:rFonts w:cs="Times New Roman"/>
          <w:szCs w:val="24"/>
        </w:rPr>
        <w:t>although</w:t>
      </w:r>
      <w:r>
        <w:rPr>
          <w:rFonts w:cs="Times New Roman"/>
          <w:szCs w:val="24"/>
        </w:rPr>
        <w:t xml:space="preserve"> the metabolomic</w:t>
      </w:r>
      <w:r w:rsidR="00CE148D">
        <w:rPr>
          <w:rFonts w:cs="Times New Roman"/>
          <w:szCs w:val="24"/>
        </w:rPr>
        <w:t>s</w:t>
      </w:r>
      <w:r>
        <w:rPr>
          <w:rFonts w:cs="Times New Roman"/>
          <w:szCs w:val="24"/>
        </w:rPr>
        <w:t xml:space="preserve"> profiles of probiotic infants were comparable to those of controls, certain metabolites were detected with significantly increased abundance during probiotic administration. None of these metabolites could be matched with our existing internal standards and further work will be needed to identify these, determining whether they may be connected with potential regulatory pathways.</w:t>
      </w:r>
    </w:p>
    <w:p w:rsidR="00B35332" w:rsidRDefault="00B35332" w:rsidP="00B35332">
      <w:pPr>
        <w:spacing w:after="0"/>
        <w:rPr>
          <w:rFonts w:cs="Times New Roman"/>
          <w:szCs w:val="24"/>
        </w:rPr>
      </w:pPr>
      <w:r>
        <w:rPr>
          <w:rFonts w:cs="Times New Roman"/>
          <w:szCs w:val="24"/>
        </w:rPr>
        <w:t xml:space="preserve">The data presented are from a small number of infants contributing variable numbers of samples at different postnatal ages, but are well representative of before, during and after probiotic administration. With the potential for probiotic strains to cross-contaminate other infants within the NICU environment, it is important that all infants were resident contemporaneously. Despite the sampling limitations of our study, significant cross-colonisation in our unit using this product seems un-common. </w:t>
      </w:r>
    </w:p>
    <w:p w:rsidR="00B35332" w:rsidRDefault="00B35332" w:rsidP="00B35332">
      <w:pPr>
        <w:spacing w:after="0"/>
        <w:rPr>
          <w:rFonts w:cs="Times New Roman"/>
          <w:szCs w:val="24"/>
        </w:rPr>
      </w:pPr>
      <w:r>
        <w:rPr>
          <w:rFonts w:cs="Times New Roman"/>
          <w:szCs w:val="24"/>
        </w:rPr>
        <w:t xml:space="preserve">In summary, probiotic species alter gut microbial communities during and after therapeutic administration, with </w:t>
      </w:r>
      <w:r>
        <w:rPr>
          <w:rFonts w:cs="Times New Roman"/>
          <w:i/>
          <w:szCs w:val="24"/>
        </w:rPr>
        <w:t>Bifidobacterium</w:t>
      </w:r>
      <w:r>
        <w:rPr>
          <w:rFonts w:cs="Times New Roman"/>
          <w:szCs w:val="24"/>
        </w:rPr>
        <w:t xml:space="preserve"> but not </w:t>
      </w:r>
      <w:r w:rsidRPr="00F846E6">
        <w:rPr>
          <w:rFonts w:cs="Times New Roman"/>
          <w:i/>
          <w:szCs w:val="24"/>
        </w:rPr>
        <w:t>Lactobacillus</w:t>
      </w:r>
      <w:r>
        <w:rPr>
          <w:rFonts w:cs="Times New Roman"/>
          <w:szCs w:val="24"/>
        </w:rPr>
        <w:t xml:space="preserve"> demonstrating long-term proliferation in this population. A reduction in the abundance of taxa such as Clostridia that have been associated with NEC may be relevant if, as the meta-analyses suggest, probiotics do reduce the occurrence of this serious disease. Multiple OTUs associated with </w:t>
      </w:r>
      <w:r w:rsidRPr="00F846E6">
        <w:rPr>
          <w:rFonts w:cs="Times New Roman"/>
          <w:i/>
          <w:szCs w:val="24"/>
        </w:rPr>
        <w:t>Lactobacillus</w:t>
      </w:r>
      <w:r>
        <w:rPr>
          <w:rFonts w:cs="Times New Roman"/>
          <w:szCs w:val="24"/>
        </w:rPr>
        <w:t xml:space="preserve"> were detected, although qPCR was unable to robustly quantify the </w:t>
      </w:r>
      <w:r w:rsidRPr="00881B43">
        <w:rPr>
          <w:rFonts w:cs="Times New Roman"/>
          <w:i/>
          <w:szCs w:val="24"/>
        </w:rPr>
        <w:t>L. acidophilus</w:t>
      </w:r>
      <w:r>
        <w:rPr>
          <w:rFonts w:cs="Times New Roman"/>
          <w:szCs w:val="24"/>
        </w:rPr>
        <w:t xml:space="preserve"> used in the administered product, thus raising important quality assurance concerns exist around the use of commercially available products in a high-risk patient group. Exploring functional metabolite changes may provide important information on mechanisms of action of interventions such as probiotics, and should be considered for inclusion into future interventional trials.</w:t>
      </w:r>
    </w:p>
    <w:p w:rsidR="00B35332" w:rsidRDefault="00B35332" w:rsidP="00B35332">
      <w:pPr>
        <w:spacing w:after="0"/>
        <w:rPr>
          <w:rFonts w:cs="Times New Roman"/>
          <w:szCs w:val="24"/>
        </w:rPr>
      </w:pPr>
    </w:p>
    <w:p w:rsidR="00B35332" w:rsidRDefault="00B35332" w:rsidP="00B35332">
      <w:pPr>
        <w:spacing w:after="0" w:line="240" w:lineRule="auto"/>
        <w:jc w:val="left"/>
        <w:rPr>
          <w:b/>
          <w:szCs w:val="24"/>
        </w:rPr>
      </w:pPr>
      <w:r>
        <w:rPr>
          <w:b/>
          <w:szCs w:val="24"/>
        </w:rPr>
        <w:br w:type="page"/>
      </w:r>
    </w:p>
    <w:p w:rsidR="00B35332" w:rsidRPr="00B476A9" w:rsidRDefault="00B35332" w:rsidP="00B35332">
      <w:pPr>
        <w:rPr>
          <w:b/>
          <w:szCs w:val="24"/>
        </w:rPr>
      </w:pPr>
      <w:r w:rsidRPr="00B476A9">
        <w:rPr>
          <w:b/>
          <w:szCs w:val="24"/>
        </w:rPr>
        <w:t>COMPETING INTERESTS</w:t>
      </w:r>
    </w:p>
    <w:p w:rsidR="00B35332" w:rsidRPr="00B476A9" w:rsidRDefault="00B35332" w:rsidP="00B35332">
      <w:pPr>
        <w:rPr>
          <w:szCs w:val="24"/>
        </w:rPr>
      </w:pPr>
      <w:r w:rsidRPr="00B476A9">
        <w:rPr>
          <w:szCs w:val="24"/>
        </w:rPr>
        <w:t>No</w:t>
      </w:r>
      <w:r>
        <w:rPr>
          <w:szCs w:val="24"/>
        </w:rPr>
        <w:t xml:space="preserve">ne </w:t>
      </w:r>
      <w:r w:rsidRPr="00B476A9">
        <w:rPr>
          <w:szCs w:val="24"/>
        </w:rPr>
        <w:t>to declare.</w:t>
      </w:r>
    </w:p>
    <w:p w:rsidR="00B35332" w:rsidRDefault="00B35332" w:rsidP="00B35332">
      <w:pPr>
        <w:rPr>
          <w:b/>
          <w:szCs w:val="24"/>
        </w:rPr>
      </w:pPr>
    </w:p>
    <w:p w:rsidR="00B35332" w:rsidRDefault="00B35332" w:rsidP="00B35332">
      <w:pPr>
        <w:rPr>
          <w:color w:val="000000"/>
        </w:rPr>
      </w:pPr>
      <w:r>
        <w:rPr>
          <w:b/>
          <w:bCs/>
          <w:color w:val="000000"/>
        </w:rPr>
        <w:t>FUNDING</w:t>
      </w:r>
    </w:p>
    <w:p w:rsidR="00B35332" w:rsidRDefault="00B35332" w:rsidP="00B35332">
      <w:pPr>
        <w:rPr>
          <w:color w:val="000000"/>
        </w:rPr>
      </w:pPr>
      <w:r>
        <w:rPr>
          <w:color w:val="000000"/>
        </w:rPr>
        <w:t>This research was funded in part by Danone Nutricia. Funders played no part in the study design, in the collection, analysis and interpretation of data; in the writing of the manuscript; or in the decision to submit the manuscript for publication.</w:t>
      </w:r>
    </w:p>
    <w:p w:rsidR="00B35332" w:rsidRDefault="00B35332" w:rsidP="00B35332">
      <w:pPr>
        <w:rPr>
          <w:szCs w:val="24"/>
        </w:rPr>
      </w:pPr>
    </w:p>
    <w:p w:rsidR="00B35332" w:rsidRPr="003679FD" w:rsidRDefault="00B35332" w:rsidP="00B35332">
      <w:pPr>
        <w:rPr>
          <w:rFonts w:cs="Times New Roman"/>
          <w:szCs w:val="24"/>
        </w:rPr>
      </w:pPr>
      <w:r w:rsidRPr="003679FD">
        <w:rPr>
          <w:rFonts w:cs="Times New Roman"/>
          <w:b/>
          <w:szCs w:val="24"/>
        </w:rPr>
        <w:t>CONTRIBUTORSHIP</w:t>
      </w:r>
    </w:p>
    <w:p w:rsidR="00B35332" w:rsidRPr="003679FD" w:rsidRDefault="00B35332" w:rsidP="00B35332">
      <w:pPr>
        <w:rPr>
          <w:rFonts w:cs="Times New Roman"/>
          <w:szCs w:val="24"/>
        </w:rPr>
      </w:pPr>
      <w:bookmarkStart w:id="0" w:name="ANCHOR_CUSTOM_FIELD282100"/>
      <w:r w:rsidRPr="003679FD">
        <w:rPr>
          <w:rStyle w:val="pagecontents1"/>
          <w:rFonts w:ascii="Times New Roman" w:hAnsi="Times New Roman" w:cs="Times New Roman"/>
          <w:sz w:val="24"/>
          <w:szCs w:val="24"/>
        </w:rPr>
        <w:t>CJS, NDE, JEB, SPC and JDP contributed to the study idea and design.</w:t>
      </w:r>
      <w:r>
        <w:rPr>
          <w:rStyle w:val="pagecontents1"/>
          <w:rFonts w:ascii="Times New Roman" w:hAnsi="Times New Roman" w:cs="Times New Roman"/>
          <w:sz w:val="24"/>
          <w:szCs w:val="24"/>
        </w:rPr>
        <w:t xml:space="preserve"> BA,</w:t>
      </w:r>
      <w:r w:rsidRPr="003679FD">
        <w:rPr>
          <w:rStyle w:val="pagecontents1"/>
          <w:rFonts w:ascii="Times New Roman" w:hAnsi="Times New Roman" w:cs="Times New Roman"/>
          <w:sz w:val="24"/>
          <w:szCs w:val="24"/>
        </w:rPr>
        <w:t xml:space="preserve"> CJS</w:t>
      </w:r>
      <w:r>
        <w:rPr>
          <w:rStyle w:val="pagecontents1"/>
          <w:rFonts w:ascii="Times New Roman" w:hAnsi="Times New Roman" w:cs="Times New Roman"/>
          <w:sz w:val="24"/>
          <w:szCs w:val="24"/>
        </w:rPr>
        <w:t>, AN,</w:t>
      </w:r>
      <w:r w:rsidRPr="003679FD">
        <w:rPr>
          <w:rStyle w:val="pagecontents1"/>
          <w:rFonts w:ascii="Times New Roman" w:hAnsi="Times New Roman" w:cs="Times New Roman"/>
          <w:sz w:val="24"/>
          <w:szCs w:val="24"/>
        </w:rPr>
        <w:t xml:space="preserve"> </w:t>
      </w:r>
      <w:r>
        <w:rPr>
          <w:rStyle w:val="pagecontents1"/>
          <w:rFonts w:ascii="Times New Roman" w:hAnsi="Times New Roman" w:cs="Times New Roman"/>
          <w:sz w:val="24"/>
          <w:szCs w:val="24"/>
        </w:rPr>
        <w:t xml:space="preserve">TS, </w:t>
      </w:r>
      <w:r w:rsidRPr="003679FD">
        <w:rPr>
          <w:rStyle w:val="pagecontents1"/>
          <w:rFonts w:ascii="Times New Roman" w:hAnsi="Times New Roman" w:cs="Times New Roman"/>
          <w:sz w:val="24"/>
          <w:szCs w:val="24"/>
        </w:rPr>
        <w:t>JEB, ECLM</w:t>
      </w:r>
      <w:r>
        <w:rPr>
          <w:rStyle w:val="pagecontents1"/>
          <w:rFonts w:ascii="Times New Roman" w:hAnsi="Times New Roman" w:cs="Times New Roman"/>
          <w:sz w:val="24"/>
          <w:szCs w:val="24"/>
        </w:rPr>
        <w:t>,</w:t>
      </w:r>
      <w:r w:rsidRPr="003679FD">
        <w:rPr>
          <w:rStyle w:val="pagecontents1"/>
          <w:rFonts w:ascii="Times New Roman" w:hAnsi="Times New Roman" w:cs="Times New Roman"/>
          <w:sz w:val="24"/>
          <w:szCs w:val="24"/>
        </w:rPr>
        <w:t xml:space="preserve"> and NDE contributed to collection of samples and data</w:t>
      </w:r>
      <w:r>
        <w:rPr>
          <w:rStyle w:val="pagecontents1"/>
          <w:rFonts w:ascii="Times New Roman" w:hAnsi="Times New Roman" w:cs="Times New Roman"/>
          <w:sz w:val="24"/>
          <w:szCs w:val="24"/>
        </w:rPr>
        <w:t xml:space="preserve">. </w:t>
      </w:r>
      <w:r w:rsidRPr="003679FD">
        <w:rPr>
          <w:rStyle w:val="pagecontents1"/>
          <w:rFonts w:ascii="Times New Roman" w:hAnsi="Times New Roman" w:cs="Times New Roman"/>
          <w:sz w:val="24"/>
          <w:szCs w:val="24"/>
        </w:rPr>
        <w:t xml:space="preserve">CJS, </w:t>
      </w:r>
      <w:r>
        <w:rPr>
          <w:rStyle w:val="pagecontents1"/>
          <w:rFonts w:ascii="Times New Roman" w:hAnsi="Times New Roman" w:cs="Times New Roman"/>
          <w:sz w:val="24"/>
          <w:szCs w:val="24"/>
        </w:rPr>
        <w:t xml:space="preserve">BA, </w:t>
      </w:r>
      <w:r w:rsidRPr="003679FD">
        <w:rPr>
          <w:rStyle w:val="pagecontents1"/>
          <w:rFonts w:ascii="Times New Roman" w:hAnsi="Times New Roman" w:cs="Times New Roman"/>
          <w:sz w:val="24"/>
          <w:szCs w:val="24"/>
        </w:rPr>
        <w:t xml:space="preserve">AN, </w:t>
      </w:r>
      <w:r>
        <w:rPr>
          <w:rStyle w:val="pagecontents1"/>
          <w:rFonts w:ascii="Times New Roman" w:hAnsi="Times New Roman" w:cs="Times New Roman"/>
          <w:sz w:val="24"/>
          <w:szCs w:val="24"/>
        </w:rPr>
        <w:t xml:space="preserve">JEB, NDE, and </w:t>
      </w:r>
      <w:r w:rsidRPr="003679FD">
        <w:rPr>
          <w:rStyle w:val="pagecontents1"/>
          <w:rFonts w:ascii="Times New Roman" w:hAnsi="Times New Roman" w:cs="Times New Roman"/>
          <w:sz w:val="24"/>
          <w:szCs w:val="24"/>
        </w:rPr>
        <w:t>SPC contributed to analysis of samples and data. All authors have contributed to and reviewed the manuscript.</w:t>
      </w:r>
      <w:bookmarkEnd w:id="0"/>
    </w:p>
    <w:p w:rsidR="00B35332" w:rsidRPr="00B476A9" w:rsidRDefault="00B35332" w:rsidP="00B35332">
      <w:pPr>
        <w:rPr>
          <w:szCs w:val="24"/>
        </w:rPr>
      </w:pPr>
    </w:p>
    <w:p w:rsidR="00B35332" w:rsidRPr="002C61F2" w:rsidRDefault="00B35332" w:rsidP="00B35332">
      <w:pPr>
        <w:spacing w:after="0"/>
        <w:rPr>
          <w:rFonts w:cs="Times New Roman"/>
          <w:szCs w:val="24"/>
        </w:rPr>
      </w:pPr>
    </w:p>
    <w:p w:rsidR="00B35332" w:rsidRPr="002C61F2" w:rsidRDefault="00B35332" w:rsidP="00B35332">
      <w:pPr>
        <w:spacing w:after="0"/>
        <w:rPr>
          <w:rFonts w:cs="Times New Roman"/>
          <w:szCs w:val="24"/>
        </w:rPr>
      </w:pPr>
    </w:p>
    <w:p w:rsidR="00B35332" w:rsidRDefault="00B35332" w:rsidP="00B35332">
      <w:pPr>
        <w:spacing w:after="0"/>
        <w:rPr>
          <w:rFonts w:cs="Times New Roman"/>
          <w:szCs w:val="24"/>
        </w:rPr>
        <w:sectPr w:rsidR="00B35332" w:rsidSect="006A6276">
          <w:pgSz w:w="11906" w:h="16838"/>
          <w:pgMar w:top="1440" w:right="1440" w:bottom="1440" w:left="1440" w:header="708" w:footer="708" w:gutter="0"/>
          <w:cols w:space="708"/>
          <w:docGrid w:linePitch="360"/>
        </w:sectPr>
      </w:pPr>
    </w:p>
    <w:p w:rsidR="00B35332" w:rsidRPr="00B476A9" w:rsidRDefault="00B35332" w:rsidP="00B35332">
      <w:pPr>
        <w:spacing w:after="0"/>
        <w:rPr>
          <w:b/>
          <w:szCs w:val="24"/>
        </w:rPr>
      </w:pPr>
      <w:r w:rsidRPr="00B476A9">
        <w:rPr>
          <w:b/>
          <w:szCs w:val="24"/>
        </w:rPr>
        <w:t xml:space="preserve">What is already known on this </w:t>
      </w:r>
      <w:r w:rsidR="00CE148D" w:rsidRPr="00B476A9">
        <w:rPr>
          <w:b/>
          <w:szCs w:val="24"/>
        </w:rPr>
        <w:t>topic?</w:t>
      </w:r>
    </w:p>
    <w:p w:rsidR="00B35332" w:rsidRPr="00C73BD1" w:rsidRDefault="00B35332" w:rsidP="00B35332">
      <w:pPr>
        <w:numPr>
          <w:ilvl w:val="0"/>
          <w:numId w:val="6"/>
        </w:numPr>
        <w:spacing w:after="0"/>
        <w:rPr>
          <w:b/>
          <w:szCs w:val="24"/>
        </w:rPr>
      </w:pPr>
      <w:r>
        <w:rPr>
          <w:szCs w:val="24"/>
        </w:rPr>
        <w:t>The preterm gut microbiota has important influences in the onset of necrotising enterocolitis (NEC) and late onset sepsis (LOS)</w:t>
      </w:r>
    </w:p>
    <w:p w:rsidR="00B35332" w:rsidRPr="00C73BD1" w:rsidRDefault="00B35332" w:rsidP="00B35332">
      <w:pPr>
        <w:numPr>
          <w:ilvl w:val="0"/>
          <w:numId w:val="6"/>
        </w:numPr>
        <w:spacing w:after="0"/>
        <w:rPr>
          <w:b/>
          <w:szCs w:val="24"/>
        </w:rPr>
      </w:pPr>
      <w:r>
        <w:rPr>
          <w:szCs w:val="24"/>
        </w:rPr>
        <w:t>Probiotics potentially reduce the risk of NEC and LOS</w:t>
      </w:r>
    </w:p>
    <w:p w:rsidR="00B35332" w:rsidRDefault="00B35332" w:rsidP="00B35332">
      <w:pPr>
        <w:spacing w:after="0"/>
        <w:rPr>
          <w:szCs w:val="24"/>
        </w:rPr>
      </w:pPr>
    </w:p>
    <w:p w:rsidR="00B35332" w:rsidRPr="00B476A9" w:rsidRDefault="00B35332" w:rsidP="00B35332">
      <w:pPr>
        <w:spacing w:after="0"/>
        <w:rPr>
          <w:b/>
          <w:szCs w:val="24"/>
        </w:rPr>
      </w:pPr>
      <w:r w:rsidRPr="00B476A9">
        <w:rPr>
          <w:b/>
          <w:szCs w:val="24"/>
        </w:rPr>
        <w:t>What this study adds</w:t>
      </w:r>
    </w:p>
    <w:p w:rsidR="00B35332" w:rsidRDefault="00B35332" w:rsidP="00B35332">
      <w:pPr>
        <w:numPr>
          <w:ilvl w:val="0"/>
          <w:numId w:val="6"/>
        </w:numPr>
        <w:spacing w:after="0"/>
        <w:rPr>
          <w:szCs w:val="24"/>
        </w:rPr>
      </w:pPr>
      <w:r>
        <w:rPr>
          <w:rFonts w:cs="Times New Roman"/>
          <w:i/>
          <w:szCs w:val="24"/>
        </w:rPr>
        <w:t>Bifidobacterium</w:t>
      </w:r>
      <w:r>
        <w:rPr>
          <w:rFonts w:cs="Times New Roman"/>
          <w:szCs w:val="24"/>
        </w:rPr>
        <w:t xml:space="preserve"> but not </w:t>
      </w:r>
      <w:r w:rsidRPr="00F846E6">
        <w:rPr>
          <w:rFonts w:cs="Times New Roman"/>
          <w:i/>
          <w:szCs w:val="24"/>
        </w:rPr>
        <w:t>Lactobacillus</w:t>
      </w:r>
      <w:r>
        <w:rPr>
          <w:rFonts w:cs="Times New Roman"/>
          <w:szCs w:val="24"/>
        </w:rPr>
        <w:t xml:space="preserve"> demonstrated long-term proliferation in this population</w:t>
      </w:r>
      <w:r>
        <w:rPr>
          <w:szCs w:val="24"/>
        </w:rPr>
        <w:t xml:space="preserve"> </w:t>
      </w:r>
    </w:p>
    <w:p w:rsidR="00B35332" w:rsidRPr="00B476A9" w:rsidRDefault="00B35332" w:rsidP="00B35332">
      <w:pPr>
        <w:numPr>
          <w:ilvl w:val="0"/>
          <w:numId w:val="6"/>
        </w:numPr>
        <w:spacing w:after="0"/>
        <w:rPr>
          <w:szCs w:val="24"/>
        </w:rPr>
      </w:pPr>
      <w:r>
        <w:rPr>
          <w:szCs w:val="24"/>
        </w:rPr>
        <w:t>Probiotic species colonise the gut and reduce the prevalence of potentially pathogenic organisms</w:t>
      </w:r>
    </w:p>
    <w:p w:rsidR="00B35332" w:rsidRPr="00B476A9" w:rsidRDefault="00B35332" w:rsidP="00B35332">
      <w:pPr>
        <w:numPr>
          <w:ilvl w:val="0"/>
          <w:numId w:val="6"/>
        </w:numPr>
        <w:spacing w:after="0"/>
        <w:rPr>
          <w:szCs w:val="24"/>
        </w:rPr>
      </w:pPr>
      <w:r>
        <w:rPr>
          <w:szCs w:val="24"/>
        </w:rPr>
        <w:t xml:space="preserve">Colonisation by probiotic bacterial species causes </w:t>
      </w:r>
      <w:r w:rsidR="00CE148D">
        <w:rPr>
          <w:szCs w:val="24"/>
        </w:rPr>
        <w:t>metabolomics</w:t>
      </w:r>
      <w:r>
        <w:rPr>
          <w:szCs w:val="24"/>
        </w:rPr>
        <w:t xml:space="preserve"> shifts in gut functioning</w:t>
      </w:r>
    </w:p>
    <w:p w:rsidR="00B35332" w:rsidRDefault="00B35332" w:rsidP="00B35332">
      <w:pPr>
        <w:spacing w:after="0" w:line="240" w:lineRule="auto"/>
        <w:jc w:val="left"/>
        <w:rPr>
          <w:rFonts w:cs="Times New Roman"/>
          <w:b/>
          <w:szCs w:val="24"/>
        </w:rPr>
      </w:pPr>
      <w:r>
        <w:rPr>
          <w:rFonts w:cs="Times New Roman"/>
          <w:b/>
          <w:szCs w:val="24"/>
        </w:rPr>
        <w:br w:type="page"/>
      </w:r>
    </w:p>
    <w:p w:rsidR="00B35332" w:rsidRDefault="00B35332" w:rsidP="00B35332">
      <w:pPr>
        <w:spacing w:after="0"/>
        <w:rPr>
          <w:rFonts w:cs="Times New Roman"/>
          <w:b/>
          <w:szCs w:val="24"/>
        </w:rPr>
      </w:pPr>
      <w:r>
        <w:rPr>
          <w:rFonts w:cs="Times New Roman"/>
          <w:b/>
          <w:szCs w:val="24"/>
        </w:rPr>
        <w:t>REFERENCES</w:t>
      </w:r>
    </w:p>
    <w:p w:rsidR="00B35332" w:rsidRPr="0083592E" w:rsidRDefault="00B35332" w:rsidP="00B35332">
      <w:pPr>
        <w:pStyle w:val="NormalWeb"/>
        <w:spacing w:before="0" w:beforeAutospacing="0" w:after="0" w:afterAutospacing="0"/>
        <w:ind w:left="640" w:hanging="640"/>
        <w:rPr>
          <w:rFonts w:eastAsiaTheme="minorEastAsia"/>
          <w:noProof/>
        </w:rPr>
      </w:pPr>
      <w:r>
        <w:rPr>
          <w:b/>
        </w:rPr>
        <w:fldChar w:fldCharType="begin" w:fldLock="1"/>
      </w:r>
      <w:r>
        <w:rPr>
          <w:b/>
        </w:rPr>
        <w:instrText xml:space="preserve">ADDIN Mendeley Bibliography CSL_BIBLIOGRAPHY </w:instrText>
      </w:r>
      <w:r>
        <w:rPr>
          <w:b/>
        </w:rPr>
        <w:fldChar w:fldCharType="separate"/>
      </w:r>
      <w:r w:rsidRPr="0083592E">
        <w:rPr>
          <w:noProof/>
        </w:rPr>
        <w:t xml:space="preserve">1 </w:t>
      </w:r>
      <w:r w:rsidRPr="0083592E">
        <w:rPr>
          <w:noProof/>
        </w:rPr>
        <w:tab/>
        <w:t>FAO/WHO. Probiotics in food - Health and nutritional properties and guidelines for evaluation. 2001.</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2 </w:t>
      </w:r>
      <w:r w:rsidRPr="0083592E">
        <w:rPr>
          <w:noProof/>
        </w:rPr>
        <w:tab/>
        <w:t xml:space="preserve">Julia CA, Ermentrout GB, Jeffrey SU, </w:t>
      </w:r>
      <w:r w:rsidRPr="0083592E">
        <w:rPr>
          <w:i/>
          <w:iCs/>
          <w:noProof/>
        </w:rPr>
        <w:t>et al.</w:t>
      </w:r>
      <w:r w:rsidRPr="0083592E">
        <w:rPr>
          <w:noProof/>
        </w:rPr>
        <w:t xml:space="preserve"> Using a Mathematical Model to Analyze the Role of Probiotics and Inflammation in Necrotizing Enterocolitis: e10066. </w:t>
      </w:r>
      <w:r w:rsidRPr="0083592E">
        <w:rPr>
          <w:i/>
          <w:iCs/>
          <w:noProof/>
        </w:rPr>
        <w:t>PLoS One</w:t>
      </w:r>
      <w:r w:rsidRPr="0083592E">
        <w:rPr>
          <w:noProof/>
        </w:rPr>
        <w:t xml:space="preserve"> 2010;</w:t>
      </w:r>
      <w:r w:rsidRPr="0083592E">
        <w:rPr>
          <w:b/>
          <w:bCs/>
          <w:noProof/>
        </w:rPr>
        <w:t>5</w:t>
      </w:r>
      <w:r w:rsidRPr="0083592E">
        <w:rPr>
          <w:noProof/>
        </w:rPr>
        <w:t xml:space="preserve">.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3 </w:t>
      </w:r>
      <w:r w:rsidRPr="0083592E">
        <w:rPr>
          <w:noProof/>
        </w:rPr>
        <w:tab/>
        <w:t xml:space="preserve">Gaul J. Probiotics for the prevention of necrotizing enterocolitis. </w:t>
      </w:r>
      <w:r w:rsidRPr="0083592E">
        <w:rPr>
          <w:i/>
          <w:iCs/>
          <w:noProof/>
        </w:rPr>
        <w:t>Neonatal Netw J Neonatal Nurs</w:t>
      </w:r>
      <w:r w:rsidRPr="0083592E">
        <w:rPr>
          <w:noProof/>
        </w:rPr>
        <w:t xml:space="preserve"> 2008;</w:t>
      </w:r>
      <w:r w:rsidRPr="0083592E">
        <w:rPr>
          <w:b/>
          <w:bCs/>
          <w:noProof/>
        </w:rPr>
        <w:t>27</w:t>
      </w:r>
      <w:r w:rsidRPr="0083592E">
        <w:rPr>
          <w:noProof/>
        </w:rPr>
        <w:t>:75–80.</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4 </w:t>
      </w:r>
      <w:r w:rsidRPr="0083592E">
        <w:rPr>
          <w:noProof/>
        </w:rPr>
        <w:tab/>
        <w:t xml:space="preserve">Berrington JE, Stewart CJ, Cummings SP, </w:t>
      </w:r>
      <w:r w:rsidRPr="0083592E">
        <w:rPr>
          <w:i/>
          <w:iCs/>
          <w:noProof/>
        </w:rPr>
        <w:t>et al.</w:t>
      </w:r>
      <w:r w:rsidRPr="0083592E">
        <w:rPr>
          <w:noProof/>
        </w:rPr>
        <w:t xml:space="preserve"> The neonatal bowel microbiome in health and infection. </w:t>
      </w:r>
      <w:r w:rsidRPr="0083592E">
        <w:rPr>
          <w:i/>
          <w:iCs/>
          <w:noProof/>
        </w:rPr>
        <w:t>Curr Opin Infect Dis</w:t>
      </w:r>
      <w:r w:rsidRPr="0083592E">
        <w:rPr>
          <w:noProof/>
        </w:rPr>
        <w:t xml:space="preserve"> 2014;</w:t>
      </w:r>
      <w:r w:rsidRPr="0083592E">
        <w:rPr>
          <w:b/>
          <w:bCs/>
          <w:noProof/>
        </w:rPr>
        <w:t>27</w:t>
      </w:r>
      <w:r w:rsidRPr="0083592E">
        <w:rPr>
          <w:noProof/>
        </w:rPr>
        <w:t xml:space="preserve">:236–43.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5 </w:t>
      </w:r>
      <w:r w:rsidRPr="0083592E">
        <w:rPr>
          <w:noProof/>
        </w:rPr>
        <w:tab/>
        <w:t xml:space="preserve">Ofek Shlomai N, Deshpande G, Rao S, </w:t>
      </w:r>
      <w:r w:rsidRPr="0083592E">
        <w:rPr>
          <w:i/>
          <w:iCs/>
          <w:noProof/>
        </w:rPr>
        <w:t>et al.</w:t>
      </w:r>
      <w:r w:rsidRPr="0083592E">
        <w:rPr>
          <w:noProof/>
        </w:rPr>
        <w:t xml:space="preserve"> Probiotics for Preterm Neonates: What Will It Take to Change Clinical Practice? </w:t>
      </w:r>
      <w:r w:rsidRPr="0083592E">
        <w:rPr>
          <w:i/>
          <w:iCs/>
          <w:noProof/>
        </w:rPr>
        <w:t>Neonatology</w:t>
      </w:r>
      <w:r w:rsidRPr="0083592E">
        <w:rPr>
          <w:noProof/>
        </w:rPr>
        <w:t xml:space="preserve"> 2013;</w:t>
      </w:r>
      <w:r w:rsidRPr="0083592E">
        <w:rPr>
          <w:b/>
          <w:bCs/>
          <w:noProof/>
        </w:rPr>
        <w:t>105</w:t>
      </w:r>
      <w:r w:rsidRPr="0083592E">
        <w:rPr>
          <w:noProof/>
        </w:rPr>
        <w:t xml:space="preserve">:64–70.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6 </w:t>
      </w:r>
      <w:r w:rsidRPr="0083592E">
        <w:rPr>
          <w:noProof/>
        </w:rPr>
        <w:tab/>
        <w:t xml:space="preserve">Deshpande G, Patole S. Probiotic for preventing necrotising enterocolitis in preterm neonates-The past, present, and the future. </w:t>
      </w:r>
      <w:r w:rsidRPr="0083592E">
        <w:rPr>
          <w:i/>
          <w:iCs/>
          <w:noProof/>
        </w:rPr>
        <w:t>East J Med</w:t>
      </w:r>
      <w:r w:rsidRPr="0083592E">
        <w:rPr>
          <w:noProof/>
        </w:rPr>
        <w:t xml:space="preserve"> 2013;</w:t>
      </w:r>
      <w:r w:rsidRPr="0083592E">
        <w:rPr>
          <w:b/>
          <w:bCs/>
          <w:noProof/>
        </w:rPr>
        <w:t>15</w:t>
      </w:r>
      <w:r w:rsidRPr="0083592E">
        <w:rPr>
          <w:noProof/>
        </w:rPr>
        <w:t>:168–74.</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7 </w:t>
      </w:r>
      <w:r w:rsidRPr="0083592E">
        <w:rPr>
          <w:noProof/>
        </w:rPr>
        <w:tab/>
        <w:t xml:space="preserve">Mihatsch WA, Braegger CP, Decsi T, </w:t>
      </w:r>
      <w:r w:rsidRPr="0083592E">
        <w:rPr>
          <w:i/>
          <w:iCs/>
          <w:noProof/>
        </w:rPr>
        <w:t>et al.</w:t>
      </w:r>
      <w:r w:rsidRPr="0083592E">
        <w:rPr>
          <w:noProof/>
        </w:rPr>
        <w:t xml:space="preserve"> Critical systematic review of the level of evidence for routine use of probiotics for reduction of mortality and prevention of necrotizing enterocolitis and sepsis in preterm infants. </w:t>
      </w:r>
      <w:r w:rsidRPr="0083592E">
        <w:rPr>
          <w:i/>
          <w:iCs/>
          <w:noProof/>
        </w:rPr>
        <w:t>Clin Nutr</w:t>
      </w:r>
      <w:r w:rsidRPr="0083592E">
        <w:rPr>
          <w:noProof/>
        </w:rPr>
        <w:t xml:space="preserve"> 2012;</w:t>
      </w:r>
      <w:r w:rsidRPr="0083592E">
        <w:rPr>
          <w:b/>
          <w:bCs/>
          <w:noProof/>
        </w:rPr>
        <w:t>31</w:t>
      </w:r>
      <w:r w:rsidRPr="0083592E">
        <w:rPr>
          <w:noProof/>
        </w:rPr>
        <w:t xml:space="preserve">:6–15.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8 </w:t>
      </w:r>
      <w:r w:rsidRPr="0083592E">
        <w:rPr>
          <w:noProof/>
        </w:rPr>
        <w:tab/>
        <w:t xml:space="preserve">Berrington J, Stewart C, Embleton N, </w:t>
      </w:r>
      <w:r w:rsidRPr="0083592E">
        <w:rPr>
          <w:i/>
          <w:iCs/>
          <w:noProof/>
        </w:rPr>
        <w:t>et al.</w:t>
      </w:r>
      <w:r w:rsidRPr="0083592E">
        <w:rPr>
          <w:noProof/>
        </w:rPr>
        <w:t xml:space="preserve"> Gut microbiota in preterm infants: assessment and relevance to health and disease. </w:t>
      </w:r>
      <w:r w:rsidRPr="0083592E">
        <w:rPr>
          <w:i/>
          <w:iCs/>
          <w:noProof/>
        </w:rPr>
        <w:t>Arch Dis Child Fetal Neonatal Ed</w:t>
      </w:r>
      <w:r w:rsidRPr="0083592E">
        <w:rPr>
          <w:noProof/>
        </w:rPr>
        <w:t xml:space="preserve"> 2013;</w:t>
      </w:r>
      <w:r w:rsidRPr="0083592E">
        <w:rPr>
          <w:b/>
          <w:bCs/>
          <w:noProof/>
        </w:rPr>
        <w:t>98</w:t>
      </w:r>
      <w:r w:rsidRPr="0083592E">
        <w:rPr>
          <w:noProof/>
        </w:rPr>
        <w:t>:F286–90.</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9 </w:t>
      </w:r>
      <w:r w:rsidRPr="0083592E">
        <w:rPr>
          <w:noProof/>
        </w:rPr>
        <w:tab/>
        <w:t xml:space="preserve">Yang Y, Guo Y, Kan Q, </w:t>
      </w:r>
      <w:r w:rsidRPr="0083592E">
        <w:rPr>
          <w:i/>
          <w:iCs/>
          <w:noProof/>
        </w:rPr>
        <w:t>et al.</w:t>
      </w:r>
      <w:r w:rsidRPr="0083592E">
        <w:rPr>
          <w:noProof/>
        </w:rPr>
        <w:t xml:space="preserve"> A meta-analysis of probiotics for preventing necrotizing enterocolitis in preterm neonates. </w:t>
      </w:r>
      <w:r w:rsidRPr="0083592E">
        <w:rPr>
          <w:i/>
          <w:iCs/>
          <w:noProof/>
        </w:rPr>
        <w:t>Brazilian J Med Biol Res</w:t>
      </w:r>
      <w:r w:rsidRPr="0083592E">
        <w:rPr>
          <w:noProof/>
        </w:rPr>
        <w:t xml:space="preserve"> 2014;</w:t>
      </w:r>
      <w:r w:rsidRPr="0083592E">
        <w:rPr>
          <w:b/>
          <w:bCs/>
          <w:noProof/>
        </w:rPr>
        <w:t>47</w:t>
      </w:r>
      <w:r w:rsidRPr="0083592E">
        <w:rPr>
          <w:noProof/>
        </w:rPr>
        <w:t xml:space="preserve">:804–10.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10 </w:t>
      </w:r>
      <w:r w:rsidRPr="0083592E">
        <w:rPr>
          <w:noProof/>
        </w:rPr>
        <w:tab/>
        <w:t xml:space="preserve">Millar M, Wilks M, Costeloe K. Probiotics for preterm infants? </w:t>
      </w:r>
      <w:r w:rsidRPr="0083592E">
        <w:rPr>
          <w:i/>
          <w:iCs/>
          <w:noProof/>
        </w:rPr>
        <w:t>Arch Dis Child Fetal Neonatal Ed</w:t>
      </w:r>
      <w:r w:rsidRPr="0083592E">
        <w:rPr>
          <w:noProof/>
        </w:rPr>
        <w:t xml:space="preserve"> 2003;</w:t>
      </w:r>
      <w:r w:rsidRPr="0083592E">
        <w:rPr>
          <w:b/>
          <w:bCs/>
          <w:noProof/>
        </w:rPr>
        <w:t>88</w:t>
      </w:r>
      <w:r w:rsidRPr="0083592E">
        <w:rPr>
          <w:noProof/>
        </w:rPr>
        <w:t>:F354–8.</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11 </w:t>
      </w:r>
      <w:r w:rsidRPr="0083592E">
        <w:rPr>
          <w:noProof/>
        </w:rPr>
        <w:tab/>
        <w:t xml:space="preserve">Morrow AL, Lagomarcino AJ, Schibler KR, </w:t>
      </w:r>
      <w:r w:rsidRPr="0083592E">
        <w:rPr>
          <w:i/>
          <w:iCs/>
          <w:noProof/>
        </w:rPr>
        <w:t>et al.</w:t>
      </w:r>
      <w:r w:rsidRPr="0083592E">
        <w:rPr>
          <w:noProof/>
        </w:rPr>
        <w:t xml:space="preserve"> Early microbial and metabolomic signatures predict later onset of necrotizing enterocolitis in preterm infants. </w:t>
      </w:r>
      <w:r w:rsidRPr="0083592E">
        <w:rPr>
          <w:i/>
          <w:iCs/>
          <w:noProof/>
        </w:rPr>
        <w:t>Microbiome</w:t>
      </w:r>
      <w:r w:rsidRPr="0083592E">
        <w:rPr>
          <w:noProof/>
        </w:rPr>
        <w:t xml:space="preserve"> 2013;</w:t>
      </w:r>
      <w:r w:rsidRPr="0083592E">
        <w:rPr>
          <w:b/>
          <w:bCs/>
          <w:noProof/>
        </w:rPr>
        <w:t>1</w:t>
      </w:r>
      <w:r w:rsidRPr="0083592E">
        <w:rPr>
          <w:noProof/>
        </w:rPr>
        <w:t xml:space="preserve">:13.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12 </w:t>
      </w:r>
      <w:r w:rsidRPr="0083592E">
        <w:rPr>
          <w:noProof/>
        </w:rPr>
        <w:tab/>
        <w:t xml:space="preserve">Stewart CJ, Nelson A, Scribbins D, </w:t>
      </w:r>
      <w:r w:rsidRPr="0083592E">
        <w:rPr>
          <w:i/>
          <w:iCs/>
          <w:noProof/>
        </w:rPr>
        <w:t>et al.</w:t>
      </w:r>
      <w:r w:rsidRPr="0083592E">
        <w:rPr>
          <w:noProof/>
        </w:rPr>
        <w:t xml:space="preserve"> Bacterial and fungal viability in the preterm gut: NEC and sepsis. </w:t>
      </w:r>
      <w:r w:rsidRPr="0083592E">
        <w:rPr>
          <w:i/>
          <w:iCs/>
          <w:noProof/>
        </w:rPr>
        <w:t>Arch Dis Child Fetal Neonatal Ed</w:t>
      </w:r>
      <w:r w:rsidRPr="0083592E">
        <w:rPr>
          <w:noProof/>
        </w:rPr>
        <w:t xml:space="preserve"> 2013;</w:t>
      </w:r>
      <w:r w:rsidRPr="0083592E">
        <w:rPr>
          <w:b/>
          <w:bCs/>
          <w:noProof/>
        </w:rPr>
        <w:t>98</w:t>
      </w:r>
      <w:r w:rsidRPr="0083592E">
        <w:rPr>
          <w:noProof/>
        </w:rPr>
        <w:t xml:space="preserve">:F298–303.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13 </w:t>
      </w:r>
      <w:r w:rsidRPr="0083592E">
        <w:rPr>
          <w:noProof/>
        </w:rPr>
        <w:tab/>
        <w:t xml:space="preserve">Stewart C, Marrs E, Magorrian S, </w:t>
      </w:r>
      <w:r w:rsidRPr="0083592E">
        <w:rPr>
          <w:i/>
          <w:iCs/>
          <w:noProof/>
        </w:rPr>
        <w:t>et al.</w:t>
      </w:r>
      <w:r w:rsidRPr="0083592E">
        <w:rPr>
          <w:noProof/>
        </w:rPr>
        <w:t xml:space="preserve"> The preterm gut microbiota: changes associated with necrotizing enterocolitis and infection. </w:t>
      </w:r>
      <w:r w:rsidRPr="0083592E">
        <w:rPr>
          <w:i/>
          <w:iCs/>
          <w:noProof/>
        </w:rPr>
        <w:t>Acta Paediatr</w:t>
      </w:r>
      <w:r w:rsidRPr="0083592E">
        <w:rPr>
          <w:noProof/>
        </w:rPr>
        <w:t xml:space="preserve"> 2012;</w:t>
      </w:r>
      <w:r w:rsidRPr="0083592E">
        <w:rPr>
          <w:b/>
          <w:bCs/>
          <w:noProof/>
        </w:rPr>
        <w:t>101</w:t>
      </w:r>
      <w:r w:rsidRPr="0083592E">
        <w:rPr>
          <w:noProof/>
        </w:rPr>
        <w:t xml:space="preserve">:1121–7.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14 </w:t>
      </w:r>
      <w:r w:rsidRPr="0083592E">
        <w:rPr>
          <w:noProof/>
        </w:rPr>
        <w:tab/>
        <w:t xml:space="preserve">Kozich JJ, Westcott SL, Baxter NT, </w:t>
      </w:r>
      <w:r w:rsidRPr="0083592E">
        <w:rPr>
          <w:i/>
          <w:iCs/>
          <w:noProof/>
        </w:rPr>
        <w:t>et al.</w:t>
      </w:r>
      <w:r w:rsidRPr="0083592E">
        <w:rPr>
          <w:noProof/>
        </w:rPr>
        <w:t xml:space="preserve"> Development of a dual-index sequencing strategy and curation pipeline for analyzing amplicon sequence data on the MiSeq Illumina sequencing platform. </w:t>
      </w:r>
      <w:r w:rsidRPr="0083592E">
        <w:rPr>
          <w:i/>
          <w:iCs/>
          <w:noProof/>
        </w:rPr>
        <w:t>Appl Environ Microbiol</w:t>
      </w:r>
      <w:r w:rsidRPr="0083592E">
        <w:rPr>
          <w:noProof/>
        </w:rPr>
        <w:t xml:space="preserve"> 2013;</w:t>
      </w:r>
      <w:r w:rsidRPr="0083592E">
        <w:rPr>
          <w:b/>
          <w:bCs/>
          <w:noProof/>
        </w:rPr>
        <w:t>79</w:t>
      </w:r>
      <w:r w:rsidRPr="0083592E">
        <w:rPr>
          <w:noProof/>
        </w:rPr>
        <w:t xml:space="preserve">:5112–20.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15 </w:t>
      </w:r>
      <w:r w:rsidRPr="0083592E">
        <w:rPr>
          <w:noProof/>
        </w:rPr>
        <w:tab/>
        <w:t xml:space="preserve">Tabasco R, Paarup T, Janer C, </w:t>
      </w:r>
      <w:r w:rsidRPr="0083592E">
        <w:rPr>
          <w:i/>
          <w:iCs/>
          <w:noProof/>
        </w:rPr>
        <w:t>et al.</w:t>
      </w:r>
      <w:r w:rsidRPr="0083592E">
        <w:rPr>
          <w:noProof/>
        </w:rPr>
        <w:t xml:space="preserve"> Selective enumeration and identification of mixed cultures of Streptococcus thermophilus, Lactobacillus delbrueckii subsp. bulgaricus, L. acidophilus, L. paracasei subsp. paracasei and Bifidobacterium lactis in fermented milk. </w:t>
      </w:r>
      <w:r w:rsidRPr="0083592E">
        <w:rPr>
          <w:i/>
          <w:iCs/>
          <w:noProof/>
        </w:rPr>
        <w:t>Int Dairy J</w:t>
      </w:r>
      <w:r w:rsidRPr="0083592E">
        <w:rPr>
          <w:noProof/>
        </w:rPr>
        <w:t xml:space="preserve"> 2007;</w:t>
      </w:r>
      <w:r w:rsidRPr="0083592E">
        <w:rPr>
          <w:b/>
          <w:bCs/>
          <w:noProof/>
        </w:rPr>
        <w:t>17</w:t>
      </w:r>
      <w:r w:rsidRPr="0083592E">
        <w:rPr>
          <w:noProof/>
        </w:rPr>
        <w:t xml:space="preserve">:1107–14.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16 </w:t>
      </w:r>
      <w:r w:rsidRPr="0083592E">
        <w:rPr>
          <w:noProof/>
        </w:rPr>
        <w:tab/>
        <w:t xml:space="preserve">Matsuki T, Watanabe K, Fujimoto J, </w:t>
      </w:r>
      <w:r w:rsidRPr="0083592E">
        <w:rPr>
          <w:i/>
          <w:iCs/>
          <w:noProof/>
        </w:rPr>
        <w:t>et al.</w:t>
      </w:r>
      <w:r w:rsidRPr="0083592E">
        <w:rPr>
          <w:noProof/>
        </w:rPr>
        <w:t xml:space="preserve"> Use of 16S rRNA gene-targeted group-specific primers for real-time PCR analysis of predominant bacteria in human feces. </w:t>
      </w:r>
      <w:r w:rsidRPr="0083592E">
        <w:rPr>
          <w:i/>
          <w:iCs/>
          <w:noProof/>
        </w:rPr>
        <w:t>Appl Env Microbiol</w:t>
      </w:r>
      <w:r w:rsidRPr="0083592E">
        <w:rPr>
          <w:noProof/>
        </w:rPr>
        <w:t xml:space="preserve"> 2004;</w:t>
      </w:r>
      <w:r w:rsidRPr="0083592E">
        <w:rPr>
          <w:b/>
          <w:bCs/>
          <w:noProof/>
        </w:rPr>
        <w:t>70</w:t>
      </w:r>
      <w:r w:rsidRPr="0083592E">
        <w:rPr>
          <w:noProof/>
        </w:rPr>
        <w:t xml:space="preserve">:7220–8.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17 </w:t>
      </w:r>
      <w:r w:rsidRPr="0083592E">
        <w:rPr>
          <w:noProof/>
        </w:rPr>
        <w:tab/>
        <w:t xml:space="preserve">Eriksson L, Johansson E, Kettaneh-Wold N. </w:t>
      </w:r>
      <w:r w:rsidRPr="0083592E">
        <w:rPr>
          <w:i/>
          <w:iCs/>
          <w:noProof/>
        </w:rPr>
        <w:t>Multi-and Megavariate Data Analysis, Part 2, Advanced Applications and Method Extensions</w:t>
      </w:r>
      <w:r w:rsidRPr="0083592E">
        <w:rPr>
          <w:noProof/>
        </w:rPr>
        <w:t xml:space="preserve">. MKS Umetrics AB 2006.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18 </w:t>
      </w:r>
      <w:r w:rsidRPr="0083592E">
        <w:rPr>
          <w:noProof/>
        </w:rPr>
        <w:tab/>
        <w:t>K Trivedi D. The Application of SIMCA P+ in Shotgun Metabolomics Analysis of ZIC</w:t>
      </w:r>
      <w:r w:rsidRPr="0083592E">
        <w:rPr>
          <w:rFonts w:ascii="MS Mincho" w:eastAsia="MS Mincho" w:hAnsi="MS Mincho" w:cs="MS Mincho" w:hint="eastAsia"/>
          <w:noProof/>
        </w:rPr>
        <w:t>Ⓡ</w:t>
      </w:r>
      <w:r w:rsidRPr="0083592E">
        <w:rPr>
          <w:noProof/>
        </w:rPr>
        <w:t xml:space="preserve">HILIC-MS Spectra of Human Urine - Experience with the Shimadzu IT-T of and Profiling Solutions Data Extraction Software. </w:t>
      </w:r>
      <w:r w:rsidRPr="0083592E">
        <w:rPr>
          <w:i/>
          <w:iCs/>
          <w:noProof/>
        </w:rPr>
        <w:t>J Chromatogr Sep Tech</w:t>
      </w:r>
      <w:r w:rsidRPr="0083592E">
        <w:rPr>
          <w:noProof/>
        </w:rPr>
        <w:t xml:space="preserve"> 2012;</w:t>
      </w:r>
      <w:r w:rsidRPr="0083592E">
        <w:rPr>
          <w:b/>
          <w:bCs/>
          <w:noProof/>
        </w:rPr>
        <w:t>03</w:t>
      </w:r>
      <w:r w:rsidRPr="0083592E">
        <w:rPr>
          <w:noProof/>
        </w:rPr>
        <w:t xml:space="preserve">.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19 </w:t>
      </w:r>
      <w:r w:rsidRPr="0083592E">
        <w:rPr>
          <w:noProof/>
        </w:rPr>
        <w:tab/>
        <w:t xml:space="preserve">Jacobs SE, Tobin JM, Opie GF, </w:t>
      </w:r>
      <w:r w:rsidRPr="0083592E">
        <w:rPr>
          <w:i/>
          <w:iCs/>
          <w:noProof/>
        </w:rPr>
        <w:t>et al.</w:t>
      </w:r>
      <w:r w:rsidRPr="0083592E">
        <w:rPr>
          <w:noProof/>
        </w:rPr>
        <w:t xml:space="preserve"> Probiotic effects on late-onset sepsis in very preterm infants: a randomized controlled trial. </w:t>
      </w:r>
      <w:r w:rsidRPr="0083592E">
        <w:rPr>
          <w:i/>
          <w:iCs/>
          <w:noProof/>
        </w:rPr>
        <w:t>Pediatrics</w:t>
      </w:r>
      <w:r w:rsidRPr="0083592E">
        <w:rPr>
          <w:noProof/>
        </w:rPr>
        <w:t xml:space="preserve"> 2013;</w:t>
      </w:r>
      <w:r w:rsidRPr="0083592E">
        <w:rPr>
          <w:b/>
          <w:bCs/>
          <w:noProof/>
        </w:rPr>
        <w:t>132</w:t>
      </w:r>
      <w:r w:rsidRPr="0083592E">
        <w:rPr>
          <w:noProof/>
        </w:rPr>
        <w:t xml:space="preserve">:1055–62.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20 </w:t>
      </w:r>
      <w:r w:rsidRPr="0083592E">
        <w:rPr>
          <w:noProof/>
        </w:rPr>
        <w:tab/>
        <w:t xml:space="preserve">Barrett E, Guinane C. Microbiota diversity and stability of the preterm neonatal ileum and colon of two infants. </w:t>
      </w:r>
      <w:r w:rsidRPr="0083592E">
        <w:rPr>
          <w:i/>
          <w:iCs/>
          <w:noProof/>
        </w:rPr>
        <w:t>Microbiologyopen</w:t>
      </w:r>
      <w:r w:rsidRPr="0083592E">
        <w:rPr>
          <w:noProof/>
        </w:rPr>
        <w:t xml:space="preserve"> Published Online First: 24 January 2013.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21 </w:t>
      </w:r>
      <w:r w:rsidRPr="0083592E">
        <w:rPr>
          <w:noProof/>
        </w:rPr>
        <w:tab/>
        <w:t xml:space="preserve">Chen RW and J. Early colonization of intestinal bifidobacteria and lactobacilli in the postoperative neonates with congenital intestinal atresia. </w:t>
      </w:r>
      <w:r w:rsidRPr="0083592E">
        <w:rPr>
          <w:i/>
          <w:iCs/>
          <w:noProof/>
        </w:rPr>
        <w:t>Saudi Med J</w:t>
      </w:r>
      <w:r w:rsidRPr="0083592E">
        <w:rPr>
          <w:noProof/>
        </w:rPr>
        <w:t xml:space="preserve"> 2011;</w:t>
      </w:r>
      <w:r w:rsidRPr="0083592E">
        <w:rPr>
          <w:b/>
          <w:bCs/>
          <w:noProof/>
        </w:rPr>
        <w:t>32</w:t>
      </w:r>
      <w:r>
        <w:rPr>
          <w:bCs/>
          <w:noProof/>
        </w:rPr>
        <w:t>:265-70</w:t>
      </w:r>
      <w:r w:rsidRPr="0083592E">
        <w:rPr>
          <w:noProof/>
        </w:rPr>
        <w:t>.</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22 </w:t>
      </w:r>
      <w:r w:rsidRPr="0083592E">
        <w:rPr>
          <w:noProof/>
        </w:rPr>
        <w:tab/>
        <w:t xml:space="preserve">Dominguez-Bello MG, Costello EK, Contreras M, </w:t>
      </w:r>
      <w:r w:rsidRPr="0083592E">
        <w:rPr>
          <w:i/>
          <w:iCs/>
          <w:noProof/>
        </w:rPr>
        <w:t>et al.</w:t>
      </w:r>
      <w:r w:rsidRPr="0083592E">
        <w:rPr>
          <w:noProof/>
        </w:rPr>
        <w:t xml:space="preserve"> Delivery mode shapes the acquisition and structure of the initial microbiota across multiple body habitats in newborns. </w:t>
      </w:r>
      <w:r w:rsidRPr="0083592E">
        <w:rPr>
          <w:i/>
          <w:iCs/>
          <w:noProof/>
        </w:rPr>
        <w:t>Proc Natl Acad Sci U S A</w:t>
      </w:r>
      <w:r w:rsidRPr="0083592E">
        <w:rPr>
          <w:noProof/>
        </w:rPr>
        <w:t xml:space="preserve"> 2010;</w:t>
      </w:r>
      <w:r w:rsidRPr="0083592E">
        <w:rPr>
          <w:b/>
          <w:bCs/>
          <w:noProof/>
        </w:rPr>
        <w:t>107</w:t>
      </w:r>
      <w:r w:rsidRPr="0083592E">
        <w:rPr>
          <w:noProof/>
        </w:rPr>
        <w:t xml:space="preserve">:11971–5.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23 </w:t>
      </w:r>
      <w:r w:rsidRPr="0083592E">
        <w:rPr>
          <w:noProof/>
        </w:rPr>
        <w:tab/>
        <w:t xml:space="preserve">Thompson-Chagoyan OC, Maldonado J, Gil A. Colonization and impact of disease and other factors on intestinal microbiota. </w:t>
      </w:r>
      <w:r w:rsidRPr="0083592E">
        <w:rPr>
          <w:i/>
          <w:iCs/>
          <w:noProof/>
        </w:rPr>
        <w:t>Dig Dis Sci</w:t>
      </w:r>
      <w:r w:rsidRPr="0083592E">
        <w:rPr>
          <w:noProof/>
        </w:rPr>
        <w:t xml:space="preserve"> 2007;</w:t>
      </w:r>
      <w:r w:rsidRPr="0083592E">
        <w:rPr>
          <w:b/>
          <w:bCs/>
          <w:noProof/>
        </w:rPr>
        <w:t>52</w:t>
      </w:r>
      <w:r w:rsidRPr="0083592E">
        <w:rPr>
          <w:noProof/>
        </w:rPr>
        <w:t xml:space="preserve">:2069–77.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24 </w:t>
      </w:r>
      <w:r w:rsidRPr="0083592E">
        <w:rPr>
          <w:noProof/>
        </w:rPr>
        <w:tab/>
        <w:t xml:space="preserve">Pärtty A, Luoto R, Kalliomäki M, </w:t>
      </w:r>
      <w:r w:rsidRPr="0083592E">
        <w:rPr>
          <w:i/>
          <w:iCs/>
          <w:noProof/>
        </w:rPr>
        <w:t>et al.</w:t>
      </w:r>
      <w:r w:rsidRPr="0083592E">
        <w:rPr>
          <w:noProof/>
        </w:rPr>
        <w:t xml:space="preserve"> Effects of Early Prebiotic and Probiotic Supplementation on Development of Gut Microbiota and Fussing and Crying in Preterm Infants: A Randomized, Double-Blind, Placebo-Controlled Trial. </w:t>
      </w:r>
      <w:r w:rsidRPr="0083592E">
        <w:rPr>
          <w:i/>
          <w:iCs/>
          <w:noProof/>
        </w:rPr>
        <w:t>J Pediatr</w:t>
      </w:r>
      <w:r>
        <w:rPr>
          <w:iCs/>
          <w:noProof/>
        </w:rPr>
        <w:t xml:space="preserve"> 2013;</w:t>
      </w:r>
      <w:r w:rsidRPr="002A1ECE">
        <w:rPr>
          <w:b/>
          <w:iCs/>
          <w:noProof/>
        </w:rPr>
        <w:t>163</w:t>
      </w:r>
      <w:r>
        <w:rPr>
          <w:iCs/>
          <w:noProof/>
        </w:rPr>
        <w:t>:1272-7</w:t>
      </w:r>
      <w:r w:rsidRPr="0083592E">
        <w:rPr>
          <w:noProof/>
        </w:rPr>
        <w:t xml:space="preserve">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25 </w:t>
      </w:r>
      <w:r w:rsidRPr="0083592E">
        <w:rPr>
          <w:noProof/>
        </w:rPr>
        <w:tab/>
        <w:t xml:space="preserve">Sim K, Shaw AG, Randell P, </w:t>
      </w:r>
      <w:r w:rsidRPr="0083592E">
        <w:rPr>
          <w:i/>
          <w:iCs/>
          <w:noProof/>
        </w:rPr>
        <w:t>et al.</w:t>
      </w:r>
      <w:r w:rsidRPr="0083592E">
        <w:rPr>
          <w:noProof/>
        </w:rPr>
        <w:t xml:space="preserve"> Dysbiosis anticipating necrotizing enterocolitis in very premature infants. </w:t>
      </w:r>
      <w:r w:rsidRPr="0083592E">
        <w:rPr>
          <w:i/>
          <w:iCs/>
          <w:noProof/>
        </w:rPr>
        <w:t>Clin Infect Dis</w:t>
      </w:r>
      <w:r>
        <w:rPr>
          <w:noProof/>
        </w:rPr>
        <w:t xml:space="preserve"> 2014;</w:t>
      </w:r>
      <w:r w:rsidRPr="0083592E">
        <w:rPr>
          <w:noProof/>
        </w:rPr>
        <w:t>ciu822–doi:10.1093/cid/ciu822</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26 </w:t>
      </w:r>
      <w:r w:rsidRPr="0083592E">
        <w:rPr>
          <w:noProof/>
        </w:rPr>
        <w:tab/>
        <w:t xml:space="preserve">De la Cochetiere M-F, Piloquet H, des Robert C, </w:t>
      </w:r>
      <w:r w:rsidRPr="0083592E">
        <w:rPr>
          <w:i/>
          <w:iCs/>
          <w:noProof/>
        </w:rPr>
        <w:t>et al.</w:t>
      </w:r>
      <w:r w:rsidRPr="0083592E">
        <w:rPr>
          <w:noProof/>
        </w:rPr>
        <w:t xml:space="preserve"> Early intestinal bacterial colonization and necrotizing enterocolitis in premature infants: the putative role of Clostridium. </w:t>
      </w:r>
      <w:r w:rsidRPr="0083592E">
        <w:rPr>
          <w:i/>
          <w:iCs/>
          <w:noProof/>
        </w:rPr>
        <w:t>Pediatr Res</w:t>
      </w:r>
      <w:r w:rsidRPr="0083592E">
        <w:rPr>
          <w:noProof/>
        </w:rPr>
        <w:t xml:space="preserve"> 2004;</w:t>
      </w:r>
      <w:r w:rsidRPr="0083592E">
        <w:rPr>
          <w:b/>
          <w:bCs/>
          <w:noProof/>
        </w:rPr>
        <w:t>56</w:t>
      </w:r>
      <w:r w:rsidRPr="0083592E">
        <w:rPr>
          <w:noProof/>
        </w:rPr>
        <w:t xml:space="preserve">:366–70. </w:t>
      </w:r>
    </w:p>
    <w:p w:rsidR="00B35332" w:rsidRPr="0083592E" w:rsidRDefault="00B35332" w:rsidP="00B35332">
      <w:pPr>
        <w:pStyle w:val="NormalWeb"/>
        <w:spacing w:before="0" w:beforeAutospacing="0" w:after="0" w:afterAutospacing="0"/>
        <w:ind w:left="640" w:hanging="640"/>
        <w:rPr>
          <w:noProof/>
        </w:rPr>
      </w:pPr>
      <w:r w:rsidRPr="0083592E">
        <w:rPr>
          <w:noProof/>
        </w:rPr>
        <w:t xml:space="preserve">27 </w:t>
      </w:r>
      <w:r w:rsidRPr="0083592E">
        <w:rPr>
          <w:noProof/>
        </w:rPr>
        <w:tab/>
        <w:t xml:space="preserve">Turnbaugh PJ, Hamady M, Yatsunenko T, </w:t>
      </w:r>
      <w:r w:rsidRPr="0083592E">
        <w:rPr>
          <w:i/>
          <w:iCs/>
          <w:noProof/>
        </w:rPr>
        <w:t>et al.</w:t>
      </w:r>
      <w:r w:rsidRPr="0083592E">
        <w:rPr>
          <w:noProof/>
        </w:rPr>
        <w:t xml:space="preserve"> A core gut microbiome in obese and lean twins. 2009;</w:t>
      </w:r>
      <w:r w:rsidRPr="0083592E">
        <w:rPr>
          <w:b/>
          <w:bCs/>
          <w:noProof/>
        </w:rPr>
        <w:t>457</w:t>
      </w:r>
      <w:r w:rsidRPr="0083592E">
        <w:rPr>
          <w:noProof/>
        </w:rPr>
        <w:t xml:space="preserve">:480–4. </w:t>
      </w:r>
    </w:p>
    <w:p w:rsidR="00B35332" w:rsidRPr="00261CF3" w:rsidRDefault="00B35332" w:rsidP="00B35332">
      <w:pPr>
        <w:pStyle w:val="NormalWeb"/>
        <w:spacing w:before="0" w:beforeAutospacing="0" w:after="0" w:afterAutospacing="0"/>
        <w:ind w:left="640" w:hanging="640"/>
        <w:rPr>
          <w:b/>
        </w:rPr>
      </w:pPr>
      <w:r>
        <w:rPr>
          <w:b/>
        </w:rPr>
        <w:fldChar w:fldCharType="end"/>
      </w:r>
    </w:p>
    <w:p w:rsidR="00B35332" w:rsidRDefault="00B35332" w:rsidP="00B35332">
      <w:pPr>
        <w:spacing w:after="0"/>
        <w:rPr>
          <w:rFonts w:cs="Times New Roman"/>
          <w:noProof/>
          <w:szCs w:val="24"/>
        </w:rPr>
        <w:sectPr w:rsidR="00B35332" w:rsidSect="006A6276">
          <w:pgSz w:w="11906" w:h="16838"/>
          <w:pgMar w:top="1440" w:right="1440" w:bottom="1440" w:left="1440" w:header="708" w:footer="708" w:gutter="0"/>
          <w:cols w:space="708"/>
          <w:docGrid w:linePitch="360"/>
        </w:sectPr>
      </w:pPr>
      <w:r>
        <w:rPr>
          <w:rFonts w:cs="Times New Roman"/>
          <w:noProof/>
          <w:szCs w:val="24"/>
        </w:rPr>
        <w:t xml:space="preserve"> </w:t>
      </w:r>
    </w:p>
    <w:p w:rsidR="00B35332" w:rsidRPr="00E36AC7" w:rsidRDefault="00B35332" w:rsidP="00B35332">
      <w:pPr>
        <w:spacing w:after="0"/>
        <w:rPr>
          <w:rFonts w:cs="Times New Roman"/>
          <w:b/>
          <w:szCs w:val="24"/>
        </w:rPr>
      </w:pPr>
      <w:r>
        <w:rPr>
          <w:rFonts w:cs="Times New Roman"/>
          <w:b/>
          <w:szCs w:val="24"/>
        </w:rPr>
        <w:t>Figure legends</w:t>
      </w:r>
    </w:p>
    <w:p w:rsidR="00B35332" w:rsidRPr="00881B43" w:rsidRDefault="00B35332" w:rsidP="00B35332">
      <w:pPr>
        <w:spacing w:after="0"/>
        <w:rPr>
          <w:rFonts w:cs="Times New Roman"/>
          <w:szCs w:val="24"/>
        </w:rPr>
      </w:pPr>
    </w:p>
    <w:p w:rsidR="00B35332" w:rsidRDefault="00B35332" w:rsidP="00B35332">
      <w:pPr>
        <w:spacing w:after="0"/>
        <w:rPr>
          <w:rFonts w:cs="Times New Roman"/>
          <w:szCs w:val="24"/>
        </w:rPr>
      </w:pPr>
      <w:r w:rsidRPr="00881B43">
        <w:rPr>
          <w:rFonts w:cs="Times New Roman"/>
          <w:b/>
          <w:szCs w:val="24"/>
        </w:rPr>
        <w:t xml:space="preserve">Figure </w:t>
      </w:r>
      <w:r>
        <w:rPr>
          <w:rFonts w:cs="Times New Roman"/>
          <w:b/>
          <w:szCs w:val="24"/>
        </w:rPr>
        <w:t>1</w:t>
      </w:r>
      <w:r>
        <w:rPr>
          <w:rFonts w:cs="Times New Roman"/>
          <w:szCs w:val="24"/>
        </w:rPr>
        <w:t xml:space="preserve"> </w:t>
      </w:r>
      <w:r w:rsidRPr="00493C76">
        <w:rPr>
          <w:rFonts w:cs="Times New Roman"/>
          <w:b/>
          <w:szCs w:val="24"/>
        </w:rPr>
        <w:t>- PLS-DA of 16S bacterial profiles</w:t>
      </w:r>
      <w:r>
        <w:rPr>
          <w:rFonts w:cs="Times New Roman"/>
          <w:szCs w:val="24"/>
        </w:rPr>
        <w:t xml:space="preserve">. </w:t>
      </w:r>
      <w:r w:rsidRPr="00881B43">
        <w:rPr>
          <w:rFonts w:cs="Times New Roman"/>
          <w:szCs w:val="24"/>
        </w:rPr>
        <w:t>Post discharge samples removed.</w:t>
      </w:r>
      <w:r>
        <w:rPr>
          <w:rFonts w:cs="Times New Roman"/>
          <w:szCs w:val="24"/>
        </w:rPr>
        <w:t xml:space="preserve"> A)</w:t>
      </w:r>
      <w:r w:rsidRPr="00881B43">
        <w:rPr>
          <w:rFonts w:cs="Times New Roman"/>
          <w:szCs w:val="24"/>
        </w:rPr>
        <w:t xml:space="preserve"> Score </w:t>
      </w:r>
      <w:r>
        <w:rPr>
          <w:rFonts w:cs="Times New Roman"/>
          <w:szCs w:val="24"/>
        </w:rPr>
        <w:t>scatter plot</w:t>
      </w:r>
      <w:r w:rsidRPr="00881B43">
        <w:rPr>
          <w:rFonts w:cs="Times New Roman"/>
          <w:szCs w:val="24"/>
        </w:rPr>
        <w:t xml:space="preserve">.  </w:t>
      </w:r>
      <w:r>
        <w:rPr>
          <w:rFonts w:cs="Times New Roman"/>
          <w:szCs w:val="24"/>
        </w:rPr>
        <w:t>B) Loadings plot</w:t>
      </w:r>
    </w:p>
    <w:p w:rsidR="00B35332" w:rsidRDefault="00B35332" w:rsidP="00B35332">
      <w:pPr>
        <w:spacing w:after="0"/>
        <w:rPr>
          <w:rFonts w:cs="Times New Roman"/>
          <w:szCs w:val="24"/>
        </w:rPr>
      </w:pPr>
    </w:p>
    <w:p w:rsidR="00B35332" w:rsidRDefault="00B35332" w:rsidP="00B35332">
      <w:pPr>
        <w:spacing w:after="0"/>
        <w:rPr>
          <w:rFonts w:cs="Times New Roman"/>
          <w:szCs w:val="24"/>
        </w:rPr>
      </w:pPr>
      <w:r w:rsidRPr="00493C76">
        <w:rPr>
          <w:rFonts w:cs="Times New Roman"/>
          <w:b/>
          <w:szCs w:val="24"/>
        </w:rPr>
        <w:t xml:space="preserve">Figure </w:t>
      </w:r>
      <w:r>
        <w:rPr>
          <w:rFonts w:cs="Times New Roman"/>
          <w:b/>
          <w:szCs w:val="24"/>
        </w:rPr>
        <w:t>2</w:t>
      </w:r>
      <w:r w:rsidRPr="00493C76">
        <w:rPr>
          <w:rFonts w:cs="Times New Roman"/>
          <w:b/>
          <w:szCs w:val="24"/>
        </w:rPr>
        <w:t xml:space="preserve"> – Box plot of Shannon Diversity Indices</w:t>
      </w:r>
      <w:r>
        <w:rPr>
          <w:rFonts w:cs="Times New Roman"/>
          <w:szCs w:val="24"/>
        </w:rPr>
        <w:t xml:space="preserve">. Significantly lower diversity occurred in during probiotic administration compared to controls and in all groups when compared to samples post discharge (PD). </w:t>
      </w:r>
    </w:p>
    <w:p w:rsidR="00B35332" w:rsidRPr="00881B43" w:rsidRDefault="00B35332" w:rsidP="00B35332">
      <w:pPr>
        <w:spacing w:after="0"/>
        <w:rPr>
          <w:rFonts w:cs="Times New Roman"/>
          <w:szCs w:val="24"/>
        </w:rPr>
      </w:pPr>
    </w:p>
    <w:p w:rsidR="00B35332" w:rsidRPr="00CD723C" w:rsidRDefault="00B35332" w:rsidP="00B35332">
      <w:pPr>
        <w:spacing w:after="0"/>
        <w:rPr>
          <w:rFonts w:cs="Times New Roman"/>
          <w:b/>
          <w:bCs/>
          <w:color w:val="000000"/>
          <w:szCs w:val="24"/>
        </w:rPr>
      </w:pPr>
      <w:r>
        <w:rPr>
          <w:rFonts w:cs="Times New Roman"/>
          <w:b/>
          <w:bCs/>
          <w:color w:val="000000"/>
          <w:szCs w:val="24"/>
        </w:rPr>
        <w:t>Figure 3 -</w:t>
      </w:r>
      <w:r w:rsidRPr="00881B43">
        <w:rPr>
          <w:rFonts w:cs="Times New Roman"/>
          <w:b/>
          <w:bCs/>
          <w:color w:val="000000"/>
          <w:szCs w:val="24"/>
        </w:rPr>
        <w:t xml:space="preserve"> Boxplot of </w:t>
      </w:r>
      <w:r>
        <w:rPr>
          <w:rFonts w:cs="Times New Roman"/>
          <w:b/>
          <w:bCs/>
          <w:color w:val="000000"/>
          <w:szCs w:val="24"/>
        </w:rPr>
        <w:t xml:space="preserve">bacterial load determined by qPCR. </w:t>
      </w:r>
      <w:r>
        <w:rPr>
          <w:rFonts w:cs="Times New Roman"/>
          <w:bCs/>
          <w:color w:val="000000"/>
          <w:szCs w:val="24"/>
        </w:rPr>
        <w:t>*</w:t>
      </w:r>
      <w:r w:rsidRPr="00881B43">
        <w:rPr>
          <w:rFonts w:cs="Times New Roman"/>
          <w:bCs/>
          <w:color w:val="000000"/>
          <w:szCs w:val="24"/>
        </w:rPr>
        <w:t>Asterisks represent the outliers, “</w:t>
      </w:r>
      <w:r w:rsidRPr="00CD723C">
        <w:rPr>
          <w:rFonts w:cs="Times New Roman"/>
          <w:bCs/>
          <w:color w:val="000000"/>
          <w:szCs w:val="24"/>
        </w:rPr>
        <w:t>a</w:t>
      </w:r>
      <w:r>
        <w:rPr>
          <w:rFonts w:cs="Times New Roman"/>
          <w:bCs/>
          <w:color w:val="000000"/>
          <w:szCs w:val="24"/>
        </w:rPr>
        <w:t>”</w:t>
      </w:r>
      <w:r w:rsidRPr="00CD723C">
        <w:rPr>
          <w:rFonts w:cs="Times New Roman"/>
          <w:bCs/>
          <w:color w:val="000000"/>
          <w:szCs w:val="24"/>
        </w:rPr>
        <w:t xml:space="preserve"> </w:t>
      </w:r>
      <w:r>
        <w:rPr>
          <w:rFonts w:cs="Times New Roman"/>
          <w:bCs/>
          <w:color w:val="000000"/>
          <w:szCs w:val="24"/>
        </w:rPr>
        <w:t>or</w:t>
      </w:r>
      <w:r w:rsidRPr="00CD723C">
        <w:rPr>
          <w:rFonts w:cs="Times New Roman"/>
          <w:bCs/>
          <w:color w:val="000000"/>
          <w:szCs w:val="24"/>
        </w:rPr>
        <w:t xml:space="preserve"> </w:t>
      </w:r>
      <w:r>
        <w:rPr>
          <w:rFonts w:cs="Times New Roman"/>
          <w:bCs/>
          <w:color w:val="000000"/>
          <w:szCs w:val="24"/>
        </w:rPr>
        <w:t>“</w:t>
      </w:r>
      <w:r w:rsidRPr="00CD723C">
        <w:rPr>
          <w:rFonts w:cs="Times New Roman"/>
          <w:bCs/>
          <w:color w:val="000000"/>
          <w:szCs w:val="24"/>
        </w:rPr>
        <w:t>b”</w:t>
      </w:r>
      <w:r>
        <w:rPr>
          <w:rFonts w:cs="Times New Roman"/>
          <w:bCs/>
          <w:color w:val="000000"/>
          <w:szCs w:val="24"/>
        </w:rPr>
        <w:t xml:space="preserve"> r</w:t>
      </w:r>
      <w:r w:rsidRPr="00881B43">
        <w:rPr>
          <w:rFonts w:cs="Times New Roman"/>
          <w:bCs/>
          <w:color w:val="000000"/>
          <w:szCs w:val="24"/>
        </w:rPr>
        <w:t xml:space="preserve">epresents the grouping by turkey’s family. </w:t>
      </w:r>
      <w:r w:rsidRPr="00CD723C">
        <w:rPr>
          <w:rFonts w:cs="Times New Roman"/>
          <w:bCs/>
          <w:color w:val="000000"/>
          <w:szCs w:val="24"/>
        </w:rPr>
        <w:t>A)</w:t>
      </w:r>
      <w:r>
        <w:rPr>
          <w:rFonts w:cs="Times New Roman"/>
          <w:b/>
          <w:bCs/>
          <w:color w:val="000000"/>
          <w:szCs w:val="24"/>
        </w:rPr>
        <w:t xml:space="preserve"> </w:t>
      </w:r>
      <w:r w:rsidRPr="00881B43">
        <w:rPr>
          <w:rFonts w:cs="Times New Roman"/>
          <w:i/>
          <w:iCs/>
          <w:szCs w:val="24"/>
        </w:rPr>
        <w:t>B</w:t>
      </w:r>
      <w:r>
        <w:rPr>
          <w:rFonts w:cs="Times New Roman"/>
          <w:i/>
          <w:iCs/>
          <w:szCs w:val="24"/>
        </w:rPr>
        <w:t>ifidobacterium</w:t>
      </w:r>
      <w:r w:rsidRPr="00881B43">
        <w:rPr>
          <w:rFonts w:cs="Times New Roman"/>
          <w:i/>
          <w:iCs/>
          <w:szCs w:val="24"/>
        </w:rPr>
        <w:t xml:space="preserve"> bifidum</w:t>
      </w:r>
      <w:r>
        <w:rPr>
          <w:rFonts w:cs="Times New Roman"/>
          <w:iCs/>
          <w:szCs w:val="24"/>
        </w:rPr>
        <w:t>. B)</w:t>
      </w:r>
      <w:r w:rsidRPr="00881B43">
        <w:rPr>
          <w:rFonts w:cs="Times New Roman"/>
          <w:i/>
          <w:iCs/>
          <w:szCs w:val="24"/>
        </w:rPr>
        <w:t xml:space="preserve"> </w:t>
      </w:r>
      <w:r>
        <w:rPr>
          <w:rFonts w:cs="Times New Roman"/>
          <w:i/>
          <w:iCs/>
          <w:szCs w:val="24"/>
        </w:rPr>
        <w:t>Lactobacillus</w:t>
      </w:r>
      <w:r w:rsidRPr="00881B43">
        <w:rPr>
          <w:rFonts w:cs="Times New Roman"/>
          <w:i/>
          <w:iCs/>
          <w:szCs w:val="24"/>
        </w:rPr>
        <w:t xml:space="preserve"> acidophilus</w:t>
      </w:r>
      <w:r>
        <w:rPr>
          <w:rFonts w:cs="Times New Roman"/>
          <w:iCs/>
          <w:szCs w:val="24"/>
        </w:rPr>
        <w:t xml:space="preserve">. </w:t>
      </w:r>
    </w:p>
    <w:p w:rsidR="00B35332" w:rsidRPr="00881B43" w:rsidRDefault="00B35332" w:rsidP="00B35332">
      <w:pPr>
        <w:spacing w:after="0"/>
        <w:rPr>
          <w:rFonts w:cs="Times New Roman"/>
          <w:szCs w:val="24"/>
        </w:rPr>
      </w:pPr>
    </w:p>
    <w:p w:rsidR="00B35332" w:rsidRPr="00881B43" w:rsidRDefault="00B35332" w:rsidP="00B35332">
      <w:pPr>
        <w:spacing w:after="0"/>
        <w:rPr>
          <w:rFonts w:cs="Times New Roman"/>
          <w:szCs w:val="24"/>
        </w:rPr>
      </w:pPr>
      <w:r>
        <w:rPr>
          <w:rFonts w:cs="Times New Roman"/>
          <w:b/>
          <w:szCs w:val="24"/>
        </w:rPr>
        <w:t>Figure 4 -</w:t>
      </w:r>
      <w:r w:rsidRPr="00881B43">
        <w:rPr>
          <w:rFonts w:cs="Times New Roman"/>
          <w:szCs w:val="24"/>
        </w:rPr>
        <w:t xml:space="preserve"> </w:t>
      </w:r>
      <w:r w:rsidRPr="00CD723C">
        <w:rPr>
          <w:rFonts w:cs="Times New Roman"/>
          <w:b/>
          <w:szCs w:val="24"/>
        </w:rPr>
        <w:t>PLS-DA of the metabolite profiles</w:t>
      </w:r>
      <w:r w:rsidRPr="00881B43">
        <w:rPr>
          <w:rFonts w:cs="Times New Roman"/>
          <w:szCs w:val="24"/>
        </w:rPr>
        <w:t>.</w:t>
      </w:r>
      <w:r>
        <w:rPr>
          <w:rFonts w:cs="Times New Roman"/>
          <w:szCs w:val="24"/>
        </w:rPr>
        <w:t xml:space="preserve"> Before probiotic and post discharge samples excluded.</w:t>
      </w:r>
      <w:r w:rsidRPr="00881B43">
        <w:rPr>
          <w:rFonts w:cs="Times New Roman"/>
          <w:szCs w:val="24"/>
        </w:rPr>
        <w:t xml:space="preserve"> A) </w:t>
      </w:r>
      <w:r>
        <w:rPr>
          <w:rFonts w:cs="Times New Roman"/>
          <w:szCs w:val="24"/>
        </w:rPr>
        <w:t>S</w:t>
      </w:r>
      <w:r w:rsidRPr="00881B43">
        <w:rPr>
          <w:rFonts w:cs="Times New Roman"/>
          <w:szCs w:val="24"/>
        </w:rPr>
        <w:t>core scatter plot showing the relationship of samples associated with each group</w:t>
      </w:r>
      <w:r>
        <w:rPr>
          <w:rFonts w:cs="Times New Roman"/>
          <w:szCs w:val="24"/>
        </w:rPr>
        <w:t xml:space="preserve"> (R2Y = 0.62, Q2 = 0.31)</w:t>
      </w:r>
      <w:r w:rsidRPr="00881B43">
        <w:rPr>
          <w:rFonts w:cs="Times New Roman"/>
          <w:szCs w:val="24"/>
        </w:rPr>
        <w:t>. B) Loading plot of detected metaboli</w:t>
      </w:r>
      <w:r>
        <w:rPr>
          <w:rFonts w:cs="Times New Roman"/>
          <w:szCs w:val="24"/>
        </w:rPr>
        <w:t>tes associated with each group</w:t>
      </w:r>
      <w:r w:rsidRPr="009F748D">
        <w:rPr>
          <w:rFonts w:cs="Times New Roman"/>
          <w:szCs w:val="24"/>
        </w:rPr>
        <w:t xml:space="preserve"> </w:t>
      </w:r>
      <w:r>
        <w:rPr>
          <w:rFonts w:cs="Times New Roman"/>
          <w:szCs w:val="24"/>
        </w:rPr>
        <w:t>following VIP removal of noise (R2Y = 0.80, Q2 = 0.56). Red metabolites associated with probiotic administration</w:t>
      </w:r>
      <w:r w:rsidRPr="00881B43">
        <w:rPr>
          <w:rFonts w:cs="Times New Roman"/>
          <w:szCs w:val="24"/>
        </w:rPr>
        <w:t>.</w:t>
      </w:r>
    </w:p>
    <w:p w:rsidR="00B35332" w:rsidRDefault="00B35332" w:rsidP="00B35332">
      <w:pPr>
        <w:spacing w:after="0" w:line="240" w:lineRule="auto"/>
        <w:jc w:val="left"/>
        <w:rPr>
          <w:rFonts w:cs="Times New Roman"/>
          <w:b/>
          <w:szCs w:val="24"/>
        </w:rPr>
      </w:pPr>
      <w:r>
        <w:rPr>
          <w:rFonts w:cs="Times New Roman"/>
          <w:b/>
          <w:szCs w:val="24"/>
        </w:rPr>
        <w:br w:type="page"/>
      </w:r>
    </w:p>
    <w:p w:rsidR="00B35332" w:rsidRPr="00060F69" w:rsidRDefault="00B35332" w:rsidP="00B35332">
      <w:pPr>
        <w:spacing w:after="0"/>
        <w:rPr>
          <w:rFonts w:cs="Times New Roman"/>
          <w:b/>
          <w:szCs w:val="24"/>
        </w:rPr>
      </w:pPr>
      <w:r w:rsidRPr="00060F69">
        <w:rPr>
          <w:rFonts w:cs="Times New Roman"/>
          <w:b/>
          <w:szCs w:val="24"/>
        </w:rPr>
        <w:t>Supplementary</w:t>
      </w:r>
      <w:r>
        <w:rPr>
          <w:rFonts w:cs="Times New Roman"/>
          <w:b/>
          <w:szCs w:val="24"/>
        </w:rPr>
        <w:t xml:space="preserve"> Figures</w:t>
      </w:r>
    </w:p>
    <w:p w:rsidR="00B35332" w:rsidRDefault="00B35332" w:rsidP="00B35332">
      <w:pPr>
        <w:spacing w:after="0"/>
        <w:rPr>
          <w:rFonts w:cs="Times New Roman"/>
          <w:noProof/>
          <w:szCs w:val="24"/>
          <w:lang w:eastAsia="en-GB"/>
        </w:rPr>
      </w:pPr>
    </w:p>
    <w:p w:rsidR="00B35332" w:rsidRDefault="00B35332" w:rsidP="00B35332">
      <w:pPr>
        <w:spacing w:after="0"/>
        <w:rPr>
          <w:rFonts w:cs="Times New Roman"/>
          <w:szCs w:val="24"/>
        </w:rPr>
      </w:pPr>
      <w:r>
        <w:rPr>
          <w:rFonts w:cs="Times New Roman"/>
          <w:b/>
          <w:szCs w:val="24"/>
        </w:rPr>
        <w:t xml:space="preserve">Supplementary </w:t>
      </w:r>
      <w:r w:rsidRPr="00881B43">
        <w:rPr>
          <w:rFonts w:cs="Times New Roman"/>
          <w:b/>
          <w:szCs w:val="24"/>
        </w:rPr>
        <w:t>Figure 1</w:t>
      </w:r>
      <w:r>
        <w:rPr>
          <w:rFonts w:cs="Times New Roman"/>
          <w:szCs w:val="24"/>
        </w:rPr>
        <w:t xml:space="preserve"> </w:t>
      </w:r>
      <w:r w:rsidRPr="00493C76">
        <w:rPr>
          <w:rFonts w:cs="Times New Roman"/>
          <w:b/>
          <w:szCs w:val="24"/>
        </w:rPr>
        <w:t>- Relative abundance of bacterial OTUs</w:t>
      </w:r>
      <w:r w:rsidRPr="00881B43">
        <w:rPr>
          <w:rFonts w:cs="Times New Roman"/>
          <w:szCs w:val="24"/>
        </w:rPr>
        <w:t>. Sequences matching other less abundant OTUs are not shown on the legend</w:t>
      </w:r>
    </w:p>
    <w:p w:rsidR="00B35332" w:rsidRDefault="00B35332" w:rsidP="00B35332">
      <w:pPr>
        <w:spacing w:after="0"/>
        <w:rPr>
          <w:rFonts w:cs="Times New Roman"/>
          <w:szCs w:val="24"/>
        </w:rPr>
      </w:pPr>
    </w:p>
    <w:p w:rsidR="00B35332" w:rsidRDefault="00B35332" w:rsidP="00B35332">
      <w:pPr>
        <w:spacing w:after="0"/>
        <w:rPr>
          <w:rFonts w:cs="Times New Roman"/>
          <w:szCs w:val="24"/>
        </w:rPr>
      </w:pPr>
      <w:r>
        <w:rPr>
          <w:rFonts w:cs="Times New Roman"/>
          <w:b/>
          <w:szCs w:val="24"/>
        </w:rPr>
        <w:t xml:space="preserve">Supplementary </w:t>
      </w:r>
      <w:r w:rsidRPr="00881B43">
        <w:rPr>
          <w:rFonts w:cs="Times New Roman"/>
          <w:b/>
          <w:szCs w:val="24"/>
        </w:rPr>
        <w:t xml:space="preserve">Figure </w:t>
      </w:r>
      <w:r>
        <w:rPr>
          <w:rFonts w:cs="Times New Roman"/>
          <w:b/>
          <w:szCs w:val="24"/>
        </w:rPr>
        <w:t>2</w:t>
      </w:r>
      <w:r>
        <w:rPr>
          <w:rFonts w:cs="Times New Roman"/>
          <w:szCs w:val="24"/>
        </w:rPr>
        <w:t xml:space="preserve"> </w:t>
      </w:r>
      <w:r>
        <w:rPr>
          <w:rFonts w:cs="Times New Roman"/>
          <w:b/>
          <w:szCs w:val="24"/>
        </w:rPr>
        <w:t>–</w:t>
      </w:r>
      <w:r w:rsidRPr="00493C76">
        <w:rPr>
          <w:rFonts w:cs="Times New Roman"/>
          <w:b/>
          <w:szCs w:val="24"/>
        </w:rPr>
        <w:t xml:space="preserve"> </w:t>
      </w:r>
      <w:r>
        <w:rPr>
          <w:rFonts w:cs="Times New Roman"/>
          <w:b/>
          <w:szCs w:val="24"/>
        </w:rPr>
        <w:t>OPLS-DA of metabolite profiles comparing samples collected on the NICU and post discharge</w:t>
      </w:r>
      <w:r w:rsidRPr="00881B43">
        <w:rPr>
          <w:rFonts w:cs="Times New Roman"/>
          <w:szCs w:val="24"/>
        </w:rPr>
        <w:t>.</w:t>
      </w:r>
      <w:r w:rsidRPr="00FF44D3">
        <w:rPr>
          <w:rFonts w:cs="Times New Roman"/>
          <w:szCs w:val="24"/>
        </w:rPr>
        <w:t xml:space="preserve"> </w:t>
      </w:r>
      <w:r>
        <w:rPr>
          <w:rFonts w:cs="Times New Roman"/>
          <w:szCs w:val="24"/>
        </w:rPr>
        <w:t>R2Y = 0.99, Q2 = 0.8. A) Score scatter plot. B) Loadings plot.</w:t>
      </w:r>
    </w:p>
    <w:p w:rsidR="00D05620" w:rsidRDefault="00D05620">
      <w:bookmarkStart w:id="1" w:name="_GoBack"/>
      <w:bookmarkEnd w:id="1"/>
    </w:p>
    <w:sectPr w:rsidR="00D05620" w:rsidSect="006A62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8D" w:rsidRDefault="00CE148D">
      <w:pPr>
        <w:spacing w:after="0" w:line="240" w:lineRule="auto"/>
      </w:pPr>
      <w:r>
        <w:separator/>
      </w:r>
    </w:p>
  </w:endnote>
  <w:endnote w:type="continuationSeparator" w:id="0">
    <w:p w:rsidR="00CE148D" w:rsidRDefault="00CE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354236"/>
      <w:docPartObj>
        <w:docPartGallery w:val="Page Numbers (Bottom of Page)"/>
        <w:docPartUnique/>
      </w:docPartObj>
    </w:sdtPr>
    <w:sdtEndPr>
      <w:rPr>
        <w:noProof/>
      </w:rPr>
    </w:sdtEndPr>
    <w:sdtContent>
      <w:p w:rsidR="00CE148D" w:rsidRDefault="00CE148D">
        <w:pPr>
          <w:pStyle w:val="Footer"/>
          <w:jc w:val="right"/>
        </w:pPr>
        <w:r>
          <w:fldChar w:fldCharType="begin"/>
        </w:r>
        <w:r>
          <w:instrText xml:space="preserve"> PAGE   \* MERGEFORMAT </w:instrText>
        </w:r>
        <w:r>
          <w:fldChar w:fldCharType="separate"/>
        </w:r>
        <w:r w:rsidR="00696313">
          <w:rPr>
            <w:noProof/>
          </w:rPr>
          <w:t>1</w:t>
        </w:r>
        <w:r>
          <w:rPr>
            <w:noProof/>
          </w:rPr>
          <w:fldChar w:fldCharType="end"/>
        </w:r>
      </w:p>
    </w:sdtContent>
  </w:sdt>
  <w:p w:rsidR="00CE148D" w:rsidRDefault="00CE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8D" w:rsidRDefault="00CE148D">
      <w:pPr>
        <w:spacing w:after="0" w:line="240" w:lineRule="auto"/>
      </w:pPr>
      <w:r>
        <w:separator/>
      </w:r>
    </w:p>
  </w:footnote>
  <w:footnote w:type="continuationSeparator" w:id="0">
    <w:p w:rsidR="00CE148D" w:rsidRDefault="00CE1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C458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FB50B1"/>
    <w:multiLevelType w:val="hybridMultilevel"/>
    <w:tmpl w:val="F8CC4612"/>
    <w:lvl w:ilvl="0" w:tplc="AFC463E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51A01AFF"/>
    <w:multiLevelType w:val="hybridMultilevel"/>
    <w:tmpl w:val="E70A2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46B36"/>
    <w:multiLevelType w:val="hybridMultilevel"/>
    <w:tmpl w:val="013EF210"/>
    <w:lvl w:ilvl="0" w:tplc="EC82F63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63C633D"/>
    <w:multiLevelType w:val="hybridMultilevel"/>
    <w:tmpl w:val="F09AD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B561D55"/>
    <w:multiLevelType w:val="hybridMultilevel"/>
    <w:tmpl w:val="0F5E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32"/>
    <w:rsid w:val="00185889"/>
    <w:rsid w:val="00445B0B"/>
    <w:rsid w:val="005A475A"/>
    <w:rsid w:val="00696313"/>
    <w:rsid w:val="006A6276"/>
    <w:rsid w:val="00B35332"/>
    <w:rsid w:val="00B430E7"/>
    <w:rsid w:val="00BA6122"/>
    <w:rsid w:val="00C157E6"/>
    <w:rsid w:val="00CE148D"/>
    <w:rsid w:val="00D05620"/>
    <w:rsid w:val="00EE56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B6BE0-C14A-411F-B06C-EE0B6040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32"/>
    <w:pPr>
      <w:spacing w:line="480" w:lineRule="auto"/>
      <w:jc w:val="both"/>
    </w:pPr>
    <w:rPr>
      <w:rFonts w:ascii="Times New Roman" w:eastAsia="Calibri" w:hAnsi="Times New Roman" w:cs="Arial"/>
      <w:sz w:val="24"/>
    </w:rPr>
  </w:style>
  <w:style w:type="paragraph" w:styleId="Heading1">
    <w:name w:val="heading 1"/>
    <w:basedOn w:val="Normal"/>
    <w:next w:val="Normal"/>
    <w:link w:val="Heading1Char"/>
    <w:uiPriority w:val="99"/>
    <w:qFormat/>
    <w:rsid w:val="00B35332"/>
    <w:pPr>
      <w:keepNext/>
      <w:keepLines/>
      <w:spacing w:before="480" w:after="0"/>
      <w:outlineLvl w:val="0"/>
    </w:pPr>
    <w:rPr>
      <w:rFonts w:ascii="Cambria" w:eastAsia="Times New Roman" w:hAnsi="Cambria" w:cs="Times New Roman"/>
      <w:b/>
      <w:bCs/>
      <w:color w:val="365F91"/>
      <w:sz w:val="28"/>
      <w:szCs w:val="28"/>
      <w:lang w:eastAsia="en-GB"/>
    </w:rPr>
  </w:style>
  <w:style w:type="paragraph" w:styleId="Heading2">
    <w:name w:val="heading 2"/>
    <w:basedOn w:val="Normal"/>
    <w:next w:val="Normal"/>
    <w:link w:val="Heading2Char"/>
    <w:uiPriority w:val="99"/>
    <w:qFormat/>
    <w:rsid w:val="00B35332"/>
    <w:pPr>
      <w:keepNext/>
      <w:keepLines/>
      <w:spacing w:before="200" w:after="0"/>
      <w:outlineLvl w:val="1"/>
    </w:pPr>
    <w:rPr>
      <w:rFonts w:ascii="Cambria" w:eastAsia="Times New Roman" w:hAnsi="Cambria" w:cs="Times New Roman"/>
      <w:b/>
      <w:bCs/>
      <w:color w:val="4F81BD"/>
      <w:sz w:val="26"/>
      <w:szCs w:val="26"/>
      <w:lang w:eastAsia="en-GB"/>
    </w:rPr>
  </w:style>
  <w:style w:type="paragraph" w:styleId="Heading3">
    <w:name w:val="heading 3"/>
    <w:basedOn w:val="Normal"/>
    <w:next w:val="Normal"/>
    <w:link w:val="Heading3Char"/>
    <w:uiPriority w:val="99"/>
    <w:qFormat/>
    <w:rsid w:val="00B35332"/>
    <w:pPr>
      <w:keepNext/>
      <w:keepLines/>
      <w:spacing w:before="200" w:after="0"/>
      <w:outlineLvl w:val="2"/>
    </w:pPr>
    <w:rPr>
      <w:rFonts w:ascii="Cambria" w:eastAsia="Times New Roman" w:hAnsi="Cambria" w:cs="Times New Roman"/>
      <w:b/>
      <w:bCs/>
      <w:color w:val="4F81BD"/>
      <w:sz w:val="20"/>
      <w:szCs w:val="20"/>
      <w:lang w:eastAsia="en-GB"/>
    </w:rPr>
  </w:style>
  <w:style w:type="paragraph" w:styleId="Heading4">
    <w:name w:val="heading 4"/>
    <w:basedOn w:val="Normal"/>
    <w:next w:val="Normal"/>
    <w:link w:val="Heading4Char"/>
    <w:uiPriority w:val="99"/>
    <w:qFormat/>
    <w:rsid w:val="00B35332"/>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5332"/>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9"/>
    <w:rsid w:val="00B35332"/>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9"/>
    <w:rsid w:val="00B35332"/>
    <w:rPr>
      <w:rFonts w:ascii="Cambria" w:eastAsia="Times New Roman" w:hAnsi="Cambria" w:cs="Times New Roman"/>
      <w:b/>
      <w:bCs/>
      <w:color w:val="4F81BD"/>
      <w:sz w:val="20"/>
      <w:szCs w:val="20"/>
      <w:lang w:eastAsia="en-GB"/>
    </w:rPr>
  </w:style>
  <w:style w:type="character" w:customStyle="1" w:styleId="Heading4Char">
    <w:name w:val="Heading 4 Char"/>
    <w:basedOn w:val="DefaultParagraphFont"/>
    <w:link w:val="Heading4"/>
    <w:uiPriority w:val="99"/>
    <w:rsid w:val="00B35332"/>
    <w:rPr>
      <w:rFonts w:ascii="Calibri" w:eastAsia="Times New Roman" w:hAnsi="Calibri" w:cs="Times New Roman"/>
      <w:b/>
      <w:bCs/>
      <w:sz w:val="28"/>
      <w:szCs w:val="28"/>
    </w:rPr>
  </w:style>
  <w:style w:type="character" w:styleId="Hyperlink">
    <w:name w:val="Hyperlink"/>
    <w:basedOn w:val="DefaultParagraphFont"/>
    <w:uiPriority w:val="99"/>
    <w:rsid w:val="00B35332"/>
    <w:rPr>
      <w:rFonts w:cs="Times New Roman"/>
      <w:color w:val="0000FF"/>
      <w:u w:val="single"/>
    </w:rPr>
  </w:style>
  <w:style w:type="paragraph" w:styleId="ListParagraph">
    <w:name w:val="List Paragraph"/>
    <w:basedOn w:val="Normal"/>
    <w:uiPriority w:val="99"/>
    <w:qFormat/>
    <w:rsid w:val="00B35332"/>
    <w:pPr>
      <w:ind w:left="720"/>
      <w:contextualSpacing/>
    </w:pPr>
  </w:style>
  <w:style w:type="paragraph" w:styleId="NormalWeb">
    <w:name w:val="Normal (Web)"/>
    <w:basedOn w:val="Normal"/>
    <w:uiPriority w:val="99"/>
    <w:rsid w:val="00B35332"/>
    <w:pPr>
      <w:spacing w:before="100" w:beforeAutospacing="1" w:after="100" w:afterAutospacing="1" w:line="240" w:lineRule="auto"/>
    </w:pPr>
    <w:rPr>
      <w:rFonts w:eastAsia="Times New Roman" w:cs="Times New Roman"/>
      <w:szCs w:val="24"/>
      <w:lang w:eastAsia="en-GB"/>
    </w:rPr>
  </w:style>
  <w:style w:type="paragraph" w:styleId="Header">
    <w:name w:val="header"/>
    <w:basedOn w:val="Normal"/>
    <w:link w:val="HeaderChar"/>
    <w:uiPriority w:val="99"/>
    <w:rsid w:val="00B35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332"/>
    <w:rPr>
      <w:rFonts w:ascii="Times New Roman" w:eastAsia="Calibri" w:hAnsi="Times New Roman" w:cs="Arial"/>
      <w:sz w:val="24"/>
    </w:rPr>
  </w:style>
  <w:style w:type="table" w:customStyle="1" w:styleId="TableGrid1">
    <w:name w:val="Table Grid1"/>
    <w:uiPriority w:val="99"/>
    <w:rsid w:val="00B35332"/>
    <w:pPr>
      <w:spacing w:after="0" w:line="240" w:lineRule="auto"/>
    </w:pPr>
    <w:rPr>
      <w:rFonts w:ascii="Times New Roman" w:eastAsia="Calibri" w:hAnsi="Times New Roman" w:cs="Arial"/>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B35332"/>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35332"/>
    <w:pPr>
      <w:spacing w:after="0" w:line="240" w:lineRule="auto"/>
    </w:pPr>
    <w:rPr>
      <w:rFonts w:ascii="Tahoma" w:hAnsi="Tahoma" w:cs="Times New Roman"/>
      <w:sz w:val="16"/>
      <w:szCs w:val="16"/>
      <w:lang w:eastAsia="en-GB"/>
    </w:rPr>
  </w:style>
  <w:style w:type="character" w:customStyle="1" w:styleId="BalloonTextChar">
    <w:name w:val="Balloon Text Char"/>
    <w:basedOn w:val="DefaultParagraphFont"/>
    <w:link w:val="BalloonText"/>
    <w:uiPriority w:val="99"/>
    <w:semiHidden/>
    <w:rsid w:val="00B35332"/>
    <w:rPr>
      <w:rFonts w:ascii="Tahoma" w:eastAsia="Calibri" w:hAnsi="Tahoma" w:cs="Times New Roman"/>
      <w:sz w:val="16"/>
      <w:szCs w:val="16"/>
      <w:lang w:eastAsia="en-GB"/>
    </w:rPr>
  </w:style>
  <w:style w:type="paragraph" w:styleId="Footer">
    <w:name w:val="footer"/>
    <w:basedOn w:val="Normal"/>
    <w:link w:val="FooterChar"/>
    <w:uiPriority w:val="99"/>
    <w:rsid w:val="00B35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332"/>
    <w:rPr>
      <w:rFonts w:ascii="Times New Roman" w:eastAsia="Calibri" w:hAnsi="Times New Roman" w:cs="Arial"/>
      <w:sz w:val="24"/>
    </w:rPr>
  </w:style>
  <w:style w:type="paragraph" w:customStyle="1" w:styleId="Default">
    <w:name w:val="Default"/>
    <w:uiPriority w:val="99"/>
    <w:rsid w:val="00B3533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Shading-Accent5">
    <w:name w:val="Light Shading Accent 5"/>
    <w:basedOn w:val="TableNormal"/>
    <w:uiPriority w:val="99"/>
    <w:rsid w:val="00B35332"/>
    <w:pPr>
      <w:spacing w:after="0" w:line="240" w:lineRule="auto"/>
    </w:pPr>
    <w:rPr>
      <w:rFonts w:ascii="Calibri" w:eastAsia="Calibri" w:hAnsi="Calibri" w:cs="Arial"/>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styleId="MediumShading2-Accent5">
    <w:name w:val="Medium Shading 2 Accent 5"/>
    <w:basedOn w:val="TableNormal"/>
    <w:uiPriority w:val="99"/>
    <w:rsid w:val="00B35332"/>
    <w:pPr>
      <w:spacing w:after="0" w:line="240" w:lineRule="auto"/>
    </w:pPr>
    <w:rPr>
      <w:rFonts w:ascii="Calibri" w:eastAsia="Calibri" w:hAnsi="Calibri" w:cs="Arial"/>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rsid w:val="00B35332"/>
    <w:rPr>
      <w:rFonts w:cs="Times New Roman"/>
      <w:color w:val="800080"/>
      <w:u w:val="single"/>
    </w:rPr>
  </w:style>
  <w:style w:type="paragraph" w:customStyle="1" w:styleId="xl65">
    <w:name w:val="xl65"/>
    <w:basedOn w:val="Normal"/>
    <w:uiPriority w:val="99"/>
    <w:rsid w:val="00B35332"/>
    <w:pPr>
      <w:shd w:val="clear" w:color="000000" w:fill="D3DCE9"/>
      <w:spacing w:before="100" w:beforeAutospacing="1" w:after="100" w:afterAutospacing="1" w:line="240" w:lineRule="auto"/>
      <w:jc w:val="center"/>
      <w:textAlignment w:val="center"/>
    </w:pPr>
    <w:rPr>
      <w:rFonts w:ascii="Microsoft Sans Serif" w:eastAsia="Times New Roman" w:hAnsi="Microsoft Sans Serif" w:cs="Microsoft Sans Serif"/>
      <w:sz w:val="17"/>
      <w:szCs w:val="17"/>
      <w:lang w:eastAsia="en-GB"/>
    </w:rPr>
  </w:style>
  <w:style w:type="paragraph" w:customStyle="1" w:styleId="xl66">
    <w:name w:val="xl66"/>
    <w:basedOn w:val="Normal"/>
    <w:uiPriority w:val="99"/>
    <w:rsid w:val="00B35332"/>
    <w:pPr>
      <w:shd w:val="clear" w:color="000000" w:fill="D3DCE9"/>
      <w:spacing w:before="100" w:beforeAutospacing="1" w:after="100" w:afterAutospacing="1" w:line="240" w:lineRule="auto"/>
      <w:jc w:val="center"/>
      <w:textAlignment w:val="center"/>
    </w:pPr>
    <w:rPr>
      <w:rFonts w:ascii="Microsoft Sans Serif" w:eastAsia="Times New Roman" w:hAnsi="Microsoft Sans Serif" w:cs="Microsoft Sans Serif"/>
      <w:sz w:val="17"/>
      <w:szCs w:val="17"/>
      <w:lang w:eastAsia="en-GB"/>
    </w:rPr>
  </w:style>
  <w:style w:type="paragraph" w:customStyle="1" w:styleId="xl67">
    <w:name w:val="xl67"/>
    <w:basedOn w:val="Normal"/>
    <w:uiPriority w:val="99"/>
    <w:rsid w:val="00B35332"/>
    <w:pPr>
      <w:spacing w:before="100" w:beforeAutospacing="1" w:after="100" w:afterAutospacing="1" w:line="240" w:lineRule="auto"/>
      <w:textAlignment w:val="center"/>
    </w:pPr>
    <w:rPr>
      <w:rFonts w:ascii="Microsoft Sans Serif" w:eastAsia="Times New Roman" w:hAnsi="Microsoft Sans Serif" w:cs="Microsoft Sans Serif"/>
      <w:sz w:val="17"/>
      <w:szCs w:val="17"/>
      <w:lang w:eastAsia="en-GB"/>
    </w:rPr>
  </w:style>
  <w:style w:type="paragraph" w:customStyle="1" w:styleId="xl68">
    <w:name w:val="xl68"/>
    <w:basedOn w:val="Normal"/>
    <w:uiPriority w:val="99"/>
    <w:rsid w:val="00B35332"/>
    <w:pPr>
      <w:spacing w:before="100" w:beforeAutospacing="1" w:after="100" w:afterAutospacing="1" w:line="240" w:lineRule="auto"/>
      <w:textAlignment w:val="center"/>
    </w:pPr>
    <w:rPr>
      <w:rFonts w:ascii="Microsoft Sans Serif" w:eastAsia="Times New Roman" w:hAnsi="Microsoft Sans Serif" w:cs="Microsoft Sans Serif"/>
      <w:sz w:val="17"/>
      <w:szCs w:val="17"/>
      <w:lang w:eastAsia="en-GB"/>
    </w:rPr>
  </w:style>
  <w:style w:type="paragraph" w:customStyle="1" w:styleId="xl69">
    <w:name w:val="xl69"/>
    <w:basedOn w:val="Normal"/>
    <w:uiPriority w:val="99"/>
    <w:rsid w:val="00B35332"/>
    <w:pPr>
      <w:spacing w:before="100" w:beforeAutospacing="1" w:after="100" w:afterAutospacing="1" w:line="240" w:lineRule="auto"/>
      <w:textAlignment w:val="center"/>
    </w:pPr>
    <w:rPr>
      <w:rFonts w:ascii="Microsoft Sans Serif" w:eastAsia="Times New Roman" w:hAnsi="Microsoft Sans Serif" w:cs="Microsoft Sans Serif"/>
      <w:sz w:val="17"/>
      <w:szCs w:val="17"/>
      <w:lang w:eastAsia="en-GB"/>
    </w:rPr>
  </w:style>
  <w:style w:type="paragraph" w:customStyle="1" w:styleId="xl70">
    <w:name w:val="xl70"/>
    <w:basedOn w:val="Normal"/>
    <w:uiPriority w:val="99"/>
    <w:rsid w:val="00B35332"/>
    <w:pPr>
      <w:spacing w:before="100" w:beforeAutospacing="1" w:after="100" w:afterAutospacing="1" w:line="240" w:lineRule="auto"/>
      <w:textAlignment w:val="center"/>
    </w:pPr>
    <w:rPr>
      <w:rFonts w:ascii="Microsoft Sans Serif" w:eastAsia="Times New Roman" w:hAnsi="Microsoft Sans Serif" w:cs="Microsoft Sans Serif"/>
      <w:sz w:val="17"/>
      <w:szCs w:val="17"/>
      <w:lang w:eastAsia="en-GB"/>
    </w:rPr>
  </w:style>
  <w:style w:type="paragraph" w:customStyle="1" w:styleId="xl71">
    <w:name w:val="xl71"/>
    <w:basedOn w:val="Normal"/>
    <w:uiPriority w:val="99"/>
    <w:rsid w:val="00B35332"/>
    <w:pPr>
      <w:spacing w:before="100" w:beforeAutospacing="1" w:after="100" w:afterAutospacing="1" w:line="240" w:lineRule="auto"/>
      <w:textAlignment w:val="center"/>
    </w:pPr>
    <w:rPr>
      <w:rFonts w:ascii="Microsoft Sans Serif" w:eastAsia="Times New Roman" w:hAnsi="Microsoft Sans Serif" w:cs="Microsoft Sans Serif"/>
      <w:sz w:val="17"/>
      <w:szCs w:val="17"/>
      <w:lang w:eastAsia="en-GB"/>
    </w:rPr>
  </w:style>
  <w:style w:type="paragraph" w:customStyle="1" w:styleId="xl72">
    <w:name w:val="xl72"/>
    <w:basedOn w:val="Normal"/>
    <w:uiPriority w:val="99"/>
    <w:rsid w:val="00B35332"/>
    <w:pPr>
      <w:shd w:val="clear" w:color="000000" w:fill="D3DCE9"/>
      <w:spacing w:before="100" w:beforeAutospacing="1" w:after="100" w:afterAutospacing="1" w:line="240" w:lineRule="auto"/>
      <w:jc w:val="center"/>
      <w:textAlignment w:val="center"/>
    </w:pPr>
    <w:rPr>
      <w:rFonts w:ascii="Microsoft Sans Serif" w:eastAsia="Times New Roman" w:hAnsi="Microsoft Sans Serif" w:cs="Microsoft Sans Serif"/>
      <w:sz w:val="17"/>
      <w:szCs w:val="17"/>
      <w:lang w:eastAsia="en-GB"/>
    </w:rPr>
  </w:style>
  <w:style w:type="paragraph" w:customStyle="1" w:styleId="xl73">
    <w:name w:val="xl73"/>
    <w:basedOn w:val="Normal"/>
    <w:uiPriority w:val="99"/>
    <w:rsid w:val="00B35332"/>
    <w:pPr>
      <w:spacing w:before="100" w:beforeAutospacing="1" w:after="100" w:afterAutospacing="1" w:line="240" w:lineRule="auto"/>
      <w:textAlignment w:val="center"/>
    </w:pPr>
    <w:rPr>
      <w:rFonts w:ascii="Microsoft Sans Serif" w:eastAsia="Times New Roman" w:hAnsi="Microsoft Sans Serif" w:cs="Microsoft Sans Serif"/>
      <w:sz w:val="17"/>
      <w:szCs w:val="17"/>
      <w:lang w:eastAsia="en-GB"/>
    </w:rPr>
  </w:style>
  <w:style w:type="paragraph" w:customStyle="1" w:styleId="xl74">
    <w:name w:val="xl74"/>
    <w:basedOn w:val="Normal"/>
    <w:uiPriority w:val="99"/>
    <w:rsid w:val="00B35332"/>
    <w:pPr>
      <w:spacing w:before="100" w:beforeAutospacing="1" w:after="100" w:afterAutospacing="1" w:line="240" w:lineRule="auto"/>
      <w:jc w:val="center"/>
      <w:textAlignment w:val="center"/>
    </w:pPr>
    <w:rPr>
      <w:rFonts w:ascii="Microsoft Sans Serif" w:eastAsia="Times New Roman" w:hAnsi="Microsoft Sans Serif" w:cs="Microsoft Sans Serif"/>
      <w:sz w:val="17"/>
      <w:szCs w:val="17"/>
      <w:lang w:eastAsia="en-GB"/>
    </w:rPr>
  </w:style>
  <w:style w:type="paragraph" w:styleId="CommentText">
    <w:name w:val="annotation text"/>
    <w:basedOn w:val="Normal"/>
    <w:link w:val="CommentTextChar"/>
    <w:uiPriority w:val="99"/>
    <w:rsid w:val="00B35332"/>
    <w:pPr>
      <w:spacing w:line="240" w:lineRule="auto"/>
    </w:pPr>
    <w:rPr>
      <w:rFonts w:ascii="Calibri" w:hAnsi="Calibri" w:cs="Times New Roman"/>
      <w:sz w:val="20"/>
      <w:szCs w:val="20"/>
      <w:lang w:eastAsia="en-GB"/>
    </w:rPr>
  </w:style>
  <w:style w:type="character" w:customStyle="1" w:styleId="CommentTextChar">
    <w:name w:val="Comment Text Char"/>
    <w:basedOn w:val="DefaultParagraphFont"/>
    <w:link w:val="CommentText"/>
    <w:uiPriority w:val="99"/>
    <w:rsid w:val="00B35332"/>
    <w:rPr>
      <w:rFonts w:ascii="Calibri" w:eastAsia="Calibri" w:hAnsi="Calibri" w:cs="Times New Roman"/>
      <w:sz w:val="20"/>
      <w:szCs w:val="20"/>
      <w:lang w:eastAsia="en-GB"/>
    </w:rPr>
  </w:style>
  <w:style w:type="paragraph" w:styleId="NoSpacing">
    <w:name w:val="No Spacing"/>
    <w:uiPriority w:val="99"/>
    <w:qFormat/>
    <w:rsid w:val="00B35332"/>
    <w:pPr>
      <w:spacing w:after="0" w:line="240" w:lineRule="auto"/>
    </w:pPr>
    <w:rPr>
      <w:rFonts w:ascii="Calibri" w:eastAsia="Calibri" w:hAnsi="Calibri" w:cs="Arial"/>
    </w:rPr>
  </w:style>
  <w:style w:type="paragraph" w:styleId="Revision">
    <w:name w:val="Revision"/>
    <w:hidden/>
    <w:uiPriority w:val="99"/>
    <w:rsid w:val="00B35332"/>
    <w:pPr>
      <w:spacing w:after="0" w:line="240" w:lineRule="auto"/>
    </w:pPr>
    <w:rPr>
      <w:rFonts w:ascii="Calibri" w:eastAsia="Calibri" w:hAnsi="Calibri" w:cs="Arial"/>
    </w:rPr>
  </w:style>
  <w:style w:type="character" w:styleId="CommentReference">
    <w:name w:val="annotation reference"/>
    <w:basedOn w:val="DefaultParagraphFont"/>
    <w:uiPriority w:val="99"/>
    <w:semiHidden/>
    <w:rsid w:val="00B35332"/>
    <w:rPr>
      <w:rFonts w:cs="Times New Roman"/>
      <w:sz w:val="16"/>
    </w:rPr>
  </w:style>
  <w:style w:type="paragraph" w:styleId="CommentSubject">
    <w:name w:val="annotation subject"/>
    <w:basedOn w:val="CommentText"/>
    <w:next w:val="CommentText"/>
    <w:link w:val="CommentSubjectChar"/>
    <w:uiPriority w:val="99"/>
    <w:semiHidden/>
    <w:rsid w:val="00B35332"/>
    <w:pPr>
      <w:spacing w:line="276" w:lineRule="auto"/>
    </w:pPr>
    <w:rPr>
      <w:b/>
      <w:bCs/>
    </w:rPr>
  </w:style>
  <w:style w:type="character" w:customStyle="1" w:styleId="CommentSubjectChar">
    <w:name w:val="Comment Subject Char"/>
    <w:basedOn w:val="CommentTextChar"/>
    <w:link w:val="CommentSubject"/>
    <w:uiPriority w:val="99"/>
    <w:semiHidden/>
    <w:rsid w:val="00B35332"/>
    <w:rPr>
      <w:rFonts w:ascii="Calibri" w:eastAsia="Calibri" w:hAnsi="Calibri" w:cs="Times New Roman"/>
      <w:b/>
      <w:bCs/>
      <w:sz w:val="20"/>
      <w:szCs w:val="20"/>
      <w:lang w:eastAsia="en-GB"/>
    </w:rPr>
  </w:style>
  <w:style w:type="table" w:styleId="ColorfulGrid">
    <w:name w:val="Colorful Grid"/>
    <w:basedOn w:val="TableNormal"/>
    <w:uiPriority w:val="99"/>
    <w:rsid w:val="00B35332"/>
    <w:pPr>
      <w:spacing w:after="0" w:line="240" w:lineRule="auto"/>
    </w:pPr>
    <w:rPr>
      <w:rFonts w:ascii="Calibri" w:eastAsia="Calibri" w:hAnsi="Calibri" w:cs="Arial"/>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rFonts w:cs="Arial"/>
        <w:b/>
        <w:bCs/>
      </w:rPr>
      <w:tblPr/>
      <w:tcPr>
        <w:shd w:val="clear" w:color="auto" w:fill="999999"/>
      </w:tcPr>
    </w:tblStylePr>
    <w:tblStylePr w:type="lastRow">
      <w:rPr>
        <w:rFonts w:cs="Arial"/>
        <w:b/>
        <w:bCs/>
        <w:color w:val="000000"/>
      </w:rPr>
      <w:tblPr/>
      <w:tcPr>
        <w:shd w:val="clear" w:color="auto" w:fill="999999"/>
      </w:tcPr>
    </w:tblStylePr>
    <w:tblStylePr w:type="firstCol">
      <w:rPr>
        <w:rFonts w:cs="Arial"/>
        <w:color w:val="FFFFFF"/>
      </w:rPr>
      <w:tblPr/>
      <w:tcPr>
        <w:shd w:val="clear" w:color="auto" w:fill="000000"/>
      </w:tcPr>
    </w:tblStylePr>
    <w:tblStylePr w:type="lastCol">
      <w:rPr>
        <w:rFonts w:cs="Arial"/>
        <w:color w:val="FFFFFF"/>
      </w:rPr>
      <w:tblPr/>
      <w:tcPr>
        <w:shd w:val="clear" w:color="auto" w:fill="000000"/>
      </w:tc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character" w:customStyle="1" w:styleId="st1">
    <w:name w:val="st1"/>
    <w:uiPriority w:val="99"/>
    <w:rsid w:val="00B35332"/>
  </w:style>
  <w:style w:type="paragraph" w:customStyle="1" w:styleId="EndNoteBibliographyTitle">
    <w:name w:val="EndNote Bibliography Title"/>
    <w:basedOn w:val="Normal"/>
    <w:link w:val="EndNoteBibliographyTitleChar"/>
    <w:rsid w:val="00B35332"/>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B35332"/>
    <w:rPr>
      <w:rFonts w:ascii="Calibri" w:eastAsia="Calibri" w:hAnsi="Calibri" w:cs="Calibri"/>
      <w:noProof/>
      <w:lang w:val="en-US"/>
    </w:rPr>
  </w:style>
  <w:style w:type="paragraph" w:customStyle="1" w:styleId="EndNoteBibliography">
    <w:name w:val="EndNote Bibliography"/>
    <w:basedOn w:val="Normal"/>
    <w:link w:val="EndNoteBibliographyChar"/>
    <w:rsid w:val="00B35332"/>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B35332"/>
    <w:rPr>
      <w:rFonts w:ascii="Calibri" w:eastAsia="Calibri" w:hAnsi="Calibri" w:cs="Calibri"/>
      <w:noProof/>
      <w:lang w:val="en-US"/>
    </w:rPr>
  </w:style>
  <w:style w:type="paragraph" w:styleId="EndnoteText">
    <w:name w:val="endnote text"/>
    <w:basedOn w:val="Normal"/>
    <w:link w:val="EndnoteTextChar"/>
    <w:uiPriority w:val="99"/>
    <w:semiHidden/>
    <w:unhideWhenUsed/>
    <w:rsid w:val="00B353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5332"/>
    <w:rPr>
      <w:rFonts w:ascii="Times New Roman" w:eastAsia="Calibri" w:hAnsi="Times New Roman" w:cs="Arial"/>
      <w:sz w:val="20"/>
      <w:szCs w:val="20"/>
    </w:rPr>
  </w:style>
  <w:style w:type="character" w:styleId="EndnoteReference">
    <w:name w:val="endnote reference"/>
    <w:basedOn w:val="DefaultParagraphFont"/>
    <w:uiPriority w:val="99"/>
    <w:semiHidden/>
    <w:unhideWhenUsed/>
    <w:rsid w:val="00B35332"/>
    <w:rPr>
      <w:vertAlign w:val="superscript"/>
    </w:rPr>
  </w:style>
  <w:style w:type="character" w:customStyle="1" w:styleId="pagecontents1">
    <w:name w:val="pagecontents1"/>
    <w:rsid w:val="00B35332"/>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opher.stewart@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thur.org/wiki/MiSeq_S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22</Pages>
  <Words>15336</Words>
  <Characters>87421</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102552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Bashir Abdulkadir</cp:lastModifiedBy>
  <cp:revision>4</cp:revision>
  <dcterms:created xsi:type="dcterms:W3CDTF">2015-08-20T10:33:00Z</dcterms:created>
  <dcterms:modified xsi:type="dcterms:W3CDTF">2015-12-28T19:17:00Z</dcterms:modified>
</cp:coreProperties>
</file>