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95" w:rsidRPr="00A371E8" w:rsidRDefault="00657995" w:rsidP="00A20D8D">
      <w:pPr>
        <w:autoSpaceDE w:val="0"/>
        <w:autoSpaceDN w:val="0"/>
        <w:adjustRightInd w:val="0"/>
        <w:spacing w:after="0" w:line="276" w:lineRule="auto"/>
        <w:contextualSpacing w:val="0"/>
        <w:rPr>
          <w:rFonts w:ascii="Times New Roman" w:hAnsi="Times New Roman" w:cs="Times New Roman"/>
          <w:b/>
          <w:bCs/>
          <w:sz w:val="24"/>
          <w:szCs w:val="24"/>
          <w:lang w:val="en-GB"/>
        </w:rPr>
      </w:pPr>
      <w:bookmarkStart w:id="0" w:name="_GoBack"/>
      <w:bookmarkEnd w:id="0"/>
      <w:r w:rsidRPr="00A371E8">
        <w:rPr>
          <w:rFonts w:ascii="Times New Roman" w:hAnsi="Times New Roman" w:cs="Times New Roman"/>
          <w:b/>
          <w:bCs/>
          <w:sz w:val="24"/>
          <w:szCs w:val="24"/>
          <w:lang w:val="en-GB"/>
        </w:rPr>
        <w:t>Gender ratio in a clinical population sample, age of diagnosis and duration of</w:t>
      </w:r>
    </w:p>
    <w:p w:rsidR="00657995" w:rsidRPr="00A371E8" w:rsidRDefault="00657995" w:rsidP="00A20D8D">
      <w:pPr>
        <w:autoSpaceDE w:val="0"/>
        <w:autoSpaceDN w:val="0"/>
        <w:adjustRightInd w:val="0"/>
        <w:spacing w:after="0" w:line="276" w:lineRule="auto"/>
        <w:contextualSpacing w:val="0"/>
        <w:rPr>
          <w:rFonts w:ascii="Times New Roman" w:hAnsi="Times New Roman" w:cs="Times New Roman"/>
          <w:b/>
          <w:bCs/>
          <w:sz w:val="24"/>
          <w:szCs w:val="24"/>
          <w:lang w:val="en-GB"/>
        </w:rPr>
      </w:pPr>
      <w:proofErr w:type="gramStart"/>
      <w:r w:rsidRPr="00A371E8">
        <w:rPr>
          <w:rFonts w:ascii="Times New Roman" w:hAnsi="Times New Roman" w:cs="Times New Roman"/>
          <w:b/>
          <w:bCs/>
          <w:sz w:val="24"/>
          <w:szCs w:val="24"/>
          <w:lang w:val="en-GB"/>
        </w:rPr>
        <w:t>assessment</w:t>
      </w:r>
      <w:proofErr w:type="gramEnd"/>
      <w:r w:rsidRPr="00A371E8">
        <w:rPr>
          <w:rFonts w:ascii="Times New Roman" w:hAnsi="Times New Roman" w:cs="Times New Roman"/>
          <w:b/>
          <w:bCs/>
          <w:sz w:val="24"/>
          <w:szCs w:val="24"/>
          <w:lang w:val="en-GB"/>
        </w:rPr>
        <w:t xml:space="preserve"> in children and adults with autism spectrum disorder</w:t>
      </w:r>
    </w:p>
    <w:p w:rsidR="00657995" w:rsidRPr="00A371E8" w:rsidRDefault="00657995" w:rsidP="008C6853">
      <w:pPr>
        <w:autoSpaceDE w:val="0"/>
        <w:autoSpaceDN w:val="0"/>
        <w:adjustRightInd w:val="0"/>
        <w:spacing w:after="0" w:line="480" w:lineRule="auto"/>
        <w:contextualSpacing w:val="0"/>
        <w:rPr>
          <w:rFonts w:ascii="Times New Roman" w:hAnsi="Times New Roman" w:cs="Times New Roman"/>
          <w:b/>
          <w:bCs/>
          <w:sz w:val="24"/>
          <w:szCs w:val="24"/>
          <w:lang w:val="en-GB"/>
        </w:rPr>
      </w:pPr>
    </w:p>
    <w:p w:rsidR="00657995" w:rsidRPr="00A371E8" w:rsidRDefault="00657995" w:rsidP="00A20D8D">
      <w:pPr>
        <w:autoSpaceDE w:val="0"/>
        <w:autoSpaceDN w:val="0"/>
        <w:adjustRightInd w:val="0"/>
        <w:spacing w:after="0" w:line="276" w:lineRule="auto"/>
        <w:contextualSpacing w:val="0"/>
        <w:rPr>
          <w:rFonts w:ascii="Times New Roman" w:hAnsi="Times New Roman" w:cs="Times New Roman"/>
          <w:bCs/>
          <w:sz w:val="24"/>
          <w:szCs w:val="24"/>
          <w:lang w:val="en-GB"/>
        </w:rPr>
      </w:pPr>
      <w:r w:rsidRPr="00A371E8">
        <w:rPr>
          <w:rFonts w:ascii="Times New Roman" w:hAnsi="Times New Roman" w:cs="Times New Roman"/>
          <w:bCs/>
          <w:sz w:val="24"/>
          <w:szCs w:val="24"/>
          <w:lang w:val="en-GB"/>
        </w:rPr>
        <w:t>Marion Rutherford</w:t>
      </w:r>
      <w:r w:rsidRPr="00A371E8">
        <w:rPr>
          <w:rFonts w:ascii="Times New Roman" w:hAnsi="Times New Roman" w:cs="Times New Roman"/>
          <w:bCs/>
          <w:sz w:val="24"/>
          <w:szCs w:val="24"/>
          <w:vertAlign w:val="superscript"/>
          <w:lang w:val="en-GB"/>
        </w:rPr>
        <w:t>1</w:t>
      </w:r>
      <w:r w:rsidRPr="00A371E8">
        <w:rPr>
          <w:rFonts w:ascii="Times New Roman" w:hAnsi="Times New Roman" w:cs="Times New Roman"/>
          <w:bCs/>
          <w:sz w:val="24"/>
          <w:szCs w:val="24"/>
          <w:lang w:val="en-GB"/>
        </w:rPr>
        <w:t>, Karen McKenzie</w:t>
      </w:r>
      <w:r w:rsidRPr="00A371E8">
        <w:rPr>
          <w:rFonts w:ascii="Times New Roman" w:hAnsi="Times New Roman" w:cs="Times New Roman"/>
          <w:bCs/>
          <w:sz w:val="24"/>
          <w:szCs w:val="24"/>
          <w:vertAlign w:val="superscript"/>
          <w:lang w:val="en-GB"/>
        </w:rPr>
        <w:t>2</w:t>
      </w:r>
      <w:r w:rsidRPr="00A371E8">
        <w:rPr>
          <w:rFonts w:ascii="Times New Roman" w:hAnsi="Times New Roman" w:cs="Times New Roman"/>
          <w:bCs/>
          <w:sz w:val="24"/>
          <w:szCs w:val="24"/>
          <w:lang w:val="en-GB"/>
        </w:rPr>
        <w:t>, Tess Johnson</w:t>
      </w:r>
      <w:r w:rsidRPr="00A371E8">
        <w:rPr>
          <w:rFonts w:ascii="Times New Roman" w:hAnsi="Times New Roman" w:cs="Times New Roman"/>
          <w:bCs/>
          <w:sz w:val="24"/>
          <w:szCs w:val="24"/>
          <w:vertAlign w:val="superscript"/>
          <w:lang w:val="en-GB"/>
        </w:rPr>
        <w:t>1</w:t>
      </w:r>
      <w:r w:rsidRPr="00A371E8">
        <w:rPr>
          <w:rFonts w:ascii="Times New Roman" w:hAnsi="Times New Roman" w:cs="Times New Roman"/>
          <w:bCs/>
          <w:sz w:val="24"/>
          <w:szCs w:val="24"/>
          <w:lang w:val="en-GB"/>
        </w:rPr>
        <w:t>, Ciara Catchpole</w:t>
      </w:r>
      <w:r w:rsidRPr="00A371E8">
        <w:rPr>
          <w:rFonts w:ascii="Times New Roman" w:hAnsi="Times New Roman" w:cs="Times New Roman"/>
          <w:bCs/>
          <w:sz w:val="24"/>
          <w:szCs w:val="24"/>
          <w:vertAlign w:val="superscript"/>
          <w:lang w:val="en-GB"/>
        </w:rPr>
        <w:t>1</w:t>
      </w:r>
      <w:r w:rsidRPr="00A371E8">
        <w:rPr>
          <w:rFonts w:ascii="Times New Roman" w:hAnsi="Times New Roman" w:cs="Times New Roman"/>
          <w:bCs/>
          <w:sz w:val="24"/>
          <w:szCs w:val="24"/>
          <w:lang w:val="en-GB"/>
        </w:rPr>
        <w:t>, Anne O’Hare</w:t>
      </w:r>
      <w:r w:rsidRPr="00A371E8">
        <w:rPr>
          <w:rFonts w:ascii="Times New Roman" w:hAnsi="Times New Roman" w:cs="Times New Roman"/>
          <w:bCs/>
          <w:sz w:val="24"/>
          <w:szCs w:val="24"/>
          <w:vertAlign w:val="superscript"/>
          <w:lang w:val="en-GB"/>
        </w:rPr>
        <w:t>3</w:t>
      </w:r>
      <w:r w:rsidRPr="00A371E8">
        <w:rPr>
          <w:rFonts w:ascii="Times New Roman" w:hAnsi="Times New Roman" w:cs="Times New Roman"/>
          <w:bCs/>
          <w:sz w:val="24"/>
          <w:szCs w:val="24"/>
          <w:lang w:val="en-GB"/>
        </w:rPr>
        <w:t>, Iain McClure</w:t>
      </w:r>
      <w:r w:rsidRPr="00A371E8">
        <w:rPr>
          <w:rFonts w:ascii="Times New Roman" w:hAnsi="Times New Roman" w:cs="Times New Roman"/>
          <w:bCs/>
          <w:sz w:val="24"/>
          <w:szCs w:val="24"/>
          <w:vertAlign w:val="superscript"/>
          <w:lang w:val="en-GB"/>
        </w:rPr>
        <w:t>4</w:t>
      </w:r>
      <w:r w:rsidRPr="00A371E8">
        <w:rPr>
          <w:rFonts w:ascii="Times New Roman" w:hAnsi="Times New Roman" w:cs="Times New Roman"/>
          <w:bCs/>
          <w:sz w:val="24"/>
          <w:szCs w:val="24"/>
          <w:lang w:val="en-GB"/>
        </w:rPr>
        <w:t>, Kirsty Forsyth</w:t>
      </w:r>
      <w:r w:rsidRPr="00A371E8">
        <w:rPr>
          <w:rFonts w:ascii="Times New Roman" w:hAnsi="Times New Roman" w:cs="Times New Roman"/>
          <w:bCs/>
          <w:sz w:val="24"/>
          <w:szCs w:val="24"/>
          <w:vertAlign w:val="superscript"/>
          <w:lang w:val="en-GB"/>
        </w:rPr>
        <w:t>1</w:t>
      </w:r>
      <w:r w:rsidRPr="00A371E8">
        <w:rPr>
          <w:rFonts w:ascii="Times New Roman" w:hAnsi="Times New Roman" w:cs="Times New Roman"/>
          <w:bCs/>
          <w:sz w:val="24"/>
          <w:szCs w:val="24"/>
          <w:lang w:val="en-GB"/>
        </w:rPr>
        <w:t>, Deborah McCartney</w:t>
      </w:r>
      <w:r w:rsidRPr="00A371E8">
        <w:rPr>
          <w:rFonts w:ascii="Times New Roman" w:hAnsi="Times New Roman" w:cs="Times New Roman"/>
          <w:bCs/>
          <w:sz w:val="24"/>
          <w:szCs w:val="24"/>
          <w:vertAlign w:val="superscript"/>
          <w:lang w:val="en-GB"/>
        </w:rPr>
        <w:t>1</w:t>
      </w:r>
      <w:r w:rsidRPr="00A371E8">
        <w:rPr>
          <w:rFonts w:ascii="Times New Roman" w:hAnsi="Times New Roman" w:cs="Times New Roman"/>
          <w:bCs/>
          <w:sz w:val="24"/>
          <w:szCs w:val="24"/>
          <w:lang w:val="en-GB"/>
        </w:rPr>
        <w:t xml:space="preserve"> and Aja Murray</w:t>
      </w:r>
      <w:r w:rsidRPr="00A371E8">
        <w:rPr>
          <w:rFonts w:ascii="Times New Roman" w:hAnsi="Times New Roman" w:cs="Times New Roman"/>
          <w:bCs/>
          <w:sz w:val="24"/>
          <w:szCs w:val="24"/>
          <w:vertAlign w:val="superscript"/>
          <w:lang w:val="en-GB"/>
        </w:rPr>
        <w:t>1</w:t>
      </w:r>
    </w:p>
    <w:p w:rsidR="00657995" w:rsidRPr="00A371E8" w:rsidRDefault="00657995" w:rsidP="008C6853">
      <w:pPr>
        <w:autoSpaceDE w:val="0"/>
        <w:autoSpaceDN w:val="0"/>
        <w:adjustRightInd w:val="0"/>
        <w:spacing w:after="0" w:line="480" w:lineRule="auto"/>
        <w:contextualSpacing w:val="0"/>
        <w:rPr>
          <w:rFonts w:ascii="Times New Roman" w:hAnsi="Times New Roman" w:cs="Times New Roman"/>
          <w:bCs/>
          <w:sz w:val="24"/>
          <w:szCs w:val="24"/>
          <w:lang w:val="en-GB"/>
        </w:rPr>
      </w:pPr>
    </w:p>
    <w:p w:rsidR="00A20D8D" w:rsidRPr="00A371E8" w:rsidRDefault="00A20D8D" w:rsidP="00A20D8D">
      <w:pPr>
        <w:autoSpaceDE w:val="0"/>
        <w:autoSpaceDN w:val="0"/>
        <w:adjustRightInd w:val="0"/>
        <w:spacing w:line="276" w:lineRule="auto"/>
        <w:rPr>
          <w:rFonts w:ascii="Times New Roman" w:hAnsi="Times New Roman" w:cs="Times New Roman"/>
          <w:sz w:val="24"/>
          <w:szCs w:val="24"/>
        </w:rPr>
      </w:pPr>
      <w:r w:rsidRPr="000F2AF4">
        <w:rPr>
          <w:rFonts w:ascii="Times New Roman" w:hAnsi="Times New Roman" w:cs="Times New Roman"/>
          <w:bCs/>
          <w:sz w:val="24"/>
          <w:szCs w:val="24"/>
          <w:vertAlign w:val="superscript"/>
          <w:lang w:val="en-GB"/>
        </w:rPr>
        <w:t>1</w:t>
      </w:r>
      <w:r w:rsidRPr="00A371E8">
        <w:rPr>
          <w:rFonts w:ascii="Times New Roman" w:hAnsi="Times New Roman" w:cs="Times New Roman"/>
          <w:bCs/>
          <w:sz w:val="24"/>
          <w:szCs w:val="24"/>
          <w:lang w:val="en-GB"/>
        </w:rPr>
        <w:t xml:space="preserve"> </w:t>
      </w:r>
      <w:r w:rsidRPr="00A371E8">
        <w:rPr>
          <w:rFonts w:ascii="Times New Roman" w:hAnsi="Times New Roman" w:cs="Times New Roman"/>
          <w:sz w:val="24"/>
          <w:szCs w:val="24"/>
        </w:rPr>
        <w:t>School of Health Sciences, Queen Margaret University, Edinburgh, Scotland, United Kingdom</w:t>
      </w:r>
    </w:p>
    <w:p w:rsidR="00A20D8D" w:rsidRPr="00A371E8" w:rsidRDefault="00A20D8D" w:rsidP="00A20D8D">
      <w:pPr>
        <w:autoSpaceDE w:val="0"/>
        <w:autoSpaceDN w:val="0"/>
        <w:adjustRightInd w:val="0"/>
        <w:spacing w:line="276" w:lineRule="auto"/>
        <w:rPr>
          <w:rFonts w:ascii="Times New Roman" w:hAnsi="Times New Roman" w:cs="Times New Roman"/>
          <w:sz w:val="24"/>
          <w:szCs w:val="24"/>
        </w:rPr>
      </w:pPr>
    </w:p>
    <w:p w:rsidR="00A20D8D" w:rsidRPr="00A371E8" w:rsidRDefault="00A20D8D" w:rsidP="00A20D8D">
      <w:pPr>
        <w:spacing w:line="480" w:lineRule="auto"/>
        <w:rPr>
          <w:rFonts w:ascii="Times New Roman" w:hAnsi="Times New Roman" w:cs="Times New Roman"/>
          <w:sz w:val="24"/>
          <w:szCs w:val="24"/>
        </w:rPr>
      </w:pPr>
      <w:r w:rsidRPr="000F2AF4">
        <w:rPr>
          <w:rFonts w:ascii="Times New Roman" w:hAnsi="Times New Roman" w:cs="Times New Roman"/>
          <w:sz w:val="24"/>
          <w:szCs w:val="24"/>
          <w:vertAlign w:val="superscript"/>
        </w:rPr>
        <w:t>2</w:t>
      </w:r>
      <w:r w:rsidR="000F2AF4">
        <w:rPr>
          <w:rFonts w:ascii="Times New Roman" w:hAnsi="Times New Roman" w:cs="Times New Roman"/>
          <w:sz w:val="24"/>
          <w:szCs w:val="24"/>
          <w:vertAlign w:val="superscript"/>
        </w:rPr>
        <w:t xml:space="preserve"> </w:t>
      </w:r>
      <w:r w:rsidRPr="00A371E8">
        <w:rPr>
          <w:rFonts w:ascii="Times New Roman" w:hAnsi="Times New Roman" w:cs="Times New Roman"/>
          <w:sz w:val="24"/>
          <w:szCs w:val="24"/>
        </w:rPr>
        <w:t xml:space="preserve">Northumbria </w:t>
      </w:r>
      <w:proofErr w:type="gramStart"/>
      <w:r w:rsidRPr="00A371E8">
        <w:rPr>
          <w:rFonts w:ascii="Times New Roman" w:hAnsi="Times New Roman" w:cs="Times New Roman"/>
          <w:sz w:val="24"/>
          <w:szCs w:val="24"/>
        </w:rPr>
        <w:t>University</w:t>
      </w:r>
      <w:proofErr w:type="gramEnd"/>
      <w:r w:rsidRPr="00A371E8">
        <w:rPr>
          <w:rFonts w:ascii="Times New Roman" w:hAnsi="Times New Roman" w:cs="Times New Roman"/>
          <w:sz w:val="24"/>
          <w:szCs w:val="24"/>
        </w:rPr>
        <w:t>, Newcastle upon Tyne, England, United Kingdom</w:t>
      </w:r>
    </w:p>
    <w:p w:rsidR="00A20D8D" w:rsidRPr="00A371E8" w:rsidRDefault="00A20D8D" w:rsidP="00A20D8D">
      <w:pPr>
        <w:spacing w:line="276" w:lineRule="auto"/>
        <w:rPr>
          <w:rFonts w:ascii="Times New Roman" w:hAnsi="Times New Roman" w:cs="Times New Roman"/>
          <w:sz w:val="24"/>
          <w:szCs w:val="24"/>
        </w:rPr>
      </w:pPr>
      <w:r w:rsidRPr="000F2AF4">
        <w:rPr>
          <w:rFonts w:ascii="Times New Roman" w:hAnsi="Times New Roman" w:cs="Times New Roman"/>
          <w:sz w:val="24"/>
          <w:szCs w:val="24"/>
          <w:vertAlign w:val="superscript"/>
        </w:rPr>
        <w:t>3</w:t>
      </w:r>
      <w:r w:rsidR="000F2AF4">
        <w:rPr>
          <w:rFonts w:ascii="Times New Roman" w:hAnsi="Times New Roman" w:cs="Times New Roman"/>
          <w:sz w:val="24"/>
          <w:szCs w:val="24"/>
          <w:vertAlign w:val="superscript"/>
        </w:rPr>
        <w:t xml:space="preserve"> </w:t>
      </w:r>
      <w:r w:rsidRPr="00A371E8">
        <w:rPr>
          <w:rFonts w:ascii="Times New Roman" w:hAnsi="Times New Roman" w:cs="Times New Roman"/>
          <w:sz w:val="24"/>
          <w:szCs w:val="24"/>
        </w:rPr>
        <w:t>Salvesen Mindroom Centre, University of Edinburgh, Edinburgh, Scotland, United Kingdom</w:t>
      </w:r>
    </w:p>
    <w:p w:rsidR="00A20D8D" w:rsidRPr="00A371E8" w:rsidRDefault="00A20D8D" w:rsidP="00A20D8D">
      <w:pPr>
        <w:autoSpaceDE w:val="0"/>
        <w:autoSpaceDN w:val="0"/>
        <w:adjustRightInd w:val="0"/>
        <w:spacing w:line="276" w:lineRule="auto"/>
        <w:rPr>
          <w:rFonts w:ascii="Times New Roman" w:hAnsi="Times New Roman" w:cs="Times New Roman"/>
          <w:sz w:val="24"/>
          <w:szCs w:val="24"/>
        </w:rPr>
      </w:pPr>
    </w:p>
    <w:p w:rsidR="00A20D8D" w:rsidRPr="00A371E8" w:rsidRDefault="00A20D8D" w:rsidP="00A20D8D">
      <w:pPr>
        <w:spacing w:line="480" w:lineRule="auto"/>
        <w:rPr>
          <w:rFonts w:ascii="Times New Roman" w:hAnsi="Times New Roman" w:cs="Times New Roman"/>
          <w:sz w:val="24"/>
          <w:szCs w:val="24"/>
        </w:rPr>
      </w:pPr>
      <w:r w:rsidRPr="000F2AF4">
        <w:rPr>
          <w:rFonts w:ascii="Times New Roman" w:hAnsi="Times New Roman" w:cs="Times New Roman"/>
          <w:sz w:val="24"/>
          <w:szCs w:val="24"/>
          <w:vertAlign w:val="superscript"/>
        </w:rPr>
        <w:t>4</w:t>
      </w:r>
      <w:r w:rsidRPr="00A371E8">
        <w:rPr>
          <w:rFonts w:ascii="Times New Roman" w:hAnsi="Times New Roman" w:cs="Times New Roman"/>
          <w:sz w:val="24"/>
          <w:szCs w:val="24"/>
          <w:lang w:val="en-GB"/>
        </w:rPr>
        <w:t xml:space="preserve"> Child and Adolescent Psychiatry, NHS Lothian, Edinburgh, Scotland, United Kingdom</w:t>
      </w:r>
    </w:p>
    <w:p w:rsidR="00A20D8D" w:rsidRPr="00A371E8" w:rsidRDefault="00A20D8D" w:rsidP="00A20D8D">
      <w:pPr>
        <w:autoSpaceDE w:val="0"/>
        <w:autoSpaceDN w:val="0"/>
        <w:adjustRightInd w:val="0"/>
        <w:spacing w:line="276" w:lineRule="auto"/>
        <w:rPr>
          <w:rFonts w:ascii="Times New Roman" w:hAnsi="Times New Roman" w:cs="Times New Roman"/>
          <w:sz w:val="24"/>
          <w:szCs w:val="24"/>
        </w:rPr>
      </w:pPr>
    </w:p>
    <w:p w:rsidR="00A20D8D" w:rsidRPr="00A371E8" w:rsidRDefault="00A20D8D" w:rsidP="00A20D8D">
      <w:pPr>
        <w:autoSpaceDE w:val="0"/>
        <w:autoSpaceDN w:val="0"/>
        <w:adjustRightInd w:val="0"/>
        <w:spacing w:line="276" w:lineRule="auto"/>
        <w:rPr>
          <w:rFonts w:ascii="Times New Roman" w:hAnsi="Times New Roman" w:cs="Times New Roman"/>
          <w:sz w:val="24"/>
          <w:szCs w:val="24"/>
        </w:rPr>
      </w:pPr>
    </w:p>
    <w:p w:rsidR="00A20D8D" w:rsidRPr="00A371E8" w:rsidRDefault="00A20D8D" w:rsidP="00A20D8D">
      <w:pPr>
        <w:spacing w:line="276" w:lineRule="auto"/>
        <w:rPr>
          <w:rFonts w:ascii="Times New Roman" w:hAnsi="Times New Roman" w:cs="Times New Roman"/>
          <w:b/>
          <w:sz w:val="24"/>
          <w:szCs w:val="24"/>
        </w:rPr>
      </w:pPr>
    </w:p>
    <w:p w:rsidR="00A20D8D" w:rsidRPr="00A371E8" w:rsidRDefault="00A20D8D" w:rsidP="0097030D">
      <w:pPr>
        <w:spacing w:line="360" w:lineRule="auto"/>
        <w:rPr>
          <w:rFonts w:ascii="Times New Roman" w:hAnsi="Times New Roman" w:cs="Times New Roman"/>
          <w:b/>
          <w:sz w:val="24"/>
          <w:szCs w:val="24"/>
        </w:rPr>
      </w:pPr>
      <w:r w:rsidRPr="00A371E8">
        <w:rPr>
          <w:rFonts w:ascii="Times New Roman" w:hAnsi="Times New Roman" w:cs="Times New Roman"/>
          <w:b/>
          <w:sz w:val="24"/>
          <w:szCs w:val="24"/>
        </w:rPr>
        <w:t>Corresponding Author</w:t>
      </w:r>
    </w:p>
    <w:p w:rsidR="00A20D8D" w:rsidRPr="00A371E8" w:rsidRDefault="00A20D8D" w:rsidP="0097030D">
      <w:pPr>
        <w:spacing w:line="360" w:lineRule="auto"/>
        <w:rPr>
          <w:rFonts w:ascii="Times New Roman" w:hAnsi="Times New Roman" w:cs="Times New Roman"/>
          <w:sz w:val="24"/>
          <w:szCs w:val="24"/>
        </w:rPr>
      </w:pPr>
      <w:r w:rsidRPr="00A371E8">
        <w:rPr>
          <w:rFonts w:ascii="Times New Roman" w:hAnsi="Times New Roman" w:cs="Times New Roman"/>
          <w:sz w:val="24"/>
          <w:szCs w:val="24"/>
        </w:rPr>
        <w:t>Marion Rutherford</w:t>
      </w:r>
    </w:p>
    <w:p w:rsidR="00A20D8D" w:rsidRPr="00A371E8" w:rsidRDefault="00A20D8D" w:rsidP="0097030D">
      <w:pPr>
        <w:autoSpaceDE w:val="0"/>
        <w:autoSpaceDN w:val="0"/>
        <w:adjustRightInd w:val="0"/>
        <w:spacing w:line="360" w:lineRule="auto"/>
        <w:rPr>
          <w:rFonts w:ascii="Times New Roman" w:hAnsi="Times New Roman" w:cs="Times New Roman"/>
          <w:sz w:val="24"/>
          <w:szCs w:val="24"/>
        </w:rPr>
      </w:pPr>
      <w:r w:rsidRPr="00A371E8">
        <w:rPr>
          <w:rFonts w:ascii="Times New Roman" w:hAnsi="Times New Roman" w:cs="Times New Roman"/>
          <w:sz w:val="24"/>
          <w:szCs w:val="24"/>
        </w:rPr>
        <w:t>School of Health Sciences,</w:t>
      </w:r>
    </w:p>
    <w:p w:rsidR="00A20D8D" w:rsidRPr="00A371E8" w:rsidRDefault="00A20D8D" w:rsidP="0097030D">
      <w:pPr>
        <w:autoSpaceDE w:val="0"/>
        <w:autoSpaceDN w:val="0"/>
        <w:adjustRightInd w:val="0"/>
        <w:spacing w:line="360" w:lineRule="auto"/>
        <w:rPr>
          <w:rFonts w:ascii="Times New Roman" w:hAnsi="Times New Roman" w:cs="Times New Roman"/>
          <w:sz w:val="24"/>
          <w:szCs w:val="24"/>
        </w:rPr>
      </w:pPr>
      <w:r w:rsidRPr="00A371E8">
        <w:rPr>
          <w:rFonts w:ascii="Times New Roman" w:hAnsi="Times New Roman" w:cs="Times New Roman"/>
          <w:sz w:val="24"/>
          <w:szCs w:val="24"/>
        </w:rPr>
        <w:t xml:space="preserve">Queen Margaret University, </w:t>
      </w:r>
    </w:p>
    <w:p w:rsidR="00A20D8D" w:rsidRPr="00A371E8" w:rsidRDefault="00A20D8D" w:rsidP="0097030D">
      <w:pPr>
        <w:autoSpaceDE w:val="0"/>
        <w:autoSpaceDN w:val="0"/>
        <w:adjustRightInd w:val="0"/>
        <w:spacing w:line="360" w:lineRule="auto"/>
        <w:rPr>
          <w:rFonts w:ascii="Times New Roman" w:hAnsi="Times New Roman" w:cs="Times New Roman"/>
          <w:sz w:val="24"/>
          <w:szCs w:val="24"/>
        </w:rPr>
      </w:pPr>
      <w:r w:rsidRPr="00A371E8">
        <w:rPr>
          <w:rFonts w:ascii="Times New Roman" w:hAnsi="Times New Roman" w:cs="Times New Roman"/>
          <w:sz w:val="24"/>
          <w:szCs w:val="24"/>
        </w:rPr>
        <w:t xml:space="preserve">Edinburgh, Scotland, United Kingdom, </w:t>
      </w:r>
    </w:p>
    <w:p w:rsidR="00A20D8D" w:rsidRPr="00A371E8" w:rsidRDefault="00A20D8D" w:rsidP="0097030D">
      <w:pPr>
        <w:autoSpaceDE w:val="0"/>
        <w:autoSpaceDN w:val="0"/>
        <w:adjustRightInd w:val="0"/>
        <w:spacing w:line="360" w:lineRule="auto"/>
        <w:rPr>
          <w:rFonts w:ascii="Times New Roman" w:hAnsi="Times New Roman" w:cs="Times New Roman"/>
          <w:sz w:val="24"/>
          <w:szCs w:val="24"/>
        </w:rPr>
      </w:pPr>
      <w:r w:rsidRPr="00A371E8">
        <w:rPr>
          <w:rFonts w:ascii="Times New Roman" w:hAnsi="Times New Roman" w:cs="Times New Roman"/>
          <w:sz w:val="24"/>
          <w:szCs w:val="24"/>
        </w:rPr>
        <w:t xml:space="preserve">EH21 6UU, </w:t>
      </w:r>
    </w:p>
    <w:p w:rsidR="00A20D8D" w:rsidRPr="00A371E8" w:rsidRDefault="00A20D8D" w:rsidP="0097030D">
      <w:pPr>
        <w:autoSpaceDE w:val="0"/>
        <w:autoSpaceDN w:val="0"/>
        <w:adjustRightInd w:val="0"/>
        <w:spacing w:line="360" w:lineRule="auto"/>
        <w:rPr>
          <w:rFonts w:ascii="Times New Roman" w:hAnsi="Times New Roman" w:cs="Times New Roman"/>
          <w:sz w:val="24"/>
          <w:szCs w:val="24"/>
        </w:rPr>
      </w:pPr>
      <w:r w:rsidRPr="00A371E8">
        <w:rPr>
          <w:rFonts w:ascii="Times New Roman" w:hAnsi="Times New Roman" w:cs="Times New Roman"/>
          <w:sz w:val="24"/>
          <w:szCs w:val="24"/>
        </w:rPr>
        <w:t xml:space="preserve">Tel: +44 (0)131 474 0000, </w:t>
      </w:r>
    </w:p>
    <w:p w:rsidR="00A20D8D" w:rsidRPr="00A371E8" w:rsidRDefault="00A20D8D" w:rsidP="0097030D">
      <w:pPr>
        <w:autoSpaceDE w:val="0"/>
        <w:autoSpaceDN w:val="0"/>
        <w:adjustRightInd w:val="0"/>
        <w:spacing w:line="360" w:lineRule="auto"/>
        <w:rPr>
          <w:rFonts w:ascii="Times New Roman" w:hAnsi="Times New Roman" w:cs="Times New Roman"/>
          <w:sz w:val="24"/>
          <w:szCs w:val="24"/>
        </w:rPr>
      </w:pPr>
      <w:r w:rsidRPr="00A371E8">
        <w:rPr>
          <w:rFonts w:ascii="Times New Roman" w:hAnsi="Times New Roman" w:cs="Times New Roman"/>
          <w:sz w:val="24"/>
          <w:szCs w:val="24"/>
        </w:rPr>
        <w:t>Fax: +44 (0)131 474 0001</w:t>
      </w:r>
    </w:p>
    <w:p w:rsidR="00D95DE9" w:rsidRPr="0097030D" w:rsidRDefault="00A20D8D" w:rsidP="0097030D">
      <w:pPr>
        <w:spacing w:line="360" w:lineRule="auto"/>
        <w:rPr>
          <w:rFonts w:ascii="Times New Roman" w:hAnsi="Times New Roman" w:cs="Times New Roman"/>
          <w:color w:val="0000FF" w:themeColor="hyperlink"/>
          <w:sz w:val="24"/>
          <w:szCs w:val="24"/>
          <w:u w:val="single"/>
        </w:rPr>
      </w:pPr>
      <w:r w:rsidRPr="00A371E8">
        <w:rPr>
          <w:rFonts w:ascii="Times New Roman" w:hAnsi="Times New Roman" w:cs="Times New Roman"/>
          <w:sz w:val="24"/>
          <w:szCs w:val="24"/>
        </w:rPr>
        <w:t xml:space="preserve">Email </w:t>
      </w:r>
      <w:hyperlink r:id="rId5" w:history="1">
        <w:r w:rsidRPr="00A371E8">
          <w:rPr>
            <w:rStyle w:val="Hyperlink"/>
            <w:rFonts w:ascii="Times New Roman" w:hAnsi="Times New Roman" w:cs="Times New Roman"/>
            <w:sz w:val="24"/>
            <w:szCs w:val="24"/>
          </w:rPr>
          <w:t>mrutherford@qmu.ac.uk</w:t>
        </w:r>
      </w:hyperlink>
    </w:p>
    <w:p w:rsidR="00657995" w:rsidRPr="00657995" w:rsidRDefault="00D95DE9" w:rsidP="008C6853">
      <w:pPr>
        <w:autoSpaceDE w:val="0"/>
        <w:autoSpaceDN w:val="0"/>
        <w:adjustRightInd w:val="0"/>
        <w:spacing w:after="0" w:line="480" w:lineRule="auto"/>
        <w:contextualSpacing w:val="0"/>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Abstract</w:t>
      </w:r>
    </w:p>
    <w:p w:rsidR="00657995" w:rsidRPr="00657995" w:rsidRDefault="00657995" w:rsidP="008C6853">
      <w:pPr>
        <w:autoSpaceDE w:val="0"/>
        <w:autoSpaceDN w:val="0"/>
        <w:adjustRightInd w:val="0"/>
        <w:spacing w:after="0" w:line="480" w:lineRule="auto"/>
        <w:contextualSpacing w:val="0"/>
        <w:rPr>
          <w:rFonts w:ascii="Times New Roman" w:hAnsi="Times New Roman" w:cs="Times New Roman"/>
          <w:sz w:val="24"/>
          <w:szCs w:val="24"/>
          <w:lang w:val="en-GB"/>
        </w:rPr>
      </w:pPr>
      <w:r w:rsidRPr="00657995">
        <w:rPr>
          <w:rFonts w:ascii="Times New Roman" w:hAnsi="Times New Roman" w:cs="Times New Roman"/>
          <w:sz w:val="24"/>
          <w:szCs w:val="24"/>
          <w:lang w:val="en-GB"/>
        </w:rPr>
        <w:t xml:space="preserve">This article reports on gender ratio, age of diagnosis and the duration of assessment procedures in autism spectrum disorder diagnosis in a national study which included all types of clinical services for children and adults. Findings are reported from a retrospective </w:t>
      </w:r>
      <w:proofErr w:type="gramStart"/>
      <w:r w:rsidRPr="00657995">
        <w:rPr>
          <w:rFonts w:ascii="Times New Roman" w:hAnsi="Times New Roman" w:cs="Times New Roman"/>
          <w:sz w:val="24"/>
          <w:szCs w:val="24"/>
          <w:lang w:val="en-GB"/>
        </w:rPr>
        <w:t>case</w:t>
      </w:r>
      <w:proofErr w:type="gramEnd"/>
      <w:r w:rsidRPr="00657995">
        <w:rPr>
          <w:rFonts w:ascii="Times New Roman" w:hAnsi="Times New Roman" w:cs="Times New Roman"/>
          <w:sz w:val="24"/>
          <w:szCs w:val="24"/>
          <w:lang w:val="en-GB"/>
        </w:rPr>
        <w:t xml:space="preserve"> note analysis undertaken with a representative sample of 150 Scottish children and adults recently diagnosed with autism spectrum disorder. The study reports key findings that the gender ratio in this consecutively referred cohort is lower than anticipated in some age groups and reduces with increasing age. The gender ratio in children, together with the significant difference in the mean age of referral and diagnosis for girls compared</w:t>
      </w:r>
    </w:p>
    <w:p w:rsidR="00F014FE" w:rsidRPr="00657995" w:rsidRDefault="00657995" w:rsidP="008C6853">
      <w:pPr>
        <w:autoSpaceDE w:val="0"/>
        <w:autoSpaceDN w:val="0"/>
        <w:adjustRightInd w:val="0"/>
        <w:spacing w:after="0" w:line="480" w:lineRule="auto"/>
        <w:contextualSpacing w:val="0"/>
        <w:rPr>
          <w:rFonts w:ascii="Times New Roman" w:hAnsi="Times New Roman" w:cs="Times New Roman"/>
          <w:sz w:val="24"/>
          <w:szCs w:val="24"/>
          <w:lang w:val="en-GB"/>
        </w:rPr>
      </w:pPr>
      <w:proofErr w:type="gramStart"/>
      <w:r w:rsidRPr="00657995">
        <w:rPr>
          <w:rFonts w:ascii="Times New Roman" w:hAnsi="Times New Roman" w:cs="Times New Roman"/>
          <w:sz w:val="24"/>
          <w:szCs w:val="24"/>
          <w:lang w:val="en-GB"/>
        </w:rPr>
        <w:t>to</w:t>
      </w:r>
      <w:proofErr w:type="gramEnd"/>
      <w:r w:rsidRPr="00657995">
        <w:rPr>
          <w:rFonts w:ascii="Times New Roman" w:hAnsi="Times New Roman" w:cs="Times New Roman"/>
          <w:sz w:val="24"/>
          <w:szCs w:val="24"/>
          <w:lang w:val="en-GB"/>
        </w:rPr>
        <w:t xml:space="preserve"> boys, adds evidence of delayed recognition of autism spectrum disorder in younger girls. There was no significant difference in duration of assessment for males and females suggesting that delays in diagnosis of females occur prior to referral for assessment. Implications for practice and research are considered.</w:t>
      </w:r>
    </w:p>
    <w:p w:rsidR="00657995" w:rsidRPr="00657995" w:rsidRDefault="00657995" w:rsidP="008C6853">
      <w:pPr>
        <w:spacing w:line="480" w:lineRule="auto"/>
        <w:rPr>
          <w:rFonts w:ascii="Times New Roman" w:hAnsi="Times New Roman" w:cs="Times New Roman"/>
          <w:sz w:val="24"/>
          <w:szCs w:val="24"/>
          <w:lang w:val="en-GB"/>
        </w:rPr>
      </w:pPr>
    </w:p>
    <w:p w:rsidR="00657995" w:rsidRPr="00657995" w:rsidRDefault="00657995" w:rsidP="008C6853">
      <w:pPr>
        <w:autoSpaceDE w:val="0"/>
        <w:autoSpaceDN w:val="0"/>
        <w:adjustRightInd w:val="0"/>
        <w:spacing w:after="0" w:line="480" w:lineRule="auto"/>
        <w:contextualSpacing w:val="0"/>
        <w:rPr>
          <w:rFonts w:ascii="Times New Roman" w:hAnsi="Times New Roman" w:cs="Times New Roman"/>
          <w:b/>
          <w:bCs/>
          <w:sz w:val="24"/>
          <w:szCs w:val="24"/>
          <w:lang w:val="en-GB"/>
        </w:rPr>
      </w:pPr>
      <w:r w:rsidRPr="00657995">
        <w:rPr>
          <w:rFonts w:ascii="Times New Roman" w:hAnsi="Times New Roman" w:cs="Times New Roman"/>
          <w:b/>
          <w:bCs/>
          <w:sz w:val="24"/>
          <w:szCs w:val="24"/>
          <w:lang w:val="en-GB"/>
        </w:rPr>
        <w:t>Keywords</w:t>
      </w:r>
    </w:p>
    <w:p w:rsidR="00657995" w:rsidRPr="00657995" w:rsidRDefault="00657995" w:rsidP="008C6853">
      <w:pPr>
        <w:spacing w:line="480" w:lineRule="auto"/>
        <w:rPr>
          <w:rFonts w:ascii="Times New Roman" w:hAnsi="Times New Roman" w:cs="Times New Roman"/>
          <w:sz w:val="24"/>
          <w:szCs w:val="24"/>
          <w:lang w:val="en-GB"/>
        </w:rPr>
      </w:pPr>
      <w:proofErr w:type="gramStart"/>
      <w:r w:rsidRPr="00657995">
        <w:rPr>
          <w:rFonts w:ascii="Times New Roman" w:hAnsi="Times New Roman" w:cs="Times New Roman"/>
          <w:sz w:val="24"/>
          <w:szCs w:val="24"/>
          <w:lang w:val="en-GB"/>
        </w:rPr>
        <w:t>autism</w:t>
      </w:r>
      <w:proofErr w:type="gramEnd"/>
      <w:r w:rsidRPr="00657995">
        <w:rPr>
          <w:rFonts w:ascii="Times New Roman" w:hAnsi="Times New Roman" w:cs="Times New Roman"/>
          <w:sz w:val="24"/>
          <w:szCs w:val="24"/>
          <w:lang w:val="en-GB"/>
        </w:rPr>
        <w:t xml:space="preserve"> spectrum disorder, diagnosis, females, gender, males</w:t>
      </w:r>
    </w:p>
    <w:p w:rsidR="00F515AA" w:rsidRDefault="00F515AA" w:rsidP="004349AD">
      <w:pPr>
        <w:autoSpaceDE w:val="0"/>
        <w:autoSpaceDN w:val="0"/>
        <w:adjustRightInd w:val="0"/>
        <w:spacing w:after="0" w:line="480" w:lineRule="auto"/>
        <w:contextualSpacing w:val="0"/>
        <w:rPr>
          <w:rFonts w:ascii="Times New Roman" w:hAnsi="Times New Roman" w:cs="Times New Roman"/>
          <w:b/>
          <w:bCs/>
          <w:sz w:val="24"/>
          <w:szCs w:val="24"/>
          <w:lang w:val="en-GB"/>
        </w:rPr>
      </w:pPr>
    </w:p>
    <w:p w:rsidR="00F515AA" w:rsidRDefault="00F515AA" w:rsidP="004349AD">
      <w:pPr>
        <w:autoSpaceDE w:val="0"/>
        <w:autoSpaceDN w:val="0"/>
        <w:adjustRightInd w:val="0"/>
        <w:spacing w:after="0" w:line="480" w:lineRule="auto"/>
        <w:contextualSpacing w:val="0"/>
        <w:rPr>
          <w:rFonts w:ascii="Times New Roman" w:hAnsi="Times New Roman" w:cs="Times New Roman"/>
          <w:b/>
          <w:bCs/>
          <w:sz w:val="24"/>
          <w:szCs w:val="24"/>
          <w:lang w:val="en-GB"/>
        </w:rPr>
      </w:pPr>
    </w:p>
    <w:p w:rsidR="004349AD" w:rsidRPr="004349AD" w:rsidRDefault="004349AD" w:rsidP="004349AD">
      <w:pPr>
        <w:autoSpaceDE w:val="0"/>
        <w:autoSpaceDN w:val="0"/>
        <w:adjustRightInd w:val="0"/>
        <w:spacing w:after="0" w:line="480" w:lineRule="auto"/>
        <w:contextualSpacing w:val="0"/>
        <w:rPr>
          <w:rFonts w:ascii="Times New Roman" w:hAnsi="Times New Roman" w:cs="Times New Roman"/>
          <w:b/>
          <w:bCs/>
          <w:sz w:val="24"/>
          <w:szCs w:val="24"/>
          <w:lang w:val="en-GB"/>
        </w:rPr>
      </w:pPr>
      <w:r w:rsidRPr="004349AD">
        <w:rPr>
          <w:rFonts w:ascii="Times New Roman" w:hAnsi="Times New Roman" w:cs="Times New Roman"/>
          <w:b/>
          <w:bCs/>
          <w:sz w:val="24"/>
          <w:szCs w:val="24"/>
          <w:lang w:val="en-GB"/>
        </w:rPr>
        <w:lastRenderedPageBreak/>
        <w:t>Introduction</w:t>
      </w:r>
    </w:p>
    <w:p w:rsidR="001F77FF" w:rsidRDefault="004349AD" w:rsidP="004349AD">
      <w:pPr>
        <w:autoSpaceDE w:val="0"/>
        <w:autoSpaceDN w:val="0"/>
        <w:adjustRightInd w:val="0"/>
        <w:spacing w:after="0" w:line="480" w:lineRule="auto"/>
        <w:contextualSpacing w:val="0"/>
        <w:rPr>
          <w:rFonts w:ascii="Times New Roman" w:hAnsi="Times New Roman" w:cs="Times New Roman"/>
          <w:sz w:val="24"/>
          <w:szCs w:val="24"/>
          <w:lang w:val="en-GB"/>
        </w:rPr>
      </w:pPr>
      <w:r w:rsidRPr="004349AD">
        <w:rPr>
          <w:rFonts w:ascii="Times New Roman" w:hAnsi="Times New Roman" w:cs="Times New Roman"/>
          <w:sz w:val="24"/>
          <w:szCs w:val="24"/>
          <w:lang w:val="en-GB"/>
        </w:rPr>
        <w:t xml:space="preserve">Early diagnosis of autism spectrum disorder (ASD) contributes to better outcomes, </w:t>
      </w:r>
      <w:r>
        <w:rPr>
          <w:rFonts w:ascii="Times New Roman" w:hAnsi="Times New Roman" w:cs="Times New Roman"/>
          <w:sz w:val="24"/>
          <w:szCs w:val="24"/>
          <w:lang w:val="en-GB"/>
        </w:rPr>
        <w:t xml:space="preserve">as a result of timely access to </w:t>
      </w:r>
      <w:r w:rsidRPr="004349AD">
        <w:rPr>
          <w:rFonts w:ascii="Times New Roman" w:hAnsi="Times New Roman" w:cs="Times New Roman"/>
          <w:sz w:val="24"/>
          <w:szCs w:val="24"/>
          <w:lang w:val="en-GB"/>
        </w:rPr>
        <w:t>appropriate interventions (Begeer et al., 2013). Delays in diagnosis are common regar</w:t>
      </w:r>
      <w:r>
        <w:rPr>
          <w:rFonts w:ascii="Times New Roman" w:hAnsi="Times New Roman" w:cs="Times New Roman"/>
          <w:sz w:val="24"/>
          <w:szCs w:val="24"/>
          <w:lang w:val="en-GB"/>
        </w:rPr>
        <w:t xml:space="preserve">dless of gender; however, girls </w:t>
      </w:r>
      <w:r w:rsidRPr="004349AD">
        <w:rPr>
          <w:rFonts w:ascii="Times New Roman" w:hAnsi="Times New Roman" w:cs="Times New Roman"/>
          <w:sz w:val="24"/>
          <w:szCs w:val="24"/>
          <w:lang w:val="en-GB"/>
        </w:rPr>
        <w:t>with ASD are particularly disadvantaged through under recognition, misdiagnosis or delayed diagnosis (Giarelli et al., 2010; Shattuck et al., 2009). The picture is somewhat different in adults, with r</w:t>
      </w:r>
      <w:r>
        <w:rPr>
          <w:rFonts w:ascii="Times New Roman" w:hAnsi="Times New Roman" w:cs="Times New Roman"/>
          <w:sz w:val="24"/>
          <w:szCs w:val="24"/>
          <w:lang w:val="en-GB"/>
        </w:rPr>
        <w:t xml:space="preserve">ecent studies reporting similar </w:t>
      </w:r>
      <w:r w:rsidRPr="004349AD">
        <w:rPr>
          <w:rFonts w:ascii="Times New Roman" w:hAnsi="Times New Roman" w:cs="Times New Roman"/>
          <w:sz w:val="24"/>
          <w:szCs w:val="24"/>
          <w:lang w:val="en-GB"/>
        </w:rPr>
        <w:t>mean ages of diagnosis regardless of gender, ranging from 31 to 34.1 years (Geu</w:t>
      </w:r>
      <w:r>
        <w:rPr>
          <w:rFonts w:ascii="Times New Roman" w:hAnsi="Times New Roman" w:cs="Times New Roman"/>
          <w:sz w:val="24"/>
          <w:szCs w:val="24"/>
          <w:lang w:val="en-GB"/>
        </w:rPr>
        <w:t xml:space="preserve">rts and Jansen, 2012; Lehnhardt </w:t>
      </w:r>
      <w:r w:rsidRPr="004349AD">
        <w:rPr>
          <w:rFonts w:ascii="Times New Roman" w:hAnsi="Times New Roman" w:cs="Times New Roman"/>
          <w:sz w:val="24"/>
          <w:szCs w:val="24"/>
          <w:lang w:val="en-GB"/>
        </w:rPr>
        <w:t xml:space="preserve">et al., 2012; Wilson et al., 2013). </w:t>
      </w:r>
    </w:p>
    <w:p w:rsidR="001F77FF" w:rsidRDefault="004349AD" w:rsidP="001F77FF">
      <w:pPr>
        <w:autoSpaceDE w:val="0"/>
        <w:autoSpaceDN w:val="0"/>
        <w:adjustRightInd w:val="0"/>
        <w:spacing w:after="0" w:line="480" w:lineRule="auto"/>
        <w:ind w:firstLine="720"/>
        <w:contextualSpacing w:val="0"/>
        <w:rPr>
          <w:rFonts w:ascii="Times New Roman" w:hAnsi="Times New Roman" w:cs="Times New Roman"/>
          <w:sz w:val="24"/>
          <w:szCs w:val="24"/>
          <w:lang w:val="en-GB"/>
        </w:rPr>
      </w:pPr>
      <w:r w:rsidRPr="004349AD">
        <w:rPr>
          <w:rFonts w:ascii="Times New Roman" w:hAnsi="Times New Roman" w:cs="Times New Roman"/>
          <w:sz w:val="24"/>
          <w:szCs w:val="24"/>
          <w:lang w:val="en-GB"/>
        </w:rPr>
        <w:t>Controlling for symptom severity, males are more</w:t>
      </w:r>
      <w:r w:rsidR="001F77FF">
        <w:rPr>
          <w:rFonts w:ascii="Times New Roman" w:hAnsi="Times New Roman" w:cs="Times New Roman"/>
          <w:sz w:val="24"/>
          <w:szCs w:val="24"/>
          <w:lang w:val="en-GB"/>
        </w:rPr>
        <w:t xml:space="preserve"> </w:t>
      </w:r>
      <w:r w:rsidRPr="003065E5">
        <w:rPr>
          <w:rFonts w:ascii="Times New Roman" w:hAnsi="Times New Roman" w:cs="Times New Roman"/>
          <w:sz w:val="24"/>
          <w:szCs w:val="24"/>
          <w:lang w:val="en-GB"/>
        </w:rPr>
        <w:t>likely to receive a diagnosis of ASD than females (Russell et al., 2011) and girls are more likely to be diagnosed with an intellectual disability (ID) than ASD (Levy et al., 2010). This is consistent with the idea that girls with an ASD may be under-identified because the disorder is understood to disproportionately affect males and is thus perceived as a</w:t>
      </w:r>
      <w:r w:rsidR="003065E5" w:rsidRPr="003065E5">
        <w:rPr>
          <w:rFonts w:ascii="Times New Roman" w:hAnsi="Times New Roman" w:cs="Times New Roman"/>
          <w:sz w:val="24"/>
          <w:szCs w:val="24"/>
          <w:lang w:val="en-GB"/>
        </w:rPr>
        <w:t xml:space="preserve"> </w:t>
      </w:r>
      <w:r w:rsidR="00F515AA">
        <w:rPr>
          <w:rFonts w:ascii="Times New Roman" w:hAnsi="Times New Roman" w:cs="Times New Roman"/>
          <w:sz w:val="24"/>
          <w:szCs w:val="24"/>
          <w:lang w:val="en-GB"/>
        </w:rPr>
        <w:t xml:space="preserve">‘male disorder’ (e.g. </w:t>
      </w:r>
      <w:r w:rsidR="003065E5" w:rsidRPr="003065E5">
        <w:rPr>
          <w:rFonts w:ascii="Times New Roman" w:hAnsi="Times New Roman" w:cs="Times New Roman"/>
          <w:sz w:val="24"/>
          <w:szCs w:val="24"/>
          <w:lang w:val="en-GB"/>
        </w:rPr>
        <w:t>Zwaigenbaum et al., 2012). The need</w:t>
      </w:r>
      <w:r w:rsidR="003065E5">
        <w:rPr>
          <w:rFonts w:ascii="Times New Roman" w:hAnsi="Times New Roman" w:cs="Times New Roman"/>
          <w:sz w:val="24"/>
          <w:szCs w:val="24"/>
          <w:lang w:val="en-GB"/>
        </w:rPr>
        <w:t xml:space="preserve"> </w:t>
      </w:r>
      <w:r w:rsidR="003065E5" w:rsidRPr="003065E5">
        <w:rPr>
          <w:rFonts w:ascii="Times New Roman" w:hAnsi="Times New Roman" w:cs="Times New Roman"/>
          <w:sz w:val="24"/>
          <w:szCs w:val="24"/>
          <w:lang w:val="en-GB"/>
        </w:rPr>
        <w:t>for females to displa</w:t>
      </w:r>
      <w:r w:rsidR="001F77FF">
        <w:rPr>
          <w:rFonts w:ascii="Times New Roman" w:hAnsi="Times New Roman" w:cs="Times New Roman"/>
          <w:sz w:val="24"/>
          <w:szCs w:val="24"/>
          <w:lang w:val="en-GB"/>
        </w:rPr>
        <w:t xml:space="preserve">y more severe symptomatology to </w:t>
      </w:r>
      <w:r w:rsidR="003065E5" w:rsidRPr="003065E5">
        <w:rPr>
          <w:rFonts w:ascii="Times New Roman" w:hAnsi="Times New Roman" w:cs="Times New Roman"/>
          <w:sz w:val="24"/>
          <w:szCs w:val="24"/>
          <w:lang w:val="en-GB"/>
        </w:rPr>
        <w:t>receive a diagnosis of ASD m</w:t>
      </w:r>
      <w:r w:rsidR="003065E5">
        <w:rPr>
          <w:rFonts w:ascii="Times New Roman" w:hAnsi="Times New Roman" w:cs="Times New Roman"/>
          <w:sz w:val="24"/>
          <w:szCs w:val="24"/>
          <w:lang w:val="en-GB"/>
        </w:rPr>
        <w:t xml:space="preserve">ay explain the apparent paradox </w:t>
      </w:r>
      <w:r w:rsidR="003065E5" w:rsidRPr="003065E5">
        <w:rPr>
          <w:rFonts w:ascii="Times New Roman" w:hAnsi="Times New Roman" w:cs="Times New Roman"/>
          <w:sz w:val="24"/>
          <w:szCs w:val="24"/>
          <w:lang w:val="en-GB"/>
        </w:rPr>
        <w:t>that in clinically</w:t>
      </w:r>
      <w:r w:rsidR="003065E5">
        <w:rPr>
          <w:rFonts w:ascii="Times New Roman" w:hAnsi="Times New Roman" w:cs="Times New Roman"/>
          <w:sz w:val="24"/>
          <w:szCs w:val="24"/>
          <w:lang w:val="en-GB"/>
        </w:rPr>
        <w:t xml:space="preserve"> diagnosed samples, females may </w:t>
      </w:r>
      <w:r w:rsidR="003065E5" w:rsidRPr="003065E5">
        <w:rPr>
          <w:rFonts w:ascii="Times New Roman" w:hAnsi="Times New Roman" w:cs="Times New Roman"/>
          <w:sz w:val="24"/>
          <w:szCs w:val="24"/>
          <w:lang w:val="en-GB"/>
        </w:rPr>
        <w:t xml:space="preserve">show more severe ASD traits and </w:t>
      </w:r>
      <w:r w:rsidR="001F77FF">
        <w:rPr>
          <w:rFonts w:ascii="Times New Roman" w:hAnsi="Times New Roman" w:cs="Times New Roman"/>
          <w:sz w:val="24"/>
          <w:szCs w:val="24"/>
          <w:lang w:val="en-GB"/>
        </w:rPr>
        <w:t xml:space="preserve">comorbid psychopathology </w:t>
      </w:r>
      <w:r w:rsidR="003065E5" w:rsidRPr="001F77FF">
        <w:rPr>
          <w:rFonts w:ascii="Times New Roman" w:hAnsi="Times New Roman" w:cs="Times New Roman"/>
          <w:sz w:val="24"/>
          <w:szCs w:val="24"/>
          <w:lang w:val="en-GB"/>
        </w:rPr>
        <w:t xml:space="preserve">than males even though the latter have a greater vulnerability to ASD (e.g. Dworzynski et al., 2012). </w:t>
      </w:r>
    </w:p>
    <w:p w:rsidR="001F77FF" w:rsidRDefault="003065E5" w:rsidP="001F77FF">
      <w:pPr>
        <w:autoSpaceDE w:val="0"/>
        <w:autoSpaceDN w:val="0"/>
        <w:adjustRightInd w:val="0"/>
        <w:spacing w:after="0" w:line="480" w:lineRule="auto"/>
        <w:ind w:firstLine="720"/>
        <w:contextualSpacing w:val="0"/>
        <w:rPr>
          <w:rFonts w:ascii="Times New Roman" w:hAnsi="Times New Roman" w:cs="Times New Roman"/>
          <w:sz w:val="24"/>
          <w:szCs w:val="24"/>
          <w:lang w:val="en-GB"/>
        </w:rPr>
      </w:pPr>
      <w:r w:rsidRPr="001F77FF">
        <w:rPr>
          <w:rFonts w:ascii="Times New Roman" w:hAnsi="Times New Roman" w:cs="Times New Roman"/>
          <w:sz w:val="24"/>
          <w:szCs w:val="24"/>
          <w:lang w:val="en-GB"/>
        </w:rPr>
        <w:lastRenderedPageBreak/>
        <w:t>The reported gender ratio in ASD varies according to the age and type of population studied. Large-scale studies of</w:t>
      </w:r>
      <w:r w:rsidR="001F77FF" w:rsidRPr="001F77FF">
        <w:rPr>
          <w:rFonts w:ascii="Times New Roman" w:hAnsi="Times New Roman" w:cs="Times New Roman"/>
          <w:sz w:val="24"/>
          <w:szCs w:val="24"/>
          <w:lang w:val="en-GB"/>
        </w:rPr>
        <w:t xml:space="preserve"> children of all intellectual levels commonly report a gender</w:t>
      </w:r>
      <w:r w:rsidR="001F77FF">
        <w:rPr>
          <w:rFonts w:ascii="Times New Roman" w:hAnsi="Times New Roman" w:cs="Times New Roman"/>
          <w:sz w:val="24"/>
          <w:szCs w:val="24"/>
          <w:lang w:val="en-GB"/>
        </w:rPr>
        <w:t xml:space="preserve"> </w:t>
      </w:r>
      <w:r w:rsidR="001F77FF" w:rsidRPr="001F77FF">
        <w:rPr>
          <w:rFonts w:ascii="Times New Roman" w:hAnsi="Times New Roman" w:cs="Times New Roman"/>
          <w:sz w:val="24"/>
          <w:szCs w:val="24"/>
          <w:lang w:val="en-GB"/>
        </w:rPr>
        <w:t>ratio of 3–4 males:1 femal</w:t>
      </w:r>
      <w:r w:rsidR="001F77FF">
        <w:rPr>
          <w:rFonts w:ascii="Times New Roman" w:hAnsi="Times New Roman" w:cs="Times New Roman"/>
          <w:sz w:val="24"/>
          <w:szCs w:val="24"/>
          <w:lang w:val="en-GB"/>
        </w:rPr>
        <w:t xml:space="preserve">e (e.g. Shattuck et al., 2009), </w:t>
      </w:r>
      <w:r w:rsidR="001F77FF" w:rsidRPr="001F77FF">
        <w:rPr>
          <w:rFonts w:ascii="Times New Roman" w:hAnsi="Times New Roman" w:cs="Times New Roman"/>
          <w:sz w:val="24"/>
          <w:szCs w:val="24"/>
          <w:lang w:val="en-GB"/>
        </w:rPr>
        <w:t>although greater ratios have bee</w:t>
      </w:r>
      <w:r w:rsidR="001F77FF">
        <w:rPr>
          <w:rFonts w:ascii="Times New Roman" w:hAnsi="Times New Roman" w:cs="Times New Roman"/>
          <w:sz w:val="24"/>
          <w:szCs w:val="24"/>
          <w:lang w:val="en-GB"/>
        </w:rPr>
        <w:t xml:space="preserve">n reported by other researchers </w:t>
      </w:r>
      <w:r w:rsidR="001F77FF" w:rsidRPr="001F77FF">
        <w:rPr>
          <w:rFonts w:ascii="Times New Roman" w:hAnsi="Times New Roman" w:cs="Times New Roman"/>
          <w:sz w:val="24"/>
          <w:szCs w:val="24"/>
          <w:lang w:val="en-GB"/>
        </w:rPr>
        <w:t>who both include (</w:t>
      </w:r>
      <w:r w:rsidR="001F77FF">
        <w:rPr>
          <w:rFonts w:ascii="Times New Roman" w:hAnsi="Times New Roman" w:cs="Times New Roman"/>
          <w:sz w:val="24"/>
          <w:szCs w:val="24"/>
          <w:lang w:val="en-GB"/>
        </w:rPr>
        <w:t xml:space="preserve">e.g. Blumberg et al., 2013) and </w:t>
      </w:r>
      <w:r w:rsidR="001F77FF" w:rsidRPr="001F77FF">
        <w:rPr>
          <w:rFonts w:ascii="Times New Roman" w:hAnsi="Times New Roman" w:cs="Times New Roman"/>
          <w:sz w:val="24"/>
          <w:szCs w:val="24"/>
          <w:lang w:val="en-GB"/>
        </w:rPr>
        <w:t>exclude children with ID (e.g. Mattil</w:t>
      </w:r>
      <w:r w:rsidR="001F77FF">
        <w:rPr>
          <w:rFonts w:ascii="Times New Roman" w:hAnsi="Times New Roman" w:cs="Times New Roman"/>
          <w:sz w:val="24"/>
          <w:szCs w:val="24"/>
          <w:lang w:val="en-GB"/>
        </w:rPr>
        <w:t xml:space="preserve">a et al., 2007). A growing </w:t>
      </w:r>
      <w:r w:rsidR="001F77FF" w:rsidRPr="001F77FF">
        <w:rPr>
          <w:rFonts w:ascii="Times New Roman" w:hAnsi="Times New Roman" w:cs="Times New Roman"/>
          <w:sz w:val="24"/>
          <w:szCs w:val="24"/>
          <w:lang w:val="en-GB"/>
        </w:rPr>
        <w:t>number of well-conducted, la</w:t>
      </w:r>
      <w:r w:rsidR="001F77FF">
        <w:rPr>
          <w:rFonts w:ascii="Times New Roman" w:hAnsi="Times New Roman" w:cs="Times New Roman"/>
          <w:sz w:val="24"/>
          <w:szCs w:val="24"/>
          <w:lang w:val="en-GB"/>
        </w:rPr>
        <w:t xml:space="preserve">rge-scale studies with children </w:t>
      </w:r>
      <w:r w:rsidR="001F77FF" w:rsidRPr="001F77FF">
        <w:rPr>
          <w:rFonts w:ascii="Times New Roman" w:hAnsi="Times New Roman" w:cs="Times New Roman"/>
          <w:sz w:val="24"/>
          <w:szCs w:val="24"/>
          <w:lang w:val="en-GB"/>
        </w:rPr>
        <w:t>report greater female repr</w:t>
      </w:r>
      <w:r w:rsidR="001F77FF">
        <w:rPr>
          <w:rFonts w:ascii="Times New Roman" w:hAnsi="Times New Roman" w:cs="Times New Roman"/>
          <w:sz w:val="24"/>
          <w:szCs w:val="24"/>
          <w:lang w:val="en-GB"/>
        </w:rPr>
        <w:t xml:space="preserve">esentation in clinical cohorts, </w:t>
      </w:r>
      <w:r w:rsidR="001F77FF" w:rsidRPr="001F77FF">
        <w:rPr>
          <w:rFonts w:ascii="Times New Roman" w:hAnsi="Times New Roman" w:cs="Times New Roman"/>
          <w:sz w:val="24"/>
          <w:szCs w:val="24"/>
          <w:lang w:val="en-GB"/>
        </w:rPr>
        <w:t>with gender ratios of 2–5:1 in populations with and without</w:t>
      </w:r>
      <w:r w:rsidR="001F77FF">
        <w:rPr>
          <w:rFonts w:ascii="Times New Roman" w:hAnsi="Times New Roman" w:cs="Times New Roman"/>
          <w:sz w:val="24"/>
          <w:szCs w:val="24"/>
          <w:lang w:val="en-GB"/>
        </w:rPr>
        <w:t xml:space="preserve"> </w:t>
      </w:r>
      <w:r w:rsidR="001F77FF" w:rsidRPr="001F77FF">
        <w:rPr>
          <w:rFonts w:ascii="Times New Roman" w:hAnsi="Times New Roman" w:cs="Times New Roman"/>
          <w:sz w:val="24"/>
          <w:szCs w:val="24"/>
          <w:lang w:val="en-GB"/>
        </w:rPr>
        <w:t>ID (Lai et al., 2015). The nationwide US study (Baio, 2012)</w:t>
      </w:r>
      <w:r w:rsidR="001F77FF">
        <w:rPr>
          <w:rFonts w:ascii="Times New Roman" w:hAnsi="Times New Roman" w:cs="Times New Roman"/>
          <w:sz w:val="24"/>
          <w:szCs w:val="24"/>
          <w:lang w:val="en-GB"/>
        </w:rPr>
        <w:t xml:space="preserve"> </w:t>
      </w:r>
      <w:r w:rsidR="001F77FF" w:rsidRPr="001F77FF">
        <w:rPr>
          <w:rFonts w:ascii="Times New Roman" w:hAnsi="Times New Roman" w:cs="Times New Roman"/>
          <w:sz w:val="24"/>
          <w:szCs w:val="24"/>
          <w:lang w:val="en-GB"/>
        </w:rPr>
        <w:t>reported state-wide gend</w:t>
      </w:r>
      <w:r w:rsidR="001F77FF">
        <w:rPr>
          <w:rFonts w:ascii="Times New Roman" w:hAnsi="Times New Roman" w:cs="Times New Roman"/>
          <w:sz w:val="24"/>
          <w:szCs w:val="24"/>
          <w:lang w:val="en-GB"/>
        </w:rPr>
        <w:t xml:space="preserve">er ratios ranging from 2.6–7:1. </w:t>
      </w:r>
      <w:r w:rsidR="001F77FF" w:rsidRPr="001F77FF">
        <w:rPr>
          <w:rFonts w:ascii="Times New Roman" w:hAnsi="Times New Roman" w:cs="Times New Roman"/>
          <w:sz w:val="24"/>
          <w:szCs w:val="24"/>
          <w:lang w:val="en-GB"/>
        </w:rPr>
        <w:t>Worley et al. (2011) found a gend</w:t>
      </w:r>
      <w:r w:rsidR="001F77FF">
        <w:rPr>
          <w:rFonts w:ascii="Times New Roman" w:hAnsi="Times New Roman" w:cs="Times New Roman"/>
          <w:sz w:val="24"/>
          <w:szCs w:val="24"/>
          <w:lang w:val="en-GB"/>
        </w:rPr>
        <w:t xml:space="preserve">er ratio of 1.16:1 in toddlers, </w:t>
      </w:r>
      <w:r w:rsidR="001F77FF" w:rsidRPr="001F77FF">
        <w:rPr>
          <w:rFonts w:ascii="Times New Roman" w:hAnsi="Times New Roman" w:cs="Times New Roman"/>
          <w:sz w:val="24"/>
          <w:szCs w:val="24"/>
          <w:lang w:val="en-GB"/>
        </w:rPr>
        <w:t>suggesting that close</w:t>
      </w:r>
      <w:r w:rsidR="001F77FF">
        <w:rPr>
          <w:rFonts w:ascii="Times New Roman" w:hAnsi="Times New Roman" w:cs="Times New Roman"/>
          <w:sz w:val="24"/>
          <w:szCs w:val="24"/>
          <w:lang w:val="en-GB"/>
        </w:rPr>
        <w:t xml:space="preserve">r study of different age groups </w:t>
      </w:r>
      <w:r w:rsidR="001F77FF" w:rsidRPr="001F77FF">
        <w:rPr>
          <w:rFonts w:ascii="Times New Roman" w:hAnsi="Times New Roman" w:cs="Times New Roman"/>
          <w:sz w:val="24"/>
          <w:szCs w:val="24"/>
          <w:lang w:val="en-GB"/>
        </w:rPr>
        <w:t>could be important in unde</w:t>
      </w:r>
      <w:r w:rsidR="001F77FF">
        <w:rPr>
          <w:rFonts w:ascii="Times New Roman" w:hAnsi="Times New Roman" w:cs="Times New Roman"/>
          <w:sz w:val="24"/>
          <w:szCs w:val="24"/>
          <w:lang w:val="en-GB"/>
        </w:rPr>
        <w:t xml:space="preserve">rstanding of under-diagnosis of </w:t>
      </w:r>
      <w:r w:rsidR="001F77FF" w:rsidRPr="001F77FF">
        <w:rPr>
          <w:rFonts w:ascii="Times New Roman" w:hAnsi="Times New Roman" w:cs="Times New Roman"/>
          <w:sz w:val="24"/>
          <w:szCs w:val="24"/>
          <w:lang w:val="en-GB"/>
        </w:rPr>
        <w:t>ASD in some fem</w:t>
      </w:r>
      <w:r w:rsidR="001F77FF">
        <w:rPr>
          <w:rFonts w:ascii="Times New Roman" w:hAnsi="Times New Roman" w:cs="Times New Roman"/>
          <w:sz w:val="24"/>
          <w:szCs w:val="24"/>
          <w:lang w:val="en-GB"/>
        </w:rPr>
        <w:t xml:space="preserve">ale groups. </w:t>
      </w:r>
    </w:p>
    <w:p w:rsidR="001F77FF" w:rsidRDefault="001F77FF" w:rsidP="001F77FF">
      <w:pPr>
        <w:autoSpaceDE w:val="0"/>
        <w:autoSpaceDN w:val="0"/>
        <w:adjustRightInd w:val="0"/>
        <w:spacing w:after="0" w:line="480" w:lineRule="auto"/>
        <w:ind w:firstLine="720"/>
        <w:contextualSpacing w:val="0"/>
        <w:rPr>
          <w:rFonts w:ascii="Times New Roman" w:hAnsi="Times New Roman" w:cs="Times New Roman"/>
          <w:sz w:val="24"/>
          <w:szCs w:val="24"/>
          <w:lang w:val="en-GB"/>
        </w:rPr>
      </w:pPr>
      <w:r w:rsidRPr="001F77FF">
        <w:rPr>
          <w:rFonts w:ascii="Times New Roman" w:hAnsi="Times New Roman" w:cs="Times New Roman"/>
          <w:sz w:val="24"/>
          <w:szCs w:val="24"/>
          <w:lang w:val="en-GB"/>
        </w:rPr>
        <w:t>The reported gender r</w:t>
      </w:r>
      <w:r>
        <w:rPr>
          <w:rFonts w:ascii="Times New Roman" w:hAnsi="Times New Roman" w:cs="Times New Roman"/>
          <w:sz w:val="24"/>
          <w:szCs w:val="24"/>
          <w:lang w:val="en-GB"/>
        </w:rPr>
        <w:t xml:space="preserve">atio in adults ranges between 9 </w:t>
      </w:r>
      <w:r w:rsidRPr="001F77FF">
        <w:rPr>
          <w:rFonts w:ascii="Times New Roman" w:hAnsi="Times New Roman" w:cs="Times New Roman"/>
          <w:sz w:val="24"/>
          <w:szCs w:val="24"/>
          <w:lang w:val="en-GB"/>
        </w:rPr>
        <w:t>males</w:t>
      </w:r>
      <w:proofErr w:type="gramStart"/>
      <w:r w:rsidRPr="001F77FF">
        <w:rPr>
          <w:rFonts w:ascii="Times New Roman" w:hAnsi="Times New Roman" w:cs="Times New Roman"/>
          <w:sz w:val="24"/>
          <w:szCs w:val="24"/>
          <w:lang w:val="en-GB"/>
        </w:rPr>
        <w:t>:1</w:t>
      </w:r>
      <w:proofErr w:type="gramEnd"/>
      <w:r w:rsidRPr="001F77FF">
        <w:rPr>
          <w:rFonts w:ascii="Times New Roman" w:hAnsi="Times New Roman" w:cs="Times New Roman"/>
          <w:sz w:val="24"/>
          <w:szCs w:val="24"/>
          <w:lang w:val="en-GB"/>
        </w:rPr>
        <w:t xml:space="preserve"> female (Brugha et a</w:t>
      </w:r>
      <w:r>
        <w:rPr>
          <w:rFonts w:ascii="Times New Roman" w:hAnsi="Times New Roman" w:cs="Times New Roman"/>
          <w:sz w:val="24"/>
          <w:szCs w:val="24"/>
          <w:lang w:val="en-GB"/>
        </w:rPr>
        <w:t xml:space="preserve">l., 2009) and 2–2.4:1(Hofvander </w:t>
      </w:r>
      <w:r w:rsidRPr="001F77FF">
        <w:rPr>
          <w:rFonts w:ascii="Times New Roman" w:hAnsi="Times New Roman" w:cs="Times New Roman"/>
          <w:sz w:val="24"/>
          <w:szCs w:val="24"/>
          <w:lang w:val="en-GB"/>
        </w:rPr>
        <w:t>et al., 2009). Jensen et a</w:t>
      </w:r>
      <w:r>
        <w:rPr>
          <w:rFonts w:ascii="Times New Roman" w:hAnsi="Times New Roman" w:cs="Times New Roman"/>
          <w:sz w:val="24"/>
          <w:szCs w:val="24"/>
          <w:lang w:val="en-GB"/>
        </w:rPr>
        <w:t xml:space="preserve">l. (2014) studied ASD incidence </w:t>
      </w:r>
      <w:r w:rsidRPr="001F77FF">
        <w:rPr>
          <w:rFonts w:ascii="Times New Roman" w:hAnsi="Times New Roman" w:cs="Times New Roman"/>
          <w:sz w:val="24"/>
          <w:szCs w:val="24"/>
          <w:lang w:val="en-GB"/>
        </w:rPr>
        <w:t xml:space="preserve">rates across the lifespan </w:t>
      </w:r>
      <w:r>
        <w:rPr>
          <w:rFonts w:ascii="Times New Roman" w:hAnsi="Times New Roman" w:cs="Times New Roman"/>
          <w:sz w:val="24"/>
          <w:szCs w:val="24"/>
          <w:lang w:val="en-GB"/>
        </w:rPr>
        <w:t xml:space="preserve">and identified a reduction from </w:t>
      </w:r>
      <w:r w:rsidRPr="001F77FF">
        <w:rPr>
          <w:rFonts w:ascii="Times New Roman" w:hAnsi="Times New Roman" w:cs="Times New Roman"/>
          <w:sz w:val="24"/>
          <w:szCs w:val="24"/>
          <w:lang w:val="en-GB"/>
        </w:rPr>
        <w:t>5:</w:t>
      </w:r>
      <w:r>
        <w:rPr>
          <w:rFonts w:ascii="Times New Roman" w:hAnsi="Times New Roman" w:cs="Times New Roman"/>
          <w:sz w:val="24"/>
          <w:szCs w:val="24"/>
          <w:lang w:val="en-GB"/>
        </w:rPr>
        <w:t xml:space="preserve">1 to 3:1 between 1995 and 2010. </w:t>
      </w:r>
    </w:p>
    <w:p w:rsidR="001F77FF" w:rsidRDefault="001F77FF" w:rsidP="001F77FF">
      <w:pPr>
        <w:autoSpaceDE w:val="0"/>
        <w:autoSpaceDN w:val="0"/>
        <w:adjustRightInd w:val="0"/>
        <w:spacing w:after="0" w:line="480" w:lineRule="auto"/>
        <w:ind w:firstLine="720"/>
        <w:contextualSpacing w:val="0"/>
        <w:rPr>
          <w:rFonts w:ascii="Times New Roman" w:hAnsi="Times New Roman" w:cs="Times New Roman"/>
          <w:sz w:val="24"/>
          <w:szCs w:val="24"/>
          <w:lang w:val="en-GB"/>
        </w:rPr>
      </w:pPr>
      <w:r w:rsidRPr="001F77FF">
        <w:rPr>
          <w:rFonts w:ascii="Times New Roman" w:hAnsi="Times New Roman" w:cs="Times New Roman"/>
          <w:sz w:val="24"/>
          <w:szCs w:val="24"/>
          <w:lang w:val="en-GB"/>
        </w:rPr>
        <w:t>These changing gender</w:t>
      </w:r>
      <w:r>
        <w:rPr>
          <w:rFonts w:ascii="Times New Roman" w:hAnsi="Times New Roman" w:cs="Times New Roman"/>
          <w:sz w:val="24"/>
          <w:szCs w:val="24"/>
          <w:lang w:val="en-GB"/>
        </w:rPr>
        <w:t xml:space="preserve"> ratios may reflect either true </w:t>
      </w:r>
      <w:r w:rsidRPr="001F77FF">
        <w:rPr>
          <w:rFonts w:ascii="Times New Roman" w:hAnsi="Times New Roman" w:cs="Times New Roman"/>
          <w:sz w:val="24"/>
          <w:szCs w:val="24"/>
          <w:lang w:val="en-GB"/>
        </w:rPr>
        <w:t xml:space="preserve">differences in prevalence </w:t>
      </w:r>
      <w:r>
        <w:rPr>
          <w:rFonts w:ascii="Times New Roman" w:hAnsi="Times New Roman" w:cs="Times New Roman"/>
          <w:sz w:val="24"/>
          <w:szCs w:val="24"/>
          <w:lang w:val="en-GB"/>
        </w:rPr>
        <w:t xml:space="preserve">or differences in awareness and </w:t>
      </w:r>
      <w:r w:rsidRPr="001F77FF">
        <w:rPr>
          <w:rFonts w:ascii="Times New Roman" w:hAnsi="Times New Roman" w:cs="Times New Roman"/>
          <w:sz w:val="24"/>
          <w:szCs w:val="24"/>
          <w:lang w:val="en-GB"/>
        </w:rPr>
        <w:t xml:space="preserve">recognition of ASD in girls, as </w:t>
      </w:r>
      <w:r>
        <w:rPr>
          <w:rFonts w:ascii="Times New Roman" w:hAnsi="Times New Roman" w:cs="Times New Roman"/>
          <w:sz w:val="24"/>
          <w:szCs w:val="24"/>
          <w:lang w:val="en-GB"/>
        </w:rPr>
        <w:t xml:space="preserve">well as in diagnostic practice. </w:t>
      </w:r>
      <w:r w:rsidRPr="001F77FF">
        <w:rPr>
          <w:rFonts w:ascii="Times New Roman" w:hAnsi="Times New Roman" w:cs="Times New Roman"/>
          <w:sz w:val="24"/>
          <w:szCs w:val="24"/>
          <w:lang w:val="en-GB"/>
        </w:rPr>
        <w:t>As recognition of ASD changes, the true gender distribution</w:t>
      </w:r>
      <w:r>
        <w:rPr>
          <w:rFonts w:ascii="Times New Roman" w:hAnsi="Times New Roman" w:cs="Times New Roman"/>
          <w:sz w:val="24"/>
          <w:szCs w:val="24"/>
          <w:lang w:val="en-GB"/>
        </w:rPr>
        <w:t xml:space="preserve"> </w:t>
      </w:r>
      <w:r w:rsidRPr="001F77FF">
        <w:rPr>
          <w:rFonts w:ascii="Times New Roman" w:hAnsi="Times New Roman" w:cs="Times New Roman"/>
          <w:sz w:val="24"/>
          <w:szCs w:val="24"/>
          <w:lang w:val="en-GB"/>
        </w:rPr>
        <w:t>among indiv</w:t>
      </w:r>
      <w:r>
        <w:rPr>
          <w:rFonts w:ascii="Times New Roman" w:hAnsi="Times New Roman" w:cs="Times New Roman"/>
          <w:sz w:val="24"/>
          <w:szCs w:val="24"/>
          <w:lang w:val="en-GB"/>
        </w:rPr>
        <w:t xml:space="preserve">iduals with ASD </w:t>
      </w:r>
      <w:r>
        <w:rPr>
          <w:rFonts w:ascii="Times New Roman" w:hAnsi="Times New Roman" w:cs="Times New Roman"/>
          <w:sz w:val="24"/>
          <w:szCs w:val="24"/>
          <w:lang w:val="en-GB"/>
        </w:rPr>
        <w:lastRenderedPageBreak/>
        <w:t xml:space="preserve">remains an area </w:t>
      </w:r>
      <w:r w:rsidRPr="001F77FF">
        <w:rPr>
          <w:rFonts w:ascii="Times New Roman" w:hAnsi="Times New Roman" w:cs="Times New Roman"/>
          <w:sz w:val="24"/>
          <w:szCs w:val="24"/>
          <w:lang w:val="en-GB"/>
        </w:rPr>
        <w:t>worthy of study, and sampl</w:t>
      </w:r>
      <w:r>
        <w:rPr>
          <w:rFonts w:ascii="Times New Roman" w:hAnsi="Times New Roman" w:cs="Times New Roman"/>
          <w:sz w:val="24"/>
          <w:szCs w:val="24"/>
          <w:lang w:val="en-GB"/>
        </w:rPr>
        <w:t xml:space="preserve">ing method and cohort selection </w:t>
      </w:r>
      <w:r w:rsidRPr="001F77FF">
        <w:rPr>
          <w:rFonts w:ascii="Times New Roman" w:hAnsi="Times New Roman" w:cs="Times New Roman"/>
          <w:sz w:val="24"/>
          <w:szCs w:val="24"/>
          <w:lang w:val="en-GB"/>
        </w:rPr>
        <w:t>may have a significan</w:t>
      </w:r>
      <w:r>
        <w:rPr>
          <w:rFonts w:ascii="Times New Roman" w:hAnsi="Times New Roman" w:cs="Times New Roman"/>
          <w:sz w:val="24"/>
          <w:szCs w:val="24"/>
          <w:lang w:val="en-GB"/>
        </w:rPr>
        <w:t xml:space="preserve">t impact on gender ratio found. </w:t>
      </w:r>
    </w:p>
    <w:p w:rsidR="001F77FF" w:rsidRDefault="001F77FF" w:rsidP="001F77FF">
      <w:pPr>
        <w:autoSpaceDE w:val="0"/>
        <w:autoSpaceDN w:val="0"/>
        <w:adjustRightInd w:val="0"/>
        <w:spacing w:after="0" w:line="480" w:lineRule="auto"/>
        <w:ind w:firstLine="720"/>
        <w:contextualSpacing w:val="0"/>
        <w:rPr>
          <w:rFonts w:ascii="Times New Roman" w:hAnsi="Times New Roman" w:cs="Times New Roman"/>
          <w:sz w:val="24"/>
          <w:szCs w:val="24"/>
          <w:lang w:val="en-GB"/>
        </w:rPr>
      </w:pPr>
      <w:r w:rsidRPr="001F77FF">
        <w:rPr>
          <w:rFonts w:ascii="Times New Roman" w:hAnsi="Times New Roman" w:cs="Times New Roman"/>
          <w:sz w:val="24"/>
          <w:szCs w:val="24"/>
          <w:lang w:val="en-GB"/>
        </w:rPr>
        <w:t>There is evidence of variabi</w:t>
      </w:r>
      <w:r>
        <w:rPr>
          <w:rFonts w:ascii="Times New Roman" w:hAnsi="Times New Roman" w:cs="Times New Roman"/>
          <w:sz w:val="24"/>
          <w:szCs w:val="24"/>
          <w:lang w:val="en-GB"/>
        </w:rPr>
        <w:t xml:space="preserve">lity in practice in the waiting </w:t>
      </w:r>
      <w:r w:rsidRPr="001F77FF">
        <w:rPr>
          <w:rFonts w:ascii="Times New Roman" w:hAnsi="Times New Roman" w:cs="Times New Roman"/>
          <w:sz w:val="24"/>
          <w:szCs w:val="24"/>
          <w:lang w:val="en-GB"/>
        </w:rPr>
        <w:t>times for diagnosis; Palmer e</w:t>
      </w:r>
      <w:r>
        <w:rPr>
          <w:rFonts w:ascii="Times New Roman" w:hAnsi="Times New Roman" w:cs="Times New Roman"/>
          <w:sz w:val="24"/>
          <w:szCs w:val="24"/>
          <w:lang w:val="en-GB"/>
        </w:rPr>
        <w:t xml:space="preserve">t al. (2011) found only </w:t>
      </w:r>
      <w:r w:rsidRPr="001F77FF">
        <w:rPr>
          <w:rFonts w:ascii="Times New Roman" w:hAnsi="Times New Roman" w:cs="Times New Roman"/>
          <w:sz w:val="24"/>
          <w:szCs w:val="24"/>
          <w:lang w:val="en-GB"/>
        </w:rPr>
        <w:t>one-third of UK child servic</w:t>
      </w:r>
      <w:r>
        <w:rPr>
          <w:rFonts w:ascii="Times New Roman" w:hAnsi="Times New Roman" w:cs="Times New Roman"/>
          <w:sz w:val="24"/>
          <w:szCs w:val="24"/>
          <w:lang w:val="en-GB"/>
        </w:rPr>
        <w:t xml:space="preserve">es had a defined time standard. </w:t>
      </w:r>
      <w:r w:rsidRPr="001F77FF">
        <w:rPr>
          <w:rFonts w:ascii="Times New Roman" w:hAnsi="Times New Roman" w:cs="Times New Roman"/>
          <w:sz w:val="24"/>
          <w:szCs w:val="24"/>
          <w:lang w:val="en-GB"/>
        </w:rPr>
        <w:t>Of these, less than</w:t>
      </w:r>
      <w:r>
        <w:rPr>
          <w:rFonts w:ascii="Times New Roman" w:hAnsi="Times New Roman" w:cs="Times New Roman"/>
          <w:sz w:val="24"/>
          <w:szCs w:val="24"/>
          <w:lang w:val="en-GB"/>
        </w:rPr>
        <w:t xml:space="preserve"> half met the 17-week timescale </w:t>
      </w:r>
      <w:r w:rsidRPr="001F77FF">
        <w:rPr>
          <w:rFonts w:ascii="Times New Roman" w:hAnsi="Times New Roman" w:cs="Times New Roman"/>
          <w:sz w:val="24"/>
          <w:szCs w:val="24"/>
          <w:lang w:val="en-GB"/>
        </w:rPr>
        <w:t>from referral to diagnosis.</w:t>
      </w:r>
      <w:r>
        <w:rPr>
          <w:rFonts w:ascii="Times New Roman" w:hAnsi="Times New Roman" w:cs="Times New Roman"/>
          <w:sz w:val="24"/>
          <w:szCs w:val="24"/>
          <w:lang w:val="en-GB"/>
        </w:rPr>
        <w:t xml:space="preserve"> Demographic factors, including </w:t>
      </w:r>
      <w:r w:rsidRPr="001F77FF">
        <w:rPr>
          <w:rFonts w:ascii="Times New Roman" w:hAnsi="Times New Roman" w:cs="Times New Roman"/>
          <w:sz w:val="24"/>
          <w:szCs w:val="24"/>
          <w:lang w:val="en-GB"/>
        </w:rPr>
        <w:t>gender, may further incr</w:t>
      </w:r>
      <w:r>
        <w:rPr>
          <w:rFonts w:ascii="Times New Roman" w:hAnsi="Times New Roman" w:cs="Times New Roman"/>
          <w:sz w:val="24"/>
          <w:szCs w:val="24"/>
          <w:lang w:val="en-GB"/>
        </w:rPr>
        <w:t xml:space="preserve">ease the time taken to complete </w:t>
      </w:r>
      <w:r w:rsidRPr="001F77FF">
        <w:rPr>
          <w:rFonts w:ascii="Times New Roman" w:hAnsi="Times New Roman" w:cs="Times New Roman"/>
          <w:sz w:val="24"/>
          <w:szCs w:val="24"/>
          <w:lang w:val="en-GB"/>
        </w:rPr>
        <w:t>diagnostic assess</w:t>
      </w:r>
      <w:r>
        <w:rPr>
          <w:rFonts w:ascii="Times New Roman" w:hAnsi="Times New Roman" w:cs="Times New Roman"/>
          <w:sz w:val="24"/>
          <w:szCs w:val="24"/>
          <w:lang w:val="en-GB"/>
        </w:rPr>
        <w:t xml:space="preserve">ment (Siklos and Kearns, 2007). </w:t>
      </w:r>
    </w:p>
    <w:p w:rsidR="001F77FF" w:rsidRDefault="001F77FF" w:rsidP="001F77FF">
      <w:pPr>
        <w:autoSpaceDE w:val="0"/>
        <w:autoSpaceDN w:val="0"/>
        <w:adjustRightInd w:val="0"/>
        <w:spacing w:after="0" w:line="480" w:lineRule="auto"/>
        <w:ind w:firstLine="720"/>
        <w:contextualSpacing w:val="0"/>
        <w:rPr>
          <w:rFonts w:ascii="Times New Roman" w:hAnsi="Times New Roman" w:cs="Times New Roman"/>
          <w:sz w:val="24"/>
          <w:szCs w:val="24"/>
          <w:lang w:val="en-GB"/>
        </w:rPr>
      </w:pPr>
      <w:r w:rsidRPr="001F77FF">
        <w:rPr>
          <w:rFonts w:ascii="Times New Roman" w:hAnsi="Times New Roman" w:cs="Times New Roman"/>
          <w:sz w:val="24"/>
          <w:szCs w:val="24"/>
          <w:lang w:val="en-GB"/>
        </w:rPr>
        <w:t>There are, however, relativ</w:t>
      </w:r>
      <w:r>
        <w:rPr>
          <w:rFonts w:ascii="Times New Roman" w:hAnsi="Times New Roman" w:cs="Times New Roman"/>
          <w:sz w:val="24"/>
          <w:szCs w:val="24"/>
          <w:lang w:val="en-GB"/>
        </w:rPr>
        <w:t xml:space="preserve">ely few studies which report on </w:t>
      </w:r>
      <w:r w:rsidRPr="001F77FF">
        <w:rPr>
          <w:rFonts w:ascii="Times New Roman" w:hAnsi="Times New Roman" w:cs="Times New Roman"/>
          <w:sz w:val="24"/>
          <w:szCs w:val="24"/>
          <w:lang w:val="en-GB"/>
        </w:rPr>
        <w:t>gender differences in th</w:t>
      </w:r>
      <w:r>
        <w:rPr>
          <w:rFonts w:ascii="Times New Roman" w:hAnsi="Times New Roman" w:cs="Times New Roman"/>
          <w:sz w:val="24"/>
          <w:szCs w:val="24"/>
          <w:lang w:val="en-GB"/>
        </w:rPr>
        <w:t xml:space="preserve">e diagnostic assessment process </w:t>
      </w:r>
      <w:r w:rsidRPr="001F77FF">
        <w:rPr>
          <w:rFonts w:ascii="Times New Roman" w:hAnsi="Times New Roman" w:cs="Times New Roman"/>
          <w:sz w:val="24"/>
          <w:szCs w:val="24"/>
          <w:lang w:val="en-GB"/>
        </w:rPr>
        <w:t>within a representative clinical popu</w:t>
      </w:r>
      <w:r>
        <w:rPr>
          <w:rFonts w:ascii="Times New Roman" w:hAnsi="Times New Roman" w:cs="Times New Roman"/>
          <w:sz w:val="24"/>
          <w:szCs w:val="24"/>
          <w:lang w:val="en-GB"/>
        </w:rPr>
        <w:t xml:space="preserve">lation of children, adolescents </w:t>
      </w:r>
      <w:r w:rsidRPr="001F77FF">
        <w:rPr>
          <w:rFonts w:ascii="Times New Roman" w:hAnsi="Times New Roman" w:cs="Times New Roman"/>
          <w:sz w:val="24"/>
          <w:szCs w:val="24"/>
          <w:lang w:val="en-GB"/>
        </w:rPr>
        <w:t>and adults with ASD (Rivet an</w:t>
      </w:r>
      <w:r>
        <w:rPr>
          <w:rFonts w:ascii="Times New Roman" w:hAnsi="Times New Roman" w:cs="Times New Roman"/>
          <w:sz w:val="24"/>
          <w:szCs w:val="24"/>
          <w:lang w:val="en-GB"/>
        </w:rPr>
        <w:t xml:space="preserve">d Matson, 2011) or which </w:t>
      </w:r>
      <w:r w:rsidRPr="001F77FF">
        <w:rPr>
          <w:rFonts w:ascii="Times New Roman" w:hAnsi="Times New Roman" w:cs="Times New Roman"/>
          <w:sz w:val="24"/>
          <w:szCs w:val="24"/>
          <w:lang w:val="en-GB"/>
        </w:rPr>
        <w:t xml:space="preserve">examine at which stage of the </w:t>
      </w:r>
      <w:r>
        <w:rPr>
          <w:rFonts w:ascii="Times New Roman" w:hAnsi="Times New Roman" w:cs="Times New Roman"/>
          <w:sz w:val="24"/>
          <w:szCs w:val="24"/>
          <w:lang w:val="en-GB"/>
        </w:rPr>
        <w:t xml:space="preserve">diagnostic process any putative </w:t>
      </w:r>
      <w:r w:rsidRPr="001F77FF">
        <w:rPr>
          <w:rFonts w:ascii="Times New Roman" w:hAnsi="Times New Roman" w:cs="Times New Roman"/>
          <w:sz w:val="24"/>
          <w:szCs w:val="24"/>
          <w:lang w:val="en-GB"/>
        </w:rPr>
        <w:t>gender differences may occur – pr</w:t>
      </w:r>
      <w:r>
        <w:rPr>
          <w:rFonts w:ascii="Times New Roman" w:hAnsi="Times New Roman" w:cs="Times New Roman"/>
          <w:sz w:val="24"/>
          <w:szCs w:val="24"/>
          <w:lang w:val="en-GB"/>
        </w:rPr>
        <w:t xml:space="preserve">ior to or during the diagnostic </w:t>
      </w:r>
      <w:r w:rsidRPr="001F77FF">
        <w:rPr>
          <w:rFonts w:ascii="Times New Roman" w:hAnsi="Times New Roman" w:cs="Times New Roman"/>
          <w:sz w:val="24"/>
          <w:szCs w:val="24"/>
          <w:lang w:val="en-GB"/>
        </w:rPr>
        <w:t>process. A longer diagn</w:t>
      </w:r>
      <w:r>
        <w:rPr>
          <w:rFonts w:ascii="Times New Roman" w:hAnsi="Times New Roman" w:cs="Times New Roman"/>
          <w:sz w:val="24"/>
          <w:szCs w:val="24"/>
          <w:lang w:val="en-GB"/>
        </w:rPr>
        <w:t xml:space="preserve">ostic process for females would </w:t>
      </w:r>
      <w:r w:rsidRPr="001F77FF">
        <w:rPr>
          <w:rFonts w:ascii="Times New Roman" w:hAnsi="Times New Roman" w:cs="Times New Roman"/>
          <w:sz w:val="24"/>
          <w:szCs w:val="24"/>
          <w:lang w:val="en-GB"/>
        </w:rPr>
        <w:t>suggest a need to improve gender-relevant tools and processes</w:t>
      </w:r>
      <w:r>
        <w:rPr>
          <w:rFonts w:ascii="Times New Roman" w:hAnsi="Times New Roman" w:cs="Times New Roman"/>
          <w:sz w:val="24"/>
          <w:szCs w:val="24"/>
          <w:lang w:val="en-GB"/>
        </w:rPr>
        <w:t xml:space="preserve"> </w:t>
      </w:r>
      <w:r w:rsidRPr="001F77FF">
        <w:rPr>
          <w:rFonts w:ascii="Times New Roman" w:hAnsi="Times New Roman" w:cs="Times New Roman"/>
          <w:sz w:val="24"/>
          <w:szCs w:val="24"/>
          <w:lang w:val="en-GB"/>
        </w:rPr>
        <w:t>for diagnosis. Altern</w:t>
      </w:r>
      <w:r>
        <w:rPr>
          <w:rFonts w:ascii="Times New Roman" w:hAnsi="Times New Roman" w:cs="Times New Roman"/>
          <w:sz w:val="24"/>
          <w:szCs w:val="24"/>
          <w:lang w:val="en-GB"/>
        </w:rPr>
        <w:t xml:space="preserve">atively, delayed identification </w:t>
      </w:r>
      <w:r w:rsidRPr="001F77FF">
        <w:rPr>
          <w:rFonts w:ascii="Times New Roman" w:hAnsi="Times New Roman" w:cs="Times New Roman"/>
          <w:sz w:val="24"/>
          <w:szCs w:val="24"/>
          <w:lang w:val="en-GB"/>
        </w:rPr>
        <w:t>prior to referral would high</w:t>
      </w:r>
      <w:r>
        <w:rPr>
          <w:rFonts w:ascii="Times New Roman" w:hAnsi="Times New Roman" w:cs="Times New Roman"/>
          <w:sz w:val="24"/>
          <w:szCs w:val="24"/>
          <w:lang w:val="en-GB"/>
        </w:rPr>
        <w:t xml:space="preserve">light a need to raise awareness </w:t>
      </w:r>
      <w:r w:rsidRPr="001F77FF">
        <w:rPr>
          <w:rFonts w:ascii="Times New Roman" w:hAnsi="Times New Roman" w:cs="Times New Roman"/>
          <w:sz w:val="24"/>
          <w:szCs w:val="24"/>
          <w:lang w:val="en-GB"/>
        </w:rPr>
        <w:t>among referrers ab</w:t>
      </w:r>
      <w:r>
        <w:rPr>
          <w:rFonts w:ascii="Times New Roman" w:hAnsi="Times New Roman" w:cs="Times New Roman"/>
          <w:sz w:val="24"/>
          <w:szCs w:val="24"/>
          <w:lang w:val="en-GB"/>
        </w:rPr>
        <w:t>out female presentation of ASD.</w:t>
      </w:r>
    </w:p>
    <w:p w:rsidR="00B84675" w:rsidRDefault="001F77FF" w:rsidP="00B84675">
      <w:pPr>
        <w:autoSpaceDE w:val="0"/>
        <w:autoSpaceDN w:val="0"/>
        <w:adjustRightInd w:val="0"/>
        <w:spacing w:after="0" w:line="480" w:lineRule="auto"/>
        <w:ind w:firstLine="720"/>
        <w:contextualSpacing w:val="0"/>
        <w:rPr>
          <w:rFonts w:ascii="Times New Roman" w:hAnsi="Times New Roman" w:cs="Times New Roman"/>
          <w:sz w:val="24"/>
          <w:szCs w:val="24"/>
          <w:lang w:val="en-GB"/>
        </w:rPr>
      </w:pPr>
      <w:r w:rsidRPr="001F77FF">
        <w:rPr>
          <w:rFonts w:ascii="Times New Roman" w:hAnsi="Times New Roman" w:cs="Times New Roman"/>
          <w:sz w:val="24"/>
          <w:szCs w:val="24"/>
          <w:lang w:val="en-GB"/>
        </w:rPr>
        <w:t>This study, therefore, aime</w:t>
      </w:r>
      <w:r>
        <w:rPr>
          <w:rFonts w:ascii="Times New Roman" w:hAnsi="Times New Roman" w:cs="Times New Roman"/>
          <w:sz w:val="24"/>
          <w:szCs w:val="24"/>
          <w:lang w:val="en-GB"/>
        </w:rPr>
        <w:t xml:space="preserve">d to use data from a nationally </w:t>
      </w:r>
      <w:r w:rsidRPr="001F77FF">
        <w:rPr>
          <w:rFonts w:ascii="Times New Roman" w:hAnsi="Times New Roman" w:cs="Times New Roman"/>
          <w:sz w:val="24"/>
          <w:szCs w:val="24"/>
          <w:lang w:val="en-GB"/>
        </w:rPr>
        <w:t>representative clinical s</w:t>
      </w:r>
      <w:r>
        <w:rPr>
          <w:rFonts w:ascii="Times New Roman" w:hAnsi="Times New Roman" w:cs="Times New Roman"/>
          <w:sz w:val="24"/>
          <w:szCs w:val="24"/>
          <w:lang w:val="en-GB"/>
        </w:rPr>
        <w:t xml:space="preserve">ample to explore whether gender </w:t>
      </w:r>
      <w:r w:rsidRPr="001F77FF">
        <w:rPr>
          <w:rFonts w:ascii="Times New Roman" w:hAnsi="Times New Roman" w:cs="Times New Roman"/>
          <w:sz w:val="24"/>
          <w:szCs w:val="24"/>
          <w:lang w:val="en-GB"/>
        </w:rPr>
        <w:t>differences existed in r</w:t>
      </w:r>
      <w:r>
        <w:rPr>
          <w:rFonts w:ascii="Times New Roman" w:hAnsi="Times New Roman" w:cs="Times New Roman"/>
          <w:sz w:val="24"/>
          <w:szCs w:val="24"/>
          <w:lang w:val="en-GB"/>
        </w:rPr>
        <w:t xml:space="preserve">elation to the ratio of adults, </w:t>
      </w:r>
      <w:r w:rsidRPr="001F77FF">
        <w:rPr>
          <w:rFonts w:ascii="Times New Roman" w:hAnsi="Times New Roman" w:cs="Times New Roman"/>
          <w:sz w:val="24"/>
          <w:szCs w:val="24"/>
          <w:lang w:val="en-GB"/>
        </w:rPr>
        <w:lastRenderedPageBreak/>
        <w:t>young children and adol</w:t>
      </w:r>
      <w:r>
        <w:rPr>
          <w:rFonts w:ascii="Times New Roman" w:hAnsi="Times New Roman" w:cs="Times New Roman"/>
          <w:sz w:val="24"/>
          <w:szCs w:val="24"/>
          <w:lang w:val="en-GB"/>
        </w:rPr>
        <w:t xml:space="preserve">escents diagnosed with ASD, the </w:t>
      </w:r>
      <w:r w:rsidRPr="001F77FF">
        <w:rPr>
          <w:rFonts w:ascii="Times New Roman" w:hAnsi="Times New Roman" w:cs="Times New Roman"/>
          <w:sz w:val="24"/>
          <w:szCs w:val="24"/>
          <w:lang w:val="en-GB"/>
        </w:rPr>
        <w:t>age of referral and diagnosis</w:t>
      </w:r>
      <w:r>
        <w:rPr>
          <w:rFonts w:ascii="Times New Roman" w:hAnsi="Times New Roman" w:cs="Times New Roman"/>
          <w:sz w:val="24"/>
          <w:szCs w:val="24"/>
          <w:lang w:val="en-GB"/>
        </w:rPr>
        <w:t xml:space="preserve"> and duration of the diagnostic </w:t>
      </w:r>
      <w:r w:rsidRPr="001F77FF">
        <w:rPr>
          <w:rFonts w:ascii="Times New Roman" w:hAnsi="Times New Roman" w:cs="Times New Roman"/>
          <w:sz w:val="24"/>
          <w:szCs w:val="24"/>
          <w:lang w:val="en-GB"/>
        </w:rPr>
        <w:t>process.</w:t>
      </w:r>
    </w:p>
    <w:p w:rsidR="00B84675" w:rsidRDefault="00B84675" w:rsidP="00B84675">
      <w:pPr>
        <w:autoSpaceDE w:val="0"/>
        <w:autoSpaceDN w:val="0"/>
        <w:adjustRightInd w:val="0"/>
        <w:spacing w:after="0" w:line="480" w:lineRule="auto"/>
        <w:contextualSpacing w:val="0"/>
        <w:rPr>
          <w:rFonts w:ascii="Times New Roman" w:hAnsi="Times New Roman" w:cs="Times New Roman"/>
          <w:sz w:val="24"/>
          <w:szCs w:val="24"/>
          <w:lang w:val="en-GB"/>
        </w:rPr>
      </w:pPr>
    </w:p>
    <w:p w:rsidR="00B84675" w:rsidRPr="00B84675" w:rsidRDefault="00B84675" w:rsidP="00B84675">
      <w:pPr>
        <w:autoSpaceDE w:val="0"/>
        <w:autoSpaceDN w:val="0"/>
        <w:adjustRightInd w:val="0"/>
        <w:spacing w:after="0" w:line="480" w:lineRule="auto"/>
        <w:contextualSpacing w:val="0"/>
        <w:rPr>
          <w:rFonts w:ascii="Times New Roman" w:hAnsi="Times New Roman" w:cs="Times New Roman"/>
          <w:sz w:val="24"/>
          <w:szCs w:val="24"/>
          <w:lang w:val="en-GB"/>
        </w:rPr>
      </w:pPr>
      <w:r w:rsidRPr="00B84675">
        <w:rPr>
          <w:rFonts w:ascii="Times New Roman" w:hAnsi="Times New Roman" w:cs="Times New Roman"/>
          <w:b/>
          <w:bCs/>
          <w:sz w:val="24"/>
          <w:szCs w:val="24"/>
          <w:lang w:val="en-GB"/>
        </w:rPr>
        <w:t>Methods</w:t>
      </w:r>
    </w:p>
    <w:p w:rsidR="002D56CD" w:rsidRDefault="00B84675" w:rsidP="002D56CD">
      <w:pPr>
        <w:autoSpaceDE w:val="0"/>
        <w:autoSpaceDN w:val="0"/>
        <w:adjustRightInd w:val="0"/>
        <w:spacing w:after="0" w:line="480" w:lineRule="auto"/>
        <w:contextualSpacing w:val="0"/>
        <w:rPr>
          <w:rFonts w:ascii="Times New Roman" w:hAnsi="Times New Roman" w:cs="Times New Roman"/>
          <w:sz w:val="24"/>
          <w:szCs w:val="24"/>
          <w:lang w:val="en-GB"/>
        </w:rPr>
      </w:pPr>
      <w:r w:rsidRPr="00B84675">
        <w:rPr>
          <w:rFonts w:ascii="Times New Roman" w:hAnsi="Times New Roman" w:cs="Times New Roman"/>
          <w:sz w:val="24"/>
          <w:szCs w:val="24"/>
          <w:lang w:val="en-GB"/>
        </w:rPr>
        <w:t>Approval for the st</w:t>
      </w:r>
      <w:r>
        <w:rPr>
          <w:rFonts w:ascii="Times New Roman" w:hAnsi="Times New Roman" w:cs="Times New Roman"/>
          <w:sz w:val="24"/>
          <w:szCs w:val="24"/>
          <w:lang w:val="en-GB"/>
        </w:rPr>
        <w:t xml:space="preserve">udy was obtained from Caldicott </w:t>
      </w:r>
      <w:r w:rsidRPr="00B84675">
        <w:rPr>
          <w:rFonts w:ascii="Times New Roman" w:hAnsi="Times New Roman" w:cs="Times New Roman"/>
          <w:sz w:val="24"/>
          <w:szCs w:val="24"/>
          <w:lang w:val="en-GB"/>
        </w:rPr>
        <w:t>Guardian and Resear</w:t>
      </w:r>
      <w:r>
        <w:rPr>
          <w:rFonts w:ascii="Times New Roman" w:hAnsi="Times New Roman" w:cs="Times New Roman"/>
          <w:sz w:val="24"/>
          <w:szCs w:val="24"/>
          <w:lang w:val="en-GB"/>
        </w:rPr>
        <w:t xml:space="preserve">ch and Development departments. </w:t>
      </w:r>
      <w:r w:rsidRPr="00B84675">
        <w:rPr>
          <w:rFonts w:ascii="Times New Roman" w:hAnsi="Times New Roman" w:cs="Times New Roman"/>
          <w:sz w:val="24"/>
          <w:szCs w:val="24"/>
          <w:lang w:val="en-GB"/>
        </w:rPr>
        <w:t>The study method, which is detailed more fully in McKenzie</w:t>
      </w:r>
      <w:r w:rsidR="002D56CD" w:rsidRPr="002D56CD">
        <w:rPr>
          <w:rFonts w:ascii="TimesNewRomanPSMT" w:hAnsi="TimesNewRomanPSMT" w:cs="TimesNewRomanPSMT"/>
          <w:sz w:val="20"/>
          <w:szCs w:val="20"/>
          <w:lang w:val="en-GB"/>
        </w:rPr>
        <w:t xml:space="preserve"> </w:t>
      </w:r>
      <w:r w:rsidR="002D56CD">
        <w:rPr>
          <w:rFonts w:ascii="TimesNewRomanPSMT" w:hAnsi="TimesNewRomanPSMT" w:cs="TimesNewRomanPSMT"/>
          <w:sz w:val="20"/>
          <w:szCs w:val="20"/>
          <w:lang w:val="en-GB"/>
        </w:rPr>
        <w:t xml:space="preserve">et al. (2015), included </w:t>
      </w:r>
      <w:r w:rsidR="002D56CD" w:rsidRPr="002D56CD">
        <w:rPr>
          <w:rFonts w:ascii="Times New Roman" w:hAnsi="Times New Roman" w:cs="Times New Roman"/>
          <w:sz w:val="24"/>
          <w:szCs w:val="24"/>
          <w:lang w:val="en-GB"/>
        </w:rPr>
        <w:t>retrospective case note analysis of</w:t>
      </w:r>
      <w:r w:rsidR="002D56CD">
        <w:rPr>
          <w:rFonts w:ascii="Times New Roman" w:hAnsi="Times New Roman" w:cs="Times New Roman"/>
          <w:sz w:val="24"/>
          <w:szCs w:val="24"/>
          <w:lang w:val="en-GB"/>
        </w:rPr>
        <w:t xml:space="preserve"> </w:t>
      </w:r>
      <w:r w:rsidR="002D56CD" w:rsidRPr="002D56CD">
        <w:rPr>
          <w:rFonts w:ascii="Times New Roman" w:hAnsi="Times New Roman" w:cs="Times New Roman"/>
          <w:sz w:val="24"/>
          <w:szCs w:val="24"/>
          <w:lang w:val="en-GB"/>
        </w:rPr>
        <w:t>150 case notes from 16 diagnostic services. Pro</w:t>
      </w:r>
      <w:r w:rsidR="00F515AA">
        <w:rPr>
          <w:rFonts w:ascii="Times New Roman" w:hAnsi="Times New Roman" w:cs="Times New Roman"/>
          <w:sz w:val="24"/>
          <w:szCs w:val="24"/>
          <w:lang w:val="en-GB"/>
        </w:rPr>
        <w:t xml:space="preserve">portionate </w:t>
      </w:r>
      <w:r w:rsidR="002D56CD" w:rsidRPr="002D56CD">
        <w:rPr>
          <w:rFonts w:ascii="Times New Roman" w:hAnsi="Times New Roman" w:cs="Times New Roman"/>
          <w:sz w:val="24"/>
          <w:szCs w:val="24"/>
          <w:lang w:val="en-GB"/>
        </w:rPr>
        <w:t>stratified random sampling wa</w:t>
      </w:r>
      <w:r w:rsidR="002D56CD">
        <w:rPr>
          <w:rFonts w:ascii="Times New Roman" w:hAnsi="Times New Roman" w:cs="Times New Roman"/>
          <w:sz w:val="24"/>
          <w:szCs w:val="24"/>
          <w:lang w:val="en-GB"/>
        </w:rPr>
        <w:t xml:space="preserve">s used to recruit participating </w:t>
      </w:r>
      <w:r w:rsidR="002D56CD" w:rsidRPr="002D56CD">
        <w:rPr>
          <w:rFonts w:ascii="Times New Roman" w:hAnsi="Times New Roman" w:cs="Times New Roman"/>
          <w:sz w:val="24"/>
          <w:szCs w:val="24"/>
          <w:lang w:val="en-GB"/>
        </w:rPr>
        <w:t xml:space="preserve">services from all services (30 </w:t>
      </w:r>
      <w:r w:rsidR="002D56CD">
        <w:rPr>
          <w:rFonts w:ascii="Times New Roman" w:hAnsi="Times New Roman" w:cs="Times New Roman"/>
          <w:sz w:val="24"/>
          <w:szCs w:val="24"/>
          <w:lang w:val="en-GB"/>
        </w:rPr>
        <w:t xml:space="preserve">adult and 64 </w:t>
      </w:r>
      <w:proofErr w:type="gramStart"/>
      <w:r w:rsidR="002D56CD">
        <w:rPr>
          <w:rFonts w:ascii="Times New Roman" w:hAnsi="Times New Roman" w:cs="Times New Roman"/>
          <w:sz w:val="24"/>
          <w:szCs w:val="24"/>
          <w:lang w:val="en-GB"/>
        </w:rPr>
        <w:t>child</w:t>
      </w:r>
      <w:proofErr w:type="gramEnd"/>
      <w:r w:rsidR="002D56CD">
        <w:rPr>
          <w:rFonts w:ascii="Times New Roman" w:hAnsi="Times New Roman" w:cs="Times New Roman"/>
          <w:sz w:val="24"/>
          <w:szCs w:val="24"/>
          <w:lang w:val="en-GB"/>
        </w:rPr>
        <w:t xml:space="preserve">) in Scotland </w:t>
      </w:r>
      <w:r w:rsidR="002D56CD" w:rsidRPr="002D56CD">
        <w:rPr>
          <w:rFonts w:ascii="Times New Roman" w:hAnsi="Times New Roman" w:cs="Times New Roman"/>
          <w:sz w:val="24"/>
          <w:szCs w:val="24"/>
          <w:lang w:val="en-GB"/>
        </w:rPr>
        <w:t>which routinely assess and</w:t>
      </w:r>
      <w:r w:rsidR="002D56CD">
        <w:rPr>
          <w:rFonts w:ascii="Times New Roman" w:hAnsi="Times New Roman" w:cs="Times New Roman"/>
          <w:sz w:val="24"/>
          <w:szCs w:val="24"/>
          <w:lang w:val="en-GB"/>
        </w:rPr>
        <w:t xml:space="preserve"> diagnose ASD. The final sample </w:t>
      </w:r>
      <w:r w:rsidR="002D56CD" w:rsidRPr="002D56CD">
        <w:rPr>
          <w:rFonts w:ascii="Times New Roman" w:hAnsi="Times New Roman" w:cs="Times New Roman"/>
          <w:sz w:val="24"/>
          <w:szCs w:val="24"/>
          <w:lang w:val="en-GB"/>
        </w:rPr>
        <w:t xml:space="preserve">of eight adult and eight child </w:t>
      </w:r>
      <w:r w:rsidR="002D56CD">
        <w:rPr>
          <w:rFonts w:ascii="Times New Roman" w:hAnsi="Times New Roman" w:cs="Times New Roman"/>
          <w:sz w:val="24"/>
          <w:szCs w:val="24"/>
          <w:lang w:val="en-GB"/>
        </w:rPr>
        <w:t xml:space="preserve">services, representative of the </w:t>
      </w:r>
      <w:r w:rsidR="002D56CD" w:rsidRPr="002D56CD">
        <w:rPr>
          <w:rFonts w:ascii="Times New Roman" w:hAnsi="Times New Roman" w:cs="Times New Roman"/>
          <w:sz w:val="24"/>
          <w:szCs w:val="24"/>
          <w:lang w:val="en-GB"/>
        </w:rPr>
        <w:t>Scottish population, was selec</w:t>
      </w:r>
      <w:r w:rsidR="002D56CD">
        <w:rPr>
          <w:rFonts w:ascii="Times New Roman" w:hAnsi="Times New Roman" w:cs="Times New Roman"/>
          <w:sz w:val="24"/>
          <w:szCs w:val="24"/>
          <w:lang w:val="en-GB"/>
        </w:rPr>
        <w:t xml:space="preserve">ted following stratification of </w:t>
      </w:r>
      <w:r w:rsidR="002D56CD" w:rsidRPr="002D56CD">
        <w:rPr>
          <w:rFonts w:ascii="Times New Roman" w:hAnsi="Times New Roman" w:cs="Times New Roman"/>
          <w:sz w:val="24"/>
          <w:szCs w:val="24"/>
          <w:lang w:val="en-GB"/>
        </w:rPr>
        <w:t>the eligible diagnostic servi</w:t>
      </w:r>
      <w:r w:rsidR="002D56CD">
        <w:rPr>
          <w:rFonts w:ascii="Times New Roman" w:hAnsi="Times New Roman" w:cs="Times New Roman"/>
          <w:sz w:val="24"/>
          <w:szCs w:val="24"/>
          <w:lang w:val="en-GB"/>
        </w:rPr>
        <w:t xml:space="preserve">ces on the basis of urban–rural </w:t>
      </w:r>
      <w:r w:rsidR="002D56CD" w:rsidRPr="002D56CD">
        <w:rPr>
          <w:rFonts w:ascii="Times New Roman" w:hAnsi="Times New Roman" w:cs="Times New Roman"/>
          <w:sz w:val="24"/>
          <w:szCs w:val="24"/>
          <w:lang w:val="en-GB"/>
        </w:rPr>
        <w:t>categorisation and rand</w:t>
      </w:r>
      <w:r w:rsidR="002D56CD">
        <w:rPr>
          <w:rFonts w:ascii="Times New Roman" w:hAnsi="Times New Roman" w:cs="Times New Roman"/>
          <w:sz w:val="24"/>
          <w:szCs w:val="24"/>
          <w:lang w:val="en-GB"/>
        </w:rPr>
        <w:t xml:space="preserve">omisation. The sampled services </w:t>
      </w:r>
      <w:r w:rsidR="002D56CD" w:rsidRPr="002D56CD">
        <w:rPr>
          <w:rFonts w:ascii="Times New Roman" w:hAnsi="Times New Roman" w:cs="Times New Roman"/>
          <w:sz w:val="24"/>
          <w:szCs w:val="24"/>
          <w:lang w:val="en-GB"/>
        </w:rPr>
        <w:t>(</w:t>
      </w:r>
      <w:r w:rsidR="002D56CD" w:rsidRPr="002D56CD">
        <w:rPr>
          <w:rFonts w:ascii="Times New Roman" w:hAnsi="Times New Roman" w:cs="Times New Roman"/>
          <w:i/>
          <w:iCs/>
          <w:sz w:val="24"/>
          <w:szCs w:val="24"/>
          <w:lang w:val="en-GB"/>
        </w:rPr>
        <w:t xml:space="preserve">n </w:t>
      </w:r>
      <w:r w:rsidR="002D56CD" w:rsidRPr="002D56CD">
        <w:rPr>
          <w:rFonts w:ascii="Times New Roman" w:hAnsi="Times New Roman" w:cs="Times New Roman"/>
          <w:sz w:val="24"/>
          <w:szCs w:val="24"/>
          <w:lang w:val="en-GB"/>
        </w:rPr>
        <w:t xml:space="preserve">= 16) were invited to </w:t>
      </w:r>
      <w:r w:rsidR="00F515AA">
        <w:rPr>
          <w:rFonts w:ascii="Times New Roman" w:hAnsi="Times New Roman" w:cs="Times New Roman"/>
          <w:sz w:val="24"/>
          <w:szCs w:val="24"/>
          <w:lang w:val="en-GB"/>
        </w:rPr>
        <w:t xml:space="preserve">identify up to 10 most recently </w:t>
      </w:r>
      <w:r w:rsidR="002D56CD" w:rsidRPr="002D56CD">
        <w:rPr>
          <w:rFonts w:ascii="Times New Roman" w:hAnsi="Times New Roman" w:cs="Times New Roman"/>
          <w:sz w:val="24"/>
          <w:szCs w:val="24"/>
          <w:lang w:val="en-GB"/>
        </w:rPr>
        <w:t xml:space="preserve">diagnosed cases (diagnosed for the </w:t>
      </w:r>
      <w:r w:rsidR="002D56CD">
        <w:rPr>
          <w:rFonts w:ascii="Times New Roman" w:hAnsi="Times New Roman" w:cs="Times New Roman"/>
          <w:sz w:val="24"/>
          <w:szCs w:val="24"/>
          <w:lang w:val="en-GB"/>
        </w:rPr>
        <w:t xml:space="preserve">first time within the preceding </w:t>
      </w:r>
      <w:r w:rsidR="002D56CD" w:rsidRPr="002D56CD">
        <w:rPr>
          <w:rFonts w:ascii="Times New Roman" w:hAnsi="Times New Roman" w:cs="Times New Roman"/>
          <w:sz w:val="24"/>
          <w:szCs w:val="24"/>
          <w:lang w:val="en-GB"/>
        </w:rPr>
        <w:t>24 months and not p</w:t>
      </w:r>
      <w:r w:rsidR="002D56CD">
        <w:rPr>
          <w:rFonts w:ascii="Times New Roman" w:hAnsi="Times New Roman" w:cs="Times New Roman"/>
          <w:sz w:val="24"/>
          <w:szCs w:val="24"/>
          <w:lang w:val="en-GB"/>
        </w:rPr>
        <w:t xml:space="preserve">reviously diagnosed elsewhere). </w:t>
      </w:r>
      <w:r w:rsidR="002D56CD" w:rsidRPr="002D56CD">
        <w:rPr>
          <w:rFonts w:ascii="Times New Roman" w:hAnsi="Times New Roman" w:cs="Times New Roman"/>
          <w:sz w:val="24"/>
          <w:szCs w:val="24"/>
          <w:lang w:val="en-GB"/>
        </w:rPr>
        <w:t>The sample does not include</w:t>
      </w:r>
      <w:r w:rsidR="00F515AA">
        <w:rPr>
          <w:rFonts w:ascii="Times New Roman" w:hAnsi="Times New Roman" w:cs="Times New Roman"/>
          <w:sz w:val="24"/>
          <w:szCs w:val="24"/>
          <w:lang w:val="en-GB"/>
        </w:rPr>
        <w:t xml:space="preserve"> those assessed and not given a </w:t>
      </w:r>
      <w:r w:rsidR="002D56CD">
        <w:rPr>
          <w:rFonts w:ascii="Times New Roman" w:hAnsi="Times New Roman" w:cs="Times New Roman"/>
          <w:sz w:val="24"/>
          <w:szCs w:val="24"/>
          <w:lang w:val="en-GB"/>
        </w:rPr>
        <w:t xml:space="preserve">diagnosis. </w:t>
      </w:r>
    </w:p>
    <w:p w:rsidR="002D56CD" w:rsidRPr="002D56CD" w:rsidRDefault="002D56CD" w:rsidP="00F515AA">
      <w:pPr>
        <w:autoSpaceDE w:val="0"/>
        <w:autoSpaceDN w:val="0"/>
        <w:adjustRightInd w:val="0"/>
        <w:spacing w:after="0" w:line="480" w:lineRule="auto"/>
        <w:ind w:firstLine="720"/>
        <w:contextualSpacing w:val="0"/>
        <w:rPr>
          <w:rFonts w:ascii="Times New Roman" w:hAnsi="Times New Roman" w:cs="Times New Roman"/>
          <w:sz w:val="24"/>
          <w:szCs w:val="24"/>
          <w:lang w:val="en-GB"/>
        </w:rPr>
      </w:pPr>
      <w:r w:rsidRPr="002D56CD">
        <w:rPr>
          <w:rFonts w:ascii="Times New Roman" w:hAnsi="Times New Roman" w:cs="Times New Roman"/>
          <w:sz w:val="24"/>
          <w:szCs w:val="24"/>
          <w:lang w:val="en-GB"/>
        </w:rPr>
        <w:t>The sample was also examin</w:t>
      </w:r>
      <w:r>
        <w:rPr>
          <w:rFonts w:ascii="Times New Roman" w:hAnsi="Times New Roman" w:cs="Times New Roman"/>
          <w:sz w:val="24"/>
          <w:szCs w:val="24"/>
          <w:lang w:val="en-GB"/>
        </w:rPr>
        <w:t xml:space="preserve">ed in relation to socioeconomic </w:t>
      </w:r>
      <w:r w:rsidRPr="002D56CD">
        <w:rPr>
          <w:rFonts w:ascii="Times New Roman" w:hAnsi="Times New Roman" w:cs="Times New Roman"/>
          <w:sz w:val="24"/>
          <w:szCs w:val="24"/>
          <w:lang w:val="en-GB"/>
        </w:rPr>
        <w:t>status (SES) using the Scottish</w:t>
      </w:r>
      <w:r>
        <w:rPr>
          <w:rFonts w:ascii="Times New Roman" w:hAnsi="Times New Roman" w:cs="Times New Roman"/>
          <w:sz w:val="24"/>
          <w:szCs w:val="24"/>
          <w:lang w:val="en-GB"/>
        </w:rPr>
        <w:t xml:space="preserve"> Indices of Multiple </w:t>
      </w:r>
      <w:r w:rsidRPr="002D56CD">
        <w:rPr>
          <w:rFonts w:ascii="Times New Roman" w:hAnsi="Times New Roman" w:cs="Times New Roman"/>
          <w:sz w:val="24"/>
          <w:szCs w:val="24"/>
          <w:lang w:val="en-GB"/>
        </w:rPr>
        <w:t>Deprivation (SIMD) which</w:t>
      </w:r>
      <w:r>
        <w:rPr>
          <w:rFonts w:ascii="Times New Roman" w:hAnsi="Times New Roman" w:cs="Times New Roman"/>
          <w:sz w:val="24"/>
          <w:szCs w:val="24"/>
          <w:lang w:val="en-GB"/>
        </w:rPr>
        <w:t xml:space="preserve"> provides a relative measure of </w:t>
      </w:r>
      <w:r w:rsidRPr="002D56CD">
        <w:rPr>
          <w:rFonts w:ascii="Times New Roman" w:hAnsi="Times New Roman" w:cs="Times New Roman"/>
          <w:sz w:val="24"/>
          <w:szCs w:val="24"/>
          <w:lang w:val="en-GB"/>
        </w:rPr>
        <w:t xml:space="preserve">deprivation. Each postcode </w:t>
      </w:r>
      <w:r>
        <w:rPr>
          <w:rFonts w:ascii="Times New Roman" w:hAnsi="Times New Roman" w:cs="Times New Roman"/>
          <w:sz w:val="24"/>
          <w:szCs w:val="24"/>
          <w:lang w:val="en-GB"/>
        </w:rPr>
        <w:t xml:space="preserve">area is rated from 1–5, where 1 </w:t>
      </w:r>
      <w:r w:rsidRPr="002D56CD">
        <w:rPr>
          <w:rFonts w:ascii="Times New Roman" w:hAnsi="Times New Roman" w:cs="Times New Roman"/>
          <w:sz w:val="24"/>
          <w:szCs w:val="24"/>
          <w:lang w:val="en-GB"/>
        </w:rPr>
        <w:t xml:space="preserve">is the most deprived and 5 is the </w:t>
      </w:r>
      <w:r>
        <w:rPr>
          <w:rFonts w:ascii="Times New Roman" w:hAnsi="Times New Roman" w:cs="Times New Roman"/>
          <w:sz w:val="24"/>
          <w:szCs w:val="24"/>
          <w:lang w:val="en-GB"/>
        </w:rPr>
        <w:lastRenderedPageBreak/>
        <w:t xml:space="preserve">least deprived. The proportions </w:t>
      </w:r>
      <w:r w:rsidRPr="002D56CD">
        <w:rPr>
          <w:rFonts w:ascii="Times New Roman" w:hAnsi="Times New Roman" w:cs="Times New Roman"/>
          <w:sz w:val="24"/>
          <w:szCs w:val="24"/>
          <w:lang w:val="en-GB"/>
        </w:rPr>
        <w:t>of SIMD values in the sample were similar to</w:t>
      </w:r>
      <w:r>
        <w:rPr>
          <w:rFonts w:ascii="Times New Roman" w:hAnsi="Times New Roman" w:cs="Times New Roman"/>
          <w:sz w:val="24"/>
          <w:szCs w:val="24"/>
          <w:lang w:val="en-GB"/>
        </w:rPr>
        <w:t xml:space="preserve"> </w:t>
      </w:r>
      <w:r w:rsidRPr="002D56CD">
        <w:rPr>
          <w:rFonts w:ascii="Times New Roman" w:hAnsi="Times New Roman" w:cs="Times New Roman"/>
          <w:sz w:val="24"/>
          <w:szCs w:val="24"/>
          <w:lang w:val="en-GB"/>
        </w:rPr>
        <w:t>those in the Scottish popul</w:t>
      </w:r>
      <w:r>
        <w:rPr>
          <w:rFonts w:ascii="Times New Roman" w:hAnsi="Times New Roman" w:cs="Times New Roman"/>
          <w:sz w:val="24"/>
          <w:szCs w:val="24"/>
          <w:lang w:val="en-GB"/>
        </w:rPr>
        <w:t xml:space="preserve">ation, with 60% of the Scottish </w:t>
      </w:r>
      <w:r w:rsidRPr="002D56CD">
        <w:rPr>
          <w:rFonts w:ascii="Times New Roman" w:hAnsi="Times New Roman" w:cs="Times New Roman"/>
          <w:sz w:val="24"/>
          <w:szCs w:val="24"/>
          <w:lang w:val="en-GB"/>
        </w:rPr>
        <w:t>population and 58% of</w:t>
      </w:r>
      <w:r w:rsidR="00F515AA">
        <w:rPr>
          <w:rFonts w:ascii="Times New Roman" w:hAnsi="Times New Roman" w:cs="Times New Roman"/>
          <w:sz w:val="24"/>
          <w:szCs w:val="24"/>
          <w:lang w:val="en-GB"/>
        </w:rPr>
        <w:t xml:space="preserve"> our sample falling within SIMD </w:t>
      </w:r>
      <w:r w:rsidRPr="002D56CD">
        <w:rPr>
          <w:rFonts w:ascii="Times New Roman" w:hAnsi="Times New Roman" w:cs="Times New Roman"/>
          <w:sz w:val="24"/>
          <w:szCs w:val="24"/>
          <w:lang w:val="en-GB"/>
        </w:rPr>
        <w:t>categories 2, 3 or 4.</w:t>
      </w:r>
    </w:p>
    <w:p w:rsidR="002D56CD" w:rsidRDefault="002D56CD" w:rsidP="002D56CD">
      <w:pPr>
        <w:autoSpaceDE w:val="0"/>
        <w:autoSpaceDN w:val="0"/>
        <w:adjustRightInd w:val="0"/>
        <w:spacing w:after="0" w:line="480" w:lineRule="auto"/>
        <w:contextualSpacing w:val="0"/>
        <w:rPr>
          <w:rFonts w:ascii="Times New Roman" w:hAnsi="Times New Roman" w:cs="Times New Roman"/>
          <w:i/>
          <w:iCs/>
          <w:sz w:val="24"/>
          <w:szCs w:val="24"/>
          <w:lang w:val="en-GB"/>
        </w:rPr>
      </w:pPr>
    </w:p>
    <w:p w:rsidR="002D56CD" w:rsidRPr="002D56CD" w:rsidRDefault="002D56CD" w:rsidP="002D56CD">
      <w:pPr>
        <w:autoSpaceDE w:val="0"/>
        <w:autoSpaceDN w:val="0"/>
        <w:adjustRightInd w:val="0"/>
        <w:spacing w:after="0" w:line="480" w:lineRule="auto"/>
        <w:contextualSpacing w:val="0"/>
        <w:rPr>
          <w:rFonts w:ascii="Times New Roman" w:hAnsi="Times New Roman" w:cs="Times New Roman"/>
          <w:i/>
          <w:iCs/>
          <w:sz w:val="24"/>
          <w:szCs w:val="24"/>
          <w:lang w:val="en-GB"/>
        </w:rPr>
      </w:pPr>
      <w:r w:rsidRPr="002D56CD">
        <w:rPr>
          <w:rFonts w:ascii="Times New Roman" w:hAnsi="Times New Roman" w:cs="Times New Roman"/>
          <w:i/>
          <w:iCs/>
          <w:sz w:val="24"/>
          <w:szCs w:val="24"/>
          <w:lang w:val="en-GB"/>
        </w:rPr>
        <w:t>Service provisi</w:t>
      </w:r>
      <w:r>
        <w:rPr>
          <w:rFonts w:ascii="Times New Roman" w:hAnsi="Times New Roman" w:cs="Times New Roman"/>
          <w:i/>
          <w:iCs/>
          <w:sz w:val="24"/>
          <w:szCs w:val="24"/>
          <w:lang w:val="en-GB"/>
        </w:rPr>
        <w:t xml:space="preserve">on for diagnostic assessment of </w:t>
      </w:r>
      <w:r w:rsidRPr="002D56CD">
        <w:rPr>
          <w:rFonts w:ascii="Times New Roman" w:hAnsi="Times New Roman" w:cs="Times New Roman"/>
          <w:i/>
          <w:iCs/>
          <w:sz w:val="24"/>
          <w:szCs w:val="24"/>
          <w:lang w:val="en-GB"/>
        </w:rPr>
        <w:t>ASD in Scotland</w:t>
      </w:r>
    </w:p>
    <w:p w:rsidR="00657995" w:rsidRPr="002D56CD" w:rsidRDefault="002D56CD" w:rsidP="002D56CD">
      <w:pPr>
        <w:autoSpaceDE w:val="0"/>
        <w:autoSpaceDN w:val="0"/>
        <w:adjustRightInd w:val="0"/>
        <w:spacing w:after="0" w:line="480" w:lineRule="auto"/>
        <w:contextualSpacing w:val="0"/>
        <w:rPr>
          <w:rFonts w:ascii="Times New Roman" w:hAnsi="Times New Roman" w:cs="Times New Roman"/>
          <w:sz w:val="24"/>
          <w:szCs w:val="24"/>
          <w:lang w:val="en-GB"/>
        </w:rPr>
      </w:pPr>
      <w:r w:rsidRPr="002D56CD">
        <w:rPr>
          <w:rFonts w:ascii="Times New Roman" w:hAnsi="Times New Roman" w:cs="Times New Roman"/>
          <w:sz w:val="24"/>
          <w:szCs w:val="24"/>
          <w:lang w:val="en-GB"/>
        </w:rPr>
        <w:t>Services in Scotland a</w:t>
      </w:r>
      <w:r>
        <w:rPr>
          <w:rFonts w:ascii="Times New Roman" w:hAnsi="Times New Roman" w:cs="Times New Roman"/>
          <w:sz w:val="24"/>
          <w:szCs w:val="24"/>
          <w:lang w:val="en-GB"/>
        </w:rPr>
        <w:t xml:space="preserve">re organised by 14 health board </w:t>
      </w:r>
      <w:r w:rsidRPr="002D56CD">
        <w:rPr>
          <w:rFonts w:ascii="Times New Roman" w:hAnsi="Times New Roman" w:cs="Times New Roman"/>
          <w:sz w:val="24"/>
          <w:szCs w:val="24"/>
          <w:lang w:val="en-GB"/>
        </w:rPr>
        <w:t>ar</w:t>
      </w:r>
      <w:r>
        <w:rPr>
          <w:rFonts w:ascii="Times New Roman" w:hAnsi="Times New Roman" w:cs="Times New Roman"/>
          <w:sz w:val="24"/>
          <w:szCs w:val="24"/>
          <w:lang w:val="en-GB"/>
        </w:rPr>
        <w:t xml:space="preserve">eas. All areas have a child ASD diagnostic service, and </w:t>
      </w:r>
      <w:r w:rsidRPr="002D56CD">
        <w:rPr>
          <w:rFonts w:ascii="Times New Roman" w:hAnsi="Times New Roman" w:cs="Times New Roman"/>
          <w:sz w:val="24"/>
          <w:szCs w:val="24"/>
          <w:lang w:val="en-GB"/>
        </w:rPr>
        <w:t xml:space="preserve">11/14 </w:t>
      </w:r>
      <w:proofErr w:type="gramStart"/>
      <w:r w:rsidRPr="002D56CD">
        <w:rPr>
          <w:rFonts w:ascii="Times New Roman" w:hAnsi="Times New Roman" w:cs="Times New Roman"/>
          <w:sz w:val="24"/>
          <w:szCs w:val="24"/>
          <w:lang w:val="en-GB"/>
        </w:rPr>
        <w:t>have</w:t>
      </w:r>
      <w:proofErr w:type="gramEnd"/>
      <w:r w:rsidRPr="002D56CD">
        <w:rPr>
          <w:rFonts w:ascii="Times New Roman" w:hAnsi="Times New Roman" w:cs="Times New Roman"/>
          <w:sz w:val="24"/>
          <w:szCs w:val="24"/>
          <w:lang w:val="en-GB"/>
        </w:rPr>
        <w:t xml:space="preserve"> an adult service. R</w:t>
      </w:r>
      <w:r>
        <w:rPr>
          <w:rFonts w:ascii="Times New Roman" w:hAnsi="Times New Roman" w:cs="Times New Roman"/>
          <w:sz w:val="24"/>
          <w:szCs w:val="24"/>
          <w:lang w:val="en-GB"/>
        </w:rPr>
        <w:t xml:space="preserve">eferral and assessment practice </w:t>
      </w:r>
      <w:r w:rsidRPr="002D56CD">
        <w:rPr>
          <w:rFonts w:ascii="Times New Roman" w:hAnsi="Times New Roman" w:cs="Times New Roman"/>
          <w:sz w:val="24"/>
          <w:szCs w:val="24"/>
          <w:lang w:val="en-GB"/>
        </w:rPr>
        <w:t>at the time of recruitme</w:t>
      </w:r>
      <w:r>
        <w:rPr>
          <w:rFonts w:ascii="Times New Roman" w:hAnsi="Times New Roman" w:cs="Times New Roman"/>
          <w:sz w:val="24"/>
          <w:szCs w:val="24"/>
          <w:lang w:val="en-GB"/>
        </w:rPr>
        <w:t xml:space="preserve">nt followed paediatric clinical </w:t>
      </w:r>
      <w:r w:rsidRPr="002D56CD">
        <w:rPr>
          <w:rFonts w:ascii="Times New Roman" w:hAnsi="Times New Roman" w:cs="Times New Roman"/>
          <w:sz w:val="24"/>
          <w:szCs w:val="24"/>
          <w:lang w:val="en-GB"/>
        </w:rPr>
        <w:t>guidelines (Le Couteur et al.,</w:t>
      </w:r>
      <w:r>
        <w:rPr>
          <w:rFonts w:ascii="Times New Roman" w:hAnsi="Times New Roman" w:cs="Times New Roman"/>
          <w:sz w:val="24"/>
          <w:szCs w:val="24"/>
          <w:lang w:val="en-GB"/>
        </w:rPr>
        <w:t xml:space="preserve"> 2003; Scottish Intercollegiate </w:t>
      </w:r>
      <w:r w:rsidRPr="002D56CD">
        <w:rPr>
          <w:rFonts w:ascii="Times New Roman" w:hAnsi="Times New Roman" w:cs="Times New Roman"/>
          <w:sz w:val="24"/>
          <w:szCs w:val="24"/>
          <w:lang w:val="en-GB"/>
        </w:rPr>
        <w:t>Guidelines Network (SIG</w:t>
      </w:r>
      <w:r>
        <w:rPr>
          <w:rFonts w:ascii="Times New Roman" w:hAnsi="Times New Roman" w:cs="Times New Roman"/>
          <w:sz w:val="24"/>
          <w:szCs w:val="24"/>
          <w:lang w:val="en-GB"/>
        </w:rPr>
        <w:t xml:space="preserve">N), 2007) </w:t>
      </w:r>
      <w:r w:rsidR="00F515AA">
        <w:rPr>
          <w:rFonts w:ascii="Times New Roman" w:hAnsi="Times New Roman" w:cs="Times New Roman"/>
          <w:sz w:val="24"/>
          <w:szCs w:val="24"/>
          <w:lang w:val="en-GB"/>
        </w:rPr>
        <w:t xml:space="preserve">and quality standards (Scottish </w:t>
      </w:r>
      <w:r>
        <w:rPr>
          <w:rFonts w:ascii="Times New Roman" w:hAnsi="Times New Roman" w:cs="Times New Roman"/>
          <w:sz w:val="24"/>
          <w:szCs w:val="24"/>
          <w:lang w:val="en-GB"/>
        </w:rPr>
        <w:t xml:space="preserve">Executive, </w:t>
      </w:r>
      <w:r w:rsidRPr="002D56CD">
        <w:rPr>
          <w:rFonts w:ascii="Times New Roman" w:hAnsi="Times New Roman" w:cs="Times New Roman"/>
          <w:sz w:val="24"/>
          <w:szCs w:val="24"/>
          <w:lang w:val="en-GB"/>
        </w:rPr>
        <w:t>2006) f</w:t>
      </w:r>
      <w:r>
        <w:rPr>
          <w:rFonts w:ascii="Times New Roman" w:hAnsi="Times New Roman" w:cs="Times New Roman"/>
          <w:sz w:val="24"/>
          <w:szCs w:val="24"/>
          <w:lang w:val="en-GB"/>
        </w:rPr>
        <w:t xml:space="preserve">or adult services. Referrals to </w:t>
      </w:r>
      <w:r w:rsidRPr="002D56CD">
        <w:rPr>
          <w:rFonts w:ascii="Times New Roman" w:hAnsi="Times New Roman" w:cs="Times New Roman"/>
          <w:sz w:val="24"/>
          <w:szCs w:val="24"/>
          <w:lang w:val="en-GB"/>
        </w:rPr>
        <w:t>child services follow g</w:t>
      </w:r>
      <w:r w:rsidR="00F515AA">
        <w:rPr>
          <w:rFonts w:ascii="Times New Roman" w:hAnsi="Times New Roman" w:cs="Times New Roman"/>
          <w:sz w:val="24"/>
          <w:szCs w:val="24"/>
          <w:lang w:val="en-GB"/>
        </w:rPr>
        <w:t xml:space="preserve">eneral </w:t>
      </w:r>
      <w:r>
        <w:rPr>
          <w:rFonts w:ascii="Times New Roman" w:hAnsi="Times New Roman" w:cs="Times New Roman"/>
          <w:sz w:val="24"/>
          <w:szCs w:val="24"/>
          <w:lang w:val="en-GB"/>
        </w:rPr>
        <w:t xml:space="preserve">developmental assessment </w:t>
      </w:r>
      <w:r w:rsidRPr="002D56CD">
        <w:rPr>
          <w:rFonts w:ascii="Times New Roman" w:hAnsi="Times New Roman" w:cs="Times New Roman"/>
          <w:sz w:val="24"/>
          <w:szCs w:val="24"/>
          <w:lang w:val="en-GB"/>
        </w:rPr>
        <w:t>from a multi-disciplinary t</w:t>
      </w:r>
      <w:r>
        <w:rPr>
          <w:rFonts w:ascii="Times New Roman" w:hAnsi="Times New Roman" w:cs="Times New Roman"/>
          <w:sz w:val="24"/>
          <w:szCs w:val="24"/>
          <w:lang w:val="en-GB"/>
        </w:rPr>
        <w:t xml:space="preserve">eam. Referrals for adults arise </w:t>
      </w:r>
      <w:r w:rsidRPr="002D56CD">
        <w:rPr>
          <w:rFonts w:ascii="Times New Roman" w:hAnsi="Times New Roman" w:cs="Times New Roman"/>
          <w:sz w:val="24"/>
          <w:szCs w:val="24"/>
          <w:lang w:val="en-GB"/>
        </w:rPr>
        <w:t>interna</w:t>
      </w:r>
      <w:r>
        <w:rPr>
          <w:rFonts w:ascii="Times New Roman" w:hAnsi="Times New Roman" w:cs="Times New Roman"/>
          <w:sz w:val="24"/>
          <w:szCs w:val="24"/>
          <w:lang w:val="en-GB"/>
        </w:rPr>
        <w:t xml:space="preserve">lly, within ID or Mental Health </w:t>
      </w:r>
      <w:r w:rsidRPr="002D56CD">
        <w:rPr>
          <w:rFonts w:ascii="Times New Roman" w:hAnsi="Times New Roman" w:cs="Times New Roman"/>
          <w:sz w:val="24"/>
          <w:szCs w:val="24"/>
          <w:lang w:val="en-GB"/>
        </w:rPr>
        <w:t>teams,</w:t>
      </w:r>
      <w:r>
        <w:rPr>
          <w:rFonts w:ascii="Times New Roman" w:hAnsi="Times New Roman" w:cs="Times New Roman"/>
          <w:sz w:val="24"/>
          <w:szCs w:val="24"/>
          <w:lang w:val="en-GB"/>
        </w:rPr>
        <w:t xml:space="preserve"> or externally </w:t>
      </w:r>
      <w:r w:rsidRPr="002D56CD">
        <w:rPr>
          <w:rFonts w:ascii="Times New Roman" w:hAnsi="Times New Roman" w:cs="Times New Roman"/>
          <w:sz w:val="24"/>
          <w:szCs w:val="24"/>
          <w:lang w:val="en-GB"/>
        </w:rPr>
        <w:t>via General Practitioners o</w:t>
      </w:r>
      <w:r>
        <w:rPr>
          <w:rFonts w:ascii="Times New Roman" w:hAnsi="Times New Roman" w:cs="Times New Roman"/>
          <w:sz w:val="24"/>
          <w:szCs w:val="24"/>
          <w:lang w:val="en-GB"/>
        </w:rPr>
        <w:t xml:space="preserve">r self-referral. ASD diagnostic </w:t>
      </w:r>
      <w:r w:rsidRPr="002D56CD">
        <w:rPr>
          <w:rFonts w:ascii="Times New Roman" w:hAnsi="Times New Roman" w:cs="Times New Roman"/>
          <w:sz w:val="24"/>
          <w:szCs w:val="24"/>
          <w:lang w:val="en-GB"/>
        </w:rPr>
        <w:t>assessment is largely</w:t>
      </w:r>
      <w:r>
        <w:rPr>
          <w:rFonts w:ascii="Times New Roman" w:hAnsi="Times New Roman" w:cs="Times New Roman"/>
          <w:sz w:val="24"/>
          <w:szCs w:val="24"/>
          <w:lang w:val="en-GB"/>
        </w:rPr>
        <w:t xml:space="preserve"> provided by multi-disciplinary </w:t>
      </w:r>
      <w:r w:rsidRPr="002D56CD">
        <w:rPr>
          <w:rFonts w:ascii="Times New Roman" w:hAnsi="Times New Roman" w:cs="Times New Roman"/>
          <w:sz w:val="24"/>
          <w:szCs w:val="24"/>
          <w:lang w:val="en-GB"/>
        </w:rPr>
        <w:t>National Health Service (NHS)</w:t>
      </w:r>
      <w:r>
        <w:rPr>
          <w:rFonts w:ascii="Times New Roman" w:hAnsi="Times New Roman" w:cs="Times New Roman"/>
          <w:sz w:val="24"/>
          <w:szCs w:val="24"/>
          <w:lang w:val="en-GB"/>
        </w:rPr>
        <w:t xml:space="preserve"> teams (including a combination </w:t>
      </w:r>
      <w:r w:rsidRPr="002D56CD">
        <w:rPr>
          <w:rFonts w:ascii="Times New Roman" w:hAnsi="Times New Roman" w:cs="Times New Roman"/>
          <w:sz w:val="24"/>
          <w:szCs w:val="24"/>
          <w:lang w:val="en-GB"/>
        </w:rPr>
        <w:t>of medical, allied health pr</w:t>
      </w:r>
      <w:r>
        <w:rPr>
          <w:rFonts w:ascii="Times New Roman" w:hAnsi="Times New Roman" w:cs="Times New Roman"/>
          <w:sz w:val="24"/>
          <w:szCs w:val="24"/>
          <w:lang w:val="en-GB"/>
        </w:rPr>
        <w:t xml:space="preserve">ofessional, clinical psychology </w:t>
      </w:r>
      <w:r w:rsidRPr="002D56CD">
        <w:rPr>
          <w:rFonts w:ascii="Times New Roman" w:hAnsi="Times New Roman" w:cs="Times New Roman"/>
          <w:sz w:val="24"/>
          <w:szCs w:val="24"/>
          <w:lang w:val="en-GB"/>
        </w:rPr>
        <w:t xml:space="preserve">and nursing </w:t>
      </w:r>
      <w:r>
        <w:rPr>
          <w:rFonts w:ascii="Times New Roman" w:hAnsi="Times New Roman" w:cs="Times New Roman"/>
          <w:sz w:val="24"/>
          <w:szCs w:val="24"/>
          <w:lang w:val="en-GB"/>
        </w:rPr>
        <w:t xml:space="preserve">staff), in the context of wider </w:t>
      </w:r>
      <w:r w:rsidRPr="002D56CD">
        <w:rPr>
          <w:rFonts w:ascii="Times New Roman" w:hAnsi="Times New Roman" w:cs="Times New Roman"/>
          <w:sz w:val="24"/>
          <w:szCs w:val="24"/>
          <w:lang w:val="en-GB"/>
        </w:rPr>
        <w:t>individualised support and interventions.</w:t>
      </w:r>
    </w:p>
    <w:p w:rsidR="003C1688" w:rsidRDefault="003C1688" w:rsidP="003C1688">
      <w:pPr>
        <w:autoSpaceDE w:val="0"/>
        <w:autoSpaceDN w:val="0"/>
        <w:adjustRightInd w:val="0"/>
        <w:spacing w:after="0" w:line="480" w:lineRule="auto"/>
        <w:contextualSpacing w:val="0"/>
        <w:rPr>
          <w:rFonts w:ascii="Times New Roman" w:hAnsi="Times New Roman" w:cs="Times New Roman"/>
          <w:i/>
          <w:iCs/>
          <w:sz w:val="24"/>
          <w:szCs w:val="24"/>
          <w:lang w:val="en-GB"/>
        </w:rPr>
      </w:pPr>
    </w:p>
    <w:p w:rsidR="003C1688" w:rsidRPr="003C1688" w:rsidRDefault="003C1688" w:rsidP="003C1688">
      <w:pPr>
        <w:autoSpaceDE w:val="0"/>
        <w:autoSpaceDN w:val="0"/>
        <w:adjustRightInd w:val="0"/>
        <w:spacing w:after="0" w:line="480" w:lineRule="auto"/>
        <w:contextualSpacing w:val="0"/>
        <w:rPr>
          <w:rFonts w:ascii="Times New Roman" w:hAnsi="Times New Roman" w:cs="Times New Roman"/>
          <w:i/>
          <w:iCs/>
          <w:sz w:val="24"/>
          <w:szCs w:val="24"/>
          <w:lang w:val="en-GB"/>
        </w:rPr>
      </w:pPr>
      <w:r w:rsidRPr="003C1688">
        <w:rPr>
          <w:rFonts w:ascii="Times New Roman" w:hAnsi="Times New Roman" w:cs="Times New Roman"/>
          <w:i/>
          <w:iCs/>
          <w:sz w:val="24"/>
          <w:szCs w:val="24"/>
          <w:lang w:val="en-GB"/>
        </w:rPr>
        <w:t>Sampled services</w:t>
      </w:r>
    </w:p>
    <w:p w:rsidR="00046934" w:rsidRDefault="003C1688" w:rsidP="003C1688">
      <w:pPr>
        <w:autoSpaceDE w:val="0"/>
        <w:autoSpaceDN w:val="0"/>
        <w:adjustRightInd w:val="0"/>
        <w:spacing w:after="0" w:line="480" w:lineRule="auto"/>
        <w:contextualSpacing w:val="0"/>
        <w:rPr>
          <w:rFonts w:ascii="Times New Roman" w:hAnsi="Times New Roman" w:cs="Times New Roman"/>
          <w:sz w:val="24"/>
          <w:szCs w:val="24"/>
          <w:lang w:val="en-GB"/>
        </w:rPr>
      </w:pPr>
      <w:r w:rsidRPr="003C1688">
        <w:rPr>
          <w:rFonts w:ascii="Times New Roman" w:hAnsi="Times New Roman" w:cs="Times New Roman"/>
          <w:sz w:val="24"/>
          <w:szCs w:val="24"/>
          <w:lang w:val="en-GB"/>
        </w:rPr>
        <w:lastRenderedPageBreak/>
        <w:t>Services sampled are d</w:t>
      </w:r>
      <w:r>
        <w:rPr>
          <w:rFonts w:ascii="Times New Roman" w:hAnsi="Times New Roman" w:cs="Times New Roman"/>
          <w:sz w:val="24"/>
          <w:szCs w:val="24"/>
          <w:lang w:val="en-GB"/>
        </w:rPr>
        <w:t xml:space="preserve">escribed more fully in McKenzie </w:t>
      </w:r>
      <w:r w:rsidRPr="003C1688">
        <w:rPr>
          <w:rFonts w:ascii="Times New Roman" w:hAnsi="Times New Roman" w:cs="Times New Roman"/>
          <w:sz w:val="24"/>
          <w:szCs w:val="24"/>
          <w:lang w:val="en-GB"/>
        </w:rPr>
        <w:t>et al. (2015). Child service</w:t>
      </w:r>
      <w:r>
        <w:rPr>
          <w:rFonts w:ascii="Times New Roman" w:hAnsi="Times New Roman" w:cs="Times New Roman"/>
          <w:sz w:val="24"/>
          <w:szCs w:val="24"/>
          <w:lang w:val="en-GB"/>
        </w:rPr>
        <w:t xml:space="preserve">s included Child and Adolescent </w:t>
      </w:r>
      <w:r w:rsidRPr="003C1688">
        <w:rPr>
          <w:rFonts w:ascii="Times New Roman" w:hAnsi="Times New Roman" w:cs="Times New Roman"/>
          <w:sz w:val="24"/>
          <w:szCs w:val="24"/>
          <w:lang w:val="en-GB"/>
        </w:rPr>
        <w:t>Mental Health Services (CAMHS) and Paediatrician</w:t>
      </w:r>
      <w:r>
        <w:rPr>
          <w:rFonts w:ascii="Times New Roman" w:hAnsi="Times New Roman" w:cs="Times New Roman"/>
          <w:sz w:val="24"/>
          <w:szCs w:val="24"/>
          <w:lang w:val="en-GB"/>
        </w:rPr>
        <w:t xml:space="preserve">-led </w:t>
      </w:r>
      <w:r w:rsidRPr="003C1688">
        <w:rPr>
          <w:rFonts w:ascii="Times New Roman" w:hAnsi="Times New Roman" w:cs="Times New Roman"/>
          <w:sz w:val="24"/>
          <w:szCs w:val="24"/>
          <w:lang w:val="en-GB"/>
        </w:rPr>
        <w:t>child development ser</w:t>
      </w:r>
      <w:r>
        <w:rPr>
          <w:rFonts w:ascii="Times New Roman" w:hAnsi="Times New Roman" w:cs="Times New Roman"/>
          <w:sz w:val="24"/>
          <w:szCs w:val="24"/>
          <w:lang w:val="en-GB"/>
        </w:rPr>
        <w:t xml:space="preserve">vices. Child teams averaged 5.2 </w:t>
      </w:r>
      <w:r w:rsidRPr="003C1688">
        <w:rPr>
          <w:rFonts w:ascii="Times New Roman" w:hAnsi="Times New Roman" w:cs="Times New Roman"/>
          <w:sz w:val="24"/>
          <w:szCs w:val="24"/>
          <w:lang w:val="en-GB"/>
        </w:rPr>
        <w:t>members (range = 3–9). Adu</w:t>
      </w:r>
      <w:r>
        <w:rPr>
          <w:rFonts w:ascii="Times New Roman" w:hAnsi="Times New Roman" w:cs="Times New Roman"/>
          <w:sz w:val="24"/>
          <w:szCs w:val="24"/>
          <w:lang w:val="en-GB"/>
        </w:rPr>
        <w:t xml:space="preserve">lt services included ID, Mental </w:t>
      </w:r>
      <w:r w:rsidRPr="003C1688">
        <w:rPr>
          <w:rFonts w:ascii="Times New Roman" w:hAnsi="Times New Roman" w:cs="Times New Roman"/>
          <w:sz w:val="24"/>
          <w:szCs w:val="24"/>
          <w:lang w:val="en-GB"/>
        </w:rPr>
        <w:t>Health services and ASD</w:t>
      </w:r>
      <w:r>
        <w:rPr>
          <w:rFonts w:ascii="Times New Roman" w:hAnsi="Times New Roman" w:cs="Times New Roman"/>
          <w:sz w:val="24"/>
          <w:szCs w:val="24"/>
          <w:lang w:val="en-GB"/>
        </w:rPr>
        <w:t xml:space="preserve"> specialist services and had an </w:t>
      </w:r>
      <w:r w:rsidRPr="003C1688">
        <w:rPr>
          <w:rFonts w:ascii="Times New Roman" w:hAnsi="Times New Roman" w:cs="Times New Roman"/>
          <w:sz w:val="24"/>
          <w:szCs w:val="24"/>
          <w:lang w:val="en-GB"/>
        </w:rPr>
        <w:t>averag</w:t>
      </w:r>
      <w:r>
        <w:rPr>
          <w:rFonts w:ascii="Times New Roman" w:hAnsi="Times New Roman" w:cs="Times New Roman"/>
          <w:sz w:val="24"/>
          <w:szCs w:val="24"/>
          <w:lang w:val="en-GB"/>
        </w:rPr>
        <w:t xml:space="preserve">e of 2.8 members (range = 1–7). </w:t>
      </w:r>
    </w:p>
    <w:p w:rsidR="00657995" w:rsidRDefault="003C1688" w:rsidP="003C1688">
      <w:pPr>
        <w:autoSpaceDE w:val="0"/>
        <w:autoSpaceDN w:val="0"/>
        <w:adjustRightInd w:val="0"/>
        <w:spacing w:after="0" w:line="480" w:lineRule="auto"/>
        <w:ind w:firstLine="720"/>
        <w:contextualSpacing w:val="0"/>
        <w:rPr>
          <w:rFonts w:ascii="Times New Roman" w:hAnsi="Times New Roman" w:cs="Times New Roman"/>
          <w:sz w:val="24"/>
          <w:szCs w:val="24"/>
          <w:lang w:val="en-GB"/>
        </w:rPr>
      </w:pPr>
      <w:r w:rsidRPr="003C1688">
        <w:rPr>
          <w:rFonts w:ascii="Times New Roman" w:hAnsi="Times New Roman" w:cs="Times New Roman"/>
          <w:sz w:val="24"/>
          <w:szCs w:val="24"/>
          <w:lang w:val="en-GB"/>
        </w:rPr>
        <w:t>Services provided case notes for the analysis. A range of diagnostic terms were given, including Autism Spectrum Disorder, Asperger’s Syndrome, Atypical Autism, Autism and Childhood Autism. These were combined under the</w:t>
      </w:r>
      <w:r>
        <w:rPr>
          <w:rFonts w:ascii="Times New Roman" w:hAnsi="Times New Roman" w:cs="Times New Roman"/>
          <w:sz w:val="24"/>
          <w:szCs w:val="24"/>
          <w:lang w:val="en-GB"/>
        </w:rPr>
        <w:t xml:space="preserve"> </w:t>
      </w:r>
      <w:r w:rsidRPr="003C1688">
        <w:rPr>
          <w:rFonts w:ascii="Times New Roman" w:hAnsi="Times New Roman" w:cs="Times New Roman"/>
          <w:sz w:val="24"/>
          <w:szCs w:val="24"/>
          <w:lang w:val="en-GB"/>
        </w:rPr>
        <w:t>diagnostic term ASD for the purposes of the study. The</w:t>
      </w:r>
      <w:r>
        <w:rPr>
          <w:rFonts w:ascii="Times New Roman" w:hAnsi="Times New Roman" w:cs="Times New Roman"/>
          <w:sz w:val="24"/>
          <w:szCs w:val="24"/>
          <w:lang w:val="en-GB"/>
        </w:rPr>
        <w:t xml:space="preserve"> </w:t>
      </w:r>
      <w:r w:rsidRPr="003C1688">
        <w:rPr>
          <w:rFonts w:ascii="Times New Roman" w:hAnsi="Times New Roman" w:cs="Times New Roman"/>
          <w:sz w:val="24"/>
          <w:szCs w:val="24"/>
          <w:lang w:val="en-GB"/>
        </w:rPr>
        <w:t>characteristics of the s</w:t>
      </w:r>
      <w:r>
        <w:rPr>
          <w:rFonts w:ascii="Times New Roman" w:hAnsi="Times New Roman" w:cs="Times New Roman"/>
          <w:sz w:val="24"/>
          <w:szCs w:val="24"/>
          <w:lang w:val="en-GB"/>
        </w:rPr>
        <w:t xml:space="preserve">ample are shown in Table 1. One </w:t>
      </w:r>
      <w:r w:rsidRPr="003C1688">
        <w:rPr>
          <w:rFonts w:ascii="Times New Roman" w:hAnsi="Times New Roman" w:cs="Times New Roman"/>
          <w:sz w:val="24"/>
          <w:szCs w:val="24"/>
          <w:lang w:val="en-GB"/>
        </w:rPr>
        <w:t xml:space="preserve">transgender individual was </w:t>
      </w:r>
      <w:r>
        <w:rPr>
          <w:rFonts w:ascii="Times New Roman" w:hAnsi="Times New Roman" w:cs="Times New Roman"/>
          <w:sz w:val="24"/>
          <w:szCs w:val="24"/>
          <w:lang w:val="en-GB"/>
        </w:rPr>
        <w:t xml:space="preserve">excluded from subsequent gender </w:t>
      </w:r>
      <w:r w:rsidRPr="003C1688">
        <w:rPr>
          <w:rFonts w:ascii="Times New Roman" w:hAnsi="Times New Roman" w:cs="Times New Roman"/>
          <w:sz w:val="24"/>
          <w:szCs w:val="24"/>
          <w:lang w:val="en-GB"/>
        </w:rPr>
        <w:t>analyses.</w:t>
      </w:r>
    </w:p>
    <w:p w:rsidR="00F515AA" w:rsidRDefault="00F515AA" w:rsidP="003C1688">
      <w:pPr>
        <w:autoSpaceDE w:val="0"/>
        <w:autoSpaceDN w:val="0"/>
        <w:adjustRightInd w:val="0"/>
        <w:spacing w:after="0" w:line="480" w:lineRule="auto"/>
        <w:ind w:firstLine="720"/>
        <w:contextualSpacing w:val="0"/>
        <w:rPr>
          <w:rFonts w:ascii="Times New Roman" w:hAnsi="Times New Roman" w:cs="Times New Roman"/>
          <w:sz w:val="24"/>
          <w:szCs w:val="24"/>
          <w:lang w:val="en-GB"/>
        </w:rPr>
      </w:pPr>
    </w:p>
    <w:p w:rsidR="00F515AA" w:rsidRDefault="00F515AA" w:rsidP="003C1688">
      <w:pPr>
        <w:autoSpaceDE w:val="0"/>
        <w:autoSpaceDN w:val="0"/>
        <w:adjustRightInd w:val="0"/>
        <w:spacing w:after="0" w:line="480" w:lineRule="auto"/>
        <w:ind w:firstLine="720"/>
        <w:contextualSpacing w:val="0"/>
        <w:rPr>
          <w:rFonts w:ascii="Times New Roman" w:hAnsi="Times New Roman" w:cs="Times New Roman"/>
          <w:sz w:val="24"/>
          <w:szCs w:val="24"/>
          <w:lang w:val="en-GB"/>
        </w:rPr>
      </w:pPr>
    </w:p>
    <w:p w:rsidR="00F515AA" w:rsidRDefault="00F515AA" w:rsidP="003C1688">
      <w:pPr>
        <w:autoSpaceDE w:val="0"/>
        <w:autoSpaceDN w:val="0"/>
        <w:adjustRightInd w:val="0"/>
        <w:spacing w:after="0" w:line="480" w:lineRule="auto"/>
        <w:ind w:firstLine="720"/>
        <w:contextualSpacing w:val="0"/>
        <w:rPr>
          <w:rFonts w:ascii="Times New Roman" w:hAnsi="Times New Roman" w:cs="Times New Roman"/>
          <w:sz w:val="24"/>
          <w:szCs w:val="24"/>
          <w:lang w:val="en-GB"/>
        </w:rPr>
      </w:pPr>
    </w:p>
    <w:p w:rsidR="00F515AA" w:rsidRDefault="00F515AA" w:rsidP="003C1688">
      <w:pPr>
        <w:autoSpaceDE w:val="0"/>
        <w:autoSpaceDN w:val="0"/>
        <w:adjustRightInd w:val="0"/>
        <w:spacing w:after="0" w:line="480" w:lineRule="auto"/>
        <w:ind w:firstLine="720"/>
        <w:contextualSpacing w:val="0"/>
        <w:rPr>
          <w:rFonts w:ascii="Times New Roman" w:hAnsi="Times New Roman" w:cs="Times New Roman"/>
          <w:sz w:val="24"/>
          <w:szCs w:val="24"/>
          <w:lang w:val="en-GB"/>
        </w:rPr>
      </w:pPr>
    </w:p>
    <w:p w:rsidR="00F515AA" w:rsidRDefault="00F515AA" w:rsidP="003C1688">
      <w:pPr>
        <w:autoSpaceDE w:val="0"/>
        <w:autoSpaceDN w:val="0"/>
        <w:adjustRightInd w:val="0"/>
        <w:spacing w:after="0" w:line="480" w:lineRule="auto"/>
        <w:ind w:firstLine="720"/>
        <w:contextualSpacing w:val="0"/>
        <w:rPr>
          <w:rFonts w:ascii="Times New Roman" w:hAnsi="Times New Roman" w:cs="Times New Roman"/>
          <w:sz w:val="24"/>
          <w:szCs w:val="24"/>
          <w:lang w:val="en-GB"/>
        </w:rPr>
      </w:pPr>
    </w:p>
    <w:p w:rsidR="00F515AA" w:rsidRDefault="00F515AA" w:rsidP="003C1688">
      <w:pPr>
        <w:autoSpaceDE w:val="0"/>
        <w:autoSpaceDN w:val="0"/>
        <w:adjustRightInd w:val="0"/>
        <w:spacing w:after="0" w:line="480" w:lineRule="auto"/>
        <w:ind w:firstLine="720"/>
        <w:contextualSpacing w:val="0"/>
        <w:rPr>
          <w:rFonts w:ascii="Times New Roman" w:hAnsi="Times New Roman" w:cs="Times New Roman"/>
          <w:sz w:val="24"/>
          <w:szCs w:val="24"/>
          <w:lang w:val="en-GB"/>
        </w:rPr>
      </w:pPr>
    </w:p>
    <w:p w:rsidR="00F515AA" w:rsidRDefault="00F515AA" w:rsidP="003C1688">
      <w:pPr>
        <w:autoSpaceDE w:val="0"/>
        <w:autoSpaceDN w:val="0"/>
        <w:adjustRightInd w:val="0"/>
        <w:spacing w:after="0" w:line="480" w:lineRule="auto"/>
        <w:ind w:firstLine="720"/>
        <w:contextualSpacing w:val="0"/>
        <w:rPr>
          <w:rFonts w:ascii="Times New Roman" w:hAnsi="Times New Roman" w:cs="Times New Roman"/>
          <w:sz w:val="24"/>
          <w:szCs w:val="24"/>
          <w:lang w:val="en-GB"/>
        </w:rPr>
        <w:sectPr w:rsidR="00F515AA" w:rsidSect="00F515AA">
          <w:pgSz w:w="12240" w:h="15840"/>
          <w:pgMar w:top="2835" w:right="1701" w:bottom="2835" w:left="1701" w:header="720" w:footer="720" w:gutter="0"/>
          <w:cols w:space="720"/>
          <w:docGrid w:linePitch="360"/>
        </w:sectPr>
      </w:pPr>
    </w:p>
    <w:p w:rsidR="00046934" w:rsidRDefault="00046934" w:rsidP="00046934">
      <w:pPr>
        <w:spacing w:after="0"/>
        <w:ind w:left="-1985"/>
        <w:contextualSpacing w:val="0"/>
        <w:rPr>
          <w:rFonts w:ascii="Times New Roman" w:hAnsi="Times New Roman"/>
          <w:sz w:val="24"/>
          <w:szCs w:val="24"/>
        </w:rPr>
      </w:pPr>
      <w:proofErr w:type="gramStart"/>
      <w:r w:rsidRPr="005F7F40">
        <w:rPr>
          <w:rFonts w:ascii="Times New Roman" w:hAnsi="Times New Roman"/>
          <w:b/>
          <w:sz w:val="24"/>
          <w:szCs w:val="24"/>
        </w:rPr>
        <w:lastRenderedPageBreak/>
        <w:t>Table 1.</w:t>
      </w:r>
      <w:proofErr w:type="gramEnd"/>
      <w:r w:rsidRPr="005F7F40">
        <w:rPr>
          <w:rFonts w:ascii="Times New Roman" w:hAnsi="Times New Roman"/>
          <w:b/>
          <w:sz w:val="24"/>
          <w:szCs w:val="24"/>
        </w:rPr>
        <w:t xml:space="preserve"> </w:t>
      </w:r>
      <w:r>
        <w:rPr>
          <w:rFonts w:ascii="Times New Roman" w:hAnsi="Times New Roman"/>
          <w:sz w:val="24"/>
          <w:szCs w:val="24"/>
        </w:rPr>
        <w:t>Characteristics of the sample</w:t>
      </w:r>
    </w:p>
    <w:p w:rsidR="00046934" w:rsidRDefault="00046934" w:rsidP="00046934">
      <w:pPr>
        <w:spacing w:after="0"/>
        <w:ind w:left="-1985"/>
        <w:contextualSpacing w:val="0"/>
        <w:rPr>
          <w:rFonts w:ascii="Times New Roman" w:hAnsi="Times New Roman"/>
          <w:sz w:val="24"/>
          <w:szCs w:val="24"/>
        </w:rPr>
      </w:pPr>
    </w:p>
    <w:tbl>
      <w:tblPr>
        <w:tblpPr w:leftFromText="180" w:rightFromText="180" w:vertAnchor="text" w:horzAnchor="margin" w:tblpXSpec="center" w:tblpYSpec="inside"/>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134"/>
        <w:gridCol w:w="992"/>
        <w:gridCol w:w="142"/>
        <w:gridCol w:w="1026"/>
        <w:gridCol w:w="1046"/>
        <w:gridCol w:w="1080"/>
        <w:gridCol w:w="1046"/>
        <w:gridCol w:w="1081"/>
        <w:gridCol w:w="992"/>
        <w:gridCol w:w="992"/>
        <w:gridCol w:w="1134"/>
        <w:gridCol w:w="992"/>
        <w:gridCol w:w="993"/>
      </w:tblGrid>
      <w:tr w:rsidR="00046934" w:rsidRPr="00E354E9" w:rsidTr="00046934">
        <w:trPr>
          <w:trHeight w:val="1210"/>
        </w:trPr>
        <w:tc>
          <w:tcPr>
            <w:tcW w:w="1384" w:type="dxa"/>
            <w:tcBorders>
              <w:top w:val="single" w:sz="4" w:space="0" w:color="auto"/>
              <w:left w:val="nil"/>
              <w:bottom w:val="single" w:sz="4" w:space="0" w:color="auto"/>
              <w:right w:val="nil"/>
            </w:tcBorders>
            <w:shd w:val="clear" w:color="auto" w:fill="auto"/>
          </w:tcPr>
          <w:p w:rsidR="00046934" w:rsidRPr="00E354E9" w:rsidRDefault="00046934" w:rsidP="00046934">
            <w:pPr>
              <w:spacing w:after="0"/>
              <w:rPr>
                <w:rFonts w:ascii="Times New Roman" w:hAnsi="Times New Roman"/>
                <w:sz w:val="20"/>
                <w:szCs w:val="20"/>
              </w:rPr>
            </w:pPr>
            <w:r w:rsidRPr="00E354E9">
              <w:rPr>
                <w:rFonts w:ascii="Times New Roman" w:hAnsi="Times New Roman"/>
                <w:sz w:val="20"/>
                <w:szCs w:val="20"/>
              </w:rPr>
              <w:t xml:space="preserve">  </w:t>
            </w:r>
          </w:p>
        </w:tc>
        <w:tc>
          <w:tcPr>
            <w:tcW w:w="1134" w:type="dxa"/>
            <w:tcBorders>
              <w:top w:val="single" w:sz="4" w:space="0" w:color="auto"/>
              <w:left w:val="nil"/>
              <w:bottom w:val="single" w:sz="4" w:space="0" w:color="auto"/>
              <w:right w:val="nil"/>
            </w:tcBorders>
            <w:shd w:val="clear" w:color="auto" w:fill="auto"/>
          </w:tcPr>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 xml:space="preserve">Age range of all children </w:t>
            </w:r>
          </w:p>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(0-9.11yrs)</w:t>
            </w:r>
          </w:p>
          <w:p w:rsidR="00046934" w:rsidRDefault="00046934" w:rsidP="00046934">
            <w:pPr>
              <w:spacing w:after="0"/>
              <w:rPr>
                <w:rFonts w:ascii="Times New Roman" w:hAnsi="Times New Roman"/>
                <w:sz w:val="18"/>
                <w:szCs w:val="18"/>
              </w:rPr>
            </w:pPr>
          </w:p>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(n=46)</w:t>
            </w:r>
          </w:p>
        </w:tc>
        <w:tc>
          <w:tcPr>
            <w:tcW w:w="1134" w:type="dxa"/>
            <w:gridSpan w:val="2"/>
            <w:tcBorders>
              <w:top w:val="single" w:sz="4" w:space="0" w:color="auto"/>
              <w:left w:val="nil"/>
              <w:bottom w:val="single" w:sz="4" w:space="0" w:color="auto"/>
              <w:right w:val="nil"/>
            </w:tcBorders>
            <w:shd w:val="clear" w:color="auto" w:fill="auto"/>
          </w:tcPr>
          <w:p w:rsidR="00046934" w:rsidRDefault="00046934" w:rsidP="00046934">
            <w:pPr>
              <w:spacing w:after="0"/>
              <w:rPr>
                <w:rFonts w:ascii="Times New Roman" w:hAnsi="Times New Roman"/>
                <w:sz w:val="18"/>
                <w:szCs w:val="18"/>
              </w:rPr>
            </w:pPr>
            <w:r w:rsidRPr="00346240">
              <w:rPr>
                <w:rFonts w:ascii="Times New Roman" w:hAnsi="Times New Roman"/>
                <w:sz w:val="18"/>
                <w:szCs w:val="18"/>
              </w:rPr>
              <w:t xml:space="preserve">Mean age of female children </w:t>
            </w:r>
          </w:p>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(0-9.11yrs)</w:t>
            </w:r>
          </w:p>
          <w:p w:rsidR="00046934" w:rsidRDefault="00046934" w:rsidP="00046934">
            <w:pPr>
              <w:spacing w:after="0"/>
              <w:rPr>
                <w:rFonts w:ascii="Times New Roman" w:hAnsi="Times New Roman"/>
                <w:sz w:val="18"/>
                <w:szCs w:val="18"/>
              </w:rPr>
            </w:pPr>
          </w:p>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(n=7)</w:t>
            </w:r>
          </w:p>
        </w:tc>
        <w:tc>
          <w:tcPr>
            <w:tcW w:w="1026" w:type="dxa"/>
            <w:tcBorders>
              <w:top w:val="single" w:sz="4" w:space="0" w:color="auto"/>
              <w:left w:val="nil"/>
              <w:bottom w:val="single" w:sz="4" w:space="0" w:color="auto"/>
              <w:right w:val="nil"/>
            </w:tcBorders>
            <w:shd w:val="clear" w:color="auto" w:fill="auto"/>
          </w:tcPr>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 xml:space="preserve">Mean age of male children </w:t>
            </w:r>
          </w:p>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(09.11yrs)</w:t>
            </w:r>
          </w:p>
          <w:p w:rsidR="00046934" w:rsidRDefault="00046934" w:rsidP="00046934">
            <w:pPr>
              <w:spacing w:after="0"/>
              <w:rPr>
                <w:rFonts w:ascii="Times New Roman" w:hAnsi="Times New Roman"/>
                <w:sz w:val="18"/>
                <w:szCs w:val="18"/>
              </w:rPr>
            </w:pPr>
          </w:p>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(n=39)</w:t>
            </w:r>
          </w:p>
        </w:tc>
        <w:tc>
          <w:tcPr>
            <w:tcW w:w="1046" w:type="dxa"/>
            <w:tcBorders>
              <w:top w:val="single" w:sz="4" w:space="0" w:color="auto"/>
              <w:left w:val="nil"/>
              <w:bottom w:val="single" w:sz="4" w:space="0" w:color="auto"/>
              <w:right w:val="nil"/>
            </w:tcBorders>
          </w:tcPr>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Age range of all adolescents</w:t>
            </w:r>
          </w:p>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(10-18.11yrs)</w:t>
            </w:r>
          </w:p>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(n=</w:t>
            </w:r>
            <w:r>
              <w:rPr>
                <w:rFonts w:ascii="Times New Roman" w:hAnsi="Times New Roman"/>
                <w:sz w:val="18"/>
                <w:szCs w:val="18"/>
              </w:rPr>
              <w:t>40</w:t>
            </w:r>
            <w:r w:rsidRPr="00346240">
              <w:rPr>
                <w:rFonts w:ascii="Times New Roman" w:hAnsi="Times New Roman"/>
                <w:sz w:val="18"/>
                <w:szCs w:val="18"/>
              </w:rPr>
              <w:t>)</w:t>
            </w:r>
          </w:p>
        </w:tc>
        <w:tc>
          <w:tcPr>
            <w:tcW w:w="1080" w:type="dxa"/>
            <w:tcBorders>
              <w:top w:val="single" w:sz="4" w:space="0" w:color="auto"/>
              <w:left w:val="nil"/>
              <w:bottom w:val="single" w:sz="4" w:space="0" w:color="auto"/>
              <w:right w:val="nil"/>
            </w:tcBorders>
          </w:tcPr>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 xml:space="preserve">Mean age of female adolescents </w:t>
            </w:r>
          </w:p>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(10-18.11yrs)</w:t>
            </w:r>
          </w:p>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(n=</w:t>
            </w:r>
            <w:r>
              <w:rPr>
                <w:rFonts w:ascii="Times New Roman" w:hAnsi="Times New Roman"/>
                <w:sz w:val="18"/>
                <w:szCs w:val="18"/>
              </w:rPr>
              <w:t>12</w:t>
            </w:r>
            <w:r w:rsidRPr="00346240">
              <w:rPr>
                <w:rFonts w:ascii="Times New Roman" w:hAnsi="Times New Roman"/>
                <w:sz w:val="18"/>
                <w:szCs w:val="18"/>
              </w:rPr>
              <w:t>)</w:t>
            </w:r>
          </w:p>
        </w:tc>
        <w:tc>
          <w:tcPr>
            <w:tcW w:w="1046" w:type="dxa"/>
            <w:tcBorders>
              <w:top w:val="single" w:sz="4" w:space="0" w:color="auto"/>
              <w:left w:val="nil"/>
              <w:bottom w:val="single" w:sz="4" w:space="0" w:color="auto"/>
              <w:right w:val="nil"/>
            </w:tcBorders>
          </w:tcPr>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Mean age of male adolescents</w:t>
            </w:r>
          </w:p>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(10-18.11yrs)</w:t>
            </w:r>
          </w:p>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(n=2</w:t>
            </w:r>
            <w:r>
              <w:rPr>
                <w:rFonts w:ascii="Times New Roman" w:hAnsi="Times New Roman"/>
                <w:sz w:val="18"/>
                <w:szCs w:val="18"/>
              </w:rPr>
              <w:t>8</w:t>
            </w:r>
            <w:r w:rsidRPr="00346240">
              <w:rPr>
                <w:rFonts w:ascii="Times New Roman" w:hAnsi="Times New Roman"/>
                <w:sz w:val="18"/>
                <w:szCs w:val="18"/>
              </w:rPr>
              <w:t>)</w:t>
            </w:r>
          </w:p>
        </w:tc>
        <w:tc>
          <w:tcPr>
            <w:tcW w:w="1081" w:type="dxa"/>
            <w:tcBorders>
              <w:top w:val="single" w:sz="4" w:space="0" w:color="auto"/>
              <w:left w:val="nil"/>
              <w:bottom w:val="single" w:sz="4" w:space="0" w:color="auto"/>
              <w:right w:val="nil"/>
            </w:tcBorders>
            <w:shd w:val="clear" w:color="auto" w:fill="auto"/>
          </w:tcPr>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Age range of adults (19-39.11)</w:t>
            </w:r>
          </w:p>
          <w:p w:rsidR="00046934" w:rsidRDefault="00046934" w:rsidP="00046934">
            <w:pPr>
              <w:spacing w:after="0"/>
              <w:rPr>
                <w:rFonts w:ascii="Times New Roman" w:hAnsi="Times New Roman"/>
                <w:sz w:val="18"/>
                <w:szCs w:val="18"/>
              </w:rPr>
            </w:pPr>
          </w:p>
          <w:p w:rsidR="00046934" w:rsidRDefault="00046934" w:rsidP="00046934">
            <w:pPr>
              <w:spacing w:after="0"/>
              <w:rPr>
                <w:rFonts w:ascii="Times New Roman" w:hAnsi="Times New Roman"/>
                <w:sz w:val="18"/>
                <w:szCs w:val="18"/>
              </w:rPr>
            </w:pPr>
          </w:p>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(n=</w:t>
            </w:r>
            <w:r>
              <w:rPr>
                <w:rFonts w:ascii="Times New Roman" w:hAnsi="Times New Roman"/>
                <w:sz w:val="18"/>
                <w:szCs w:val="18"/>
              </w:rPr>
              <w:t>47</w:t>
            </w:r>
            <w:r w:rsidRPr="00346240">
              <w:rPr>
                <w:rFonts w:ascii="Times New Roman" w:hAnsi="Times New Roman"/>
                <w:sz w:val="18"/>
                <w:szCs w:val="18"/>
              </w:rPr>
              <w:t>)</w:t>
            </w:r>
          </w:p>
        </w:tc>
        <w:tc>
          <w:tcPr>
            <w:tcW w:w="992" w:type="dxa"/>
            <w:tcBorders>
              <w:top w:val="single" w:sz="4" w:space="0" w:color="auto"/>
              <w:left w:val="nil"/>
              <w:bottom w:val="single" w:sz="4" w:space="0" w:color="auto"/>
              <w:right w:val="nil"/>
            </w:tcBorders>
            <w:shd w:val="clear" w:color="auto" w:fill="auto"/>
          </w:tcPr>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Mean age of female adults</w:t>
            </w:r>
          </w:p>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(19-39.11)</w:t>
            </w:r>
          </w:p>
          <w:p w:rsidR="00046934" w:rsidRDefault="00046934" w:rsidP="00046934">
            <w:pPr>
              <w:spacing w:after="0"/>
              <w:rPr>
                <w:rFonts w:ascii="Times New Roman" w:hAnsi="Times New Roman"/>
                <w:sz w:val="18"/>
                <w:szCs w:val="18"/>
              </w:rPr>
            </w:pPr>
          </w:p>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(n=</w:t>
            </w:r>
            <w:r>
              <w:rPr>
                <w:rFonts w:ascii="Times New Roman" w:hAnsi="Times New Roman"/>
                <w:sz w:val="18"/>
                <w:szCs w:val="18"/>
              </w:rPr>
              <w:t>15</w:t>
            </w:r>
            <w:r w:rsidRPr="00346240">
              <w:rPr>
                <w:rFonts w:ascii="Times New Roman" w:hAnsi="Times New Roman"/>
                <w:sz w:val="18"/>
                <w:szCs w:val="18"/>
              </w:rPr>
              <w:t>)</w:t>
            </w:r>
          </w:p>
        </w:tc>
        <w:tc>
          <w:tcPr>
            <w:tcW w:w="992" w:type="dxa"/>
            <w:tcBorders>
              <w:top w:val="single" w:sz="4" w:space="0" w:color="auto"/>
              <w:left w:val="nil"/>
              <w:bottom w:val="single" w:sz="4" w:space="0" w:color="auto"/>
              <w:right w:val="nil"/>
            </w:tcBorders>
            <w:shd w:val="clear" w:color="auto" w:fill="auto"/>
          </w:tcPr>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Mean age of male adults</w:t>
            </w:r>
          </w:p>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(19-39.11)</w:t>
            </w:r>
          </w:p>
          <w:p w:rsidR="00046934" w:rsidRDefault="00046934" w:rsidP="00046934">
            <w:pPr>
              <w:spacing w:after="0"/>
              <w:rPr>
                <w:rFonts w:ascii="Times New Roman" w:hAnsi="Times New Roman"/>
                <w:sz w:val="18"/>
                <w:szCs w:val="18"/>
              </w:rPr>
            </w:pPr>
          </w:p>
          <w:p w:rsidR="00046934" w:rsidRPr="00346240" w:rsidRDefault="00046934" w:rsidP="00046934">
            <w:pPr>
              <w:spacing w:after="0"/>
              <w:rPr>
                <w:rFonts w:ascii="Times New Roman" w:hAnsi="Times New Roman"/>
                <w:sz w:val="18"/>
                <w:szCs w:val="18"/>
              </w:rPr>
            </w:pPr>
            <w:r w:rsidRPr="00346240">
              <w:rPr>
                <w:rFonts w:ascii="Times New Roman" w:hAnsi="Times New Roman"/>
                <w:sz w:val="18"/>
                <w:szCs w:val="18"/>
              </w:rPr>
              <w:t>(n=</w:t>
            </w:r>
            <w:r>
              <w:rPr>
                <w:rFonts w:ascii="Times New Roman" w:hAnsi="Times New Roman"/>
                <w:sz w:val="18"/>
                <w:szCs w:val="18"/>
              </w:rPr>
              <w:t>32</w:t>
            </w:r>
            <w:r w:rsidRPr="00346240">
              <w:rPr>
                <w:rFonts w:ascii="Times New Roman" w:hAnsi="Times New Roman"/>
                <w:sz w:val="18"/>
                <w:szCs w:val="18"/>
              </w:rPr>
              <w:t>)</w:t>
            </w:r>
          </w:p>
        </w:tc>
        <w:tc>
          <w:tcPr>
            <w:tcW w:w="1134" w:type="dxa"/>
            <w:tcBorders>
              <w:top w:val="single" w:sz="4" w:space="0" w:color="auto"/>
              <w:left w:val="nil"/>
              <w:bottom w:val="single" w:sz="4" w:space="0" w:color="auto"/>
              <w:right w:val="nil"/>
            </w:tcBorders>
          </w:tcPr>
          <w:p w:rsidR="00046934" w:rsidRDefault="00046934" w:rsidP="00046934">
            <w:pPr>
              <w:spacing w:after="0"/>
              <w:rPr>
                <w:rFonts w:ascii="Times New Roman" w:hAnsi="Times New Roman"/>
                <w:sz w:val="18"/>
                <w:szCs w:val="18"/>
              </w:rPr>
            </w:pPr>
            <w:r w:rsidRPr="00346240">
              <w:rPr>
                <w:rFonts w:ascii="Times New Roman" w:hAnsi="Times New Roman"/>
                <w:sz w:val="18"/>
                <w:szCs w:val="18"/>
              </w:rPr>
              <w:t xml:space="preserve">Age range of adults </w:t>
            </w:r>
          </w:p>
          <w:p w:rsidR="00046934" w:rsidRDefault="00046934" w:rsidP="00046934">
            <w:pPr>
              <w:spacing w:after="0"/>
              <w:rPr>
                <w:rFonts w:ascii="Times New Roman" w:hAnsi="Times New Roman"/>
                <w:sz w:val="18"/>
                <w:szCs w:val="18"/>
              </w:rPr>
            </w:pPr>
            <w:r w:rsidRPr="00346240">
              <w:rPr>
                <w:rFonts w:ascii="Times New Roman" w:hAnsi="Times New Roman"/>
                <w:sz w:val="18"/>
                <w:szCs w:val="18"/>
              </w:rPr>
              <w:t>40 +</w:t>
            </w:r>
          </w:p>
          <w:p w:rsidR="00046934" w:rsidRDefault="00046934" w:rsidP="00046934">
            <w:pPr>
              <w:spacing w:after="0"/>
              <w:rPr>
                <w:rFonts w:ascii="Times New Roman" w:hAnsi="Times New Roman"/>
                <w:sz w:val="18"/>
                <w:szCs w:val="18"/>
              </w:rPr>
            </w:pPr>
          </w:p>
          <w:p w:rsidR="00046934" w:rsidRDefault="00046934" w:rsidP="00046934">
            <w:pPr>
              <w:spacing w:after="0"/>
              <w:rPr>
                <w:rFonts w:ascii="Times New Roman" w:hAnsi="Times New Roman"/>
                <w:sz w:val="18"/>
                <w:szCs w:val="18"/>
              </w:rPr>
            </w:pPr>
          </w:p>
          <w:p w:rsidR="00046934" w:rsidRPr="00346240" w:rsidRDefault="00046934" w:rsidP="00046934">
            <w:pPr>
              <w:spacing w:after="0"/>
              <w:rPr>
                <w:rFonts w:ascii="Times New Roman" w:hAnsi="Times New Roman"/>
                <w:sz w:val="18"/>
                <w:szCs w:val="18"/>
              </w:rPr>
            </w:pPr>
            <w:r>
              <w:rPr>
                <w:rFonts w:ascii="Times New Roman" w:hAnsi="Times New Roman"/>
                <w:sz w:val="18"/>
                <w:szCs w:val="18"/>
              </w:rPr>
              <w:t>(n=16)</w:t>
            </w:r>
          </w:p>
        </w:tc>
        <w:tc>
          <w:tcPr>
            <w:tcW w:w="992" w:type="dxa"/>
            <w:tcBorders>
              <w:top w:val="single" w:sz="4" w:space="0" w:color="auto"/>
              <w:left w:val="nil"/>
              <w:bottom w:val="single" w:sz="4" w:space="0" w:color="auto"/>
              <w:right w:val="nil"/>
            </w:tcBorders>
          </w:tcPr>
          <w:p w:rsidR="00046934" w:rsidRDefault="00046934" w:rsidP="00046934">
            <w:pPr>
              <w:spacing w:after="0"/>
              <w:rPr>
                <w:rFonts w:ascii="Times New Roman" w:hAnsi="Times New Roman"/>
                <w:sz w:val="18"/>
                <w:szCs w:val="18"/>
              </w:rPr>
            </w:pPr>
            <w:r w:rsidRPr="00346240">
              <w:rPr>
                <w:rFonts w:ascii="Times New Roman" w:hAnsi="Times New Roman"/>
                <w:sz w:val="18"/>
                <w:szCs w:val="18"/>
              </w:rPr>
              <w:t>Mean age of females 40+</w:t>
            </w:r>
          </w:p>
          <w:p w:rsidR="00046934" w:rsidRDefault="00046934" w:rsidP="00046934">
            <w:pPr>
              <w:spacing w:after="0"/>
              <w:rPr>
                <w:rFonts w:ascii="Times New Roman" w:hAnsi="Times New Roman"/>
                <w:sz w:val="18"/>
                <w:szCs w:val="18"/>
              </w:rPr>
            </w:pPr>
          </w:p>
          <w:p w:rsidR="00046934" w:rsidRDefault="00046934" w:rsidP="00046934">
            <w:pPr>
              <w:spacing w:after="0"/>
              <w:rPr>
                <w:rFonts w:ascii="Times New Roman" w:hAnsi="Times New Roman"/>
                <w:sz w:val="18"/>
                <w:szCs w:val="18"/>
              </w:rPr>
            </w:pPr>
          </w:p>
          <w:p w:rsidR="00046934" w:rsidRPr="00346240" w:rsidRDefault="00046934" w:rsidP="00046934">
            <w:pPr>
              <w:spacing w:after="0"/>
              <w:rPr>
                <w:rFonts w:ascii="Times New Roman" w:hAnsi="Times New Roman"/>
                <w:sz w:val="18"/>
                <w:szCs w:val="18"/>
              </w:rPr>
            </w:pPr>
            <w:r>
              <w:rPr>
                <w:rFonts w:ascii="Times New Roman" w:hAnsi="Times New Roman"/>
                <w:sz w:val="18"/>
                <w:szCs w:val="18"/>
              </w:rPr>
              <w:t>(n=7)</w:t>
            </w:r>
          </w:p>
        </w:tc>
        <w:tc>
          <w:tcPr>
            <w:tcW w:w="993" w:type="dxa"/>
            <w:tcBorders>
              <w:top w:val="single" w:sz="4" w:space="0" w:color="auto"/>
              <w:left w:val="nil"/>
              <w:bottom w:val="single" w:sz="4" w:space="0" w:color="auto"/>
              <w:right w:val="nil"/>
            </w:tcBorders>
          </w:tcPr>
          <w:p w:rsidR="00046934" w:rsidRDefault="00046934" w:rsidP="00046934">
            <w:pPr>
              <w:spacing w:after="0"/>
              <w:rPr>
                <w:rFonts w:ascii="Times New Roman" w:hAnsi="Times New Roman"/>
                <w:sz w:val="18"/>
                <w:szCs w:val="18"/>
              </w:rPr>
            </w:pPr>
            <w:r w:rsidRPr="00346240">
              <w:rPr>
                <w:rFonts w:ascii="Times New Roman" w:hAnsi="Times New Roman"/>
                <w:sz w:val="18"/>
                <w:szCs w:val="18"/>
              </w:rPr>
              <w:t>Mean age of males 40+</w:t>
            </w:r>
          </w:p>
          <w:p w:rsidR="00046934" w:rsidRDefault="00046934" w:rsidP="00046934">
            <w:pPr>
              <w:spacing w:after="0"/>
              <w:rPr>
                <w:rFonts w:ascii="Times New Roman" w:hAnsi="Times New Roman"/>
                <w:sz w:val="18"/>
                <w:szCs w:val="18"/>
              </w:rPr>
            </w:pPr>
          </w:p>
          <w:p w:rsidR="00046934" w:rsidRDefault="00046934" w:rsidP="00046934">
            <w:pPr>
              <w:spacing w:after="0"/>
              <w:rPr>
                <w:rFonts w:ascii="Times New Roman" w:hAnsi="Times New Roman"/>
                <w:sz w:val="18"/>
                <w:szCs w:val="18"/>
              </w:rPr>
            </w:pPr>
          </w:p>
          <w:p w:rsidR="00046934" w:rsidRPr="00346240" w:rsidRDefault="00046934" w:rsidP="00046934">
            <w:pPr>
              <w:spacing w:after="0"/>
              <w:rPr>
                <w:rFonts w:ascii="Times New Roman" w:hAnsi="Times New Roman"/>
                <w:sz w:val="18"/>
                <w:szCs w:val="18"/>
              </w:rPr>
            </w:pPr>
            <w:r>
              <w:rPr>
                <w:rFonts w:ascii="Times New Roman" w:hAnsi="Times New Roman"/>
                <w:sz w:val="18"/>
                <w:szCs w:val="18"/>
              </w:rPr>
              <w:t>(n=9)</w:t>
            </w:r>
          </w:p>
        </w:tc>
      </w:tr>
      <w:tr w:rsidR="00046934" w:rsidRPr="00E354E9" w:rsidTr="00046934">
        <w:trPr>
          <w:trHeight w:val="563"/>
        </w:trPr>
        <w:tc>
          <w:tcPr>
            <w:tcW w:w="1384" w:type="dxa"/>
            <w:tcBorders>
              <w:top w:val="single" w:sz="4" w:space="0" w:color="auto"/>
              <w:left w:val="nil"/>
              <w:bottom w:val="single" w:sz="4" w:space="0" w:color="auto"/>
              <w:right w:val="nil"/>
            </w:tcBorders>
            <w:shd w:val="clear" w:color="auto" w:fill="auto"/>
            <w:vAlign w:val="bottom"/>
          </w:tcPr>
          <w:p w:rsidR="00046934" w:rsidRPr="00450A29" w:rsidRDefault="00046934" w:rsidP="00046934">
            <w:pPr>
              <w:spacing w:after="0"/>
              <w:rPr>
                <w:rFonts w:ascii="Times New Roman" w:hAnsi="Times New Roman"/>
                <w:sz w:val="18"/>
                <w:szCs w:val="18"/>
              </w:rPr>
            </w:pPr>
            <w:r w:rsidRPr="00450A29">
              <w:rPr>
                <w:rFonts w:ascii="Times New Roman" w:hAnsi="Times New Roman"/>
                <w:sz w:val="18"/>
                <w:szCs w:val="18"/>
              </w:rPr>
              <w:t>Age in years at diagnosis</w:t>
            </w:r>
          </w:p>
        </w:tc>
        <w:tc>
          <w:tcPr>
            <w:tcW w:w="1134" w:type="dxa"/>
            <w:tcBorders>
              <w:top w:val="single" w:sz="4" w:space="0" w:color="auto"/>
              <w:left w:val="nil"/>
              <w:bottom w:val="single" w:sz="4" w:space="0" w:color="auto"/>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1.9-9.8</w:t>
            </w:r>
          </w:p>
        </w:tc>
        <w:tc>
          <w:tcPr>
            <w:tcW w:w="992" w:type="dxa"/>
            <w:tcBorders>
              <w:top w:val="single" w:sz="4" w:space="0" w:color="auto"/>
              <w:left w:val="nil"/>
              <w:bottom w:val="single" w:sz="4" w:space="0" w:color="auto"/>
              <w:right w:val="nil"/>
            </w:tcBorders>
            <w:shd w:val="clear" w:color="auto" w:fill="auto"/>
            <w:vAlign w:val="bottom"/>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5.7</w:t>
            </w:r>
          </w:p>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(SD 1.9)</w:t>
            </w:r>
          </w:p>
        </w:tc>
        <w:tc>
          <w:tcPr>
            <w:tcW w:w="1168" w:type="dxa"/>
            <w:gridSpan w:val="2"/>
            <w:tcBorders>
              <w:top w:val="single" w:sz="4" w:space="0" w:color="auto"/>
              <w:left w:val="nil"/>
              <w:bottom w:val="single" w:sz="4" w:space="0" w:color="auto"/>
              <w:right w:val="nil"/>
            </w:tcBorders>
            <w:shd w:val="clear" w:color="auto" w:fill="auto"/>
            <w:vAlign w:val="bottom"/>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5.8</w:t>
            </w:r>
          </w:p>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(SD 2.2)</w:t>
            </w:r>
          </w:p>
        </w:tc>
        <w:tc>
          <w:tcPr>
            <w:tcW w:w="1046" w:type="dxa"/>
            <w:tcBorders>
              <w:top w:val="single" w:sz="4" w:space="0" w:color="auto"/>
              <w:left w:val="nil"/>
              <w:bottom w:val="single" w:sz="4" w:space="0" w:color="auto"/>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10-18.9</w:t>
            </w:r>
          </w:p>
        </w:tc>
        <w:tc>
          <w:tcPr>
            <w:tcW w:w="1080" w:type="dxa"/>
            <w:tcBorders>
              <w:top w:val="single" w:sz="4" w:space="0" w:color="auto"/>
              <w:left w:val="nil"/>
              <w:bottom w:val="single" w:sz="4" w:space="0" w:color="auto"/>
              <w:right w:val="nil"/>
            </w:tcBorders>
            <w:vAlign w:val="bottom"/>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15</w:t>
            </w:r>
          </w:p>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(SD 2.8)</w:t>
            </w:r>
          </w:p>
        </w:tc>
        <w:tc>
          <w:tcPr>
            <w:tcW w:w="1046" w:type="dxa"/>
            <w:tcBorders>
              <w:top w:val="single" w:sz="4" w:space="0" w:color="auto"/>
              <w:left w:val="nil"/>
              <w:bottom w:val="single" w:sz="4" w:space="0" w:color="auto"/>
              <w:right w:val="nil"/>
            </w:tcBorders>
            <w:vAlign w:val="bottom"/>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13.3</w:t>
            </w:r>
          </w:p>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(SD 2.7)</w:t>
            </w:r>
          </w:p>
        </w:tc>
        <w:tc>
          <w:tcPr>
            <w:tcW w:w="1081" w:type="dxa"/>
            <w:tcBorders>
              <w:top w:val="single" w:sz="4" w:space="0" w:color="auto"/>
              <w:left w:val="nil"/>
              <w:bottom w:val="single" w:sz="4" w:space="0" w:color="auto"/>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19.5-39.5</w:t>
            </w:r>
          </w:p>
        </w:tc>
        <w:tc>
          <w:tcPr>
            <w:tcW w:w="992" w:type="dxa"/>
            <w:tcBorders>
              <w:top w:val="single" w:sz="4" w:space="0" w:color="auto"/>
              <w:left w:val="nil"/>
              <w:bottom w:val="single" w:sz="4" w:space="0" w:color="auto"/>
              <w:right w:val="nil"/>
            </w:tcBorders>
            <w:shd w:val="clear" w:color="auto" w:fill="auto"/>
            <w:vAlign w:val="bottom"/>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27.9</w:t>
            </w:r>
          </w:p>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(SD 6.5)</w:t>
            </w:r>
          </w:p>
        </w:tc>
        <w:tc>
          <w:tcPr>
            <w:tcW w:w="992" w:type="dxa"/>
            <w:tcBorders>
              <w:top w:val="single" w:sz="4" w:space="0" w:color="auto"/>
              <w:left w:val="nil"/>
              <w:bottom w:val="single" w:sz="4" w:space="0" w:color="auto"/>
              <w:right w:val="nil"/>
            </w:tcBorders>
            <w:shd w:val="clear" w:color="auto" w:fill="auto"/>
            <w:vAlign w:val="bottom"/>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27.4</w:t>
            </w:r>
          </w:p>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(SD 5.6)</w:t>
            </w:r>
          </w:p>
        </w:tc>
        <w:tc>
          <w:tcPr>
            <w:tcW w:w="1134" w:type="dxa"/>
            <w:tcBorders>
              <w:top w:val="single" w:sz="4" w:space="0" w:color="auto"/>
              <w:left w:val="nil"/>
              <w:bottom w:val="single" w:sz="4" w:space="0" w:color="auto"/>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40.9-56.3</w:t>
            </w:r>
          </w:p>
        </w:tc>
        <w:tc>
          <w:tcPr>
            <w:tcW w:w="992" w:type="dxa"/>
            <w:tcBorders>
              <w:top w:val="single" w:sz="4" w:space="0" w:color="auto"/>
              <w:left w:val="nil"/>
              <w:bottom w:val="single" w:sz="4" w:space="0" w:color="auto"/>
              <w:right w:val="nil"/>
            </w:tcBorders>
            <w:vAlign w:val="bottom"/>
          </w:tcPr>
          <w:p w:rsidR="00046934" w:rsidRPr="00ED5B9D" w:rsidRDefault="00046934" w:rsidP="00046934">
            <w:pPr>
              <w:spacing w:after="0"/>
              <w:rPr>
                <w:rFonts w:ascii="Times New Roman" w:hAnsi="Times New Roman"/>
                <w:sz w:val="18"/>
                <w:szCs w:val="18"/>
              </w:rPr>
            </w:pPr>
          </w:p>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47.8</w:t>
            </w:r>
          </w:p>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(SD 4.6)</w:t>
            </w:r>
          </w:p>
        </w:tc>
        <w:tc>
          <w:tcPr>
            <w:tcW w:w="993" w:type="dxa"/>
            <w:tcBorders>
              <w:top w:val="single" w:sz="4" w:space="0" w:color="auto"/>
              <w:left w:val="nil"/>
              <w:bottom w:val="single" w:sz="4" w:space="0" w:color="auto"/>
              <w:right w:val="nil"/>
            </w:tcBorders>
            <w:vAlign w:val="bottom"/>
          </w:tcPr>
          <w:p w:rsidR="00046934" w:rsidRPr="00ED5B9D" w:rsidRDefault="00046934" w:rsidP="00046934">
            <w:pPr>
              <w:spacing w:after="0"/>
              <w:rPr>
                <w:rFonts w:ascii="Times New Roman" w:hAnsi="Times New Roman"/>
                <w:sz w:val="18"/>
                <w:szCs w:val="18"/>
              </w:rPr>
            </w:pPr>
          </w:p>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47.7</w:t>
            </w:r>
          </w:p>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(SD 5.6)</w:t>
            </w:r>
          </w:p>
        </w:tc>
      </w:tr>
      <w:tr w:rsidR="00046934" w:rsidRPr="00E354E9" w:rsidTr="00046934">
        <w:trPr>
          <w:trHeight w:val="537"/>
        </w:trPr>
        <w:tc>
          <w:tcPr>
            <w:tcW w:w="1384" w:type="dxa"/>
            <w:tcBorders>
              <w:top w:val="single" w:sz="4" w:space="0" w:color="auto"/>
              <w:left w:val="nil"/>
              <w:bottom w:val="nil"/>
              <w:right w:val="nil"/>
            </w:tcBorders>
            <w:shd w:val="clear" w:color="auto" w:fill="auto"/>
          </w:tcPr>
          <w:p w:rsidR="00046934" w:rsidRPr="00ED5B9D" w:rsidRDefault="00046934" w:rsidP="00046934">
            <w:pPr>
              <w:spacing w:after="0"/>
              <w:rPr>
                <w:rFonts w:ascii="Times New Roman" w:hAnsi="Times New Roman"/>
                <w:sz w:val="18"/>
                <w:szCs w:val="18"/>
              </w:rPr>
            </w:pPr>
          </w:p>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Intellectual disability present (n)</w:t>
            </w:r>
          </w:p>
        </w:tc>
        <w:tc>
          <w:tcPr>
            <w:tcW w:w="1134" w:type="dxa"/>
            <w:tcBorders>
              <w:top w:val="single" w:sz="4" w:space="0" w:color="auto"/>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9</w:t>
            </w:r>
          </w:p>
        </w:tc>
        <w:tc>
          <w:tcPr>
            <w:tcW w:w="992" w:type="dxa"/>
            <w:tcBorders>
              <w:top w:val="single" w:sz="4" w:space="0" w:color="auto"/>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w:t>
            </w:r>
          </w:p>
        </w:tc>
        <w:tc>
          <w:tcPr>
            <w:tcW w:w="1168" w:type="dxa"/>
            <w:gridSpan w:val="2"/>
            <w:tcBorders>
              <w:top w:val="single" w:sz="4" w:space="0" w:color="auto"/>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8</w:t>
            </w:r>
          </w:p>
        </w:tc>
        <w:tc>
          <w:tcPr>
            <w:tcW w:w="1046" w:type="dxa"/>
            <w:tcBorders>
              <w:top w:val="single" w:sz="4" w:space="0" w:color="auto"/>
              <w:left w:val="nil"/>
              <w:bottom w:val="nil"/>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12</w:t>
            </w:r>
          </w:p>
        </w:tc>
        <w:tc>
          <w:tcPr>
            <w:tcW w:w="1080" w:type="dxa"/>
            <w:tcBorders>
              <w:top w:val="single" w:sz="4" w:space="0" w:color="auto"/>
              <w:left w:val="nil"/>
              <w:bottom w:val="nil"/>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2</w:t>
            </w:r>
          </w:p>
        </w:tc>
        <w:tc>
          <w:tcPr>
            <w:tcW w:w="1046" w:type="dxa"/>
            <w:tcBorders>
              <w:top w:val="single" w:sz="4" w:space="0" w:color="auto"/>
              <w:left w:val="nil"/>
              <w:bottom w:val="nil"/>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10</w:t>
            </w:r>
          </w:p>
        </w:tc>
        <w:tc>
          <w:tcPr>
            <w:tcW w:w="1081" w:type="dxa"/>
            <w:tcBorders>
              <w:top w:val="single" w:sz="4" w:space="0" w:color="auto"/>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18</w:t>
            </w:r>
          </w:p>
        </w:tc>
        <w:tc>
          <w:tcPr>
            <w:tcW w:w="992" w:type="dxa"/>
            <w:tcBorders>
              <w:top w:val="single" w:sz="4" w:space="0" w:color="auto"/>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6</w:t>
            </w:r>
          </w:p>
        </w:tc>
        <w:tc>
          <w:tcPr>
            <w:tcW w:w="992" w:type="dxa"/>
            <w:tcBorders>
              <w:top w:val="single" w:sz="4" w:space="0" w:color="auto"/>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12</w:t>
            </w:r>
          </w:p>
        </w:tc>
        <w:tc>
          <w:tcPr>
            <w:tcW w:w="1134" w:type="dxa"/>
            <w:tcBorders>
              <w:top w:val="single" w:sz="4" w:space="0" w:color="auto"/>
              <w:left w:val="nil"/>
              <w:bottom w:val="nil"/>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6</w:t>
            </w:r>
          </w:p>
        </w:tc>
        <w:tc>
          <w:tcPr>
            <w:tcW w:w="992" w:type="dxa"/>
            <w:tcBorders>
              <w:top w:val="single" w:sz="4" w:space="0" w:color="auto"/>
              <w:left w:val="nil"/>
              <w:bottom w:val="nil"/>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5</w:t>
            </w:r>
          </w:p>
        </w:tc>
        <w:tc>
          <w:tcPr>
            <w:tcW w:w="993" w:type="dxa"/>
            <w:tcBorders>
              <w:top w:val="single" w:sz="4" w:space="0" w:color="auto"/>
              <w:left w:val="nil"/>
              <w:bottom w:val="nil"/>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w:t>
            </w:r>
          </w:p>
        </w:tc>
      </w:tr>
      <w:tr w:rsidR="00046934" w:rsidRPr="00E354E9" w:rsidTr="00046934">
        <w:trPr>
          <w:trHeight w:val="151"/>
        </w:trPr>
        <w:tc>
          <w:tcPr>
            <w:tcW w:w="1384" w:type="dxa"/>
            <w:tcBorders>
              <w:top w:val="nil"/>
              <w:left w:val="nil"/>
              <w:bottom w:val="nil"/>
              <w:right w:val="nil"/>
            </w:tcBorders>
            <w:shd w:val="clear" w:color="auto" w:fill="auto"/>
            <w:vAlign w:val="bottom"/>
          </w:tcPr>
          <w:p w:rsidR="00046934" w:rsidRPr="00ED5B9D" w:rsidRDefault="00046934" w:rsidP="00046934">
            <w:pPr>
              <w:spacing w:after="0"/>
              <w:rPr>
                <w:rFonts w:ascii="Times New Roman" w:hAnsi="Times New Roman"/>
                <w:sz w:val="18"/>
                <w:szCs w:val="18"/>
              </w:rPr>
            </w:pPr>
          </w:p>
        </w:tc>
        <w:tc>
          <w:tcPr>
            <w:tcW w:w="1134" w:type="dxa"/>
            <w:tcBorders>
              <w:top w:val="nil"/>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p>
        </w:tc>
        <w:tc>
          <w:tcPr>
            <w:tcW w:w="992" w:type="dxa"/>
            <w:tcBorders>
              <w:top w:val="nil"/>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p>
        </w:tc>
        <w:tc>
          <w:tcPr>
            <w:tcW w:w="1168" w:type="dxa"/>
            <w:gridSpan w:val="2"/>
            <w:tcBorders>
              <w:top w:val="nil"/>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p>
        </w:tc>
        <w:tc>
          <w:tcPr>
            <w:tcW w:w="1046" w:type="dxa"/>
            <w:tcBorders>
              <w:top w:val="nil"/>
              <w:left w:val="nil"/>
              <w:bottom w:val="nil"/>
              <w:right w:val="nil"/>
            </w:tcBorders>
            <w:vAlign w:val="center"/>
          </w:tcPr>
          <w:p w:rsidR="00046934" w:rsidRPr="00ED5B9D" w:rsidRDefault="00046934" w:rsidP="00046934">
            <w:pPr>
              <w:spacing w:after="0"/>
              <w:rPr>
                <w:rFonts w:ascii="Times New Roman" w:hAnsi="Times New Roman"/>
                <w:sz w:val="18"/>
                <w:szCs w:val="18"/>
              </w:rPr>
            </w:pPr>
          </w:p>
        </w:tc>
        <w:tc>
          <w:tcPr>
            <w:tcW w:w="1080" w:type="dxa"/>
            <w:tcBorders>
              <w:top w:val="nil"/>
              <w:left w:val="nil"/>
              <w:bottom w:val="nil"/>
              <w:right w:val="nil"/>
            </w:tcBorders>
            <w:vAlign w:val="center"/>
          </w:tcPr>
          <w:p w:rsidR="00046934" w:rsidRPr="00ED5B9D" w:rsidRDefault="00046934" w:rsidP="00046934">
            <w:pPr>
              <w:spacing w:after="0"/>
              <w:rPr>
                <w:rFonts w:ascii="Times New Roman" w:hAnsi="Times New Roman"/>
                <w:sz w:val="18"/>
                <w:szCs w:val="18"/>
              </w:rPr>
            </w:pPr>
          </w:p>
        </w:tc>
        <w:tc>
          <w:tcPr>
            <w:tcW w:w="1046" w:type="dxa"/>
            <w:tcBorders>
              <w:top w:val="nil"/>
              <w:left w:val="nil"/>
              <w:bottom w:val="nil"/>
              <w:right w:val="nil"/>
            </w:tcBorders>
            <w:vAlign w:val="center"/>
          </w:tcPr>
          <w:p w:rsidR="00046934" w:rsidRPr="00ED5B9D" w:rsidRDefault="00046934" w:rsidP="00046934">
            <w:pPr>
              <w:spacing w:after="0"/>
              <w:rPr>
                <w:rFonts w:ascii="Times New Roman" w:hAnsi="Times New Roman"/>
                <w:sz w:val="18"/>
                <w:szCs w:val="18"/>
              </w:rPr>
            </w:pPr>
          </w:p>
        </w:tc>
        <w:tc>
          <w:tcPr>
            <w:tcW w:w="1081" w:type="dxa"/>
            <w:tcBorders>
              <w:top w:val="nil"/>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p>
        </w:tc>
        <w:tc>
          <w:tcPr>
            <w:tcW w:w="992" w:type="dxa"/>
            <w:tcBorders>
              <w:top w:val="nil"/>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p>
        </w:tc>
        <w:tc>
          <w:tcPr>
            <w:tcW w:w="992" w:type="dxa"/>
            <w:tcBorders>
              <w:top w:val="nil"/>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p>
        </w:tc>
        <w:tc>
          <w:tcPr>
            <w:tcW w:w="1134" w:type="dxa"/>
            <w:tcBorders>
              <w:top w:val="nil"/>
              <w:left w:val="nil"/>
              <w:bottom w:val="nil"/>
              <w:right w:val="nil"/>
            </w:tcBorders>
            <w:vAlign w:val="center"/>
          </w:tcPr>
          <w:p w:rsidR="00046934" w:rsidRPr="00ED5B9D" w:rsidRDefault="00046934" w:rsidP="00046934">
            <w:pPr>
              <w:spacing w:after="0"/>
              <w:rPr>
                <w:rFonts w:ascii="Times New Roman" w:hAnsi="Times New Roman"/>
                <w:sz w:val="18"/>
                <w:szCs w:val="18"/>
              </w:rPr>
            </w:pPr>
          </w:p>
        </w:tc>
        <w:tc>
          <w:tcPr>
            <w:tcW w:w="992" w:type="dxa"/>
            <w:tcBorders>
              <w:top w:val="nil"/>
              <w:left w:val="nil"/>
              <w:bottom w:val="nil"/>
              <w:right w:val="nil"/>
            </w:tcBorders>
            <w:vAlign w:val="center"/>
          </w:tcPr>
          <w:p w:rsidR="00046934" w:rsidRPr="00ED5B9D" w:rsidRDefault="00046934" w:rsidP="00046934">
            <w:pPr>
              <w:spacing w:after="0"/>
              <w:rPr>
                <w:rFonts w:ascii="Times New Roman" w:hAnsi="Times New Roman"/>
                <w:sz w:val="18"/>
                <w:szCs w:val="18"/>
              </w:rPr>
            </w:pPr>
          </w:p>
        </w:tc>
        <w:tc>
          <w:tcPr>
            <w:tcW w:w="993" w:type="dxa"/>
            <w:tcBorders>
              <w:top w:val="nil"/>
              <w:left w:val="nil"/>
              <w:bottom w:val="nil"/>
              <w:right w:val="nil"/>
            </w:tcBorders>
            <w:vAlign w:val="center"/>
          </w:tcPr>
          <w:p w:rsidR="00046934" w:rsidRPr="00ED5B9D" w:rsidRDefault="00046934" w:rsidP="00046934">
            <w:pPr>
              <w:spacing w:after="0"/>
              <w:rPr>
                <w:rFonts w:ascii="Times New Roman" w:hAnsi="Times New Roman"/>
                <w:sz w:val="18"/>
                <w:szCs w:val="18"/>
              </w:rPr>
            </w:pPr>
          </w:p>
        </w:tc>
      </w:tr>
      <w:tr w:rsidR="00046934" w:rsidRPr="00E354E9" w:rsidTr="00046934">
        <w:trPr>
          <w:trHeight w:val="281"/>
        </w:trPr>
        <w:tc>
          <w:tcPr>
            <w:tcW w:w="1384" w:type="dxa"/>
            <w:tcBorders>
              <w:top w:val="nil"/>
              <w:left w:val="nil"/>
              <w:bottom w:val="single" w:sz="4" w:space="0" w:color="auto"/>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Missing data</w:t>
            </w:r>
            <w:r>
              <w:rPr>
                <w:rFonts w:ascii="Times New Roman" w:hAnsi="Times New Roman"/>
                <w:sz w:val="18"/>
                <w:szCs w:val="18"/>
              </w:rPr>
              <w:t>*</w:t>
            </w:r>
          </w:p>
        </w:tc>
        <w:tc>
          <w:tcPr>
            <w:tcW w:w="1134" w:type="dxa"/>
            <w:tcBorders>
              <w:top w:val="nil"/>
              <w:left w:val="nil"/>
              <w:bottom w:val="single" w:sz="4" w:space="0" w:color="auto"/>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6</w:t>
            </w:r>
          </w:p>
        </w:tc>
        <w:tc>
          <w:tcPr>
            <w:tcW w:w="992" w:type="dxa"/>
            <w:tcBorders>
              <w:top w:val="nil"/>
              <w:left w:val="nil"/>
              <w:bottom w:val="single" w:sz="4" w:space="0" w:color="auto"/>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w:t>
            </w:r>
          </w:p>
        </w:tc>
        <w:tc>
          <w:tcPr>
            <w:tcW w:w="1168" w:type="dxa"/>
            <w:gridSpan w:val="2"/>
            <w:tcBorders>
              <w:top w:val="nil"/>
              <w:left w:val="nil"/>
              <w:bottom w:val="single" w:sz="4" w:space="0" w:color="auto"/>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6</w:t>
            </w:r>
          </w:p>
        </w:tc>
        <w:tc>
          <w:tcPr>
            <w:tcW w:w="1046" w:type="dxa"/>
            <w:tcBorders>
              <w:top w:val="nil"/>
              <w:left w:val="nil"/>
              <w:bottom w:val="single" w:sz="4" w:space="0" w:color="auto"/>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6</w:t>
            </w:r>
          </w:p>
        </w:tc>
        <w:tc>
          <w:tcPr>
            <w:tcW w:w="1080" w:type="dxa"/>
            <w:tcBorders>
              <w:top w:val="nil"/>
              <w:left w:val="nil"/>
              <w:bottom w:val="single" w:sz="4" w:space="0" w:color="auto"/>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w:t>
            </w:r>
          </w:p>
        </w:tc>
        <w:tc>
          <w:tcPr>
            <w:tcW w:w="1046" w:type="dxa"/>
            <w:tcBorders>
              <w:top w:val="nil"/>
              <w:left w:val="nil"/>
              <w:bottom w:val="single" w:sz="4" w:space="0" w:color="auto"/>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6</w:t>
            </w:r>
          </w:p>
        </w:tc>
        <w:tc>
          <w:tcPr>
            <w:tcW w:w="1081" w:type="dxa"/>
            <w:tcBorders>
              <w:top w:val="nil"/>
              <w:left w:val="nil"/>
              <w:bottom w:val="single" w:sz="4" w:space="0" w:color="auto"/>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0</w:t>
            </w:r>
          </w:p>
        </w:tc>
        <w:tc>
          <w:tcPr>
            <w:tcW w:w="992" w:type="dxa"/>
            <w:tcBorders>
              <w:top w:val="nil"/>
              <w:left w:val="nil"/>
              <w:bottom w:val="single" w:sz="4" w:space="0" w:color="auto"/>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0</w:t>
            </w:r>
          </w:p>
        </w:tc>
        <w:tc>
          <w:tcPr>
            <w:tcW w:w="992" w:type="dxa"/>
            <w:tcBorders>
              <w:top w:val="nil"/>
              <w:left w:val="nil"/>
              <w:bottom w:val="single" w:sz="4" w:space="0" w:color="auto"/>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0</w:t>
            </w:r>
          </w:p>
        </w:tc>
        <w:tc>
          <w:tcPr>
            <w:tcW w:w="1134" w:type="dxa"/>
            <w:tcBorders>
              <w:top w:val="nil"/>
              <w:left w:val="nil"/>
              <w:bottom w:val="single" w:sz="4" w:space="0" w:color="auto"/>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0</w:t>
            </w:r>
          </w:p>
        </w:tc>
        <w:tc>
          <w:tcPr>
            <w:tcW w:w="992" w:type="dxa"/>
            <w:tcBorders>
              <w:top w:val="nil"/>
              <w:left w:val="nil"/>
              <w:bottom w:val="single" w:sz="4" w:space="0" w:color="auto"/>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0</w:t>
            </w:r>
          </w:p>
        </w:tc>
        <w:tc>
          <w:tcPr>
            <w:tcW w:w="993" w:type="dxa"/>
            <w:tcBorders>
              <w:top w:val="nil"/>
              <w:left w:val="nil"/>
              <w:bottom w:val="single" w:sz="4" w:space="0" w:color="auto"/>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0</w:t>
            </w:r>
          </w:p>
        </w:tc>
      </w:tr>
      <w:tr w:rsidR="00046934" w:rsidRPr="00E354E9" w:rsidTr="00046934">
        <w:trPr>
          <w:trHeight w:val="537"/>
        </w:trPr>
        <w:tc>
          <w:tcPr>
            <w:tcW w:w="1384" w:type="dxa"/>
            <w:tcBorders>
              <w:top w:val="single" w:sz="4" w:space="0" w:color="auto"/>
              <w:left w:val="nil"/>
              <w:bottom w:val="nil"/>
              <w:right w:val="nil"/>
            </w:tcBorders>
            <w:shd w:val="clear" w:color="auto" w:fill="auto"/>
            <w:vAlign w:val="bottom"/>
          </w:tcPr>
          <w:p w:rsidR="00046934" w:rsidRPr="00ED5B9D" w:rsidRDefault="00046934" w:rsidP="00046934">
            <w:pPr>
              <w:spacing w:after="0"/>
              <w:rPr>
                <w:rFonts w:ascii="Times New Roman" w:hAnsi="Times New Roman"/>
                <w:sz w:val="18"/>
                <w:szCs w:val="18"/>
              </w:rPr>
            </w:pPr>
          </w:p>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Diagnosed Psychiatric condition present  (n)</w:t>
            </w:r>
          </w:p>
        </w:tc>
        <w:tc>
          <w:tcPr>
            <w:tcW w:w="1134" w:type="dxa"/>
            <w:tcBorders>
              <w:top w:val="single" w:sz="4" w:space="0" w:color="auto"/>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2</w:t>
            </w:r>
          </w:p>
        </w:tc>
        <w:tc>
          <w:tcPr>
            <w:tcW w:w="992" w:type="dxa"/>
            <w:tcBorders>
              <w:top w:val="single" w:sz="4" w:space="0" w:color="auto"/>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0</w:t>
            </w:r>
          </w:p>
        </w:tc>
        <w:tc>
          <w:tcPr>
            <w:tcW w:w="1168" w:type="dxa"/>
            <w:gridSpan w:val="2"/>
            <w:tcBorders>
              <w:top w:val="single" w:sz="4" w:space="0" w:color="auto"/>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2</w:t>
            </w:r>
          </w:p>
        </w:tc>
        <w:tc>
          <w:tcPr>
            <w:tcW w:w="1046" w:type="dxa"/>
            <w:tcBorders>
              <w:top w:val="single" w:sz="4" w:space="0" w:color="auto"/>
              <w:left w:val="nil"/>
              <w:bottom w:val="nil"/>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14</w:t>
            </w:r>
          </w:p>
        </w:tc>
        <w:tc>
          <w:tcPr>
            <w:tcW w:w="1080" w:type="dxa"/>
            <w:tcBorders>
              <w:top w:val="single" w:sz="4" w:space="0" w:color="auto"/>
              <w:left w:val="nil"/>
              <w:bottom w:val="nil"/>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5</w:t>
            </w:r>
          </w:p>
        </w:tc>
        <w:tc>
          <w:tcPr>
            <w:tcW w:w="1046" w:type="dxa"/>
            <w:tcBorders>
              <w:top w:val="single" w:sz="4" w:space="0" w:color="auto"/>
              <w:left w:val="nil"/>
              <w:bottom w:val="nil"/>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9</w:t>
            </w:r>
          </w:p>
        </w:tc>
        <w:tc>
          <w:tcPr>
            <w:tcW w:w="1081" w:type="dxa"/>
            <w:tcBorders>
              <w:top w:val="single" w:sz="4" w:space="0" w:color="auto"/>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14</w:t>
            </w:r>
          </w:p>
        </w:tc>
        <w:tc>
          <w:tcPr>
            <w:tcW w:w="992" w:type="dxa"/>
            <w:tcBorders>
              <w:top w:val="single" w:sz="4" w:space="0" w:color="auto"/>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6</w:t>
            </w:r>
          </w:p>
        </w:tc>
        <w:tc>
          <w:tcPr>
            <w:tcW w:w="992" w:type="dxa"/>
            <w:tcBorders>
              <w:top w:val="single" w:sz="4" w:space="0" w:color="auto"/>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8</w:t>
            </w:r>
          </w:p>
        </w:tc>
        <w:tc>
          <w:tcPr>
            <w:tcW w:w="1134" w:type="dxa"/>
            <w:tcBorders>
              <w:top w:val="single" w:sz="4" w:space="0" w:color="auto"/>
              <w:left w:val="nil"/>
              <w:bottom w:val="nil"/>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4</w:t>
            </w:r>
          </w:p>
        </w:tc>
        <w:tc>
          <w:tcPr>
            <w:tcW w:w="992" w:type="dxa"/>
            <w:tcBorders>
              <w:top w:val="single" w:sz="4" w:space="0" w:color="auto"/>
              <w:left w:val="nil"/>
              <w:bottom w:val="nil"/>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2</w:t>
            </w:r>
          </w:p>
        </w:tc>
        <w:tc>
          <w:tcPr>
            <w:tcW w:w="993" w:type="dxa"/>
            <w:tcBorders>
              <w:top w:val="single" w:sz="4" w:space="0" w:color="auto"/>
              <w:left w:val="nil"/>
              <w:bottom w:val="nil"/>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2</w:t>
            </w:r>
          </w:p>
        </w:tc>
      </w:tr>
      <w:tr w:rsidR="00046934" w:rsidRPr="00E354E9" w:rsidTr="00046934">
        <w:trPr>
          <w:trHeight w:val="147"/>
        </w:trPr>
        <w:tc>
          <w:tcPr>
            <w:tcW w:w="1384" w:type="dxa"/>
            <w:tcBorders>
              <w:top w:val="nil"/>
              <w:left w:val="nil"/>
              <w:bottom w:val="nil"/>
              <w:right w:val="nil"/>
            </w:tcBorders>
            <w:shd w:val="clear" w:color="auto" w:fill="auto"/>
            <w:vAlign w:val="bottom"/>
          </w:tcPr>
          <w:p w:rsidR="00046934" w:rsidRPr="00ED5B9D" w:rsidRDefault="00046934" w:rsidP="00046934">
            <w:pPr>
              <w:spacing w:after="0"/>
              <w:rPr>
                <w:rFonts w:ascii="Times New Roman" w:hAnsi="Times New Roman"/>
                <w:sz w:val="18"/>
                <w:szCs w:val="18"/>
              </w:rPr>
            </w:pPr>
          </w:p>
        </w:tc>
        <w:tc>
          <w:tcPr>
            <w:tcW w:w="1134" w:type="dxa"/>
            <w:tcBorders>
              <w:top w:val="nil"/>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p>
        </w:tc>
        <w:tc>
          <w:tcPr>
            <w:tcW w:w="992" w:type="dxa"/>
            <w:tcBorders>
              <w:top w:val="nil"/>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p>
        </w:tc>
        <w:tc>
          <w:tcPr>
            <w:tcW w:w="1168" w:type="dxa"/>
            <w:gridSpan w:val="2"/>
            <w:tcBorders>
              <w:top w:val="nil"/>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p>
        </w:tc>
        <w:tc>
          <w:tcPr>
            <w:tcW w:w="1046" w:type="dxa"/>
            <w:tcBorders>
              <w:top w:val="nil"/>
              <w:left w:val="nil"/>
              <w:bottom w:val="nil"/>
              <w:right w:val="nil"/>
            </w:tcBorders>
            <w:vAlign w:val="center"/>
          </w:tcPr>
          <w:p w:rsidR="00046934" w:rsidRPr="00ED5B9D" w:rsidRDefault="00046934" w:rsidP="00046934">
            <w:pPr>
              <w:spacing w:after="0"/>
              <w:rPr>
                <w:rFonts w:ascii="Times New Roman" w:hAnsi="Times New Roman"/>
                <w:sz w:val="18"/>
                <w:szCs w:val="18"/>
              </w:rPr>
            </w:pPr>
          </w:p>
        </w:tc>
        <w:tc>
          <w:tcPr>
            <w:tcW w:w="1080" w:type="dxa"/>
            <w:tcBorders>
              <w:top w:val="nil"/>
              <w:left w:val="nil"/>
              <w:bottom w:val="nil"/>
              <w:right w:val="nil"/>
            </w:tcBorders>
            <w:vAlign w:val="center"/>
          </w:tcPr>
          <w:p w:rsidR="00046934" w:rsidRPr="00ED5B9D" w:rsidRDefault="00046934" w:rsidP="00046934">
            <w:pPr>
              <w:spacing w:after="0"/>
              <w:rPr>
                <w:rFonts w:ascii="Times New Roman" w:hAnsi="Times New Roman"/>
                <w:sz w:val="18"/>
                <w:szCs w:val="18"/>
              </w:rPr>
            </w:pPr>
          </w:p>
        </w:tc>
        <w:tc>
          <w:tcPr>
            <w:tcW w:w="1046" w:type="dxa"/>
            <w:tcBorders>
              <w:top w:val="nil"/>
              <w:left w:val="nil"/>
              <w:bottom w:val="nil"/>
              <w:right w:val="nil"/>
            </w:tcBorders>
            <w:vAlign w:val="center"/>
          </w:tcPr>
          <w:p w:rsidR="00046934" w:rsidRPr="00ED5B9D" w:rsidRDefault="00046934" w:rsidP="00046934">
            <w:pPr>
              <w:spacing w:after="0"/>
              <w:rPr>
                <w:rFonts w:ascii="Times New Roman" w:hAnsi="Times New Roman"/>
                <w:sz w:val="18"/>
                <w:szCs w:val="18"/>
              </w:rPr>
            </w:pPr>
          </w:p>
        </w:tc>
        <w:tc>
          <w:tcPr>
            <w:tcW w:w="1081" w:type="dxa"/>
            <w:tcBorders>
              <w:top w:val="nil"/>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p>
        </w:tc>
        <w:tc>
          <w:tcPr>
            <w:tcW w:w="992" w:type="dxa"/>
            <w:tcBorders>
              <w:top w:val="nil"/>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p>
        </w:tc>
        <w:tc>
          <w:tcPr>
            <w:tcW w:w="992" w:type="dxa"/>
            <w:tcBorders>
              <w:top w:val="nil"/>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p>
        </w:tc>
        <w:tc>
          <w:tcPr>
            <w:tcW w:w="1134" w:type="dxa"/>
            <w:tcBorders>
              <w:top w:val="nil"/>
              <w:left w:val="nil"/>
              <w:bottom w:val="nil"/>
              <w:right w:val="nil"/>
            </w:tcBorders>
          </w:tcPr>
          <w:p w:rsidR="00046934" w:rsidRPr="00ED5B9D" w:rsidRDefault="00046934" w:rsidP="00046934">
            <w:pPr>
              <w:spacing w:after="0"/>
              <w:rPr>
                <w:rFonts w:ascii="Times New Roman" w:hAnsi="Times New Roman"/>
                <w:sz w:val="18"/>
                <w:szCs w:val="18"/>
              </w:rPr>
            </w:pPr>
          </w:p>
        </w:tc>
        <w:tc>
          <w:tcPr>
            <w:tcW w:w="992" w:type="dxa"/>
            <w:tcBorders>
              <w:top w:val="nil"/>
              <w:left w:val="nil"/>
              <w:bottom w:val="nil"/>
              <w:right w:val="nil"/>
            </w:tcBorders>
          </w:tcPr>
          <w:p w:rsidR="00046934" w:rsidRPr="00ED5B9D" w:rsidRDefault="00046934" w:rsidP="00046934">
            <w:pPr>
              <w:spacing w:after="0"/>
              <w:rPr>
                <w:rFonts w:ascii="Times New Roman" w:hAnsi="Times New Roman"/>
                <w:sz w:val="18"/>
                <w:szCs w:val="18"/>
              </w:rPr>
            </w:pPr>
          </w:p>
        </w:tc>
        <w:tc>
          <w:tcPr>
            <w:tcW w:w="993" w:type="dxa"/>
            <w:tcBorders>
              <w:top w:val="nil"/>
              <w:left w:val="nil"/>
              <w:bottom w:val="nil"/>
              <w:right w:val="nil"/>
            </w:tcBorders>
          </w:tcPr>
          <w:p w:rsidR="00046934" w:rsidRPr="00ED5B9D" w:rsidRDefault="00046934" w:rsidP="00046934">
            <w:pPr>
              <w:spacing w:after="0"/>
              <w:rPr>
                <w:rFonts w:ascii="Times New Roman" w:hAnsi="Times New Roman"/>
                <w:sz w:val="18"/>
                <w:szCs w:val="18"/>
              </w:rPr>
            </w:pPr>
          </w:p>
        </w:tc>
      </w:tr>
      <w:tr w:rsidR="00046934" w:rsidRPr="00E354E9" w:rsidTr="00046934">
        <w:trPr>
          <w:trHeight w:val="287"/>
        </w:trPr>
        <w:tc>
          <w:tcPr>
            <w:tcW w:w="1384" w:type="dxa"/>
            <w:tcBorders>
              <w:top w:val="nil"/>
              <w:left w:val="nil"/>
              <w:bottom w:val="single" w:sz="4" w:space="0" w:color="auto"/>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Missing data</w:t>
            </w:r>
            <w:r>
              <w:rPr>
                <w:rFonts w:ascii="Times New Roman" w:hAnsi="Times New Roman"/>
                <w:sz w:val="18"/>
                <w:szCs w:val="18"/>
              </w:rPr>
              <w:t>*</w:t>
            </w:r>
          </w:p>
        </w:tc>
        <w:tc>
          <w:tcPr>
            <w:tcW w:w="1134" w:type="dxa"/>
            <w:tcBorders>
              <w:top w:val="nil"/>
              <w:left w:val="nil"/>
              <w:bottom w:val="single" w:sz="4" w:space="0" w:color="auto"/>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13</w:t>
            </w:r>
          </w:p>
        </w:tc>
        <w:tc>
          <w:tcPr>
            <w:tcW w:w="992" w:type="dxa"/>
            <w:tcBorders>
              <w:top w:val="nil"/>
              <w:left w:val="nil"/>
              <w:bottom w:val="single" w:sz="4" w:space="0" w:color="auto"/>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2</w:t>
            </w:r>
          </w:p>
        </w:tc>
        <w:tc>
          <w:tcPr>
            <w:tcW w:w="1168" w:type="dxa"/>
            <w:gridSpan w:val="2"/>
            <w:tcBorders>
              <w:top w:val="nil"/>
              <w:left w:val="nil"/>
              <w:bottom w:val="single" w:sz="4" w:space="0" w:color="auto"/>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11</w:t>
            </w:r>
          </w:p>
        </w:tc>
        <w:tc>
          <w:tcPr>
            <w:tcW w:w="1046" w:type="dxa"/>
            <w:tcBorders>
              <w:top w:val="nil"/>
              <w:left w:val="nil"/>
              <w:bottom w:val="single" w:sz="4" w:space="0" w:color="auto"/>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11</w:t>
            </w:r>
          </w:p>
        </w:tc>
        <w:tc>
          <w:tcPr>
            <w:tcW w:w="1080" w:type="dxa"/>
            <w:tcBorders>
              <w:top w:val="nil"/>
              <w:left w:val="nil"/>
              <w:bottom w:val="single" w:sz="4" w:space="0" w:color="auto"/>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3</w:t>
            </w:r>
          </w:p>
        </w:tc>
        <w:tc>
          <w:tcPr>
            <w:tcW w:w="1046" w:type="dxa"/>
            <w:tcBorders>
              <w:top w:val="nil"/>
              <w:left w:val="nil"/>
              <w:bottom w:val="single" w:sz="4" w:space="0" w:color="auto"/>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8</w:t>
            </w:r>
          </w:p>
        </w:tc>
        <w:tc>
          <w:tcPr>
            <w:tcW w:w="1081" w:type="dxa"/>
            <w:tcBorders>
              <w:top w:val="nil"/>
              <w:left w:val="nil"/>
              <w:bottom w:val="single" w:sz="4" w:space="0" w:color="auto"/>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19</w:t>
            </w:r>
          </w:p>
        </w:tc>
        <w:tc>
          <w:tcPr>
            <w:tcW w:w="992" w:type="dxa"/>
            <w:tcBorders>
              <w:top w:val="nil"/>
              <w:left w:val="nil"/>
              <w:bottom w:val="single" w:sz="4" w:space="0" w:color="auto"/>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5</w:t>
            </w:r>
          </w:p>
        </w:tc>
        <w:tc>
          <w:tcPr>
            <w:tcW w:w="992" w:type="dxa"/>
            <w:tcBorders>
              <w:top w:val="nil"/>
              <w:left w:val="nil"/>
              <w:bottom w:val="single" w:sz="4" w:space="0" w:color="auto"/>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14</w:t>
            </w:r>
          </w:p>
        </w:tc>
        <w:tc>
          <w:tcPr>
            <w:tcW w:w="1134" w:type="dxa"/>
            <w:tcBorders>
              <w:top w:val="nil"/>
              <w:left w:val="nil"/>
              <w:bottom w:val="single" w:sz="4" w:space="0" w:color="auto"/>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8</w:t>
            </w:r>
          </w:p>
        </w:tc>
        <w:tc>
          <w:tcPr>
            <w:tcW w:w="992" w:type="dxa"/>
            <w:tcBorders>
              <w:top w:val="nil"/>
              <w:left w:val="nil"/>
              <w:bottom w:val="single" w:sz="4" w:space="0" w:color="auto"/>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4</w:t>
            </w:r>
          </w:p>
        </w:tc>
        <w:tc>
          <w:tcPr>
            <w:tcW w:w="993" w:type="dxa"/>
            <w:tcBorders>
              <w:top w:val="nil"/>
              <w:left w:val="nil"/>
              <w:bottom w:val="single" w:sz="4" w:space="0" w:color="auto"/>
              <w:right w:val="nil"/>
            </w:tcBorders>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4</w:t>
            </w:r>
          </w:p>
        </w:tc>
      </w:tr>
      <w:tr w:rsidR="00046934" w:rsidRPr="00E354E9" w:rsidTr="00046934">
        <w:trPr>
          <w:trHeight w:val="287"/>
        </w:trPr>
        <w:tc>
          <w:tcPr>
            <w:tcW w:w="14034" w:type="dxa"/>
            <w:gridSpan w:val="14"/>
            <w:tcBorders>
              <w:top w:val="single" w:sz="4" w:space="0" w:color="auto"/>
              <w:left w:val="nil"/>
              <w:bottom w:val="nil"/>
              <w:right w:val="nil"/>
            </w:tcBorders>
            <w:shd w:val="clear" w:color="auto" w:fill="auto"/>
            <w:vAlign w:val="center"/>
          </w:tcPr>
          <w:p w:rsidR="00046934" w:rsidRPr="00ED5B9D" w:rsidRDefault="00046934" w:rsidP="00046934">
            <w:pPr>
              <w:spacing w:after="0"/>
              <w:rPr>
                <w:rFonts w:ascii="Times New Roman" w:hAnsi="Times New Roman"/>
                <w:sz w:val="18"/>
                <w:szCs w:val="18"/>
              </w:rPr>
            </w:pPr>
            <w:r w:rsidRPr="00ED5B9D">
              <w:rPr>
                <w:rFonts w:ascii="Times New Roman" w:hAnsi="Times New Roman"/>
                <w:sz w:val="18"/>
                <w:szCs w:val="18"/>
              </w:rPr>
              <w:t>*Missing data refers to data which was not stated, missing, or unclear in the data extraction forms</w:t>
            </w:r>
          </w:p>
        </w:tc>
      </w:tr>
    </w:tbl>
    <w:p w:rsidR="00046934" w:rsidRDefault="00046934" w:rsidP="00046934">
      <w:pPr>
        <w:spacing w:after="0"/>
        <w:ind w:left="-1985"/>
        <w:contextualSpacing w:val="0"/>
        <w:rPr>
          <w:rFonts w:ascii="Times New Roman" w:hAnsi="Times New Roman"/>
          <w:sz w:val="24"/>
          <w:szCs w:val="24"/>
        </w:rPr>
      </w:pPr>
    </w:p>
    <w:p w:rsidR="00046934" w:rsidRDefault="00046934" w:rsidP="00046934">
      <w:pPr>
        <w:spacing w:after="0"/>
        <w:contextualSpacing w:val="0"/>
        <w:rPr>
          <w:rFonts w:ascii="Times New Roman" w:hAnsi="Times New Roman"/>
          <w:sz w:val="24"/>
          <w:szCs w:val="24"/>
        </w:rPr>
        <w:sectPr w:rsidR="00046934" w:rsidSect="00F515AA">
          <w:pgSz w:w="15840" w:h="12240" w:orient="landscape"/>
          <w:pgMar w:top="1701" w:right="2835" w:bottom="1701" w:left="2835" w:header="720" w:footer="720" w:gutter="0"/>
          <w:cols w:space="720"/>
          <w:docGrid w:linePitch="360"/>
        </w:sectPr>
      </w:pPr>
    </w:p>
    <w:p w:rsidR="00131533" w:rsidRPr="00131533" w:rsidRDefault="00131533" w:rsidP="00131533">
      <w:pPr>
        <w:autoSpaceDE w:val="0"/>
        <w:autoSpaceDN w:val="0"/>
        <w:adjustRightInd w:val="0"/>
        <w:spacing w:after="0" w:line="480" w:lineRule="auto"/>
        <w:contextualSpacing w:val="0"/>
        <w:rPr>
          <w:rFonts w:ascii="Times New Roman" w:hAnsi="Times New Roman" w:cs="Times New Roman"/>
          <w:i/>
          <w:iCs/>
          <w:sz w:val="24"/>
          <w:szCs w:val="24"/>
          <w:lang w:val="en-GB"/>
        </w:rPr>
      </w:pPr>
      <w:r w:rsidRPr="00131533">
        <w:rPr>
          <w:rFonts w:ascii="Times New Roman" w:hAnsi="Times New Roman" w:cs="Times New Roman"/>
          <w:i/>
          <w:iCs/>
          <w:sz w:val="24"/>
          <w:szCs w:val="24"/>
          <w:lang w:val="en-GB"/>
        </w:rPr>
        <w:lastRenderedPageBreak/>
        <w:t>Measures</w:t>
      </w:r>
    </w:p>
    <w:p w:rsidR="00657995" w:rsidRDefault="00131533" w:rsidP="00131533">
      <w:pPr>
        <w:autoSpaceDE w:val="0"/>
        <w:autoSpaceDN w:val="0"/>
        <w:adjustRightInd w:val="0"/>
        <w:spacing w:after="0" w:line="480" w:lineRule="auto"/>
        <w:contextualSpacing w:val="0"/>
        <w:rPr>
          <w:rFonts w:ascii="Times New Roman" w:hAnsi="Times New Roman" w:cs="Times New Roman"/>
          <w:sz w:val="24"/>
          <w:szCs w:val="24"/>
          <w:lang w:val="en-GB"/>
        </w:rPr>
      </w:pPr>
      <w:r w:rsidRPr="00131533">
        <w:rPr>
          <w:rFonts w:ascii="Times New Roman" w:hAnsi="Times New Roman" w:cs="Times New Roman"/>
          <w:sz w:val="24"/>
          <w:szCs w:val="24"/>
          <w:lang w:val="en-GB"/>
        </w:rPr>
        <w:t>An individual data extracti</w:t>
      </w:r>
      <w:r>
        <w:rPr>
          <w:rFonts w:ascii="Times New Roman" w:hAnsi="Times New Roman" w:cs="Times New Roman"/>
          <w:sz w:val="24"/>
          <w:szCs w:val="24"/>
          <w:lang w:val="en-GB"/>
        </w:rPr>
        <w:t xml:space="preserve">on tool (McKenzie et al., 2015) </w:t>
      </w:r>
      <w:r w:rsidRPr="00131533">
        <w:rPr>
          <w:rFonts w:ascii="Times New Roman" w:hAnsi="Times New Roman" w:cs="Times New Roman"/>
          <w:sz w:val="24"/>
          <w:szCs w:val="24"/>
          <w:lang w:val="en-GB"/>
        </w:rPr>
        <w:t>was developed for use with the 150 cases, toge</w:t>
      </w:r>
      <w:r>
        <w:rPr>
          <w:rFonts w:ascii="Times New Roman" w:hAnsi="Times New Roman" w:cs="Times New Roman"/>
          <w:sz w:val="24"/>
          <w:szCs w:val="24"/>
          <w:lang w:val="en-GB"/>
        </w:rPr>
        <w:t xml:space="preserve">ther with an </w:t>
      </w:r>
      <w:r w:rsidRPr="00131533">
        <w:rPr>
          <w:rFonts w:ascii="Times New Roman" w:hAnsi="Times New Roman" w:cs="Times New Roman"/>
          <w:sz w:val="24"/>
          <w:szCs w:val="24"/>
          <w:lang w:val="en-GB"/>
        </w:rPr>
        <w:t>associated operational d</w:t>
      </w:r>
      <w:r>
        <w:rPr>
          <w:rFonts w:ascii="Times New Roman" w:hAnsi="Times New Roman" w:cs="Times New Roman"/>
          <w:sz w:val="24"/>
          <w:szCs w:val="24"/>
          <w:lang w:val="en-GB"/>
        </w:rPr>
        <w:t xml:space="preserve">efinitions document to increase </w:t>
      </w:r>
      <w:r w:rsidRPr="00131533">
        <w:rPr>
          <w:rFonts w:ascii="Times New Roman" w:hAnsi="Times New Roman" w:cs="Times New Roman"/>
          <w:sz w:val="24"/>
          <w:szCs w:val="24"/>
          <w:lang w:val="en-GB"/>
        </w:rPr>
        <w:t>inter-rater reliability</w:t>
      </w:r>
      <w:r>
        <w:rPr>
          <w:rFonts w:ascii="Times New Roman" w:hAnsi="Times New Roman" w:cs="Times New Roman"/>
          <w:sz w:val="24"/>
          <w:szCs w:val="24"/>
          <w:lang w:val="en-GB"/>
        </w:rPr>
        <w:t xml:space="preserve"> for individual data extraction </w:t>
      </w:r>
      <w:r w:rsidRPr="00131533">
        <w:rPr>
          <w:rFonts w:ascii="Times New Roman" w:hAnsi="Times New Roman" w:cs="Times New Roman"/>
          <w:sz w:val="24"/>
          <w:szCs w:val="24"/>
          <w:lang w:val="en-GB"/>
        </w:rPr>
        <w:t xml:space="preserve">(Hutchinson et al., 2010). </w:t>
      </w:r>
      <w:r>
        <w:rPr>
          <w:rFonts w:ascii="Times New Roman" w:hAnsi="Times New Roman" w:cs="Times New Roman"/>
          <w:sz w:val="24"/>
          <w:szCs w:val="24"/>
          <w:lang w:val="en-GB"/>
        </w:rPr>
        <w:t xml:space="preserve">These tools (available from the </w:t>
      </w:r>
      <w:r w:rsidRPr="00131533">
        <w:rPr>
          <w:rFonts w:ascii="Times New Roman" w:hAnsi="Times New Roman" w:cs="Times New Roman"/>
          <w:sz w:val="24"/>
          <w:szCs w:val="24"/>
          <w:lang w:val="en-GB"/>
        </w:rPr>
        <w:t>first author on request) allowed d</w:t>
      </w:r>
      <w:r>
        <w:rPr>
          <w:rFonts w:ascii="Times New Roman" w:hAnsi="Times New Roman" w:cs="Times New Roman"/>
          <w:sz w:val="24"/>
          <w:szCs w:val="24"/>
          <w:lang w:val="en-GB"/>
        </w:rPr>
        <w:t xml:space="preserve">ata to be gathered for analysis </w:t>
      </w:r>
      <w:r w:rsidRPr="00131533">
        <w:rPr>
          <w:rFonts w:ascii="Times New Roman" w:hAnsi="Times New Roman" w:cs="Times New Roman"/>
          <w:sz w:val="24"/>
          <w:szCs w:val="24"/>
          <w:lang w:val="en-GB"/>
        </w:rPr>
        <w:t>of the total time from refer</w:t>
      </w:r>
      <w:r>
        <w:rPr>
          <w:rFonts w:ascii="Times New Roman" w:hAnsi="Times New Roman" w:cs="Times New Roman"/>
          <w:sz w:val="24"/>
          <w:szCs w:val="24"/>
          <w:lang w:val="en-GB"/>
        </w:rPr>
        <w:t xml:space="preserve">ral to diagnosis shared and the </w:t>
      </w:r>
      <w:r w:rsidRPr="00131533">
        <w:rPr>
          <w:rFonts w:ascii="Times New Roman" w:hAnsi="Times New Roman" w:cs="Times New Roman"/>
          <w:sz w:val="24"/>
          <w:szCs w:val="24"/>
          <w:lang w:val="en-GB"/>
        </w:rPr>
        <w:t>assessment duration. As a prox</w:t>
      </w:r>
      <w:r>
        <w:rPr>
          <w:rFonts w:ascii="Times New Roman" w:hAnsi="Times New Roman" w:cs="Times New Roman"/>
          <w:sz w:val="24"/>
          <w:szCs w:val="24"/>
          <w:lang w:val="en-GB"/>
        </w:rPr>
        <w:t xml:space="preserve">y for validity of diagnoses, in </w:t>
      </w:r>
      <w:r w:rsidRPr="00131533">
        <w:rPr>
          <w:rFonts w:ascii="Times New Roman" w:hAnsi="Times New Roman" w:cs="Times New Roman"/>
          <w:sz w:val="24"/>
          <w:szCs w:val="24"/>
          <w:lang w:val="en-GB"/>
        </w:rPr>
        <w:t>each case, the tool included</w:t>
      </w:r>
      <w:r>
        <w:rPr>
          <w:rFonts w:ascii="Times New Roman" w:hAnsi="Times New Roman" w:cs="Times New Roman"/>
          <w:sz w:val="24"/>
          <w:szCs w:val="24"/>
          <w:lang w:val="en-GB"/>
        </w:rPr>
        <w:t xml:space="preserve"> a measure of adherence to best </w:t>
      </w:r>
      <w:r w:rsidRPr="00131533">
        <w:rPr>
          <w:rFonts w:ascii="Times New Roman" w:hAnsi="Times New Roman" w:cs="Times New Roman"/>
          <w:sz w:val="24"/>
          <w:szCs w:val="24"/>
          <w:lang w:val="en-GB"/>
        </w:rPr>
        <w:t>practice guidelines. Adherenc</w:t>
      </w:r>
      <w:r>
        <w:rPr>
          <w:rFonts w:ascii="Times New Roman" w:hAnsi="Times New Roman" w:cs="Times New Roman"/>
          <w:sz w:val="24"/>
          <w:szCs w:val="24"/>
          <w:lang w:val="en-GB"/>
        </w:rPr>
        <w:t xml:space="preserve">e to guidelines was high across </w:t>
      </w:r>
      <w:r w:rsidRPr="00131533">
        <w:rPr>
          <w:rFonts w:ascii="Times New Roman" w:hAnsi="Times New Roman" w:cs="Times New Roman"/>
          <w:sz w:val="24"/>
          <w:szCs w:val="24"/>
          <w:lang w:val="en-GB"/>
        </w:rPr>
        <w:t>child cases, with a mean adh</w:t>
      </w:r>
      <w:r>
        <w:rPr>
          <w:rFonts w:ascii="Times New Roman" w:hAnsi="Times New Roman" w:cs="Times New Roman"/>
          <w:sz w:val="24"/>
          <w:szCs w:val="24"/>
          <w:lang w:val="en-GB"/>
        </w:rPr>
        <w:t xml:space="preserve">erence score of 16/19 (standard deviation = 1.9) </w:t>
      </w:r>
      <w:r w:rsidRPr="00131533">
        <w:rPr>
          <w:rFonts w:ascii="Times New Roman" w:hAnsi="Times New Roman" w:cs="Times New Roman"/>
          <w:sz w:val="24"/>
          <w:szCs w:val="24"/>
          <w:lang w:val="en-GB"/>
        </w:rPr>
        <w:t>(McKenzie e</w:t>
      </w:r>
      <w:r>
        <w:rPr>
          <w:rFonts w:ascii="Times New Roman" w:hAnsi="Times New Roman" w:cs="Times New Roman"/>
          <w:sz w:val="24"/>
          <w:szCs w:val="24"/>
          <w:lang w:val="en-GB"/>
        </w:rPr>
        <w:t xml:space="preserve">t al., 2015). Given the recency </w:t>
      </w:r>
      <w:r w:rsidRPr="00131533">
        <w:rPr>
          <w:rFonts w:ascii="Times New Roman" w:hAnsi="Times New Roman" w:cs="Times New Roman"/>
          <w:sz w:val="24"/>
          <w:szCs w:val="24"/>
          <w:lang w:val="en-GB"/>
        </w:rPr>
        <w:t>of the publication of guideli</w:t>
      </w:r>
      <w:r>
        <w:rPr>
          <w:rFonts w:ascii="Times New Roman" w:hAnsi="Times New Roman" w:cs="Times New Roman"/>
          <w:sz w:val="24"/>
          <w:szCs w:val="24"/>
          <w:lang w:val="en-GB"/>
        </w:rPr>
        <w:t xml:space="preserve">nes from the National Institute </w:t>
      </w:r>
      <w:r w:rsidRPr="00131533">
        <w:rPr>
          <w:rFonts w:ascii="Times New Roman" w:hAnsi="Times New Roman" w:cs="Times New Roman"/>
          <w:sz w:val="24"/>
          <w:szCs w:val="24"/>
          <w:lang w:val="en-GB"/>
        </w:rPr>
        <w:t>for Health and Clinical Excel</w:t>
      </w:r>
      <w:r>
        <w:rPr>
          <w:rFonts w:ascii="Times New Roman" w:hAnsi="Times New Roman" w:cs="Times New Roman"/>
          <w:sz w:val="24"/>
          <w:szCs w:val="24"/>
          <w:lang w:val="en-GB"/>
        </w:rPr>
        <w:t xml:space="preserve">lence (NICE, 2012) 142, results </w:t>
      </w:r>
      <w:r w:rsidRPr="00131533">
        <w:rPr>
          <w:rFonts w:ascii="Times New Roman" w:hAnsi="Times New Roman" w:cs="Times New Roman"/>
          <w:sz w:val="24"/>
          <w:szCs w:val="24"/>
          <w:lang w:val="en-GB"/>
        </w:rPr>
        <w:t>were indicative of good diagnostic</w:t>
      </w:r>
      <w:r>
        <w:rPr>
          <w:rFonts w:ascii="Times New Roman" w:hAnsi="Times New Roman" w:cs="Times New Roman"/>
          <w:sz w:val="24"/>
          <w:szCs w:val="24"/>
          <w:lang w:val="en-GB"/>
        </w:rPr>
        <w:t xml:space="preserve"> practice in adult cases, </w:t>
      </w:r>
      <w:r w:rsidRPr="00131533">
        <w:rPr>
          <w:rFonts w:ascii="Times New Roman" w:hAnsi="Times New Roman" w:cs="Times New Roman"/>
          <w:sz w:val="24"/>
          <w:szCs w:val="24"/>
          <w:lang w:val="en-GB"/>
        </w:rPr>
        <w:t xml:space="preserve">where the mean adherence score </w:t>
      </w:r>
      <w:r>
        <w:rPr>
          <w:rFonts w:ascii="Times New Roman" w:hAnsi="Times New Roman" w:cs="Times New Roman"/>
          <w:sz w:val="24"/>
          <w:szCs w:val="24"/>
          <w:lang w:val="en-GB"/>
        </w:rPr>
        <w:t xml:space="preserve">was 11.9/14 (standard deviation </w:t>
      </w:r>
      <w:r w:rsidRPr="00131533">
        <w:rPr>
          <w:rFonts w:ascii="Times New Roman" w:hAnsi="Times New Roman" w:cs="Times New Roman"/>
          <w:sz w:val="24"/>
          <w:szCs w:val="24"/>
          <w:lang w:val="en-GB"/>
        </w:rPr>
        <w:t>= 1.4) (McKenzie et al., submitted).</w:t>
      </w:r>
    </w:p>
    <w:p w:rsidR="009A751A" w:rsidRDefault="009A751A" w:rsidP="00131533">
      <w:pPr>
        <w:autoSpaceDE w:val="0"/>
        <w:autoSpaceDN w:val="0"/>
        <w:adjustRightInd w:val="0"/>
        <w:spacing w:after="0" w:line="480" w:lineRule="auto"/>
        <w:contextualSpacing w:val="0"/>
        <w:rPr>
          <w:rFonts w:ascii="Times New Roman" w:hAnsi="Times New Roman" w:cs="Times New Roman"/>
          <w:sz w:val="24"/>
          <w:szCs w:val="24"/>
          <w:lang w:val="en-GB"/>
        </w:rPr>
      </w:pPr>
    </w:p>
    <w:p w:rsidR="009A751A" w:rsidRPr="009A751A" w:rsidRDefault="009A751A" w:rsidP="009A751A">
      <w:pPr>
        <w:autoSpaceDE w:val="0"/>
        <w:autoSpaceDN w:val="0"/>
        <w:adjustRightInd w:val="0"/>
        <w:spacing w:after="0" w:line="480" w:lineRule="auto"/>
        <w:contextualSpacing w:val="0"/>
        <w:rPr>
          <w:rFonts w:ascii="Times New Roman" w:hAnsi="Times New Roman" w:cs="Times New Roman"/>
          <w:b/>
          <w:bCs/>
          <w:sz w:val="24"/>
          <w:szCs w:val="24"/>
          <w:lang w:val="en-GB"/>
        </w:rPr>
      </w:pPr>
      <w:r w:rsidRPr="009A751A">
        <w:rPr>
          <w:rFonts w:ascii="Times New Roman" w:hAnsi="Times New Roman" w:cs="Times New Roman"/>
          <w:b/>
          <w:bCs/>
          <w:sz w:val="24"/>
          <w:szCs w:val="24"/>
          <w:lang w:val="en-GB"/>
        </w:rPr>
        <w:t>Results</w:t>
      </w:r>
    </w:p>
    <w:p w:rsidR="009A751A" w:rsidRPr="009A751A" w:rsidRDefault="009A751A" w:rsidP="009A751A">
      <w:pPr>
        <w:autoSpaceDE w:val="0"/>
        <w:autoSpaceDN w:val="0"/>
        <w:adjustRightInd w:val="0"/>
        <w:spacing w:after="0" w:line="480" w:lineRule="auto"/>
        <w:contextualSpacing w:val="0"/>
        <w:rPr>
          <w:rFonts w:ascii="Times New Roman" w:hAnsi="Times New Roman" w:cs="Times New Roman"/>
          <w:i/>
          <w:iCs/>
          <w:sz w:val="24"/>
          <w:szCs w:val="24"/>
          <w:lang w:val="en-GB"/>
        </w:rPr>
      </w:pPr>
      <w:r w:rsidRPr="009A751A">
        <w:rPr>
          <w:rFonts w:ascii="Times New Roman" w:hAnsi="Times New Roman" w:cs="Times New Roman"/>
          <w:i/>
          <w:iCs/>
          <w:sz w:val="24"/>
          <w:szCs w:val="24"/>
          <w:lang w:val="en-GB"/>
        </w:rPr>
        <w:t>Gender ratio</w:t>
      </w:r>
    </w:p>
    <w:p w:rsidR="009A751A" w:rsidRPr="009A751A" w:rsidRDefault="009A751A" w:rsidP="009A751A">
      <w:pPr>
        <w:autoSpaceDE w:val="0"/>
        <w:autoSpaceDN w:val="0"/>
        <w:adjustRightInd w:val="0"/>
        <w:spacing w:after="0" w:line="480" w:lineRule="auto"/>
        <w:contextualSpacing w:val="0"/>
        <w:rPr>
          <w:rFonts w:ascii="Times New Roman" w:hAnsi="Times New Roman" w:cs="Times New Roman"/>
          <w:sz w:val="24"/>
          <w:szCs w:val="24"/>
          <w:lang w:val="en-GB"/>
        </w:rPr>
      </w:pPr>
      <w:r w:rsidRPr="009A751A">
        <w:rPr>
          <w:rFonts w:ascii="Times New Roman" w:hAnsi="Times New Roman" w:cs="Times New Roman"/>
          <w:sz w:val="24"/>
          <w:szCs w:val="24"/>
          <w:lang w:val="en-GB"/>
        </w:rPr>
        <w:t>The male to female gender ra</w:t>
      </w:r>
      <w:r>
        <w:rPr>
          <w:rFonts w:ascii="Times New Roman" w:hAnsi="Times New Roman" w:cs="Times New Roman"/>
          <w:sz w:val="24"/>
          <w:szCs w:val="24"/>
          <w:lang w:val="en-GB"/>
        </w:rPr>
        <w:t xml:space="preserve">tio for adults was 1.8:1 (1.2:1 </w:t>
      </w:r>
      <w:r w:rsidRPr="009A751A">
        <w:rPr>
          <w:rFonts w:ascii="Times New Roman" w:hAnsi="Times New Roman" w:cs="Times New Roman"/>
          <w:sz w:val="24"/>
          <w:szCs w:val="24"/>
          <w:lang w:val="en-GB"/>
        </w:rPr>
        <w:t>for those with ID and 2.5:1 for those without), and for all</w:t>
      </w:r>
      <w:r>
        <w:rPr>
          <w:rFonts w:ascii="Times New Roman" w:hAnsi="Times New Roman" w:cs="Times New Roman"/>
          <w:sz w:val="24"/>
          <w:szCs w:val="24"/>
          <w:lang w:val="en-GB"/>
        </w:rPr>
        <w:t xml:space="preserve"> </w:t>
      </w:r>
      <w:r w:rsidRPr="009A751A">
        <w:rPr>
          <w:rFonts w:ascii="Times New Roman" w:hAnsi="Times New Roman" w:cs="Times New Roman"/>
          <w:sz w:val="24"/>
          <w:szCs w:val="24"/>
          <w:lang w:val="en-GB"/>
        </w:rPr>
        <w:t>children and adolescents (age = 0–18 years), it was 3.5</w:t>
      </w:r>
      <w:r>
        <w:rPr>
          <w:rFonts w:ascii="Times New Roman" w:hAnsi="Times New Roman" w:cs="Times New Roman"/>
          <w:sz w:val="24"/>
          <w:szCs w:val="24"/>
          <w:lang w:val="en-GB"/>
        </w:rPr>
        <w:t xml:space="preserve"> </w:t>
      </w:r>
      <w:r w:rsidRPr="009A751A">
        <w:rPr>
          <w:rFonts w:ascii="Times New Roman" w:hAnsi="Times New Roman" w:cs="Times New Roman"/>
          <w:sz w:val="24"/>
          <w:szCs w:val="24"/>
          <w:lang w:val="en-GB"/>
        </w:rPr>
        <w:t>male</w:t>
      </w:r>
      <w:proofErr w:type="gramStart"/>
      <w:r w:rsidRPr="009A751A">
        <w:rPr>
          <w:rFonts w:ascii="Times New Roman" w:hAnsi="Times New Roman" w:cs="Times New Roman"/>
          <w:sz w:val="24"/>
          <w:szCs w:val="24"/>
          <w:lang w:val="en-GB"/>
        </w:rPr>
        <w:t>:1</w:t>
      </w:r>
      <w:proofErr w:type="gramEnd"/>
      <w:r w:rsidRPr="009A751A">
        <w:rPr>
          <w:rFonts w:ascii="Times New Roman" w:hAnsi="Times New Roman" w:cs="Times New Roman"/>
          <w:sz w:val="24"/>
          <w:szCs w:val="24"/>
          <w:lang w:val="en-GB"/>
        </w:rPr>
        <w:t xml:space="preserve"> female. There was a </w:t>
      </w:r>
      <w:r>
        <w:rPr>
          <w:rFonts w:ascii="Times New Roman" w:hAnsi="Times New Roman" w:cs="Times New Roman"/>
          <w:sz w:val="24"/>
          <w:szCs w:val="24"/>
          <w:lang w:val="en-GB"/>
        </w:rPr>
        <w:t xml:space="preserve">strong gender bias in the child </w:t>
      </w:r>
      <w:r w:rsidRPr="009A751A">
        <w:rPr>
          <w:rFonts w:ascii="Times New Roman" w:hAnsi="Times New Roman" w:cs="Times New Roman"/>
          <w:sz w:val="24"/>
          <w:szCs w:val="24"/>
          <w:lang w:val="en-GB"/>
        </w:rPr>
        <w:t>group with ID (18 males and 3 females); however, the</w:t>
      </w:r>
    </w:p>
    <w:p w:rsidR="009A751A" w:rsidRDefault="009A751A" w:rsidP="009A751A">
      <w:pPr>
        <w:autoSpaceDE w:val="0"/>
        <w:autoSpaceDN w:val="0"/>
        <w:adjustRightInd w:val="0"/>
        <w:spacing w:after="0" w:line="480" w:lineRule="auto"/>
        <w:contextualSpacing w:val="0"/>
        <w:rPr>
          <w:rFonts w:ascii="Times New Roman" w:hAnsi="Times New Roman" w:cs="Times New Roman"/>
          <w:sz w:val="24"/>
          <w:szCs w:val="24"/>
          <w:lang w:val="en-GB"/>
        </w:rPr>
      </w:pPr>
      <w:proofErr w:type="gramStart"/>
      <w:r w:rsidRPr="009A751A">
        <w:rPr>
          <w:rFonts w:ascii="Times New Roman" w:hAnsi="Times New Roman" w:cs="Times New Roman"/>
          <w:sz w:val="24"/>
          <w:szCs w:val="24"/>
          <w:lang w:val="en-GB"/>
        </w:rPr>
        <w:t>numbers</w:t>
      </w:r>
      <w:proofErr w:type="gramEnd"/>
      <w:r w:rsidRPr="009A751A">
        <w:rPr>
          <w:rFonts w:ascii="Times New Roman" w:hAnsi="Times New Roman" w:cs="Times New Roman"/>
          <w:sz w:val="24"/>
          <w:szCs w:val="24"/>
          <w:lang w:val="en-GB"/>
        </w:rPr>
        <w:t xml:space="preserve"> were too small to dr</w:t>
      </w:r>
      <w:r>
        <w:rPr>
          <w:rFonts w:ascii="Times New Roman" w:hAnsi="Times New Roman" w:cs="Times New Roman"/>
          <w:sz w:val="24"/>
          <w:szCs w:val="24"/>
          <w:lang w:val="en-GB"/>
        </w:rPr>
        <w:t xml:space="preserve">aw strong conclusions or to </w:t>
      </w:r>
      <w:r w:rsidRPr="009A751A">
        <w:rPr>
          <w:rFonts w:ascii="Times New Roman" w:hAnsi="Times New Roman" w:cs="Times New Roman"/>
          <w:sz w:val="24"/>
          <w:szCs w:val="24"/>
          <w:lang w:val="en-GB"/>
        </w:rPr>
        <w:t>provide a meaningful gend</w:t>
      </w:r>
      <w:r>
        <w:rPr>
          <w:rFonts w:ascii="Times New Roman" w:hAnsi="Times New Roman" w:cs="Times New Roman"/>
          <w:sz w:val="24"/>
          <w:szCs w:val="24"/>
          <w:lang w:val="en-GB"/>
        </w:rPr>
        <w:t xml:space="preserve">er ratio for this group. Gender </w:t>
      </w:r>
      <w:r w:rsidRPr="009A751A">
        <w:rPr>
          <w:rFonts w:ascii="Times New Roman" w:hAnsi="Times New Roman" w:cs="Times New Roman"/>
          <w:sz w:val="24"/>
          <w:szCs w:val="24"/>
          <w:lang w:val="en-GB"/>
        </w:rPr>
        <w:t xml:space="preserve">ratio across the sample </w:t>
      </w:r>
      <w:r>
        <w:rPr>
          <w:rFonts w:ascii="Times New Roman" w:hAnsi="Times New Roman" w:cs="Times New Roman"/>
          <w:sz w:val="24"/>
          <w:szCs w:val="24"/>
          <w:lang w:val="en-GB"/>
        </w:rPr>
        <w:t xml:space="preserve">reduced with increasing age, as </w:t>
      </w:r>
      <w:r w:rsidRPr="009A751A">
        <w:rPr>
          <w:rFonts w:ascii="Times New Roman" w:hAnsi="Times New Roman" w:cs="Times New Roman"/>
          <w:sz w:val="24"/>
          <w:szCs w:val="24"/>
          <w:lang w:val="en-GB"/>
        </w:rPr>
        <w:t>shown in Figure 1.</w:t>
      </w:r>
    </w:p>
    <w:p w:rsidR="00046934" w:rsidRDefault="00046934" w:rsidP="009A751A">
      <w:pPr>
        <w:autoSpaceDE w:val="0"/>
        <w:autoSpaceDN w:val="0"/>
        <w:adjustRightInd w:val="0"/>
        <w:spacing w:after="0" w:line="480" w:lineRule="auto"/>
        <w:contextualSpacing w:val="0"/>
        <w:rPr>
          <w:rFonts w:ascii="Times New Roman" w:hAnsi="Times New Roman" w:cs="Times New Roman"/>
          <w:sz w:val="24"/>
          <w:szCs w:val="24"/>
          <w:lang w:val="en-GB"/>
        </w:rPr>
      </w:pPr>
    </w:p>
    <w:p w:rsidR="00C75D4D" w:rsidRDefault="00C75D4D" w:rsidP="009A751A">
      <w:pPr>
        <w:autoSpaceDE w:val="0"/>
        <w:autoSpaceDN w:val="0"/>
        <w:adjustRightInd w:val="0"/>
        <w:spacing w:after="0" w:line="480" w:lineRule="auto"/>
        <w:contextualSpacing w:val="0"/>
        <w:rPr>
          <w:rFonts w:ascii="Times New Roman" w:hAnsi="Times New Roman" w:cs="Times New Roman"/>
          <w:sz w:val="24"/>
          <w:szCs w:val="24"/>
          <w:lang w:val="en-GB"/>
        </w:rPr>
      </w:pPr>
    </w:p>
    <w:p w:rsidR="00046934" w:rsidRDefault="00046934" w:rsidP="009A751A">
      <w:pPr>
        <w:autoSpaceDE w:val="0"/>
        <w:autoSpaceDN w:val="0"/>
        <w:adjustRightInd w:val="0"/>
        <w:spacing w:after="0" w:line="480" w:lineRule="auto"/>
        <w:contextualSpacing w:val="0"/>
        <w:rPr>
          <w:rFonts w:ascii="Times New Roman" w:hAnsi="Times New Roman" w:cs="Times New Roman"/>
          <w:sz w:val="24"/>
          <w:szCs w:val="24"/>
          <w:lang w:val="en-GB"/>
        </w:rPr>
      </w:pPr>
    </w:p>
    <w:p w:rsidR="00046934" w:rsidRPr="00046934" w:rsidRDefault="00046934" w:rsidP="00046934">
      <w:pPr>
        <w:shd w:val="clear" w:color="auto" w:fill="FFFFFF" w:themeFill="background1"/>
        <w:spacing w:after="0" w:line="480" w:lineRule="auto"/>
        <w:rPr>
          <w:rFonts w:ascii="Times New Roman" w:hAnsi="Times New Roman"/>
          <w:sz w:val="24"/>
          <w:szCs w:val="24"/>
          <w:lang w:val="en-GB"/>
        </w:rPr>
      </w:pPr>
      <w:proofErr w:type="gramStart"/>
      <w:r>
        <w:rPr>
          <w:rFonts w:ascii="Times New Roman" w:hAnsi="Times New Roman"/>
          <w:b/>
          <w:sz w:val="24"/>
          <w:szCs w:val="24"/>
          <w:lang w:val="en-GB"/>
        </w:rPr>
        <w:lastRenderedPageBreak/>
        <w:t>Figure 1</w:t>
      </w:r>
      <w:r w:rsidRPr="005F7F40">
        <w:rPr>
          <w:rFonts w:ascii="Times New Roman" w:hAnsi="Times New Roman"/>
          <w:b/>
          <w:sz w:val="24"/>
          <w:szCs w:val="24"/>
          <w:lang w:val="en-GB"/>
        </w:rPr>
        <w:t>.</w:t>
      </w:r>
      <w:proofErr w:type="gramEnd"/>
      <w:r w:rsidRPr="005F7F40">
        <w:rPr>
          <w:rFonts w:ascii="Times New Roman" w:hAnsi="Times New Roman"/>
          <w:b/>
          <w:sz w:val="24"/>
          <w:szCs w:val="24"/>
          <w:lang w:val="en-GB"/>
        </w:rPr>
        <w:t xml:space="preserve"> </w:t>
      </w:r>
      <w:r w:rsidRPr="005F7F40">
        <w:rPr>
          <w:rFonts w:ascii="Times New Roman" w:hAnsi="Times New Roman"/>
          <w:sz w:val="24"/>
          <w:szCs w:val="24"/>
          <w:lang w:val="en-GB"/>
        </w:rPr>
        <w:t xml:space="preserve">Gender </w:t>
      </w:r>
      <w:r>
        <w:rPr>
          <w:rFonts w:ascii="Times New Roman" w:hAnsi="Times New Roman"/>
          <w:sz w:val="24"/>
          <w:szCs w:val="24"/>
          <w:lang w:val="en-GB"/>
        </w:rPr>
        <w:t>r</w:t>
      </w:r>
      <w:r w:rsidRPr="005F7F40">
        <w:rPr>
          <w:rFonts w:ascii="Times New Roman" w:hAnsi="Times New Roman"/>
          <w:sz w:val="24"/>
          <w:szCs w:val="24"/>
          <w:lang w:val="en-GB"/>
        </w:rPr>
        <w:t xml:space="preserve">atio in age </w:t>
      </w:r>
      <w:r>
        <w:rPr>
          <w:rFonts w:ascii="Times New Roman" w:hAnsi="Times New Roman"/>
          <w:sz w:val="24"/>
          <w:szCs w:val="24"/>
          <w:lang w:val="en-GB"/>
        </w:rPr>
        <w:t xml:space="preserve">at diagnosis </w:t>
      </w:r>
      <w:r w:rsidRPr="005F7F40">
        <w:rPr>
          <w:rFonts w:ascii="Times New Roman" w:hAnsi="Times New Roman"/>
          <w:sz w:val="24"/>
          <w:szCs w:val="24"/>
          <w:lang w:val="en-GB"/>
        </w:rPr>
        <w:t>sub groups</w:t>
      </w:r>
    </w:p>
    <w:p w:rsidR="00046934" w:rsidRDefault="00046934" w:rsidP="00046934">
      <w:pPr>
        <w:autoSpaceDE w:val="0"/>
        <w:autoSpaceDN w:val="0"/>
        <w:adjustRightInd w:val="0"/>
        <w:spacing w:after="0" w:line="480" w:lineRule="auto"/>
        <w:contextualSpacing w:val="0"/>
        <w:rPr>
          <w:rFonts w:ascii="Times New Roman" w:hAnsi="Times New Roman" w:cs="Times New Roman"/>
          <w:sz w:val="24"/>
          <w:szCs w:val="24"/>
          <w:lang w:val="en-GB"/>
        </w:rPr>
      </w:pPr>
      <w:r>
        <w:rPr>
          <w:noProof/>
          <w:lang w:val="en-GB" w:eastAsia="zh-CN"/>
        </w:rPr>
        <w:drawing>
          <wp:inline distT="0" distB="0" distL="0" distR="0" wp14:anchorId="3D2590D3" wp14:editId="6531C2DF">
            <wp:extent cx="2880000" cy="3038475"/>
            <wp:effectExtent l="0" t="0" r="1587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75D4D" w:rsidRDefault="00C75D4D" w:rsidP="00046934">
      <w:pPr>
        <w:autoSpaceDE w:val="0"/>
        <w:autoSpaceDN w:val="0"/>
        <w:adjustRightInd w:val="0"/>
        <w:spacing w:after="0" w:line="480" w:lineRule="auto"/>
        <w:contextualSpacing w:val="0"/>
        <w:rPr>
          <w:rFonts w:ascii="Times New Roman" w:hAnsi="Times New Roman" w:cs="Times New Roman"/>
          <w:sz w:val="24"/>
          <w:szCs w:val="24"/>
          <w:lang w:val="en-GB"/>
        </w:rPr>
      </w:pPr>
    </w:p>
    <w:p w:rsidR="005D02F7" w:rsidRDefault="009A751A" w:rsidP="009A751A">
      <w:pPr>
        <w:autoSpaceDE w:val="0"/>
        <w:autoSpaceDN w:val="0"/>
        <w:adjustRightInd w:val="0"/>
        <w:spacing w:after="0" w:line="480" w:lineRule="auto"/>
        <w:contextualSpacing w:val="0"/>
        <w:rPr>
          <w:rFonts w:ascii="Times New Roman" w:hAnsi="Times New Roman" w:cs="Times New Roman"/>
          <w:sz w:val="24"/>
          <w:szCs w:val="24"/>
          <w:lang w:val="en-GB"/>
        </w:rPr>
      </w:pPr>
      <w:r w:rsidRPr="009A751A">
        <w:rPr>
          <w:rFonts w:ascii="Times New Roman" w:hAnsi="Times New Roman" w:cs="Times New Roman"/>
          <w:sz w:val="24"/>
          <w:szCs w:val="24"/>
          <w:lang w:val="en-GB"/>
        </w:rPr>
        <w:t>Adolescents are def</w:t>
      </w:r>
      <w:r>
        <w:rPr>
          <w:rFonts w:ascii="Times New Roman" w:hAnsi="Times New Roman" w:cs="Times New Roman"/>
          <w:sz w:val="24"/>
          <w:szCs w:val="24"/>
          <w:lang w:val="en-GB"/>
        </w:rPr>
        <w:t xml:space="preserve">ined as young people between 10 </w:t>
      </w:r>
      <w:r w:rsidRPr="009A751A">
        <w:rPr>
          <w:rFonts w:ascii="Times New Roman" w:hAnsi="Times New Roman" w:cs="Times New Roman"/>
          <w:sz w:val="24"/>
          <w:szCs w:val="24"/>
          <w:lang w:val="en-GB"/>
        </w:rPr>
        <w:t>and 19 years (UNICEF, 2011), and we considere</w:t>
      </w:r>
      <w:r>
        <w:rPr>
          <w:rFonts w:ascii="Times New Roman" w:hAnsi="Times New Roman" w:cs="Times New Roman"/>
          <w:sz w:val="24"/>
          <w:szCs w:val="24"/>
          <w:lang w:val="en-GB"/>
        </w:rPr>
        <w:t xml:space="preserve">d this subgroup </w:t>
      </w:r>
      <w:r w:rsidRPr="009A751A">
        <w:rPr>
          <w:rFonts w:ascii="Times New Roman" w:hAnsi="Times New Roman" w:cs="Times New Roman"/>
          <w:sz w:val="24"/>
          <w:szCs w:val="24"/>
          <w:lang w:val="en-GB"/>
        </w:rPr>
        <w:t>in our analysis.</w:t>
      </w:r>
      <w:r>
        <w:rPr>
          <w:rFonts w:ascii="Times New Roman" w:hAnsi="Times New Roman" w:cs="Times New Roman"/>
          <w:sz w:val="24"/>
          <w:szCs w:val="24"/>
          <w:lang w:val="en-GB"/>
        </w:rPr>
        <w:t xml:space="preserve"> Among children and adolescents </w:t>
      </w:r>
      <w:r w:rsidRPr="009A751A">
        <w:rPr>
          <w:rFonts w:ascii="Times New Roman" w:hAnsi="Times New Roman" w:cs="Times New Roman"/>
          <w:sz w:val="24"/>
          <w:szCs w:val="24"/>
          <w:lang w:val="en-GB"/>
        </w:rPr>
        <w:t>sampled, 58% (46/86) w</w:t>
      </w:r>
      <w:r>
        <w:rPr>
          <w:rFonts w:ascii="Times New Roman" w:hAnsi="Times New Roman" w:cs="Times New Roman"/>
          <w:sz w:val="24"/>
          <w:szCs w:val="24"/>
          <w:lang w:val="en-GB"/>
        </w:rPr>
        <w:t xml:space="preserve">ere aged 0–9, 11 years, and the </w:t>
      </w:r>
      <w:r w:rsidRPr="009A751A">
        <w:rPr>
          <w:rFonts w:ascii="Times New Roman" w:hAnsi="Times New Roman" w:cs="Times New Roman"/>
          <w:sz w:val="24"/>
          <w:szCs w:val="24"/>
          <w:lang w:val="en-GB"/>
        </w:rPr>
        <w:t>gender ratio in this group</w:t>
      </w:r>
      <w:r>
        <w:rPr>
          <w:rFonts w:ascii="Times New Roman" w:hAnsi="Times New Roman" w:cs="Times New Roman"/>
          <w:sz w:val="24"/>
          <w:szCs w:val="24"/>
          <w:lang w:val="en-GB"/>
        </w:rPr>
        <w:t xml:space="preserve"> was highest at 5.5:1. Children </w:t>
      </w:r>
      <w:r w:rsidRPr="009A751A">
        <w:rPr>
          <w:rFonts w:ascii="Times New Roman" w:hAnsi="Times New Roman" w:cs="Times New Roman"/>
          <w:sz w:val="24"/>
          <w:szCs w:val="24"/>
          <w:lang w:val="en-GB"/>
        </w:rPr>
        <w:t>and adolescents ag</w:t>
      </w:r>
      <w:r>
        <w:rPr>
          <w:rFonts w:ascii="Times New Roman" w:hAnsi="Times New Roman" w:cs="Times New Roman"/>
          <w:sz w:val="24"/>
          <w:szCs w:val="24"/>
          <w:lang w:val="en-GB"/>
        </w:rPr>
        <w:t xml:space="preserve">ed 10–18, 11 years, made up 42% </w:t>
      </w:r>
      <w:r w:rsidRPr="009A751A">
        <w:rPr>
          <w:rFonts w:ascii="Times New Roman" w:hAnsi="Times New Roman" w:cs="Times New Roman"/>
          <w:sz w:val="24"/>
          <w:szCs w:val="24"/>
          <w:lang w:val="en-GB"/>
        </w:rPr>
        <w:t xml:space="preserve">(34/86) of those diagnosed in </w:t>
      </w:r>
      <w:r>
        <w:rPr>
          <w:rFonts w:ascii="Times New Roman" w:hAnsi="Times New Roman" w:cs="Times New Roman"/>
          <w:sz w:val="24"/>
          <w:szCs w:val="24"/>
          <w:lang w:val="en-GB"/>
        </w:rPr>
        <w:t xml:space="preserve">child services. A further six </w:t>
      </w:r>
      <w:r w:rsidRPr="009A751A">
        <w:rPr>
          <w:rFonts w:ascii="Times New Roman" w:hAnsi="Times New Roman" w:cs="Times New Roman"/>
          <w:sz w:val="24"/>
          <w:szCs w:val="24"/>
          <w:lang w:val="en-GB"/>
        </w:rPr>
        <w:t>individuals from the adul</w:t>
      </w:r>
      <w:r>
        <w:rPr>
          <w:rFonts w:ascii="Times New Roman" w:hAnsi="Times New Roman" w:cs="Times New Roman"/>
          <w:sz w:val="24"/>
          <w:szCs w:val="24"/>
          <w:lang w:val="en-GB"/>
        </w:rPr>
        <w:t xml:space="preserve">t services cohort were aged 17– </w:t>
      </w:r>
      <w:r w:rsidRPr="009A751A">
        <w:rPr>
          <w:rFonts w:ascii="Times New Roman" w:hAnsi="Times New Roman" w:cs="Times New Roman"/>
          <w:sz w:val="24"/>
          <w:szCs w:val="24"/>
          <w:lang w:val="en-GB"/>
        </w:rPr>
        <w:t>18 years and are included i</w:t>
      </w:r>
      <w:r>
        <w:rPr>
          <w:rFonts w:ascii="Times New Roman" w:hAnsi="Times New Roman" w:cs="Times New Roman"/>
          <w:sz w:val="24"/>
          <w:szCs w:val="24"/>
          <w:lang w:val="en-GB"/>
        </w:rPr>
        <w:t xml:space="preserve">n this analysis on the basis of </w:t>
      </w:r>
      <w:r w:rsidRPr="009A751A">
        <w:rPr>
          <w:rFonts w:ascii="Times New Roman" w:hAnsi="Times New Roman" w:cs="Times New Roman"/>
          <w:sz w:val="24"/>
          <w:szCs w:val="24"/>
          <w:lang w:val="en-GB"/>
        </w:rPr>
        <w:t>age. In the 10–18 years gro</w:t>
      </w:r>
      <w:r>
        <w:rPr>
          <w:rFonts w:ascii="Times New Roman" w:hAnsi="Times New Roman" w:cs="Times New Roman"/>
          <w:sz w:val="24"/>
          <w:szCs w:val="24"/>
          <w:lang w:val="en-GB"/>
        </w:rPr>
        <w:t xml:space="preserve">up, the gender ratio was 2.3:1. </w:t>
      </w:r>
      <w:r w:rsidRPr="009A751A">
        <w:rPr>
          <w:rFonts w:ascii="Times New Roman" w:hAnsi="Times New Roman" w:cs="Times New Roman"/>
          <w:sz w:val="24"/>
          <w:szCs w:val="24"/>
          <w:lang w:val="en-GB"/>
        </w:rPr>
        <w:t xml:space="preserve">In the 19–39 years age group, the ratio was 2.1:1, </w:t>
      </w:r>
      <w:r>
        <w:rPr>
          <w:rFonts w:ascii="Times New Roman" w:hAnsi="Times New Roman" w:cs="Times New Roman"/>
          <w:sz w:val="24"/>
          <w:szCs w:val="24"/>
          <w:lang w:val="en-GB"/>
        </w:rPr>
        <w:t xml:space="preserve">and in </w:t>
      </w:r>
      <w:r w:rsidRPr="009A751A">
        <w:rPr>
          <w:rFonts w:ascii="Times New Roman" w:hAnsi="Times New Roman" w:cs="Times New Roman"/>
          <w:sz w:val="24"/>
          <w:szCs w:val="24"/>
          <w:lang w:val="en-GB"/>
        </w:rPr>
        <w:t xml:space="preserve">the over 40 </w:t>
      </w:r>
      <w:proofErr w:type="gramStart"/>
      <w:r w:rsidRPr="009A751A">
        <w:rPr>
          <w:rFonts w:ascii="Times New Roman" w:hAnsi="Times New Roman" w:cs="Times New Roman"/>
          <w:sz w:val="24"/>
          <w:szCs w:val="24"/>
          <w:lang w:val="en-GB"/>
        </w:rPr>
        <w:t>years</w:t>
      </w:r>
      <w:proofErr w:type="gramEnd"/>
      <w:r w:rsidRPr="009A751A">
        <w:rPr>
          <w:rFonts w:ascii="Times New Roman" w:hAnsi="Times New Roman" w:cs="Times New Roman"/>
          <w:sz w:val="24"/>
          <w:szCs w:val="24"/>
          <w:lang w:val="en-GB"/>
        </w:rPr>
        <w:t xml:space="preserve"> gro</w:t>
      </w:r>
      <w:r>
        <w:rPr>
          <w:rFonts w:ascii="Times New Roman" w:hAnsi="Times New Roman" w:cs="Times New Roman"/>
          <w:sz w:val="24"/>
          <w:szCs w:val="24"/>
          <w:lang w:val="en-GB"/>
        </w:rPr>
        <w:t xml:space="preserve">up, the gender ratio was 1.2:1. </w:t>
      </w:r>
    </w:p>
    <w:p w:rsidR="005D02F7" w:rsidRDefault="005D02F7" w:rsidP="009A751A">
      <w:pPr>
        <w:autoSpaceDE w:val="0"/>
        <w:autoSpaceDN w:val="0"/>
        <w:adjustRightInd w:val="0"/>
        <w:spacing w:after="0" w:line="480" w:lineRule="auto"/>
        <w:contextualSpacing w:val="0"/>
        <w:rPr>
          <w:rFonts w:ascii="Times New Roman" w:hAnsi="Times New Roman" w:cs="Times New Roman"/>
          <w:sz w:val="24"/>
          <w:szCs w:val="24"/>
          <w:lang w:val="en-GB"/>
        </w:rPr>
      </w:pPr>
    </w:p>
    <w:p w:rsidR="005D02F7" w:rsidRDefault="009A751A" w:rsidP="009A751A">
      <w:pPr>
        <w:autoSpaceDE w:val="0"/>
        <w:autoSpaceDN w:val="0"/>
        <w:adjustRightInd w:val="0"/>
        <w:spacing w:after="0" w:line="480" w:lineRule="auto"/>
        <w:contextualSpacing w:val="0"/>
        <w:rPr>
          <w:rFonts w:ascii="Times New Roman" w:hAnsi="Times New Roman" w:cs="Times New Roman"/>
          <w:i/>
          <w:iCs/>
          <w:sz w:val="24"/>
          <w:szCs w:val="24"/>
          <w:lang w:val="en-GB"/>
        </w:rPr>
      </w:pPr>
      <w:r w:rsidRPr="009A751A">
        <w:rPr>
          <w:rFonts w:ascii="Times New Roman" w:hAnsi="Times New Roman" w:cs="Times New Roman"/>
          <w:i/>
          <w:iCs/>
          <w:sz w:val="24"/>
          <w:szCs w:val="24"/>
          <w:lang w:val="en-GB"/>
        </w:rPr>
        <w:t>ID</w:t>
      </w:r>
    </w:p>
    <w:p w:rsidR="009A751A" w:rsidRPr="005D02F7" w:rsidRDefault="009A751A" w:rsidP="009A751A">
      <w:pPr>
        <w:autoSpaceDE w:val="0"/>
        <w:autoSpaceDN w:val="0"/>
        <w:adjustRightInd w:val="0"/>
        <w:spacing w:after="0" w:line="480" w:lineRule="auto"/>
        <w:contextualSpacing w:val="0"/>
        <w:rPr>
          <w:rFonts w:ascii="Times New Roman" w:hAnsi="Times New Roman" w:cs="Times New Roman"/>
          <w:i/>
          <w:iCs/>
          <w:sz w:val="24"/>
          <w:szCs w:val="24"/>
          <w:lang w:val="en-GB"/>
        </w:rPr>
      </w:pPr>
      <w:r w:rsidRPr="009A751A">
        <w:rPr>
          <w:rFonts w:ascii="Times New Roman" w:hAnsi="Times New Roman" w:cs="Times New Roman"/>
          <w:sz w:val="24"/>
          <w:szCs w:val="24"/>
          <w:lang w:val="en-GB"/>
        </w:rPr>
        <w:lastRenderedPageBreak/>
        <w:t>Of those newly diagnosed with ASD in adult services, 38% had ID (26/69), 50% (12/24) were females and 31% 14/45) were males. In child services, 24% (19/80) diagnosed</w:t>
      </w:r>
      <w:r>
        <w:rPr>
          <w:rFonts w:ascii="Times New Roman" w:hAnsi="Times New Roman" w:cs="Times New Roman"/>
          <w:sz w:val="24"/>
          <w:szCs w:val="24"/>
          <w:lang w:val="en-GB"/>
        </w:rPr>
        <w:t xml:space="preserve"> </w:t>
      </w:r>
      <w:r w:rsidRPr="009A751A">
        <w:rPr>
          <w:rFonts w:ascii="Times New Roman" w:hAnsi="Times New Roman" w:cs="Times New Roman"/>
          <w:sz w:val="24"/>
          <w:szCs w:val="24"/>
          <w:lang w:val="en-GB"/>
        </w:rPr>
        <w:t>had a stated ID; this was 12</w:t>
      </w:r>
      <w:r>
        <w:rPr>
          <w:rFonts w:ascii="Times New Roman" w:hAnsi="Times New Roman" w:cs="Times New Roman"/>
          <w:sz w:val="24"/>
          <w:szCs w:val="24"/>
          <w:lang w:val="en-GB"/>
        </w:rPr>
        <w:t xml:space="preserve">% (2/17) of females and </w:t>
      </w:r>
      <w:r w:rsidRPr="009A751A">
        <w:rPr>
          <w:rFonts w:ascii="Times New Roman" w:hAnsi="Times New Roman" w:cs="Times New Roman"/>
          <w:sz w:val="24"/>
          <w:szCs w:val="24"/>
          <w:lang w:val="en-GB"/>
        </w:rPr>
        <w:t>27% (17/63) of males. A series of chi-square tests found no</w:t>
      </w:r>
    </w:p>
    <w:p w:rsidR="009A751A" w:rsidRPr="009A751A" w:rsidRDefault="009A751A" w:rsidP="009A751A">
      <w:pPr>
        <w:autoSpaceDE w:val="0"/>
        <w:autoSpaceDN w:val="0"/>
        <w:adjustRightInd w:val="0"/>
        <w:spacing w:after="0" w:line="480" w:lineRule="auto"/>
        <w:contextualSpacing w:val="0"/>
        <w:rPr>
          <w:rFonts w:ascii="Times New Roman" w:hAnsi="Times New Roman" w:cs="Times New Roman"/>
          <w:sz w:val="24"/>
          <w:szCs w:val="24"/>
          <w:lang w:val="en-GB"/>
        </w:rPr>
      </w:pPr>
      <w:proofErr w:type="gramStart"/>
      <w:r w:rsidRPr="009A751A">
        <w:rPr>
          <w:rFonts w:ascii="Times New Roman" w:hAnsi="Times New Roman" w:cs="Times New Roman"/>
          <w:sz w:val="24"/>
          <w:szCs w:val="24"/>
          <w:lang w:val="en-GB"/>
        </w:rPr>
        <w:t>significant</w:t>
      </w:r>
      <w:proofErr w:type="gramEnd"/>
      <w:r w:rsidRPr="009A751A">
        <w:rPr>
          <w:rFonts w:ascii="Times New Roman" w:hAnsi="Times New Roman" w:cs="Times New Roman"/>
          <w:sz w:val="24"/>
          <w:szCs w:val="24"/>
          <w:lang w:val="en-GB"/>
        </w:rPr>
        <w:t xml:space="preserve"> association</w:t>
      </w:r>
      <w:r>
        <w:rPr>
          <w:rFonts w:ascii="Times New Roman" w:hAnsi="Times New Roman" w:cs="Times New Roman"/>
          <w:sz w:val="24"/>
          <w:szCs w:val="24"/>
          <w:lang w:val="en-GB"/>
        </w:rPr>
        <w:t xml:space="preserve"> between gender and whether the </w:t>
      </w:r>
      <w:r w:rsidRPr="009A751A">
        <w:rPr>
          <w:rFonts w:ascii="Times New Roman" w:hAnsi="Times New Roman" w:cs="Times New Roman"/>
          <w:sz w:val="24"/>
          <w:szCs w:val="24"/>
          <w:lang w:val="en-GB"/>
        </w:rPr>
        <w:t>individual had ID or not for younger children (</w:t>
      </w:r>
      <w:r w:rsidRPr="009A751A">
        <w:rPr>
          <w:rFonts w:ascii="Times New Roman" w:hAnsi="Times New Roman" w:cs="Times New Roman"/>
          <w:i/>
          <w:iCs/>
          <w:sz w:val="24"/>
          <w:szCs w:val="24"/>
          <w:lang w:val="en-GB"/>
        </w:rPr>
        <w:t>χ</w:t>
      </w:r>
      <w:r w:rsidRPr="009A751A">
        <w:rPr>
          <w:rFonts w:ascii="Times New Roman" w:hAnsi="Times New Roman" w:cs="Times New Roman"/>
          <w:sz w:val="24"/>
          <w:szCs w:val="24"/>
          <w:lang w:val="en-GB"/>
        </w:rPr>
        <w:t xml:space="preserve">2 </w:t>
      </w:r>
      <w:r>
        <w:rPr>
          <w:rFonts w:ascii="Times New Roman" w:hAnsi="Times New Roman" w:cs="Times New Roman"/>
          <w:sz w:val="24"/>
          <w:szCs w:val="24"/>
          <w:lang w:val="en-GB"/>
        </w:rPr>
        <w:t xml:space="preserve">= 0.19, </w:t>
      </w:r>
      <w:r w:rsidRPr="009A751A">
        <w:rPr>
          <w:rFonts w:ascii="Times New Roman" w:hAnsi="Times New Roman" w:cs="Times New Roman"/>
          <w:i/>
          <w:iCs/>
          <w:sz w:val="24"/>
          <w:szCs w:val="24"/>
          <w:lang w:val="en-GB"/>
        </w:rPr>
        <w:t xml:space="preserve">df </w:t>
      </w:r>
      <w:r w:rsidRPr="009A751A">
        <w:rPr>
          <w:rFonts w:ascii="Times New Roman" w:hAnsi="Times New Roman" w:cs="Times New Roman"/>
          <w:sz w:val="24"/>
          <w:szCs w:val="24"/>
          <w:lang w:val="en-GB"/>
        </w:rPr>
        <w:t xml:space="preserve">= 1, </w:t>
      </w:r>
      <w:r w:rsidRPr="009A751A">
        <w:rPr>
          <w:rFonts w:ascii="Times New Roman" w:hAnsi="Times New Roman" w:cs="Times New Roman"/>
          <w:i/>
          <w:iCs/>
          <w:sz w:val="24"/>
          <w:szCs w:val="24"/>
          <w:lang w:val="en-GB"/>
        </w:rPr>
        <w:t xml:space="preserve">p </w:t>
      </w:r>
      <w:r w:rsidRPr="009A751A">
        <w:rPr>
          <w:rFonts w:ascii="Times New Roman" w:hAnsi="Times New Roman" w:cs="Times New Roman"/>
          <w:sz w:val="24"/>
          <w:szCs w:val="24"/>
          <w:lang w:val="en-GB"/>
        </w:rPr>
        <w:t>= 0.66); adolescents (</w:t>
      </w:r>
      <w:r w:rsidRPr="009A751A">
        <w:rPr>
          <w:rFonts w:ascii="Times New Roman" w:hAnsi="Times New Roman" w:cs="Times New Roman"/>
          <w:i/>
          <w:iCs/>
          <w:sz w:val="24"/>
          <w:szCs w:val="24"/>
          <w:lang w:val="en-GB"/>
        </w:rPr>
        <w:t>χ</w:t>
      </w:r>
      <w:r w:rsidRPr="009A751A">
        <w:rPr>
          <w:rFonts w:ascii="Times New Roman" w:hAnsi="Times New Roman" w:cs="Times New Roman"/>
          <w:sz w:val="24"/>
          <w:szCs w:val="24"/>
          <w:lang w:val="en-GB"/>
        </w:rPr>
        <w:t xml:space="preserve">2 = 1.95, </w:t>
      </w:r>
      <w:r w:rsidRPr="009A751A">
        <w:rPr>
          <w:rFonts w:ascii="Times New Roman" w:hAnsi="Times New Roman" w:cs="Times New Roman"/>
          <w:i/>
          <w:iCs/>
          <w:sz w:val="24"/>
          <w:szCs w:val="24"/>
          <w:lang w:val="en-GB"/>
        </w:rPr>
        <w:t xml:space="preserve">df </w:t>
      </w:r>
      <w:r w:rsidRPr="009A751A">
        <w:rPr>
          <w:rFonts w:ascii="Times New Roman" w:hAnsi="Times New Roman" w:cs="Times New Roman"/>
          <w:sz w:val="24"/>
          <w:szCs w:val="24"/>
          <w:lang w:val="en-GB"/>
        </w:rPr>
        <w:t xml:space="preserve">= 1, </w:t>
      </w:r>
      <w:r w:rsidRPr="009A751A">
        <w:rPr>
          <w:rFonts w:ascii="Times New Roman" w:hAnsi="Times New Roman" w:cs="Times New Roman"/>
          <w:i/>
          <w:iCs/>
          <w:sz w:val="24"/>
          <w:szCs w:val="24"/>
          <w:lang w:val="en-GB"/>
        </w:rPr>
        <w:t xml:space="preserve">p </w:t>
      </w:r>
      <w:r w:rsidRPr="009A751A">
        <w:rPr>
          <w:rFonts w:ascii="Times New Roman" w:hAnsi="Times New Roman" w:cs="Times New Roman"/>
          <w:sz w:val="24"/>
          <w:szCs w:val="24"/>
          <w:lang w:val="en-GB"/>
        </w:rPr>
        <w:t>= 0.16) or</w:t>
      </w:r>
    </w:p>
    <w:p w:rsidR="009A751A" w:rsidRDefault="009A751A" w:rsidP="009A751A">
      <w:pPr>
        <w:autoSpaceDE w:val="0"/>
        <w:autoSpaceDN w:val="0"/>
        <w:adjustRightInd w:val="0"/>
        <w:spacing w:after="0" w:line="480" w:lineRule="auto"/>
        <w:contextualSpacing w:val="0"/>
        <w:rPr>
          <w:rFonts w:ascii="Times New Roman" w:hAnsi="Times New Roman" w:cs="Times New Roman"/>
          <w:sz w:val="24"/>
          <w:szCs w:val="24"/>
          <w:lang w:val="en-GB"/>
        </w:rPr>
      </w:pPr>
      <w:proofErr w:type="gramStart"/>
      <w:r w:rsidRPr="009A751A">
        <w:rPr>
          <w:rFonts w:ascii="Times New Roman" w:hAnsi="Times New Roman" w:cs="Times New Roman"/>
          <w:sz w:val="24"/>
          <w:szCs w:val="24"/>
          <w:lang w:val="en-GB"/>
        </w:rPr>
        <w:t>adults</w:t>
      </w:r>
      <w:proofErr w:type="gramEnd"/>
      <w:r w:rsidRPr="009A751A">
        <w:rPr>
          <w:rFonts w:ascii="Times New Roman" w:hAnsi="Times New Roman" w:cs="Times New Roman"/>
          <w:sz w:val="24"/>
          <w:szCs w:val="24"/>
          <w:lang w:val="en-GB"/>
        </w:rPr>
        <w:t xml:space="preserve"> (</w:t>
      </w:r>
      <w:r w:rsidRPr="009A751A">
        <w:rPr>
          <w:rFonts w:ascii="Times New Roman" w:hAnsi="Times New Roman" w:cs="Times New Roman"/>
          <w:i/>
          <w:iCs/>
          <w:sz w:val="24"/>
          <w:szCs w:val="24"/>
          <w:lang w:val="en-GB"/>
        </w:rPr>
        <w:t>χ</w:t>
      </w:r>
      <w:r w:rsidRPr="009A751A">
        <w:rPr>
          <w:rFonts w:ascii="Times New Roman" w:hAnsi="Times New Roman" w:cs="Times New Roman"/>
          <w:sz w:val="24"/>
          <w:szCs w:val="24"/>
          <w:lang w:val="en-GB"/>
        </w:rPr>
        <w:t xml:space="preserve">2 = 2.03, </w:t>
      </w:r>
      <w:r w:rsidRPr="009A751A">
        <w:rPr>
          <w:rFonts w:ascii="Times New Roman" w:hAnsi="Times New Roman" w:cs="Times New Roman"/>
          <w:i/>
          <w:iCs/>
          <w:sz w:val="24"/>
          <w:szCs w:val="24"/>
          <w:lang w:val="en-GB"/>
        </w:rPr>
        <w:t xml:space="preserve">df </w:t>
      </w:r>
      <w:r w:rsidRPr="009A751A">
        <w:rPr>
          <w:rFonts w:ascii="Times New Roman" w:hAnsi="Times New Roman" w:cs="Times New Roman"/>
          <w:sz w:val="24"/>
          <w:szCs w:val="24"/>
          <w:lang w:val="en-GB"/>
        </w:rPr>
        <w:t xml:space="preserve">= 1, </w:t>
      </w:r>
      <w:r w:rsidRPr="009A751A">
        <w:rPr>
          <w:rFonts w:ascii="Times New Roman" w:hAnsi="Times New Roman" w:cs="Times New Roman"/>
          <w:i/>
          <w:iCs/>
          <w:sz w:val="24"/>
          <w:szCs w:val="24"/>
          <w:lang w:val="en-GB"/>
        </w:rPr>
        <w:t xml:space="preserve">p </w:t>
      </w:r>
      <w:r>
        <w:rPr>
          <w:rFonts w:ascii="Times New Roman" w:hAnsi="Times New Roman" w:cs="Times New Roman"/>
          <w:sz w:val="24"/>
          <w:szCs w:val="24"/>
          <w:lang w:val="en-GB"/>
        </w:rPr>
        <w:t xml:space="preserve">= 0.154). </w:t>
      </w:r>
    </w:p>
    <w:p w:rsidR="009A751A" w:rsidRDefault="009A751A" w:rsidP="009A751A">
      <w:pPr>
        <w:autoSpaceDE w:val="0"/>
        <w:autoSpaceDN w:val="0"/>
        <w:adjustRightInd w:val="0"/>
        <w:spacing w:after="0" w:line="480" w:lineRule="auto"/>
        <w:contextualSpacing w:val="0"/>
        <w:rPr>
          <w:rFonts w:ascii="Times New Roman" w:hAnsi="Times New Roman" w:cs="Times New Roman"/>
          <w:sz w:val="24"/>
          <w:szCs w:val="24"/>
          <w:lang w:val="en-GB"/>
        </w:rPr>
      </w:pPr>
    </w:p>
    <w:p w:rsidR="009A751A" w:rsidRDefault="009A751A" w:rsidP="009A751A">
      <w:pPr>
        <w:autoSpaceDE w:val="0"/>
        <w:autoSpaceDN w:val="0"/>
        <w:adjustRightInd w:val="0"/>
        <w:spacing w:after="0" w:line="480" w:lineRule="auto"/>
        <w:contextualSpacing w:val="0"/>
        <w:rPr>
          <w:rFonts w:ascii="Times New Roman" w:hAnsi="Times New Roman" w:cs="Times New Roman"/>
          <w:i/>
          <w:iCs/>
          <w:sz w:val="24"/>
          <w:szCs w:val="24"/>
          <w:lang w:val="en-GB"/>
        </w:rPr>
      </w:pPr>
      <w:proofErr w:type="gramStart"/>
      <w:r w:rsidRPr="009A751A">
        <w:rPr>
          <w:rFonts w:ascii="Times New Roman" w:hAnsi="Times New Roman" w:cs="Times New Roman"/>
          <w:i/>
          <w:iCs/>
          <w:sz w:val="24"/>
          <w:szCs w:val="24"/>
          <w:lang w:val="en-GB"/>
        </w:rPr>
        <w:t>Gender differences in age of referral, diagnosis</w:t>
      </w:r>
      <w:r>
        <w:rPr>
          <w:rFonts w:ascii="Times New Roman" w:hAnsi="Times New Roman" w:cs="Times New Roman"/>
          <w:sz w:val="24"/>
          <w:szCs w:val="24"/>
          <w:lang w:val="en-GB"/>
        </w:rPr>
        <w:t xml:space="preserve"> </w:t>
      </w:r>
      <w:r w:rsidRPr="009A751A">
        <w:rPr>
          <w:rFonts w:ascii="Times New Roman" w:hAnsi="Times New Roman" w:cs="Times New Roman"/>
          <w:i/>
          <w:iCs/>
          <w:sz w:val="24"/>
          <w:szCs w:val="24"/>
          <w:lang w:val="en-GB"/>
        </w:rPr>
        <w:t>a</w:t>
      </w:r>
      <w:r>
        <w:rPr>
          <w:rFonts w:ascii="Times New Roman" w:hAnsi="Times New Roman" w:cs="Times New Roman"/>
          <w:i/>
          <w:iCs/>
          <w:sz w:val="24"/>
          <w:szCs w:val="24"/>
          <w:lang w:val="en-GB"/>
        </w:rPr>
        <w:t xml:space="preserve">nd total duration of assessment </w:t>
      </w:r>
      <w:r w:rsidRPr="009A751A">
        <w:rPr>
          <w:rFonts w:ascii="Times New Roman" w:hAnsi="Times New Roman" w:cs="Times New Roman"/>
          <w:i/>
          <w:iCs/>
          <w:sz w:val="24"/>
          <w:szCs w:val="24"/>
          <w:lang w:val="en-GB"/>
        </w:rPr>
        <w:t>Adults.</w:t>
      </w:r>
      <w:proofErr w:type="gramEnd"/>
      <w:r w:rsidRPr="009A751A">
        <w:rPr>
          <w:rFonts w:ascii="Times New Roman" w:hAnsi="Times New Roman" w:cs="Times New Roman"/>
          <w:i/>
          <w:iCs/>
          <w:sz w:val="24"/>
          <w:szCs w:val="24"/>
          <w:lang w:val="en-GB"/>
        </w:rPr>
        <w:t xml:space="preserve"> </w:t>
      </w:r>
    </w:p>
    <w:p w:rsidR="009A751A" w:rsidRDefault="009A751A" w:rsidP="009A751A">
      <w:pPr>
        <w:autoSpaceDE w:val="0"/>
        <w:autoSpaceDN w:val="0"/>
        <w:adjustRightInd w:val="0"/>
        <w:spacing w:after="0" w:line="480" w:lineRule="auto"/>
        <w:contextualSpacing w:val="0"/>
        <w:rPr>
          <w:rFonts w:ascii="Times New Roman" w:hAnsi="Times New Roman" w:cs="Times New Roman"/>
          <w:sz w:val="24"/>
          <w:szCs w:val="24"/>
          <w:lang w:val="en-GB"/>
        </w:rPr>
      </w:pPr>
      <w:r w:rsidRPr="009A751A">
        <w:rPr>
          <w:rFonts w:ascii="Times New Roman" w:hAnsi="Times New Roman" w:cs="Times New Roman"/>
          <w:sz w:val="24"/>
          <w:szCs w:val="24"/>
          <w:lang w:val="en-GB"/>
        </w:rPr>
        <w:t>No significant differences were found between</w:t>
      </w:r>
      <w:r>
        <w:rPr>
          <w:rFonts w:ascii="Times New Roman" w:hAnsi="Times New Roman" w:cs="Times New Roman"/>
          <w:sz w:val="24"/>
          <w:szCs w:val="24"/>
          <w:lang w:val="en-GB"/>
        </w:rPr>
        <w:t xml:space="preserve"> </w:t>
      </w:r>
      <w:r w:rsidRPr="009A751A">
        <w:rPr>
          <w:rFonts w:ascii="Times New Roman" w:hAnsi="Times New Roman" w:cs="Times New Roman"/>
          <w:sz w:val="24"/>
          <w:szCs w:val="24"/>
          <w:lang w:val="en-GB"/>
        </w:rPr>
        <w:t>males and females for the mean age of referral (</w:t>
      </w:r>
      <w:proofErr w:type="gramStart"/>
      <w:r w:rsidRPr="009A751A">
        <w:rPr>
          <w:rFonts w:ascii="Times New Roman" w:hAnsi="Times New Roman" w:cs="Times New Roman"/>
          <w:i/>
          <w:iCs/>
          <w:sz w:val="24"/>
          <w:szCs w:val="24"/>
          <w:lang w:val="en-GB"/>
        </w:rPr>
        <w:t>t</w:t>
      </w:r>
      <w:r w:rsidRPr="009A751A">
        <w:rPr>
          <w:rFonts w:ascii="Times New Roman" w:hAnsi="Times New Roman" w:cs="Times New Roman"/>
          <w:sz w:val="24"/>
          <w:szCs w:val="24"/>
          <w:lang w:val="en-GB"/>
        </w:rPr>
        <w:t>(</w:t>
      </w:r>
      <w:proofErr w:type="gramEnd"/>
      <w:r w:rsidRPr="009A751A">
        <w:rPr>
          <w:rFonts w:ascii="Times New Roman" w:hAnsi="Times New Roman" w:cs="Times New Roman"/>
          <w:sz w:val="24"/>
          <w:szCs w:val="24"/>
          <w:lang w:val="en-GB"/>
        </w:rPr>
        <w:t>67) = 0.93,</w:t>
      </w:r>
      <w:r>
        <w:rPr>
          <w:rFonts w:ascii="Times New Roman" w:hAnsi="Times New Roman" w:cs="Times New Roman"/>
          <w:sz w:val="24"/>
          <w:szCs w:val="24"/>
          <w:lang w:val="en-GB"/>
        </w:rPr>
        <w:t xml:space="preserve"> </w:t>
      </w:r>
      <w:r w:rsidRPr="009A751A">
        <w:rPr>
          <w:rFonts w:ascii="Times New Roman" w:hAnsi="Times New Roman" w:cs="Times New Roman"/>
          <w:i/>
          <w:iCs/>
          <w:sz w:val="24"/>
          <w:szCs w:val="24"/>
          <w:lang w:val="en-GB"/>
        </w:rPr>
        <w:t xml:space="preserve">p </w:t>
      </w:r>
      <w:r w:rsidRPr="009A751A">
        <w:rPr>
          <w:rFonts w:ascii="Times New Roman" w:hAnsi="Times New Roman" w:cs="Times New Roman"/>
          <w:sz w:val="24"/>
          <w:szCs w:val="24"/>
          <w:lang w:val="en-GB"/>
        </w:rPr>
        <w:t>= 0.26), mean age of diagnosis (</w:t>
      </w:r>
      <w:r w:rsidRPr="009A751A">
        <w:rPr>
          <w:rFonts w:ascii="Times New Roman" w:hAnsi="Times New Roman" w:cs="Times New Roman"/>
          <w:i/>
          <w:iCs/>
          <w:sz w:val="24"/>
          <w:szCs w:val="24"/>
          <w:lang w:val="en-GB"/>
        </w:rPr>
        <w:t>t</w:t>
      </w:r>
      <w:r w:rsidRPr="009A751A">
        <w:rPr>
          <w:rFonts w:ascii="Times New Roman" w:hAnsi="Times New Roman" w:cs="Times New Roman"/>
          <w:sz w:val="24"/>
          <w:szCs w:val="24"/>
          <w:lang w:val="en-GB"/>
        </w:rPr>
        <w:t xml:space="preserve">(67) = 0.84, </w:t>
      </w:r>
      <w:r w:rsidRPr="009A751A">
        <w:rPr>
          <w:rFonts w:ascii="Times New Roman" w:hAnsi="Times New Roman" w:cs="Times New Roman"/>
          <w:i/>
          <w:iCs/>
          <w:sz w:val="24"/>
          <w:szCs w:val="24"/>
          <w:lang w:val="en-GB"/>
        </w:rPr>
        <w:t xml:space="preserve">p </w:t>
      </w:r>
      <w:r>
        <w:rPr>
          <w:rFonts w:ascii="Times New Roman" w:hAnsi="Times New Roman" w:cs="Times New Roman"/>
          <w:sz w:val="24"/>
          <w:szCs w:val="24"/>
          <w:lang w:val="en-GB"/>
        </w:rPr>
        <w:t xml:space="preserve">= 0.40) or </w:t>
      </w:r>
      <w:r w:rsidRPr="009A751A">
        <w:rPr>
          <w:rFonts w:ascii="Times New Roman" w:hAnsi="Times New Roman" w:cs="Times New Roman"/>
          <w:sz w:val="24"/>
          <w:szCs w:val="24"/>
          <w:lang w:val="en-GB"/>
        </w:rPr>
        <w:t>in total duration of the diagnostic process (</w:t>
      </w:r>
      <w:r w:rsidRPr="009A751A">
        <w:rPr>
          <w:rFonts w:ascii="Times New Roman" w:hAnsi="Times New Roman" w:cs="Times New Roman"/>
          <w:i/>
          <w:iCs/>
          <w:sz w:val="24"/>
          <w:szCs w:val="24"/>
          <w:lang w:val="en-GB"/>
        </w:rPr>
        <w:t>t</w:t>
      </w:r>
      <w:r>
        <w:rPr>
          <w:rFonts w:ascii="Times New Roman" w:hAnsi="Times New Roman" w:cs="Times New Roman"/>
          <w:sz w:val="24"/>
          <w:szCs w:val="24"/>
          <w:lang w:val="en-GB"/>
        </w:rPr>
        <w:t xml:space="preserve">(67) = −0.65, </w:t>
      </w:r>
      <w:r w:rsidRPr="009A751A">
        <w:rPr>
          <w:rFonts w:ascii="Times New Roman" w:hAnsi="Times New Roman" w:cs="Times New Roman"/>
          <w:i/>
          <w:iCs/>
          <w:sz w:val="24"/>
          <w:szCs w:val="24"/>
          <w:lang w:val="en-GB"/>
        </w:rPr>
        <w:t xml:space="preserve">p </w:t>
      </w:r>
      <w:r>
        <w:rPr>
          <w:rFonts w:ascii="Times New Roman" w:hAnsi="Times New Roman" w:cs="Times New Roman"/>
          <w:sz w:val="24"/>
          <w:szCs w:val="24"/>
          <w:lang w:val="en-GB"/>
        </w:rPr>
        <w:t xml:space="preserve">= 0.52). </w:t>
      </w:r>
    </w:p>
    <w:p w:rsidR="009A751A" w:rsidRDefault="009A751A" w:rsidP="009A751A">
      <w:pPr>
        <w:autoSpaceDE w:val="0"/>
        <w:autoSpaceDN w:val="0"/>
        <w:adjustRightInd w:val="0"/>
        <w:spacing w:after="0" w:line="480" w:lineRule="auto"/>
        <w:contextualSpacing w:val="0"/>
        <w:rPr>
          <w:rFonts w:ascii="Times New Roman" w:hAnsi="Times New Roman" w:cs="Times New Roman"/>
          <w:sz w:val="24"/>
          <w:szCs w:val="24"/>
          <w:lang w:val="en-GB"/>
        </w:rPr>
      </w:pPr>
    </w:p>
    <w:p w:rsidR="009A751A" w:rsidRDefault="009A751A" w:rsidP="009A751A">
      <w:pPr>
        <w:autoSpaceDE w:val="0"/>
        <w:autoSpaceDN w:val="0"/>
        <w:adjustRightInd w:val="0"/>
        <w:spacing w:after="0" w:line="480" w:lineRule="auto"/>
        <w:contextualSpacing w:val="0"/>
        <w:rPr>
          <w:rFonts w:ascii="Times New Roman" w:hAnsi="Times New Roman" w:cs="Times New Roman"/>
          <w:i/>
          <w:iCs/>
          <w:sz w:val="24"/>
          <w:szCs w:val="24"/>
          <w:lang w:val="en-GB"/>
        </w:rPr>
      </w:pPr>
      <w:proofErr w:type="gramStart"/>
      <w:r w:rsidRPr="009A751A">
        <w:rPr>
          <w:rFonts w:ascii="Times New Roman" w:hAnsi="Times New Roman" w:cs="Times New Roman"/>
          <w:i/>
          <w:iCs/>
          <w:sz w:val="24"/>
          <w:szCs w:val="24"/>
          <w:lang w:val="en-GB"/>
        </w:rPr>
        <w:t>Children and adolescents.</w:t>
      </w:r>
      <w:proofErr w:type="gramEnd"/>
      <w:r w:rsidRPr="009A751A">
        <w:rPr>
          <w:rFonts w:ascii="Times New Roman" w:hAnsi="Times New Roman" w:cs="Times New Roman"/>
          <w:i/>
          <w:iCs/>
          <w:sz w:val="24"/>
          <w:szCs w:val="24"/>
          <w:lang w:val="en-GB"/>
        </w:rPr>
        <w:t xml:space="preserve"> </w:t>
      </w:r>
    </w:p>
    <w:p w:rsidR="00261C07" w:rsidRDefault="009A751A" w:rsidP="009A751A">
      <w:pPr>
        <w:autoSpaceDE w:val="0"/>
        <w:autoSpaceDN w:val="0"/>
        <w:adjustRightInd w:val="0"/>
        <w:spacing w:after="0" w:line="480" w:lineRule="auto"/>
        <w:contextualSpacing w:val="0"/>
        <w:rPr>
          <w:rFonts w:ascii="Times New Roman" w:hAnsi="Times New Roman" w:cs="Times New Roman"/>
          <w:sz w:val="24"/>
          <w:szCs w:val="24"/>
          <w:lang w:val="en-GB"/>
        </w:rPr>
        <w:sectPr w:rsidR="00261C07" w:rsidSect="00040E7A">
          <w:pgSz w:w="12240" w:h="15840"/>
          <w:pgMar w:top="1440" w:right="1440" w:bottom="1440" w:left="1440" w:header="720" w:footer="720" w:gutter="0"/>
          <w:cols w:space="720"/>
          <w:docGrid w:linePitch="360"/>
        </w:sectPr>
      </w:pPr>
      <w:r>
        <w:rPr>
          <w:rFonts w:ascii="Times New Roman" w:hAnsi="Times New Roman" w:cs="Times New Roman"/>
          <w:sz w:val="24"/>
          <w:szCs w:val="24"/>
          <w:lang w:val="en-GB"/>
        </w:rPr>
        <w:t xml:space="preserve">Significant differences between </w:t>
      </w:r>
      <w:r w:rsidRPr="009A751A">
        <w:rPr>
          <w:rFonts w:ascii="Times New Roman" w:hAnsi="Times New Roman" w:cs="Times New Roman"/>
          <w:sz w:val="24"/>
          <w:szCs w:val="24"/>
          <w:lang w:val="en-GB"/>
        </w:rPr>
        <w:t>all children and adolescents</w:t>
      </w:r>
      <w:r>
        <w:rPr>
          <w:rFonts w:ascii="Times New Roman" w:hAnsi="Times New Roman" w:cs="Times New Roman"/>
          <w:sz w:val="24"/>
          <w:szCs w:val="24"/>
          <w:lang w:val="en-GB"/>
        </w:rPr>
        <w:t xml:space="preserve"> were found for age of referral </w:t>
      </w:r>
      <w:r w:rsidRPr="009A751A">
        <w:rPr>
          <w:rFonts w:ascii="Times New Roman" w:hAnsi="Times New Roman" w:cs="Times New Roman"/>
          <w:sz w:val="24"/>
          <w:szCs w:val="24"/>
          <w:lang w:val="en-GB"/>
        </w:rPr>
        <w:t>(</w:t>
      </w:r>
      <w:proofErr w:type="gramStart"/>
      <w:r w:rsidRPr="009A751A">
        <w:rPr>
          <w:rFonts w:ascii="Times New Roman" w:hAnsi="Times New Roman" w:cs="Times New Roman"/>
          <w:i/>
          <w:iCs/>
          <w:sz w:val="24"/>
          <w:szCs w:val="24"/>
          <w:lang w:val="en-GB"/>
        </w:rPr>
        <w:t>t</w:t>
      </w:r>
      <w:r w:rsidRPr="009A751A">
        <w:rPr>
          <w:rFonts w:ascii="Times New Roman" w:hAnsi="Times New Roman" w:cs="Times New Roman"/>
          <w:sz w:val="24"/>
          <w:szCs w:val="24"/>
          <w:lang w:val="en-GB"/>
        </w:rPr>
        <w:t>(</w:t>
      </w:r>
      <w:proofErr w:type="gramEnd"/>
      <w:r w:rsidRPr="009A751A">
        <w:rPr>
          <w:rFonts w:ascii="Times New Roman" w:hAnsi="Times New Roman" w:cs="Times New Roman"/>
          <w:sz w:val="24"/>
          <w:szCs w:val="24"/>
          <w:lang w:val="en-GB"/>
        </w:rPr>
        <w:t xml:space="preserve">78) = 2.28, </w:t>
      </w:r>
      <w:r w:rsidRPr="009A751A">
        <w:rPr>
          <w:rFonts w:ascii="Times New Roman" w:hAnsi="Times New Roman" w:cs="Times New Roman"/>
          <w:i/>
          <w:iCs/>
          <w:sz w:val="24"/>
          <w:szCs w:val="24"/>
          <w:lang w:val="en-GB"/>
        </w:rPr>
        <w:t xml:space="preserve">p </w:t>
      </w:r>
      <w:r w:rsidRPr="009A751A">
        <w:rPr>
          <w:rFonts w:ascii="Times New Roman" w:hAnsi="Times New Roman" w:cs="Times New Roman"/>
          <w:sz w:val="24"/>
          <w:szCs w:val="24"/>
          <w:lang w:val="en-GB"/>
        </w:rPr>
        <w:t>= 0.03) and diagnosis (</w:t>
      </w:r>
      <w:r w:rsidRPr="009A751A">
        <w:rPr>
          <w:rFonts w:ascii="Times New Roman" w:hAnsi="Times New Roman" w:cs="Times New Roman"/>
          <w:i/>
          <w:iCs/>
          <w:sz w:val="24"/>
          <w:szCs w:val="24"/>
          <w:lang w:val="en-GB"/>
        </w:rPr>
        <w:t>t</w:t>
      </w:r>
      <w:r w:rsidRPr="009A751A">
        <w:rPr>
          <w:rFonts w:ascii="Times New Roman" w:hAnsi="Times New Roman" w:cs="Times New Roman"/>
          <w:sz w:val="24"/>
          <w:szCs w:val="24"/>
          <w:lang w:val="en-GB"/>
        </w:rPr>
        <w:t xml:space="preserve">(77) = 2.09, </w:t>
      </w:r>
      <w:r w:rsidRPr="009A751A">
        <w:rPr>
          <w:rFonts w:ascii="Times New Roman" w:hAnsi="Times New Roman" w:cs="Times New Roman"/>
          <w:i/>
          <w:iCs/>
          <w:sz w:val="24"/>
          <w:szCs w:val="24"/>
          <w:lang w:val="en-GB"/>
        </w:rPr>
        <w:t xml:space="preserve">p </w:t>
      </w:r>
      <w:r>
        <w:rPr>
          <w:rFonts w:ascii="Times New Roman" w:hAnsi="Times New Roman" w:cs="Times New Roman"/>
          <w:sz w:val="24"/>
          <w:szCs w:val="24"/>
          <w:lang w:val="en-GB"/>
        </w:rPr>
        <w:t xml:space="preserve">= 0.04) </w:t>
      </w:r>
      <w:r w:rsidRPr="009A751A">
        <w:rPr>
          <w:rFonts w:ascii="Times New Roman" w:hAnsi="Times New Roman" w:cs="Times New Roman"/>
          <w:sz w:val="24"/>
          <w:szCs w:val="24"/>
          <w:lang w:val="en-GB"/>
        </w:rPr>
        <w:t>with boys being both refe</w:t>
      </w:r>
      <w:r>
        <w:rPr>
          <w:rFonts w:ascii="Times New Roman" w:hAnsi="Times New Roman" w:cs="Times New Roman"/>
          <w:sz w:val="24"/>
          <w:szCs w:val="24"/>
          <w:lang w:val="en-GB"/>
        </w:rPr>
        <w:t xml:space="preserve">rred and diagnosed at a younger </w:t>
      </w:r>
      <w:r w:rsidRPr="009A751A">
        <w:rPr>
          <w:rFonts w:ascii="Times New Roman" w:hAnsi="Times New Roman" w:cs="Times New Roman"/>
          <w:sz w:val="24"/>
          <w:szCs w:val="24"/>
          <w:lang w:val="en-GB"/>
        </w:rPr>
        <w:t>age (Table 2). No signific</w:t>
      </w:r>
      <w:r>
        <w:rPr>
          <w:rFonts w:ascii="Times New Roman" w:hAnsi="Times New Roman" w:cs="Times New Roman"/>
          <w:sz w:val="24"/>
          <w:szCs w:val="24"/>
          <w:lang w:val="en-GB"/>
        </w:rPr>
        <w:t xml:space="preserve">ant gender difference was found </w:t>
      </w:r>
      <w:r w:rsidRPr="009A751A">
        <w:rPr>
          <w:rFonts w:ascii="Times New Roman" w:hAnsi="Times New Roman" w:cs="Times New Roman"/>
          <w:sz w:val="24"/>
          <w:szCs w:val="24"/>
          <w:lang w:val="en-GB"/>
        </w:rPr>
        <w:t>for total duration of the diagnostic process (</w:t>
      </w:r>
      <w:proofErr w:type="gramStart"/>
      <w:r w:rsidRPr="009A751A">
        <w:rPr>
          <w:rFonts w:ascii="Times New Roman" w:hAnsi="Times New Roman" w:cs="Times New Roman"/>
          <w:i/>
          <w:iCs/>
          <w:sz w:val="24"/>
          <w:szCs w:val="24"/>
          <w:lang w:val="en-GB"/>
        </w:rPr>
        <w:t>t</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78) = −0.38, </w:t>
      </w:r>
      <w:r w:rsidRPr="009A751A">
        <w:rPr>
          <w:rFonts w:ascii="Times New Roman" w:hAnsi="Times New Roman" w:cs="Times New Roman"/>
          <w:i/>
          <w:iCs/>
          <w:sz w:val="24"/>
          <w:szCs w:val="24"/>
          <w:lang w:val="en-GB"/>
        </w:rPr>
        <w:t xml:space="preserve">p </w:t>
      </w:r>
      <w:r w:rsidRPr="009A751A">
        <w:rPr>
          <w:rFonts w:ascii="Times New Roman" w:hAnsi="Times New Roman" w:cs="Times New Roman"/>
          <w:sz w:val="24"/>
          <w:szCs w:val="24"/>
          <w:lang w:val="en-GB"/>
        </w:rPr>
        <w:t xml:space="preserve">= 0.71). The data for </w:t>
      </w:r>
      <w:r>
        <w:rPr>
          <w:rFonts w:ascii="Times New Roman" w:hAnsi="Times New Roman" w:cs="Times New Roman"/>
          <w:sz w:val="24"/>
          <w:szCs w:val="24"/>
          <w:lang w:val="en-GB"/>
        </w:rPr>
        <w:t xml:space="preserve">the child and adolescent groups </w:t>
      </w:r>
      <w:r w:rsidRPr="009A751A">
        <w:rPr>
          <w:rFonts w:ascii="Times New Roman" w:hAnsi="Times New Roman" w:cs="Times New Roman"/>
          <w:sz w:val="24"/>
          <w:szCs w:val="24"/>
          <w:lang w:val="en-GB"/>
        </w:rPr>
        <w:t xml:space="preserve">were analysed separately. </w:t>
      </w:r>
      <w:r>
        <w:rPr>
          <w:rFonts w:ascii="Times New Roman" w:hAnsi="Times New Roman" w:cs="Times New Roman"/>
          <w:sz w:val="24"/>
          <w:szCs w:val="24"/>
          <w:lang w:val="en-GB"/>
        </w:rPr>
        <w:t xml:space="preserve">For children under 10 years, no </w:t>
      </w:r>
      <w:r w:rsidRPr="009A751A">
        <w:rPr>
          <w:rFonts w:ascii="Times New Roman" w:hAnsi="Times New Roman" w:cs="Times New Roman"/>
          <w:sz w:val="24"/>
          <w:szCs w:val="24"/>
          <w:lang w:val="en-GB"/>
        </w:rPr>
        <w:t>significant gender difference</w:t>
      </w:r>
      <w:r>
        <w:rPr>
          <w:rFonts w:ascii="Times New Roman" w:hAnsi="Times New Roman" w:cs="Times New Roman"/>
          <w:sz w:val="24"/>
          <w:szCs w:val="24"/>
          <w:lang w:val="en-GB"/>
        </w:rPr>
        <w:t xml:space="preserve">s were found in relation to age </w:t>
      </w:r>
      <w:r w:rsidRPr="009A751A">
        <w:rPr>
          <w:rFonts w:ascii="Times New Roman" w:hAnsi="Times New Roman" w:cs="Times New Roman"/>
          <w:sz w:val="24"/>
          <w:szCs w:val="24"/>
          <w:lang w:val="en-GB"/>
        </w:rPr>
        <w:t>of referral (</w:t>
      </w:r>
      <w:proofErr w:type="gramStart"/>
      <w:r w:rsidRPr="009A751A">
        <w:rPr>
          <w:rFonts w:ascii="Times New Roman" w:hAnsi="Times New Roman" w:cs="Times New Roman"/>
          <w:i/>
          <w:iCs/>
          <w:sz w:val="24"/>
          <w:szCs w:val="24"/>
          <w:lang w:val="en-GB"/>
        </w:rPr>
        <w:t>t</w:t>
      </w:r>
      <w:r w:rsidRPr="009A751A">
        <w:rPr>
          <w:rFonts w:ascii="Times New Roman" w:hAnsi="Times New Roman" w:cs="Times New Roman"/>
          <w:sz w:val="24"/>
          <w:szCs w:val="24"/>
          <w:lang w:val="en-GB"/>
        </w:rPr>
        <w:t>(</w:t>
      </w:r>
      <w:proofErr w:type="gramEnd"/>
      <w:r w:rsidRPr="009A751A">
        <w:rPr>
          <w:rFonts w:ascii="Times New Roman" w:hAnsi="Times New Roman" w:cs="Times New Roman"/>
          <w:sz w:val="24"/>
          <w:szCs w:val="24"/>
          <w:lang w:val="en-GB"/>
        </w:rPr>
        <w:t xml:space="preserve">47) = −0.29, </w:t>
      </w:r>
      <w:r w:rsidRPr="009A751A">
        <w:rPr>
          <w:rFonts w:ascii="Times New Roman" w:hAnsi="Times New Roman" w:cs="Times New Roman"/>
          <w:i/>
          <w:iCs/>
          <w:sz w:val="24"/>
          <w:szCs w:val="24"/>
          <w:lang w:val="en-GB"/>
        </w:rPr>
        <w:t xml:space="preserve">p </w:t>
      </w:r>
      <w:r>
        <w:rPr>
          <w:rFonts w:ascii="Times New Roman" w:hAnsi="Times New Roman" w:cs="Times New Roman"/>
          <w:sz w:val="24"/>
          <w:szCs w:val="24"/>
          <w:lang w:val="en-GB"/>
        </w:rPr>
        <w:t xml:space="preserve">= 0.27), age of diagnosis </w:t>
      </w:r>
      <w:r w:rsidRPr="009A751A">
        <w:rPr>
          <w:rFonts w:ascii="Times New Roman" w:hAnsi="Times New Roman" w:cs="Times New Roman"/>
          <w:sz w:val="24"/>
          <w:szCs w:val="24"/>
          <w:lang w:val="en-GB"/>
        </w:rPr>
        <w:t>(</w:t>
      </w:r>
      <w:r w:rsidRPr="009A751A">
        <w:rPr>
          <w:rFonts w:ascii="Times New Roman" w:hAnsi="Times New Roman" w:cs="Times New Roman"/>
          <w:i/>
          <w:iCs/>
          <w:sz w:val="24"/>
          <w:szCs w:val="24"/>
          <w:lang w:val="en-GB"/>
        </w:rPr>
        <w:t>t</w:t>
      </w:r>
      <w:r w:rsidRPr="009A751A">
        <w:rPr>
          <w:rFonts w:ascii="Times New Roman" w:hAnsi="Times New Roman" w:cs="Times New Roman"/>
          <w:sz w:val="24"/>
          <w:szCs w:val="24"/>
          <w:lang w:val="en-GB"/>
        </w:rPr>
        <w:t xml:space="preserve">(47) = −0.42, </w:t>
      </w:r>
      <w:r w:rsidRPr="009A751A">
        <w:rPr>
          <w:rFonts w:ascii="Times New Roman" w:hAnsi="Times New Roman" w:cs="Times New Roman"/>
          <w:i/>
          <w:iCs/>
          <w:sz w:val="24"/>
          <w:szCs w:val="24"/>
          <w:lang w:val="en-GB"/>
        </w:rPr>
        <w:t xml:space="preserve">p </w:t>
      </w:r>
      <w:r w:rsidRPr="009A751A">
        <w:rPr>
          <w:rFonts w:ascii="Times New Roman" w:hAnsi="Times New Roman" w:cs="Times New Roman"/>
          <w:sz w:val="24"/>
          <w:szCs w:val="24"/>
          <w:lang w:val="en-GB"/>
        </w:rPr>
        <w:t>= 0.68) or</w:t>
      </w:r>
      <w:r>
        <w:rPr>
          <w:rFonts w:ascii="Times New Roman" w:hAnsi="Times New Roman" w:cs="Times New Roman"/>
          <w:sz w:val="24"/>
          <w:szCs w:val="24"/>
          <w:lang w:val="en-GB"/>
        </w:rPr>
        <w:t xml:space="preserve"> for duration of the diagnostic </w:t>
      </w:r>
      <w:r w:rsidRPr="009A751A">
        <w:rPr>
          <w:rFonts w:ascii="Times New Roman" w:hAnsi="Times New Roman" w:cs="Times New Roman"/>
          <w:sz w:val="24"/>
          <w:szCs w:val="24"/>
          <w:lang w:val="en-GB"/>
        </w:rPr>
        <w:t>process (</w:t>
      </w:r>
      <w:r w:rsidRPr="009A751A">
        <w:rPr>
          <w:rFonts w:ascii="Times New Roman" w:hAnsi="Times New Roman" w:cs="Times New Roman"/>
          <w:i/>
          <w:iCs/>
          <w:sz w:val="24"/>
          <w:szCs w:val="24"/>
          <w:lang w:val="en-GB"/>
        </w:rPr>
        <w:t>t</w:t>
      </w:r>
      <w:r w:rsidRPr="009A751A">
        <w:rPr>
          <w:rFonts w:ascii="Times New Roman" w:hAnsi="Times New Roman" w:cs="Times New Roman"/>
          <w:sz w:val="24"/>
          <w:szCs w:val="24"/>
          <w:lang w:val="en-GB"/>
        </w:rPr>
        <w:t xml:space="preserve">(47) = −0.81, </w:t>
      </w:r>
      <w:r w:rsidRPr="009A751A">
        <w:rPr>
          <w:rFonts w:ascii="Times New Roman" w:hAnsi="Times New Roman" w:cs="Times New Roman"/>
          <w:i/>
          <w:iCs/>
          <w:sz w:val="24"/>
          <w:szCs w:val="24"/>
          <w:lang w:val="en-GB"/>
        </w:rPr>
        <w:t xml:space="preserve">p </w:t>
      </w:r>
      <w:r w:rsidRPr="009A751A">
        <w:rPr>
          <w:rFonts w:ascii="Times New Roman" w:hAnsi="Times New Roman" w:cs="Times New Roman"/>
          <w:sz w:val="24"/>
          <w:szCs w:val="24"/>
          <w:lang w:val="en-GB"/>
        </w:rPr>
        <w:t>= 0.42). S</w:t>
      </w:r>
      <w:r>
        <w:rPr>
          <w:rFonts w:ascii="Times New Roman" w:hAnsi="Times New Roman" w:cs="Times New Roman"/>
          <w:sz w:val="24"/>
          <w:szCs w:val="24"/>
          <w:lang w:val="en-GB"/>
        </w:rPr>
        <w:t xml:space="preserve">imilarly, no gender differences </w:t>
      </w:r>
      <w:r w:rsidRPr="009A751A">
        <w:rPr>
          <w:rFonts w:ascii="Times New Roman" w:hAnsi="Times New Roman" w:cs="Times New Roman"/>
          <w:sz w:val="24"/>
          <w:szCs w:val="24"/>
          <w:lang w:val="en-GB"/>
        </w:rPr>
        <w:t xml:space="preserve">were found for the </w:t>
      </w:r>
      <w:r>
        <w:rPr>
          <w:rFonts w:ascii="Times New Roman" w:hAnsi="Times New Roman" w:cs="Times New Roman"/>
          <w:sz w:val="24"/>
          <w:szCs w:val="24"/>
          <w:lang w:val="en-GB"/>
        </w:rPr>
        <w:t xml:space="preserve">adolescent group in relation to </w:t>
      </w:r>
      <w:r w:rsidRPr="009A751A">
        <w:rPr>
          <w:rFonts w:ascii="Times New Roman" w:hAnsi="Times New Roman" w:cs="Times New Roman"/>
          <w:sz w:val="24"/>
          <w:szCs w:val="24"/>
          <w:lang w:val="en-GB"/>
        </w:rPr>
        <w:t>age of referral (</w:t>
      </w:r>
      <w:proofErr w:type="gramStart"/>
      <w:r w:rsidRPr="009A751A">
        <w:rPr>
          <w:rFonts w:ascii="Times New Roman" w:hAnsi="Times New Roman" w:cs="Times New Roman"/>
          <w:i/>
          <w:iCs/>
          <w:sz w:val="24"/>
          <w:szCs w:val="24"/>
          <w:lang w:val="en-GB"/>
        </w:rPr>
        <w:t>t</w:t>
      </w:r>
      <w:r w:rsidRPr="009A751A">
        <w:rPr>
          <w:rFonts w:ascii="Times New Roman" w:hAnsi="Times New Roman" w:cs="Times New Roman"/>
          <w:sz w:val="24"/>
          <w:szCs w:val="24"/>
          <w:lang w:val="en-GB"/>
        </w:rPr>
        <w:t>(</w:t>
      </w:r>
      <w:proofErr w:type="gramEnd"/>
      <w:r w:rsidRPr="009A751A">
        <w:rPr>
          <w:rFonts w:ascii="Times New Roman" w:hAnsi="Times New Roman" w:cs="Times New Roman"/>
          <w:sz w:val="24"/>
          <w:szCs w:val="24"/>
          <w:lang w:val="en-GB"/>
        </w:rPr>
        <w:t xml:space="preserve">35) = 1.48, </w:t>
      </w:r>
      <w:r w:rsidRPr="009A751A">
        <w:rPr>
          <w:rFonts w:ascii="Times New Roman" w:hAnsi="Times New Roman" w:cs="Times New Roman"/>
          <w:i/>
          <w:iCs/>
          <w:sz w:val="24"/>
          <w:szCs w:val="24"/>
          <w:lang w:val="en-GB"/>
        </w:rPr>
        <w:t xml:space="preserve">p </w:t>
      </w:r>
      <w:r>
        <w:rPr>
          <w:rFonts w:ascii="Times New Roman" w:hAnsi="Times New Roman" w:cs="Times New Roman"/>
          <w:sz w:val="24"/>
          <w:szCs w:val="24"/>
          <w:lang w:val="en-GB"/>
        </w:rPr>
        <w:t xml:space="preserve">= 0.15), age of diagnosis </w:t>
      </w:r>
      <w:r w:rsidRPr="009A751A">
        <w:rPr>
          <w:rFonts w:ascii="Times New Roman" w:hAnsi="Times New Roman" w:cs="Times New Roman"/>
          <w:sz w:val="24"/>
          <w:szCs w:val="24"/>
          <w:lang w:val="en-GB"/>
        </w:rPr>
        <w:t>(</w:t>
      </w:r>
      <w:r w:rsidRPr="009A751A">
        <w:rPr>
          <w:rFonts w:ascii="Times New Roman" w:hAnsi="Times New Roman" w:cs="Times New Roman"/>
          <w:i/>
          <w:iCs/>
          <w:sz w:val="24"/>
          <w:szCs w:val="24"/>
          <w:lang w:val="en-GB"/>
        </w:rPr>
        <w:t>t</w:t>
      </w:r>
      <w:r w:rsidRPr="009A751A">
        <w:rPr>
          <w:rFonts w:ascii="Times New Roman" w:hAnsi="Times New Roman" w:cs="Times New Roman"/>
          <w:sz w:val="24"/>
          <w:szCs w:val="24"/>
          <w:lang w:val="en-GB"/>
        </w:rPr>
        <w:t xml:space="preserve">(35) = 1.38, </w:t>
      </w:r>
      <w:r w:rsidRPr="009A751A">
        <w:rPr>
          <w:rFonts w:ascii="Times New Roman" w:hAnsi="Times New Roman" w:cs="Times New Roman"/>
          <w:i/>
          <w:iCs/>
          <w:sz w:val="24"/>
          <w:szCs w:val="24"/>
          <w:lang w:val="en-GB"/>
        </w:rPr>
        <w:t xml:space="preserve">p </w:t>
      </w:r>
      <w:r w:rsidRPr="009A751A">
        <w:rPr>
          <w:rFonts w:ascii="Times New Roman" w:hAnsi="Times New Roman" w:cs="Times New Roman"/>
          <w:sz w:val="24"/>
          <w:szCs w:val="24"/>
          <w:lang w:val="en-GB"/>
        </w:rPr>
        <w:t>= 0.18) or for duration of t</w:t>
      </w:r>
      <w:r>
        <w:rPr>
          <w:rFonts w:ascii="Times New Roman" w:hAnsi="Times New Roman" w:cs="Times New Roman"/>
          <w:sz w:val="24"/>
          <w:szCs w:val="24"/>
          <w:lang w:val="en-GB"/>
        </w:rPr>
        <w:t xml:space="preserve">he diagnostic process </w:t>
      </w:r>
      <w:r w:rsidRPr="009A751A">
        <w:rPr>
          <w:rFonts w:ascii="Times New Roman" w:hAnsi="Times New Roman" w:cs="Times New Roman"/>
          <w:sz w:val="24"/>
          <w:szCs w:val="24"/>
          <w:lang w:val="en-GB"/>
        </w:rPr>
        <w:t>(</w:t>
      </w:r>
      <w:r w:rsidRPr="009A751A">
        <w:rPr>
          <w:rFonts w:ascii="Times New Roman" w:hAnsi="Times New Roman" w:cs="Times New Roman"/>
          <w:i/>
          <w:iCs/>
          <w:sz w:val="24"/>
          <w:szCs w:val="24"/>
          <w:lang w:val="en-GB"/>
        </w:rPr>
        <w:t>t</w:t>
      </w:r>
      <w:r w:rsidRPr="009A751A">
        <w:rPr>
          <w:rFonts w:ascii="Times New Roman" w:hAnsi="Times New Roman" w:cs="Times New Roman"/>
          <w:sz w:val="24"/>
          <w:szCs w:val="24"/>
          <w:lang w:val="en-GB"/>
        </w:rPr>
        <w:t xml:space="preserve">(35) = 1.37, </w:t>
      </w:r>
      <w:r w:rsidRPr="009A751A">
        <w:rPr>
          <w:rFonts w:ascii="Times New Roman" w:hAnsi="Times New Roman" w:cs="Times New Roman"/>
          <w:i/>
          <w:iCs/>
          <w:sz w:val="24"/>
          <w:szCs w:val="24"/>
          <w:lang w:val="en-GB"/>
        </w:rPr>
        <w:t xml:space="preserve">p </w:t>
      </w:r>
      <w:r w:rsidRPr="009A751A">
        <w:rPr>
          <w:rFonts w:ascii="Times New Roman" w:hAnsi="Times New Roman" w:cs="Times New Roman"/>
          <w:sz w:val="24"/>
          <w:szCs w:val="24"/>
          <w:lang w:val="en-GB"/>
        </w:rPr>
        <w:t>= 0.18).</w:t>
      </w:r>
    </w:p>
    <w:p w:rsidR="005D02F7" w:rsidRPr="005F7F40" w:rsidRDefault="005D02F7" w:rsidP="005D02F7">
      <w:pPr>
        <w:contextualSpacing w:val="0"/>
        <w:rPr>
          <w:rFonts w:ascii="Times New Roman" w:hAnsi="Times New Roman"/>
          <w:sz w:val="24"/>
          <w:szCs w:val="24"/>
          <w:lang w:val="en-GB"/>
        </w:rPr>
      </w:pPr>
      <w:proofErr w:type="gramStart"/>
      <w:r w:rsidRPr="005F7F40">
        <w:rPr>
          <w:rFonts w:ascii="Times New Roman" w:hAnsi="Times New Roman"/>
          <w:b/>
          <w:sz w:val="24"/>
          <w:szCs w:val="24"/>
          <w:lang w:val="en-GB"/>
        </w:rPr>
        <w:lastRenderedPageBreak/>
        <w:t xml:space="preserve">Table </w:t>
      </w:r>
      <w:r>
        <w:rPr>
          <w:rFonts w:ascii="Times New Roman" w:hAnsi="Times New Roman"/>
          <w:b/>
          <w:sz w:val="24"/>
          <w:szCs w:val="24"/>
          <w:lang w:val="en-GB"/>
        </w:rPr>
        <w:t>2</w:t>
      </w:r>
      <w:r w:rsidRPr="005F7F40">
        <w:rPr>
          <w:rFonts w:ascii="Times New Roman" w:hAnsi="Times New Roman"/>
          <w:b/>
          <w:sz w:val="24"/>
          <w:szCs w:val="24"/>
          <w:lang w:val="en-GB"/>
        </w:rPr>
        <w:t>.</w:t>
      </w:r>
      <w:proofErr w:type="gramEnd"/>
      <w:r w:rsidRPr="005F7F40">
        <w:rPr>
          <w:rFonts w:ascii="Times New Roman" w:hAnsi="Times New Roman"/>
          <w:b/>
          <w:sz w:val="24"/>
          <w:szCs w:val="24"/>
          <w:lang w:val="en-GB"/>
        </w:rPr>
        <w:t xml:space="preserve">  </w:t>
      </w:r>
      <w:r w:rsidRPr="00D55826">
        <w:rPr>
          <w:rFonts w:ascii="Times New Roman" w:hAnsi="Times New Roman"/>
          <w:sz w:val="24"/>
          <w:szCs w:val="24"/>
        </w:rPr>
        <w:t>Mean age</w:t>
      </w:r>
      <w:r>
        <w:rPr>
          <w:rFonts w:ascii="Times New Roman" w:hAnsi="Times New Roman"/>
          <w:sz w:val="24"/>
          <w:szCs w:val="24"/>
        </w:rPr>
        <w:t xml:space="preserve">s from referral to </w:t>
      </w:r>
      <w:r w:rsidRPr="00D55826">
        <w:rPr>
          <w:rFonts w:ascii="Times New Roman" w:hAnsi="Times New Roman"/>
          <w:sz w:val="24"/>
          <w:szCs w:val="24"/>
        </w:rPr>
        <w:t>diagnosis and total duration of diagnostic process for the sample stratified by gender</w:t>
      </w:r>
      <w:r w:rsidRPr="005F7F40">
        <w:rPr>
          <w:rFonts w:ascii="Times New Roman" w:hAnsi="Times New Roman"/>
          <w:sz w:val="24"/>
          <w:szCs w:val="24"/>
          <w:lang w:val="en-GB"/>
        </w:rPr>
        <w:t>.</w:t>
      </w:r>
    </w:p>
    <w:tbl>
      <w:tblPr>
        <w:tblpPr w:leftFromText="180" w:rightFromText="180" w:vertAnchor="text" w:horzAnchor="margin" w:tblpY="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134"/>
        <w:gridCol w:w="2268"/>
        <w:gridCol w:w="2410"/>
        <w:gridCol w:w="3827"/>
      </w:tblGrid>
      <w:tr w:rsidR="005D02F7" w:rsidRPr="00F508A0" w:rsidTr="005D02F7">
        <w:trPr>
          <w:trHeight w:val="379"/>
        </w:trPr>
        <w:tc>
          <w:tcPr>
            <w:tcW w:w="1242" w:type="dxa"/>
            <w:tcBorders>
              <w:left w:val="nil"/>
              <w:bottom w:val="single" w:sz="4" w:space="0" w:color="auto"/>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 xml:space="preserve">Age groups at referral </w:t>
            </w:r>
          </w:p>
        </w:tc>
        <w:tc>
          <w:tcPr>
            <w:tcW w:w="1134" w:type="dxa"/>
            <w:tcBorders>
              <w:left w:val="nil"/>
              <w:bottom w:val="single" w:sz="4" w:space="0" w:color="auto"/>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Gender</w:t>
            </w:r>
          </w:p>
        </w:tc>
        <w:tc>
          <w:tcPr>
            <w:tcW w:w="2268" w:type="dxa"/>
            <w:tcBorders>
              <w:left w:val="nil"/>
              <w:bottom w:val="single" w:sz="4" w:space="0" w:color="auto"/>
              <w:right w:val="nil"/>
            </w:tcBorders>
          </w:tcPr>
          <w:p w:rsidR="005D02F7" w:rsidRPr="00ED5B9D" w:rsidRDefault="005D02F7" w:rsidP="005D02F7">
            <w:pPr>
              <w:spacing w:after="0"/>
              <w:ind w:right="-109"/>
              <w:rPr>
                <w:rFonts w:ascii="Times New Roman" w:hAnsi="Times New Roman"/>
                <w:sz w:val="18"/>
                <w:szCs w:val="18"/>
              </w:rPr>
            </w:pPr>
            <w:r w:rsidRPr="00ED5B9D">
              <w:rPr>
                <w:rFonts w:ascii="Times New Roman" w:hAnsi="Times New Roman"/>
                <w:sz w:val="18"/>
                <w:szCs w:val="18"/>
              </w:rPr>
              <w:t>Mean age of referral (SD)</w:t>
            </w:r>
          </w:p>
        </w:tc>
        <w:tc>
          <w:tcPr>
            <w:tcW w:w="2410" w:type="dxa"/>
            <w:tcBorders>
              <w:left w:val="nil"/>
              <w:bottom w:val="single" w:sz="4" w:space="0" w:color="auto"/>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Mean age of diagnosis (SD)</w:t>
            </w:r>
          </w:p>
        </w:tc>
        <w:tc>
          <w:tcPr>
            <w:tcW w:w="3827" w:type="dxa"/>
            <w:tcBorders>
              <w:left w:val="nil"/>
              <w:bottom w:val="single" w:sz="4" w:space="0" w:color="auto"/>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 xml:space="preserve">Mean total duration of diagnostic assessment </w:t>
            </w:r>
          </w:p>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(from referral to diagnosis)</w:t>
            </w:r>
          </w:p>
        </w:tc>
      </w:tr>
      <w:tr w:rsidR="005D02F7" w:rsidRPr="00F508A0" w:rsidTr="005D02F7">
        <w:trPr>
          <w:trHeight w:val="600"/>
        </w:trPr>
        <w:tc>
          <w:tcPr>
            <w:tcW w:w="1242" w:type="dxa"/>
            <w:vMerge w:val="restart"/>
            <w:tcBorders>
              <w:left w:val="nil"/>
              <w:bottom w:val="nil"/>
              <w:right w:val="nil"/>
            </w:tcBorders>
          </w:tcPr>
          <w:p w:rsidR="005D02F7" w:rsidRPr="00ED5B9D" w:rsidRDefault="005D02F7" w:rsidP="005D02F7">
            <w:pPr>
              <w:spacing w:after="0"/>
              <w:jc w:val="both"/>
              <w:rPr>
                <w:rFonts w:ascii="Times New Roman" w:hAnsi="Times New Roman"/>
                <w:sz w:val="18"/>
                <w:szCs w:val="18"/>
              </w:rPr>
            </w:pPr>
            <w:r w:rsidRPr="00ED5B9D">
              <w:rPr>
                <w:rFonts w:ascii="Times New Roman" w:hAnsi="Times New Roman"/>
                <w:sz w:val="18"/>
                <w:szCs w:val="18"/>
              </w:rPr>
              <w:t>Child</w:t>
            </w:r>
          </w:p>
          <w:p w:rsidR="005D02F7" w:rsidRPr="00ED5B9D" w:rsidRDefault="005D02F7" w:rsidP="005D02F7">
            <w:pPr>
              <w:spacing w:after="0"/>
              <w:jc w:val="both"/>
              <w:rPr>
                <w:rFonts w:ascii="Times New Roman" w:hAnsi="Times New Roman"/>
                <w:sz w:val="18"/>
                <w:szCs w:val="18"/>
              </w:rPr>
            </w:pPr>
            <w:r w:rsidRPr="00ED5B9D">
              <w:rPr>
                <w:rFonts w:ascii="Times New Roman" w:hAnsi="Times New Roman"/>
                <w:sz w:val="18"/>
                <w:szCs w:val="18"/>
              </w:rPr>
              <w:t>(0-9.11)</w:t>
            </w:r>
          </w:p>
        </w:tc>
        <w:tc>
          <w:tcPr>
            <w:tcW w:w="1134" w:type="dxa"/>
            <w:tcBorders>
              <w:left w:val="nil"/>
              <w:bottom w:val="nil"/>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 xml:space="preserve">Male </w:t>
            </w:r>
          </w:p>
          <w:p w:rsidR="005D02F7" w:rsidRPr="00ED5B9D" w:rsidRDefault="005D02F7" w:rsidP="005D02F7">
            <w:pPr>
              <w:spacing w:after="0"/>
              <w:rPr>
                <w:rFonts w:ascii="Times New Roman" w:hAnsi="Times New Roman"/>
                <w:i/>
                <w:sz w:val="18"/>
                <w:szCs w:val="18"/>
              </w:rPr>
            </w:pPr>
            <w:r w:rsidRPr="00ED5B9D">
              <w:rPr>
                <w:rFonts w:ascii="Times New Roman" w:hAnsi="Times New Roman"/>
                <w:sz w:val="18"/>
                <w:szCs w:val="18"/>
              </w:rPr>
              <w:t>(n=47)</w:t>
            </w:r>
          </w:p>
        </w:tc>
        <w:tc>
          <w:tcPr>
            <w:tcW w:w="2268" w:type="dxa"/>
            <w:tcBorders>
              <w:left w:val="nil"/>
              <w:bottom w:val="nil"/>
              <w:right w:val="nil"/>
            </w:tcBorders>
          </w:tcPr>
          <w:p w:rsidR="005D02F7" w:rsidRPr="00ED5B9D" w:rsidRDefault="005D02F7" w:rsidP="005D02F7">
            <w:pPr>
              <w:spacing w:after="0"/>
              <w:ind w:right="-109"/>
              <w:rPr>
                <w:rFonts w:ascii="Times New Roman" w:hAnsi="Times New Roman"/>
                <w:sz w:val="18"/>
                <w:szCs w:val="18"/>
              </w:rPr>
            </w:pPr>
            <w:r w:rsidRPr="00ED5B9D">
              <w:rPr>
                <w:rFonts w:ascii="Times New Roman" w:hAnsi="Times New Roman"/>
                <w:sz w:val="18"/>
                <w:szCs w:val="18"/>
              </w:rPr>
              <w:t xml:space="preserve"> 5 years  6 months</w:t>
            </w:r>
          </w:p>
          <w:p w:rsidR="005D02F7" w:rsidRPr="00ED5B9D" w:rsidRDefault="005D02F7" w:rsidP="005D02F7">
            <w:pPr>
              <w:spacing w:after="0"/>
              <w:ind w:right="-109"/>
              <w:rPr>
                <w:rFonts w:ascii="Times New Roman" w:hAnsi="Times New Roman"/>
                <w:sz w:val="18"/>
                <w:szCs w:val="18"/>
              </w:rPr>
            </w:pPr>
            <w:r w:rsidRPr="00ED5B9D">
              <w:rPr>
                <w:rFonts w:ascii="Times New Roman" w:hAnsi="Times New Roman"/>
                <w:sz w:val="18"/>
                <w:szCs w:val="18"/>
              </w:rPr>
              <w:t>(Range 1.6-9.9, SD 2.4)</w:t>
            </w:r>
          </w:p>
        </w:tc>
        <w:tc>
          <w:tcPr>
            <w:tcW w:w="2410" w:type="dxa"/>
            <w:tcBorders>
              <w:left w:val="nil"/>
              <w:bottom w:val="nil"/>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6 years  7 months</w:t>
            </w:r>
          </w:p>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(Range 1.9-11.8, SD 2.9)</w:t>
            </w:r>
          </w:p>
        </w:tc>
        <w:tc>
          <w:tcPr>
            <w:tcW w:w="3827" w:type="dxa"/>
            <w:tcBorders>
              <w:left w:val="nil"/>
              <w:bottom w:val="nil"/>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 xml:space="preserve">350 Days  </w:t>
            </w:r>
          </w:p>
        </w:tc>
      </w:tr>
      <w:tr w:rsidR="005D02F7" w:rsidRPr="00F508A0" w:rsidTr="005D02F7">
        <w:trPr>
          <w:trHeight w:val="137"/>
        </w:trPr>
        <w:tc>
          <w:tcPr>
            <w:tcW w:w="1242" w:type="dxa"/>
            <w:vMerge/>
            <w:tcBorders>
              <w:top w:val="nil"/>
              <w:left w:val="nil"/>
              <w:bottom w:val="nil"/>
              <w:right w:val="nil"/>
            </w:tcBorders>
          </w:tcPr>
          <w:p w:rsidR="005D02F7" w:rsidRPr="00ED5B9D" w:rsidRDefault="005D02F7" w:rsidP="005D02F7">
            <w:pPr>
              <w:spacing w:after="0"/>
              <w:jc w:val="both"/>
              <w:rPr>
                <w:rFonts w:ascii="Times New Roman" w:hAnsi="Times New Roman"/>
                <w:sz w:val="18"/>
                <w:szCs w:val="18"/>
              </w:rPr>
            </w:pPr>
          </w:p>
        </w:tc>
        <w:tc>
          <w:tcPr>
            <w:tcW w:w="1134" w:type="dxa"/>
            <w:tcBorders>
              <w:top w:val="nil"/>
              <w:left w:val="nil"/>
              <w:bottom w:val="nil"/>
              <w:right w:val="nil"/>
            </w:tcBorders>
          </w:tcPr>
          <w:p w:rsidR="005D02F7" w:rsidRPr="00ED5B9D" w:rsidRDefault="005D02F7" w:rsidP="005D02F7">
            <w:pPr>
              <w:spacing w:after="0"/>
              <w:rPr>
                <w:rFonts w:ascii="Times New Roman" w:hAnsi="Times New Roman"/>
                <w:sz w:val="18"/>
                <w:szCs w:val="18"/>
              </w:rPr>
            </w:pPr>
          </w:p>
        </w:tc>
        <w:tc>
          <w:tcPr>
            <w:tcW w:w="2268" w:type="dxa"/>
            <w:tcBorders>
              <w:top w:val="nil"/>
              <w:left w:val="nil"/>
              <w:bottom w:val="nil"/>
              <w:right w:val="nil"/>
            </w:tcBorders>
          </w:tcPr>
          <w:p w:rsidR="005D02F7" w:rsidRPr="00ED5B9D" w:rsidRDefault="005D02F7" w:rsidP="005D02F7">
            <w:pPr>
              <w:spacing w:after="0"/>
              <w:ind w:right="-109"/>
              <w:rPr>
                <w:rFonts w:ascii="Times New Roman" w:hAnsi="Times New Roman"/>
                <w:sz w:val="18"/>
                <w:szCs w:val="18"/>
              </w:rPr>
            </w:pPr>
          </w:p>
        </w:tc>
        <w:tc>
          <w:tcPr>
            <w:tcW w:w="2410" w:type="dxa"/>
            <w:tcBorders>
              <w:top w:val="nil"/>
              <w:left w:val="nil"/>
              <w:bottom w:val="nil"/>
              <w:right w:val="nil"/>
            </w:tcBorders>
          </w:tcPr>
          <w:p w:rsidR="005D02F7" w:rsidRPr="00ED5B9D" w:rsidRDefault="005D02F7" w:rsidP="005D02F7">
            <w:pPr>
              <w:spacing w:after="0"/>
              <w:rPr>
                <w:rFonts w:ascii="Times New Roman" w:hAnsi="Times New Roman"/>
                <w:sz w:val="18"/>
                <w:szCs w:val="18"/>
              </w:rPr>
            </w:pPr>
          </w:p>
        </w:tc>
        <w:tc>
          <w:tcPr>
            <w:tcW w:w="3827" w:type="dxa"/>
            <w:tcBorders>
              <w:top w:val="nil"/>
              <w:left w:val="nil"/>
              <w:bottom w:val="nil"/>
              <w:right w:val="nil"/>
            </w:tcBorders>
          </w:tcPr>
          <w:p w:rsidR="005D02F7" w:rsidRPr="00ED5B9D" w:rsidRDefault="005D02F7" w:rsidP="005D02F7">
            <w:pPr>
              <w:spacing w:after="0"/>
              <w:rPr>
                <w:rFonts w:ascii="Times New Roman" w:hAnsi="Times New Roman"/>
                <w:sz w:val="18"/>
                <w:szCs w:val="18"/>
              </w:rPr>
            </w:pPr>
          </w:p>
        </w:tc>
      </w:tr>
      <w:tr w:rsidR="005D02F7" w:rsidRPr="00F508A0" w:rsidTr="005D02F7">
        <w:trPr>
          <w:trHeight w:val="400"/>
        </w:trPr>
        <w:tc>
          <w:tcPr>
            <w:tcW w:w="1242" w:type="dxa"/>
            <w:vMerge/>
            <w:tcBorders>
              <w:top w:val="nil"/>
              <w:left w:val="nil"/>
              <w:bottom w:val="single" w:sz="4" w:space="0" w:color="auto"/>
              <w:right w:val="nil"/>
            </w:tcBorders>
          </w:tcPr>
          <w:p w:rsidR="005D02F7" w:rsidRPr="00ED5B9D" w:rsidRDefault="005D02F7" w:rsidP="005D02F7">
            <w:pPr>
              <w:spacing w:after="0"/>
              <w:jc w:val="both"/>
              <w:rPr>
                <w:rFonts w:ascii="Times New Roman" w:hAnsi="Times New Roman"/>
                <w:sz w:val="18"/>
                <w:szCs w:val="18"/>
              </w:rPr>
            </w:pPr>
          </w:p>
        </w:tc>
        <w:tc>
          <w:tcPr>
            <w:tcW w:w="1134" w:type="dxa"/>
            <w:tcBorders>
              <w:top w:val="nil"/>
              <w:left w:val="nil"/>
              <w:bottom w:val="single" w:sz="4" w:space="0" w:color="auto"/>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Female</w:t>
            </w:r>
          </w:p>
          <w:p w:rsidR="005D02F7" w:rsidRPr="00ED5B9D" w:rsidRDefault="005D02F7" w:rsidP="005D02F7">
            <w:pPr>
              <w:spacing w:after="0"/>
              <w:rPr>
                <w:rFonts w:ascii="Times New Roman" w:hAnsi="Times New Roman"/>
                <w:i/>
                <w:sz w:val="18"/>
                <w:szCs w:val="18"/>
              </w:rPr>
            </w:pPr>
            <w:r w:rsidRPr="00ED5B9D">
              <w:rPr>
                <w:rFonts w:ascii="Times New Roman" w:hAnsi="Times New Roman"/>
                <w:sz w:val="18"/>
                <w:szCs w:val="18"/>
              </w:rPr>
              <w:t>(n=8)</w:t>
            </w:r>
          </w:p>
        </w:tc>
        <w:tc>
          <w:tcPr>
            <w:tcW w:w="2268" w:type="dxa"/>
            <w:tcBorders>
              <w:top w:val="nil"/>
              <w:left w:val="nil"/>
              <w:bottom w:val="single" w:sz="4" w:space="0" w:color="auto"/>
              <w:right w:val="nil"/>
            </w:tcBorders>
          </w:tcPr>
          <w:p w:rsidR="005D02F7" w:rsidRPr="00ED5B9D" w:rsidRDefault="005D02F7" w:rsidP="005D02F7">
            <w:pPr>
              <w:spacing w:after="0"/>
              <w:ind w:right="-109"/>
              <w:rPr>
                <w:rFonts w:ascii="Times New Roman" w:hAnsi="Times New Roman"/>
                <w:sz w:val="18"/>
                <w:szCs w:val="18"/>
              </w:rPr>
            </w:pPr>
            <w:r w:rsidRPr="00ED5B9D">
              <w:rPr>
                <w:rFonts w:ascii="Times New Roman" w:hAnsi="Times New Roman"/>
                <w:sz w:val="18"/>
                <w:szCs w:val="18"/>
              </w:rPr>
              <w:t>5 years  5  months</w:t>
            </w:r>
          </w:p>
          <w:p w:rsidR="005D02F7" w:rsidRPr="00ED5B9D" w:rsidRDefault="005D02F7" w:rsidP="005D02F7">
            <w:pPr>
              <w:spacing w:after="0"/>
              <w:ind w:right="-109"/>
              <w:rPr>
                <w:rFonts w:ascii="Times New Roman" w:hAnsi="Times New Roman"/>
                <w:sz w:val="18"/>
                <w:szCs w:val="18"/>
              </w:rPr>
            </w:pPr>
            <w:r w:rsidRPr="00ED5B9D">
              <w:rPr>
                <w:rFonts w:ascii="Times New Roman" w:hAnsi="Times New Roman"/>
                <w:sz w:val="18"/>
                <w:szCs w:val="18"/>
              </w:rPr>
              <w:t>(Range 2.3-8.9, SD 2.2)</w:t>
            </w:r>
          </w:p>
        </w:tc>
        <w:tc>
          <w:tcPr>
            <w:tcW w:w="2410" w:type="dxa"/>
            <w:tcBorders>
              <w:top w:val="nil"/>
              <w:left w:val="nil"/>
              <w:bottom w:val="single" w:sz="4" w:space="0" w:color="auto"/>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6 years  3 months</w:t>
            </w:r>
          </w:p>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(Range 3.3-10.7, SD 6.3)</w:t>
            </w:r>
          </w:p>
        </w:tc>
        <w:tc>
          <w:tcPr>
            <w:tcW w:w="3827" w:type="dxa"/>
            <w:tcBorders>
              <w:top w:val="nil"/>
              <w:left w:val="nil"/>
              <w:bottom w:val="single" w:sz="4" w:space="0" w:color="auto"/>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 xml:space="preserve"> 308 Days  </w:t>
            </w:r>
          </w:p>
        </w:tc>
      </w:tr>
      <w:tr w:rsidR="005D02F7" w:rsidRPr="00F508A0" w:rsidTr="005D02F7">
        <w:trPr>
          <w:trHeight w:val="611"/>
        </w:trPr>
        <w:tc>
          <w:tcPr>
            <w:tcW w:w="1242" w:type="dxa"/>
            <w:vMerge w:val="restart"/>
            <w:tcBorders>
              <w:top w:val="single" w:sz="4" w:space="0" w:color="auto"/>
              <w:left w:val="nil"/>
              <w:bottom w:val="nil"/>
              <w:right w:val="nil"/>
            </w:tcBorders>
          </w:tcPr>
          <w:p w:rsidR="005D02F7" w:rsidRPr="00ED5B9D" w:rsidRDefault="005D02F7" w:rsidP="005D02F7">
            <w:pPr>
              <w:spacing w:after="0"/>
              <w:jc w:val="both"/>
              <w:rPr>
                <w:rFonts w:ascii="Times New Roman" w:hAnsi="Times New Roman"/>
                <w:sz w:val="18"/>
                <w:szCs w:val="18"/>
              </w:rPr>
            </w:pPr>
            <w:r w:rsidRPr="00ED5B9D">
              <w:rPr>
                <w:rFonts w:ascii="Times New Roman" w:hAnsi="Times New Roman"/>
                <w:sz w:val="18"/>
                <w:szCs w:val="18"/>
              </w:rPr>
              <w:t>Adolescent</w:t>
            </w:r>
          </w:p>
          <w:p w:rsidR="005D02F7" w:rsidRPr="00ED5B9D" w:rsidRDefault="005D02F7" w:rsidP="005D02F7">
            <w:pPr>
              <w:spacing w:after="0"/>
              <w:jc w:val="both"/>
              <w:rPr>
                <w:rFonts w:ascii="Times New Roman" w:hAnsi="Times New Roman"/>
                <w:sz w:val="18"/>
                <w:szCs w:val="18"/>
              </w:rPr>
            </w:pPr>
            <w:r w:rsidRPr="00ED5B9D">
              <w:rPr>
                <w:rFonts w:ascii="Times New Roman" w:hAnsi="Times New Roman"/>
                <w:sz w:val="18"/>
                <w:szCs w:val="18"/>
              </w:rPr>
              <w:t>(10-18.11)</w:t>
            </w:r>
          </w:p>
        </w:tc>
        <w:tc>
          <w:tcPr>
            <w:tcW w:w="1134" w:type="dxa"/>
            <w:tcBorders>
              <w:top w:val="single" w:sz="4" w:space="0" w:color="auto"/>
              <w:left w:val="nil"/>
              <w:bottom w:val="nil"/>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Male</w:t>
            </w:r>
          </w:p>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(n=20)</w:t>
            </w:r>
          </w:p>
        </w:tc>
        <w:tc>
          <w:tcPr>
            <w:tcW w:w="2268" w:type="dxa"/>
            <w:tcBorders>
              <w:top w:val="single" w:sz="4" w:space="0" w:color="auto"/>
              <w:left w:val="nil"/>
              <w:bottom w:val="nil"/>
              <w:right w:val="nil"/>
            </w:tcBorders>
          </w:tcPr>
          <w:p w:rsidR="005D02F7" w:rsidRPr="00ED5B9D" w:rsidRDefault="005D02F7" w:rsidP="005D02F7">
            <w:pPr>
              <w:spacing w:after="0"/>
              <w:ind w:right="-109"/>
              <w:rPr>
                <w:rFonts w:ascii="Times New Roman" w:hAnsi="Times New Roman"/>
                <w:sz w:val="18"/>
                <w:szCs w:val="18"/>
              </w:rPr>
            </w:pPr>
            <w:r w:rsidRPr="00ED5B9D">
              <w:rPr>
                <w:rFonts w:ascii="Times New Roman" w:hAnsi="Times New Roman"/>
                <w:sz w:val="18"/>
                <w:szCs w:val="18"/>
              </w:rPr>
              <w:t>13 years  4 month</w:t>
            </w:r>
          </w:p>
          <w:p w:rsidR="005D02F7" w:rsidRPr="00ED5B9D" w:rsidRDefault="005D02F7" w:rsidP="005D02F7">
            <w:pPr>
              <w:spacing w:after="0"/>
              <w:ind w:right="-109"/>
              <w:rPr>
                <w:rFonts w:ascii="Times New Roman" w:hAnsi="Times New Roman"/>
                <w:sz w:val="18"/>
                <w:szCs w:val="18"/>
              </w:rPr>
            </w:pPr>
            <w:r w:rsidRPr="00ED5B9D">
              <w:rPr>
                <w:rFonts w:ascii="Times New Roman" w:hAnsi="Times New Roman"/>
                <w:sz w:val="18"/>
                <w:szCs w:val="18"/>
              </w:rPr>
              <w:t>(Range 10.8-18.2, SD 2.7)</w:t>
            </w:r>
          </w:p>
        </w:tc>
        <w:tc>
          <w:tcPr>
            <w:tcW w:w="2410" w:type="dxa"/>
            <w:tcBorders>
              <w:top w:val="single" w:sz="4" w:space="0" w:color="auto"/>
              <w:left w:val="nil"/>
              <w:bottom w:val="nil"/>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14 years  2 months</w:t>
            </w:r>
          </w:p>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(Range 10.5-18.6 , SD 2.6)</w:t>
            </w:r>
          </w:p>
        </w:tc>
        <w:tc>
          <w:tcPr>
            <w:tcW w:w="3827" w:type="dxa"/>
            <w:tcBorders>
              <w:top w:val="single" w:sz="4" w:space="0" w:color="auto"/>
              <w:left w:val="nil"/>
              <w:bottom w:val="nil"/>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 xml:space="preserve">285 Days  </w:t>
            </w:r>
          </w:p>
        </w:tc>
      </w:tr>
      <w:tr w:rsidR="005D02F7" w:rsidRPr="00F508A0" w:rsidTr="005D02F7">
        <w:trPr>
          <w:trHeight w:val="122"/>
        </w:trPr>
        <w:tc>
          <w:tcPr>
            <w:tcW w:w="1242" w:type="dxa"/>
            <w:vMerge/>
            <w:tcBorders>
              <w:top w:val="nil"/>
              <w:left w:val="nil"/>
              <w:bottom w:val="nil"/>
              <w:right w:val="nil"/>
            </w:tcBorders>
          </w:tcPr>
          <w:p w:rsidR="005D02F7" w:rsidRPr="00ED5B9D" w:rsidRDefault="005D02F7" w:rsidP="005D02F7">
            <w:pPr>
              <w:spacing w:after="0"/>
              <w:jc w:val="both"/>
              <w:rPr>
                <w:rFonts w:ascii="Times New Roman" w:hAnsi="Times New Roman"/>
                <w:sz w:val="18"/>
                <w:szCs w:val="18"/>
              </w:rPr>
            </w:pPr>
          </w:p>
        </w:tc>
        <w:tc>
          <w:tcPr>
            <w:tcW w:w="1134" w:type="dxa"/>
            <w:tcBorders>
              <w:top w:val="nil"/>
              <w:left w:val="nil"/>
              <w:bottom w:val="nil"/>
              <w:right w:val="nil"/>
            </w:tcBorders>
          </w:tcPr>
          <w:p w:rsidR="005D02F7" w:rsidRPr="00ED5B9D" w:rsidRDefault="005D02F7" w:rsidP="005D02F7">
            <w:pPr>
              <w:spacing w:after="0"/>
              <w:rPr>
                <w:rFonts w:ascii="Times New Roman" w:hAnsi="Times New Roman"/>
                <w:sz w:val="18"/>
                <w:szCs w:val="18"/>
              </w:rPr>
            </w:pPr>
          </w:p>
        </w:tc>
        <w:tc>
          <w:tcPr>
            <w:tcW w:w="2268" w:type="dxa"/>
            <w:tcBorders>
              <w:top w:val="nil"/>
              <w:left w:val="nil"/>
              <w:bottom w:val="nil"/>
              <w:right w:val="nil"/>
            </w:tcBorders>
          </w:tcPr>
          <w:p w:rsidR="005D02F7" w:rsidRPr="00ED5B9D" w:rsidRDefault="005D02F7" w:rsidP="005D02F7">
            <w:pPr>
              <w:spacing w:after="0"/>
              <w:ind w:right="-109"/>
              <w:rPr>
                <w:rFonts w:ascii="Times New Roman" w:hAnsi="Times New Roman"/>
                <w:sz w:val="18"/>
                <w:szCs w:val="18"/>
              </w:rPr>
            </w:pPr>
          </w:p>
        </w:tc>
        <w:tc>
          <w:tcPr>
            <w:tcW w:w="2410" w:type="dxa"/>
            <w:tcBorders>
              <w:top w:val="nil"/>
              <w:left w:val="nil"/>
              <w:bottom w:val="nil"/>
              <w:right w:val="nil"/>
            </w:tcBorders>
          </w:tcPr>
          <w:p w:rsidR="005D02F7" w:rsidRPr="00ED5B9D" w:rsidRDefault="005D02F7" w:rsidP="005D02F7">
            <w:pPr>
              <w:spacing w:after="0"/>
              <w:rPr>
                <w:rFonts w:ascii="Times New Roman" w:hAnsi="Times New Roman"/>
                <w:sz w:val="18"/>
                <w:szCs w:val="18"/>
              </w:rPr>
            </w:pPr>
          </w:p>
        </w:tc>
        <w:tc>
          <w:tcPr>
            <w:tcW w:w="3827" w:type="dxa"/>
            <w:tcBorders>
              <w:top w:val="nil"/>
              <w:left w:val="nil"/>
              <w:bottom w:val="nil"/>
              <w:right w:val="nil"/>
            </w:tcBorders>
          </w:tcPr>
          <w:p w:rsidR="005D02F7" w:rsidRPr="00ED5B9D" w:rsidRDefault="005D02F7" w:rsidP="005D02F7">
            <w:pPr>
              <w:spacing w:after="0"/>
              <w:rPr>
                <w:rFonts w:ascii="Times New Roman" w:hAnsi="Times New Roman"/>
                <w:sz w:val="18"/>
                <w:szCs w:val="18"/>
              </w:rPr>
            </w:pPr>
          </w:p>
        </w:tc>
      </w:tr>
      <w:tr w:rsidR="005D02F7" w:rsidRPr="00F508A0" w:rsidTr="005D02F7">
        <w:trPr>
          <w:trHeight w:val="448"/>
        </w:trPr>
        <w:tc>
          <w:tcPr>
            <w:tcW w:w="1242" w:type="dxa"/>
            <w:vMerge/>
            <w:tcBorders>
              <w:top w:val="nil"/>
              <w:left w:val="nil"/>
              <w:bottom w:val="single" w:sz="4" w:space="0" w:color="auto"/>
              <w:right w:val="nil"/>
            </w:tcBorders>
          </w:tcPr>
          <w:p w:rsidR="005D02F7" w:rsidRPr="00ED5B9D" w:rsidRDefault="005D02F7" w:rsidP="005D02F7">
            <w:pPr>
              <w:spacing w:after="0"/>
              <w:jc w:val="both"/>
              <w:rPr>
                <w:rFonts w:ascii="Times New Roman" w:hAnsi="Times New Roman"/>
                <w:sz w:val="18"/>
                <w:szCs w:val="18"/>
              </w:rPr>
            </w:pPr>
          </w:p>
        </w:tc>
        <w:tc>
          <w:tcPr>
            <w:tcW w:w="1134" w:type="dxa"/>
            <w:tcBorders>
              <w:top w:val="nil"/>
              <w:left w:val="nil"/>
              <w:bottom w:val="single" w:sz="4" w:space="0" w:color="auto"/>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Female</w:t>
            </w:r>
          </w:p>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(n=11)</w:t>
            </w:r>
          </w:p>
        </w:tc>
        <w:tc>
          <w:tcPr>
            <w:tcW w:w="2268" w:type="dxa"/>
            <w:tcBorders>
              <w:top w:val="nil"/>
              <w:left w:val="nil"/>
              <w:bottom w:val="single" w:sz="4" w:space="0" w:color="auto"/>
              <w:right w:val="nil"/>
            </w:tcBorders>
          </w:tcPr>
          <w:p w:rsidR="005D02F7" w:rsidRPr="00ED5B9D" w:rsidRDefault="005D02F7" w:rsidP="005D02F7">
            <w:pPr>
              <w:spacing w:after="0"/>
              <w:ind w:right="-109"/>
              <w:rPr>
                <w:rFonts w:ascii="Times New Roman" w:hAnsi="Times New Roman"/>
                <w:sz w:val="18"/>
                <w:szCs w:val="18"/>
              </w:rPr>
            </w:pPr>
            <w:r w:rsidRPr="00ED5B9D">
              <w:rPr>
                <w:rFonts w:ascii="Times New Roman" w:hAnsi="Times New Roman"/>
                <w:sz w:val="18"/>
                <w:szCs w:val="18"/>
              </w:rPr>
              <w:t>14 years  6 months</w:t>
            </w:r>
          </w:p>
          <w:p w:rsidR="005D02F7" w:rsidRPr="00ED5B9D" w:rsidRDefault="005D02F7" w:rsidP="005D02F7">
            <w:pPr>
              <w:spacing w:after="0"/>
              <w:ind w:right="-109"/>
              <w:rPr>
                <w:rFonts w:ascii="Times New Roman" w:hAnsi="Times New Roman"/>
                <w:sz w:val="18"/>
                <w:szCs w:val="18"/>
              </w:rPr>
            </w:pPr>
            <w:r w:rsidRPr="00ED5B9D">
              <w:rPr>
                <w:rFonts w:ascii="Times New Roman" w:hAnsi="Times New Roman"/>
                <w:sz w:val="18"/>
                <w:szCs w:val="18"/>
              </w:rPr>
              <w:t>(Range 10-18.5, SD 2.9)</w:t>
            </w:r>
          </w:p>
        </w:tc>
        <w:tc>
          <w:tcPr>
            <w:tcW w:w="2410" w:type="dxa"/>
            <w:tcBorders>
              <w:top w:val="nil"/>
              <w:left w:val="nil"/>
              <w:bottom w:val="single" w:sz="4" w:space="0" w:color="auto"/>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15 years  4 months</w:t>
            </w:r>
          </w:p>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(Range 11.1-18.9, SD 2.6)</w:t>
            </w:r>
          </w:p>
        </w:tc>
        <w:tc>
          <w:tcPr>
            <w:tcW w:w="3827" w:type="dxa"/>
            <w:tcBorders>
              <w:top w:val="nil"/>
              <w:left w:val="nil"/>
              <w:bottom w:val="single" w:sz="4" w:space="0" w:color="auto"/>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 xml:space="preserve">260 Days  </w:t>
            </w:r>
          </w:p>
        </w:tc>
      </w:tr>
      <w:tr w:rsidR="005D02F7" w:rsidRPr="00F508A0" w:rsidTr="005D02F7">
        <w:trPr>
          <w:trHeight w:val="611"/>
        </w:trPr>
        <w:tc>
          <w:tcPr>
            <w:tcW w:w="1242" w:type="dxa"/>
            <w:vMerge w:val="restart"/>
            <w:tcBorders>
              <w:top w:val="single" w:sz="4" w:space="0" w:color="auto"/>
              <w:left w:val="nil"/>
              <w:bottom w:val="nil"/>
              <w:right w:val="nil"/>
            </w:tcBorders>
          </w:tcPr>
          <w:p w:rsidR="005D02F7" w:rsidRPr="00ED5B9D" w:rsidRDefault="005D02F7" w:rsidP="005D02F7">
            <w:pPr>
              <w:spacing w:after="0"/>
              <w:jc w:val="both"/>
              <w:rPr>
                <w:rFonts w:ascii="Times New Roman" w:hAnsi="Times New Roman"/>
                <w:sz w:val="18"/>
                <w:szCs w:val="18"/>
              </w:rPr>
            </w:pPr>
            <w:r w:rsidRPr="00ED5B9D">
              <w:rPr>
                <w:rFonts w:ascii="Times New Roman" w:hAnsi="Times New Roman"/>
                <w:sz w:val="18"/>
                <w:szCs w:val="18"/>
              </w:rPr>
              <w:t>Adult</w:t>
            </w:r>
          </w:p>
          <w:p w:rsidR="005D02F7" w:rsidRPr="00ED5B9D" w:rsidRDefault="005D02F7" w:rsidP="005D02F7">
            <w:pPr>
              <w:spacing w:after="0"/>
              <w:jc w:val="both"/>
              <w:rPr>
                <w:rFonts w:ascii="Times New Roman" w:hAnsi="Times New Roman"/>
                <w:sz w:val="18"/>
                <w:szCs w:val="18"/>
              </w:rPr>
            </w:pPr>
            <w:r w:rsidRPr="00ED5B9D">
              <w:rPr>
                <w:rFonts w:ascii="Times New Roman" w:hAnsi="Times New Roman"/>
                <w:sz w:val="18"/>
                <w:szCs w:val="18"/>
              </w:rPr>
              <w:t>(19-39.11)</w:t>
            </w:r>
          </w:p>
        </w:tc>
        <w:tc>
          <w:tcPr>
            <w:tcW w:w="1134" w:type="dxa"/>
            <w:tcBorders>
              <w:top w:val="single" w:sz="4" w:space="0" w:color="auto"/>
              <w:left w:val="nil"/>
              <w:bottom w:val="nil"/>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Male</w:t>
            </w:r>
          </w:p>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(n= 32)</w:t>
            </w:r>
          </w:p>
        </w:tc>
        <w:tc>
          <w:tcPr>
            <w:tcW w:w="2268" w:type="dxa"/>
            <w:tcBorders>
              <w:top w:val="single" w:sz="4" w:space="0" w:color="auto"/>
              <w:left w:val="nil"/>
              <w:bottom w:val="nil"/>
              <w:right w:val="nil"/>
            </w:tcBorders>
          </w:tcPr>
          <w:p w:rsidR="005D02F7" w:rsidRPr="00ED5B9D" w:rsidRDefault="005D02F7" w:rsidP="005D02F7">
            <w:pPr>
              <w:spacing w:after="0"/>
              <w:ind w:right="-109"/>
              <w:rPr>
                <w:rFonts w:ascii="Times New Roman" w:hAnsi="Times New Roman"/>
                <w:sz w:val="18"/>
                <w:szCs w:val="18"/>
              </w:rPr>
            </w:pPr>
            <w:r w:rsidRPr="00ED5B9D">
              <w:rPr>
                <w:rFonts w:ascii="Times New Roman" w:hAnsi="Times New Roman"/>
                <w:sz w:val="18"/>
                <w:szCs w:val="18"/>
              </w:rPr>
              <w:t>26 years  7 months</w:t>
            </w:r>
          </w:p>
          <w:p w:rsidR="005D02F7" w:rsidRPr="00ED5B9D" w:rsidRDefault="005D02F7" w:rsidP="005D02F7">
            <w:pPr>
              <w:spacing w:after="0"/>
              <w:ind w:right="-109"/>
              <w:rPr>
                <w:rFonts w:ascii="Times New Roman" w:hAnsi="Times New Roman"/>
                <w:sz w:val="18"/>
                <w:szCs w:val="18"/>
              </w:rPr>
            </w:pPr>
            <w:r w:rsidRPr="00ED5B9D">
              <w:rPr>
                <w:rFonts w:ascii="Times New Roman" w:hAnsi="Times New Roman"/>
                <w:sz w:val="18"/>
                <w:szCs w:val="18"/>
              </w:rPr>
              <w:t>(Range 19-39, SD 5.7)</w:t>
            </w:r>
          </w:p>
        </w:tc>
        <w:tc>
          <w:tcPr>
            <w:tcW w:w="2410" w:type="dxa"/>
            <w:tcBorders>
              <w:top w:val="single" w:sz="4" w:space="0" w:color="auto"/>
              <w:left w:val="nil"/>
              <w:bottom w:val="nil"/>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27 years  4 months</w:t>
            </w:r>
          </w:p>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(Range 19.5-39.5, SD 5.6)</w:t>
            </w:r>
          </w:p>
        </w:tc>
        <w:tc>
          <w:tcPr>
            <w:tcW w:w="3827" w:type="dxa"/>
            <w:tcBorders>
              <w:top w:val="single" w:sz="4" w:space="0" w:color="auto"/>
              <w:left w:val="nil"/>
              <w:bottom w:val="nil"/>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 xml:space="preserve">171 Days  </w:t>
            </w:r>
          </w:p>
        </w:tc>
      </w:tr>
      <w:tr w:rsidR="005D02F7" w:rsidRPr="00F508A0" w:rsidTr="005D02F7">
        <w:trPr>
          <w:trHeight w:val="192"/>
        </w:trPr>
        <w:tc>
          <w:tcPr>
            <w:tcW w:w="1242" w:type="dxa"/>
            <w:vMerge/>
            <w:tcBorders>
              <w:top w:val="nil"/>
              <w:left w:val="nil"/>
              <w:bottom w:val="nil"/>
              <w:right w:val="nil"/>
            </w:tcBorders>
          </w:tcPr>
          <w:p w:rsidR="005D02F7" w:rsidRPr="00ED5B9D" w:rsidRDefault="005D02F7" w:rsidP="005D02F7">
            <w:pPr>
              <w:spacing w:after="0"/>
              <w:jc w:val="both"/>
              <w:rPr>
                <w:rFonts w:ascii="Times New Roman" w:hAnsi="Times New Roman"/>
                <w:sz w:val="18"/>
                <w:szCs w:val="18"/>
              </w:rPr>
            </w:pPr>
          </w:p>
        </w:tc>
        <w:tc>
          <w:tcPr>
            <w:tcW w:w="1134" w:type="dxa"/>
            <w:tcBorders>
              <w:top w:val="nil"/>
              <w:left w:val="nil"/>
              <w:bottom w:val="nil"/>
              <w:right w:val="nil"/>
            </w:tcBorders>
          </w:tcPr>
          <w:p w:rsidR="005D02F7" w:rsidRPr="00ED5B9D" w:rsidRDefault="005D02F7" w:rsidP="005D02F7">
            <w:pPr>
              <w:spacing w:after="0"/>
              <w:rPr>
                <w:rFonts w:ascii="Times New Roman" w:hAnsi="Times New Roman"/>
                <w:sz w:val="18"/>
                <w:szCs w:val="18"/>
              </w:rPr>
            </w:pPr>
          </w:p>
        </w:tc>
        <w:tc>
          <w:tcPr>
            <w:tcW w:w="2268" w:type="dxa"/>
            <w:tcBorders>
              <w:top w:val="nil"/>
              <w:left w:val="nil"/>
              <w:bottom w:val="nil"/>
              <w:right w:val="nil"/>
            </w:tcBorders>
          </w:tcPr>
          <w:p w:rsidR="005D02F7" w:rsidRPr="00ED5B9D" w:rsidRDefault="005D02F7" w:rsidP="005D02F7">
            <w:pPr>
              <w:spacing w:after="0"/>
              <w:ind w:right="-109"/>
              <w:rPr>
                <w:rFonts w:ascii="Times New Roman" w:hAnsi="Times New Roman"/>
                <w:sz w:val="18"/>
                <w:szCs w:val="18"/>
              </w:rPr>
            </w:pPr>
          </w:p>
        </w:tc>
        <w:tc>
          <w:tcPr>
            <w:tcW w:w="2410" w:type="dxa"/>
            <w:tcBorders>
              <w:top w:val="nil"/>
              <w:left w:val="nil"/>
              <w:bottom w:val="nil"/>
              <w:right w:val="nil"/>
            </w:tcBorders>
          </w:tcPr>
          <w:p w:rsidR="005D02F7" w:rsidRPr="00ED5B9D" w:rsidRDefault="005D02F7" w:rsidP="005D02F7">
            <w:pPr>
              <w:spacing w:after="0"/>
              <w:rPr>
                <w:rFonts w:ascii="Times New Roman" w:hAnsi="Times New Roman"/>
                <w:sz w:val="18"/>
                <w:szCs w:val="18"/>
              </w:rPr>
            </w:pPr>
          </w:p>
        </w:tc>
        <w:tc>
          <w:tcPr>
            <w:tcW w:w="3827" w:type="dxa"/>
            <w:tcBorders>
              <w:top w:val="nil"/>
              <w:left w:val="nil"/>
              <w:bottom w:val="nil"/>
              <w:right w:val="nil"/>
            </w:tcBorders>
          </w:tcPr>
          <w:p w:rsidR="005D02F7" w:rsidRPr="00ED5B9D" w:rsidRDefault="005D02F7" w:rsidP="005D02F7">
            <w:pPr>
              <w:spacing w:after="0"/>
              <w:rPr>
                <w:rFonts w:ascii="Times New Roman" w:hAnsi="Times New Roman"/>
                <w:sz w:val="18"/>
                <w:szCs w:val="18"/>
              </w:rPr>
            </w:pPr>
          </w:p>
        </w:tc>
      </w:tr>
      <w:tr w:rsidR="005D02F7" w:rsidRPr="00F508A0" w:rsidTr="005D02F7">
        <w:trPr>
          <w:trHeight w:val="422"/>
        </w:trPr>
        <w:tc>
          <w:tcPr>
            <w:tcW w:w="1242" w:type="dxa"/>
            <w:vMerge/>
            <w:tcBorders>
              <w:top w:val="nil"/>
              <w:left w:val="nil"/>
              <w:bottom w:val="single" w:sz="4" w:space="0" w:color="auto"/>
              <w:right w:val="nil"/>
            </w:tcBorders>
          </w:tcPr>
          <w:p w:rsidR="005D02F7" w:rsidRPr="00ED5B9D" w:rsidRDefault="005D02F7" w:rsidP="005D02F7">
            <w:pPr>
              <w:spacing w:after="0"/>
              <w:rPr>
                <w:rFonts w:ascii="Times New Roman" w:hAnsi="Times New Roman"/>
                <w:sz w:val="18"/>
                <w:szCs w:val="18"/>
              </w:rPr>
            </w:pPr>
          </w:p>
        </w:tc>
        <w:tc>
          <w:tcPr>
            <w:tcW w:w="1134" w:type="dxa"/>
            <w:tcBorders>
              <w:top w:val="nil"/>
              <w:left w:val="nil"/>
              <w:bottom w:val="single" w:sz="4" w:space="0" w:color="auto"/>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Female</w:t>
            </w:r>
          </w:p>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(n=15)</w:t>
            </w:r>
          </w:p>
        </w:tc>
        <w:tc>
          <w:tcPr>
            <w:tcW w:w="2268" w:type="dxa"/>
            <w:tcBorders>
              <w:top w:val="nil"/>
              <w:left w:val="nil"/>
              <w:bottom w:val="single" w:sz="4" w:space="0" w:color="auto"/>
              <w:right w:val="nil"/>
            </w:tcBorders>
          </w:tcPr>
          <w:p w:rsidR="005D02F7" w:rsidRPr="00ED5B9D" w:rsidRDefault="005D02F7" w:rsidP="005D02F7">
            <w:pPr>
              <w:spacing w:after="0"/>
              <w:ind w:right="-109"/>
              <w:rPr>
                <w:rFonts w:ascii="Times New Roman" w:hAnsi="Times New Roman"/>
                <w:sz w:val="18"/>
                <w:szCs w:val="18"/>
              </w:rPr>
            </w:pPr>
            <w:r w:rsidRPr="00ED5B9D">
              <w:rPr>
                <w:rFonts w:ascii="Times New Roman" w:hAnsi="Times New Roman"/>
                <w:sz w:val="18"/>
                <w:szCs w:val="18"/>
              </w:rPr>
              <w:t>27 years  6 months</w:t>
            </w:r>
          </w:p>
          <w:p w:rsidR="005D02F7" w:rsidRPr="00ED5B9D" w:rsidRDefault="005D02F7" w:rsidP="005D02F7">
            <w:pPr>
              <w:spacing w:after="0"/>
              <w:ind w:right="-109"/>
              <w:rPr>
                <w:rFonts w:ascii="Times New Roman" w:hAnsi="Times New Roman"/>
                <w:sz w:val="18"/>
                <w:szCs w:val="18"/>
              </w:rPr>
            </w:pPr>
            <w:r w:rsidRPr="00ED5B9D">
              <w:rPr>
                <w:rFonts w:ascii="Times New Roman" w:hAnsi="Times New Roman"/>
                <w:sz w:val="18"/>
                <w:szCs w:val="18"/>
              </w:rPr>
              <w:t>(Range 19.4-39, SD 6.5)</w:t>
            </w:r>
          </w:p>
        </w:tc>
        <w:tc>
          <w:tcPr>
            <w:tcW w:w="2410" w:type="dxa"/>
            <w:tcBorders>
              <w:top w:val="nil"/>
              <w:left w:val="nil"/>
              <w:bottom w:val="single" w:sz="4" w:space="0" w:color="auto"/>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27 years  9 months</w:t>
            </w:r>
          </w:p>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(Range 19.5-39.2, SD 6.5)</w:t>
            </w:r>
          </w:p>
        </w:tc>
        <w:tc>
          <w:tcPr>
            <w:tcW w:w="3827" w:type="dxa"/>
            <w:tcBorders>
              <w:top w:val="nil"/>
              <w:left w:val="nil"/>
              <w:bottom w:val="single" w:sz="4" w:space="0" w:color="auto"/>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 xml:space="preserve">147 Days  </w:t>
            </w:r>
          </w:p>
        </w:tc>
      </w:tr>
      <w:tr w:rsidR="005D02F7" w:rsidRPr="00F508A0" w:rsidTr="005D02F7">
        <w:trPr>
          <w:trHeight w:val="611"/>
        </w:trPr>
        <w:tc>
          <w:tcPr>
            <w:tcW w:w="1242" w:type="dxa"/>
            <w:vMerge w:val="restart"/>
            <w:tcBorders>
              <w:top w:val="single" w:sz="4" w:space="0" w:color="auto"/>
              <w:left w:val="nil"/>
              <w:bottom w:val="nil"/>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Adult</w:t>
            </w:r>
          </w:p>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(40+)</w:t>
            </w:r>
          </w:p>
        </w:tc>
        <w:tc>
          <w:tcPr>
            <w:tcW w:w="1134" w:type="dxa"/>
            <w:tcBorders>
              <w:top w:val="single" w:sz="4" w:space="0" w:color="auto"/>
              <w:left w:val="nil"/>
              <w:bottom w:val="nil"/>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Male</w:t>
            </w:r>
          </w:p>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(n=9)</w:t>
            </w:r>
          </w:p>
        </w:tc>
        <w:tc>
          <w:tcPr>
            <w:tcW w:w="2268" w:type="dxa"/>
            <w:tcBorders>
              <w:top w:val="single" w:sz="4" w:space="0" w:color="auto"/>
              <w:left w:val="nil"/>
              <w:bottom w:val="nil"/>
              <w:right w:val="nil"/>
            </w:tcBorders>
          </w:tcPr>
          <w:p w:rsidR="005D02F7" w:rsidRPr="00ED5B9D" w:rsidRDefault="005D02F7" w:rsidP="005D02F7">
            <w:pPr>
              <w:spacing w:after="0"/>
              <w:ind w:right="-109"/>
              <w:rPr>
                <w:rFonts w:ascii="Times New Roman" w:hAnsi="Times New Roman"/>
                <w:sz w:val="18"/>
                <w:szCs w:val="18"/>
              </w:rPr>
            </w:pPr>
            <w:r w:rsidRPr="00ED5B9D">
              <w:rPr>
                <w:rFonts w:ascii="Times New Roman" w:hAnsi="Times New Roman"/>
                <w:sz w:val="18"/>
                <w:szCs w:val="18"/>
              </w:rPr>
              <w:t>47 years 3 months</w:t>
            </w:r>
          </w:p>
          <w:p w:rsidR="005D02F7" w:rsidRPr="00ED5B9D" w:rsidRDefault="005D02F7" w:rsidP="005D02F7">
            <w:pPr>
              <w:spacing w:after="0"/>
              <w:ind w:right="-109"/>
              <w:rPr>
                <w:rFonts w:ascii="Times New Roman" w:hAnsi="Times New Roman"/>
                <w:sz w:val="18"/>
                <w:szCs w:val="18"/>
              </w:rPr>
            </w:pPr>
            <w:r w:rsidRPr="00ED5B9D">
              <w:rPr>
                <w:rFonts w:ascii="Times New Roman" w:hAnsi="Times New Roman"/>
                <w:sz w:val="18"/>
                <w:szCs w:val="18"/>
              </w:rPr>
              <w:t>(Range 42.1-55.5, SD 5.4)</w:t>
            </w:r>
          </w:p>
        </w:tc>
        <w:tc>
          <w:tcPr>
            <w:tcW w:w="2410" w:type="dxa"/>
            <w:tcBorders>
              <w:top w:val="single" w:sz="4" w:space="0" w:color="auto"/>
              <w:left w:val="nil"/>
              <w:bottom w:val="nil"/>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47 years 7 months</w:t>
            </w:r>
          </w:p>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(Range 42.4-56.3,SD 5.6)</w:t>
            </w:r>
          </w:p>
        </w:tc>
        <w:tc>
          <w:tcPr>
            <w:tcW w:w="3827" w:type="dxa"/>
            <w:tcBorders>
              <w:top w:val="single" w:sz="4" w:space="0" w:color="auto"/>
              <w:left w:val="nil"/>
              <w:bottom w:val="nil"/>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 xml:space="preserve">142 Days  </w:t>
            </w:r>
          </w:p>
        </w:tc>
      </w:tr>
      <w:tr w:rsidR="005D02F7" w:rsidRPr="00F508A0" w:rsidTr="005D02F7">
        <w:trPr>
          <w:trHeight w:val="226"/>
        </w:trPr>
        <w:tc>
          <w:tcPr>
            <w:tcW w:w="1242" w:type="dxa"/>
            <w:vMerge/>
            <w:tcBorders>
              <w:top w:val="nil"/>
              <w:left w:val="nil"/>
              <w:bottom w:val="nil"/>
              <w:right w:val="nil"/>
            </w:tcBorders>
          </w:tcPr>
          <w:p w:rsidR="005D02F7" w:rsidRPr="00ED5B9D" w:rsidRDefault="005D02F7" w:rsidP="005D02F7">
            <w:pPr>
              <w:spacing w:after="0"/>
              <w:rPr>
                <w:rFonts w:ascii="Times New Roman" w:hAnsi="Times New Roman"/>
                <w:sz w:val="18"/>
                <w:szCs w:val="18"/>
              </w:rPr>
            </w:pPr>
          </w:p>
        </w:tc>
        <w:tc>
          <w:tcPr>
            <w:tcW w:w="1134" w:type="dxa"/>
            <w:tcBorders>
              <w:top w:val="nil"/>
              <w:left w:val="nil"/>
              <w:bottom w:val="nil"/>
              <w:right w:val="nil"/>
            </w:tcBorders>
          </w:tcPr>
          <w:p w:rsidR="005D02F7" w:rsidRPr="00ED5B9D" w:rsidRDefault="005D02F7" w:rsidP="005D02F7">
            <w:pPr>
              <w:spacing w:after="0"/>
              <w:rPr>
                <w:rFonts w:ascii="Times New Roman" w:hAnsi="Times New Roman"/>
                <w:sz w:val="18"/>
                <w:szCs w:val="18"/>
              </w:rPr>
            </w:pPr>
          </w:p>
        </w:tc>
        <w:tc>
          <w:tcPr>
            <w:tcW w:w="2268" w:type="dxa"/>
            <w:tcBorders>
              <w:top w:val="nil"/>
              <w:left w:val="nil"/>
              <w:bottom w:val="nil"/>
              <w:right w:val="nil"/>
            </w:tcBorders>
          </w:tcPr>
          <w:p w:rsidR="005D02F7" w:rsidRPr="00ED5B9D" w:rsidRDefault="005D02F7" w:rsidP="005D02F7">
            <w:pPr>
              <w:spacing w:after="0"/>
              <w:ind w:right="-109"/>
              <w:rPr>
                <w:rFonts w:ascii="Times New Roman" w:hAnsi="Times New Roman"/>
                <w:sz w:val="18"/>
                <w:szCs w:val="18"/>
              </w:rPr>
            </w:pPr>
          </w:p>
        </w:tc>
        <w:tc>
          <w:tcPr>
            <w:tcW w:w="2410" w:type="dxa"/>
            <w:tcBorders>
              <w:top w:val="nil"/>
              <w:left w:val="nil"/>
              <w:bottom w:val="nil"/>
              <w:right w:val="nil"/>
            </w:tcBorders>
          </w:tcPr>
          <w:p w:rsidR="005D02F7" w:rsidRPr="00ED5B9D" w:rsidRDefault="005D02F7" w:rsidP="005D02F7">
            <w:pPr>
              <w:spacing w:after="0"/>
              <w:rPr>
                <w:rFonts w:ascii="Times New Roman" w:hAnsi="Times New Roman"/>
                <w:sz w:val="18"/>
                <w:szCs w:val="18"/>
              </w:rPr>
            </w:pPr>
          </w:p>
        </w:tc>
        <w:tc>
          <w:tcPr>
            <w:tcW w:w="3827" w:type="dxa"/>
            <w:tcBorders>
              <w:top w:val="nil"/>
              <w:left w:val="nil"/>
              <w:bottom w:val="nil"/>
              <w:right w:val="nil"/>
            </w:tcBorders>
          </w:tcPr>
          <w:p w:rsidR="005D02F7" w:rsidRPr="00ED5B9D" w:rsidRDefault="005D02F7" w:rsidP="005D02F7">
            <w:pPr>
              <w:spacing w:after="0"/>
              <w:rPr>
                <w:rFonts w:ascii="Times New Roman" w:hAnsi="Times New Roman"/>
                <w:sz w:val="18"/>
                <w:szCs w:val="18"/>
              </w:rPr>
            </w:pPr>
          </w:p>
        </w:tc>
      </w:tr>
      <w:tr w:rsidR="005D02F7" w:rsidRPr="00F508A0" w:rsidTr="005D02F7">
        <w:trPr>
          <w:trHeight w:val="440"/>
        </w:trPr>
        <w:tc>
          <w:tcPr>
            <w:tcW w:w="1242" w:type="dxa"/>
            <w:vMerge/>
            <w:tcBorders>
              <w:top w:val="nil"/>
              <w:left w:val="nil"/>
              <w:right w:val="nil"/>
            </w:tcBorders>
          </w:tcPr>
          <w:p w:rsidR="005D02F7" w:rsidRPr="00ED5B9D" w:rsidRDefault="005D02F7" w:rsidP="005D02F7">
            <w:pPr>
              <w:spacing w:after="0"/>
              <w:rPr>
                <w:rFonts w:ascii="Times New Roman" w:hAnsi="Times New Roman"/>
                <w:sz w:val="18"/>
                <w:szCs w:val="18"/>
              </w:rPr>
            </w:pPr>
          </w:p>
        </w:tc>
        <w:tc>
          <w:tcPr>
            <w:tcW w:w="1134" w:type="dxa"/>
            <w:tcBorders>
              <w:top w:val="nil"/>
              <w:left w:val="nil"/>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Female</w:t>
            </w:r>
          </w:p>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(n=7)</w:t>
            </w:r>
          </w:p>
        </w:tc>
        <w:tc>
          <w:tcPr>
            <w:tcW w:w="2268" w:type="dxa"/>
            <w:tcBorders>
              <w:top w:val="nil"/>
              <w:left w:val="nil"/>
              <w:right w:val="nil"/>
            </w:tcBorders>
          </w:tcPr>
          <w:p w:rsidR="005D02F7" w:rsidRPr="00ED5B9D" w:rsidRDefault="005D02F7" w:rsidP="005D02F7">
            <w:pPr>
              <w:spacing w:after="0"/>
              <w:ind w:right="-109"/>
              <w:rPr>
                <w:rFonts w:ascii="Times New Roman" w:hAnsi="Times New Roman"/>
                <w:sz w:val="18"/>
                <w:szCs w:val="18"/>
              </w:rPr>
            </w:pPr>
            <w:r w:rsidRPr="00ED5B9D">
              <w:rPr>
                <w:rFonts w:ascii="Times New Roman" w:hAnsi="Times New Roman"/>
                <w:sz w:val="18"/>
                <w:szCs w:val="18"/>
              </w:rPr>
              <w:t>47 years 3 months</w:t>
            </w:r>
          </w:p>
          <w:p w:rsidR="005D02F7" w:rsidRPr="00ED5B9D" w:rsidRDefault="005D02F7" w:rsidP="005D02F7">
            <w:pPr>
              <w:spacing w:after="0"/>
              <w:ind w:right="-109"/>
              <w:rPr>
                <w:rFonts w:ascii="Times New Roman" w:hAnsi="Times New Roman"/>
                <w:sz w:val="18"/>
                <w:szCs w:val="18"/>
              </w:rPr>
            </w:pPr>
            <w:r w:rsidRPr="00ED5B9D">
              <w:rPr>
                <w:rFonts w:ascii="Times New Roman" w:hAnsi="Times New Roman"/>
                <w:sz w:val="18"/>
                <w:szCs w:val="18"/>
              </w:rPr>
              <w:t>(Range 40.5-53.8, SD 4.7)</w:t>
            </w:r>
          </w:p>
        </w:tc>
        <w:tc>
          <w:tcPr>
            <w:tcW w:w="2410" w:type="dxa"/>
            <w:tcBorders>
              <w:top w:val="nil"/>
              <w:left w:val="nil"/>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47 years 8 months</w:t>
            </w:r>
          </w:p>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(Range 40.9-54.4, SD 4.6)</w:t>
            </w:r>
          </w:p>
        </w:tc>
        <w:tc>
          <w:tcPr>
            <w:tcW w:w="3827" w:type="dxa"/>
            <w:tcBorders>
              <w:top w:val="nil"/>
              <w:left w:val="nil"/>
              <w:right w:val="nil"/>
            </w:tcBorders>
          </w:tcPr>
          <w:p w:rsidR="005D02F7" w:rsidRPr="00ED5B9D" w:rsidRDefault="005D02F7" w:rsidP="005D02F7">
            <w:pPr>
              <w:spacing w:after="0"/>
              <w:rPr>
                <w:rFonts w:ascii="Times New Roman" w:hAnsi="Times New Roman"/>
                <w:sz w:val="18"/>
                <w:szCs w:val="18"/>
              </w:rPr>
            </w:pPr>
            <w:r w:rsidRPr="00ED5B9D">
              <w:rPr>
                <w:rFonts w:ascii="Times New Roman" w:hAnsi="Times New Roman"/>
                <w:sz w:val="18"/>
                <w:szCs w:val="18"/>
              </w:rPr>
              <w:t xml:space="preserve">185 Days  </w:t>
            </w:r>
          </w:p>
        </w:tc>
      </w:tr>
    </w:tbl>
    <w:p w:rsidR="003D51F1" w:rsidRDefault="003D51F1" w:rsidP="009A751A">
      <w:pPr>
        <w:autoSpaceDE w:val="0"/>
        <w:autoSpaceDN w:val="0"/>
        <w:adjustRightInd w:val="0"/>
        <w:spacing w:after="0" w:line="480" w:lineRule="auto"/>
        <w:contextualSpacing w:val="0"/>
        <w:rPr>
          <w:rFonts w:ascii="Times New Roman" w:hAnsi="Times New Roman" w:cs="Times New Roman"/>
          <w:sz w:val="24"/>
          <w:szCs w:val="24"/>
          <w:lang w:val="en-GB"/>
        </w:rPr>
      </w:pPr>
    </w:p>
    <w:p w:rsidR="005D02F7" w:rsidRDefault="005D02F7" w:rsidP="009A751A">
      <w:pPr>
        <w:autoSpaceDE w:val="0"/>
        <w:autoSpaceDN w:val="0"/>
        <w:adjustRightInd w:val="0"/>
        <w:spacing w:after="0" w:line="480" w:lineRule="auto"/>
        <w:contextualSpacing w:val="0"/>
        <w:rPr>
          <w:rFonts w:ascii="Times New Roman" w:hAnsi="Times New Roman" w:cs="Times New Roman"/>
          <w:sz w:val="24"/>
          <w:szCs w:val="24"/>
          <w:lang w:val="en-GB"/>
        </w:rPr>
      </w:pPr>
    </w:p>
    <w:p w:rsidR="005D02F7" w:rsidRDefault="005D02F7" w:rsidP="009A751A">
      <w:pPr>
        <w:autoSpaceDE w:val="0"/>
        <w:autoSpaceDN w:val="0"/>
        <w:adjustRightInd w:val="0"/>
        <w:spacing w:after="0" w:line="480" w:lineRule="auto"/>
        <w:contextualSpacing w:val="0"/>
        <w:rPr>
          <w:rFonts w:ascii="Times New Roman" w:hAnsi="Times New Roman" w:cs="Times New Roman"/>
          <w:sz w:val="24"/>
          <w:szCs w:val="24"/>
          <w:lang w:val="en-GB"/>
        </w:rPr>
      </w:pPr>
    </w:p>
    <w:p w:rsidR="005D02F7" w:rsidRDefault="005D02F7" w:rsidP="009A751A">
      <w:pPr>
        <w:autoSpaceDE w:val="0"/>
        <w:autoSpaceDN w:val="0"/>
        <w:adjustRightInd w:val="0"/>
        <w:spacing w:after="0" w:line="480" w:lineRule="auto"/>
        <w:contextualSpacing w:val="0"/>
        <w:rPr>
          <w:rFonts w:ascii="Times New Roman" w:hAnsi="Times New Roman" w:cs="Times New Roman"/>
          <w:sz w:val="24"/>
          <w:szCs w:val="24"/>
          <w:lang w:val="en-GB"/>
        </w:rPr>
      </w:pPr>
    </w:p>
    <w:p w:rsidR="005D02F7" w:rsidRDefault="005D02F7" w:rsidP="009A751A">
      <w:pPr>
        <w:autoSpaceDE w:val="0"/>
        <w:autoSpaceDN w:val="0"/>
        <w:adjustRightInd w:val="0"/>
        <w:spacing w:after="0" w:line="480" w:lineRule="auto"/>
        <w:contextualSpacing w:val="0"/>
        <w:rPr>
          <w:rFonts w:ascii="Times New Roman" w:hAnsi="Times New Roman" w:cs="Times New Roman"/>
          <w:sz w:val="24"/>
          <w:szCs w:val="24"/>
          <w:lang w:val="en-GB"/>
        </w:rPr>
      </w:pPr>
    </w:p>
    <w:p w:rsidR="005D02F7" w:rsidRDefault="005D02F7" w:rsidP="009A751A">
      <w:pPr>
        <w:autoSpaceDE w:val="0"/>
        <w:autoSpaceDN w:val="0"/>
        <w:adjustRightInd w:val="0"/>
        <w:spacing w:after="0" w:line="480" w:lineRule="auto"/>
        <w:contextualSpacing w:val="0"/>
        <w:rPr>
          <w:rFonts w:ascii="Times New Roman" w:hAnsi="Times New Roman" w:cs="Times New Roman"/>
          <w:sz w:val="24"/>
          <w:szCs w:val="24"/>
          <w:lang w:val="en-GB"/>
        </w:rPr>
      </w:pPr>
    </w:p>
    <w:p w:rsidR="005D02F7" w:rsidRDefault="005D02F7" w:rsidP="009A751A">
      <w:pPr>
        <w:autoSpaceDE w:val="0"/>
        <w:autoSpaceDN w:val="0"/>
        <w:adjustRightInd w:val="0"/>
        <w:spacing w:after="0" w:line="480" w:lineRule="auto"/>
        <w:contextualSpacing w:val="0"/>
        <w:rPr>
          <w:rFonts w:ascii="Times New Roman" w:hAnsi="Times New Roman" w:cs="Times New Roman"/>
          <w:sz w:val="24"/>
          <w:szCs w:val="24"/>
          <w:lang w:val="en-GB"/>
        </w:rPr>
      </w:pPr>
    </w:p>
    <w:p w:rsidR="005D02F7" w:rsidRDefault="005D02F7" w:rsidP="009A751A">
      <w:pPr>
        <w:autoSpaceDE w:val="0"/>
        <w:autoSpaceDN w:val="0"/>
        <w:adjustRightInd w:val="0"/>
        <w:spacing w:after="0" w:line="480" w:lineRule="auto"/>
        <w:contextualSpacing w:val="0"/>
        <w:rPr>
          <w:rFonts w:ascii="Times New Roman" w:hAnsi="Times New Roman" w:cs="Times New Roman"/>
          <w:sz w:val="24"/>
          <w:szCs w:val="24"/>
          <w:lang w:val="en-GB"/>
        </w:rPr>
      </w:pPr>
    </w:p>
    <w:p w:rsidR="005D02F7" w:rsidRDefault="005D02F7" w:rsidP="009A751A">
      <w:pPr>
        <w:autoSpaceDE w:val="0"/>
        <w:autoSpaceDN w:val="0"/>
        <w:adjustRightInd w:val="0"/>
        <w:spacing w:after="0" w:line="480" w:lineRule="auto"/>
        <w:contextualSpacing w:val="0"/>
        <w:rPr>
          <w:rFonts w:ascii="Times New Roman" w:hAnsi="Times New Roman" w:cs="Times New Roman"/>
          <w:sz w:val="24"/>
          <w:szCs w:val="24"/>
          <w:lang w:val="en-GB"/>
        </w:rPr>
      </w:pPr>
    </w:p>
    <w:p w:rsidR="005D02F7" w:rsidRDefault="005D02F7" w:rsidP="009A751A">
      <w:pPr>
        <w:autoSpaceDE w:val="0"/>
        <w:autoSpaceDN w:val="0"/>
        <w:adjustRightInd w:val="0"/>
        <w:spacing w:after="0" w:line="480" w:lineRule="auto"/>
        <w:contextualSpacing w:val="0"/>
        <w:rPr>
          <w:rFonts w:ascii="Times New Roman" w:hAnsi="Times New Roman" w:cs="Times New Roman"/>
          <w:sz w:val="24"/>
          <w:szCs w:val="24"/>
          <w:lang w:val="en-GB"/>
        </w:rPr>
      </w:pPr>
    </w:p>
    <w:p w:rsidR="005D02F7" w:rsidRDefault="005D02F7" w:rsidP="009A751A">
      <w:pPr>
        <w:autoSpaceDE w:val="0"/>
        <w:autoSpaceDN w:val="0"/>
        <w:adjustRightInd w:val="0"/>
        <w:spacing w:after="0" w:line="480" w:lineRule="auto"/>
        <w:contextualSpacing w:val="0"/>
        <w:rPr>
          <w:rFonts w:ascii="Times New Roman" w:hAnsi="Times New Roman" w:cs="Times New Roman"/>
          <w:sz w:val="24"/>
          <w:szCs w:val="24"/>
          <w:lang w:val="en-GB"/>
        </w:rPr>
      </w:pPr>
    </w:p>
    <w:p w:rsidR="00261C07" w:rsidRDefault="00261C07" w:rsidP="009A751A">
      <w:pPr>
        <w:autoSpaceDE w:val="0"/>
        <w:autoSpaceDN w:val="0"/>
        <w:adjustRightInd w:val="0"/>
        <w:spacing w:after="0" w:line="480" w:lineRule="auto"/>
        <w:contextualSpacing w:val="0"/>
        <w:rPr>
          <w:rFonts w:ascii="Times New Roman" w:hAnsi="Times New Roman" w:cs="Times New Roman"/>
          <w:sz w:val="24"/>
          <w:szCs w:val="24"/>
          <w:lang w:val="en-GB"/>
        </w:rPr>
        <w:sectPr w:rsidR="00261C07" w:rsidSect="00261C07">
          <w:pgSz w:w="15840" w:h="12240" w:orient="landscape"/>
          <w:pgMar w:top="1440" w:right="1440" w:bottom="1440" w:left="1440" w:header="720" w:footer="720" w:gutter="0"/>
          <w:cols w:space="720"/>
          <w:docGrid w:linePitch="360"/>
        </w:sectPr>
      </w:pPr>
    </w:p>
    <w:p w:rsidR="003D51F1" w:rsidRPr="003D51F1" w:rsidRDefault="003D51F1" w:rsidP="003D51F1">
      <w:pPr>
        <w:autoSpaceDE w:val="0"/>
        <w:autoSpaceDN w:val="0"/>
        <w:adjustRightInd w:val="0"/>
        <w:spacing w:after="0" w:line="480" w:lineRule="auto"/>
        <w:contextualSpacing w:val="0"/>
        <w:rPr>
          <w:rFonts w:ascii="Times New Roman" w:hAnsi="Times New Roman" w:cs="Times New Roman"/>
          <w:b/>
          <w:bCs/>
          <w:sz w:val="24"/>
          <w:szCs w:val="24"/>
          <w:lang w:val="en-GB"/>
        </w:rPr>
      </w:pPr>
      <w:r w:rsidRPr="003D51F1">
        <w:rPr>
          <w:rFonts w:ascii="Times New Roman" w:hAnsi="Times New Roman" w:cs="Times New Roman"/>
          <w:b/>
          <w:bCs/>
          <w:sz w:val="24"/>
          <w:szCs w:val="24"/>
          <w:lang w:val="en-GB"/>
        </w:rPr>
        <w:lastRenderedPageBreak/>
        <w:t>Discussion</w:t>
      </w:r>
    </w:p>
    <w:p w:rsidR="003D51F1" w:rsidRPr="003D51F1" w:rsidRDefault="003D51F1" w:rsidP="003D51F1">
      <w:pPr>
        <w:autoSpaceDE w:val="0"/>
        <w:autoSpaceDN w:val="0"/>
        <w:adjustRightInd w:val="0"/>
        <w:spacing w:after="0" w:line="480" w:lineRule="auto"/>
        <w:contextualSpacing w:val="0"/>
        <w:rPr>
          <w:rFonts w:ascii="Times New Roman" w:hAnsi="Times New Roman" w:cs="Times New Roman"/>
          <w:sz w:val="24"/>
          <w:szCs w:val="24"/>
          <w:lang w:val="en-GB"/>
        </w:rPr>
      </w:pPr>
      <w:r w:rsidRPr="003D51F1">
        <w:rPr>
          <w:rFonts w:ascii="Times New Roman" w:hAnsi="Times New Roman" w:cs="Times New Roman"/>
          <w:sz w:val="24"/>
          <w:szCs w:val="24"/>
          <w:lang w:val="en-GB"/>
        </w:rPr>
        <w:t>Despite the increased pr</w:t>
      </w:r>
      <w:r>
        <w:rPr>
          <w:rFonts w:ascii="Times New Roman" w:hAnsi="Times New Roman" w:cs="Times New Roman"/>
          <w:sz w:val="24"/>
          <w:szCs w:val="24"/>
          <w:lang w:val="en-GB"/>
        </w:rPr>
        <w:t xml:space="preserve">evalence of ASD in children and </w:t>
      </w:r>
      <w:r w:rsidRPr="003D51F1">
        <w:rPr>
          <w:rFonts w:ascii="Times New Roman" w:hAnsi="Times New Roman" w:cs="Times New Roman"/>
          <w:sz w:val="24"/>
          <w:szCs w:val="24"/>
          <w:lang w:val="en-GB"/>
        </w:rPr>
        <w:t>adolescents over recent yea</w:t>
      </w:r>
      <w:r>
        <w:rPr>
          <w:rFonts w:ascii="Times New Roman" w:hAnsi="Times New Roman" w:cs="Times New Roman"/>
          <w:sz w:val="24"/>
          <w:szCs w:val="24"/>
          <w:lang w:val="en-GB"/>
        </w:rPr>
        <w:t xml:space="preserve">rs, this study found that girls </w:t>
      </w:r>
      <w:r w:rsidRPr="003D51F1">
        <w:rPr>
          <w:rFonts w:ascii="Times New Roman" w:hAnsi="Times New Roman" w:cs="Times New Roman"/>
          <w:sz w:val="24"/>
          <w:szCs w:val="24"/>
          <w:lang w:val="en-GB"/>
        </w:rPr>
        <w:t>continue to be referred an</w:t>
      </w:r>
      <w:r>
        <w:rPr>
          <w:rFonts w:ascii="Times New Roman" w:hAnsi="Times New Roman" w:cs="Times New Roman"/>
          <w:sz w:val="24"/>
          <w:szCs w:val="24"/>
          <w:lang w:val="en-GB"/>
        </w:rPr>
        <w:t xml:space="preserve">d diagnosed significantly later </w:t>
      </w:r>
      <w:r w:rsidRPr="003D51F1">
        <w:rPr>
          <w:rFonts w:ascii="Times New Roman" w:hAnsi="Times New Roman" w:cs="Times New Roman"/>
          <w:sz w:val="24"/>
          <w:szCs w:val="24"/>
          <w:lang w:val="en-GB"/>
        </w:rPr>
        <w:t>than boys and that this delay occurs p</w:t>
      </w:r>
      <w:r>
        <w:rPr>
          <w:rFonts w:ascii="Times New Roman" w:hAnsi="Times New Roman" w:cs="Times New Roman"/>
          <w:sz w:val="24"/>
          <w:szCs w:val="24"/>
          <w:lang w:val="en-GB"/>
        </w:rPr>
        <w:t xml:space="preserve">rior to referral for specialist </w:t>
      </w:r>
      <w:r w:rsidRPr="003D51F1">
        <w:rPr>
          <w:rFonts w:ascii="Times New Roman" w:hAnsi="Times New Roman" w:cs="Times New Roman"/>
          <w:sz w:val="24"/>
          <w:szCs w:val="24"/>
          <w:lang w:val="en-GB"/>
        </w:rPr>
        <w:t>assessment. This find</w:t>
      </w:r>
      <w:r>
        <w:rPr>
          <w:rFonts w:ascii="Times New Roman" w:hAnsi="Times New Roman" w:cs="Times New Roman"/>
          <w:sz w:val="24"/>
          <w:szCs w:val="24"/>
          <w:lang w:val="en-GB"/>
        </w:rPr>
        <w:t xml:space="preserve">ing adds weight to the reported </w:t>
      </w:r>
      <w:r w:rsidRPr="003D51F1">
        <w:rPr>
          <w:rFonts w:ascii="Times New Roman" w:hAnsi="Times New Roman" w:cs="Times New Roman"/>
          <w:sz w:val="24"/>
          <w:szCs w:val="24"/>
          <w:lang w:val="en-GB"/>
        </w:rPr>
        <w:t>concerns that there is a delayed dia</w:t>
      </w:r>
      <w:r>
        <w:rPr>
          <w:rFonts w:ascii="Times New Roman" w:hAnsi="Times New Roman" w:cs="Times New Roman"/>
          <w:sz w:val="24"/>
          <w:szCs w:val="24"/>
          <w:lang w:val="en-GB"/>
        </w:rPr>
        <w:t xml:space="preserve">gnosis and under-identification </w:t>
      </w:r>
      <w:r w:rsidRPr="003D51F1">
        <w:rPr>
          <w:rFonts w:ascii="Times New Roman" w:hAnsi="Times New Roman" w:cs="Times New Roman"/>
          <w:sz w:val="24"/>
          <w:szCs w:val="24"/>
          <w:lang w:val="en-GB"/>
        </w:rPr>
        <w:t xml:space="preserve">of ASD in girls (e.g. </w:t>
      </w:r>
      <w:r>
        <w:rPr>
          <w:rFonts w:ascii="Times New Roman" w:hAnsi="Times New Roman" w:cs="Times New Roman"/>
          <w:sz w:val="24"/>
          <w:szCs w:val="24"/>
          <w:lang w:val="en-GB"/>
        </w:rPr>
        <w:t xml:space="preserve">Giarelli et al., 2010) with the </w:t>
      </w:r>
      <w:r w:rsidRPr="003D51F1">
        <w:rPr>
          <w:rFonts w:ascii="Times New Roman" w:hAnsi="Times New Roman" w:cs="Times New Roman"/>
          <w:sz w:val="24"/>
          <w:szCs w:val="24"/>
          <w:lang w:val="en-GB"/>
        </w:rPr>
        <w:t>potential effect of limiting access to specialist support and</w:t>
      </w:r>
    </w:p>
    <w:p w:rsidR="003D51F1" w:rsidRDefault="003D51F1" w:rsidP="003D51F1">
      <w:pPr>
        <w:autoSpaceDE w:val="0"/>
        <w:autoSpaceDN w:val="0"/>
        <w:adjustRightInd w:val="0"/>
        <w:spacing w:after="0" w:line="480" w:lineRule="auto"/>
        <w:contextualSpacing w:val="0"/>
        <w:rPr>
          <w:rFonts w:ascii="Times New Roman" w:hAnsi="Times New Roman" w:cs="Times New Roman"/>
          <w:sz w:val="24"/>
          <w:szCs w:val="24"/>
          <w:lang w:val="en-GB"/>
        </w:rPr>
      </w:pPr>
      <w:proofErr w:type="gramStart"/>
      <w:r w:rsidRPr="003D51F1">
        <w:rPr>
          <w:rFonts w:ascii="Times New Roman" w:hAnsi="Times New Roman" w:cs="Times New Roman"/>
          <w:sz w:val="24"/>
          <w:szCs w:val="24"/>
          <w:lang w:val="en-GB"/>
        </w:rPr>
        <w:t>intervention</w:t>
      </w:r>
      <w:proofErr w:type="gramEnd"/>
      <w:r w:rsidRPr="003D51F1">
        <w:rPr>
          <w:rFonts w:ascii="Times New Roman" w:hAnsi="Times New Roman" w:cs="Times New Roman"/>
          <w:sz w:val="24"/>
          <w:szCs w:val="24"/>
          <w:lang w:val="en-GB"/>
        </w:rPr>
        <w:t>. Findings provide evidence of the need to direct</w:t>
      </w:r>
      <w:r>
        <w:rPr>
          <w:rFonts w:ascii="Times New Roman" w:hAnsi="Times New Roman" w:cs="Times New Roman"/>
          <w:sz w:val="24"/>
          <w:szCs w:val="24"/>
          <w:lang w:val="en-GB"/>
        </w:rPr>
        <w:t xml:space="preserve"> </w:t>
      </w:r>
      <w:r w:rsidRPr="003D51F1">
        <w:rPr>
          <w:rFonts w:ascii="Times New Roman" w:hAnsi="Times New Roman" w:cs="Times New Roman"/>
          <w:sz w:val="24"/>
          <w:szCs w:val="24"/>
          <w:lang w:val="en-GB"/>
        </w:rPr>
        <w:t>resources and training abo</w:t>
      </w:r>
      <w:r>
        <w:rPr>
          <w:rFonts w:ascii="Times New Roman" w:hAnsi="Times New Roman" w:cs="Times New Roman"/>
          <w:sz w:val="24"/>
          <w:szCs w:val="24"/>
          <w:lang w:val="en-GB"/>
        </w:rPr>
        <w:t xml:space="preserve">ut ASD in females, at referrers </w:t>
      </w:r>
      <w:r w:rsidRPr="003D51F1">
        <w:rPr>
          <w:rFonts w:ascii="Times New Roman" w:hAnsi="Times New Roman" w:cs="Times New Roman"/>
          <w:sz w:val="24"/>
          <w:szCs w:val="24"/>
          <w:lang w:val="en-GB"/>
        </w:rPr>
        <w:t>from health, educ</w:t>
      </w:r>
      <w:r>
        <w:rPr>
          <w:rFonts w:ascii="Times New Roman" w:hAnsi="Times New Roman" w:cs="Times New Roman"/>
          <w:sz w:val="24"/>
          <w:szCs w:val="24"/>
          <w:lang w:val="en-GB"/>
        </w:rPr>
        <w:t xml:space="preserve">ation and social care services. </w:t>
      </w:r>
    </w:p>
    <w:p w:rsidR="003D51F1" w:rsidRDefault="003D51F1" w:rsidP="003D51F1">
      <w:pPr>
        <w:autoSpaceDE w:val="0"/>
        <w:autoSpaceDN w:val="0"/>
        <w:adjustRightInd w:val="0"/>
        <w:spacing w:after="0" w:line="480" w:lineRule="auto"/>
        <w:ind w:firstLine="720"/>
        <w:contextualSpacing w:val="0"/>
        <w:rPr>
          <w:rFonts w:ascii="Times New Roman" w:hAnsi="Times New Roman" w:cs="Times New Roman"/>
          <w:sz w:val="24"/>
          <w:szCs w:val="24"/>
          <w:lang w:val="en-GB"/>
        </w:rPr>
      </w:pPr>
      <w:r w:rsidRPr="003D51F1">
        <w:rPr>
          <w:rFonts w:ascii="Times New Roman" w:hAnsi="Times New Roman" w:cs="Times New Roman"/>
          <w:sz w:val="24"/>
          <w:szCs w:val="24"/>
          <w:lang w:val="en-GB"/>
        </w:rPr>
        <w:t>Once referred, the durati</w:t>
      </w:r>
      <w:r>
        <w:rPr>
          <w:rFonts w:ascii="Times New Roman" w:hAnsi="Times New Roman" w:cs="Times New Roman"/>
          <w:sz w:val="24"/>
          <w:szCs w:val="24"/>
          <w:lang w:val="en-GB"/>
        </w:rPr>
        <w:t xml:space="preserve">on of the diagnostic process </w:t>
      </w:r>
      <w:r w:rsidRPr="003D51F1">
        <w:rPr>
          <w:rFonts w:ascii="Times New Roman" w:hAnsi="Times New Roman" w:cs="Times New Roman"/>
          <w:sz w:val="24"/>
          <w:szCs w:val="24"/>
          <w:lang w:val="en-GB"/>
        </w:rPr>
        <w:t>was not significantly different for boys and girls. A high</w:t>
      </w:r>
      <w:r>
        <w:rPr>
          <w:rFonts w:ascii="Times New Roman" w:hAnsi="Times New Roman" w:cs="Times New Roman"/>
          <w:sz w:val="24"/>
          <w:szCs w:val="24"/>
          <w:lang w:val="en-GB"/>
        </w:rPr>
        <w:t xml:space="preserve"> </w:t>
      </w:r>
      <w:r w:rsidRPr="003D51F1">
        <w:rPr>
          <w:rFonts w:ascii="Times New Roman" w:hAnsi="Times New Roman" w:cs="Times New Roman"/>
          <w:sz w:val="24"/>
          <w:szCs w:val="24"/>
          <w:lang w:val="en-GB"/>
        </w:rPr>
        <w:t>level of adherence to cli</w:t>
      </w:r>
      <w:r>
        <w:rPr>
          <w:rFonts w:ascii="Times New Roman" w:hAnsi="Times New Roman" w:cs="Times New Roman"/>
          <w:sz w:val="24"/>
          <w:szCs w:val="24"/>
          <w:lang w:val="en-GB"/>
        </w:rPr>
        <w:t xml:space="preserve">nical guidelines and policy may </w:t>
      </w:r>
      <w:r w:rsidRPr="003D51F1">
        <w:rPr>
          <w:rFonts w:ascii="Times New Roman" w:hAnsi="Times New Roman" w:cs="Times New Roman"/>
          <w:sz w:val="24"/>
          <w:szCs w:val="24"/>
          <w:lang w:val="en-GB"/>
        </w:rPr>
        <w:t>contribute to an equal d</w:t>
      </w:r>
      <w:r>
        <w:rPr>
          <w:rFonts w:ascii="Times New Roman" w:hAnsi="Times New Roman" w:cs="Times New Roman"/>
          <w:sz w:val="24"/>
          <w:szCs w:val="24"/>
          <w:lang w:val="en-GB"/>
        </w:rPr>
        <w:t xml:space="preserve">uration of assessment for males </w:t>
      </w:r>
      <w:r w:rsidRPr="003D51F1">
        <w:rPr>
          <w:rFonts w:ascii="Times New Roman" w:hAnsi="Times New Roman" w:cs="Times New Roman"/>
          <w:sz w:val="24"/>
          <w:szCs w:val="24"/>
          <w:lang w:val="en-GB"/>
        </w:rPr>
        <w:t>and f</w:t>
      </w:r>
      <w:r>
        <w:rPr>
          <w:rFonts w:ascii="Times New Roman" w:hAnsi="Times New Roman" w:cs="Times New Roman"/>
          <w:sz w:val="24"/>
          <w:szCs w:val="24"/>
          <w:lang w:val="en-GB"/>
        </w:rPr>
        <w:t xml:space="preserve">emales (McKenzie et al., 2015). </w:t>
      </w:r>
    </w:p>
    <w:p w:rsidR="005F13BA" w:rsidRDefault="003D51F1" w:rsidP="007E7B7A">
      <w:pPr>
        <w:autoSpaceDE w:val="0"/>
        <w:autoSpaceDN w:val="0"/>
        <w:adjustRightInd w:val="0"/>
        <w:spacing w:after="0" w:line="480" w:lineRule="auto"/>
        <w:ind w:firstLine="720"/>
        <w:contextualSpacing w:val="0"/>
        <w:rPr>
          <w:rFonts w:ascii="TimesNewRomanPSMT" w:hAnsi="TimesNewRomanPSMT" w:cs="TimesNewRomanPSMT"/>
          <w:sz w:val="24"/>
          <w:szCs w:val="24"/>
          <w:lang w:val="en-GB"/>
        </w:rPr>
      </w:pPr>
      <w:r w:rsidRPr="003D51F1">
        <w:rPr>
          <w:rFonts w:ascii="Times New Roman" w:hAnsi="Times New Roman" w:cs="Times New Roman"/>
          <w:sz w:val="24"/>
          <w:szCs w:val="24"/>
          <w:lang w:val="en-GB"/>
        </w:rPr>
        <w:t>The gender ratio in all children and adolescents (3.5:1) was in keeping with national estimates (see Van Wijngaarden-Cremers et al., 2014) and was highest in the under 10 age group. A further important finding in this</w:t>
      </w:r>
      <w:r w:rsidRPr="003D51F1">
        <w:rPr>
          <w:rFonts w:ascii="TimesNewRomanPSMT" w:hAnsi="TimesNewRomanPSMT" w:cs="TimesNewRomanPSMT"/>
          <w:sz w:val="24"/>
          <w:szCs w:val="24"/>
          <w:lang w:val="en-GB"/>
        </w:rPr>
        <w:t xml:space="preserve"> study was that gender ratio reduces with increasing age,</w:t>
      </w:r>
      <w:r>
        <w:rPr>
          <w:rFonts w:ascii="TimesNewRomanPSMT" w:hAnsi="TimesNewRomanPSMT" w:cs="TimesNewRomanPSMT"/>
          <w:sz w:val="24"/>
          <w:szCs w:val="24"/>
          <w:lang w:val="en-GB"/>
        </w:rPr>
        <w:t xml:space="preserve"> </w:t>
      </w:r>
      <w:r w:rsidRPr="003D51F1">
        <w:rPr>
          <w:rFonts w:ascii="TimesNewRomanPSMT" w:hAnsi="TimesNewRomanPSMT" w:cs="TimesNewRomanPSMT"/>
          <w:sz w:val="24"/>
          <w:szCs w:val="24"/>
          <w:lang w:val="en-GB"/>
        </w:rPr>
        <w:t>being smaller for adolescents (2</w:t>
      </w:r>
      <w:r>
        <w:rPr>
          <w:rFonts w:ascii="TimesNewRomanPSMT" w:hAnsi="TimesNewRomanPSMT" w:cs="TimesNewRomanPSMT"/>
          <w:sz w:val="24"/>
          <w:szCs w:val="24"/>
          <w:lang w:val="en-GB"/>
        </w:rPr>
        <w:t xml:space="preserve">.3:1) than for younger children </w:t>
      </w:r>
      <w:r w:rsidRPr="003D51F1">
        <w:rPr>
          <w:rFonts w:ascii="TimesNewRomanPSMT" w:hAnsi="TimesNewRomanPSMT" w:cs="TimesNewRomanPSMT"/>
          <w:sz w:val="24"/>
          <w:szCs w:val="24"/>
          <w:lang w:val="en-GB"/>
        </w:rPr>
        <w:t>(5.5:1), thus suppo</w:t>
      </w:r>
      <w:r>
        <w:rPr>
          <w:rFonts w:ascii="TimesNewRomanPSMT" w:hAnsi="TimesNewRomanPSMT" w:cs="TimesNewRomanPSMT"/>
          <w:sz w:val="24"/>
          <w:szCs w:val="24"/>
          <w:lang w:val="en-GB"/>
        </w:rPr>
        <w:t xml:space="preserve">rting the camouflage hypothesis </w:t>
      </w:r>
      <w:r w:rsidRPr="003D51F1">
        <w:rPr>
          <w:rFonts w:ascii="TimesNewRomanPSMT" w:hAnsi="TimesNewRomanPSMT" w:cs="TimesNewRomanPSMT"/>
          <w:sz w:val="24"/>
          <w:szCs w:val="24"/>
          <w:lang w:val="en-GB"/>
        </w:rPr>
        <w:t>(Dworzynski et al., 2012) that it</w:t>
      </w:r>
      <w:r>
        <w:rPr>
          <w:rFonts w:ascii="TimesNewRomanPSMT" w:hAnsi="TimesNewRomanPSMT" w:cs="TimesNewRomanPSMT"/>
          <w:sz w:val="24"/>
          <w:szCs w:val="24"/>
          <w:lang w:val="en-GB"/>
        </w:rPr>
        <w:t xml:space="preserve"> becomes increasingly difficult </w:t>
      </w:r>
      <w:r w:rsidRPr="003D51F1">
        <w:rPr>
          <w:rFonts w:ascii="TimesNewRomanPSMT" w:hAnsi="TimesNewRomanPSMT" w:cs="TimesNewRomanPSMT"/>
          <w:sz w:val="24"/>
          <w:szCs w:val="24"/>
          <w:lang w:val="en-GB"/>
        </w:rPr>
        <w:t>for girls to mask t</w:t>
      </w:r>
      <w:r>
        <w:rPr>
          <w:rFonts w:ascii="TimesNewRomanPSMT" w:hAnsi="TimesNewRomanPSMT" w:cs="TimesNewRomanPSMT"/>
          <w:sz w:val="24"/>
          <w:szCs w:val="24"/>
          <w:lang w:val="en-GB"/>
        </w:rPr>
        <w:t xml:space="preserve">heir symptoms of ASD over time. </w:t>
      </w:r>
      <w:r w:rsidRPr="003D51F1">
        <w:rPr>
          <w:rFonts w:ascii="TimesNewRomanPSMT" w:hAnsi="TimesNewRomanPSMT" w:cs="TimesNewRomanPSMT"/>
          <w:sz w:val="24"/>
          <w:szCs w:val="24"/>
          <w:lang w:val="en-GB"/>
        </w:rPr>
        <w:t>This evidence of delayed r</w:t>
      </w:r>
      <w:r>
        <w:rPr>
          <w:rFonts w:ascii="TimesNewRomanPSMT" w:hAnsi="TimesNewRomanPSMT" w:cs="TimesNewRomanPSMT"/>
          <w:sz w:val="24"/>
          <w:szCs w:val="24"/>
          <w:lang w:val="en-GB"/>
        </w:rPr>
        <w:t xml:space="preserve">ecognition of girls leads us to </w:t>
      </w:r>
      <w:r w:rsidRPr="003D51F1">
        <w:rPr>
          <w:rFonts w:ascii="TimesNewRomanPSMT" w:hAnsi="TimesNewRomanPSMT" w:cs="TimesNewRomanPSMT"/>
          <w:sz w:val="24"/>
          <w:szCs w:val="24"/>
          <w:lang w:val="en-GB"/>
        </w:rPr>
        <w:t xml:space="preserve">further consider why this might </w:t>
      </w:r>
      <w:r>
        <w:rPr>
          <w:rFonts w:ascii="TimesNewRomanPSMT" w:hAnsi="TimesNewRomanPSMT" w:cs="TimesNewRomanPSMT"/>
          <w:sz w:val="24"/>
          <w:szCs w:val="24"/>
          <w:lang w:val="en-GB"/>
        </w:rPr>
        <w:t xml:space="preserve">be the case. Subtle differences </w:t>
      </w:r>
      <w:r w:rsidRPr="003D51F1">
        <w:rPr>
          <w:rFonts w:ascii="TimesNewRomanPSMT" w:hAnsi="TimesNewRomanPSMT" w:cs="TimesNewRomanPSMT"/>
          <w:sz w:val="24"/>
          <w:szCs w:val="24"/>
          <w:lang w:val="en-GB"/>
        </w:rPr>
        <w:t>in clinical present</w:t>
      </w:r>
      <w:r>
        <w:rPr>
          <w:rFonts w:ascii="TimesNewRomanPSMT" w:hAnsi="TimesNewRomanPSMT" w:cs="TimesNewRomanPSMT"/>
          <w:sz w:val="24"/>
          <w:szCs w:val="24"/>
          <w:lang w:val="en-GB"/>
        </w:rPr>
        <w:t xml:space="preserve">ation of females are thought to </w:t>
      </w:r>
      <w:r w:rsidRPr="003D51F1">
        <w:rPr>
          <w:rFonts w:ascii="TimesNewRomanPSMT" w:hAnsi="TimesNewRomanPSMT" w:cs="TimesNewRomanPSMT"/>
          <w:sz w:val="24"/>
          <w:szCs w:val="24"/>
          <w:lang w:val="en-GB"/>
        </w:rPr>
        <w:t>contribute to under-diagno</w:t>
      </w:r>
      <w:r>
        <w:rPr>
          <w:rFonts w:ascii="TimesNewRomanPSMT" w:hAnsi="TimesNewRomanPSMT" w:cs="TimesNewRomanPSMT"/>
          <w:sz w:val="24"/>
          <w:szCs w:val="24"/>
          <w:lang w:val="en-GB"/>
        </w:rPr>
        <w:t xml:space="preserve">sis of younger girls (Kirkovski </w:t>
      </w:r>
      <w:r w:rsidRPr="003D51F1">
        <w:rPr>
          <w:rFonts w:ascii="TimesNewRomanPSMT" w:hAnsi="TimesNewRomanPSMT" w:cs="TimesNewRomanPSMT"/>
          <w:sz w:val="24"/>
          <w:szCs w:val="24"/>
          <w:lang w:val="en-GB"/>
        </w:rPr>
        <w:t xml:space="preserve">et al., 2013), which in turn strengthens the need </w:t>
      </w:r>
      <w:r w:rsidR="007E7B7A">
        <w:rPr>
          <w:rFonts w:ascii="TimesNewRomanPSMT" w:hAnsi="TimesNewRomanPSMT" w:cs="TimesNewRomanPSMT"/>
          <w:sz w:val="24"/>
          <w:szCs w:val="24"/>
          <w:lang w:val="en-GB"/>
        </w:rPr>
        <w:t xml:space="preserve">to better </w:t>
      </w:r>
      <w:r w:rsidRPr="003D51F1">
        <w:rPr>
          <w:rFonts w:ascii="TimesNewRomanPSMT" w:hAnsi="TimesNewRomanPSMT" w:cs="TimesNewRomanPSMT"/>
          <w:sz w:val="24"/>
          <w:szCs w:val="24"/>
          <w:lang w:val="en-GB"/>
        </w:rPr>
        <w:t>understand the female p</w:t>
      </w:r>
      <w:r w:rsidR="007E7B7A">
        <w:rPr>
          <w:rFonts w:ascii="TimesNewRomanPSMT" w:hAnsi="TimesNewRomanPSMT" w:cs="TimesNewRomanPSMT"/>
          <w:sz w:val="24"/>
          <w:szCs w:val="24"/>
          <w:lang w:val="en-GB"/>
        </w:rPr>
        <w:t xml:space="preserve">rofile of ASD in children under </w:t>
      </w:r>
      <w:r w:rsidRPr="003D51F1">
        <w:rPr>
          <w:rFonts w:ascii="TimesNewRomanPSMT" w:hAnsi="TimesNewRomanPSMT" w:cs="TimesNewRomanPSMT"/>
          <w:sz w:val="24"/>
          <w:szCs w:val="24"/>
          <w:lang w:val="en-GB"/>
        </w:rPr>
        <w:t xml:space="preserve">10 years of age and to share </w:t>
      </w:r>
      <w:r w:rsidR="007E7B7A">
        <w:rPr>
          <w:rFonts w:ascii="TimesNewRomanPSMT" w:hAnsi="TimesNewRomanPSMT" w:cs="TimesNewRomanPSMT"/>
          <w:sz w:val="24"/>
          <w:szCs w:val="24"/>
          <w:lang w:val="en-GB"/>
        </w:rPr>
        <w:t xml:space="preserve">this effectively with referrers </w:t>
      </w:r>
      <w:r w:rsidRPr="003D51F1">
        <w:rPr>
          <w:rFonts w:ascii="TimesNewRomanPSMT" w:hAnsi="TimesNewRomanPSMT" w:cs="TimesNewRomanPSMT"/>
          <w:sz w:val="24"/>
          <w:szCs w:val="24"/>
          <w:lang w:val="en-GB"/>
        </w:rPr>
        <w:t>and diagnosticians. The find</w:t>
      </w:r>
      <w:r w:rsidR="007E7B7A">
        <w:rPr>
          <w:rFonts w:ascii="TimesNewRomanPSMT" w:hAnsi="TimesNewRomanPSMT" w:cs="TimesNewRomanPSMT"/>
          <w:sz w:val="24"/>
          <w:szCs w:val="24"/>
          <w:lang w:val="en-GB"/>
        </w:rPr>
        <w:t xml:space="preserve">ings also highlight the need to </w:t>
      </w:r>
      <w:r w:rsidRPr="003D51F1">
        <w:rPr>
          <w:rFonts w:ascii="TimesNewRomanPSMT" w:hAnsi="TimesNewRomanPSMT" w:cs="TimesNewRomanPSMT"/>
          <w:sz w:val="24"/>
          <w:szCs w:val="24"/>
          <w:lang w:val="en-GB"/>
        </w:rPr>
        <w:t>examine female characterist</w:t>
      </w:r>
      <w:r w:rsidR="007E7B7A">
        <w:rPr>
          <w:rFonts w:ascii="TimesNewRomanPSMT" w:hAnsi="TimesNewRomanPSMT" w:cs="TimesNewRomanPSMT"/>
          <w:sz w:val="24"/>
          <w:szCs w:val="24"/>
          <w:lang w:val="en-GB"/>
        </w:rPr>
        <w:t xml:space="preserve">ics in an adolescent population </w:t>
      </w:r>
      <w:r w:rsidRPr="003D51F1">
        <w:rPr>
          <w:rFonts w:ascii="TimesNewRomanPSMT" w:hAnsi="TimesNewRomanPSMT" w:cs="TimesNewRomanPSMT"/>
          <w:sz w:val="24"/>
          <w:szCs w:val="24"/>
          <w:lang w:val="en-GB"/>
        </w:rPr>
        <w:t>because this could be a cruc</w:t>
      </w:r>
      <w:r w:rsidR="007E7B7A">
        <w:rPr>
          <w:rFonts w:ascii="TimesNewRomanPSMT" w:hAnsi="TimesNewRomanPSMT" w:cs="TimesNewRomanPSMT"/>
          <w:sz w:val="24"/>
          <w:szCs w:val="24"/>
          <w:lang w:val="en-GB"/>
        </w:rPr>
        <w:t xml:space="preserve">ial stage for identification or unmasking of difficulties. </w:t>
      </w:r>
    </w:p>
    <w:p w:rsidR="00040E7A" w:rsidRDefault="007E7B7A" w:rsidP="00040E7A">
      <w:pPr>
        <w:autoSpaceDE w:val="0"/>
        <w:autoSpaceDN w:val="0"/>
        <w:adjustRightInd w:val="0"/>
        <w:spacing w:after="0" w:line="480" w:lineRule="auto"/>
        <w:ind w:firstLine="720"/>
        <w:contextualSpacing w:val="0"/>
        <w:rPr>
          <w:rFonts w:ascii="TimesNewRomanPSMT" w:hAnsi="TimesNewRomanPSMT" w:cs="TimesNewRomanPSMT"/>
          <w:sz w:val="24"/>
          <w:szCs w:val="24"/>
          <w:lang w:val="en-GB"/>
        </w:rPr>
      </w:pPr>
      <w:r>
        <w:rPr>
          <w:rFonts w:ascii="TimesNewRomanPSMT" w:hAnsi="TimesNewRomanPSMT" w:cs="TimesNewRomanPSMT"/>
          <w:sz w:val="24"/>
          <w:szCs w:val="24"/>
          <w:lang w:val="en-GB"/>
        </w:rPr>
        <w:lastRenderedPageBreak/>
        <w:t xml:space="preserve">There are few </w:t>
      </w:r>
      <w:r w:rsidR="003D51F1" w:rsidRPr="003D51F1">
        <w:rPr>
          <w:rFonts w:ascii="TimesNewRomanPSMT" w:hAnsi="TimesNewRomanPSMT" w:cs="TimesNewRomanPSMT"/>
          <w:sz w:val="24"/>
          <w:szCs w:val="24"/>
          <w:lang w:val="en-GB"/>
        </w:rPr>
        <w:t>nationwide stu</w:t>
      </w:r>
      <w:r>
        <w:rPr>
          <w:rFonts w:ascii="TimesNewRomanPSMT" w:hAnsi="TimesNewRomanPSMT" w:cs="TimesNewRomanPSMT"/>
          <w:sz w:val="24"/>
          <w:szCs w:val="24"/>
          <w:lang w:val="en-GB"/>
        </w:rPr>
        <w:t xml:space="preserve">dies reporting on the diagnosis </w:t>
      </w:r>
      <w:r w:rsidR="003D51F1" w:rsidRPr="003D51F1">
        <w:rPr>
          <w:rFonts w:ascii="TimesNewRomanPSMT" w:hAnsi="TimesNewRomanPSMT" w:cs="TimesNewRomanPSMT"/>
          <w:sz w:val="24"/>
          <w:szCs w:val="24"/>
          <w:lang w:val="en-GB"/>
        </w:rPr>
        <w:t>of ASD in adult</w:t>
      </w:r>
      <w:r>
        <w:rPr>
          <w:rFonts w:ascii="TimesNewRomanPSMT" w:hAnsi="TimesNewRomanPSMT" w:cs="TimesNewRomanPSMT"/>
          <w:sz w:val="24"/>
          <w:szCs w:val="24"/>
          <w:lang w:val="en-GB"/>
        </w:rPr>
        <w:t xml:space="preserve">s but there is some evidence of </w:t>
      </w:r>
      <w:r w:rsidR="003D51F1" w:rsidRPr="003D51F1">
        <w:rPr>
          <w:rFonts w:ascii="TimesNewRomanPSMT" w:hAnsi="TimesNewRomanPSMT" w:cs="TimesNewRomanPSMT"/>
          <w:sz w:val="24"/>
          <w:szCs w:val="24"/>
          <w:lang w:val="en-GB"/>
        </w:rPr>
        <w:t>changing practice over t</w:t>
      </w:r>
      <w:r>
        <w:rPr>
          <w:rFonts w:ascii="TimesNewRomanPSMT" w:hAnsi="TimesNewRomanPSMT" w:cs="TimesNewRomanPSMT"/>
          <w:sz w:val="24"/>
          <w:szCs w:val="24"/>
          <w:lang w:val="en-GB"/>
        </w:rPr>
        <w:t xml:space="preserve">ime leading to a greater female </w:t>
      </w:r>
      <w:r w:rsidR="003D51F1" w:rsidRPr="003D51F1">
        <w:rPr>
          <w:rFonts w:ascii="TimesNewRomanPSMT" w:hAnsi="TimesNewRomanPSMT" w:cs="TimesNewRomanPSMT"/>
          <w:sz w:val="24"/>
          <w:szCs w:val="24"/>
          <w:lang w:val="en-GB"/>
        </w:rPr>
        <w:t>representati</w:t>
      </w:r>
      <w:r>
        <w:rPr>
          <w:rFonts w:ascii="TimesNewRomanPSMT" w:hAnsi="TimesNewRomanPSMT" w:cs="TimesNewRomanPSMT"/>
          <w:sz w:val="24"/>
          <w:szCs w:val="24"/>
          <w:lang w:val="en-GB"/>
        </w:rPr>
        <w:t xml:space="preserve">on in recent years (Jensen et al., 2014). This </w:t>
      </w:r>
      <w:r w:rsidR="003D51F1" w:rsidRPr="003D51F1">
        <w:rPr>
          <w:rFonts w:ascii="TimesNewRomanPSMT" w:hAnsi="TimesNewRomanPSMT" w:cs="TimesNewRomanPSMT"/>
          <w:sz w:val="24"/>
          <w:szCs w:val="24"/>
          <w:lang w:val="en-GB"/>
        </w:rPr>
        <w:t>study looking at consecutivel</w:t>
      </w:r>
      <w:r>
        <w:rPr>
          <w:rFonts w:ascii="TimesNewRomanPSMT" w:hAnsi="TimesNewRomanPSMT" w:cs="TimesNewRomanPSMT"/>
          <w:sz w:val="24"/>
          <w:szCs w:val="24"/>
          <w:lang w:val="en-GB"/>
        </w:rPr>
        <w:t xml:space="preserve">y referred cases could indicate </w:t>
      </w:r>
      <w:r w:rsidR="003D51F1" w:rsidRPr="003D51F1">
        <w:rPr>
          <w:rFonts w:ascii="TimesNewRomanPSMT" w:hAnsi="TimesNewRomanPSMT" w:cs="TimesNewRomanPSMT"/>
          <w:sz w:val="24"/>
          <w:szCs w:val="24"/>
          <w:lang w:val="en-GB"/>
        </w:rPr>
        <w:t xml:space="preserve">changing practice </w:t>
      </w:r>
      <w:r>
        <w:rPr>
          <w:rFonts w:ascii="TimesNewRomanPSMT" w:hAnsi="TimesNewRomanPSMT" w:cs="TimesNewRomanPSMT"/>
          <w:sz w:val="24"/>
          <w:szCs w:val="24"/>
          <w:lang w:val="en-GB"/>
        </w:rPr>
        <w:t xml:space="preserve">and improving identification of </w:t>
      </w:r>
      <w:r w:rsidR="003D51F1" w:rsidRPr="003D51F1">
        <w:rPr>
          <w:rFonts w:ascii="TimesNewRomanPSMT" w:hAnsi="TimesNewRomanPSMT" w:cs="TimesNewRomanPSMT"/>
          <w:sz w:val="24"/>
          <w:szCs w:val="24"/>
          <w:lang w:val="en-GB"/>
        </w:rPr>
        <w:t>females with ASD in adult</w:t>
      </w:r>
      <w:r>
        <w:rPr>
          <w:rFonts w:ascii="TimesNewRomanPSMT" w:hAnsi="TimesNewRomanPSMT" w:cs="TimesNewRomanPSMT"/>
          <w:sz w:val="24"/>
          <w:szCs w:val="24"/>
          <w:lang w:val="en-GB"/>
        </w:rPr>
        <w:t xml:space="preserve">hood. The adult gender ratio of </w:t>
      </w:r>
      <w:r w:rsidR="003D51F1" w:rsidRPr="003D51F1">
        <w:rPr>
          <w:rFonts w:ascii="TimesNewRomanPSMT" w:hAnsi="TimesNewRomanPSMT" w:cs="TimesNewRomanPSMT"/>
          <w:sz w:val="24"/>
          <w:szCs w:val="24"/>
          <w:lang w:val="en-GB"/>
        </w:rPr>
        <w:t>1.8:1 found here was similar to that repo</w:t>
      </w:r>
      <w:r>
        <w:rPr>
          <w:rFonts w:ascii="TimesNewRomanPSMT" w:hAnsi="TimesNewRomanPSMT" w:cs="TimesNewRomanPSMT"/>
          <w:sz w:val="24"/>
          <w:szCs w:val="24"/>
          <w:lang w:val="en-GB"/>
        </w:rPr>
        <w:t xml:space="preserve">rted by Hofvander </w:t>
      </w:r>
      <w:r w:rsidR="003D51F1" w:rsidRPr="003D51F1">
        <w:rPr>
          <w:rFonts w:ascii="TimesNewRomanPSMT" w:hAnsi="TimesNewRomanPSMT" w:cs="TimesNewRomanPSMT"/>
          <w:sz w:val="24"/>
          <w:szCs w:val="24"/>
          <w:lang w:val="en-GB"/>
        </w:rPr>
        <w:t>et al. (2009) of 2:1. Although it is far lower than the 9:1</w:t>
      </w:r>
      <w:r w:rsidR="005F13BA">
        <w:rPr>
          <w:rFonts w:ascii="TimesNewRomanPSMT" w:hAnsi="TimesNewRomanPSMT" w:cs="TimesNewRomanPSMT"/>
          <w:sz w:val="24"/>
          <w:szCs w:val="24"/>
          <w:lang w:val="en-GB"/>
        </w:rPr>
        <w:t xml:space="preserve"> </w:t>
      </w:r>
      <w:r w:rsidR="003D51F1" w:rsidRPr="003D51F1">
        <w:rPr>
          <w:rFonts w:ascii="TimesNewRomanPSMT" w:hAnsi="TimesNewRomanPSMT" w:cs="TimesNewRomanPSMT"/>
          <w:sz w:val="24"/>
          <w:szCs w:val="24"/>
          <w:lang w:val="en-GB"/>
        </w:rPr>
        <w:t>ratio found by Brugha et al.,</w:t>
      </w:r>
      <w:r w:rsidR="005F13BA">
        <w:rPr>
          <w:rFonts w:ascii="TimesNewRomanPSMT" w:hAnsi="TimesNewRomanPSMT" w:cs="TimesNewRomanPSMT"/>
          <w:sz w:val="24"/>
          <w:szCs w:val="24"/>
          <w:lang w:val="en-GB"/>
        </w:rPr>
        <w:t xml:space="preserve"> 2009), it is important to note </w:t>
      </w:r>
      <w:r w:rsidR="003D51F1" w:rsidRPr="003D51F1">
        <w:rPr>
          <w:rFonts w:ascii="TimesNewRomanPSMT" w:hAnsi="TimesNewRomanPSMT" w:cs="TimesNewRomanPSMT"/>
          <w:sz w:val="24"/>
          <w:szCs w:val="24"/>
          <w:lang w:val="en-GB"/>
        </w:rPr>
        <w:t xml:space="preserve">the limitations reported in </w:t>
      </w:r>
      <w:r w:rsidR="005F13BA">
        <w:rPr>
          <w:rFonts w:ascii="TimesNewRomanPSMT" w:hAnsi="TimesNewRomanPSMT" w:cs="TimesNewRomanPSMT"/>
          <w:sz w:val="24"/>
          <w:szCs w:val="24"/>
          <w:lang w:val="en-GB"/>
        </w:rPr>
        <w:t xml:space="preserve">the latter study, including the </w:t>
      </w:r>
      <w:r w:rsidR="003D51F1" w:rsidRPr="003D51F1">
        <w:rPr>
          <w:rFonts w:ascii="TimesNewRomanPSMT" w:hAnsi="TimesNewRomanPSMT" w:cs="TimesNewRomanPSMT"/>
          <w:sz w:val="24"/>
          <w:szCs w:val="24"/>
          <w:lang w:val="en-GB"/>
        </w:rPr>
        <w:t>low survey response rate, the small sample size (</w:t>
      </w:r>
      <w:r w:rsidR="003D51F1" w:rsidRPr="003D51F1">
        <w:rPr>
          <w:rFonts w:ascii="TimesNewRomanPS-ItalicMT" w:hAnsi="TimesNewRomanPS-ItalicMT" w:cs="TimesNewRomanPS-ItalicMT"/>
          <w:i/>
          <w:iCs/>
          <w:sz w:val="24"/>
          <w:szCs w:val="24"/>
          <w:lang w:val="en-GB"/>
        </w:rPr>
        <w:t xml:space="preserve">n </w:t>
      </w:r>
      <w:r w:rsidR="005F13BA">
        <w:rPr>
          <w:rFonts w:ascii="TimesNewRomanPSMT" w:hAnsi="TimesNewRomanPSMT" w:cs="TimesNewRomanPSMT"/>
          <w:sz w:val="24"/>
          <w:szCs w:val="24"/>
          <w:lang w:val="en-GB"/>
        </w:rPr>
        <w:t xml:space="preserve">= 19) </w:t>
      </w:r>
      <w:r w:rsidR="003D51F1" w:rsidRPr="003D51F1">
        <w:rPr>
          <w:rFonts w:ascii="TimesNewRomanPSMT" w:hAnsi="TimesNewRomanPSMT" w:cs="TimesNewRomanPSMT"/>
          <w:sz w:val="24"/>
          <w:szCs w:val="24"/>
          <w:lang w:val="en-GB"/>
        </w:rPr>
        <w:t>and the use of a highe</w:t>
      </w:r>
      <w:r w:rsidR="005F13BA">
        <w:rPr>
          <w:rFonts w:ascii="TimesNewRomanPSMT" w:hAnsi="TimesNewRomanPSMT" w:cs="TimesNewRomanPSMT"/>
          <w:sz w:val="24"/>
          <w:szCs w:val="24"/>
          <w:lang w:val="en-GB"/>
        </w:rPr>
        <w:t xml:space="preserve">r cut-off score on standardised </w:t>
      </w:r>
      <w:r w:rsidR="003D51F1" w:rsidRPr="003D51F1">
        <w:rPr>
          <w:rFonts w:ascii="TimesNewRomanPSMT" w:hAnsi="TimesNewRomanPSMT" w:cs="TimesNewRomanPSMT"/>
          <w:sz w:val="24"/>
          <w:szCs w:val="24"/>
          <w:lang w:val="en-GB"/>
        </w:rPr>
        <w:t>assessment, excluding t</w:t>
      </w:r>
      <w:r w:rsidR="005F13BA">
        <w:rPr>
          <w:rFonts w:ascii="TimesNewRomanPSMT" w:hAnsi="TimesNewRomanPSMT" w:cs="TimesNewRomanPSMT"/>
          <w:sz w:val="24"/>
          <w:szCs w:val="24"/>
          <w:lang w:val="en-GB"/>
        </w:rPr>
        <w:t xml:space="preserve">hose with milder presentations. </w:t>
      </w:r>
      <w:r w:rsidR="003D51F1" w:rsidRPr="003D51F1">
        <w:rPr>
          <w:rFonts w:ascii="TimesNewRomanPSMT" w:hAnsi="TimesNewRomanPSMT" w:cs="TimesNewRomanPSMT"/>
          <w:sz w:val="24"/>
          <w:szCs w:val="24"/>
          <w:lang w:val="en-GB"/>
        </w:rPr>
        <w:t>The epidemiology of ASD in</w:t>
      </w:r>
      <w:r w:rsidR="005F13BA">
        <w:rPr>
          <w:rFonts w:ascii="TimesNewRomanPSMT" w:hAnsi="TimesNewRomanPSMT" w:cs="TimesNewRomanPSMT"/>
          <w:sz w:val="24"/>
          <w:szCs w:val="24"/>
          <w:lang w:val="en-GB"/>
        </w:rPr>
        <w:t xml:space="preserve"> adults merits further study in </w:t>
      </w:r>
      <w:r w:rsidR="003D51F1" w:rsidRPr="003D51F1">
        <w:rPr>
          <w:rFonts w:ascii="TimesNewRomanPSMT" w:hAnsi="TimesNewRomanPSMT" w:cs="TimesNewRomanPSMT"/>
          <w:sz w:val="24"/>
          <w:szCs w:val="24"/>
          <w:lang w:val="en-GB"/>
        </w:rPr>
        <w:t>light of fin</w:t>
      </w:r>
      <w:r w:rsidR="005F13BA">
        <w:rPr>
          <w:rFonts w:ascii="TimesNewRomanPSMT" w:hAnsi="TimesNewRomanPSMT" w:cs="TimesNewRomanPSMT"/>
          <w:sz w:val="24"/>
          <w:szCs w:val="24"/>
          <w:lang w:val="en-GB"/>
        </w:rPr>
        <w:t xml:space="preserve">dings in this study and others. </w:t>
      </w:r>
    </w:p>
    <w:p w:rsidR="005F13BA" w:rsidRPr="005F13BA" w:rsidRDefault="003D51F1" w:rsidP="00040E7A">
      <w:pPr>
        <w:autoSpaceDE w:val="0"/>
        <w:autoSpaceDN w:val="0"/>
        <w:adjustRightInd w:val="0"/>
        <w:spacing w:after="0" w:line="480" w:lineRule="auto"/>
        <w:ind w:firstLine="720"/>
        <w:contextualSpacing w:val="0"/>
        <w:rPr>
          <w:rFonts w:ascii="TimesNewRomanPSMT" w:hAnsi="TimesNewRomanPSMT" w:cs="TimesNewRomanPSMT"/>
          <w:sz w:val="24"/>
          <w:szCs w:val="24"/>
          <w:lang w:val="en-GB"/>
        </w:rPr>
      </w:pPr>
      <w:r w:rsidRPr="005F13BA">
        <w:rPr>
          <w:rFonts w:ascii="TimesNewRomanPSMT" w:hAnsi="TimesNewRomanPSMT" w:cs="TimesNewRomanPSMT"/>
          <w:sz w:val="24"/>
          <w:szCs w:val="24"/>
          <w:lang w:val="en-GB"/>
        </w:rPr>
        <w:t>The study found that, for adults, there was n</w:t>
      </w:r>
      <w:r w:rsidR="005F13BA" w:rsidRPr="005F13BA">
        <w:rPr>
          <w:rFonts w:ascii="TimesNewRomanPSMT" w:hAnsi="TimesNewRomanPSMT" w:cs="TimesNewRomanPSMT"/>
          <w:sz w:val="24"/>
          <w:szCs w:val="24"/>
          <w:lang w:val="en-GB"/>
        </w:rPr>
        <w:t xml:space="preserve">o significant </w:t>
      </w:r>
      <w:r w:rsidRPr="005F13BA">
        <w:rPr>
          <w:rFonts w:ascii="TimesNewRomanPSMT" w:hAnsi="TimesNewRomanPSMT" w:cs="TimesNewRomanPSMT"/>
          <w:sz w:val="24"/>
          <w:szCs w:val="24"/>
          <w:lang w:val="en-GB"/>
        </w:rPr>
        <w:t xml:space="preserve">gender effect on age of </w:t>
      </w:r>
      <w:r w:rsidR="005F13BA" w:rsidRPr="005F13BA">
        <w:rPr>
          <w:rFonts w:ascii="TimesNewRomanPSMT" w:hAnsi="TimesNewRomanPSMT" w:cs="TimesNewRomanPSMT"/>
          <w:sz w:val="24"/>
          <w:szCs w:val="24"/>
          <w:lang w:val="en-GB"/>
        </w:rPr>
        <w:t xml:space="preserve">referral, diagnosis or duration </w:t>
      </w:r>
      <w:r w:rsidRPr="005F13BA">
        <w:rPr>
          <w:rFonts w:ascii="TimesNewRomanPSMT" w:hAnsi="TimesNewRomanPSMT" w:cs="TimesNewRomanPSMT"/>
          <w:sz w:val="24"/>
          <w:szCs w:val="24"/>
          <w:lang w:val="en-GB"/>
        </w:rPr>
        <w:t>of the diagnostic process. The mean ages of diagnosis for</w:t>
      </w:r>
      <w:r w:rsidR="005F13BA" w:rsidRPr="005F13BA">
        <w:rPr>
          <w:rFonts w:ascii="TimesNewRomanPSMT" w:hAnsi="TimesNewRomanPSMT" w:cs="TimesNewRomanPSMT"/>
          <w:sz w:val="24"/>
          <w:szCs w:val="24"/>
          <w:lang w:val="en-GB"/>
        </w:rPr>
        <w:t xml:space="preserve"> both males (30 years) and females (32 years 6 months) are</w:t>
      </w:r>
      <w:r w:rsidR="005F13BA">
        <w:rPr>
          <w:rFonts w:ascii="TimesNewRomanPSMT" w:hAnsi="TimesNewRomanPSMT" w:cs="TimesNewRomanPSMT"/>
          <w:sz w:val="24"/>
          <w:szCs w:val="24"/>
          <w:lang w:val="en-GB"/>
        </w:rPr>
        <w:t xml:space="preserve"> </w:t>
      </w:r>
      <w:r w:rsidR="005F13BA" w:rsidRPr="005F13BA">
        <w:rPr>
          <w:rFonts w:ascii="TimesNewRomanPSMT" w:hAnsi="TimesNewRomanPSMT" w:cs="TimesNewRomanPSMT"/>
          <w:sz w:val="24"/>
          <w:szCs w:val="24"/>
          <w:lang w:val="en-GB"/>
        </w:rPr>
        <w:t>consistent with other clini</w:t>
      </w:r>
      <w:r w:rsidR="005F13BA">
        <w:rPr>
          <w:rFonts w:ascii="TimesNewRomanPSMT" w:hAnsi="TimesNewRomanPSMT" w:cs="TimesNewRomanPSMT"/>
          <w:sz w:val="24"/>
          <w:szCs w:val="24"/>
          <w:lang w:val="en-GB"/>
        </w:rPr>
        <w:t xml:space="preserve">cal cohort studies (e.g. Geurts </w:t>
      </w:r>
      <w:r w:rsidR="005F13BA" w:rsidRPr="005F13BA">
        <w:rPr>
          <w:rFonts w:ascii="TimesNewRomanPSMT" w:hAnsi="TimesNewRomanPSMT" w:cs="TimesNewRomanPSMT"/>
          <w:sz w:val="24"/>
          <w:szCs w:val="24"/>
          <w:lang w:val="en-GB"/>
        </w:rPr>
        <w:t>and Jansen 2012). Whi</w:t>
      </w:r>
      <w:r w:rsidR="005F13BA">
        <w:rPr>
          <w:rFonts w:ascii="TimesNewRomanPSMT" w:hAnsi="TimesNewRomanPSMT" w:cs="TimesNewRomanPSMT"/>
          <w:sz w:val="24"/>
          <w:szCs w:val="24"/>
          <w:lang w:val="en-GB"/>
        </w:rPr>
        <w:t xml:space="preserve">le gender may not affect age of </w:t>
      </w:r>
      <w:r w:rsidR="005F13BA" w:rsidRPr="005F13BA">
        <w:rPr>
          <w:rFonts w:ascii="TimesNewRomanPSMT" w:hAnsi="TimesNewRomanPSMT" w:cs="TimesNewRomanPSMT"/>
          <w:sz w:val="24"/>
          <w:szCs w:val="24"/>
          <w:lang w:val="en-GB"/>
        </w:rPr>
        <w:t>diagnosis in adults, late iden</w:t>
      </w:r>
      <w:r w:rsidR="005F13BA">
        <w:rPr>
          <w:rFonts w:ascii="TimesNewRomanPSMT" w:hAnsi="TimesNewRomanPSMT" w:cs="TimesNewRomanPSMT"/>
          <w:sz w:val="24"/>
          <w:szCs w:val="24"/>
          <w:lang w:val="en-GB"/>
        </w:rPr>
        <w:t xml:space="preserve">tification and referral for ASD </w:t>
      </w:r>
      <w:r w:rsidR="005F13BA" w:rsidRPr="005F13BA">
        <w:rPr>
          <w:rFonts w:ascii="TimesNewRomanPSMT" w:hAnsi="TimesNewRomanPSMT" w:cs="TimesNewRomanPSMT"/>
          <w:sz w:val="24"/>
          <w:szCs w:val="24"/>
          <w:lang w:val="en-GB"/>
        </w:rPr>
        <w:t>diagnostic assessment remain a significant challenge for</w:t>
      </w:r>
    </w:p>
    <w:p w:rsidR="00725456" w:rsidRDefault="005F13BA" w:rsidP="005F13BA">
      <w:pPr>
        <w:autoSpaceDE w:val="0"/>
        <w:autoSpaceDN w:val="0"/>
        <w:adjustRightInd w:val="0"/>
        <w:spacing w:after="0" w:line="480" w:lineRule="auto"/>
        <w:contextualSpacing w:val="0"/>
        <w:rPr>
          <w:rFonts w:ascii="TimesNewRomanPSMT" w:hAnsi="TimesNewRomanPSMT" w:cs="TimesNewRomanPSMT"/>
          <w:sz w:val="24"/>
          <w:szCs w:val="24"/>
          <w:lang w:val="en-GB"/>
        </w:rPr>
      </w:pPr>
      <w:proofErr w:type="gramStart"/>
      <w:r>
        <w:rPr>
          <w:rFonts w:ascii="TimesNewRomanPSMT" w:hAnsi="TimesNewRomanPSMT" w:cs="TimesNewRomanPSMT"/>
          <w:sz w:val="24"/>
          <w:szCs w:val="24"/>
          <w:lang w:val="en-GB"/>
        </w:rPr>
        <w:t>many</w:t>
      </w:r>
      <w:proofErr w:type="gramEnd"/>
      <w:r>
        <w:rPr>
          <w:rFonts w:ascii="TimesNewRomanPSMT" w:hAnsi="TimesNewRomanPSMT" w:cs="TimesNewRomanPSMT"/>
          <w:sz w:val="24"/>
          <w:szCs w:val="24"/>
          <w:lang w:val="en-GB"/>
        </w:rPr>
        <w:t xml:space="preserve"> adults.</w:t>
      </w:r>
    </w:p>
    <w:p w:rsidR="005F13BA" w:rsidRPr="005F13BA" w:rsidRDefault="005F13BA" w:rsidP="00725456">
      <w:pPr>
        <w:autoSpaceDE w:val="0"/>
        <w:autoSpaceDN w:val="0"/>
        <w:adjustRightInd w:val="0"/>
        <w:spacing w:after="0" w:line="480" w:lineRule="auto"/>
        <w:ind w:firstLine="720"/>
        <w:contextualSpacing w:val="0"/>
        <w:rPr>
          <w:rFonts w:ascii="TimesNewRomanPSMT" w:hAnsi="TimesNewRomanPSMT" w:cs="TimesNewRomanPSMT"/>
          <w:sz w:val="24"/>
          <w:szCs w:val="24"/>
          <w:lang w:val="en-GB"/>
        </w:rPr>
      </w:pPr>
      <w:r>
        <w:rPr>
          <w:rFonts w:ascii="TimesNewRomanPSMT" w:hAnsi="TimesNewRomanPSMT" w:cs="TimesNewRomanPSMT"/>
          <w:sz w:val="24"/>
          <w:szCs w:val="24"/>
          <w:lang w:val="en-GB"/>
        </w:rPr>
        <w:t xml:space="preserve"> </w:t>
      </w:r>
      <w:r w:rsidRPr="005F13BA">
        <w:rPr>
          <w:rFonts w:ascii="TimesNewRomanPSMT" w:hAnsi="TimesNewRomanPSMT" w:cs="TimesNewRomanPSMT"/>
          <w:sz w:val="24"/>
          <w:szCs w:val="24"/>
          <w:lang w:val="en-GB"/>
        </w:rPr>
        <w:t>In this study, 18/70 adu</w:t>
      </w:r>
      <w:r>
        <w:rPr>
          <w:rFonts w:ascii="TimesNewRomanPSMT" w:hAnsi="TimesNewRomanPSMT" w:cs="TimesNewRomanPSMT"/>
          <w:sz w:val="24"/>
          <w:szCs w:val="24"/>
          <w:lang w:val="en-GB"/>
        </w:rPr>
        <w:t xml:space="preserve">lts diagnosed were over the age </w:t>
      </w:r>
      <w:r w:rsidRPr="005F13BA">
        <w:rPr>
          <w:rFonts w:ascii="TimesNewRomanPSMT" w:hAnsi="TimesNewRomanPSMT" w:cs="TimesNewRomanPSMT"/>
          <w:sz w:val="24"/>
          <w:szCs w:val="24"/>
          <w:lang w:val="en-GB"/>
        </w:rPr>
        <w:t>of 40 years (six of whom h</w:t>
      </w:r>
      <w:r>
        <w:rPr>
          <w:rFonts w:ascii="TimesNewRomanPSMT" w:hAnsi="TimesNewRomanPSMT" w:cs="TimesNewRomanPSMT"/>
          <w:sz w:val="24"/>
          <w:szCs w:val="24"/>
          <w:lang w:val="en-GB"/>
        </w:rPr>
        <w:t xml:space="preserve">ad ID), with the oldest being </w:t>
      </w:r>
      <w:r w:rsidRPr="005F13BA">
        <w:rPr>
          <w:rFonts w:ascii="TimesNewRomanPSMT" w:hAnsi="TimesNewRomanPSMT" w:cs="TimesNewRomanPSMT"/>
          <w:sz w:val="24"/>
          <w:szCs w:val="24"/>
          <w:lang w:val="en-GB"/>
        </w:rPr>
        <w:t>aged 55 years, providing</w:t>
      </w:r>
      <w:r>
        <w:rPr>
          <w:rFonts w:ascii="TimesNewRomanPSMT" w:hAnsi="TimesNewRomanPSMT" w:cs="TimesNewRomanPSMT"/>
          <w:sz w:val="24"/>
          <w:szCs w:val="24"/>
          <w:lang w:val="en-GB"/>
        </w:rPr>
        <w:t xml:space="preserve"> clinical evidence for concerns </w:t>
      </w:r>
      <w:r w:rsidRPr="005F13BA">
        <w:rPr>
          <w:rFonts w:ascii="TimesNewRomanPSMT" w:hAnsi="TimesNewRomanPSMT" w:cs="TimesNewRomanPSMT"/>
          <w:sz w:val="24"/>
          <w:szCs w:val="24"/>
          <w:lang w:val="en-GB"/>
        </w:rPr>
        <w:t>over older adults who r</w:t>
      </w:r>
      <w:r>
        <w:rPr>
          <w:rFonts w:ascii="TimesNewRomanPSMT" w:hAnsi="TimesNewRomanPSMT" w:cs="TimesNewRomanPSMT"/>
          <w:sz w:val="24"/>
          <w:szCs w:val="24"/>
          <w:lang w:val="en-GB"/>
        </w:rPr>
        <w:t xml:space="preserve">emain unidentified and for whom </w:t>
      </w:r>
      <w:r w:rsidRPr="005F13BA">
        <w:rPr>
          <w:rFonts w:ascii="TimesNewRomanPSMT" w:hAnsi="TimesNewRomanPSMT" w:cs="TimesNewRomanPSMT"/>
          <w:sz w:val="24"/>
          <w:szCs w:val="24"/>
          <w:lang w:val="en-GB"/>
        </w:rPr>
        <w:t>the diagnostic criteria and i</w:t>
      </w:r>
      <w:r>
        <w:rPr>
          <w:rFonts w:ascii="TimesNewRomanPSMT" w:hAnsi="TimesNewRomanPSMT" w:cs="TimesNewRomanPSMT"/>
          <w:sz w:val="24"/>
          <w:szCs w:val="24"/>
          <w:lang w:val="en-GB"/>
        </w:rPr>
        <w:t xml:space="preserve">nstruments are undifferentiated </w:t>
      </w:r>
      <w:r w:rsidRPr="005F13BA">
        <w:rPr>
          <w:rFonts w:ascii="TimesNewRomanPSMT" w:hAnsi="TimesNewRomanPSMT" w:cs="TimesNewRomanPSMT"/>
          <w:sz w:val="24"/>
          <w:szCs w:val="24"/>
          <w:lang w:val="en-GB"/>
        </w:rPr>
        <w:t>(Piven and Rabins, 2011). Given the evidence of gender</w:t>
      </w:r>
      <w:r>
        <w:rPr>
          <w:rFonts w:ascii="TimesNewRomanPSMT" w:hAnsi="TimesNewRomanPSMT" w:cs="TimesNewRomanPSMT"/>
          <w:sz w:val="24"/>
          <w:szCs w:val="24"/>
          <w:lang w:val="en-GB"/>
        </w:rPr>
        <w:t xml:space="preserve"> </w:t>
      </w:r>
      <w:r w:rsidRPr="005F13BA">
        <w:rPr>
          <w:rFonts w:ascii="TimesNewRomanPSMT" w:hAnsi="TimesNewRomanPSMT" w:cs="TimesNewRomanPSMT"/>
          <w:sz w:val="24"/>
          <w:szCs w:val="24"/>
          <w:lang w:val="en-GB"/>
        </w:rPr>
        <w:t>disparity in children and ad</w:t>
      </w:r>
      <w:r>
        <w:rPr>
          <w:rFonts w:ascii="TimesNewRomanPSMT" w:hAnsi="TimesNewRomanPSMT" w:cs="TimesNewRomanPSMT"/>
          <w:sz w:val="24"/>
          <w:szCs w:val="24"/>
          <w:lang w:val="en-GB"/>
        </w:rPr>
        <w:t xml:space="preserve">olescents, consideration of the </w:t>
      </w:r>
      <w:r w:rsidRPr="005F13BA">
        <w:rPr>
          <w:rFonts w:ascii="TimesNewRomanPSMT" w:hAnsi="TimesNewRomanPSMT" w:cs="TimesNewRomanPSMT"/>
          <w:sz w:val="24"/>
          <w:szCs w:val="24"/>
          <w:lang w:val="en-GB"/>
        </w:rPr>
        <w:t>effect of gender on presentation in older adults could also</w:t>
      </w:r>
    </w:p>
    <w:p w:rsidR="00725456" w:rsidRDefault="005F13BA" w:rsidP="005F13BA">
      <w:pPr>
        <w:autoSpaceDE w:val="0"/>
        <w:autoSpaceDN w:val="0"/>
        <w:adjustRightInd w:val="0"/>
        <w:spacing w:after="0" w:line="480" w:lineRule="auto"/>
        <w:contextualSpacing w:val="0"/>
        <w:rPr>
          <w:rFonts w:ascii="TimesNewRomanPSMT" w:hAnsi="TimesNewRomanPSMT" w:cs="TimesNewRomanPSMT"/>
          <w:sz w:val="24"/>
          <w:szCs w:val="24"/>
          <w:lang w:val="en-GB"/>
        </w:rPr>
      </w:pPr>
      <w:proofErr w:type="gramStart"/>
      <w:r>
        <w:rPr>
          <w:rFonts w:ascii="TimesNewRomanPSMT" w:hAnsi="TimesNewRomanPSMT" w:cs="TimesNewRomanPSMT"/>
          <w:sz w:val="24"/>
          <w:szCs w:val="24"/>
          <w:lang w:val="en-GB"/>
        </w:rPr>
        <w:t>be</w:t>
      </w:r>
      <w:proofErr w:type="gramEnd"/>
      <w:r>
        <w:rPr>
          <w:rFonts w:ascii="TimesNewRomanPSMT" w:hAnsi="TimesNewRomanPSMT" w:cs="TimesNewRomanPSMT"/>
          <w:sz w:val="24"/>
          <w:szCs w:val="24"/>
          <w:lang w:val="en-GB"/>
        </w:rPr>
        <w:t xml:space="preserve"> considered. </w:t>
      </w:r>
    </w:p>
    <w:p w:rsidR="00725456" w:rsidRDefault="005F13BA" w:rsidP="00725456">
      <w:pPr>
        <w:autoSpaceDE w:val="0"/>
        <w:autoSpaceDN w:val="0"/>
        <w:adjustRightInd w:val="0"/>
        <w:spacing w:after="0" w:line="480" w:lineRule="auto"/>
        <w:ind w:firstLine="720"/>
        <w:contextualSpacing w:val="0"/>
        <w:rPr>
          <w:rFonts w:ascii="TimesNewRomanPSMT" w:hAnsi="TimesNewRomanPSMT" w:cs="TimesNewRomanPSMT"/>
          <w:sz w:val="24"/>
          <w:szCs w:val="24"/>
          <w:lang w:val="en-GB"/>
        </w:rPr>
      </w:pPr>
      <w:r w:rsidRPr="005F13BA">
        <w:rPr>
          <w:rFonts w:ascii="TimesNewRomanPSMT" w:hAnsi="TimesNewRomanPSMT" w:cs="TimesNewRomanPSMT"/>
          <w:sz w:val="24"/>
          <w:szCs w:val="24"/>
          <w:lang w:val="en-GB"/>
        </w:rPr>
        <w:lastRenderedPageBreak/>
        <w:t>In this study, the co-o</w:t>
      </w:r>
      <w:r>
        <w:rPr>
          <w:rFonts w:ascii="TimesNewRomanPSMT" w:hAnsi="TimesNewRomanPSMT" w:cs="TimesNewRomanPSMT"/>
          <w:sz w:val="24"/>
          <w:szCs w:val="24"/>
          <w:lang w:val="en-GB"/>
        </w:rPr>
        <w:t xml:space="preserve">ccurrence of ID impacted on the </w:t>
      </w:r>
      <w:r w:rsidRPr="005F13BA">
        <w:rPr>
          <w:rFonts w:ascii="TimesNewRomanPSMT" w:hAnsi="TimesNewRomanPSMT" w:cs="TimesNewRomanPSMT"/>
          <w:sz w:val="24"/>
          <w:szCs w:val="24"/>
          <w:lang w:val="en-GB"/>
        </w:rPr>
        <w:t>gender ratio in adults, w</w:t>
      </w:r>
      <w:r>
        <w:rPr>
          <w:rFonts w:ascii="TimesNewRomanPSMT" w:hAnsi="TimesNewRomanPSMT" w:cs="TimesNewRomanPSMT"/>
          <w:sz w:val="24"/>
          <w:szCs w:val="24"/>
          <w:lang w:val="en-GB"/>
        </w:rPr>
        <w:t xml:space="preserve">ith a ratio of 1.2:1 females to </w:t>
      </w:r>
      <w:r w:rsidRPr="005F13BA">
        <w:rPr>
          <w:rFonts w:ascii="TimesNewRomanPSMT" w:hAnsi="TimesNewRomanPSMT" w:cs="TimesNewRomanPSMT"/>
          <w:sz w:val="24"/>
          <w:szCs w:val="24"/>
          <w:lang w:val="en-GB"/>
        </w:rPr>
        <w:t>males, although there was no o</w:t>
      </w:r>
      <w:r>
        <w:rPr>
          <w:rFonts w:ascii="TimesNewRomanPSMT" w:hAnsi="TimesNewRomanPSMT" w:cs="TimesNewRomanPSMT"/>
          <w:sz w:val="24"/>
          <w:szCs w:val="24"/>
          <w:lang w:val="en-GB"/>
        </w:rPr>
        <w:t xml:space="preserve">verall significant relationship </w:t>
      </w:r>
      <w:r w:rsidRPr="005F13BA">
        <w:rPr>
          <w:rFonts w:ascii="TimesNewRomanPSMT" w:hAnsi="TimesNewRomanPSMT" w:cs="TimesNewRomanPSMT"/>
          <w:sz w:val="24"/>
          <w:szCs w:val="24"/>
          <w:lang w:val="en-GB"/>
        </w:rPr>
        <w:t xml:space="preserve">between gender and </w:t>
      </w:r>
      <w:r>
        <w:rPr>
          <w:rFonts w:ascii="TimesNewRomanPSMT" w:hAnsi="TimesNewRomanPSMT" w:cs="TimesNewRomanPSMT"/>
          <w:sz w:val="24"/>
          <w:szCs w:val="24"/>
          <w:lang w:val="en-GB"/>
        </w:rPr>
        <w:t xml:space="preserve">whether an individual had ID or </w:t>
      </w:r>
      <w:r w:rsidRPr="005F13BA">
        <w:rPr>
          <w:rFonts w:ascii="TimesNewRomanPSMT" w:hAnsi="TimesNewRomanPSMT" w:cs="TimesNewRomanPSMT"/>
          <w:sz w:val="24"/>
          <w:szCs w:val="24"/>
          <w:lang w:val="en-GB"/>
        </w:rPr>
        <w:t>not. This ratio is consiste</w:t>
      </w:r>
      <w:r>
        <w:rPr>
          <w:rFonts w:ascii="TimesNewRomanPSMT" w:hAnsi="TimesNewRomanPSMT" w:cs="TimesNewRomanPSMT"/>
          <w:sz w:val="24"/>
          <w:szCs w:val="24"/>
          <w:lang w:val="en-GB"/>
        </w:rPr>
        <w:t xml:space="preserve">nt with other studies (Scottish </w:t>
      </w:r>
      <w:r w:rsidRPr="005F13BA">
        <w:rPr>
          <w:rFonts w:ascii="TimesNewRomanPSMT" w:hAnsi="TimesNewRomanPSMT" w:cs="TimesNewRomanPSMT"/>
          <w:sz w:val="24"/>
          <w:szCs w:val="24"/>
          <w:lang w:val="en-GB"/>
        </w:rPr>
        <w:t>Consortium for Learning</w:t>
      </w:r>
      <w:r>
        <w:rPr>
          <w:rFonts w:ascii="TimesNewRomanPSMT" w:hAnsi="TimesNewRomanPSMT" w:cs="TimesNewRomanPSMT"/>
          <w:sz w:val="24"/>
          <w:szCs w:val="24"/>
          <w:lang w:val="en-GB"/>
        </w:rPr>
        <w:t xml:space="preserve"> Disability, 2011). Among adult </w:t>
      </w:r>
      <w:r w:rsidRPr="005F13BA">
        <w:rPr>
          <w:rFonts w:ascii="TimesNewRomanPSMT" w:hAnsi="TimesNewRomanPSMT" w:cs="TimesNewRomanPSMT"/>
          <w:sz w:val="24"/>
          <w:szCs w:val="24"/>
          <w:lang w:val="en-GB"/>
        </w:rPr>
        <w:t>males, more new ASD diagnoses were gi</w:t>
      </w:r>
      <w:r>
        <w:rPr>
          <w:rFonts w:ascii="TimesNewRomanPSMT" w:hAnsi="TimesNewRomanPSMT" w:cs="TimesNewRomanPSMT"/>
          <w:sz w:val="24"/>
          <w:szCs w:val="24"/>
          <w:lang w:val="en-GB"/>
        </w:rPr>
        <w:t xml:space="preserve">ven to higher </w:t>
      </w:r>
      <w:r w:rsidRPr="005F13BA">
        <w:rPr>
          <w:rFonts w:ascii="TimesNewRomanPSMT" w:hAnsi="TimesNewRomanPSMT" w:cs="TimesNewRomanPSMT"/>
          <w:sz w:val="24"/>
          <w:szCs w:val="24"/>
          <w:lang w:val="en-GB"/>
        </w:rPr>
        <w:t>functioning individ</w:t>
      </w:r>
      <w:r>
        <w:rPr>
          <w:rFonts w:ascii="TimesNewRomanPSMT" w:hAnsi="TimesNewRomanPSMT" w:cs="TimesNewRomanPSMT"/>
          <w:sz w:val="24"/>
          <w:szCs w:val="24"/>
          <w:lang w:val="en-GB"/>
        </w:rPr>
        <w:t xml:space="preserve">uals, who may be more likely to </w:t>
      </w:r>
      <w:r w:rsidRPr="005F13BA">
        <w:rPr>
          <w:rFonts w:ascii="TimesNewRomanPSMT" w:hAnsi="TimesNewRomanPSMT" w:cs="TimesNewRomanPSMT"/>
          <w:sz w:val="24"/>
          <w:szCs w:val="24"/>
          <w:lang w:val="en-GB"/>
        </w:rPr>
        <w:t>receive a later diagnosis</w:t>
      </w:r>
      <w:r>
        <w:rPr>
          <w:rFonts w:ascii="TimesNewRomanPSMT" w:hAnsi="TimesNewRomanPSMT" w:cs="TimesNewRomanPSMT"/>
          <w:sz w:val="24"/>
          <w:szCs w:val="24"/>
          <w:lang w:val="en-GB"/>
        </w:rPr>
        <w:t xml:space="preserve"> (Shattuck et al., 2009). Among </w:t>
      </w:r>
      <w:r w:rsidRPr="005F13BA">
        <w:rPr>
          <w:rFonts w:ascii="TimesNewRomanPSMT" w:hAnsi="TimesNewRomanPSMT" w:cs="TimesNewRomanPSMT"/>
          <w:sz w:val="24"/>
          <w:szCs w:val="24"/>
          <w:lang w:val="en-GB"/>
        </w:rPr>
        <w:t>women, there were equ</w:t>
      </w:r>
      <w:r>
        <w:rPr>
          <w:rFonts w:ascii="TimesNewRomanPSMT" w:hAnsi="TimesNewRomanPSMT" w:cs="TimesNewRomanPSMT"/>
          <w:sz w:val="24"/>
          <w:szCs w:val="24"/>
          <w:lang w:val="en-GB"/>
        </w:rPr>
        <w:t xml:space="preserve">al numbers with and without ID, </w:t>
      </w:r>
      <w:r w:rsidRPr="005F13BA">
        <w:rPr>
          <w:rFonts w:ascii="TimesNewRomanPSMT" w:hAnsi="TimesNewRomanPSMT" w:cs="TimesNewRomanPSMT"/>
          <w:sz w:val="24"/>
          <w:szCs w:val="24"/>
          <w:lang w:val="en-GB"/>
        </w:rPr>
        <w:t xml:space="preserve">which may be explained </w:t>
      </w:r>
      <w:r>
        <w:rPr>
          <w:rFonts w:ascii="TimesNewRomanPSMT" w:hAnsi="TimesNewRomanPSMT" w:cs="TimesNewRomanPSMT"/>
          <w:sz w:val="24"/>
          <w:szCs w:val="24"/>
          <w:lang w:val="en-GB"/>
        </w:rPr>
        <w:t xml:space="preserve">by historical under-recognition </w:t>
      </w:r>
      <w:r w:rsidRPr="005F13BA">
        <w:rPr>
          <w:rFonts w:ascii="TimesNewRomanPSMT" w:hAnsi="TimesNewRomanPSMT" w:cs="TimesNewRomanPSMT"/>
          <w:sz w:val="24"/>
          <w:szCs w:val="24"/>
          <w:lang w:val="en-GB"/>
        </w:rPr>
        <w:t>in females with ID (Jensen et al., 2014) who are now</w:t>
      </w:r>
      <w:r>
        <w:rPr>
          <w:rFonts w:ascii="TimesNewRomanPSMT" w:hAnsi="TimesNewRomanPSMT" w:cs="TimesNewRomanPSMT"/>
          <w:sz w:val="24"/>
          <w:szCs w:val="24"/>
          <w:lang w:val="en-GB"/>
        </w:rPr>
        <w:t xml:space="preserve"> </w:t>
      </w:r>
      <w:r w:rsidRPr="005F13BA">
        <w:rPr>
          <w:rFonts w:ascii="TimesNewRomanPSMT" w:hAnsi="TimesNewRomanPSMT" w:cs="TimesNewRomanPSMT"/>
          <w:sz w:val="24"/>
          <w:szCs w:val="24"/>
          <w:lang w:val="en-GB"/>
        </w:rPr>
        <w:t>being diagnosed with ASD in adulthood in a greater proportion</w:t>
      </w:r>
      <w:r>
        <w:rPr>
          <w:rFonts w:ascii="TimesNewRomanPSMT" w:hAnsi="TimesNewRomanPSMT" w:cs="TimesNewRomanPSMT"/>
          <w:sz w:val="24"/>
          <w:szCs w:val="24"/>
          <w:lang w:val="en-GB"/>
        </w:rPr>
        <w:t xml:space="preserve"> than males with ID. </w:t>
      </w:r>
    </w:p>
    <w:p w:rsidR="00725456" w:rsidRPr="00725456" w:rsidRDefault="005F13BA" w:rsidP="00725456">
      <w:pPr>
        <w:autoSpaceDE w:val="0"/>
        <w:autoSpaceDN w:val="0"/>
        <w:adjustRightInd w:val="0"/>
        <w:spacing w:after="0" w:line="480" w:lineRule="auto"/>
        <w:contextualSpacing w:val="0"/>
        <w:rPr>
          <w:rFonts w:ascii="Times New Roman" w:hAnsi="Times New Roman" w:cs="Times New Roman"/>
          <w:sz w:val="24"/>
          <w:szCs w:val="24"/>
          <w:lang w:val="en-GB"/>
        </w:rPr>
      </w:pPr>
      <w:r w:rsidRPr="00725456">
        <w:rPr>
          <w:rFonts w:ascii="Times New Roman" w:hAnsi="Times New Roman" w:cs="Times New Roman"/>
          <w:sz w:val="24"/>
          <w:szCs w:val="24"/>
          <w:lang w:val="en-GB"/>
        </w:rPr>
        <w:t>An estimated 4%–40% of those with ID have ASD and 50%–70% of individuals with ASD have ID (Goldin et al., 2014). Similarly, 46% of the adult group diagnosed in</w:t>
      </w:r>
      <w:r w:rsidR="00725456" w:rsidRPr="00725456">
        <w:rPr>
          <w:rFonts w:ascii="Times New Roman" w:hAnsi="Times New Roman" w:cs="Times New Roman"/>
          <w:sz w:val="24"/>
          <w:szCs w:val="24"/>
          <w:lang w:val="en-GB"/>
        </w:rPr>
        <w:t xml:space="preserve"> adult services in this study had ID. However, only 23%</w:t>
      </w:r>
      <w:r w:rsidR="00725456">
        <w:rPr>
          <w:rFonts w:ascii="Times New Roman" w:hAnsi="Times New Roman" w:cs="Times New Roman"/>
          <w:sz w:val="24"/>
          <w:szCs w:val="24"/>
          <w:lang w:val="en-GB"/>
        </w:rPr>
        <w:t xml:space="preserve"> </w:t>
      </w:r>
      <w:r w:rsidR="00725456" w:rsidRPr="00725456">
        <w:rPr>
          <w:rFonts w:ascii="Times New Roman" w:hAnsi="Times New Roman" w:cs="Times New Roman"/>
          <w:sz w:val="24"/>
          <w:szCs w:val="24"/>
          <w:lang w:val="en-GB"/>
        </w:rPr>
        <w:t>(19/80) diagnosed in child</w:t>
      </w:r>
      <w:r w:rsidR="00725456">
        <w:rPr>
          <w:rFonts w:ascii="Times New Roman" w:hAnsi="Times New Roman" w:cs="Times New Roman"/>
          <w:sz w:val="24"/>
          <w:szCs w:val="24"/>
          <w:lang w:val="en-GB"/>
        </w:rPr>
        <w:t xml:space="preserve"> services had a stated ID based </w:t>
      </w:r>
      <w:r w:rsidR="00725456" w:rsidRPr="00725456">
        <w:rPr>
          <w:rFonts w:ascii="Times New Roman" w:hAnsi="Times New Roman" w:cs="Times New Roman"/>
          <w:sz w:val="24"/>
          <w:szCs w:val="24"/>
          <w:lang w:val="en-GB"/>
        </w:rPr>
        <w:t>on psychometric assess</w:t>
      </w:r>
      <w:r w:rsidR="00725456">
        <w:rPr>
          <w:rFonts w:ascii="Times New Roman" w:hAnsi="Times New Roman" w:cs="Times New Roman"/>
          <w:sz w:val="24"/>
          <w:szCs w:val="24"/>
          <w:lang w:val="en-GB"/>
        </w:rPr>
        <w:t xml:space="preserve">ment and only 2/19 were female. </w:t>
      </w:r>
      <w:r w:rsidR="00725456" w:rsidRPr="00725456">
        <w:rPr>
          <w:rFonts w:ascii="Times New Roman" w:hAnsi="Times New Roman" w:cs="Times New Roman"/>
          <w:sz w:val="24"/>
          <w:szCs w:val="24"/>
          <w:lang w:val="en-GB"/>
        </w:rPr>
        <w:t>Inconsistency in diagn</w:t>
      </w:r>
      <w:r w:rsidR="00725456">
        <w:rPr>
          <w:rFonts w:ascii="Times New Roman" w:hAnsi="Times New Roman" w:cs="Times New Roman"/>
          <w:sz w:val="24"/>
          <w:szCs w:val="24"/>
          <w:lang w:val="en-GB"/>
        </w:rPr>
        <w:t xml:space="preserve">osing ID in practice leading to </w:t>
      </w:r>
      <w:r w:rsidR="00725456" w:rsidRPr="00725456">
        <w:rPr>
          <w:rFonts w:ascii="Times New Roman" w:hAnsi="Times New Roman" w:cs="Times New Roman"/>
          <w:sz w:val="24"/>
          <w:szCs w:val="24"/>
          <w:lang w:val="en-GB"/>
        </w:rPr>
        <w:t xml:space="preserve">under-ascertainment of </w:t>
      </w:r>
      <w:r w:rsidR="00725456">
        <w:rPr>
          <w:rFonts w:ascii="Times New Roman" w:hAnsi="Times New Roman" w:cs="Times New Roman"/>
          <w:sz w:val="24"/>
          <w:szCs w:val="24"/>
          <w:lang w:val="en-GB"/>
        </w:rPr>
        <w:t xml:space="preserve">ID is recognised as problematic </w:t>
      </w:r>
      <w:r w:rsidR="00725456" w:rsidRPr="00725456">
        <w:rPr>
          <w:rFonts w:ascii="Times New Roman" w:hAnsi="Times New Roman" w:cs="Times New Roman"/>
          <w:sz w:val="24"/>
          <w:szCs w:val="24"/>
          <w:lang w:val="en-GB"/>
        </w:rPr>
        <w:t>(McKenzie and Megso</w:t>
      </w:r>
      <w:r w:rsidR="00725456">
        <w:rPr>
          <w:rFonts w:ascii="Times New Roman" w:hAnsi="Times New Roman" w:cs="Times New Roman"/>
          <w:sz w:val="24"/>
          <w:szCs w:val="24"/>
          <w:lang w:val="en-GB"/>
        </w:rPr>
        <w:t xml:space="preserve">n, 2012), and this is borne out </w:t>
      </w:r>
      <w:r w:rsidR="00725456" w:rsidRPr="00725456">
        <w:rPr>
          <w:rFonts w:ascii="Times New Roman" w:hAnsi="Times New Roman" w:cs="Times New Roman"/>
          <w:sz w:val="24"/>
          <w:szCs w:val="24"/>
          <w:lang w:val="en-GB"/>
        </w:rPr>
        <w:t>within our sample.</w:t>
      </w:r>
    </w:p>
    <w:p w:rsidR="00725456" w:rsidRDefault="00725456" w:rsidP="00725456">
      <w:pPr>
        <w:autoSpaceDE w:val="0"/>
        <w:autoSpaceDN w:val="0"/>
        <w:adjustRightInd w:val="0"/>
        <w:spacing w:after="0" w:line="480" w:lineRule="auto"/>
        <w:contextualSpacing w:val="0"/>
        <w:rPr>
          <w:rFonts w:ascii="Times New Roman" w:hAnsi="Times New Roman" w:cs="Times New Roman"/>
          <w:i/>
          <w:iCs/>
          <w:sz w:val="24"/>
          <w:szCs w:val="24"/>
          <w:lang w:val="en-GB"/>
        </w:rPr>
      </w:pPr>
    </w:p>
    <w:p w:rsidR="00725456" w:rsidRPr="00725456" w:rsidRDefault="00725456" w:rsidP="00725456">
      <w:pPr>
        <w:autoSpaceDE w:val="0"/>
        <w:autoSpaceDN w:val="0"/>
        <w:adjustRightInd w:val="0"/>
        <w:spacing w:after="0" w:line="480" w:lineRule="auto"/>
        <w:contextualSpacing w:val="0"/>
        <w:rPr>
          <w:rFonts w:ascii="Times New Roman" w:hAnsi="Times New Roman" w:cs="Times New Roman"/>
          <w:i/>
          <w:iCs/>
          <w:sz w:val="24"/>
          <w:szCs w:val="24"/>
          <w:lang w:val="en-GB"/>
        </w:rPr>
      </w:pPr>
      <w:r w:rsidRPr="00725456">
        <w:rPr>
          <w:rFonts w:ascii="Times New Roman" w:hAnsi="Times New Roman" w:cs="Times New Roman"/>
          <w:i/>
          <w:iCs/>
          <w:sz w:val="24"/>
          <w:szCs w:val="24"/>
          <w:lang w:val="en-GB"/>
        </w:rPr>
        <w:t>Implications</w:t>
      </w:r>
    </w:p>
    <w:p w:rsidR="00224991" w:rsidRDefault="00725456" w:rsidP="00725456">
      <w:pPr>
        <w:autoSpaceDE w:val="0"/>
        <w:autoSpaceDN w:val="0"/>
        <w:adjustRightInd w:val="0"/>
        <w:spacing w:after="0" w:line="480" w:lineRule="auto"/>
        <w:contextualSpacing w:val="0"/>
        <w:rPr>
          <w:rFonts w:ascii="Times New Roman" w:hAnsi="Times New Roman" w:cs="Times New Roman"/>
          <w:sz w:val="24"/>
          <w:szCs w:val="24"/>
          <w:lang w:val="en-GB"/>
        </w:rPr>
      </w:pPr>
      <w:r w:rsidRPr="00725456">
        <w:rPr>
          <w:rFonts w:ascii="Times New Roman" w:hAnsi="Times New Roman" w:cs="Times New Roman"/>
          <w:sz w:val="24"/>
          <w:szCs w:val="24"/>
          <w:lang w:val="en-GB"/>
        </w:rPr>
        <w:t xml:space="preserve">These results suggest </w:t>
      </w:r>
      <w:r>
        <w:rPr>
          <w:rFonts w:ascii="Times New Roman" w:hAnsi="Times New Roman" w:cs="Times New Roman"/>
          <w:sz w:val="24"/>
          <w:szCs w:val="24"/>
          <w:lang w:val="en-GB"/>
        </w:rPr>
        <w:t xml:space="preserve">that under-recognition of adult </w:t>
      </w:r>
      <w:r w:rsidRPr="00725456">
        <w:rPr>
          <w:rFonts w:ascii="Times New Roman" w:hAnsi="Times New Roman" w:cs="Times New Roman"/>
          <w:sz w:val="24"/>
          <w:szCs w:val="24"/>
          <w:lang w:val="en-GB"/>
        </w:rPr>
        <w:t>females with ASD is lik</w:t>
      </w:r>
      <w:r>
        <w:rPr>
          <w:rFonts w:ascii="Times New Roman" w:hAnsi="Times New Roman" w:cs="Times New Roman"/>
          <w:sz w:val="24"/>
          <w:szCs w:val="24"/>
          <w:lang w:val="en-GB"/>
        </w:rPr>
        <w:t xml:space="preserve">ely in population studies which </w:t>
      </w:r>
      <w:r w:rsidRPr="00725456">
        <w:rPr>
          <w:rFonts w:ascii="Times New Roman" w:hAnsi="Times New Roman" w:cs="Times New Roman"/>
          <w:sz w:val="24"/>
          <w:szCs w:val="24"/>
          <w:lang w:val="en-GB"/>
        </w:rPr>
        <w:t>find much higher gender</w:t>
      </w:r>
      <w:r>
        <w:rPr>
          <w:rFonts w:ascii="Times New Roman" w:hAnsi="Times New Roman" w:cs="Times New Roman"/>
          <w:sz w:val="24"/>
          <w:szCs w:val="24"/>
          <w:lang w:val="en-GB"/>
        </w:rPr>
        <w:t xml:space="preserve"> ratios. The difference between </w:t>
      </w:r>
      <w:r w:rsidRPr="00725456">
        <w:rPr>
          <w:rFonts w:ascii="Times New Roman" w:hAnsi="Times New Roman" w:cs="Times New Roman"/>
          <w:sz w:val="24"/>
          <w:szCs w:val="24"/>
          <w:lang w:val="en-GB"/>
        </w:rPr>
        <w:t>incidence and prevalence ex</w:t>
      </w:r>
      <w:r>
        <w:rPr>
          <w:rFonts w:ascii="Times New Roman" w:hAnsi="Times New Roman" w:cs="Times New Roman"/>
          <w:sz w:val="24"/>
          <w:szCs w:val="24"/>
          <w:lang w:val="en-GB"/>
        </w:rPr>
        <w:t xml:space="preserve">plains some variation in gender </w:t>
      </w:r>
      <w:r w:rsidRPr="00725456">
        <w:rPr>
          <w:rFonts w:ascii="Times New Roman" w:hAnsi="Times New Roman" w:cs="Times New Roman"/>
          <w:sz w:val="24"/>
          <w:szCs w:val="24"/>
          <w:lang w:val="en-GB"/>
        </w:rPr>
        <w:t>ratio across adult stu</w:t>
      </w:r>
      <w:r w:rsidR="00224991">
        <w:rPr>
          <w:rFonts w:ascii="Times New Roman" w:hAnsi="Times New Roman" w:cs="Times New Roman"/>
          <w:sz w:val="24"/>
          <w:szCs w:val="24"/>
          <w:lang w:val="en-GB"/>
        </w:rPr>
        <w:t xml:space="preserve">dies. In consecutively referred </w:t>
      </w:r>
      <w:r w:rsidRPr="00725456">
        <w:rPr>
          <w:rFonts w:ascii="Times New Roman" w:hAnsi="Times New Roman" w:cs="Times New Roman"/>
          <w:sz w:val="24"/>
          <w:szCs w:val="24"/>
          <w:lang w:val="en-GB"/>
        </w:rPr>
        <w:t>cohorts, there may be a h</w:t>
      </w:r>
      <w:r>
        <w:rPr>
          <w:rFonts w:ascii="Times New Roman" w:hAnsi="Times New Roman" w:cs="Times New Roman"/>
          <w:sz w:val="24"/>
          <w:szCs w:val="24"/>
          <w:lang w:val="en-GB"/>
        </w:rPr>
        <w:t xml:space="preserve">igher likelihood of women being </w:t>
      </w:r>
      <w:r w:rsidRPr="00725456">
        <w:rPr>
          <w:rFonts w:ascii="Times New Roman" w:hAnsi="Times New Roman" w:cs="Times New Roman"/>
          <w:sz w:val="24"/>
          <w:szCs w:val="24"/>
          <w:lang w:val="en-GB"/>
        </w:rPr>
        <w:t>newly diagnosed as adults because they w</w:t>
      </w:r>
      <w:r>
        <w:rPr>
          <w:rFonts w:ascii="Times New Roman" w:hAnsi="Times New Roman" w:cs="Times New Roman"/>
          <w:sz w:val="24"/>
          <w:szCs w:val="24"/>
          <w:lang w:val="en-GB"/>
        </w:rPr>
        <w:t xml:space="preserve">ere missed as </w:t>
      </w:r>
      <w:r w:rsidRPr="00725456">
        <w:rPr>
          <w:rFonts w:ascii="Times New Roman" w:hAnsi="Times New Roman" w:cs="Times New Roman"/>
          <w:sz w:val="24"/>
          <w:szCs w:val="24"/>
          <w:lang w:val="en-GB"/>
        </w:rPr>
        <w:t>children, conversely men may be p</w:t>
      </w:r>
      <w:r>
        <w:rPr>
          <w:rFonts w:ascii="Times New Roman" w:hAnsi="Times New Roman" w:cs="Times New Roman"/>
          <w:sz w:val="24"/>
          <w:szCs w:val="24"/>
          <w:lang w:val="en-GB"/>
        </w:rPr>
        <w:t xml:space="preserve">roportionately less represented in the late diagnosed group. </w:t>
      </w:r>
    </w:p>
    <w:p w:rsidR="002F1158" w:rsidRDefault="00725456" w:rsidP="00222EA9">
      <w:pPr>
        <w:autoSpaceDE w:val="0"/>
        <w:autoSpaceDN w:val="0"/>
        <w:adjustRightInd w:val="0"/>
        <w:spacing w:after="0" w:line="480" w:lineRule="auto"/>
        <w:ind w:firstLine="720"/>
        <w:contextualSpacing w:val="0"/>
        <w:rPr>
          <w:rFonts w:ascii="Times New Roman" w:hAnsi="Times New Roman" w:cs="Times New Roman"/>
          <w:sz w:val="24"/>
          <w:szCs w:val="24"/>
          <w:lang w:val="en-GB"/>
        </w:rPr>
      </w:pPr>
      <w:r w:rsidRPr="00725456">
        <w:rPr>
          <w:rFonts w:ascii="Times New Roman" w:hAnsi="Times New Roman" w:cs="Times New Roman"/>
          <w:sz w:val="24"/>
          <w:szCs w:val="24"/>
          <w:lang w:val="en-GB"/>
        </w:rPr>
        <w:lastRenderedPageBreak/>
        <w:t>The study found that gir</w:t>
      </w:r>
      <w:r>
        <w:rPr>
          <w:rFonts w:ascii="Times New Roman" w:hAnsi="Times New Roman" w:cs="Times New Roman"/>
          <w:sz w:val="24"/>
          <w:szCs w:val="24"/>
          <w:lang w:val="en-GB"/>
        </w:rPr>
        <w:t xml:space="preserve">ls are diagnosed at a later age </w:t>
      </w:r>
      <w:r w:rsidRPr="00725456">
        <w:rPr>
          <w:rFonts w:ascii="Times New Roman" w:hAnsi="Times New Roman" w:cs="Times New Roman"/>
          <w:sz w:val="24"/>
          <w:szCs w:val="24"/>
          <w:lang w:val="en-GB"/>
        </w:rPr>
        <w:t>than boys and that the del</w:t>
      </w:r>
      <w:r>
        <w:rPr>
          <w:rFonts w:ascii="Times New Roman" w:hAnsi="Times New Roman" w:cs="Times New Roman"/>
          <w:sz w:val="24"/>
          <w:szCs w:val="24"/>
          <w:lang w:val="en-GB"/>
        </w:rPr>
        <w:t xml:space="preserve">ay occurs prior to referral for </w:t>
      </w:r>
      <w:r w:rsidRPr="00725456">
        <w:rPr>
          <w:rFonts w:ascii="Times New Roman" w:hAnsi="Times New Roman" w:cs="Times New Roman"/>
          <w:sz w:val="24"/>
          <w:szCs w:val="24"/>
          <w:lang w:val="en-GB"/>
        </w:rPr>
        <w:t>diagnostic assessment, through under-recognition. This</w:t>
      </w:r>
      <w:r w:rsidR="00224991">
        <w:rPr>
          <w:rFonts w:ascii="Times New Roman" w:hAnsi="Times New Roman" w:cs="Times New Roman"/>
          <w:sz w:val="24"/>
          <w:szCs w:val="24"/>
          <w:lang w:val="en-GB"/>
        </w:rPr>
        <w:t xml:space="preserve"> </w:t>
      </w:r>
      <w:r w:rsidRPr="00725456">
        <w:rPr>
          <w:rFonts w:ascii="Times New Roman" w:hAnsi="Times New Roman" w:cs="Times New Roman"/>
          <w:sz w:val="24"/>
          <w:szCs w:val="24"/>
          <w:lang w:val="en-GB"/>
        </w:rPr>
        <w:t>indicates a need to raise awar</w:t>
      </w:r>
      <w:r>
        <w:rPr>
          <w:rFonts w:ascii="Times New Roman" w:hAnsi="Times New Roman" w:cs="Times New Roman"/>
          <w:sz w:val="24"/>
          <w:szCs w:val="24"/>
          <w:lang w:val="en-GB"/>
        </w:rPr>
        <w:t xml:space="preserve">eness among potential referrers </w:t>
      </w:r>
      <w:r w:rsidRPr="00725456">
        <w:rPr>
          <w:rFonts w:ascii="Times New Roman" w:hAnsi="Times New Roman" w:cs="Times New Roman"/>
          <w:sz w:val="24"/>
          <w:szCs w:val="24"/>
          <w:lang w:val="en-GB"/>
        </w:rPr>
        <w:t>about the ways in</w:t>
      </w:r>
      <w:r>
        <w:rPr>
          <w:rFonts w:ascii="Times New Roman" w:hAnsi="Times New Roman" w:cs="Times New Roman"/>
          <w:sz w:val="24"/>
          <w:szCs w:val="24"/>
          <w:lang w:val="en-GB"/>
        </w:rPr>
        <w:t xml:space="preserve"> which ASD may present in girls </w:t>
      </w:r>
      <w:r w:rsidRPr="00725456">
        <w:rPr>
          <w:rFonts w:ascii="Times New Roman" w:hAnsi="Times New Roman" w:cs="Times New Roman"/>
          <w:sz w:val="24"/>
          <w:szCs w:val="24"/>
          <w:lang w:val="en-GB"/>
        </w:rPr>
        <w:t>with different s</w:t>
      </w:r>
      <w:r>
        <w:rPr>
          <w:rFonts w:ascii="Times New Roman" w:hAnsi="Times New Roman" w:cs="Times New Roman"/>
          <w:sz w:val="24"/>
          <w:szCs w:val="24"/>
          <w:lang w:val="en-GB"/>
        </w:rPr>
        <w:t>ymptomatology (Van Wijngaarden-</w:t>
      </w:r>
      <w:r w:rsidRPr="00725456">
        <w:rPr>
          <w:rFonts w:ascii="Times New Roman" w:hAnsi="Times New Roman" w:cs="Times New Roman"/>
          <w:sz w:val="24"/>
          <w:szCs w:val="24"/>
          <w:lang w:val="en-GB"/>
        </w:rPr>
        <w:t xml:space="preserve">Cremers et al., 2014) and </w:t>
      </w:r>
      <w:r>
        <w:rPr>
          <w:rFonts w:ascii="Times New Roman" w:hAnsi="Times New Roman" w:cs="Times New Roman"/>
          <w:sz w:val="24"/>
          <w:szCs w:val="24"/>
          <w:lang w:val="en-GB"/>
        </w:rPr>
        <w:t xml:space="preserve">in particular in the adolescent </w:t>
      </w:r>
      <w:r w:rsidRPr="00725456">
        <w:rPr>
          <w:rFonts w:ascii="Times New Roman" w:hAnsi="Times New Roman" w:cs="Times New Roman"/>
          <w:sz w:val="24"/>
          <w:szCs w:val="24"/>
          <w:lang w:val="en-GB"/>
        </w:rPr>
        <w:t>group. Although recent resear</w:t>
      </w:r>
      <w:r w:rsidR="00222EA9">
        <w:rPr>
          <w:rFonts w:ascii="Times New Roman" w:hAnsi="Times New Roman" w:cs="Times New Roman"/>
          <w:sz w:val="24"/>
          <w:szCs w:val="24"/>
          <w:lang w:val="en-GB"/>
        </w:rPr>
        <w:t xml:space="preserve">ch suggests there are no gender </w:t>
      </w:r>
      <w:r w:rsidRPr="00222EA9">
        <w:rPr>
          <w:rFonts w:ascii="Times New Roman" w:hAnsi="Times New Roman" w:cs="Times New Roman"/>
          <w:sz w:val="24"/>
          <w:szCs w:val="24"/>
          <w:lang w:val="en-GB"/>
        </w:rPr>
        <w:t>differences in core symptoms of ASD (Begeer et al.</w:t>
      </w:r>
      <w:proofErr w:type="gramStart"/>
      <w:r w:rsidRPr="00222EA9">
        <w:rPr>
          <w:rFonts w:ascii="Times New Roman" w:hAnsi="Times New Roman" w:cs="Times New Roman"/>
          <w:sz w:val="24"/>
          <w:szCs w:val="24"/>
          <w:lang w:val="en-GB"/>
        </w:rPr>
        <w:t>,2013</w:t>
      </w:r>
      <w:proofErr w:type="gramEnd"/>
      <w:r w:rsidRPr="00222EA9">
        <w:rPr>
          <w:rFonts w:ascii="Times New Roman" w:hAnsi="Times New Roman" w:cs="Times New Roman"/>
          <w:sz w:val="24"/>
          <w:szCs w:val="24"/>
          <w:lang w:val="en-GB"/>
        </w:rPr>
        <w:t xml:space="preserve">; Worley et al., 2011), there </w:t>
      </w:r>
      <w:r w:rsidR="00222EA9">
        <w:rPr>
          <w:rFonts w:ascii="Times New Roman" w:hAnsi="Times New Roman" w:cs="Times New Roman"/>
          <w:sz w:val="24"/>
          <w:szCs w:val="24"/>
          <w:lang w:val="en-GB"/>
        </w:rPr>
        <w:t xml:space="preserve">is evidence that ASD </w:t>
      </w:r>
      <w:r w:rsidRPr="00222EA9">
        <w:rPr>
          <w:rFonts w:ascii="Times New Roman" w:hAnsi="Times New Roman" w:cs="Times New Roman"/>
          <w:sz w:val="24"/>
          <w:szCs w:val="24"/>
          <w:lang w:val="en-GB"/>
        </w:rPr>
        <w:t>indicators in girls may be missed because the girls may present with subtle differences to boys with ASD (Hartley and Sikora, 2009) or that there is interpreting bias among</w:t>
      </w:r>
      <w:r w:rsidR="00222EA9" w:rsidRPr="00222EA9">
        <w:rPr>
          <w:rFonts w:ascii="Times New Roman" w:hAnsi="Times New Roman" w:cs="Times New Roman"/>
          <w:sz w:val="24"/>
          <w:szCs w:val="24"/>
          <w:lang w:val="en-GB"/>
        </w:rPr>
        <w:t xml:space="preserve"> </w:t>
      </w:r>
      <w:r w:rsidR="00222EA9">
        <w:rPr>
          <w:rFonts w:ascii="Times New Roman" w:hAnsi="Times New Roman" w:cs="Times New Roman"/>
          <w:sz w:val="24"/>
          <w:szCs w:val="24"/>
          <w:lang w:val="en-GB"/>
        </w:rPr>
        <w:t xml:space="preserve">parents (Giarelli et </w:t>
      </w:r>
      <w:r w:rsidR="00222EA9" w:rsidRPr="00222EA9">
        <w:rPr>
          <w:rFonts w:ascii="Times New Roman" w:hAnsi="Times New Roman" w:cs="Times New Roman"/>
          <w:sz w:val="24"/>
          <w:szCs w:val="24"/>
          <w:lang w:val="en-GB"/>
        </w:rPr>
        <w:t>al., 2011) affecting recognition.</w:t>
      </w:r>
      <w:r w:rsidR="00222EA9">
        <w:rPr>
          <w:rFonts w:ascii="Times New Roman" w:hAnsi="Times New Roman" w:cs="Times New Roman"/>
          <w:sz w:val="24"/>
          <w:szCs w:val="24"/>
          <w:lang w:val="en-GB"/>
        </w:rPr>
        <w:t xml:space="preserve"> </w:t>
      </w:r>
      <w:r w:rsidR="00222EA9" w:rsidRPr="00222EA9">
        <w:rPr>
          <w:rFonts w:ascii="Times New Roman" w:hAnsi="Times New Roman" w:cs="Times New Roman"/>
          <w:sz w:val="24"/>
          <w:szCs w:val="24"/>
          <w:lang w:val="en-GB"/>
        </w:rPr>
        <w:t>Differences in the presentati</w:t>
      </w:r>
      <w:r w:rsidR="00222EA9">
        <w:rPr>
          <w:rFonts w:ascii="Times New Roman" w:hAnsi="Times New Roman" w:cs="Times New Roman"/>
          <w:sz w:val="24"/>
          <w:szCs w:val="24"/>
          <w:lang w:val="en-GB"/>
        </w:rPr>
        <w:t xml:space="preserve">on of girls (Kopp and Gillberg, </w:t>
      </w:r>
      <w:r w:rsidR="00222EA9" w:rsidRPr="00222EA9">
        <w:rPr>
          <w:rFonts w:ascii="Times New Roman" w:hAnsi="Times New Roman" w:cs="Times New Roman"/>
          <w:sz w:val="24"/>
          <w:szCs w:val="24"/>
          <w:lang w:val="en-GB"/>
        </w:rPr>
        <w:t>2011) may impact on iden</w:t>
      </w:r>
      <w:r w:rsidR="00222EA9">
        <w:rPr>
          <w:rFonts w:ascii="Times New Roman" w:hAnsi="Times New Roman" w:cs="Times New Roman"/>
          <w:sz w:val="24"/>
          <w:szCs w:val="24"/>
          <w:lang w:val="en-GB"/>
        </w:rPr>
        <w:t xml:space="preserve">tification, and therefore, this </w:t>
      </w:r>
      <w:r w:rsidR="00222EA9" w:rsidRPr="00222EA9">
        <w:rPr>
          <w:rFonts w:ascii="Times New Roman" w:hAnsi="Times New Roman" w:cs="Times New Roman"/>
          <w:sz w:val="24"/>
          <w:szCs w:val="24"/>
          <w:lang w:val="en-GB"/>
        </w:rPr>
        <w:t>study suggests that inc</w:t>
      </w:r>
      <w:r w:rsidR="00222EA9">
        <w:rPr>
          <w:rFonts w:ascii="Times New Roman" w:hAnsi="Times New Roman" w:cs="Times New Roman"/>
          <w:sz w:val="24"/>
          <w:szCs w:val="24"/>
          <w:lang w:val="en-GB"/>
        </w:rPr>
        <w:t xml:space="preserve">reasing referrer’s awareness of </w:t>
      </w:r>
      <w:r w:rsidR="00222EA9" w:rsidRPr="00222EA9">
        <w:rPr>
          <w:rFonts w:ascii="Times New Roman" w:hAnsi="Times New Roman" w:cs="Times New Roman"/>
          <w:sz w:val="24"/>
          <w:szCs w:val="24"/>
          <w:lang w:val="en-GB"/>
        </w:rPr>
        <w:t xml:space="preserve">female presentation of </w:t>
      </w:r>
      <w:r w:rsidR="00222EA9">
        <w:rPr>
          <w:rFonts w:ascii="Times New Roman" w:hAnsi="Times New Roman" w:cs="Times New Roman"/>
          <w:sz w:val="24"/>
          <w:szCs w:val="24"/>
          <w:lang w:val="en-GB"/>
        </w:rPr>
        <w:t xml:space="preserve">ASD at different stages has the </w:t>
      </w:r>
      <w:r w:rsidR="00222EA9" w:rsidRPr="00222EA9">
        <w:rPr>
          <w:rFonts w:ascii="Times New Roman" w:hAnsi="Times New Roman" w:cs="Times New Roman"/>
          <w:sz w:val="24"/>
          <w:szCs w:val="24"/>
          <w:lang w:val="en-GB"/>
        </w:rPr>
        <w:t>potential to re</w:t>
      </w:r>
      <w:r w:rsidR="00222EA9">
        <w:rPr>
          <w:rFonts w:ascii="Times New Roman" w:hAnsi="Times New Roman" w:cs="Times New Roman"/>
          <w:sz w:val="24"/>
          <w:szCs w:val="24"/>
          <w:lang w:val="en-GB"/>
        </w:rPr>
        <w:t xml:space="preserve">duce age of diagnosis of girls. </w:t>
      </w:r>
    </w:p>
    <w:p w:rsidR="00222EA9" w:rsidRPr="00222EA9" w:rsidRDefault="00222EA9" w:rsidP="00222EA9">
      <w:pPr>
        <w:autoSpaceDE w:val="0"/>
        <w:autoSpaceDN w:val="0"/>
        <w:adjustRightInd w:val="0"/>
        <w:spacing w:after="0" w:line="480" w:lineRule="auto"/>
        <w:ind w:firstLine="720"/>
        <w:contextualSpacing w:val="0"/>
        <w:rPr>
          <w:rFonts w:ascii="Times New Roman" w:hAnsi="Times New Roman" w:cs="Times New Roman"/>
          <w:sz w:val="24"/>
          <w:szCs w:val="24"/>
          <w:lang w:val="en-GB"/>
        </w:rPr>
      </w:pPr>
      <w:r w:rsidRPr="00222EA9">
        <w:rPr>
          <w:rFonts w:ascii="Times New Roman" w:hAnsi="Times New Roman" w:cs="Times New Roman"/>
          <w:sz w:val="24"/>
          <w:szCs w:val="24"/>
          <w:lang w:val="en-GB"/>
        </w:rPr>
        <w:t>Once referred, the di</w:t>
      </w:r>
      <w:r>
        <w:rPr>
          <w:rFonts w:ascii="Times New Roman" w:hAnsi="Times New Roman" w:cs="Times New Roman"/>
          <w:sz w:val="24"/>
          <w:szCs w:val="24"/>
          <w:lang w:val="en-GB"/>
        </w:rPr>
        <w:t xml:space="preserve">agnostic teams deliver an equal experience of diagnosis </w:t>
      </w:r>
      <w:r w:rsidRPr="00222EA9">
        <w:rPr>
          <w:rFonts w:ascii="Times New Roman" w:hAnsi="Times New Roman" w:cs="Times New Roman"/>
          <w:sz w:val="24"/>
          <w:szCs w:val="24"/>
          <w:lang w:val="en-GB"/>
        </w:rPr>
        <w:t xml:space="preserve">for girls and boys in </w:t>
      </w:r>
      <w:r>
        <w:rPr>
          <w:rFonts w:ascii="Times New Roman" w:hAnsi="Times New Roman" w:cs="Times New Roman"/>
          <w:sz w:val="24"/>
          <w:szCs w:val="24"/>
          <w:lang w:val="en-GB"/>
        </w:rPr>
        <w:t xml:space="preserve">terms of duration, </w:t>
      </w:r>
      <w:r w:rsidRPr="00222EA9">
        <w:rPr>
          <w:rFonts w:ascii="Times New Roman" w:hAnsi="Times New Roman" w:cs="Times New Roman"/>
          <w:sz w:val="24"/>
          <w:szCs w:val="24"/>
          <w:lang w:val="en-GB"/>
        </w:rPr>
        <w:t>a finding not previously</w:t>
      </w:r>
      <w:r>
        <w:rPr>
          <w:rFonts w:ascii="Times New Roman" w:hAnsi="Times New Roman" w:cs="Times New Roman"/>
          <w:sz w:val="24"/>
          <w:szCs w:val="24"/>
          <w:lang w:val="en-GB"/>
        </w:rPr>
        <w:t xml:space="preserve"> reported in the literature but </w:t>
      </w:r>
      <w:r w:rsidRPr="00222EA9">
        <w:rPr>
          <w:rFonts w:ascii="Times New Roman" w:hAnsi="Times New Roman" w:cs="Times New Roman"/>
          <w:sz w:val="24"/>
          <w:szCs w:val="24"/>
          <w:lang w:val="en-GB"/>
        </w:rPr>
        <w:t>worthy of consideratio</w:t>
      </w:r>
      <w:r>
        <w:rPr>
          <w:rFonts w:ascii="Times New Roman" w:hAnsi="Times New Roman" w:cs="Times New Roman"/>
          <w:sz w:val="24"/>
          <w:szCs w:val="24"/>
          <w:lang w:val="en-GB"/>
        </w:rPr>
        <w:t xml:space="preserve">n. The presence of the National </w:t>
      </w:r>
      <w:r w:rsidRPr="00222EA9">
        <w:rPr>
          <w:rFonts w:ascii="Times New Roman" w:hAnsi="Times New Roman" w:cs="Times New Roman"/>
          <w:sz w:val="24"/>
          <w:szCs w:val="24"/>
          <w:lang w:val="en-GB"/>
        </w:rPr>
        <w:t>Autism Plan time standard</w:t>
      </w:r>
      <w:r>
        <w:rPr>
          <w:rFonts w:ascii="Times New Roman" w:hAnsi="Times New Roman" w:cs="Times New Roman"/>
          <w:sz w:val="24"/>
          <w:szCs w:val="24"/>
          <w:lang w:val="en-GB"/>
        </w:rPr>
        <w:t xml:space="preserve">s (Le Couteur et al., 2003) and </w:t>
      </w:r>
      <w:r w:rsidRPr="00222EA9">
        <w:rPr>
          <w:rFonts w:ascii="Times New Roman" w:hAnsi="Times New Roman" w:cs="Times New Roman"/>
          <w:sz w:val="24"/>
          <w:szCs w:val="24"/>
          <w:lang w:val="en-GB"/>
        </w:rPr>
        <w:t>high adherence to clinic</w:t>
      </w:r>
      <w:r>
        <w:rPr>
          <w:rFonts w:ascii="Times New Roman" w:hAnsi="Times New Roman" w:cs="Times New Roman"/>
          <w:sz w:val="24"/>
          <w:szCs w:val="24"/>
          <w:lang w:val="en-GB"/>
        </w:rPr>
        <w:t>al guidelines (McKenzie et al.</w:t>
      </w:r>
      <w:proofErr w:type="gramStart"/>
      <w:r>
        <w:rPr>
          <w:rFonts w:ascii="Times New Roman" w:hAnsi="Times New Roman" w:cs="Times New Roman"/>
          <w:sz w:val="24"/>
          <w:szCs w:val="24"/>
          <w:lang w:val="en-GB"/>
        </w:rPr>
        <w:t>,</w:t>
      </w:r>
      <w:r w:rsidRPr="00222EA9">
        <w:rPr>
          <w:rFonts w:ascii="Times New Roman" w:hAnsi="Times New Roman" w:cs="Times New Roman"/>
          <w:sz w:val="24"/>
          <w:szCs w:val="24"/>
          <w:lang w:val="en-GB"/>
        </w:rPr>
        <w:t>2015</w:t>
      </w:r>
      <w:proofErr w:type="gramEnd"/>
      <w:r w:rsidRPr="00222EA9">
        <w:rPr>
          <w:rFonts w:ascii="Times New Roman" w:hAnsi="Times New Roman" w:cs="Times New Roman"/>
          <w:sz w:val="24"/>
          <w:szCs w:val="24"/>
          <w:lang w:val="en-GB"/>
        </w:rPr>
        <w:t>) may be contributor</w:t>
      </w:r>
      <w:r>
        <w:rPr>
          <w:rFonts w:ascii="Times New Roman" w:hAnsi="Times New Roman" w:cs="Times New Roman"/>
          <w:sz w:val="24"/>
          <w:szCs w:val="24"/>
          <w:lang w:val="en-GB"/>
        </w:rPr>
        <w:t xml:space="preserve">y factors in duration being the </w:t>
      </w:r>
      <w:r w:rsidRPr="00222EA9">
        <w:rPr>
          <w:rFonts w:ascii="Times New Roman" w:hAnsi="Times New Roman" w:cs="Times New Roman"/>
          <w:sz w:val="24"/>
          <w:szCs w:val="24"/>
          <w:lang w:val="en-GB"/>
        </w:rPr>
        <w:t>same for boys and girls,</w:t>
      </w:r>
      <w:r>
        <w:rPr>
          <w:rFonts w:ascii="Times New Roman" w:hAnsi="Times New Roman" w:cs="Times New Roman"/>
          <w:sz w:val="24"/>
          <w:szCs w:val="24"/>
          <w:lang w:val="en-GB"/>
        </w:rPr>
        <w:t xml:space="preserve"> suggesting that NHS policy and </w:t>
      </w:r>
      <w:r w:rsidRPr="00222EA9">
        <w:rPr>
          <w:rFonts w:ascii="Times New Roman" w:hAnsi="Times New Roman" w:cs="Times New Roman"/>
          <w:sz w:val="24"/>
          <w:szCs w:val="24"/>
          <w:lang w:val="en-GB"/>
        </w:rPr>
        <w:t xml:space="preserve">practice contribute to </w:t>
      </w:r>
      <w:r>
        <w:rPr>
          <w:rFonts w:ascii="Times New Roman" w:hAnsi="Times New Roman" w:cs="Times New Roman"/>
          <w:sz w:val="24"/>
          <w:szCs w:val="24"/>
          <w:lang w:val="en-GB"/>
        </w:rPr>
        <w:t xml:space="preserve">an equal duration of assessment </w:t>
      </w:r>
      <w:r w:rsidRPr="00222EA9">
        <w:rPr>
          <w:rFonts w:ascii="Times New Roman" w:hAnsi="Times New Roman" w:cs="Times New Roman"/>
          <w:sz w:val="24"/>
          <w:szCs w:val="24"/>
          <w:lang w:val="en-GB"/>
        </w:rPr>
        <w:t>regardless of gender.</w:t>
      </w:r>
    </w:p>
    <w:p w:rsidR="00222EA9" w:rsidRDefault="00222EA9" w:rsidP="00222EA9">
      <w:pPr>
        <w:autoSpaceDE w:val="0"/>
        <w:autoSpaceDN w:val="0"/>
        <w:adjustRightInd w:val="0"/>
        <w:spacing w:after="0" w:line="480" w:lineRule="auto"/>
        <w:contextualSpacing w:val="0"/>
        <w:rPr>
          <w:rFonts w:ascii="Times New Roman" w:hAnsi="Times New Roman" w:cs="Times New Roman"/>
          <w:i/>
          <w:iCs/>
          <w:sz w:val="24"/>
          <w:szCs w:val="24"/>
          <w:lang w:val="en-GB"/>
        </w:rPr>
      </w:pPr>
    </w:p>
    <w:p w:rsidR="00222EA9" w:rsidRPr="00222EA9" w:rsidRDefault="00222EA9" w:rsidP="00222EA9">
      <w:pPr>
        <w:autoSpaceDE w:val="0"/>
        <w:autoSpaceDN w:val="0"/>
        <w:adjustRightInd w:val="0"/>
        <w:spacing w:after="0" w:line="480" w:lineRule="auto"/>
        <w:contextualSpacing w:val="0"/>
        <w:rPr>
          <w:rFonts w:ascii="Times New Roman" w:hAnsi="Times New Roman" w:cs="Times New Roman"/>
          <w:i/>
          <w:iCs/>
          <w:sz w:val="24"/>
          <w:szCs w:val="24"/>
          <w:lang w:val="en-GB"/>
        </w:rPr>
      </w:pPr>
      <w:r w:rsidRPr="00222EA9">
        <w:rPr>
          <w:rFonts w:ascii="Times New Roman" w:hAnsi="Times New Roman" w:cs="Times New Roman"/>
          <w:i/>
          <w:iCs/>
          <w:sz w:val="24"/>
          <w:szCs w:val="24"/>
          <w:lang w:val="en-GB"/>
        </w:rPr>
        <w:t>Limitations</w:t>
      </w:r>
    </w:p>
    <w:p w:rsidR="003D51F1" w:rsidRDefault="00222EA9" w:rsidP="00222EA9">
      <w:pPr>
        <w:autoSpaceDE w:val="0"/>
        <w:autoSpaceDN w:val="0"/>
        <w:adjustRightInd w:val="0"/>
        <w:spacing w:after="0" w:line="480" w:lineRule="auto"/>
        <w:contextualSpacing w:val="0"/>
        <w:rPr>
          <w:rFonts w:ascii="Times New Roman" w:hAnsi="Times New Roman" w:cs="Times New Roman"/>
          <w:sz w:val="24"/>
          <w:szCs w:val="24"/>
          <w:lang w:val="en-GB"/>
        </w:rPr>
      </w:pPr>
      <w:r w:rsidRPr="00222EA9">
        <w:rPr>
          <w:rFonts w:ascii="Times New Roman" w:hAnsi="Times New Roman" w:cs="Times New Roman"/>
          <w:sz w:val="24"/>
          <w:szCs w:val="24"/>
          <w:lang w:val="en-GB"/>
        </w:rPr>
        <w:t>The results of the study must b</w:t>
      </w:r>
      <w:r>
        <w:rPr>
          <w:rFonts w:ascii="Times New Roman" w:hAnsi="Times New Roman" w:cs="Times New Roman"/>
          <w:sz w:val="24"/>
          <w:szCs w:val="24"/>
          <w:lang w:val="en-GB"/>
        </w:rPr>
        <w:t xml:space="preserve">e considered within the context </w:t>
      </w:r>
      <w:r w:rsidRPr="00222EA9">
        <w:rPr>
          <w:rFonts w:ascii="Times New Roman" w:hAnsi="Times New Roman" w:cs="Times New Roman"/>
          <w:sz w:val="24"/>
          <w:szCs w:val="24"/>
          <w:lang w:val="en-GB"/>
        </w:rPr>
        <w:t>of its limitations. The</w:t>
      </w:r>
      <w:r>
        <w:rPr>
          <w:rFonts w:ascii="Times New Roman" w:hAnsi="Times New Roman" w:cs="Times New Roman"/>
          <w:sz w:val="24"/>
          <w:szCs w:val="24"/>
          <w:lang w:val="en-GB"/>
        </w:rPr>
        <w:t xml:space="preserve"> sampling method adopted, while </w:t>
      </w:r>
      <w:r w:rsidRPr="00222EA9">
        <w:rPr>
          <w:rFonts w:ascii="Times New Roman" w:hAnsi="Times New Roman" w:cs="Times New Roman"/>
          <w:sz w:val="24"/>
          <w:szCs w:val="24"/>
          <w:lang w:val="en-GB"/>
        </w:rPr>
        <w:t>reflecting the general pop</w:t>
      </w:r>
      <w:r>
        <w:rPr>
          <w:rFonts w:ascii="Times New Roman" w:hAnsi="Times New Roman" w:cs="Times New Roman"/>
          <w:sz w:val="24"/>
          <w:szCs w:val="24"/>
          <w:lang w:val="en-GB"/>
        </w:rPr>
        <w:t xml:space="preserve">ulation of Scotland in terms of levels of </w:t>
      </w:r>
      <w:r w:rsidRPr="00222EA9">
        <w:rPr>
          <w:rFonts w:ascii="Times New Roman" w:hAnsi="Times New Roman" w:cs="Times New Roman"/>
          <w:sz w:val="24"/>
          <w:szCs w:val="24"/>
          <w:lang w:val="en-GB"/>
        </w:rPr>
        <w:t>deprivation and recent</w:t>
      </w:r>
      <w:r>
        <w:rPr>
          <w:rFonts w:ascii="Times New Roman" w:hAnsi="Times New Roman" w:cs="Times New Roman"/>
          <w:sz w:val="24"/>
          <w:szCs w:val="24"/>
          <w:lang w:val="en-GB"/>
        </w:rPr>
        <w:t xml:space="preserve"> clinical practice, by its very </w:t>
      </w:r>
      <w:r w:rsidRPr="00222EA9">
        <w:rPr>
          <w:rFonts w:ascii="Times New Roman" w:hAnsi="Times New Roman" w:cs="Times New Roman"/>
          <w:sz w:val="24"/>
          <w:szCs w:val="24"/>
          <w:lang w:val="en-GB"/>
        </w:rPr>
        <w:t xml:space="preserve">nature did not include all </w:t>
      </w:r>
      <w:r>
        <w:rPr>
          <w:rFonts w:ascii="Times New Roman" w:hAnsi="Times New Roman" w:cs="Times New Roman"/>
          <w:sz w:val="24"/>
          <w:szCs w:val="24"/>
          <w:lang w:val="en-GB"/>
        </w:rPr>
        <w:t xml:space="preserve">those diagnosed </w:t>
      </w:r>
      <w:r>
        <w:rPr>
          <w:rFonts w:ascii="Times New Roman" w:hAnsi="Times New Roman" w:cs="Times New Roman"/>
          <w:sz w:val="24"/>
          <w:szCs w:val="24"/>
          <w:lang w:val="en-GB"/>
        </w:rPr>
        <w:lastRenderedPageBreak/>
        <w:t xml:space="preserve">with ASD by all </w:t>
      </w:r>
      <w:r w:rsidRPr="00222EA9">
        <w:rPr>
          <w:rFonts w:ascii="Times New Roman" w:hAnsi="Times New Roman" w:cs="Times New Roman"/>
          <w:sz w:val="24"/>
          <w:szCs w:val="24"/>
          <w:lang w:val="en-GB"/>
        </w:rPr>
        <w:t>diagnosing services across</w:t>
      </w:r>
      <w:r>
        <w:rPr>
          <w:rFonts w:ascii="Times New Roman" w:hAnsi="Times New Roman" w:cs="Times New Roman"/>
          <w:sz w:val="24"/>
          <w:szCs w:val="24"/>
          <w:lang w:val="en-GB"/>
        </w:rPr>
        <w:t xml:space="preserve"> Scotland. The study only includes those diagnosed </w:t>
      </w:r>
      <w:r w:rsidRPr="00222EA9">
        <w:rPr>
          <w:rFonts w:ascii="Times New Roman" w:hAnsi="Times New Roman" w:cs="Times New Roman"/>
          <w:sz w:val="24"/>
          <w:szCs w:val="24"/>
          <w:lang w:val="en-GB"/>
        </w:rPr>
        <w:t>and</w:t>
      </w:r>
      <w:r>
        <w:rPr>
          <w:rFonts w:ascii="Times New Roman" w:hAnsi="Times New Roman" w:cs="Times New Roman"/>
          <w:sz w:val="24"/>
          <w:szCs w:val="24"/>
          <w:lang w:val="en-GB"/>
        </w:rPr>
        <w:t xml:space="preserve"> in doing so has not considered </w:t>
      </w:r>
      <w:r w:rsidRPr="00222EA9">
        <w:rPr>
          <w:rFonts w:ascii="Times New Roman" w:hAnsi="Times New Roman" w:cs="Times New Roman"/>
          <w:sz w:val="24"/>
          <w:szCs w:val="24"/>
          <w:lang w:val="en-GB"/>
        </w:rPr>
        <w:t>gender in the context of</w:t>
      </w:r>
      <w:r>
        <w:rPr>
          <w:rFonts w:ascii="Times New Roman" w:hAnsi="Times New Roman" w:cs="Times New Roman"/>
          <w:sz w:val="24"/>
          <w:szCs w:val="24"/>
          <w:lang w:val="en-GB"/>
        </w:rPr>
        <w:t xml:space="preserve"> those assessed and not given a </w:t>
      </w:r>
      <w:r w:rsidRPr="00222EA9">
        <w:rPr>
          <w:rFonts w:ascii="Times New Roman" w:hAnsi="Times New Roman" w:cs="Times New Roman"/>
          <w:sz w:val="24"/>
          <w:szCs w:val="24"/>
          <w:lang w:val="en-GB"/>
        </w:rPr>
        <w:t>diagnosis. The results, there</w:t>
      </w:r>
      <w:r>
        <w:rPr>
          <w:rFonts w:ascii="Times New Roman" w:hAnsi="Times New Roman" w:cs="Times New Roman"/>
          <w:sz w:val="24"/>
          <w:szCs w:val="24"/>
          <w:lang w:val="en-GB"/>
        </w:rPr>
        <w:t xml:space="preserve">fore, will be influenced by the </w:t>
      </w:r>
      <w:r w:rsidRPr="00222EA9">
        <w:rPr>
          <w:rFonts w:ascii="Times New Roman" w:hAnsi="Times New Roman" w:cs="Times New Roman"/>
          <w:sz w:val="24"/>
          <w:szCs w:val="24"/>
          <w:lang w:val="en-GB"/>
        </w:rPr>
        <w:t>characteristics of those individuals who were sampled.</w:t>
      </w:r>
    </w:p>
    <w:p w:rsidR="000A0598" w:rsidRDefault="000A0598" w:rsidP="000A0598">
      <w:pPr>
        <w:autoSpaceDE w:val="0"/>
        <w:autoSpaceDN w:val="0"/>
        <w:adjustRightInd w:val="0"/>
        <w:spacing w:after="0" w:line="480" w:lineRule="auto"/>
        <w:contextualSpacing w:val="0"/>
        <w:rPr>
          <w:rFonts w:ascii="Times New Roman" w:hAnsi="Times New Roman" w:cs="Times New Roman"/>
          <w:b/>
          <w:bCs/>
          <w:sz w:val="24"/>
          <w:szCs w:val="24"/>
          <w:lang w:val="en-GB"/>
        </w:rPr>
      </w:pPr>
    </w:p>
    <w:p w:rsidR="000A0598" w:rsidRPr="000A0598" w:rsidRDefault="000A0598" w:rsidP="000A0598">
      <w:pPr>
        <w:autoSpaceDE w:val="0"/>
        <w:autoSpaceDN w:val="0"/>
        <w:adjustRightInd w:val="0"/>
        <w:spacing w:after="0" w:line="480" w:lineRule="auto"/>
        <w:contextualSpacing w:val="0"/>
        <w:rPr>
          <w:rFonts w:ascii="Times New Roman" w:hAnsi="Times New Roman" w:cs="Times New Roman"/>
          <w:b/>
          <w:bCs/>
          <w:sz w:val="24"/>
          <w:szCs w:val="24"/>
          <w:lang w:val="en-GB"/>
        </w:rPr>
      </w:pPr>
      <w:r w:rsidRPr="000A0598">
        <w:rPr>
          <w:rFonts w:ascii="Times New Roman" w:hAnsi="Times New Roman" w:cs="Times New Roman"/>
          <w:b/>
          <w:bCs/>
          <w:sz w:val="24"/>
          <w:szCs w:val="24"/>
          <w:lang w:val="en-GB"/>
        </w:rPr>
        <w:t>Acknowledgements</w:t>
      </w:r>
    </w:p>
    <w:p w:rsidR="000A0598" w:rsidRPr="000A0598" w:rsidRDefault="000A0598" w:rsidP="000A0598">
      <w:pPr>
        <w:autoSpaceDE w:val="0"/>
        <w:autoSpaceDN w:val="0"/>
        <w:adjustRightInd w:val="0"/>
        <w:spacing w:after="0" w:line="480" w:lineRule="auto"/>
        <w:contextualSpacing w:val="0"/>
        <w:rPr>
          <w:rFonts w:ascii="Times New Roman" w:hAnsi="Times New Roman" w:cs="Times New Roman"/>
          <w:sz w:val="24"/>
          <w:szCs w:val="24"/>
          <w:lang w:val="en-GB"/>
        </w:rPr>
      </w:pPr>
      <w:r w:rsidRPr="000A0598">
        <w:rPr>
          <w:rFonts w:ascii="Times New Roman" w:hAnsi="Times New Roman" w:cs="Times New Roman"/>
          <w:sz w:val="24"/>
          <w:szCs w:val="24"/>
          <w:lang w:val="en-GB"/>
        </w:rPr>
        <w:t>The authors acknowledge Li</w:t>
      </w:r>
      <w:r>
        <w:rPr>
          <w:rFonts w:ascii="Times New Roman" w:hAnsi="Times New Roman" w:cs="Times New Roman"/>
          <w:sz w:val="24"/>
          <w:szCs w:val="24"/>
          <w:lang w:val="en-GB"/>
        </w:rPr>
        <w:t xml:space="preserve">nda Irvine, Strategic Programme </w:t>
      </w:r>
      <w:r w:rsidRPr="000A0598">
        <w:rPr>
          <w:rFonts w:ascii="Times New Roman" w:hAnsi="Times New Roman" w:cs="Times New Roman"/>
          <w:sz w:val="24"/>
          <w:szCs w:val="24"/>
          <w:lang w:val="en-GB"/>
        </w:rPr>
        <w:t>Manager, Mental Health and Wellbeing, NHS Lothian.</w:t>
      </w:r>
    </w:p>
    <w:p w:rsidR="000A0598" w:rsidRDefault="000A0598" w:rsidP="000A0598">
      <w:pPr>
        <w:autoSpaceDE w:val="0"/>
        <w:autoSpaceDN w:val="0"/>
        <w:adjustRightInd w:val="0"/>
        <w:spacing w:after="0" w:line="480" w:lineRule="auto"/>
        <w:contextualSpacing w:val="0"/>
        <w:rPr>
          <w:rFonts w:ascii="Times New Roman" w:hAnsi="Times New Roman" w:cs="Times New Roman"/>
          <w:b/>
          <w:bCs/>
          <w:sz w:val="24"/>
          <w:szCs w:val="24"/>
          <w:lang w:val="en-GB"/>
        </w:rPr>
      </w:pPr>
    </w:p>
    <w:p w:rsidR="000A0598" w:rsidRPr="000A0598" w:rsidRDefault="000A0598" w:rsidP="000A0598">
      <w:pPr>
        <w:autoSpaceDE w:val="0"/>
        <w:autoSpaceDN w:val="0"/>
        <w:adjustRightInd w:val="0"/>
        <w:spacing w:after="0" w:line="480" w:lineRule="auto"/>
        <w:contextualSpacing w:val="0"/>
        <w:rPr>
          <w:rFonts w:ascii="Times New Roman" w:hAnsi="Times New Roman" w:cs="Times New Roman"/>
          <w:b/>
          <w:bCs/>
          <w:sz w:val="24"/>
          <w:szCs w:val="24"/>
          <w:lang w:val="en-GB"/>
        </w:rPr>
      </w:pPr>
      <w:r w:rsidRPr="000A0598">
        <w:rPr>
          <w:rFonts w:ascii="Times New Roman" w:hAnsi="Times New Roman" w:cs="Times New Roman"/>
          <w:b/>
          <w:bCs/>
          <w:sz w:val="24"/>
          <w:szCs w:val="24"/>
          <w:lang w:val="en-GB"/>
        </w:rPr>
        <w:t>Declaration of Conflicting Interests</w:t>
      </w:r>
    </w:p>
    <w:p w:rsidR="000A0598" w:rsidRPr="000A0598" w:rsidRDefault="000A0598" w:rsidP="000A0598">
      <w:pPr>
        <w:autoSpaceDE w:val="0"/>
        <w:autoSpaceDN w:val="0"/>
        <w:adjustRightInd w:val="0"/>
        <w:spacing w:after="0" w:line="480" w:lineRule="auto"/>
        <w:contextualSpacing w:val="0"/>
        <w:rPr>
          <w:rFonts w:ascii="Times New Roman" w:hAnsi="Times New Roman" w:cs="Times New Roman"/>
          <w:sz w:val="24"/>
          <w:szCs w:val="24"/>
          <w:lang w:val="en-GB"/>
        </w:rPr>
      </w:pPr>
      <w:r w:rsidRPr="000A0598">
        <w:rPr>
          <w:rFonts w:ascii="Times New Roman" w:hAnsi="Times New Roman" w:cs="Times New Roman"/>
          <w:sz w:val="24"/>
          <w:szCs w:val="24"/>
          <w:lang w:val="en-GB"/>
        </w:rPr>
        <w:t>The author(s) declared no poten</w:t>
      </w:r>
      <w:r>
        <w:rPr>
          <w:rFonts w:ascii="Times New Roman" w:hAnsi="Times New Roman" w:cs="Times New Roman"/>
          <w:sz w:val="24"/>
          <w:szCs w:val="24"/>
          <w:lang w:val="en-GB"/>
        </w:rPr>
        <w:t xml:space="preserve">tial conflicts of interest with </w:t>
      </w:r>
      <w:r w:rsidRPr="000A0598">
        <w:rPr>
          <w:rFonts w:ascii="Times New Roman" w:hAnsi="Times New Roman" w:cs="Times New Roman"/>
          <w:sz w:val="24"/>
          <w:szCs w:val="24"/>
          <w:lang w:val="en-GB"/>
        </w:rPr>
        <w:t>respect to the research, authors</w:t>
      </w:r>
      <w:r>
        <w:rPr>
          <w:rFonts w:ascii="Times New Roman" w:hAnsi="Times New Roman" w:cs="Times New Roman"/>
          <w:sz w:val="24"/>
          <w:szCs w:val="24"/>
          <w:lang w:val="en-GB"/>
        </w:rPr>
        <w:t xml:space="preserve">hip, and/or publication of this </w:t>
      </w:r>
      <w:r w:rsidRPr="000A0598">
        <w:rPr>
          <w:rFonts w:ascii="Times New Roman" w:hAnsi="Times New Roman" w:cs="Times New Roman"/>
          <w:sz w:val="24"/>
          <w:szCs w:val="24"/>
          <w:lang w:val="en-GB"/>
        </w:rPr>
        <w:t>article.</w:t>
      </w:r>
    </w:p>
    <w:p w:rsidR="000A0598" w:rsidRDefault="000A0598" w:rsidP="000A0598">
      <w:pPr>
        <w:autoSpaceDE w:val="0"/>
        <w:autoSpaceDN w:val="0"/>
        <w:adjustRightInd w:val="0"/>
        <w:spacing w:after="0" w:line="480" w:lineRule="auto"/>
        <w:contextualSpacing w:val="0"/>
        <w:rPr>
          <w:rFonts w:ascii="Times New Roman" w:hAnsi="Times New Roman" w:cs="Times New Roman"/>
          <w:b/>
          <w:bCs/>
          <w:sz w:val="24"/>
          <w:szCs w:val="24"/>
          <w:lang w:val="en-GB"/>
        </w:rPr>
      </w:pPr>
    </w:p>
    <w:p w:rsidR="000A0598" w:rsidRPr="000A0598" w:rsidRDefault="000A0598" w:rsidP="000A0598">
      <w:pPr>
        <w:autoSpaceDE w:val="0"/>
        <w:autoSpaceDN w:val="0"/>
        <w:adjustRightInd w:val="0"/>
        <w:spacing w:after="0" w:line="480" w:lineRule="auto"/>
        <w:contextualSpacing w:val="0"/>
        <w:rPr>
          <w:rFonts w:ascii="Times New Roman" w:hAnsi="Times New Roman" w:cs="Times New Roman"/>
          <w:b/>
          <w:bCs/>
          <w:sz w:val="24"/>
          <w:szCs w:val="24"/>
          <w:lang w:val="en-GB"/>
        </w:rPr>
      </w:pPr>
      <w:r w:rsidRPr="000A0598">
        <w:rPr>
          <w:rFonts w:ascii="Times New Roman" w:hAnsi="Times New Roman" w:cs="Times New Roman"/>
          <w:b/>
          <w:bCs/>
          <w:sz w:val="24"/>
          <w:szCs w:val="24"/>
          <w:lang w:val="en-GB"/>
        </w:rPr>
        <w:t>Funding</w:t>
      </w:r>
    </w:p>
    <w:p w:rsidR="000A0598" w:rsidRDefault="000A0598" w:rsidP="000A0598">
      <w:pPr>
        <w:autoSpaceDE w:val="0"/>
        <w:autoSpaceDN w:val="0"/>
        <w:adjustRightInd w:val="0"/>
        <w:spacing w:after="0" w:line="480" w:lineRule="auto"/>
        <w:contextualSpacing w:val="0"/>
        <w:rPr>
          <w:rFonts w:ascii="Times New Roman" w:hAnsi="Times New Roman" w:cs="Times New Roman"/>
          <w:sz w:val="24"/>
          <w:szCs w:val="24"/>
          <w:lang w:val="en-GB"/>
        </w:rPr>
      </w:pPr>
      <w:r w:rsidRPr="000A0598">
        <w:rPr>
          <w:rFonts w:ascii="Times New Roman" w:hAnsi="Times New Roman" w:cs="Times New Roman"/>
          <w:sz w:val="24"/>
          <w:szCs w:val="24"/>
          <w:lang w:val="en-GB"/>
        </w:rPr>
        <w:t xml:space="preserve">The author(s) disclosed receipt of </w:t>
      </w:r>
      <w:r>
        <w:rPr>
          <w:rFonts w:ascii="Times New Roman" w:hAnsi="Times New Roman" w:cs="Times New Roman"/>
          <w:sz w:val="24"/>
          <w:szCs w:val="24"/>
          <w:lang w:val="en-GB"/>
        </w:rPr>
        <w:t xml:space="preserve">the following financial support </w:t>
      </w:r>
      <w:r w:rsidRPr="000A0598">
        <w:rPr>
          <w:rFonts w:ascii="Times New Roman" w:hAnsi="Times New Roman" w:cs="Times New Roman"/>
          <w:sz w:val="24"/>
          <w:szCs w:val="24"/>
          <w:lang w:val="en-GB"/>
        </w:rPr>
        <w:t>for the research, authorship, and/</w:t>
      </w:r>
      <w:r>
        <w:rPr>
          <w:rFonts w:ascii="Times New Roman" w:hAnsi="Times New Roman" w:cs="Times New Roman"/>
          <w:sz w:val="24"/>
          <w:szCs w:val="24"/>
          <w:lang w:val="en-GB"/>
        </w:rPr>
        <w:t xml:space="preserve">or publication of this article: </w:t>
      </w:r>
      <w:r w:rsidRPr="000A0598">
        <w:rPr>
          <w:rFonts w:ascii="Times New Roman" w:hAnsi="Times New Roman" w:cs="Times New Roman"/>
          <w:sz w:val="24"/>
          <w:szCs w:val="24"/>
          <w:lang w:val="en-GB"/>
        </w:rPr>
        <w:t>This work was supported by the Scottish Government.</w:t>
      </w:r>
    </w:p>
    <w:p w:rsidR="000A4CF9" w:rsidRDefault="000A4CF9" w:rsidP="000A0598">
      <w:pPr>
        <w:autoSpaceDE w:val="0"/>
        <w:autoSpaceDN w:val="0"/>
        <w:adjustRightInd w:val="0"/>
        <w:spacing w:after="0" w:line="480" w:lineRule="auto"/>
        <w:contextualSpacing w:val="0"/>
        <w:rPr>
          <w:rFonts w:ascii="Times New Roman" w:hAnsi="Times New Roman" w:cs="Times New Roman"/>
          <w:sz w:val="24"/>
          <w:szCs w:val="24"/>
          <w:lang w:val="en-GB"/>
        </w:rPr>
      </w:pPr>
    </w:p>
    <w:p w:rsidR="000A4CF9" w:rsidRDefault="000A4CF9" w:rsidP="000A0598">
      <w:pPr>
        <w:autoSpaceDE w:val="0"/>
        <w:autoSpaceDN w:val="0"/>
        <w:adjustRightInd w:val="0"/>
        <w:spacing w:after="0" w:line="480" w:lineRule="auto"/>
        <w:contextualSpacing w:val="0"/>
        <w:rPr>
          <w:rFonts w:ascii="Times New Roman" w:hAnsi="Times New Roman" w:cs="Times New Roman"/>
          <w:sz w:val="24"/>
          <w:szCs w:val="24"/>
          <w:lang w:val="en-GB"/>
        </w:rPr>
      </w:pPr>
    </w:p>
    <w:p w:rsidR="000A4CF9" w:rsidRDefault="000A4CF9" w:rsidP="000A0598">
      <w:pPr>
        <w:autoSpaceDE w:val="0"/>
        <w:autoSpaceDN w:val="0"/>
        <w:adjustRightInd w:val="0"/>
        <w:spacing w:after="0" w:line="480" w:lineRule="auto"/>
        <w:contextualSpacing w:val="0"/>
        <w:rPr>
          <w:rFonts w:ascii="Times New Roman" w:hAnsi="Times New Roman" w:cs="Times New Roman"/>
          <w:sz w:val="24"/>
          <w:szCs w:val="24"/>
          <w:lang w:val="en-GB"/>
        </w:rPr>
      </w:pPr>
    </w:p>
    <w:p w:rsidR="000A4CF9" w:rsidRDefault="000A4CF9" w:rsidP="000A0598">
      <w:pPr>
        <w:autoSpaceDE w:val="0"/>
        <w:autoSpaceDN w:val="0"/>
        <w:adjustRightInd w:val="0"/>
        <w:spacing w:after="0" w:line="480" w:lineRule="auto"/>
        <w:contextualSpacing w:val="0"/>
        <w:rPr>
          <w:rFonts w:ascii="Times New Roman" w:hAnsi="Times New Roman" w:cs="Times New Roman"/>
          <w:sz w:val="24"/>
          <w:szCs w:val="24"/>
          <w:lang w:val="en-GB"/>
        </w:rPr>
      </w:pPr>
    </w:p>
    <w:p w:rsidR="000A4CF9" w:rsidRDefault="000A4CF9" w:rsidP="000A0598">
      <w:pPr>
        <w:autoSpaceDE w:val="0"/>
        <w:autoSpaceDN w:val="0"/>
        <w:adjustRightInd w:val="0"/>
        <w:spacing w:after="0" w:line="480" w:lineRule="auto"/>
        <w:contextualSpacing w:val="0"/>
        <w:rPr>
          <w:rFonts w:ascii="Times New Roman" w:hAnsi="Times New Roman" w:cs="Times New Roman"/>
          <w:sz w:val="24"/>
          <w:szCs w:val="24"/>
          <w:lang w:val="en-GB"/>
        </w:rPr>
      </w:pPr>
    </w:p>
    <w:p w:rsidR="000A4CF9" w:rsidRDefault="000A4CF9" w:rsidP="000A0598">
      <w:pPr>
        <w:autoSpaceDE w:val="0"/>
        <w:autoSpaceDN w:val="0"/>
        <w:adjustRightInd w:val="0"/>
        <w:spacing w:after="0" w:line="480" w:lineRule="auto"/>
        <w:contextualSpacing w:val="0"/>
        <w:rPr>
          <w:rFonts w:ascii="Times New Roman" w:hAnsi="Times New Roman" w:cs="Times New Roman"/>
          <w:sz w:val="24"/>
          <w:szCs w:val="24"/>
          <w:lang w:val="en-GB"/>
        </w:rPr>
      </w:pPr>
    </w:p>
    <w:p w:rsidR="000A4CF9" w:rsidRDefault="000A4CF9" w:rsidP="000A0598">
      <w:pPr>
        <w:autoSpaceDE w:val="0"/>
        <w:autoSpaceDN w:val="0"/>
        <w:adjustRightInd w:val="0"/>
        <w:spacing w:after="0" w:line="480" w:lineRule="auto"/>
        <w:contextualSpacing w:val="0"/>
        <w:rPr>
          <w:rFonts w:ascii="Times New Roman" w:hAnsi="Times New Roman" w:cs="Times New Roman"/>
          <w:sz w:val="24"/>
          <w:szCs w:val="24"/>
          <w:lang w:val="en-GB"/>
        </w:rPr>
      </w:pPr>
    </w:p>
    <w:p w:rsidR="00040E7A" w:rsidRPr="0023752A" w:rsidRDefault="000A4CF9" w:rsidP="000A4CF9">
      <w:pPr>
        <w:autoSpaceDE w:val="0"/>
        <w:autoSpaceDN w:val="0"/>
        <w:adjustRightInd w:val="0"/>
        <w:spacing w:after="0" w:line="480" w:lineRule="auto"/>
        <w:contextualSpacing w:val="0"/>
        <w:rPr>
          <w:rFonts w:ascii="Times New Roman" w:hAnsi="Times New Roman" w:cs="Times New Roman"/>
          <w:b/>
          <w:bCs/>
          <w:sz w:val="24"/>
          <w:szCs w:val="24"/>
          <w:lang w:val="en-GB"/>
        </w:rPr>
      </w:pPr>
      <w:r w:rsidRPr="00261C07">
        <w:rPr>
          <w:rFonts w:ascii="Times New Roman" w:hAnsi="Times New Roman" w:cs="Times New Roman"/>
          <w:b/>
          <w:bCs/>
          <w:sz w:val="24"/>
          <w:szCs w:val="24"/>
          <w:lang w:val="en-GB"/>
        </w:rPr>
        <w:lastRenderedPageBreak/>
        <w:t>References</w:t>
      </w:r>
    </w:p>
    <w:p w:rsidR="000A4CF9" w:rsidRPr="0023752A" w:rsidRDefault="000A4CF9"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Baio J (2012) Prevalence of autism spectrum disorders: Autism and Developmental Disabilities Monitoring Network, 14 sites, United States, 2008. </w:t>
      </w:r>
      <w:proofErr w:type="gramStart"/>
      <w:r w:rsidRPr="0023752A">
        <w:rPr>
          <w:rFonts w:ascii="Times New Roman" w:hAnsi="Times New Roman" w:cs="Times New Roman"/>
          <w:i/>
          <w:iCs/>
          <w:sz w:val="24"/>
          <w:szCs w:val="24"/>
          <w:lang w:val="en-GB"/>
        </w:rPr>
        <w:t>Morbidity and Mortality Weekly</w:t>
      </w:r>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Report.</w:t>
      </w:r>
      <w:proofErr w:type="gramEnd"/>
      <w:r w:rsidRPr="0023752A">
        <w:rPr>
          <w:rFonts w:ascii="Times New Roman" w:hAnsi="Times New Roman" w:cs="Times New Roman"/>
          <w:i/>
          <w:iCs/>
          <w:sz w:val="24"/>
          <w:szCs w:val="24"/>
          <w:lang w:val="en-GB"/>
        </w:rPr>
        <w:t xml:space="preserve"> Surveillance Summaries </w:t>
      </w:r>
      <w:r w:rsidRPr="0023752A">
        <w:rPr>
          <w:rFonts w:ascii="Times New Roman" w:hAnsi="Times New Roman" w:cs="Times New Roman"/>
          <w:sz w:val="24"/>
          <w:szCs w:val="24"/>
          <w:lang w:val="en-GB"/>
        </w:rPr>
        <w:t>61(3): 1–19.</w:t>
      </w:r>
    </w:p>
    <w:p w:rsidR="000A4CF9" w:rsidRPr="0023752A" w:rsidRDefault="000A4CF9"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Begeer S, Mandell D, Wijnker-Holmes B, et al. (2013) Sex differences in the timing of identification among children and adults with autism spectrum disorders. </w:t>
      </w:r>
      <w:r w:rsidRPr="0023752A">
        <w:rPr>
          <w:rFonts w:ascii="Times New Roman" w:hAnsi="Times New Roman" w:cs="Times New Roman"/>
          <w:i/>
          <w:iCs/>
          <w:sz w:val="24"/>
          <w:szCs w:val="24"/>
          <w:lang w:val="en-GB"/>
        </w:rPr>
        <w:t>Journal of Autism</w:t>
      </w:r>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 xml:space="preserve">and Developmental Disorders </w:t>
      </w:r>
      <w:r w:rsidRPr="0023752A">
        <w:rPr>
          <w:rFonts w:ascii="Times New Roman" w:hAnsi="Times New Roman" w:cs="Times New Roman"/>
          <w:sz w:val="24"/>
          <w:szCs w:val="24"/>
          <w:lang w:val="en-GB"/>
        </w:rPr>
        <w:t>43(5): 1151–1156.</w:t>
      </w:r>
    </w:p>
    <w:p w:rsidR="000A4CF9" w:rsidRPr="0023752A" w:rsidRDefault="000A4CF9"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Blumberg SJ, Bramlett MD, Kogan MD, et al. (2013) Changes in prevalence of parent-reported autism spectrum disorder in school-aged US children: 2007 to 2011–2012. </w:t>
      </w:r>
      <w:r w:rsidRPr="0023752A">
        <w:rPr>
          <w:rFonts w:ascii="Times New Roman" w:hAnsi="Times New Roman" w:cs="Times New Roman"/>
          <w:i/>
          <w:iCs/>
          <w:sz w:val="24"/>
          <w:szCs w:val="24"/>
          <w:lang w:val="en-GB"/>
        </w:rPr>
        <w:t>National</w:t>
      </w:r>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 xml:space="preserve">Health Statistics Report </w:t>
      </w:r>
      <w:r w:rsidRPr="0023752A">
        <w:rPr>
          <w:rFonts w:ascii="Times New Roman" w:hAnsi="Times New Roman" w:cs="Times New Roman"/>
          <w:sz w:val="24"/>
          <w:szCs w:val="24"/>
          <w:lang w:val="en-GB"/>
        </w:rPr>
        <w:t>65: 1–11.</w:t>
      </w:r>
    </w:p>
    <w:p w:rsidR="000A4CF9" w:rsidRPr="0023752A" w:rsidRDefault="000A4CF9"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Brugha T, McManus S, Meltzer H, et al. (2009) Autism spectrum disorders in adults living in households throughout England – 2007. </w:t>
      </w:r>
      <w:proofErr w:type="gramStart"/>
      <w:r w:rsidRPr="0023752A">
        <w:rPr>
          <w:rFonts w:ascii="Times New Roman" w:hAnsi="Times New Roman" w:cs="Times New Roman"/>
          <w:sz w:val="24"/>
          <w:szCs w:val="24"/>
          <w:lang w:val="en-GB"/>
        </w:rPr>
        <w:t>Report from the adult psychiatric morbidity survey 2007, NHS Information Centre for Health and Social Care, Leeds, 22 September.</w:t>
      </w:r>
      <w:proofErr w:type="gramEnd"/>
    </w:p>
    <w:p w:rsidR="000A4CF9" w:rsidRPr="0023752A" w:rsidRDefault="000A4CF9"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Dworzynski K, Ronad A, Bolton P, et al. (2012) How different are girls and boys above and below the diagnostic threshold for autism spectrum disorders? </w:t>
      </w:r>
      <w:r w:rsidRPr="0023752A">
        <w:rPr>
          <w:rFonts w:ascii="Times New Roman" w:hAnsi="Times New Roman" w:cs="Times New Roman"/>
          <w:i/>
          <w:iCs/>
          <w:sz w:val="24"/>
          <w:szCs w:val="24"/>
          <w:lang w:val="en-GB"/>
        </w:rPr>
        <w:t>Journal of the</w:t>
      </w:r>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American Academy of Child and Adolescent Psychiatry</w:t>
      </w:r>
      <w:r w:rsidRPr="0023752A">
        <w:rPr>
          <w:rFonts w:ascii="Times New Roman" w:hAnsi="Times New Roman" w:cs="Times New Roman"/>
          <w:sz w:val="24"/>
          <w:szCs w:val="24"/>
          <w:lang w:val="en-GB"/>
        </w:rPr>
        <w:t xml:space="preserve"> 51(8): 788–797.</w:t>
      </w:r>
    </w:p>
    <w:p w:rsidR="000A4CF9" w:rsidRPr="0023752A" w:rsidRDefault="000A4CF9"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Geurts HM and Jansen MD (2012) </w:t>
      </w:r>
      <w:proofErr w:type="gramStart"/>
      <w:r w:rsidRPr="0023752A">
        <w:rPr>
          <w:rFonts w:ascii="Times New Roman" w:hAnsi="Times New Roman" w:cs="Times New Roman"/>
          <w:sz w:val="24"/>
          <w:szCs w:val="24"/>
          <w:lang w:val="en-GB"/>
        </w:rPr>
        <w:t>A</w:t>
      </w:r>
      <w:proofErr w:type="gramEnd"/>
      <w:r w:rsidRPr="0023752A">
        <w:rPr>
          <w:rFonts w:ascii="Times New Roman" w:hAnsi="Times New Roman" w:cs="Times New Roman"/>
          <w:sz w:val="24"/>
          <w:szCs w:val="24"/>
          <w:lang w:val="en-GB"/>
        </w:rPr>
        <w:t xml:space="preserve"> retrospective chart study: the pathway to a diagnosis for adults referred for ASD assessment. </w:t>
      </w:r>
      <w:r w:rsidRPr="0023752A">
        <w:rPr>
          <w:rFonts w:ascii="Times New Roman" w:hAnsi="Times New Roman" w:cs="Times New Roman"/>
          <w:i/>
          <w:iCs/>
          <w:sz w:val="24"/>
          <w:szCs w:val="24"/>
          <w:lang w:val="en-GB"/>
        </w:rPr>
        <w:t xml:space="preserve">Autism </w:t>
      </w:r>
      <w:r w:rsidRPr="0023752A">
        <w:rPr>
          <w:rFonts w:ascii="Times New Roman" w:hAnsi="Times New Roman" w:cs="Times New Roman"/>
          <w:sz w:val="24"/>
          <w:szCs w:val="24"/>
          <w:lang w:val="en-GB"/>
        </w:rPr>
        <w:t>16(3): 299–305.</w:t>
      </w:r>
    </w:p>
    <w:p w:rsidR="000A4CF9" w:rsidRPr="0023752A" w:rsidRDefault="000A4CF9" w:rsidP="00B00B94">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proofErr w:type="gramStart"/>
      <w:r w:rsidRPr="0023752A">
        <w:rPr>
          <w:rFonts w:ascii="Times New Roman" w:hAnsi="Times New Roman" w:cs="Times New Roman"/>
          <w:sz w:val="24"/>
          <w:szCs w:val="24"/>
          <w:lang w:val="en-GB"/>
        </w:rPr>
        <w:t>Giarelli E, Wiggins LD, Rice CE, et al. (2010) Sex differences in the evaluation and diagnosis of autism spectrum disorders among children.</w:t>
      </w:r>
      <w:proofErr w:type="gramEnd"/>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 xml:space="preserve">Disability and Health Journal </w:t>
      </w:r>
      <w:r w:rsidRPr="0023752A">
        <w:rPr>
          <w:rFonts w:ascii="Times New Roman" w:hAnsi="Times New Roman" w:cs="Times New Roman"/>
          <w:sz w:val="24"/>
          <w:szCs w:val="24"/>
          <w:lang w:val="en-GB"/>
        </w:rPr>
        <w:t>3(2): 107–116.</w:t>
      </w:r>
    </w:p>
    <w:p w:rsidR="000A4CF9" w:rsidRPr="0023752A" w:rsidRDefault="000A4CF9"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Goldin RL, Matson JL and Cervantes PE (2014) </w:t>
      </w:r>
      <w:proofErr w:type="gramStart"/>
      <w:r w:rsidRPr="0023752A">
        <w:rPr>
          <w:rFonts w:ascii="Times New Roman" w:hAnsi="Times New Roman" w:cs="Times New Roman"/>
          <w:sz w:val="24"/>
          <w:szCs w:val="24"/>
          <w:lang w:val="en-GB"/>
        </w:rPr>
        <w:t>The</w:t>
      </w:r>
      <w:proofErr w:type="gramEnd"/>
      <w:r w:rsidRPr="0023752A">
        <w:rPr>
          <w:rFonts w:ascii="Times New Roman" w:hAnsi="Times New Roman" w:cs="Times New Roman"/>
          <w:sz w:val="24"/>
          <w:szCs w:val="24"/>
          <w:lang w:val="en-GB"/>
        </w:rPr>
        <w:t xml:space="preserve"> effect of intellectual disability on the presence of comorbid symptoms in children and adolescents with autism spectrum disorder. </w:t>
      </w:r>
      <w:r w:rsidRPr="0023752A">
        <w:rPr>
          <w:rFonts w:ascii="Times New Roman" w:hAnsi="Times New Roman" w:cs="Times New Roman"/>
          <w:i/>
          <w:iCs/>
          <w:sz w:val="24"/>
          <w:szCs w:val="24"/>
          <w:lang w:val="en-GB"/>
        </w:rPr>
        <w:t xml:space="preserve">Research in Autism Spectrum Disorders </w:t>
      </w:r>
      <w:r w:rsidRPr="0023752A">
        <w:rPr>
          <w:rFonts w:ascii="Times New Roman" w:hAnsi="Times New Roman" w:cs="Times New Roman"/>
          <w:sz w:val="24"/>
          <w:szCs w:val="24"/>
          <w:lang w:val="en-GB"/>
        </w:rPr>
        <w:t>8(11): 1552–1556.</w:t>
      </w:r>
    </w:p>
    <w:p w:rsidR="000A4CF9" w:rsidRPr="0023752A" w:rsidRDefault="000A4CF9"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lastRenderedPageBreak/>
        <w:t xml:space="preserve">Hartley SL and Sikora DM (2009) Sex differences in autism spectrum disorder: an examination of developmental functioning, autistic symptoms, and coexisting behavior problems in toddlers. </w:t>
      </w:r>
      <w:r w:rsidRPr="0023752A">
        <w:rPr>
          <w:rFonts w:ascii="Times New Roman" w:hAnsi="Times New Roman" w:cs="Times New Roman"/>
          <w:i/>
          <w:iCs/>
          <w:sz w:val="24"/>
          <w:szCs w:val="24"/>
          <w:lang w:val="en-GB"/>
        </w:rPr>
        <w:t>Journal of Autism and Developmental</w:t>
      </w:r>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 xml:space="preserve">Disorders </w:t>
      </w:r>
      <w:r w:rsidRPr="0023752A">
        <w:rPr>
          <w:rFonts w:ascii="Times New Roman" w:hAnsi="Times New Roman" w:cs="Times New Roman"/>
          <w:sz w:val="24"/>
          <w:szCs w:val="24"/>
          <w:lang w:val="en-GB"/>
        </w:rPr>
        <w:t>39(12): 1715–1722.</w:t>
      </w:r>
    </w:p>
    <w:p w:rsidR="000A4CF9" w:rsidRPr="00622545" w:rsidRDefault="000A4CF9"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fr-FR"/>
        </w:rPr>
      </w:pPr>
      <w:r w:rsidRPr="0023752A">
        <w:rPr>
          <w:rFonts w:ascii="Times New Roman" w:hAnsi="Times New Roman" w:cs="Times New Roman"/>
          <w:sz w:val="24"/>
          <w:szCs w:val="24"/>
          <w:lang w:val="en-GB"/>
        </w:rPr>
        <w:t xml:space="preserve">Hofvander B, Delorme R, Chaste P, et al. (2009) Psychiatric and psychosocial problems in adults with normal-intelligence autism spectrum disorders. </w:t>
      </w:r>
      <w:r w:rsidRPr="00622545">
        <w:rPr>
          <w:rFonts w:ascii="Times New Roman" w:hAnsi="Times New Roman" w:cs="Times New Roman"/>
          <w:i/>
          <w:iCs/>
          <w:sz w:val="24"/>
          <w:szCs w:val="24"/>
          <w:lang w:val="fr-FR"/>
        </w:rPr>
        <w:t xml:space="preserve">BMC Psychiatry </w:t>
      </w:r>
      <w:r w:rsidRPr="00622545">
        <w:rPr>
          <w:rFonts w:ascii="Times New Roman" w:hAnsi="Times New Roman" w:cs="Times New Roman"/>
          <w:sz w:val="24"/>
          <w:szCs w:val="24"/>
          <w:lang w:val="fr-FR"/>
        </w:rPr>
        <w:t>9(1): 35.</w:t>
      </w:r>
    </w:p>
    <w:p w:rsidR="000A4CF9" w:rsidRPr="0023752A" w:rsidRDefault="000A4CF9"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622545">
        <w:rPr>
          <w:rFonts w:ascii="Times New Roman" w:hAnsi="Times New Roman" w:cs="Times New Roman"/>
          <w:sz w:val="24"/>
          <w:szCs w:val="24"/>
          <w:lang w:val="fr-FR"/>
        </w:rPr>
        <w:t xml:space="preserve">Hutchinson A, Coster JE, Cooper KL, et al. </w:t>
      </w:r>
      <w:r w:rsidRPr="0023752A">
        <w:rPr>
          <w:rFonts w:ascii="Times New Roman" w:hAnsi="Times New Roman" w:cs="Times New Roman"/>
          <w:sz w:val="24"/>
          <w:szCs w:val="24"/>
          <w:lang w:val="en-GB"/>
        </w:rPr>
        <w:t xml:space="preserve">(2010) Comparison of case note review methods for evaluating quality and safety in health care. </w:t>
      </w:r>
      <w:r w:rsidRPr="0023752A">
        <w:rPr>
          <w:rFonts w:ascii="Times New Roman" w:hAnsi="Times New Roman" w:cs="Times New Roman"/>
          <w:i/>
          <w:iCs/>
          <w:sz w:val="24"/>
          <w:szCs w:val="24"/>
          <w:lang w:val="en-GB"/>
        </w:rPr>
        <w:t xml:space="preserve">Health Technology Assessment </w:t>
      </w:r>
      <w:r w:rsidRPr="0023752A">
        <w:rPr>
          <w:rFonts w:ascii="Times New Roman" w:hAnsi="Times New Roman" w:cs="Times New Roman"/>
          <w:sz w:val="24"/>
          <w:szCs w:val="24"/>
          <w:lang w:val="en-GB"/>
        </w:rPr>
        <w:t>14(10): 1–144.</w:t>
      </w:r>
    </w:p>
    <w:p w:rsidR="000A4CF9" w:rsidRPr="0023752A" w:rsidRDefault="000A4CF9"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Jensen CM, Steinhausen HC and Lauritsen MB (2014) Time trends over 16 years in incidence-rates of autism spectrum disorders across the lifespan based on nationwide Danish register data. </w:t>
      </w:r>
      <w:r w:rsidRPr="0023752A">
        <w:rPr>
          <w:rFonts w:ascii="Times New Roman" w:hAnsi="Times New Roman" w:cs="Times New Roman"/>
          <w:i/>
          <w:iCs/>
          <w:sz w:val="24"/>
          <w:szCs w:val="24"/>
          <w:lang w:val="en-GB"/>
        </w:rPr>
        <w:t>Journal of Autism and Developmental</w:t>
      </w:r>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 xml:space="preserve">Disorders </w:t>
      </w:r>
      <w:r w:rsidRPr="0023752A">
        <w:rPr>
          <w:rFonts w:ascii="Times New Roman" w:hAnsi="Times New Roman" w:cs="Times New Roman"/>
          <w:sz w:val="24"/>
          <w:szCs w:val="24"/>
          <w:lang w:val="en-GB"/>
        </w:rPr>
        <w:t>44(8): 1808–1818.</w:t>
      </w:r>
    </w:p>
    <w:p w:rsidR="000A4CF9" w:rsidRPr="0023752A" w:rsidRDefault="000A4CF9"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Kirkovski M, Enticott PG and Fitzgerald PB (2013) A review of the role of female gender in autism spectrum disorders. </w:t>
      </w:r>
      <w:r w:rsidRPr="0023752A">
        <w:rPr>
          <w:rFonts w:ascii="Times New Roman" w:hAnsi="Times New Roman" w:cs="Times New Roman"/>
          <w:i/>
          <w:iCs/>
          <w:sz w:val="24"/>
          <w:szCs w:val="24"/>
          <w:lang w:val="en-GB"/>
        </w:rPr>
        <w:t xml:space="preserve">Journal of Autism and Developmental Disorders </w:t>
      </w:r>
      <w:r w:rsidRPr="0023752A">
        <w:rPr>
          <w:rFonts w:ascii="Times New Roman" w:hAnsi="Times New Roman" w:cs="Times New Roman"/>
          <w:sz w:val="24"/>
          <w:szCs w:val="24"/>
          <w:lang w:val="en-GB"/>
        </w:rPr>
        <w:t>43(11): 2584–2603.</w:t>
      </w:r>
    </w:p>
    <w:p w:rsidR="000A4CF9" w:rsidRPr="0023752A" w:rsidRDefault="000A4CF9" w:rsidP="006C1D90">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Kopp S and Gillberg C (2011) The Autism Spectrum Screening Questionnaire (ASSQ) – Revised Extended Version (ASSQREV): an instrument for better capturing the autism phenotype in girls? </w:t>
      </w:r>
      <w:proofErr w:type="gramStart"/>
      <w:r w:rsidRPr="0023752A">
        <w:rPr>
          <w:rFonts w:ascii="Times New Roman" w:hAnsi="Times New Roman" w:cs="Times New Roman"/>
          <w:sz w:val="24"/>
          <w:szCs w:val="24"/>
          <w:lang w:val="en-GB"/>
        </w:rPr>
        <w:t>A preliminary study involving 191 clinical cases and community controls.</w:t>
      </w:r>
      <w:proofErr w:type="gramEnd"/>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Research in Developmental</w:t>
      </w:r>
      <w:r w:rsidR="00B00B94"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 xml:space="preserve">Disabilities </w:t>
      </w:r>
      <w:r w:rsidR="006C1D90">
        <w:rPr>
          <w:rFonts w:ascii="Times New Roman" w:hAnsi="Times New Roman" w:cs="Times New Roman"/>
          <w:sz w:val="24"/>
          <w:szCs w:val="24"/>
          <w:lang w:val="en-GB"/>
        </w:rPr>
        <w:t>32(6): 11/20, 2875–2888.</w:t>
      </w:r>
    </w:p>
    <w:p w:rsidR="000A4CF9" w:rsidRPr="0023752A" w:rsidRDefault="000A4CF9"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Lai MC, Lombardo MV, Auyeung B, et al. (2015) Sex/gender differences and autism: setting the scene for future research. </w:t>
      </w:r>
      <w:r w:rsidRPr="0023752A">
        <w:rPr>
          <w:rFonts w:ascii="Times New Roman" w:hAnsi="Times New Roman" w:cs="Times New Roman"/>
          <w:i/>
          <w:iCs/>
          <w:sz w:val="24"/>
          <w:szCs w:val="24"/>
          <w:lang w:val="en-GB"/>
        </w:rPr>
        <w:t>Journal of the American Academy of Child and Adolescent</w:t>
      </w:r>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 xml:space="preserve">Psychiatry </w:t>
      </w:r>
      <w:r w:rsidRPr="0023752A">
        <w:rPr>
          <w:rFonts w:ascii="Times New Roman" w:hAnsi="Times New Roman" w:cs="Times New Roman"/>
          <w:sz w:val="24"/>
          <w:szCs w:val="24"/>
          <w:lang w:val="en-GB"/>
        </w:rPr>
        <w:t>54(1): 11–24.</w:t>
      </w:r>
    </w:p>
    <w:p w:rsidR="000A4CF9" w:rsidRPr="0023752A" w:rsidRDefault="000A4CF9" w:rsidP="0023752A">
      <w:pPr>
        <w:autoSpaceDE w:val="0"/>
        <w:autoSpaceDN w:val="0"/>
        <w:adjustRightInd w:val="0"/>
        <w:spacing w:after="0" w:line="480" w:lineRule="auto"/>
        <w:ind w:left="720" w:hanging="720"/>
        <w:contextualSpacing w:val="0"/>
        <w:rPr>
          <w:rFonts w:ascii="Times New Roman" w:hAnsi="Times New Roman" w:cs="Times New Roman"/>
          <w:i/>
          <w:iCs/>
          <w:sz w:val="24"/>
          <w:szCs w:val="24"/>
          <w:lang w:val="en-GB"/>
        </w:rPr>
      </w:pPr>
      <w:r w:rsidRPr="0023752A">
        <w:rPr>
          <w:rFonts w:ascii="Times New Roman" w:hAnsi="Times New Roman" w:cs="Times New Roman"/>
          <w:sz w:val="24"/>
          <w:szCs w:val="24"/>
          <w:lang w:val="en-GB"/>
        </w:rPr>
        <w:t xml:space="preserve">Le Couteur A, Baird G and Mills R (2003) </w:t>
      </w:r>
      <w:r w:rsidRPr="0023752A">
        <w:rPr>
          <w:rFonts w:ascii="Times New Roman" w:hAnsi="Times New Roman" w:cs="Times New Roman"/>
          <w:i/>
          <w:iCs/>
          <w:sz w:val="24"/>
          <w:szCs w:val="24"/>
          <w:lang w:val="en-GB"/>
        </w:rPr>
        <w:t>National Autism Plan for Children (NAPC)</w:t>
      </w:r>
      <w:r w:rsidRPr="0023752A">
        <w:rPr>
          <w:rFonts w:ascii="Times New Roman" w:hAnsi="Times New Roman" w:cs="Times New Roman"/>
          <w:sz w:val="24"/>
          <w:szCs w:val="24"/>
          <w:lang w:val="en-GB"/>
        </w:rPr>
        <w:t>. London: National Autistic Society.</w:t>
      </w:r>
    </w:p>
    <w:p w:rsidR="00282036" w:rsidRPr="00622545" w:rsidRDefault="000A4CF9"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de-DE"/>
        </w:rPr>
      </w:pPr>
      <w:r w:rsidRPr="0023752A">
        <w:rPr>
          <w:rFonts w:ascii="Times New Roman" w:hAnsi="Times New Roman" w:cs="Times New Roman"/>
          <w:sz w:val="24"/>
          <w:szCs w:val="24"/>
          <w:lang w:val="en-GB"/>
        </w:rPr>
        <w:lastRenderedPageBreak/>
        <w:t xml:space="preserve">Lehnhardt FG, Gawronski A, Volpert K, et al. (2012) </w:t>
      </w:r>
      <w:proofErr w:type="gramStart"/>
      <w:r w:rsidRPr="0023752A">
        <w:rPr>
          <w:rFonts w:ascii="Times New Roman" w:hAnsi="Times New Roman" w:cs="Times New Roman"/>
          <w:sz w:val="24"/>
          <w:szCs w:val="24"/>
          <w:lang w:val="en-GB"/>
        </w:rPr>
        <w:t>Psychosocial</w:t>
      </w:r>
      <w:proofErr w:type="gramEnd"/>
      <w:r w:rsidRPr="0023752A">
        <w:rPr>
          <w:rFonts w:ascii="Times New Roman" w:hAnsi="Times New Roman" w:cs="Times New Roman"/>
          <w:sz w:val="24"/>
          <w:szCs w:val="24"/>
          <w:lang w:val="en-GB"/>
        </w:rPr>
        <w:t xml:space="preserve"> </w:t>
      </w:r>
      <w:r w:rsidR="00B00B94" w:rsidRPr="0023752A">
        <w:rPr>
          <w:rFonts w:ascii="Times New Roman" w:hAnsi="Times New Roman" w:cs="Times New Roman"/>
          <w:sz w:val="24"/>
          <w:szCs w:val="24"/>
          <w:lang w:val="en-GB"/>
        </w:rPr>
        <w:t xml:space="preserve">functioning of adults with late </w:t>
      </w:r>
      <w:r w:rsidRPr="0023752A">
        <w:rPr>
          <w:rFonts w:ascii="Times New Roman" w:hAnsi="Times New Roman" w:cs="Times New Roman"/>
          <w:sz w:val="24"/>
          <w:szCs w:val="24"/>
          <w:lang w:val="en-GB"/>
        </w:rPr>
        <w:t xml:space="preserve">diagnosed autism spectrum disorders-a retrospective study. </w:t>
      </w:r>
      <w:r w:rsidRPr="00622545">
        <w:rPr>
          <w:rFonts w:ascii="Times New Roman" w:hAnsi="Times New Roman" w:cs="Times New Roman"/>
          <w:i/>
          <w:iCs/>
          <w:sz w:val="24"/>
          <w:szCs w:val="24"/>
          <w:lang w:val="de-DE"/>
        </w:rPr>
        <w:t xml:space="preserve">Fortschritte der Neurologie-Psychiatrie </w:t>
      </w:r>
      <w:r w:rsidRPr="00622545">
        <w:rPr>
          <w:rFonts w:ascii="Times New Roman" w:hAnsi="Times New Roman" w:cs="Times New Roman"/>
          <w:sz w:val="24"/>
          <w:szCs w:val="24"/>
          <w:lang w:val="de-DE"/>
        </w:rPr>
        <w:t>80(2): 88–97.</w:t>
      </w:r>
    </w:p>
    <w:p w:rsidR="00282036"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622545">
        <w:rPr>
          <w:rFonts w:ascii="Times New Roman" w:hAnsi="Times New Roman" w:cs="Times New Roman"/>
          <w:sz w:val="24"/>
          <w:szCs w:val="24"/>
          <w:lang w:val="de-DE"/>
        </w:rPr>
        <w:t xml:space="preserve">Levy SE, Giarelli E, Lee LC, et al. </w:t>
      </w:r>
      <w:proofErr w:type="gramStart"/>
      <w:r w:rsidRPr="0023752A">
        <w:rPr>
          <w:rFonts w:ascii="Times New Roman" w:hAnsi="Times New Roman" w:cs="Times New Roman"/>
          <w:sz w:val="24"/>
          <w:szCs w:val="24"/>
          <w:lang w:val="en-GB"/>
        </w:rPr>
        <w:t>(2010) Autism spectrum disorder and co-occurring developmental, psychiatric, and medical conditions among children in multiple populations</w:t>
      </w:r>
      <w:r w:rsidR="00B00B94" w:rsidRPr="0023752A">
        <w:rPr>
          <w:rFonts w:ascii="Times New Roman" w:hAnsi="Times New Roman" w:cs="Times New Roman"/>
          <w:sz w:val="24"/>
          <w:szCs w:val="24"/>
          <w:lang w:val="en-GB"/>
        </w:rPr>
        <w:t xml:space="preserve"> </w:t>
      </w:r>
      <w:r w:rsidRPr="0023752A">
        <w:rPr>
          <w:rFonts w:ascii="Times New Roman" w:hAnsi="Times New Roman" w:cs="Times New Roman"/>
          <w:sz w:val="24"/>
          <w:szCs w:val="24"/>
          <w:lang w:val="en-GB"/>
        </w:rPr>
        <w:t>of the United States.</w:t>
      </w:r>
      <w:proofErr w:type="gramEnd"/>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 xml:space="preserve">Journal of Developmental and Behavioral Pediatrics </w:t>
      </w:r>
      <w:r w:rsidRPr="0023752A">
        <w:rPr>
          <w:rFonts w:ascii="Times New Roman" w:hAnsi="Times New Roman" w:cs="Times New Roman"/>
          <w:sz w:val="24"/>
          <w:szCs w:val="24"/>
          <w:lang w:val="en-GB"/>
        </w:rPr>
        <w:t>31(4): 267–275.</w:t>
      </w:r>
    </w:p>
    <w:p w:rsidR="00282036"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McKenzie K and Megson P (2012) Screening for intellectual disability in children: a review of the literature. </w:t>
      </w:r>
      <w:r w:rsidRPr="0023752A">
        <w:rPr>
          <w:rFonts w:ascii="Times New Roman" w:hAnsi="Times New Roman" w:cs="Times New Roman"/>
          <w:i/>
          <w:iCs/>
          <w:sz w:val="24"/>
          <w:szCs w:val="24"/>
          <w:lang w:val="en-GB"/>
        </w:rPr>
        <w:t>Journal</w:t>
      </w:r>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 xml:space="preserve">of Applied Research in Intellectual Disabilities </w:t>
      </w:r>
      <w:r w:rsidRPr="0023752A">
        <w:rPr>
          <w:rFonts w:ascii="Times New Roman" w:hAnsi="Times New Roman" w:cs="Times New Roman"/>
          <w:sz w:val="24"/>
          <w:szCs w:val="24"/>
          <w:lang w:val="en-GB"/>
        </w:rPr>
        <w:t>25(1): 80–87.</w:t>
      </w:r>
    </w:p>
    <w:p w:rsidR="00282036"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McKenzie K, Forsyth K, McClure I, et al. (2015) The relationship between waiting times and ‘adherence’ to the Scottish Intercollegiate Guidelines Network 98 guideline in autism spectrum disorder diagnostic services in Scotland. </w:t>
      </w:r>
      <w:proofErr w:type="gramStart"/>
      <w:r w:rsidRPr="0023752A">
        <w:rPr>
          <w:rFonts w:ascii="Times New Roman" w:hAnsi="Times New Roman" w:cs="Times New Roman"/>
          <w:i/>
          <w:iCs/>
          <w:sz w:val="24"/>
          <w:szCs w:val="24"/>
          <w:lang w:val="en-GB"/>
        </w:rPr>
        <w:t>Autism</w:t>
      </w:r>
      <w:r w:rsidRPr="0023752A">
        <w:rPr>
          <w:rFonts w:ascii="Times New Roman" w:hAnsi="Times New Roman" w:cs="Times New Roman"/>
          <w:sz w:val="24"/>
          <w:szCs w:val="24"/>
          <w:lang w:val="en-GB"/>
        </w:rPr>
        <w:t>.</w:t>
      </w:r>
      <w:proofErr w:type="gramEnd"/>
      <w:r w:rsidRPr="0023752A">
        <w:rPr>
          <w:rFonts w:ascii="Times New Roman" w:hAnsi="Times New Roman" w:cs="Times New Roman"/>
          <w:sz w:val="24"/>
          <w:szCs w:val="24"/>
          <w:lang w:val="en-GB"/>
        </w:rPr>
        <w:t xml:space="preserve"> </w:t>
      </w:r>
      <w:proofErr w:type="gramStart"/>
      <w:r w:rsidRPr="0023752A">
        <w:rPr>
          <w:rFonts w:ascii="Times New Roman" w:hAnsi="Times New Roman" w:cs="Times New Roman"/>
          <w:sz w:val="24"/>
          <w:szCs w:val="24"/>
          <w:lang w:val="en-GB"/>
        </w:rPr>
        <w:t>Epub ahead of print 1 June.</w:t>
      </w:r>
      <w:proofErr w:type="gramEnd"/>
      <w:r w:rsidRPr="0023752A">
        <w:rPr>
          <w:rFonts w:ascii="Times New Roman" w:hAnsi="Times New Roman" w:cs="Times New Roman"/>
          <w:sz w:val="24"/>
          <w:szCs w:val="24"/>
          <w:lang w:val="en-GB"/>
        </w:rPr>
        <w:t xml:space="preserve"> DOI: 10.1177/1362361315586136.</w:t>
      </w:r>
    </w:p>
    <w:p w:rsidR="00282036" w:rsidRPr="0023752A" w:rsidRDefault="00282036" w:rsidP="006C1D90">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McKenzie K, Rutherford M, Forsyth K, et al. </w:t>
      </w:r>
      <w:proofErr w:type="gramStart"/>
      <w:r w:rsidRPr="0023752A">
        <w:rPr>
          <w:rFonts w:ascii="Times New Roman" w:hAnsi="Times New Roman" w:cs="Times New Roman"/>
          <w:sz w:val="24"/>
          <w:szCs w:val="24"/>
          <w:lang w:val="en-GB"/>
        </w:rPr>
        <w:t>The relationship between adherence to NICE guideline 142 and waiting times within Autism Spectrum Disorder diagnostic services in Scotland.</w:t>
      </w:r>
      <w:proofErr w:type="gramEnd"/>
      <w:r w:rsidRPr="0023752A">
        <w:rPr>
          <w:rFonts w:ascii="Times New Roman" w:hAnsi="Times New Roman" w:cs="Times New Roman"/>
          <w:sz w:val="24"/>
          <w:szCs w:val="24"/>
          <w:lang w:val="en-GB"/>
        </w:rPr>
        <w:t xml:space="preserve"> </w:t>
      </w:r>
      <w:proofErr w:type="gramStart"/>
      <w:r w:rsidRPr="0023752A">
        <w:rPr>
          <w:rFonts w:ascii="Times New Roman" w:hAnsi="Times New Roman" w:cs="Times New Roman"/>
          <w:sz w:val="24"/>
          <w:szCs w:val="24"/>
          <w:lang w:val="en-GB"/>
        </w:rPr>
        <w:t xml:space="preserve">(Submitted to </w:t>
      </w:r>
      <w:r w:rsidRPr="0023752A">
        <w:rPr>
          <w:rFonts w:ascii="Times New Roman" w:hAnsi="Times New Roman" w:cs="Times New Roman"/>
          <w:i/>
          <w:iCs/>
          <w:sz w:val="24"/>
          <w:szCs w:val="24"/>
          <w:lang w:val="en-GB"/>
        </w:rPr>
        <w:t>The Journal of Disability Policy</w:t>
      </w:r>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Studies</w:t>
      </w:r>
      <w:r w:rsidRPr="0023752A">
        <w:rPr>
          <w:rFonts w:ascii="Times New Roman" w:hAnsi="Times New Roman" w:cs="Times New Roman"/>
          <w:sz w:val="24"/>
          <w:szCs w:val="24"/>
          <w:lang w:val="en-GB"/>
        </w:rPr>
        <w:t>/under review).</w:t>
      </w:r>
      <w:proofErr w:type="gramEnd"/>
    </w:p>
    <w:p w:rsidR="00282036"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Mattila M, Kielinen M, Jussila K, et al. (2007) </w:t>
      </w:r>
      <w:proofErr w:type="gramStart"/>
      <w:r w:rsidRPr="0023752A">
        <w:rPr>
          <w:rFonts w:ascii="Times New Roman" w:hAnsi="Times New Roman" w:cs="Times New Roman"/>
          <w:sz w:val="24"/>
          <w:szCs w:val="24"/>
          <w:lang w:val="en-GB"/>
        </w:rPr>
        <w:t>An</w:t>
      </w:r>
      <w:proofErr w:type="gramEnd"/>
      <w:r w:rsidRPr="0023752A">
        <w:rPr>
          <w:rFonts w:ascii="Times New Roman" w:hAnsi="Times New Roman" w:cs="Times New Roman"/>
          <w:sz w:val="24"/>
          <w:szCs w:val="24"/>
          <w:lang w:val="en-GB"/>
        </w:rPr>
        <w:t xml:space="preserve"> epidemiological and diagnostic study of Asperger syndrome according to four sets of diagnostic criteria. </w:t>
      </w:r>
      <w:r w:rsidRPr="0023752A">
        <w:rPr>
          <w:rFonts w:ascii="Times New Roman" w:hAnsi="Times New Roman" w:cs="Times New Roman"/>
          <w:i/>
          <w:iCs/>
          <w:sz w:val="24"/>
          <w:szCs w:val="24"/>
          <w:lang w:val="en-GB"/>
        </w:rPr>
        <w:t>Journal of the American Academy</w:t>
      </w:r>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 xml:space="preserve">of Child and Adolescent Psychiatry </w:t>
      </w:r>
      <w:r w:rsidRPr="0023752A">
        <w:rPr>
          <w:rFonts w:ascii="Times New Roman" w:hAnsi="Times New Roman" w:cs="Times New Roman"/>
          <w:sz w:val="24"/>
          <w:szCs w:val="24"/>
          <w:lang w:val="en-GB"/>
        </w:rPr>
        <w:t>46(5): 636–646.</w:t>
      </w:r>
    </w:p>
    <w:p w:rsidR="00282036"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National Institute for Health and Clinical Excellence (NICE) (2012) </w:t>
      </w:r>
      <w:r w:rsidRPr="0023752A">
        <w:rPr>
          <w:rFonts w:ascii="Times New Roman" w:hAnsi="Times New Roman" w:cs="Times New Roman"/>
          <w:i/>
          <w:iCs/>
          <w:sz w:val="24"/>
          <w:szCs w:val="24"/>
          <w:lang w:val="en-GB"/>
        </w:rPr>
        <w:t>Autism: Recognition, Referral, Diagnosis and</w:t>
      </w:r>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Management of Adults on the Autism Spectrum (CG142)</w:t>
      </w:r>
      <w:r w:rsidRPr="0023752A">
        <w:rPr>
          <w:rFonts w:ascii="Times New Roman" w:hAnsi="Times New Roman" w:cs="Times New Roman"/>
          <w:sz w:val="24"/>
          <w:szCs w:val="24"/>
          <w:lang w:val="en-GB"/>
        </w:rPr>
        <w:t>. London: NICE.</w:t>
      </w:r>
    </w:p>
    <w:p w:rsidR="00282036"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lastRenderedPageBreak/>
        <w:t xml:space="preserve">Palmer E, Ketteridge C, Parr JR, et al. (2011) Autism spectrum disorder diagnostic assessments: improvements since publication of the National Autism Plan for Children. </w:t>
      </w:r>
      <w:r w:rsidRPr="0023752A">
        <w:rPr>
          <w:rFonts w:ascii="Times New Roman" w:hAnsi="Times New Roman" w:cs="Times New Roman"/>
          <w:i/>
          <w:iCs/>
          <w:sz w:val="24"/>
          <w:szCs w:val="24"/>
          <w:lang w:val="en-GB"/>
        </w:rPr>
        <w:t>Archive of</w:t>
      </w:r>
      <w:r w:rsidR="00B00B94"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 xml:space="preserve">Disease in Childhood </w:t>
      </w:r>
      <w:r w:rsidR="0023752A">
        <w:rPr>
          <w:rFonts w:ascii="Times New Roman" w:hAnsi="Times New Roman" w:cs="Times New Roman"/>
          <w:sz w:val="24"/>
          <w:szCs w:val="24"/>
          <w:lang w:val="en-GB"/>
        </w:rPr>
        <w:t>96: 473–475.</w:t>
      </w:r>
    </w:p>
    <w:p w:rsidR="00282036"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Piven J and Rabins P (2011) Autism spectrum disorders in older adults: toward defining a research agenda. </w:t>
      </w:r>
      <w:r w:rsidRPr="0023752A">
        <w:rPr>
          <w:rFonts w:ascii="Times New Roman" w:hAnsi="Times New Roman" w:cs="Times New Roman"/>
          <w:i/>
          <w:iCs/>
          <w:sz w:val="24"/>
          <w:szCs w:val="24"/>
          <w:lang w:val="en-GB"/>
        </w:rPr>
        <w:t>Journal of the</w:t>
      </w:r>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 xml:space="preserve">American Geriatrics Society </w:t>
      </w:r>
      <w:r w:rsidRPr="0023752A">
        <w:rPr>
          <w:rFonts w:ascii="Times New Roman" w:hAnsi="Times New Roman" w:cs="Times New Roman"/>
          <w:sz w:val="24"/>
          <w:szCs w:val="24"/>
          <w:lang w:val="en-GB"/>
        </w:rPr>
        <w:t>59(11): 2151–2155.</w:t>
      </w:r>
    </w:p>
    <w:p w:rsidR="00282036"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Rivet TT and Matson JL (2011) Gender differences in core symptomatology</w:t>
      </w:r>
      <w:r w:rsidR="00B00B94" w:rsidRPr="0023752A">
        <w:rPr>
          <w:rFonts w:ascii="Times New Roman" w:hAnsi="Times New Roman" w:cs="Times New Roman"/>
          <w:sz w:val="24"/>
          <w:szCs w:val="24"/>
          <w:lang w:val="en-GB"/>
        </w:rPr>
        <w:t xml:space="preserve"> </w:t>
      </w:r>
      <w:r w:rsidRPr="0023752A">
        <w:rPr>
          <w:rFonts w:ascii="Times New Roman" w:hAnsi="Times New Roman" w:cs="Times New Roman"/>
          <w:sz w:val="24"/>
          <w:szCs w:val="24"/>
          <w:lang w:val="en-GB"/>
        </w:rPr>
        <w:t xml:space="preserve">in autism spectrum disorders across the lifespan. </w:t>
      </w:r>
      <w:r w:rsidRPr="0023752A">
        <w:rPr>
          <w:rFonts w:ascii="Times New Roman" w:hAnsi="Times New Roman" w:cs="Times New Roman"/>
          <w:i/>
          <w:iCs/>
          <w:sz w:val="24"/>
          <w:szCs w:val="24"/>
          <w:lang w:val="en-GB"/>
        </w:rPr>
        <w:t>Journal of Developmental and Physical Disabilities</w:t>
      </w:r>
      <w:r w:rsidRPr="0023752A">
        <w:rPr>
          <w:rFonts w:ascii="Times New Roman" w:hAnsi="Times New Roman" w:cs="Times New Roman"/>
          <w:sz w:val="24"/>
          <w:szCs w:val="24"/>
          <w:lang w:val="en-GB"/>
        </w:rPr>
        <w:t xml:space="preserve"> </w:t>
      </w:r>
      <w:r w:rsidR="0023752A">
        <w:rPr>
          <w:rFonts w:ascii="Times New Roman" w:hAnsi="Times New Roman" w:cs="Times New Roman"/>
          <w:sz w:val="24"/>
          <w:szCs w:val="24"/>
          <w:lang w:val="en-GB"/>
        </w:rPr>
        <w:t>23(5): 399–420.</w:t>
      </w:r>
    </w:p>
    <w:p w:rsidR="00282036"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proofErr w:type="gramStart"/>
      <w:r w:rsidRPr="0023752A">
        <w:rPr>
          <w:rFonts w:ascii="Times New Roman" w:hAnsi="Times New Roman" w:cs="Times New Roman"/>
          <w:sz w:val="24"/>
          <w:szCs w:val="24"/>
          <w:lang w:val="en-GB"/>
        </w:rPr>
        <w:t>Russell G, Steer C and Golding J (2011) Social and demographic factors that influence the diagnosis of autistic spectrum disorders.</w:t>
      </w:r>
      <w:proofErr w:type="gramEnd"/>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Social Psychiatry and Psychiatric Epidemiology</w:t>
      </w:r>
      <w:r w:rsidR="00E97C2C" w:rsidRPr="0023752A">
        <w:rPr>
          <w:rFonts w:ascii="Times New Roman" w:hAnsi="Times New Roman" w:cs="Times New Roman"/>
          <w:sz w:val="24"/>
          <w:szCs w:val="24"/>
          <w:lang w:val="en-GB"/>
        </w:rPr>
        <w:t xml:space="preserve"> </w:t>
      </w:r>
      <w:r w:rsidRPr="0023752A">
        <w:rPr>
          <w:rFonts w:ascii="Times New Roman" w:hAnsi="Times New Roman" w:cs="Times New Roman"/>
          <w:sz w:val="24"/>
          <w:szCs w:val="24"/>
          <w:lang w:val="en-GB"/>
        </w:rPr>
        <w:t>46(12): 12</w:t>
      </w:r>
      <w:r w:rsidR="0023752A">
        <w:rPr>
          <w:rFonts w:ascii="Times New Roman" w:hAnsi="Times New Roman" w:cs="Times New Roman"/>
          <w:sz w:val="24"/>
          <w:szCs w:val="24"/>
          <w:lang w:val="en-GB"/>
        </w:rPr>
        <w:t>83–1293.</w:t>
      </w:r>
    </w:p>
    <w:p w:rsidR="00282036"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i/>
          <w:iCs/>
          <w:sz w:val="24"/>
          <w:szCs w:val="24"/>
          <w:lang w:val="en-GB"/>
        </w:rPr>
      </w:pPr>
      <w:r w:rsidRPr="0023752A">
        <w:rPr>
          <w:rFonts w:ascii="Times New Roman" w:hAnsi="Times New Roman" w:cs="Times New Roman"/>
          <w:sz w:val="24"/>
          <w:szCs w:val="24"/>
          <w:lang w:val="en-GB"/>
        </w:rPr>
        <w:t xml:space="preserve">Scottish Consortium for Learning Disability (2011) </w:t>
      </w:r>
      <w:r w:rsidRPr="0023752A">
        <w:rPr>
          <w:rFonts w:ascii="Times New Roman" w:hAnsi="Times New Roman" w:cs="Times New Roman"/>
          <w:i/>
          <w:iCs/>
          <w:sz w:val="24"/>
          <w:szCs w:val="24"/>
          <w:lang w:val="en-GB"/>
        </w:rPr>
        <w:t>Statistics Release: Adults with Learning Disabilities – Implementation of ‘The Same as You?’ Scotland 2010</w:t>
      </w:r>
      <w:r w:rsidRPr="0023752A">
        <w:rPr>
          <w:rFonts w:ascii="Times New Roman" w:hAnsi="Times New Roman" w:cs="Times New Roman"/>
          <w:sz w:val="24"/>
          <w:szCs w:val="24"/>
          <w:lang w:val="en-GB"/>
        </w:rPr>
        <w:t>. Glasgow: Scottish</w:t>
      </w:r>
      <w:r w:rsidRPr="0023752A">
        <w:rPr>
          <w:rFonts w:ascii="Times New Roman" w:hAnsi="Times New Roman" w:cs="Times New Roman"/>
          <w:i/>
          <w:iCs/>
          <w:sz w:val="24"/>
          <w:szCs w:val="24"/>
          <w:lang w:val="en-GB"/>
        </w:rPr>
        <w:t xml:space="preserve"> </w:t>
      </w:r>
      <w:r w:rsidRPr="0023752A">
        <w:rPr>
          <w:rFonts w:ascii="Times New Roman" w:hAnsi="Times New Roman" w:cs="Times New Roman"/>
          <w:sz w:val="24"/>
          <w:szCs w:val="24"/>
          <w:lang w:val="en-GB"/>
        </w:rPr>
        <w:t>Consortium for Learning Disability.</w:t>
      </w:r>
    </w:p>
    <w:p w:rsidR="00282036"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proofErr w:type="gramStart"/>
      <w:r w:rsidRPr="0023752A">
        <w:rPr>
          <w:rFonts w:ascii="Times New Roman" w:hAnsi="Times New Roman" w:cs="Times New Roman"/>
          <w:sz w:val="24"/>
          <w:szCs w:val="24"/>
          <w:lang w:val="en-GB"/>
        </w:rPr>
        <w:t>Scottish Executive (2006) Quality diagnostic standard.</w:t>
      </w:r>
      <w:proofErr w:type="gramEnd"/>
      <w:r w:rsidRPr="0023752A">
        <w:rPr>
          <w:rFonts w:ascii="Times New Roman" w:hAnsi="Times New Roman" w:cs="Times New Roman"/>
          <w:sz w:val="24"/>
          <w:szCs w:val="24"/>
          <w:lang w:val="en-GB"/>
        </w:rPr>
        <w:t xml:space="preserve"> In: </w:t>
      </w:r>
      <w:r w:rsidRPr="0023752A">
        <w:rPr>
          <w:rFonts w:ascii="Times New Roman" w:hAnsi="Times New Roman" w:cs="Times New Roman"/>
          <w:i/>
          <w:iCs/>
          <w:sz w:val="24"/>
          <w:szCs w:val="24"/>
          <w:lang w:val="en-GB"/>
        </w:rPr>
        <w:t>Autistic Spectrum Disorders Needs Assessment Report</w:t>
      </w:r>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(2001): Scottish Executive Report on Implementation and</w:t>
      </w:r>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Next Steps</w:t>
      </w:r>
      <w:r w:rsidRPr="0023752A">
        <w:rPr>
          <w:rFonts w:ascii="Times New Roman" w:hAnsi="Times New Roman" w:cs="Times New Roman"/>
          <w:sz w:val="24"/>
          <w:szCs w:val="24"/>
          <w:lang w:val="en-GB"/>
        </w:rPr>
        <w:t xml:space="preserve">. Edinburgh: HMSO. Available at: </w:t>
      </w:r>
      <w:hyperlink r:id="rId7" w:history="1">
        <w:r w:rsidR="00797483" w:rsidRPr="0023752A">
          <w:rPr>
            <w:rStyle w:val="Hyperlink"/>
            <w:rFonts w:ascii="Times New Roman" w:hAnsi="Times New Roman" w:cs="Times New Roman"/>
            <w:sz w:val="24"/>
            <w:szCs w:val="24"/>
            <w:lang w:val="en-GB"/>
          </w:rPr>
          <w:t>http://www.gov.scot/Resource/Doc/94715/0022799.PDF</w:t>
        </w:r>
      </w:hyperlink>
      <w:r w:rsidR="00797483" w:rsidRPr="0023752A">
        <w:rPr>
          <w:rFonts w:ascii="Times New Roman" w:hAnsi="Times New Roman" w:cs="Times New Roman"/>
          <w:sz w:val="24"/>
          <w:szCs w:val="24"/>
          <w:lang w:val="en-GB"/>
        </w:rPr>
        <w:t xml:space="preserve"> </w:t>
      </w:r>
    </w:p>
    <w:p w:rsidR="00282036"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Scottish Intercollegiate Guidelines Network (SIGN) (2007) </w:t>
      </w:r>
      <w:r w:rsidRPr="0023752A">
        <w:rPr>
          <w:rFonts w:ascii="Times New Roman" w:hAnsi="Times New Roman" w:cs="Times New Roman"/>
          <w:i/>
          <w:iCs/>
          <w:sz w:val="24"/>
          <w:szCs w:val="24"/>
          <w:lang w:val="en-GB"/>
        </w:rPr>
        <w:t>Assessment, Diagnosis and Clinical Interventions for</w:t>
      </w:r>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Children and Young People with Autism Spectrum</w:t>
      </w:r>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Disorders</w:t>
      </w:r>
      <w:r w:rsidRPr="0023752A">
        <w:rPr>
          <w:rFonts w:ascii="Times New Roman" w:hAnsi="Times New Roman" w:cs="Times New Roman"/>
          <w:sz w:val="24"/>
          <w:szCs w:val="24"/>
          <w:lang w:val="en-GB"/>
        </w:rPr>
        <w:t>. Edinburgh: SIGN.</w:t>
      </w:r>
    </w:p>
    <w:p w:rsidR="00282036"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lastRenderedPageBreak/>
        <w:t xml:space="preserve">Shattuck PT, Durkin M, </w:t>
      </w:r>
      <w:proofErr w:type="gramStart"/>
      <w:r w:rsidRPr="0023752A">
        <w:rPr>
          <w:rFonts w:ascii="Times New Roman" w:hAnsi="Times New Roman" w:cs="Times New Roman"/>
          <w:sz w:val="24"/>
          <w:szCs w:val="24"/>
          <w:lang w:val="en-GB"/>
        </w:rPr>
        <w:t>Maenner</w:t>
      </w:r>
      <w:proofErr w:type="gramEnd"/>
      <w:r w:rsidRPr="0023752A">
        <w:rPr>
          <w:rFonts w:ascii="Times New Roman" w:hAnsi="Times New Roman" w:cs="Times New Roman"/>
          <w:sz w:val="24"/>
          <w:szCs w:val="24"/>
          <w:lang w:val="en-GB"/>
        </w:rPr>
        <w:t xml:space="preserve"> M, et al. (2009) Timing of identification among children with an autism spectrum disorder: findings from a population-based surveillance study. </w:t>
      </w:r>
      <w:r w:rsidRPr="0023752A">
        <w:rPr>
          <w:rFonts w:ascii="Times New Roman" w:hAnsi="Times New Roman" w:cs="Times New Roman"/>
          <w:i/>
          <w:iCs/>
          <w:sz w:val="24"/>
          <w:szCs w:val="24"/>
          <w:lang w:val="en-GB"/>
        </w:rPr>
        <w:t>Journal of the American Academy of Child and Adolescent</w:t>
      </w:r>
      <w:r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 xml:space="preserve">Psychiatry </w:t>
      </w:r>
      <w:r w:rsidRPr="0023752A">
        <w:rPr>
          <w:rFonts w:ascii="Times New Roman" w:hAnsi="Times New Roman" w:cs="Times New Roman"/>
          <w:sz w:val="24"/>
          <w:szCs w:val="24"/>
          <w:lang w:val="en-GB"/>
        </w:rPr>
        <w:t>48(5): 474–483.</w:t>
      </w:r>
    </w:p>
    <w:p w:rsidR="00E97C2C"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Siklos S and Kearns K (2007) Assessing the diagnostic experiences of a small sample of parents of children with autism spectrum disorders. </w:t>
      </w:r>
      <w:r w:rsidRPr="0023752A">
        <w:rPr>
          <w:rFonts w:ascii="Times New Roman" w:hAnsi="Times New Roman" w:cs="Times New Roman"/>
          <w:i/>
          <w:iCs/>
          <w:sz w:val="24"/>
          <w:szCs w:val="24"/>
          <w:lang w:val="en-GB"/>
        </w:rPr>
        <w:t>Research in Developmental Disabilities</w:t>
      </w:r>
      <w:r w:rsidR="00E97C2C" w:rsidRPr="0023752A">
        <w:rPr>
          <w:rFonts w:ascii="Times New Roman" w:hAnsi="Times New Roman" w:cs="Times New Roman"/>
          <w:sz w:val="24"/>
          <w:szCs w:val="24"/>
          <w:lang w:val="en-GB"/>
        </w:rPr>
        <w:t xml:space="preserve"> </w:t>
      </w:r>
      <w:r w:rsidR="0023752A">
        <w:rPr>
          <w:rFonts w:ascii="Times New Roman" w:hAnsi="Times New Roman" w:cs="Times New Roman"/>
          <w:sz w:val="24"/>
          <w:szCs w:val="24"/>
          <w:lang w:val="en-GB"/>
        </w:rPr>
        <w:t>28: 9–22.</w:t>
      </w:r>
    </w:p>
    <w:p w:rsidR="00282285"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 xml:space="preserve">UNICEF (2011) </w:t>
      </w:r>
      <w:proofErr w:type="gramStart"/>
      <w:r w:rsidRPr="0023752A">
        <w:rPr>
          <w:rFonts w:ascii="Times New Roman" w:hAnsi="Times New Roman" w:cs="Times New Roman"/>
          <w:sz w:val="24"/>
          <w:szCs w:val="24"/>
          <w:lang w:val="en-GB"/>
        </w:rPr>
        <w:t>The</w:t>
      </w:r>
      <w:proofErr w:type="gramEnd"/>
      <w:r w:rsidRPr="0023752A">
        <w:rPr>
          <w:rFonts w:ascii="Times New Roman" w:hAnsi="Times New Roman" w:cs="Times New Roman"/>
          <w:sz w:val="24"/>
          <w:szCs w:val="24"/>
          <w:lang w:val="en-GB"/>
        </w:rPr>
        <w:t xml:space="preserve"> state of the w</w:t>
      </w:r>
      <w:r w:rsidR="00282285" w:rsidRPr="0023752A">
        <w:rPr>
          <w:rFonts w:ascii="Times New Roman" w:hAnsi="Times New Roman" w:cs="Times New Roman"/>
          <w:sz w:val="24"/>
          <w:szCs w:val="24"/>
          <w:lang w:val="en-GB"/>
        </w:rPr>
        <w:t xml:space="preserve">orld’s children 2011 (executive </w:t>
      </w:r>
      <w:r w:rsidRPr="0023752A">
        <w:rPr>
          <w:rFonts w:ascii="Times New Roman" w:hAnsi="Times New Roman" w:cs="Times New Roman"/>
          <w:sz w:val="24"/>
          <w:szCs w:val="24"/>
          <w:lang w:val="en-GB"/>
        </w:rPr>
        <w:t>summary) – adolescence: a</w:t>
      </w:r>
      <w:r w:rsidR="00282285" w:rsidRPr="0023752A">
        <w:rPr>
          <w:rFonts w:ascii="Times New Roman" w:hAnsi="Times New Roman" w:cs="Times New Roman"/>
          <w:sz w:val="24"/>
          <w:szCs w:val="24"/>
          <w:lang w:val="en-GB"/>
        </w:rPr>
        <w:t xml:space="preserve">n age of opportunity. Available </w:t>
      </w:r>
      <w:r w:rsidRPr="0023752A">
        <w:rPr>
          <w:rFonts w:ascii="Times New Roman" w:hAnsi="Times New Roman" w:cs="Times New Roman"/>
          <w:sz w:val="24"/>
          <w:szCs w:val="24"/>
          <w:lang w:val="en-GB"/>
        </w:rPr>
        <w:t>at: http://www.unicef.org/publications/index_57468.html</w:t>
      </w:r>
    </w:p>
    <w:p w:rsidR="00282285"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Van Wijngaarden-Cremers PJ</w:t>
      </w:r>
      <w:r w:rsidR="00282285" w:rsidRPr="0023752A">
        <w:rPr>
          <w:rFonts w:ascii="Times New Roman" w:hAnsi="Times New Roman" w:cs="Times New Roman"/>
          <w:sz w:val="24"/>
          <w:szCs w:val="24"/>
          <w:lang w:val="en-GB"/>
        </w:rPr>
        <w:t xml:space="preserve">, Van Eeten E, Groen WB, et al. </w:t>
      </w:r>
      <w:r w:rsidRPr="0023752A">
        <w:rPr>
          <w:rFonts w:ascii="Times New Roman" w:hAnsi="Times New Roman" w:cs="Times New Roman"/>
          <w:sz w:val="24"/>
          <w:szCs w:val="24"/>
          <w:lang w:val="en-GB"/>
        </w:rPr>
        <w:t>(2014) Gender and age differences i</w:t>
      </w:r>
      <w:r w:rsidR="00282285" w:rsidRPr="0023752A">
        <w:rPr>
          <w:rFonts w:ascii="Times New Roman" w:hAnsi="Times New Roman" w:cs="Times New Roman"/>
          <w:sz w:val="24"/>
          <w:szCs w:val="24"/>
          <w:lang w:val="en-GB"/>
        </w:rPr>
        <w:t xml:space="preserve">n the core triad of impairments </w:t>
      </w:r>
      <w:r w:rsidRPr="0023752A">
        <w:rPr>
          <w:rFonts w:ascii="Times New Roman" w:hAnsi="Times New Roman" w:cs="Times New Roman"/>
          <w:sz w:val="24"/>
          <w:szCs w:val="24"/>
          <w:lang w:val="en-GB"/>
        </w:rPr>
        <w:t>in autism spectrum</w:t>
      </w:r>
      <w:r w:rsidR="00282285" w:rsidRPr="0023752A">
        <w:rPr>
          <w:rFonts w:ascii="Times New Roman" w:hAnsi="Times New Roman" w:cs="Times New Roman"/>
          <w:sz w:val="24"/>
          <w:szCs w:val="24"/>
          <w:lang w:val="en-GB"/>
        </w:rPr>
        <w:t xml:space="preserve"> disorders: a systematic review </w:t>
      </w:r>
      <w:r w:rsidRPr="0023752A">
        <w:rPr>
          <w:rFonts w:ascii="Times New Roman" w:hAnsi="Times New Roman" w:cs="Times New Roman"/>
          <w:sz w:val="24"/>
          <w:szCs w:val="24"/>
          <w:lang w:val="en-GB"/>
        </w:rPr>
        <w:t xml:space="preserve">and meta-analysis. </w:t>
      </w:r>
      <w:r w:rsidRPr="0023752A">
        <w:rPr>
          <w:rFonts w:ascii="Times New Roman" w:hAnsi="Times New Roman" w:cs="Times New Roman"/>
          <w:i/>
          <w:iCs/>
          <w:sz w:val="24"/>
          <w:szCs w:val="24"/>
          <w:lang w:val="en-GB"/>
        </w:rPr>
        <w:t>Journal of Autism and Developmental</w:t>
      </w:r>
      <w:r w:rsidR="00282285"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 xml:space="preserve">Disorders </w:t>
      </w:r>
      <w:r w:rsidRPr="0023752A">
        <w:rPr>
          <w:rFonts w:ascii="Times New Roman" w:hAnsi="Times New Roman" w:cs="Times New Roman"/>
          <w:sz w:val="24"/>
          <w:szCs w:val="24"/>
          <w:lang w:val="en-GB"/>
        </w:rPr>
        <w:t>44(3): 627–635.</w:t>
      </w:r>
    </w:p>
    <w:p w:rsidR="00282285"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Wilson CE, Gillan N, Spain</w:t>
      </w:r>
      <w:r w:rsidR="00282285" w:rsidRPr="0023752A">
        <w:rPr>
          <w:rFonts w:ascii="Times New Roman" w:hAnsi="Times New Roman" w:cs="Times New Roman"/>
          <w:sz w:val="24"/>
          <w:szCs w:val="24"/>
          <w:lang w:val="en-GB"/>
        </w:rPr>
        <w:t xml:space="preserve"> D, et al. (2013) Comparison of </w:t>
      </w:r>
      <w:r w:rsidRPr="0023752A">
        <w:rPr>
          <w:rFonts w:ascii="Times New Roman" w:hAnsi="Times New Roman" w:cs="Times New Roman"/>
          <w:sz w:val="24"/>
          <w:szCs w:val="24"/>
          <w:lang w:val="en-GB"/>
        </w:rPr>
        <w:t>ICD-10R, DSM-IV-</w:t>
      </w:r>
      <w:r w:rsidR="00282285" w:rsidRPr="0023752A">
        <w:rPr>
          <w:rFonts w:ascii="Times New Roman" w:hAnsi="Times New Roman" w:cs="Times New Roman"/>
          <w:sz w:val="24"/>
          <w:szCs w:val="24"/>
          <w:lang w:val="en-GB"/>
        </w:rPr>
        <w:t xml:space="preserve">TR and DSM-5 in an adult autism </w:t>
      </w:r>
      <w:r w:rsidRPr="0023752A">
        <w:rPr>
          <w:rFonts w:ascii="Times New Roman" w:hAnsi="Times New Roman" w:cs="Times New Roman"/>
          <w:sz w:val="24"/>
          <w:szCs w:val="24"/>
          <w:lang w:val="en-GB"/>
        </w:rPr>
        <w:t xml:space="preserve">spectrum disorder diagnostic clinic. </w:t>
      </w:r>
      <w:r w:rsidRPr="0023752A">
        <w:rPr>
          <w:rFonts w:ascii="Times New Roman" w:hAnsi="Times New Roman" w:cs="Times New Roman"/>
          <w:i/>
          <w:iCs/>
          <w:sz w:val="24"/>
          <w:szCs w:val="24"/>
          <w:lang w:val="en-GB"/>
        </w:rPr>
        <w:t>Journal of Autism and</w:t>
      </w:r>
      <w:r w:rsidR="00282285" w:rsidRPr="0023752A">
        <w:rPr>
          <w:rFonts w:ascii="Times New Roman" w:hAnsi="Times New Roman" w:cs="Times New Roman"/>
          <w:sz w:val="24"/>
          <w:szCs w:val="24"/>
          <w:lang w:val="en-GB"/>
        </w:rPr>
        <w:t xml:space="preserve"> </w:t>
      </w:r>
      <w:r w:rsidR="00282285" w:rsidRPr="0023752A">
        <w:rPr>
          <w:rFonts w:ascii="Times New Roman" w:hAnsi="Times New Roman" w:cs="Times New Roman"/>
          <w:i/>
          <w:iCs/>
          <w:sz w:val="24"/>
          <w:szCs w:val="24"/>
          <w:lang w:val="en-GB"/>
        </w:rPr>
        <w:t xml:space="preserve">Developmental </w:t>
      </w:r>
      <w:r w:rsidRPr="0023752A">
        <w:rPr>
          <w:rFonts w:ascii="Times New Roman" w:hAnsi="Times New Roman" w:cs="Times New Roman"/>
          <w:i/>
          <w:iCs/>
          <w:sz w:val="24"/>
          <w:szCs w:val="24"/>
          <w:lang w:val="en-GB"/>
        </w:rPr>
        <w:t xml:space="preserve">Disorders </w:t>
      </w:r>
      <w:r w:rsidRPr="0023752A">
        <w:rPr>
          <w:rFonts w:ascii="Times New Roman" w:hAnsi="Times New Roman" w:cs="Times New Roman"/>
          <w:sz w:val="24"/>
          <w:szCs w:val="24"/>
          <w:lang w:val="en-GB"/>
        </w:rPr>
        <w:t>43(11): 2515–2525.</w:t>
      </w:r>
    </w:p>
    <w:p w:rsidR="00282285" w:rsidRPr="0023752A" w:rsidRDefault="00282036" w:rsidP="0023752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Worley JA, Matson JL, Sipes</w:t>
      </w:r>
      <w:r w:rsidR="00282285" w:rsidRPr="0023752A">
        <w:rPr>
          <w:rFonts w:ascii="Times New Roman" w:hAnsi="Times New Roman" w:cs="Times New Roman"/>
          <w:sz w:val="24"/>
          <w:szCs w:val="24"/>
          <w:lang w:val="en-GB"/>
        </w:rPr>
        <w:t xml:space="preserve"> M, et al. (2011) Prevalence of </w:t>
      </w:r>
      <w:r w:rsidRPr="0023752A">
        <w:rPr>
          <w:rFonts w:ascii="Times New Roman" w:hAnsi="Times New Roman" w:cs="Times New Roman"/>
          <w:sz w:val="24"/>
          <w:szCs w:val="24"/>
          <w:lang w:val="en-GB"/>
        </w:rPr>
        <w:t>autism spectrum disorders in toddle</w:t>
      </w:r>
      <w:r w:rsidR="00282285" w:rsidRPr="0023752A">
        <w:rPr>
          <w:rFonts w:ascii="Times New Roman" w:hAnsi="Times New Roman" w:cs="Times New Roman"/>
          <w:sz w:val="24"/>
          <w:szCs w:val="24"/>
          <w:lang w:val="en-GB"/>
        </w:rPr>
        <w:t xml:space="preserve">rs receiving early intervention </w:t>
      </w:r>
      <w:r w:rsidRPr="0023752A">
        <w:rPr>
          <w:rFonts w:ascii="Times New Roman" w:hAnsi="Times New Roman" w:cs="Times New Roman"/>
          <w:sz w:val="24"/>
          <w:szCs w:val="24"/>
          <w:lang w:val="en-GB"/>
        </w:rPr>
        <w:t xml:space="preserve">services. </w:t>
      </w:r>
      <w:r w:rsidRPr="0023752A">
        <w:rPr>
          <w:rFonts w:ascii="Times New Roman" w:hAnsi="Times New Roman" w:cs="Times New Roman"/>
          <w:i/>
          <w:iCs/>
          <w:sz w:val="24"/>
          <w:szCs w:val="24"/>
          <w:lang w:val="en-GB"/>
        </w:rPr>
        <w:t>Research in Autism Spectrum Disorders</w:t>
      </w:r>
      <w:r w:rsidR="00E97C2C" w:rsidRPr="0023752A">
        <w:rPr>
          <w:rFonts w:ascii="Times New Roman" w:hAnsi="Times New Roman" w:cs="Times New Roman"/>
          <w:sz w:val="24"/>
          <w:szCs w:val="24"/>
          <w:lang w:val="en-GB"/>
        </w:rPr>
        <w:t xml:space="preserve"> </w:t>
      </w:r>
      <w:r w:rsidR="0023752A">
        <w:rPr>
          <w:rFonts w:ascii="Times New Roman" w:hAnsi="Times New Roman" w:cs="Times New Roman"/>
          <w:sz w:val="24"/>
          <w:szCs w:val="24"/>
          <w:lang w:val="en-GB"/>
        </w:rPr>
        <w:t>5(2): 920–925.</w:t>
      </w:r>
    </w:p>
    <w:p w:rsidR="00725456" w:rsidRPr="0023752A" w:rsidRDefault="00282036" w:rsidP="0012259A">
      <w:pPr>
        <w:autoSpaceDE w:val="0"/>
        <w:autoSpaceDN w:val="0"/>
        <w:adjustRightInd w:val="0"/>
        <w:spacing w:after="0" w:line="480" w:lineRule="auto"/>
        <w:ind w:left="720" w:hanging="720"/>
        <w:contextualSpacing w:val="0"/>
        <w:rPr>
          <w:rFonts w:ascii="Times New Roman" w:hAnsi="Times New Roman" w:cs="Times New Roman"/>
          <w:sz w:val="24"/>
          <w:szCs w:val="24"/>
          <w:lang w:val="en-GB"/>
        </w:rPr>
      </w:pPr>
      <w:r w:rsidRPr="0023752A">
        <w:rPr>
          <w:rFonts w:ascii="Times New Roman" w:hAnsi="Times New Roman" w:cs="Times New Roman"/>
          <w:sz w:val="24"/>
          <w:szCs w:val="24"/>
          <w:lang w:val="en-GB"/>
        </w:rPr>
        <w:t>Zwaigenbaum L, Bryson SE, Szatmari P</w:t>
      </w:r>
      <w:r w:rsidR="00282285" w:rsidRPr="0023752A">
        <w:rPr>
          <w:rFonts w:ascii="Times New Roman" w:hAnsi="Times New Roman" w:cs="Times New Roman"/>
          <w:sz w:val="24"/>
          <w:szCs w:val="24"/>
          <w:lang w:val="en-GB"/>
        </w:rPr>
        <w:t xml:space="preserve">, et al. (2012) Sex differences </w:t>
      </w:r>
      <w:r w:rsidRPr="0023752A">
        <w:rPr>
          <w:rFonts w:ascii="Times New Roman" w:hAnsi="Times New Roman" w:cs="Times New Roman"/>
          <w:sz w:val="24"/>
          <w:szCs w:val="24"/>
          <w:lang w:val="en-GB"/>
        </w:rPr>
        <w:t>in children with auti</w:t>
      </w:r>
      <w:r w:rsidR="00282285" w:rsidRPr="0023752A">
        <w:rPr>
          <w:rFonts w:ascii="Times New Roman" w:hAnsi="Times New Roman" w:cs="Times New Roman"/>
          <w:sz w:val="24"/>
          <w:szCs w:val="24"/>
          <w:lang w:val="en-GB"/>
        </w:rPr>
        <w:t xml:space="preserve">sm spectrum disorder identified </w:t>
      </w:r>
      <w:r w:rsidRPr="0023752A">
        <w:rPr>
          <w:rFonts w:ascii="Times New Roman" w:hAnsi="Times New Roman" w:cs="Times New Roman"/>
          <w:sz w:val="24"/>
          <w:szCs w:val="24"/>
          <w:lang w:val="en-GB"/>
        </w:rPr>
        <w:t xml:space="preserve">within a high-risk infant cohort. </w:t>
      </w:r>
      <w:r w:rsidRPr="0023752A">
        <w:rPr>
          <w:rFonts w:ascii="Times New Roman" w:hAnsi="Times New Roman" w:cs="Times New Roman"/>
          <w:i/>
          <w:iCs/>
          <w:sz w:val="24"/>
          <w:szCs w:val="24"/>
          <w:lang w:val="en-GB"/>
        </w:rPr>
        <w:t>Journal of Autism and</w:t>
      </w:r>
      <w:r w:rsidR="00E97C2C" w:rsidRPr="0023752A">
        <w:rPr>
          <w:rFonts w:ascii="Times New Roman" w:hAnsi="Times New Roman" w:cs="Times New Roman"/>
          <w:sz w:val="24"/>
          <w:szCs w:val="24"/>
          <w:lang w:val="en-GB"/>
        </w:rPr>
        <w:t xml:space="preserve"> </w:t>
      </w:r>
      <w:r w:rsidRPr="0023752A">
        <w:rPr>
          <w:rFonts w:ascii="Times New Roman" w:hAnsi="Times New Roman" w:cs="Times New Roman"/>
          <w:i/>
          <w:iCs/>
          <w:sz w:val="24"/>
          <w:szCs w:val="24"/>
          <w:lang w:val="en-GB"/>
        </w:rPr>
        <w:t xml:space="preserve">Developmental Disorders </w:t>
      </w:r>
      <w:r w:rsidRPr="0023752A">
        <w:rPr>
          <w:rFonts w:ascii="Times New Roman" w:hAnsi="Times New Roman" w:cs="Times New Roman"/>
          <w:sz w:val="24"/>
          <w:szCs w:val="24"/>
          <w:lang w:val="en-GB"/>
        </w:rPr>
        <w:t>42(12): 2585–2596.</w:t>
      </w:r>
    </w:p>
    <w:sectPr w:rsidR="00725456" w:rsidRPr="0023752A" w:rsidSect="00261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A1"/>
    <w:family w:val="roman"/>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95"/>
    <w:rsid w:val="00040E7A"/>
    <w:rsid w:val="00046934"/>
    <w:rsid w:val="000A0598"/>
    <w:rsid w:val="000A4CF9"/>
    <w:rsid w:val="000F2AF4"/>
    <w:rsid w:val="0012259A"/>
    <w:rsid w:val="00131533"/>
    <w:rsid w:val="001C719D"/>
    <w:rsid w:val="001F77FF"/>
    <w:rsid w:val="00222EA9"/>
    <w:rsid w:val="00224991"/>
    <w:rsid w:val="0023752A"/>
    <w:rsid w:val="00261C07"/>
    <w:rsid w:val="00282036"/>
    <w:rsid w:val="00282285"/>
    <w:rsid w:val="002D56CD"/>
    <w:rsid w:val="002F1158"/>
    <w:rsid w:val="003065E5"/>
    <w:rsid w:val="003C1688"/>
    <w:rsid w:val="003D3641"/>
    <w:rsid w:val="003D51F1"/>
    <w:rsid w:val="004349AD"/>
    <w:rsid w:val="004C05C6"/>
    <w:rsid w:val="005D02F7"/>
    <w:rsid w:val="005F13BA"/>
    <w:rsid w:val="00622545"/>
    <w:rsid w:val="00657995"/>
    <w:rsid w:val="006C1D90"/>
    <w:rsid w:val="00725456"/>
    <w:rsid w:val="00797483"/>
    <w:rsid w:val="007E7B7A"/>
    <w:rsid w:val="008C6853"/>
    <w:rsid w:val="0097030D"/>
    <w:rsid w:val="009A751A"/>
    <w:rsid w:val="00A20D8D"/>
    <w:rsid w:val="00A371E8"/>
    <w:rsid w:val="00B00B94"/>
    <w:rsid w:val="00B84675"/>
    <w:rsid w:val="00C4594C"/>
    <w:rsid w:val="00C75D4D"/>
    <w:rsid w:val="00D95DE9"/>
    <w:rsid w:val="00E97C2C"/>
    <w:rsid w:val="00EB73D3"/>
    <w:rsid w:val="00F014FE"/>
    <w:rsid w:val="00F51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4C"/>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036"/>
    <w:rPr>
      <w:color w:val="0000FF" w:themeColor="hyperlink"/>
      <w:u w:val="single"/>
    </w:rPr>
  </w:style>
  <w:style w:type="paragraph" w:styleId="BalloonText">
    <w:name w:val="Balloon Text"/>
    <w:basedOn w:val="Normal"/>
    <w:link w:val="BalloonTextChar"/>
    <w:uiPriority w:val="99"/>
    <w:semiHidden/>
    <w:unhideWhenUsed/>
    <w:rsid w:val="000469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4C"/>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036"/>
    <w:rPr>
      <w:color w:val="0000FF" w:themeColor="hyperlink"/>
      <w:u w:val="single"/>
    </w:rPr>
  </w:style>
  <w:style w:type="paragraph" w:styleId="BalloonText">
    <w:name w:val="Balloon Text"/>
    <w:basedOn w:val="Normal"/>
    <w:link w:val="BalloonTextChar"/>
    <w:uiPriority w:val="99"/>
    <w:semiHidden/>
    <w:unhideWhenUsed/>
    <w:rsid w:val="000469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scot/Resource/Doc/94715/0022799.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mailto:mrutherford@qmu.ac.uk"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lgn="ctr" rtl="0">
              <a:defRPr lang="en-GB"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Gender ratio in age at diagnosis sub groups</a:t>
            </a:r>
            <a:endParaRPr lang="en-GB"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c:rich>
      </c:tx>
      <c:layout>
        <c:manualLayout>
          <c:xMode val="edge"/>
          <c:yMode val="edge"/>
          <c:x val="0.11024247106928613"/>
          <c:y val="2.9258098223615466E-2"/>
        </c:manualLayout>
      </c:layout>
      <c:overlay val="0"/>
    </c:title>
    <c:autoTitleDeleted val="0"/>
    <c:plotArea>
      <c:layout/>
      <c:barChart>
        <c:barDir val="col"/>
        <c:grouping val="clustered"/>
        <c:varyColors val="0"/>
        <c:ser>
          <c:idx val="0"/>
          <c:order val="0"/>
          <c:tx>
            <c:strRef>
              <c:f>Sheet1!$B$25</c:f>
              <c:strCache>
                <c:ptCount val="1"/>
                <c:pt idx="0">
                  <c:v>Number of Males to every 1 female diagnosed with ASD in each age group</c:v>
                </c:pt>
              </c:strCache>
            </c:strRef>
          </c:tx>
          <c:invertIfNegative val="0"/>
          <c:cat>
            <c:strRef>
              <c:f>Sheet1!$A$26:$A$31</c:f>
              <c:strCache>
                <c:ptCount val="6"/>
                <c:pt idx="0">
                  <c:v>0-9;11 years</c:v>
                </c:pt>
                <c:pt idx="1">
                  <c:v>10-18;11 years</c:v>
                </c:pt>
                <c:pt idx="2">
                  <c:v>19-39;11 years</c:v>
                </c:pt>
                <c:pt idx="3">
                  <c:v>40 years and over</c:v>
                </c:pt>
                <c:pt idx="4">
                  <c:v>All children &amp; adolescents</c:v>
                </c:pt>
                <c:pt idx="5">
                  <c:v>All adults</c:v>
                </c:pt>
              </c:strCache>
            </c:strRef>
          </c:cat>
          <c:val>
            <c:numRef>
              <c:f>Sheet1!$B$26:$B$31</c:f>
              <c:numCache>
                <c:formatCode>General</c:formatCode>
                <c:ptCount val="6"/>
                <c:pt idx="0">
                  <c:v>5.5</c:v>
                </c:pt>
                <c:pt idx="1">
                  <c:v>2.2999999999999998</c:v>
                </c:pt>
                <c:pt idx="2">
                  <c:v>2.1</c:v>
                </c:pt>
                <c:pt idx="3">
                  <c:v>1.8</c:v>
                </c:pt>
                <c:pt idx="4">
                  <c:v>3.5</c:v>
                </c:pt>
                <c:pt idx="5">
                  <c:v>2.6</c:v>
                </c:pt>
              </c:numCache>
            </c:numRef>
          </c:val>
        </c:ser>
        <c:dLbls>
          <c:showLegendKey val="0"/>
          <c:showVal val="0"/>
          <c:showCatName val="0"/>
          <c:showSerName val="0"/>
          <c:showPercent val="0"/>
          <c:showBubbleSize val="0"/>
        </c:dLbls>
        <c:gapWidth val="150"/>
        <c:axId val="95540352"/>
        <c:axId val="44246144"/>
      </c:barChart>
      <c:catAx>
        <c:axId val="95540352"/>
        <c:scaling>
          <c:orientation val="minMax"/>
        </c:scaling>
        <c:delete val="0"/>
        <c:axPos val="b"/>
        <c:title>
          <c:tx>
            <c:rich>
              <a:bodyPr/>
              <a:lstStyle/>
              <a:p>
                <a:pPr>
                  <a:defRPr/>
                </a:pPr>
                <a:r>
                  <a:rPr lang="en-US"/>
                  <a:t>Age group at diagnosis</a:t>
                </a:r>
              </a:p>
            </c:rich>
          </c:tx>
          <c:overlay val="0"/>
        </c:title>
        <c:numFmt formatCode="General" sourceLinked="0"/>
        <c:majorTickMark val="none"/>
        <c:minorTickMark val="none"/>
        <c:tickLblPos val="nextTo"/>
        <c:crossAx val="44246144"/>
        <c:crosses val="autoZero"/>
        <c:auto val="1"/>
        <c:lblAlgn val="ctr"/>
        <c:lblOffset val="100"/>
        <c:noMultiLvlLbl val="0"/>
      </c:catAx>
      <c:valAx>
        <c:axId val="44246144"/>
        <c:scaling>
          <c:orientation val="minMax"/>
        </c:scaling>
        <c:delete val="0"/>
        <c:axPos val="l"/>
        <c:majorGridlines/>
        <c:title>
          <c:tx>
            <c:rich>
              <a:bodyPr/>
              <a:lstStyle/>
              <a:p>
                <a:pPr>
                  <a:defRPr/>
                </a:pPr>
                <a:r>
                  <a:rPr lang="en-GB"/>
                  <a:t>Number of males: 1 female</a:t>
                </a:r>
              </a:p>
            </c:rich>
          </c:tx>
          <c:overlay val="0"/>
        </c:title>
        <c:numFmt formatCode="General" sourceLinked="1"/>
        <c:majorTickMark val="out"/>
        <c:minorTickMark val="none"/>
        <c:tickLblPos val="nextTo"/>
        <c:crossAx val="95540352"/>
        <c:crosses val="autoZero"/>
        <c:crossBetween val="between"/>
      </c:valAx>
    </c:plotArea>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5019</Words>
  <Characters>27207</Characters>
  <Application>Microsoft Office Word</Application>
  <DocSecurity>0</DocSecurity>
  <Lines>735</Lines>
  <Paragraphs>350</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31876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dmccartney</dc:creator>
  <cp:lastModifiedBy>Ay Okpokam</cp:lastModifiedBy>
  <cp:revision>2</cp:revision>
  <dcterms:created xsi:type="dcterms:W3CDTF">2016-03-15T10:45:00Z</dcterms:created>
  <dcterms:modified xsi:type="dcterms:W3CDTF">2016-03-15T10:45:00Z</dcterms:modified>
</cp:coreProperties>
</file>