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B1" w:rsidRPr="008C6FB1" w:rsidRDefault="008C6FB1" w:rsidP="008C6FB1">
      <w:pPr>
        <w:spacing w:line="480" w:lineRule="auto"/>
        <w:jc w:val="center"/>
        <w:rPr>
          <w:rFonts w:cs="Calibri"/>
          <w:b/>
          <w:color w:val="000000"/>
          <w:sz w:val="24"/>
          <w:szCs w:val="24"/>
        </w:rPr>
      </w:pPr>
      <w:bookmarkStart w:id="0" w:name="_GoBack"/>
      <w:bookmarkEnd w:id="0"/>
      <w:r w:rsidRPr="008C6FB1">
        <w:rPr>
          <w:rFonts w:cs="Calibri"/>
          <w:b/>
          <w:color w:val="000000"/>
          <w:sz w:val="24"/>
          <w:szCs w:val="24"/>
        </w:rPr>
        <w:t>SAME-SEX RELATIONSHIPS, CHOICE OF LAW AND THE CONTINUED RECOGNISED RELATIONSHIP THEORY</w:t>
      </w:r>
    </w:p>
    <w:p w:rsidR="008C6FB1" w:rsidRPr="008C6FB1" w:rsidRDefault="008C6FB1" w:rsidP="008C6FB1">
      <w:pPr>
        <w:spacing w:line="480" w:lineRule="auto"/>
        <w:jc w:val="center"/>
        <w:rPr>
          <w:rFonts w:cs="Calibri"/>
          <w:b/>
          <w:color w:val="000000"/>
          <w:sz w:val="24"/>
          <w:szCs w:val="24"/>
        </w:rPr>
      </w:pPr>
      <w:r w:rsidRPr="008C6FB1">
        <w:rPr>
          <w:rFonts w:cs="Calibri"/>
          <w:b/>
          <w:color w:val="000000"/>
          <w:sz w:val="24"/>
          <w:szCs w:val="24"/>
        </w:rPr>
        <w:t>Frances Hamilton and Lauren Clayton-Helm</w:t>
      </w:r>
      <w:r w:rsidR="00C74DB1" w:rsidRPr="00C74DB1">
        <w:rPr>
          <w:rStyle w:val="FootnoteReference"/>
          <w:rFonts w:cs="Calibri"/>
          <w:b/>
          <w:color w:val="000000"/>
          <w:sz w:val="24"/>
          <w:szCs w:val="24"/>
        </w:rPr>
        <w:footnoteReference w:customMarkFollows="1" w:id="1"/>
        <w:sym w:font="Symbol" w:char="F02A"/>
      </w:r>
    </w:p>
    <w:p w:rsidR="008C6FB1" w:rsidRPr="008C6FB1" w:rsidRDefault="008C6FB1" w:rsidP="008C6FB1">
      <w:pPr>
        <w:spacing w:line="480" w:lineRule="auto"/>
        <w:ind w:left="720"/>
        <w:jc w:val="both"/>
        <w:rPr>
          <w:rFonts w:cs="Calibri"/>
          <w:color w:val="000000"/>
          <w:sz w:val="24"/>
          <w:szCs w:val="24"/>
        </w:rPr>
      </w:pPr>
      <w:r w:rsidRPr="008C6FB1">
        <w:rPr>
          <w:rFonts w:cs="Calibri"/>
          <w:b/>
          <w:color w:val="000000"/>
          <w:sz w:val="24"/>
          <w:szCs w:val="24"/>
        </w:rPr>
        <w:t>Abstract</w:t>
      </w:r>
      <w:r w:rsidRPr="008C6FB1">
        <w:rPr>
          <w:rFonts w:cs="Calibri"/>
          <w:color w:val="000000"/>
          <w:sz w:val="24"/>
          <w:szCs w:val="24"/>
        </w:rPr>
        <w:t>: A clear choice of law rule should be applied to all same-sex relationships</w:t>
      </w:r>
      <w:r w:rsidR="008D60CD">
        <w:rPr>
          <w:rFonts w:cs="Calibri"/>
          <w:color w:val="000000"/>
          <w:sz w:val="24"/>
          <w:szCs w:val="24"/>
        </w:rPr>
        <w:t xml:space="preserve"> in terms of essential validity</w:t>
      </w:r>
      <w:r w:rsidRPr="008C6FB1">
        <w:rPr>
          <w:rFonts w:cs="Calibri"/>
          <w:color w:val="000000"/>
          <w:sz w:val="24"/>
          <w:szCs w:val="24"/>
        </w:rPr>
        <w:t>. Interest analysis allows us to look at the public policy reasons behind why a choice of law rule may be appropriate</w:t>
      </w:r>
      <w:r w:rsidR="008D60CD">
        <w:rPr>
          <w:rFonts w:cs="Calibri"/>
          <w:color w:val="000000"/>
          <w:sz w:val="24"/>
          <w:szCs w:val="24"/>
        </w:rPr>
        <w:t xml:space="preserve"> or inapposite</w:t>
      </w:r>
      <w:r w:rsidRPr="008C6FB1">
        <w:rPr>
          <w:rFonts w:cs="Calibri"/>
          <w:color w:val="000000"/>
          <w:sz w:val="24"/>
          <w:szCs w:val="24"/>
        </w:rPr>
        <w:t>. This technique can lead to unpredictable results. When coupled with depecage</w:t>
      </w:r>
      <w:r w:rsidR="008D60CD">
        <w:rPr>
          <w:rFonts w:cs="Calibri"/>
          <w:color w:val="000000"/>
          <w:sz w:val="24"/>
          <w:szCs w:val="24"/>
        </w:rPr>
        <w:t>, a delineated splitting of competing policy inculcations,</w:t>
      </w:r>
      <w:r w:rsidRPr="008C6FB1">
        <w:rPr>
          <w:rFonts w:cs="Calibri"/>
          <w:color w:val="000000"/>
          <w:sz w:val="24"/>
          <w:szCs w:val="24"/>
        </w:rPr>
        <w:t xml:space="preserve"> this allows for a more certain rules-based system. Each incapacity to marry should have its own appropriate choice of law</w:t>
      </w:r>
      <w:r w:rsidRPr="008C6FB1">
        <w:rPr>
          <w:rFonts w:cs="Calibri"/>
          <w:color w:val="FF0000"/>
          <w:sz w:val="24"/>
          <w:szCs w:val="24"/>
        </w:rPr>
        <w:t xml:space="preserve"> </w:t>
      </w:r>
      <w:r w:rsidRPr="008C6FB1">
        <w:rPr>
          <w:rFonts w:cs="Calibri"/>
          <w:sz w:val="24"/>
          <w:szCs w:val="24"/>
        </w:rPr>
        <w:t>rule. This piece argues that additional</w:t>
      </w:r>
      <w:r w:rsidRPr="008C6FB1">
        <w:rPr>
          <w:rFonts w:cs="Calibri"/>
          <w:color w:val="000000"/>
          <w:sz w:val="24"/>
          <w:szCs w:val="24"/>
        </w:rPr>
        <w:t xml:space="preserve"> public policy reasons apply to the choice of law appropriate to same-sex relationships. These include citizenship, equality and symbolism</w:t>
      </w:r>
      <w:r w:rsidR="008D60CD">
        <w:rPr>
          <w:rFonts w:cs="Calibri"/>
          <w:color w:val="000000"/>
          <w:sz w:val="24"/>
          <w:szCs w:val="24"/>
        </w:rPr>
        <w:t>,</w:t>
      </w:r>
      <w:r w:rsidRPr="008C6FB1">
        <w:rPr>
          <w:rFonts w:cs="Calibri"/>
          <w:color w:val="000000"/>
          <w:sz w:val="24"/>
          <w:szCs w:val="24"/>
        </w:rPr>
        <w:t xml:space="preserve"> and together require a more extended choice of law rule. It is recommended that a new theory; the continued recognised relationship theory, is suitable for same-sex relationships. This choice of law rule would apply the law where the couple are intending to live, or the law of the country where they have lived, if their relationship has been subsisting for a reasonable period of time. This article advocates that action at the EU level will lead to more consistent results</w:t>
      </w:r>
      <w:r w:rsidR="008D60CD">
        <w:rPr>
          <w:rFonts w:cs="Calibri"/>
          <w:color w:val="000000"/>
          <w:sz w:val="24"/>
          <w:szCs w:val="24"/>
        </w:rPr>
        <w:t xml:space="preserve"> in this sphere</w:t>
      </w:r>
      <w:r w:rsidRPr="008C6FB1">
        <w:rPr>
          <w:rFonts w:cs="Calibri"/>
          <w:color w:val="000000"/>
          <w:sz w:val="24"/>
          <w:szCs w:val="24"/>
        </w:rPr>
        <w:t xml:space="preserve">. </w:t>
      </w:r>
    </w:p>
    <w:p w:rsidR="008C6FB1" w:rsidRPr="00D32B7F" w:rsidRDefault="008C6FB1" w:rsidP="008C6FB1">
      <w:pPr>
        <w:spacing w:line="480" w:lineRule="auto"/>
        <w:rPr>
          <w:rFonts w:cs="Calibri"/>
          <w:i/>
          <w:color w:val="000000"/>
          <w:sz w:val="24"/>
          <w:szCs w:val="24"/>
        </w:rPr>
      </w:pPr>
      <w:r w:rsidRPr="008C6FB1">
        <w:rPr>
          <w:rFonts w:cs="Calibri"/>
          <w:b/>
          <w:color w:val="000000"/>
          <w:sz w:val="24"/>
          <w:szCs w:val="24"/>
        </w:rPr>
        <w:t xml:space="preserve">Keywords: </w:t>
      </w:r>
      <w:r w:rsidRPr="008C6FB1">
        <w:rPr>
          <w:rFonts w:cs="Calibri"/>
          <w:i/>
          <w:color w:val="000000"/>
          <w:sz w:val="24"/>
          <w:szCs w:val="24"/>
        </w:rPr>
        <w:t>Same-sex relationships, Choice of Law, Interest analysis, Depecage, European Union</w:t>
      </w:r>
    </w:p>
    <w:p w:rsidR="008C6FB1" w:rsidRPr="008C6FB1" w:rsidRDefault="008C6FB1" w:rsidP="008C6FB1">
      <w:pPr>
        <w:numPr>
          <w:ilvl w:val="0"/>
          <w:numId w:val="1"/>
        </w:numPr>
        <w:spacing w:line="480" w:lineRule="auto"/>
        <w:contextualSpacing/>
        <w:jc w:val="center"/>
        <w:rPr>
          <w:rFonts w:cs="Tahoma"/>
          <w:b/>
          <w:color w:val="000000"/>
          <w:sz w:val="24"/>
          <w:szCs w:val="24"/>
        </w:rPr>
      </w:pPr>
      <w:r w:rsidRPr="008C6FB1">
        <w:rPr>
          <w:b/>
          <w:sz w:val="24"/>
          <w:szCs w:val="24"/>
        </w:rPr>
        <w:lastRenderedPageBreak/>
        <w:t>Introduction</w:t>
      </w:r>
    </w:p>
    <w:p w:rsidR="008C6FB1" w:rsidRPr="008C6FB1" w:rsidRDefault="008C6FB1" w:rsidP="008C6FB1">
      <w:pPr>
        <w:spacing w:line="480" w:lineRule="auto"/>
        <w:jc w:val="both"/>
        <w:rPr>
          <w:rFonts w:eastAsia="Calibri" w:cs="Times New Roman"/>
          <w:sz w:val="24"/>
          <w:szCs w:val="24"/>
          <w:lang w:eastAsia="en-US"/>
        </w:rPr>
      </w:pPr>
      <w:r w:rsidRPr="008C6FB1">
        <w:rPr>
          <w:rFonts w:eastAsiaTheme="minorHAnsi"/>
          <w:sz w:val="24"/>
          <w:szCs w:val="24"/>
          <w:lang w:eastAsia="en-US"/>
        </w:rPr>
        <w:t xml:space="preserve">International marriages, comprising of a marriage between individuals of different nationalities, are a large proportion of the nuptials which take place in the EU every year. Of the annual 2.2 million EU marriages, </w:t>
      </w:r>
      <w:r w:rsidRPr="008C6FB1">
        <w:rPr>
          <w:rFonts w:eastAsia="Calibri" w:cs="Times New Roman"/>
          <w:sz w:val="24"/>
          <w:szCs w:val="24"/>
          <w:lang w:eastAsia="en-US"/>
        </w:rPr>
        <w:t>350,000 involve an international couple.</w:t>
      </w:r>
      <w:r w:rsidRPr="008C6FB1">
        <w:rPr>
          <w:rFonts w:eastAsia="Calibri" w:cs="Times New Roman"/>
          <w:sz w:val="24"/>
          <w:szCs w:val="24"/>
          <w:vertAlign w:val="superscript"/>
          <w:lang w:eastAsia="en-US"/>
        </w:rPr>
        <w:footnoteReference w:id="2"/>
      </w:r>
      <w:r w:rsidRPr="008C6FB1">
        <w:rPr>
          <w:rFonts w:eastAsia="Calibri" w:cs="Times New Roman"/>
          <w:b/>
          <w:sz w:val="24"/>
          <w:szCs w:val="24"/>
          <w:lang w:eastAsia="en-US"/>
        </w:rPr>
        <w:t xml:space="preserve"> </w:t>
      </w:r>
      <w:r w:rsidRPr="008C6FB1">
        <w:rPr>
          <w:rFonts w:eastAsiaTheme="minorHAnsi"/>
          <w:sz w:val="24"/>
          <w:szCs w:val="24"/>
          <w:lang w:eastAsia="en-US"/>
        </w:rPr>
        <w:t xml:space="preserve"> “[R]elational mobility”</w:t>
      </w:r>
      <w:r w:rsidRPr="008C6FB1">
        <w:rPr>
          <w:rFonts w:eastAsia="Calibri" w:cs="Times New Roman"/>
          <w:sz w:val="24"/>
          <w:szCs w:val="24"/>
          <w:vertAlign w:val="superscript"/>
          <w:lang w:eastAsia="en-US"/>
        </w:rPr>
        <w:footnoteReference w:id="3"/>
      </w:r>
      <w:r w:rsidRPr="008C6FB1">
        <w:rPr>
          <w:rFonts w:eastAsiaTheme="minorHAnsi"/>
          <w:sz w:val="24"/>
          <w:szCs w:val="24"/>
          <w:lang w:eastAsia="en-US"/>
        </w:rPr>
        <w:t xml:space="preserve"> results in a greater variety of family types. The advent of same-sex marriage and civil partnership has added an extra dimension given the wide diversity of legal responses across Europe to these new statuses.</w:t>
      </w:r>
      <w:r w:rsidRPr="008C6FB1">
        <w:rPr>
          <w:rFonts w:eastAsiaTheme="minorHAnsi"/>
          <w:sz w:val="24"/>
          <w:szCs w:val="24"/>
          <w:vertAlign w:val="superscript"/>
          <w:lang w:eastAsia="en-US"/>
        </w:rPr>
        <w:footnoteReference w:id="4"/>
      </w:r>
      <w:r w:rsidRPr="008C6FB1">
        <w:rPr>
          <w:rFonts w:eastAsiaTheme="minorHAnsi"/>
          <w:sz w:val="24"/>
          <w:szCs w:val="24"/>
          <w:lang w:eastAsia="en-US"/>
        </w:rPr>
        <w:t xml:space="preserve"> This piece responds to this relatively new type of relationship and suggests how it should be treated by private international law. It is essential for a couple to know whether they are legally married.</w:t>
      </w:r>
      <w:r w:rsidRPr="008C6FB1">
        <w:rPr>
          <w:rFonts w:eastAsiaTheme="minorHAnsi"/>
          <w:sz w:val="24"/>
          <w:szCs w:val="24"/>
          <w:vertAlign w:val="superscript"/>
          <w:lang w:eastAsia="en-US"/>
        </w:rPr>
        <w:footnoteReference w:id="5"/>
      </w:r>
      <w:r w:rsidRPr="008C6FB1">
        <w:rPr>
          <w:rFonts w:eastAsiaTheme="minorHAnsi"/>
          <w:sz w:val="24"/>
          <w:szCs w:val="24"/>
          <w:lang w:eastAsia="en-US"/>
        </w:rPr>
        <w:t xml:space="preserve"> The need to settle this </w:t>
      </w:r>
      <w:r w:rsidRPr="008C6FB1">
        <w:rPr>
          <w:rFonts w:eastAsiaTheme="minorHAnsi"/>
          <w:sz w:val="24"/>
          <w:szCs w:val="24"/>
          <w:lang w:eastAsia="en-US"/>
        </w:rPr>
        <w:lastRenderedPageBreak/>
        <w:t>question is underlined by the “unparalleled importance of marriage”.</w:t>
      </w:r>
      <w:r w:rsidRPr="008C6FB1">
        <w:rPr>
          <w:rFonts w:eastAsia="Calibri" w:cs="Times New Roman"/>
          <w:sz w:val="24"/>
          <w:szCs w:val="24"/>
          <w:vertAlign w:val="superscript"/>
          <w:lang w:eastAsia="en-US"/>
        </w:rPr>
        <w:footnoteReference w:id="6"/>
      </w:r>
      <w:r w:rsidRPr="008C6FB1">
        <w:rPr>
          <w:rFonts w:eastAsiaTheme="minorHAnsi"/>
          <w:sz w:val="24"/>
          <w:szCs w:val="24"/>
          <w:lang w:eastAsia="en-US"/>
        </w:rPr>
        <w:t xml:space="preserve"> Many international cases stress this</w:t>
      </w:r>
      <w:r w:rsidR="008D60CD">
        <w:rPr>
          <w:rFonts w:eastAsiaTheme="minorHAnsi"/>
          <w:sz w:val="24"/>
          <w:szCs w:val="24"/>
          <w:lang w:eastAsia="en-US"/>
        </w:rPr>
        <w:t xml:space="preserve"> factorisation</w:t>
      </w:r>
      <w:r w:rsidRPr="008C6FB1">
        <w:rPr>
          <w:rFonts w:eastAsiaTheme="minorHAnsi"/>
          <w:sz w:val="24"/>
          <w:szCs w:val="24"/>
          <w:lang w:eastAsia="en-US"/>
        </w:rPr>
        <w:t>.</w:t>
      </w:r>
      <w:r w:rsidRPr="008C6FB1">
        <w:rPr>
          <w:rFonts w:eastAsia="Calibri" w:cs="Times New Roman"/>
          <w:sz w:val="24"/>
          <w:szCs w:val="24"/>
          <w:vertAlign w:val="superscript"/>
          <w:lang w:eastAsia="en-US"/>
        </w:rPr>
        <w:footnoteReference w:id="7"/>
      </w:r>
      <w:r w:rsidRPr="008C6FB1">
        <w:rPr>
          <w:rFonts w:eastAsia="Calibri" w:cs="Times New Roman"/>
          <w:sz w:val="24"/>
          <w:szCs w:val="24"/>
          <w:lang w:eastAsia="en-US"/>
        </w:rPr>
        <w:t xml:space="preserve"> In the 2015 US Supreme Court judgement</w:t>
      </w:r>
      <w:r w:rsidR="008D60CD">
        <w:rPr>
          <w:rFonts w:eastAsia="Calibri" w:cs="Times New Roman"/>
          <w:sz w:val="24"/>
          <w:szCs w:val="24"/>
          <w:lang w:eastAsia="en-US"/>
        </w:rPr>
        <w:t xml:space="preserve"> of </w:t>
      </w:r>
      <w:r w:rsidR="008D60CD" w:rsidRPr="008D60CD">
        <w:rPr>
          <w:i/>
          <w:sz w:val="24"/>
          <w:szCs w:val="24"/>
        </w:rPr>
        <w:t>Obergefell v Hodges Director, Ohio Department of Health</w:t>
      </w:r>
      <w:r w:rsidRPr="008C6FB1">
        <w:rPr>
          <w:rFonts w:eastAsia="Calibri" w:cs="Times New Roman"/>
          <w:sz w:val="24"/>
          <w:szCs w:val="24"/>
          <w:lang w:eastAsia="en-US"/>
        </w:rPr>
        <w:t>,</w:t>
      </w:r>
      <w:r w:rsidRPr="008C6FB1">
        <w:rPr>
          <w:rFonts w:eastAsia="Calibri" w:cs="Times New Roman"/>
          <w:sz w:val="24"/>
          <w:szCs w:val="24"/>
          <w:vertAlign w:val="superscript"/>
          <w:lang w:eastAsia="en-US"/>
        </w:rPr>
        <w:footnoteReference w:id="8"/>
      </w:r>
      <w:r w:rsidRPr="008C6FB1">
        <w:rPr>
          <w:rFonts w:eastAsia="Calibri" w:cs="Times New Roman"/>
          <w:sz w:val="24"/>
          <w:szCs w:val="24"/>
          <w:lang w:eastAsia="en-US"/>
        </w:rPr>
        <w:t xml:space="preserve"> which licensed same-sex marriage across all US states, the majority opinion stressed that the right to marry was ‘’fundamental’’.</w:t>
      </w:r>
      <w:r w:rsidRPr="008C6FB1">
        <w:rPr>
          <w:rFonts w:eastAsia="Calibri" w:cs="Times New Roman"/>
          <w:sz w:val="24"/>
          <w:szCs w:val="24"/>
          <w:vertAlign w:val="superscript"/>
          <w:lang w:eastAsia="en-US"/>
        </w:rPr>
        <w:footnoteReference w:id="9"/>
      </w:r>
      <w:r w:rsidRPr="008C6FB1">
        <w:rPr>
          <w:rFonts w:eastAsia="Calibri" w:cs="Times New Roman"/>
          <w:sz w:val="24"/>
          <w:szCs w:val="24"/>
          <w:lang w:eastAsia="en-US"/>
        </w:rPr>
        <w:t xml:space="preserve"> The reasons why marriage was given this status included an emphasis upon ‘’individual autonomy’’</w:t>
      </w:r>
      <w:r w:rsidR="008D60CD">
        <w:rPr>
          <w:rFonts w:eastAsia="Calibri" w:cs="Times New Roman"/>
          <w:sz w:val="24"/>
          <w:szCs w:val="24"/>
          <w:lang w:eastAsia="en-US"/>
        </w:rPr>
        <w:t>,</w:t>
      </w:r>
      <w:r w:rsidRPr="008C6FB1">
        <w:rPr>
          <w:rFonts w:eastAsia="Calibri" w:cs="Times New Roman"/>
          <w:sz w:val="24"/>
          <w:szCs w:val="24"/>
          <w:vertAlign w:val="superscript"/>
          <w:lang w:eastAsia="en-US"/>
        </w:rPr>
        <w:footnoteReference w:id="10"/>
      </w:r>
      <w:r w:rsidRPr="008C6FB1">
        <w:rPr>
          <w:rFonts w:eastAsia="Calibri" w:cs="Times New Roman"/>
          <w:sz w:val="24"/>
          <w:szCs w:val="24"/>
          <w:lang w:eastAsia="en-US"/>
        </w:rPr>
        <w:t xml:space="preserve"> the unique support which marriage gives to a two-person union,</w:t>
      </w:r>
      <w:r w:rsidRPr="008C6FB1">
        <w:rPr>
          <w:rFonts w:eastAsia="Calibri" w:cs="Times New Roman"/>
          <w:sz w:val="24"/>
          <w:szCs w:val="24"/>
          <w:vertAlign w:val="superscript"/>
          <w:lang w:eastAsia="en-US"/>
        </w:rPr>
        <w:footnoteReference w:id="11"/>
      </w:r>
      <w:r w:rsidRPr="008C6FB1">
        <w:rPr>
          <w:rFonts w:eastAsia="Calibri" w:cs="Times New Roman"/>
          <w:sz w:val="24"/>
          <w:szCs w:val="24"/>
          <w:lang w:eastAsia="en-US"/>
        </w:rPr>
        <w:t xml:space="preserve"> the safeguarding which marriage gives to children</w:t>
      </w:r>
      <w:r w:rsidR="008D60CD">
        <w:rPr>
          <w:rFonts w:eastAsia="Calibri" w:cs="Times New Roman"/>
          <w:sz w:val="24"/>
          <w:szCs w:val="24"/>
          <w:lang w:eastAsia="en-US"/>
        </w:rPr>
        <w:t>,</w:t>
      </w:r>
      <w:r w:rsidRPr="008C6FB1">
        <w:rPr>
          <w:rFonts w:eastAsia="Calibri" w:cs="Times New Roman"/>
          <w:sz w:val="24"/>
          <w:szCs w:val="24"/>
          <w:vertAlign w:val="superscript"/>
          <w:lang w:eastAsia="en-US"/>
        </w:rPr>
        <w:footnoteReference w:id="12"/>
      </w:r>
      <w:r w:rsidRPr="008C6FB1">
        <w:rPr>
          <w:rFonts w:eastAsia="Calibri" w:cs="Times New Roman"/>
          <w:sz w:val="24"/>
          <w:szCs w:val="24"/>
          <w:lang w:eastAsia="en-US"/>
        </w:rPr>
        <w:t xml:space="preserve"> and the fact that marriage is regarded as a ‘’keystone of…. social order’’.</w:t>
      </w:r>
      <w:r w:rsidRPr="008C6FB1">
        <w:rPr>
          <w:rFonts w:eastAsia="Calibri" w:cs="Times New Roman"/>
          <w:sz w:val="24"/>
          <w:szCs w:val="24"/>
          <w:vertAlign w:val="superscript"/>
          <w:lang w:eastAsia="en-US"/>
        </w:rPr>
        <w:footnoteReference w:id="13"/>
      </w:r>
      <w:r w:rsidRPr="008C6FB1">
        <w:rPr>
          <w:rFonts w:eastAsia="Calibri" w:cs="Times New Roman"/>
          <w:sz w:val="24"/>
          <w:szCs w:val="24"/>
          <w:lang w:eastAsia="en-US"/>
        </w:rPr>
        <w:t xml:space="preserve"> </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Marriage is often connected to citizenship</w:t>
      </w:r>
      <w:r w:rsidRPr="008C6FB1">
        <w:rPr>
          <w:rFonts w:eastAsia="Calibri" w:cs="Times New Roman"/>
          <w:sz w:val="24"/>
          <w:szCs w:val="24"/>
          <w:vertAlign w:val="superscript"/>
          <w:lang w:eastAsia="en-US"/>
        </w:rPr>
        <w:footnoteReference w:id="14"/>
      </w:r>
      <w:r w:rsidRPr="008C6FB1">
        <w:rPr>
          <w:rFonts w:eastAsia="Calibri" w:cs="Times New Roman"/>
          <w:sz w:val="24"/>
          <w:szCs w:val="24"/>
          <w:lang w:eastAsia="en-US"/>
        </w:rPr>
        <w:t xml:space="preserve"> and necessary for “</w:t>
      </w:r>
      <w:r w:rsidRPr="008C6FB1">
        <w:rPr>
          <w:sz w:val="24"/>
          <w:szCs w:val="24"/>
        </w:rPr>
        <w:t>full membership of society”.</w:t>
      </w:r>
      <w:r w:rsidRPr="008C6FB1">
        <w:rPr>
          <w:rFonts w:eastAsia="Calibri" w:cs="Times New Roman"/>
          <w:sz w:val="24"/>
          <w:szCs w:val="24"/>
          <w:vertAlign w:val="superscript"/>
          <w:lang w:eastAsia="en-US"/>
        </w:rPr>
        <w:footnoteReference w:id="15"/>
      </w:r>
      <w:r w:rsidRPr="008C6FB1">
        <w:rPr>
          <w:rFonts w:eastAsia="Calibri" w:cs="Times New Roman"/>
          <w:sz w:val="24"/>
          <w:szCs w:val="24"/>
          <w:lang w:eastAsia="en-US"/>
        </w:rPr>
        <w:t xml:space="preserve"> </w:t>
      </w:r>
      <w:r w:rsidRPr="008C6FB1">
        <w:rPr>
          <w:sz w:val="24"/>
          <w:szCs w:val="24"/>
        </w:rPr>
        <w:t xml:space="preserve"> Some authors stress the public nature of marriage.</w:t>
      </w:r>
      <w:r w:rsidRPr="008C6FB1">
        <w:rPr>
          <w:sz w:val="24"/>
          <w:szCs w:val="24"/>
          <w:vertAlign w:val="superscript"/>
        </w:rPr>
        <w:footnoteReference w:id="16"/>
      </w:r>
      <w:r w:rsidRPr="008C6FB1">
        <w:rPr>
          <w:sz w:val="24"/>
          <w:szCs w:val="24"/>
        </w:rPr>
        <w:t xml:space="preserve">  </w:t>
      </w:r>
      <w:r w:rsidRPr="008C6FB1">
        <w:rPr>
          <w:rFonts w:eastAsia="Calibri" w:cs="Times New Roman"/>
          <w:sz w:val="24"/>
          <w:szCs w:val="24"/>
          <w:lang w:eastAsia="en-US"/>
        </w:rPr>
        <w:t>As well as being considered a fundamental right</w:t>
      </w:r>
      <w:r w:rsidRPr="008C6FB1">
        <w:rPr>
          <w:rFonts w:eastAsia="Calibri" w:cs="Times New Roman"/>
          <w:sz w:val="24"/>
          <w:szCs w:val="24"/>
          <w:vertAlign w:val="superscript"/>
          <w:lang w:eastAsia="en-US"/>
        </w:rPr>
        <w:footnoteReference w:id="17"/>
      </w:r>
      <w:r w:rsidRPr="008C6FB1">
        <w:rPr>
          <w:rFonts w:eastAsia="Calibri" w:cs="Times New Roman"/>
          <w:sz w:val="24"/>
          <w:szCs w:val="24"/>
          <w:lang w:eastAsia="en-US"/>
        </w:rPr>
        <w:t xml:space="preserve"> marriage also has strong symbolical importance.  For many in the Western world it is seen as the ‘’gold standard’’</w:t>
      </w:r>
      <w:r w:rsidRPr="008C6FB1">
        <w:rPr>
          <w:rFonts w:eastAsia="Calibri" w:cs="Times New Roman"/>
          <w:sz w:val="24"/>
          <w:szCs w:val="24"/>
          <w:vertAlign w:val="superscript"/>
          <w:lang w:eastAsia="en-US"/>
        </w:rPr>
        <w:footnoteReference w:id="18"/>
      </w:r>
      <w:r w:rsidRPr="008C6FB1">
        <w:rPr>
          <w:rFonts w:eastAsia="Calibri" w:cs="Times New Roman"/>
          <w:sz w:val="24"/>
          <w:szCs w:val="24"/>
          <w:lang w:eastAsia="en-US"/>
        </w:rPr>
        <w:t xml:space="preserve"> or having a privileged status.</w:t>
      </w:r>
      <w:r w:rsidRPr="008C6FB1">
        <w:rPr>
          <w:rFonts w:eastAsia="Calibri" w:cs="Times New Roman"/>
          <w:sz w:val="24"/>
          <w:szCs w:val="24"/>
          <w:vertAlign w:val="superscript"/>
          <w:lang w:eastAsia="en-US"/>
        </w:rPr>
        <w:footnoteReference w:id="19"/>
      </w:r>
      <w:r w:rsidRPr="008C6FB1">
        <w:rPr>
          <w:rFonts w:eastAsia="Calibri" w:cs="Times New Roman"/>
          <w:sz w:val="24"/>
          <w:szCs w:val="24"/>
          <w:lang w:eastAsia="en-US"/>
        </w:rPr>
        <w:t xml:space="preserve"> Gay rights groups were initially reluctant to embrace marriage as a goal.</w:t>
      </w:r>
      <w:r w:rsidRPr="008C6FB1">
        <w:rPr>
          <w:rFonts w:eastAsia="Calibri" w:cs="Times New Roman"/>
          <w:sz w:val="24"/>
          <w:szCs w:val="24"/>
          <w:vertAlign w:val="superscript"/>
          <w:lang w:eastAsia="en-US"/>
        </w:rPr>
        <w:footnoteReference w:id="20"/>
      </w:r>
      <w:r w:rsidRPr="008C6FB1">
        <w:rPr>
          <w:rFonts w:eastAsia="Calibri" w:cs="Times New Roman"/>
          <w:sz w:val="24"/>
          <w:szCs w:val="24"/>
          <w:lang w:eastAsia="en-US"/>
        </w:rPr>
        <w:t xml:space="preserve">  However</w:t>
      </w:r>
      <w:r w:rsidR="008D60CD">
        <w:rPr>
          <w:rFonts w:eastAsia="Calibri" w:cs="Times New Roman"/>
          <w:sz w:val="24"/>
          <w:szCs w:val="24"/>
          <w:lang w:eastAsia="en-US"/>
        </w:rPr>
        <w:t>,</w:t>
      </w:r>
      <w:r w:rsidRPr="008C6FB1">
        <w:rPr>
          <w:rFonts w:eastAsia="Calibri" w:cs="Times New Roman"/>
          <w:sz w:val="24"/>
          <w:szCs w:val="24"/>
          <w:lang w:eastAsia="en-US"/>
        </w:rPr>
        <w:t xml:space="preserve"> after fully understanding the rights associated with marriage and its symbolical status, these groups have engaged with marriage as a desirable status to be achieved. Marriage does undoubtedly provide the most expansive and generous recognition of rights.</w:t>
      </w:r>
      <w:r w:rsidRPr="008C6FB1">
        <w:rPr>
          <w:rFonts w:eastAsia="Calibri" w:cs="Times New Roman"/>
          <w:sz w:val="24"/>
          <w:szCs w:val="24"/>
          <w:vertAlign w:val="superscript"/>
          <w:lang w:val="de-DE" w:eastAsia="en-US"/>
        </w:rPr>
        <w:footnoteReference w:id="21"/>
      </w:r>
      <w:r w:rsidRPr="008C6FB1">
        <w:rPr>
          <w:rFonts w:eastAsia="Calibri" w:cs="Times New Roman"/>
          <w:sz w:val="24"/>
          <w:szCs w:val="24"/>
          <w:vertAlign w:val="superscript"/>
          <w:lang w:eastAsia="en-US"/>
        </w:rPr>
        <w:t xml:space="preserve">  </w:t>
      </w:r>
      <w:r w:rsidRPr="008C6FB1">
        <w:rPr>
          <w:rFonts w:eastAsia="Calibri" w:cs="Times New Roman"/>
          <w:sz w:val="24"/>
          <w:szCs w:val="24"/>
          <w:lang w:eastAsia="en-US"/>
        </w:rPr>
        <w:t xml:space="preserve">Under </w:t>
      </w:r>
      <w:r w:rsidRPr="008C6FB1">
        <w:rPr>
          <w:rFonts w:eastAsiaTheme="minorHAnsi"/>
          <w:sz w:val="24"/>
          <w:szCs w:val="24"/>
          <w:lang w:eastAsia="en-US"/>
        </w:rPr>
        <w:t xml:space="preserve">EU free movement law, it is essential to fall within the definition of “family member” in order to access EU benefits and move across the EU as citizens. There is a need for clear rules in this area. </w:t>
      </w:r>
      <w:r w:rsidR="008D60CD">
        <w:rPr>
          <w:rFonts w:eastAsiaTheme="minorHAnsi"/>
          <w:sz w:val="24"/>
          <w:szCs w:val="24"/>
          <w:lang w:eastAsia="en-US"/>
        </w:rPr>
        <w:t>Despite this</w:t>
      </w:r>
      <w:r w:rsidRPr="008C6FB1">
        <w:rPr>
          <w:rFonts w:eastAsiaTheme="minorHAnsi"/>
          <w:sz w:val="24"/>
          <w:szCs w:val="24"/>
          <w:lang w:eastAsia="en-US"/>
        </w:rPr>
        <w:t>, the law currently stresses subsidiarity and allows individual countries in the EU to determine whether or not to recognise same-sex marriage.</w:t>
      </w:r>
      <w:r w:rsidRPr="008C6FB1">
        <w:rPr>
          <w:rFonts w:eastAsiaTheme="minorHAnsi"/>
          <w:sz w:val="24"/>
          <w:szCs w:val="24"/>
          <w:vertAlign w:val="superscript"/>
          <w:lang w:eastAsia="en-US"/>
        </w:rPr>
        <w:footnoteReference w:id="22"/>
      </w:r>
      <w:r w:rsidRPr="008C6FB1">
        <w:rPr>
          <w:rFonts w:eastAsiaTheme="minorHAnsi"/>
          <w:sz w:val="24"/>
          <w:szCs w:val="24"/>
          <w:lang w:eastAsia="en-US"/>
        </w:rPr>
        <w:t xml:space="preserve"> Following the recent European Court of Human Rights (‘ECtHR’) decision of </w:t>
      </w:r>
      <w:r w:rsidRPr="008C6FB1">
        <w:rPr>
          <w:rFonts w:eastAsiaTheme="minorHAnsi"/>
          <w:i/>
          <w:sz w:val="24"/>
          <w:szCs w:val="24"/>
          <w:lang w:eastAsia="en-US"/>
        </w:rPr>
        <w:t xml:space="preserve">Oliari v Italy </w:t>
      </w:r>
      <w:r w:rsidRPr="008C6FB1">
        <w:rPr>
          <w:rFonts w:eastAsiaTheme="minorHAnsi"/>
          <w:sz w:val="24"/>
          <w:szCs w:val="24"/>
          <w:lang w:eastAsia="en-US"/>
        </w:rPr>
        <w:t>all contracting states will need to introduce some form of protection for same-sex couples to enter into a registered partnership or civil union.</w:t>
      </w:r>
      <w:r w:rsidRPr="008C6FB1">
        <w:rPr>
          <w:rFonts w:eastAsiaTheme="minorHAnsi"/>
          <w:sz w:val="24"/>
          <w:szCs w:val="24"/>
          <w:vertAlign w:val="superscript"/>
          <w:lang w:eastAsia="en-US"/>
        </w:rPr>
        <w:footnoteReference w:id="23"/>
      </w:r>
      <w:r w:rsidRPr="008C6FB1">
        <w:rPr>
          <w:rFonts w:eastAsiaTheme="minorHAnsi"/>
          <w:sz w:val="24"/>
          <w:szCs w:val="24"/>
          <w:lang w:eastAsia="en-US"/>
        </w:rPr>
        <w:t xml:space="preserve">  There continues to be no right to same-sex marriage. This will affect all members of the EU who are also all contracting members to the European Convention on Human Rights (‘ECvHR’). Yet there is no requirement as to what type of status need be enacted, leading to a wide variation in the rights granted to same-sex partners. This restrictive approach may mean that a non-EU same-sex spouse or registered partner cannot relocate to the new EU state, or will not have access to all the rights granted in their state of origin. </w:t>
      </w:r>
      <w:r w:rsidRPr="008C6FB1">
        <w:rPr>
          <w:rFonts w:eastAsia="Calibri" w:cs="Times New Roman"/>
          <w:sz w:val="24"/>
          <w:szCs w:val="24"/>
          <w:lang w:eastAsia="en-US"/>
        </w:rPr>
        <w:t>It also represents a failure of the application of the freedom of movement.</w:t>
      </w:r>
      <w:r w:rsidRPr="008C6FB1">
        <w:rPr>
          <w:rFonts w:eastAsia="Calibri" w:cs="Times New Roman"/>
          <w:sz w:val="24"/>
          <w:szCs w:val="24"/>
          <w:vertAlign w:val="superscript"/>
          <w:lang w:eastAsia="en-US"/>
        </w:rPr>
        <w:footnoteReference w:id="24"/>
      </w:r>
      <w:r w:rsidRPr="008C6FB1">
        <w:rPr>
          <w:rFonts w:eastAsia="Calibri" w:cs="Times New Roman"/>
          <w:sz w:val="24"/>
          <w:szCs w:val="24"/>
          <w:lang w:eastAsia="en-US"/>
        </w:rPr>
        <w:t xml:space="preserve"> </w:t>
      </w:r>
      <w:r w:rsidRPr="008C6FB1">
        <w:rPr>
          <w:rFonts w:eastAsiaTheme="minorHAnsi"/>
          <w:sz w:val="24"/>
          <w:szCs w:val="24"/>
          <w:lang w:eastAsia="en-US"/>
        </w:rPr>
        <w:t>Non-recognition of a foreign marriage means that the right to same-sex marriage is a “meagre right indeed”.</w:t>
      </w:r>
      <w:r w:rsidRPr="008C6FB1">
        <w:rPr>
          <w:rFonts w:eastAsiaTheme="minorHAnsi"/>
          <w:sz w:val="24"/>
          <w:szCs w:val="24"/>
          <w:vertAlign w:val="superscript"/>
          <w:lang w:eastAsia="en-US"/>
        </w:rPr>
        <w:footnoteReference w:id="25"/>
      </w:r>
      <w:r w:rsidRPr="008C6FB1">
        <w:rPr>
          <w:rFonts w:eastAsiaTheme="minorHAnsi"/>
          <w:sz w:val="24"/>
          <w:szCs w:val="24"/>
          <w:lang w:eastAsia="en-US"/>
        </w:rPr>
        <w:t xml:space="preserve"> </w:t>
      </w:r>
    </w:p>
    <w:p w:rsidR="008C6FB1" w:rsidRPr="008C6FB1" w:rsidRDefault="008C6FB1" w:rsidP="008C6FB1">
      <w:pPr>
        <w:spacing w:line="480" w:lineRule="auto"/>
        <w:jc w:val="both"/>
        <w:rPr>
          <w:rFonts w:eastAsiaTheme="minorHAnsi"/>
          <w:sz w:val="24"/>
          <w:szCs w:val="24"/>
          <w:lang w:eastAsia="en-US"/>
        </w:rPr>
      </w:pPr>
      <w:r w:rsidRPr="008C6FB1">
        <w:rPr>
          <w:rFonts w:eastAsia="Calibri" w:cs="Times New Roman"/>
          <w:sz w:val="24"/>
          <w:szCs w:val="24"/>
          <w:lang w:eastAsia="en-US"/>
        </w:rPr>
        <w:t>Where several different jurisdictions are involved in a case it is necessary to determine which country’s law applies. The laws of several different countries may be relevant where the case involves a couple of different nationalities or where the couple relocate. The choice of law rule is the mechanism which selects the appropriate law to be applied. In domestic law, there is disagreement about which choice of law rule should be employed in relation to</w:t>
      </w:r>
      <w:r w:rsidRPr="008C6FB1">
        <w:rPr>
          <w:rFonts w:eastAsia="Calibri" w:cs="Times New Roman"/>
          <w:color w:val="FF0000"/>
          <w:sz w:val="24"/>
          <w:szCs w:val="24"/>
          <w:lang w:eastAsia="en-US"/>
        </w:rPr>
        <w:t xml:space="preserve"> </w:t>
      </w:r>
      <w:r w:rsidRPr="008C6FB1">
        <w:rPr>
          <w:rFonts w:eastAsia="Calibri" w:cs="Times New Roman"/>
          <w:sz w:val="24"/>
          <w:szCs w:val="24"/>
          <w:lang w:eastAsia="en-US"/>
        </w:rPr>
        <w:t xml:space="preserve">the validity of a marriage (both heterosexual and same-sex). </w:t>
      </w:r>
      <w:r w:rsidRPr="008C6FB1">
        <w:rPr>
          <w:rFonts w:eastAsiaTheme="minorHAnsi"/>
          <w:sz w:val="24"/>
          <w:szCs w:val="24"/>
          <w:lang w:eastAsia="en-US"/>
        </w:rPr>
        <w:t xml:space="preserve">Recognition of a foreign marriage is broken down into two elements; formal validity and essential validity. Formal validity looks at the rules and requirements surrounding the actual ceremony, such as the requirement of witnesses and the vows that must be </w:t>
      </w:r>
      <w:r w:rsidR="008D60CD">
        <w:rPr>
          <w:rFonts w:eastAsiaTheme="minorHAnsi"/>
          <w:sz w:val="24"/>
          <w:szCs w:val="24"/>
          <w:lang w:eastAsia="en-US"/>
        </w:rPr>
        <w:t>undertaken</w:t>
      </w:r>
      <w:r w:rsidRPr="008C6FB1">
        <w:rPr>
          <w:rFonts w:eastAsiaTheme="minorHAnsi"/>
          <w:sz w:val="24"/>
          <w:szCs w:val="24"/>
          <w:lang w:eastAsia="en-US"/>
        </w:rPr>
        <w:t xml:space="preserve">. This is usually uncontroversial and depends upon the </w:t>
      </w:r>
      <w:r w:rsidRPr="008C6FB1">
        <w:rPr>
          <w:rFonts w:eastAsiaTheme="minorHAnsi"/>
          <w:i/>
          <w:sz w:val="24"/>
          <w:szCs w:val="24"/>
          <w:lang w:eastAsia="en-US"/>
        </w:rPr>
        <w:t>lex loci celebratioinis</w:t>
      </w:r>
      <w:r w:rsidRPr="008C6FB1">
        <w:rPr>
          <w:rFonts w:eastAsiaTheme="minorHAnsi"/>
          <w:sz w:val="24"/>
          <w:szCs w:val="24"/>
          <w:lang w:eastAsia="en-US"/>
        </w:rPr>
        <w:t>.</w:t>
      </w:r>
      <w:r w:rsidRPr="008C6FB1">
        <w:rPr>
          <w:rFonts w:eastAsiaTheme="minorHAnsi"/>
          <w:sz w:val="24"/>
          <w:szCs w:val="24"/>
          <w:vertAlign w:val="superscript"/>
          <w:lang w:eastAsia="en-US"/>
        </w:rPr>
        <w:footnoteReference w:id="26"/>
      </w:r>
      <w:r w:rsidRPr="008C6FB1">
        <w:rPr>
          <w:rFonts w:eastAsiaTheme="minorHAnsi"/>
          <w:sz w:val="24"/>
          <w:szCs w:val="24"/>
          <w:lang w:eastAsia="en-US"/>
        </w:rPr>
        <w:t xml:space="preserve"> Essential validity on the other hand covers all aspects of a marriage which are not associated with formalities, the primary example being the capacity to marry.</w:t>
      </w:r>
      <w:r w:rsidRPr="008C6FB1">
        <w:rPr>
          <w:rFonts w:eastAsia="Calibri" w:cs="Times New Roman"/>
          <w:sz w:val="24"/>
          <w:szCs w:val="24"/>
          <w:lang w:eastAsia="en-US"/>
        </w:rPr>
        <w:t xml:space="preserve"> Here there is much controversy and </w:t>
      </w:r>
      <w:r w:rsidRPr="008C6FB1">
        <w:rPr>
          <w:rFonts w:eastAsiaTheme="minorHAnsi"/>
          <w:sz w:val="24"/>
          <w:szCs w:val="24"/>
          <w:lang w:eastAsia="en-US"/>
        </w:rPr>
        <w:t xml:space="preserve">different theories compete for attention. These are examined in the next section. </w:t>
      </w:r>
      <w:r w:rsidRPr="008C6FB1">
        <w:rPr>
          <w:rFonts w:eastAsia="Calibri" w:cs="Times New Roman"/>
          <w:sz w:val="24"/>
          <w:szCs w:val="24"/>
          <w:lang w:eastAsia="en-US"/>
        </w:rPr>
        <w:t>Most commentators agree that the current law is “baffling”</w:t>
      </w:r>
      <w:r w:rsidRPr="008C6FB1">
        <w:rPr>
          <w:rFonts w:eastAsia="Calibri" w:cs="Times New Roman"/>
          <w:sz w:val="24"/>
          <w:szCs w:val="24"/>
          <w:vertAlign w:val="superscript"/>
          <w:lang w:eastAsia="en-US"/>
        </w:rPr>
        <w:footnoteReference w:id="27"/>
      </w:r>
      <w:r w:rsidRPr="008C6FB1">
        <w:rPr>
          <w:rFonts w:eastAsia="Calibri" w:cs="Times New Roman"/>
          <w:b/>
          <w:sz w:val="24"/>
          <w:szCs w:val="24"/>
          <w:lang w:eastAsia="en-US"/>
        </w:rPr>
        <w:t xml:space="preserve"> </w:t>
      </w:r>
      <w:r w:rsidRPr="008C6FB1">
        <w:rPr>
          <w:rFonts w:eastAsia="Calibri" w:cs="Times New Roman"/>
          <w:sz w:val="24"/>
          <w:szCs w:val="24"/>
          <w:lang w:eastAsia="en-US"/>
        </w:rPr>
        <w:t>and in need of “reformulat[ion]…”</w:t>
      </w:r>
      <w:r w:rsidRPr="008C6FB1">
        <w:rPr>
          <w:rFonts w:eastAsia="Calibri" w:cs="Times New Roman"/>
          <w:sz w:val="24"/>
          <w:szCs w:val="24"/>
          <w:vertAlign w:val="superscript"/>
          <w:lang w:eastAsia="en-US"/>
        </w:rPr>
        <w:footnoteReference w:id="28"/>
      </w:r>
      <w:r w:rsidRPr="008C6FB1">
        <w:rPr>
          <w:rFonts w:eastAsia="Calibri" w:cs="Times New Roman"/>
          <w:sz w:val="24"/>
          <w:szCs w:val="24"/>
          <w:lang w:eastAsia="en-US"/>
        </w:rPr>
        <w:t xml:space="preserve"> </w:t>
      </w:r>
      <w:r w:rsidRPr="008C6FB1">
        <w:rPr>
          <w:rFonts w:eastAsiaTheme="minorHAnsi"/>
          <w:sz w:val="24"/>
          <w:szCs w:val="24"/>
          <w:lang w:eastAsia="en-US"/>
        </w:rPr>
        <w:t>Perhaps the necessity of dealing with same-sex relationships</w:t>
      </w:r>
      <w:r w:rsidRPr="008C6FB1">
        <w:rPr>
          <w:rFonts w:eastAsiaTheme="minorHAnsi"/>
          <w:sz w:val="24"/>
          <w:szCs w:val="24"/>
          <w:vertAlign w:val="superscript"/>
          <w:lang w:eastAsia="en-US"/>
        </w:rPr>
        <w:footnoteReference w:id="29"/>
      </w:r>
      <w:r w:rsidRPr="008C6FB1">
        <w:rPr>
          <w:rFonts w:eastAsiaTheme="minorHAnsi"/>
          <w:sz w:val="24"/>
          <w:szCs w:val="24"/>
          <w:lang w:eastAsia="en-US"/>
        </w:rPr>
        <w:t xml:space="preserve"> can be the “new momentum required to re-examine the subject…”</w:t>
      </w:r>
      <w:r w:rsidRPr="008C6FB1">
        <w:rPr>
          <w:rFonts w:eastAsiaTheme="minorHAnsi"/>
          <w:sz w:val="24"/>
          <w:szCs w:val="24"/>
          <w:vertAlign w:val="superscript"/>
          <w:lang w:eastAsia="en-US"/>
        </w:rPr>
        <w:footnoteReference w:id="30"/>
      </w:r>
    </w:p>
    <w:p w:rsidR="008C6FB1" w:rsidRPr="008C6FB1" w:rsidRDefault="008C6FB1" w:rsidP="008C6FB1">
      <w:pPr>
        <w:spacing w:line="480" w:lineRule="auto"/>
        <w:jc w:val="both"/>
        <w:rPr>
          <w:rFonts w:cs="Calibri"/>
          <w:color w:val="000000"/>
          <w:sz w:val="24"/>
          <w:szCs w:val="24"/>
        </w:rPr>
      </w:pPr>
      <w:r w:rsidRPr="008C6FB1">
        <w:rPr>
          <w:sz w:val="24"/>
          <w:szCs w:val="24"/>
        </w:rPr>
        <w:t>This article considers different choice of law rules and recommends that none of the commonly suggested choice of law rules can be applied universally. The focus of this paper is to determine which choice of law rule is appropriate to same-sex relationships. Interest analysis</w:t>
      </w:r>
      <w:r w:rsidRPr="008C6FB1">
        <w:rPr>
          <w:sz w:val="24"/>
          <w:szCs w:val="24"/>
          <w:vertAlign w:val="superscript"/>
        </w:rPr>
        <w:footnoteReference w:id="31"/>
      </w:r>
      <w:r w:rsidRPr="008C6FB1">
        <w:rPr>
          <w:sz w:val="24"/>
          <w:szCs w:val="24"/>
        </w:rPr>
        <w:t xml:space="preserve"> coupled with a system of rules-based depecage</w:t>
      </w:r>
      <w:r w:rsidRPr="008C6FB1">
        <w:rPr>
          <w:sz w:val="24"/>
          <w:szCs w:val="24"/>
          <w:vertAlign w:val="superscript"/>
        </w:rPr>
        <w:footnoteReference w:id="32"/>
      </w:r>
      <w:r w:rsidRPr="008C6FB1">
        <w:rPr>
          <w:sz w:val="24"/>
          <w:szCs w:val="24"/>
        </w:rPr>
        <w:t xml:space="preserve"> allows us to give each separate incapacity to marry an appropriate choice of law rule.</w:t>
      </w:r>
      <w:r w:rsidRPr="008C6FB1">
        <w:rPr>
          <w:sz w:val="24"/>
          <w:szCs w:val="24"/>
          <w:vertAlign w:val="superscript"/>
        </w:rPr>
        <w:footnoteReference w:id="33"/>
      </w:r>
      <w:r w:rsidRPr="008C6FB1">
        <w:rPr>
          <w:sz w:val="24"/>
          <w:szCs w:val="24"/>
        </w:rPr>
        <w:t xml:space="preserve"> It is necessary to consider further public policy arguments in relation to same-sex relationships. We consider arguments based on citizenship, equality and symbolism which call for a more extended choice of law rule for same-sex relationships. We recommend a novel choice of law for same-sex relationships; the continued recognised relationships theory, which is then explained. </w:t>
      </w:r>
      <w:r w:rsidRPr="008C6FB1">
        <w:rPr>
          <w:rFonts w:cs="Calibri"/>
          <w:color w:val="000000"/>
          <w:sz w:val="24"/>
          <w:szCs w:val="24"/>
        </w:rPr>
        <w:t xml:space="preserve"> The applicable choice of law</w:t>
      </w:r>
      <w:r w:rsidRPr="008C6FB1">
        <w:rPr>
          <w:rFonts w:cs="Calibri"/>
          <w:sz w:val="24"/>
          <w:szCs w:val="24"/>
        </w:rPr>
        <w:t xml:space="preserve"> rule </w:t>
      </w:r>
      <w:r w:rsidRPr="008C6FB1">
        <w:rPr>
          <w:rFonts w:cs="Calibri"/>
          <w:color w:val="000000"/>
          <w:sz w:val="24"/>
          <w:szCs w:val="24"/>
        </w:rPr>
        <w:t xml:space="preserve">should be that of the country where the couple intend to reside, or if their marriage has been subsisting for a reasonable period of time, it should be the law of the country where they previously lived. Consideration is also given as to why it is necessary to engage with this issue at an EU level before finally examining some </w:t>
      </w:r>
      <w:r w:rsidR="005E1EFB">
        <w:rPr>
          <w:rFonts w:cs="Calibri"/>
          <w:color w:val="000000"/>
          <w:sz w:val="24"/>
          <w:szCs w:val="24"/>
        </w:rPr>
        <w:t>anticipated</w:t>
      </w:r>
      <w:r w:rsidRPr="008C6FB1">
        <w:rPr>
          <w:rFonts w:cs="Calibri"/>
          <w:color w:val="000000"/>
          <w:sz w:val="24"/>
          <w:szCs w:val="24"/>
        </w:rPr>
        <w:t xml:space="preserve"> </w:t>
      </w:r>
      <w:r w:rsidR="005E1EFB">
        <w:rPr>
          <w:rFonts w:cs="Calibri"/>
          <w:color w:val="000000"/>
          <w:sz w:val="24"/>
          <w:szCs w:val="24"/>
        </w:rPr>
        <w:t>objections</w:t>
      </w:r>
      <w:r w:rsidRPr="008C6FB1">
        <w:rPr>
          <w:rFonts w:cs="Calibri"/>
          <w:color w:val="000000"/>
          <w:sz w:val="24"/>
          <w:szCs w:val="24"/>
        </w:rPr>
        <w:t xml:space="preserve"> of our recommendations.</w:t>
      </w:r>
    </w:p>
    <w:p w:rsidR="008C6FB1" w:rsidRPr="008C6FB1" w:rsidRDefault="008C6FB1" w:rsidP="008C6FB1">
      <w:pPr>
        <w:numPr>
          <w:ilvl w:val="0"/>
          <w:numId w:val="1"/>
        </w:numPr>
        <w:spacing w:line="480" w:lineRule="auto"/>
        <w:contextualSpacing/>
        <w:jc w:val="center"/>
        <w:rPr>
          <w:b/>
          <w:sz w:val="24"/>
          <w:szCs w:val="24"/>
        </w:rPr>
      </w:pPr>
      <w:r w:rsidRPr="008C6FB1">
        <w:rPr>
          <w:b/>
          <w:sz w:val="24"/>
          <w:szCs w:val="24"/>
        </w:rPr>
        <w:t>Choice of Law Rules</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Examination of the most commonly used choice of law rules allows us to consider which is appropriate to apply to same-sex relationships. Whilst the Civil Partnership Act 2004</w:t>
      </w:r>
      <w:r w:rsidRPr="008C6FB1">
        <w:rPr>
          <w:rFonts w:eastAsiaTheme="minorHAnsi"/>
          <w:sz w:val="24"/>
          <w:szCs w:val="24"/>
          <w:vertAlign w:val="superscript"/>
          <w:lang w:eastAsia="en-US"/>
        </w:rPr>
        <w:t xml:space="preserve"> </w:t>
      </w:r>
      <w:r w:rsidRPr="008C6FB1">
        <w:rPr>
          <w:rFonts w:eastAsiaTheme="minorHAnsi"/>
          <w:sz w:val="24"/>
          <w:szCs w:val="24"/>
          <w:lang w:eastAsia="en-US"/>
        </w:rPr>
        <w:t xml:space="preserve">(CPA) sets out that essential validity is to be determined in accordance with the </w:t>
      </w:r>
      <w:r w:rsidRPr="008C6FB1">
        <w:rPr>
          <w:rFonts w:eastAsiaTheme="minorHAnsi"/>
          <w:i/>
          <w:sz w:val="24"/>
          <w:szCs w:val="24"/>
          <w:lang w:eastAsia="en-US"/>
        </w:rPr>
        <w:t>lex loci registrationis</w:t>
      </w:r>
      <w:r w:rsidRPr="008C6FB1">
        <w:rPr>
          <w:rFonts w:eastAsiaTheme="minorHAnsi"/>
          <w:sz w:val="24"/>
          <w:szCs w:val="24"/>
          <w:lang w:eastAsia="en-US"/>
        </w:rPr>
        <w:t>,</w:t>
      </w:r>
      <w:r w:rsidRPr="008C6FB1">
        <w:rPr>
          <w:rFonts w:eastAsiaTheme="minorHAnsi"/>
          <w:sz w:val="24"/>
          <w:szCs w:val="24"/>
          <w:vertAlign w:val="superscript"/>
          <w:lang w:eastAsia="en-US"/>
        </w:rPr>
        <w:footnoteReference w:id="34"/>
      </w:r>
      <w:r w:rsidRPr="008C6FB1">
        <w:rPr>
          <w:rFonts w:eastAsiaTheme="minorHAnsi"/>
          <w:sz w:val="24"/>
          <w:szCs w:val="24"/>
          <w:lang w:eastAsia="en-US"/>
        </w:rPr>
        <w:t xml:space="preserve"> the Marriage (Same-Sex Couples) Act 2013 (</w:t>
      </w:r>
      <w:r w:rsidRPr="008C6FB1">
        <w:rPr>
          <w:rFonts w:eastAsiaTheme="minorHAnsi"/>
          <w:lang w:eastAsia="en-US"/>
        </w:rPr>
        <w:t>M(SSC)A)</w:t>
      </w:r>
      <w:r w:rsidRPr="008C6FB1">
        <w:rPr>
          <w:rFonts w:eastAsiaTheme="minorHAnsi"/>
          <w:sz w:val="24"/>
          <w:szCs w:val="24"/>
          <w:lang w:eastAsia="en-US"/>
        </w:rPr>
        <w:t xml:space="preserve"> provides no such rules. The position is left open for debate, leaving couples uncertain as to which of the choice of law rules will prevail. In this paper we recommend, for the sake of consistency, that the same choice of law theory is needed for all types of same-sex relationships.</w:t>
      </w:r>
    </w:p>
    <w:p w:rsidR="008C6FB1" w:rsidRPr="008C6FB1" w:rsidRDefault="008C6FB1" w:rsidP="008C6FB1">
      <w:pPr>
        <w:numPr>
          <w:ilvl w:val="0"/>
          <w:numId w:val="2"/>
        </w:numPr>
        <w:spacing w:line="480" w:lineRule="auto"/>
        <w:contextualSpacing/>
        <w:jc w:val="center"/>
        <w:rPr>
          <w:b/>
          <w:sz w:val="24"/>
          <w:szCs w:val="24"/>
        </w:rPr>
      </w:pPr>
      <w:r w:rsidRPr="008C6FB1">
        <w:rPr>
          <w:b/>
          <w:sz w:val="24"/>
          <w:szCs w:val="24"/>
        </w:rPr>
        <w:t>Dual Domicile Theory and the Intended Matrimonial Home Theory</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The two primary contending theories within essential validity of heterosexual marriage are the dual domicile theory and the intended matrimonial home theory.</w:t>
      </w:r>
      <w:r w:rsidRPr="008C6FB1">
        <w:rPr>
          <w:rFonts w:eastAsiaTheme="minorHAnsi"/>
          <w:sz w:val="24"/>
          <w:szCs w:val="24"/>
          <w:vertAlign w:val="superscript"/>
          <w:lang w:eastAsia="en-US"/>
        </w:rPr>
        <w:footnoteReference w:id="35"/>
      </w:r>
      <w:r w:rsidRPr="008C6FB1">
        <w:rPr>
          <w:rFonts w:eastAsiaTheme="minorHAnsi"/>
          <w:sz w:val="24"/>
          <w:szCs w:val="24"/>
          <w:lang w:eastAsia="en-US"/>
        </w:rPr>
        <w:t xml:space="preserve"> The dual domicile theory</w:t>
      </w:r>
      <w:r w:rsidRPr="008C6FB1">
        <w:rPr>
          <w:rFonts w:eastAsiaTheme="minorHAnsi"/>
          <w:sz w:val="24"/>
          <w:szCs w:val="24"/>
          <w:vertAlign w:val="superscript"/>
          <w:lang w:eastAsia="en-US"/>
        </w:rPr>
        <w:footnoteReference w:id="36"/>
      </w:r>
      <w:r w:rsidRPr="008C6FB1">
        <w:rPr>
          <w:rFonts w:eastAsiaTheme="minorHAnsi"/>
          <w:sz w:val="24"/>
          <w:szCs w:val="24"/>
          <w:lang w:eastAsia="en-US"/>
        </w:rPr>
        <w:t xml:space="preserve"> is backward looking; if either of the parties’ pre-nuptial domiciles would invalidate the marriage, then the consequential impact is abjuration of recognition. Essentially, the rule is based on treating each party’s domiciliary law with equal respect and recognition, but, the intended matrimonial home theory</w:t>
      </w:r>
      <w:r w:rsidRPr="008C6FB1">
        <w:rPr>
          <w:rFonts w:eastAsiaTheme="minorHAnsi"/>
          <w:sz w:val="24"/>
          <w:szCs w:val="24"/>
          <w:vertAlign w:val="superscript"/>
          <w:lang w:eastAsia="en-US"/>
        </w:rPr>
        <w:footnoteReference w:id="37"/>
      </w:r>
      <w:r w:rsidRPr="008C6FB1">
        <w:rPr>
          <w:rFonts w:eastAsiaTheme="minorHAnsi"/>
          <w:sz w:val="24"/>
          <w:szCs w:val="24"/>
          <w:lang w:eastAsia="en-US"/>
        </w:rPr>
        <w:t xml:space="preserve"> turns to the law of the husband’s domicile unless, the couple intend to set up a matrimonial home in another country. Where this intention is satisfied within a reasonable time, that law will prevail. The dual domicile theory seeks to protect the individual. The intended matrimonial home theory seeks to protect the society of the country where the couple intend to live. </w:t>
      </w:r>
    </w:p>
    <w:p w:rsidR="008C6FB1" w:rsidRPr="008C6FB1" w:rsidRDefault="008C6FB1" w:rsidP="008C6FB1">
      <w:pPr>
        <w:spacing w:line="480" w:lineRule="auto"/>
        <w:jc w:val="both"/>
        <w:rPr>
          <w:rFonts w:eastAsiaTheme="minorHAnsi"/>
          <w:color w:val="FF0000"/>
          <w:sz w:val="24"/>
          <w:szCs w:val="24"/>
          <w:lang w:eastAsia="en-US"/>
        </w:rPr>
      </w:pPr>
      <w:r w:rsidRPr="008C6FB1">
        <w:rPr>
          <w:rFonts w:eastAsiaTheme="minorHAnsi"/>
          <w:sz w:val="24"/>
          <w:szCs w:val="24"/>
          <w:lang w:eastAsia="en-US"/>
        </w:rPr>
        <w:t>Despite these opposing aims it is evident that both theories receive common law</w:t>
      </w:r>
      <w:r w:rsidRPr="008C6FB1">
        <w:rPr>
          <w:rFonts w:eastAsiaTheme="minorHAnsi"/>
          <w:sz w:val="24"/>
          <w:szCs w:val="24"/>
          <w:vertAlign w:val="superscript"/>
          <w:lang w:eastAsia="en-US"/>
        </w:rPr>
        <w:footnoteReference w:id="38"/>
      </w:r>
      <w:r w:rsidRPr="008C6FB1">
        <w:rPr>
          <w:rFonts w:eastAsiaTheme="minorHAnsi"/>
          <w:sz w:val="24"/>
          <w:szCs w:val="24"/>
          <w:lang w:eastAsia="en-US"/>
        </w:rPr>
        <w:t xml:space="preserve"> and academic</w:t>
      </w:r>
      <w:r w:rsidRPr="008C6FB1">
        <w:rPr>
          <w:rFonts w:eastAsiaTheme="minorHAnsi"/>
          <w:sz w:val="24"/>
          <w:szCs w:val="24"/>
          <w:vertAlign w:val="superscript"/>
          <w:lang w:eastAsia="en-US"/>
        </w:rPr>
        <w:footnoteReference w:id="39"/>
      </w:r>
      <w:r w:rsidRPr="008C6FB1">
        <w:rPr>
          <w:rFonts w:eastAsiaTheme="minorHAnsi"/>
          <w:sz w:val="24"/>
          <w:szCs w:val="24"/>
          <w:lang w:eastAsia="en-US"/>
        </w:rPr>
        <w:t xml:space="preserve"> support. The dual domicile theory is propounded by the Law Commission as the most appropriate policy construct.</w:t>
      </w:r>
      <w:r w:rsidRPr="008C6FB1">
        <w:rPr>
          <w:rFonts w:eastAsiaTheme="minorHAnsi"/>
          <w:sz w:val="24"/>
          <w:szCs w:val="24"/>
          <w:vertAlign w:val="superscript"/>
          <w:lang w:eastAsia="en-US"/>
        </w:rPr>
        <w:footnoteReference w:id="40"/>
      </w:r>
      <w:r w:rsidRPr="008C6FB1">
        <w:rPr>
          <w:rFonts w:eastAsiaTheme="minorHAnsi"/>
          <w:sz w:val="24"/>
          <w:szCs w:val="24"/>
          <w:lang w:eastAsia="en-US"/>
        </w:rPr>
        <w:t xml:space="preserve"> The advantages include: the potential to fulfil party expectations; allowing each party’s country to be considered in terms of validity and that it is relatively easy to apply prospectively.</w:t>
      </w:r>
      <w:r w:rsidRPr="008C6FB1">
        <w:rPr>
          <w:rFonts w:eastAsiaTheme="minorHAnsi"/>
          <w:sz w:val="24"/>
          <w:szCs w:val="24"/>
          <w:vertAlign w:val="superscript"/>
          <w:lang w:eastAsia="en-US"/>
        </w:rPr>
        <w:footnoteReference w:id="41"/>
      </w:r>
      <w:r w:rsidRPr="008C6FB1">
        <w:rPr>
          <w:rFonts w:eastAsiaTheme="minorHAnsi"/>
          <w:sz w:val="24"/>
          <w:szCs w:val="24"/>
          <w:lang w:eastAsia="en-US"/>
        </w:rPr>
        <w:t xml:space="preserve"> Conversely, the intended matrimonial home theory considers the society that the marriage will impact upon and may also uphold party expectations.</w:t>
      </w:r>
      <w:r w:rsidRPr="008C6FB1">
        <w:rPr>
          <w:rFonts w:eastAsiaTheme="minorHAnsi"/>
          <w:sz w:val="24"/>
          <w:szCs w:val="24"/>
          <w:vertAlign w:val="superscript"/>
          <w:lang w:eastAsia="en-US"/>
        </w:rPr>
        <w:footnoteReference w:id="42"/>
      </w:r>
      <w:r w:rsidRPr="008C6FB1">
        <w:rPr>
          <w:rFonts w:eastAsiaTheme="minorHAnsi"/>
          <w:sz w:val="24"/>
          <w:szCs w:val="24"/>
          <w:lang w:eastAsia="en-US"/>
        </w:rPr>
        <w:t xml:space="preserve"> In addition, as only one law need be applied, more marriages are likely to be held valid. Therefore this satisfies the policy aim attached to upholding the validity of marriage.</w:t>
      </w:r>
      <w:r w:rsidRPr="008C6FB1">
        <w:rPr>
          <w:rFonts w:eastAsiaTheme="minorHAnsi"/>
          <w:sz w:val="24"/>
          <w:szCs w:val="24"/>
          <w:vertAlign w:val="superscript"/>
          <w:lang w:eastAsia="en-US"/>
        </w:rPr>
        <w:footnoteReference w:id="43"/>
      </w:r>
      <w:r w:rsidRPr="008C6FB1">
        <w:rPr>
          <w:rFonts w:eastAsiaTheme="minorHAnsi"/>
          <w:sz w:val="24"/>
          <w:szCs w:val="24"/>
          <w:lang w:eastAsia="en-US"/>
        </w:rPr>
        <w:t xml:space="preserve"> </w:t>
      </w:r>
    </w:p>
    <w:p w:rsidR="008C6FB1" w:rsidRPr="008C6FB1" w:rsidRDefault="008C6FB1" w:rsidP="008C6FB1">
      <w:pPr>
        <w:spacing w:line="480" w:lineRule="auto"/>
        <w:jc w:val="both"/>
        <w:rPr>
          <w:rFonts w:eastAsiaTheme="minorHAnsi"/>
          <w:color w:val="FF0000"/>
          <w:sz w:val="24"/>
          <w:szCs w:val="24"/>
          <w:lang w:eastAsia="en-US"/>
        </w:rPr>
      </w:pPr>
      <w:r w:rsidRPr="008C6FB1">
        <w:rPr>
          <w:rFonts w:eastAsiaTheme="minorHAnsi"/>
          <w:sz w:val="24"/>
          <w:szCs w:val="24"/>
          <w:lang w:eastAsia="en-US"/>
        </w:rPr>
        <w:t>Regardless of the aforementioned positives, neither theory can be applied universally. The dual domicile theory leads to more marriages being found invalid, which is caused by potentially having to satisfy the law of two countries.</w:t>
      </w:r>
      <w:r w:rsidRPr="008C6FB1">
        <w:rPr>
          <w:rFonts w:eastAsiaTheme="minorHAnsi"/>
          <w:sz w:val="24"/>
          <w:szCs w:val="24"/>
          <w:vertAlign w:val="superscript"/>
          <w:lang w:eastAsia="en-US"/>
        </w:rPr>
        <w:footnoteReference w:id="44"/>
      </w:r>
      <w:r w:rsidRPr="008C6FB1">
        <w:rPr>
          <w:rFonts w:eastAsiaTheme="minorHAnsi"/>
          <w:sz w:val="24"/>
          <w:szCs w:val="24"/>
          <w:lang w:eastAsia="en-US"/>
        </w:rPr>
        <w:t xml:space="preserve"> Another demerit is that the theory fails to consider the law of the country to which the marriage will belong.</w:t>
      </w:r>
      <w:r w:rsidRPr="008C6FB1">
        <w:rPr>
          <w:rFonts w:eastAsiaTheme="minorHAnsi"/>
          <w:sz w:val="24"/>
          <w:szCs w:val="24"/>
          <w:vertAlign w:val="superscript"/>
          <w:lang w:eastAsia="en-US"/>
        </w:rPr>
        <w:footnoteReference w:id="45"/>
      </w:r>
      <w:r w:rsidRPr="008C6FB1">
        <w:rPr>
          <w:rFonts w:eastAsiaTheme="minorHAnsi"/>
          <w:sz w:val="24"/>
          <w:szCs w:val="24"/>
          <w:lang w:eastAsia="en-US"/>
        </w:rPr>
        <w:t xml:space="preserve"> Finally, a major criticism is the foundation of the theory on the concept of domicile, which has many of its own challenges.</w:t>
      </w:r>
      <w:r w:rsidRPr="008C6FB1">
        <w:rPr>
          <w:rFonts w:eastAsiaTheme="minorHAnsi"/>
          <w:sz w:val="24"/>
          <w:szCs w:val="24"/>
          <w:vertAlign w:val="superscript"/>
          <w:lang w:eastAsia="en-US"/>
        </w:rPr>
        <w:footnoteReference w:id="46"/>
      </w:r>
      <w:r w:rsidRPr="008C6FB1">
        <w:rPr>
          <w:rFonts w:eastAsiaTheme="minorHAnsi"/>
          <w:sz w:val="24"/>
          <w:szCs w:val="24"/>
          <w:lang w:eastAsia="en-US"/>
        </w:rPr>
        <w:t xml:space="preserve"> Domicile may not always reflect the country to which the parties belong,</w:t>
      </w:r>
      <w:r w:rsidRPr="008C6FB1">
        <w:rPr>
          <w:rFonts w:eastAsiaTheme="minorHAnsi"/>
          <w:sz w:val="24"/>
          <w:szCs w:val="24"/>
          <w:vertAlign w:val="superscript"/>
          <w:lang w:eastAsia="en-US"/>
        </w:rPr>
        <w:footnoteReference w:id="47"/>
      </w:r>
      <w:r w:rsidRPr="008C6FB1">
        <w:rPr>
          <w:rFonts w:eastAsiaTheme="minorHAnsi"/>
          <w:sz w:val="24"/>
          <w:szCs w:val="24"/>
          <w:lang w:eastAsia="en-US"/>
        </w:rPr>
        <w:t xml:space="preserve"> as a result of the difficulties in obtaining a domicile of choice.  Such criticisms go to the very root of the theory as it is clear that domicile itself is in need of reform and has been for some time.</w:t>
      </w:r>
      <w:r w:rsidRPr="008C6FB1">
        <w:rPr>
          <w:rFonts w:eastAsiaTheme="minorHAnsi"/>
          <w:sz w:val="24"/>
          <w:szCs w:val="24"/>
          <w:vertAlign w:val="superscript"/>
          <w:lang w:eastAsia="en-US"/>
        </w:rPr>
        <w:footnoteReference w:id="48"/>
      </w:r>
    </w:p>
    <w:p w:rsid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There are also many criticisms of the intended matrimonial home theory. Unless alternative intentions can be proven it is the law of the husband’s domicile that applies. In the modern day this is recognised as sexist and “totally out of touch with modern etymologies of gender equality”.</w:t>
      </w:r>
      <w:r w:rsidRPr="008C6FB1">
        <w:rPr>
          <w:rFonts w:eastAsiaTheme="minorHAnsi"/>
          <w:sz w:val="24"/>
          <w:szCs w:val="24"/>
          <w:vertAlign w:val="superscript"/>
          <w:lang w:eastAsia="en-US"/>
        </w:rPr>
        <w:footnoteReference w:id="49"/>
      </w:r>
      <w:r w:rsidRPr="008C6FB1">
        <w:rPr>
          <w:rFonts w:eastAsiaTheme="minorHAnsi"/>
          <w:sz w:val="24"/>
          <w:szCs w:val="24"/>
          <w:lang w:eastAsia="en-US"/>
        </w:rPr>
        <w:t xml:space="preserve"> It fails to reflect developments within the law, such as the abolition of the married women’s domicile of dependency rule.</w:t>
      </w:r>
      <w:r w:rsidRPr="008C6FB1">
        <w:rPr>
          <w:rFonts w:eastAsiaTheme="minorHAnsi"/>
          <w:sz w:val="24"/>
          <w:szCs w:val="24"/>
          <w:vertAlign w:val="superscript"/>
          <w:lang w:eastAsia="en-US"/>
        </w:rPr>
        <w:footnoteReference w:id="50"/>
      </w:r>
      <w:r w:rsidRPr="008C6FB1">
        <w:rPr>
          <w:rFonts w:eastAsiaTheme="minorHAnsi"/>
          <w:sz w:val="24"/>
          <w:szCs w:val="24"/>
          <w:lang w:eastAsia="en-US"/>
        </w:rPr>
        <w:t xml:space="preserve"> This rule meant that prior to its abolition, upon marriage a woman was stripped of her personal domicile and was instead deemed to take that of her husband. This would only change in accordance with his domicile much like the domicile of a minor. As the theory is founded on the parties’ particular intentions at the time of marriage this can also be problematic,</w:t>
      </w:r>
      <w:r w:rsidRPr="008C6FB1">
        <w:rPr>
          <w:rFonts w:eastAsiaTheme="minorHAnsi"/>
          <w:sz w:val="24"/>
          <w:szCs w:val="24"/>
          <w:vertAlign w:val="superscript"/>
          <w:lang w:eastAsia="en-US"/>
        </w:rPr>
        <w:footnoteReference w:id="51"/>
      </w:r>
      <w:r w:rsidRPr="008C6FB1">
        <w:rPr>
          <w:rFonts w:eastAsiaTheme="minorHAnsi"/>
          <w:sz w:val="24"/>
          <w:szCs w:val="24"/>
          <w:lang w:eastAsia="en-US"/>
        </w:rPr>
        <w:t xml:space="preserve"> application in the prospective may be difficult particularly if intentions are unclear, and it is uncertain what would happen if the couple move. It can also be argued that on occasion it is the parties’ domiciliary law that has the most interest in being applied,</w:t>
      </w:r>
      <w:r w:rsidRPr="008C6FB1">
        <w:rPr>
          <w:rFonts w:eastAsiaTheme="minorHAnsi"/>
          <w:sz w:val="24"/>
          <w:szCs w:val="24"/>
          <w:vertAlign w:val="superscript"/>
          <w:lang w:eastAsia="en-US"/>
        </w:rPr>
        <w:footnoteReference w:id="52"/>
      </w:r>
      <w:r w:rsidRPr="008C6FB1">
        <w:rPr>
          <w:rFonts w:eastAsiaTheme="minorHAnsi"/>
          <w:sz w:val="24"/>
          <w:szCs w:val="24"/>
          <w:lang w:eastAsia="en-US"/>
        </w:rPr>
        <w:t xml:space="preserve"> which may stem from an interest to protect the particular party involved from factors such as duress, undue influence or exploitation. The exploration of these two theories shows that neither should constitute a universal theory. Further alternatives are now considered.  </w:t>
      </w:r>
    </w:p>
    <w:p w:rsidR="00A13E1A" w:rsidRPr="008C6FB1" w:rsidRDefault="00A13E1A" w:rsidP="008C6FB1">
      <w:pPr>
        <w:spacing w:line="480" w:lineRule="auto"/>
        <w:jc w:val="both"/>
        <w:rPr>
          <w:rFonts w:eastAsiaTheme="minorHAnsi"/>
          <w:sz w:val="24"/>
          <w:szCs w:val="24"/>
          <w:lang w:eastAsia="en-US"/>
        </w:rPr>
      </w:pPr>
    </w:p>
    <w:p w:rsidR="008C6FB1" w:rsidRPr="008C6FB1" w:rsidRDefault="008C6FB1" w:rsidP="008C6FB1">
      <w:pPr>
        <w:numPr>
          <w:ilvl w:val="0"/>
          <w:numId w:val="2"/>
        </w:numPr>
        <w:spacing w:line="480" w:lineRule="auto"/>
        <w:contextualSpacing/>
        <w:jc w:val="center"/>
        <w:rPr>
          <w:b/>
          <w:sz w:val="24"/>
          <w:szCs w:val="24"/>
        </w:rPr>
      </w:pPr>
      <w:r w:rsidRPr="008C6FB1">
        <w:rPr>
          <w:b/>
          <w:sz w:val="24"/>
          <w:szCs w:val="24"/>
        </w:rPr>
        <w:t>Competing Choice of Law Theories</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Another option is the most real and substantial connection test. In a similar vein to the intended matrimonial home theory it focuses on the country which will be most affected by the marriage as opposed to the people.</w:t>
      </w:r>
      <w:r w:rsidRPr="008C6FB1">
        <w:rPr>
          <w:rFonts w:eastAsiaTheme="minorHAnsi"/>
          <w:sz w:val="24"/>
          <w:szCs w:val="24"/>
          <w:vertAlign w:val="superscript"/>
          <w:lang w:eastAsia="en-US"/>
        </w:rPr>
        <w:footnoteReference w:id="53"/>
      </w:r>
      <w:r w:rsidRPr="008C6FB1">
        <w:rPr>
          <w:rFonts w:eastAsiaTheme="minorHAnsi"/>
          <w:sz w:val="24"/>
          <w:szCs w:val="24"/>
          <w:lang w:eastAsia="en-US"/>
        </w:rPr>
        <w:t xml:space="preserve"> The primary distinction between the two theories is the way in which this country is selected. There is no longer a sole focus on the intended matrimonial home. Instead this test draws on this categorisation along with other factors including domicile and nationality. Whilst this may create a well-rounded determination of what law should apply and attract support for the theory</w:t>
      </w:r>
      <w:r w:rsidR="005E1EFB">
        <w:rPr>
          <w:rFonts w:eastAsiaTheme="minorHAnsi"/>
          <w:sz w:val="24"/>
          <w:szCs w:val="24"/>
          <w:lang w:eastAsia="en-US"/>
        </w:rPr>
        <w:t>,</w:t>
      </w:r>
      <w:r w:rsidRPr="008C6FB1">
        <w:rPr>
          <w:rFonts w:eastAsiaTheme="minorHAnsi"/>
          <w:sz w:val="24"/>
          <w:szCs w:val="24"/>
          <w:vertAlign w:val="superscript"/>
          <w:lang w:eastAsia="en-US"/>
        </w:rPr>
        <w:footnoteReference w:id="54"/>
      </w:r>
      <w:r w:rsidRPr="008C6FB1">
        <w:rPr>
          <w:rFonts w:eastAsiaTheme="minorHAnsi"/>
          <w:sz w:val="24"/>
          <w:szCs w:val="24"/>
          <w:lang w:eastAsia="en-US"/>
        </w:rPr>
        <w:t xml:space="preserve"> it lacks certainty and predictability, and can thus be criticised</w:t>
      </w:r>
      <w:r w:rsidR="005E1EFB">
        <w:rPr>
          <w:rFonts w:eastAsiaTheme="minorHAnsi"/>
          <w:sz w:val="24"/>
          <w:szCs w:val="24"/>
          <w:lang w:eastAsia="en-US"/>
        </w:rPr>
        <w:t>.</w:t>
      </w:r>
      <w:r w:rsidRPr="008C6FB1">
        <w:rPr>
          <w:rFonts w:eastAsiaTheme="minorHAnsi"/>
          <w:sz w:val="24"/>
          <w:szCs w:val="24"/>
          <w:vertAlign w:val="superscript"/>
          <w:lang w:eastAsia="en-US"/>
        </w:rPr>
        <w:footnoteReference w:id="55"/>
      </w:r>
      <w:r w:rsidR="005E1EFB">
        <w:rPr>
          <w:rFonts w:eastAsiaTheme="minorHAnsi"/>
          <w:sz w:val="24"/>
          <w:szCs w:val="24"/>
          <w:lang w:eastAsia="en-US"/>
        </w:rPr>
        <w:t xml:space="preserve"> </w:t>
      </w:r>
      <w:r w:rsidRPr="008C6FB1">
        <w:rPr>
          <w:rFonts w:eastAsiaTheme="minorHAnsi"/>
          <w:sz w:val="24"/>
          <w:szCs w:val="24"/>
          <w:lang w:eastAsia="en-US"/>
        </w:rPr>
        <w:t xml:space="preserve"> Criticism comes as a result of the lack of definition and clarity of the term “most real and substantial connection”. Its application would inevitably lead to the courtroom for matters to be assessed on a case-by-case basis.</w:t>
      </w:r>
      <w:r w:rsidRPr="008C6FB1">
        <w:rPr>
          <w:rFonts w:eastAsiaTheme="minorHAnsi"/>
          <w:sz w:val="24"/>
          <w:szCs w:val="24"/>
          <w:vertAlign w:val="superscript"/>
          <w:lang w:eastAsia="en-US"/>
        </w:rPr>
        <w:footnoteReference w:id="56"/>
      </w:r>
      <w:r w:rsidRPr="008C6FB1">
        <w:rPr>
          <w:rFonts w:eastAsiaTheme="minorHAnsi"/>
          <w:sz w:val="24"/>
          <w:szCs w:val="24"/>
          <w:lang w:eastAsia="en-US"/>
        </w:rPr>
        <w:t xml:space="preserve"> Consequently this theory is not the most practical of options. </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The alternative reference test is another option. The test is based on applying either the dual domicile rule or the intended matrimonial home theory depending on which one would recognise the marriage. It allows the courts to select the rule that will result in the marriage being recognised as valid and therefore upholds the policy of the validity of marriage. However, difficulties remain. The test is based on the court’s ability to cherry pick in order to get the desired result and is for that reason difficult to promote. In essence, it endorses both the dual domicile theory and the intended matrimonial home theory, but is then able to cast aside either theory if it would result in the invalidity of marriage, which appears contrary to principle.</w:t>
      </w:r>
      <w:r w:rsidRPr="008C6FB1">
        <w:rPr>
          <w:rFonts w:eastAsiaTheme="minorHAnsi"/>
          <w:sz w:val="24"/>
          <w:szCs w:val="24"/>
          <w:vertAlign w:val="superscript"/>
          <w:lang w:eastAsia="en-US"/>
        </w:rPr>
        <w:footnoteReference w:id="57"/>
      </w:r>
      <w:r w:rsidRPr="008C6FB1">
        <w:rPr>
          <w:rFonts w:eastAsiaTheme="minorHAnsi"/>
          <w:sz w:val="24"/>
          <w:szCs w:val="24"/>
          <w:lang w:eastAsia="en-US"/>
        </w:rPr>
        <w:t xml:space="preserve"> It is also a time consuming method. It may require the courts to consider up to three different laws before selecting the appropriate route.</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The elective dual domicile test would apply the domiciliary law of either party.</w:t>
      </w:r>
      <w:r w:rsidRPr="008C6FB1">
        <w:rPr>
          <w:rFonts w:eastAsiaTheme="minorHAnsi"/>
          <w:sz w:val="24"/>
          <w:szCs w:val="24"/>
          <w:vertAlign w:val="superscript"/>
          <w:lang w:eastAsia="en-US"/>
        </w:rPr>
        <w:footnoteReference w:id="58"/>
      </w:r>
      <w:r w:rsidRPr="008C6FB1">
        <w:rPr>
          <w:rFonts w:eastAsiaTheme="minorHAnsi"/>
          <w:sz w:val="24"/>
          <w:szCs w:val="24"/>
          <w:lang w:eastAsia="en-US"/>
        </w:rPr>
        <w:t xml:space="preserve"> If either party’s domiciliary law holds the marriage valid, the law relating to the other party becomes irrelevant and the marriage is upheld. Aside from validating marriages there is little else to be commended.</w:t>
      </w:r>
      <w:r w:rsidRPr="008C6FB1">
        <w:rPr>
          <w:rFonts w:eastAsiaTheme="minorHAnsi"/>
          <w:sz w:val="24"/>
          <w:szCs w:val="24"/>
          <w:vertAlign w:val="superscript"/>
          <w:lang w:eastAsia="en-US"/>
        </w:rPr>
        <w:footnoteReference w:id="59"/>
      </w:r>
      <w:r w:rsidRPr="008C6FB1">
        <w:rPr>
          <w:rFonts w:eastAsiaTheme="minorHAnsi"/>
          <w:sz w:val="24"/>
          <w:szCs w:val="24"/>
          <w:lang w:eastAsia="en-US"/>
        </w:rPr>
        <w:t xml:space="preserve"> It is a controversial option as it recognises the importance domiciliary law plays in marriage validity, but rejects the law that may cause a problem, regardless of the motive behind the law. Not only does this appear to fly in the face of applying the law of the domicile, but it could also lead to limping marriages</w:t>
      </w:r>
      <w:r w:rsidR="005E1EFB">
        <w:rPr>
          <w:rFonts w:eastAsiaTheme="minorHAnsi"/>
          <w:sz w:val="24"/>
          <w:szCs w:val="24"/>
          <w:lang w:eastAsia="en-US"/>
        </w:rPr>
        <w:t>,</w:t>
      </w:r>
      <w:r w:rsidRPr="008C6FB1">
        <w:rPr>
          <w:rFonts w:eastAsiaTheme="minorHAnsi"/>
          <w:sz w:val="24"/>
          <w:szCs w:val="24"/>
          <w:vertAlign w:val="superscript"/>
          <w:lang w:eastAsia="en-US"/>
        </w:rPr>
        <w:footnoteReference w:id="60"/>
      </w:r>
      <w:r w:rsidRPr="008C6FB1">
        <w:rPr>
          <w:rFonts w:eastAsiaTheme="minorHAnsi"/>
          <w:sz w:val="24"/>
          <w:szCs w:val="24"/>
          <w:lang w:eastAsia="en-US"/>
        </w:rPr>
        <w:t xml:space="preserve"> and the ability to evade domiciliary laws. It is understandable that this theory has been subject to criticism.</w:t>
      </w:r>
      <w:r w:rsidRPr="008C6FB1">
        <w:rPr>
          <w:rFonts w:eastAsiaTheme="minorHAnsi"/>
          <w:sz w:val="24"/>
          <w:szCs w:val="24"/>
          <w:vertAlign w:val="superscript"/>
          <w:lang w:eastAsia="en-US"/>
        </w:rPr>
        <w:footnoteReference w:id="61"/>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 xml:space="preserve">Finally, it is also important to consider the precedent already set within same-sex relationships. The CPA dictates that the </w:t>
      </w:r>
      <w:r w:rsidRPr="008C6FB1">
        <w:rPr>
          <w:rFonts w:eastAsiaTheme="minorHAnsi"/>
          <w:i/>
          <w:sz w:val="24"/>
          <w:szCs w:val="24"/>
          <w:lang w:eastAsia="en-US"/>
        </w:rPr>
        <w:t>lex loci celebrationis</w:t>
      </w:r>
      <w:r w:rsidRPr="008C6FB1">
        <w:rPr>
          <w:rFonts w:eastAsiaTheme="minorHAnsi"/>
          <w:sz w:val="24"/>
          <w:szCs w:val="24"/>
          <w:vertAlign w:val="superscript"/>
          <w:lang w:eastAsia="en-US"/>
        </w:rPr>
        <w:footnoteReference w:id="62"/>
      </w:r>
      <w:r w:rsidRPr="008C6FB1">
        <w:rPr>
          <w:rFonts w:eastAsiaTheme="minorHAnsi"/>
          <w:sz w:val="24"/>
          <w:szCs w:val="24"/>
          <w:lang w:eastAsia="en-US"/>
        </w:rPr>
        <w:t xml:space="preserve"> is the applicable law for essential validity, making it a viable option for same-sex marriage. Its application may bring certainty and continuity of the law for the interested parties,</w:t>
      </w:r>
      <w:r w:rsidRPr="008C6FB1">
        <w:rPr>
          <w:rFonts w:eastAsiaTheme="minorHAnsi"/>
          <w:sz w:val="24"/>
          <w:szCs w:val="24"/>
          <w:vertAlign w:val="superscript"/>
          <w:lang w:eastAsia="en-US"/>
        </w:rPr>
        <w:footnoteReference w:id="63"/>
      </w:r>
      <w:r w:rsidRPr="008C6FB1">
        <w:rPr>
          <w:rFonts w:eastAsiaTheme="minorHAnsi"/>
          <w:sz w:val="24"/>
          <w:szCs w:val="24"/>
          <w:lang w:eastAsia="en-US"/>
        </w:rPr>
        <w:t xml:space="preserve"> but it may also encourage forum shopping. If all that is required for same-sex couples to marry is to travel across the border, it may lead to an increased enforcement of public policy rules by the countries in which the parties are domiciled and resident, on the basis that attempts are being made to evade their laws. This could in turn produce more limping marriages.</w:t>
      </w:r>
      <w:r w:rsidRPr="008C6FB1">
        <w:rPr>
          <w:rFonts w:eastAsiaTheme="minorHAnsi"/>
          <w:sz w:val="24"/>
          <w:szCs w:val="24"/>
          <w:vertAlign w:val="superscript"/>
          <w:lang w:eastAsia="en-US"/>
        </w:rPr>
        <w:footnoteReference w:id="64"/>
      </w:r>
      <w:r w:rsidRPr="008C6FB1">
        <w:rPr>
          <w:rFonts w:eastAsiaTheme="minorHAnsi"/>
          <w:sz w:val="24"/>
          <w:szCs w:val="24"/>
          <w:lang w:eastAsia="en-US"/>
        </w:rPr>
        <w:t xml:space="preserve"> Greater application of public policy exceptions would counteract any potential certainty and continuity such a rule could offer. </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The law in this area is uncertain. While it is apparent that the dual domicile theory and the intended matrimonial home theory are the two main contenders, any one of the aforementioned theories could be applied by the courts to same-sex relationships. No one rule is sufficiently sophisticated enough to apply universally.</w:t>
      </w:r>
      <w:r w:rsidRPr="008C6FB1">
        <w:rPr>
          <w:rFonts w:eastAsiaTheme="minorHAnsi"/>
          <w:sz w:val="24"/>
          <w:szCs w:val="24"/>
          <w:vertAlign w:val="superscript"/>
          <w:lang w:eastAsia="en-US"/>
        </w:rPr>
        <w:footnoteReference w:id="65"/>
      </w:r>
      <w:r w:rsidRPr="008C6FB1">
        <w:rPr>
          <w:rFonts w:eastAsiaTheme="minorHAnsi"/>
          <w:sz w:val="24"/>
          <w:szCs w:val="24"/>
          <w:lang w:eastAsia="en-US"/>
        </w:rPr>
        <w:t xml:space="preserve"> Exceptions also exist, allowing the courts in certain circumstances to deviate from these rules in order to produce the desired result.</w:t>
      </w:r>
      <w:r w:rsidRPr="008C6FB1">
        <w:rPr>
          <w:rFonts w:eastAsiaTheme="minorHAnsi"/>
          <w:sz w:val="24"/>
          <w:szCs w:val="24"/>
          <w:vertAlign w:val="superscript"/>
          <w:lang w:eastAsia="en-US"/>
        </w:rPr>
        <w:footnoteReference w:id="66"/>
      </w:r>
      <w:r w:rsidRPr="008C6FB1">
        <w:rPr>
          <w:rFonts w:eastAsiaTheme="minorHAnsi"/>
          <w:sz w:val="24"/>
          <w:szCs w:val="24"/>
          <w:lang w:eastAsia="en-US"/>
        </w:rPr>
        <w:t xml:space="preserve"> It is, therefore, important to consider the ideas of interest analysis</w:t>
      </w:r>
      <w:r w:rsidRPr="008C6FB1">
        <w:rPr>
          <w:rFonts w:eastAsiaTheme="minorHAnsi"/>
          <w:sz w:val="24"/>
          <w:szCs w:val="24"/>
          <w:vertAlign w:val="superscript"/>
          <w:lang w:eastAsia="en-US"/>
        </w:rPr>
        <w:footnoteReference w:id="67"/>
      </w:r>
      <w:r w:rsidRPr="008C6FB1">
        <w:rPr>
          <w:rFonts w:eastAsiaTheme="minorHAnsi"/>
          <w:sz w:val="24"/>
          <w:szCs w:val="24"/>
          <w:lang w:eastAsia="en-US"/>
        </w:rPr>
        <w:t xml:space="preserve"> and depecage</w:t>
      </w:r>
      <w:r w:rsidRPr="008C6FB1">
        <w:rPr>
          <w:rFonts w:eastAsiaTheme="minorHAnsi"/>
          <w:sz w:val="24"/>
          <w:szCs w:val="24"/>
          <w:vertAlign w:val="superscript"/>
          <w:lang w:eastAsia="en-US"/>
        </w:rPr>
        <w:footnoteReference w:id="68"/>
      </w:r>
      <w:r w:rsidRPr="008C6FB1">
        <w:rPr>
          <w:rFonts w:eastAsiaTheme="minorHAnsi"/>
          <w:sz w:val="24"/>
          <w:szCs w:val="24"/>
          <w:lang w:eastAsia="en-US"/>
        </w:rPr>
        <w:t xml:space="preserve"> which we consider in the next section.</w:t>
      </w:r>
    </w:p>
    <w:p w:rsid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Interestingly, amidst all of the ambiguity of the applicable choice of law rule, it has been suggested by Stuart Davis that the absence of any direction in the M(SSC)A is a nod in favour of the dual domicile theory.</w:t>
      </w:r>
      <w:r w:rsidRPr="008C6FB1">
        <w:rPr>
          <w:rFonts w:eastAsiaTheme="minorHAnsi"/>
          <w:sz w:val="24"/>
          <w:szCs w:val="24"/>
          <w:vertAlign w:val="superscript"/>
          <w:lang w:eastAsia="en-US"/>
        </w:rPr>
        <w:footnoteReference w:id="69"/>
      </w:r>
      <w:r w:rsidRPr="008C6FB1">
        <w:rPr>
          <w:rFonts w:eastAsiaTheme="minorHAnsi"/>
          <w:sz w:val="24"/>
          <w:szCs w:val="24"/>
          <w:lang w:eastAsia="en-US"/>
        </w:rPr>
        <w:t xml:space="preserve"> Davis’ justification for this suggestion is that it will ensure that same-sex marriages are dealt with in the same vein as heterosexual marriages.</w:t>
      </w:r>
      <w:r w:rsidRPr="008C6FB1">
        <w:rPr>
          <w:rFonts w:eastAsiaTheme="minorHAnsi"/>
          <w:sz w:val="24"/>
          <w:szCs w:val="24"/>
          <w:vertAlign w:val="superscript"/>
          <w:lang w:eastAsia="en-US"/>
        </w:rPr>
        <w:footnoteReference w:id="70"/>
      </w:r>
      <w:r w:rsidRPr="008C6FB1">
        <w:rPr>
          <w:rFonts w:eastAsiaTheme="minorHAnsi"/>
          <w:sz w:val="24"/>
          <w:szCs w:val="24"/>
          <w:lang w:eastAsia="en-US"/>
        </w:rPr>
        <w:t xml:space="preserve"> This justification is tentative, given it has been recognised by judges for decades that the dual domicile theory is not always the most appropriate choice of law rule.</w:t>
      </w:r>
      <w:r w:rsidRPr="008C6FB1">
        <w:rPr>
          <w:rFonts w:eastAsiaTheme="minorHAnsi"/>
          <w:sz w:val="24"/>
          <w:szCs w:val="24"/>
          <w:vertAlign w:val="superscript"/>
          <w:lang w:eastAsia="en-US"/>
        </w:rPr>
        <w:footnoteReference w:id="71"/>
      </w:r>
      <w:r w:rsidRPr="008C6FB1">
        <w:rPr>
          <w:rFonts w:eastAsiaTheme="minorHAnsi"/>
          <w:sz w:val="24"/>
          <w:szCs w:val="24"/>
          <w:lang w:eastAsia="en-US"/>
        </w:rPr>
        <w:t xml:space="preserve"> This dissent from the dual domicile theory continued even after the Law Commission confirmed it as their preferred template.</w:t>
      </w:r>
      <w:r w:rsidRPr="008C6FB1">
        <w:rPr>
          <w:rFonts w:eastAsiaTheme="minorHAnsi"/>
          <w:sz w:val="24"/>
          <w:szCs w:val="24"/>
          <w:vertAlign w:val="superscript"/>
          <w:lang w:eastAsia="en-US"/>
        </w:rPr>
        <w:footnoteReference w:id="72"/>
      </w:r>
      <w:r w:rsidRPr="008C6FB1">
        <w:rPr>
          <w:rFonts w:eastAsiaTheme="minorHAnsi"/>
          <w:sz w:val="24"/>
          <w:szCs w:val="24"/>
          <w:lang w:eastAsia="en-US"/>
        </w:rPr>
        <w:t xml:space="preserve"> It, therefore, appears rudimentary to declare its application as a mere continuation of the norm.</w:t>
      </w:r>
      <w:r w:rsidRPr="008C6FB1">
        <w:rPr>
          <w:rFonts w:eastAsiaTheme="minorHAnsi"/>
          <w:sz w:val="24"/>
          <w:szCs w:val="24"/>
          <w:vertAlign w:val="superscript"/>
          <w:lang w:eastAsia="en-US"/>
        </w:rPr>
        <w:footnoteReference w:id="73"/>
      </w:r>
      <w:r w:rsidRPr="008C6FB1">
        <w:rPr>
          <w:rFonts w:eastAsiaTheme="minorHAnsi"/>
          <w:sz w:val="24"/>
          <w:szCs w:val="24"/>
          <w:lang w:eastAsia="en-US"/>
        </w:rPr>
        <w:t xml:space="preserve"> In fact, despite the Law Commission report, it is possible that any of the theories previously outlined may be adopted by the courts. In view of their application in other marriage validity cases, it is not difficult to comprehend any of the theories being applied by the judiciary. Indeed, theories surrounding interest analysis and depecage also show how developments since the Law Commission Report may replace a universal choice of law rule.</w:t>
      </w:r>
      <w:r w:rsidRPr="008C6FB1">
        <w:rPr>
          <w:rFonts w:eastAsiaTheme="minorHAnsi"/>
          <w:sz w:val="24"/>
          <w:szCs w:val="24"/>
          <w:vertAlign w:val="superscript"/>
          <w:lang w:eastAsia="en-US"/>
        </w:rPr>
        <w:footnoteReference w:id="74"/>
      </w:r>
      <w:r w:rsidRPr="008C6FB1">
        <w:rPr>
          <w:rFonts w:eastAsiaTheme="minorHAnsi"/>
          <w:sz w:val="24"/>
          <w:szCs w:val="24"/>
          <w:lang w:eastAsia="en-US"/>
        </w:rPr>
        <w:t xml:space="preserve"> </w:t>
      </w:r>
    </w:p>
    <w:p w:rsidR="00A13E1A" w:rsidRDefault="00A13E1A" w:rsidP="008C6FB1">
      <w:pPr>
        <w:spacing w:line="480" w:lineRule="auto"/>
        <w:jc w:val="both"/>
        <w:rPr>
          <w:rFonts w:eastAsiaTheme="minorHAnsi"/>
          <w:sz w:val="24"/>
          <w:szCs w:val="24"/>
          <w:lang w:eastAsia="en-US"/>
        </w:rPr>
      </w:pPr>
    </w:p>
    <w:p w:rsidR="00A13E1A" w:rsidRPr="008C6FB1" w:rsidRDefault="00A13E1A" w:rsidP="008C6FB1">
      <w:pPr>
        <w:spacing w:line="480" w:lineRule="auto"/>
        <w:jc w:val="both"/>
        <w:rPr>
          <w:rFonts w:eastAsiaTheme="minorHAnsi"/>
          <w:sz w:val="24"/>
          <w:szCs w:val="24"/>
          <w:lang w:eastAsia="en-US"/>
        </w:rPr>
      </w:pPr>
    </w:p>
    <w:p w:rsidR="008C6FB1" w:rsidRPr="008C6FB1" w:rsidRDefault="008C6FB1" w:rsidP="008C6FB1">
      <w:pPr>
        <w:numPr>
          <w:ilvl w:val="0"/>
          <w:numId w:val="2"/>
        </w:numPr>
        <w:spacing w:line="480" w:lineRule="auto"/>
        <w:contextualSpacing/>
        <w:jc w:val="center"/>
        <w:rPr>
          <w:b/>
          <w:sz w:val="24"/>
          <w:szCs w:val="24"/>
        </w:rPr>
      </w:pPr>
      <w:r w:rsidRPr="008C6FB1">
        <w:rPr>
          <w:b/>
          <w:sz w:val="24"/>
          <w:szCs w:val="24"/>
        </w:rPr>
        <w:t>Choice of Law Rules Considered in EU Law</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The concept of “automatic recognition” is considered by the European Commission</w:t>
      </w:r>
      <w:r w:rsidRPr="008C6FB1">
        <w:rPr>
          <w:rFonts w:eastAsiaTheme="minorHAnsi"/>
          <w:sz w:val="24"/>
          <w:szCs w:val="24"/>
          <w:vertAlign w:val="superscript"/>
          <w:lang w:eastAsia="en-US"/>
        </w:rPr>
        <w:footnoteReference w:id="75"/>
      </w:r>
      <w:r w:rsidRPr="008C6FB1">
        <w:rPr>
          <w:rFonts w:eastAsiaTheme="minorHAnsi"/>
          <w:sz w:val="24"/>
          <w:szCs w:val="24"/>
          <w:lang w:eastAsia="en-US"/>
        </w:rPr>
        <w:t xml:space="preserve"> in their assessment of how free movement rights could be improved through the recognition of civil status records. The Commission observe that the failure to recognise such records raises the alarming “question of quite a different magnitude concerning not the actual documents themselves, but their effects”.</w:t>
      </w:r>
      <w:r w:rsidRPr="008C6FB1">
        <w:rPr>
          <w:rFonts w:eastAsiaTheme="minorHAnsi"/>
          <w:sz w:val="24"/>
          <w:szCs w:val="24"/>
          <w:vertAlign w:val="superscript"/>
          <w:lang w:eastAsia="en-US"/>
        </w:rPr>
        <w:footnoteReference w:id="76"/>
      </w:r>
      <w:r w:rsidRPr="008C6FB1">
        <w:rPr>
          <w:rFonts w:eastAsiaTheme="minorHAnsi"/>
          <w:sz w:val="24"/>
          <w:szCs w:val="24"/>
          <w:lang w:eastAsia="en-US"/>
        </w:rPr>
        <w:t xml:space="preserve"> In an attempt to find a pathway through the problem they consider whether automatic recognition of civil status situations established in other member states could be an appropriate solution. Applying this rule to same-sex relationships would put mutual trust between Member States at the heart of the solution, and would provide much needed certainty. It would reassure same-sex couples that crossing state borders would not be a cause for concern in respect of recognition of their relationship; nor would it require the other member state “to change its substantive law or modify its legal system”.</w:t>
      </w:r>
      <w:r w:rsidRPr="008C6FB1">
        <w:rPr>
          <w:rFonts w:eastAsiaTheme="minorHAnsi"/>
          <w:sz w:val="24"/>
          <w:szCs w:val="24"/>
          <w:vertAlign w:val="superscript"/>
          <w:lang w:eastAsia="en-US"/>
        </w:rPr>
        <w:footnoteReference w:id="77"/>
      </w:r>
      <w:r w:rsidRPr="008C6FB1">
        <w:rPr>
          <w:rFonts w:eastAsiaTheme="minorHAnsi"/>
          <w:sz w:val="24"/>
          <w:szCs w:val="24"/>
          <w:lang w:eastAsia="en-US"/>
        </w:rPr>
        <w:t xml:space="preserve"> A problem arises in that it may, like the application of the </w:t>
      </w:r>
      <w:r w:rsidRPr="008C6FB1">
        <w:rPr>
          <w:rFonts w:eastAsiaTheme="minorHAnsi"/>
          <w:i/>
          <w:sz w:val="24"/>
          <w:szCs w:val="24"/>
          <w:lang w:eastAsia="en-US"/>
        </w:rPr>
        <w:t>lex loci</w:t>
      </w:r>
      <w:r w:rsidRPr="008C6FB1">
        <w:rPr>
          <w:rFonts w:eastAsiaTheme="minorHAnsi"/>
          <w:sz w:val="24"/>
          <w:szCs w:val="24"/>
          <w:lang w:eastAsia="en-US"/>
        </w:rPr>
        <w:t>, also bring with it risks of forum shopping and increased enforcement of public policy exceptions, which, prevent the other member states having to recognise the relationship. The European Commission recognise, when considering automatic recognition more generally, that compensatory measures to prevent abuse of public order rules may be necessary, and more importantly state that “[t]his might prove to be more complicated in other civil status situations such as a marriage”.</w:t>
      </w:r>
      <w:r w:rsidRPr="008C6FB1">
        <w:rPr>
          <w:rFonts w:eastAsiaTheme="minorHAnsi"/>
          <w:sz w:val="24"/>
          <w:szCs w:val="24"/>
          <w:vertAlign w:val="superscript"/>
          <w:lang w:eastAsia="en-US"/>
        </w:rPr>
        <w:footnoteReference w:id="78"/>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Alternate options also emerge in EU law. In the area of enforcement of matrimonial judgments, Rome III</w:t>
      </w:r>
      <w:r w:rsidRPr="008C6FB1">
        <w:rPr>
          <w:rFonts w:eastAsiaTheme="minorHAnsi"/>
          <w:sz w:val="24"/>
          <w:szCs w:val="24"/>
          <w:vertAlign w:val="superscript"/>
          <w:lang w:eastAsia="en-US"/>
        </w:rPr>
        <w:footnoteReference w:id="79"/>
      </w:r>
      <w:r w:rsidRPr="008C6FB1">
        <w:rPr>
          <w:rFonts w:eastAsiaTheme="minorHAnsi"/>
          <w:sz w:val="24"/>
          <w:szCs w:val="24"/>
          <w:lang w:eastAsia="en-US"/>
        </w:rPr>
        <w:t xml:space="preserve"> was proposed to bring in choice of law rules. The earlier convention (Brussels II bis</w:t>
      </w:r>
      <w:r w:rsidRPr="008C6FB1">
        <w:rPr>
          <w:rFonts w:eastAsiaTheme="minorHAnsi"/>
          <w:sz w:val="24"/>
          <w:szCs w:val="24"/>
          <w:vertAlign w:val="superscript"/>
          <w:lang w:eastAsia="en-US"/>
        </w:rPr>
        <w:footnoteReference w:id="80"/>
      </w:r>
      <w:r w:rsidRPr="008C6FB1">
        <w:rPr>
          <w:rFonts w:eastAsiaTheme="minorHAnsi"/>
          <w:sz w:val="24"/>
          <w:szCs w:val="24"/>
          <w:lang w:eastAsia="en-US"/>
        </w:rPr>
        <w:t>) only provided rules on jurisdiction. Rome III was not agreed by all Member States. It was rejected by many, including the UK and was for that reason unsuccessful. Instead some Member States proceeded to establish enhanced cooperation between contracting parties only. This was introduced by Council Regulation EU No 1259/2010.</w:t>
      </w:r>
      <w:r w:rsidRPr="008C6FB1">
        <w:rPr>
          <w:rFonts w:eastAsiaTheme="minorHAnsi"/>
          <w:sz w:val="24"/>
          <w:szCs w:val="24"/>
          <w:vertAlign w:val="superscript"/>
          <w:lang w:eastAsia="en-US"/>
        </w:rPr>
        <w:footnoteReference w:id="81"/>
      </w:r>
      <w:r w:rsidRPr="008C6FB1">
        <w:rPr>
          <w:rFonts w:eastAsiaTheme="minorHAnsi"/>
          <w:sz w:val="24"/>
          <w:szCs w:val="24"/>
          <w:lang w:eastAsia="en-US"/>
        </w:rPr>
        <w:t xml:space="preserve"> The regulation provided that the parties could choose the applicable law on divorce,</w:t>
      </w:r>
      <w:r w:rsidRPr="008C6FB1">
        <w:rPr>
          <w:rFonts w:eastAsiaTheme="minorHAnsi"/>
          <w:sz w:val="24"/>
          <w:szCs w:val="24"/>
          <w:vertAlign w:val="superscript"/>
          <w:lang w:eastAsia="en-US"/>
        </w:rPr>
        <w:footnoteReference w:id="82"/>
      </w:r>
      <w:r w:rsidRPr="008C6FB1">
        <w:rPr>
          <w:rFonts w:eastAsiaTheme="minorHAnsi"/>
          <w:sz w:val="24"/>
          <w:szCs w:val="24"/>
          <w:lang w:eastAsia="en-US"/>
        </w:rPr>
        <w:t xml:space="preserve"> or failing that, set down a checklist of choice of law rules, which determines the most appropriate law when following the order in which they are set out in the checklist.</w:t>
      </w:r>
      <w:r w:rsidRPr="008C6FB1">
        <w:rPr>
          <w:rFonts w:eastAsiaTheme="minorHAnsi"/>
          <w:sz w:val="24"/>
          <w:szCs w:val="24"/>
          <w:vertAlign w:val="superscript"/>
          <w:lang w:eastAsia="en-US"/>
        </w:rPr>
        <w:footnoteReference w:id="83"/>
      </w:r>
      <w:r w:rsidRPr="008C6FB1">
        <w:rPr>
          <w:rFonts w:eastAsiaTheme="minorHAnsi"/>
          <w:sz w:val="24"/>
          <w:szCs w:val="24"/>
          <w:lang w:eastAsia="en-US"/>
        </w:rPr>
        <w:t xml:space="preserve"> Chapter 2, Article 8, provides that the first choice would be where the parties have their common habitual residence, thus making habitual residence the primary default choice of law rule in the absence of a mutual agreement by the parties. </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When considering the appropriateness of habitual residence as the applicable law, it is important to note its autonomous nature.</w:t>
      </w:r>
      <w:r w:rsidRPr="008C6FB1">
        <w:rPr>
          <w:rFonts w:eastAsiaTheme="minorHAnsi"/>
          <w:sz w:val="24"/>
          <w:szCs w:val="24"/>
          <w:vertAlign w:val="superscript"/>
          <w:lang w:eastAsia="en-US"/>
        </w:rPr>
        <w:footnoteReference w:id="84"/>
      </w:r>
      <w:r w:rsidRPr="008C6FB1">
        <w:rPr>
          <w:rFonts w:eastAsiaTheme="minorHAnsi"/>
          <w:sz w:val="24"/>
          <w:szCs w:val="24"/>
          <w:lang w:eastAsia="en-US"/>
        </w:rPr>
        <w:t xml:space="preserve"> It is an amorphous notion and therefore does not provide the unity required in a set choice of law rule.</w:t>
      </w:r>
      <w:r w:rsidRPr="008C6FB1">
        <w:rPr>
          <w:rFonts w:eastAsiaTheme="minorHAnsi"/>
          <w:sz w:val="24"/>
          <w:szCs w:val="24"/>
          <w:vertAlign w:val="superscript"/>
          <w:lang w:eastAsia="en-US"/>
        </w:rPr>
        <w:footnoteReference w:id="85"/>
      </w:r>
      <w:r w:rsidRPr="008C6FB1">
        <w:rPr>
          <w:rFonts w:eastAsiaTheme="minorHAnsi"/>
          <w:sz w:val="24"/>
          <w:szCs w:val="24"/>
          <w:lang w:eastAsia="en-US"/>
        </w:rPr>
        <w:t xml:space="preserve">  Habitual residence requires concurrence of physical residence and a mental status of having a settled purpose of remaining.</w:t>
      </w:r>
      <w:r w:rsidRPr="008C6FB1">
        <w:rPr>
          <w:rFonts w:eastAsiaTheme="minorHAnsi"/>
          <w:sz w:val="24"/>
          <w:szCs w:val="24"/>
          <w:vertAlign w:val="superscript"/>
          <w:lang w:eastAsia="en-US"/>
        </w:rPr>
        <w:footnoteReference w:id="86"/>
      </w:r>
      <w:r w:rsidRPr="008C6FB1">
        <w:rPr>
          <w:rFonts w:eastAsiaTheme="minorHAnsi"/>
          <w:sz w:val="24"/>
          <w:szCs w:val="24"/>
          <w:lang w:eastAsia="en-US"/>
        </w:rPr>
        <w:t xml:space="preserve"> The length of residence required to satisfy physical presence is difficult to determine.</w:t>
      </w:r>
      <w:r w:rsidRPr="008C6FB1">
        <w:rPr>
          <w:rFonts w:eastAsiaTheme="minorHAnsi"/>
          <w:sz w:val="24"/>
          <w:szCs w:val="24"/>
          <w:vertAlign w:val="superscript"/>
          <w:lang w:eastAsia="en-US"/>
        </w:rPr>
        <w:footnoteReference w:id="87"/>
      </w:r>
      <w:r w:rsidRPr="008C6FB1">
        <w:rPr>
          <w:rFonts w:eastAsiaTheme="minorHAnsi"/>
          <w:sz w:val="24"/>
          <w:szCs w:val="24"/>
          <w:lang w:eastAsia="en-US"/>
        </w:rPr>
        <w:t xml:space="preserve"> It is based on the facts of the individual case and, therefore, “the subjective element tends to lead to unpredictability”.</w:t>
      </w:r>
      <w:r w:rsidRPr="008C6FB1">
        <w:rPr>
          <w:rFonts w:eastAsiaTheme="minorHAnsi"/>
          <w:sz w:val="24"/>
          <w:szCs w:val="24"/>
          <w:vertAlign w:val="superscript"/>
          <w:lang w:eastAsia="en-US"/>
        </w:rPr>
        <w:footnoteReference w:id="88"/>
      </w:r>
      <w:r w:rsidRPr="008C6FB1">
        <w:rPr>
          <w:rFonts w:eastAsiaTheme="minorHAnsi"/>
          <w:sz w:val="24"/>
          <w:szCs w:val="24"/>
          <w:lang w:eastAsia="en-US"/>
        </w:rPr>
        <w:t xml:space="preserve"> The intention element on the other hand, may appear easier to satisfy, as it need only be for a fixed period of time, as opposed to indefinitely.</w:t>
      </w:r>
      <w:r w:rsidRPr="008C6FB1">
        <w:rPr>
          <w:rFonts w:eastAsiaTheme="minorHAnsi"/>
          <w:sz w:val="24"/>
          <w:szCs w:val="24"/>
          <w:vertAlign w:val="superscript"/>
          <w:lang w:eastAsia="en-US"/>
        </w:rPr>
        <w:footnoteReference w:id="89"/>
      </w:r>
      <w:r w:rsidRPr="008C6FB1">
        <w:rPr>
          <w:rFonts w:eastAsiaTheme="minorHAnsi"/>
          <w:sz w:val="24"/>
          <w:szCs w:val="24"/>
          <w:lang w:eastAsia="en-US"/>
        </w:rPr>
        <w:t xml:space="preserve"> This in itself is problematic as it does not take into account the connection a person may or may not have with the country. A person resident for work purposes could still be deemed habitually resident there, which would in turn make that countries’ law applicable. The concept is, therefore, “unsuitable for general choice of law purposes as it generates a link with a country that may be tenuous”.</w:t>
      </w:r>
      <w:r w:rsidRPr="008C6FB1">
        <w:rPr>
          <w:rFonts w:eastAsiaTheme="minorHAnsi"/>
          <w:sz w:val="24"/>
          <w:szCs w:val="24"/>
          <w:vertAlign w:val="superscript"/>
          <w:lang w:eastAsia="en-US"/>
        </w:rPr>
        <w:footnoteReference w:id="90"/>
      </w:r>
    </w:p>
    <w:p w:rsidR="008C6FB1" w:rsidRPr="008C6FB1" w:rsidRDefault="008C6FB1" w:rsidP="005E1EFB">
      <w:pPr>
        <w:spacing w:line="480" w:lineRule="auto"/>
        <w:jc w:val="both"/>
        <w:rPr>
          <w:rFonts w:eastAsiaTheme="minorHAnsi"/>
          <w:sz w:val="24"/>
          <w:szCs w:val="24"/>
          <w:lang w:eastAsia="en-US"/>
        </w:rPr>
      </w:pPr>
      <w:r w:rsidRPr="008C6FB1">
        <w:rPr>
          <w:rFonts w:eastAsiaTheme="minorHAnsi"/>
          <w:sz w:val="24"/>
          <w:szCs w:val="24"/>
          <w:lang w:eastAsia="en-US"/>
        </w:rPr>
        <w:t>Similarly, habitual residence is also used in regulation (EU) No 650/2012 on dealing with succession, and should be explored further as it also provides an exception to this rule, where there is a country to which the accused was manifestly more closely connected at the time of death</w:t>
      </w:r>
      <w:r w:rsidR="005E1EFB">
        <w:rPr>
          <w:rFonts w:eastAsiaTheme="minorHAnsi"/>
          <w:sz w:val="24"/>
          <w:szCs w:val="24"/>
          <w:lang w:eastAsia="en-US"/>
        </w:rPr>
        <w:t>.</w:t>
      </w:r>
      <w:r w:rsidRPr="008C6FB1">
        <w:rPr>
          <w:rFonts w:eastAsiaTheme="minorHAnsi"/>
          <w:sz w:val="24"/>
          <w:szCs w:val="24"/>
          <w:vertAlign w:val="superscript"/>
          <w:lang w:eastAsia="en-US"/>
        </w:rPr>
        <w:footnoteReference w:id="91"/>
      </w:r>
      <w:r w:rsidRPr="008C6FB1">
        <w:rPr>
          <w:rFonts w:eastAsiaTheme="minorHAnsi"/>
          <w:sz w:val="24"/>
          <w:szCs w:val="24"/>
          <w:lang w:eastAsia="en-US"/>
        </w:rPr>
        <w:t xml:space="preserve">  This provides no further certainty. What would be considered a manifestly close connection?  Like the most real and substantial connection test, it is likely to be assessed on a case-by-case basis, and would lack certainty and predictability. On the assessment of the laws created above, it would seem that EU law brings no greater choice of law rules into the mix, as they too have problems surrounding certainty and predictability. The problem of determining the most appropriate choice of law rule remains.</w:t>
      </w:r>
    </w:p>
    <w:p w:rsidR="008C6FB1" w:rsidRPr="008C6FB1" w:rsidRDefault="008C6FB1" w:rsidP="008C6FB1">
      <w:pPr>
        <w:numPr>
          <w:ilvl w:val="0"/>
          <w:numId w:val="2"/>
        </w:numPr>
        <w:spacing w:line="480" w:lineRule="auto"/>
        <w:contextualSpacing/>
        <w:jc w:val="center"/>
        <w:rPr>
          <w:b/>
          <w:sz w:val="24"/>
          <w:szCs w:val="24"/>
        </w:rPr>
      </w:pPr>
      <w:r w:rsidRPr="008C6FB1">
        <w:rPr>
          <w:b/>
          <w:sz w:val="24"/>
          <w:szCs w:val="24"/>
        </w:rPr>
        <w:t>Loophole created by the M(SSC)A</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Another issue with the M(SSC)A  is the loophole that has been created in the recognition of foreign same-sex marriages. Prior to the M(SSC)A, the CPA recognised foreign same-sex marriages as civil partnerships.</w:t>
      </w:r>
      <w:r w:rsidRPr="008C6FB1">
        <w:rPr>
          <w:rFonts w:eastAsiaTheme="minorHAnsi"/>
          <w:sz w:val="24"/>
          <w:szCs w:val="24"/>
          <w:vertAlign w:val="superscript"/>
          <w:lang w:eastAsia="en-US"/>
        </w:rPr>
        <w:footnoteReference w:id="92"/>
      </w:r>
      <w:r w:rsidRPr="008C6FB1">
        <w:rPr>
          <w:rFonts w:eastAsiaTheme="minorHAnsi"/>
          <w:sz w:val="24"/>
          <w:szCs w:val="24"/>
          <w:lang w:eastAsia="en-US"/>
        </w:rPr>
        <w:t xml:space="preserve"> This recognition was achieved by specifying foreign same-sex marriage as a form of “overseas relationships”.</w:t>
      </w:r>
      <w:r w:rsidRPr="008C6FB1">
        <w:rPr>
          <w:rFonts w:eastAsiaTheme="minorHAnsi"/>
          <w:sz w:val="24"/>
          <w:szCs w:val="24"/>
          <w:vertAlign w:val="superscript"/>
          <w:lang w:eastAsia="en-US"/>
        </w:rPr>
        <w:footnoteReference w:id="93"/>
      </w:r>
      <w:r w:rsidRPr="008C6FB1">
        <w:rPr>
          <w:rFonts w:eastAsiaTheme="minorHAnsi"/>
          <w:sz w:val="24"/>
          <w:szCs w:val="24"/>
          <w:lang w:eastAsia="en-US"/>
        </w:rPr>
        <w:t xml:space="preserve"> Whilst foreign same-sex marriages were downgraded to civil partnerships, they were recognised as long as the </w:t>
      </w:r>
      <w:r w:rsidRPr="008C6FB1">
        <w:rPr>
          <w:rFonts w:eastAsiaTheme="minorHAnsi"/>
          <w:i/>
          <w:sz w:val="24"/>
          <w:szCs w:val="24"/>
          <w:lang w:eastAsia="en-US"/>
        </w:rPr>
        <w:t>lex loci</w:t>
      </w:r>
      <w:r w:rsidRPr="008C6FB1">
        <w:rPr>
          <w:rFonts w:eastAsiaTheme="minorHAnsi"/>
          <w:sz w:val="24"/>
          <w:szCs w:val="24"/>
          <w:lang w:eastAsia="en-US"/>
        </w:rPr>
        <w:t xml:space="preserve"> had been satisfied. This has been amended by the M(SSC)A.</w:t>
      </w:r>
      <w:r w:rsidRPr="008C6FB1">
        <w:rPr>
          <w:rFonts w:eastAsiaTheme="minorHAnsi"/>
          <w:sz w:val="24"/>
          <w:szCs w:val="24"/>
          <w:vertAlign w:val="superscript"/>
          <w:lang w:eastAsia="en-US"/>
        </w:rPr>
        <w:footnoteReference w:id="94"/>
      </w:r>
      <w:r w:rsidRPr="008C6FB1">
        <w:rPr>
          <w:rFonts w:eastAsiaTheme="minorHAnsi"/>
          <w:sz w:val="24"/>
          <w:szCs w:val="24"/>
          <w:lang w:eastAsia="en-US"/>
        </w:rPr>
        <w:t xml:space="preserve"> Foreign same-sex marriages can no longer be recognised as civil partnerships under the CPA. Instead they would need to be recognised as a marriage in accordance with the M(SSC)A. One positive aspect is that foreign marriages are no longer downgraded to civil partnerships</w:t>
      </w:r>
      <w:r w:rsidRPr="008C6FB1">
        <w:rPr>
          <w:rFonts w:eastAsiaTheme="minorHAnsi"/>
          <w:sz w:val="24"/>
          <w:szCs w:val="24"/>
          <w:vertAlign w:val="superscript"/>
          <w:lang w:eastAsia="en-US"/>
        </w:rPr>
        <w:footnoteReference w:id="95"/>
      </w:r>
      <w:r w:rsidRPr="008C6FB1">
        <w:rPr>
          <w:rFonts w:eastAsiaTheme="minorHAnsi"/>
          <w:sz w:val="24"/>
          <w:szCs w:val="24"/>
          <w:lang w:eastAsia="en-US"/>
        </w:rPr>
        <w:t xml:space="preserve"> which were perceived by many as a lesser status.</w:t>
      </w:r>
      <w:r w:rsidRPr="008C6FB1">
        <w:rPr>
          <w:rFonts w:eastAsiaTheme="minorHAnsi"/>
          <w:sz w:val="24"/>
          <w:szCs w:val="24"/>
          <w:vertAlign w:val="superscript"/>
          <w:lang w:eastAsia="en-US"/>
        </w:rPr>
        <w:footnoteReference w:id="96"/>
      </w:r>
      <w:r w:rsidRPr="008C6FB1">
        <w:rPr>
          <w:rFonts w:eastAsiaTheme="minorHAnsi"/>
          <w:sz w:val="24"/>
          <w:szCs w:val="24"/>
          <w:lang w:eastAsia="en-US"/>
        </w:rPr>
        <w:t xml:space="preserve"> The CPA and M(SSC)A apply different choice of law rules, creating a gap in the law that engulf some marriages. This loophole within the law means that a foreign same-sex marriage may not be recognised. Under the CPA, a foreign same-sex marriage would have been recognised as a civil partnership, if it satisfied the </w:t>
      </w:r>
      <w:r w:rsidRPr="005E1EFB">
        <w:rPr>
          <w:rFonts w:eastAsiaTheme="minorHAnsi"/>
          <w:i/>
          <w:sz w:val="24"/>
          <w:szCs w:val="24"/>
          <w:lang w:eastAsia="en-US"/>
        </w:rPr>
        <w:t>lex loci</w:t>
      </w:r>
      <w:r w:rsidRPr="008C6FB1">
        <w:rPr>
          <w:rFonts w:eastAsiaTheme="minorHAnsi"/>
          <w:sz w:val="24"/>
          <w:szCs w:val="24"/>
          <w:lang w:eastAsia="en-US"/>
        </w:rPr>
        <w:t>. Now the foreign same-sex marriage would need to be recognised as a marriage under the M(SSC)A.  It is the subject of debate as to which choice of law theory would apply. If it is the dual domicile theory as Davis asserts, the domiciliary laws of both parties would need to be satisfied, otherwise the marriage would not be recognised.</w:t>
      </w:r>
      <w:r w:rsidRPr="008C6FB1">
        <w:rPr>
          <w:rFonts w:eastAsiaTheme="minorHAnsi"/>
          <w:sz w:val="24"/>
          <w:szCs w:val="24"/>
          <w:vertAlign w:val="superscript"/>
          <w:lang w:eastAsia="en-US"/>
        </w:rPr>
        <w:footnoteReference w:id="97"/>
      </w:r>
      <w:r w:rsidRPr="008C6FB1">
        <w:rPr>
          <w:rFonts w:eastAsiaTheme="minorHAnsi"/>
          <w:sz w:val="24"/>
          <w:szCs w:val="24"/>
          <w:lang w:eastAsia="en-US"/>
        </w:rPr>
        <w:t xml:space="preserve"> Although s.10(1)(b) M(SSC)A allows a discretion for the courts to recognise a marriage, Davis argues that they may not go so far.</w:t>
      </w:r>
      <w:r w:rsidRPr="008C6FB1">
        <w:rPr>
          <w:rFonts w:eastAsiaTheme="minorHAnsi"/>
          <w:sz w:val="24"/>
          <w:szCs w:val="24"/>
          <w:vertAlign w:val="superscript"/>
          <w:lang w:eastAsia="en-US"/>
        </w:rPr>
        <w:footnoteReference w:id="98"/>
      </w:r>
      <w:r w:rsidRPr="008C6FB1">
        <w:rPr>
          <w:rFonts w:eastAsiaTheme="minorHAnsi"/>
          <w:sz w:val="24"/>
          <w:szCs w:val="24"/>
          <w:lang w:eastAsia="en-US"/>
        </w:rPr>
        <w:t xml:space="preserve"> This could mean that the foreign same-sex marriage is not recognised. Amidst the emotional stress and anguish such a scenario would impact upon some couples,</w:t>
      </w:r>
      <w:r w:rsidRPr="008C6FB1">
        <w:rPr>
          <w:rFonts w:eastAsiaTheme="minorHAnsi"/>
          <w:sz w:val="24"/>
          <w:szCs w:val="24"/>
          <w:vertAlign w:val="superscript"/>
          <w:lang w:eastAsia="en-US"/>
        </w:rPr>
        <w:footnoteReference w:id="99"/>
      </w:r>
      <w:r w:rsidRPr="008C6FB1">
        <w:rPr>
          <w:rFonts w:eastAsiaTheme="minorHAnsi"/>
          <w:sz w:val="24"/>
          <w:szCs w:val="24"/>
          <w:lang w:eastAsia="en-US"/>
        </w:rPr>
        <w:t xml:space="preserve"> significant legal implications may also follow. Such implications may arise from couples not fully understanding their legal position until a matter arises and it has become too late, for instance, upon the death of one of the parties when matters of inheritance and intestacy arise. This is another example of why clarity is needed. The same choice of law should be applied to all types of same-sex relationships in order to avoid such problems. The difficulty to be faced is that of selecting the appropriate choice of law rule. </w:t>
      </w:r>
    </w:p>
    <w:p w:rsidR="008C6FB1" w:rsidRPr="008C6FB1" w:rsidRDefault="008C6FB1" w:rsidP="008C6FB1">
      <w:pPr>
        <w:numPr>
          <w:ilvl w:val="0"/>
          <w:numId w:val="1"/>
        </w:numPr>
        <w:spacing w:line="480" w:lineRule="auto"/>
        <w:contextualSpacing/>
        <w:jc w:val="center"/>
        <w:rPr>
          <w:b/>
          <w:sz w:val="24"/>
          <w:szCs w:val="24"/>
        </w:rPr>
      </w:pPr>
      <w:r w:rsidRPr="008C6FB1">
        <w:rPr>
          <w:b/>
          <w:sz w:val="24"/>
          <w:szCs w:val="24"/>
        </w:rPr>
        <w:t>Interest Analysis, Depecage and Public Policy Factors</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Theorists such as Michael Davie suggest that the very fact that none o</w:t>
      </w:r>
      <w:r w:rsidR="00C74DB1">
        <w:rPr>
          <w:rFonts w:eastAsiaTheme="minorHAnsi"/>
          <w:sz w:val="24"/>
          <w:szCs w:val="24"/>
          <w:lang w:eastAsia="en-US"/>
        </w:rPr>
        <w:t>f the choice of law theories have</w:t>
      </w:r>
      <w:r w:rsidRPr="008C6FB1">
        <w:rPr>
          <w:rFonts w:eastAsiaTheme="minorHAnsi"/>
          <w:sz w:val="24"/>
          <w:szCs w:val="24"/>
          <w:lang w:eastAsia="en-US"/>
        </w:rPr>
        <w:t xml:space="preserve"> assumed dominance of essential validity of marriage, suggests that there are flaws with each of the competing theories.</w:t>
      </w:r>
      <w:r w:rsidRPr="008C6FB1">
        <w:rPr>
          <w:rFonts w:eastAsia="Calibri" w:cs="Times New Roman"/>
          <w:sz w:val="24"/>
          <w:szCs w:val="24"/>
          <w:vertAlign w:val="superscript"/>
          <w:lang w:eastAsia="en-US"/>
        </w:rPr>
        <w:footnoteReference w:id="100"/>
      </w:r>
      <w:r w:rsidRPr="008C6FB1">
        <w:rPr>
          <w:rFonts w:eastAsia="Calibri" w:cs="Times New Roman"/>
          <w:sz w:val="24"/>
          <w:szCs w:val="24"/>
          <w:lang w:eastAsia="en-US"/>
        </w:rPr>
        <w:t xml:space="preserve"> Using any of them as a universal choice of law rule is inappropriate.</w:t>
      </w:r>
      <w:r w:rsidRPr="008C6FB1">
        <w:rPr>
          <w:rFonts w:eastAsia="Calibri" w:cs="Times New Roman"/>
          <w:sz w:val="24"/>
          <w:szCs w:val="24"/>
          <w:vertAlign w:val="superscript"/>
          <w:lang w:eastAsia="en-US"/>
        </w:rPr>
        <w:footnoteReference w:id="101"/>
      </w:r>
      <w:r w:rsidRPr="008C6FB1">
        <w:rPr>
          <w:rFonts w:eastAsia="Calibri" w:cs="Times New Roman"/>
          <w:sz w:val="24"/>
          <w:szCs w:val="24"/>
          <w:lang w:eastAsia="en-US"/>
        </w:rPr>
        <w:t xml:space="preserve">  Having one inflexible choice of law rule would mean that rules are selected “</w:t>
      </w:r>
      <w:r w:rsidRPr="008C6FB1">
        <w:rPr>
          <w:sz w:val="24"/>
          <w:szCs w:val="24"/>
        </w:rPr>
        <w:t>without regard to the underlying specific issue at hand”.</w:t>
      </w:r>
      <w:r w:rsidRPr="008C6FB1">
        <w:rPr>
          <w:sz w:val="24"/>
          <w:szCs w:val="24"/>
          <w:vertAlign w:val="superscript"/>
        </w:rPr>
        <w:footnoteReference w:id="102"/>
      </w:r>
      <w:r w:rsidRPr="008C6FB1">
        <w:rPr>
          <w:sz w:val="24"/>
          <w:szCs w:val="24"/>
        </w:rPr>
        <w:t xml:space="preserve"> </w:t>
      </w:r>
      <w:r w:rsidRPr="008C6FB1">
        <w:rPr>
          <w:rFonts w:eastAsiaTheme="minorHAnsi"/>
          <w:sz w:val="24"/>
          <w:szCs w:val="24"/>
          <w:lang w:eastAsia="en-US"/>
        </w:rPr>
        <w:t xml:space="preserve">In other words one inflexible choice of law rule means that the rule is applied without looking at the public policy interests behind the rule, which may of course be crucial to the outcome of the case itself. Interest analysis seeks to remedy this by enabling us to look at the </w:t>
      </w:r>
      <w:r w:rsidRPr="008C6FB1">
        <w:rPr>
          <w:rFonts w:eastAsia="Calibri" w:cs="Times New Roman"/>
          <w:sz w:val="24"/>
          <w:szCs w:val="24"/>
          <w:lang w:eastAsia="en-US"/>
        </w:rPr>
        <w:t>‘’purposes for which the law was created”.</w:t>
      </w:r>
      <w:r w:rsidRPr="008C6FB1">
        <w:rPr>
          <w:rFonts w:eastAsia="Calibri" w:cs="Times New Roman"/>
          <w:sz w:val="24"/>
          <w:szCs w:val="24"/>
          <w:vertAlign w:val="superscript"/>
          <w:lang w:eastAsia="en-US"/>
        </w:rPr>
        <w:footnoteReference w:id="103"/>
      </w:r>
      <w:r w:rsidRPr="008C6FB1">
        <w:rPr>
          <w:rFonts w:eastAsia="Calibri" w:cs="Times New Roman"/>
          <w:sz w:val="24"/>
          <w:szCs w:val="24"/>
          <w:lang w:eastAsia="en-US"/>
        </w:rPr>
        <w:t xml:space="preserve"> It </w:t>
      </w:r>
      <w:r w:rsidRPr="008C6FB1">
        <w:rPr>
          <w:rFonts w:eastAsiaTheme="minorHAnsi"/>
          <w:sz w:val="24"/>
          <w:szCs w:val="24"/>
          <w:lang w:eastAsia="en-US"/>
        </w:rPr>
        <w:t xml:space="preserve">is the idea that the most applicable law is the one that has the most interest in being applied, based upon public policy considerations. Interest analysis was originally founded in the USA </w:t>
      </w:r>
      <w:r w:rsidR="005E1EFB">
        <w:rPr>
          <w:rFonts w:eastAsiaTheme="minorHAnsi"/>
          <w:sz w:val="24"/>
          <w:szCs w:val="24"/>
          <w:lang w:eastAsia="en-US"/>
        </w:rPr>
        <w:t xml:space="preserve">for tort law selectivity </w:t>
      </w:r>
      <w:r w:rsidRPr="008C6FB1">
        <w:rPr>
          <w:rFonts w:eastAsiaTheme="minorHAnsi"/>
          <w:sz w:val="24"/>
          <w:szCs w:val="24"/>
          <w:lang w:eastAsia="en-US"/>
        </w:rPr>
        <w:t>and applied on a case-by-case basis</w:t>
      </w:r>
      <w:r w:rsidR="005E1EFB">
        <w:rPr>
          <w:rFonts w:eastAsiaTheme="minorHAnsi"/>
          <w:sz w:val="24"/>
          <w:szCs w:val="24"/>
          <w:lang w:eastAsia="en-US"/>
        </w:rPr>
        <w:t>.</w:t>
      </w:r>
      <w:r w:rsidRPr="008C6FB1">
        <w:rPr>
          <w:rFonts w:eastAsiaTheme="minorHAnsi"/>
          <w:sz w:val="24"/>
          <w:szCs w:val="24"/>
          <w:vertAlign w:val="superscript"/>
          <w:lang w:eastAsia="en-US"/>
        </w:rPr>
        <w:footnoteReference w:id="104"/>
      </w:r>
      <w:r w:rsidRPr="008C6FB1">
        <w:rPr>
          <w:rFonts w:eastAsiaTheme="minorHAnsi"/>
          <w:sz w:val="24"/>
          <w:szCs w:val="24"/>
          <w:lang w:eastAsia="en-US"/>
        </w:rPr>
        <w:t xml:space="preserve"> </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Interest analysis is seen as beneficial as it analyses the public policy reasons behind the choice of law rule, allowing courts to select the rule that results in the fairest overall result to the case.</w:t>
      </w:r>
      <w:r w:rsidRPr="008C6FB1">
        <w:rPr>
          <w:rFonts w:eastAsiaTheme="minorHAnsi"/>
          <w:lang w:eastAsia="en-US"/>
        </w:rPr>
        <w:t xml:space="preserve">  </w:t>
      </w:r>
      <w:r w:rsidRPr="008C6FB1">
        <w:rPr>
          <w:rFonts w:eastAsiaTheme="minorHAnsi"/>
          <w:sz w:val="24"/>
          <w:szCs w:val="24"/>
          <w:lang w:eastAsia="en-US"/>
        </w:rPr>
        <w:t>Friedrich Juenger explains that, in choosing the applicable law, the court is “determining a controversy”, and needs to understand how the choice made will reflect the overall outcome of the case.</w:t>
      </w:r>
      <w:r w:rsidRPr="008C6FB1">
        <w:rPr>
          <w:rFonts w:eastAsiaTheme="minorHAnsi"/>
          <w:sz w:val="24"/>
          <w:szCs w:val="24"/>
          <w:vertAlign w:val="superscript"/>
          <w:lang w:eastAsia="en-US"/>
        </w:rPr>
        <w:footnoteReference w:id="105"/>
      </w:r>
      <w:r w:rsidRPr="008C6FB1">
        <w:rPr>
          <w:rFonts w:eastAsiaTheme="minorHAnsi"/>
          <w:sz w:val="24"/>
          <w:szCs w:val="24"/>
          <w:lang w:eastAsia="en-US"/>
        </w:rPr>
        <w:t xml:space="preserve"> </w:t>
      </w:r>
      <w:r w:rsidRPr="008C6FB1">
        <w:rPr>
          <w:rFonts w:eastAsia="Calibri" w:cs="Times New Roman"/>
          <w:sz w:val="24"/>
          <w:szCs w:val="24"/>
          <w:lang w:eastAsia="en-US"/>
        </w:rPr>
        <w:t>In the US interest analysis has been used in the fields of contract and tort. However it is has not been commonly applied to family law.</w:t>
      </w:r>
      <w:r w:rsidRPr="008C6FB1">
        <w:rPr>
          <w:sz w:val="24"/>
          <w:szCs w:val="24"/>
          <w:vertAlign w:val="superscript"/>
        </w:rPr>
        <w:footnoteReference w:id="106"/>
      </w:r>
      <w:r w:rsidRPr="008C6FB1">
        <w:rPr>
          <w:sz w:val="24"/>
          <w:szCs w:val="24"/>
        </w:rPr>
        <w:t xml:space="preserve"> It has been suggested that it is appropriate to apply this to the incapacities of marriage.</w:t>
      </w:r>
      <w:r w:rsidRPr="008C6FB1">
        <w:rPr>
          <w:rFonts w:eastAsia="Calibri" w:cs="Times New Roman"/>
          <w:sz w:val="24"/>
          <w:szCs w:val="24"/>
          <w:vertAlign w:val="superscript"/>
          <w:lang w:eastAsia="en-US"/>
        </w:rPr>
        <w:footnoteReference w:id="107"/>
      </w:r>
      <w:r w:rsidRPr="008C6FB1">
        <w:rPr>
          <w:rFonts w:eastAsia="Calibri" w:cs="Times New Roman"/>
          <w:sz w:val="24"/>
          <w:szCs w:val="24"/>
          <w:lang w:eastAsia="en-US"/>
        </w:rPr>
        <w:t xml:space="preserve">  </w:t>
      </w:r>
      <w:r w:rsidRPr="008C6FB1">
        <w:rPr>
          <w:sz w:val="24"/>
          <w:szCs w:val="24"/>
        </w:rPr>
        <w:t xml:space="preserve">Supporters of interest analysis argue that it produces fair solutions in each of the different cases it is used in </w:t>
      </w:r>
      <w:r w:rsidR="005E1EFB">
        <w:rPr>
          <w:sz w:val="24"/>
          <w:szCs w:val="24"/>
        </w:rPr>
        <w:t>because of</w:t>
      </w:r>
      <w:r w:rsidRPr="008C6FB1">
        <w:rPr>
          <w:sz w:val="24"/>
          <w:szCs w:val="24"/>
        </w:rPr>
        <w:t xml:space="preserve"> its flexibility.</w:t>
      </w:r>
      <w:r w:rsidRPr="008C6FB1">
        <w:rPr>
          <w:sz w:val="24"/>
          <w:szCs w:val="24"/>
          <w:vertAlign w:val="superscript"/>
        </w:rPr>
        <w:footnoteReference w:id="108"/>
      </w:r>
      <w:r w:rsidRPr="008C6FB1">
        <w:rPr>
          <w:sz w:val="24"/>
          <w:szCs w:val="24"/>
        </w:rPr>
        <w:t xml:space="preserve"> Richard Fentiman outlines the importance of having a test which can respond to the needs of particular cases.</w:t>
      </w:r>
      <w:r w:rsidRPr="008C6FB1">
        <w:rPr>
          <w:rFonts w:eastAsia="Calibri" w:cs="Times New Roman"/>
          <w:sz w:val="24"/>
          <w:szCs w:val="24"/>
          <w:vertAlign w:val="superscript"/>
          <w:lang w:eastAsia="en-US"/>
        </w:rPr>
        <w:footnoteReference w:id="109"/>
      </w:r>
      <w:r w:rsidRPr="008C6FB1">
        <w:rPr>
          <w:rFonts w:eastAsia="Calibri" w:cs="Times New Roman"/>
          <w:sz w:val="24"/>
          <w:szCs w:val="24"/>
          <w:lang w:eastAsia="en-US"/>
        </w:rPr>
        <w:t xml:space="preserve">  This is demonstrated by a case where the commonly used choice of law rules provide no consistently accepted answers. </w:t>
      </w:r>
      <w:r w:rsidRPr="008C6FB1">
        <w:rPr>
          <w:sz w:val="24"/>
          <w:szCs w:val="24"/>
        </w:rPr>
        <w:t>An example is a couple who have separate domiciles and no intended matrimonial home,</w:t>
      </w:r>
      <w:r w:rsidRPr="008C6FB1">
        <w:rPr>
          <w:rFonts w:eastAsia="Calibri" w:cs="Times New Roman"/>
          <w:sz w:val="24"/>
          <w:szCs w:val="24"/>
          <w:vertAlign w:val="superscript"/>
          <w:lang w:eastAsia="en-US"/>
        </w:rPr>
        <w:footnoteReference w:id="110"/>
      </w:r>
      <w:r w:rsidRPr="008C6FB1">
        <w:rPr>
          <w:sz w:val="24"/>
          <w:szCs w:val="24"/>
        </w:rPr>
        <w:t xml:space="preserve"> or a couple who move around Europe for work reasons.</w:t>
      </w:r>
      <w:r w:rsidRPr="008C6FB1">
        <w:rPr>
          <w:rFonts w:eastAsia="Calibri" w:cs="Times New Roman"/>
          <w:sz w:val="24"/>
          <w:szCs w:val="24"/>
          <w:lang w:eastAsia="en-US"/>
        </w:rPr>
        <w:t xml:space="preserve"> The fact that courts have not been able to respond to these problems in a uniform fashion</w:t>
      </w:r>
      <w:r w:rsidRPr="008C6FB1">
        <w:rPr>
          <w:rFonts w:eastAsia="Calibri" w:cs="Times New Roman"/>
          <w:sz w:val="24"/>
          <w:szCs w:val="24"/>
          <w:vertAlign w:val="superscript"/>
          <w:lang w:eastAsia="en-US"/>
        </w:rPr>
        <w:footnoteReference w:id="111"/>
      </w:r>
      <w:r w:rsidRPr="008C6FB1">
        <w:rPr>
          <w:rFonts w:eastAsia="Calibri" w:cs="Times New Roman"/>
          <w:sz w:val="24"/>
          <w:szCs w:val="24"/>
          <w:lang w:eastAsia="en-US"/>
        </w:rPr>
        <w:t xml:space="preserve"> demonstrates the need for flexibility in a test. Interest analysis, in contrast to endorsing just one choice of law rule which may be unsuitable to certain cases, has sufficient flexibility as the public policy reasons behind each choice of law rule can be examined. </w:t>
      </w:r>
    </w:p>
    <w:p w:rsidR="008C6FB1" w:rsidRPr="008C6FB1" w:rsidRDefault="005E1EFB" w:rsidP="008C6FB1">
      <w:pPr>
        <w:spacing w:line="480" w:lineRule="auto"/>
        <w:jc w:val="both"/>
        <w:rPr>
          <w:rFonts w:ascii="Calibri" w:eastAsia="Calibri" w:hAnsi="Calibri" w:cs="Times New Roman"/>
          <w:lang w:eastAsia="en-US"/>
        </w:rPr>
      </w:pPr>
      <w:r>
        <w:rPr>
          <w:sz w:val="24"/>
          <w:szCs w:val="24"/>
        </w:rPr>
        <w:t xml:space="preserve">Criticisms of </w:t>
      </w:r>
      <w:r w:rsidR="008C6FB1" w:rsidRPr="008C6FB1">
        <w:rPr>
          <w:sz w:val="24"/>
          <w:szCs w:val="24"/>
        </w:rPr>
        <w:t xml:space="preserve">interest analysis </w:t>
      </w:r>
      <w:r>
        <w:rPr>
          <w:sz w:val="24"/>
          <w:szCs w:val="24"/>
        </w:rPr>
        <w:t>remain. C</w:t>
      </w:r>
      <w:r w:rsidR="008C6FB1" w:rsidRPr="008C6FB1">
        <w:rPr>
          <w:sz w:val="24"/>
          <w:szCs w:val="24"/>
        </w:rPr>
        <w:t xml:space="preserve">ritics </w:t>
      </w:r>
      <w:r>
        <w:rPr>
          <w:sz w:val="24"/>
          <w:szCs w:val="24"/>
        </w:rPr>
        <w:t>argue that</w:t>
      </w:r>
      <w:r w:rsidR="008C6FB1" w:rsidRPr="008C6FB1">
        <w:rPr>
          <w:sz w:val="24"/>
          <w:szCs w:val="24"/>
        </w:rPr>
        <w:t xml:space="preserve"> if applied alone </w:t>
      </w:r>
      <w:r>
        <w:rPr>
          <w:sz w:val="24"/>
          <w:szCs w:val="24"/>
        </w:rPr>
        <w:t xml:space="preserve">it </w:t>
      </w:r>
      <w:r w:rsidR="008C6FB1" w:rsidRPr="008C6FB1">
        <w:rPr>
          <w:sz w:val="24"/>
          <w:szCs w:val="24"/>
        </w:rPr>
        <w:t xml:space="preserve">could lead to </w:t>
      </w:r>
      <w:r w:rsidR="008C6FB1" w:rsidRPr="008C6FB1">
        <w:rPr>
          <w:rFonts w:eastAsia="Calibri" w:cs="Times New Roman"/>
          <w:sz w:val="24"/>
          <w:szCs w:val="24"/>
          <w:lang w:eastAsia="en-US"/>
        </w:rPr>
        <w:t xml:space="preserve">confusion, lack of consistency </w:t>
      </w:r>
      <w:r w:rsidR="008C6FB1" w:rsidRPr="008C6FB1">
        <w:rPr>
          <w:sz w:val="24"/>
          <w:szCs w:val="24"/>
        </w:rPr>
        <w:t>and limited predictability.</w:t>
      </w:r>
      <w:r w:rsidR="008C6FB1" w:rsidRPr="008C6FB1">
        <w:rPr>
          <w:rFonts w:eastAsia="Calibri" w:cs="Times New Roman"/>
          <w:sz w:val="24"/>
          <w:szCs w:val="24"/>
          <w:vertAlign w:val="superscript"/>
          <w:lang w:eastAsia="en-US"/>
        </w:rPr>
        <w:footnoteReference w:id="112"/>
      </w:r>
      <w:r w:rsidR="008C6FB1" w:rsidRPr="008C6FB1">
        <w:rPr>
          <w:sz w:val="24"/>
          <w:szCs w:val="24"/>
        </w:rPr>
        <w:t xml:space="preserve">  The US experience of interest analysis in the field of contract and tort is illustrative, as a separate analysis was potentially required for each given set of facts. It has therefore been criticised as resulting in an “ad hoc case-by-case approach”.</w:t>
      </w:r>
      <w:r w:rsidR="008C6FB1" w:rsidRPr="00C86DE6">
        <w:rPr>
          <w:rFonts w:ascii="Calibri" w:eastAsia="Calibri" w:hAnsi="Calibri" w:cs="Times New Roman"/>
          <w:sz w:val="24"/>
          <w:szCs w:val="24"/>
          <w:vertAlign w:val="superscript"/>
          <w:lang w:eastAsia="en-US"/>
        </w:rPr>
        <w:footnoteReference w:id="113"/>
      </w:r>
      <w:r w:rsidR="008C6FB1" w:rsidRPr="00C86DE6">
        <w:rPr>
          <w:sz w:val="24"/>
          <w:szCs w:val="24"/>
        </w:rPr>
        <w:t xml:space="preserve"> </w:t>
      </w:r>
      <w:r w:rsidR="008C6FB1" w:rsidRPr="008C6FB1">
        <w:rPr>
          <w:rFonts w:ascii="Calibri" w:eastAsia="Calibri" w:hAnsi="Calibri" w:cs="Times New Roman"/>
          <w:sz w:val="24"/>
          <w:szCs w:val="24"/>
          <w:lang w:eastAsia="en-US"/>
        </w:rPr>
        <w:t>Interest analysis can therefore lead to confusion.</w:t>
      </w:r>
      <w:r w:rsidR="008C6FB1" w:rsidRPr="008C6FB1">
        <w:rPr>
          <w:rFonts w:ascii="Calibri" w:eastAsia="Calibri" w:hAnsi="Calibri" w:cs="Times New Roman"/>
          <w:sz w:val="24"/>
          <w:szCs w:val="24"/>
          <w:vertAlign w:val="superscript"/>
          <w:lang w:eastAsia="en-US"/>
        </w:rPr>
        <w:footnoteReference w:id="114"/>
      </w:r>
      <w:r w:rsidR="008C6FB1" w:rsidRPr="008C6FB1">
        <w:rPr>
          <w:rFonts w:ascii="Calibri" w:eastAsia="Calibri" w:hAnsi="Calibri" w:cs="Times New Roman"/>
          <w:lang w:eastAsia="en-US"/>
        </w:rPr>
        <w:t xml:space="preserve"> </w:t>
      </w:r>
      <w:r w:rsidR="008C6FB1" w:rsidRPr="008C6FB1">
        <w:rPr>
          <w:rFonts w:ascii="Calibri" w:eastAsia="Calibri" w:hAnsi="Calibri" w:cs="Times New Roman"/>
          <w:sz w:val="24"/>
          <w:szCs w:val="24"/>
          <w:lang w:eastAsia="en-US"/>
        </w:rPr>
        <w:t>US judges acknowledge the lack of consistency.</w:t>
      </w:r>
      <w:r w:rsidR="008C6FB1" w:rsidRPr="008C6FB1">
        <w:rPr>
          <w:rFonts w:ascii="Calibri" w:eastAsia="Calibri" w:hAnsi="Calibri" w:cs="Times New Roman"/>
          <w:sz w:val="24"/>
          <w:szCs w:val="24"/>
          <w:vertAlign w:val="superscript"/>
          <w:lang w:eastAsia="en-US"/>
        </w:rPr>
        <w:footnoteReference w:id="115"/>
      </w:r>
      <w:r w:rsidR="008C6FB1" w:rsidRPr="008C6FB1">
        <w:rPr>
          <w:rFonts w:ascii="Calibri" w:eastAsia="Calibri" w:hAnsi="Calibri" w:cs="Times New Roman"/>
          <w:sz w:val="24"/>
          <w:szCs w:val="24"/>
          <w:lang w:eastAsia="en-US"/>
        </w:rPr>
        <w:t xml:space="preserve">  Other writers have also comment</w:t>
      </w:r>
      <w:r w:rsidR="00C86DE6">
        <w:rPr>
          <w:rFonts w:ascii="Calibri" w:eastAsia="Calibri" w:hAnsi="Calibri" w:cs="Times New Roman"/>
          <w:sz w:val="24"/>
          <w:szCs w:val="24"/>
          <w:lang w:eastAsia="en-US"/>
        </w:rPr>
        <w:t>ed</w:t>
      </w:r>
      <w:r w:rsidR="008C6FB1" w:rsidRPr="008C6FB1">
        <w:rPr>
          <w:rFonts w:ascii="Calibri" w:eastAsia="Calibri" w:hAnsi="Calibri" w:cs="Times New Roman"/>
          <w:sz w:val="24"/>
          <w:szCs w:val="24"/>
          <w:lang w:eastAsia="en-US"/>
        </w:rPr>
        <w:t xml:space="preserve"> upon difficulties with certainty and being unable to predict the conclusion of a case, where each case is essentially determined by its particular factual circumstances.</w:t>
      </w:r>
      <w:r w:rsidR="008C6FB1" w:rsidRPr="008C6FB1">
        <w:rPr>
          <w:rFonts w:ascii="Calibri" w:eastAsia="Calibri" w:hAnsi="Calibri" w:cs="Times New Roman"/>
          <w:sz w:val="24"/>
          <w:szCs w:val="24"/>
          <w:vertAlign w:val="superscript"/>
          <w:lang w:eastAsia="en-US"/>
        </w:rPr>
        <w:footnoteReference w:id="116"/>
      </w:r>
      <w:r w:rsidR="008C6FB1" w:rsidRPr="008C6FB1">
        <w:rPr>
          <w:rFonts w:ascii="Calibri" w:eastAsia="Calibri" w:hAnsi="Calibri" w:cs="Times New Roman"/>
          <w:sz w:val="24"/>
          <w:szCs w:val="24"/>
          <w:lang w:eastAsia="en-US"/>
        </w:rPr>
        <w:t xml:space="preserve"> </w:t>
      </w:r>
      <w:r w:rsidR="008C6FB1" w:rsidRPr="008C6FB1">
        <w:rPr>
          <w:rFonts w:eastAsia="Calibri" w:cs="Times New Roman"/>
          <w:sz w:val="24"/>
          <w:szCs w:val="24"/>
          <w:lang w:eastAsia="en-US"/>
        </w:rPr>
        <w:t>Critics of the US experience therefore conclude that other jurisdictions should not follow the same approach, especially in the field of marriage where it is so necessary to know how each case will be treated.</w:t>
      </w:r>
      <w:r w:rsidR="008C6FB1" w:rsidRPr="008C6FB1">
        <w:rPr>
          <w:rFonts w:eastAsia="Calibri" w:cs="Times New Roman"/>
          <w:sz w:val="24"/>
          <w:szCs w:val="24"/>
          <w:vertAlign w:val="superscript"/>
          <w:lang w:eastAsia="en-US"/>
        </w:rPr>
        <w:footnoteReference w:id="117"/>
      </w:r>
      <w:r w:rsidR="008C6FB1" w:rsidRPr="008C6FB1">
        <w:rPr>
          <w:rFonts w:eastAsia="Calibri" w:cs="Times New Roman"/>
          <w:sz w:val="24"/>
          <w:szCs w:val="24"/>
          <w:lang w:eastAsia="en-US"/>
        </w:rPr>
        <w:t xml:space="preserve"> </w:t>
      </w:r>
      <w:r w:rsidR="008C6FB1" w:rsidRPr="008C6FB1">
        <w:rPr>
          <w:sz w:val="24"/>
          <w:szCs w:val="24"/>
        </w:rPr>
        <w:t>A further criticism of interest analysis is that it can result in a balance towards the forum determining the case.</w:t>
      </w:r>
      <w:r w:rsidR="008C6FB1" w:rsidRPr="008C6FB1">
        <w:rPr>
          <w:sz w:val="24"/>
          <w:szCs w:val="24"/>
          <w:vertAlign w:val="superscript"/>
        </w:rPr>
        <w:t xml:space="preserve"> </w:t>
      </w:r>
      <w:r w:rsidR="008C6FB1" w:rsidRPr="008C6FB1">
        <w:rPr>
          <w:sz w:val="24"/>
          <w:szCs w:val="24"/>
          <w:vertAlign w:val="superscript"/>
        </w:rPr>
        <w:footnoteReference w:id="118"/>
      </w:r>
      <w:r w:rsidR="008C6FB1" w:rsidRPr="008C6FB1">
        <w:rPr>
          <w:sz w:val="24"/>
          <w:szCs w:val="24"/>
        </w:rPr>
        <w:t xml:space="preserve">  These criticisms show that interest analysis alone cannot be a solution. Instead a system of rules based depecage</w:t>
      </w:r>
      <w:r w:rsidR="008C6FB1" w:rsidRPr="008C6FB1">
        <w:rPr>
          <w:sz w:val="24"/>
          <w:szCs w:val="24"/>
          <w:vertAlign w:val="superscript"/>
        </w:rPr>
        <w:footnoteReference w:id="119"/>
      </w:r>
      <w:r w:rsidR="008C6FB1" w:rsidRPr="008C6FB1">
        <w:rPr>
          <w:sz w:val="24"/>
          <w:szCs w:val="24"/>
        </w:rPr>
        <w:t xml:space="preserve"> balances the competing interests of flexibility and certainty.</w:t>
      </w:r>
      <w:r w:rsidR="008C6FB1" w:rsidRPr="008C6FB1">
        <w:rPr>
          <w:rFonts w:eastAsiaTheme="minorHAnsi"/>
          <w:sz w:val="24"/>
          <w:szCs w:val="24"/>
          <w:vertAlign w:val="superscript"/>
          <w:lang w:eastAsia="en-US"/>
        </w:rPr>
        <w:t xml:space="preserve"> </w:t>
      </w:r>
      <w:r w:rsidR="008C6FB1" w:rsidRPr="008C6FB1">
        <w:rPr>
          <w:rFonts w:eastAsiaTheme="minorHAnsi"/>
          <w:sz w:val="24"/>
          <w:szCs w:val="24"/>
          <w:vertAlign w:val="superscript"/>
          <w:lang w:eastAsia="en-US"/>
        </w:rPr>
        <w:footnoteReference w:id="120"/>
      </w:r>
    </w:p>
    <w:p w:rsidR="008C6FB1" w:rsidRPr="008C6FB1" w:rsidRDefault="008C6FB1" w:rsidP="008C6FB1">
      <w:pPr>
        <w:numPr>
          <w:ilvl w:val="0"/>
          <w:numId w:val="3"/>
        </w:numPr>
        <w:spacing w:line="480" w:lineRule="auto"/>
        <w:contextualSpacing/>
        <w:jc w:val="center"/>
        <w:rPr>
          <w:rFonts w:eastAsia="Calibri" w:cs="Times New Roman"/>
          <w:b/>
          <w:sz w:val="24"/>
          <w:szCs w:val="24"/>
        </w:rPr>
      </w:pPr>
      <w:r w:rsidRPr="008C6FB1">
        <w:rPr>
          <w:rFonts w:eastAsia="Calibri" w:cs="Times New Roman"/>
          <w:b/>
          <w:sz w:val="24"/>
          <w:szCs w:val="24"/>
        </w:rPr>
        <w:t>Rules Based Depecage</w:t>
      </w:r>
    </w:p>
    <w:p w:rsidR="008C6FB1" w:rsidRPr="008C6FB1" w:rsidRDefault="008C6FB1" w:rsidP="008C6FB1">
      <w:pPr>
        <w:spacing w:line="480" w:lineRule="auto"/>
        <w:jc w:val="both"/>
        <w:rPr>
          <w:rFonts w:eastAsiaTheme="minorHAnsi"/>
          <w:sz w:val="24"/>
          <w:szCs w:val="24"/>
          <w:lang w:eastAsia="en-US"/>
        </w:rPr>
      </w:pPr>
      <w:r w:rsidRPr="008C6FB1">
        <w:rPr>
          <w:rFonts w:eastAsiaTheme="minorHAnsi"/>
          <w:sz w:val="24"/>
          <w:szCs w:val="24"/>
          <w:lang w:eastAsia="en-US"/>
        </w:rPr>
        <w:t xml:space="preserve">Depecage applies interest analysis not on a case by case basis, but on an issue by issue basis. When applied to the incapacities to marry, each of the incapacities to marry would be governed by its own choice of law rule. The advantages of interest analysis are therefore maintained as the public policy reasons remain crucial to the choice of law rule. </w:t>
      </w:r>
      <w:r w:rsidR="00C86DE6">
        <w:rPr>
          <w:rFonts w:eastAsiaTheme="minorHAnsi"/>
          <w:sz w:val="24"/>
          <w:szCs w:val="24"/>
          <w:lang w:eastAsia="en-US"/>
        </w:rPr>
        <w:t xml:space="preserve">At the same time </w:t>
      </w:r>
      <w:r w:rsidRPr="008C6FB1">
        <w:rPr>
          <w:rFonts w:eastAsiaTheme="minorHAnsi"/>
          <w:sz w:val="24"/>
          <w:szCs w:val="24"/>
          <w:lang w:eastAsia="en-US"/>
        </w:rPr>
        <w:t xml:space="preserve">there is certainty as to the result to be achieved as each incapacity to marry has its own firm choice of law rule. </w:t>
      </w:r>
      <w:r w:rsidRPr="008C6FB1">
        <w:rPr>
          <w:rFonts w:eastAsia="Calibri" w:cs="Times New Roman"/>
          <w:sz w:val="24"/>
          <w:szCs w:val="24"/>
          <w:lang w:eastAsia="en-US"/>
        </w:rPr>
        <w:t>Critics argue that this further complicates an already “complex methodology” by further “issue splitting”,</w:t>
      </w:r>
      <w:r w:rsidRPr="008C6FB1">
        <w:rPr>
          <w:rFonts w:eastAsia="Calibri" w:cs="Times New Roman"/>
          <w:sz w:val="24"/>
          <w:szCs w:val="24"/>
          <w:vertAlign w:val="superscript"/>
          <w:lang w:eastAsia="en-US"/>
        </w:rPr>
        <w:footnoteReference w:id="121"/>
      </w:r>
      <w:r w:rsidRPr="008C6FB1">
        <w:rPr>
          <w:rFonts w:eastAsia="Calibri" w:cs="Times New Roman"/>
          <w:sz w:val="24"/>
          <w:szCs w:val="24"/>
          <w:lang w:eastAsia="en-US"/>
        </w:rPr>
        <w:t xml:space="preserve">  but we argue that this approach offers the right balance between the competing concerns.</w:t>
      </w:r>
      <w:r w:rsidRPr="008C6FB1">
        <w:rPr>
          <w:sz w:val="24"/>
          <w:szCs w:val="24"/>
        </w:rPr>
        <w:t xml:space="preserve"> Reed suggests that a rules based theory should avoid “</w:t>
      </w:r>
      <w:r w:rsidRPr="008C6FB1">
        <w:rPr>
          <w:rFonts w:eastAsia="Calibri" w:cs="Times New Roman"/>
          <w:sz w:val="24"/>
          <w:szCs w:val="24"/>
          <w:lang w:eastAsia="en-US"/>
        </w:rPr>
        <w:t>excessive judicial particularistic intuitionism”.</w:t>
      </w:r>
      <w:r w:rsidRPr="008C6FB1">
        <w:rPr>
          <w:rFonts w:eastAsia="Calibri" w:cs="Times New Roman"/>
          <w:sz w:val="24"/>
          <w:szCs w:val="24"/>
          <w:vertAlign w:val="superscript"/>
          <w:lang w:eastAsia="en-US"/>
        </w:rPr>
        <w:footnoteReference w:id="122"/>
      </w:r>
      <w:r w:rsidRPr="008C6FB1">
        <w:rPr>
          <w:rFonts w:eastAsia="Calibri" w:cs="Times New Roman"/>
          <w:sz w:val="24"/>
          <w:szCs w:val="24"/>
          <w:lang w:eastAsia="en-US"/>
        </w:rPr>
        <w:t xml:space="preserve"> </w:t>
      </w:r>
      <w:r w:rsidRPr="008C6FB1">
        <w:rPr>
          <w:sz w:val="24"/>
          <w:szCs w:val="24"/>
        </w:rPr>
        <w:t>Theorists have suggested</w:t>
      </w:r>
      <w:r w:rsidRPr="008C6FB1">
        <w:rPr>
          <w:rFonts w:eastAsiaTheme="minorHAnsi"/>
          <w:sz w:val="24"/>
          <w:szCs w:val="24"/>
          <w:lang w:eastAsia="en-US"/>
        </w:rPr>
        <w:t xml:space="preserve"> looking at each incapacity to marry in turn.</w:t>
      </w:r>
      <w:r w:rsidRPr="008C6FB1">
        <w:rPr>
          <w:rFonts w:eastAsiaTheme="minorHAnsi"/>
          <w:sz w:val="24"/>
          <w:szCs w:val="24"/>
          <w:vertAlign w:val="superscript"/>
          <w:lang w:eastAsia="en-US"/>
        </w:rPr>
        <w:footnoteReference w:id="123"/>
      </w:r>
      <w:r w:rsidRPr="008C6FB1">
        <w:rPr>
          <w:rFonts w:eastAsiaTheme="minorHAnsi"/>
          <w:sz w:val="24"/>
          <w:szCs w:val="24"/>
          <w:lang w:eastAsia="en-US"/>
        </w:rPr>
        <w:t xml:space="preserve"> Age, consanguinity and affinity, polygamy, consent and marriage after divorce are each examined. An appropriate choice of law is assigned by determining what the law in each of these areas is designed for in terms of apposite utilisation.</w:t>
      </w:r>
      <w:r w:rsidRPr="008C6FB1">
        <w:rPr>
          <w:rFonts w:eastAsiaTheme="minorHAnsi"/>
          <w:b/>
          <w:sz w:val="24"/>
          <w:szCs w:val="24"/>
          <w:lang w:eastAsia="en-US"/>
        </w:rPr>
        <w:t xml:space="preserve"> </w:t>
      </w:r>
      <w:r w:rsidRPr="008C6FB1">
        <w:rPr>
          <w:rFonts w:eastAsiaTheme="minorHAnsi"/>
          <w:sz w:val="24"/>
          <w:szCs w:val="24"/>
          <w:lang w:eastAsia="en-US"/>
        </w:rPr>
        <w:t xml:space="preserve">We consider here which choice of law rule should be applied to same-sex relationships. It is useful first to look at existing precedents as to which public policy factors have been deemed important. </w:t>
      </w:r>
    </w:p>
    <w:p w:rsidR="008C6FB1" w:rsidRPr="008C6FB1" w:rsidRDefault="008C6FB1" w:rsidP="008C6FB1">
      <w:pPr>
        <w:numPr>
          <w:ilvl w:val="0"/>
          <w:numId w:val="3"/>
        </w:numPr>
        <w:spacing w:line="480" w:lineRule="auto"/>
        <w:contextualSpacing/>
        <w:jc w:val="center"/>
        <w:rPr>
          <w:b/>
          <w:sz w:val="24"/>
          <w:szCs w:val="24"/>
        </w:rPr>
      </w:pPr>
      <w:r w:rsidRPr="008C6FB1">
        <w:rPr>
          <w:b/>
          <w:sz w:val="24"/>
          <w:szCs w:val="24"/>
        </w:rPr>
        <w:t>Public Policy Factors</w:t>
      </w:r>
    </w:p>
    <w:p w:rsidR="008C6FB1" w:rsidRPr="008C6FB1" w:rsidRDefault="00C86DE6" w:rsidP="008C6FB1">
      <w:pPr>
        <w:spacing w:line="480" w:lineRule="auto"/>
        <w:jc w:val="both"/>
        <w:rPr>
          <w:rFonts w:eastAsia="Calibri" w:cs="Times New Roman"/>
          <w:sz w:val="24"/>
          <w:szCs w:val="24"/>
          <w:lang w:eastAsia="en-US"/>
        </w:rPr>
      </w:pPr>
      <w:r>
        <w:rPr>
          <w:sz w:val="24"/>
          <w:szCs w:val="24"/>
        </w:rPr>
        <w:t xml:space="preserve">When considering which public policy factors would be relevant to apply to the choice of law for same-sex relationships, it should first of all be pointed out that some types </w:t>
      </w:r>
      <w:r w:rsidR="008C6FB1" w:rsidRPr="008C6FB1">
        <w:rPr>
          <w:sz w:val="24"/>
          <w:szCs w:val="24"/>
        </w:rPr>
        <w:t xml:space="preserve">of public policy factors apply in relation to all the incapacities </w:t>
      </w:r>
      <w:r>
        <w:rPr>
          <w:sz w:val="24"/>
          <w:szCs w:val="24"/>
        </w:rPr>
        <w:t>to marry</w:t>
      </w:r>
      <w:r w:rsidR="008C6FB1" w:rsidRPr="008C6FB1">
        <w:rPr>
          <w:sz w:val="24"/>
          <w:szCs w:val="24"/>
        </w:rPr>
        <w:t xml:space="preserve">. </w:t>
      </w:r>
      <w:r>
        <w:rPr>
          <w:sz w:val="24"/>
          <w:szCs w:val="24"/>
        </w:rPr>
        <w:t>The parties to a marriage have a legitimate expectation that they have entered into a valid marriage. For this reason, s</w:t>
      </w:r>
      <w:r w:rsidR="008C6FB1" w:rsidRPr="008C6FB1">
        <w:rPr>
          <w:sz w:val="24"/>
          <w:szCs w:val="24"/>
        </w:rPr>
        <w:t>everal authors comment on the importance of validating a marriage.</w:t>
      </w:r>
      <w:r w:rsidR="008C6FB1" w:rsidRPr="008C6FB1">
        <w:rPr>
          <w:sz w:val="24"/>
          <w:szCs w:val="24"/>
          <w:vertAlign w:val="superscript"/>
        </w:rPr>
        <w:footnoteReference w:id="124"/>
      </w:r>
      <w:r>
        <w:rPr>
          <w:sz w:val="24"/>
          <w:szCs w:val="24"/>
        </w:rPr>
        <w:t xml:space="preserve"> A marriage should therefore not be easily invalidated.</w:t>
      </w:r>
      <w:r w:rsidR="008C6FB1" w:rsidRPr="008C6FB1">
        <w:rPr>
          <w:rFonts w:eastAsia="Calibri" w:cs="Times New Roman"/>
          <w:sz w:val="24"/>
          <w:szCs w:val="24"/>
          <w:lang w:eastAsia="en-US"/>
        </w:rPr>
        <w:t xml:space="preserve"> Simplicity is also essential as non-lawyers, such as marriage registrars, immigration off</w:t>
      </w:r>
      <w:r>
        <w:rPr>
          <w:rFonts w:eastAsia="Calibri" w:cs="Times New Roman"/>
          <w:sz w:val="24"/>
          <w:szCs w:val="24"/>
          <w:lang w:eastAsia="en-US"/>
        </w:rPr>
        <w:t xml:space="preserve">icers and social security staff </w:t>
      </w:r>
      <w:r w:rsidR="008C6FB1" w:rsidRPr="008C6FB1">
        <w:rPr>
          <w:rFonts w:eastAsia="Calibri" w:cs="Times New Roman"/>
          <w:sz w:val="24"/>
          <w:szCs w:val="24"/>
          <w:lang w:eastAsia="en-US"/>
        </w:rPr>
        <w:t>are involved with important tasks concerning the validity of a marriage.</w:t>
      </w:r>
      <w:r w:rsidR="008C6FB1" w:rsidRPr="008C6FB1">
        <w:rPr>
          <w:rFonts w:eastAsia="Calibri" w:cs="Times New Roman"/>
          <w:sz w:val="24"/>
          <w:szCs w:val="24"/>
          <w:vertAlign w:val="superscript"/>
          <w:lang w:eastAsia="en-US"/>
        </w:rPr>
        <w:footnoteReference w:id="125"/>
      </w:r>
      <w:r w:rsidR="008C6FB1" w:rsidRPr="008C6FB1">
        <w:rPr>
          <w:rFonts w:eastAsia="Calibri" w:cs="Times New Roman"/>
          <w:sz w:val="24"/>
          <w:szCs w:val="24"/>
          <w:vertAlign w:val="superscript"/>
          <w:lang w:eastAsia="en-US"/>
        </w:rPr>
        <w:t xml:space="preserve"> </w:t>
      </w:r>
      <w:r w:rsidR="008C6FB1" w:rsidRPr="008C6FB1">
        <w:rPr>
          <w:rFonts w:eastAsia="Calibri" w:cs="Times New Roman"/>
          <w:sz w:val="24"/>
          <w:szCs w:val="24"/>
          <w:lang w:eastAsia="en-US"/>
        </w:rPr>
        <w:t>Another important issue, which is of particular relevance to the EU is to have uniformity internationally as to the validity of a marriage.</w:t>
      </w:r>
      <w:r w:rsidR="008C6FB1" w:rsidRPr="008C6FB1">
        <w:rPr>
          <w:sz w:val="24"/>
          <w:szCs w:val="24"/>
          <w:vertAlign w:val="superscript"/>
        </w:rPr>
        <w:footnoteReference w:id="126"/>
      </w:r>
      <w:r w:rsidR="008C6FB1" w:rsidRPr="008C6FB1">
        <w:rPr>
          <w:rFonts w:eastAsia="Calibri" w:cs="Times New Roman"/>
          <w:sz w:val="24"/>
          <w:szCs w:val="24"/>
          <w:lang w:eastAsia="en-US"/>
        </w:rPr>
        <w:t xml:space="preserve"> The parties to the marriage should also be protected. This can be shown from the purpose of a minimum age restriction or where there are concerns about a lack of consent as a result of some fraud, duress or mistake.</w:t>
      </w:r>
      <w:r w:rsidR="008C6FB1" w:rsidRPr="008C6FB1">
        <w:rPr>
          <w:rFonts w:eastAsia="Calibri" w:cs="Times New Roman"/>
          <w:sz w:val="24"/>
          <w:szCs w:val="24"/>
          <w:vertAlign w:val="superscript"/>
          <w:lang w:eastAsia="en-US"/>
        </w:rPr>
        <w:footnoteReference w:id="127"/>
      </w:r>
      <w:r w:rsidR="008C6FB1" w:rsidRPr="008C6FB1">
        <w:rPr>
          <w:rFonts w:eastAsia="Calibri" w:cs="Times New Roman"/>
          <w:sz w:val="24"/>
          <w:szCs w:val="24"/>
          <w:lang w:eastAsia="en-US"/>
        </w:rPr>
        <w:t xml:space="preserve"> Objections to different types of marriage based on “sociological, religious and moral grounds” can also be relevant.</w:t>
      </w:r>
      <w:r w:rsidR="008C6FB1" w:rsidRPr="008C6FB1">
        <w:rPr>
          <w:rFonts w:eastAsia="Calibri" w:cs="Times New Roman"/>
          <w:sz w:val="24"/>
          <w:szCs w:val="24"/>
          <w:vertAlign w:val="superscript"/>
          <w:lang w:eastAsia="en-US"/>
        </w:rPr>
        <w:footnoteReference w:id="128"/>
      </w:r>
      <w:r w:rsidR="008C6FB1" w:rsidRPr="008C6FB1">
        <w:rPr>
          <w:rFonts w:eastAsia="Calibri" w:cs="Times New Roman"/>
          <w:sz w:val="24"/>
          <w:szCs w:val="24"/>
          <w:vertAlign w:val="superscript"/>
          <w:lang w:eastAsia="en-US"/>
        </w:rPr>
        <w:t xml:space="preserve"> </w:t>
      </w:r>
      <w:r w:rsidR="008C6FB1" w:rsidRPr="008C6FB1">
        <w:rPr>
          <w:rFonts w:eastAsia="Calibri" w:cs="Times New Roman"/>
          <w:sz w:val="24"/>
          <w:szCs w:val="24"/>
          <w:lang w:eastAsia="en-US"/>
        </w:rPr>
        <w:t>These can be seen from the rules prohibiting consanguinity</w:t>
      </w:r>
      <w:r w:rsidR="008C6FB1" w:rsidRPr="008C6FB1">
        <w:rPr>
          <w:rFonts w:eastAsia="Calibri" w:cs="Times New Roman"/>
          <w:sz w:val="24"/>
          <w:szCs w:val="24"/>
          <w:vertAlign w:val="superscript"/>
          <w:lang w:eastAsia="en-US"/>
        </w:rPr>
        <w:footnoteReference w:id="129"/>
      </w:r>
      <w:r w:rsidR="008C6FB1" w:rsidRPr="008C6FB1">
        <w:rPr>
          <w:rFonts w:eastAsia="Calibri" w:cs="Times New Roman"/>
          <w:sz w:val="24"/>
          <w:szCs w:val="24"/>
          <w:lang w:eastAsia="en-US"/>
        </w:rPr>
        <w:t xml:space="preserve"> and affinity.</w:t>
      </w:r>
      <w:r w:rsidR="008C6FB1" w:rsidRPr="008C6FB1">
        <w:rPr>
          <w:rFonts w:eastAsia="Calibri" w:cs="Times New Roman"/>
          <w:sz w:val="24"/>
          <w:szCs w:val="24"/>
          <w:vertAlign w:val="superscript"/>
          <w:lang w:eastAsia="en-US"/>
        </w:rPr>
        <w:footnoteReference w:id="130"/>
      </w:r>
      <w:r w:rsidR="008C6FB1" w:rsidRPr="008C6FB1">
        <w:rPr>
          <w:rFonts w:eastAsia="Calibri" w:cs="Times New Roman"/>
          <w:sz w:val="24"/>
          <w:szCs w:val="24"/>
          <w:lang w:eastAsia="en-US"/>
        </w:rPr>
        <w:t xml:space="preserve"> </w:t>
      </w:r>
      <w:r w:rsidR="0056659B">
        <w:rPr>
          <w:rFonts w:eastAsia="Calibri" w:cs="Times New Roman"/>
          <w:sz w:val="24"/>
          <w:szCs w:val="24"/>
          <w:lang w:eastAsia="en-US"/>
        </w:rPr>
        <w:t>I</w:t>
      </w:r>
      <w:r>
        <w:rPr>
          <w:rFonts w:eastAsia="Calibri" w:cs="Times New Roman"/>
          <w:sz w:val="24"/>
          <w:szCs w:val="24"/>
          <w:lang w:eastAsia="en-US"/>
        </w:rPr>
        <w:t xml:space="preserve">n relation to consanguinity </w:t>
      </w:r>
      <w:r w:rsidR="0056659B">
        <w:rPr>
          <w:rFonts w:eastAsia="Calibri" w:cs="Times New Roman"/>
          <w:sz w:val="24"/>
          <w:szCs w:val="24"/>
          <w:lang w:eastAsia="en-US"/>
        </w:rPr>
        <w:t xml:space="preserve">there is another relevant concern about preventing marriage between those who are too closely related, in order to prevent the increased risk of the </w:t>
      </w:r>
      <w:r w:rsidR="008C6FB1" w:rsidRPr="008C6FB1">
        <w:rPr>
          <w:rFonts w:eastAsia="Calibri" w:cs="Times New Roman"/>
          <w:sz w:val="24"/>
          <w:szCs w:val="24"/>
          <w:lang w:eastAsia="en-US"/>
        </w:rPr>
        <w:t xml:space="preserve">birth of disabled children. </w:t>
      </w:r>
    </w:p>
    <w:p w:rsidR="008C6FB1" w:rsidRPr="008C6FB1" w:rsidRDefault="008C6FB1" w:rsidP="008C6FB1">
      <w:pPr>
        <w:numPr>
          <w:ilvl w:val="0"/>
          <w:numId w:val="3"/>
        </w:numPr>
        <w:spacing w:line="480" w:lineRule="auto"/>
        <w:contextualSpacing/>
        <w:jc w:val="center"/>
        <w:rPr>
          <w:rFonts w:eastAsia="Calibri" w:cs="Times New Roman"/>
          <w:b/>
          <w:sz w:val="24"/>
          <w:szCs w:val="24"/>
        </w:rPr>
      </w:pPr>
      <w:r w:rsidRPr="008C6FB1">
        <w:rPr>
          <w:rFonts w:eastAsia="Calibri" w:cs="Times New Roman"/>
          <w:b/>
          <w:sz w:val="24"/>
          <w:szCs w:val="24"/>
        </w:rPr>
        <w:t>Polygamous Marriages</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When selecting a choice of law rule for same-sex relationships, a review of how polygamous marriages have been treated by the courts is particularly interesting. This is because the justifications for prohibiting such unions are often similar to reasons given by courts and governments who prohibit same-sex relationships. The prohibition on polygamous marriage, it is argued, is supported by religion and society as a whole.</w:t>
      </w:r>
      <w:r w:rsidRPr="008C6FB1">
        <w:rPr>
          <w:rFonts w:eastAsia="Calibri" w:cs="Times New Roman"/>
          <w:sz w:val="24"/>
          <w:szCs w:val="24"/>
          <w:vertAlign w:val="superscript"/>
          <w:lang w:eastAsia="en-US"/>
        </w:rPr>
        <w:footnoteReference w:id="131"/>
      </w:r>
      <w:r w:rsidRPr="008C6FB1">
        <w:rPr>
          <w:rFonts w:eastAsia="Calibri" w:cs="Times New Roman"/>
          <w:sz w:val="24"/>
          <w:szCs w:val="24"/>
          <w:lang w:eastAsia="en-US"/>
        </w:rPr>
        <w:t xml:space="preserve">  </w:t>
      </w:r>
      <w:r w:rsidR="0056659B">
        <w:rPr>
          <w:rFonts w:eastAsia="Calibri" w:cs="Times New Roman"/>
          <w:sz w:val="24"/>
          <w:szCs w:val="24"/>
          <w:lang w:eastAsia="en-US"/>
        </w:rPr>
        <w:t xml:space="preserve">Despite this line of argument, </w:t>
      </w:r>
      <w:r w:rsidRPr="008C6FB1">
        <w:rPr>
          <w:rFonts w:eastAsia="Calibri" w:cs="Times New Roman"/>
          <w:sz w:val="24"/>
          <w:szCs w:val="24"/>
          <w:lang w:eastAsia="en-US"/>
        </w:rPr>
        <w:t xml:space="preserve">these have not been the determining factors as to how polygamous marriages are treated by English courts. Simon J in </w:t>
      </w:r>
      <w:r w:rsidRPr="008C6FB1">
        <w:rPr>
          <w:rFonts w:eastAsia="Calibri" w:cs="Times New Roman"/>
          <w:i/>
          <w:sz w:val="24"/>
          <w:szCs w:val="24"/>
          <w:lang w:eastAsia="en-US"/>
        </w:rPr>
        <w:t>Cheni v Cheni</w:t>
      </w:r>
      <w:r w:rsidRPr="008C6FB1">
        <w:rPr>
          <w:rFonts w:eastAsia="Calibri" w:cs="Times New Roman"/>
          <w:sz w:val="24"/>
          <w:szCs w:val="24"/>
          <w:lang w:eastAsia="en-US"/>
        </w:rPr>
        <w:t xml:space="preserve"> explained that “common sense” and a “reasonable tolerance”</w:t>
      </w:r>
      <w:r w:rsidRPr="008C6FB1">
        <w:rPr>
          <w:rFonts w:eastAsia="Calibri" w:cs="Times New Roman"/>
          <w:sz w:val="24"/>
          <w:szCs w:val="24"/>
          <w:vertAlign w:val="superscript"/>
          <w:lang w:eastAsia="en-US"/>
        </w:rPr>
        <w:footnoteReference w:id="132"/>
      </w:r>
      <w:r w:rsidRPr="008C6FB1">
        <w:rPr>
          <w:rFonts w:eastAsia="Calibri" w:cs="Times New Roman"/>
          <w:sz w:val="24"/>
          <w:szCs w:val="24"/>
          <w:lang w:eastAsia="en-US"/>
        </w:rPr>
        <w:t xml:space="preserve">  were also relevant.  </w:t>
      </w:r>
      <w:r w:rsidR="0056659B">
        <w:rPr>
          <w:rFonts w:eastAsia="Calibri" w:cs="Times New Roman"/>
          <w:sz w:val="24"/>
          <w:szCs w:val="24"/>
          <w:lang w:eastAsia="en-US"/>
        </w:rPr>
        <w:t xml:space="preserve">The prohibition on a polygamous marriage under English law remains in place. However, </w:t>
      </w:r>
      <w:r w:rsidRPr="008C6FB1">
        <w:rPr>
          <w:rFonts w:eastAsia="Calibri" w:cs="Times New Roman"/>
          <w:sz w:val="24"/>
          <w:szCs w:val="24"/>
          <w:lang w:eastAsia="en-US"/>
        </w:rPr>
        <w:t xml:space="preserve">the law has now developed to recognise </w:t>
      </w:r>
      <w:r w:rsidR="0056659B">
        <w:rPr>
          <w:rFonts w:eastAsia="Calibri" w:cs="Times New Roman"/>
          <w:sz w:val="24"/>
          <w:szCs w:val="24"/>
          <w:lang w:eastAsia="en-US"/>
        </w:rPr>
        <w:t xml:space="preserve">a </w:t>
      </w:r>
      <w:r w:rsidRPr="008C6FB1">
        <w:rPr>
          <w:rFonts w:eastAsia="Calibri" w:cs="Times New Roman"/>
          <w:sz w:val="24"/>
          <w:szCs w:val="24"/>
          <w:lang w:eastAsia="en-US"/>
        </w:rPr>
        <w:t xml:space="preserve">polygamous </w:t>
      </w:r>
      <w:r w:rsidR="0056659B">
        <w:rPr>
          <w:rFonts w:eastAsia="Calibri" w:cs="Times New Roman"/>
          <w:sz w:val="24"/>
          <w:szCs w:val="24"/>
          <w:lang w:eastAsia="en-US"/>
        </w:rPr>
        <w:t>marriage conducted in a foreign jurisdiction</w:t>
      </w:r>
      <w:r w:rsidRPr="008C6FB1">
        <w:rPr>
          <w:rFonts w:eastAsia="Calibri" w:cs="Times New Roman"/>
          <w:sz w:val="24"/>
          <w:szCs w:val="24"/>
          <w:lang w:eastAsia="en-US"/>
        </w:rPr>
        <w:t xml:space="preserve"> unless there are strong reasons against doing so.</w:t>
      </w:r>
      <w:r w:rsidRPr="008C6FB1">
        <w:rPr>
          <w:rFonts w:eastAsia="Calibri" w:cs="Times New Roman"/>
          <w:sz w:val="24"/>
          <w:szCs w:val="24"/>
          <w:vertAlign w:val="superscript"/>
          <w:lang w:eastAsia="en-US"/>
        </w:rPr>
        <w:footnoteReference w:id="133"/>
      </w:r>
      <w:r w:rsidRPr="008C6FB1">
        <w:rPr>
          <w:rFonts w:eastAsia="Calibri" w:cs="Times New Roman"/>
          <w:sz w:val="24"/>
          <w:szCs w:val="24"/>
          <w:lang w:eastAsia="en-US"/>
        </w:rPr>
        <w:t xml:space="preserve"> Arguably this can be justified on the basis that while the object of English law is to protect monogamous marriage it does not mean that there is any “justification for invalidating a polygamous marriage”.</w:t>
      </w:r>
      <w:r w:rsidRPr="008C6FB1">
        <w:rPr>
          <w:rFonts w:eastAsia="Calibri" w:cs="Times New Roman"/>
          <w:sz w:val="24"/>
          <w:szCs w:val="24"/>
          <w:vertAlign w:val="superscript"/>
          <w:lang w:eastAsia="en-US"/>
        </w:rPr>
        <w:footnoteReference w:id="134"/>
      </w:r>
      <w:r w:rsidRPr="008C6FB1">
        <w:rPr>
          <w:rFonts w:eastAsia="Calibri" w:cs="Times New Roman"/>
          <w:sz w:val="24"/>
          <w:szCs w:val="24"/>
          <w:lang w:eastAsia="en-US"/>
        </w:rPr>
        <w:t xml:space="preserve"> In taking a tolerant approach that English courts respect the traditions of other countries rather than imposing their own view as to what constitutes a valid marriage. This can be demonstrated from the polygamous marriage which was under consideration in </w:t>
      </w:r>
      <w:r w:rsidRPr="008C6FB1">
        <w:rPr>
          <w:rFonts w:eastAsia="Calibri" w:cs="Times New Roman"/>
          <w:i/>
          <w:sz w:val="24"/>
          <w:szCs w:val="24"/>
          <w:lang w:eastAsia="en-US"/>
        </w:rPr>
        <w:t>Hussain v Hussain</w:t>
      </w:r>
      <w:r w:rsidRPr="008C6FB1">
        <w:rPr>
          <w:rFonts w:eastAsia="Calibri" w:cs="Times New Roman"/>
          <w:sz w:val="24"/>
          <w:szCs w:val="24"/>
          <w:lang w:eastAsia="en-US"/>
        </w:rPr>
        <w:t>.</w:t>
      </w:r>
      <w:r w:rsidRPr="008C6FB1">
        <w:rPr>
          <w:rFonts w:eastAsia="Calibri" w:cs="Times New Roman"/>
          <w:sz w:val="24"/>
          <w:szCs w:val="24"/>
          <w:vertAlign w:val="superscript"/>
          <w:lang w:eastAsia="en-US"/>
        </w:rPr>
        <w:footnoteReference w:id="135"/>
      </w:r>
      <w:r w:rsidRPr="008C6FB1">
        <w:rPr>
          <w:rFonts w:eastAsia="Calibri" w:cs="Times New Roman"/>
          <w:sz w:val="24"/>
          <w:szCs w:val="24"/>
          <w:lang w:eastAsia="en-US"/>
        </w:rPr>
        <w:t xml:space="preserve"> The husband was a domiciled Englishman and the wife was domiciled in Pakistan. Ormrod LJ recognised the validity of the marriage. The reasons for his decision included concerns about ‘’repercussions on the Muslim community’’ and the fact that we are now ‘’an increasingly pluralistic society’’.</w:t>
      </w:r>
      <w:r w:rsidRPr="008C6FB1">
        <w:rPr>
          <w:rFonts w:eastAsia="Calibri" w:cs="Times New Roman"/>
          <w:sz w:val="24"/>
          <w:szCs w:val="24"/>
          <w:vertAlign w:val="superscript"/>
          <w:lang w:eastAsia="en-US"/>
        </w:rPr>
        <w:footnoteReference w:id="136"/>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Several authorities state that the choice of law theory in relation to polygamous marriages is that of the intended matrimonial home of the couple.</w:t>
      </w:r>
      <w:r w:rsidRPr="008C6FB1">
        <w:rPr>
          <w:rFonts w:eastAsia="Calibri" w:cs="Times New Roman"/>
          <w:sz w:val="24"/>
          <w:szCs w:val="24"/>
          <w:vertAlign w:val="superscript"/>
          <w:lang w:eastAsia="en-US"/>
        </w:rPr>
        <w:footnoteReference w:id="137"/>
      </w:r>
      <w:r w:rsidRPr="008C6FB1">
        <w:rPr>
          <w:rFonts w:eastAsia="Calibri" w:cs="Times New Roman"/>
          <w:sz w:val="24"/>
          <w:szCs w:val="24"/>
          <w:lang w:eastAsia="en-US"/>
        </w:rPr>
        <w:t xml:space="preserve"> In practice, case law</w:t>
      </w:r>
      <w:r w:rsidRPr="008C6FB1">
        <w:rPr>
          <w:rFonts w:eastAsia="Calibri" w:cs="Times New Roman"/>
          <w:sz w:val="24"/>
          <w:szCs w:val="24"/>
          <w:vertAlign w:val="superscript"/>
          <w:lang w:eastAsia="en-US"/>
        </w:rPr>
        <w:footnoteReference w:id="138"/>
      </w:r>
      <w:r w:rsidRPr="008C6FB1">
        <w:rPr>
          <w:rFonts w:eastAsia="Calibri" w:cs="Times New Roman"/>
          <w:sz w:val="24"/>
          <w:szCs w:val="24"/>
          <w:lang w:eastAsia="en-US"/>
        </w:rPr>
        <w:t xml:space="preserve"> has extended the choice of law beyond that of the intended matrimonial home. This means that a polygamous marriage conducted abroad is recognised in England even though the couple now reside here. Smart explains that whilst the intended domicile as “a connecting factor serves its purpose well,… in exceptional cases it may have to yield to other circumstances”.</w:t>
      </w:r>
      <w:r w:rsidRPr="008C6FB1">
        <w:rPr>
          <w:rFonts w:eastAsia="Calibri" w:cs="Times New Roman"/>
          <w:sz w:val="24"/>
          <w:szCs w:val="24"/>
          <w:vertAlign w:val="superscript"/>
          <w:lang w:eastAsia="en-US"/>
        </w:rPr>
        <w:footnoteReference w:id="139"/>
      </w:r>
      <w:r w:rsidRPr="008C6FB1">
        <w:rPr>
          <w:rFonts w:eastAsia="Calibri" w:cs="Times New Roman"/>
          <w:sz w:val="24"/>
          <w:szCs w:val="24"/>
          <w:lang w:eastAsia="en-US"/>
        </w:rPr>
        <w:t xml:space="preserve">  </w:t>
      </w:r>
      <w:r w:rsidR="00E34B85">
        <w:rPr>
          <w:rFonts w:eastAsia="Calibri" w:cs="Times New Roman"/>
          <w:sz w:val="24"/>
          <w:szCs w:val="24"/>
          <w:lang w:eastAsia="en-US"/>
        </w:rPr>
        <w:t xml:space="preserve">English </w:t>
      </w:r>
      <w:r w:rsidR="0005349C">
        <w:rPr>
          <w:rFonts w:eastAsia="Calibri" w:cs="Times New Roman"/>
          <w:sz w:val="24"/>
          <w:szCs w:val="24"/>
          <w:lang w:eastAsia="en-US"/>
        </w:rPr>
        <w:t>courts</w:t>
      </w:r>
      <w:r w:rsidR="00E34B85">
        <w:rPr>
          <w:rFonts w:eastAsia="Calibri" w:cs="Times New Roman"/>
          <w:sz w:val="24"/>
          <w:szCs w:val="24"/>
          <w:lang w:eastAsia="en-US"/>
        </w:rPr>
        <w:t xml:space="preserve"> therefore do not apply a simple intended matrimonial home test to polygamous marriages. </w:t>
      </w:r>
      <w:r w:rsidR="0005349C">
        <w:rPr>
          <w:rFonts w:eastAsia="Calibri" w:cs="Times New Roman"/>
          <w:sz w:val="24"/>
          <w:szCs w:val="24"/>
          <w:lang w:eastAsia="en-US"/>
        </w:rPr>
        <w:t xml:space="preserve">Instead they also consider other factors as well and apply a tolerant approach to how polygamous marriages are treated. This leads to the validation of polygamous marriages conducted abroad, even where the couple are residing in this jurisdiction. </w:t>
      </w:r>
      <w:r w:rsidRPr="008C6FB1">
        <w:rPr>
          <w:rFonts w:eastAsia="Calibri" w:cs="Times New Roman"/>
          <w:sz w:val="24"/>
          <w:szCs w:val="24"/>
          <w:lang w:eastAsia="en-US"/>
        </w:rPr>
        <w:t xml:space="preserve">The English </w:t>
      </w:r>
      <w:r w:rsidR="0005349C">
        <w:rPr>
          <w:rFonts w:eastAsia="Calibri" w:cs="Times New Roman"/>
          <w:sz w:val="24"/>
          <w:szCs w:val="24"/>
          <w:lang w:eastAsia="en-US"/>
        </w:rPr>
        <w:t xml:space="preserve">courts are applying in practice </w:t>
      </w:r>
      <w:r w:rsidRPr="008C6FB1">
        <w:rPr>
          <w:rFonts w:eastAsia="Calibri" w:cs="Times New Roman"/>
          <w:sz w:val="24"/>
          <w:szCs w:val="24"/>
          <w:lang w:eastAsia="en-US"/>
        </w:rPr>
        <w:t>an extended intended matrimonial home test</w:t>
      </w:r>
      <w:r w:rsidR="0005349C">
        <w:rPr>
          <w:rFonts w:eastAsia="Calibri" w:cs="Times New Roman"/>
          <w:sz w:val="24"/>
          <w:szCs w:val="24"/>
          <w:lang w:eastAsia="en-US"/>
        </w:rPr>
        <w:t>. This</w:t>
      </w:r>
      <w:r w:rsidRPr="008C6FB1">
        <w:rPr>
          <w:rFonts w:eastAsia="Calibri" w:cs="Times New Roman"/>
          <w:sz w:val="24"/>
          <w:szCs w:val="24"/>
          <w:lang w:eastAsia="en-US"/>
        </w:rPr>
        <w:t xml:space="preserve"> makes an interesting precedent of a country recognising a form of marriage which cannot be conducted in their own jurisdiction. In this article we make the case for an extended choice of law in relation to same-sex relationships. </w:t>
      </w:r>
    </w:p>
    <w:p w:rsidR="008C6FB1" w:rsidRPr="008C6FB1" w:rsidRDefault="008C6FB1" w:rsidP="008C6FB1">
      <w:pPr>
        <w:numPr>
          <w:ilvl w:val="0"/>
          <w:numId w:val="1"/>
        </w:numPr>
        <w:spacing w:line="480" w:lineRule="auto"/>
        <w:contextualSpacing/>
        <w:jc w:val="center"/>
        <w:rPr>
          <w:b/>
          <w:sz w:val="24"/>
          <w:szCs w:val="24"/>
        </w:rPr>
      </w:pPr>
      <w:r w:rsidRPr="008C6FB1">
        <w:rPr>
          <w:b/>
          <w:sz w:val="24"/>
          <w:szCs w:val="24"/>
        </w:rPr>
        <w:t>Choice of Law in Relation to Same-Sex Relationships</w:t>
      </w:r>
    </w:p>
    <w:p w:rsidR="008C6FB1" w:rsidRPr="008C6FB1" w:rsidRDefault="008C6FB1" w:rsidP="008C6FB1">
      <w:pPr>
        <w:spacing w:line="480" w:lineRule="auto"/>
        <w:jc w:val="both"/>
        <w:rPr>
          <w:sz w:val="24"/>
          <w:szCs w:val="24"/>
        </w:rPr>
      </w:pPr>
      <w:r w:rsidRPr="008C6FB1">
        <w:rPr>
          <w:sz w:val="24"/>
          <w:szCs w:val="24"/>
        </w:rPr>
        <w:t xml:space="preserve">The main focus of this </w:t>
      </w:r>
      <w:r w:rsidR="0005349C">
        <w:rPr>
          <w:sz w:val="24"/>
          <w:szCs w:val="24"/>
        </w:rPr>
        <w:t>article</w:t>
      </w:r>
      <w:r w:rsidRPr="008C6FB1">
        <w:rPr>
          <w:sz w:val="24"/>
          <w:szCs w:val="24"/>
        </w:rPr>
        <w:t xml:space="preserve"> is to determine which choice of law provision should be applied in relation to same-sex relationships. Any law preventing same-sex relationships is usually justified on the grounds of protection of society,</w:t>
      </w:r>
      <w:r w:rsidRPr="008C6FB1">
        <w:rPr>
          <w:sz w:val="24"/>
          <w:szCs w:val="24"/>
          <w:vertAlign w:val="superscript"/>
        </w:rPr>
        <w:footnoteReference w:id="140"/>
      </w:r>
      <w:r w:rsidRPr="008C6FB1">
        <w:rPr>
          <w:sz w:val="24"/>
          <w:szCs w:val="24"/>
        </w:rPr>
        <w:t xml:space="preserve"> religion</w:t>
      </w:r>
      <w:r w:rsidRPr="008C6FB1">
        <w:rPr>
          <w:sz w:val="24"/>
          <w:szCs w:val="24"/>
          <w:vertAlign w:val="superscript"/>
        </w:rPr>
        <w:footnoteReference w:id="141"/>
      </w:r>
      <w:r w:rsidRPr="008C6FB1">
        <w:rPr>
          <w:sz w:val="24"/>
          <w:szCs w:val="24"/>
        </w:rPr>
        <w:t xml:space="preserve"> and public morality.</w:t>
      </w:r>
      <w:r w:rsidRPr="008C6FB1">
        <w:rPr>
          <w:rFonts w:eastAsia="Calibri" w:cs="Times New Roman"/>
          <w:sz w:val="24"/>
          <w:szCs w:val="24"/>
          <w:lang w:eastAsia="en-US"/>
        </w:rPr>
        <w:t xml:space="preserve"> </w:t>
      </w:r>
      <w:r w:rsidRPr="008C6FB1">
        <w:rPr>
          <w:sz w:val="24"/>
          <w:szCs w:val="24"/>
        </w:rPr>
        <w:t xml:space="preserve">In determining the choice of law to be applied to same-sex relationships, </w:t>
      </w:r>
      <w:r w:rsidR="0005349C">
        <w:rPr>
          <w:sz w:val="24"/>
          <w:szCs w:val="24"/>
        </w:rPr>
        <w:t>we</w:t>
      </w:r>
      <w:r w:rsidRPr="008C6FB1">
        <w:rPr>
          <w:sz w:val="24"/>
          <w:szCs w:val="24"/>
        </w:rPr>
        <w:t xml:space="preserve"> suggest a novel and more extensive suggested choice of law rule which we term the continued recognised relationship theory.</w:t>
      </w:r>
      <w:r w:rsidRPr="008C6FB1">
        <w:rPr>
          <w:rFonts w:cs="Calibri"/>
          <w:i/>
          <w:color w:val="000000"/>
          <w:sz w:val="24"/>
          <w:szCs w:val="24"/>
        </w:rPr>
        <w:t xml:space="preserve"> </w:t>
      </w:r>
      <w:r w:rsidRPr="008C6FB1">
        <w:rPr>
          <w:rFonts w:cs="Calibri"/>
          <w:color w:val="000000"/>
          <w:sz w:val="24"/>
          <w:szCs w:val="24"/>
        </w:rPr>
        <w:t>The applicable rule to be applied would be the law where the couple are intending to live, or the law of the country where they have lived, if their relationship has been subsisting for a reasonable period of time. This goes beyond the intended matrimonial home test as the intended place of domicile is not the only relevant factor; instead consideration is also given to where the couple have already resided. Equally</w:t>
      </w:r>
      <w:r w:rsidR="0005349C">
        <w:rPr>
          <w:rFonts w:cs="Calibri"/>
          <w:color w:val="000000"/>
          <w:sz w:val="24"/>
          <w:szCs w:val="24"/>
        </w:rPr>
        <w:t>,</w:t>
      </w:r>
      <w:r w:rsidRPr="008C6FB1">
        <w:rPr>
          <w:rFonts w:cs="Calibri"/>
          <w:color w:val="000000"/>
          <w:sz w:val="24"/>
          <w:szCs w:val="24"/>
        </w:rPr>
        <w:t xml:space="preserve"> the dual domicile theory is not being utilised as we consider that past factors are not the only relevant ones; the couples’ future intentions also being equally valid.</w:t>
      </w:r>
      <w:r w:rsidRPr="008C6FB1">
        <w:rPr>
          <w:rFonts w:cs="Calibri"/>
          <w:b/>
          <w:color w:val="000000"/>
          <w:sz w:val="24"/>
          <w:szCs w:val="24"/>
        </w:rPr>
        <w:t xml:space="preserve"> </w:t>
      </w:r>
      <w:r w:rsidRPr="008C6FB1">
        <w:rPr>
          <w:rFonts w:cs="Calibri"/>
          <w:color w:val="000000"/>
          <w:sz w:val="24"/>
          <w:szCs w:val="24"/>
        </w:rPr>
        <w:t>There is nothing in this rule which requires individual countries to allow same-sex marriage to take place within their own jurisdiction.</w:t>
      </w:r>
      <w:r w:rsidRPr="008C6FB1">
        <w:rPr>
          <w:rFonts w:cs="Calibri"/>
          <w:i/>
          <w:color w:val="000000"/>
          <w:sz w:val="24"/>
          <w:szCs w:val="24"/>
        </w:rPr>
        <w:t xml:space="preserve"> </w:t>
      </w:r>
      <w:r w:rsidRPr="008C6FB1">
        <w:rPr>
          <w:rFonts w:cs="Calibri"/>
          <w:color w:val="000000"/>
          <w:sz w:val="24"/>
          <w:szCs w:val="24"/>
        </w:rPr>
        <w:t xml:space="preserve">This more extensive choice of law rule can be justified because of concerns surrounding upholding marriage validity, consideration of the view of the parties to the marriage and the example of how polygamous marriages have been treated. We also argue that additional public policy issues apply when considering same-sex relationships, which all argue in favour of a more extended choice of law rule. In turn, we will discuss each of the public policy concerns </w:t>
      </w:r>
      <w:r w:rsidRPr="008C6FB1">
        <w:rPr>
          <w:sz w:val="24"/>
          <w:szCs w:val="24"/>
        </w:rPr>
        <w:t xml:space="preserve">of citizenship, symbolism and equality. Although these arguments are often most appropriate to recognition of same-sex marriage, for the sake of consistency we argue that the same choice of law should be applied to all same-sex relationships, including civil partnerships. </w:t>
      </w:r>
    </w:p>
    <w:p w:rsidR="008C6FB1" w:rsidRPr="008C6FB1" w:rsidRDefault="008C6FB1" w:rsidP="008C6FB1">
      <w:pPr>
        <w:numPr>
          <w:ilvl w:val="0"/>
          <w:numId w:val="4"/>
        </w:numPr>
        <w:spacing w:line="480" w:lineRule="auto"/>
        <w:contextualSpacing/>
        <w:jc w:val="center"/>
        <w:rPr>
          <w:rFonts w:cs="Calibri"/>
          <w:b/>
          <w:color w:val="000000"/>
          <w:sz w:val="24"/>
          <w:szCs w:val="24"/>
        </w:rPr>
      </w:pPr>
      <w:r w:rsidRPr="008C6FB1">
        <w:rPr>
          <w:rFonts w:cs="Calibri"/>
          <w:b/>
          <w:color w:val="000000"/>
          <w:sz w:val="24"/>
          <w:szCs w:val="24"/>
        </w:rPr>
        <w:t>Citizenship</w:t>
      </w:r>
    </w:p>
    <w:p w:rsidR="008C6FB1" w:rsidRPr="008C6FB1" w:rsidRDefault="008C6FB1" w:rsidP="008C6FB1">
      <w:pPr>
        <w:spacing w:line="480" w:lineRule="auto"/>
        <w:jc w:val="both"/>
        <w:rPr>
          <w:rFonts w:eastAsia="Calibri" w:cs="Times New Roman"/>
          <w:sz w:val="24"/>
          <w:szCs w:val="24"/>
          <w:lang w:eastAsia="en-US"/>
        </w:rPr>
      </w:pPr>
      <w:r w:rsidRPr="008C6FB1">
        <w:rPr>
          <w:sz w:val="24"/>
          <w:szCs w:val="24"/>
        </w:rPr>
        <w:t xml:space="preserve">Citizenship is one of the public policy concerns which argue strongly in favour of a more extensive choice of law rule in relation to same-sex couples. </w:t>
      </w:r>
      <w:r w:rsidRPr="008C6FB1">
        <w:rPr>
          <w:rFonts w:eastAsia="Calibri" w:cs="Times New Roman"/>
          <w:sz w:val="24"/>
          <w:szCs w:val="24"/>
          <w:lang w:eastAsia="en-US"/>
        </w:rPr>
        <w:t>It is important to understand what is meant by citizenship in this context. There are clear connections between citizenship and equality. All citizens who have the status are regarded as equals.</w:t>
      </w:r>
      <w:r w:rsidRPr="008C6FB1">
        <w:rPr>
          <w:rFonts w:eastAsia="Calibri" w:cs="Times New Roman"/>
          <w:sz w:val="24"/>
          <w:szCs w:val="24"/>
          <w:vertAlign w:val="superscript"/>
          <w:lang w:eastAsia="en-US"/>
        </w:rPr>
        <w:footnoteReference w:id="142"/>
      </w:r>
      <w:r w:rsidRPr="008C6FB1">
        <w:rPr>
          <w:rFonts w:eastAsia="Calibri" w:cs="Times New Roman"/>
          <w:sz w:val="24"/>
          <w:szCs w:val="24"/>
          <w:lang w:eastAsia="en-US"/>
        </w:rPr>
        <w:t xml:space="preserve"> Equal citizenship involves inclusion, enfranchisement and equity and justice.</w:t>
      </w:r>
      <w:r w:rsidRPr="008C6FB1">
        <w:rPr>
          <w:rFonts w:eastAsia="Calibri" w:cs="Times New Roman"/>
          <w:sz w:val="24"/>
          <w:szCs w:val="24"/>
          <w:vertAlign w:val="superscript"/>
          <w:lang w:eastAsia="en-US"/>
        </w:rPr>
        <w:footnoteReference w:id="143"/>
      </w:r>
      <w:r w:rsidRPr="008C6FB1">
        <w:rPr>
          <w:rFonts w:eastAsia="Calibri" w:cs="Times New Roman"/>
          <w:sz w:val="24"/>
          <w:szCs w:val="24"/>
          <w:lang w:eastAsia="en-US"/>
        </w:rPr>
        <w:t xml:space="preserve"> ‘’Sexual citizenship’’ has been recognised by a number of authors, who see the right to enter into marriage for same-sex couples as having a ‘’constitutional character’’.</w:t>
      </w:r>
      <w:r w:rsidRPr="008C6FB1">
        <w:rPr>
          <w:rFonts w:eastAsia="Calibri" w:cs="Times New Roman"/>
          <w:sz w:val="24"/>
          <w:szCs w:val="24"/>
          <w:vertAlign w:val="superscript"/>
          <w:lang w:eastAsia="en-US"/>
        </w:rPr>
        <w:footnoteReference w:id="144"/>
      </w:r>
      <w:r w:rsidRPr="008C6FB1">
        <w:rPr>
          <w:rFonts w:eastAsia="Calibri" w:cs="Times New Roman"/>
          <w:sz w:val="24"/>
          <w:szCs w:val="24"/>
          <w:lang w:eastAsia="en-US"/>
        </w:rPr>
        <w:t xml:space="preserve"> Marriage involves not only the personal relationship between the two individuals involved but also puts the relationship on a public footing.  This is because of the number of p</w:t>
      </w:r>
      <w:r w:rsidR="00F260EE">
        <w:rPr>
          <w:rFonts w:eastAsia="Calibri" w:cs="Times New Roman"/>
          <w:sz w:val="24"/>
          <w:szCs w:val="24"/>
          <w:lang w:eastAsia="en-US"/>
        </w:rPr>
        <w:t>ublic rights it involves and it ‘’participates</w:t>
      </w:r>
      <w:r w:rsidRPr="008C6FB1">
        <w:rPr>
          <w:rFonts w:eastAsia="Calibri" w:cs="Times New Roman"/>
          <w:sz w:val="24"/>
          <w:szCs w:val="24"/>
          <w:lang w:eastAsia="en-US"/>
        </w:rPr>
        <w:t xml:space="preserve"> in the public order’’ concerned.</w:t>
      </w:r>
      <w:r w:rsidRPr="008C6FB1">
        <w:rPr>
          <w:rFonts w:eastAsia="Calibri" w:cs="Times New Roman"/>
          <w:sz w:val="24"/>
          <w:szCs w:val="24"/>
          <w:vertAlign w:val="superscript"/>
          <w:lang w:eastAsia="en-US"/>
        </w:rPr>
        <w:t xml:space="preserve"> </w:t>
      </w:r>
      <w:r w:rsidRPr="008C6FB1">
        <w:rPr>
          <w:rFonts w:eastAsia="Calibri" w:cs="Times New Roman"/>
          <w:sz w:val="24"/>
          <w:szCs w:val="24"/>
          <w:vertAlign w:val="superscript"/>
          <w:lang w:eastAsia="en-US"/>
        </w:rPr>
        <w:footnoteReference w:id="145"/>
      </w:r>
      <w:r w:rsidRPr="008C6FB1">
        <w:rPr>
          <w:rFonts w:eastAsia="Calibri" w:cs="Times New Roman"/>
          <w:sz w:val="24"/>
          <w:szCs w:val="24"/>
          <w:lang w:eastAsia="en-US"/>
        </w:rPr>
        <w:t xml:space="preserve">  In turn because of the public nature of marriage this has constitutional importance. The right to marriage is given protection by international conventions</w:t>
      </w:r>
      <w:r w:rsidRPr="008C6FB1">
        <w:rPr>
          <w:rFonts w:eastAsia="Calibri" w:cs="Times New Roman"/>
          <w:sz w:val="24"/>
          <w:szCs w:val="24"/>
          <w:vertAlign w:val="superscript"/>
          <w:lang w:eastAsia="en-US"/>
        </w:rPr>
        <w:footnoteReference w:id="146"/>
      </w:r>
      <w:r w:rsidRPr="008C6FB1">
        <w:rPr>
          <w:rFonts w:eastAsia="Calibri" w:cs="Times New Roman"/>
          <w:sz w:val="24"/>
          <w:szCs w:val="24"/>
          <w:lang w:eastAsia="en-US"/>
        </w:rPr>
        <w:t xml:space="preserve"> and leading cases</w:t>
      </w:r>
      <w:r w:rsidRPr="008C6FB1">
        <w:rPr>
          <w:rFonts w:eastAsia="Calibri" w:cs="Times New Roman"/>
          <w:sz w:val="24"/>
          <w:szCs w:val="24"/>
          <w:vertAlign w:val="superscript"/>
          <w:lang w:eastAsia="en-US"/>
        </w:rPr>
        <w:footnoteReference w:id="147"/>
      </w:r>
      <w:r w:rsidRPr="008C6FB1">
        <w:rPr>
          <w:rFonts w:eastAsia="Calibri" w:cs="Times New Roman"/>
          <w:sz w:val="24"/>
          <w:szCs w:val="24"/>
          <w:lang w:eastAsia="en-US"/>
        </w:rPr>
        <w:t xml:space="preserve"> and many countries have legalised same-sex marriage.</w:t>
      </w:r>
      <w:r w:rsidRPr="008C6FB1">
        <w:rPr>
          <w:rFonts w:eastAsia="Calibri" w:cs="Times New Roman"/>
          <w:sz w:val="24"/>
          <w:szCs w:val="24"/>
          <w:vertAlign w:val="superscript"/>
          <w:lang w:eastAsia="en-US"/>
        </w:rPr>
        <w:footnoteReference w:id="148"/>
      </w:r>
      <w:r w:rsidRPr="008C6FB1">
        <w:rPr>
          <w:rFonts w:eastAsia="Calibri" w:cs="Times New Roman"/>
          <w:sz w:val="24"/>
          <w:szCs w:val="24"/>
          <w:lang w:eastAsia="en-US"/>
        </w:rPr>
        <w:t xml:space="preserve">  Same-sex couples who cannot access the status of marriage will not have the full level of constitutional protections and can therefore be regarded as partial citizens only.</w:t>
      </w:r>
      <w:r w:rsidRPr="008C6FB1">
        <w:rPr>
          <w:rFonts w:eastAsia="Calibri" w:cs="Times New Roman"/>
          <w:sz w:val="24"/>
          <w:szCs w:val="24"/>
          <w:vertAlign w:val="superscript"/>
          <w:lang w:eastAsia="en-US"/>
        </w:rPr>
        <w:footnoteReference w:id="149"/>
      </w:r>
      <w:r w:rsidRPr="008C6FB1">
        <w:rPr>
          <w:rFonts w:eastAsia="Calibri" w:cs="Times New Roman"/>
          <w:sz w:val="24"/>
          <w:szCs w:val="24"/>
          <w:lang w:eastAsia="en-US"/>
        </w:rPr>
        <w:t xml:space="preserve"> </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This piece argues for a solution with regards to having a uniform choice of law for same-sex relationships at an EU level. The EU has embraced the concept of citizenship. This can be seen from the extensive rights granted to citizens under the Citizenship Directive 2004 / 38. For example</w:t>
      </w:r>
      <w:r w:rsidR="0005349C">
        <w:rPr>
          <w:rFonts w:eastAsia="Calibri" w:cs="Times New Roman"/>
          <w:sz w:val="24"/>
          <w:szCs w:val="24"/>
          <w:lang w:eastAsia="en-US"/>
        </w:rPr>
        <w:t>,</w:t>
      </w:r>
      <w:r w:rsidRPr="008C6FB1">
        <w:rPr>
          <w:rFonts w:eastAsia="Calibri" w:cs="Times New Roman"/>
          <w:sz w:val="24"/>
          <w:szCs w:val="24"/>
          <w:lang w:eastAsia="en-US"/>
        </w:rPr>
        <w:t xml:space="preserve"> citizens and family members of citizens are given extensive rights of residence,</w:t>
      </w:r>
      <w:r w:rsidRPr="008C6FB1">
        <w:rPr>
          <w:rFonts w:eastAsia="Calibri" w:cs="Times New Roman"/>
          <w:sz w:val="24"/>
          <w:szCs w:val="24"/>
          <w:vertAlign w:val="superscript"/>
          <w:lang w:eastAsia="en-US"/>
        </w:rPr>
        <w:footnoteReference w:id="150"/>
      </w:r>
      <w:r w:rsidRPr="008C6FB1">
        <w:rPr>
          <w:rFonts w:eastAsia="Calibri" w:cs="Times New Roman"/>
          <w:sz w:val="24"/>
          <w:szCs w:val="24"/>
          <w:lang w:eastAsia="en-US"/>
        </w:rPr>
        <w:t xml:space="preserve"> access to Member State’s social assistance scheme</w:t>
      </w:r>
      <w:r w:rsidRPr="008C6FB1">
        <w:rPr>
          <w:rFonts w:eastAsia="Calibri" w:cs="Times New Roman"/>
          <w:sz w:val="24"/>
          <w:szCs w:val="24"/>
          <w:vertAlign w:val="superscript"/>
          <w:lang w:eastAsia="en-US"/>
        </w:rPr>
        <w:footnoteReference w:id="151"/>
      </w:r>
      <w:r w:rsidRPr="008C6FB1">
        <w:rPr>
          <w:rFonts w:eastAsia="Calibri" w:cs="Times New Roman"/>
          <w:sz w:val="24"/>
          <w:szCs w:val="24"/>
          <w:lang w:eastAsia="en-US"/>
        </w:rPr>
        <w:t xml:space="preserve"> and equality in relation to employment</w:t>
      </w:r>
      <w:r w:rsidRPr="008C6FB1">
        <w:rPr>
          <w:rFonts w:eastAsia="Calibri" w:cs="Times New Roman"/>
          <w:sz w:val="24"/>
          <w:szCs w:val="24"/>
          <w:vertAlign w:val="superscript"/>
          <w:lang w:eastAsia="en-US"/>
        </w:rPr>
        <w:footnoteReference w:id="152"/>
      </w:r>
      <w:r w:rsidRPr="008C6FB1">
        <w:rPr>
          <w:rFonts w:eastAsia="Calibri" w:cs="Times New Roman"/>
          <w:sz w:val="24"/>
          <w:szCs w:val="24"/>
          <w:lang w:eastAsia="en-US"/>
        </w:rPr>
        <w:t xml:space="preserve"> and self-employment.</w:t>
      </w:r>
      <w:r w:rsidRPr="008C6FB1">
        <w:rPr>
          <w:rFonts w:eastAsia="Calibri" w:cs="Times New Roman"/>
          <w:sz w:val="24"/>
          <w:szCs w:val="24"/>
          <w:vertAlign w:val="superscript"/>
          <w:lang w:eastAsia="en-US"/>
        </w:rPr>
        <w:footnoteReference w:id="153"/>
      </w:r>
      <w:r w:rsidRPr="008C6FB1">
        <w:rPr>
          <w:rFonts w:eastAsia="Calibri" w:cs="Times New Roman"/>
          <w:sz w:val="24"/>
          <w:szCs w:val="24"/>
          <w:lang w:eastAsia="en-US"/>
        </w:rPr>
        <w:t xml:space="preserve"> Alison O’Neil argues that the EU’s free movement provisions entail the right of same-sex couples to move around Europe.</w:t>
      </w:r>
      <w:r w:rsidRPr="008C6FB1">
        <w:rPr>
          <w:rFonts w:eastAsia="Calibri" w:cs="Times New Roman"/>
          <w:sz w:val="24"/>
          <w:szCs w:val="24"/>
          <w:vertAlign w:val="superscript"/>
          <w:lang w:eastAsia="en-US"/>
        </w:rPr>
        <w:footnoteReference w:id="154"/>
      </w:r>
      <w:r w:rsidRPr="008C6FB1">
        <w:rPr>
          <w:rFonts w:eastAsia="Calibri" w:cs="Times New Roman"/>
          <w:sz w:val="24"/>
          <w:szCs w:val="24"/>
          <w:lang w:eastAsia="en-US"/>
        </w:rPr>
        <w:t xml:space="preserve"> If an EU citizens’ family cannot move along with the EU citizen, it is going to deter and may prevent an EU citizen moving entirely. Citizenship is therefore a strong public policy factor in favour of having a more extensive choice of law rule. </w:t>
      </w:r>
    </w:p>
    <w:p w:rsidR="008C6FB1" w:rsidRPr="008C6FB1" w:rsidRDefault="008C6FB1" w:rsidP="008C6FB1">
      <w:pPr>
        <w:numPr>
          <w:ilvl w:val="0"/>
          <w:numId w:val="4"/>
        </w:numPr>
        <w:spacing w:line="480" w:lineRule="auto"/>
        <w:contextualSpacing/>
        <w:jc w:val="center"/>
        <w:rPr>
          <w:rFonts w:cs="Calibri"/>
          <w:b/>
          <w:color w:val="000000"/>
          <w:sz w:val="24"/>
          <w:szCs w:val="24"/>
        </w:rPr>
      </w:pPr>
      <w:r w:rsidRPr="008C6FB1">
        <w:rPr>
          <w:rFonts w:cs="Calibri"/>
          <w:b/>
          <w:color w:val="000000"/>
          <w:sz w:val="24"/>
          <w:szCs w:val="24"/>
        </w:rPr>
        <w:t>Symbolic Status of Marriage</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Marriage also has a symbolic status. Zvi Triger argues that marriage has been used as a weapon against gays.</w:t>
      </w:r>
      <w:r w:rsidRPr="008C6FB1">
        <w:rPr>
          <w:rFonts w:eastAsia="Times New Roman" w:cs="Times New Roman"/>
          <w:sz w:val="24"/>
          <w:szCs w:val="24"/>
          <w:vertAlign w:val="superscript"/>
          <w:lang w:eastAsia="en-GB"/>
        </w:rPr>
        <w:footnoteReference w:id="155"/>
      </w:r>
      <w:r w:rsidRPr="008C6FB1">
        <w:rPr>
          <w:rFonts w:eastAsia="Calibri" w:cs="Times New Roman"/>
          <w:sz w:val="24"/>
          <w:szCs w:val="24"/>
          <w:lang w:eastAsia="en-US"/>
        </w:rPr>
        <w:t xml:space="preserve"> Marriage is viewed by many as the preferred status which gives many legal privileges in countries across Europe as well as the United States.</w:t>
      </w:r>
      <w:r w:rsidRPr="008C6FB1">
        <w:rPr>
          <w:rFonts w:eastAsia="Calibri" w:cs="Times New Roman"/>
          <w:sz w:val="24"/>
          <w:szCs w:val="24"/>
          <w:vertAlign w:val="superscript"/>
          <w:lang w:eastAsia="en-US"/>
        </w:rPr>
        <w:footnoteReference w:id="156"/>
      </w:r>
      <w:r w:rsidRPr="008C6FB1">
        <w:rPr>
          <w:rFonts w:eastAsia="Calibri" w:cs="Times New Roman"/>
          <w:sz w:val="24"/>
          <w:szCs w:val="24"/>
          <w:lang w:eastAsia="en-US"/>
        </w:rPr>
        <w:t xml:space="preserve"> To be denied recognition of this status is to be demoted to a second-class status. Michael Dorf discusses the “symbolic impact” that results.</w:t>
      </w:r>
      <w:r w:rsidRPr="008C6FB1">
        <w:rPr>
          <w:sz w:val="24"/>
          <w:szCs w:val="24"/>
          <w:vertAlign w:val="superscript"/>
        </w:rPr>
        <w:footnoteReference w:id="157"/>
      </w:r>
      <w:r w:rsidRPr="008C6FB1">
        <w:rPr>
          <w:rFonts w:eastAsia="Calibri" w:cs="Times New Roman"/>
          <w:sz w:val="24"/>
          <w:szCs w:val="24"/>
          <w:vertAlign w:val="superscript"/>
          <w:lang w:eastAsia="en-US"/>
        </w:rPr>
        <w:t xml:space="preserve"> </w:t>
      </w:r>
      <w:r w:rsidRPr="008C6FB1">
        <w:rPr>
          <w:rFonts w:eastAsia="Calibri" w:cs="Times New Roman"/>
          <w:sz w:val="24"/>
          <w:szCs w:val="24"/>
          <w:lang w:eastAsia="en-US"/>
        </w:rPr>
        <w:t xml:space="preserve">The strength of the symbolism argument can also be seen in same-sex couples continuing to fight for same-sex marriage, even after being given many of the legal rights of civil partnership. </w:t>
      </w:r>
      <w:r w:rsidRPr="008C6FB1">
        <w:rPr>
          <w:rFonts w:eastAsiaTheme="minorHAnsi"/>
          <w:sz w:val="24"/>
          <w:szCs w:val="24"/>
          <w:lang w:eastAsia="en-US"/>
        </w:rPr>
        <w:t>France, England and Wales and Denmark are all examples of jurisdictions that went on to introduce same-sex marriage legislation even after the prior introduction of civil partnership. This was despite the fact that in England civil partnerships were given almost equivalent legal protections to that of married couples. Symbolism is therefore another strong public policy argument which favours a more extensive choice of law rule.</w:t>
      </w:r>
      <w:r w:rsidRPr="008C6FB1">
        <w:rPr>
          <w:rFonts w:eastAsiaTheme="minorHAnsi"/>
          <w:lang w:eastAsia="en-US"/>
        </w:rPr>
        <w:t xml:space="preserve"> </w:t>
      </w:r>
    </w:p>
    <w:p w:rsidR="008C6FB1" w:rsidRPr="008C6FB1" w:rsidRDefault="008C6FB1" w:rsidP="008C6FB1">
      <w:pPr>
        <w:numPr>
          <w:ilvl w:val="0"/>
          <w:numId w:val="4"/>
        </w:numPr>
        <w:spacing w:line="480" w:lineRule="auto"/>
        <w:contextualSpacing/>
        <w:jc w:val="center"/>
        <w:rPr>
          <w:rFonts w:cs="Calibri"/>
          <w:b/>
          <w:color w:val="000000"/>
          <w:sz w:val="24"/>
          <w:szCs w:val="24"/>
        </w:rPr>
      </w:pPr>
      <w:r w:rsidRPr="008C6FB1">
        <w:rPr>
          <w:rFonts w:cs="Calibri"/>
          <w:b/>
          <w:color w:val="000000"/>
          <w:sz w:val="24"/>
          <w:szCs w:val="24"/>
        </w:rPr>
        <w:t>Equality Arguments</w:t>
      </w:r>
    </w:p>
    <w:p w:rsidR="008C6FB1" w:rsidRPr="008C6FB1" w:rsidRDefault="008C6FB1" w:rsidP="008C6FB1">
      <w:pPr>
        <w:spacing w:line="480" w:lineRule="auto"/>
        <w:jc w:val="both"/>
        <w:rPr>
          <w:rFonts w:eastAsia="Calibri" w:cs="Times New Roman"/>
          <w:sz w:val="24"/>
          <w:szCs w:val="24"/>
          <w:lang w:eastAsia="en-US"/>
        </w:rPr>
      </w:pPr>
      <w:r w:rsidRPr="008C6FB1">
        <w:rPr>
          <w:sz w:val="24"/>
          <w:szCs w:val="24"/>
        </w:rPr>
        <w:t>Equality arguments are vital in relation to success of the recognition of same-sex marriage.</w:t>
      </w:r>
      <w:r w:rsidRPr="008C6FB1">
        <w:rPr>
          <w:rFonts w:eastAsiaTheme="minorHAnsi"/>
          <w:vertAlign w:val="superscript"/>
          <w:lang w:eastAsia="en-US"/>
        </w:rPr>
        <w:footnoteReference w:id="158"/>
      </w:r>
      <w:r w:rsidRPr="008C6FB1">
        <w:rPr>
          <w:rFonts w:eastAsia="Calibri" w:cs="Times New Roman"/>
          <w:sz w:val="24"/>
          <w:szCs w:val="24"/>
          <w:lang w:eastAsia="en-US"/>
        </w:rPr>
        <w:t xml:space="preserve">  In many international cases where arguments in relation to same-sex marriage have been made successfully, equality has often been the deciding argument.</w:t>
      </w:r>
      <w:r w:rsidRPr="008C6FB1">
        <w:rPr>
          <w:rFonts w:eastAsiaTheme="minorHAnsi"/>
          <w:vertAlign w:val="superscript"/>
          <w:lang w:eastAsia="en-US"/>
        </w:rPr>
        <w:footnoteReference w:id="159"/>
      </w:r>
      <w:r w:rsidRPr="008C6FB1">
        <w:rPr>
          <w:rFonts w:eastAsia="Calibri" w:cs="Times New Roman"/>
          <w:sz w:val="24"/>
          <w:szCs w:val="24"/>
          <w:lang w:eastAsia="en-US"/>
        </w:rPr>
        <w:t xml:space="preserve"> This can be seen from the latest cases in the US Supreme Court</w:t>
      </w:r>
      <w:r w:rsidRPr="008C6FB1">
        <w:rPr>
          <w:rFonts w:eastAsiaTheme="minorHAnsi"/>
          <w:vertAlign w:val="superscript"/>
          <w:lang w:eastAsia="en-US"/>
        </w:rPr>
        <w:footnoteReference w:id="160"/>
      </w:r>
      <w:r w:rsidRPr="008C6FB1">
        <w:rPr>
          <w:rFonts w:eastAsia="Calibri" w:cs="Times New Roman"/>
          <w:sz w:val="24"/>
          <w:szCs w:val="24"/>
          <w:lang w:eastAsia="en-US"/>
        </w:rPr>
        <w:t xml:space="preserve"> as well as leading decisions from Canada</w:t>
      </w:r>
      <w:r w:rsidRPr="008C6FB1">
        <w:rPr>
          <w:rFonts w:eastAsiaTheme="minorHAnsi"/>
          <w:vertAlign w:val="superscript"/>
          <w:lang w:eastAsia="en-US"/>
        </w:rPr>
        <w:footnoteReference w:id="161"/>
      </w:r>
      <w:r w:rsidRPr="008C6FB1">
        <w:rPr>
          <w:rFonts w:eastAsia="Calibri" w:cs="Times New Roman"/>
          <w:sz w:val="24"/>
          <w:szCs w:val="24"/>
          <w:lang w:eastAsia="en-US"/>
        </w:rPr>
        <w:t xml:space="preserve"> and South Africa.</w:t>
      </w:r>
      <w:r w:rsidRPr="008C6FB1">
        <w:rPr>
          <w:rFonts w:eastAsia="Calibri" w:cs="Times New Roman"/>
          <w:sz w:val="24"/>
          <w:szCs w:val="24"/>
          <w:vertAlign w:val="superscript"/>
          <w:lang w:eastAsia="en-US"/>
        </w:rPr>
        <w:footnoteReference w:id="162"/>
      </w:r>
      <w:r w:rsidRPr="008C6FB1">
        <w:rPr>
          <w:rFonts w:eastAsia="Calibri" w:cs="Times New Roman"/>
          <w:sz w:val="24"/>
          <w:szCs w:val="24"/>
          <w:lang w:eastAsia="en-US"/>
        </w:rPr>
        <w:t xml:space="preserve"> Recognition of same-sex marriage is seen by many as the latest in the chapter of historical debates regarding marriage laws, following the abolition of miscegenation and Nazi anti-Jewish legislation</w:t>
      </w:r>
      <w:r w:rsidRPr="008C6FB1">
        <w:rPr>
          <w:rFonts w:eastAsiaTheme="minorHAnsi"/>
          <w:vertAlign w:val="superscript"/>
          <w:lang w:eastAsia="en-US"/>
        </w:rPr>
        <w:footnoteReference w:id="163"/>
      </w:r>
      <w:r w:rsidRPr="008C6FB1">
        <w:rPr>
          <w:sz w:val="24"/>
          <w:szCs w:val="24"/>
        </w:rPr>
        <w:t xml:space="preserve"> </w:t>
      </w:r>
      <w:r w:rsidRPr="008C6FB1">
        <w:rPr>
          <w:rFonts w:eastAsia="Calibri" w:cs="Times New Roman"/>
          <w:sz w:val="24"/>
          <w:szCs w:val="24"/>
          <w:lang w:eastAsia="en-US"/>
        </w:rPr>
        <w:t xml:space="preserve"> Other marriage reforms which demonstrate the changing nature of marriage</w:t>
      </w:r>
      <w:r w:rsidRPr="008C6FB1">
        <w:rPr>
          <w:rFonts w:eastAsia="Calibri" w:cs="Times New Roman"/>
          <w:sz w:val="24"/>
          <w:szCs w:val="24"/>
          <w:vertAlign w:val="superscript"/>
          <w:lang w:eastAsia="en-US"/>
        </w:rPr>
        <w:footnoteReference w:id="164"/>
      </w:r>
      <w:r w:rsidRPr="008C6FB1">
        <w:rPr>
          <w:rFonts w:eastAsia="Calibri" w:cs="Times New Roman"/>
          <w:sz w:val="24"/>
          <w:szCs w:val="24"/>
          <w:lang w:eastAsia="en-US"/>
        </w:rPr>
        <w:t xml:space="preserve"> concern the reversal of laws which did not allow women to own property during marriage and recognition of transsexuals in their new sex.</w:t>
      </w:r>
      <w:r w:rsidRPr="008C6FB1">
        <w:rPr>
          <w:rFonts w:eastAsia="Calibri" w:cs="Times New Roman"/>
          <w:sz w:val="24"/>
          <w:szCs w:val="24"/>
          <w:vertAlign w:val="superscript"/>
          <w:lang w:eastAsia="en-US"/>
        </w:rPr>
        <w:footnoteReference w:id="165"/>
      </w:r>
      <w:r w:rsidRPr="008C6FB1">
        <w:rPr>
          <w:rFonts w:eastAsia="Calibri" w:cs="Times New Roman"/>
          <w:sz w:val="24"/>
          <w:szCs w:val="24"/>
          <w:lang w:eastAsia="en-US"/>
        </w:rPr>
        <w:t xml:space="preserve"> Some authors argue that public policy factors should be weighed, and that some factors such as equality concerns should be given greater weight on the scales.</w:t>
      </w:r>
      <w:r w:rsidRPr="008C6FB1">
        <w:rPr>
          <w:rFonts w:eastAsiaTheme="minorHAnsi"/>
          <w:vertAlign w:val="superscript"/>
          <w:lang w:eastAsia="en-US"/>
        </w:rPr>
        <w:footnoteReference w:id="166"/>
      </w:r>
      <w:r w:rsidRPr="008C6FB1">
        <w:rPr>
          <w:rFonts w:eastAsia="Calibri" w:cs="Times New Roman"/>
          <w:sz w:val="24"/>
          <w:szCs w:val="24"/>
          <w:lang w:eastAsia="en-US"/>
        </w:rPr>
        <w:t xml:space="preserve"> Barbara Cox is one such author. She considers that equality should be given greater weight on the scale and that there should be recognition of same-sex marriage because this would end ‘’age-old discrimination and prejudice and misunderstanding”.’</w:t>
      </w:r>
      <w:r w:rsidRPr="008C6FB1">
        <w:rPr>
          <w:rFonts w:eastAsia="Calibri" w:cs="Times New Roman"/>
          <w:sz w:val="24"/>
          <w:szCs w:val="24"/>
          <w:vertAlign w:val="superscript"/>
          <w:lang w:eastAsia="en-US"/>
        </w:rPr>
        <w:footnoteReference w:id="167"/>
      </w:r>
      <w:r w:rsidRPr="008C6FB1">
        <w:rPr>
          <w:rFonts w:eastAsia="Calibri" w:cs="Times New Roman"/>
          <w:b/>
          <w:sz w:val="24"/>
          <w:szCs w:val="24"/>
          <w:lang w:eastAsia="en-US"/>
        </w:rPr>
        <w:t xml:space="preserve"> </w:t>
      </w:r>
      <w:r w:rsidRPr="008C6FB1">
        <w:rPr>
          <w:rFonts w:eastAsia="Calibri" w:cs="Times New Roman"/>
          <w:sz w:val="24"/>
          <w:szCs w:val="24"/>
          <w:lang w:eastAsia="en-US"/>
        </w:rPr>
        <w:t>It also demonstrates the importance of equality as a public policy factor tending towards a more extensive choice of law rule.</w:t>
      </w:r>
      <w:r w:rsidRPr="008C6FB1">
        <w:rPr>
          <w:rFonts w:eastAsia="Calibri" w:cs="Times New Roman"/>
          <w:b/>
          <w:sz w:val="24"/>
          <w:szCs w:val="24"/>
          <w:lang w:eastAsia="en-US"/>
        </w:rPr>
        <w:t xml:space="preserve"> </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 xml:space="preserve">This argument has received much criticism with </w:t>
      </w:r>
      <w:r w:rsidRPr="008C6FB1">
        <w:rPr>
          <w:sz w:val="24"/>
          <w:szCs w:val="24"/>
        </w:rPr>
        <w:t>Scott Fruehwald arguing that there are no “substantively neutral” or “objective criteria” to weigh the competing public policy concerns.</w:t>
      </w:r>
      <w:r w:rsidRPr="008C6FB1">
        <w:rPr>
          <w:rFonts w:eastAsiaTheme="minorHAnsi"/>
          <w:vertAlign w:val="superscript"/>
          <w:lang w:eastAsia="en-US"/>
        </w:rPr>
        <w:footnoteReference w:id="168"/>
      </w:r>
      <w:r w:rsidRPr="008C6FB1">
        <w:rPr>
          <w:sz w:val="24"/>
          <w:szCs w:val="24"/>
        </w:rPr>
        <w:t xml:space="preserve"> As this article is proposing that the choice of law should be determined at an EU level, there is an interesting point to make about how these public policy issues may be weighted. The EU is committed to join the ECvHR.</w:t>
      </w:r>
      <w:r w:rsidRPr="008C6FB1">
        <w:rPr>
          <w:sz w:val="24"/>
          <w:szCs w:val="24"/>
          <w:vertAlign w:val="superscript"/>
        </w:rPr>
        <w:footnoteReference w:id="169"/>
      </w:r>
      <w:r w:rsidRPr="008C6FB1">
        <w:rPr>
          <w:sz w:val="24"/>
          <w:szCs w:val="24"/>
        </w:rPr>
        <w:t xml:space="preserve"> The ECtHR has long had a policy of weighing competing arguments.</w:t>
      </w:r>
      <w:r w:rsidRPr="008C6FB1">
        <w:rPr>
          <w:sz w:val="24"/>
          <w:szCs w:val="24"/>
          <w:vertAlign w:val="superscript"/>
        </w:rPr>
        <w:footnoteReference w:id="170"/>
      </w:r>
      <w:r w:rsidRPr="008C6FB1">
        <w:rPr>
          <w:sz w:val="24"/>
          <w:szCs w:val="24"/>
        </w:rPr>
        <w:t xml:space="preserve"> Human rights arguments are given greater weight than those of commercial interests, for example.</w:t>
      </w:r>
      <w:r w:rsidRPr="008C6FB1">
        <w:rPr>
          <w:sz w:val="24"/>
          <w:szCs w:val="24"/>
          <w:vertAlign w:val="superscript"/>
        </w:rPr>
        <w:footnoteReference w:id="171"/>
      </w:r>
      <w:r w:rsidRPr="008C6FB1">
        <w:rPr>
          <w:sz w:val="24"/>
          <w:szCs w:val="24"/>
        </w:rPr>
        <w:t xml:space="preserve"> An argument could therefore be made that equality based human rights concerns should be given greater weight than other competing public policy arguments. This argument has been given a considerable boost by the July 2015 decision o</w:t>
      </w:r>
      <w:r w:rsidR="0005349C">
        <w:rPr>
          <w:sz w:val="24"/>
          <w:szCs w:val="24"/>
        </w:rPr>
        <w:t>f</w:t>
      </w:r>
      <w:r w:rsidRPr="008C6FB1">
        <w:rPr>
          <w:sz w:val="24"/>
          <w:szCs w:val="24"/>
        </w:rPr>
        <w:t xml:space="preserve"> the ECtHR in </w:t>
      </w:r>
      <w:r w:rsidRPr="008C6FB1">
        <w:rPr>
          <w:i/>
          <w:sz w:val="24"/>
          <w:szCs w:val="24"/>
        </w:rPr>
        <w:t>Oliari v Italy</w:t>
      </w:r>
      <w:r w:rsidRPr="008C6FB1">
        <w:rPr>
          <w:sz w:val="24"/>
          <w:szCs w:val="24"/>
        </w:rPr>
        <w:t>.</w:t>
      </w:r>
      <w:r w:rsidRPr="008C6FB1">
        <w:rPr>
          <w:sz w:val="24"/>
          <w:szCs w:val="24"/>
          <w:vertAlign w:val="superscript"/>
        </w:rPr>
        <w:footnoteReference w:id="172"/>
      </w:r>
      <w:r w:rsidRPr="008C6FB1">
        <w:rPr>
          <w:sz w:val="24"/>
          <w:szCs w:val="24"/>
        </w:rPr>
        <w:t xml:space="preserve"> All ECtHR contracting states have to introduce either civil partnership / registered partnership although it remains open to their discretion as to the exact form this will take. There is no requirement to introduce same-sex marriage where the ECtHR continues to be bound by the margin of appreciation</w:t>
      </w:r>
      <w:r w:rsidRPr="008C6FB1">
        <w:rPr>
          <w:sz w:val="24"/>
          <w:szCs w:val="24"/>
          <w:vertAlign w:val="superscript"/>
        </w:rPr>
        <w:footnoteReference w:id="173"/>
      </w:r>
      <w:r w:rsidRPr="008C6FB1">
        <w:rPr>
          <w:sz w:val="24"/>
          <w:szCs w:val="24"/>
        </w:rPr>
        <w:t xml:space="preserve"> (as will be explored further in the next section), currently allowing Member States discretion on this policy. The important public policy concerns of citizenship, symbolism and equality do have to be born in mind when determining which choice of law should be applied to same-sex relationships. We argue that the more extensive continued recognised relationship theory is appropriate. The next section looks further at why it is necessary to tackle this matter at an EU level. </w:t>
      </w:r>
    </w:p>
    <w:p w:rsidR="008C6FB1" w:rsidRPr="008C6FB1" w:rsidRDefault="008C6FB1" w:rsidP="008C6FB1">
      <w:pPr>
        <w:spacing w:line="480" w:lineRule="auto"/>
        <w:jc w:val="center"/>
        <w:rPr>
          <w:b/>
          <w:sz w:val="24"/>
          <w:szCs w:val="24"/>
        </w:rPr>
      </w:pPr>
      <w:r w:rsidRPr="008C6FB1">
        <w:rPr>
          <w:b/>
          <w:sz w:val="24"/>
          <w:szCs w:val="24"/>
        </w:rPr>
        <w:t>IV European Union</w:t>
      </w:r>
    </w:p>
    <w:p w:rsidR="008C6FB1" w:rsidRPr="008C6FB1" w:rsidRDefault="008C6FB1" w:rsidP="008C6FB1">
      <w:pPr>
        <w:spacing w:line="480" w:lineRule="auto"/>
        <w:jc w:val="both"/>
        <w:rPr>
          <w:b/>
          <w:sz w:val="24"/>
          <w:szCs w:val="24"/>
        </w:rPr>
      </w:pPr>
      <w:r w:rsidRPr="008C6FB1">
        <w:rPr>
          <w:rFonts w:eastAsiaTheme="minorHAnsi"/>
          <w:sz w:val="24"/>
          <w:szCs w:val="24"/>
          <w:lang w:eastAsia="en-US"/>
        </w:rPr>
        <w:t>The right to free movement across the EU, and the need to avoid limping marriages,</w:t>
      </w:r>
      <w:r w:rsidRPr="008C6FB1">
        <w:rPr>
          <w:rFonts w:eastAsiaTheme="minorHAnsi"/>
          <w:sz w:val="24"/>
          <w:szCs w:val="24"/>
          <w:vertAlign w:val="superscript"/>
          <w:lang w:eastAsia="en-US"/>
        </w:rPr>
        <w:footnoteReference w:id="174"/>
      </w:r>
      <w:r w:rsidRPr="008C6FB1">
        <w:rPr>
          <w:sz w:val="24"/>
          <w:szCs w:val="24"/>
        </w:rPr>
        <w:t xml:space="preserve"> advocates in favour of EU involvement. Problems are caused by ‘”divergences between Member States”,</w:t>
      </w:r>
      <w:r w:rsidRPr="008C6FB1">
        <w:rPr>
          <w:sz w:val="24"/>
          <w:szCs w:val="24"/>
          <w:vertAlign w:val="superscript"/>
        </w:rPr>
        <w:footnoteReference w:id="175"/>
      </w:r>
      <w:r w:rsidRPr="008C6FB1">
        <w:rPr>
          <w:sz w:val="24"/>
          <w:szCs w:val="24"/>
        </w:rPr>
        <w:t xml:space="preserve"> and this is particularly acute in the area of same-sex relationships. Many Member States now have some legal form of same-sex relationship, but there is wide diversity on how this has been introduced.</w:t>
      </w:r>
      <w:r w:rsidRPr="008C6FB1">
        <w:rPr>
          <w:rFonts w:eastAsia="Calibri" w:cs="Times New Roman"/>
          <w:sz w:val="24"/>
          <w:szCs w:val="24"/>
          <w:vertAlign w:val="superscript"/>
          <w:lang w:eastAsia="en-US"/>
        </w:rPr>
        <w:footnoteReference w:id="176"/>
      </w:r>
      <w:r w:rsidRPr="008C6FB1">
        <w:rPr>
          <w:sz w:val="24"/>
          <w:szCs w:val="24"/>
        </w:rPr>
        <w:t xml:space="preserve"> Even following </w:t>
      </w:r>
      <w:r w:rsidRPr="008C6FB1">
        <w:rPr>
          <w:i/>
          <w:sz w:val="24"/>
          <w:szCs w:val="24"/>
        </w:rPr>
        <w:t>Oliari v Italy</w:t>
      </w:r>
      <w:r w:rsidRPr="008C6FB1">
        <w:rPr>
          <w:i/>
          <w:sz w:val="24"/>
          <w:szCs w:val="24"/>
          <w:vertAlign w:val="superscript"/>
        </w:rPr>
        <w:footnoteReference w:id="177"/>
      </w:r>
      <w:r w:rsidRPr="008C6FB1">
        <w:rPr>
          <w:i/>
          <w:sz w:val="24"/>
          <w:szCs w:val="24"/>
        </w:rPr>
        <w:t xml:space="preserve"> </w:t>
      </w:r>
      <w:r w:rsidRPr="008C6FB1">
        <w:rPr>
          <w:sz w:val="24"/>
          <w:szCs w:val="24"/>
        </w:rPr>
        <w:t xml:space="preserve"> this will not change as Member States will be able to determine what form of same-sex relationship they introduce. </w:t>
      </w:r>
    </w:p>
    <w:p w:rsidR="008C6FB1" w:rsidRPr="008C6FB1" w:rsidRDefault="008C6FB1" w:rsidP="008C6FB1">
      <w:pPr>
        <w:spacing w:line="480" w:lineRule="auto"/>
        <w:jc w:val="both"/>
        <w:rPr>
          <w:sz w:val="24"/>
          <w:szCs w:val="24"/>
        </w:rPr>
      </w:pPr>
      <w:r w:rsidRPr="008C6FB1">
        <w:rPr>
          <w:rFonts w:eastAsiaTheme="minorHAnsi"/>
          <w:sz w:val="24"/>
          <w:szCs w:val="24"/>
          <w:lang w:eastAsia="en-US"/>
        </w:rPr>
        <w:t xml:space="preserve"> It remains controversial as to whether the EU should be involved.  </w:t>
      </w:r>
      <w:r w:rsidRPr="008C6FB1">
        <w:rPr>
          <w:rFonts w:eastAsia="Calibri" w:cs="Times New Roman"/>
          <w:sz w:val="24"/>
          <w:szCs w:val="24"/>
          <w:lang w:eastAsia="en-US"/>
        </w:rPr>
        <w:t>Some authors stress what can be learnt from other regimes</w:t>
      </w:r>
      <w:r w:rsidR="0005349C">
        <w:rPr>
          <w:rFonts w:eastAsia="Calibri" w:cs="Times New Roman"/>
          <w:sz w:val="24"/>
          <w:szCs w:val="24"/>
          <w:lang w:eastAsia="en-US"/>
        </w:rPr>
        <w:t>,</w:t>
      </w:r>
      <w:r w:rsidRPr="008C6FB1">
        <w:rPr>
          <w:rFonts w:eastAsia="Calibri" w:cs="Times New Roman"/>
          <w:sz w:val="24"/>
          <w:szCs w:val="24"/>
          <w:vertAlign w:val="superscript"/>
          <w:lang w:eastAsia="en-US"/>
        </w:rPr>
        <w:footnoteReference w:id="178"/>
      </w:r>
      <w:r w:rsidRPr="008C6FB1">
        <w:rPr>
          <w:rFonts w:eastAsia="Calibri" w:cs="Times New Roman"/>
          <w:sz w:val="24"/>
          <w:szCs w:val="24"/>
          <w:lang w:eastAsia="en-US"/>
        </w:rPr>
        <w:t xml:space="preserve"> but </w:t>
      </w:r>
      <w:r w:rsidRPr="008C6FB1">
        <w:rPr>
          <w:rFonts w:eastAsiaTheme="minorHAnsi"/>
          <w:sz w:val="24"/>
          <w:szCs w:val="24"/>
          <w:lang w:eastAsia="en-US"/>
        </w:rPr>
        <w:t>others argue that international comparisons are not appropriate in family law.</w:t>
      </w:r>
      <w:r w:rsidRPr="008C6FB1">
        <w:rPr>
          <w:rFonts w:eastAsia="Calibri" w:cs="Times New Roman"/>
          <w:sz w:val="24"/>
          <w:szCs w:val="24"/>
          <w:vertAlign w:val="superscript"/>
          <w:lang w:eastAsia="en-US"/>
        </w:rPr>
        <w:footnoteReference w:id="179"/>
      </w:r>
      <w:r w:rsidRPr="008C6FB1">
        <w:rPr>
          <w:rFonts w:eastAsia="Calibri" w:cs="Times New Roman"/>
          <w:sz w:val="24"/>
          <w:szCs w:val="24"/>
          <w:lang w:eastAsia="en-US"/>
        </w:rPr>
        <w:t xml:space="preserve"> This is </w:t>
      </w:r>
      <w:r w:rsidRPr="008C6FB1">
        <w:rPr>
          <w:rFonts w:eastAsiaTheme="minorHAnsi"/>
          <w:sz w:val="24"/>
          <w:szCs w:val="24"/>
          <w:lang w:eastAsia="en-US"/>
        </w:rPr>
        <w:t>because of the heavy influence which religious and other racial and political considerations have had on the shaping of family law.</w:t>
      </w:r>
      <w:r w:rsidRPr="008C6FB1">
        <w:rPr>
          <w:rFonts w:eastAsia="Calibri" w:cs="Times New Roman"/>
          <w:sz w:val="24"/>
          <w:szCs w:val="24"/>
          <w:vertAlign w:val="superscript"/>
          <w:lang w:eastAsia="en-US"/>
        </w:rPr>
        <w:footnoteReference w:id="180"/>
      </w:r>
      <w:r w:rsidRPr="008C6FB1">
        <w:rPr>
          <w:rFonts w:eastAsia="Calibri" w:cs="Times New Roman"/>
          <w:sz w:val="24"/>
          <w:szCs w:val="24"/>
          <w:lang w:eastAsia="en-US"/>
        </w:rPr>
        <w:t xml:space="preserve"> There are legitimate concerns that a single European approach would </w:t>
      </w:r>
      <w:r w:rsidRPr="008C6FB1">
        <w:rPr>
          <w:sz w:val="24"/>
          <w:szCs w:val="24"/>
        </w:rPr>
        <w:t xml:space="preserve">result in </w:t>
      </w:r>
      <w:r w:rsidRPr="008C6FB1">
        <w:rPr>
          <w:rFonts w:eastAsia="Calibri" w:cs="Times New Roman"/>
          <w:sz w:val="24"/>
          <w:szCs w:val="24"/>
          <w:lang w:eastAsia="en-US"/>
        </w:rPr>
        <w:t>unnecessary</w:t>
      </w:r>
      <w:r w:rsidR="00A13E1A">
        <w:rPr>
          <w:rFonts w:eastAsia="Calibri" w:cs="Times New Roman"/>
          <w:sz w:val="24"/>
          <w:szCs w:val="24"/>
          <w:lang w:eastAsia="en-US"/>
        </w:rPr>
        <w:t xml:space="preserve"> </w:t>
      </w:r>
      <w:r w:rsidR="000C6EEB" w:rsidRPr="008C6FB1">
        <w:rPr>
          <w:rFonts w:eastAsia="Calibri" w:cs="Times New Roman"/>
          <w:sz w:val="24"/>
          <w:szCs w:val="24"/>
          <w:lang w:eastAsia="en-US"/>
        </w:rPr>
        <w:t xml:space="preserve">homogeneity. </w:t>
      </w:r>
      <w:r w:rsidR="000C6EEB" w:rsidRPr="008C6FB1">
        <w:rPr>
          <w:sz w:val="24"/>
          <w:szCs w:val="24"/>
          <w:vertAlign w:val="superscript"/>
        </w:rPr>
        <w:footnoteReference w:id="181"/>
      </w:r>
      <w:r w:rsidR="000C6EEB" w:rsidRPr="008C6FB1">
        <w:rPr>
          <w:sz w:val="24"/>
          <w:szCs w:val="24"/>
        </w:rPr>
        <w:t xml:space="preserve"> Political reality also has to be faced. It remains controversial as to whether Member States will support further expansion of free movement laws.</w:t>
      </w:r>
      <w:r w:rsidR="000C6EEB" w:rsidRPr="008C6FB1">
        <w:rPr>
          <w:sz w:val="24"/>
          <w:szCs w:val="24"/>
          <w:vertAlign w:val="superscript"/>
        </w:rPr>
        <w:footnoteReference w:id="182"/>
      </w:r>
      <w:r w:rsidR="000C6EEB" w:rsidRPr="008C6FB1">
        <w:rPr>
          <w:sz w:val="24"/>
          <w:szCs w:val="24"/>
        </w:rPr>
        <w:t xml:space="preserve"> </w:t>
      </w:r>
    </w:p>
    <w:p w:rsidR="008C6FB1" w:rsidRPr="008C6FB1" w:rsidRDefault="008C6FB1" w:rsidP="008C6FB1">
      <w:pPr>
        <w:numPr>
          <w:ilvl w:val="0"/>
          <w:numId w:val="5"/>
        </w:numPr>
        <w:spacing w:line="480" w:lineRule="auto"/>
        <w:contextualSpacing/>
        <w:jc w:val="center"/>
        <w:rPr>
          <w:rFonts w:eastAsia="Calibri" w:cs="Times New Roman"/>
          <w:b/>
          <w:sz w:val="24"/>
          <w:szCs w:val="24"/>
        </w:rPr>
      </w:pPr>
      <w:r w:rsidRPr="008C6FB1">
        <w:rPr>
          <w:rFonts w:eastAsia="Calibri" w:cs="Times New Roman"/>
          <w:b/>
          <w:sz w:val="24"/>
          <w:szCs w:val="24"/>
        </w:rPr>
        <w:t>EU Emphasis on Subsidiarity</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The EU recognises the strength of these arguments, and continues to emphasise subsidiarity.</w:t>
      </w:r>
      <w:r w:rsidRPr="008C6FB1">
        <w:rPr>
          <w:rFonts w:eastAsia="Calibri" w:cs="Times New Roman"/>
          <w:sz w:val="24"/>
          <w:szCs w:val="24"/>
          <w:vertAlign w:val="superscript"/>
          <w:lang w:eastAsia="en-US"/>
        </w:rPr>
        <w:footnoteReference w:id="183"/>
      </w:r>
      <w:r w:rsidRPr="008C6FB1">
        <w:rPr>
          <w:rFonts w:eastAsia="Calibri" w:cs="Times New Roman"/>
          <w:sz w:val="24"/>
          <w:szCs w:val="24"/>
          <w:lang w:eastAsia="en-US"/>
        </w:rPr>
        <w:t xml:space="preserve"> T</w:t>
      </w:r>
      <w:r w:rsidRPr="008C6FB1">
        <w:rPr>
          <w:sz w:val="24"/>
          <w:szCs w:val="24"/>
        </w:rPr>
        <w:t>he EU has to act within and cannot exceed the bounds of its competency.</w:t>
      </w:r>
      <w:r w:rsidRPr="008C6FB1">
        <w:rPr>
          <w:sz w:val="24"/>
          <w:szCs w:val="24"/>
          <w:vertAlign w:val="superscript"/>
        </w:rPr>
        <w:footnoteReference w:id="184"/>
      </w:r>
      <w:r w:rsidRPr="008C6FB1">
        <w:rPr>
          <w:sz w:val="24"/>
          <w:szCs w:val="24"/>
        </w:rPr>
        <w:t xml:space="preserve">  Both the EU and the ECtHR have followed a policy of subsidiarity or margin of appreciation in this area. Although the ECtHR has now recognised the right of same-sex couples to some form of civil partnership,</w:t>
      </w:r>
      <w:r w:rsidR="00F260EE">
        <w:rPr>
          <w:sz w:val="24"/>
          <w:szCs w:val="24"/>
        </w:rPr>
        <w:t xml:space="preserve"> or</w:t>
      </w:r>
      <w:r w:rsidRPr="008C6FB1">
        <w:rPr>
          <w:sz w:val="24"/>
          <w:szCs w:val="24"/>
        </w:rPr>
        <w:t xml:space="preserve"> registered partnership,</w:t>
      </w:r>
      <w:r w:rsidRPr="008C6FB1">
        <w:rPr>
          <w:sz w:val="24"/>
          <w:szCs w:val="24"/>
          <w:vertAlign w:val="superscript"/>
        </w:rPr>
        <w:footnoteReference w:id="185"/>
      </w:r>
      <w:r w:rsidRPr="008C6FB1">
        <w:rPr>
          <w:sz w:val="24"/>
          <w:szCs w:val="24"/>
        </w:rPr>
        <w:t xml:space="preserve"> </w:t>
      </w:r>
      <w:r w:rsidRPr="008C6FB1">
        <w:rPr>
          <w:rFonts w:eastAsia="Calibri" w:cs="Times New Roman"/>
          <w:sz w:val="24"/>
          <w:szCs w:val="24"/>
          <w:lang w:eastAsia="en-US"/>
        </w:rPr>
        <w:t>these policies allow a ‘”degree of discretion” afforded to Member States</w:t>
      </w:r>
      <w:r w:rsidRPr="008C6FB1">
        <w:rPr>
          <w:rFonts w:eastAsia="Calibri" w:cs="Times New Roman"/>
          <w:sz w:val="24"/>
          <w:szCs w:val="24"/>
          <w:vertAlign w:val="superscript"/>
          <w:lang w:eastAsia="en-US"/>
        </w:rPr>
        <w:footnoteReference w:id="186"/>
      </w:r>
      <w:r w:rsidRPr="008C6FB1">
        <w:rPr>
          <w:rFonts w:eastAsia="Calibri" w:cs="Times New Roman"/>
          <w:sz w:val="24"/>
          <w:szCs w:val="24"/>
          <w:lang w:eastAsia="en-US"/>
        </w:rPr>
        <w:t xml:space="preserve"> who can continue to determine the extent of rights given to same-sex couples. There is no requirement to enact same-sex marriage. This was refused in the case of </w:t>
      </w:r>
      <w:r w:rsidRPr="008C6FB1">
        <w:rPr>
          <w:rFonts w:eastAsia="Calibri" w:cs="Times New Roman"/>
          <w:i/>
          <w:sz w:val="24"/>
          <w:szCs w:val="24"/>
          <w:lang w:eastAsia="en-US"/>
        </w:rPr>
        <w:t>Schalk and Kopf v Austria</w:t>
      </w:r>
      <w:r w:rsidRPr="008C6FB1">
        <w:rPr>
          <w:rFonts w:eastAsia="Calibri" w:cs="Times New Roman"/>
          <w:sz w:val="24"/>
          <w:szCs w:val="24"/>
          <w:lang w:eastAsia="en-US"/>
        </w:rPr>
        <w:t xml:space="preserve"> where the right to same-sex marriage was denied due to a lack of consensus between contracting states.</w:t>
      </w:r>
      <w:r w:rsidRPr="008C6FB1">
        <w:rPr>
          <w:rFonts w:eastAsia="Calibri" w:cs="Times New Roman"/>
          <w:sz w:val="24"/>
          <w:szCs w:val="24"/>
          <w:vertAlign w:val="superscript"/>
          <w:lang w:eastAsia="en-US"/>
        </w:rPr>
        <w:t xml:space="preserve"> </w:t>
      </w:r>
      <w:r w:rsidRPr="008C6FB1">
        <w:rPr>
          <w:rFonts w:eastAsia="Calibri" w:cs="Times New Roman"/>
          <w:sz w:val="24"/>
          <w:szCs w:val="24"/>
          <w:vertAlign w:val="superscript"/>
          <w:lang w:eastAsia="en-US"/>
        </w:rPr>
        <w:footnoteReference w:id="187"/>
      </w:r>
      <w:r w:rsidRPr="008C6FB1">
        <w:rPr>
          <w:rFonts w:eastAsia="Calibri" w:cs="Times New Roman"/>
          <w:sz w:val="24"/>
          <w:szCs w:val="24"/>
          <w:lang w:eastAsia="en-US"/>
        </w:rPr>
        <w:t xml:space="preserve"> The EU’s traditional position which determined that gender discrimination did not cover sexual orientation</w:t>
      </w:r>
      <w:r w:rsidRPr="008C6FB1">
        <w:rPr>
          <w:rFonts w:eastAsia="Calibri" w:cs="Times New Roman"/>
          <w:sz w:val="24"/>
          <w:szCs w:val="24"/>
          <w:vertAlign w:val="superscript"/>
          <w:lang w:eastAsia="en-US"/>
        </w:rPr>
        <w:footnoteReference w:id="188"/>
      </w:r>
      <w:r w:rsidRPr="008C6FB1">
        <w:rPr>
          <w:rFonts w:eastAsia="Calibri" w:cs="Times New Roman"/>
          <w:sz w:val="24"/>
          <w:szCs w:val="24"/>
          <w:lang w:eastAsia="en-US"/>
        </w:rPr>
        <w:t xml:space="preserve"> has been reformed, but the EU Citizenship Directive</w:t>
      </w:r>
      <w:r w:rsidRPr="008C6FB1">
        <w:rPr>
          <w:rFonts w:eastAsia="Calibri" w:cs="Times New Roman"/>
          <w:sz w:val="24"/>
          <w:szCs w:val="24"/>
          <w:vertAlign w:val="superscript"/>
          <w:lang w:eastAsia="en-US"/>
        </w:rPr>
        <w:footnoteReference w:id="189"/>
      </w:r>
      <w:r w:rsidRPr="008C6FB1">
        <w:rPr>
          <w:rFonts w:eastAsia="Calibri" w:cs="Times New Roman"/>
          <w:sz w:val="24"/>
          <w:szCs w:val="24"/>
          <w:lang w:eastAsia="en-US"/>
        </w:rPr>
        <w:t xml:space="preserve"> continues to have a narrow interpretation of family members.</w:t>
      </w:r>
      <w:r w:rsidRPr="008C6FB1">
        <w:rPr>
          <w:rFonts w:eastAsia="Calibri" w:cs="Times New Roman"/>
          <w:sz w:val="24"/>
          <w:szCs w:val="24"/>
          <w:vertAlign w:val="superscript"/>
          <w:lang w:eastAsia="en-US"/>
        </w:rPr>
        <w:footnoteReference w:id="190"/>
      </w:r>
      <w:r w:rsidRPr="008C6FB1">
        <w:rPr>
          <w:rFonts w:eastAsia="Calibri" w:cs="Times New Roman"/>
          <w:sz w:val="24"/>
          <w:szCs w:val="24"/>
          <w:lang w:eastAsia="en-US"/>
        </w:rPr>
        <w:t xml:space="preserve">  Spouses are included within the category of family members</w:t>
      </w:r>
      <w:r w:rsidR="0005349C">
        <w:rPr>
          <w:rFonts w:eastAsia="Calibri" w:cs="Times New Roman"/>
          <w:sz w:val="24"/>
          <w:szCs w:val="24"/>
          <w:lang w:eastAsia="en-US"/>
        </w:rPr>
        <w:t>,</w:t>
      </w:r>
      <w:r w:rsidRPr="008C6FB1">
        <w:rPr>
          <w:rFonts w:eastAsia="Calibri" w:cs="Times New Roman"/>
          <w:sz w:val="24"/>
          <w:szCs w:val="24"/>
          <w:vertAlign w:val="superscript"/>
          <w:lang w:eastAsia="en-US"/>
        </w:rPr>
        <w:footnoteReference w:id="191"/>
      </w:r>
      <w:r w:rsidRPr="008C6FB1">
        <w:rPr>
          <w:rFonts w:eastAsia="Calibri" w:cs="Times New Roman"/>
          <w:sz w:val="24"/>
          <w:szCs w:val="24"/>
          <w:lang w:eastAsia="en-US"/>
        </w:rPr>
        <w:t xml:space="preserve"> but this does not include same-sex spouse. The term is gender-neutral and some argue that it should include same-sex partners,</w:t>
      </w:r>
      <w:r w:rsidRPr="008C6FB1">
        <w:rPr>
          <w:rFonts w:eastAsia="Calibri" w:cs="Times New Roman"/>
          <w:sz w:val="24"/>
          <w:szCs w:val="24"/>
          <w:vertAlign w:val="superscript"/>
          <w:lang w:eastAsia="en-US"/>
        </w:rPr>
        <w:footnoteReference w:id="192"/>
      </w:r>
      <w:r w:rsidRPr="008C6FB1">
        <w:rPr>
          <w:rFonts w:eastAsia="Calibri" w:cs="Times New Roman"/>
          <w:sz w:val="24"/>
          <w:szCs w:val="24"/>
          <w:lang w:eastAsia="en-US"/>
        </w:rPr>
        <w:t xml:space="preserve"> yet it remains clear that the EU system of subsidiarity does not require member states to recognise same-sex marriages conducted in other states.</w:t>
      </w:r>
      <w:r w:rsidRPr="008C6FB1">
        <w:rPr>
          <w:rFonts w:eastAsia="Calibri" w:cs="Times New Roman"/>
          <w:sz w:val="24"/>
          <w:szCs w:val="24"/>
          <w:vertAlign w:val="superscript"/>
          <w:lang w:eastAsia="en-US"/>
        </w:rPr>
        <w:footnoteReference w:id="193"/>
      </w:r>
      <w:r w:rsidRPr="008C6FB1">
        <w:rPr>
          <w:rFonts w:eastAsia="Calibri" w:cs="Times New Roman"/>
          <w:sz w:val="24"/>
          <w:szCs w:val="24"/>
          <w:lang w:eastAsia="en-US"/>
        </w:rPr>
        <w:t xml:space="preserve"> The principle of subsidiarity is made explicit in relation to registered partnership where Citizenship Directive 2004/38 expressly includes registered partners as family members under Article 2(2), but this is only </w:t>
      </w:r>
      <w:r w:rsidRPr="008C6FB1">
        <w:rPr>
          <w:rFonts w:eastAsia="Calibri" w:cs="Times New Roman"/>
          <w:sz w:val="24"/>
          <w:szCs w:val="24"/>
          <w:lang w:eastAsia="en-US"/>
        </w:rPr>
        <w:br/>
        <w:t>"if the legislation of the host Member State treats registered partnerships as equivalent to marriage”.</w:t>
      </w:r>
      <w:r w:rsidRPr="008C6FB1">
        <w:rPr>
          <w:rFonts w:eastAsia="Calibri" w:cs="Times New Roman"/>
          <w:sz w:val="24"/>
          <w:szCs w:val="24"/>
          <w:vertAlign w:val="superscript"/>
          <w:lang w:eastAsia="en-US"/>
        </w:rPr>
        <w:footnoteReference w:id="194"/>
      </w:r>
      <w:r w:rsidRPr="008C6FB1">
        <w:rPr>
          <w:rFonts w:eastAsia="Calibri" w:cs="Times New Roman"/>
          <w:sz w:val="24"/>
          <w:szCs w:val="24"/>
          <w:lang w:eastAsia="en-US"/>
        </w:rPr>
        <w:t xml:space="preserve">  As all EU Member States are also contracting members of the ECvHR they will be bound by the ruling of </w:t>
      </w:r>
      <w:r w:rsidRPr="008C6FB1">
        <w:rPr>
          <w:rFonts w:eastAsia="Calibri" w:cs="Times New Roman"/>
          <w:i/>
          <w:sz w:val="24"/>
          <w:szCs w:val="24"/>
          <w:lang w:eastAsia="en-US"/>
        </w:rPr>
        <w:t>Oliari v Italy</w:t>
      </w:r>
      <w:r w:rsidRPr="008C6FB1">
        <w:rPr>
          <w:rFonts w:eastAsia="Calibri" w:cs="Times New Roman"/>
          <w:sz w:val="24"/>
          <w:szCs w:val="24"/>
          <w:lang w:eastAsia="en-US"/>
        </w:rPr>
        <w:t xml:space="preserve"> and will need  to introduce some form of same-sex relationship, although they have discretion as to what form this takes.</w:t>
      </w:r>
      <w:r w:rsidRPr="008C6FB1">
        <w:rPr>
          <w:rFonts w:eastAsia="Calibri" w:cs="Times New Roman"/>
          <w:sz w:val="24"/>
          <w:szCs w:val="24"/>
          <w:vertAlign w:val="superscript"/>
          <w:lang w:eastAsia="en-US"/>
        </w:rPr>
        <w:footnoteReference w:id="195"/>
      </w:r>
      <w:r w:rsidRPr="008C6FB1">
        <w:rPr>
          <w:rFonts w:eastAsia="Calibri" w:cs="Times New Roman"/>
          <w:sz w:val="24"/>
          <w:szCs w:val="24"/>
          <w:lang w:eastAsia="en-US"/>
        </w:rPr>
        <w:t xml:space="preserve"> The likelihood of marked differences between the varying statuses granted to same-sex partners is a clear restriction on the ability of a non EU same-sex spouse or partner to relocate to another EU country.</w:t>
      </w:r>
      <w:r w:rsidRPr="008C6FB1">
        <w:rPr>
          <w:rFonts w:eastAsia="Calibri" w:cs="Times New Roman"/>
          <w:sz w:val="24"/>
          <w:szCs w:val="24"/>
          <w:vertAlign w:val="superscript"/>
          <w:lang w:eastAsia="en-US"/>
        </w:rPr>
        <w:footnoteReference w:id="196"/>
      </w:r>
      <w:r w:rsidRPr="008C6FB1">
        <w:rPr>
          <w:rFonts w:eastAsia="Calibri" w:cs="Times New Roman"/>
          <w:sz w:val="24"/>
          <w:szCs w:val="24"/>
          <w:vertAlign w:val="superscript"/>
          <w:lang w:eastAsia="en-US"/>
        </w:rPr>
        <w:t xml:space="preserve"> </w:t>
      </w:r>
    </w:p>
    <w:p w:rsid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Many authors believe that the margin of appreciation is necessary in international law.</w:t>
      </w:r>
      <w:r w:rsidRPr="008C6FB1">
        <w:rPr>
          <w:rFonts w:eastAsia="Calibri" w:cs="Times New Roman"/>
          <w:sz w:val="24"/>
          <w:szCs w:val="24"/>
          <w:vertAlign w:val="superscript"/>
          <w:lang w:eastAsia="en-US"/>
        </w:rPr>
        <w:footnoteReference w:id="197"/>
      </w:r>
      <w:r w:rsidRPr="008C6FB1">
        <w:rPr>
          <w:rFonts w:eastAsia="Calibri" w:cs="Times New Roman"/>
          <w:sz w:val="24"/>
          <w:szCs w:val="24"/>
          <w:lang w:eastAsia="en-US"/>
        </w:rPr>
        <w:t xml:space="preserve"> A negative result of this approach is that the matter is left to the individual states’ discretion. Critics have argued that this may not adequately safeguard the position of minority groups in society.</w:t>
      </w:r>
      <w:r w:rsidRPr="008C6FB1">
        <w:rPr>
          <w:rFonts w:eastAsia="Calibri" w:cs="Times New Roman"/>
          <w:sz w:val="24"/>
          <w:szCs w:val="24"/>
          <w:vertAlign w:val="superscript"/>
          <w:lang w:eastAsia="en-US"/>
        </w:rPr>
        <w:footnoteReference w:id="198"/>
      </w:r>
      <w:r w:rsidRPr="008C6FB1">
        <w:rPr>
          <w:rFonts w:eastAsia="Calibri" w:cs="Times New Roman"/>
          <w:sz w:val="24"/>
          <w:szCs w:val="24"/>
          <w:lang w:eastAsia="en-US"/>
        </w:rPr>
        <w:t xml:space="preserve">  Action at an EU level may improve this position. It is argued here that the EU is the appropriate forum within which to bring forward the proposed choice of law rule. This is because of the already existing and growing area of European family law. The EU, as compared to other sources of European family law, allows for greater co-ordinated action. There is also a necessity of the EU to act according to the imperative of its free movement provisions.  In the past the EU and the ECtHR have taken differing approaches to their treatment of same-sex couples but over time the two organisations are growing closer. Each of these points is dealt with in turn. </w:t>
      </w:r>
    </w:p>
    <w:p w:rsidR="000C6EEB" w:rsidRDefault="000C6EEB" w:rsidP="008C6FB1">
      <w:pPr>
        <w:spacing w:line="480" w:lineRule="auto"/>
        <w:jc w:val="both"/>
        <w:rPr>
          <w:rFonts w:eastAsia="Calibri" w:cs="Times New Roman"/>
          <w:sz w:val="24"/>
          <w:szCs w:val="24"/>
          <w:lang w:eastAsia="en-US"/>
        </w:rPr>
      </w:pPr>
    </w:p>
    <w:p w:rsidR="000C6EEB" w:rsidRPr="008C6FB1" w:rsidRDefault="000C6EEB" w:rsidP="008C6FB1">
      <w:pPr>
        <w:spacing w:line="480" w:lineRule="auto"/>
        <w:jc w:val="both"/>
        <w:rPr>
          <w:rFonts w:eastAsia="Calibri" w:cs="Times New Roman"/>
          <w:sz w:val="24"/>
          <w:szCs w:val="24"/>
          <w:lang w:eastAsia="en-US"/>
        </w:rPr>
      </w:pPr>
    </w:p>
    <w:p w:rsidR="008C6FB1" w:rsidRPr="008C6FB1" w:rsidRDefault="008C6FB1" w:rsidP="008C6FB1">
      <w:pPr>
        <w:numPr>
          <w:ilvl w:val="0"/>
          <w:numId w:val="5"/>
        </w:numPr>
        <w:spacing w:line="480" w:lineRule="auto"/>
        <w:jc w:val="center"/>
        <w:rPr>
          <w:rFonts w:cs="Times New Roman"/>
          <w:b/>
          <w:sz w:val="24"/>
          <w:szCs w:val="24"/>
        </w:rPr>
      </w:pPr>
      <w:r w:rsidRPr="008C6FB1">
        <w:rPr>
          <w:rFonts w:cs="Times New Roman"/>
          <w:b/>
          <w:sz w:val="24"/>
          <w:szCs w:val="24"/>
        </w:rPr>
        <w:t>European Family Law</w:t>
      </w:r>
    </w:p>
    <w:p w:rsidR="008C6FB1" w:rsidRPr="008C6FB1" w:rsidRDefault="008C6FB1" w:rsidP="008C6FB1">
      <w:pPr>
        <w:spacing w:line="480" w:lineRule="auto"/>
        <w:jc w:val="both"/>
        <w:rPr>
          <w:rFonts w:cs="Times New Roman"/>
          <w:sz w:val="24"/>
          <w:szCs w:val="24"/>
        </w:rPr>
      </w:pPr>
      <w:r w:rsidRPr="008C6FB1">
        <w:rPr>
          <w:rFonts w:cs="Times New Roman"/>
          <w:sz w:val="24"/>
          <w:szCs w:val="24"/>
        </w:rPr>
        <w:t>Peter McEleavy reports on the “rapidly emerg[ing]” area of EU family law.</w:t>
      </w:r>
      <w:r w:rsidRPr="008C6FB1">
        <w:rPr>
          <w:rFonts w:cs="Times New Roman"/>
          <w:sz w:val="24"/>
          <w:szCs w:val="24"/>
          <w:vertAlign w:val="superscript"/>
        </w:rPr>
        <w:footnoteReference w:id="199"/>
      </w:r>
      <w:r w:rsidRPr="008C6FB1">
        <w:rPr>
          <w:rFonts w:cs="Times New Roman"/>
          <w:sz w:val="24"/>
          <w:szCs w:val="24"/>
        </w:rPr>
        <w:t xml:space="preserve"> The area where the EU has been most active in terms of family law includes that of enforcement of matrimonial judgments on divorce between different EU countries.</w:t>
      </w:r>
      <w:r w:rsidRPr="008C6FB1">
        <w:rPr>
          <w:rFonts w:cs="Times New Roman"/>
          <w:sz w:val="24"/>
          <w:szCs w:val="24"/>
          <w:vertAlign w:val="superscript"/>
        </w:rPr>
        <w:footnoteReference w:id="200"/>
      </w:r>
      <w:r w:rsidRPr="008C6FB1">
        <w:rPr>
          <w:rFonts w:cs="Times New Roman"/>
          <w:sz w:val="24"/>
          <w:szCs w:val="24"/>
        </w:rPr>
        <w:t xml:space="preserve"> The Brussels II legislation has been referred to as a “watershed in the evolution of EU law”.</w:t>
      </w:r>
      <w:r w:rsidRPr="008C6FB1">
        <w:rPr>
          <w:rFonts w:cs="Times New Roman"/>
          <w:sz w:val="24"/>
          <w:szCs w:val="24"/>
          <w:vertAlign w:val="superscript"/>
        </w:rPr>
        <w:footnoteReference w:id="201"/>
      </w:r>
      <w:r w:rsidRPr="008C6FB1">
        <w:rPr>
          <w:rFonts w:cs="Times New Roman"/>
          <w:sz w:val="24"/>
          <w:szCs w:val="24"/>
        </w:rPr>
        <w:t xml:space="preserve"> Other developments include those concerning succession laws.</w:t>
      </w:r>
      <w:r w:rsidRPr="008C6FB1">
        <w:rPr>
          <w:rFonts w:cs="Times New Roman"/>
          <w:sz w:val="24"/>
          <w:szCs w:val="24"/>
          <w:vertAlign w:val="superscript"/>
        </w:rPr>
        <w:footnoteReference w:id="202"/>
      </w:r>
      <w:r w:rsidRPr="008C6FB1">
        <w:rPr>
          <w:rFonts w:cs="Times New Roman"/>
          <w:sz w:val="24"/>
          <w:szCs w:val="24"/>
        </w:rPr>
        <w:t xml:space="preserve"> The Commission on European Family Law (CEFL) was also established in 2001, with funding in part from the EU to consider laws on the basis of voluntary harmonisation. There have also been proposals for Regulations concerning the property consequences for unmarried couples, and registered partnerships, but these have not been introduced.</w:t>
      </w:r>
      <w:r w:rsidRPr="008C6FB1">
        <w:rPr>
          <w:rFonts w:cs="Times New Roman"/>
          <w:sz w:val="24"/>
          <w:szCs w:val="24"/>
          <w:vertAlign w:val="superscript"/>
        </w:rPr>
        <w:footnoteReference w:id="203"/>
      </w:r>
      <w:r w:rsidRPr="008C6FB1">
        <w:rPr>
          <w:rFonts w:cs="Times New Roman"/>
          <w:sz w:val="24"/>
          <w:szCs w:val="24"/>
        </w:rPr>
        <w:t xml:space="preserve"> Further proposals concerning recognition of public documents,</w:t>
      </w:r>
      <w:r w:rsidRPr="008C6FB1">
        <w:rPr>
          <w:rFonts w:cs="Times New Roman"/>
          <w:sz w:val="24"/>
          <w:szCs w:val="24"/>
          <w:vertAlign w:val="superscript"/>
        </w:rPr>
        <w:footnoteReference w:id="204"/>
      </w:r>
      <w:r w:rsidRPr="008C6FB1">
        <w:rPr>
          <w:rFonts w:cs="Times New Roman"/>
          <w:sz w:val="24"/>
          <w:szCs w:val="24"/>
        </w:rPr>
        <w:t xml:space="preserve"> </w:t>
      </w:r>
      <w:r w:rsidRPr="008C6FB1">
        <w:rPr>
          <w:sz w:val="24"/>
          <w:szCs w:val="24"/>
        </w:rPr>
        <w:t>and on the free movement of citizens,</w:t>
      </w:r>
      <w:r w:rsidRPr="008C6FB1">
        <w:rPr>
          <w:sz w:val="24"/>
          <w:szCs w:val="24"/>
          <w:vertAlign w:val="superscript"/>
        </w:rPr>
        <w:footnoteReference w:id="205"/>
      </w:r>
      <w:r w:rsidRPr="008C6FB1">
        <w:rPr>
          <w:sz w:val="24"/>
          <w:szCs w:val="24"/>
        </w:rPr>
        <w:t xml:space="preserve"> have not progressed.</w:t>
      </w:r>
      <w:r w:rsidRPr="008C6FB1">
        <w:rPr>
          <w:b/>
          <w:sz w:val="24"/>
          <w:szCs w:val="24"/>
        </w:rPr>
        <w:t xml:space="preserve"> </w:t>
      </w:r>
      <w:r w:rsidRPr="008C6FB1">
        <w:rPr>
          <w:rFonts w:cs="Times New Roman"/>
          <w:sz w:val="24"/>
          <w:szCs w:val="24"/>
        </w:rPr>
        <w:t>Any further EU conventions will need to be carefully negotiated</w:t>
      </w:r>
      <w:r w:rsidR="0005349C">
        <w:rPr>
          <w:rFonts w:cs="Times New Roman"/>
          <w:sz w:val="24"/>
          <w:szCs w:val="24"/>
        </w:rPr>
        <w:t>.</w:t>
      </w:r>
      <w:r w:rsidRPr="008C6FB1">
        <w:rPr>
          <w:rFonts w:cs="Times New Roman"/>
          <w:sz w:val="24"/>
          <w:szCs w:val="24"/>
        </w:rPr>
        <w:t xml:space="preserve"> </w:t>
      </w:r>
      <w:r w:rsidR="0005349C">
        <w:rPr>
          <w:rFonts w:cs="Times New Roman"/>
          <w:sz w:val="24"/>
          <w:szCs w:val="24"/>
        </w:rPr>
        <w:t>This is because of</w:t>
      </w:r>
      <w:r w:rsidRPr="008C6FB1">
        <w:rPr>
          <w:rFonts w:cs="Times New Roman"/>
          <w:sz w:val="24"/>
          <w:szCs w:val="24"/>
        </w:rPr>
        <w:t xml:space="preserve"> the current political climate and criticisms about the way Brussels II and successors were negotiated.</w:t>
      </w:r>
      <w:r w:rsidRPr="008C6FB1">
        <w:rPr>
          <w:rFonts w:cs="Times New Roman"/>
          <w:sz w:val="24"/>
          <w:szCs w:val="24"/>
          <w:vertAlign w:val="superscript"/>
        </w:rPr>
        <w:t xml:space="preserve"> </w:t>
      </w:r>
      <w:r w:rsidRPr="008C6FB1">
        <w:rPr>
          <w:rFonts w:cs="Times New Roman"/>
          <w:sz w:val="24"/>
          <w:szCs w:val="24"/>
          <w:vertAlign w:val="superscript"/>
        </w:rPr>
        <w:footnoteReference w:id="206"/>
      </w:r>
      <w:r w:rsidRPr="008C6FB1">
        <w:rPr>
          <w:rFonts w:cs="Times New Roman"/>
          <w:sz w:val="24"/>
          <w:szCs w:val="24"/>
        </w:rPr>
        <w:t xml:space="preserve"> There are clear precedents for EU involvement in family law. </w:t>
      </w:r>
    </w:p>
    <w:p w:rsidR="008C6FB1" w:rsidRPr="008C6FB1" w:rsidRDefault="008C6FB1" w:rsidP="008C6FB1">
      <w:pPr>
        <w:numPr>
          <w:ilvl w:val="0"/>
          <w:numId w:val="5"/>
        </w:numPr>
        <w:spacing w:line="480" w:lineRule="auto"/>
        <w:jc w:val="center"/>
        <w:rPr>
          <w:b/>
          <w:sz w:val="24"/>
          <w:szCs w:val="24"/>
        </w:rPr>
      </w:pPr>
      <w:r w:rsidRPr="008C6FB1">
        <w:rPr>
          <w:rFonts w:cs="Times New Roman"/>
          <w:b/>
          <w:sz w:val="24"/>
          <w:szCs w:val="24"/>
        </w:rPr>
        <w:t>EU allows for Greatest Coordinated Action</w:t>
      </w:r>
    </w:p>
    <w:p w:rsidR="008C6FB1" w:rsidRPr="008C6FB1" w:rsidRDefault="008C6FB1" w:rsidP="008C6FB1">
      <w:pPr>
        <w:spacing w:line="480" w:lineRule="auto"/>
        <w:jc w:val="both"/>
        <w:rPr>
          <w:rFonts w:eastAsiaTheme="minorHAnsi"/>
          <w:sz w:val="24"/>
          <w:szCs w:val="24"/>
          <w:lang w:eastAsia="en-US"/>
        </w:rPr>
      </w:pPr>
      <w:r w:rsidRPr="008C6FB1">
        <w:rPr>
          <w:rFonts w:eastAsia="Calibri" w:cs="Times New Roman"/>
          <w:sz w:val="24"/>
          <w:szCs w:val="24"/>
          <w:lang w:eastAsia="en-US"/>
        </w:rPr>
        <w:t xml:space="preserve">It is also argued that the EU as compared to other sources of European family law allows for greatest co-ordinated action. Other bodies such as the Council of Europe, Hague </w:t>
      </w:r>
      <w:r w:rsidRPr="008C6FB1">
        <w:rPr>
          <w:rFonts w:eastAsiaTheme="minorHAnsi"/>
          <w:sz w:val="24"/>
          <w:szCs w:val="24"/>
          <w:lang w:eastAsia="en-US"/>
        </w:rPr>
        <w:t xml:space="preserve">Conference and the United Nations have all done important work, but the EU system offers the easiest approach to bringing forward legislation in this area. This is because of the closer level of involvement between Member States meaning that the </w:t>
      </w:r>
      <w:r w:rsidRPr="008C6FB1">
        <w:rPr>
          <w:sz w:val="24"/>
          <w:szCs w:val="24"/>
        </w:rPr>
        <w:t>EU can ‘”secure a deeper form of agreement, relatively unscarred by compromise”.</w:t>
      </w:r>
      <w:r w:rsidRPr="008C6FB1">
        <w:rPr>
          <w:sz w:val="24"/>
          <w:szCs w:val="24"/>
          <w:vertAlign w:val="superscript"/>
        </w:rPr>
        <w:footnoteReference w:id="207"/>
      </w:r>
      <w:r w:rsidRPr="008C6FB1">
        <w:rPr>
          <w:sz w:val="24"/>
          <w:szCs w:val="24"/>
        </w:rPr>
        <w:t xml:space="preserve">  This advantage is less since the growth in size of the EU, other bodies often struggle to secure agreement to conventions.  This can be demonstrated by the lack of progress of the International Commission on Civil Status’ </w:t>
      </w:r>
      <w:r w:rsidRPr="008C6FB1">
        <w:rPr>
          <w:rFonts w:eastAsiaTheme="minorHAnsi"/>
          <w:sz w:val="24"/>
          <w:szCs w:val="24"/>
          <w:lang w:eastAsia="en-US"/>
        </w:rPr>
        <w:t xml:space="preserve">Convention on the Recognition of Registered Partnerships. </w:t>
      </w:r>
      <w:r w:rsidR="0005349C">
        <w:rPr>
          <w:rFonts w:eastAsiaTheme="minorHAnsi"/>
          <w:sz w:val="24"/>
          <w:szCs w:val="24"/>
          <w:lang w:eastAsia="en-US"/>
        </w:rPr>
        <w:t>Despite being</w:t>
      </w:r>
      <w:r w:rsidRPr="008C6FB1">
        <w:rPr>
          <w:rFonts w:eastAsiaTheme="minorHAnsi"/>
          <w:sz w:val="24"/>
          <w:szCs w:val="24"/>
          <w:lang w:eastAsia="en-US"/>
        </w:rPr>
        <w:t xml:space="preserve"> opened for signature in 2007 this has only attracted two signatories, resulting in a limited level of success.</w:t>
      </w:r>
      <w:r w:rsidRPr="008C6FB1">
        <w:rPr>
          <w:rFonts w:eastAsiaTheme="minorHAnsi"/>
          <w:sz w:val="24"/>
          <w:szCs w:val="24"/>
          <w:vertAlign w:val="superscript"/>
          <w:lang w:eastAsia="en-US"/>
        </w:rPr>
        <w:footnoteReference w:id="208"/>
      </w:r>
    </w:p>
    <w:p w:rsidR="008C6FB1" w:rsidRPr="008C6FB1" w:rsidRDefault="008C6FB1" w:rsidP="008C6FB1">
      <w:pPr>
        <w:numPr>
          <w:ilvl w:val="0"/>
          <w:numId w:val="5"/>
        </w:numPr>
        <w:spacing w:line="480" w:lineRule="auto"/>
        <w:contextualSpacing/>
        <w:jc w:val="center"/>
        <w:rPr>
          <w:b/>
          <w:sz w:val="24"/>
          <w:szCs w:val="24"/>
        </w:rPr>
      </w:pPr>
      <w:r w:rsidRPr="008C6FB1">
        <w:rPr>
          <w:b/>
          <w:sz w:val="24"/>
          <w:szCs w:val="24"/>
        </w:rPr>
        <w:t>EU Free Movement Imperative</w:t>
      </w:r>
    </w:p>
    <w:p w:rsidR="008C6FB1" w:rsidRPr="008C6FB1" w:rsidRDefault="008C6FB1" w:rsidP="008C6FB1">
      <w:pPr>
        <w:spacing w:line="480" w:lineRule="auto"/>
        <w:jc w:val="both"/>
        <w:rPr>
          <w:sz w:val="24"/>
          <w:szCs w:val="24"/>
        </w:rPr>
      </w:pPr>
      <w:r w:rsidRPr="008C6FB1">
        <w:rPr>
          <w:sz w:val="24"/>
          <w:szCs w:val="24"/>
        </w:rPr>
        <w:t>EU free movement provisions are also another reason for the EU to act in this area.</w:t>
      </w:r>
      <w:r w:rsidRPr="008C6FB1">
        <w:rPr>
          <w:rFonts w:eastAsia="Calibri" w:cs="Times New Roman"/>
          <w:sz w:val="24"/>
          <w:szCs w:val="24"/>
          <w:vertAlign w:val="superscript"/>
          <w:lang w:eastAsia="en-US"/>
        </w:rPr>
        <w:footnoteReference w:id="209"/>
      </w:r>
      <w:r w:rsidRPr="008C6FB1">
        <w:rPr>
          <w:rFonts w:eastAsia="Calibri" w:cs="Times New Roman"/>
          <w:b/>
          <w:sz w:val="24"/>
          <w:szCs w:val="24"/>
          <w:vertAlign w:val="superscript"/>
          <w:lang w:eastAsia="en-US"/>
        </w:rPr>
        <w:t xml:space="preserve"> </w:t>
      </w:r>
      <w:r w:rsidRPr="008C6FB1">
        <w:rPr>
          <w:rFonts w:eastAsia="Calibri" w:cs="Times New Roman"/>
          <w:sz w:val="24"/>
          <w:szCs w:val="24"/>
          <w:lang w:eastAsia="en-US"/>
        </w:rPr>
        <w:t>The reality is that many European citizens will exercise their right of free movement to take up work in other countries, or marry nationals from other countries.</w:t>
      </w:r>
      <w:r w:rsidRPr="008C6FB1">
        <w:rPr>
          <w:rFonts w:eastAsia="Calibri" w:cs="Times New Roman"/>
          <w:sz w:val="24"/>
          <w:szCs w:val="24"/>
          <w:vertAlign w:val="superscript"/>
          <w:lang w:eastAsia="en-US"/>
        </w:rPr>
        <w:footnoteReference w:id="210"/>
      </w:r>
      <w:r w:rsidRPr="008C6FB1">
        <w:rPr>
          <w:rFonts w:eastAsia="Calibri" w:cs="Times New Roman"/>
          <w:sz w:val="24"/>
          <w:szCs w:val="24"/>
          <w:lang w:eastAsia="en-US"/>
        </w:rPr>
        <w:t xml:space="preserve"> European integration is, therefore, “no longer purely economic”.</w:t>
      </w:r>
      <w:r w:rsidRPr="008C6FB1">
        <w:rPr>
          <w:rFonts w:eastAsia="Calibri" w:cs="Times New Roman"/>
          <w:sz w:val="24"/>
          <w:szCs w:val="24"/>
          <w:vertAlign w:val="superscript"/>
          <w:lang w:eastAsia="en-US"/>
        </w:rPr>
        <w:footnoteReference w:id="211"/>
      </w:r>
      <w:r w:rsidRPr="008C6FB1">
        <w:rPr>
          <w:rFonts w:eastAsia="Calibri" w:cs="Times New Roman"/>
          <w:sz w:val="24"/>
          <w:szCs w:val="24"/>
          <w:lang w:eastAsia="en-US"/>
        </w:rPr>
        <w:t xml:space="preserve"> Some commentators view harmonisation of private international laws as essential in order to guarantee free movement.</w:t>
      </w:r>
      <w:r w:rsidRPr="008C6FB1">
        <w:rPr>
          <w:rFonts w:eastAsia="Calibri" w:cs="Times New Roman"/>
          <w:sz w:val="24"/>
          <w:szCs w:val="24"/>
          <w:vertAlign w:val="superscript"/>
          <w:lang w:eastAsia="en-US"/>
        </w:rPr>
        <w:footnoteReference w:id="212"/>
      </w:r>
      <w:r w:rsidRPr="008C6FB1">
        <w:rPr>
          <w:rFonts w:eastAsia="Calibri" w:cs="Times New Roman"/>
          <w:sz w:val="24"/>
          <w:szCs w:val="24"/>
          <w:lang w:eastAsia="en-US"/>
        </w:rPr>
        <w:t xml:space="preserve"> This is because an EU citizen is unlikely to move country to take up work elsewhere in Europe if their family members cannot move with them. As the rules of private international law determine (amongst other important roles) if a marriage is valid, these are a key ingredient to ensure free movement of persons. </w:t>
      </w:r>
      <w:r w:rsidRPr="008C6FB1">
        <w:rPr>
          <w:sz w:val="24"/>
          <w:szCs w:val="24"/>
        </w:rPr>
        <w:t>The Centre for Social Justice also argues that there is a need for international involvement as individual states are not capable of dealing with increased mobility of persons between states by themselves.</w:t>
      </w:r>
      <w:r w:rsidRPr="008C6FB1">
        <w:rPr>
          <w:sz w:val="24"/>
          <w:szCs w:val="24"/>
          <w:vertAlign w:val="superscript"/>
        </w:rPr>
        <w:footnoteReference w:id="213"/>
      </w:r>
      <w:r w:rsidRPr="008C6FB1">
        <w:rPr>
          <w:sz w:val="24"/>
          <w:szCs w:val="24"/>
        </w:rPr>
        <w:t xml:space="preserve">  Allowing each individual country in Europe to determine their own choice of law rules only adds to complexities for couples who may move several times across different European borders. There is a key role for the EU to play in this area. </w:t>
      </w:r>
    </w:p>
    <w:p w:rsidR="008C6FB1" w:rsidRPr="008C6FB1" w:rsidRDefault="008C6FB1" w:rsidP="008C6FB1">
      <w:pPr>
        <w:numPr>
          <w:ilvl w:val="0"/>
          <w:numId w:val="5"/>
        </w:numPr>
        <w:spacing w:line="480" w:lineRule="auto"/>
        <w:contextualSpacing/>
        <w:jc w:val="center"/>
        <w:rPr>
          <w:rFonts w:eastAsia="Calibri" w:cs="Times New Roman"/>
          <w:b/>
          <w:sz w:val="24"/>
          <w:szCs w:val="24"/>
        </w:rPr>
      </w:pPr>
      <w:r w:rsidRPr="008C6FB1">
        <w:rPr>
          <w:rFonts w:eastAsia="Calibri" w:cs="Times New Roman"/>
          <w:b/>
          <w:sz w:val="24"/>
          <w:szCs w:val="24"/>
        </w:rPr>
        <w:t>Growing Closeness Between EU and ECtHR</w:t>
      </w:r>
    </w:p>
    <w:p w:rsidR="008C6FB1" w:rsidRDefault="008C6FB1" w:rsidP="008C6FB1">
      <w:pPr>
        <w:spacing w:line="480" w:lineRule="auto"/>
        <w:jc w:val="both"/>
        <w:rPr>
          <w:sz w:val="24"/>
          <w:szCs w:val="24"/>
        </w:rPr>
      </w:pPr>
      <w:r w:rsidRPr="008C6FB1">
        <w:rPr>
          <w:rFonts w:eastAsia="Calibri" w:cs="Times New Roman"/>
          <w:sz w:val="24"/>
          <w:szCs w:val="24"/>
          <w:lang w:eastAsia="en-US"/>
        </w:rPr>
        <w:t>A further important argument surrounding EU involvement is despite past divergences, there is a growing closeness between the EU and the ECtHR. The EU is now concerned with the “protection of fundamental rights” within the European legal order.</w:t>
      </w:r>
      <w:r w:rsidRPr="008C6FB1">
        <w:rPr>
          <w:rFonts w:eastAsia="Calibri" w:cs="Times New Roman"/>
          <w:sz w:val="24"/>
          <w:szCs w:val="24"/>
          <w:vertAlign w:val="superscript"/>
          <w:lang w:eastAsia="en-US"/>
        </w:rPr>
        <w:footnoteReference w:id="214"/>
      </w:r>
      <w:r w:rsidRPr="008C6FB1">
        <w:rPr>
          <w:rFonts w:eastAsia="Calibri" w:cs="Times New Roman"/>
          <w:sz w:val="24"/>
          <w:szCs w:val="24"/>
          <w:lang w:eastAsia="en-US"/>
        </w:rPr>
        <w:t xml:space="preserve">  Some writers argue that the EU is engaging in a “rights revolution”</w:t>
      </w:r>
      <w:r w:rsidRPr="008C6FB1">
        <w:rPr>
          <w:rFonts w:eastAsia="Calibri" w:cs="Times New Roman"/>
          <w:sz w:val="24"/>
          <w:szCs w:val="24"/>
          <w:vertAlign w:val="superscript"/>
          <w:lang w:eastAsia="en-US"/>
        </w:rPr>
        <w:footnoteReference w:id="215"/>
      </w:r>
      <w:r w:rsidRPr="008C6FB1">
        <w:rPr>
          <w:rFonts w:eastAsia="Calibri" w:cs="Times New Roman"/>
          <w:sz w:val="24"/>
          <w:szCs w:val="24"/>
          <w:lang w:eastAsia="en-US"/>
        </w:rPr>
        <w:t xml:space="preserve"> but it remains important to avoid over generalisations</w:t>
      </w:r>
      <w:r w:rsidRPr="008C6FB1">
        <w:rPr>
          <w:rFonts w:eastAsia="Calibri" w:cs="Times New Roman"/>
          <w:sz w:val="24"/>
          <w:szCs w:val="24"/>
          <w:vertAlign w:val="superscript"/>
          <w:lang w:eastAsia="en-US"/>
        </w:rPr>
        <w:footnoteReference w:id="216"/>
      </w:r>
      <w:r w:rsidRPr="008C6FB1">
        <w:rPr>
          <w:rFonts w:eastAsia="Calibri" w:cs="Times New Roman"/>
          <w:sz w:val="24"/>
          <w:szCs w:val="24"/>
          <w:lang w:eastAsia="en-US"/>
        </w:rPr>
        <w:t xml:space="preserve"> as the EU is continuing to carry out and develop key economic functions. The growing closeness between the ECtHR and the EU is demonstrated by the enactment of the EU Charter on human rights, the fact that all EU states are also members of the ECvHR and that under the Lisbon Treaty the EU has agreed to accede to the ECvHR.</w:t>
      </w:r>
      <w:r w:rsidRPr="008C6FB1">
        <w:rPr>
          <w:rFonts w:eastAsia="Calibri" w:cs="Times New Roman"/>
          <w:sz w:val="24"/>
          <w:szCs w:val="24"/>
          <w:vertAlign w:val="superscript"/>
          <w:lang w:eastAsia="en-US"/>
        </w:rPr>
        <w:footnoteReference w:id="217"/>
      </w:r>
      <w:r w:rsidRPr="008C6FB1">
        <w:rPr>
          <w:rFonts w:eastAsia="Calibri" w:cs="Times New Roman"/>
          <w:sz w:val="24"/>
          <w:szCs w:val="24"/>
          <w:vertAlign w:val="superscript"/>
          <w:lang w:eastAsia="en-US"/>
        </w:rPr>
        <w:t xml:space="preserve"> </w:t>
      </w:r>
      <w:r w:rsidRPr="008C6FB1">
        <w:rPr>
          <w:rFonts w:eastAsia="Calibri" w:cs="Times New Roman"/>
          <w:sz w:val="24"/>
          <w:szCs w:val="24"/>
          <w:lang w:eastAsia="en-US"/>
        </w:rPr>
        <w:t>The EU and the ECtHR also work together</w:t>
      </w:r>
      <w:r w:rsidRPr="008C6FB1">
        <w:rPr>
          <w:rFonts w:eastAsia="Calibri" w:cs="Times New Roman"/>
          <w:sz w:val="24"/>
          <w:szCs w:val="24"/>
          <w:vertAlign w:val="superscript"/>
          <w:lang w:eastAsia="en-US"/>
        </w:rPr>
        <w:footnoteReference w:id="218"/>
      </w:r>
      <w:r w:rsidRPr="008C6FB1">
        <w:rPr>
          <w:rFonts w:eastAsia="Calibri" w:cs="Times New Roman"/>
          <w:sz w:val="24"/>
          <w:szCs w:val="24"/>
          <w:lang w:eastAsia="en-US"/>
        </w:rPr>
        <w:t xml:space="preserve"> and cross refer to each other’s judgments.</w:t>
      </w:r>
      <w:r w:rsidRPr="008C6FB1">
        <w:rPr>
          <w:rFonts w:eastAsia="Calibri" w:cs="Times New Roman"/>
          <w:sz w:val="24"/>
          <w:szCs w:val="24"/>
          <w:vertAlign w:val="superscript"/>
          <w:lang w:eastAsia="en-US"/>
        </w:rPr>
        <w:footnoteReference w:id="219"/>
      </w:r>
      <w:r w:rsidRPr="008C6FB1">
        <w:rPr>
          <w:rFonts w:eastAsia="Calibri" w:cs="Times New Roman"/>
          <w:b/>
          <w:sz w:val="24"/>
          <w:szCs w:val="24"/>
          <w:lang w:eastAsia="en-US"/>
        </w:rPr>
        <w:t xml:space="preserve"> </w:t>
      </w:r>
      <w:r w:rsidRPr="008C6FB1">
        <w:rPr>
          <w:rFonts w:eastAsia="Calibri" w:cs="Times New Roman"/>
          <w:sz w:val="24"/>
          <w:szCs w:val="24"/>
          <w:lang w:eastAsia="en-US"/>
        </w:rPr>
        <w:t xml:space="preserve"> </w:t>
      </w:r>
      <w:r w:rsidRPr="008C6FB1">
        <w:rPr>
          <w:sz w:val="24"/>
          <w:szCs w:val="24"/>
        </w:rPr>
        <w:t xml:space="preserve">These points draw us to conclude that the EU is the appropriate institution to bring forward a new choice of law mechanism in relation to recognition of same-sex relationships. The continued recognised relationship theory would mean that a same-sex relationship would be valid where this is recognised in the new state where the couple intend to reside, or where the relationship has been subsisting for a reasonable period of time. There is no requirement for individual countries to allow same-sex relationships to be enacted within their own jurisdiction. The final section deals with some anticipated criticisms of this proposed choice of law. </w:t>
      </w:r>
    </w:p>
    <w:p w:rsidR="000C6EEB" w:rsidRDefault="000C6EEB" w:rsidP="008C6FB1">
      <w:pPr>
        <w:spacing w:line="480" w:lineRule="auto"/>
        <w:jc w:val="both"/>
        <w:rPr>
          <w:sz w:val="24"/>
          <w:szCs w:val="24"/>
        </w:rPr>
      </w:pPr>
    </w:p>
    <w:p w:rsidR="000C6EEB" w:rsidRPr="008C6FB1" w:rsidRDefault="000C6EEB" w:rsidP="008C6FB1">
      <w:pPr>
        <w:spacing w:line="480" w:lineRule="auto"/>
        <w:jc w:val="both"/>
        <w:rPr>
          <w:rFonts w:eastAsia="Calibri" w:cs="Times New Roman"/>
          <w:b/>
          <w:sz w:val="24"/>
          <w:szCs w:val="24"/>
          <w:lang w:eastAsia="en-US"/>
        </w:rPr>
      </w:pPr>
    </w:p>
    <w:p w:rsidR="008C6FB1" w:rsidRPr="008C6FB1" w:rsidRDefault="008C6FB1" w:rsidP="008C6FB1">
      <w:pPr>
        <w:spacing w:line="480" w:lineRule="auto"/>
        <w:jc w:val="center"/>
        <w:rPr>
          <w:rFonts w:eastAsia="Calibri" w:cs="Times New Roman"/>
          <w:sz w:val="24"/>
          <w:szCs w:val="24"/>
          <w:lang w:eastAsia="en-US"/>
        </w:rPr>
      </w:pPr>
      <w:r w:rsidRPr="008C6FB1">
        <w:rPr>
          <w:rFonts w:eastAsia="Calibri" w:cs="Times New Roman"/>
          <w:b/>
          <w:sz w:val="24"/>
          <w:szCs w:val="24"/>
          <w:lang w:eastAsia="en-US"/>
        </w:rPr>
        <w:t xml:space="preserve">V. </w:t>
      </w:r>
      <w:r w:rsidRPr="008C6FB1">
        <w:rPr>
          <w:rFonts w:eastAsia="Calibri" w:cs="Times New Roman"/>
          <w:sz w:val="24"/>
          <w:szCs w:val="24"/>
          <w:lang w:eastAsia="en-US"/>
        </w:rPr>
        <w:t xml:space="preserve"> </w:t>
      </w:r>
      <w:r w:rsidRPr="008C6FB1">
        <w:rPr>
          <w:rFonts w:eastAsia="Calibri" w:cs="Times New Roman"/>
          <w:sz w:val="24"/>
          <w:szCs w:val="24"/>
          <w:lang w:eastAsia="en-US"/>
        </w:rPr>
        <w:tab/>
      </w:r>
      <w:r w:rsidRPr="008C6FB1">
        <w:rPr>
          <w:rFonts w:eastAsia="Calibri" w:cs="Times New Roman"/>
          <w:b/>
          <w:sz w:val="24"/>
          <w:szCs w:val="24"/>
          <w:lang w:eastAsia="en-US"/>
        </w:rPr>
        <w:t>Anticipated Criticisms of the Continued Recognised Relationship Theory</w:t>
      </w:r>
    </w:p>
    <w:p w:rsidR="008C6FB1" w:rsidRPr="008C6FB1" w:rsidRDefault="008C6FB1" w:rsidP="008C6FB1">
      <w:pPr>
        <w:spacing w:line="480" w:lineRule="auto"/>
        <w:jc w:val="both"/>
        <w:rPr>
          <w:sz w:val="24"/>
          <w:szCs w:val="24"/>
        </w:rPr>
      </w:pPr>
      <w:r w:rsidRPr="008C6FB1">
        <w:rPr>
          <w:sz w:val="24"/>
          <w:szCs w:val="24"/>
        </w:rPr>
        <w:t>The first of the anticipated criticisms of the continued recognised relationship theory is that it is going too far too fast. Secondly is that it would be difficult to operate in practice due to difficulties in defining what is meant by the relationship having been subsisting for a reasonable period of time.</w:t>
      </w:r>
      <w:r w:rsidRPr="008C6FB1">
        <w:rPr>
          <w:color w:val="FF0000"/>
          <w:sz w:val="24"/>
          <w:szCs w:val="24"/>
        </w:rPr>
        <w:t xml:space="preserve"> </w:t>
      </w:r>
      <w:r w:rsidRPr="008C6FB1">
        <w:rPr>
          <w:sz w:val="24"/>
          <w:szCs w:val="24"/>
        </w:rPr>
        <w:t>Thirdly, is its application to the varying types of civil partnerships across the EU. Fourthly is the recognition of a relationship that a member state would not allow its own domicilaries or nationals to enter into. Turning to the first point, there is a concern that recognising a same-sex relationship in a country which does not allow domestic same-sex couples to marry could lead to a backlash in public opinion. It was suggested that this was a matter that should be handled with thoughtful consideration and that there should be "patience in reform”.</w:t>
      </w:r>
      <w:r w:rsidRPr="008C6FB1">
        <w:rPr>
          <w:sz w:val="24"/>
          <w:szCs w:val="24"/>
          <w:vertAlign w:val="superscript"/>
        </w:rPr>
        <w:footnoteReference w:id="220"/>
      </w:r>
      <w:r w:rsidRPr="008C6FB1">
        <w:rPr>
          <w:sz w:val="24"/>
          <w:szCs w:val="24"/>
        </w:rPr>
        <w:t xml:space="preserve"> There are examples of backlash occurring within the recognition of same-sex marriages. In the US although the first states began recognising same-sex marriage in 2003,</w:t>
      </w:r>
      <w:r w:rsidRPr="008C6FB1">
        <w:rPr>
          <w:sz w:val="24"/>
          <w:szCs w:val="24"/>
          <w:vertAlign w:val="superscript"/>
        </w:rPr>
        <w:footnoteReference w:id="221"/>
      </w:r>
      <w:r w:rsidRPr="008C6FB1">
        <w:rPr>
          <w:sz w:val="24"/>
          <w:szCs w:val="24"/>
        </w:rPr>
        <w:t xml:space="preserve"> this led to a backlash and within six months, eleven states amended their constitutions to prohibit same-sex marriage.</w:t>
      </w:r>
      <w:r w:rsidRPr="008C6FB1">
        <w:rPr>
          <w:rFonts w:eastAsia="Calibri" w:cs="Times New Roman"/>
          <w:sz w:val="24"/>
          <w:szCs w:val="24"/>
          <w:vertAlign w:val="superscript"/>
          <w:lang w:eastAsia="en-US"/>
        </w:rPr>
        <w:footnoteReference w:id="222"/>
      </w:r>
      <w:r w:rsidRPr="008C6FB1">
        <w:rPr>
          <w:rFonts w:eastAsia="Calibri" w:cs="Times New Roman"/>
          <w:sz w:val="24"/>
          <w:szCs w:val="24"/>
          <w:lang w:eastAsia="en-US"/>
        </w:rPr>
        <w:t xml:space="preserve">  It was not until 2014 that public opinion in the US could be seen to have developed sufficiently, to declare in </w:t>
      </w:r>
      <w:r w:rsidRPr="008C6FB1">
        <w:rPr>
          <w:rFonts w:eastAsia="Calibri" w:cs="Times New Roman"/>
          <w:i/>
          <w:sz w:val="24"/>
          <w:szCs w:val="24"/>
          <w:lang w:eastAsia="en-US"/>
        </w:rPr>
        <w:t>US v Windsor</w:t>
      </w:r>
      <w:r w:rsidRPr="008C6FB1">
        <w:rPr>
          <w:rFonts w:eastAsia="Calibri" w:cs="Times New Roman"/>
          <w:sz w:val="24"/>
          <w:szCs w:val="24"/>
          <w:vertAlign w:val="superscript"/>
          <w:lang w:eastAsia="en-US"/>
        </w:rPr>
        <w:footnoteReference w:id="223"/>
      </w:r>
      <w:r w:rsidRPr="008C6FB1">
        <w:rPr>
          <w:rFonts w:eastAsia="Calibri" w:cs="Times New Roman"/>
          <w:sz w:val="24"/>
          <w:szCs w:val="24"/>
          <w:lang w:eastAsia="en-US"/>
        </w:rPr>
        <w:t xml:space="preserve"> that s.3 of the Defence of Marriage Act 1996 was unconstitutional in its restriction of the terms “marriage” and “spouse” to heterosexual couples, and recognition of same-sex marriages had extended to 36 states. These developments were further added to when, in 2015, it was held by the US Supreme Court in </w:t>
      </w:r>
      <w:r w:rsidRPr="008C6FB1">
        <w:rPr>
          <w:rFonts w:eastAsia="Calibri" w:cs="Times New Roman"/>
          <w:i/>
          <w:sz w:val="24"/>
          <w:szCs w:val="24"/>
          <w:lang w:eastAsia="en-US"/>
        </w:rPr>
        <w:t>Obergefell v Hodges</w:t>
      </w:r>
      <w:r w:rsidRPr="008C6FB1">
        <w:rPr>
          <w:rFonts w:eastAsia="Calibri" w:cs="Times New Roman"/>
          <w:sz w:val="24"/>
          <w:szCs w:val="24"/>
          <w:lang w:eastAsia="en-US"/>
        </w:rPr>
        <w:t>,</w:t>
      </w:r>
      <w:r w:rsidRPr="008C6FB1">
        <w:rPr>
          <w:rFonts w:eastAsia="Calibri" w:cs="Times New Roman"/>
          <w:sz w:val="24"/>
          <w:szCs w:val="24"/>
          <w:vertAlign w:val="superscript"/>
          <w:lang w:eastAsia="en-US"/>
        </w:rPr>
        <w:footnoteReference w:id="224"/>
      </w:r>
      <w:r w:rsidRPr="008C6FB1">
        <w:rPr>
          <w:rFonts w:eastAsia="Calibri" w:cs="Times New Roman"/>
          <w:sz w:val="24"/>
          <w:szCs w:val="24"/>
          <w:lang w:eastAsia="en-US"/>
        </w:rPr>
        <w:t xml:space="preserve"> that the fundamental right to marry is also guaranteed to same-sex couples and thus required all states to issue marriage licenses to same-sex couples and to recognise those marriages validly entered into in other states.  It is, therefore, argued that </w:t>
      </w:r>
      <w:r w:rsidRPr="008C6FB1">
        <w:rPr>
          <w:sz w:val="24"/>
          <w:szCs w:val="24"/>
        </w:rPr>
        <w:t xml:space="preserve">enacting legislation too far in advance of public opinion delayed action in favour of same-sex marriage. </w:t>
      </w:r>
    </w:p>
    <w:p w:rsidR="008C6FB1" w:rsidRPr="008C6FB1" w:rsidRDefault="008C6FB1" w:rsidP="008C6FB1">
      <w:pPr>
        <w:spacing w:line="480" w:lineRule="auto"/>
        <w:jc w:val="both"/>
        <w:rPr>
          <w:sz w:val="24"/>
          <w:szCs w:val="24"/>
        </w:rPr>
      </w:pPr>
      <w:r w:rsidRPr="008C6FB1">
        <w:rPr>
          <w:rFonts w:eastAsiaTheme="minorHAnsi"/>
          <w:sz w:val="24"/>
          <w:szCs w:val="24"/>
          <w:lang w:eastAsia="en-US"/>
        </w:rPr>
        <w:t>Fears of a backlash would, however, be minimalized as progress would be made on an incremental basis. This involves making change on a step by step approach</w:t>
      </w:r>
      <w:r w:rsidRPr="008C6FB1">
        <w:rPr>
          <w:rFonts w:eastAsiaTheme="minorHAnsi"/>
          <w:sz w:val="24"/>
          <w:szCs w:val="24"/>
          <w:vertAlign w:val="superscript"/>
          <w:lang w:eastAsia="en-US"/>
        </w:rPr>
        <w:footnoteReference w:id="225"/>
      </w:r>
      <w:r w:rsidRPr="008C6FB1">
        <w:rPr>
          <w:sz w:val="24"/>
          <w:szCs w:val="24"/>
        </w:rPr>
        <w:t xml:space="preserve"> in order to secure ‘’real and sustainable equality”.</w:t>
      </w:r>
      <w:r w:rsidRPr="008C6FB1">
        <w:rPr>
          <w:sz w:val="24"/>
          <w:szCs w:val="24"/>
          <w:vertAlign w:val="superscript"/>
        </w:rPr>
        <w:footnoteReference w:id="226"/>
      </w:r>
      <w:r w:rsidRPr="008C6FB1">
        <w:rPr>
          <w:sz w:val="24"/>
          <w:szCs w:val="24"/>
        </w:rPr>
        <w:t xml:space="preserve">  Incremental steps promote public opinion to change and become de-sensitized.</w:t>
      </w:r>
      <w:r w:rsidRPr="008C6FB1">
        <w:rPr>
          <w:sz w:val="24"/>
          <w:szCs w:val="24"/>
          <w:vertAlign w:val="superscript"/>
        </w:rPr>
        <w:footnoteReference w:id="227"/>
      </w:r>
      <w:r w:rsidRPr="008C6FB1">
        <w:rPr>
          <w:sz w:val="24"/>
          <w:szCs w:val="24"/>
        </w:rPr>
        <w:t xml:space="preserve">  Civil partnerships encouraged public opinion to adjust, before moving on to strive for same-sex marriage.  Experience demonstrates that countries that first recognised civil partnership, before introducing same-sex marriage managed to reach sustainable solutions, without experiencing any backlash.</w:t>
      </w:r>
      <w:r w:rsidRPr="008C6FB1">
        <w:rPr>
          <w:sz w:val="24"/>
          <w:szCs w:val="24"/>
          <w:vertAlign w:val="superscript"/>
        </w:rPr>
        <w:footnoteReference w:id="228"/>
      </w:r>
      <w:r w:rsidRPr="008C6FB1">
        <w:rPr>
          <w:sz w:val="24"/>
          <w:szCs w:val="24"/>
        </w:rPr>
        <w:t xml:space="preserve">  Equally the suggested choice of law rule would be another incremental step, allowing public opinion to become de-sensitized. Nothing in our theory requires EU states to introduce domestic legislation to conduct same-sex relationships.</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Turning to the second issue, the continued recognised relationship theory requires a new Member State to recognise the relationship when it has been subsisting for a reasonable period of time. Without a definition of “reasonable period of time” the theory is open to criticism. However, this is something that would be negotiated between EU Member States. We do not advocate setting a particular time scale, such as a fixed number of years, as there is no way of making such a determination. A fixed period of time would also fail to recognise the individuality in relationships, or provide the necessary flexibility to take into account the many differing familial arrangements. Instead, we would recommend that reasonable time be based upon a series of factors including; duration of civil status, duration of relationship prior to obtaining the status in question, whether there are children involved, and type of property and joint commitments entered into. This test should not prove difficult, as in many of the straight forward instances it will be obvious to the Member States involved that the relationship is one of a solid and durable nature due to some of the above mentioned factors. In respect of the more challenging cases, it should be remembered that the EU already uses the durable relationship test for heterosexual co-habitees.</w:t>
      </w:r>
      <w:r w:rsidRPr="008C6FB1">
        <w:rPr>
          <w:rFonts w:eastAsia="Calibri" w:cs="Times New Roman"/>
          <w:sz w:val="24"/>
          <w:szCs w:val="24"/>
          <w:vertAlign w:val="superscript"/>
          <w:lang w:eastAsia="en-US"/>
        </w:rPr>
        <w:footnoteReference w:id="229"/>
      </w:r>
      <w:r w:rsidRPr="008C6FB1">
        <w:rPr>
          <w:rFonts w:eastAsia="Calibri" w:cs="Times New Roman"/>
          <w:sz w:val="24"/>
          <w:szCs w:val="24"/>
          <w:lang w:eastAsia="en-US"/>
        </w:rPr>
        <w:t xml:space="preserve"> Similarly this criticism could be applied to many of the other choice of law rules. For instance the intended matrimonial home requires that the couple move to the intended matrimonial home within a reasonable time, without defining reasonable time. Likewise the most real and substantial connection test does not define how the most real and substantial connection is determined. The list of factors would at least provide clarity in many of the straight forward cases.</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Thirdly, criticism could be directed at the theory when considering its application to civil partnership type relationships as opposed to same-sex marriages. A marriage is a universally recognised status and, thus would not produce difficulties when expecting a fellow Member State to recognise it: “[T]he major international difference between marriage and civil partnerships is the territorial limitations of the latter”.</w:t>
      </w:r>
      <w:r w:rsidRPr="008C6FB1">
        <w:rPr>
          <w:rFonts w:eastAsia="Calibri" w:cs="Times New Roman"/>
          <w:sz w:val="24"/>
          <w:szCs w:val="24"/>
          <w:vertAlign w:val="superscript"/>
          <w:lang w:eastAsia="en-US"/>
        </w:rPr>
        <w:footnoteReference w:id="230"/>
      </w:r>
      <w:r w:rsidRPr="008C6FB1">
        <w:rPr>
          <w:rFonts w:eastAsia="Calibri" w:cs="Times New Roman"/>
          <w:sz w:val="24"/>
          <w:szCs w:val="24"/>
          <w:lang w:eastAsia="en-US"/>
        </w:rPr>
        <w:t xml:space="preserve"> Civil unions come in many different forms around the EU, and there must be some consideration of whether the new Member State would be required to recognise the version attached to the couple from their previous Member State, or their own version. This is important as it could lead to an upgrade or downgrade in the relationship status and the legal consequences that come with it.</w:t>
      </w:r>
      <w:r w:rsidRPr="008C6FB1">
        <w:rPr>
          <w:rFonts w:eastAsia="Calibri" w:cs="Times New Roman"/>
          <w:sz w:val="24"/>
          <w:szCs w:val="24"/>
          <w:vertAlign w:val="superscript"/>
          <w:lang w:eastAsia="en-US"/>
        </w:rPr>
        <w:footnoteReference w:id="231"/>
      </w:r>
      <w:r w:rsidRPr="008C6FB1">
        <w:rPr>
          <w:rFonts w:eastAsia="Calibri" w:cs="Times New Roman"/>
          <w:sz w:val="24"/>
          <w:szCs w:val="24"/>
          <w:lang w:eastAsia="en-US"/>
        </w:rPr>
        <w:t xml:space="preserve"> It is our suggestion that the general rule should be to apply the status which is most similar to that which the couple are in.</w:t>
      </w:r>
      <w:r w:rsidRPr="008C6FB1">
        <w:rPr>
          <w:rFonts w:eastAsia="Calibri" w:cs="Times New Roman"/>
          <w:sz w:val="24"/>
          <w:szCs w:val="24"/>
          <w:vertAlign w:val="superscript"/>
          <w:lang w:eastAsia="en-US"/>
        </w:rPr>
        <w:footnoteReference w:id="232"/>
      </w:r>
      <w:r w:rsidRPr="008C6FB1">
        <w:rPr>
          <w:rFonts w:eastAsia="Calibri" w:cs="Times New Roman"/>
          <w:sz w:val="24"/>
          <w:szCs w:val="24"/>
          <w:lang w:eastAsia="en-US"/>
        </w:rPr>
        <w:t xml:space="preserve"> Alternatively, if that is not possible, the relationship should be upgraded. Even though this could mean couples are left with greater obligations than they had intended,</w:t>
      </w:r>
      <w:r w:rsidRPr="008C6FB1">
        <w:rPr>
          <w:rFonts w:eastAsia="Calibri" w:cs="Times New Roman"/>
          <w:sz w:val="24"/>
          <w:szCs w:val="24"/>
          <w:vertAlign w:val="superscript"/>
          <w:lang w:eastAsia="en-US"/>
        </w:rPr>
        <w:footnoteReference w:id="233"/>
      </w:r>
      <w:r w:rsidRPr="008C6FB1">
        <w:rPr>
          <w:rFonts w:eastAsia="Calibri" w:cs="Times New Roman"/>
          <w:sz w:val="24"/>
          <w:szCs w:val="24"/>
          <w:lang w:eastAsia="en-US"/>
        </w:rPr>
        <w:t xml:space="preserve"> it would at least provide them with the same, if not better minimum levels of protection and recognition. Downgrading a couple’s status may lead to problems surrounding second class citizenship if couples feel they are being stripped of their elected relationship status.</w:t>
      </w:r>
      <w:r w:rsidRPr="008C6FB1">
        <w:rPr>
          <w:rFonts w:eastAsia="Calibri" w:cs="Times New Roman"/>
          <w:sz w:val="24"/>
          <w:szCs w:val="24"/>
          <w:vertAlign w:val="superscript"/>
          <w:lang w:eastAsia="en-US"/>
        </w:rPr>
        <w:footnoteReference w:id="234"/>
      </w:r>
      <w:r w:rsidRPr="008C6FB1">
        <w:rPr>
          <w:rFonts w:eastAsia="Calibri" w:cs="Times New Roman"/>
          <w:sz w:val="24"/>
          <w:szCs w:val="24"/>
          <w:lang w:eastAsia="en-US"/>
        </w:rPr>
        <w:t xml:space="preserve"> </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Finally the choice of law rule could be criticised as it would require member states to recognise existing same-sex relationships if a couple move there, that they would not permit their own dommicilaries or nationals to enter into. It may be argued that it is creating one rule for one but not for another. This criticism could be levelled at other incapacities. When considering age in England, in accordance with s.2 Marriage Act 1949 the parties must be at least 16, and any marriage involving a party below that age is void. Regardless of this, as it is the dual domicile rule that often applies to the incapacity, marriages between parties not domiciled in England are still held valid in England, despite English domicilaries being prevented from entering such marriages</w:t>
      </w:r>
      <w:r w:rsidRPr="008C6FB1">
        <w:rPr>
          <w:rFonts w:eastAsia="Calibri" w:cs="Times New Roman"/>
          <w:sz w:val="24"/>
          <w:szCs w:val="24"/>
          <w:vertAlign w:val="superscript"/>
          <w:lang w:eastAsia="en-US"/>
        </w:rPr>
        <w:footnoteReference w:id="235"/>
      </w:r>
      <w:r w:rsidRPr="008C6FB1">
        <w:rPr>
          <w:rFonts w:eastAsia="Calibri" w:cs="Times New Roman"/>
          <w:sz w:val="24"/>
          <w:szCs w:val="24"/>
          <w:lang w:eastAsia="en-US"/>
        </w:rPr>
        <w:t>. Likewise, as previously mentioned within the paper, similar respect is shown to foreign polygamous marriages even upon moving to England.</w:t>
      </w:r>
      <w:r w:rsidRPr="008C6FB1">
        <w:rPr>
          <w:rFonts w:eastAsia="Calibri" w:cs="Times New Roman"/>
          <w:sz w:val="24"/>
          <w:szCs w:val="24"/>
          <w:vertAlign w:val="superscript"/>
          <w:lang w:eastAsia="en-US"/>
        </w:rPr>
        <w:footnoteReference w:id="236"/>
      </w:r>
      <w:r w:rsidRPr="008C6FB1">
        <w:rPr>
          <w:rFonts w:eastAsia="Calibri" w:cs="Times New Roman"/>
          <w:sz w:val="24"/>
          <w:szCs w:val="24"/>
          <w:lang w:eastAsia="en-US"/>
        </w:rPr>
        <w:t xml:space="preserve"> It is, therefore, argued that this is something the courts are already accustomed to, and could require similar application and tolerance demonstrated within other incapacities.</w:t>
      </w:r>
    </w:p>
    <w:p w:rsidR="008C6FB1" w:rsidRPr="008C6FB1" w:rsidRDefault="008C6FB1" w:rsidP="008C6FB1">
      <w:pPr>
        <w:numPr>
          <w:ilvl w:val="0"/>
          <w:numId w:val="6"/>
        </w:numPr>
        <w:spacing w:line="480" w:lineRule="auto"/>
        <w:contextualSpacing/>
        <w:jc w:val="center"/>
        <w:rPr>
          <w:rFonts w:eastAsia="Calibri" w:cs="Times New Roman"/>
          <w:b/>
          <w:sz w:val="24"/>
          <w:szCs w:val="24"/>
        </w:rPr>
      </w:pPr>
      <w:r w:rsidRPr="008C6FB1">
        <w:rPr>
          <w:rFonts w:eastAsia="Calibri" w:cs="Times New Roman"/>
          <w:b/>
          <w:sz w:val="24"/>
          <w:szCs w:val="24"/>
        </w:rPr>
        <w:t>Conclusion</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 xml:space="preserve">The law surrounding same-sex relationships, and the appropriate choice of law rule, is evidently unclear. Despite the need for clear choice of law rules, as a result of subsidiarity, countries in the EU are able to determine to what extent to recognise same-sex relationships. The examination of the choice of law rules within marriage validity highlighted the competition amidst the theories. It is apparent that no one theory is appropriate for universal application. Instead, it is our suggestion that a rules based approach to interest analysis would provide a more appropriate option. By applying depecage, a rule could be chosen to apply to all same-sex relationships. Our recommendation is that this rule should be the continued recognised relationship theory, which provides that the applicable law is that of the country where the couple intend to reside, or if their relationship has been subsisting for a reasonable period of time, it should be the law of the country where they previously lived. </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For the purposes of free movement and the prevention of limping marriages</w:t>
      </w:r>
      <w:r w:rsidRPr="008C6FB1">
        <w:rPr>
          <w:rFonts w:eastAsia="Calibri" w:cs="Times New Roman"/>
          <w:sz w:val="24"/>
          <w:szCs w:val="24"/>
          <w:vertAlign w:val="superscript"/>
          <w:lang w:eastAsia="en-US"/>
        </w:rPr>
        <w:footnoteReference w:id="237"/>
      </w:r>
      <w:r w:rsidRPr="008C6FB1">
        <w:rPr>
          <w:rFonts w:eastAsia="Calibri" w:cs="Times New Roman"/>
          <w:sz w:val="24"/>
          <w:szCs w:val="24"/>
          <w:lang w:eastAsia="en-US"/>
        </w:rPr>
        <w:t xml:space="preserve"> it is essential that this matter is dealt with at an EU level. With the high volume of migration and marriages involving international couples,</w:t>
      </w:r>
      <w:r w:rsidRPr="008C6FB1">
        <w:rPr>
          <w:rFonts w:eastAsia="Calibri" w:cs="Times New Roman"/>
          <w:sz w:val="24"/>
          <w:szCs w:val="24"/>
          <w:vertAlign w:val="superscript"/>
          <w:lang w:eastAsia="en-US"/>
        </w:rPr>
        <w:footnoteReference w:id="238"/>
      </w:r>
      <w:r w:rsidRPr="008C6FB1">
        <w:rPr>
          <w:rFonts w:eastAsia="Calibri" w:cs="Times New Roman"/>
          <w:sz w:val="24"/>
          <w:szCs w:val="24"/>
          <w:lang w:eastAsia="en-US"/>
        </w:rPr>
        <w:t xml:space="preserve"> it is not difficult to see the benefits that would be gained from the harmonisation of this matter.</w:t>
      </w:r>
      <w:r w:rsidRPr="008C6FB1">
        <w:rPr>
          <w:rFonts w:eastAsia="Calibri" w:cs="Times New Roman"/>
          <w:sz w:val="24"/>
          <w:szCs w:val="24"/>
          <w:vertAlign w:val="superscript"/>
          <w:lang w:eastAsia="en-US"/>
        </w:rPr>
        <w:footnoteReference w:id="239"/>
      </w:r>
      <w:r w:rsidRPr="008C6FB1">
        <w:rPr>
          <w:rFonts w:eastAsia="Calibri" w:cs="Times New Roman"/>
          <w:sz w:val="24"/>
          <w:szCs w:val="24"/>
          <w:lang w:eastAsia="en-US"/>
        </w:rPr>
        <w:t xml:space="preserve"> It is argued here that the EU is the appropriate place within which to bring forward the proposed choice of law rule. This is because of the already existing and growing area of European family law. The EU as compared to other sources of European family law allows for greater co-ordinated action. There is also a necessity of the EU to act due to the imperative of its free movement provisions. Irrespective of the fact that the EU and the ECtHR have taken divergent approaches in this area, over time the two organisations converge.  </w:t>
      </w:r>
    </w:p>
    <w:p w:rsidR="008C6FB1" w:rsidRPr="008C6FB1" w:rsidRDefault="008C6FB1" w:rsidP="008C6FB1">
      <w:pPr>
        <w:spacing w:line="480" w:lineRule="auto"/>
        <w:jc w:val="both"/>
        <w:rPr>
          <w:rFonts w:eastAsia="Calibri" w:cs="Times New Roman"/>
          <w:sz w:val="24"/>
          <w:szCs w:val="24"/>
          <w:lang w:eastAsia="en-US"/>
        </w:rPr>
      </w:pPr>
      <w:r w:rsidRPr="008C6FB1">
        <w:rPr>
          <w:rFonts w:eastAsia="Calibri" w:cs="Times New Roman"/>
          <w:sz w:val="24"/>
          <w:szCs w:val="24"/>
          <w:lang w:eastAsia="en-US"/>
        </w:rPr>
        <w:t xml:space="preserve">The continued recognised relationship is a choice of law rule which could lead to a more extensive protection of same-sex relationships. </w:t>
      </w:r>
      <w:r w:rsidRPr="008C6FB1">
        <w:rPr>
          <w:rFonts w:cs="Calibri"/>
          <w:color w:val="000000"/>
          <w:sz w:val="24"/>
          <w:szCs w:val="24"/>
        </w:rPr>
        <w:t xml:space="preserve">This more extensive choice of law rule can be justified because of concerns surrounding upholding marriage validity, consideration of the view of the parties to the marriage and the example of how polygamous marriages have been treated in England and Wales. We also argue that additional public policy concerns </w:t>
      </w:r>
      <w:r w:rsidRPr="008C6FB1">
        <w:rPr>
          <w:sz w:val="24"/>
          <w:szCs w:val="24"/>
        </w:rPr>
        <w:t>of citizenship, symbolism and equality apply. All of these are compelling arguments in favour of a more extensive choice of law rule. While these arguments are often most appropriate to recognition of same-sex marriage, for the sake of consistency we argue that the same choice of law should be applied to all same-sex relationships, including civil partnerships</w:t>
      </w:r>
    </w:p>
    <w:p w:rsidR="008C6FB1" w:rsidRPr="008C6FB1" w:rsidRDefault="008C6FB1" w:rsidP="008C6FB1">
      <w:pPr>
        <w:spacing w:line="480" w:lineRule="auto"/>
        <w:jc w:val="both"/>
        <w:rPr>
          <w:sz w:val="24"/>
          <w:szCs w:val="24"/>
        </w:rPr>
      </w:pPr>
      <w:r w:rsidRPr="008C6FB1">
        <w:rPr>
          <w:rFonts w:eastAsia="Calibri" w:cs="Times New Roman"/>
          <w:sz w:val="24"/>
          <w:szCs w:val="24"/>
          <w:lang w:eastAsia="en-US"/>
        </w:rPr>
        <w:t xml:space="preserve">We have also dealt with </w:t>
      </w:r>
      <w:r w:rsidRPr="008C6FB1">
        <w:rPr>
          <w:sz w:val="24"/>
          <w:szCs w:val="24"/>
        </w:rPr>
        <w:t>anticipated criticisms of the continued recognised relationship theory. These include objections that this theory is receiving accelerated promotion. Secondly, is that it would be difficult to operate in practice due to difficulties in defining what is meant by the relationship having been subsisting for a reasonable period of time.</w:t>
      </w:r>
      <w:r w:rsidRPr="008C6FB1">
        <w:rPr>
          <w:color w:val="FF0000"/>
          <w:sz w:val="24"/>
          <w:szCs w:val="24"/>
        </w:rPr>
        <w:t xml:space="preserve"> </w:t>
      </w:r>
      <w:r w:rsidRPr="008C6FB1">
        <w:rPr>
          <w:sz w:val="24"/>
          <w:szCs w:val="24"/>
        </w:rPr>
        <w:t xml:space="preserve">Thirdly, is its application to the varying types of civil partnerships across the EU, and finally that Member States would be required to recognise a relationship that it would not permit its own domicilaries to enter into.  We have suggested how these criticisms can be best dealt with.  There is no requirement for Member States to legalise same-sex marriage in their own jurisdiction. A marriage subsisting for a reasonable period of time can be defined by looking at all factors, not just the length of marriage. The relationship to be recognised is that which is most similar to the one where the parties originated. If that is not possible the relationship should be upgraded. This tolerance and acceptance of existing relationships already occurs within other incapacities. </w:t>
      </w:r>
    </w:p>
    <w:p w:rsidR="008C6FB1" w:rsidRPr="008C6FB1" w:rsidRDefault="008C6FB1" w:rsidP="008C6FB1">
      <w:pPr>
        <w:spacing w:line="480" w:lineRule="auto"/>
        <w:jc w:val="both"/>
        <w:rPr>
          <w:rFonts w:eastAsia="Calibri" w:cs="Times New Roman"/>
          <w:sz w:val="24"/>
          <w:szCs w:val="24"/>
          <w:lang w:eastAsia="en-US"/>
        </w:rPr>
      </w:pPr>
      <w:r w:rsidRPr="008C6FB1">
        <w:rPr>
          <w:sz w:val="24"/>
          <w:szCs w:val="24"/>
        </w:rPr>
        <w:t xml:space="preserve">There is no perfect solution. </w:t>
      </w:r>
      <w:r w:rsidRPr="008C6FB1">
        <w:rPr>
          <w:rFonts w:eastAsia="Calibri" w:cs="Times New Roman"/>
          <w:sz w:val="24"/>
          <w:szCs w:val="24"/>
          <w:lang w:eastAsia="en-US"/>
        </w:rPr>
        <w:t>The aim is not to achieve the unachievable, but to identify and advance the best possible answer. This needs to be subject to further debate amongst EU nations. This article also develops an area of law that has been neglected. Marriage validity and the choice of law rules therein is an area of law in need of attention.</w:t>
      </w:r>
      <w:r w:rsidRPr="008C6FB1">
        <w:rPr>
          <w:rFonts w:eastAsia="Calibri" w:cs="Times New Roman"/>
          <w:sz w:val="24"/>
          <w:szCs w:val="24"/>
          <w:vertAlign w:val="superscript"/>
          <w:lang w:eastAsia="en-US"/>
        </w:rPr>
        <w:footnoteReference w:id="240"/>
      </w:r>
      <w:r w:rsidRPr="008C6FB1">
        <w:rPr>
          <w:rFonts w:eastAsia="Calibri" w:cs="Times New Roman"/>
          <w:sz w:val="24"/>
          <w:szCs w:val="24"/>
          <w:lang w:eastAsia="en-US"/>
        </w:rPr>
        <w:t xml:space="preserve"> There is only space to tackle same-sex relationships within this work, but, this could be the starting point for a consideration of the choice of law rules applicable to other incapacities to marriage.  </w:t>
      </w:r>
    </w:p>
    <w:p w:rsidR="008C6FB1" w:rsidRPr="008C6FB1" w:rsidRDefault="008C6FB1" w:rsidP="008C6FB1">
      <w:pPr>
        <w:rPr>
          <w:rFonts w:eastAsiaTheme="minorHAnsi"/>
          <w:lang w:eastAsia="en-US"/>
        </w:rPr>
      </w:pPr>
    </w:p>
    <w:p w:rsidR="008C6FB1" w:rsidRPr="008C6FB1" w:rsidRDefault="008C6FB1" w:rsidP="008C6FB1"/>
    <w:p w:rsidR="00DF71CB" w:rsidRDefault="00DF71CB"/>
    <w:sectPr w:rsidR="00DF71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B5" w:rsidRDefault="004406B5" w:rsidP="008C6FB1">
      <w:pPr>
        <w:spacing w:after="0" w:line="240" w:lineRule="auto"/>
      </w:pPr>
      <w:r>
        <w:separator/>
      </w:r>
    </w:p>
  </w:endnote>
  <w:endnote w:type="continuationSeparator" w:id="0">
    <w:p w:rsidR="004406B5" w:rsidRDefault="004406B5" w:rsidP="008C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B5" w:rsidRDefault="004406B5" w:rsidP="008C6FB1">
      <w:pPr>
        <w:spacing w:after="0" w:line="240" w:lineRule="auto"/>
      </w:pPr>
      <w:r>
        <w:separator/>
      </w:r>
    </w:p>
  </w:footnote>
  <w:footnote w:type="continuationSeparator" w:id="0">
    <w:p w:rsidR="004406B5" w:rsidRDefault="004406B5" w:rsidP="008C6FB1">
      <w:pPr>
        <w:spacing w:after="0" w:line="240" w:lineRule="auto"/>
      </w:pPr>
      <w:r>
        <w:continuationSeparator/>
      </w:r>
    </w:p>
  </w:footnote>
  <w:footnote w:id="1">
    <w:p w:rsidR="00A13E1A" w:rsidRPr="005E4773" w:rsidRDefault="00A13E1A" w:rsidP="00A13E1A">
      <w:pPr>
        <w:pStyle w:val="FootnoteText"/>
        <w:spacing w:line="480" w:lineRule="auto"/>
        <w:jc w:val="both"/>
        <w:rPr>
          <w:rFonts w:asciiTheme="minorHAnsi" w:hAnsiTheme="minorHAnsi"/>
        </w:rPr>
      </w:pPr>
      <w:r>
        <w:rPr>
          <w:rFonts w:asciiTheme="minorHAnsi" w:hAnsiTheme="minorHAnsi"/>
        </w:rPr>
        <w:t>*</w:t>
      </w:r>
      <w:r w:rsidRPr="005E4773">
        <w:rPr>
          <w:rFonts w:asciiTheme="minorHAnsi" w:hAnsiTheme="minorHAnsi"/>
        </w:rPr>
        <w:t xml:space="preserve">Frances Hamilton is a Senior Lecturer in Law. Lauren Clayton-Helm is a Graduate Tutor and PhD candidate. Both are based at Northumbria University Law School. </w:t>
      </w:r>
    </w:p>
    <w:p w:rsidR="00A13E1A" w:rsidRPr="005E4773" w:rsidRDefault="00A13E1A" w:rsidP="00A13E1A">
      <w:pPr>
        <w:pStyle w:val="FootnoteText"/>
        <w:spacing w:line="480" w:lineRule="auto"/>
        <w:jc w:val="both"/>
        <w:rPr>
          <w:rFonts w:asciiTheme="minorHAnsi" w:hAnsiTheme="minorHAnsi"/>
        </w:rPr>
      </w:pPr>
    </w:p>
  </w:footnote>
  <w:footnote w:id="2">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The Centre for Social Justice, “</w:t>
      </w:r>
      <w:r w:rsidRPr="005E4773">
        <w:rPr>
          <w:rFonts w:eastAsia="Calibri" w:cs="Times New Roman"/>
          <w:sz w:val="20"/>
          <w:szCs w:val="20"/>
        </w:rPr>
        <w:t xml:space="preserve">European Family Law: Faster Divorce and Foreign Law” (2009) 5, available at </w:t>
      </w:r>
      <w:hyperlink r:id="rId1" w:history="1">
        <w:r w:rsidRPr="00777786">
          <w:rPr>
            <w:rStyle w:val="Hyperlink"/>
            <w:rFonts w:eastAsia="Calibri" w:cs="Times New Roman"/>
            <w:sz w:val="20"/>
            <w:szCs w:val="20"/>
          </w:rPr>
          <w:t>http://www.centreforsocialjustice.org.uk/UserStorage/pdf/Pdf%20reports/CSJEuropeanFamilyLaw.pdf</w:t>
        </w:r>
      </w:hyperlink>
    </w:p>
    <w:p w:rsidR="00A13E1A" w:rsidRPr="005E4773" w:rsidRDefault="00A13E1A" w:rsidP="00A13E1A">
      <w:pPr>
        <w:spacing w:after="0" w:line="480" w:lineRule="auto"/>
        <w:jc w:val="both"/>
        <w:rPr>
          <w:rFonts w:eastAsia="Calibri" w:cs="Times New Roman"/>
          <w:sz w:val="20"/>
          <w:szCs w:val="20"/>
        </w:rPr>
      </w:pPr>
    </w:p>
  </w:footnote>
  <w:footnote w:id="3">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Michele Grigolo, “</w:t>
      </w:r>
      <w:r w:rsidRPr="005E4773">
        <w:rPr>
          <w:rFonts w:eastAsia="Calibri" w:cs="Times New Roman"/>
          <w:sz w:val="20"/>
          <w:szCs w:val="20"/>
        </w:rPr>
        <w:t xml:space="preserve">Sexualities and the ECHR: Introducing the Universal Sexual Legal Subject” (2003) 14(5) European Journal International Law 1023, 1026 referring to Antony Giddens, </w:t>
      </w:r>
      <w:r w:rsidRPr="005E4773">
        <w:rPr>
          <w:rFonts w:eastAsia="Calibri" w:cs="Times New Roman"/>
          <w:i/>
          <w:sz w:val="20"/>
          <w:szCs w:val="20"/>
        </w:rPr>
        <w:t>The Transformation of Intimacy: Sexuality, Love and Eroticism in Modern Societies</w:t>
      </w:r>
      <w:r w:rsidRPr="005E4773">
        <w:rPr>
          <w:rFonts w:eastAsia="Calibri" w:cs="Times New Roman"/>
          <w:sz w:val="20"/>
          <w:szCs w:val="20"/>
        </w:rPr>
        <w:t xml:space="preserve"> (Stanford University Press, 1992). </w:t>
      </w:r>
    </w:p>
    <w:p w:rsidR="00A13E1A" w:rsidRPr="005E4773" w:rsidRDefault="00A13E1A" w:rsidP="00A13E1A">
      <w:pPr>
        <w:spacing w:after="0" w:line="480" w:lineRule="auto"/>
        <w:jc w:val="both"/>
        <w:rPr>
          <w:rFonts w:eastAsia="Calibri" w:cs="Times New Roman"/>
          <w:sz w:val="20"/>
          <w:szCs w:val="20"/>
        </w:rPr>
      </w:pPr>
    </w:p>
  </w:footnote>
  <w:footnote w:id="4">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Within Europe the following states recognise same-sex marriage; Belgium, Denmark, France, Iceland, Luxembourg, the Netherlands, Norway, Portugal, Spain, Sweden, England and Wales, Scotland and Finland (effective from 2017). </w:t>
      </w:r>
      <w:r>
        <w:rPr>
          <w:rFonts w:cs="Calibri"/>
          <w:sz w:val="22"/>
          <w:szCs w:val="22"/>
        </w:rPr>
        <w:t>Following</w:t>
      </w:r>
      <w:r>
        <w:rPr>
          <w:rFonts w:cs="Calibri"/>
          <w:i/>
          <w:iCs/>
          <w:sz w:val="22"/>
          <w:szCs w:val="22"/>
        </w:rPr>
        <w:t xml:space="preserve"> Oliari </w:t>
      </w:r>
      <w:r>
        <w:rPr>
          <w:rFonts w:cs="Calibri"/>
          <w:sz w:val="22"/>
          <w:szCs w:val="22"/>
        </w:rPr>
        <w:t>all other contracting states to the European Convention on Human Rights will have to recognise some form of civil partnership.</w:t>
      </w:r>
    </w:p>
    <w:p w:rsidR="00A13E1A" w:rsidRPr="005E4773" w:rsidRDefault="00A13E1A" w:rsidP="00A13E1A">
      <w:pPr>
        <w:pStyle w:val="FootnoteText"/>
        <w:spacing w:line="480" w:lineRule="auto"/>
        <w:jc w:val="both"/>
        <w:rPr>
          <w:rFonts w:asciiTheme="minorHAnsi" w:hAnsiTheme="minorHAnsi"/>
        </w:rPr>
      </w:pPr>
    </w:p>
  </w:footnote>
  <w:footnote w:id="5">
    <w:p w:rsidR="00A13E1A" w:rsidRPr="005E4773" w:rsidRDefault="00A13E1A" w:rsidP="00A13E1A">
      <w:pPr>
        <w:pStyle w:val="FootnoteText"/>
        <w:spacing w:line="480" w:lineRule="auto"/>
        <w:jc w:val="both"/>
        <w:rPr>
          <w:rFonts w:asciiTheme="minorHAnsi" w:eastAsia="Times New Roman" w:hAnsiTheme="minorHAnsi"/>
          <w:lang w:eastAsia="en-GB"/>
        </w:rPr>
      </w:pPr>
      <w:r w:rsidRPr="005E4773">
        <w:rPr>
          <w:rStyle w:val="FootnoteReference"/>
          <w:rFonts w:asciiTheme="minorHAnsi" w:hAnsiTheme="minorHAnsi"/>
        </w:rPr>
        <w:footnoteRef/>
      </w:r>
      <w:r w:rsidRPr="005E4773">
        <w:rPr>
          <w:rFonts w:asciiTheme="minorHAnsi" w:hAnsiTheme="minorHAnsi"/>
        </w:rPr>
        <w:t xml:space="preserve"> In </w:t>
      </w:r>
      <w:r w:rsidRPr="005E4773">
        <w:rPr>
          <w:rFonts w:asciiTheme="minorHAnsi" w:hAnsiTheme="minorHAnsi"/>
          <w:i/>
        </w:rPr>
        <w:t>Estin v Estin</w:t>
      </w:r>
      <w:r w:rsidRPr="005E4773">
        <w:rPr>
          <w:rFonts w:asciiTheme="minorHAnsi" w:hAnsiTheme="minorHAnsi"/>
        </w:rPr>
        <w:t xml:space="preserve">, 334 U.S. 541, 553 (1948) </w:t>
      </w:r>
      <w:r w:rsidRPr="005E4773">
        <w:rPr>
          <w:rFonts w:asciiTheme="minorHAnsi" w:eastAsia="Times New Roman" w:hAnsiTheme="minorHAnsi"/>
          <w:lang w:eastAsia="en-GB"/>
        </w:rPr>
        <w:t xml:space="preserve">Robert Jackson J commented that “one thing that people are entitled to know from the law is whether they are formally married.” </w:t>
      </w:r>
      <w:r w:rsidRPr="005E4773">
        <w:rPr>
          <w:rFonts w:asciiTheme="minorHAnsi" w:eastAsia="Times New Roman" w:hAnsiTheme="minorHAnsi"/>
          <w:i/>
          <w:lang w:eastAsia="en-GB"/>
        </w:rPr>
        <w:t>See also</w:t>
      </w:r>
      <w:r w:rsidRPr="005E4773">
        <w:rPr>
          <w:rFonts w:asciiTheme="minorHAnsi" w:eastAsia="Times New Roman" w:hAnsiTheme="minorHAnsi"/>
          <w:lang w:eastAsia="en-GB"/>
        </w:rPr>
        <w:t xml:space="preserve"> </w:t>
      </w:r>
      <w:r w:rsidRPr="005E4773">
        <w:rPr>
          <w:rFonts w:asciiTheme="minorHAnsi" w:hAnsiTheme="minorHAnsi"/>
        </w:rPr>
        <w:t>Barbara Stark, “When Globalization Hits Home: International Family Law Comes of Age” (2006) 36 Vanderbilt. Jo</w:t>
      </w:r>
      <w:r>
        <w:rPr>
          <w:rFonts w:asciiTheme="minorHAnsi" w:hAnsiTheme="minorHAnsi"/>
        </w:rPr>
        <w:t>urnal of Transnational Law 1551.</w:t>
      </w:r>
    </w:p>
    <w:p w:rsidR="00A13E1A" w:rsidRPr="005E4773" w:rsidRDefault="00A13E1A" w:rsidP="00A13E1A">
      <w:pPr>
        <w:pStyle w:val="FootnoteText"/>
        <w:spacing w:line="480" w:lineRule="auto"/>
        <w:jc w:val="both"/>
        <w:rPr>
          <w:rFonts w:asciiTheme="minorHAnsi" w:hAnsiTheme="minorHAnsi"/>
        </w:rPr>
      </w:pPr>
    </w:p>
  </w:footnote>
  <w:footnote w:id="6">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P. St. J. Smart, “</w:t>
      </w:r>
      <w:r w:rsidRPr="005E4773">
        <w:rPr>
          <w:rFonts w:eastAsia="Calibri" w:cs="Times New Roman"/>
          <w:sz w:val="20"/>
          <w:szCs w:val="20"/>
        </w:rPr>
        <w:t xml:space="preserve">Interest Analysis, False Conflicts, and the Essential Validity of Marriage” (1985) 14 Anglo-American Law Review 225, 225. </w:t>
      </w:r>
    </w:p>
    <w:p w:rsidR="00A13E1A" w:rsidRPr="005E4773" w:rsidRDefault="00A13E1A" w:rsidP="00A13E1A">
      <w:pPr>
        <w:spacing w:after="0" w:line="480" w:lineRule="auto"/>
        <w:jc w:val="both"/>
        <w:rPr>
          <w:rFonts w:eastAsia="Calibri" w:cs="Times New Roman"/>
          <w:sz w:val="20"/>
          <w:szCs w:val="20"/>
        </w:rPr>
      </w:pPr>
    </w:p>
  </w:footnote>
  <w:footnote w:id="7">
    <w:p w:rsidR="00A13E1A" w:rsidRPr="005E4773"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w:t>
      </w:r>
      <w:r w:rsidRPr="005E4773">
        <w:rPr>
          <w:i/>
          <w:sz w:val="20"/>
          <w:szCs w:val="20"/>
        </w:rPr>
        <w:t>See</w:t>
      </w:r>
      <w:r w:rsidRPr="005E4773">
        <w:rPr>
          <w:sz w:val="20"/>
          <w:szCs w:val="20"/>
        </w:rPr>
        <w:t xml:space="preserve">, eg, </w:t>
      </w:r>
      <w:r w:rsidRPr="005E4773">
        <w:rPr>
          <w:i/>
          <w:sz w:val="20"/>
          <w:szCs w:val="20"/>
        </w:rPr>
        <w:t>Goodridge v Department of Public Health</w:t>
      </w:r>
      <w:r w:rsidRPr="005E4773">
        <w:rPr>
          <w:sz w:val="20"/>
          <w:szCs w:val="20"/>
        </w:rPr>
        <w:t xml:space="preserve">, 798 N.E. 2d 941 (Mass 2003), </w:t>
      </w:r>
      <w:r w:rsidRPr="005E4773">
        <w:rPr>
          <w:i/>
          <w:sz w:val="20"/>
          <w:szCs w:val="20"/>
        </w:rPr>
        <w:t>Loving v Virginia</w:t>
      </w:r>
      <w:r w:rsidRPr="005E4773">
        <w:rPr>
          <w:sz w:val="20"/>
          <w:szCs w:val="20"/>
        </w:rPr>
        <w:t xml:space="preserve">, 388 U.S. 1 (1967) and </w:t>
      </w:r>
      <w:r w:rsidRPr="005E4773">
        <w:rPr>
          <w:i/>
          <w:sz w:val="20"/>
          <w:szCs w:val="20"/>
        </w:rPr>
        <w:t xml:space="preserve">Obergefell v Hodges Director, Ohio Department of Health </w:t>
      </w:r>
      <w:r w:rsidRPr="005E4773">
        <w:rPr>
          <w:sz w:val="20"/>
          <w:szCs w:val="20"/>
        </w:rPr>
        <w:t>576 U.S. (2015).</w:t>
      </w:r>
    </w:p>
  </w:footnote>
  <w:footnote w:id="8">
    <w:p w:rsidR="00A13E1A" w:rsidRDefault="00A13E1A" w:rsidP="00A13E1A">
      <w:pPr>
        <w:pStyle w:val="FootnoteText"/>
        <w:spacing w:line="480" w:lineRule="auto"/>
        <w:rPr>
          <w:rFonts w:asciiTheme="minorHAnsi" w:hAnsiTheme="minorHAnsi"/>
          <w: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 xml:space="preserve">Obergefell  </w:t>
      </w:r>
      <w:r>
        <w:rPr>
          <w:rFonts w:asciiTheme="minorHAnsi" w:hAnsiTheme="minorHAnsi"/>
        </w:rPr>
        <w:t>n.6</w:t>
      </w:r>
    </w:p>
    <w:p w:rsidR="00A13E1A" w:rsidRPr="00D32B7F" w:rsidRDefault="00A13E1A" w:rsidP="00A13E1A">
      <w:pPr>
        <w:pStyle w:val="FootnoteText"/>
        <w:spacing w:line="480" w:lineRule="auto"/>
        <w:rPr>
          <w:rFonts w:asciiTheme="minorHAnsi" w:hAnsiTheme="minorHAnsi"/>
          <w:i/>
        </w:rPr>
      </w:pPr>
    </w:p>
  </w:footnote>
  <w:footnote w:id="9">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sidRPr="005E4773">
        <w:rPr>
          <w:rFonts w:asciiTheme="minorHAnsi" w:hAnsiTheme="minorHAnsi"/>
        </w:rPr>
        <w:t>11</w:t>
      </w:r>
    </w:p>
    <w:p w:rsidR="00A13E1A" w:rsidRPr="005E4773" w:rsidRDefault="00A13E1A" w:rsidP="00A13E1A">
      <w:pPr>
        <w:pStyle w:val="FootnoteText"/>
        <w:spacing w:line="480" w:lineRule="auto"/>
        <w:rPr>
          <w:rFonts w:asciiTheme="minorHAnsi" w:hAnsiTheme="minorHAnsi"/>
        </w:rPr>
      </w:pPr>
    </w:p>
  </w:footnote>
  <w:footnote w:id="10">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sidRPr="005E4773">
        <w:rPr>
          <w:rFonts w:asciiTheme="minorHAnsi" w:hAnsiTheme="minorHAnsi"/>
        </w:rPr>
        <w:t xml:space="preserve">12. </w:t>
      </w:r>
    </w:p>
    <w:p w:rsidR="00A13E1A" w:rsidRPr="005E4773" w:rsidRDefault="00A13E1A" w:rsidP="00A13E1A">
      <w:pPr>
        <w:pStyle w:val="FootnoteText"/>
        <w:spacing w:line="480" w:lineRule="auto"/>
        <w:rPr>
          <w:rFonts w:asciiTheme="minorHAnsi" w:hAnsiTheme="minorHAnsi"/>
        </w:rPr>
      </w:pPr>
    </w:p>
  </w:footnote>
  <w:footnote w:id="11">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sidRPr="005E4773">
        <w:rPr>
          <w:rFonts w:asciiTheme="minorHAnsi" w:hAnsiTheme="minorHAnsi"/>
        </w:rPr>
        <w:t xml:space="preserve"> 13</w:t>
      </w:r>
    </w:p>
    <w:p w:rsidR="00A13E1A" w:rsidRPr="005E4773" w:rsidRDefault="00A13E1A" w:rsidP="00A13E1A">
      <w:pPr>
        <w:pStyle w:val="FootnoteText"/>
        <w:spacing w:line="480" w:lineRule="auto"/>
        <w:rPr>
          <w:rFonts w:asciiTheme="minorHAnsi" w:hAnsiTheme="minorHAnsi"/>
        </w:rPr>
      </w:pPr>
    </w:p>
  </w:footnote>
  <w:footnote w:id="12">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sidRPr="005E4773">
        <w:rPr>
          <w:rFonts w:asciiTheme="minorHAnsi" w:hAnsiTheme="minorHAnsi"/>
        </w:rPr>
        <w:t xml:space="preserve"> 14</w:t>
      </w:r>
    </w:p>
    <w:p w:rsidR="00A13E1A" w:rsidRPr="005E4773" w:rsidRDefault="00A13E1A" w:rsidP="00A13E1A">
      <w:pPr>
        <w:pStyle w:val="FootnoteText"/>
        <w:spacing w:line="480" w:lineRule="auto"/>
        <w:rPr>
          <w:rFonts w:asciiTheme="minorHAnsi" w:hAnsiTheme="minorHAnsi"/>
        </w:rPr>
      </w:pPr>
    </w:p>
  </w:footnote>
  <w:footnote w:id="13">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sidRPr="005E4773">
        <w:rPr>
          <w:rFonts w:asciiTheme="minorHAnsi" w:hAnsiTheme="minorHAnsi"/>
        </w:rPr>
        <w:t xml:space="preserve"> 16</w:t>
      </w:r>
    </w:p>
    <w:p w:rsidR="00A13E1A" w:rsidRPr="005E4773" w:rsidRDefault="00A13E1A" w:rsidP="00A13E1A">
      <w:pPr>
        <w:pStyle w:val="FootnoteText"/>
        <w:spacing w:line="480" w:lineRule="auto"/>
        <w:rPr>
          <w:rFonts w:asciiTheme="minorHAnsi" w:hAnsiTheme="minorHAnsi"/>
        </w:rPr>
      </w:pPr>
    </w:p>
  </w:footnote>
  <w:footnote w:id="14">
    <w:p w:rsidR="00A13E1A" w:rsidRDefault="00A13E1A" w:rsidP="00A13E1A">
      <w:pPr>
        <w:pStyle w:val="FootnoteText"/>
        <w:spacing w:line="480" w:lineRule="auto"/>
      </w:pPr>
      <w:r>
        <w:rPr>
          <w:rStyle w:val="FootnoteReference"/>
        </w:rPr>
        <w:footnoteRef/>
      </w:r>
      <w:r>
        <w:t xml:space="preserve"> A full discussion as to what is meant by the concept of citizenship in this context is included in Section IV(i) of this piece.</w:t>
      </w:r>
    </w:p>
    <w:p w:rsidR="00A13E1A" w:rsidRDefault="00A13E1A" w:rsidP="00A13E1A">
      <w:pPr>
        <w:pStyle w:val="FootnoteText"/>
        <w:spacing w:line="480" w:lineRule="auto"/>
      </w:pPr>
    </w:p>
  </w:footnote>
  <w:footnote w:id="15">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Richard Frimston, “Marriage and Non-Marital Registered Partnerships: Gold, Silver and Bronze in Private International Law” (2006) Private Client Business 352.</w:t>
      </w:r>
      <w:r>
        <w:rPr>
          <w:sz w:val="20"/>
          <w:szCs w:val="20"/>
        </w:rPr>
        <w:t xml:space="preserve"> </w:t>
      </w:r>
    </w:p>
    <w:p w:rsidR="00A13E1A" w:rsidRPr="005E4773" w:rsidRDefault="00A13E1A" w:rsidP="00A13E1A">
      <w:pPr>
        <w:spacing w:after="0" w:line="480" w:lineRule="auto"/>
        <w:jc w:val="both"/>
        <w:rPr>
          <w:color w:val="FF0000"/>
          <w:sz w:val="20"/>
          <w:szCs w:val="20"/>
        </w:rPr>
      </w:pPr>
    </w:p>
  </w:footnote>
  <w:footnote w:id="16">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w:t>
      </w:r>
      <w:r w:rsidRPr="005E4773">
        <w:rPr>
          <w:i/>
          <w:sz w:val="20"/>
          <w:szCs w:val="20"/>
        </w:rPr>
        <w:t xml:space="preserve">See </w:t>
      </w:r>
      <w:r w:rsidRPr="005E4773">
        <w:rPr>
          <w:sz w:val="20"/>
          <w:szCs w:val="20"/>
        </w:rPr>
        <w:t>Erez Aloni, ‘‘Incrementalism, Civil Unions and the Possibility of Predicting Same-Sex Marriage” (2010-2011) 18 Duke Journal o</w:t>
      </w:r>
      <w:r>
        <w:rPr>
          <w:sz w:val="20"/>
          <w:szCs w:val="20"/>
        </w:rPr>
        <w:t xml:space="preserve">f Gender Law and Policy 105. </w:t>
      </w:r>
    </w:p>
    <w:p w:rsidR="00A13E1A" w:rsidRPr="005E4773" w:rsidRDefault="00A13E1A" w:rsidP="00A13E1A">
      <w:pPr>
        <w:spacing w:after="0" w:line="480" w:lineRule="auto"/>
        <w:jc w:val="both"/>
        <w:rPr>
          <w:sz w:val="20"/>
          <w:szCs w:val="20"/>
        </w:rPr>
      </w:pPr>
    </w:p>
  </w:footnote>
  <w:footnote w:id="17">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See </w:t>
      </w:r>
      <w:r>
        <w:rPr>
          <w:i/>
          <w:sz w:val="20"/>
          <w:szCs w:val="20"/>
        </w:rPr>
        <w:t>Obergefell n.6</w:t>
      </w:r>
      <w:r w:rsidRPr="005E4773">
        <w:rPr>
          <w:sz w:val="20"/>
          <w:szCs w:val="20"/>
        </w:rPr>
        <w:t xml:space="preserve">; Elizabeth Scott, “A </w:t>
      </w:r>
      <w:r w:rsidRPr="005E4773">
        <w:rPr>
          <w:rFonts w:eastAsia="Calibri" w:cs="Times New Roman"/>
          <w:sz w:val="20"/>
          <w:szCs w:val="20"/>
        </w:rPr>
        <w:t>World Without Marriage” (2007-2008) 41 Family Law Quarterly 537,</w:t>
      </w:r>
      <w:r>
        <w:rPr>
          <w:rFonts w:eastAsia="Calibri" w:cs="Times New Roman"/>
          <w:sz w:val="20"/>
          <w:szCs w:val="20"/>
        </w:rPr>
        <w:t xml:space="preserve"> </w:t>
      </w:r>
      <w:r w:rsidRPr="005E4773">
        <w:rPr>
          <w:rFonts w:eastAsia="Calibri" w:cs="Times New Roman"/>
          <w:sz w:val="20"/>
          <w:szCs w:val="20"/>
        </w:rPr>
        <w:t xml:space="preserve">541.  </w:t>
      </w:r>
    </w:p>
    <w:p w:rsidR="00A13E1A" w:rsidRPr="005E4773" w:rsidRDefault="00A13E1A" w:rsidP="00A13E1A">
      <w:pPr>
        <w:spacing w:after="0" w:line="480" w:lineRule="auto"/>
        <w:jc w:val="both"/>
        <w:rPr>
          <w:rFonts w:eastAsia="Calibri" w:cs="Times New Roman"/>
          <w:sz w:val="20"/>
          <w:szCs w:val="20"/>
        </w:rPr>
      </w:pPr>
    </w:p>
  </w:footnote>
  <w:footnote w:id="18">
    <w:p w:rsidR="00A13E1A" w:rsidRPr="005E4773" w:rsidRDefault="00A13E1A" w:rsidP="00A13E1A">
      <w:pPr>
        <w:pStyle w:val="FootnoteText"/>
        <w:spacing w:line="480" w:lineRule="auto"/>
        <w:rPr>
          <w:rFonts w:asciiTheme="minorHAnsi" w:hAnsiTheme="minorHAnsi"/>
          <w:lang w:val="de-DE"/>
        </w:rPr>
      </w:pPr>
      <w:r w:rsidRPr="005E4773">
        <w:rPr>
          <w:rStyle w:val="FootnoteReference"/>
          <w:rFonts w:asciiTheme="minorHAnsi" w:hAnsiTheme="minorHAnsi"/>
        </w:rPr>
        <w:footnoteRef/>
      </w:r>
      <w:r w:rsidRPr="005E4773">
        <w:rPr>
          <w:rFonts w:asciiTheme="minorHAnsi" w:hAnsiTheme="minorHAnsi"/>
          <w:lang w:val="de-DE"/>
        </w:rPr>
        <w:t xml:space="preserve"> </w:t>
      </w:r>
      <w:r w:rsidRPr="005E4773">
        <w:rPr>
          <w:rFonts w:asciiTheme="minorHAnsi" w:hAnsiTheme="minorHAnsi"/>
          <w:i/>
          <w:lang w:val="de-DE"/>
        </w:rPr>
        <w:t>Wilkinson v Kritzinger</w:t>
      </w:r>
      <w:r w:rsidRPr="005E4773">
        <w:rPr>
          <w:rFonts w:asciiTheme="minorHAnsi" w:hAnsiTheme="minorHAnsi"/>
          <w:b/>
          <w:bCs/>
          <w:color w:val="000000"/>
          <w:lang w:val="de-DE"/>
        </w:rPr>
        <w:t xml:space="preserve"> </w:t>
      </w:r>
      <w:r w:rsidRPr="005E4773">
        <w:rPr>
          <w:rFonts w:asciiTheme="minorHAnsi" w:hAnsiTheme="minorHAnsi"/>
          <w:bCs/>
          <w:color w:val="000000"/>
          <w:lang w:val="de-DE"/>
        </w:rPr>
        <w:t>[2006] EWHC 2022 (Fam) para 6.</w:t>
      </w:r>
      <w:r w:rsidRPr="005E4773">
        <w:rPr>
          <w:rFonts w:asciiTheme="minorHAnsi" w:hAnsiTheme="minorHAnsi"/>
          <w:b/>
          <w:bCs/>
          <w:color w:val="000000"/>
          <w:lang w:val="de-DE"/>
        </w:rPr>
        <w:t xml:space="preserve"> </w:t>
      </w:r>
    </w:p>
    <w:p w:rsidR="00A13E1A" w:rsidRPr="005E4773" w:rsidRDefault="00A13E1A" w:rsidP="00A13E1A">
      <w:pPr>
        <w:pStyle w:val="FootnoteText"/>
        <w:spacing w:line="480" w:lineRule="auto"/>
        <w:rPr>
          <w:rFonts w:asciiTheme="minorHAnsi" w:hAnsiTheme="minorHAnsi"/>
          <w:lang w:val="de-DE"/>
        </w:rPr>
      </w:pPr>
    </w:p>
  </w:footnote>
  <w:footnote w:id="19">
    <w:p w:rsidR="00A13E1A" w:rsidRPr="005E4773" w:rsidRDefault="00A13E1A" w:rsidP="00A13E1A">
      <w:pPr>
        <w:spacing w:after="0" w:line="480" w:lineRule="auto"/>
        <w:jc w:val="both"/>
        <w:rPr>
          <w:sz w:val="20"/>
          <w:szCs w:val="20"/>
        </w:rPr>
      </w:pPr>
      <w:r w:rsidRPr="005E4773">
        <w:rPr>
          <w:rStyle w:val="FootnoteReference"/>
          <w:sz w:val="20"/>
          <w:szCs w:val="20"/>
        </w:rPr>
        <w:footnoteRef/>
      </w:r>
      <w:r>
        <w:rPr>
          <w:sz w:val="20"/>
          <w:szCs w:val="20"/>
        </w:rPr>
        <w:t xml:space="preserve"> Aloni, n.15</w:t>
      </w:r>
      <w:r w:rsidRPr="005E4773">
        <w:rPr>
          <w:sz w:val="20"/>
          <w:szCs w:val="20"/>
        </w:rPr>
        <w:t>, 110.</w:t>
      </w:r>
    </w:p>
  </w:footnote>
  <w:footnote w:id="2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w:t>
      </w:r>
      <w:r w:rsidRPr="005E4773">
        <w:rPr>
          <w:rFonts w:asciiTheme="minorHAnsi" w:hAnsiTheme="minorHAnsi"/>
        </w:rPr>
        <w:t xml:space="preserve"> Yvonne Zylan, </w:t>
      </w:r>
      <w:r w:rsidRPr="005E4773">
        <w:rPr>
          <w:rFonts w:asciiTheme="minorHAnsi" w:hAnsiTheme="minorHAnsi"/>
          <w:i/>
        </w:rPr>
        <w:t>States of Passion: Law, Identity and Social Construction of Desire</w:t>
      </w:r>
      <w:r w:rsidRPr="005E4773">
        <w:rPr>
          <w:rFonts w:asciiTheme="minorHAnsi" w:hAnsiTheme="minorHAnsi"/>
        </w:rPr>
        <w:t xml:space="preserve"> (Oxford University Press, 2011) which comments on the changing positions of Stonewall in the UK and Lambda Legal in the USA to favour same-sex marriage as a goal.</w:t>
      </w:r>
    </w:p>
    <w:p w:rsidR="00A13E1A" w:rsidRPr="005E4773" w:rsidRDefault="00A13E1A" w:rsidP="00A13E1A">
      <w:pPr>
        <w:pStyle w:val="FootnoteText"/>
        <w:spacing w:line="480" w:lineRule="auto"/>
        <w:jc w:val="both"/>
        <w:rPr>
          <w:rFonts w:asciiTheme="minorHAnsi" w:hAnsiTheme="minorHAnsi"/>
        </w:rPr>
      </w:pPr>
    </w:p>
  </w:footnote>
  <w:footnote w:id="21">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 xml:space="preserve">See </w:t>
      </w:r>
      <w:r>
        <w:rPr>
          <w:rFonts w:asciiTheme="minorHAnsi" w:hAnsiTheme="minorHAnsi"/>
        </w:rPr>
        <w:t>Aloni, n. 15</w:t>
      </w:r>
      <w:r w:rsidRPr="005E4773">
        <w:rPr>
          <w:rFonts w:asciiTheme="minorHAnsi" w:hAnsiTheme="minorHAnsi"/>
        </w:rPr>
        <w:t xml:space="preserve">, 110 referring to Yuval Merin, </w:t>
      </w:r>
      <w:r w:rsidRPr="005E4773">
        <w:rPr>
          <w:rFonts w:asciiTheme="minorHAnsi" w:hAnsiTheme="minorHAnsi"/>
          <w:i/>
        </w:rPr>
        <w:t>Equality for Same-Sex Couples: The Legal Recognition of Gay Partnerships in Europe and the United States</w:t>
      </w:r>
      <w:r w:rsidRPr="005E4773">
        <w:rPr>
          <w:rFonts w:asciiTheme="minorHAnsi" w:hAnsiTheme="minorHAnsi"/>
        </w:rPr>
        <w:t xml:space="preserve"> (Chicago Press, 2002) 55-56.</w:t>
      </w:r>
    </w:p>
    <w:p w:rsidR="00A13E1A" w:rsidRPr="005E4773" w:rsidRDefault="00A13E1A" w:rsidP="00A13E1A">
      <w:pPr>
        <w:pStyle w:val="FootnoteText"/>
        <w:spacing w:line="480" w:lineRule="auto"/>
        <w:jc w:val="both"/>
        <w:rPr>
          <w:rFonts w:asciiTheme="minorHAnsi" w:hAnsiTheme="minorHAnsi"/>
        </w:rPr>
      </w:pPr>
    </w:p>
  </w:footnote>
  <w:footnote w:id="22">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See Article 2(2) Directive 2004/38.</w:t>
      </w:r>
    </w:p>
    <w:p w:rsidR="00A13E1A" w:rsidRPr="00D32B7F" w:rsidRDefault="00A13E1A" w:rsidP="00A13E1A">
      <w:pPr>
        <w:spacing w:after="0" w:line="480" w:lineRule="auto"/>
        <w:jc w:val="both"/>
        <w:rPr>
          <w:sz w:val="20"/>
          <w:szCs w:val="20"/>
        </w:rPr>
      </w:pPr>
    </w:p>
  </w:footnote>
  <w:footnote w:id="23">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Oliari and Others v Italy</w:t>
      </w:r>
      <w:r w:rsidRPr="005E4773">
        <w:rPr>
          <w:rFonts w:asciiTheme="minorHAnsi" w:hAnsiTheme="minorHAnsi"/>
        </w:rPr>
        <w:t>, Application Nos. 18766/11 and 36030/11, 21 July 2015.</w:t>
      </w:r>
    </w:p>
  </w:footnote>
  <w:footnote w:id="24">
    <w:p w:rsidR="00A13E1A" w:rsidRPr="005E4773" w:rsidRDefault="00A13E1A" w:rsidP="00A13E1A">
      <w:pPr>
        <w:spacing w:after="0" w:line="480" w:lineRule="auto"/>
        <w:jc w:val="both"/>
        <w:rPr>
          <w:sz w:val="20"/>
          <w:szCs w:val="20"/>
        </w:rPr>
      </w:pPr>
    </w:p>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Helen Stalford, “Regulating Family Life in Post-Amsterdam Europe” (2003) European Law Review 39.</w:t>
      </w:r>
    </w:p>
    <w:p w:rsidR="00A13E1A" w:rsidRPr="005E4773" w:rsidRDefault="00A13E1A" w:rsidP="00A13E1A">
      <w:pPr>
        <w:spacing w:after="0" w:line="480" w:lineRule="auto"/>
        <w:jc w:val="both"/>
        <w:rPr>
          <w:sz w:val="20"/>
          <w:szCs w:val="20"/>
        </w:rPr>
      </w:pPr>
    </w:p>
  </w:footnote>
  <w:footnote w:id="25">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Barbara Cox, “Same-Sex Marriage and Choice of Law: If We Marry in Hawaii, Are we still Married when we return home?” (1994) </w:t>
      </w:r>
      <w:r>
        <w:rPr>
          <w:rFonts w:asciiTheme="minorHAnsi" w:hAnsiTheme="minorHAnsi"/>
        </w:rPr>
        <w:t>Wisconsin Law Review 1033, 1040.</w:t>
      </w:r>
    </w:p>
    <w:p w:rsidR="00A13E1A" w:rsidRPr="005E4773" w:rsidRDefault="00A13E1A" w:rsidP="00A13E1A">
      <w:pPr>
        <w:pStyle w:val="FootnoteText"/>
        <w:spacing w:line="480" w:lineRule="auto"/>
        <w:jc w:val="both"/>
        <w:rPr>
          <w:rFonts w:asciiTheme="minorHAnsi" w:hAnsiTheme="minorHAnsi"/>
        </w:rPr>
      </w:pPr>
    </w:p>
  </w:footnote>
  <w:footnote w:id="26">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Place of celebration.</w:t>
      </w:r>
    </w:p>
    <w:p w:rsidR="00A13E1A" w:rsidRPr="005E4773" w:rsidRDefault="00A13E1A" w:rsidP="00A13E1A">
      <w:pPr>
        <w:pStyle w:val="FootnoteText"/>
        <w:spacing w:line="480" w:lineRule="auto"/>
        <w:rPr>
          <w:rFonts w:asciiTheme="minorHAnsi" w:hAnsiTheme="minorHAnsi"/>
        </w:rPr>
      </w:pPr>
    </w:p>
  </w:footnote>
  <w:footnote w:id="27">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Friedrich Juenger, “</w:t>
      </w:r>
      <w:r w:rsidRPr="005E4773">
        <w:rPr>
          <w:rFonts w:eastAsia="Calibri" w:cs="Times New Roman"/>
          <w:sz w:val="20"/>
          <w:szCs w:val="20"/>
        </w:rPr>
        <w:t xml:space="preserve">Conflict of Laws; A Critique of Interest Analysis” (1984) 32 American Journal of Comparative Law 1, 1 referring to Cardozo, </w:t>
      </w:r>
      <w:r w:rsidRPr="005E4773">
        <w:rPr>
          <w:rFonts w:eastAsia="Calibri" w:cs="Times New Roman"/>
          <w:i/>
          <w:sz w:val="20"/>
          <w:szCs w:val="20"/>
        </w:rPr>
        <w:t>The Paradoxes of Legal Science</w:t>
      </w:r>
      <w:r w:rsidRPr="005E4773">
        <w:rPr>
          <w:rFonts w:eastAsia="Calibri" w:cs="Times New Roman"/>
          <w:sz w:val="20"/>
          <w:szCs w:val="20"/>
        </w:rPr>
        <w:t xml:space="preserve"> (Columbia University Press, 1928) 67.</w:t>
      </w:r>
    </w:p>
    <w:p w:rsidR="00A13E1A" w:rsidRPr="005E4773" w:rsidRDefault="00A13E1A" w:rsidP="00A13E1A">
      <w:pPr>
        <w:spacing w:after="0" w:line="480" w:lineRule="auto"/>
        <w:jc w:val="both"/>
        <w:rPr>
          <w:rFonts w:eastAsia="Calibri" w:cs="Times New Roman"/>
          <w:sz w:val="20"/>
          <w:szCs w:val="20"/>
        </w:rPr>
      </w:pPr>
    </w:p>
  </w:footnote>
  <w:footnote w:id="28">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Alan Reed, “Essential Validity of Marriage: The Application of Interest Analysis and Depecage to Anglo-American Choice of Law Rules” (2000) 20 New York Law School Journal of International and Comparative Law 387,450.  See also Michael Davie, “The Breaking-Up of Essential Validity of Marriage Choice of Law Rules in English Conflict of Laws” (1994) 23 Anglo-American Law Review 32.</w:t>
      </w:r>
    </w:p>
    <w:p w:rsidR="00A13E1A" w:rsidRPr="005E4773" w:rsidRDefault="00A13E1A" w:rsidP="00A13E1A">
      <w:pPr>
        <w:spacing w:after="0" w:line="480" w:lineRule="auto"/>
        <w:jc w:val="both"/>
        <w:rPr>
          <w:rFonts w:eastAsia="Calibri" w:cs="Times New Roman"/>
          <w:sz w:val="20"/>
          <w:szCs w:val="20"/>
        </w:rPr>
      </w:pPr>
    </w:p>
  </w:footnote>
  <w:footnote w:id="29">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We use this term to refer to both same-sex marriages and all types of civil partnerships and registered unions.</w:t>
      </w:r>
    </w:p>
    <w:p w:rsidR="00A13E1A" w:rsidRPr="005E4773" w:rsidRDefault="00A13E1A" w:rsidP="00A13E1A">
      <w:pPr>
        <w:pStyle w:val="FootnoteText"/>
        <w:spacing w:line="480" w:lineRule="auto"/>
        <w:rPr>
          <w:rFonts w:asciiTheme="minorHAnsi" w:hAnsiTheme="minorHAnsi"/>
        </w:rPr>
      </w:pPr>
    </w:p>
  </w:footnote>
  <w:footnote w:id="3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Reed, n. 27</w:t>
      </w:r>
      <w:r w:rsidRPr="005E4773">
        <w:rPr>
          <w:rFonts w:asciiTheme="minorHAnsi" w:hAnsiTheme="minorHAnsi"/>
        </w:rPr>
        <w:t xml:space="preserve">, 450. </w:t>
      </w:r>
    </w:p>
    <w:p w:rsidR="00A13E1A" w:rsidRPr="005E4773" w:rsidRDefault="00A13E1A" w:rsidP="00A13E1A">
      <w:pPr>
        <w:pStyle w:val="FootnoteText"/>
        <w:spacing w:line="480" w:lineRule="auto"/>
        <w:jc w:val="both"/>
        <w:rPr>
          <w:rFonts w:asciiTheme="minorHAnsi" w:hAnsiTheme="minorHAnsi"/>
        </w:rPr>
      </w:pPr>
    </w:p>
  </w:footnote>
  <w:footnote w:id="31">
    <w:p w:rsidR="00A13E1A" w:rsidRDefault="00A13E1A" w:rsidP="00A13E1A">
      <w:pPr>
        <w:spacing w:after="0" w:line="480" w:lineRule="auto"/>
        <w:rPr>
          <w:sz w:val="20"/>
          <w:szCs w:val="20"/>
        </w:rPr>
      </w:pPr>
      <w:r w:rsidRPr="005E4773">
        <w:rPr>
          <w:rStyle w:val="FootnoteReference"/>
          <w:sz w:val="20"/>
          <w:szCs w:val="20"/>
        </w:rPr>
        <w:footnoteRef/>
      </w:r>
      <w:r w:rsidRPr="005E4773">
        <w:rPr>
          <w:sz w:val="20"/>
          <w:szCs w:val="20"/>
        </w:rPr>
        <w:t xml:space="preserve"> Interest analysis is the idea that the most applicable law is the one that has the most interest in being applied after consideration of public policy reasons and was originally founded in the USA and applied on a case-by-case basis</w:t>
      </w:r>
      <w:r w:rsidRPr="005E4773">
        <w:rPr>
          <w:rStyle w:val="FootnoteReference"/>
          <w:sz w:val="20"/>
          <w:szCs w:val="20"/>
        </w:rPr>
        <w:t>.</w:t>
      </w:r>
      <w:r w:rsidRPr="005E4773">
        <w:rPr>
          <w:sz w:val="20"/>
          <w:szCs w:val="20"/>
        </w:rPr>
        <w:t xml:space="preserve">.  Interest analysis was founded by Brainerd Currie see </w:t>
      </w:r>
      <w:r>
        <w:rPr>
          <w:sz w:val="20"/>
          <w:szCs w:val="20"/>
        </w:rPr>
        <w:t xml:space="preserve">Brainerd </w:t>
      </w:r>
      <w:r w:rsidRPr="005E4773">
        <w:rPr>
          <w:sz w:val="20"/>
          <w:szCs w:val="20"/>
        </w:rPr>
        <w:t xml:space="preserve">Currie, </w:t>
      </w:r>
      <w:r w:rsidRPr="005E4773">
        <w:rPr>
          <w:i/>
          <w:sz w:val="20"/>
          <w:szCs w:val="20"/>
        </w:rPr>
        <w:t>Selected Essays on the Conflict of Laws</w:t>
      </w:r>
      <w:r>
        <w:rPr>
          <w:sz w:val="20"/>
          <w:szCs w:val="20"/>
        </w:rPr>
        <w:t xml:space="preserve"> (19</w:t>
      </w:r>
      <w:r w:rsidRPr="005E4773">
        <w:rPr>
          <w:sz w:val="20"/>
          <w:szCs w:val="20"/>
        </w:rPr>
        <w:t xml:space="preserve">63). </w:t>
      </w:r>
    </w:p>
    <w:p w:rsidR="00A13E1A" w:rsidRPr="005E4773" w:rsidRDefault="00A13E1A" w:rsidP="00A13E1A">
      <w:pPr>
        <w:spacing w:after="0" w:line="480" w:lineRule="auto"/>
        <w:rPr>
          <w:sz w:val="20"/>
          <w:szCs w:val="20"/>
        </w:rPr>
      </w:pPr>
    </w:p>
  </w:footnote>
  <w:footnote w:id="32">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Depecage moves away from having a completely ad hoc based approach. Rules based depecage is here used to determine that each incapacity to marry can be governed by its own choice of law rule. </w:t>
      </w:r>
    </w:p>
    <w:p w:rsidR="00A13E1A" w:rsidRPr="005E4773" w:rsidRDefault="00A13E1A" w:rsidP="00A13E1A">
      <w:pPr>
        <w:pStyle w:val="FootnoteText"/>
        <w:spacing w:line="480" w:lineRule="auto"/>
        <w:rPr>
          <w:rFonts w:asciiTheme="minorHAnsi" w:hAnsiTheme="minorHAnsi"/>
        </w:rPr>
      </w:pPr>
    </w:p>
  </w:footnote>
  <w:footnote w:id="33">
    <w:p w:rsidR="00A13E1A"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Interest analysis on a depecage basis is something that has been explored and promoted for other incapacities within marriage vali</w:t>
      </w:r>
      <w:r>
        <w:rPr>
          <w:rFonts w:asciiTheme="minorHAnsi" w:hAnsiTheme="minorHAnsi"/>
        </w:rPr>
        <w:t>dity by Davie n.27 and Reed n.27</w:t>
      </w:r>
      <w:r w:rsidRPr="005E4773">
        <w:rPr>
          <w:rFonts w:asciiTheme="minorHAnsi" w:hAnsiTheme="minorHAnsi"/>
        </w:rPr>
        <w:t>.</w:t>
      </w:r>
    </w:p>
    <w:p w:rsidR="00A13E1A" w:rsidRPr="005E4773" w:rsidRDefault="00A13E1A" w:rsidP="00A13E1A">
      <w:pPr>
        <w:pStyle w:val="FootnoteText"/>
        <w:spacing w:line="480" w:lineRule="auto"/>
        <w:rPr>
          <w:rFonts w:asciiTheme="minorHAnsi" w:hAnsiTheme="minorHAnsi"/>
        </w:rPr>
      </w:pPr>
    </w:p>
  </w:footnote>
  <w:footnote w:id="3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Similar to the lex loci celebrationis for hetereosexual marriage. S.215(1) of the CPA sets out that formal validity and essential validity must still be satisfied in accordance with the relevant law which, is defined in s.212(2) as the place where the relationship is registered including its rules of private international law.</w:t>
      </w:r>
    </w:p>
    <w:p w:rsidR="00A13E1A" w:rsidRPr="005E4773" w:rsidRDefault="00A13E1A" w:rsidP="00A13E1A">
      <w:pPr>
        <w:pStyle w:val="FootnoteText"/>
        <w:spacing w:line="480" w:lineRule="auto"/>
        <w:jc w:val="both"/>
        <w:rPr>
          <w:rFonts w:asciiTheme="minorHAnsi" w:hAnsiTheme="minorHAnsi"/>
        </w:rPr>
      </w:pPr>
    </w:p>
  </w:footnote>
  <w:footnote w:id="35">
    <w:p w:rsidR="00A13E1A" w:rsidRDefault="00A13E1A" w:rsidP="00A13E1A">
      <w:pPr>
        <w:pStyle w:val="FootnoteText"/>
        <w:spacing w:line="480" w:lineRule="auto"/>
      </w:pPr>
      <w:r>
        <w:rPr>
          <w:rStyle w:val="FootnoteReference"/>
        </w:rPr>
        <w:footnoteRef/>
      </w:r>
      <w:r>
        <w:t xml:space="preserve"> Geoffrey Cheshire, Peter North and James Fawcett, </w:t>
      </w:r>
      <w:r w:rsidRPr="00C81CBE">
        <w:rPr>
          <w:i/>
        </w:rPr>
        <w:t>Private International Law</w:t>
      </w:r>
      <w:r>
        <w:rPr>
          <w:i/>
        </w:rPr>
        <w:t xml:space="preserve"> </w:t>
      </w:r>
      <w:r>
        <w:t>(14</w:t>
      </w:r>
      <w:r w:rsidRPr="00C81CBE">
        <w:rPr>
          <w:vertAlign w:val="superscript"/>
        </w:rPr>
        <w:t>th</w:t>
      </w:r>
      <w:r>
        <w:t xml:space="preserve"> edn, by James Fawcett and Janeen M. Carruthers, 2008) 895.</w:t>
      </w:r>
    </w:p>
    <w:p w:rsidR="00A13E1A" w:rsidRPr="00C81CBE" w:rsidRDefault="00A13E1A" w:rsidP="00A13E1A">
      <w:pPr>
        <w:pStyle w:val="FootnoteText"/>
        <w:spacing w:line="480" w:lineRule="auto"/>
      </w:pPr>
    </w:p>
  </w:footnote>
  <w:footnote w:id="36">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Albert Venn Dicey, </w:t>
      </w:r>
      <w:r w:rsidRPr="005E4773">
        <w:rPr>
          <w:rFonts w:asciiTheme="minorHAnsi" w:hAnsiTheme="minorHAnsi"/>
          <w:i/>
        </w:rPr>
        <w:t>The Conflict of Laws</w:t>
      </w:r>
      <w:r w:rsidRPr="005E4773">
        <w:rPr>
          <w:rFonts w:asciiTheme="minorHAnsi" w:hAnsiTheme="minorHAnsi"/>
        </w:rPr>
        <w:t xml:space="preserve"> (8</w:t>
      </w:r>
      <w:r w:rsidRPr="005E4773">
        <w:rPr>
          <w:rFonts w:asciiTheme="minorHAnsi" w:hAnsiTheme="minorHAnsi"/>
          <w:vertAlign w:val="superscript"/>
        </w:rPr>
        <w:t>th</w:t>
      </w:r>
      <w:r w:rsidRPr="005E4773">
        <w:rPr>
          <w:rFonts w:asciiTheme="minorHAnsi" w:hAnsiTheme="minorHAnsi"/>
        </w:rPr>
        <w:t xml:space="preserve"> edn, by J.H.C. Morris &amp; Others, 1967) Rule 31 254-255.</w:t>
      </w:r>
    </w:p>
    <w:p w:rsidR="00A13E1A" w:rsidRPr="005E4773" w:rsidRDefault="00A13E1A" w:rsidP="00A13E1A">
      <w:pPr>
        <w:pStyle w:val="FootnoteText"/>
        <w:spacing w:line="480" w:lineRule="auto"/>
        <w:jc w:val="both"/>
        <w:rPr>
          <w:rFonts w:asciiTheme="minorHAnsi" w:hAnsiTheme="minorHAnsi"/>
        </w:rPr>
      </w:pPr>
    </w:p>
  </w:footnote>
  <w:footnote w:id="3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Geoffrey Chevalier Cheshire, </w:t>
      </w:r>
      <w:r w:rsidRPr="005E4773">
        <w:rPr>
          <w:rFonts w:asciiTheme="minorHAnsi" w:hAnsiTheme="minorHAnsi"/>
          <w:i/>
        </w:rPr>
        <w:t>Private International Law</w:t>
      </w:r>
      <w:r w:rsidRPr="005E4773">
        <w:rPr>
          <w:rFonts w:asciiTheme="minorHAnsi" w:hAnsiTheme="minorHAnsi"/>
        </w:rPr>
        <w:t>, (7</w:t>
      </w:r>
      <w:r w:rsidRPr="005E4773">
        <w:rPr>
          <w:rFonts w:asciiTheme="minorHAnsi" w:hAnsiTheme="minorHAnsi"/>
          <w:vertAlign w:val="superscript"/>
        </w:rPr>
        <w:t>th</w:t>
      </w:r>
      <w:r w:rsidRPr="005E4773">
        <w:rPr>
          <w:rFonts w:asciiTheme="minorHAnsi" w:hAnsiTheme="minorHAnsi"/>
        </w:rPr>
        <w:t xml:space="preserve"> edn, Oxford University Press, 1965) 227-228.</w:t>
      </w:r>
    </w:p>
    <w:p w:rsidR="00A13E1A" w:rsidRPr="005E4773" w:rsidRDefault="00A13E1A" w:rsidP="00A13E1A">
      <w:pPr>
        <w:pStyle w:val="FootnoteText"/>
        <w:spacing w:line="480" w:lineRule="auto"/>
        <w:jc w:val="both"/>
        <w:rPr>
          <w:rFonts w:asciiTheme="minorHAnsi" w:hAnsiTheme="minorHAnsi"/>
        </w:rPr>
      </w:pPr>
    </w:p>
  </w:footnote>
  <w:footnote w:id="38">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Cases such as</w:t>
      </w:r>
      <w:r w:rsidRPr="005E4773">
        <w:rPr>
          <w:rFonts w:asciiTheme="minorHAnsi" w:hAnsiTheme="minorHAnsi"/>
        </w:rPr>
        <w:t xml:space="preserve"> </w:t>
      </w:r>
      <w:r w:rsidRPr="005E4773">
        <w:rPr>
          <w:rFonts w:asciiTheme="minorHAnsi" w:hAnsiTheme="minorHAnsi"/>
          <w:i/>
        </w:rPr>
        <w:t>Re Paine</w:t>
      </w:r>
      <w:r w:rsidRPr="005E4773">
        <w:rPr>
          <w:rFonts w:asciiTheme="minorHAnsi" w:hAnsiTheme="minorHAnsi"/>
        </w:rPr>
        <w:t xml:space="preserve"> [1940] Ch. 46 and </w:t>
      </w:r>
      <w:r w:rsidRPr="005E4773">
        <w:rPr>
          <w:rFonts w:asciiTheme="minorHAnsi" w:hAnsiTheme="minorHAnsi"/>
          <w:i/>
        </w:rPr>
        <w:t>Szechter v Szechter</w:t>
      </w:r>
      <w:r w:rsidRPr="005E4773">
        <w:rPr>
          <w:rFonts w:asciiTheme="minorHAnsi" w:hAnsiTheme="minorHAnsi"/>
        </w:rPr>
        <w:t xml:space="preserve"> [1971] P. 286 show support for the dual domicile theory, whilst support for the intended matrimonial home theor</w:t>
      </w:r>
      <w:r>
        <w:rPr>
          <w:rFonts w:asciiTheme="minorHAnsi" w:hAnsiTheme="minorHAnsi"/>
        </w:rPr>
        <w:t>y can be seen, albeit obiter in</w:t>
      </w:r>
      <w:r w:rsidRPr="005E4773">
        <w:rPr>
          <w:rFonts w:asciiTheme="minorHAnsi" w:hAnsiTheme="minorHAnsi"/>
        </w:rPr>
        <w:t xml:space="preserve"> </w:t>
      </w:r>
      <w:r w:rsidRPr="005E4773">
        <w:rPr>
          <w:rFonts w:asciiTheme="minorHAnsi" w:hAnsiTheme="minorHAnsi"/>
          <w:i/>
        </w:rPr>
        <w:t>Kenwood v Kenwood</w:t>
      </w:r>
      <w:r w:rsidRPr="005E4773">
        <w:rPr>
          <w:rFonts w:asciiTheme="minorHAnsi" w:hAnsiTheme="minorHAnsi"/>
        </w:rPr>
        <w:t xml:space="preserve"> [1951] P.124 and </w:t>
      </w:r>
      <w:r w:rsidRPr="005E4773">
        <w:rPr>
          <w:rFonts w:asciiTheme="minorHAnsi" w:hAnsiTheme="minorHAnsi"/>
          <w:i/>
        </w:rPr>
        <w:t xml:space="preserve">Radwan v Radwan (No2) </w:t>
      </w:r>
      <w:r w:rsidRPr="005E4773">
        <w:rPr>
          <w:rFonts w:asciiTheme="minorHAnsi" w:hAnsiTheme="minorHAnsi"/>
        </w:rPr>
        <w:t>[1973] Fam 35.</w:t>
      </w:r>
    </w:p>
    <w:p w:rsidR="00A13E1A" w:rsidRPr="005E4773" w:rsidRDefault="00A13E1A" w:rsidP="00A13E1A">
      <w:pPr>
        <w:pStyle w:val="FootnoteText"/>
        <w:spacing w:line="480" w:lineRule="auto"/>
        <w:jc w:val="both"/>
        <w:rPr>
          <w:rFonts w:asciiTheme="minorHAnsi" w:hAnsiTheme="minorHAnsi"/>
        </w:rPr>
      </w:pPr>
    </w:p>
  </w:footnote>
  <w:footnote w:id="3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Alan Reed recognises the advantages of both the dual domicile theory and the intended matrimonial home theory whilst setting out that neither works </w:t>
      </w:r>
      <w:r>
        <w:rPr>
          <w:rFonts w:asciiTheme="minorHAnsi" w:hAnsiTheme="minorHAnsi"/>
        </w:rPr>
        <w:t>as a universal test in Reed n.27</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4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Law Commission </w:t>
      </w:r>
      <w:r w:rsidRPr="005E4773">
        <w:rPr>
          <w:rFonts w:asciiTheme="minorHAnsi" w:hAnsiTheme="minorHAnsi"/>
          <w:i/>
        </w:rPr>
        <w:t>Private International Law Choice of Law Rules</w:t>
      </w:r>
      <w:r w:rsidRPr="005E4773">
        <w:rPr>
          <w:rFonts w:asciiTheme="minorHAnsi" w:hAnsiTheme="minorHAnsi"/>
        </w:rPr>
        <w:t xml:space="preserve"> (Law Com No 89, 1985) para 3.36.</w:t>
      </w:r>
    </w:p>
    <w:p w:rsidR="00A13E1A" w:rsidRPr="005E4773" w:rsidRDefault="00A13E1A" w:rsidP="00A13E1A">
      <w:pPr>
        <w:pStyle w:val="FootnoteText"/>
        <w:spacing w:line="480" w:lineRule="auto"/>
        <w:jc w:val="both"/>
        <w:rPr>
          <w:rFonts w:asciiTheme="minorHAnsi" w:hAnsiTheme="minorHAnsi"/>
        </w:rPr>
      </w:pPr>
    </w:p>
  </w:footnote>
  <w:footnote w:id="41">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Pr>
          <w:rFonts w:asciiTheme="minorHAnsi" w:hAnsiTheme="minorHAnsi"/>
        </w:rPr>
        <w:t xml:space="preserve"> 93.</w:t>
      </w:r>
    </w:p>
    <w:p w:rsidR="00A13E1A" w:rsidRPr="005E4773" w:rsidRDefault="00A13E1A" w:rsidP="00A13E1A">
      <w:pPr>
        <w:pStyle w:val="FootnoteText"/>
        <w:spacing w:line="480" w:lineRule="auto"/>
        <w:jc w:val="both"/>
        <w:rPr>
          <w:rFonts w:asciiTheme="minorHAnsi" w:hAnsiTheme="minorHAnsi"/>
        </w:rPr>
      </w:pPr>
    </w:p>
  </w:footnote>
  <w:footnote w:id="42">
    <w:p w:rsidR="00A13E1A" w:rsidRDefault="00A13E1A" w:rsidP="00A13E1A">
      <w:pPr>
        <w:pStyle w:val="FootnoteText"/>
        <w:spacing w:line="480" w:lineRule="auto"/>
      </w:pPr>
      <w:r>
        <w:rPr>
          <w:rStyle w:val="FootnoteReference"/>
        </w:rPr>
        <w:footnoteRef/>
      </w:r>
      <w:r>
        <w:t xml:space="preserve"> For instance in the case of Radwan v Radwan(No2) [1973] Fam 35 where the couple had been living together as man and wife for nearly 20 years and the application of the intended matrimonial home theory upheld their expectations.</w:t>
      </w:r>
    </w:p>
    <w:p w:rsidR="00A13E1A" w:rsidRDefault="00A13E1A" w:rsidP="00A13E1A">
      <w:pPr>
        <w:pStyle w:val="FootnoteText"/>
        <w:spacing w:line="480" w:lineRule="auto"/>
      </w:pPr>
    </w:p>
  </w:footnote>
  <w:footnote w:id="4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Pr>
          <w:rFonts w:asciiTheme="minorHAnsi" w:hAnsiTheme="minorHAnsi"/>
        </w:rPr>
        <w:t xml:space="preserve">Law Commission, n.40, </w:t>
      </w:r>
      <w:r w:rsidRPr="005E4773">
        <w:rPr>
          <w:rFonts w:asciiTheme="minorHAnsi" w:hAnsiTheme="minorHAnsi"/>
        </w:rPr>
        <w:t>88-89.</w:t>
      </w:r>
    </w:p>
    <w:p w:rsidR="00A13E1A" w:rsidRPr="005E4773" w:rsidRDefault="00A13E1A" w:rsidP="00A13E1A">
      <w:pPr>
        <w:pStyle w:val="FootnoteText"/>
        <w:spacing w:line="480" w:lineRule="auto"/>
        <w:jc w:val="both"/>
        <w:rPr>
          <w:rFonts w:asciiTheme="minorHAnsi" w:hAnsiTheme="minorHAnsi"/>
        </w:rPr>
      </w:pPr>
    </w:p>
  </w:footnote>
  <w:footnote w:id="4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Reed, n.27</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45">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Charles Taintor, “Marriage in the Conflict of Laws” (1955-1956) 9 Vanderbilt Law Review 607, 611-612.</w:t>
      </w:r>
    </w:p>
    <w:p w:rsidR="00A13E1A" w:rsidRPr="005E4773" w:rsidRDefault="00A13E1A" w:rsidP="00A13E1A">
      <w:pPr>
        <w:pStyle w:val="FootnoteText"/>
        <w:spacing w:line="480" w:lineRule="auto"/>
        <w:jc w:val="both"/>
        <w:rPr>
          <w:rFonts w:asciiTheme="minorHAnsi" w:hAnsiTheme="minorHAnsi"/>
        </w:rPr>
      </w:pPr>
    </w:p>
  </w:footnote>
  <w:footnote w:id="46">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The law surrounding domicile itself is recognised as problematic by ac</w:t>
      </w:r>
      <w:r>
        <w:rPr>
          <w:rFonts w:asciiTheme="minorHAnsi" w:hAnsiTheme="minorHAnsi"/>
        </w:rPr>
        <w:t>ademicians; P B Carter, “Domicil</w:t>
      </w:r>
      <w:r w:rsidRPr="005E4773">
        <w:rPr>
          <w:rFonts w:asciiTheme="minorHAnsi" w:hAnsiTheme="minorHAnsi"/>
        </w:rPr>
        <w:t xml:space="preserve">: </w:t>
      </w:r>
      <w:r>
        <w:rPr>
          <w:rFonts w:asciiTheme="minorHAnsi" w:hAnsiTheme="minorHAnsi"/>
        </w:rPr>
        <w:t>The Case For Radical reform in t</w:t>
      </w:r>
      <w:r w:rsidRPr="005E4773">
        <w:rPr>
          <w:rFonts w:asciiTheme="minorHAnsi" w:hAnsiTheme="minorHAnsi"/>
        </w:rPr>
        <w:t xml:space="preserve">he United Kingdom” (1987) 36 International and Comparative Law Quarterly 713,  Richard Fentiman, “Domicile Revisited” (1991) 50(3) Cambridge Law Journal 445 and indeed by the Law Commission; Law Commission, </w:t>
      </w:r>
      <w:r w:rsidRPr="005E4773">
        <w:rPr>
          <w:rFonts w:asciiTheme="minorHAnsi" w:hAnsiTheme="minorHAnsi"/>
          <w:i/>
        </w:rPr>
        <w:t xml:space="preserve">Private International Law the Law of Domicile </w:t>
      </w:r>
      <w:r w:rsidRPr="005E4773">
        <w:rPr>
          <w:rFonts w:asciiTheme="minorHAnsi" w:hAnsiTheme="minorHAnsi"/>
        </w:rPr>
        <w:t>(Law Com No 88, 1985).</w:t>
      </w:r>
    </w:p>
    <w:p w:rsidR="00A13E1A" w:rsidRPr="005E4773" w:rsidRDefault="00A13E1A" w:rsidP="00A13E1A">
      <w:pPr>
        <w:pStyle w:val="FootnoteText"/>
        <w:spacing w:line="480" w:lineRule="auto"/>
        <w:jc w:val="both"/>
        <w:rPr>
          <w:rFonts w:asciiTheme="minorHAnsi" w:hAnsiTheme="minorHAnsi"/>
        </w:rPr>
      </w:pPr>
    </w:p>
  </w:footnote>
  <w:footnote w:id="4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Trevor</w:t>
      </w:r>
      <w:r w:rsidRPr="005E4773">
        <w:rPr>
          <w:rFonts w:asciiTheme="minorHAnsi" w:hAnsiTheme="minorHAnsi"/>
          <w:color w:val="FF0000"/>
        </w:rPr>
        <w:t xml:space="preserve"> </w:t>
      </w:r>
      <w:r w:rsidRPr="005E4773">
        <w:rPr>
          <w:rFonts w:asciiTheme="minorHAnsi" w:hAnsiTheme="minorHAnsi"/>
        </w:rPr>
        <w:t>C Hartley, “The Policy Basis of the English Conflict of Laws of Marriage” (1972) 53 Modern Law Review 571, 576.</w:t>
      </w:r>
    </w:p>
    <w:p w:rsidR="00A13E1A" w:rsidRPr="005E4773" w:rsidRDefault="00A13E1A" w:rsidP="00A13E1A">
      <w:pPr>
        <w:pStyle w:val="FootnoteText"/>
        <w:spacing w:line="480" w:lineRule="auto"/>
        <w:jc w:val="both"/>
        <w:rPr>
          <w:rFonts w:asciiTheme="minorHAnsi" w:hAnsiTheme="minorHAnsi"/>
        </w:rPr>
      </w:pPr>
    </w:p>
  </w:footnote>
  <w:footnote w:id="48">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See for instance suggestions for reform dating back to 1954 and 1985; Private International Law Committee, </w:t>
      </w:r>
      <w:r w:rsidRPr="005E4773">
        <w:rPr>
          <w:rFonts w:asciiTheme="minorHAnsi" w:hAnsiTheme="minorHAnsi"/>
          <w:i/>
        </w:rPr>
        <w:t>First Report of the Private International Law Committee</w:t>
      </w:r>
      <w:r w:rsidRPr="005E4773">
        <w:rPr>
          <w:rFonts w:asciiTheme="minorHAnsi" w:hAnsiTheme="minorHAnsi"/>
        </w:rPr>
        <w:t xml:space="preserve"> (Cmd. 9068, 1954) and Law Commission, </w:t>
      </w:r>
      <w:r w:rsidRPr="005E4773">
        <w:rPr>
          <w:rFonts w:asciiTheme="minorHAnsi" w:hAnsiTheme="minorHAnsi"/>
          <w:i/>
        </w:rPr>
        <w:t xml:space="preserve">Private International Law the Law of Domicile </w:t>
      </w:r>
      <w:r w:rsidRPr="005E4773">
        <w:rPr>
          <w:rFonts w:asciiTheme="minorHAnsi" w:hAnsiTheme="minorHAnsi"/>
        </w:rPr>
        <w:t>(Law Com No 88, 1985).</w:t>
      </w:r>
    </w:p>
    <w:p w:rsidR="00A13E1A" w:rsidRPr="005E4773" w:rsidRDefault="00A13E1A" w:rsidP="00A13E1A">
      <w:pPr>
        <w:pStyle w:val="FootnoteText"/>
        <w:spacing w:line="480" w:lineRule="auto"/>
        <w:jc w:val="both"/>
        <w:rPr>
          <w:rFonts w:asciiTheme="minorHAnsi" w:hAnsiTheme="minorHAnsi"/>
        </w:rPr>
      </w:pPr>
    </w:p>
  </w:footnote>
  <w:footnote w:id="49">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Reed, n.27</w:t>
      </w:r>
      <w:r w:rsidRPr="005E4773">
        <w:rPr>
          <w:rFonts w:asciiTheme="minorHAnsi" w:hAnsiTheme="minorHAnsi"/>
        </w:rPr>
        <w:t>, 397.</w:t>
      </w:r>
    </w:p>
    <w:p w:rsidR="00A13E1A" w:rsidRPr="005E4773" w:rsidRDefault="00A13E1A" w:rsidP="00A13E1A">
      <w:pPr>
        <w:pStyle w:val="FootnoteText"/>
        <w:spacing w:line="480" w:lineRule="auto"/>
        <w:jc w:val="both"/>
        <w:rPr>
          <w:rFonts w:asciiTheme="minorHAnsi" w:hAnsiTheme="minorHAnsi"/>
        </w:rPr>
      </w:pPr>
    </w:p>
  </w:footnote>
  <w:footnote w:id="5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Which was abolished by s.1(1) of the Domicile and Matrimonial Proceedings Act 1973.</w:t>
      </w:r>
    </w:p>
    <w:p w:rsidR="00A13E1A" w:rsidRPr="005E4773" w:rsidRDefault="00A13E1A" w:rsidP="00A13E1A">
      <w:pPr>
        <w:pStyle w:val="FootnoteText"/>
        <w:spacing w:line="480" w:lineRule="auto"/>
        <w:jc w:val="both"/>
        <w:rPr>
          <w:rFonts w:asciiTheme="minorHAnsi" w:hAnsiTheme="minorHAnsi"/>
        </w:rPr>
      </w:pPr>
    </w:p>
  </w:footnote>
  <w:footnote w:id="51">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Radwan v Radwan (No 2)</w:t>
      </w:r>
      <w:r w:rsidRPr="005E4773">
        <w:rPr>
          <w:rFonts w:asciiTheme="minorHAnsi" w:hAnsiTheme="minorHAnsi"/>
        </w:rPr>
        <w:t xml:space="preserve"> [1973] Fam 35.</w:t>
      </w:r>
    </w:p>
    <w:p w:rsidR="00A13E1A" w:rsidRPr="005E4773" w:rsidRDefault="00A13E1A" w:rsidP="00A13E1A">
      <w:pPr>
        <w:pStyle w:val="FootnoteText"/>
        <w:spacing w:line="480" w:lineRule="auto"/>
        <w:jc w:val="both"/>
        <w:rPr>
          <w:rFonts w:asciiTheme="minorHAnsi" w:hAnsiTheme="minorHAnsi"/>
        </w:rPr>
      </w:pPr>
    </w:p>
  </w:footnote>
  <w:footnote w:id="52">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For example the domiciliary law may be trying to protect one of the parties, for instance as a result of their age. </w:t>
      </w:r>
    </w:p>
    <w:p w:rsidR="00A13E1A" w:rsidRPr="005E4773" w:rsidRDefault="00A13E1A" w:rsidP="00A13E1A">
      <w:pPr>
        <w:pStyle w:val="FootnoteText"/>
        <w:spacing w:line="480" w:lineRule="auto"/>
        <w:jc w:val="both"/>
        <w:rPr>
          <w:rFonts w:asciiTheme="minorHAnsi" w:hAnsiTheme="minorHAnsi"/>
        </w:rPr>
      </w:pPr>
    </w:p>
  </w:footnote>
  <w:footnote w:id="5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Chris M.V. Clarkson and Jonathan Hill, </w:t>
      </w:r>
      <w:r w:rsidRPr="005E4773">
        <w:rPr>
          <w:rFonts w:asciiTheme="minorHAnsi" w:hAnsiTheme="minorHAnsi"/>
          <w:i/>
        </w:rPr>
        <w:t xml:space="preserve">The Conflict of Laws </w:t>
      </w:r>
      <w:r w:rsidRPr="005E4773">
        <w:rPr>
          <w:rFonts w:asciiTheme="minorHAnsi" w:hAnsiTheme="minorHAnsi"/>
        </w:rPr>
        <w:t>(4</w:t>
      </w:r>
      <w:r w:rsidRPr="005E4773">
        <w:rPr>
          <w:rFonts w:asciiTheme="minorHAnsi" w:hAnsiTheme="minorHAnsi"/>
          <w:vertAlign w:val="superscript"/>
        </w:rPr>
        <w:t>th</w:t>
      </w:r>
      <w:r w:rsidRPr="005E4773">
        <w:rPr>
          <w:rFonts w:asciiTheme="minorHAnsi" w:hAnsiTheme="minorHAnsi"/>
        </w:rPr>
        <w:t xml:space="preserve"> edn, Oxford University Press 2011) 359.</w:t>
      </w:r>
    </w:p>
    <w:p w:rsidR="00A13E1A" w:rsidRPr="005E4773" w:rsidRDefault="00A13E1A" w:rsidP="00A13E1A">
      <w:pPr>
        <w:pStyle w:val="FootnoteText"/>
        <w:spacing w:line="480" w:lineRule="auto"/>
        <w:jc w:val="both"/>
        <w:rPr>
          <w:rFonts w:asciiTheme="minorHAnsi" w:hAnsiTheme="minorHAnsi"/>
        </w:rPr>
      </w:pPr>
    </w:p>
  </w:footnote>
  <w:footnote w:id="5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Which can be seen in cases such as </w:t>
      </w:r>
      <w:r w:rsidRPr="005E4773">
        <w:rPr>
          <w:rFonts w:asciiTheme="minorHAnsi" w:hAnsiTheme="minorHAnsi"/>
          <w:i/>
        </w:rPr>
        <w:t>Vervaeke v Smith</w:t>
      </w:r>
      <w:r w:rsidRPr="005E4773">
        <w:rPr>
          <w:rFonts w:asciiTheme="minorHAnsi" w:hAnsiTheme="minorHAnsi"/>
        </w:rPr>
        <w:t xml:space="preserve"> [1983] 1 AC 145, </w:t>
      </w:r>
      <w:r w:rsidRPr="005E4773">
        <w:rPr>
          <w:rFonts w:asciiTheme="minorHAnsi" w:hAnsiTheme="minorHAnsi"/>
          <w:i/>
        </w:rPr>
        <w:t>Lawrence v Lawrence</w:t>
      </w:r>
      <w:r w:rsidRPr="005E4773">
        <w:rPr>
          <w:rFonts w:asciiTheme="minorHAnsi" w:hAnsiTheme="minorHAnsi"/>
        </w:rPr>
        <w:t xml:space="preserve"> [1985] Fam. 106 (at first instance) and </w:t>
      </w:r>
      <w:r w:rsidRPr="005E4773">
        <w:rPr>
          <w:rFonts w:asciiTheme="minorHAnsi" w:hAnsiTheme="minorHAnsi"/>
          <w:i/>
        </w:rPr>
        <w:t>Westminster City Council v C</w:t>
      </w:r>
      <w:r w:rsidRPr="005E4773">
        <w:rPr>
          <w:rFonts w:asciiTheme="minorHAnsi" w:hAnsiTheme="minorHAnsi"/>
        </w:rPr>
        <w:t xml:space="preserve"> [2009] Fam. 11. Academic support can also be seen in Richard Fentiman, “Activity in the Law of Status: Domicile, Marriage and the Law Commission’ (1986) 6(3) Oxford Journal of Legal Studies 353 and Richard Fentiman, “The Validity of Marriage and the Proper Law” (1985) 44(2) Cambridge Law Journal 256.</w:t>
      </w:r>
    </w:p>
    <w:p w:rsidR="00A13E1A" w:rsidRPr="005E4773" w:rsidRDefault="00A13E1A" w:rsidP="00A13E1A">
      <w:pPr>
        <w:pStyle w:val="FootnoteText"/>
        <w:spacing w:line="480" w:lineRule="auto"/>
        <w:jc w:val="both"/>
        <w:rPr>
          <w:rFonts w:asciiTheme="minorHAnsi" w:hAnsiTheme="minorHAnsi"/>
        </w:rPr>
      </w:pPr>
    </w:p>
  </w:footnote>
  <w:footnote w:id="55">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See Davie n.27</w:t>
      </w:r>
      <w:r w:rsidRPr="005E4773">
        <w:rPr>
          <w:rFonts w:asciiTheme="minorHAnsi" w:hAnsiTheme="minorHAnsi"/>
        </w:rPr>
        <w:t xml:space="preserve"> and the Law Commission report </w:t>
      </w:r>
      <w:r>
        <w:rPr>
          <w:rFonts w:asciiTheme="minorHAnsi" w:hAnsiTheme="minorHAnsi"/>
        </w:rPr>
        <w:t xml:space="preserve"> </w:t>
      </w:r>
      <w:r w:rsidRPr="005E4773">
        <w:rPr>
          <w:rFonts w:asciiTheme="minorHAnsi" w:hAnsiTheme="minorHAnsi"/>
        </w:rPr>
        <w:t>n.</w:t>
      </w:r>
      <w:r>
        <w:rPr>
          <w:rFonts w:asciiTheme="minorHAnsi" w:hAnsiTheme="minorHAnsi"/>
        </w:rPr>
        <w:t>39</w:t>
      </w:r>
      <w:r w:rsidRPr="005E4773">
        <w:rPr>
          <w:rFonts w:asciiTheme="minorHAnsi" w:hAnsiTheme="minorHAnsi"/>
        </w:rPr>
        <w:t>, para 3.2.</w:t>
      </w:r>
    </w:p>
    <w:p w:rsidR="00A13E1A" w:rsidRPr="005E4773" w:rsidRDefault="00A13E1A" w:rsidP="00A13E1A">
      <w:pPr>
        <w:pStyle w:val="FootnoteText"/>
        <w:spacing w:line="480" w:lineRule="auto"/>
        <w:jc w:val="both"/>
        <w:rPr>
          <w:rFonts w:asciiTheme="minorHAnsi" w:hAnsiTheme="minorHAnsi"/>
        </w:rPr>
      </w:pPr>
    </w:p>
  </w:footnote>
  <w:footnote w:id="56">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p>
    <w:p w:rsidR="00A13E1A" w:rsidRPr="005E4773" w:rsidRDefault="00A13E1A" w:rsidP="00A13E1A">
      <w:pPr>
        <w:pStyle w:val="FootnoteText"/>
        <w:spacing w:line="480" w:lineRule="auto"/>
        <w:jc w:val="both"/>
        <w:rPr>
          <w:rFonts w:asciiTheme="minorHAnsi" w:hAnsiTheme="minorHAnsi"/>
        </w:rPr>
      </w:pPr>
    </w:p>
  </w:footnote>
  <w:footnote w:id="5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w:t>
      </w:r>
      <w:r>
        <w:rPr>
          <w:rFonts w:asciiTheme="minorHAnsi" w:hAnsiTheme="minorHAnsi"/>
          <w:i/>
        </w:rPr>
        <w:t xml:space="preserve">d, </w:t>
      </w:r>
      <w:r>
        <w:rPr>
          <w:rFonts w:asciiTheme="minorHAnsi" w:hAnsiTheme="minorHAnsi"/>
        </w:rPr>
        <w:t xml:space="preserve">Law commission report </w:t>
      </w:r>
      <w:r w:rsidRPr="005E4773">
        <w:rPr>
          <w:rFonts w:asciiTheme="minorHAnsi" w:hAnsiTheme="minorHAnsi"/>
        </w:rPr>
        <w:t xml:space="preserve"> para 3.37.</w:t>
      </w:r>
    </w:p>
    <w:p w:rsidR="00A13E1A" w:rsidRPr="005E4773" w:rsidRDefault="00A13E1A" w:rsidP="00A13E1A">
      <w:pPr>
        <w:pStyle w:val="FootnoteText"/>
        <w:spacing w:line="480" w:lineRule="auto"/>
        <w:jc w:val="both"/>
        <w:rPr>
          <w:rFonts w:asciiTheme="minorHAnsi" w:hAnsiTheme="minorHAnsi"/>
        </w:rPr>
      </w:pPr>
    </w:p>
  </w:footnote>
  <w:footnote w:id="58">
    <w:p w:rsidR="00A13E1A" w:rsidRDefault="00A13E1A" w:rsidP="00A13E1A">
      <w:pPr>
        <w:pStyle w:val="FootnoteText"/>
        <w:spacing w:line="480" w:lineRule="auto"/>
      </w:pPr>
      <w:r>
        <w:rPr>
          <w:rStyle w:val="FootnoteReference"/>
        </w:rPr>
        <w:footnoteRef/>
      </w:r>
      <w:r>
        <w:t xml:space="preserve">  Geoffrey Cheshire, Peter North and James Fawcett, </w:t>
      </w:r>
      <w:r w:rsidRPr="00C81CBE">
        <w:rPr>
          <w:i/>
        </w:rPr>
        <w:t>Private International Law</w:t>
      </w:r>
      <w:r>
        <w:rPr>
          <w:i/>
        </w:rPr>
        <w:t xml:space="preserve"> </w:t>
      </w:r>
      <w:r>
        <w:t>(14</w:t>
      </w:r>
      <w:r w:rsidRPr="00C81CBE">
        <w:rPr>
          <w:vertAlign w:val="superscript"/>
        </w:rPr>
        <w:t>th</w:t>
      </w:r>
      <w:r>
        <w:t xml:space="preserve"> edn, by James Fawcett and Janeen M. Carruthers, 2008) 913.</w:t>
      </w:r>
    </w:p>
    <w:p w:rsidR="00A13E1A" w:rsidRDefault="00A13E1A" w:rsidP="00A13E1A">
      <w:pPr>
        <w:pStyle w:val="FootnoteText"/>
        <w:spacing w:line="480" w:lineRule="auto"/>
      </w:pPr>
    </w:p>
  </w:footnote>
  <w:footnote w:id="5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Clarkson and Hill, n.52</w:t>
      </w:r>
      <w:r w:rsidRPr="005E4773">
        <w:rPr>
          <w:rFonts w:asciiTheme="minorHAnsi" w:hAnsiTheme="minorHAnsi"/>
        </w:rPr>
        <w:t>, 360.</w:t>
      </w:r>
    </w:p>
    <w:p w:rsidR="00A13E1A" w:rsidRPr="005E4773" w:rsidRDefault="00A13E1A" w:rsidP="00A13E1A">
      <w:pPr>
        <w:pStyle w:val="FootnoteText"/>
        <w:spacing w:line="480" w:lineRule="auto"/>
        <w:jc w:val="both"/>
        <w:rPr>
          <w:rFonts w:asciiTheme="minorHAnsi" w:hAnsiTheme="minorHAnsi"/>
        </w:rPr>
      </w:pPr>
    </w:p>
  </w:footnote>
  <w:footnote w:id="60">
    <w:p w:rsidR="00A13E1A" w:rsidRDefault="00A13E1A" w:rsidP="00A13E1A">
      <w:pPr>
        <w:pStyle w:val="FootnoteText"/>
        <w:spacing w:line="480" w:lineRule="auto"/>
      </w:pPr>
      <w:r>
        <w:rPr>
          <w:rStyle w:val="FootnoteReference"/>
        </w:rPr>
        <w:footnoteRef/>
      </w:r>
      <w:r>
        <w:t xml:space="preserve"> For example where a marriage is recognised in one country but not another, which, in the case of the elective dual domicile test could easily occur in relation to the parties and the country in which they are domiciled.</w:t>
      </w:r>
    </w:p>
    <w:p w:rsidR="00A13E1A" w:rsidRDefault="00A13E1A" w:rsidP="00A13E1A">
      <w:pPr>
        <w:pStyle w:val="FootnoteText"/>
        <w:spacing w:line="480" w:lineRule="auto"/>
      </w:pPr>
    </w:p>
  </w:footnote>
  <w:footnote w:id="61">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Law Commission Report, n.39, para 3.38.</w:t>
      </w:r>
    </w:p>
    <w:p w:rsidR="00A13E1A" w:rsidRPr="005E4773" w:rsidRDefault="00A13E1A" w:rsidP="00A13E1A">
      <w:pPr>
        <w:pStyle w:val="FootnoteText"/>
        <w:spacing w:line="480" w:lineRule="auto"/>
        <w:jc w:val="both"/>
        <w:rPr>
          <w:rFonts w:asciiTheme="minorHAnsi" w:hAnsiTheme="minorHAnsi"/>
        </w:rPr>
      </w:pPr>
    </w:p>
  </w:footnote>
  <w:footnote w:id="62">
    <w:p w:rsidR="00A13E1A" w:rsidRDefault="00A13E1A" w:rsidP="00A13E1A">
      <w:pPr>
        <w:pStyle w:val="FootnoteText"/>
        <w:spacing w:line="480" w:lineRule="auto"/>
      </w:pPr>
      <w:r>
        <w:rPr>
          <w:rStyle w:val="FootnoteReference"/>
        </w:rPr>
        <w:footnoteRef/>
      </w:r>
      <w:r>
        <w:t xml:space="preserve"> See n.25.</w:t>
      </w:r>
    </w:p>
    <w:p w:rsidR="00A13E1A" w:rsidRDefault="00A13E1A" w:rsidP="00A13E1A">
      <w:pPr>
        <w:pStyle w:val="FootnoteText"/>
        <w:spacing w:line="480" w:lineRule="auto"/>
      </w:pPr>
    </w:p>
  </w:footnote>
  <w:footnote w:id="6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Martina Melcher, “(Mutual) Recognition of Registered Relationships Via EU Private International Law”(2013) (1) Journal of Private International Law 149, 161-162.</w:t>
      </w:r>
    </w:p>
    <w:p w:rsidR="00A13E1A" w:rsidRPr="005E4773" w:rsidRDefault="00A13E1A" w:rsidP="00A13E1A">
      <w:pPr>
        <w:pStyle w:val="FootnoteText"/>
        <w:spacing w:line="480" w:lineRule="auto"/>
        <w:jc w:val="both"/>
        <w:rPr>
          <w:rFonts w:asciiTheme="minorHAnsi" w:hAnsiTheme="minorHAnsi"/>
        </w:rPr>
      </w:pPr>
    </w:p>
  </w:footnote>
  <w:footnote w:id="6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A potential problem that was also recognised by Martina Melcher.</w:t>
      </w:r>
    </w:p>
    <w:p w:rsidR="00A13E1A" w:rsidRPr="005E4773" w:rsidRDefault="00A13E1A" w:rsidP="00A13E1A">
      <w:pPr>
        <w:pStyle w:val="FootnoteText"/>
        <w:spacing w:line="480" w:lineRule="auto"/>
        <w:jc w:val="both"/>
        <w:rPr>
          <w:rFonts w:asciiTheme="minorHAnsi" w:hAnsiTheme="minorHAnsi"/>
        </w:rPr>
      </w:pPr>
    </w:p>
  </w:footnote>
  <w:footnote w:id="65">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 eg</w:t>
      </w:r>
      <w:r>
        <w:rPr>
          <w:rFonts w:asciiTheme="minorHAnsi" w:hAnsiTheme="minorHAnsi"/>
        </w:rPr>
        <w:t xml:space="preserve"> Smart, n.5,</w:t>
      </w:r>
      <w:r w:rsidRPr="005E4773">
        <w:rPr>
          <w:rFonts w:asciiTheme="minorHAnsi" w:hAnsiTheme="minorHAnsi"/>
        </w:rPr>
        <w:t xml:space="preserve"> 231 in which he discusses that the failings of the theories stem from trying to apply them universally, when instead it is a degree of flexibility that is required.</w:t>
      </w:r>
    </w:p>
    <w:p w:rsidR="00A13E1A" w:rsidRPr="005E4773" w:rsidRDefault="00A13E1A" w:rsidP="00A13E1A">
      <w:pPr>
        <w:pStyle w:val="FootnoteText"/>
        <w:spacing w:line="480" w:lineRule="auto"/>
        <w:jc w:val="both"/>
        <w:rPr>
          <w:rFonts w:asciiTheme="minorHAnsi" w:hAnsiTheme="minorHAnsi"/>
        </w:rPr>
      </w:pPr>
    </w:p>
  </w:footnote>
  <w:footnote w:id="66">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These exceptions are the rule in </w:t>
      </w:r>
      <w:r w:rsidRPr="005E4773">
        <w:rPr>
          <w:rFonts w:asciiTheme="minorHAnsi" w:hAnsiTheme="minorHAnsi"/>
          <w:i/>
        </w:rPr>
        <w:t>Sottmayer v De Barros (No2)</w:t>
      </w:r>
      <w:r w:rsidRPr="005E4773">
        <w:rPr>
          <w:rFonts w:asciiTheme="minorHAnsi" w:hAnsiTheme="minorHAnsi"/>
        </w:rPr>
        <w:t xml:space="preserve"> (1879) 5 PD 94, the rule where England is the lex loci and public policy grounds.</w:t>
      </w:r>
    </w:p>
    <w:p w:rsidR="00A13E1A" w:rsidRPr="005E4773" w:rsidRDefault="00A13E1A" w:rsidP="00A13E1A">
      <w:pPr>
        <w:pStyle w:val="FootnoteText"/>
        <w:spacing w:line="480" w:lineRule="auto"/>
        <w:jc w:val="both"/>
        <w:rPr>
          <w:rFonts w:asciiTheme="minorHAnsi" w:hAnsiTheme="minorHAnsi"/>
        </w:rPr>
      </w:pPr>
    </w:p>
  </w:footnote>
  <w:footnote w:id="67">
    <w:p w:rsidR="00A13E1A" w:rsidRDefault="00A13E1A" w:rsidP="00A13E1A">
      <w:pPr>
        <w:pStyle w:val="FootnoteText"/>
        <w:spacing w:line="480" w:lineRule="auto"/>
      </w:pPr>
      <w:r>
        <w:rPr>
          <w:rStyle w:val="FootnoteReference"/>
        </w:rPr>
        <w:footnoteRef/>
      </w:r>
      <w:r>
        <w:t xml:space="preserve"> </w:t>
      </w:r>
      <w:r w:rsidRPr="00824E08">
        <w:rPr>
          <w:i/>
        </w:rPr>
        <w:t>See</w:t>
      </w:r>
      <w:r>
        <w:t xml:space="preserve"> n.30.</w:t>
      </w:r>
    </w:p>
    <w:p w:rsidR="00A13E1A" w:rsidRDefault="00A13E1A" w:rsidP="00A13E1A">
      <w:pPr>
        <w:pStyle w:val="FootnoteText"/>
        <w:spacing w:line="480" w:lineRule="auto"/>
      </w:pPr>
    </w:p>
  </w:footnote>
  <w:footnote w:id="68">
    <w:p w:rsidR="00A13E1A" w:rsidRDefault="00A13E1A" w:rsidP="00A13E1A">
      <w:pPr>
        <w:pStyle w:val="FootnoteText"/>
        <w:spacing w:line="480" w:lineRule="auto"/>
      </w:pPr>
      <w:r>
        <w:rPr>
          <w:rStyle w:val="FootnoteReference"/>
        </w:rPr>
        <w:footnoteRef/>
      </w:r>
      <w:r>
        <w:t xml:space="preserve"> </w:t>
      </w:r>
      <w:r w:rsidRPr="00824E08">
        <w:rPr>
          <w:i/>
        </w:rPr>
        <w:t>See</w:t>
      </w:r>
      <w:r>
        <w:t xml:space="preserve"> n.31.</w:t>
      </w:r>
    </w:p>
    <w:p w:rsidR="00A13E1A" w:rsidRDefault="00A13E1A" w:rsidP="00A13E1A">
      <w:pPr>
        <w:pStyle w:val="FootnoteText"/>
        <w:spacing w:line="480" w:lineRule="auto"/>
      </w:pPr>
    </w:p>
  </w:footnote>
  <w:footnote w:id="6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Stuart Davis, </w:t>
      </w:r>
      <w:r w:rsidRPr="005E4773">
        <w:rPr>
          <w:rFonts w:asciiTheme="minorHAnsi" w:hAnsiTheme="minorHAnsi"/>
          <w:i/>
        </w:rPr>
        <w:t>Marriage (Same-Sex Couples) Bill Memorandum</w:t>
      </w:r>
      <w:r w:rsidRPr="005E4773">
        <w:rPr>
          <w:rFonts w:asciiTheme="minorHAnsi" w:hAnsiTheme="minorHAnsi"/>
        </w:rPr>
        <w:t xml:space="preserve"> (2013) 2 at para 3.3.</w:t>
      </w:r>
    </w:p>
    <w:p w:rsidR="00A13E1A" w:rsidRPr="005E4773" w:rsidRDefault="00A13E1A" w:rsidP="00A13E1A">
      <w:pPr>
        <w:pStyle w:val="FootnoteText"/>
        <w:spacing w:line="480" w:lineRule="auto"/>
        <w:jc w:val="both"/>
        <w:rPr>
          <w:rFonts w:asciiTheme="minorHAnsi" w:hAnsiTheme="minorHAnsi"/>
        </w:rPr>
      </w:pPr>
    </w:p>
  </w:footnote>
  <w:footnote w:id="7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p>
    <w:p w:rsidR="00A13E1A" w:rsidRPr="005E4773" w:rsidRDefault="00A13E1A" w:rsidP="00A13E1A">
      <w:pPr>
        <w:pStyle w:val="FootnoteText"/>
        <w:spacing w:line="480" w:lineRule="auto"/>
        <w:jc w:val="both"/>
        <w:rPr>
          <w:rFonts w:asciiTheme="minorHAnsi" w:hAnsiTheme="minorHAnsi"/>
        </w:rPr>
      </w:pPr>
    </w:p>
  </w:footnote>
  <w:footnote w:id="71">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For instance </w:t>
      </w:r>
      <w:r w:rsidRPr="005E4773">
        <w:rPr>
          <w:rFonts w:asciiTheme="minorHAnsi" w:hAnsiTheme="minorHAnsi"/>
          <w:i/>
        </w:rPr>
        <w:t>Kenwood v Kenwood</w:t>
      </w:r>
      <w:r w:rsidRPr="005E4773">
        <w:rPr>
          <w:rFonts w:asciiTheme="minorHAnsi" w:hAnsiTheme="minorHAnsi"/>
        </w:rPr>
        <w:t xml:space="preserve"> [1951] P. 124 and </w:t>
      </w:r>
      <w:r w:rsidRPr="005E4773">
        <w:rPr>
          <w:rFonts w:asciiTheme="minorHAnsi" w:hAnsiTheme="minorHAnsi"/>
          <w:i/>
        </w:rPr>
        <w:t>Radwan v Radwan (No2)</w:t>
      </w:r>
      <w:r w:rsidRPr="005E4773">
        <w:rPr>
          <w:rFonts w:asciiTheme="minorHAnsi" w:hAnsiTheme="minorHAnsi"/>
        </w:rPr>
        <w:t xml:space="preserve"> [1973] Fam 35 provide support  for the intended matrimonial home theory and </w:t>
      </w:r>
      <w:r w:rsidRPr="005E4773">
        <w:rPr>
          <w:rFonts w:asciiTheme="minorHAnsi" w:hAnsiTheme="minorHAnsi"/>
          <w:i/>
        </w:rPr>
        <w:t>Vervaeke v Smith</w:t>
      </w:r>
      <w:r w:rsidRPr="005E4773">
        <w:rPr>
          <w:rFonts w:asciiTheme="minorHAnsi" w:hAnsiTheme="minorHAnsi"/>
        </w:rPr>
        <w:t xml:space="preserve"> [1983] 1 AC 145 provides support for the most real and substantial connection test.</w:t>
      </w:r>
    </w:p>
    <w:p w:rsidR="00A13E1A" w:rsidRPr="005E4773" w:rsidRDefault="00A13E1A" w:rsidP="00A13E1A">
      <w:pPr>
        <w:pStyle w:val="FootnoteText"/>
        <w:spacing w:line="480" w:lineRule="auto"/>
        <w:jc w:val="both"/>
        <w:rPr>
          <w:rFonts w:asciiTheme="minorHAnsi" w:hAnsiTheme="minorHAnsi"/>
        </w:rPr>
      </w:pPr>
    </w:p>
  </w:footnote>
  <w:footnote w:id="72">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Examples include </w:t>
      </w:r>
      <w:r w:rsidRPr="005E4773">
        <w:rPr>
          <w:rFonts w:asciiTheme="minorHAnsi" w:hAnsiTheme="minorHAnsi"/>
          <w:i/>
        </w:rPr>
        <w:t>Westminster City Council v C [</w:t>
      </w:r>
      <w:r w:rsidRPr="005E4773">
        <w:rPr>
          <w:rFonts w:asciiTheme="minorHAnsi" w:hAnsiTheme="minorHAnsi"/>
        </w:rPr>
        <w:t xml:space="preserve">2009] Fam. 11 and </w:t>
      </w:r>
      <w:r w:rsidRPr="005E4773">
        <w:rPr>
          <w:rFonts w:asciiTheme="minorHAnsi" w:hAnsiTheme="minorHAnsi"/>
          <w:i/>
        </w:rPr>
        <w:t>Minister of Employment and Immigration v Norwall</w:t>
      </w:r>
      <w:r w:rsidRPr="005E4773">
        <w:rPr>
          <w:rFonts w:asciiTheme="minorHAnsi" w:hAnsiTheme="minorHAnsi"/>
        </w:rPr>
        <w:t xml:space="preserve"> (1990) 26 RFL (3d)95).</w:t>
      </w:r>
    </w:p>
    <w:p w:rsidR="00A13E1A" w:rsidRPr="005E4773" w:rsidRDefault="00A13E1A" w:rsidP="00A13E1A">
      <w:pPr>
        <w:pStyle w:val="FootnoteText"/>
        <w:spacing w:line="480" w:lineRule="auto"/>
        <w:jc w:val="both"/>
        <w:rPr>
          <w:rFonts w:asciiTheme="minorHAnsi" w:hAnsiTheme="minorHAnsi"/>
        </w:rPr>
      </w:pPr>
    </w:p>
  </w:footnote>
  <w:footnote w:id="7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This is further supported by the fact that many academics are now looking at the idea of depecage and a move away from a one rule fits all approach, see for i</w:t>
      </w:r>
      <w:r>
        <w:rPr>
          <w:rFonts w:asciiTheme="minorHAnsi" w:hAnsiTheme="minorHAnsi"/>
        </w:rPr>
        <w:t>nstance; Davie, n.27; Reed, n.27 and Smart n.5</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7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Davie, n.2</w:t>
      </w:r>
      <w:r>
        <w:rPr>
          <w:rFonts w:asciiTheme="minorHAnsi" w:hAnsiTheme="minorHAnsi"/>
        </w:rPr>
        <w:t>7</w:t>
      </w:r>
      <w:r w:rsidRPr="005E4773">
        <w:rPr>
          <w:rFonts w:asciiTheme="minorHAnsi" w:hAnsiTheme="minorHAnsi"/>
        </w:rPr>
        <w:t xml:space="preserve"> and Reed n.2</w:t>
      </w:r>
      <w:r>
        <w:rPr>
          <w:rFonts w:asciiTheme="minorHAnsi" w:hAnsiTheme="minorHAnsi"/>
        </w:rPr>
        <w:t>7</w:t>
      </w:r>
      <w:r w:rsidRPr="005E4773">
        <w:rPr>
          <w:rFonts w:asciiTheme="minorHAnsi" w:hAnsiTheme="minorHAnsi"/>
        </w:rPr>
        <w:t xml:space="preserve">. </w:t>
      </w:r>
    </w:p>
    <w:p w:rsidR="00A13E1A" w:rsidRPr="005E4773" w:rsidRDefault="00A13E1A" w:rsidP="00A13E1A">
      <w:pPr>
        <w:pStyle w:val="FootnoteText"/>
        <w:spacing w:line="480" w:lineRule="auto"/>
        <w:jc w:val="both"/>
        <w:rPr>
          <w:rFonts w:asciiTheme="minorHAnsi" w:hAnsiTheme="minorHAnsi"/>
        </w:rPr>
      </w:pPr>
    </w:p>
  </w:footnote>
  <w:footnote w:id="75">
    <w:p w:rsidR="00A13E1A" w:rsidRPr="005E4773" w:rsidRDefault="00A13E1A" w:rsidP="00A13E1A">
      <w:pPr>
        <w:pStyle w:val="FootnoteText"/>
        <w:spacing w:line="480" w:lineRule="auto"/>
        <w:rPr>
          <w:rFonts w:asciiTheme="minorHAnsi" w:eastAsiaTheme="minorHAnsi" w:hAnsiTheme="minorHAnsi" w:cstheme="minorBidi"/>
          <w:lang w:val="en-US"/>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lang w:val="en-US"/>
        </w:rPr>
        <w:t>COM(2010) 747, “</w:t>
      </w:r>
      <w:r w:rsidRPr="005E4773">
        <w:rPr>
          <w:rFonts w:asciiTheme="minorHAnsi" w:eastAsiaTheme="minorHAnsi" w:hAnsiTheme="minorHAnsi" w:cstheme="minorBidi"/>
          <w:lang w:val="en-US"/>
        </w:rPr>
        <w:t>Less Bureaucracy for Citizens Promoting Free Movement of Public Documents and the Recognition of the Effect of Civil Status Records” 14 December 2010.</w:t>
      </w:r>
    </w:p>
    <w:p w:rsidR="00A13E1A" w:rsidRPr="005E4773" w:rsidRDefault="00A13E1A" w:rsidP="00A13E1A">
      <w:pPr>
        <w:pStyle w:val="FootnoteText"/>
        <w:spacing w:line="480" w:lineRule="auto"/>
        <w:rPr>
          <w:rFonts w:asciiTheme="minorHAnsi" w:hAnsiTheme="minorHAnsi"/>
          <w:color w:val="FF0000"/>
        </w:rPr>
      </w:pPr>
    </w:p>
  </w:footnote>
  <w:footnote w:id="76">
    <w:p w:rsidR="00A13E1A" w:rsidRPr="00AF40FA" w:rsidRDefault="00A13E1A" w:rsidP="00A13E1A">
      <w:pPr>
        <w:pStyle w:val="FootnoteText"/>
        <w:spacing w:line="480" w:lineRule="auto"/>
        <w:jc w:val="both"/>
        <w:rPr>
          <w:rFonts w:asciiTheme="minorHAnsi" w:hAnsiTheme="minorHAnsi"/>
          <w:lang w:val="es-ES"/>
        </w:rPr>
      </w:pPr>
      <w:r w:rsidRPr="005E4773">
        <w:rPr>
          <w:rStyle w:val="FootnoteReference"/>
          <w:rFonts w:asciiTheme="minorHAnsi" w:hAnsiTheme="minorHAnsi"/>
        </w:rPr>
        <w:footnoteRef/>
      </w:r>
      <w:r w:rsidRPr="00AF40FA">
        <w:rPr>
          <w:rFonts w:asciiTheme="minorHAnsi" w:hAnsiTheme="minorHAnsi"/>
          <w:lang w:val="es-ES"/>
        </w:rPr>
        <w:t xml:space="preserve"> </w:t>
      </w:r>
      <w:r w:rsidRPr="00AF40FA">
        <w:rPr>
          <w:rFonts w:asciiTheme="minorHAnsi" w:hAnsiTheme="minorHAnsi"/>
          <w:i/>
          <w:lang w:val="es-ES"/>
        </w:rPr>
        <w:t>Ibid</w:t>
      </w:r>
      <w:r w:rsidRPr="00AF40FA">
        <w:rPr>
          <w:rFonts w:asciiTheme="minorHAnsi" w:hAnsiTheme="minorHAnsi"/>
          <w:lang w:val="es-ES"/>
        </w:rPr>
        <w:t xml:space="preserve"> para 1.</w:t>
      </w:r>
    </w:p>
    <w:p w:rsidR="00A13E1A" w:rsidRPr="00AF40FA" w:rsidRDefault="00A13E1A" w:rsidP="00A13E1A">
      <w:pPr>
        <w:pStyle w:val="FootnoteText"/>
        <w:spacing w:line="480" w:lineRule="auto"/>
        <w:rPr>
          <w:rFonts w:asciiTheme="minorHAnsi" w:hAnsiTheme="minorHAnsi"/>
          <w:lang w:val="es-ES"/>
        </w:rPr>
      </w:pPr>
    </w:p>
  </w:footnote>
  <w:footnote w:id="77">
    <w:p w:rsidR="00A13E1A" w:rsidRPr="00AF40FA" w:rsidRDefault="00A13E1A" w:rsidP="00A13E1A">
      <w:pPr>
        <w:pStyle w:val="Default"/>
        <w:spacing w:line="480" w:lineRule="auto"/>
        <w:rPr>
          <w:rFonts w:asciiTheme="minorHAnsi" w:hAnsiTheme="minorHAnsi"/>
          <w:sz w:val="20"/>
          <w:szCs w:val="20"/>
          <w:lang w:val="es-ES"/>
        </w:rPr>
      </w:pPr>
      <w:r w:rsidRPr="005E4773">
        <w:rPr>
          <w:rStyle w:val="FootnoteReference"/>
          <w:rFonts w:asciiTheme="minorHAnsi" w:hAnsiTheme="minorHAnsi"/>
          <w:color w:val="auto"/>
          <w:sz w:val="20"/>
          <w:szCs w:val="20"/>
        </w:rPr>
        <w:footnoteRef/>
      </w:r>
      <w:r w:rsidRPr="00AF40FA">
        <w:rPr>
          <w:rFonts w:asciiTheme="minorHAnsi" w:hAnsiTheme="minorHAnsi"/>
          <w:color w:val="auto"/>
          <w:sz w:val="20"/>
          <w:szCs w:val="20"/>
          <w:lang w:val="es-ES"/>
        </w:rPr>
        <w:t xml:space="preserve"> </w:t>
      </w:r>
      <w:r w:rsidRPr="00AF40FA">
        <w:rPr>
          <w:rFonts w:asciiTheme="minorHAnsi" w:hAnsiTheme="minorHAnsi"/>
          <w:i/>
          <w:color w:val="auto"/>
          <w:sz w:val="20"/>
          <w:szCs w:val="20"/>
          <w:lang w:val="es-ES"/>
        </w:rPr>
        <w:t>Ibid</w:t>
      </w:r>
      <w:r w:rsidRPr="00AF40FA">
        <w:rPr>
          <w:rFonts w:asciiTheme="minorHAnsi" w:hAnsiTheme="minorHAnsi"/>
          <w:color w:val="auto"/>
          <w:sz w:val="20"/>
          <w:szCs w:val="20"/>
          <w:lang w:val="es-ES"/>
        </w:rPr>
        <w:t xml:space="preserve"> para 4.3.</w:t>
      </w:r>
    </w:p>
    <w:p w:rsidR="00A13E1A" w:rsidRPr="00AF40FA" w:rsidRDefault="00A13E1A" w:rsidP="00A13E1A">
      <w:pPr>
        <w:pStyle w:val="FootnoteText"/>
        <w:spacing w:line="480" w:lineRule="auto"/>
        <w:rPr>
          <w:rFonts w:asciiTheme="minorHAnsi" w:hAnsiTheme="minorHAnsi"/>
          <w:lang w:val="es-ES"/>
        </w:rPr>
      </w:pPr>
    </w:p>
  </w:footnote>
  <w:footnote w:id="78">
    <w:p w:rsidR="00A13E1A" w:rsidRPr="00AF40FA" w:rsidRDefault="00A13E1A" w:rsidP="00A13E1A">
      <w:pPr>
        <w:pStyle w:val="FootnoteText"/>
        <w:spacing w:line="480" w:lineRule="auto"/>
        <w:rPr>
          <w:rFonts w:asciiTheme="minorHAnsi" w:hAnsiTheme="minorHAnsi"/>
          <w:lang w:val="es-ES"/>
        </w:rPr>
      </w:pPr>
      <w:r w:rsidRPr="005E4773">
        <w:rPr>
          <w:rStyle w:val="FootnoteReference"/>
          <w:rFonts w:asciiTheme="minorHAnsi" w:hAnsiTheme="minorHAnsi"/>
        </w:rPr>
        <w:footnoteRef/>
      </w:r>
      <w:r w:rsidRPr="00AF40FA">
        <w:rPr>
          <w:rFonts w:asciiTheme="minorHAnsi" w:hAnsiTheme="minorHAnsi"/>
          <w:lang w:val="es-ES"/>
        </w:rPr>
        <w:t xml:space="preserve"> </w:t>
      </w:r>
      <w:r w:rsidRPr="00AF40FA">
        <w:rPr>
          <w:rFonts w:asciiTheme="minorHAnsi" w:hAnsiTheme="minorHAnsi"/>
          <w:i/>
          <w:lang w:val="es-ES"/>
        </w:rPr>
        <w:t>Ibid.</w:t>
      </w:r>
    </w:p>
    <w:p w:rsidR="00A13E1A" w:rsidRPr="00AF40FA" w:rsidRDefault="00A13E1A" w:rsidP="00A13E1A">
      <w:pPr>
        <w:pStyle w:val="FootnoteText"/>
        <w:spacing w:line="480" w:lineRule="auto"/>
        <w:rPr>
          <w:rFonts w:asciiTheme="minorHAnsi" w:hAnsiTheme="minorHAnsi"/>
          <w:lang w:val="es-ES"/>
        </w:rPr>
      </w:pPr>
    </w:p>
  </w:footnote>
  <w:footnote w:id="79">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COM (2006) 399 “Proposal for a Council Regulation amending Regulation (EC) No 2201/2003 as regards jurisdiction and introducing rules concerning applicable law in matrimonial matters” 17 July 2006.</w:t>
      </w:r>
    </w:p>
    <w:p w:rsidR="00A13E1A" w:rsidRPr="005E4773" w:rsidRDefault="00A13E1A" w:rsidP="00A13E1A">
      <w:pPr>
        <w:pStyle w:val="FootnoteText"/>
        <w:spacing w:line="480" w:lineRule="auto"/>
        <w:rPr>
          <w:rFonts w:asciiTheme="minorHAnsi" w:hAnsiTheme="minorHAnsi"/>
          <w:color w:val="FF0000"/>
        </w:rPr>
      </w:pPr>
    </w:p>
  </w:footnote>
  <w:footnote w:id="80">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Council Regulation (EC) No 2201/2003</w:t>
      </w:r>
    </w:p>
    <w:p w:rsidR="00A13E1A" w:rsidRPr="005E4773" w:rsidRDefault="00A13E1A" w:rsidP="00A13E1A">
      <w:pPr>
        <w:pStyle w:val="FootnoteText"/>
        <w:spacing w:line="480" w:lineRule="auto"/>
        <w:rPr>
          <w:rFonts w:asciiTheme="minorHAnsi" w:hAnsiTheme="minorHAnsi"/>
        </w:rPr>
      </w:pPr>
    </w:p>
  </w:footnote>
  <w:footnote w:id="81">
    <w:p w:rsidR="00A13E1A" w:rsidRDefault="00A13E1A" w:rsidP="00A13E1A">
      <w:pPr>
        <w:pStyle w:val="FootnoteText"/>
        <w:spacing w:line="480" w:lineRule="auto"/>
      </w:pPr>
      <w:r>
        <w:rPr>
          <w:rStyle w:val="FootnoteReference"/>
        </w:rPr>
        <w:footnoteRef/>
      </w:r>
      <w:r>
        <w:t xml:space="preserve"> The countries involved with the enhanced cooperation are: Spain, Italy, Hungary, Luxembourg, Austria, Romania, Slovenia, Bulgaria, France, Germany, Belgium, Latvia, Malta and Portugal. </w:t>
      </w:r>
    </w:p>
    <w:p w:rsidR="00A13E1A" w:rsidRDefault="00A13E1A" w:rsidP="00A13E1A">
      <w:pPr>
        <w:pStyle w:val="FootnoteText"/>
        <w:spacing w:line="480" w:lineRule="auto"/>
      </w:pPr>
    </w:p>
  </w:footnote>
  <w:footnote w:id="82">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Chapter 2, Article 5.</w:t>
      </w:r>
    </w:p>
    <w:p w:rsidR="00A13E1A" w:rsidRPr="005E4773" w:rsidRDefault="00A13E1A" w:rsidP="00A13E1A">
      <w:pPr>
        <w:pStyle w:val="FootnoteText"/>
        <w:spacing w:line="480" w:lineRule="auto"/>
        <w:rPr>
          <w:rFonts w:asciiTheme="minorHAnsi" w:hAnsiTheme="minorHAnsi"/>
        </w:rPr>
      </w:pPr>
    </w:p>
  </w:footnote>
  <w:footnote w:id="83">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Chapter 2, Article 8.</w:t>
      </w:r>
    </w:p>
    <w:p w:rsidR="00A13E1A" w:rsidRPr="005E4773" w:rsidRDefault="00A13E1A" w:rsidP="00A13E1A">
      <w:pPr>
        <w:pStyle w:val="FootnoteText"/>
        <w:spacing w:line="480" w:lineRule="auto"/>
        <w:rPr>
          <w:rFonts w:asciiTheme="minorHAnsi" w:hAnsiTheme="minorHAnsi"/>
        </w:rPr>
      </w:pPr>
    </w:p>
  </w:footnote>
  <w:footnote w:id="84">
    <w:p w:rsidR="00A13E1A" w:rsidRDefault="00A13E1A" w:rsidP="00A13E1A">
      <w:pPr>
        <w:pStyle w:val="FootnoteText"/>
        <w:spacing w:line="480" w:lineRule="auto"/>
      </w:pPr>
      <w:r>
        <w:rPr>
          <w:rStyle w:val="FootnoteReference"/>
        </w:rPr>
        <w:footnoteRef/>
      </w:r>
      <w:r>
        <w:t xml:space="preserve"> As per Baroness Hale of Richmond; “habitual residence may have a different meaning in different statutes according to their context and purpose.” (Mark v Mark [2006] 1 AC 98, 105 at para 15).</w:t>
      </w:r>
    </w:p>
    <w:p w:rsidR="00A13E1A" w:rsidRDefault="00A13E1A" w:rsidP="00A13E1A">
      <w:pPr>
        <w:pStyle w:val="FootnoteText"/>
        <w:spacing w:line="480" w:lineRule="auto"/>
      </w:pPr>
    </w:p>
  </w:footnote>
  <w:footnote w:id="85">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Aude Fiorini, “Rome III - Choice of Law in Divorce: Is the Europeanization of Family Law Going too Far?”  (2008) 22(2) International Journal of Law, Policy and the Family 178.</w:t>
      </w:r>
    </w:p>
    <w:p w:rsidR="00A13E1A" w:rsidRPr="005E4773" w:rsidRDefault="00A13E1A" w:rsidP="00A13E1A">
      <w:pPr>
        <w:pStyle w:val="FootnoteText"/>
        <w:spacing w:line="480" w:lineRule="auto"/>
        <w:rPr>
          <w:rFonts w:asciiTheme="minorHAnsi" w:hAnsiTheme="minorHAnsi"/>
        </w:rPr>
      </w:pPr>
    </w:p>
  </w:footnote>
  <w:footnote w:id="86">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Shah v Barnet London Borough Council</w:t>
      </w:r>
      <w:r w:rsidRPr="005E4773">
        <w:rPr>
          <w:rFonts w:asciiTheme="minorHAnsi" w:hAnsiTheme="minorHAnsi"/>
        </w:rPr>
        <w:t xml:space="preserve"> [1983] 2 AC 309, 344.</w:t>
      </w:r>
    </w:p>
    <w:p w:rsidR="00A13E1A" w:rsidRPr="005E4773" w:rsidRDefault="00A13E1A" w:rsidP="00A13E1A">
      <w:pPr>
        <w:pStyle w:val="FootnoteText"/>
        <w:spacing w:line="480" w:lineRule="auto"/>
        <w:rPr>
          <w:rFonts w:asciiTheme="minorHAnsi" w:hAnsiTheme="minorHAnsi"/>
        </w:rPr>
      </w:pPr>
    </w:p>
  </w:footnote>
  <w:footnote w:id="87">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For instance in </w:t>
      </w:r>
      <w:r w:rsidRPr="005E4773">
        <w:rPr>
          <w:rFonts w:asciiTheme="minorHAnsi" w:hAnsiTheme="minorHAnsi"/>
          <w:i/>
        </w:rPr>
        <w:t>Re J (Abduction: Custody Rights)</w:t>
      </w:r>
      <w:r w:rsidRPr="005E4773">
        <w:rPr>
          <w:rFonts w:asciiTheme="minorHAnsi" w:hAnsiTheme="minorHAnsi"/>
        </w:rPr>
        <w:t xml:space="preserve"> [1990] 2 AC 562, 578 it was stated that it would not be achieved in a day “but an appreciable period of time”. In </w:t>
      </w:r>
      <w:r w:rsidRPr="005E4773">
        <w:rPr>
          <w:rFonts w:asciiTheme="minorHAnsi" w:hAnsiTheme="minorHAnsi"/>
          <w:i/>
        </w:rPr>
        <w:t>Re F (Child Abduction)</w:t>
      </w:r>
      <w:r w:rsidRPr="005E4773">
        <w:rPr>
          <w:rFonts w:asciiTheme="minorHAnsi" w:hAnsiTheme="minorHAnsi"/>
        </w:rPr>
        <w:t xml:space="preserve"> [1992] 1 FLR 548 it was suggested that a month could be an appreciable period of time, and in </w:t>
      </w:r>
      <w:r w:rsidRPr="005E4773">
        <w:rPr>
          <w:rFonts w:asciiTheme="minorHAnsi" w:hAnsiTheme="minorHAnsi"/>
          <w:i/>
        </w:rPr>
        <w:t>Marinos v Marinos</w:t>
      </w:r>
      <w:r w:rsidRPr="005E4773">
        <w:rPr>
          <w:rFonts w:asciiTheme="minorHAnsi" w:hAnsiTheme="minorHAnsi"/>
        </w:rPr>
        <w:t xml:space="preserve"> [2007] 2 FLR 1018 it was said that it could be measured in weeks not months, and in appropriate cases days. However, in </w:t>
      </w:r>
      <w:r w:rsidRPr="005E4773">
        <w:rPr>
          <w:rFonts w:asciiTheme="minorHAnsi" w:hAnsiTheme="minorHAnsi"/>
          <w:i/>
        </w:rPr>
        <w:t>A v A (Child Abduction)</w:t>
      </w:r>
      <w:r w:rsidRPr="005E4773">
        <w:rPr>
          <w:rFonts w:asciiTheme="minorHAnsi" w:hAnsiTheme="minorHAnsi"/>
        </w:rPr>
        <w:t xml:space="preserve"> [1993] 2 FLR 225 8 months was considered insufficient. </w:t>
      </w:r>
    </w:p>
    <w:p w:rsidR="00A13E1A" w:rsidRPr="005E4773" w:rsidRDefault="00A13E1A" w:rsidP="00A13E1A">
      <w:pPr>
        <w:pStyle w:val="FootnoteText"/>
        <w:spacing w:line="480" w:lineRule="auto"/>
        <w:rPr>
          <w:rFonts w:asciiTheme="minorHAnsi" w:hAnsiTheme="minorHAnsi"/>
        </w:rPr>
      </w:pPr>
    </w:p>
  </w:footnote>
  <w:footnote w:id="88">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Pippa Rogerson, ‘Habitual Residence: The New Domicile’ (2000) 49 International Comparative Law Quarterly 86, 90.</w:t>
      </w:r>
    </w:p>
    <w:p w:rsidR="00A13E1A" w:rsidRPr="005E4773" w:rsidRDefault="00A13E1A" w:rsidP="00A13E1A">
      <w:pPr>
        <w:pStyle w:val="FootnoteText"/>
        <w:spacing w:line="480" w:lineRule="auto"/>
        <w:rPr>
          <w:rFonts w:asciiTheme="minorHAnsi" w:hAnsiTheme="minorHAnsi"/>
          <w:color w:val="FF0000"/>
        </w:rPr>
      </w:pPr>
    </w:p>
  </w:footnote>
  <w:footnote w:id="89">
    <w:p w:rsidR="00A13E1A" w:rsidRDefault="00A13E1A" w:rsidP="00A13E1A">
      <w:pPr>
        <w:pStyle w:val="FootnoteText"/>
        <w:spacing w:line="480" w:lineRule="auto"/>
      </w:pPr>
      <w:r>
        <w:rPr>
          <w:rStyle w:val="FootnoteReference"/>
        </w:rPr>
        <w:footnoteRef/>
      </w:r>
      <w:r>
        <w:t xml:space="preserve"> For instance see Re C (Abduction: Habitual Residence) [2004] 1 FLR 217 and Kapur v Kapur [1984] FLR 920.</w:t>
      </w:r>
    </w:p>
    <w:p w:rsidR="00A13E1A" w:rsidRDefault="00A13E1A" w:rsidP="00A13E1A">
      <w:pPr>
        <w:pStyle w:val="FootnoteText"/>
        <w:spacing w:line="480" w:lineRule="auto"/>
      </w:pPr>
    </w:p>
  </w:footnote>
  <w:footnote w:id="90">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Clarkson and Hill, n.52</w:t>
      </w:r>
      <w:r w:rsidRPr="005E4773">
        <w:rPr>
          <w:rFonts w:asciiTheme="minorHAnsi" w:hAnsiTheme="minorHAnsi"/>
        </w:rPr>
        <w:t>, 341.This was a problem also recognised by the Law Commission, along with the fact that it is under developed (Law Commission, Private International Law the Law of Domicile(Law Com No. 88, 1985) para 2.4).</w:t>
      </w:r>
    </w:p>
    <w:p w:rsidR="00A13E1A" w:rsidRPr="005E4773" w:rsidRDefault="00A13E1A" w:rsidP="00A13E1A">
      <w:pPr>
        <w:pStyle w:val="FootnoteText"/>
        <w:spacing w:line="480" w:lineRule="auto"/>
        <w:rPr>
          <w:rFonts w:asciiTheme="minorHAnsi" w:hAnsiTheme="minorHAnsi"/>
        </w:rPr>
      </w:pPr>
    </w:p>
  </w:footnote>
  <w:footnote w:id="91">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Chapter III, Article 21.</w:t>
      </w:r>
    </w:p>
    <w:p w:rsidR="00A13E1A" w:rsidRPr="005E4773" w:rsidRDefault="00A13E1A" w:rsidP="00A13E1A">
      <w:pPr>
        <w:pStyle w:val="FootnoteText"/>
        <w:spacing w:line="480" w:lineRule="auto"/>
        <w:rPr>
          <w:rFonts w:asciiTheme="minorHAnsi" w:hAnsiTheme="minorHAnsi"/>
          <w:color w:val="FF0000"/>
        </w:rPr>
      </w:pPr>
    </w:p>
  </w:footnote>
  <w:footnote w:id="92">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Wilkinson v Kitzinger</w:t>
      </w:r>
      <w:r w:rsidRPr="005E4773">
        <w:rPr>
          <w:rFonts w:asciiTheme="minorHAnsi" w:hAnsiTheme="minorHAnsi"/>
        </w:rPr>
        <w:t xml:space="preserve"> n.1</w:t>
      </w:r>
      <w:r>
        <w:rPr>
          <w:rFonts w:asciiTheme="minorHAnsi" w:hAnsiTheme="minorHAnsi"/>
        </w:rPr>
        <w:t>7</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9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w:t>
      </w:r>
      <w:r w:rsidRPr="005E4773">
        <w:rPr>
          <w:rFonts w:asciiTheme="minorHAnsi" w:hAnsiTheme="minorHAnsi"/>
        </w:rPr>
        <w:t xml:space="preserve"> ss 212(1)(a), 213 and Schedule 20 M(SSC)A.</w:t>
      </w:r>
    </w:p>
    <w:p w:rsidR="00A13E1A" w:rsidRPr="005E4773" w:rsidRDefault="00A13E1A" w:rsidP="00A13E1A">
      <w:pPr>
        <w:pStyle w:val="FootnoteText"/>
        <w:spacing w:line="480" w:lineRule="auto"/>
        <w:jc w:val="both"/>
        <w:rPr>
          <w:rFonts w:asciiTheme="minorHAnsi" w:hAnsiTheme="minorHAnsi"/>
        </w:rPr>
      </w:pPr>
    </w:p>
  </w:footnote>
  <w:footnote w:id="9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Schedule 2 part 3 s.5(2) M(SSC)A  inserts s.213(1A) into the CPA which states; “But, for the purposes of the application of this Act to England and Wales, marriage is not an overseas relationship.”</w:t>
      </w:r>
    </w:p>
    <w:p w:rsidR="00A13E1A" w:rsidRPr="005E4773" w:rsidRDefault="00A13E1A" w:rsidP="00A13E1A">
      <w:pPr>
        <w:pStyle w:val="FootnoteText"/>
        <w:spacing w:line="480" w:lineRule="auto"/>
        <w:jc w:val="both"/>
        <w:rPr>
          <w:rFonts w:asciiTheme="minorHAnsi" w:hAnsiTheme="minorHAnsi"/>
        </w:rPr>
      </w:pPr>
    </w:p>
  </w:footnote>
  <w:footnote w:id="95">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Such a change in Status from same-sex marriage to civil partnership was often considered as a downgrade, in the case of </w:t>
      </w:r>
      <w:r w:rsidRPr="005E4773">
        <w:rPr>
          <w:rFonts w:asciiTheme="minorHAnsi" w:hAnsiTheme="minorHAnsi"/>
          <w:i/>
        </w:rPr>
        <w:t>Wilkinson v Kitzinger</w:t>
      </w:r>
      <w:r>
        <w:rPr>
          <w:rFonts w:asciiTheme="minorHAnsi" w:hAnsiTheme="minorHAnsi"/>
        </w:rPr>
        <w:t xml:space="preserve"> n.17</w:t>
      </w:r>
      <w:r w:rsidRPr="005E4773">
        <w:rPr>
          <w:rFonts w:asciiTheme="minorHAnsi" w:hAnsiTheme="minorHAnsi"/>
        </w:rPr>
        <w:t xml:space="preserve"> where the couple argued, albeit unsuccessfully, that it was a violation of their rights not to have their relationship recognised in the capacity of marriage into which they had entered. </w:t>
      </w:r>
    </w:p>
    <w:p w:rsidR="00A13E1A" w:rsidRPr="005E4773" w:rsidRDefault="00A13E1A" w:rsidP="00A13E1A">
      <w:pPr>
        <w:pStyle w:val="FootnoteText"/>
        <w:spacing w:line="480" w:lineRule="auto"/>
        <w:jc w:val="both"/>
        <w:rPr>
          <w:rFonts w:asciiTheme="minorHAnsi" w:hAnsiTheme="minorHAnsi"/>
        </w:rPr>
      </w:pPr>
    </w:p>
  </w:footnote>
  <w:footnote w:id="96">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This concept of it being considered as a lesser status, a form of second class citizenship is an area that many academics have considered, see for instance; Kerry Abrams, “Citizen Spouse” (2013) 101(2) California Law Review, 407, Michael Dorf, “Same-Sex Marriage, Second-Class Citizenship, and Law’s Social Meanings” (2011) 97 Virginia Law Review 1267 and Angela Harris, “Loving Before and After the Law” (2007-2008) 76 Fordham International Law Review 2821.</w:t>
      </w:r>
    </w:p>
    <w:p w:rsidR="00A13E1A" w:rsidRPr="005E4773" w:rsidRDefault="00A13E1A" w:rsidP="00A13E1A">
      <w:pPr>
        <w:pStyle w:val="FootnoteText"/>
        <w:spacing w:line="480" w:lineRule="auto"/>
        <w:jc w:val="both"/>
        <w:rPr>
          <w:rFonts w:asciiTheme="minorHAnsi" w:hAnsiTheme="minorHAnsi"/>
        </w:rPr>
      </w:pPr>
    </w:p>
  </w:footnote>
  <w:footnote w:id="9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A problem that was also considered by Stuart Davis in his memorandum, which he explored through setting out a scenario which could potentially unfold; Stuart Davis, </w:t>
      </w:r>
      <w:r w:rsidRPr="005E4773">
        <w:rPr>
          <w:rFonts w:asciiTheme="minorHAnsi" w:hAnsiTheme="minorHAnsi"/>
          <w:i/>
        </w:rPr>
        <w:t>Marriage (Same Sex Couples) Bill Memorandum</w:t>
      </w:r>
      <w:r w:rsidRPr="005E4773">
        <w:rPr>
          <w:rFonts w:asciiTheme="minorHAnsi" w:hAnsiTheme="minorHAnsi"/>
        </w:rPr>
        <w:t xml:space="preserve"> (2013) 3-4.</w:t>
      </w:r>
    </w:p>
    <w:p w:rsidR="00A13E1A" w:rsidRPr="005E4773" w:rsidRDefault="00A13E1A" w:rsidP="00A13E1A">
      <w:pPr>
        <w:pStyle w:val="FootnoteText"/>
        <w:spacing w:line="480" w:lineRule="auto"/>
        <w:jc w:val="both"/>
        <w:rPr>
          <w:rFonts w:asciiTheme="minorHAnsi" w:hAnsiTheme="minorHAnsi"/>
        </w:rPr>
      </w:pPr>
    </w:p>
  </w:footnote>
  <w:footnote w:id="98">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Pr>
          <w:rFonts w:asciiTheme="minorHAnsi" w:hAnsiTheme="minorHAnsi"/>
        </w:rPr>
        <w:t xml:space="preserve"> </w:t>
      </w:r>
      <w:r w:rsidRPr="005E4773">
        <w:rPr>
          <w:rFonts w:asciiTheme="minorHAnsi" w:hAnsiTheme="minorHAnsi"/>
        </w:rPr>
        <w:t>4.</w:t>
      </w:r>
    </w:p>
    <w:p w:rsidR="00A13E1A" w:rsidRPr="005E4773" w:rsidRDefault="00A13E1A" w:rsidP="00A13E1A">
      <w:pPr>
        <w:pStyle w:val="FootnoteText"/>
        <w:spacing w:line="480" w:lineRule="auto"/>
        <w:jc w:val="both"/>
        <w:rPr>
          <w:rFonts w:asciiTheme="minorHAnsi" w:hAnsiTheme="minorHAnsi"/>
        </w:rPr>
      </w:pPr>
    </w:p>
  </w:footnote>
  <w:footnote w:id="9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Wilkinson v Kitzinger</w:t>
      </w:r>
      <w:r>
        <w:rPr>
          <w:rFonts w:asciiTheme="minorHAnsi" w:hAnsiTheme="minorHAnsi"/>
        </w:rPr>
        <w:t xml:space="preserve"> n.17</w:t>
      </w:r>
      <w:r w:rsidRPr="005E4773">
        <w:rPr>
          <w:rFonts w:asciiTheme="minorHAnsi" w:hAnsiTheme="minorHAnsi"/>
        </w:rPr>
        <w:t xml:space="preserve">. </w:t>
      </w:r>
    </w:p>
    <w:p w:rsidR="00A13E1A" w:rsidRPr="005E4773" w:rsidRDefault="00A13E1A" w:rsidP="00A13E1A">
      <w:pPr>
        <w:pStyle w:val="FootnoteText"/>
        <w:spacing w:line="480" w:lineRule="auto"/>
        <w:jc w:val="both"/>
        <w:rPr>
          <w:rFonts w:asciiTheme="minorHAnsi" w:hAnsiTheme="minorHAnsi"/>
        </w:rPr>
      </w:pPr>
    </w:p>
  </w:footnote>
  <w:footnote w:id="100">
    <w:p w:rsidR="00A13E1A" w:rsidRDefault="00A13E1A" w:rsidP="00A13E1A">
      <w:pPr>
        <w:spacing w:after="0" w:line="480" w:lineRule="auto"/>
        <w:jc w:val="both"/>
        <w:rPr>
          <w:sz w:val="20"/>
          <w:szCs w:val="20"/>
        </w:rPr>
      </w:pPr>
      <w:r w:rsidRPr="005E4773">
        <w:rPr>
          <w:rStyle w:val="FootnoteReference"/>
          <w:sz w:val="20"/>
          <w:szCs w:val="20"/>
        </w:rPr>
        <w:footnoteRef/>
      </w:r>
      <w:r>
        <w:rPr>
          <w:sz w:val="20"/>
          <w:szCs w:val="20"/>
        </w:rPr>
        <w:t xml:space="preserve"> Davie, n.27</w:t>
      </w:r>
      <w:r w:rsidRPr="005E4773">
        <w:rPr>
          <w:sz w:val="20"/>
          <w:szCs w:val="20"/>
        </w:rPr>
        <w:t>, 32.</w:t>
      </w:r>
    </w:p>
    <w:p w:rsidR="00A13E1A" w:rsidRPr="005E4773" w:rsidRDefault="00A13E1A" w:rsidP="00A13E1A">
      <w:pPr>
        <w:spacing w:after="0" w:line="480" w:lineRule="auto"/>
        <w:jc w:val="both"/>
        <w:rPr>
          <w:sz w:val="20"/>
          <w:szCs w:val="20"/>
        </w:rPr>
      </w:pPr>
    </w:p>
  </w:footnote>
  <w:footnote w:id="101">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Smart, n.5, 231.</w:t>
      </w:r>
    </w:p>
    <w:p w:rsidR="00A13E1A" w:rsidRPr="005E4773" w:rsidRDefault="00A13E1A" w:rsidP="00A13E1A">
      <w:pPr>
        <w:pStyle w:val="FootnoteText"/>
        <w:spacing w:line="480" w:lineRule="auto"/>
        <w:jc w:val="both"/>
        <w:rPr>
          <w:rFonts w:asciiTheme="minorHAnsi" w:hAnsiTheme="minorHAnsi"/>
        </w:rPr>
      </w:pPr>
    </w:p>
  </w:footnote>
  <w:footnote w:id="102">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Reed, n.2</w:t>
      </w:r>
      <w:r>
        <w:rPr>
          <w:rFonts w:asciiTheme="minorHAnsi" w:hAnsiTheme="minorHAnsi"/>
        </w:rPr>
        <w:t>7, 390. See also Juenger, n.26</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103">
    <w:p w:rsidR="00A13E1A" w:rsidRPr="005E4773"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Pr>
          <w:sz w:val="20"/>
          <w:szCs w:val="20"/>
        </w:rPr>
        <w:t xml:space="preserve"> Cox, n.24</w:t>
      </w:r>
      <w:r w:rsidRPr="005E4773">
        <w:rPr>
          <w:sz w:val="20"/>
          <w:szCs w:val="20"/>
        </w:rPr>
        <w:t>, 1090 referring to Gregory Smith, “Choice of Law in the United States” (1987) 38 Hastings Law Journal</w:t>
      </w:r>
      <w:r>
        <w:rPr>
          <w:sz w:val="20"/>
          <w:szCs w:val="20"/>
        </w:rPr>
        <w:t xml:space="preserve"> 1041, 1047. See also Smart, n.5</w:t>
      </w:r>
      <w:r w:rsidRPr="005E4773">
        <w:rPr>
          <w:sz w:val="20"/>
          <w:szCs w:val="20"/>
        </w:rPr>
        <w:t xml:space="preserve">.  </w:t>
      </w:r>
    </w:p>
  </w:footnote>
  <w:footnote w:id="104">
    <w:p w:rsidR="00A13E1A"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Currie</w:t>
      </w:r>
      <w:r>
        <w:rPr>
          <w:rFonts w:asciiTheme="minorHAnsi" w:hAnsiTheme="minorHAnsi"/>
        </w:rPr>
        <w:t>, n.30.</w:t>
      </w:r>
      <w:r w:rsidRPr="005E4773">
        <w:rPr>
          <w:rFonts w:asciiTheme="minorHAnsi" w:hAnsiTheme="minorHAnsi"/>
        </w:rPr>
        <w:t xml:space="preserve"> </w:t>
      </w:r>
    </w:p>
    <w:p w:rsidR="00A13E1A" w:rsidRPr="005E4773" w:rsidRDefault="00A13E1A" w:rsidP="00A13E1A">
      <w:pPr>
        <w:pStyle w:val="FootnoteText"/>
        <w:spacing w:line="480" w:lineRule="auto"/>
        <w:rPr>
          <w:rFonts w:asciiTheme="minorHAnsi" w:hAnsiTheme="minorHAnsi"/>
        </w:rPr>
      </w:pPr>
    </w:p>
  </w:footnote>
  <w:footnote w:id="105">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Juenger, n.26</w:t>
      </w:r>
      <w:r w:rsidRPr="005E4773">
        <w:rPr>
          <w:rFonts w:asciiTheme="minorHAnsi" w:hAnsiTheme="minorHAnsi"/>
        </w:rPr>
        <w:t>, 4.</w:t>
      </w:r>
    </w:p>
    <w:p w:rsidR="00A13E1A" w:rsidRPr="005E4773" w:rsidRDefault="00A13E1A" w:rsidP="00A13E1A">
      <w:pPr>
        <w:pStyle w:val="FootnoteText"/>
        <w:spacing w:line="480" w:lineRule="auto"/>
        <w:jc w:val="both"/>
        <w:rPr>
          <w:rFonts w:asciiTheme="minorHAnsi" w:hAnsiTheme="minorHAnsi"/>
        </w:rPr>
      </w:pPr>
    </w:p>
  </w:footnote>
  <w:footnote w:id="106">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Reed, n.27</w:t>
      </w:r>
      <w:r w:rsidRPr="005E4773">
        <w:rPr>
          <w:rFonts w:asciiTheme="minorHAnsi" w:hAnsiTheme="minorHAnsi"/>
        </w:rPr>
        <w:t xml:space="preserve">, 390. </w:t>
      </w:r>
    </w:p>
    <w:p w:rsidR="00A13E1A" w:rsidRPr="005E4773" w:rsidRDefault="00A13E1A" w:rsidP="00A13E1A">
      <w:pPr>
        <w:pStyle w:val="FootnoteText"/>
        <w:spacing w:line="480" w:lineRule="auto"/>
        <w:jc w:val="both"/>
        <w:rPr>
          <w:rFonts w:asciiTheme="minorHAnsi" w:hAnsiTheme="minorHAnsi"/>
        </w:rPr>
      </w:pPr>
    </w:p>
  </w:footnote>
  <w:footnote w:id="10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Radwan v Radwan</w:t>
      </w:r>
      <w:r w:rsidRPr="005E4773">
        <w:rPr>
          <w:rFonts w:asciiTheme="minorHAnsi" w:hAnsiTheme="minorHAnsi"/>
        </w:rPr>
        <w:t>,</w:t>
      </w:r>
      <w:r>
        <w:rPr>
          <w:rFonts w:asciiTheme="minorHAnsi" w:hAnsiTheme="minorHAnsi"/>
        </w:rPr>
        <w:t xml:space="preserve"> n.50,</w:t>
      </w:r>
      <w:r w:rsidRPr="005E4773">
        <w:rPr>
          <w:rFonts w:asciiTheme="minorHAnsi" w:hAnsiTheme="minorHAnsi"/>
        </w:rPr>
        <w:t xml:space="preserve"> Cummings-Bruce J 51.</w:t>
      </w:r>
    </w:p>
    <w:p w:rsidR="00A13E1A" w:rsidRPr="005E4773" w:rsidRDefault="00A13E1A" w:rsidP="00A13E1A">
      <w:pPr>
        <w:pStyle w:val="FootnoteText"/>
        <w:spacing w:line="480" w:lineRule="auto"/>
        <w:jc w:val="both"/>
        <w:rPr>
          <w:rFonts w:asciiTheme="minorHAnsi" w:hAnsiTheme="minorHAnsi"/>
        </w:rPr>
      </w:pPr>
    </w:p>
  </w:footnote>
  <w:footnote w:id="108">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Pr>
          <w:sz w:val="20"/>
          <w:szCs w:val="20"/>
        </w:rPr>
        <w:t xml:space="preserve"> Juenger, n.26,</w:t>
      </w:r>
      <w:r w:rsidRPr="005E4773">
        <w:rPr>
          <w:sz w:val="20"/>
          <w:szCs w:val="20"/>
        </w:rPr>
        <w:t xml:space="preserve"> 48 states that this is what supporters of interest analysis claim, </w:t>
      </w:r>
      <w:r w:rsidRPr="005E4773">
        <w:rPr>
          <w:rFonts w:eastAsia="Calibri" w:cs="Times New Roman"/>
          <w:sz w:val="20"/>
          <w:szCs w:val="20"/>
        </w:rPr>
        <w:t>although he strongly disagrees with interest analysis arguing at p.49 ‘’[t]hus Currie’s methodology supplies a subterfuge to promote the very result-orientation that he deplored.”</w:t>
      </w:r>
    </w:p>
    <w:p w:rsidR="00A13E1A" w:rsidRPr="005E4773" w:rsidRDefault="00A13E1A" w:rsidP="00A13E1A">
      <w:pPr>
        <w:spacing w:after="0" w:line="480" w:lineRule="auto"/>
        <w:jc w:val="both"/>
        <w:rPr>
          <w:rFonts w:eastAsia="Calibri" w:cs="Times New Roman"/>
          <w:sz w:val="20"/>
          <w:szCs w:val="20"/>
        </w:rPr>
      </w:pPr>
    </w:p>
  </w:footnote>
  <w:footnote w:id="109">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Richard Fentiman, “Activity in the Law of Status: Domicile, Marri</w:t>
      </w:r>
      <w:r>
        <w:rPr>
          <w:rFonts w:asciiTheme="minorHAnsi" w:hAnsiTheme="minorHAnsi"/>
        </w:rPr>
        <w:t xml:space="preserve">age and the Law Commission” n.53. </w:t>
      </w:r>
    </w:p>
    <w:p w:rsidR="00A13E1A" w:rsidRPr="005E4773" w:rsidRDefault="00A13E1A" w:rsidP="00A13E1A">
      <w:pPr>
        <w:pStyle w:val="FootnoteText"/>
        <w:spacing w:line="480" w:lineRule="auto"/>
        <w:jc w:val="both"/>
        <w:rPr>
          <w:rFonts w:asciiTheme="minorHAnsi" w:hAnsiTheme="minorHAnsi"/>
        </w:rPr>
      </w:pPr>
    </w:p>
  </w:footnote>
  <w:footnote w:id="110">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w:t>
      </w:r>
      <w:r w:rsidRPr="005E4773">
        <w:rPr>
          <w:rFonts w:eastAsia="Calibri" w:cs="Times New Roman"/>
          <w:i/>
          <w:sz w:val="20"/>
          <w:szCs w:val="20"/>
        </w:rPr>
        <w:t>Ibid.</w:t>
      </w:r>
      <w:r w:rsidRPr="005E4773">
        <w:rPr>
          <w:rFonts w:eastAsia="Calibri" w:cs="Times New Roman"/>
          <w:sz w:val="20"/>
          <w:szCs w:val="20"/>
        </w:rPr>
        <w:t xml:space="preserve"> </w:t>
      </w:r>
    </w:p>
    <w:p w:rsidR="00A13E1A" w:rsidRPr="005E4773" w:rsidRDefault="00A13E1A" w:rsidP="00A13E1A">
      <w:pPr>
        <w:spacing w:after="0" w:line="480" w:lineRule="auto"/>
        <w:jc w:val="both"/>
        <w:rPr>
          <w:rFonts w:eastAsia="Calibri" w:cs="Times New Roman"/>
          <w:sz w:val="20"/>
          <w:szCs w:val="20"/>
        </w:rPr>
      </w:pPr>
    </w:p>
  </w:footnote>
  <w:footnote w:id="111">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sidRPr="005E4773">
        <w:rPr>
          <w:rFonts w:asciiTheme="minorHAnsi" w:hAnsiTheme="minorHAnsi"/>
        </w:rPr>
        <w:t xml:space="preserve"> </w:t>
      </w:r>
    </w:p>
    <w:p w:rsidR="00A13E1A" w:rsidRPr="005E4773" w:rsidRDefault="00A13E1A" w:rsidP="00A13E1A">
      <w:pPr>
        <w:pStyle w:val="FootnoteText"/>
        <w:spacing w:line="480" w:lineRule="auto"/>
        <w:jc w:val="both"/>
        <w:rPr>
          <w:rFonts w:asciiTheme="minorHAnsi" w:hAnsiTheme="minorHAnsi"/>
        </w:rPr>
      </w:pPr>
    </w:p>
  </w:footnote>
  <w:footnote w:id="112">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See Juenger, n26</w:t>
      </w:r>
      <w:r w:rsidRPr="005E4773">
        <w:rPr>
          <w:rFonts w:asciiTheme="minorHAnsi" w:hAnsiTheme="minorHAnsi"/>
        </w:rPr>
        <w:t xml:space="preserve">, 27 refers to comments from Judge Feld in </w:t>
      </w:r>
      <w:r>
        <w:rPr>
          <w:rFonts w:asciiTheme="minorHAnsi" w:hAnsiTheme="minorHAnsi"/>
          <w:i/>
        </w:rPr>
        <w:t>Neu</w:t>
      </w:r>
      <w:r w:rsidRPr="005E4773">
        <w:rPr>
          <w:rFonts w:asciiTheme="minorHAnsi" w:hAnsiTheme="minorHAnsi"/>
          <w:i/>
        </w:rPr>
        <w:t>meier v Kuehner</w:t>
      </w:r>
      <w:r w:rsidRPr="005E4773">
        <w:rPr>
          <w:rFonts w:asciiTheme="minorHAnsi" w:hAnsiTheme="minorHAnsi"/>
        </w:rPr>
        <w:t xml:space="preserve"> 31 N.Y.2d 569, 584 who explains that in a US context “our decisions… it must be acknowledged, lacked consistency.” See also </w:t>
      </w:r>
      <w:r>
        <w:rPr>
          <w:rFonts w:asciiTheme="minorHAnsi" w:hAnsiTheme="minorHAnsi"/>
        </w:rPr>
        <w:t xml:space="preserve">Lea </w:t>
      </w:r>
      <w:r w:rsidRPr="005E4773">
        <w:rPr>
          <w:rFonts w:asciiTheme="minorHAnsi" w:hAnsiTheme="minorHAnsi"/>
        </w:rPr>
        <w:t xml:space="preserve">Brilmayer, “Interest Analysis and the Myth of Legislative Intent” (1980) 78 Michigan Law Review 392 and </w:t>
      </w:r>
      <w:r>
        <w:rPr>
          <w:rFonts w:asciiTheme="minorHAnsi" w:hAnsiTheme="minorHAnsi"/>
        </w:rPr>
        <w:t xml:space="preserve">J. Skelly </w:t>
      </w:r>
      <w:r w:rsidRPr="005E4773">
        <w:rPr>
          <w:rFonts w:asciiTheme="minorHAnsi" w:hAnsiTheme="minorHAnsi"/>
        </w:rPr>
        <w:t>Wright, “The Federal Courts and Nature and Quality of State Law” (1967) 13 Wayne Law Review 317, 334.</w:t>
      </w:r>
    </w:p>
    <w:p w:rsidR="00A13E1A" w:rsidRPr="005E4773" w:rsidRDefault="00A13E1A" w:rsidP="00A13E1A">
      <w:pPr>
        <w:pStyle w:val="FootnoteText"/>
        <w:spacing w:line="480" w:lineRule="auto"/>
        <w:jc w:val="both"/>
        <w:rPr>
          <w:rFonts w:asciiTheme="minorHAnsi" w:hAnsiTheme="minorHAnsi"/>
        </w:rPr>
      </w:pPr>
    </w:p>
  </w:footnote>
  <w:footnote w:id="113">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Tooker v Lopez (1969) 24 N. Y. 2d 569, 584.</w:t>
      </w:r>
    </w:p>
    <w:p w:rsidR="00A13E1A" w:rsidRPr="005E4773" w:rsidRDefault="00A13E1A" w:rsidP="00A13E1A">
      <w:pPr>
        <w:pStyle w:val="FootnoteText"/>
        <w:spacing w:line="480" w:lineRule="auto"/>
        <w:rPr>
          <w:rFonts w:asciiTheme="minorHAnsi" w:hAnsiTheme="minorHAnsi"/>
        </w:rPr>
      </w:pPr>
    </w:p>
  </w:footnote>
  <w:footnote w:id="114">
    <w:p w:rsidR="00A13E1A" w:rsidRDefault="00A13E1A" w:rsidP="00A13E1A">
      <w:pPr>
        <w:spacing w:after="0" w:line="480" w:lineRule="auto"/>
        <w:rPr>
          <w:sz w:val="20"/>
          <w:szCs w:val="20"/>
        </w:rPr>
      </w:pPr>
      <w:r w:rsidRPr="005E4773">
        <w:rPr>
          <w:rStyle w:val="FootnoteReference"/>
          <w:sz w:val="20"/>
          <w:szCs w:val="20"/>
        </w:rPr>
        <w:footnoteRef/>
      </w:r>
      <w:r w:rsidRPr="005E4773">
        <w:rPr>
          <w:sz w:val="20"/>
          <w:szCs w:val="20"/>
        </w:rPr>
        <w:t xml:space="preserve"> </w:t>
      </w:r>
      <w:r w:rsidRPr="005E4773">
        <w:rPr>
          <w:i/>
          <w:sz w:val="20"/>
          <w:szCs w:val="20"/>
        </w:rPr>
        <w:t>See</w:t>
      </w:r>
      <w:r>
        <w:rPr>
          <w:sz w:val="20"/>
          <w:szCs w:val="20"/>
        </w:rPr>
        <w:t xml:space="preserve"> Juenger, n26</w:t>
      </w:r>
      <w:r w:rsidRPr="005E4773">
        <w:rPr>
          <w:sz w:val="20"/>
          <w:szCs w:val="20"/>
        </w:rPr>
        <w:t>.</w:t>
      </w:r>
    </w:p>
    <w:p w:rsidR="00A13E1A" w:rsidRPr="00D32B7F" w:rsidRDefault="00A13E1A" w:rsidP="00A13E1A">
      <w:pPr>
        <w:spacing w:after="0" w:line="480" w:lineRule="auto"/>
        <w:rPr>
          <w:sz w:val="20"/>
          <w:szCs w:val="20"/>
        </w:rPr>
      </w:pPr>
    </w:p>
  </w:footnote>
  <w:footnote w:id="115">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See ns.1</w:t>
      </w:r>
      <w:r>
        <w:rPr>
          <w:rFonts w:asciiTheme="minorHAnsi" w:hAnsiTheme="minorHAnsi"/>
        </w:rPr>
        <w:t>11</w:t>
      </w:r>
      <w:r w:rsidRPr="005E4773">
        <w:rPr>
          <w:rFonts w:asciiTheme="minorHAnsi" w:hAnsiTheme="minorHAnsi"/>
        </w:rPr>
        <w:t xml:space="preserve"> and </w:t>
      </w:r>
      <w:r>
        <w:rPr>
          <w:rFonts w:asciiTheme="minorHAnsi" w:hAnsiTheme="minorHAnsi"/>
        </w:rPr>
        <w:t>112.</w:t>
      </w:r>
    </w:p>
    <w:p w:rsidR="00A13E1A" w:rsidRPr="005E4773" w:rsidRDefault="00A13E1A" w:rsidP="00A13E1A">
      <w:pPr>
        <w:pStyle w:val="FootnoteText"/>
        <w:spacing w:line="480" w:lineRule="auto"/>
        <w:rPr>
          <w:rFonts w:asciiTheme="minorHAnsi" w:hAnsiTheme="minorHAnsi"/>
        </w:rPr>
      </w:pPr>
    </w:p>
  </w:footnote>
  <w:footnote w:id="116">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Brilmayer, n111; Reed, n.27</w:t>
      </w:r>
      <w:r w:rsidRPr="005E4773">
        <w:rPr>
          <w:rFonts w:asciiTheme="minorHAnsi" w:hAnsiTheme="minorHAnsi"/>
        </w:rPr>
        <w:t>,390</w:t>
      </w:r>
      <w:r>
        <w:rPr>
          <w:rFonts w:asciiTheme="minorHAnsi" w:hAnsiTheme="minorHAnsi"/>
        </w:rPr>
        <w:t>.</w:t>
      </w:r>
    </w:p>
    <w:p w:rsidR="00A13E1A" w:rsidRPr="005E4773" w:rsidRDefault="00A13E1A" w:rsidP="00A13E1A">
      <w:pPr>
        <w:pStyle w:val="FootnoteText"/>
        <w:spacing w:line="480" w:lineRule="auto"/>
        <w:rPr>
          <w:rFonts w:asciiTheme="minorHAnsi" w:hAnsiTheme="minorHAnsi"/>
        </w:rPr>
      </w:pPr>
    </w:p>
  </w:footnote>
  <w:footnote w:id="117">
    <w:p w:rsidR="00A13E1A" w:rsidRDefault="00A13E1A" w:rsidP="00A13E1A">
      <w:pPr>
        <w:spacing w:after="0" w:line="480" w:lineRule="auto"/>
        <w:jc w:val="both"/>
        <w:rPr>
          <w:sz w:val="20"/>
          <w:szCs w:val="20"/>
        </w:rPr>
      </w:pPr>
      <w:r w:rsidRPr="005E4773">
        <w:rPr>
          <w:rStyle w:val="FootnoteReference"/>
          <w:sz w:val="20"/>
          <w:szCs w:val="20"/>
        </w:rPr>
        <w:footnoteRef/>
      </w:r>
      <w:r>
        <w:rPr>
          <w:sz w:val="20"/>
          <w:szCs w:val="20"/>
        </w:rPr>
        <w:t xml:space="preserve"> Davie,n.27</w:t>
      </w:r>
      <w:r w:rsidRPr="005E4773">
        <w:rPr>
          <w:sz w:val="20"/>
          <w:szCs w:val="20"/>
        </w:rPr>
        <w:t>,43.</w:t>
      </w:r>
      <w:r w:rsidRPr="005E4773">
        <w:rPr>
          <w:rFonts w:eastAsia="Calibri" w:cs="Times New Roman"/>
          <w:sz w:val="20"/>
          <w:szCs w:val="20"/>
        </w:rPr>
        <w:t xml:space="preserve"> See also </w:t>
      </w:r>
      <w:r w:rsidRPr="005E4773">
        <w:rPr>
          <w:sz w:val="20"/>
          <w:szCs w:val="20"/>
        </w:rPr>
        <w:t xml:space="preserve">Scott Fruehwald, “Choice of Law and Same-Sex Marriage” (1999) 51 Florida Law Review 799. </w:t>
      </w:r>
    </w:p>
    <w:p w:rsidR="00A13E1A" w:rsidRPr="005E4773" w:rsidRDefault="00A13E1A" w:rsidP="00A13E1A">
      <w:pPr>
        <w:spacing w:after="0" w:line="480" w:lineRule="auto"/>
        <w:jc w:val="both"/>
        <w:rPr>
          <w:rFonts w:eastAsia="Calibri" w:cs="Times New Roman"/>
          <w:sz w:val="20"/>
          <w:szCs w:val="20"/>
        </w:rPr>
      </w:pPr>
    </w:p>
  </w:footnote>
  <w:footnote w:id="118">
    <w:p w:rsidR="00A13E1A" w:rsidRPr="005E4773"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Courtland Peterson, “Proposals of Marriage between Jurisdiction and Choice of Law” (1980-1981) 14 UC Davis Law Review 869, 871. </w:t>
      </w:r>
      <w:r>
        <w:rPr>
          <w:sz w:val="20"/>
          <w:szCs w:val="20"/>
        </w:rPr>
        <w:t xml:space="preserve">See also </w:t>
      </w:r>
      <w:r>
        <w:t>Juenger, n.26</w:t>
      </w:r>
      <w:r w:rsidRPr="005E4773">
        <w:t>, 29.</w:t>
      </w:r>
    </w:p>
  </w:footnote>
  <w:footnote w:id="119">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w:t>
      </w:r>
      <w:r w:rsidRPr="005E4773">
        <w:rPr>
          <w:rFonts w:asciiTheme="minorHAnsi" w:hAnsiTheme="minorHAnsi"/>
        </w:rPr>
        <w:t xml:space="preserve"> n.3</w:t>
      </w:r>
      <w:r>
        <w:rPr>
          <w:rFonts w:asciiTheme="minorHAnsi" w:hAnsiTheme="minorHAnsi"/>
        </w:rPr>
        <w:t>1</w:t>
      </w:r>
      <w:r w:rsidRPr="005E4773">
        <w:rPr>
          <w:rFonts w:asciiTheme="minorHAnsi" w:hAnsiTheme="minorHAnsi"/>
        </w:rPr>
        <w:t>.</w:t>
      </w:r>
    </w:p>
    <w:p w:rsidR="00A13E1A" w:rsidRPr="005E4773" w:rsidRDefault="00A13E1A" w:rsidP="00A13E1A">
      <w:pPr>
        <w:pStyle w:val="FootnoteText"/>
        <w:spacing w:line="480" w:lineRule="auto"/>
        <w:rPr>
          <w:rFonts w:asciiTheme="minorHAnsi" w:hAnsiTheme="minorHAnsi"/>
        </w:rPr>
      </w:pPr>
    </w:p>
  </w:footnote>
  <w:footnote w:id="120">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w:t>
      </w:r>
      <w:r w:rsidRPr="005E4773">
        <w:rPr>
          <w:i/>
          <w:sz w:val="20"/>
          <w:szCs w:val="20"/>
        </w:rPr>
        <w:t>See</w:t>
      </w:r>
      <w:r w:rsidRPr="005E4773">
        <w:rPr>
          <w:sz w:val="20"/>
          <w:szCs w:val="20"/>
        </w:rPr>
        <w:t xml:space="preserve"> Reed, n.2</w:t>
      </w:r>
      <w:r>
        <w:rPr>
          <w:sz w:val="20"/>
          <w:szCs w:val="20"/>
        </w:rPr>
        <w:t>7</w:t>
      </w:r>
      <w:r w:rsidRPr="005E4773">
        <w:rPr>
          <w:sz w:val="20"/>
          <w:szCs w:val="20"/>
        </w:rPr>
        <w:t xml:space="preserve"> and Fruehwald, n.1</w:t>
      </w:r>
      <w:r>
        <w:rPr>
          <w:sz w:val="20"/>
          <w:szCs w:val="20"/>
        </w:rPr>
        <w:t>16</w:t>
      </w:r>
      <w:r w:rsidRPr="005E4773">
        <w:rPr>
          <w:sz w:val="20"/>
          <w:szCs w:val="20"/>
        </w:rPr>
        <w:t xml:space="preserve">. </w:t>
      </w:r>
    </w:p>
    <w:p w:rsidR="00A13E1A" w:rsidRPr="005E4773" w:rsidRDefault="00A13E1A" w:rsidP="00A13E1A">
      <w:pPr>
        <w:spacing w:after="0" w:line="480" w:lineRule="auto"/>
        <w:jc w:val="both"/>
        <w:rPr>
          <w:sz w:val="20"/>
          <w:szCs w:val="20"/>
        </w:rPr>
      </w:pPr>
    </w:p>
  </w:footnote>
  <w:footnote w:id="121">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Juenge</w:t>
      </w:r>
      <w:r>
        <w:rPr>
          <w:sz w:val="20"/>
          <w:szCs w:val="20"/>
        </w:rPr>
        <w:t>r, n.26</w:t>
      </w:r>
      <w:r w:rsidRPr="005E4773">
        <w:rPr>
          <w:sz w:val="20"/>
          <w:szCs w:val="20"/>
        </w:rPr>
        <w:t>, 41.</w:t>
      </w:r>
    </w:p>
    <w:p w:rsidR="00A13E1A" w:rsidRPr="005E4773" w:rsidRDefault="00A13E1A" w:rsidP="00A13E1A">
      <w:pPr>
        <w:spacing w:after="0" w:line="480" w:lineRule="auto"/>
        <w:jc w:val="both"/>
        <w:rPr>
          <w:sz w:val="20"/>
          <w:szCs w:val="20"/>
        </w:rPr>
      </w:pPr>
    </w:p>
  </w:footnote>
  <w:footnote w:id="122">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Reed, n.27, 390. </w:t>
      </w:r>
    </w:p>
    <w:p w:rsidR="00A13E1A" w:rsidRPr="005E4773" w:rsidRDefault="00A13E1A" w:rsidP="00A13E1A">
      <w:pPr>
        <w:pStyle w:val="FootnoteText"/>
        <w:spacing w:line="480" w:lineRule="auto"/>
        <w:jc w:val="both"/>
        <w:rPr>
          <w:rFonts w:asciiTheme="minorHAnsi" w:hAnsiTheme="minorHAnsi"/>
        </w:rPr>
      </w:pPr>
    </w:p>
  </w:footnote>
  <w:footnote w:id="12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w:t>
      </w:r>
      <w:r w:rsidRPr="005E4773">
        <w:rPr>
          <w:rFonts w:asciiTheme="minorHAnsi" w:hAnsiTheme="minorHAnsi"/>
        </w:rPr>
        <w:t xml:space="preserve"> </w:t>
      </w:r>
      <w:r w:rsidRPr="005E4773">
        <w:rPr>
          <w:rFonts w:asciiTheme="minorHAnsi" w:hAnsiTheme="minorHAnsi"/>
          <w:i/>
        </w:rPr>
        <w:t>Ibid.</w:t>
      </w:r>
      <w:r>
        <w:rPr>
          <w:rFonts w:asciiTheme="minorHAnsi" w:hAnsiTheme="minorHAnsi"/>
        </w:rPr>
        <w:t xml:space="preserve"> and Davie, n.27</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12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See </w:t>
      </w:r>
      <w:r w:rsidRPr="005E4773">
        <w:rPr>
          <w:rFonts w:asciiTheme="minorHAnsi" w:hAnsiTheme="minorHAnsi"/>
          <w:i/>
        </w:rPr>
        <w:t>Ibid.</w:t>
      </w:r>
      <w:r>
        <w:rPr>
          <w:rFonts w:asciiTheme="minorHAnsi" w:hAnsiTheme="minorHAnsi"/>
        </w:rPr>
        <w:t xml:space="preserve"> and Cox, n.24</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125">
    <w:p w:rsidR="00A13E1A" w:rsidRDefault="00A13E1A" w:rsidP="00A13E1A">
      <w:pPr>
        <w:spacing w:after="0" w:line="480" w:lineRule="auto"/>
        <w:jc w:val="both"/>
        <w:rPr>
          <w:sz w:val="20"/>
          <w:szCs w:val="20"/>
        </w:rPr>
      </w:pPr>
      <w:r w:rsidRPr="005E4773">
        <w:rPr>
          <w:rStyle w:val="FootnoteReference"/>
          <w:sz w:val="20"/>
          <w:szCs w:val="20"/>
        </w:rPr>
        <w:footnoteRef/>
      </w:r>
      <w:r>
        <w:rPr>
          <w:sz w:val="20"/>
          <w:szCs w:val="20"/>
        </w:rPr>
        <w:t xml:space="preserve"> Davie,n.27</w:t>
      </w:r>
      <w:r w:rsidRPr="005E4773">
        <w:rPr>
          <w:sz w:val="20"/>
          <w:szCs w:val="20"/>
        </w:rPr>
        <w:t>, 47.</w:t>
      </w:r>
    </w:p>
    <w:p w:rsidR="00A13E1A" w:rsidRPr="005E4773" w:rsidRDefault="00A13E1A" w:rsidP="00A13E1A">
      <w:pPr>
        <w:spacing w:after="0" w:line="480" w:lineRule="auto"/>
        <w:jc w:val="both"/>
        <w:rPr>
          <w:sz w:val="20"/>
          <w:szCs w:val="20"/>
        </w:rPr>
      </w:pPr>
    </w:p>
  </w:footnote>
  <w:footnote w:id="126">
    <w:p w:rsidR="00A13E1A" w:rsidRPr="005E4773"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Reed, n.2</w:t>
      </w:r>
      <w:r>
        <w:rPr>
          <w:sz w:val="20"/>
          <w:szCs w:val="20"/>
        </w:rPr>
        <w:t>7</w:t>
      </w:r>
      <w:r w:rsidRPr="005E4773">
        <w:rPr>
          <w:sz w:val="20"/>
          <w:szCs w:val="20"/>
        </w:rPr>
        <w:t>,</w:t>
      </w:r>
      <w:r>
        <w:rPr>
          <w:sz w:val="20"/>
          <w:szCs w:val="20"/>
        </w:rPr>
        <w:t xml:space="preserve"> </w:t>
      </w:r>
      <w:r w:rsidRPr="005E4773">
        <w:rPr>
          <w:sz w:val="20"/>
          <w:szCs w:val="20"/>
        </w:rPr>
        <w:t xml:space="preserve">391. </w:t>
      </w:r>
      <w:r w:rsidRPr="005E4773">
        <w:rPr>
          <w:rFonts w:eastAsia="Calibri" w:cs="Times New Roman"/>
          <w:i/>
          <w:sz w:val="20"/>
          <w:szCs w:val="20"/>
        </w:rPr>
        <w:t>See</w:t>
      </w:r>
      <w:r>
        <w:rPr>
          <w:sz w:val="20"/>
          <w:szCs w:val="20"/>
        </w:rPr>
        <w:t xml:space="preserve"> Cox, n.24</w:t>
      </w:r>
      <w:r w:rsidRPr="005E4773">
        <w:rPr>
          <w:sz w:val="20"/>
          <w:szCs w:val="20"/>
        </w:rPr>
        <w:t xml:space="preserve"> and </w:t>
      </w:r>
      <w:r w:rsidRPr="005E4773">
        <w:rPr>
          <w:rFonts w:eastAsia="Calibri" w:cs="Times New Roman"/>
          <w:sz w:val="20"/>
          <w:szCs w:val="20"/>
        </w:rPr>
        <w:t xml:space="preserve">Robert Leflar, “Choice Influencing Considerations in Conflicts Law” (1966) 41 New York University Law Review 267. </w:t>
      </w:r>
    </w:p>
  </w:footnote>
  <w:footnote w:id="12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 xml:space="preserve">Eg, </w:t>
      </w:r>
      <w:r>
        <w:rPr>
          <w:rFonts w:asciiTheme="minorHAnsi" w:hAnsiTheme="minorHAnsi"/>
        </w:rPr>
        <w:t>Davie, n.27</w:t>
      </w:r>
      <w:r w:rsidRPr="005E4773">
        <w:rPr>
          <w:rFonts w:asciiTheme="minorHAnsi" w:hAnsiTheme="minorHAnsi"/>
        </w:rPr>
        <w:t>, 54 stated that in relation to lack of consent that the “purpose behind the law will generally be to protect the person form the consequences of their misapprehension or weakness.”</w:t>
      </w:r>
    </w:p>
    <w:p w:rsidR="00A13E1A" w:rsidRPr="005E4773" w:rsidRDefault="00A13E1A" w:rsidP="00A13E1A">
      <w:pPr>
        <w:pStyle w:val="FootnoteText"/>
        <w:spacing w:line="480" w:lineRule="auto"/>
        <w:jc w:val="both"/>
        <w:rPr>
          <w:rFonts w:asciiTheme="minorHAnsi" w:hAnsiTheme="minorHAnsi"/>
        </w:rPr>
      </w:pPr>
    </w:p>
  </w:footnote>
  <w:footnote w:id="128">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Reed, n.2</w:t>
      </w:r>
      <w:r>
        <w:rPr>
          <w:rFonts w:asciiTheme="minorHAnsi" w:hAnsiTheme="minorHAnsi"/>
        </w:rPr>
        <w:t>7</w:t>
      </w:r>
      <w:r w:rsidRPr="005E4773">
        <w:rPr>
          <w:rFonts w:asciiTheme="minorHAnsi" w:hAnsiTheme="minorHAnsi"/>
        </w:rPr>
        <w:t xml:space="preserve">,430.  </w:t>
      </w:r>
    </w:p>
    <w:p w:rsidR="00A13E1A" w:rsidRPr="005E4773" w:rsidRDefault="00A13E1A" w:rsidP="00A13E1A">
      <w:pPr>
        <w:pStyle w:val="FootnoteText"/>
        <w:spacing w:line="480" w:lineRule="auto"/>
        <w:jc w:val="both"/>
        <w:rPr>
          <w:rFonts w:asciiTheme="minorHAnsi" w:hAnsiTheme="minorHAnsi"/>
        </w:rPr>
      </w:pPr>
    </w:p>
  </w:footnote>
  <w:footnote w:id="12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Where there is a blood relationship between the parties; for example uncle and niece.</w:t>
      </w:r>
    </w:p>
    <w:p w:rsidR="00A13E1A" w:rsidRPr="005E4773" w:rsidRDefault="00A13E1A" w:rsidP="00A13E1A">
      <w:pPr>
        <w:pStyle w:val="FootnoteText"/>
        <w:spacing w:line="480" w:lineRule="auto"/>
        <w:jc w:val="both"/>
        <w:rPr>
          <w:rFonts w:asciiTheme="minorHAnsi" w:hAnsiTheme="minorHAnsi"/>
        </w:rPr>
      </w:pPr>
    </w:p>
  </w:footnote>
  <w:footnote w:id="13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Where the parties to the marriage are already related through marriage for example; step-mother and step-son.</w:t>
      </w:r>
    </w:p>
    <w:p w:rsidR="00A13E1A" w:rsidRPr="005E4773" w:rsidRDefault="00A13E1A" w:rsidP="00A13E1A">
      <w:pPr>
        <w:pStyle w:val="FootnoteText"/>
        <w:spacing w:line="480" w:lineRule="auto"/>
        <w:jc w:val="both"/>
        <w:rPr>
          <w:rFonts w:asciiTheme="minorHAnsi" w:hAnsiTheme="minorHAnsi"/>
        </w:rPr>
      </w:pPr>
    </w:p>
  </w:footnote>
  <w:footnote w:id="131">
    <w:p w:rsidR="00A13E1A" w:rsidRPr="005E4773" w:rsidRDefault="00A13E1A" w:rsidP="00A13E1A">
      <w:pPr>
        <w:pStyle w:val="FootnoteText"/>
        <w:spacing w:line="480" w:lineRule="auto"/>
        <w:jc w:val="both"/>
        <w:rPr>
          <w:rStyle w:val="Emphasis"/>
          <w:rFonts w:asciiTheme="minorHAnsi" w:hAnsiTheme="minorHAnsi"/>
          <w:color w:val="686C7A"/>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 eg</w:t>
      </w:r>
      <w:r w:rsidRPr="005E4773">
        <w:rPr>
          <w:rFonts w:asciiTheme="minorHAnsi" w:hAnsiTheme="minorHAnsi"/>
        </w:rPr>
        <w:t xml:space="preserve"> </w:t>
      </w:r>
      <w:r w:rsidRPr="005E4773">
        <w:rPr>
          <w:rFonts w:asciiTheme="minorHAnsi" w:hAnsiTheme="minorHAnsi"/>
          <w:i/>
        </w:rPr>
        <w:t>Hyde v Hyde</w:t>
      </w:r>
      <w:r w:rsidRPr="005E4773">
        <w:rPr>
          <w:rFonts w:asciiTheme="minorHAnsi" w:hAnsiTheme="minorHAnsi"/>
        </w:rPr>
        <w:t xml:space="preserve"> (1856)Typo L.R. 1 P &amp; D 130, 133 per Lord Penzance “[m]arriage as understood in Christendom, may be defined as the voluntary union for life of one man and one woman to the exclusion of all others.”  </w:t>
      </w:r>
    </w:p>
    <w:p w:rsidR="00A13E1A" w:rsidRPr="005E4773" w:rsidRDefault="00A13E1A" w:rsidP="00A13E1A">
      <w:pPr>
        <w:pStyle w:val="FootnoteText"/>
        <w:spacing w:line="480" w:lineRule="auto"/>
        <w:jc w:val="both"/>
        <w:rPr>
          <w:rFonts w:asciiTheme="minorHAnsi" w:hAnsiTheme="minorHAnsi"/>
        </w:rPr>
      </w:pPr>
    </w:p>
  </w:footnote>
  <w:footnote w:id="132">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Cheni v Cheni</w:t>
      </w:r>
      <w:r w:rsidRPr="005E4773">
        <w:rPr>
          <w:rFonts w:asciiTheme="minorHAnsi" w:hAnsiTheme="minorHAnsi"/>
        </w:rPr>
        <w:t xml:space="preserve"> [1965] P. 85, 99 per Simon J. </w:t>
      </w:r>
    </w:p>
    <w:p w:rsidR="00A13E1A" w:rsidRPr="005E4773" w:rsidRDefault="00A13E1A" w:rsidP="00A13E1A">
      <w:pPr>
        <w:pStyle w:val="FootnoteText"/>
        <w:spacing w:line="480" w:lineRule="auto"/>
        <w:jc w:val="both"/>
        <w:rPr>
          <w:rFonts w:asciiTheme="minorHAnsi" w:hAnsiTheme="minorHAnsi"/>
        </w:rPr>
      </w:pPr>
    </w:p>
  </w:footnote>
  <w:footnote w:id="13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Mohammed v Knott</w:t>
      </w:r>
      <w:r w:rsidRPr="005E4773">
        <w:rPr>
          <w:rFonts w:asciiTheme="minorHAnsi" w:hAnsiTheme="minorHAnsi"/>
        </w:rPr>
        <w:t xml:space="preserve"> [1969] 1 Q.B. 1.</w:t>
      </w:r>
    </w:p>
    <w:p w:rsidR="00A13E1A" w:rsidRPr="005E4773" w:rsidRDefault="00A13E1A" w:rsidP="00A13E1A">
      <w:pPr>
        <w:pStyle w:val="FootnoteText"/>
        <w:spacing w:line="480" w:lineRule="auto"/>
        <w:jc w:val="both"/>
        <w:rPr>
          <w:rFonts w:asciiTheme="minorHAnsi" w:hAnsiTheme="minorHAnsi"/>
        </w:rPr>
      </w:pPr>
    </w:p>
  </w:footnote>
  <w:footnote w:id="13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Smart, n.5</w:t>
      </w:r>
      <w:r w:rsidRPr="005E4773">
        <w:rPr>
          <w:rFonts w:asciiTheme="minorHAnsi" w:hAnsiTheme="minorHAnsi"/>
        </w:rPr>
        <w:t xml:space="preserve">, 234. </w:t>
      </w:r>
    </w:p>
    <w:p w:rsidR="00A13E1A" w:rsidRPr="005E4773" w:rsidRDefault="00A13E1A" w:rsidP="00A13E1A">
      <w:pPr>
        <w:pStyle w:val="FootnoteText"/>
        <w:spacing w:line="480" w:lineRule="auto"/>
        <w:jc w:val="both"/>
        <w:rPr>
          <w:rFonts w:asciiTheme="minorHAnsi" w:hAnsiTheme="minorHAnsi"/>
        </w:rPr>
      </w:pPr>
    </w:p>
  </w:footnote>
  <w:footnote w:id="135">
    <w:p w:rsidR="00A13E1A" w:rsidRPr="005E4773" w:rsidRDefault="00A13E1A" w:rsidP="00A13E1A">
      <w:pPr>
        <w:spacing w:after="0" w:line="480" w:lineRule="auto"/>
        <w:jc w:val="both"/>
        <w:outlineLvl w:val="1"/>
        <w:rPr>
          <w:rFonts w:eastAsia="Times New Roman" w:cs="Times New Roman"/>
          <w:sz w:val="20"/>
          <w:szCs w:val="20"/>
        </w:rPr>
      </w:pPr>
      <w:r w:rsidRPr="005E4773">
        <w:rPr>
          <w:rStyle w:val="FootnoteReference"/>
          <w:sz w:val="20"/>
          <w:szCs w:val="20"/>
        </w:rPr>
        <w:footnoteRef/>
      </w:r>
      <w:r w:rsidRPr="005E4773">
        <w:rPr>
          <w:sz w:val="20"/>
          <w:szCs w:val="20"/>
        </w:rPr>
        <w:t xml:space="preserve"> </w:t>
      </w:r>
      <w:r w:rsidRPr="005E4773">
        <w:rPr>
          <w:i/>
          <w:sz w:val="20"/>
          <w:szCs w:val="20"/>
        </w:rPr>
        <w:t>Hussain v Hussain</w:t>
      </w:r>
      <w:r w:rsidRPr="005E4773">
        <w:rPr>
          <w:sz w:val="20"/>
          <w:szCs w:val="20"/>
        </w:rPr>
        <w:t xml:space="preserve"> </w:t>
      </w:r>
      <w:r>
        <w:rPr>
          <w:rFonts w:eastAsia="Times New Roman" w:cs="Times New Roman"/>
          <w:bCs/>
          <w:kern w:val="36"/>
          <w:sz w:val="20"/>
          <w:szCs w:val="20"/>
        </w:rPr>
        <w:t>[1983] Fam. 26.</w:t>
      </w:r>
    </w:p>
    <w:p w:rsidR="00A13E1A" w:rsidRPr="005E4773" w:rsidRDefault="00A13E1A" w:rsidP="00A13E1A">
      <w:pPr>
        <w:pStyle w:val="FootnoteText"/>
        <w:spacing w:line="480" w:lineRule="auto"/>
        <w:jc w:val="both"/>
        <w:rPr>
          <w:rFonts w:asciiTheme="minorHAnsi" w:hAnsiTheme="minorHAnsi"/>
        </w:rPr>
      </w:pPr>
    </w:p>
  </w:footnote>
  <w:footnote w:id="136">
    <w:p w:rsidR="00A13E1A" w:rsidRPr="005E4773" w:rsidRDefault="00A13E1A" w:rsidP="00A13E1A">
      <w:pPr>
        <w:pStyle w:val="FootnoteText"/>
        <w:spacing w:line="480" w:lineRule="auto"/>
        <w:jc w:val="both"/>
        <w:rPr>
          <w:rFonts w:asciiTheme="minorHAnsi" w:eastAsia="Times New Roman" w:hAnsiTheme="minorHAnsi"/>
          <w:bCs/>
          <w:kern w:val="36"/>
          <w:lang w:eastAsia="zh-CN"/>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Hussain v Hussain</w:t>
      </w:r>
      <w:r w:rsidRPr="005E4773">
        <w:rPr>
          <w:rFonts w:asciiTheme="minorHAnsi" w:hAnsiTheme="minorHAnsi"/>
        </w:rPr>
        <w:t xml:space="preserve"> </w:t>
      </w:r>
      <w:r>
        <w:rPr>
          <w:rFonts w:asciiTheme="minorHAnsi" w:eastAsia="Times New Roman" w:hAnsiTheme="minorHAnsi"/>
          <w:bCs/>
          <w:kern w:val="36"/>
          <w:lang w:eastAsia="zh-CN"/>
        </w:rPr>
        <w:t>[1983] Fam. 26 per Ormrod LJ 32.</w:t>
      </w:r>
    </w:p>
    <w:p w:rsidR="00A13E1A" w:rsidRPr="005E4773" w:rsidRDefault="00A13E1A" w:rsidP="00A13E1A">
      <w:pPr>
        <w:pStyle w:val="FootnoteText"/>
        <w:spacing w:line="480" w:lineRule="auto"/>
        <w:jc w:val="both"/>
        <w:rPr>
          <w:rFonts w:asciiTheme="minorHAnsi" w:hAnsiTheme="minorHAnsi"/>
        </w:rPr>
      </w:pPr>
    </w:p>
  </w:footnote>
  <w:footnote w:id="13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Pr>
          <w:rFonts w:asciiTheme="minorHAnsi" w:hAnsiTheme="minorHAnsi"/>
          <w:i/>
        </w:rPr>
        <w:t xml:space="preserve">Radwan v Radwan, </w:t>
      </w:r>
      <w:r>
        <w:rPr>
          <w:rFonts w:asciiTheme="minorHAnsi" w:hAnsiTheme="minorHAnsi"/>
        </w:rPr>
        <w:t>n.50</w:t>
      </w:r>
      <w:r w:rsidRPr="006E2B4B">
        <w:rPr>
          <w:rFonts w:asciiTheme="minorHAnsi" w:hAnsiTheme="minorHAnsi"/>
        </w:rPr>
        <w:t>.</w:t>
      </w:r>
      <w:r>
        <w:rPr>
          <w:rFonts w:asciiTheme="minorHAnsi" w:hAnsiTheme="minorHAnsi"/>
          <w:i/>
        </w:rPr>
        <w:t xml:space="preserve"> </w:t>
      </w:r>
      <w:r w:rsidRPr="005E4773">
        <w:rPr>
          <w:rFonts w:asciiTheme="minorHAnsi" w:hAnsiTheme="minorHAnsi"/>
        </w:rPr>
        <w:t>This is sup</w:t>
      </w:r>
      <w:r>
        <w:rPr>
          <w:rFonts w:asciiTheme="minorHAnsi" w:hAnsiTheme="minorHAnsi"/>
        </w:rPr>
        <w:t>ported by Davie; n.28 and Reed, n.28</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138">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See </w:t>
      </w:r>
      <w:r w:rsidRPr="005E4773">
        <w:rPr>
          <w:rFonts w:asciiTheme="minorHAnsi" w:hAnsiTheme="minorHAnsi"/>
          <w:i/>
        </w:rPr>
        <w:t>Hussain v Hussain</w:t>
      </w:r>
      <w:r>
        <w:rPr>
          <w:rFonts w:asciiTheme="minorHAnsi" w:hAnsiTheme="minorHAnsi"/>
        </w:rPr>
        <w:t>, n.134.</w:t>
      </w:r>
    </w:p>
    <w:p w:rsidR="00A13E1A" w:rsidRPr="005E4773" w:rsidRDefault="00A13E1A" w:rsidP="00A13E1A">
      <w:pPr>
        <w:pStyle w:val="FootnoteText"/>
        <w:spacing w:line="480" w:lineRule="auto"/>
        <w:rPr>
          <w:rFonts w:asciiTheme="minorHAnsi" w:hAnsiTheme="minorHAnsi"/>
        </w:rPr>
      </w:pPr>
    </w:p>
  </w:footnote>
  <w:footnote w:id="13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Smart, n.5</w:t>
      </w:r>
      <w:r w:rsidRPr="005E4773">
        <w:rPr>
          <w:rFonts w:asciiTheme="minorHAnsi" w:hAnsiTheme="minorHAnsi"/>
        </w:rPr>
        <w:t xml:space="preserve">, 237 referring to </w:t>
      </w:r>
      <w:r w:rsidRPr="005E4773">
        <w:rPr>
          <w:rFonts w:asciiTheme="minorHAnsi" w:hAnsiTheme="minorHAnsi"/>
          <w:i/>
        </w:rPr>
        <w:t>Ibid</w:t>
      </w:r>
      <w:r w:rsidRPr="005E4773">
        <w:rPr>
          <w:rFonts w:asciiTheme="minorHAnsi" w:hAnsiTheme="minorHAnsi"/>
        </w:rPr>
        <w:t xml:space="preserve"> per Ormrod LJ.</w:t>
      </w:r>
    </w:p>
    <w:p w:rsidR="00A13E1A" w:rsidRPr="005E4773" w:rsidRDefault="00A13E1A" w:rsidP="00A13E1A">
      <w:pPr>
        <w:pStyle w:val="FootnoteText"/>
        <w:spacing w:line="480" w:lineRule="auto"/>
        <w:jc w:val="both"/>
        <w:rPr>
          <w:rFonts w:asciiTheme="minorHAnsi" w:hAnsiTheme="minorHAnsi"/>
        </w:rPr>
      </w:pPr>
    </w:p>
  </w:footnote>
  <w:footnote w:id="140">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w:t>
      </w:r>
      <w:r w:rsidRPr="005E4773">
        <w:rPr>
          <w:i/>
          <w:sz w:val="20"/>
          <w:szCs w:val="20"/>
        </w:rPr>
        <w:t>See eg,</w:t>
      </w:r>
      <w:r>
        <w:rPr>
          <w:sz w:val="20"/>
          <w:szCs w:val="20"/>
        </w:rPr>
        <w:t xml:space="preserve"> Cox, n.24</w:t>
      </w:r>
      <w:r w:rsidRPr="005E4773">
        <w:rPr>
          <w:sz w:val="20"/>
          <w:szCs w:val="20"/>
        </w:rPr>
        <w:t xml:space="preserve"> and Brian Bix, “Choice of Law and Marriage: A Proposal” (2002-2003) </w:t>
      </w:r>
      <w:r w:rsidRPr="005E4773">
        <w:rPr>
          <w:rFonts w:eastAsia="Calibri" w:cs="Times New Roman"/>
          <w:sz w:val="20"/>
          <w:szCs w:val="20"/>
        </w:rPr>
        <w:t>36 Family Law Quarterly 255.</w:t>
      </w:r>
    </w:p>
    <w:p w:rsidR="00A13E1A" w:rsidRPr="005E4773" w:rsidRDefault="00A13E1A" w:rsidP="00A13E1A">
      <w:pPr>
        <w:spacing w:after="0" w:line="480" w:lineRule="auto"/>
        <w:jc w:val="both"/>
        <w:rPr>
          <w:rFonts w:eastAsia="Calibri" w:cs="Times New Roman"/>
          <w:sz w:val="20"/>
          <w:szCs w:val="20"/>
        </w:rPr>
      </w:pPr>
    </w:p>
  </w:footnote>
  <w:footnote w:id="141">
    <w:p w:rsidR="00A13E1A" w:rsidRPr="005E4773"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w:t>
      </w:r>
      <w:r w:rsidRPr="005E4773">
        <w:rPr>
          <w:i/>
          <w:sz w:val="20"/>
          <w:szCs w:val="20"/>
        </w:rPr>
        <w:t>Eg,</w:t>
      </w:r>
      <w:r w:rsidRPr="005E4773">
        <w:rPr>
          <w:sz w:val="20"/>
          <w:szCs w:val="20"/>
        </w:rPr>
        <w:t xml:space="preserve"> </w:t>
      </w:r>
      <w:r w:rsidRPr="005E4773">
        <w:rPr>
          <w:rFonts w:eastAsia="Calibri" w:cs="Times New Roman"/>
          <w:sz w:val="20"/>
          <w:szCs w:val="20"/>
        </w:rPr>
        <w:t xml:space="preserve">Kathryn Marshall “Strategic Pragmatism or Radical Idealism? The Same-Sex Marriage and the Civil Rights Movements Juxtaposed” (2010) </w:t>
      </w:r>
      <w:r w:rsidRPr="005E4773">
        <w:rPr>
          <w:sz w:val="20"/>
          <w:szCs w:val="20"/>
        </w:rPr>
        <w:t xml:space="preserve">2 William and Mary Policy Review 194, 225 </w:t>
      </w:r>
      <w:r w:rsidRPr="005E4773">
        <w:rPr>
          <w:rFonts w:eastAsia="Calibri" w:cs="Times New Roman"/>
          <w:sz w:val="20"/>
          <w:szCs w:val="20"/>
        </w:rPr>
        <w:t xml:space="preserve">argues that “[r]eligiosity is also an ‘exceptionally strong determinant’ of opposition to gay marriage.” </w:t>
      </w:r>
      <w:r w:rsidRPr="005E4773">
        <w:rPr>
          <w:rFonts w:eastAsia="Calibri"/>
          <w:sz w:val="20"/>
          <w:szCs w:val="20"/>
        </w:rPr>
        <w:t xml:space="preserve">In </w:t>
      </w:r>
      <w:r w:rsidRPr="005E4773">
        <w:rPr>
          <w:rFonts w:eastAsia="Calibri"/>
          <w:i/>
          <w:sz w:val="20"/>
          <w:szCs w:val="20"/>
        </w:rPr>
        <w:t>Bellinger v Bellinger</w:t>
      </w:r>
      <w:r w:rsidRPr="005E4773">
        <w:rPr>
          <w:rFonts w:eastAsia="Calibri"/>
          <w:sz w:val="20"/>
          <w:szCs w:val="20"/>
        </w:rPr>
        <w:t xml:space="preserve"> [2003] UKHL 21 per Lord Nicholls described “[m]arriage … as an institution, or a relationship deeply embedded in the religious and social culture of this country.” </w:t>
      </w:r>
    </w:p>
    <w:p w:rsidR="00A13E1A" w:rsidRPr="005E4773" w:rsidRDefault="00A13E1A" w:rsidP="00A13E1A">
      <w:pPr>
        <w:pStyle w:val="FootnoteText"/>
        <w:spacing w:line="480" w:lineRule="auto"/>
        <w:jc w:val="both"/>
        <w:rPr>
          <w:rFonts w:asciiTheme="minorHAnsi" w:hAnsiTheme="minorHAnsi"/>
        </w:rPr>
      </w:pPr>
    </w:p>
  </w:footnote>
  <w:footnote w:id="142">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Nicholas Bamforth, ‘Sexuality and Citizenship in Contemporary Constitutional Argument’ (2012) 10(2) Int’l J. Const. L.  477, 478 referring to</w:t>
      </w:r>
      <w:r w:rsidRPr="005E4773">
        <w:rPr>
          <w:rFonts w:asciiTheme="minorHAnsi" w:hAnsiTheme="minorHAnsi"/>
          <w:b/>
        </w:rPr>
        <w:t xml:space="preserve"> </w:t>
      </w:r>
      <w:r w:rsidRPr="005E4773">
        <w:rPr>
          <w:rFonts w:asciiTheme="minorHAnsi" w:hAnsiTheme="minorHAnsi"/>
        </w:rPr>
        <w:t>Thomas H</w:t>
      </w:r>
      <w:r w:rsidRPr="005E4773">
        <w:rPr>
          <w:rFonts w:asciiTheme="minorHAnsi" w:hAnsiTheme="minorHAnsi"/>
          <w:b/>
        </w:rPr>
        <w:t xml:space="preserve"> </w:t>
      </w:r>
      <w:r w:rsidRPr="005E4773">
        <w:rPr>
          <w:rFonts w:asciiTheme="minorHAnsi" w:hAnsiTheme="minorHAnsi"/>
        </w:rPr>
        <w:t>Marshall, ‘Citizenship and Social Class’ in Thomas H Marshall and Tom Bottomore (eds) (1992)</w:t>
      </w:r>
      <w:r w:rsidRPr="005E4773">
        <w:rPr>
          <w:rFonts w:asciiTheme="minorHAnsi" w:hAnsiTheme="minorHAnsi"/>
          <w:b/>
        </w:rPr>
        <w:t xml:space="preserve"> </w:t>
      </w:r>
      <w:r w:rsidRPr="005E4773">
        <w:rPr>
          <w:rFonts w:asciiTheme="minorHAnsi" w:hAnsiTheme="minorHAnsi"/>
          <w:i/>
        </w:rPr>
        <w:t>Citizenship and Social Class</w:t>
      </w:r>
      <w:r w:rsidRPr="005E4773">
        <w:rPr>
          <w:rFonts w:asciiTheme="minorHAnsi" w:hAnsiTheme="minorHAnsi"/>
        </w:rPr>
        <w:t xml:space="preserve"> 18. See also Michael Rosenfeld, ‘Introduction: Gender, Sexual Orientation and Equal Citizenship’ (2012) 10(2) IJCL 340, 340;  Conor O’Mahoney, ‘There is No Such Thing as a Right to Dignity’ (2012) 10(2) IJCL 551, 555 and  </w:t>
      </w:r>
      <w:r w:rsidRPr="005E4773">
        <w:rPr>
          <w:rFonts w:asciiTheme="minorHAnsi" w:hAnsiTheme="minorHAnsi"/>
          <w:i/>
        </w:rPr>
        <w:t>Ghaidan v Godin-Mendoza</w:t>
      </w:r>
      <w:r w:rsidRPr="005E4773">
        <w:rPr>
          <w:rFonts w:asciiTheme="minorHAnsi" w:hAnsiTheme="minorHAnsi"/>
          <w:b/>
        </w:rPr>
        <w:t xml:space="preserve"> </w:t>
      </w:r>
      <w:r w:rsidRPr="005E4773">
        <w:rPr>
          <w:rFonts w:asciiTheme="minorHAnsi" w:hAnsiTheme="minorHAnsi"/>
        </w:rPr>
        <w:t>[2004] UKHL 30; [2004] 2 AC 557 per Baroness Hale of Richmond at para 132</w:t>
      </w:r>
    </w:p>
    <w:p w:rsidR="00A13E1A" w:rsidRPr="005E4773" w:rsidRDefault="00A13E1A" w:rsidP="00A13E1A">
      <w:pPr>
        <w:pStyle w:val="FootnoteText"/>
        <w:spacing w:line="480" w:lineRule="auto"/>
        <w:jc w:val="both"/>
        <w:rPr>
          <w:rFonts w:asciiTheme="minorHAnsi" w:hAnsiTheme="minorHAnsi"/>
        </w:rPr>
      </w:pPr>
    </w:p>
  </w:footnote>
  <w:footnote w:id="14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Bamforth, n.141</w:t>
      </w:r>
      <w:r w:rsidRPr="005E4773">
        <w:rPr>
          <w:rFonts w:asciiTheme="minorHAnsi" w:hAnsiTheme="minorHAnsi"/>
        </w:rPr>
        <w:t>,</w:t>
      </w:r>
      <w:r w:rsidRPr="005E4773">
        <w:rPr>
          <w:rFonts w:asciiTheme="minorHAnsi" w:hAnsiTheme="minorHAnsi"/>
          <w:i/>
        </w:rPr>
        <w:t xml:space="preserve"> </w:t>
      </w:r>
      <w:r>
        <w:rPr>
          <w:rFonts w:asciiTheme="minorHAnsi" w:hAnsiTheme="minorHAnsi"/>
        </w:rPr>
        <w:t>483</w:t>
      </w:r>
      <w:r w:rsidRPr="005E4773">
        <w:rPr>
          <w:rFonts w:asciiTheme="minorHAnsi" w:hAnsiTheme="minorHAnsi"/>
        </w:rPr>
        <w:t xml:space="preserve"> referring to Jeffrey Weeks, ‘The Sexual Citizen’ (1998) 15 Theory, Culture and Society 38, 39.</w:t>
      </w:r>
    </w:p>
    <w:p w:rsidR="00A13E1A" w:rsidRPr="005E4773" w:rsidRDefault="00A13E1A" w:rsidP="00A13E1A">
      <w:pPr>
        <w:pStyle w:val="FootnoteText"/>
        <w:spacing w:line="480" w:lineRule="auto"/>
        <w:jc w:val="both"/>
        <w:rPr>
          <w:rFonts w:asciiTheme="minorHAnsi" w:hAnsiTheme="minorHAnsi"/>
        </w:rPr>
      </w:pPr>
    </w:p>
  </w:footnote>
  <w:footnote w:id="14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Ibid. 478</w:t>
      </w:r>
      <w:r w:rsidRPr="005E4773">
        <w:rPr>
          <w:rFonts w:asciiTheme="minorHAnsi" w:hAnsiTheme="minorHAnsi"/>
        </w:rPr>
        <w:t xml:space="preserve"> referring to Brenda Cossman, (2007</w:t>
      </w:r>
      <w:r w:rsidRPr="005E4773">
        <w:rPr>
          <w:rFonts w:asciiTheme="minorHAnsi" w:hAnsiTheme="minorHAnsi"/>
          <w:i/>
        </w:rPr>
        <w:t>) Sexual Citizens: The Legal and Cultural Regulation of Sex and Belonging</w:t>
      </w:r>
      <w:r w:rsidRPr="005E4773">
        <w:rPr>
          <w:rFonts w:asciiTheme="minorHAnsi" w:hAnsiTheme="minorHAnsi"/>
        </w:rPr>
        <w:t xml:space="preserve"> 27.</w:t>
      </w:r>
    </w:p>
    <w:p w:rsidR="00A13E1A" w:rsidRPr="005E4773" w:rsidRDefault="00A13E1A" w:rsidP="00A13E1A">
      <w:pPr>
        <w:pStyle w:val="FootnoteText"/>
        <w:spacing w:line="480" w:lineRule="auto"/>
        <w:jc w:val="both"/>
        <w:rPr>
          <w:rFonts w:asciiTheme="minorHAnsi" w:hAnsiTheme="minorHAnsi"/>
        </w:rPr>
      </w:pPr>
    </w:p>
  </w:footnote>
  <w:footnote w:id="145">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Ibid.</w:t>
      </w:r>
      <w:r w:rsidRPr="005E4773">
        <w:rPr>
          <w:rFonts w:asciiTheme="minorHAnsi" w:hAnsiTheme="minorHAnsi"/>
        </w:rPr>
        <w:t xml:space="preserve"> 481 referring to Nancy Cott, (2000) </w:t>
      </w:r>
      <w:r w:rsidRPr="005E4773">
        <w:rPr>
          <w:rFonts w:asciiTheme="minorHAnsi" w:hAnsiTheme="minorHAnsi"/>
          <w:i/>
        </w:rPr>
        <w:t>Public Vows: A History of Marriage and the Nation 2</w:t>
      </w:r>
      <w:r w:rsidRPr="005E4773">
        <w:rPr>
          <w:rFonts w:asciiTheme="minorHAnsi" w:hAnsiTheme="minorHAnsi"/>
        </w:rPr>
        <w:t xml:space="preserve">  at 1.</w:t>
      </w:r>
    </w:p>
    <w:p w:rsidR="00A13E1A" w:rsidRPr="005E4773" w:rsidRDefault="00A13E1A" w:rsidP="00A13E1A">
      <w:pPr>
        <w:pStyle w:val="FootnoteText"/>
        <w:spacing w:line="480" w:lineRule="auto"/>
        <w:jc w:val="both"/>
        <w:rPr>
          <w:rFonts w:asciiTheme="minorHAnsi" w:hAnsiTheme="minorHAnsi"/>
        </w:rPr>
      </w:pPr>
    </w:p>
  </w:footnote>
  <w:footnote w:id="146">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 eg</w:t>
      </w:r>
      <w:r w:rsidRPr="005E4773">
        <w:rPr>
          <w:rFonts w:asciiTheme="minorHAnsi" w:hAnsiTheme="minorHAnsi"/>
        </w:rPr>
        <w:t xml:space="preserve"> Article 12 of the European Convention on Human Rights which states that ‘Men and women of marriageable age have the right to marry and to found a family, according to the national laws governing the exercise of this right.’ Another example is Article 23(2) of the UN Covenant on Civil and Political Rights which states that ‘the right of men and women of marriageable age to marry and to found a family shall be recognized.</w:t>
      </w:r>
    </w:p>
    <w:p w:rsidR="00A13E1A" w:rsidRPr="005E4773" w:rsidRDefault="00A13E1A" w:rsidP="00A13E1A">
      <w:pPr>
        <w:pStyle w:val="FootnoteText"/>
        <w:spacing w:line="480" w:lineRule="auto"/>
        <w:rPr>
          <w:rFonts w:asciiTheme="minorHAnsi" w:hAnsiTheme="minorHAnsi"/>
        </w:rPr>
      </w:pPr>
    </w:p>
  </w:footnote>
  <w:footnote w:id="147">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 eg</w:t>
      </w:r>
      <w:r w:rsidRPr="005E4773">
        <w:rPr>
          <w:rFonts w:asciiTheme="minorHAnsi" w:hAnsiTheme="minorHAnsi"/>
        </w:rPr>
        <w:t xml:space="preserve"> </w:t>
      </w:r>
      <w:r w:rsidRPr="005E4773">
        <w:rPr>
          <w:rFonts w:asciiTheme="minorHAnsi" w:hAnsiTheme="minorHAnsi"/>
          <w:i/>
        </w:rPr>
        <w:t>Goodridge</w:t>
      </w:r>
      <w:r>
        <w:rPr>
          <w:rFonts w:asciiTheme="minorHAnsi" w:hAnsiTheme="minorHAnsi"/>
        </w:rPr>
        <w:t xml:space="preserve">  n.6</w:t>
      </w:r>
      <w:r w:rsidRPr="005E4773">
        <w:rPr>
          <w:rFonts w:asciiTheme="minorHAnsi" w:hAnsiTheme="minorHAnsi"/>
        </w:rPr>
        <w:t xml:space="preserve"> and </w:t>
      </w:r>
      <w:r w:rsidRPr="005E4773">
        <w:rPr>
          <w:rFonts w:asciiTheme="minorHAnsi" w:hAnsiTheme="minorHAnsi"/>
          <w:i/>
        </w:rPr>
        <w:t>Loving</w:t>
      </w:r>
      <w:r>
        <w:rPr>
          <w:rFonts w:asciiTheme="minorHAnsi" w:hAnsiTheme="minorHAnsi"/>
        </w:rPr>
        <w:t xml:space="preserve">  n.6</w:t>
      </w:r>
      <w:r w:rsidRPr="005E4773">
        <w:rPr>
          <w:rFonts w:asciiTheme="minorHAnsi" w:hAnsiTheme="minorHAnsi"/>
        </w:rPr>
        <w:t xml:space="preserve">. </w:t>
      </w:r>
    </w:p>
    <w:p w:rsidR="00A13E1A" w:rsidRPr="005E4773" w:rsidRDefault="00A13E1A" w:rsidP="00A13E1A">
      <w:pPr>
        <w:pStyle w:val="FootnoteText"/>
        <w:spacing w:line="480" w:lineRule="auto"/>
        <w:rPr>
          <w:rFonts w:asciiTheme="minorHAnsi" w:hAnsiTheme="minorHAnsi"/>
        </w:rPr>
      </w:pPr>
    </w:p>
  </w:footnote>
  <w:footnote w:id="148">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The following list shows which and countries and US states currently recognise same-sex marriage. Netherlands (2001), Belgium (2003), Massachusetts (2003), Spain (2004), Canada (2005), South Africa (2006) , Norway (2009), Sweden (2009), Portugal (2010), Iceland (2010), Argentina (2010), Mexico (2010), Denmark (2011), Brazil (2013), France (2013), (2013), Uruguay (2013), New Zealand (2013), (2013), England and Wales (2014), Scotland (2014), Luxembourg (2015), US nationwide (2015), Finland (effective from 2017),.</w:t>
      </w:r>
    </w:p>
    <w:p w:rsidR="00A13E1A" w:rsidRPr="005E4773" w:rsidRDefault="00A13E1A" w:rsidP="00A13E1A">
      <w:pPr>
        <w:pStyle w:val="FootnoteText"/>
        <w:spacing w:line="480" w:lineRule="auto"/>
        <w:rPr>
          <w:rFonts w:asciiTheme="minorHAnsi" w:hAnsiTheme="minorHAnsi"/>
        </w:rPr>
      </w:pPr>
    </w:p>
  </w:footnote>
  <w:footnote w:id="14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Bamforth, n.141</w:t>
      </w:r>
      <w:r w:rsidRPr="005E4773">
        <w:rPr>
          <w:rFonts w:asciiTheme="minorHAnsi" w:hAnsiTheme="minorHAnsi"/>
        </w:rPr>
        <w:t xml:space="preserve">, 483 referring to Diane Richardson, (1998) 32 </w:t>
      </w:r>
      <w:r w:rsidRPr="005E4773">
        <w:rPr>
          <w:rFonts w:asciiTheme="minorHAnsi" w:hAnsiTheme="minorHAnsi"/>
          <w:i/>
        </w:rPr>
        <w:t>Sexuality and Citizenship</w:t>
      </w:r>
      <w:r w:rsidRPr="005E4773">
        <w:rPr>
          <w:rFonts w:asciiTheme="minorHAnsi" w:hAnsiTheme="minorHAnsi"/>
        </w:rPr>
        <w:t xml:space="preserve"> 83, 88.</w:t>
      </w:r>
    </w:p>
    <w:p w:rsidR="00A13E1A" w:rsidRPr="005E4773" w:rsidRDefault="00A13E1A" w:rsidP="00A13E1A">
      <w:pPr>
        <w:pStyle w:val="FootnoteText"/>
        <w:spacing w:line="480" w:lineRule="auto"/>
        <w:jc w:val="both"/>
        <w:rPr>
          <w:rFonts w:asciiTheme="minorHAnsi" w:hAnsiTheme="minorHAnsi"/>
        </w:rPr>
      </w:pPr>
    </w:p>
  </w:footnote>
  <w:footnote w:id="15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Citizenship Directive 2004/38</w:t>
      </w:r>
      <w:r w:rsidRPr="005E4773">
        <w:rPr>
          <w:rFonts w:asciiTheme="minorHAnsi" w:hAnsiTheme="minorHAnsi"/>
          <w:i/>
        </w:rPr>
        <w:t xml:space="preserve"> </w:t>
      </w:r>
      <w:r w:rsidRPr="005E4773">
        <w:rPr>
          <w:rFonts w:asciiTheme="minorHAnsi" w:hAnsiTheme="minorHAnsi"/>
        </w:rPr>
        <w:t xml:space="preserve"> art 14(1).</w:t>
      </w:r>
    </w:p>
    <w:p w:rsidR="00A13E1A" w:rsidRPr="005E4773" w:rsidRDefault="00A13E1A" w:rsidP="00A13E1A">
      <w:pPr>
        <w:pStyle w:val="FootnoteText"/>
        <w:spacing w:line="480" w:lineRule="auto"/>
        <w:jc w:val="both"/>
        <w:rPr>
          <w:rFonts w:asciiTheme="minorHAnsi" w:hAnsiTheme="minorHAnsi"/>
        </w:rPr>
      </w:pPr>
    </w:p>
  </w:footnote>
  <w:footnote w:id="151">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sidRPr="005E4773">
        <w:rPr>
          <w:rFonts w:asciiTheme="minorHAnsi" w:hAnsiTheme="minorHAnsi"/>
        </w:rPr>
        <w:t xml:space="preserve"> art 14(3).</w:t>
      </w:r>
    </w:p>
    <w:p w:rsidR="00A13E1A" w:rsidRPr="005E4773" w:rsidRDefault="00A13E1A" w:rsidP="00A13E1A">
      <w:pPr>
        <w:pStyle w:val="FootnoteText"/>
        <w:spacing w:line="480" w:lineRule="auto"/>
        <w:jc w:val="both"/>
        <w:rPr>
          <w:rFonts w:asciiTheme="minorHAnsi" w:hAnsiTheme="minorHAnsi"/>
        </w:rPr>
      </w:pPr>
    </w:p>
  </w:footnote>
  <w:footnote w:id="152">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sidRPr="005E4773">
        <w:rPr>
          <w:rFonts w:asciiTheme="minorHAnsi" w:hAnsiTheme="minorHAnsi"/>
        </w:rPr>
        <w:t xml:space="preserve"> art 24.</w:t>
      </w:r>
    </w:p>
    <w:p w:rsidR="00A13E1A" w:rsidRPr="005E4773" w:rsidRDefault="00A13E1A" w:rsidP="00A13E1A">
      <w:pPr>
        <w:pStyle w:val="FootnoteText"/>
        <w:spacing w:line="480" w:lineRule="auto"/>
        <w:jc w:val="both"/>
        <w:rPr>
          <w:rFonts w:asciiTheme="minorHAnsi" w:hAnsiTheme="minorHAnsi"/>
        </w:rPr>
      </w:pPr>
    </w:p>
  </w:footnote>
  <w:footnote w:id="15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Ibid</w:t>
      </w:r>
      <w:r w:rsidRPr="005E4773">
        <w:rPr>
          <w:rFonts w:asciiTheme="minorHAnsi" w:hAnsiTheme="minorHAnsi"/>
        </w:rPr>
        <w:t xml:space="preserve"> art 23. </w:t>
      </w:r>
    </w:p>
    <w:p w:rsidR="00A13E1A" w:rsidRPr="005E4773" w:rsidRDefault="00A13E1A" w:rsidP="00A13E1A">
      <w:pPr>
        <w:pStyle w:val="FootnoteText"/>
        <w:spacing w:line="480" w:lineRule="auto"/>
        <w:jc w:val="both"/>
        <w:rPr>
          <w:rFonts w:asciiTheme="minorHAnsi" w:hAnsiTheme="minorHAnsi"/>
        </w:rPr>
      </w:pPr>
    </w:p>
  </w:footnote>
  <w:footnote w:id="15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Alisson O’Neill, ‘Recognition of Same-Sex Marriage in the European Community: the European Court of Justice’s Ability to Dictate Social Policy’ (2004) 37 Cornell Int’l L. J. 199, 201.</w:t>
      </w:r>
    </w:p>
    <w:p w:rsidR="00A13E1A" w:rsidRPr="005E4773" w:rsidRDefault="00A13E1A" w:rsidP="00A13E1A">
      <w:pPr>
        <w:pStyle w:val="FootnoteText"/>
        <w:spacing w:line="480" w:lineRule="auto"/>
        <w:jc w:val="both"/>
        <w:rPr>
          <w:rFonts w:asciiTheme="minorHAnsi" w:hAnsiTheme="minorHAnsi"/>
        </w:rPr>
      </w:pPr>
    </w:p>
  </w:footnote>
  <w:footnote w:id="155">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Zvi Triger, “Fear of the Wandering Gay: Some Reflections on Citizenship, Nationalism and Recognition in Same-Sex Relationships” (2012) 8(2) International Journal of Law in Context 268. </w:t>
      </w:r>
    </w:p>
    <w:p w:rsidR="00A13E1A" w:rsidRPr="005E4773" w:rsidRDefault="00A13E1A" w:rsidP="00A13E1A">
      <w:pPr>
        <w:pStyle w:val="FootnoteText"/>
        <w:spacing w:line="480" w:lineRule="auto"/>
        <w:jc w:val="both"/>
        <w:rPr>
          <w:rFonts w:asciiTheme="minorHAnsi" w:hAnsiTheme="minorHAnsi"/>
        </w:rPr>
      </w:pPr>
    </w:p>
  </w:footnote>
  <w:footnote w:id="156">
    <w:p w:rsidR="00A13E1A" w:rsidRDefault="00A13E1A" w:rsidP="00A13E1A">
      <w:pPr>
        <w:spacing w:after="0" w:line="480" w:lineRule="auto"/>
        <w:jc w:val="both"/>
        <w:rPr>
          <w:iCs/>
          <w:sz w:val="20"/>
          <w:szCs w:val="20"/>
        </w:rPr>
      </w:pPr>
      <w:r w:rsidRPr="005E4773">
        <w:rPr>
          <w:rStyle w:val="FootnoteReference"/>
          <w:sz w:val="20"/>
          <w:szCs w:val="20"/>
        </w:rPr>
        <w:footnoteRef/>
      </w:r>
      <w:r>
        <w:rPr>
          <w:sz w:val="20"/>
          <w:szCs w:val="20"/>
        </w:rPr>
        <w:t xml:space="preserve"> Erez Aloni, n.15</w:t>
      </w:r>
      <w:r w:rsidRPr="005E4773">
        <w:rPr>
          <w:sz w:val="20"/>
          <w:szCs w:val="20"/>
        </w:rPr>
        <w:t>, 110. See also the Equality Network, “</w:t>
      </w:r>
      <w:r w:rsidRPr="005E4773">
        <w:rPr>
          <w:iCs/>
          <w:sz w:val="20"/>
          <w:szCs w:val="20"/>
        </w:rPr>
        <w:t>Equal Marriage: Report of the Equality Network Survey of LGBT People’s Views on Marriage Equality” (2011) available at</w:t>
      </w:r>
      <w:r w:rsidRPr="005E4773">
        <w:rPr>
          <w:sz w:val="20"/>
          <w:szCs w:val="20"/>
        </w:rPr>
        <w:t xml:space="preserve"> </w:t>
      </w:r>
      <w:hyperlink r:id="rId2" w:history="1">
        <w:r w:rsidRPr="00777786">
          <w:rPr>
            <w:rStyle w:val="Hyperlink"/>
            <w:iCs/>
            <w:sz w:val="20"/>
            <w:szCs w:val="20"/>
          </w:rPr>
          <w:t>http://www.equality-network.org/wp-content/uploads/2013/08/Equal-Marriage-Report-26.1.11.pdf</w:t>
        </w:r>
      </w:hyperlink>
      <w:r w:rsidRPr="005E4773">
        <w:rPr>
          <w:iCs/>
          <w:sz w:val="20"/>
          <w:szCs w:val="20"/>
        </w:rPr>
        <w:t xml:space="preserve"> </w:t>
      </w:r>
    </w:p>
    <w:p w:rsidR="00A13E1A" w:rsidRPr="005E4773" w:rsidRDefault="00A13E1A" w:rsidP="00A13E1A">
      <w:pPr>
        <w:spacing w:after="0" w:line="480" w:lineRule="auto"/>
        <w:jc w:val="both"/>
        <w:rPr>
          <w:iCs/>
          <w:sz w:val="20"/>
          <w:szCs w:val="20"/>
        </w:rPr>
      </w:pPr>
    </w:p>
  </w:footnote>
  <w:footnote w:id="157">
    <w:p w:rsidR="00A13E1A" w:rsidRPr="005E4773"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w:t>
      </w:r>
      <w:r>
        <w:rPr>
          <w:rFonts w:eastAsia="Calibri" w:cs="Times New Roman"/>
          <w:sz w:val="20"/>
          <w:szCs w:val="20"/>
        </w:rPr>
        <w:t>Dorf, n.95</w:t>
      </w:r>
      <w:r w:rsidRPr="005E4773">
        <w:rPr>
          <w:rFonts w:eastAsia="Calibri" w:cs="Times New Roman"/>
          <w:sz w:val="20"/>
          <w:szCs w:val="20"/>
        </w:rPr>
        <w:t xml:space="preserve">, 1275. See also </w:t>
      </w:r>
      <w:r w:rsidRPr="005E4773">
        <w:rPr>
          <w:sz w:val="20"/>
          <w:szCs w:val="20"/>
        </w:rPr>
        <w:t>E</w:t>
      </w:r>
      <w:r>
        <w:rPr>
          <w:sz w:val="20"/>
          <w:szCs w:val="20"/>
        </w:rPr>
        <w:t>rez Aloni; n.15,</w:t>
      </w:r>
      <w:r w:rsidRPr="005E4773">
        <w:rPr>
          <w:sz w:val="20"/>
          <w:szCs w:val="20"/>
        </w:rPr>
        <w:t xml:space="preserve"> 150 and Misha Isaak, “What’s in a Name? Civil Unions and the Constitutional Significance of Marriage” (2008) 10 University of Pennsylvania Journal of Constitutional Law 607.</w:t>
      </w:r>
    </w:p>
  </w:footnote>
  <w:footnote w:id="158">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w:t>
      </w:r>
      <w:r w:rsidRPr="005E4773">
        <w:rPr>
          <w:i/>
          <w:sz w:val="20"/>
          <w:szCs w:val="20"/>
        </w:rPr>
        <w:t xml:space="preserve">See eg </w:t>
      </w:r>
      <w:r w:rsidRPr="005E4773">
        <w:rPr>
          <w:rFonts w:eastAsia="Calibri" w:cs="Times New Roman"/>
          <w:sz w:val="20"/>
          <w:szCs w:val="20"/>
        </w:rPr>
        <w:t>Marshall, n.1</w:t>
      </w:r>
      <w:r>
        <w:rPr>
          <w:rFonts w:eastAsia="Calibri" w:cs="Times New Roman"/>
          <w:sz w:val="20"/>
          <w:szCs w:val="20"/>
        </w:rPr>
        <w:t>40</w:t>
      </w:r>
      <w:r w:rsidRPr="005E4773">
        <w:rPr>
          <w:rFonts w:eastAsia="Calibri" w:cs="Times New Roman"/>
          <w:sz w:val="20"/>
          <w:szCs w:val="20"/>
        </w:rPr>
        <w:t xml:space="preserve"> </w:t>
      </w:r>
      <w:r w:rsidRPr="005E4773">
        <w:rPr>
          <w:sz w:val="20"/>
          <w:szCs w:val="20"/>
        </w:rPr>
        <w:t>and Mary Dunlap, “The Lesbian and Gay Marriage Debate: A Microcosm of Our Hopes and Troubles in the Nineties” (1991) 1 Law and Sexuality Review Lesbian and Gay Legal Issues 63.</w:t>
      </w:r>
    </w:p>
    <w:p w:rsidR="00A13E1A" w:rsidRPr="005E4773" w:rsidRDefault="00A13E1A" w:rsidP="00A13E1A">
      <w:pPr>
        <w:spacing w:after="0" w:line="480" w:lineRule="auto"/>
        <w:jc w:val="both"/>
        <w:rPr>
          <w:sz w:val="20"/>
          <w:szCs w:val="20"/>
        </w:rPr>
      </w:pPr>
    </w:p>
  </w:footnote>
  <w:footnote w:id="159">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w:t>
      </w:r>
      <w:r w:rsidRPr="005E4773">
        <w:rPr>
          <w:i/>
          <w:sz w:val="20"/>
          <w:szCs w:val="20"/>
        </w:rPr>
        <w:t>See eg</w:t>
      </w:r>
      <w:r w:rsidRPr="005E4773">
        <w:rPr>
          <w:sz w:val="20"/>
          <w:szCs w:val="20"/>
        </w:rPr>
        <w:t xml:space="preserve"> </w:t>
      </w:r>
      <w:r w:rsidRPr="005E4773">
        <w:rPr>
          <w:i/>
          <w:sz w:val="20"/>
          <w:szCs w:val="20"/>
        </w:rPr>
        <w:t xml:space="preserve">Goodridge  </w:t>
      </w:r>
      <w:r>
        <w:rPr>
          <w:sz w:val="20"/>
          <w:szCs w:val="20"/>
        </w:rPr>
        <w:t>n.6</w:t>
      </w:r>
      <w:r w:rsidRPr="005E4773">
        <w:rPr>
          <w:i/>
          <w:sz w:val="20"/>
          <w:szCs w:val="20"/>
        </w:rPr>
        <w:t xml:space="preserve"> </w:t>
      </w:r>
      <w:r w:rsidRPr="005E4773">
        <w:rPr>
          <w:sz w:val="20"/>
          <w:szCs w:val="20"/>
        </w:rPr>
        <w:t xml:space="preserve"> as discussed by Jonah Crane “</w:t>
      </w:r>
      <w:r w:rsidRPr="005E4773">
        <w:rPr>
          <w:rFonts w:eastAsia="Calibri" w:cs="Times New Roman"/>
          <w:sz w:val="20"/>
          <w:szCs w:val="20"/>
        </w:rPr>
        <w:t>Legislative and Constitutional Responses to Goodridge v Department of Public Health” (2003-2004) 7 New York University Journal of Legislation and Public Polic</w:t>
      </w:r>
      <w:r>
        <w:rPr>
          <w:rFonts w:eastAsia="Calibri" w:cs="Times New Roman"/>
          <w:sz w:val="20"/>
          <w:szCs w:val="20"/>
        </w:rPr>
        <w:t>y 465.   See also Obergefell n.6</w:t>
      </w:r>
      <w:r w:rsidRPr="005E4773">
        <w:rPr>
          <w:rFonts w:eastAsia="Calibri" w:cs="Times New Roman"/>
          <w:sz w:val="20"/>
          <w:szCs w:val="20"/>
        </w:rPr>
        <w:t>.</w:t>
      </w:r>
      <w:r w:rsidRPr="005E4773">
        <w:rPr>
          <w:rFonts w:eastAsia="Calibri" w:cs="Times New Roman"/>
          <w:b/>
          <w:sz w:val="20"/>
          <w:szCs w:val="20"/>
        </w:rPr>
        <w:t xml:space="preserve"> </w:t>
      </w:r>
      <w:r w:rsidRPr="005E4773">
        <w:rPr>
          <w:rFonts w:eastAsia="Calibri" w:cs="Times New Roman"/>
          <w:sz w:val="20"/>
          <w:szCs w:val="20"/>
        </w:rPr>
        <w:t xml:space="preserve"> </w:t>
      </w:r>
    </w:p>
    <w:p w:rsidR="00A13E1A" w:rsidRPr="005E4773" w:rsidRDefault="00A13E1A" w:rsidP="00A13E1A">
      <w:pPr>
        <w:spacing w:after="0" w:line="480" w:lineRule="auto"/>
        <w:jc w:val="both"/>
        <w:rPr>
          <w:rFonts w:eastAsia="Calibri" w:cs="Times New Roman"/>
          <w:sz w:val="20"/>
          <w:szCs w:val="20"/>
        </w:rPr>
      </w:pPr>
    </w:p>
  </w:footnote>
  <w:footnote w:id="16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USA v Windsor</w:t>
      </w:r>
      <w:r w:rsidRPr="005E4773">
        <w:rPr>
          <w:rFonts w:asciiTheme="minorHAnsi" w:hAnsiTheme="minorHAnsi"/>
        </w:rPr>
        <w:t xml:space="preserve">, 570 U.S. (2013) (Docket No. 12-307) and the US Supreme Court decision of 6 October 2014 denying certiorari in appeals from 5 states. The cases were </w:t>
      </w:r>
      <w:r w:rsidRPr="005E4773">
        <w:rPr>
          <w:rFonts w:asciiTheme="minorHAnsi" w:hAnsiTheme="minorHAnsi"/>
          <w:i/>
        </w:rPr>
        <w:t>Bogan v Baskin</w:t>
      </w:r>
      <w:r w:rsidRPr="005E4773">
        <w:rPr>
          <w:rFonts w:asciiTheme="minorHAnsi" w:hAnsiTheme="minorHAnsi"/>
        </w:rPr>
        <w:t xml:space="preserve"> (Indiana) 14-277, 7</w:t>
      </w:r>
      <w:r w:rsidRPr="005E4773">
        <w:rPr>
          <w:rFonts w:asciiTheme="minorHAnsi" w:hAnsiTheme="minorHAnsi"/>
          <w:vertAlign w:val="superscript"/>
        </w:rPr>
        <w:t>th</w:t>
      </w:r>
      <w:r w:rsidRPr="005E4773">
        <w:rPr>
          <w:rFonts w:asciiTheme="minorHAnsi" w:hAnsiTheme="minorHAnsi"/>
        </w:rPr>
        <w:t xml:space="preserve"> Cir; </w:t>
      </w:r>
      <w:r w:rsidRPr="005E4773">
        <w:rPr>
          <w:rFonts w:asciiTheme="minorHAnsi" w:hAnsiTheme="minorHAnsi"/>
          <w:i/>
        </w:rPr>
        <w:t>Walker v Wolf</w:t>
      </w:r>
      <w:r w:rsidRPr="005E4773">
        <w:rPr>
          <w:rFonts w:asciiTheme="minorHAnsi" w:hAnsiTheme="minorHAnsi"/>
        </w:rPr>
        <w:t xml:space="preserve"> (Wisconsin) 14-178, 7</w:t>
      </w:r>
      <w:r w:rsidRPr="005E4773">
        <w:rPr>
          <w:rFonts w:asciiTheme="minorHAnsi" w:hAnsiTheme="minorHAnsi"/>
          <w:vertAlign w:val="superscript"/>
        </w:rPr>
        <w:t>th</w:t>
      </w:r>
      <w:r w:rsidRPr="005E4773">
        <w:rPr>
          <w:rFonts w:asciiTheme="minorHAnsi" w:hAnsiTheme="minorHAnsi"/>
        </w:rPr>
        <w:t xml:space="preserve"> Cir; </w:t>
      </w:r>
      <w:r w:rsidRPr="005E4773">
        <w:rPr>
          <w:rFonts w:asciiTheme="minorHAnsi" w:hAnsiTheme="minorHAnsi"/>
          <w:i/>
        </w:rPr>
        <w:t>Herbert v Kitchen</w:t>
      </w:r>
      <w:r w:rsidRPr="005E4773">
        <w:rPr>
          <w:rFonts w:asciiTheme="minorHAnsi" w:hAnsiTheme="minorHAnsi"/>
        </w:rPr>
        <w:t xml:space="preserve"> (Utah) 14-124, 10</w:t>
      </w:r>
      <w:r w:rsidRPr="005E4773">
        <w:rPr>
          <w:rFonts w:asciiTheme="minorHAnsi" w:hAnsiTheme="minorHAnsi"/>
          <w:vertAlign w:val="superscript"/>
        </w:rPr>
        <w:t>th</w:t>
      </w:r>
      <w:r w:rsidRPr="005E4773">
        <w:rPr>
          <w:rFonts w:asciiTheme="minorHAnsi" w:hAnsiTheme="minorHAnsi"/>
        </w:rPr>
        <w:t xml:space="preserve"> Cir; </w:t>
      </w:r>
      <w:r w:rsidRPr="005E4773">
        <w:rPr>
          <w:rFonts w:asciiTheme="minorHAnsi" w:hAnsiTheme="minorHAnsi"/>
          <w:i/>
        </w:rPr>
        <w:t>McQuigg v Bostic</w:t>
      </w:r>
      <w:r w:rsidRPr="005E4773">
        <w:rPr>
          <w:rFonts w:asciiTheme="minorHAnsi" w:hAnsiTheme="minorHAnsi"/>
        </w:rPr>
        <w:t xml:space="preserve"> (Virginia) 14-251, 4</w:t>
      </w:r>
      <w:r w:rsidRPr="005E4773">
        <w:rPr>
          <w:rFonts w:asciiTheme="minorHAnsi" w:hAnsiTheme="minorHAnsi"/>
          <w:vertAlign w:val="superscript"/>
        </w:rPr>
        <w:t>th</w:t>
      </w:r>
      <w:r w:rsidRPr="005E4773">
        <w:rPr>
          <w:rFonts w:asciiTheme="minorHAnsi" w:hAnsiTheme="minorHAnsi"/>
        </w:rPr>
        <w:t xml:space="preserve"> Cir; </w:t>
      </w:r>
      <w:r w:rsidRPr="005E4773">
        <w:rPr>
          <w:rFonts w:asciiTheme="minorHAnsi" w:hAnsiTheme="minorHAnsi"/>
          <w:i/>
        </w:rPr>
        <w:t>Rainey v Bostic</w:t>
      </w:r>
      <w:r w:rsidRPr="005E4773">
        <w:rPr>
          <w:rFonts w:asciiTheme="minorHAnsi" w:hAnsiTheme="minorHAnsi"/>
        </w:rPr>
        <w:t xml:space="preserve"> (Virginia) 14-153, 4</w:t>
      </w:r>
      <w:r w:rsidRPr="005E4773">
        <w:rPr>
          <w:rFonts w:asciiTheme="minorHAnsi" w:hAnsiTheme="minorHAnsi"/>
          <w:vertAlign w:val="superscript"/>
        </w:rPr>
        <w:t>th</w:t>
      </w:r>
      <w:r w:rsidRPr="005E4773">
        <w:rPr>
          <w:rFonts w:asciiTheme="minorHAnsi" w:hAnsiTheme="minorHAnsi"/>
        </w:rPr>
        <w:t xml:space="preserve"> Cir; </w:t>
      </w:r>
      <w:r w:rsidRPr="005E4773">
        <w:rPr>
          <w:rFonts w:asciiTheme="minorHAnsi" w:hAnsiTheme="minorHAnsi"/>
          <w:i/>
        </w:rPr>
        <w:t>Schaefer v Bostic</w:t>
      </w:r>
      <w:r w:rsidRPr="005E4773">
        <w:rPr>
          <w:rFonts w:asciiTheme="minorHAnsi" w:hAnsiTheme="minorHAnsi"/>
        </w:rPr>
        <w:t xml:space="preserve"> (Virginia) 14-225, 4</w:t>
      </w:r>
      <w:r w:rsidRPr="005E4773">
        <w:rPr>
          <w:rFonts w:asciiTheme="minorHAnsi" w:hAnsiTheme="minorHAnsi"/>
          <w:vertAlign w:val="superscript"/>
        </w:rPr>
        <w:t>th</w:t>
      </w:r>
      <w:r w:rsidRPr="005E4773">
        <w:rPr>
          <w:rFonts w:asciiTheme="minorHAnsi" w:hAnsiTheme="minorHAnsi"/>
        </w:rPr>
        <w:t xml:space="preserve"> Cir  and </w:t>
      </w:r>
      <w:r w:rsidRPr="005E4773">
        <w:rPr>
          <w:rFonts w:asciiTheme="minorHAnsi" w:hAnsiTheme="minorHAnsi"/>
          <w:i/>
        </w:rPr>
        <w:t>Smith v Bishop</w:t>
      </w:r>
      <w:r w:rsidRPr="005E4773">
        <w:rPr>
          <w:rFonts w:asciiTheme="minorHAnsi" w:hAnsiTheme="minorHAnsi"/>
        </w:rPr>
        <w:t xml:space="preserve"> (Oklahoma) 14-136, 10</w:t>
      </w:r>
      <w:r w:rsidRPr="005E4773">
        <w:rPr>
          <w:rFonts w:asciiTheme="minorHAnsi" w:hAnsiTheme="minorHAnsi"/>
          <w:vertAlign w:val="superscript"/>
        </w:rPr>
        <w:t>th</w:t>
      </w:r>
      <w:r w:rsidRPr="005E4773">
        <w:rPr>
          <w:rFonts w:asciiTheme="minorHAnsi" w:hAnsiTheme="minorHAnsi"/>
        </w:rPr>
        <w:t xml:space="preserve"> Cir.  </w:t>
      </w:r>
    </w:p>
    <w:p w:rsidR="00A13E1A" w:rsidRPr="005E4773" w:rsidRDefault="00A13E1A" w:rsidP="00A13E1A">
      <w:pPr>
        <w:pStyle w:val="FootnoteText"/>
        <w:spacing w:line="480" w:lineRule="auto"/>
        <w:jc w:val="both"/>
        <w:rPr>
          <w:rFonts w:asciiTheme="minorHAnsi" w:hAnsiTheme="minorHAnsi"/>
        </w:rPr>
      </w:pPr>
    </w:p>
  </w:footnote>
  <w:footnote w:id="161">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w:t>
      </w:r>
      <w:r w:rsidRPr="005E4773">
        <w:rPr>
          <w:i/>
          <w:sz w:val="20"/>
          <w:szCs w:val="20"/>
        </w:rPr>
        <w:t>Halpern v Canada (Attorney General)</w:t>
      </w:r>
      <w:r w:rsidRPr="005E4773">
        <w:rPr>
          <w:sz w:val="20"/>
          <w:szCs w:val="20"/>
        </w:rPr>
        <w:t xml:space="preserve"> (65 OR (3d) 161 (Ont CA) (2003). For discussion see Claire L’Heureux-Dube (2003) 1(1) </w:t>
      </w:r>
      <w:r w:rsidRPr="005E4773">
        <w:rPr>
          <w:rFonts w:eastAsia="Calibri" w:cs="Times New Roman"/>
          <w:sz w:val="20"/>
          <w:szCs w:val="20"/>
        </w:rPr>
        <w:t>International Journal of Constitutional Law 35.</w:t>
      </w:r>
    </w:p>
    <w:p w:rsidR="00A13E1A" w:rsidRPr="005E4773" w:rsidRDefault="00A13E1A" w:rsidP="00A13E1A">
      <w:pPr>
        <w:spacing w:after="0" w:line="480" w:lineRule="auto"/>
        <w:jc w:val="both"/>
        <w:rPr>
          <w:rFonts w:eastAsia="Calibri" w:cs="Times New Roman"/>
          <w:sz w:val="20"/>
          <w:szCs w:val="20"/>
        </w:rPr>
      </w:pPr>
    </w:p>
  </w:footnote>
  <w:footnote w:id="162">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Minister of Home Affairs and Another v Fourie and Another</w:t>
      </w:r>
      <w:r w:rsidRPr="005E4773">
        <w:rPr>
          <w:rFonts w:asciiTheme="minorHAnsi" w:hAnsiTheme="minorHAnsi"/>
        </w:rPr>
        <w:t xml:space="preserve"> (CCT 60/40) [2005] ZACC 19, [2006] (3) BCLR 355 (CC), [2006] (1) SA 524 (CC)</w:t>
      </w:r>
    </w:p>
    <w:p w:rsidR="00A13E1A" w:rsidRPr="005E4773" w:rsidRDefault="00A13E1A" w:rsidP="00A13E1A">
      <w:pPr>
        <w:pStyle w:val="FootnoteText"/>
        <w:spacing w:line="480" w:lineRule="auto"/>
        <w:jc w:val="both"/>
        <w:rPr>
          <w:rFonts w:asciiTheme="minorHAnsi" w:hAnsiTheme="minorHAnsi"/>
        </w:rPr>
      </w:pPr>
    </w:p>
  </w:footnote>
  <w:footnote w:id="163">
    <w:p w:rsidR="00A13E1A" w:rsidRPr="005E4773"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w:t>
      </w:r>
      <w:r w:rsidRPr="005E4773">
        <w:rPr>
          <w:i/>
          <w:sz w:val="20"/>
          <w:szCs w:val="20"/>
        </w:rPr>
        <w:t>See eg</w:t>
      </w:r>
      <w:r w:rsidRPr="005E4773">
        <w:rPr>
          <w:sz w:val="20"/>
          <w:szCs w:val="20"/>
        </w:rPr>
        <w:t xml:space="preserve"> David Richards, "Carl F. Stychin </w:t>
      </w:r>
      <w:r w:rsidRPr="005E4773">
        <w:rPr>
          <w:rFonts w:eastAsia="Times New Roman"/>
          <w:sz w:val="20"/>
          <w:szCs w:val="20"/>
          <w:lang w:eastAsia="en-GB"/>
        </w:rPr>
        <w:t xml:space="preserve">Book Review:  Governing Sexuality: the Changing Politics of Citizenship and Law Reform: Hart Publishing: Oxford and Portland, Oregon” (2004) 2(3) International Journal of Constitutional Law 727; </w:t>
      </w:r>
      <w:r>
        <w:rPr>
          <w:rFonts w:eastAsia="Calibri" w:cs="Times New Roman"/>
          <w:sz w:val="20"/>
          <w:szCs w:val="20"/>
        </w:rPr>
        <w:t>Dorf, n.95</w:t>
      </w:r>
      <w:r w:rsidRPr="005E4773">
        <w:rPr>
          <w:rFonts w:eastAsia="Calibri" w:cs="Times New Roman"/>
          <w:sz w:val="20"/>
          <w:szCs w:val="20"/>
        </w:rPr>
        <w:t xml:space="preserve">; </w:t>
      </w:r>
      <w:r w:rsidRPr="005E4773">
        <w:rPr>
          <w:sz w:val="20"/>
          <w:szCs w:val="20"/>
        </w:rPr>
        <w:t xml:space="preserve">Elizabeth Scott, “A </w:t>
      </w:r>
      <w:r w:rsidRPr="005E4773">
        <w:rPr>
          <w:rFonts w:eastAsia="Calibri" w:cs="Times New Roman"/>
          <w:sz w:val="20"/>
          <w:szCs w:val="20"/>
        </w:rPr>
        <w:t>World Without Marriage” (2007-2008) 41 Family Law Quarterly 537; Marshall, n.1</w:t>
      </w:r>
      <w:r>
        <w:rPr>
          <w:rFonts w:eastAsia="Calibri" w:cs="Times New Roman"/>
          <w:sz w:val="20"/>
          <w:szCs w:val="20"/>
        </w:rPr>
        <w:t>40</w:t>
      </w:r>
      <w:r>
        <w:rPr>
          <w:sz w:val="20"/>
          <w:szCs w:val="20"/>
        </w:rPr>
        <w:t xml:space="preserve"> and Cox, n.24</w:t>
      </w:r>
      <w:r>
        <w:rPr>
          <w:rFonts w:eastAsia="Calibri" w:cs="Times New Roman"/>
          <w:sz w:val="20"/>
          <w:szCs w:val="20"/>
        </w:rPr>
        <w:t>.</w:t>
      </w:r>
    </w:p>
    <w:p w:rsidR="00A13E1A" w:rsidRPr="005E4773" w:rsidRDefault="00A13E1A" w:rsidP="00A13E1A">
      <w:pPr>
        <w:pStyle w:val="FootnoteText"/>
        <w:spacing w:line="480" w:lineRule="auto"/>
        <w:jc w:val="both"/>
        <w:rPr>
          <w:rFonts w:asciiTheme="minorHAnsi" w:hAnsiTheme="minorHAnsi"/>
        </w:rPr>
      </w:pPr>
    </w:p>
  </w:footnote>
  <w:footnote w:id="164">
    <w:p w:rsidR="00A13E1A" w:rsidRPr="005E4773"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w:t>
      </w:r>
      <w:r w:rsidRPr="005E4773">
        <w:rPr>
          <w:i/>
          <w:sz w:val="20"/>
          <w:szCs w:val="20"/>
        </w:rPr>
        <w:t>See eg</w:t>
      </w:r>
      <w:r w:rsidRPr="005E4773">
        <w:rPr>
          <w:sz w:val="20"/>
          <w:szCs w:val="20"/>
        </w:rPr>
        <w:t xml:space="preserve"> Cindy Tobisman, “</w:t>
      </w:r>
      <w:r w:rsidRPr="005E4773">
        <w:rPr>
          <w:rFonts w:eastAsia="Calibri" w:cs="Times New Roman"/>
          <w:sz w:val="20"/>
          <w:szCs w:val="20"/>
        </w:rPr>
        <w:t xml:space="preserve">Marriage vs Domestic Partnership: Will we ever protect Lesbians’ Families?”(1997) 12 Berkeley Women’s Law Journal 112 on the changing nature of marriage.  </w:t>
      </w:r>
    </w:p>
  </w:footnote>
  <w:footnote w:id="165">
    <w:p w:rsidR="00A13E1A" w:rsidRPr="005E4773" w:rsidRDefault="00A13E1A" w:rsidP="00A13E1A">
      <w:pPr>
        <w:pStyle w:val="FootnoteText"/>
        <w:spacing w:line="480" w:lineRule="auto"/>
        <w:jc w:val="both"/>
        <w:rPr>
          <w:rStyle w:val="s6b621b36"/>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 eg</w:t>
      </w:r>
      <w:r w:rsidRPr="005E4773">
        <w:rPr>
          <w:rFonts w:asciiTheme="minorHAnsi" w:hAnsiTheme="minorHAnsi"/>
        </w:rPr>
        <w:t xml:space="preserve"> </w:t>
      </w:r>
      <w:r w:rsidRPr="005E4773">
        <w:rPr>
          <w:rFonts w:asciiTheme="minorHAnsi" w:hAnsiTheme="minorHAnsi"/>
          <w:i/>
        </w:rPr>
        <w:t>Goodwin v UK,</w:t>
      </w:r>
      <w:r w:rsidRPr="005E4773">
        <w:rPr>
          <w:rFonts w:asciiTheme="minorHAnsi" w:hAnsiTheme="minorHAnsi"/>
        </w:rPr>
        <w:t xml:space="preserve"> Application No </w:t>
      </w:r>
      <w:hyperlink r:id="rId3" w:anchor="{&quot;appno&quot;:[&quot;7525/76&quot;]}" w:tgtFrame="_blank" w:history="1">
        <w:r w:rsidRPr="005E4773">
          <w:rPr>
            <w:rStyle w:val="Hyperlink"/>
            <w:rFonts w:asciiTheme="minorHAnsi" w:hAnsiTheme="minorHAnsi"/>
            <w:color w:val="auto"/>
            <w:u w:val="none"/>
          </w:rPr>
          <w:t>28957/95</w:t>
        </w:r>
      </w:hyperlink>
      <w:r w:rsidRPr="005E4773">
        <w:rPr>
          <w:rStyle w:val="s6b621b36"/>
          <w:rFonts w:asciiTheme="minorHAnsi" w:hAnsiTheme="minorHAnsi"/>
        </w:rPr>
        <w:t>, Judgment of 11 July 2002</w:t>
      </w:r>
    </w:p>
    <w:p w:rsidR="00A13E1A" w:rsidRPr="005E4773" w:rsidRDefault="00A13E1A" w:rsidP="00A13E1A">
      <w:pPr>
        <w:pStyle w:val="FootnoteText"/>
        <w:spacing w:line="480" w:lineRule="auto"/>
        <w:jc w:val="both"/>
        <w:rPr>
          <w:rFonts w:asciiTheme="minorHAnsi" w:hAnsiTheme="minorHAnsi"/>
        </w:rPr>
      </w:pPr>
    </w:p>
  </w:footnote>
  <w:footnote w:id="166">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w:t>
      </w:r>
      <w:r w:rsidRPr="005E4773">
        <w:rPr>
          <w:i/>
          <w:sz w:val="20"/>
          <w:szCs w:val="20"/>
        </w:rPr>
        <w:t>See eg</w:t>
      </w:r>
      <w:r>
        <w:rPr>
          <w:sz w:val="20"/>
          <w:szCs w:val="20"/>
        </w:rPr>
        <w:t xml:space="preserve"> Cox, n.24</w:t>
      </w:r>
      <w:r w:rsidRPr="005E4773">
        <w:rPr>
          <w:rFonts w:eastAsia="Calibri" w:cs="Times New Roman"/>
          <w:sz w:val="20"/>
          <w:szCs w:val="20"/>
        </w:rPr>
        <w:t xml:space="preserve"> referring to </w:t>
      </w:r>
      <w:r w:rsidRPr="005E4773">
        <w:rPr>
          <w:sz w:val="20"/>
          <w:szCs w:val="20"/>
        </w:rPr>
        <w:t xml:space="preserve">Arthur von Mehren and Donald Trautman, </w:t>
      </w:r>
      <w:r w:rsidRPr="005E4773">
        <w:rPr>
          <w:i/>
          <w:sz w:val="20"/>
          <w:szCs w:val="20"/>
        </w:rPr>
        <w:t>The Law of Multistate Problems</w:t>
      </w:r>
      <w:r w:rsidRPr="005E4773">
        <w:rPr>
          <w:sz w:val="20"/>
          <w:szCs w:val="20"/>
        </w:rPr>
        <w:t xml:space="preserve">(Little, Brown and Co 1965) 342-375 and Arthur von Mehren, “Recent Trends in Choice-of Methodology” (1975) 60 Cornell Law Review 927. </w:t>
      </w:r>
    </w:p>
    <w:p w:rsidR="00A13E1A" w:rsidRPr="005E4773" w:rsidRDefault="00A13E1A" w:rsidP="00A13E1A">
      <w:pPr>
        <w:spacing w:after="0" w:line="480" w:lineRule="auto"/>
        <w:jc w:val="both"/>
        <w:rPr>
          <w:rFonts w:eastAsia="Calibri" w:cs="Times New Roman"/>
          <w:sz w:val="20"/>
          <w:szCs w:val="20"/>
        </w:rPr>
      </w:pPr>
    </w:p>
  </w:footnote>
  <w:footnote w:id="16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Cox, n.24</w:t>
      </w:r>
      <w:r w:rsidRPr="005E4773">
        <w:rPr>
          <w:rFonts w:asciiTheme="minorHAnsi" w:hAnsiTheme="minorHAnsi"/>
        </w:rPr>
        <w:t>,</w:t>
      </w:r>
      <w:r w:rsidRPr="005E4773">
        <w:rPr>
          <w:rFonts w:asciiTheme="minorHAnsi" w:hAnsiTheme="minorHAnsi"/>
          <w:i/>
        </w:rPr>
        <w:t xml:space="preserve"> </w:t>
      </w:r>
      <w:r w:rsidRPr="005E4773">
        <w:rPr>
          <w:rFonts w:asciiTheme="minorHAnsi" w:hAnsiTheme="minorHAnsi"/>
        </w:rPr>
        <w:t xml:space="preserve">1033. </w:t>
      </w:r>
    </w:p>
    <w:p w:rsidR="00A13E1A" w:rsidRPr="005E4773" w:rsidRDefault="00A13E1A" w:rsidP="00A13E1A">
      <w:pPr>
        <w:pStyle w:val="FootnoteText"/>
        <w:spacing w:line="480" w:lineRule="auto"/>
        <w:jc w:val="both"/>
        <w:rPr>
          <w:rFonts w:asciiTheme="minorHAnsi" w:hAnsiTheme="minorHAnsi"/>
        </w:rPr>
      </w:pPr>
    </w:p>
  </w:footnote>
  <w:footnote w:id="168">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Fruehwald, n.1</w:t>
      </w:r>
      <w:r>
        <w:rPr>
          <w:sz w:val="20"/>
          <w:szCs w:val="20"/>
        </w:rPr>
        <w:t>16</w:t>
      </w:r>
      <w:r w:rsidRPr="005E4773">
        <w:rPr>
          <w:sz w:val="20"/>
          <w:szCs w:val="20"/>
        </w:rPr>
        <w:t xml:space="preserve">, 838.  He also refers to Douglas Laycock, “Equal Citizens of Equal and Territorial States; The Constitutional Foundations of Choice of Law” (1992) 92 Columbia Law Review 249. </w:t>
      </w:r>
    </w:p>
    <w:p w:rsidR="00A13E1A" w:rsidRPr="005E4773" w:rsidRDefault="00A13E1A" w:rsidP="00A13E1A">
      <w:pPr>
        <w:spacing w:after="0" w:line="480" w:lineRule="auto"/>
        <w:jc w:val="both"/>
        <w:rPr>
          <w:sz w:val="20"/>
          <w:szCs w:val="20"/>
        </w:rPr>
      </w:pPr>
    </w:p>
  </w:footnote>
  <w:footnote w:id="16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EU states make up 28 of the Council of Europe’s 47 member states. Following the Lisbon Treaty the EU has also agreed to accede to the EC</w:t>
      </w:r>
      <w:r>
        <w:rPr>
          <w:rFonts w:asciiTheme="minorHAnsi" w:hAnsiTheme="minorHAnsi"/>
        </w:rPr>
        <w:t>t</w:t>
      </w:r>
      <w:r w:rsidRPr="005E4773">
        <w:rPr>
          <w:rFonts w:asciiTheme="minorHAnsi" w:hAnsiTheme="minorHAnsi"/>
        </w:rPr>
        <w:t>HR. TEU art 6(2) provides that “The Union shall access to the European Convention for the Protection of Human Rights and Fundamental Freedoms.”</w:t>
      </w:r>
    </w:p>
    <w:p w:rsidR="00A13E1A" w:rsidRPr="005E4773" w:rsidRDefault="00A13E1A" w:rsidP="00A13E1A">
      <w:pPr>
        <w:pStyle w:val="FootnoteText"/>
        <w:spacing w:line="480" w:lineRule="auto"/>
        <w:jc w:val="both"/>
        <w:rPr>
          <w:rFonts w:asciiTheme="minorHAnsi" w:hAnsiTheme="minorHAnsi"/>
        </w:rPr>
      </w:pPr>
    </w:p>
  </w:footnote>
  <w:footnote w:id="17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This is known as the doctrine of proportionality. See Steve Foster, </w:t>
      </w:r>
      <w:r w:rsidRPr="005E4773">
        <w:rPr>
          <w:rFonts w:asciiTheme="minorHAnsi" w:hAnsiTheme="minorHAnsi"/>
          <w:i/>
        </w:rPr>
        <w:t>Human Rights and Civil Liberties</w:t>
      </w:r>
      <w:r w:rsidRPr="005E4773">
        <w:rPr>
          <w:rFonts w:asciiTheme="minorHAnsi" w:hAnsiTheme="minorHAnsi"/>
        </w:rPr>
        <w:t>, 3</w:t>
      </w:r>
      <w:r w:rsidRPr="005E4773">
        <w:rPr>
          <w:rFonts w:asciiTheme="minorHAnsi" w:hAnsiTheme="minorHAnsi"/>
          <w:vertAlign w:val="superscript"/>
        </w:rPr>
        <w:t>rd</w:t>
      </w:r>
      <w:r w:rsidRPr="005E4773">
        <w:rPr>
          <w:rFonts w:asciiTheme="minorHAnsi" w:hAnsiTheme="minorHAnsi"/>
        </w:rPr>
        <w:t xml:space="preserve"> edn (Pearson, 2011) 65 who explains that “Restrictions should be strictly proportionate to the legitimate aim being pursued and the authorities must show that the restriction in question does not go beyond what is strictly required to achieve that purpose.”</w:t>
      </w:r>
    </w:p>
    <w:p w:rsidR="00A13E1A" w:rsidRPr="005E4773" w:rsidRDefault="00A13E1A" w:rsidP="00A13E1A">
      <w:pPr>
        <w:pStyle w:val="FootnoteText"/>
        <w:spacing w:line="480" w:lineRule="auto"/>
        <w:jc w:val="both"/>
        <w:rPr>
          <w:rFonts w:asciiTheme="minorHAnsi" w:hAnsiTheme="minorHAnsi"/>
        </w:rPr>
      </w:pPr>
    </w:p>
  </w:footnote>
  <w:footnote w:id="171">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For example in the area of freedom of expression, the ECtHR has given less protection to commercial free speech. </w:t>
      </w:r>
      <w:r w:rsidRPr="005E4773">
        <w:rPr>
          <w:rFonts w:asciiTheme="minorHAnsi" w:hAnsiTheme="minorHAnsi"/>
          <w:i/>
        </w:rPr>
        <w:t>Eg</w:t>
      </w:r>
      <w:r w:rsidRPr="005E4773">
        <w:rPr>
          <w:rFonts w:asciiTheme="minorHAnsi" w:hAnsiTheme="minorHAnsi"/>
        </w:rPr>
        <w:t xml:space="preserve"> in </w:t>
      </w:r>
      <w:r w:rsidRPr="005E4773">
        <w:rPr>
          <w:rFonts w:asciiTheme="minorHAnsi" w:hAnsiTheme="minorHAnsi"/>
          <w:i/>
        </w:rPr>
        <w:t>Hachette Filipachhi Presse Automobile v France</w:t>
      </w:r>
      <w:r w:rsidRPr="005E4773">
        <w:rPr>
          <w:rFonts w:asciiTheme="minorHAnsi" w:hAnsiTheme="minorHAnsi"/>
        </w:rPr>
        <w:t xml:space="preserve"> (2009) 49 EHRR 23  there was no violation of Article 10 when the applicant companies were prosecuted for advertising cigarettes contrary to French law. In contrast press free speech is given much greater protection as being essential to democracy. See </w:t>
      </w:r>
      <w:r w:rsidRPr="005E4773">
        <w:rPr>
          <w:rFonts w:asciiTheme="minorHAnsi" w:hAnsiTheme="minorHAnsi"/>
          <w:i/>
        </w:rPr>
        <w:t>Sunday Times v United Kingdom</w:t>
      </w:r>
      <w:r w:rsidRPr="005E4773">
        <w:rPr>
          <w:rFonts w:asciiTheme="minorHAnsi" w:hAnsiTheme="minorHAnsi"/>
        </w:rPr>
        <w:t xml:space="preserve"> (1979) 2 EHRR 245. </w:t>
      </w:r>
    </w:p>
    <w:p w:rsidR="00A13E1A" w:rsidRPr="005E4773" w:rsidRDefault="00A13E1A" w:rsidP="00A13E1A">
      <w:pPr>
        <w:pStyle w:val="FootnoteText"/>
        <w:spacing w:line="480" w:lineRule="auto"/>
        <w:jc w:val="both"/>
        <w:rPr>
          <w:rFonts w:asciiTheme="minorHAnsi" w:hAnsiTheme="minorHAnsi"/>
        </w:rPr>
      </w:pPr>
    </w:p>
  </w:footnote>
  <w:footnote w:id="172">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Oliari</w:t>
      </w:r>
      <w:r w:rsidRPr="005E4773">
        <w:rPr>
          <w:rFonts w:asciiTheme="minorHAnsi" w:hAnsiTheme="minorHAnsi"/>
        </w:rPr>
        <w:t xml:space="preserve"> n. 2</w:t>
      </w:r>
      <w:r>
        <w:rPr>
          <w:rFonts w:asciiTheme="minorHAnsi" w:hAnsiTheme="minorHAnsi"/>
        </w:rPr>
        <w:t>2</w:t>
      </w:r>
      <w:r w:rsidRPr="005E4773">
        <w:rPr>
          <w:rFonts w:asciiTheme="minorHAnsi" w:hAnsiTheme="minorHAnsi"/>
        </w:rPr>
        <w:t xml:space="preserve">. </w:t>
      </w:r>
    </w:p>
    <w:p w:rsidR="00A13E1A" w:rsidRPr="005E4773" w:rsidRDefault="00A13E1A" w:rsidP="00A13E1A">
      <w:pPr>
        <w:pStyle w:val="FootnoteText"/>
        <w:spacing w:line="480" w:lineRule="auto"/>
        <w:rPr>
          <w:rFonts w:asciiTheme="minorHAnsi" w:hAnsiTheme="minorHAnsi"/>
        </w:rPr>
      </w:pPr>
    </w:p>
  </w:footnote>
  <w:footnote w:id="17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Schalk and Kopf v Austria</w:t>
      </w:r>
      <w:r w:rsidRPr="005E4773">
        <w:rPr>
          <w:rFonts w:asciiTheme="minorHAnsi" w:hAnsiTheme="minorHAnsi"/>
        </w:rPr>
        <w:t xml:space="preserve"> (2011) 53 EHRR 20.</w:t>
      </w:r>
    </w:p>
    <w:p w:rsidR="00A13E1A" w:rsidRPr="005E4773" w:rsidRDefault="00A13E1A" w:rsidP="00A13E1A">
      <w:pPr>
        <w:pStyle w:val="FootnoteText"/>
        <w:spacing w:line="480" w:lineRule="auto"/>
        <w:jc w:val="both"/>
        <w:rPr>
          <w:rFonts w:asciiTheme="minorHAnsi" w:hAnsiTheme="minorHAnsi"/>
        </w:rPr>
      </w:pPr>
    </w:p>
  </w:footnote>
  <w:footnote w:id="174">
    <w:p w:rsidR="00A13E1A" w:rsidRDefault="00A13E1A" w:rsidP="00A13E1A">
      <w:pPr>
        <w:pStyle w:val="FootnoteText"/>
        <w:spacing w:line="480" w:lineRule="auto"/>
      </w:pPr>
      <w:r>
        <w:rPr>
          <w:rStyle w:val="FootnoteReference"/>
        </w:rPr>
        <w:footnoteRef/>
      </w:r>
      <w:r>
        <w:t xml:space="preserve"> </w:t>
      </w:r>
      <w:r w:rsidRPr="006A57B4">
        <w:rPr>
          <w:i/>
        </w:rPr>
        <w:t xml:space="preserve">See </w:t>
      </w:r>
      <w:r>
        <w:t>n.59.</w:t>
      </w:r>
    </w:p>
    <w:p w:rsidR="00A13E1A" w:rsidRDefault="00A13E1A" w:rsidP="00A13E1A">
      <w:pPr>
        <w:pStyle w:val="FootnoteText"/>
        <w:spacing w:line="480" w:lineRule="auto"/>
      </w:pPr>
    </w:p>
  </w:footnote>
  <w:footnote w:id="175">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Gordon Moir and Paul Beaumont, “Brussels Convention II:   a New private international law instrument in Family matters for the European Union or the European Community” (1995) 20(3) European Law Review 268, 269. </w:t>
      </w:r>
    </w:p>
    <w:p w:rsidR="00A13E1A" w:rsidRPr="005E4773" w:rsidRDefault="00A13E1A" w:rsidP="00A13E1A">
      <w:pPr>
        <w:spacing w:after="0" w:line="480" w:lineRule="auto"/>
        <w:jc w:val="both"/>
        <w:rPr>
          <w:sz w:val="20"/>
          <w:szCs w:val="20"/>
        </w:rPr>
      </w:pPr>
    </w:p>
  </w:footnote>
  <w:footnote w:id="176">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w:t>
      </w:r>
      <w:r w:rsidRPr="006A57B4">
        <w:rPr>
          <w:i/>
          <w:sz w:val="20"/>
          <w:szCs w:val="20"/>
        </w:rPr>
        <w:t>See</w:t>
      </w:r>
      <w:r>
        <w:rPr>
          <w:sz w:val="20"/>
          <w:szCs w:val="20"/>
        </w:rPr>
        <w:t xml:space="preserve"> n.3.</w:t>
      </w:r>
      <w:r w:rsidRPr="005E4773">
        <w:rPr>
          <w:sz w:val="20"/>
          <w:szCs w:val="20"/>
        </w:rPr>
        <w:t xml:space="preserve">  For discussion see also Kate Spencer, “Same-Sex Couples and the Right to Marry: European Perspectives” (2010) 6(1) Cambridge Student Law Review 155. </w:t>
      </w:r>
    </w:p>
    <w:p w:rsidR="00A13E1A" w:rsidRPr="005E4773" w:rsidRDefault="00A13E1A" w:rsidP="00A13E1A">
      <w:pPr>
        <w:spacing w:after="0" w:line="480" w:lineRule="auto"/>
        <w:jc w:val="both"/>
        <w:rPr>
          <w:sz w:val="20"/>
          <w:szCs w:val="20"/>
        </w:rPr>
      </w:pPr>
    </w:p>
  </w:footnote>
  <w:footnote w:id="177">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 xml:space="preserve">Oliari, </w:t>
      </w:r>
      <w:r w:rsidRPr="005E4773">
        <w:rPr>
          <w:rFonts w:asciiTheme="minorHAnsi" w:hAnsiTheme="minorHAnsi"/>
        </w:rPr>
        <w:t>n.2</w:t>
      </w:r>
      <w:r>
        <w:rPr>
          <w:rFonts w:asciiTheme="minorHAnsi" w:hAnsiTheme="minorHAnsi"/>
        </w:rPr>
        <w:t>2</w:t>
      </w:r>
      <w:r w:rsidRPr="005E4773">
        <w:rPr>
          <w:rFonts w:asciiTheme="minorHAnsi" w:hAnsiTheme="minorHAnsi"/>
        </w:rPr>
        <w:t>.</w:t>
      </w:r>
    </w:p>
    <w:p w:rsidR="00A13E1A" w:rsidRPr="005E4773" w:rsidRDefault="00A13E1A" w:rsidP="00A13E1A">
      <w:pPr>
        <w:pStyle w:val="FootnoteText"/>
        <w:spacing w:line="480" w:lineRule="auto"/>
        <w:rPr>
          <w:rFonts w:asciiTheme="minorHAnsi" w:hAnsiTheme="minorHAnsi"/>
        </w:rPr>
      </w:pPr>
    </w:p>
  </w:footnote>
  <w:footnote w:id="178">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 eg</w:t>
      </w:r>
      <w:r w:rsidRPr="005E4773">
        <w:rPr>
          <w:rFonts w:asciiTheme="minorHAnsi" w:hAnsiTheme="minorHAnsi"/>
        </w:rPr>
        <w:t xml:space="preserve"> Richards, n.1</w:t>
      </w:r>
      <w:r>
        <w:rPr>
          <w:rFonts w:asciiTheme="minorHAnsi" w:hAnsiTheme="minorHAnsi"/>
        </w:rPr>
        <w:t>62</w:t>
      </w:r>
      <w:r w:rsidRPr="005E4773">
        <w:rPr>
          <w:rFonts w:asciiTheme="minorHAnsi" w:eastAsia="Times New Roman" w:hAnsiTheme="minorHAnsi"/>
          <w:lang w:eastAsia="en-GB"/>
        </w:rPr>
        <w:t xml:space="preserve"> and William Eskridge Jr., </w:t>
      </w:r>
      <w:r w:rsidRPr="005E4773">
        <w:rPr>
          <w:rFonts w:asciiTheme="minorHAnsi" w:eastAsia="Times New Roman" w:hAnsiTheme="minorHAnsi"/>
          <w:i/>
          <w:lang w:eastAsia="en-GB"/>
        </w:rPr>
        <w:t>Equality Practices, Civil Unions and the Future of Gay Rights</w:t>
      </w:r>
      <w:r w:rsidRPr="005E4773">
        <w:rPr>
          <w:rFonts w:asciiTheme="minorHAnsi" w:eastAsia="Times New Roman" w:hAnsiTheme="minorHAnsi"/>
          <w:lang w:eastAsia="en-GB"/>
        </w:rPr>
        <w:t xml:space="preserve"> </w:t>
      </w:r>
      <w:r w:rsidRPr="005E4773">
        <w:rPr>
          <w:rFonts w:asciiTheme="minorHAnsi" w:hAnsiTheme="minorHAnsi"/>
        </w:rPr>
        <w:t>(Routledge, 2002).</w:t>
      </w:r>
    </w:p>
    <w:p w:rsidR="00A13E1A" w:rsidRPr="005E4773" w:rsidRDefault="00A13E1A" w:rsidP="00A13E1A">
      <w:pPr>
        <w:pStyle w:val="FootnoteText"/>
        <w:spacing w:line="480" w:lineRule="auto"/>
        <w:jc w:val="both"/>
        <w:rPr>
          <w:rFonts w:asciiTheme="minorHAnsi" w:hAnsiTheme="minorHAnsi"/>
        </w:rPr>
      </w:pPr>
    </w:p>
  </w:footnote>
  <w:footnote w:id="17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 eg</w:t>
      </w:r>
      <w:r w:rsidRPr="005E4773">
        <w:rPr>
          <w:rFonts w:asciiTheme="minorHAnsi" w:hAnsiTheme="minorHAnsi"/>
        </w:rPr>
        <w:t xml:space="preserve"> Konrad Zweigert and Hein Kotz, </w:t>
      </w:r>
      <w:r w:rsidRPr="005E4773">
        <w:rPr>
          <w:rFonts w:asciiTheme="minorHAnsi" w:hAnsiTheme="minorHAnsi"/>
          <w:i/>
        </w:rPr>
        <w:t>An Introduction to Comparative Law</w:t>
      </w:r>
      <w:r w:rsidRPr="005E4773">
        <w:rPr>
          <w:rFonts w:asciiTheme="minorHAnsi" w:hAnsiTheme="minorHAnsi"/>
        </w:rPr>
        <w:t xml:space="preserve"> (Clarendon Press, 1998) and David Bradley, “Comparative Law, Family Law and Common Law”  (2003) 33(1) Oxford Journal of Legal Studies 127.</w:t>
      </w:r>
    </w:p>
    <w:p w:rsidR="00A13E1A" w:rsidRPr="005E4773" w:rsidRDefault="00A13E1A" w:rsidP="00A13E1A">
      <w:pPr>
        <w:pStyle w:val="FootnoteText"/>
        <w:spacing w:line="480" w:lineRule="auto"/>
        <w:jc w:val="both"/>
        <w:rPr>
          <w:rFonts w:asciiTheme="minorHAnsi" w:hAnsiTheme="minorHAnsi"/>
        </w:rPr>
      </w:pPr>
    </w:p>
  </w:footnote>
  <w:footnote w:id="18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Bradley, n.17</w:t>
      </w:r>
      <w:r>
        <w:rPr>
          <w:rFonts w:asciiTheme="minorHAnsi" w:hAnsiTheme="minorHAnsi"/>
        </w:rPr>
        <w:t>8</w:t>
      </w:r>
      <w:r w:rsidRPr="005E4773">
        <w:rPr>
          <w:rFonts w:asciiTheme="minorHAnsi" w:hAnsiTheme="minorHAnsi"/>
        </w:rPr>
        <w:t xml:space="preserve"> referring to HC Gutteridge, </w:t>
      </w:r>
      <w:r w:rsidRPr="005E4773">
        <w:rPr>
          <w:rFonts w:asciiTheme="minorHAnsi" w:hAnsiTheme="minorHAnsi"/>
          <w:i/>
        </w:rPr>
        <w:t>Comparative Law</w:t>
      </w:r>
      <w:r w:rsidRPr="005E4773">
        <w:rPr>
          <w:rFonts w:asciiTheme="minorHAnsi" w:hAnsiTheme="minorHAnsi"/>
        </w:rPr>
        <w:t xml:space="preserve"> (Cambridge University Press, 1946) 31-32. See also the Centre for Social Justice, “European Family Law: Faster Divorce and Foreign Law” (2009) available at http://www.centreforsocialjustice.org.uk/UserStorage/pdf/Pdf%20reports/CSJEuropeanFamilyLaw.pdf; Niamh Nic Shuibhne, “Margins of Appreciation; National values, Fundamental Rights and EC free Movement Law” (2009) 34(2) Europea</w:t>
      </w:r>
      <w:r>
        <w:rPr>
          <w:rFonts w:asciiTheme="minorHAnsi" w:hAnsiTheme="minorHAnsi"/>
        </w:rPr>
        <w:t>n Law Review 230 and Aloni, n.15</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181">
    <w:p w:rsidR="000C6EEB" w:rsidRDefault="000C6EEB" w:rsidP="000C6EEB">
      <w:pPr>
        <w:spacing w:after="0" w:line="480" w:lineRule="auto"/>
        <w:jc w:val="both"/>
        <w:rPr>
          <w:sz w:val="20"/>
          <w:szCs w:val="20"/>
        </w:rPr>
      </w:pPr>
      <w:r w:rsidRPr="005E4773">
        <w:rPr>
          <w:rStyle w:val="FootnoteReference"/>
          <w:sz w:val="20"/>
          <w:szCs w:val="20"/>
        </w:rPr>
        <w:footnoteRef/>
      </w:r>
      <w:r w:rsidRPr="005E4773">
        <w:rPr>
          <w:sz w:val="20"/>
          <w:szCs w:val="20"/>
        </w:rPr>
        <w:t xml:space="preserve"> Moir and Beaumont, </w:t>
      </w:r>
      <w:r>
        <w:rPr>
          <w:sz w:val="20"/>
          <w:szCs w:val="20"/>
        </w:rPr>
        <w:t>n.</w:t>
      </w:r>
      <w:r w:rsidRPr="005E4773">
        <w:rPr>
          <w:sz w:val="20"/>
          <w:szCs w:val="20"/>
        </w:rPr>
        <w:t>1</w:t>
      </w:r>
      <w:r>
        <w:rPr>
          <w:sz w:val="20"/>
          <w:szCs w:val="20"/>
        </w:rPr>
        <w:t>74</w:t>
      </w:r>
      <w:r w:rsidRPr="005E4773">
        <w:rPr>
          <w:sz w:val="20"/>
          <w:szCs w:val="20"/>
        </w:rPr>
        <w:t xml:space="preserve">, 280. </w:t>
      </w:r>
      <w:r w:rsidRPr="005E4773">
        <w:rPr>
          <w:rFonts w:eastAsia="Calibri" w:cs="Times New Roman"/>
          <w:sz w:val="20"/>
          <w:szCs w:val="20"/>
        </w:rPr>
        <w:t>Shuibhne, n.1</w:t>
      </w:r>
      <w:r>
        <w:rPr>
          <w:rFonts w:eastAsia="Calibri" w:cs="Times New Roman"/>
          <w:sz w:val="20"/>
          <w:szCs w:val="20"/>
        </w:rPr>
        <w:t>79, 238</w:t>
      </w:r>
      <w:r w:rsidRPr="005E4773">
        <w:rPr>
          <w:rFonts w:eastAsia="Calibri" w:cs="Times New Roman"/>
          <w:sz w:val="20"/>
          <w:szCs w:val="20"/>
        </w:rPr>
        <w:t xml:space="preserve"> states that “constitutional differences remind us that they ‘are often that part of social identity about which people care a great deal…” referring to </w:t>
      </w:r>
      <w:r w:rsidRPr="005E4773">
        <w:rPr>
          <w:sz w:val="20"/>
          <w:szCs w:val="20"/>
        </w:rPr>
        <w:t xml:space="preserve">Weiler, “Fundamental rights and fundamental boundaries” in </w:t>
      </w:r>
      <w:r w:rsidRPr="005E4773">
        <w:rPr>
          <w:i/>
          <w:sz w:val="20"/>
          <w:szCs w:val="20"/>
        </w:rPr>
        <w:t>The Constitution of Europe</w:t>
      </w:r>
      <w:r w:rsidRPr="005E4773">
        <w:rPr>
          <w:sz w:val="20"/>
          <w:szCs w:val="20"/>
        </w:rPr>
        <w:t xml:space="preserve"> (Cambridge University Press, 1999). </w:t>
      </w:r>
    </w:p>
    <w:p w:rsidR="000C6EEB" w:rsidRPr="005E4773" w:rsidRDefault="000C6EEB" w:rsidP="000C6EEB">
      <w:pPr>
        <w:spacing w:after="0" w:line="480" w:lineRule="auto"/>
        <w:jc w:val="both"/>
        <w:rPr>
          <w:sz w:val="20"/>
          <w:szCs w:val="20"/>
        </w:rPr>
      </w:pPr>
    </w:p>
  </w:footnote>
  <w:footnote w:id="182">
    <w:p w:rsidR="000C6EEB" w:rsidRPr="005E4773" w:rsidRDefault="000C6EEB" w:rsidP="000C6EEB">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 xml:space="preserve">See </w:t>
      </w:r>
      <w:r w:rsidRPr="005E4773">
        <w:rPr>
          <w:rFonts w:asciiTheme="minorHAnsi" w:hAnsiTheme="minorHAnsi"/>
        </w:rPr>
        <w:t>for discussion Spencer, n.1</w:t>
      </w:r>
      <w:r>
        <w:rPr>
          <w:rFonts w:asciiTheme="minorHAnsi" w:hAnsiTheme="minorHAnsi"/>
        </w:rPr>
        <w:t>75</w:t>
      </w:r>
      <w:r w:rsidRPr="005E4773">
        <w:rPr>
          <w:rFonts w:asciiTheme="minorHAnsi" w:hAnsiTheme="minorHAnsi"/>
        </w:rPr>
        <w:t xml:space="preserve">.  This problem is particularly controversial following the re-election of the Conservative government in 2015. </w:t>
      </w:r>
    </w:p>
    <w:p w:rsidR="000C6EEB" w:rsidRPr="005E4773" w:rsidRDefault="000C6EEB" w:rsidP="000C6EEB">
      <w:pPr>
        <w:pStyle w:val="FootnoteText"/>
        <w:spacing w:line="480" w:lineRule="auto"/>
        <w:jc w:val="both"/>
        <w:rPr>
          <w:rFonts w:asciiTheme="minorHAnsi" w:hAnsiTheme="minorHAnsi"/>
        </w:rPr>
      </w:pPr>
    </w:p>
  </w:footnote>
  <w:footnote w:id="18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The Commentary on art 9 of the Charter of Fundamental Rights of the European Union provides that “</w:t>
      </w:r>
      <w:r w:rsidRPr="005E4773">
        <w:rPr>
          <w:rStyle w:val="sfbbfee58"/>
          <w:rFonts w:asciiTheme="minorHAnsi" w:hAnsiTheme="minorHAnsi"/>
        </w:rPr>
        <w:t>There is, however, no explicit requirement that domestic laws should facilitate such marriages. International courts and committees have so far hesitated to extend the application of the right to marry to same-sex couples.” Also art 2(2) of Directive 2004/38 provides that ‘‘family member means (a) spouse, (b) the partner with whom the Union citizen has contracted a registered partnership, on the basis of the legislation of a Member State, if the legislation of the host Member State treats registered partnerships as equivalent to marriage in accordance with the conditions laid down in the relevant legislation of the host Member State”.</w:t>
      </w:r>
    </w:p>
    <w:p w:rsidR="00A13E1A" w:rsidRPr="005E4773" w:rsidRDefault="00A13E1A" w:rsidP="00A13E1A">
      <w:pPr>
        <w:pStyle w:val="FootnoteText"/>
        <w:tabs>
          <w:tab w:val="left" w:pos="2415"/>
        </w:tabs>
        <w:spacing w:line="480" w:lineRule="auto"/>
        <w:jc w:val="both"/>
        <w:rPr>
          <w:rFonts w:asciiTheme="minorHAnsi" w:hAnsiTheme="minorHAnsi"/>
        </w:rPr>
      </w:pPr>
      <w:r w:rsidRPr="005E4773">
        <w:rPr>
          <w:rFonts w:asciiTheme="minorHAnsi" w:hAnsiTheme="minorHAnsi"/>
        </w:rPr>
        <w:tab/>
      </w:r>
    </w:p>
  </w:footnote>
  <w:footnote w:id="184">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Art 5(2) Treaty on the European Union provides that the Union shall act “only within the limits of the competences conferred upon it by the Member States in the Treaties to attain the objectives set out therein”. For discussion see Helen Stalford, n.2</w:t>
      </w:r>
      <w:r>
        <w:rPr>
          <w:sz w:val="20"/>
          <w:szCs w:val="20"/>
        </w:rPr>
        <w:t>3</w:t>
      </w:r>
      <w:r w:rsidRPr="005E4773">
        <w:rPr>
          <w:sz w:val="20"/>
          <w:szCs w:val="20"/>
        </w:rPr>
        <w:t>.</w:t>
      </w:r>
    </w:p>
    <w:p w:rsidR="00A13E1A" w:rsidRPr="005E4773" w:rsidRDefault="00A13E1A" w:rsidP="00A13E1A">
      <w:pPr>
        <w:spacing w:after="0" w:line="480" w:lineRule="auto"/>
        <w:jc w:val="both"/>
        <w:rPr>
          <w:sz w:val="20"/>
          <w:szCs w:val="20"/>
        </w:rPr>
      </w:pPr>
    </w:p>
  </w:footnote>
  <w:footnote w:id="185">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 xml:space="preserve">Oliari </w:t>
      </w:r>
      <w:r w:rsidRPr="005E4773">
        <w:rPr>
          <w:rFonts w:asciiTheme="minorHAnsi" w:hAnsiTheme="minorHAnsi"/>
        </w:rPr>
        <w:t xml:space="preserve"> n.2</w:t>
      </w:r>
      <w:r>
        <w:rPr>
          <w:rFonts w:asciiTheme="minorHAnsi" w:hAnsiTheme="minorHAnsi"/>
        </w:rPr>
        <w:t>2</w:t>
      </w:r>
      <w:r w:rsidRPr="005E4773">
        <w:rPr>
          <w:rFonts w:asciiTheme="minorHAnsi" w:hAnsiTheme="minorHAnsi"/>
        </w:rPr>
        <w:t>.</w:t>
      </w:r>
    </w:p>
    <w:p w:rsidR="00A13E1A" w:rsidRPr="005E4773" w:rsidRDefault="00A13E1A" w:rsidP="00A13E1A">
      <w:pPr>
        <w:pStyle w:val="FootnoteText"/>
        <w:spacing w:line="480" w:lineRule="auto"/>
        <w:rPr>
          <w:rFonts w:asciiTheme="minorHAnsi" w:hAnsiTheme="minorHAnsi"/>
        </w:rPr>
      </w:pPr>
      <w:r w:rsidRPr="005E4773">
        <w:rPr>
          <w:rFonts w:asciiTheme="minorHAnsi" w:hAnsiTheme="minorHAnsi"/>
        </w:rPr>
        <w:t xml:space="preserve"> </w:t>
      </w:r>
    </w:p>
  </w:footnote>
  <w:footnote w:id="186">
    <w:p w:rsidR="00A13E1A" w:rsidRPr="005E4773"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For discussion see Emily Wada, “</w:t>
      </w:r>
      <w:r w:rsidRPr="005E4773">
        <w:rPr>
          <w:rFonts w:eastAsia="Calibri" w:cs="Times New Roman"/>
          <w:sz w:val="20"/>
          <w:szCs w:val="20"/>
        </w:rPr>
        <w:t xml:space="preserve">A Pretty Picture. The Margin of Appreciation and the Right to Assisted Suicide” (2005) 27 Loyola Los Angelos International and Comparative Law Review 275 and Petra Butler, “Margin of Appreciation: A Note Towards a Solution for the Pacific” (2008-2009) Victoria University Wellington Law Review 687. </w:t>
      </w:r>
    </w:p>
  </w:footnote>
  <w:footnote w:id="18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Schalk and Kopf v Austria</w:t>
      </w:r>
      <w:r>
        <w:rPr>
          <w:rFonts w:asciiTheme="minorHAnsi" w:hAnsiTheme="minorHAnsi"/>
        </w:rPr>
        <w:t>, n.172</w:t>
      </w:r>
      <w:r w:rsidRPr="005E4773">
        <w:rPr>
          <w:rFonts w:asciiTheme="minorHAnsi" w:hAnsiTheme="minorHAnsi"/>
        </w:rPr>
        <w:t xml:space="preserve">, para 105. </w:t>
      </w:r>
    </w:p>
    <w:p w:rsidR="00A13E1A" w:rsidRPr="005E4773" w:rsidRDefault="00A13E1A" w:rsidP="00A13E1A">
      <w:pPr>
        <w:pStyle w:val="FootnoteText"/>
        <w:spacing w:line="480" w:lineRule="auto"/>
        <w:jc w:val="both"/>
        <w:rPr>
          <w:rFonts w:asciiTheme="minorHAnsi" w:hAnsiTheme="minorHAnsi"/>
        </w:rPr>
      </w:pPr>
    </w:p>
  </w:footnote>
  <w:footnote w:id="188">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Grant v South West Trains</w:t>
      </w:r>
      <w:r w:rsidRPr="005E4773">
        <w:rPr>
          <w:rFonts w:asciiTheme="minorHAnsi" w:hAnsiTheme="minorHAnsi"/>
        </w:rPr>
        <w:t xml:space="preserve"> (Case C-249/96) [1998] 1 CMLR 993. See also the domestic decision of </w:t>
      </w:r>
      <w:r w:rsidRPr="005E4773">
        <w:rPr>
          <w:rFonts w:asciiTheme="minorHAnsi" w:hAnsiTheme="minorHAnsi"/>
          <w:i/>
        </w:rPr>
        <w:t>R v Ministry of Defence, ex parte Smith</w:t>
      </w:r>
      <w:r w:rsidRPr="005E4773">
        <w:rPr>
          <w:rFonts w:asciiTheme="minorHAnsi" w:hAnsiTheme="minorHAnsi"/>
        </w:rPr>
        <w:t xml:space="preserve"> [1996] 1 All ER 257 which applied the same interpretation of the EU directive. See also </w:t>
      </w:r>
      <w:r w:rsidRPr="005E4773">
        <w:rPr>
          <w:rFonts w:asciiTheme="minorHAnsi" w:hAnsiTheme="minorHAnsi"/>
          <w:i/>
        </w:rPr>
        <w:t>Advocate-General for Scotland v MacDonald</w:t>
      </w:r>
      <w:r w:rsidRPr="005E4773">
        <w:rPr>
          <w:rFonts w:asciiTheme="minorHAnsi" w:hAnsiTheme="minorHAnsi"/>
        </w:rPr>
        <w:t xml:space="preserve"> [2004] 1 All ER 339; </w:t>
      </w:r>
      <w:r w:rsidRPr="005E4773">
        <w:rPr>
          <w:rFonts w:asciiTheme="minorHAnsi" w:hAnsiTheme="minorHAnsi"/>
          <w:i/>
        </w:rPr>
        <w:t xml:space="preserve">Pearce v Governing Body of Mayfield School </w:t>
      </w:r>
      <w:r w:rsidRPr="005E4773">
        <w:rPr>
          <w:rFonts w:asciiTheme="minorHAnsi" w:hAnsiTheme="minorHAnsi"/>
        </w:rPr>
        <w:t xml:space="preserve">[2000] ICR 920 decided under the then existing Council Directive (EEC) 76/207 on the Implementation of the Principle of Equal Treatment for Men and Women as regards access to Employment </w:t>
      </w:r>
    </w:p>
    <w:p w:rsidR="00A13E1A" w:rsidRPr="005E4773" w:rsidRDefault="00A13E1A" w:rsidP="00A13E1A">
      <w:pPr>
        <w:pStyle w:val="FootnoteText"/>
        <w:spacing w:line="480" w:lineRule="auto"/>
        <w:jc w:val="both"/>
        <w:rPr>
          <w:rFonts w:asciiTheme="minorHAnsi" w:hAnsiTheme="minorHAnsi"/>
        </w:rPr>
      </w:pPr>
    </w:p>
  </w:footnote>
  <w:footnote w:id="18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Directive 2004/38.</w:t>
      </w:r>
    </w:p>
    <w:p w:rsidR="00A13E1A" w:rsidRPr="005E4773" w:rsidRDefault="00A13E1A" w:rsidP="00A13E1A">
      <w:pPr>
        <w:pStyle w:val="FootnoteText"/>
        <w:spacing w:line="480" w:lineRule="auto"/>
        <w:jc w:val="both"/>
        <w:rPr>
          <w:rFonts w:asciiTheme="minorHAnsi" w:hAnsiTheme="minorHAnsi"/>
        </w:rPr>
      </w:pPr>
    </w:p>
  </w:footnote>
  <w:footnote w:id="190">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F</w:t>
      </w:r>
      <w:r>
        <w:rPr>
          <w:sz w:val="20"/>
          <w:szCs w:val="20"/>
        </w:rPr>
        <w:t>or discussion see Stalford, n.22</w:t>
      </w:r>
      <w:r w:rsidRPr="005E4773">
        <w:rPr>
          <w:rFonts w:eastAsia="Calibri" w:cs="Times New Roman"/>
          <w:sz w:val="20"/>
          <w:szCs w:val="20"/>
        </w:rPr>
        <w:t xml:space="preserve"> and </w:t>
      </w:r>
      <w:r w:rsidRPr="005E4773">
        <w:rPr>
          <w:sz w:val="20"/>
          <w:szCs w:val="20"/>
        </w:rPr>
        <w:t>Spencer, n.1</w:t>
      </w:r>
      <w:r>
        <w:rPr>
          <w:sz w:val="20"/>
          <w:szCs w:val="20"/>
        </w:rPr>
        <w:t>75</w:t>
      </w:r>
      <w:r w:rsidRPr="005E4773">
        <w:rPr>
          <w:sz w:val="20"/>
          <w:szCs w:val="20"/>
        </w:rPr>
        <w:t>.</w:t>
      </w:r>
    </w:p>
    <w:p w:rsidR="00A13E1A" w:rsidRPr="005E4773" w:rsidRDefault="00A13E1A" w:rsidP="00A13E1A">
      <w:pPr>
        <w:spacing w:after="0" w:line="480" w:lineRule="auto"/>
        <w:jc w:val="both"/>
        <w:rPr>
          <w:rFonts w:eastAsia="Calibri" w:cs="Times New Roman"/>
          <w:sz w:val="20"/>
          <w:szCs w:val="20"/>
        </w:rPr>
      </w:pPr>
    </w:p>
  </w:footnote>
  <w:footnote w:id="191">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See Directive 2004/38 art 2(2)(a).Determined by </w:t>
      </w:r>
      <w:r w:rsidRPr="005E4773">
        <w:rPr>
          <w:rFonts w:asciiTheme="minorHAnsi" w:hAnsiTheme="minorHAnsi"/>
          <w:i/>
        </w:rPr>
        <w:t>Reed v Netherlands</w:t>
      </w:r>
      <w:r w:rsidRPr="005E4773">
        <w:rPr>
          <w:rFonts w:asciiTheme="minorHAnsi" w:hAnsiTheme="minorHAnsi"/>
        </w:rPr>
        <w:t xml:space="preserve"> (Case C-59/85) to be genuine marital relationships only.</w:t>
      </w:r>
    </w:p>
    <w:p w:rsidR="00A13E1A" w:rsidRPr="005E4773" w:rsidRDefault="00A13E1A" w:rsidP="00A13E1A">
      <w:pPr>
        <w:pStyle w:val="FootnoteText"/>
        <w:spacing w:line="480" w:lineRule="auto"/>
        <w:jc w:val="both"/>
        <w:rPr>
          <w:rFonts w:asciiTheme="minorHAnsi" w:hAnsiTheme="minorHAnsi"/>
        </w:rPr>
      </w:pPr>
    </w:p>
  </w:footnote>
  <w:footnote w:id="192">
    <w:p w:rsidR="00A13E1A" w:rsidRPr="005E4773" w:rsidRDefault="00A13E1A" w:rsidP="00A13E1A">
      <w:pPr>
        <w:pStyle w:val="FootnoteText"/>
        <w:spacing w:line="480" w:lineRule="auto"/>
        <w:jc w:val="both"/>
        <w:rPr>
          <w:rStyle w:val="HTMLCite"/>
          <w:rFonts w:asciiTheme="minorHAnsi" w:hAnsiTheme="minorHAnsi" w:cs="Arial"/>
        </w:rPr>
      </w:pPr>
      <w:r w:rsidRPr="005E4773">
        <w:rPr>
          <w:rStyle w:val="FootnoteReference"/>
          <w:rFonts w:asciiTheme="minorHAnsi" w:hAnsiTheme="minorHAnsi"/>
        </w:rPr>
        <w:footnoteRef/>
      </w:r>
      <w:r w:rsidRPr="005E4773">
        <w:rPr>
          <w:rFonts w:asciiTheme="minorHAnsi" w:hAnsiTheme="minorHAnsi"/>
        </w:rPr>
        <w:t xml:space="preserve"> Dimitri Kochenov, ‘On Options of Citizens and Moral choices of States: Gays and European Federalism’ (2009) 33(1) Fordham International Law Review 156, 190 referring to Mark Bell, ‘EU Directive on Free Movement and Same-Sex Families: Guidelines on the Implementation Process,’ 2005 </w:t>
      </w:r>
      <w:r w:rsidRPr="005E4773">
        <w:rPr>
          <w:rFonts w:asciiTheme="minorHAnsi" w:hAnsiTheme="minorHAnsi"/>
          <w:i/>
        </w:rPr>
        <w:t xml:space="preserve">ILGA Europe, The European Region of the International Lesbian and Gay Association, available at </w:t>
      </w:r>
      <w:hyperlink r:id="rId4" w:history="1">
        <w:r w:rsidRPr="005E4773">
          <w:rPr>
            <w:rStyle w:val="Hyperlink"/>
            <w:rFonts w:asciiTheme="minorHAnsi" w:hAnsiTheme="minorHAnsi" w:cs="Arial"/>
            <w:color w:val="auto"/>
            <w:u w:val="none"/>
          </w:rPr>
          <w:t>www.ilga-europe.org/content/download/1448/9061/file/</w:t>
        </w:r>
        <w:r w:rsidRPr="005E4773">
          <w:rPr>
            <w:rStyle w:val="Hyperlink"/>
            <w:rFonts w:asciiTheme="minorHAnsi" w:hAnsiTheme="minorHAnsi" w:cs="Arial"/>
            <w:bCs/>
            <w:color w:val="auto"/>
            <w:u w:val="none"/>
          </w:rPr>
          <w:t>free</w:t>
        </w:r>
        <w:r w:rsidRPr="005E4773">
          <w:rPr>
            <w:rStyle w:val="Hyperlink"/>
            <w:rFonts w:asciiTheme="minorHAnsi" w:hAnsiTheme="minorHAnsi" w:cs="Arial"/>
            <w:color w:val="auto"/>
            <w:u w:val="none"/>
          </w:rPr>
          <w:t>dom.pdf</w:t>
        </w:r>
      </w:hyperlink>
      <w:r w:rsidRPr="005E4773">
        <w:rPr>
          <w:rStyle w:val="HTMLCite"/>
          <w:rFonts w:asciiTheme="minorHAnsi" w:hAnsiTheme="minorHAnsi" w:cs="Arial"/>
        </w:rPr>
        <w:t xml:space="preserve">. </w:t>
      </w:r>
    </w:p>
    <w:p w:rsidR="00A13E1A" w:rsidRPr="005E4773" w:rsidRDefault="00A13E1A" w:rsidP="00A13E1A">
      <w:pPr>
        <w:pStyle w:val="FootnoteText"/>
        <w:spacing w:line="480" w:lineRule="auto"/>
        <w:jc w:val="both"/>
        <w:rPr>
          <w:rFonts w:asciiTheme="minorHAnsi" w:hAnsiTheme="minorHAnsi"/>
        </w:rPr>
      </w:pPr>
    </w:p>
  </w:footnote>
  <w:footnote w:id="193">
    <w:p w:rsidR="00A13E1A" w:rsidRPr="005E4773" w:rsidRDefault="00A13E1A" w:rsidP="00A13E1A">
      <w:pPr>
        <w:pStyle w:val="FootnoteText"/>
        <w:spacing w:line="480" w:lineRule="auto"/>
        <w:jc w:val="both"/>
        <w:rPr>
          <w:rStyle w:val="sfbbfee58"/>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6A57B4">
        <w:rPr>
          <w:rFonts w:asciiTheme="minorHAnsi" w:hAnsiTheme="minorHAnsi"/>
          <w:i/>
        </w:rPr>
        <w:t>See</w:t>
      </w:r>
      <w:r>
        <w:rPr>
          <w:rFonts w:asciiTheme="minorHAnsi" w:hAnsiTheme="minorHAnsi"/>
        </w:rPr>
        <w:t xml:space="preserve"> n.182.</w:t>
      </w:r>
    </w:p>
    <w:p w:rsidR="00A13E1A" w:rsidRPr="005E4773" w:rsidRDefault="00A13E1A" w:rsidP="00A13E1A">
      <w:pPr>
        <w:pStyle w:val="FootnoteText"/>
        <w:spacing w:line="480" w:lineRule="auto"/>
        <w:jc w:val="both"/>
        <w:rPr>
          <w:rFonts w:asciiTheme="minorHAnsi" w:hAnsiTheme="minorHAnsi"/>
        </w:rPr>
      </w:pPr>
    </w:p>
  </w:footnote>
  <w:footnote w:id="194">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Directive 2004/38 art 2(2)(b).</w:t>
      </w:r>
    </w:p>
    <w:p w:rsidR="00A13E1A" w:rsidRPr="005E4773" w:rsidRDefault="00A13E1A" w:rsidP="00A13E1A">
      <w:pPr>
        <w:pStyle w:val="FootnoteText"/>
        <w:spacing w:line="480" w:lineRule="auto"/>
        <w:jc w:val="both"/>
        <w:rPr>
          <w:rFonts w:asciiTheme="minorHAnsi" w:hAnsiTheme="minorHAnsi"/>
        </w:rPr>
      </w:pPr>
    </w:p>
  </w:footnote>
  <w:footnote w:id="195">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 xml:space="preserve">Oliari </w:t>
      </w:r>
      <w:r w:rsidRPr="005E4773">
        <w:rPr>
          <w:rFonts w:asciiTheme="minorHAnsi" w:hAnsiTheme="minorHAnsi"/>
        </w:rPr>
        <w:t>n.2</w:t>
      </w:r>
      <w:r>
        <w:rPr>
          <w:rFonts w:asciiTheme="minorHAnsi" w:hAnsiTheme="minorHAnsi"/>
        </w:rPr>
        <w:t>2</w:t>
      </w:r>
      <w:r w:rsidRPr="005E4773">
        <w:rPr>
          <w:rFonts w:asciiTheme="minorHAnsi" w:hAnsiTheme="minorHAnsi"/>
        </w:rPr>
        <w:t>.</w:t>
      </w:r>
    </w:p>
    <w:p w:rsidR="00A13E1A" w:rsidRPr="005E4773" w:rsidRDefault="00A13E1A" w:rsidP="00A13E1A">
      <w:pPr>
        <w:pStyle w:val="FootnoteText"/>
        <w:spacing w:line="480" w:lineRule="auto"/>
        <w:rPr>
          <w:rFonts w:asciiTheme="minorHAnsi" w:hAnsiTheme="minorHAnsi"/>
        </w:rPr>
      </w:pPr>
    </w:p>
  </w:footnote>
  <w:footnote w:id="196">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F</w:t>
      </w:r>
      <w:r>
        <w:rPr>
          <w:rFonts w:asciiTheme="minorHAnsi" w:hAnsiTheme="minorHAnsi"/>
        </w:rPr>
        <w:t>or discussion see Grigolo, n.2.</w:t>
      </w:r>
    </w:p>
    <w:p w:rsidR="00A13E1A" w:rsidRPr="005E4773" w:rsidRDefault="00A13E1A" w:rsidP="00A13E1A">
      <w:pPr>
        <w:pStyle w:val="FootnoteText"/>
        <w:spacing w:line="480" w:lineRule="auto"/>
        <w:jc w:val="both"/>
        <w:rPr>
          <w:rFonts w:asciiTheme="minorHAnsi" w:hAnsiTheme="minorHAnsi"/>
        </w:rPr>
      </w:pPr>
    </w:p>
  </w:footnote>
  <w:footnote w:id="197">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w:t>
      </w:r>
      <w:r w:rsidRPr="005E4773">
        <w:rPr>
          <w:i/>
          <w:sz w:val="20"/>
          <w:szCs w:val="20"/>
        </w:rPr>
        <w:t>See eg</w:t>
      </w:r>
      <w:r w:rsidRPr="005E4773">
        <w:rPr>
          <w:sz w:val="20"/>
          <w:szCs w:val="20"/>
        </w:rPr>
        <w:t xml:space="preserve"> Yuval Shany, “</w:t>
      </w:r>
      <w:r w:rsidRPr="005E4773">
        <w:rPr>
          <w:rFonts w:eastAsia="Calibri" w:cs="Times New Roman"/>
          <w:sz w:val="20"/>
          <w:szCs w:val="20"/>
        </w:rPr>
        <w:t xml:space="preserve">Toward a General Margin of Appreciation Doctrine in International Law?”(2005) 16(5) European Journal of International Law 907 and </w:t>
      </w:r>
      <w:r w:rsidRPr="005E4773">
        <w:rPr>
          <w:sz w:val="20"/>
          <w:szCs w:val="20"/>
        </w:rPr>
        <w:t xml:space="preserve">Eyal Benvenisiti,  “Margin of Appreciation, Consensus and Universal Standards” (1998-1999) 31 New York University Journal of International Law and Policy 843. </w:t>
      </w:r>
    </w:p>
    <w:p w:rsidR="00A13E1A" w:rsidRPr="005E4773" w:rsidRDefault="00A13E1A" w:rsidP="00A13E1A">
      <w:pPr>
        <w:spacing w:after="0" w:line="480" w:lineRule="auto"/>
        <w:jc w:val="both"/>
        <w:rPr>
          <w:rFonts w:eastAsia="Calibri" w:cs="Times New Roman"/>
          <w:sz w:val="20"/>
          <w:szCs w:val="20"/>
        </w:rPr>
      </w:pPr>
    </w:p>
  </w:footnote>
  <w:footnote w:id="198">
    <w:p w:rsidR="00A13E1A" w:rsidRDefault="00A13E1A" w:rsidP="00A13E1A">
      <w:pPr>
        <w:spacing w:after="0" w:line="480" w:lineRule="auto"/>
        <w:jc w:val="both"/>
        <w:rPr>
          <w:sz w:val="20"/>
          <w:szCs w:val="20"/>
        </w:rPr>
      </w:pPr>
      <w:r w:rsidRPr="005E4773">
        <w:rPr>
          <w:rStyle w:val="FootnoteReference"/>
          <w:sz w:val="20"/>
          <w:szCs w:val="20"/>
        </w:rPr>
        <w:footnoteRef/>
      </w:r>
      <w:r>
        <w:rPr>
          <w:sz w:val="20"/>
          <w:szCs w:val="20"/>
        </w:rPr>
        <w:t xml:space="preserve"> Shany, n.196</w:t>
      </w:r>
      <w:r w:rsidRPr="005E4773">
        <w:rPr>
          <w:sz w:val="20"/>
          <w:szCs w:val="20"/>
        </w:rPr>
        <w:t xml:space="preserve">, 920-921. </w:t>
      </w:r>
    </w:p>
    <w:p w:rsidR="00A13E1A" w:rsidRPr="005E4773" w:rsidRDefault="00A13E1A" w:rsidP="00A13E1A">
      <w:pPr>
        <w:spacing w:after="0" w:line="480" w:lineRule="auto"/>
        <w:jc w:val="both"/>
        <w:rPr>
          <w:sz w:val="20"/>
          <w:szCs w:val="20"/>
        </w:rPr>
      </w:pPr>
    </w:p>
  </w:footnote>
  <w:footnote w:id="199">
    <w:p w:rsidR="00A13E1A" w:rsidRPr="005E4773"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Peter McEleavy, “The Communitarization of Divorce Rules: What Impact for English and Scottish Law?” (2004) 53(3) International and Comparative Law Quarte</w:t>
      </w:r>
      <w:r>
        <w:rPr>
          <w:sz w:val="20"/>
          <w:szCs w:val="20"/>
        </w:rPr>
        <w:t>rly 605. See also Spencer, n.175</w:t>
      </w:r>
      <w:r w:rsidRPr="005E4773">
        <w:rPr>
          <w:sz w:val="20"/>
          <w:szCs w:val="20"/>
        </w:rPr>
        <w:t>.</w:t>
      </w:r>
    </w:p>
  </w:footnote>
  <w:footnote w:id="20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 eg</w:t>
      </w:r>
      <w:r w:rsidRPr="005E4773">
        <w:rPr>
          <w:rFonts w:asciiTheme="minorHAnsi" w:hAnsiTheme="minorHAnsi"/>
        </w:rPr>
        <w:t xml:space="preserve"> Brussels Convention on Jurisdiction and Enforcement of Judgments in Civil and Commercial matters, September 26, 1968; Council Regulation (EC) No 1347/2000 on Jurisdiction and Recognition and Enforcement of Judgments in Matrimonial Matters and in Matters of Parental Responsibility for Children of both Spouses of 29 May 2000 (known as Brussels II); Council Regulation (EC) No 2201/2003 Concerning Jurisdiction and the Recognition and Enforcement of Judgments in Matrimonial Matters and the Matters of Parental Responsibility (known as Brussels II</w:t>
      </w:r>
      <w:r w:rsidRPr="005E4773">
        <w:rPr>
          <w:rFonts w:asciiTheme="minorHAnsi" w:hAnsiTheme="minorHAnsi"/>
          <w:i/>
        </w:rPr>
        <w:t>bis</w:t>
      </w:r>
      <w:r w:rsidRPr="005E4773">
        <w:rPr>
          <w:rFonts w:asciiTheme="minorHAnsi" w:hAnsiTheme="minorHAnsi"/>
        </w:rPr>
        <w:t xml:space="preserve">). </w:t>
      </w:r>
    </w:p>
    <w:p w:rsidR="00A13E1A" w:rsidRPr="005E4773" w:rsidRDefault="00A13E1A" w:rsidP="00A13E1A">
      <w:pPr>
        <w:pStyle w:val="FootnoteText"/>
        <w:spacing w:line="480" w:lineRule="auto"/>
        <w:jc w:val="both"/>
        <w:rPr>
          <w:rFonts w:asciiTheme="minorHAnsi" w:hAnsiTheme="minorHAnsi"/>
        </w:rPr>
      </w:pPr>
      <w:r w:rsidRPr="005E4773">
        <w:rPr>
          <w:rFonts w:asciiTheme="minorHAnsi" w:eastAsiaTheme="minorEastAsia" w:hAnsiTheme="minorHAnsi"/>
          <w:lang w:eastAsia="zh-CN"/>
        </w:rPr>
        <w:t xml:space="preserve"> </w:t>
      </w:r>
    </w:p>
  </w:footnote>
  <w:footnote w:id="201">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Maire Ni Shuilleabhain, “Ten Years of European Family Law: Retrospective Reflections from a Common Law Perspective” (2010) 59(4) International and Comparative Law Quarterly 1021, 1022. </w:t>
      </w:r>
    </w:p>
    <w:p w:rsidR="00A13E1A" w:rsidRPr="005E4773" w:rsidRDefault="00A13E1A" w:rsidP="00A13E1A">
      <w:pPr>
        <w:spacing w:after="0" w:line="480" w:lineRule="auto"/>
        <w:jc w:val="both"/>
        <w:rPr>
          <w:sz w:val="20"/>
          <w:szCs w:val="20"/>
        </w:rPr>
      </w:pPr>
    </w:p>
  </w:footnote>
  <w:footnote w:id="202">
    <w:p w:rsidR="00A13E1A" w:rsidRPr="005E4773" w:rsidRDefault="00A13E1A" w:rsidP="00A13E1A">
      <w:pPr>
        <w:pStyle w:val="FootnoteText"/>
        <w:spacing w:line="480" w:lineRule="auto"/>
        <w:jc w:val="both"/>
        <w:rPr>
          <w:rFonts w:asciiTheme="minorHAnsi" w:eastAsia="Times New Roman" w:hAnsiTheme="minorHAnsi"/>
          <w:lang w:val="en-US" w:eastAsia="zh-CN"/>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eastAsiaTheme="minorEastAsia" w:hAnsiTheme="minorHAnsi"/>
          <w:lang w:eastAsia="zh-CN"/>
        </w:rPr>
        <w:t xml:space="preserve">Regulation (EU) NO. 650/2012 </w:t>
      </w:r>
      <w:r w:rsidRPr="005E4773">
        <w:rPr>
          <w:rFonts w:asciiTheme="minorHAnsi" w:eastAsia="Times New Roman" w:hAnsiTheme="minorHAnsi"/>
          <w:bCs/>
          <w:lang w:val="en-US" w:eastAsia="zh-CN"/>
        </w:rPr>
        <w:t>on Jurisdiction, Applicable Law, Recognition and Enforcement of Decisions and Acceptance and Enforcement of Authentic Instruments in Matters of Succession and on the Creation of a European Certificate of Succession</w:t>
      </w:r>
      <w:r w:rsidRPr="005E4773">
        <w:rPr>
          <w:rFonts w:asciiTheme="minorHAnsi" w:eastAsia="Times New Roman" w:hAnsiTheme="minorHAnsi"/>
          <w:lang w:val="en-US" w:eastAsia="zh-CN"/>
        </w:rPr>
        <w:t xml:space="preserve"> will apply from 17 August 2015, to the succession of persons who die on or after that date. Denmark, Ireland and the United Kingdom did not take part in the adoption of the instrument.</w:t>
      </w:r>
    </w:p>
    <w:p w:rsidR="00A13E1A" w:rsidRPr="005E4773" w:rsidRDefault="00A13E1A" w:rsidP="00A13E1A">
      <w:pPr>
        <w:pStyle w:val="FootnoteText"/>
        <w:spacing w:line="480" w:lineRule="auto"/>
        <w:jc w:val="both"/>
        <w:rPr>
          <w:rFonts w:asciiTheme="minorHAnsi" w:hAnsiTheme="minorHAnsi"/>
        </w:rPr>
      </w:pPr>
    </w:p>
  </w:footnote>
  <w:footnote w:id="203">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eastAsiaTheme="minorEastAsia" w:hAnsiTheme="minorHAnsi"/>
          <w:lang w:eastAsia="zh-CN"/>
        </w:rPr>
        <w:t xml:space="preserve">The European Commission proposed in </w:t>
      </w:r>
      <w:r w:rsidRPr="005E4773">
        <w:rPr>
          <w:rFonts w:asciiTheme="minorHAnsi" w:hAnsiTheme="minorHAnsi"/>
          <w:lang w:val="en-US"/>
        </w:rPr>
        <w:t>COM(2011) 127</w:t>
      </w:r>
      <w:r w:rsidRPr="005E4773">
        <w:rPr>
          <w:rFonts w:asciiTheme="minorHAnsi" w:hAnsiTheme="minorHAnsi"/>
          <w:u w:val="single"/>
          <w:lang w:val="en-US"/>
        </w:rPr>
        <w:t xml:space="preserve"> </w:t>
      </w:r>
      <w:r w:rsidRPr="005E4773">
        <w:rPr>
          <w:rFonts w:asciiTheme="minorHAnsi" w:eastAsiaTheme="minorEastAsia" w:hAnsiTheme="minorHAnsi"/>
          <w:lang w:val="en-US" w:eastAsia="zh-CN"/>
        </w:rPr>
        <w:t xml:space="preserve"> </w:t>
      </w:r>
      <w:r w:rsidRPr="005E4773">
        <w:rPr>
          <w:rFonts w:asciiTheme="minorHAnsi" w:eastAsiaTheme="minorHAnsi" w:hAnsiTheme="minorHAnsi" w:cstheme="minorBidi"/>
          <w:lang w:val="en-US"/>
        </w:rPr>
        <w:t xml:space="preserve">“Bringing Legal clarity to property rights for international couples” 16 March 2011  two further regulations; COM(2011) 125, </w:t>
      </w:r>
      <w:r w:rsidRPr="005E4773">
        <w:rPr>
          <w:rFonts w:asciiTheme="minorHAnsi" w:eastAsiaTheme="minorEastAsia" w:hAnsiTheme="minorHAnsi"/>
          <w:lang w:eastAsia="zh-CN"/>
        </w:rPr>
        <w:t>a Council Regulation on Jurisdiction, Applicable Law and Recognition and Enforcement of Decisions in Matters of Matrimonial Property Regimes and Jurisdiction, 16 March 2011 and</w:t>
      </w:r>
      <w:r w:rsidRPr="005E4773">
        <w:rPr>
          <w:rFonts w:asciiTheme="minorHAnsi" w:hAnsiTheme="minorHAnsi"/>
          <w:lang w:val="en-US"/>
        </w:rPr>
        <w:t xml:space="preserve"> </w:t>
      </w:r>
      <w:hyperlink r:id="rId5" w:tgtFrame="_blank" w:history="1">
        <w:r w:rsidRPr="005E4773">
          <w:rPr>
            <w:rStyle w:val="Hyperlink"/>
            <w:rFonts w:asciiTheme="minorHAnsi" w:hAnsiTheme="minorHAnsi"/>
            <w:color w:val="auto"/>
            <w:u w:val="none"/>
            <w:lang w:val="en-US"/>
          </w:rPr>
          <w:t>COM(2011) 126</w:t>
        </w:r>
        <w:r w:rsidRPr="005E4773">
          <w:rPr>
            <w:rStyle w:val="Hyperlink"/>
            <w:rFonts w:asciiTheme="minorHAnsi" w:hAnsiTheme="minorHAnsi"/>
            <w:lang w:val="en-US"/>
          </w:rPr>
          <w:t xml:space="preserve"> </w:t>
        </w:r>
      </w:hyperlink>
      <w:r w:rsidRPr="005E4773">
        <w:rPr>
          <w:rFonts w:asciiTheme="minorHAnsi" w:eastAsiaTheme="minorEastAsia" w:hAnsiTheme="minorHAnsi"/>
          <w:lang w:eastAsia="zh-CN"/>
        </w:rPr>
        <w:t>on Applicable Law and the Recognition and Enforcement of Decisions Regarding the Property Consequences of Registered Partnerships, 16 March 2011.</w:t>
      </w:r>
    </w:p>
    <w:p w:rsidR="00A13E1A" w:rsidRPr="005E4773" w:rsidRDefault="00A13E1A" w:rsidP="00A13E1A">
      <w:pPr>
        <w:pStyle w:val="FootnoteText"/>
        <w:spacing w:line="480" w:lineRule="auto"/>
        <w:jc w:val="both"/>
        <w:rPr>
          <w:rFonts w:asciiTheme="minorHAnsi" w:hAnsiTheme="minorHAnsi"/>
        </w:rPr>
      </w:pPr>
    </w:p>
  </w:footnote>
  <w:footnote w:id="204">
    <w:p w:rsidR="00A13E1A" w:rsidRPr="005E4773" w:rsidRDefault="00A13E1A" w:rsidP="00A13E1A">
      <w:pPr>
        <w:pStyle w:val="FootnoteText"/>
        <w:spacing w:line="480" w:lineRule="auto"/>
        <w:jc w:val="both"/>
        <w:rPr>
          <w:rFonts w:asciiTheme="minorHAnsi" w:eastAsiaTheme="minorHAnsi" w:hAnsiTheme="minorHAnsi" w:cstheme="minorBidi"/>
          <w:lang w:val="en-US"/>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lang w:val="en-US"/>
        </w:rPr>
        <w:t>COM(2010) 747, “</w:t>
      </w:r>
      <w:r w:rsidRPr="005E4773">
        <w:rPr>
          <w:rFonts w:asciiTheme="minorHAnsi" w:eastAsiaTheme="minorHAnsi" w:hAnsiTheme="minorHAnsi" w:cstheme="minorBidi"/>
          <w:lang w:val="en-US"/>
        </w:rPr>
        <w:t>Less Bureaucracy for Citizens Promoting Free Movement of Public Documents and the Recognition of the Effect of Civil Status Records” 14 December 2010.</w:t>
      </w:r>
    </w:p>
    <w:p w:rsidR="00A13E1A" w:rsidRPr="005E4773" w:rsidRDefault="00A13E1A" w:rsidP="00A13E1A">
      <w:pPr>
        <w:pStyle w:val="FootnoteText"/>
        <w:spacing w:line="480" w:lineRule="auto"/>
        <w:jc w:val="both"/>
        <w:rPr>
          <w:rFonts w:asciiTheme="minorHAnsi" w:hAnsiTheme="minorHAnsi"/>
        </w:rPr>
      </w:pPr>
      <w:r w:rsidRPr="005E4773">
        <w:rPr>
          <w:rFonts w:asciiTheme="minorHAnsi" w:eastAsiaTheme="minorHAnsi" w:hAnsiTheme="minorHAnsi" w:cstheme="minorBidi"/>
          <w:lang w:val="en-US"/>
        </w:rPr>
        <w:t xml:space="preserve">  </w:t>
      </w:r>
    </w:p>
  </w:footnote>
  <w:footnote w:id="205">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COM (2013) 228, “Proposal for a Regulation on Promoting the Free Movement of Citizens”, 24 April 2013. </w:t>
      </w:r>
    </w:p>
    <w:p w:rsidR="00A13E1A" w:rsidRPr="005E4773" w:rsidRDefault="00A13E1A" w:rsidP="00A13E1A">
      <w:pPr>
        <w:pStyle w:val="FootnoteText"/>
        <w:spacing w:line="480" w:lineRule="auto"/>
        <w:jc w:val="both"/>
        <w:rPr>
          <w:rFonts w:asciiTheme="minorHAnsi" w:hAnsiTheme="minorHAnsi"/>
        </w:rPr>
      </w:pPr>
    </w:p>
  </w:footnote>
  <w:footnote w:id="206">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For discussion see Peter McEleavy, n.19</w:t>
      </w:r>
      <w:r>
        <w:rPr>
          <w:sz w:val="20"/>
          <w:szCs w:val="20"/>
        </w:rPr>
        <w:t>8</w:t>
      </w:r>
      <w:r w:rsidRPr="005E4773">
        <w:rPr>
          <w:sz w:val="20"/>
          <w:szCs w:val="20"/>
        </w:rPr>
        <w:t xml:space="preserve">. </w:t>
      </w:r>
    </w:p>
    <w:p w:rsidR="00A13E1A" w:rsidRPr="005E4773" w:rsidRDefault="00A13E1A" w:rsidP="00A13E1A">
      <w:pPr>
        <w:spacing w:after="0" w:line="480" w:lineRule="auto"/>
        <w:jc w:val="both"/>
        <w:rPr>
          <w:sz w:val="20"/>
          <w:szCs w:val="20"/>
        </w:rPr>
      </w:pPr>
    </w:p>
  </w:footnote>
  <w:footnote w:id="207">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Moir and Beaumont, n.1</w:t>
      </w:r>
      <w:r>
        <w:rPr>
          <w:rFonts w:asciiTheme="minorHAnsi" w:hAnsiTheme="minorHAnsi"/>
        </w:rPr>
        <w:t>74, 288</w:t>
      </w:r>
      <w:r w:rsidRPr="005E4773">
        <w:rPr>
          <w:rFonts w:asciiTheme="minorHAnsi" w:hAnsiTheme="minorHAnsi"/>
        </w:rPr>
        <w:t xml:space="preserve">. </w:t>
      </w:r>
    </w:p>
    <w:p w:rsidR="00A13E1A" w:rsidRPr="005E4773" w:rsidRDefault="00A13E1A" w:rsidP="00A13E1A">
      <w:pPr>
        <w:pStyle w:val="FootnoteText"/>
        <w:spacing w:line="480" w:lineRule="auto"/>
        <w:jc w:val="both"/>
        <w:rPr>
          <w:rFonts w:asciiTheme="minorHAnsi" w:hAnsiTheme="minorHAnsi"/>
        </w:rPr>
      </w:pPr>
    </w:p>
  </w:footnote>
  <w:footnote w:id="208">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See the International Commission on Civil Status’ website available at </w:t>
      </w:r>
      <w:hyperlink r:id="rId6" w:history="1">
        <w:r w:rsidRPr="005E4773">
          <w:rPr>
            <w:rStyle w:val="Hyperlink"/>
            <w:rFonts w:asciiTheme="minorHAnsi" w:hAnsiTheme="minorHAnsi"/>
          </w:rPr>
          <w:t>http://ciec1.org/SignatRatifConv.pdf</w:t>
        </w:r>
      </w:hyperlink>
    </w:p>
    <w:p w:rsidR="00A13E1A" w:rsidRPr="005E4773" w:rsidRDefault="00A13E1A" w:rsidP="00A13E1A">
      <w:pPr>
        <w:pStyle w:val="FootnoteText"/>
        <w:spacing w:line="480" w:lineRule="auto"/>
        <w:jc w:val="both"/>
        <w:rPr>
          <w:rFonts w:asciiTheme="minorHAnsi" w:hAnsiTheme="minorHAnsi"/>
        </w:rPr>
      </w:pPr>
    </w:p>
  </w:footnote>
  <w:footnote w:id="209">
    <w:p w:rsidR="00A13E1A"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For discussion see Stalford, n.2</w:t>
      </w:r>
      <w:r>
        <w:rPr>
          <w:sz w:val="20"/>
          <w:szCs w:val="20"/>
        </w:rPr>
        <w:t>3</w:t>
      </w:r>
      <w:r w:rsidRPr="005E4773">
        <w:rPr>
          <w:sz w:val="20"/>
          <w:szCs w:val="20"/>
        </w:rPr>
        <w:t>.</w:t>
      </w:r>
    </w:p>
    <w:p w:rsidR="00A13E1A" w:rsidRPr="005E4773" w:rsidRDefault="00A13E1A" w:rsidP="00A13E1A">
      <w:pPr>
        <w:spacing w:after="0" w:line="480" w:lineRule="auto"/>
        <w:jc w:val="both"/>
        <w:rPr>
          <w:sz w:val="20"/>
          <w:szCs w:val="20"/>
        </w:rPr>
      </w:pPr>
    </w:p>
  </w:footnote>
  <w:footnote w:id="210">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See </w:t>
      </w:r>
      <w:r w:rsidRPr="005E4773">
        <w:rPr>
          <w:rFonts w:asciiTheme="minorHAnsi" w:hAnsiTheme="minorHAnsi"/>
          <w:i/>
        </w:rPr>
        <w:t>Ibid</w:t>
      </w:r>
      <w:r w:rsidRPr="005E4773">
        <w:rPr>
          <w:rFonts w:asciiTheme="minorHAnsi" w:hAnsiTheme="minorHAnsi"/>
        </w:rPr>
        <w:t xml:space="preserve"> and Spencer, n,1</w:t>
      </w:r>
      <w:r>
        <w:rPr>
          <w:rFonts w:asciiTheme="minorHAnsi" w:hAnsiTheme="minorHAnsi"/>
        </w:rPr>
        <w:t>75</w:t>
      </w:r>
      <w:r w:rsidRPr="005E4773">
        <w:rPr>
          <w:rFonts w:asciiTheme="minorHAnsi" w:hAnsiTheme="minorHAnsi"/>
        </w:rPr>
        <w:t>.</w:t>
      </w:r>
    </w:p>
    <w:p w:rsidR="00A13E1A" w:rsidRPr="005E4773" w:rsidRDefault="00A13E1A" w:rsidP="00A13E1A">
      <w:pPr>
        <w:pStyle w:val="FootnoteText"/>
        <w:spacing w:line="480" w:lineRule="auto"/>
        <w:jc w:val="both"/>
        <w:rPr>
          <w:rFonts w:asciiTheme="minorHAnsi" w:hAnsiTheme="minorHAnsi"/>
        </w:rPr>
      </w:pPr>
    </w:p>
  </w:footnote>
  <w:footnote w:id="211">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Alegria Borras, Official Journal C221, “</w:t>
      </w:r>
      <w:r w:rsidRPr="005E4773">
        <w:rPr>
          <w:rFonts w:asciiTheme="minorHAnsi" w:eastAsiaTheme="minorHAnsi" w:hAnsiTheme="minorHAnsi" w:cs="Tahoma"/>
          <w:bCs/>
        </w:rPr>
        <w:t xml:space="preserve">Explanatory Report on the Brussels II Convention … on Jurisdiction and the Recognition and Enforcement of Judgments in Matrimonial Matters”, 16 July 1998, paragraph 1. </w:t>
      </w:r>
      <w:r w:rsidRPr="005E4773">
        <w:rPr>
          <w:rFonts w:asciiTheme="minorHAnsi" w:eastAsiaTheme="minorHAnsi" w:hAnsiTheme="minorHAnsi" w:cs="Tahoma"/>
          <w:color w:val="444444"/>
        </w:rPr>
        <w:br/>
      </w:r>
    </w:p>
  </w:footnote>
  <w:footnote w:id="212">
    <w:p w:rsidR="00A13E1A" w:rsidRPr="005E4773" w:rsidRDefault="00A13E1A" w:rsidP="00A13E1A">
      <w:pPr>
        <w:spacing w:after="0" w:line="480" w:lineRule="auto"/>
        <w:jc w:val="both"/>
        <w:rPr>
          <w:sz w:val="20"/>
          <w:szCs w:val="20"/>
        </w:rPr>
      </w:pPr>
      <w:r w:rsidRPr="005E4773">
        <w:rPr>
          <w:rStyle w:val="FootnoteReference"/>
          <w:sz w:val="20"/>
          <w:szCs w:val="20"/>
        </w:rPr>
        <w:footnoteRef/>
      </w:r>
      <w:r w:rsidRPr="005E4773">
        <w:rPr>
          <w:sz w:val="20"/>
          <w:szCs w:val="20"/>
        </w:rPr>
        <w:t xml:space="preserve"> McEleavy, n.19</w:t>
      </w:r>
      <w:r>
        <w:rPr>
          <w:sz w:val="20"/>
          <w:szCs w:val="20"/>
        </w:rPr>
        <w:t>8</w:t>
      </w:r>
      <w:r w:rsidRPr="005E4773">
        <w:rPr>
          <w:sz w:val="20"/>
          <w:szCs w:val="20"/>
        </w:rPr>
        <w:t>.</w:t>
      </w:r>
    </w:p>
  </w:footnote>
  <w:footnote w:id="213">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The Centre for Social Justice, “</w:t>
      </w:r>
      <w:r w:rsidRPr="005E4773">
        <w:rPr>
          <w:rFonts w:eastAsia="Calibri" w:cs="Times New Roman"/>
          <w:sz w:val="20"/>
          <w:szCs w:val="20"/>
        </w:rPr>
        <w:t xml:space="preserve">European Family Law: Faster Divorce and Foreign Law” (2009) 5, available at </w:t>
      </w:r>
      <w:hyperlink r:id="rId7" w:history="1">
        <w:r w:rsidRPr="00777786">
          <w:rPr>
            <w:rStyle w:val="Hyperlink"/>
            <w:rFonts w:eastAsia="Calibri" w:cs="Times New Roman"/>
            <w:sz w:val="20"/>
            <w:szCs w:val="20"/>
          </w:rPr>
          <w:t>http://www.centreforsocialjustice.org.uk/UserStorage/pdf/Pdf%20reports/CSJEuropeanFamilyLaw.pdf</w:t>
        </w:r>
      </w:hyperlink>
    </w:p>
    <w:p w:rsidR="00A13E1A" w:rsidRPr="005E4773" w:rsidRDefault="00A13E1A" w:rsidP="00A13E1A">
      <w:pPr>
        <w:spacing w:after="0" w:line="480" w:lineRule="auto"/>
        <w:jc w:val="both"/>
        <w:rPr>
          <w:sz w:val="20"/>
          <w:szCs w:val="20"/>
        </w:rPr>
      </w:pPr>
    </w:p>
  </w:footnote>
  <w:footnote w:id="214">
    <w:p w:rsidR="00A13E1A" w:rsidRDefault="00A13E1A" w:rsidP="00A13E1A">
      <w:pPr>
        <w:spacing w:after="0" w:line="480" w:lineRule="auto"/>
        <w:jc w:val="both"/>
        <w:rPr>
          <w:sz w:val="20"/>
          <w:szCs w:val="20"/>
        </w:rPr>
      </w:pPr>
      <w:r w:rsidRPr="005E4773">
        <w:rPr>
          <w:rStyle w:val="FootnoteReference"/>
          <w:sz w:val="20"/>
          <w:szCs w:val="20"/>
        </w:rPr>
        <w:footnoteRef/>
      </w:r>
      <w:r w:rsidRPr="005E4773">
        <w:rPr>
          <w:rFonts w:eastAsia="Calibri" w:cs="Times New Roman"/>
          <w:sz w:val="20"/>
          <w:szCs w:val="20"/>
        </w:rPr>
        <w:t xml:space="preserve"> Shuibhne, n.1</w:t>
      </w:r>
      <w:r>
        <w:rPr>
          <w:rFonts w:eastAsia="Calibri" w:cs="Times New Roman"/>
          <w:sz w:val="20"/>
          <w:szCs w:val="20"/>
        </w:rPr>
        <w:t>79</w:t>
      </w:r>
      <w:r w:rsidRPr="005E4773">
        <w:rPr>
          <w:rFonts w:eastAsia="Calibri" w:cs="Times New Roman"/>
          <w:sz w:val="20"/>
          <w:szCs w:val="20"/>
        </w:rPr>
        <w:t>, 230.</w:t>
      </w:r>
      <w:r w:rsidRPr="005E4773">
        <w:rPr>
          <w:sz w:val="20"/>
          <w:szCs w:val="20"/>
        </w:rPr>
        <w:t xml:space="preserve"> </w:t>
      </w:r>
    </w:p>
    <w:p w:rsidR="00A13E1A" w:rsidRPr="005E4773" w:rsidRDefault="00A13E1A" w:rsidP="00A13E1A">
      <w:pPr>
        <w:spacing w:after="0" w:line="480" w:lineRule="auto"/>
        <w:jc w:val="both"/>
        <w:rPr>
          <w:sz w:val="20"/>
          <w:szCs w:val="20"/>
        </w:rPr>
      </w:pPr>
    </w:p>
  </w:footnote>
  <w:footnote w:id="215">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Mark Dawson, E Muir and M Claes, “Enforcing the EU’s Rights Revolution; the Case of Equality” (2012) 3 European Human Rights Law Review 276. See also Shuibhne, n.1</w:t>
      </w:r>
      <w:r>
        <w:rPr>
          <w:rFonts w:asciiTheme="minorHAnsi" w:hAnsiTheme="minorHAnsi"/>
        </w:rPr>
        <w:t>79</w:t>
      </w:r>
      <w:r w:rsidRPr="005E4773">
        <w:rPr>
          <w:rFonts w:asciiTheme="minorHAnsi" w:hAnsiTheme="minorHAnsi"/>
        </w:rPr>
        <w:t xml:space="preserve">, 233 referring to S. Douglas-Scott, </w:t>
      </w:r>
      <w:r w:rsidRPr="005E4773">
        <w:rPr>
          <w:rFonts w:asciiTheme="minorHAnsi" w:hAnsiTheme="minorHAnsi"/>
          <w:i/>
        </w:rPr>
        <w:t>Constitutional Law of the European Union</w:t>
      </w:r>
      <w:r w:rsidRPr="005E4773">
        <w:rPr>
          <w:rFonts w:asciiTheme="minorHAnsi" w:hAnsiTheme="minorHAnsi"/>
        </w:rPr>
        <w:t xml:space="preserve"> (Longman, 2002) 431.</w:t>
      </w:r>
    </w:p>
    <w:p w:rsidR="00A13E1A" w:rsidRPr="005E4773" w:rsidRDefault="00A13E1A" w:rsidP="00A13E1A">
      <w:pPr>
        <w:pStyle w:val="FootnoteText"/>
        <w:spacing w:line="480" w:lineRule="auto"/>
        <w:jc w:val="both"/>
        <w:rPr>
          <w:rFonts w:asciiTheme="minorHAnsi" w:hAnsiTheme="minorHAnsi"/>
        </w:rPr>
      </w:pPr>
    </w:p>
  </w:footnote>
  <w:footnote w:id="216">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Pr>
          <w:rFonts w:asciiTheme="minorHAnsi" w:hAnsiTheme="minorHAnsi"/>
          <w:i/>
        </w:rPr>
        <w:t xml:space="preserve">Shuibhne, </w:t>
      </w:r>
      <w:r>
        <w:rPr>
          <w:rFonts w:asciiTheme="minorHAnsi" w:hAnsiTheme="minorHAnsi"/>
        </w:rPr>
        <w:t>n.179</w:t>
      </w:r>
      <w:r w:rsidRPr="005C4332">
        <w:rPr>
          <w:rFonts w:asciiTheme="minorHAnsi" w:hAnsiTheme="minorHAnsi"/>
        </w:rPr>
        <w:t>, 236</w:t>
      </w:r>
      <w:r>
        <w:rPr>
          <w:rFonts w:asciiTheme="minorHAnsi" w:hAnsiTheme="minorHAnsi"/>
          <w:i/>
        </w:rPr>
        <w:t xml:space="preserve"> </w:t>
      </w:r>
      <w:r w:rsidRPr="005E4773">
        <w:rPr>
          <w:rFonts w:asciiTheme="minorHAnsi" w:hAnsiTheme="minorHAnsi"/>
        </w:rPr>
        <w:t>referring to Oliver and Roth, “The internal market and the four freedoms” (2004) 41 Common Market Law Review 407, 408.</w:t>
      </w:r>
    </w:p>
    <w:p w:rsidR="00A13E1A" w:rsidRPr="005E4773" w:rsidRDefault="00A13E1A" w:rsidP="00A13E1A">
      <w:pPr>
        <w:pStyle w:val="FootnoteText"/>
        <w:spacing w:line="480" w:lineRule="auto"/>
        <w:jc w:val="both"/>
        <w:rPr>
          <w:rFonts w:asciiTheme="minorHAnsi" w:hAnsiTheme="minorHAnsi"/>
        </w:rPr>
      </w:pPr>
    </w:p>
  </w:footnote>
  <w:footnote w:id="217">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TEU art 6(2) provides that “The Union shall access to the European Convention for the Protection of Human Rights and Fundamental Freedoms.”</w:t>
      </w:r>
    </w:p>
    <w:p w:rsidR="00A13E1A" w:rsidRPr="005E4773" w:rsidRDefault="00A13E1A" w:rsidP="00A13E1A">
      <w:pPr>
        <w:pStyle w:val="FootnoteText"/>
        <w:spacing w:line="480" w:lineRule="auto"/>
        <w:rPr>
          <w:rFonts w:asciiTheme="minorHAnsi" w:hAnsiTheme="minorHAnsi"/>
        </w:rPr>
      </w:pPr>
    </w:p>
  </w:footnote>
  <w:footnote w:id="218">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See eg</w:t>
      </w:r>
      <w:r w:rsidRPr="005E4773">
        <w:rPr>
          <w:rFonts w:asciiTheme="minorHAnsi" w:hAnsiTheme="minorHAnsi"/>
        </w:rPr>
        <w:t xml:space="preserve"> </w:t>
      </w:r>
      <w:r w:rsidRPr="005E4773">
        <w:rPr>
          <w:rFonts w:asciiTheme="minorHAnsi" w:hAnsiTheme="minorHAnsi" w:cs="Arial"/>
          <w:bCs/>
        </w:rPr>
        <w:t xml:space="preserve">CM(2007)74 </w:t>
      </w:r>
      <w:r w:rsidRPr="005E4773">
        <w:rPr>
          <w:rFonts w:asciiTheme="minorHAnsi" w:hAnsiTheme="minorHAnsi"/>
        </w:rPr>
        <w:t xml:space="preserve">“‘Memorandum of Understanding between the Council of Europe and the European Union’ (2007) </w:t>
      </w:r>
      <w:r w:rsidRPr="005E4773">
        <w:rPr>
          <w:rFonts w:asciiTheme="minorHAnsi" w:hAnsiTheme="minorHAnsi" w:cs="Arial"/>
        </w:rPr>
        <w:t>10 May 2007 prepared at the 117</w:t>
      </w:r>
      <w:r w:rsidRPr="005E4773">
        <w:rPr>
          <w:rFonts w:asciiTheme="minorHAnsi" w:hAnsiTheme="minorHAnsi" w:cs="Arial"/>
          <w:vertAlign w:val="superscript"/>
        </w:rPr>
        <w:t>th</w:t>
      </w:r>
      <w:r w:rsidRPr="005E4773">
        <w:rPr>
          <w:rFonts w:asciiTheme="minorHAnsi" w:hAnsiTheme="minorHAnsi" w:cs="Arial"/>
        </w:rPr>
        <w:t xml:space="preserve"> Session of the Committee of Ministers (Strasbourg) available at </w:t>
      </w:r>
      <w:r w:rsidRPr="005E4773">
        <w:rPr>
          <w:rFonts w:asciiTheme="minorHAnsi" w:hAnsiTheme="minorHAnsi" w:cs="Arial"/>
          <w:vertAlign w:val="superscript"/>
        </w:rPr>
        <w:t xml:space="preserve"> </w:t>
      </w:r>
      <w:hyperlink r:id="rId8" w:history="1">
        <w:r w:rsidRPr="005E4773">
          <w:rPr>
            <w:rStyle w:val="Hyperlink"/>
            <w:rFonts w:asciiTheme="minorHAnsi" w:hAnsiTheme="minorHAnsi"/>
            <w:color w:val="auto"/>
            <w:u w:val="none"/>
          </w:rPr>
          <w:t>https://wcd.coe.int/ViewDoc.jsp?Ref=CM(2007)74&amp;Language=lanEnglish</w:t>
        </w:r>
      </w:hyperlink>
      <w:r w:rsidRPr="005E4773">
        <w:rPr>
          <w:rFonts w:asciiTheme="minorHAnsi" w:hAnsiTheme="minorHAnsi"/>
        </w:rPr>
        <w:t xml:space="preserve">). </w:t>
      </w:r>
    </w:p>
    <w:p w:rsidR="00A13E1A" w:rsidRPr="005E4773" w:rsidRDefault="00A13E1A" w:rsidP="00A13E1A">
      <w:pPr>
        <w:pStyle w:val="FootnoteText"/>
        <w:spacing w:line="480" w:lineRule="auto"/>
        <w:jc w:val="both"/>
        <w:rPr>
          <w:rFonts w:asciiTheme="minorHAnsi" w:hAnsiTheme="minorHAnsi"/>
        </w:rPr>
      </w:pPr>
    </w:p>
  </w:footnote>
  <w:footnote w:id="219">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See for example </w:t>
      </w:r>
      <w:r w:rsidRPr="005E4773">
        <w:rPr>
          <w:rFonts w:asciiTheme="minorHAnsi" w:hAnsiTheme="minorHAnsi"/>
          <w:i/>
        </w:rPr>
        <w:t>Stauder v Ulm</w:t>
      </w:r>
      <w:r w:rsidRPr="005E4773">
        <w:rPr>
          <w:rFonts w:asciiTheme="minorHAnsi" w:hAnsiTheme="minorHAnsi"/>
        </w:rPr>
        <w:t xml:space="preserve"> [1969] ECR 419, </w:t>
      </w:r>
      <w:r w:rsidRPr="005E4773">
        <w:rPr>
          <w:rFonts w:asciiTheme="minorHAnsi" w:hAnsiTheme="minorHAnsi"/>
          <w:i/>
        </w:rPr>
        <w:t>Kadiman</w:t>
      </w:r>
      <w:r w:rsidRPr="005E4773">
        <w:rPr>
          <w:rFonts w:asciiTheme="minorHAnsi" w:hAnsiTheme="minorHAnsi"/>
        </w:rPr>
        <w:t xml:space="preserve"> </w:t>
      </w:r>
      <w:r w:rsidRPr="005E4773">
        <w:rPr>
          <w:rFonts w:asciiTheme="minorHAnsi" w:hAnsiTheme="minorHAnsi"/>
          <w:i/>
          <w:color w:val="000000"/>
        </w:rPr>
        <w:t>v Freistaat Bayern</w:t>
      </w:r>
      <w:r w:rsidRPr="005E4773">
        <w:rPr>
          <w:rFonts w:asciiTheme="minorHAnsi" w:hAnsiTheme="minorHAnsi"/>
          <w:color w:val="000000"/>
        </w:rPr>
        <w:t xml:space="preserve"> [1997] ECR 1</w:t>
      </w:r>
      <w:r w:rsidRPr="005E4773">
        <w:rPr>
          <w:rFonts w:asciiTheme="minorHAnsi" w:hAnsiTheme="minorHAnsi"/>
        </w:rPr>
        <w:t xml:space="preserve"> and </w:t>
      </w:r>
      <w:r w:rsidRPr="005E4773">
        <w:rPr>
          <w:rFonts w:asciiTheme="minorHAnsi" w:hAnsiTheme="minorHAnsi"/>
          <w:i/>
        </w:rPr>
        <w:t>Safet Eyup</w:t>
      </w:r>
      <w:r w:rsidRPr="005E4773">
        <w:rPr>
          <w:rStyle w:val="searchtermshl1"/>
          <w:rFonts w:asciiTheme="minorHAnsi" w:hAnsiTheme="minorHAnsi"/>
          <w:i/>
          <w:color w:val="000000"/>
        </w:rPr>
        <w:t xml:space="preserve"> </w:t>
      </w:r>
      <w:r w:rsidRPr="005E4773">
        <w:rPr>
          <w:rFonts w:asciiTheme="minorHAnsi" w:hAnsiTheme="minorHAnsi"/>
          <w:i/>
          <w:color w:val="000000"/>
        </w:rPr>
        <w:t xml:space="preserve"> v Landesgeschaflsstelle des Arbeitsmarktservice Vorarlberg</w:t>
      </w:r>
      <w:r w:rsidRPr="005E4773">
        <w:rPr>
          <w:rFonts w:asciiTheme="minorHAnsi" w:hAnsiTheme="minorHAnsi"/>
          <w:color w:val="000000"/>
        </w:rPr>
        <w:t xml:space="preserve"> [2000] 3 CMLR 1049.</w:t>
      </w:r>
    </w:p>
    <w:p w:rsidR="00A13E1A" w:rsidRPr="005E4773" w:rsidRDefault="00A13E1A" w:rsidP="00A13E1A">
      <w:pPr>
        <w:pStyle w:val="FootnoteText"/>
        <w:spacing w:line="480" w:lineRule="auto"/>
        <w:jc w:val="both"/>
        <w:rPr>
          <w:rFonts w:asciiTheme="minorHAnsi" w:hAnsiTheme="minorHAnsi"/>
        </w:rPr>
      </w:pPr>
    </w:p>
  </w:footnote>
  <w:footnote w:id="220">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Dale Carpenter, “</w:t>
      </w:r>
      <w:r w:rsidRPr="005E4773">
        <w:rPr>
          <w:rFonts w:eastAsia="Calibri" w:cs="Times New Roman"/>
          <w:sz w:val="20"/>
          <w:szCs w:val="20"/>
        </w:rPr>
        <w:t xml:space="preserve">A Traditionalist Case for Gay Marriage” (2008-2009) 50 South Texas Law Review 93  referring to Edmund Burke, </w:t>
      </w:r>
      <w:r w:rsidRPr="005E4773">
        <w:rPr>
          <w:rFonts w:eastAsia="Calibri" w:cs="Times New Roman"/>
          <w:i/>
          <w:sz w:val="20"/>
          <w:szCs w:val="20"/>
        </w:rPr>
        <w:t>Reflections on the Revolution in France</w:t>
      </w:r>
      <w:r w:rsidRPr="005E4773">
        <w:rPr>
          <w:rFonts w:eastAsia="Calibri" w:cs="Times New Roman"/>
          <w:sz w:val="20"/>
          <w:szCs w:val="20"/>
        </w:rPr>
        <w:t xml:space="preserve"> (1790). </w:t>
      </w:r>
    </w:p>
    <w:p w:rsidR="00A13E1A" w:rsidRPr="005E4773" w:rsidRDefault="00A13E1A" w:rsidP="00A13E1A">
      <w:pPr>
        <w:spacing w:after="0" w:line="480" w:lineRule="auto"/>
        <w:jc w:val="both"/>
        <w:rPr>
          <w:rFonts w:eastAsia="Calibri" w:cs="Times New Roman"/>
          <w:sz w:val="20"/>
          <w:szCs w:val="20"/>
        </w:rPr>
      </w:pPr>
    </w:p>
  </w:footnote>
  <w:footnote w:id="221">
    <w:p w:rsidR="00A13E1A"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i/>
        </w:rPr>
        <w:t xml:space="preserve">Goodridge </w:t>
      </w:r>
      <w:r>
        <w:rPr>
          <w:rFonts w:asciiTheme="minorHAnsi" w:hAnsiTheme="minorHAnsi"/>
        </w:rPr>
        <w:t>n.6.</w:t>
      </w:r>
    </w:p>
    <w:p w:rsidR="00A13E1A" w:rsidRPr="005E4773" w:rsidRDefault="00A13E1A" w:rsidP="00A13E1A">
      <w:pPr>
        <w:pStyle w:val="FootnoteText"/>
        <w:spacing w:line="480" w:lineRule="auto"/>
        <w:jc w:val="both"/>
        <w:rPr>
          <w:rFonts w:asciiTheme="minorHAnsi" w:hAnsiTheme="minorHAnsi"/>
        </w:rPr>
      </w:pPr>
    </w:p>
  </w:footnote>
  <w:footnote w:id="222">
    <w:p w:rsidR="00A13E1A" w:rsidRDefault="00A13E1A" w:rsidP="00A13E1A">
      <w:pPr>
        <w:spacing w:after="0" w:line="480" w:lineRule="auto"/>
        <w:jc w:val="both"/>
        <w:rPr>
          <w:rFonts w:eastAsia="Calibri" w:cs="Times New Roman"/>
          <w:sz w:val="20"/>
          <w:szCs w:val="20"/>
        </w:rPr>
      </w:pPr>
      <w:r w:rsidRPr="005E4773">
        <w:rPr>
          <w:rStyle w:val="FootnoteReference"/>
          <w:sz w:val="20"/>
          <w:szCs w:val="20"/>
        </w:rPr>
        <w:footnoteRef/>
      </w:r>
      <w:r w:rsidRPr="005E4773">
        <w:rPr>
          <w:sz w:val="20"/>
          <w:szCs w:val="20"/>
        </w:rPr>
        <w:t xml:space="preserve"> For further discussion see Robert Verchick, “</w:t>
      </w:r>
      <w:r w:rsidRPr="005E4773">
        <w:rPr>
          <w:rFonts w:eastAsia="Calibri" w:cs="Times New Roman"/>
          <w:sz w:val="20"/>
          <w:szCs w:val="20"/>
        </w:rPr>
        <w:t xml:space="preserve">Same-Sex and the City” (2005) 37 Urban Law 191. </w:t>
      </w:r>
    </w:p>
    <w:p w:rsidR="00A13E1A" w:rsidRPr="005E4773" w:rsidRDefault="00A13E1A" w:rsidP="00A13E1A">
      <w:pPr>
        <w:spacing w:after="0" w:line="480" w:lineRule="auto"/>
        <w:jc w:val="both"/>
        <w:rPr>
          <w:rFonts w:eastAsia="Calibri" w:cs="Times New Roman"/>
          <w:sz w:val="20"/>
          <w:szCs w:val="20"/>
        </w:rPr>
      </w:pPr>
    </w:p>
  </w:footnote>
  <w:footnote w:id="223">
    <w:p w:rsidR="00A13E1A" w:rsidRDefault="00A13E1A" w:rsidP="00A13E1A">
      <w:pPr>
        <w:pStyle w:val="FootnoteText"/>
        <w:spacing w:line="480" w:lineRule="auto"/>
      </w:pPr>
      <w:r>
        <w:rPr>
          <w:rStyle w:val="FootnoteReference"/>
        </w:rPr>
        <w:footnoteRef/>
      </w:r>
      <w:r>
        <w:t xml:space="preserve"> </w:t>
      </w:r>
      <w:r w:rsidRPr="006A6DD5">
        <w:rPr>
          <w:i/>
        </w:rPr>
        <w:t>Windsor</w:t>
      </w:r>
      <w:r>
        <w:t xml:space="preserve"> n.159.</w:t>
      </w:r>
    </w:p>
    <w:p w:rsidR="00A13E1A" w:rsidRDefault="00A13E1A" w:rsidP="00A13E1A">
      <w:pPr>
        <w:pStyle w:val="FootnoteText"/>
        <w:spacing w:line="480" w:lineRule="auto"/>
      </w:pPr>
    </w:p>
  </w:footnote>
  <w:footnote w:id="224">
    <w:p w:rsidR="00A13E1A" w:rsidRDefault="00A13E1A" w:rsidP="00A13E1A">
      <w:pPr>
        <w:pStyle w:val="FootnoteText"/>
        <w:spacing w:line="480" w:lineRule="auto"/>
      </w:pPr>
      <w:r>
        <w:rPr>
          <w:rStyle w:val="FootnoteReference"/>
        </w:rPr>
        <w:footnoteRef/>
      </w:r>
      <w:r>
        <w:t xml:space="preserve"> </w:t>
      </w:r>
      <w:r w:rsidRPr="006A6DD5">
        <w:rPr>
          <w:i/>
        </w:rPr>
        <w:t xml:space="preserve">Obergefell </w:t>
      </w:r>
      <w:r>
        <w:t>n.6.</w:t>
      </w:r>
    </w:p>
    <w:p w:rsidR="00A13E1A" w:rsidRDefault="00A13E1A" w:rsidP="00A13E1A">
      <w:pPr>
        <w:pStyle w:val="FootnoteText"/>
        <w:spacing w:line="480" w:lineRule="auto"/>
      </w:pPr>
    </w:p>
  </w:footnote>
  <w:footnote w:id="225">
    <w:p w:rsidR="00A13E1A" w:rsidRPr="005E4773" w:rsidRDefault="00A13E1A" w:rsidP="00A13E1A">
      <w:pPr>
        <w:pStyle w:val="FootnoteText"/>
        <w:spacing w:line="480" w:lineRule="auto"/>
        <w:jc w:val="both"/>
        <w:rPr>
          <w:rFonts w:asciiTheme="minorHAnsi" w:eastAsiaTheme="minorEastAsia" w:hAnsiTheme="minorHAnsi"/>
          <w:lang w:eastAsia="zh-CN"/>
        </w:rPr>
      </w:pPr>
      <w:r w:rsidRPr="005E4773">
        <w:rPr>
          <w:rStyle w:val="FootnoteReference"/>
          <w:rFonts w:asciiTheme="minorHAnsi" w:hAnsiTheme="minorHAnsi"/>
        </w:rPr>
        <w:footnoteRef/>
      </w:r>
      <w:r w:rsidRPr="005E4773">
        <w:rPr>
          <w:rFonts w:asciiTheme="minorHAnsi" w:hAnsiTheme="minorHAnsi"/>
        </w:rPr>
        <w:t xml:space="preserve"> This follows the </w:t>
      </w:r>
      <w:r w:rsidRPr="005E4773">
        <w:rPr>
          <w:rFonts w:asciiTheme="minorHAnsi" w:eastAsiaTheme="minorEastAsia" w:hAnsiTheme="minorHAnsi"/>
          <w:lang w:eastAsia="zh-CN"/>
        </w:rPr>
        <w:t>theory of small change. This was first advanced by Kees  Waaldijk, “</w:t>
      </w:r>
      <w:r w:rsidRPr="005E4773">
        <w:rPr>
          <w:rFonts w:asciiTheme="minorHAnsi" w:hAnsiTheme="minorHAnsi"/>
        </w:rPr>
        <w:t xml:space="preserve">Small Change: How the Road to Same-Sex Marriage Got Paved in the Netherlands” in </w:t>
      </w:r>
      <w:r w:rsidRPr="005E4773">
        <w:rPr>
          <w:rFonts w:asciiTheme="minorHAnsi" w:hAnsiTheme="minorHAnsi"/>
          <w:i/>
        </w:rPr>
        <w:t>Legal Recognition of Same-Sex Partnerships: A study of National, European and International Law</w:t>
      </w:r>
      <w:r w:rsidRPr="005E4773">
        <w:rPr>
          <w:rFonts w:asciiTheme="minorHAnsi" w:hAnsiTheme="minorHAnsi"/>
        </w:rPr>
        <w:t xml:space="preserve"> (Robert Wintemute and Mads Andenaes eds) (Hart Publishing, 2001) and later advanced by Eskridge n.1</w:t>
      </w:r>
      <w:r>
        <w:rPr>
          <w:rFonts w:asciiTheme="minorHAnsi" w:hAnsiTheme="minorHAnsi"/>
        </w:rPr>
        <w:t>77 and Merin, n.20</w:t>
      </w:r>
      <w:r w:rsidRPr="005E4773">
        <w:rPr>
          <w:rFonts w:asciiTheme="minorHAnsi" w:hAnsiTheme="minorHAnsi"/>
        </w:rPr>
        <w:t xml:space="preserve">) </w:t>
      </w:r>
      <w:r w:rsidRPr="005E4773">
        <w:rPr>
          <w:rFonts w:asciiTheme="minorHAnsi" w:eastAsiaTheme="minorEastAsia" w:hAnsiTheme="minorHAnsi"/>
          <w:lang w:eastAsia="zh-CN"/>
        </w:rPr>
        <w:t>who advocated recognition of same-sex marriage on a step by step approach.</w:t>
      </w:r>
    </w:p>
    <w:p w:rsidR="00A13E1A" w:rsidRPr="005E4773" w:rsidRDefault="00A13E1A" w:rsidP="00A13E1A">
      <w:pPr>
        <w:pStyle w:val="FootnoteText"/>
        <w:spacing w:line="480" w:lineRule="auto"/>
        <w:jc w:val="both"/>
        <w:rPr>
          <w:rFonts w:asciiTheme="minorHAnsi" w:hAnsiTheme="minorHAnsi"/>
        </w:rPr>
      </w:pPr>
    </w:p>
  </w:footnote>
  <w:footnote w:id="226">
    <w:p w:rsidR="00A13E1A" w:rsidRPr="005E4773" w:rsidRDefault="00A13E1A" w:rsidP="00A13E1A">
      <w:pPr>
        <w:pStyle w:val="FootnoteText"/>
        <w:spacing w:line="480" w:lineRule="auto"/>
        <w:jc w:val="both"/>
        <w:rPr>
          <w:rFonts w:asciiTheme="minorHAnsi" w:eastAsiaTheme="minorEastAsia" w:hAnsiTheme="minorHAnsi"/>
          <w:lang w:eastAsia="zh-CN"/>
        </w:rPr>
      </w:pPr>
      <w:r w:rsidRPr="005E4773">
        <w:rPr>
          <w:rStyle w:val="FootnoteReference"/>
          <w:rFonts w:asciiTheme="minorHAnsi" w:hAnsiTheme="minorHAnsi"/>
        </w:rPr>
        <w:footnoteRef/>
      </w:r>
      <w:r w:rsidRPr="005E4773">
        <w:rPr>
          <w:rFonts w:asciiTheme="minorHAnsi" w:hAnsiTheme="minorHAnsi"/>
        </w:rPr>
        <w:t xml:space="preserve"> </w:t>
      </w:r>
      <w:r w:rsidRPr="005E4773">
        <w:rPr>
          <w:rFonts w:asciiTheme="minorHAnsi" w:hAnsiTheme="minorHAnsi"/>
          <w:lang w:eastAsia="zh-CN"/>
        </w:rPr>
        <w:t>Marshall, n,1</w:t>
      </w:r>
      <w:r>
        <w:rPr>
          <w:rFonts w:asciiTheme="minorHAnsi" w:hAnsiTheme="minorHAnsi"/>
          <w:lang w:eastAsia="zh-CN"/>
        </w:rPr>
        <w:t>40</w:t>
      </w:r>
      <w:r w:rsidRPr="005E4773">
        <w:rPr>
          <w:rFonts w:asciiTheme="minorHAnsi" w:hAnsiTheme="minorHAnsi"/>
          <w:lang w:eastAsia="zh-CN"/>
        </w:rPr>
        <w:t xml:space="preserve">, </w:t>
      </w:r>
      <w:r>
        <w:rPr>
          <w:rFonts w:asciiTheme="minorHAnsi" w:eastAsiaTheme="minorEastAsia" w:hAnsiTheme="minorHAnsi"/>
          <w:lang w:eastAsia="zh-CN"/>
        </w:rPr>
        <w:t>199</w:t>
      </w:r>
      <w:r w:rsidRPr="005E4773">
        <w:rPr>
          <w:rFonts w:asciiTheme="minorHAnsi" w:eastAsiaTheme="minorEastAsia" w:hAnsiTheme="minorHAnsi"/>
          <w:lang w:eastAsia="zh-CN"/>
        </w:rPr>
        <w:t xml:space="preserve">. </w:t>
      </w:r>
    </w:p>
    <w:p w:rsidR="00A13E1A" w:rsidRPr="005E4773" w:rsidRDefault="00A13E1A" w:rsidP="00A13E1A">
      <w:pPr>
        <w:pStyle w:val="FootnoteText"/>
        <w:spacing w:line="480" w:lineRule="auto"/>
        <w:jc w:val="both"/>
        <w:rPr>
          <w:rFonts w:asciiTheme="minorHAnsi" w:hAnsiTheme="minorHAnsi"/>
        </w:rPr>
      </w:pPr>
    </w:p>
  </w:footnote>
  <w:footnote w:id="227">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Eskridge, n.1</w:t>
      </w:r>
      <w:r>
        <w:rPr>
          <w:rFonts w:asciiTheme="minorHAnsi" w:hAnsiTheme="minorHAnsi"/>
        </w:rPr>
        <w:t>77</w:t>
      </w:r>
      <w:r w:rsidRPr="005E4773">
        <w:rPr>
          <w:rFonts w:asciiTheme="minorHAnsi" w:hAnsiTheme="minorHAnsi"/>
        </w:rPr>
        <w:t>, 119.  See also</w:t>
      </w:r>
      <w:r w:rsidRPr="005E4773">
        <w:rPr>
          <w:rFonts w:asciiTheme="minorHAnsi" w:hAnsiTheme="minorHAnsi"/>
          <w:b/>
        </w:rPr>
        <w:t xml:space="preserve"> </w:t>
      </w:r>
      <w:r w:rsidRPr="005E4773">
        <w:rPr>
          <w:rFonts w:asciiTheme="minorHAnsi" w:hAnsiTheme="minorHAnsi"/>
        </w:rPr>
        <w:t>Marshall, n.1</w:t>
      </w:r>
      <w:r>
        <w:rPr>
          <w:rFonts w:asciiTheme="minorHAnsi" w:hAnsiTheme="minorHAnsi"/>
        </w:rPr>
        <w:t>40</w:t>
      </w:r>
      <w:r w:rsidRPr="005E4773">
        <w:rPr>
          <w:rFonts w:asciiTheme="minorHAnsi" w:hAnsiTheme="minorHAnsi"/>
        </w:rPr>
        <w:t>, 199-200 who explains that such slow change although frustrating at the time allows “public opinion to adjust gradually to the changes sought by social movement”.</w:t>
      </w:r>
    </w:p>
    <w:p w:rsidR="00A13E1A" w:rsidRPr="005E4773" w:rsidRDefault="00A13E1A" w:rsidP="00A13E1A">
      <w:pPr>
        <w:pStyle w:val="FootnoteText"/>
        <w:spacing w:line="480" w:lineRule="auto"/>
        <w:rPr>
          <w:rFonts w:asciiTheme="minorHAnsi" w:hAnsiTheme="minorHAnsi"/>
        </w:rPr>
      </w:pPr>
    </w:p>
  </w:footnote>
  <w:footnote w:id="228">
    <w:p w:rsidR="00A13E1A" w:rsidRPr="005E4773" w:rsidRDefault="00A13E1A" w:rsidP="00A13E1A">
      <w:pPr>
        <w:pStyle w:val="FootnoteText"/>
        <w:spacing w:line="480" w:lineRule="auto"/>
        <w:jc w:val="both"/>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England and Wales, France and Denmark are examples of this experience. </w:t>
      </w:r>
    </w:p>
    <w:p w:rsidR="00A13E1A" w:rsidRPr="005E4773" w:rsidRDefault="00A13E1A" w:rsidP="00A13E1A">
      <w:pPr>
        <w:pStyle w:val="FootnoteText"/>
        <w:spacing w:line="480" w:lineRule="auto"/>
        <w:jc w:val="both"/>
        <w:rPr>
          <w:rFonts w:asciiTheme="minorHAnsi" w:hAnsiTheme="minorHAnsi"/>
        </w:rPr>
      </w:pPr>
    </w:p>
  </w:footnote>
  <w:footnote w:id="229">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In EU law, co-habitees are not directly included as family members under Citizenship Directive 2004/38 art 3(2). They have to prove a “durable relationship duly attested”.</w:t>
      </w:r>
    </w:p>
    <w:p w:rsidR="00A13E1A" w:rsidRPr="005E4773" w:rsidRDefault="00A13E1A" w:rsidP="00A13E1A">
      <w:pPr>
        <w:pStyle w:val="FootnoteText"/>
        <w:spacing w:line="480" w:lineRule="auto"/>
        <w:rPr>
          <w:rFonts w:asciiTheme="minorHAnsi" w:hAnsiTheme="minorHAnsi"/>
        </w:rPr>
      </w:pPr>
    </w:p>
  </w:footnote>
  <w:footnote w:id="230">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Pr>
          <w:rFonts w:asciiTheme="minorHAnsi" w:hAnsiTheme="minorHAnsi"/>
        </w:rPr>
        <w:t xml:space="preserve"> Kenneth  M</w:t>
      </w:r>
      <w:r w:rsidRPr="005E4773">
        <w:rPr>
          <w:rFonts w:asciiTheme="minorHAnsi" w:hAnsiTheme="minorHAnsi"/>
        </w:rPr>
        <w:t>ck. Norrie, ‘Recognition of Foreign Relationships Under the Civil Partnership Act 2004’ (2006) Journal of Private International Law 137, 166.</w:t>
      </w:r>
    </w:p>
    <w:p w:rsidR="00A13E1A" w:rsidRPr="005E4773" w:rsidRDefault="00A13E1A" w:rsidP="00A13E1A">
      <w:pPr>
        <w:pStyle w:val="FootnoteText"/>
        <w:spacing w:line="480" w:lineRule="auto"/>
        <w:rPr>
          <w:rFonts w:asciiTheme="minorHAnsi" w:hAnsiTheme="minorHAnsi"/>
        </w:rPr>
      </w:pPr>
    </w:p>
  </w:footnote>
  <w:footnote w:id="231">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For instance if a couple from France with a French Pacte Civil De Solidarite were to move to England and have their relationship recognised as an English civil partnership their status and legal obligations would be upgraded.</w:t>
      </w:r>
    </w:p>
    <w:p w:rsidR="00A13E1A" w:rsidRPr="005E4773" w:rsidRDefault="00A13E1A" w:rsidP="00A13E1A">
      <w:pPr>
        <w:pStyle w:val="FootnoteText"/>
        <w:spacing w:line="480" w:lineRule="auto"/>
        <w:rPr>
          <w:rFonts w:asciiTheme="minorHAnsi" w:hAnsiTheme="minorHAnsi"/>
        </w:rPr>
      </w:pPr>
    </w:p>
  </w:footnote>
  <w:footnote w:id="232">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This idea of equivalence was explored by Hillel. Y. Levin, ‘Resolving Interstate Conflicts Over Same-Sex Non-Marriage’ (2011) 63 Florida Law Review 47 in respect of same-sex relationships.</w:t>
      </w:r>
    </w:p>
    <w:p w:rsidR="00A13E1A" w:rsidRPr="005E4773" w:rsidRDefault="00A13E1A" w:rsidP="00A13E1A">
      <w:pPr>
        <w:pStyle w:val="FootnoteText"/>
        <w:spacing w:line="480" w:lineRule="auto"/>
        <w:rPr>
          <w:rFonts w:asciiTheme="minorHAnsi" w:hAnsiTheme="minorHAnsi"/>
        </w:rPr>
      </w:pPr>
    </w:p>
  </w:footnote>
  <w:footnote w:id="233">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This point was considered by M. Harper &amp; K. Landells, ‘The Civil Partnership Act 2004 in Force’ [2005] Family Law 963.</w:t>
      </w:r>
    </w:p>
    <w:p w:rsidR="00A13E1A" w:rsidRPr="005E4773" w:rsidRDefault="00A13E1A" w:rsidP="00A13E1A">
      <w:pPr>
        <w:pStyle w:val="FootnoteText"/>
        <w:spacing w:line="480" w:lineRule="auto"/>
        <w:rPr>
          <w:rFonts w:asciiTheme="minorHAnsi" w:hAnsiTheme="minorHAnsi"/>
          <w:color w:val="FF0000"/>
        </w:rPr>
      </w:pPr>
    </w:p>
  </w:footnote>
  <w:footnote w:id="234">
    <w:p w:rsidR="00A13E1A"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See for instance the case of </w:t>
      </w:r>
      <w:r w:rsidRPr="005E4773">
        <w:rPr>
          <w:rFonts w:asciiTheme="minorHAnsi" w:hAnsiTheme="minorHAnsi"/>
          <w:i/>
        </w:rPr>
        <w:t>Wilkinson v Kitzinger</w:t>
      </w:r>
      <w:r>
        <w:rPr>
          <w:rFonts w:asciiTheme="minorHAnsi" w:hAnsiTheme="minorHAnsi"/>
        </w:rPr>
        <w:t xml:space="preserve"> n.17 </w:t>
      </w:r>
      <w:r w:rsidRPr="005E4773">
        <w:rPr>
          <w:rFonts w:asciiTheme="minorHAnsi" w:hAnsiTheme="minorHAnsi"/>
        </w:rPr>
        <w:t>where the couple felt that being demoted to the status of civil partners was like being offered a “consolation prize”.</w:t>
      </w:r>
    </w:p>
    <w:p w:rsidR="00A13E1A" w:rsidRPr="005E4773" w:rsidRDefault="00A13E1A" w:rsidP="00A13E1A">
      <w:pPr>
        <w:pStyle w:val="FootnoteText"/>
        <w:spacing w:line="480" w:lineRule="auto"/>
        <w:rPr>
          <w:rFonts w:asciiTheme="minorHAnsi" w:hAnsiTheme="minorHAnsi"/>
          <w:color w:val="FF0000"/>
        </w:rPr>
      </w:pPr>
    </w:p>
  </w:footnote>
  <w:footnote w:id="235">
    <w:p w:rsidR="00A13E1A" w:rsidRDefault="00A13E1A" w:rsidP="00A13E1A">
      <w:pPr>
        <w:pStyle w:val="FootnoteText"/>
        <w:spacing w:line="480" w:lineRule="auto"/>
      </w:pPr>
      <w:r>
        <w:rPr>
          <w:rStyle w:val="FootnoteReference"/>
        </w:rPr>
        <w:footnoteRef/>
      </w:r>
      <w:r>
        <w:t xml:space="preserve"> </w:t>
      </w:r>
      <w:r w:rsidRPr="0043613E">
        <w:rPr>
          <w:i/>
        </w:rPr>
        <w:t>Mohamed v Knott</w:t>
      </w:r>
      <w:r>
        <w:t xml:space="preserve"> [1969] 1 QB 1.</w:t>
      </w:r>
    </w:p>
    <w:p w:rsidR="00A13E1A" w:rsidRDefault="00A13E1A" w:rsidP="00A13E1A">
      <w:pPr>
        <w:pStyle w:val="FootnoteText"/>
        <w:spacing w:line="480" w:lineRule="auto"/>
      </w:pPr>
    </w:p>
  </w:footnote>
  <w:footnote w:id="236">
    <w:p w:rsidR="00A13E1A" w:rsidRDefault="00A13E1A" w:rsidP="00A13E1A">
      <w:pPr>
        <w:pStyle w:val="FootnoteText"/>
        <w:spacing w:line="480" w:lineRule="auto"/>
      </w:pPr>
      <w:r>
        <w:rPr>
          <w:rStyle w:val="FootnoteReference"/>
        </w:rPr>
        <w:footnoteRef/>
      </w:r>
      <w:r>
        <w:t xml:space="preserve"> </w:t>
      </w:r>
      <w:r>
        <w:rPr>
          <w:i/>
        </w:rPr>
        <w:t>Radwan v Radwan,</w:t>
      </w:r>
      <w:r>
        <w:t xml:space="preserve"> n.50.</w:t>
      </w:r>
    </w:p>
    <w:p w:rsidR="00A13E1A" w:rsidRDefault="00A13E1A" w:rsidP="00A13E1A">
      <w:pPr>
        <w:pStyle w:val="FootnoteText"/>
        <w:spacing w:line="480" w:lineRule="auto"/>
      </w:pPr>
    </w:p>
  </w:footnote>
  <w:footnote w:id="237">
    <w:p w:rsidR="00A13E1A" w:rsidRDefault="00A13E1A" w:rsidP="00A13E1A">
      <w:pPr>
        <w:pStyle w:val="FootnoteText"/>
        <w:spacing w:line="480" w:lineRule="auto"/>
      </w:pPr>
      <w:r>
        <w:rPr>
          <w:rStyle w:val="FootnoteReference"/>
        </w:rPr>
        <w:footnoteRef/>
      </w:r>
      <w:r>
        <w:t xml:space="preserve"> See n.59.</w:t>
      </w:r>
    </w:p>
    <w:p w:rsidR="00A13E1A" w:rsidRDefault="00A13E1A" w:rsidP="00A13E1A">
      <w:pPr>
        <w:pStyle w:val="FootnoteText"/>
        <w:spacing w:line="480" w:lineRule="auto"/>
      </w:pPr>
    </w:p>
  </w:footnote>
  <w:footnote w:id="238">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The Centre for Social Justice, “European Family Law: Faster Divorce and Foreign Law” (2009) 5, available at </w:t>
      </w:r>
      <w:hyperlink r:id="rId9" w:history="1">
        <w:r w:rsidRPr="005E4773">
          <w:rPr>
            <w:rStyle w:val="Hyperlink"/>
            <w:rFonts w:asciiTheme="minorHAnsi" w:hAnsiTheme="minorHAnsi"/>
            <w:color w:val="auto"/>
          </w:rPr>
          <w:t>http://www.centreforsocialjustice.org.uk/UserStorage/pdf/Pdf%20reports/CSJEuropeanFamilyLaw.pdf</w:t>
        </w:r>
      </w:hyperlink>
    </w:p>
    <w:p w:rsidR="00A13E1A" w:rsidRPr="005E4773" w:rsidRDefault="00A13E1A" w:rsidP="00A13E1A">
      <w:pPr>
        <w:pStyle w:val="FootnoteText"/>
        <w:spacing w:line="480" w:lineRule="auto"/>
        <w:rPr>
          <w:rFonts w:asciiTheme="minorHAnsi" w:hAnsiTheme="minorHAnsi"/>
        </w:rPr>
      </w:pPr>
    </w:p>
  </w:footnote>
  <w:footnote w:id="239">
    <w:p w:rsidR="00A13E1A" w:rsidRPr="005E4773" w:rsidRDefault="00A13E1A" w:rsidP="00A13E1A">
      <w:pPr>
        <w:pStyle w:val="FootnoteText"/>
        <w:spacing w:line="480" w:lineRule="auto"/>
        <w:rPr>
          <w:rFonts w:asciiTheme="minorHAnsi" w:hAnsiTheme="minorHAnsi"/>
        </w:rPr>
      </w:pPr>
      <w:r w:rsidRPr="005E4773">
        <w:rPr>
          <w:rStyle w:val="FootnoteReference"/>
          <w:rFonts w:asciiTheme="minorHAnsi" w:hAnsiTheme="minorHAnsi"/>
        </w:rPr>
        <w:footnoteRef/>
      </w:r>
      <w:r w:rsidRPr="005E4773">
        <w:rPr>
          <w:rFonts w:asciiTheme="minorHAnsi" w:hAnsiTheme="minorHAnsi"/>
        </w:rPr>
        <w:t xml:space="preserve"> For instance certainty and predictability can be achieved through community action, as was identified in relation to divorce by Aude Fiorini, “Rome III - Choice of Law in Divorce: Is the Europeanization of Family Law Going too Far?”  (2008) 22(2) International Journal of Law, Policy and the Family 178, 185 in stating: “It is clear that, of the four objectives identified by the Commission (increasing legal certainty and predictability, preventing “rush to court”, increasing flexibility and ensuring access to court) the first two can only be achieved by community action, no Member States acting alone being able to solves problems that the lack of uniform rules in Europe give rise to.”</w:t>
      </w:r>
    </w:p>
    <w:p w:rsidR="00A13E1A" w:rsidRPr="005E4773" w:rsidRDefault="00A13E1A" w:rsidP="00A13E1A">
      <w:pPr>
        <w:pStyle w:val="FootnoteText"/>
        <w:spacing w:line="480" w:lineRule="auto"/>
        <w:rPr>
          <w:rFonts w:asciiTheme="minorHAnsi" w:hAnsiTheme="minorHAnsi"/>
          <w:color w:val="FF0000"/>
        </w:rPr>
      </w:pPr>
    </w:p>
  </w:footnote>
  <w:footnote w:id="240">
    <w:p w:rsidR="00A13E1A" w:rsidRDefault="00A13E1A" w:rsidP="00A13E1A">
      <w:pPr>
        <w:pStyle w:val="FootnoteText"/>
        <w:spacing w:line="480" w:lineRule="auto"/>
        <w:rPr>
          <w:color w:val="FF0000"/>
        </w:rPr>
      </w:pPr>
      <w:r w:rsidRPr="005E4773">
        <w:rPr>
          <w:rStyle w:val="FootnoteReference"/>
          <w:rFonts w:asciiTheme="minorHAnsi" w:hAnsiTheme="minorHAnsi"/>
        </w:rPr>
        <w:footnoteRef/>
      </w:r>
      <w:r>
        <w:rPr>
          <w:rFonts w:asciiTheme="minorHAnsi" w:hAnsiTheme="minorHAnsi"/>
        </w:rPr>
        <w:t xml:space="preserve"> Reed, n.27</w:t>
      </w:r>
      <w:r w:rsidRPr="005E4773">
        <w:rPr>
          <w:rFonts w:asciiTheme="minorHAnsi" w:hAnsiTheme="minorHAnsi"/>
        </w:rPr>
        <w:t>, 450.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BC4"/>
    <w:multiLevelType w:val="hybridMultilevel"/>
    <w:tmpl w:val="8626E7EC"/>
    <w:lvl w:ilvl="0" w:tplc="3B9AE45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645580"/>
    <w:multiLevelType w:val="hybridMultilevel"/>
    <w:tmpl w:val="C3BA4E86"/>
    <w:lvl w:ilvl="0" w:tplc="820CA68C">
      <w:start w:val="6"/>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22538E3"/>
    <w:multiLevelType w:val="hybridMultilevel"/>
    <w:tmpl w:val="926CDD4C"/>
    <w:lvl w:ilvl="0" w:tplc="D1A074D6">
      <w:start w:val="1"/>
      <w:numFmt w:val="upperRoman"/>
      <w:lvlText w:val="%1."/>
      <w:lvlJc w:val="left"/>
      <w:pPr>
        <w:ind w:left="1080" w:hanging="720"/>
      </w:pPr>
      <w:rPr>
        <w:rFonts w:cstheme="minorBid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5AB6E61"/>
    <w:multiLevelType w:val="hybridMultilevel"/>
    <w:tmpl w:val="7E82E29E"/>
    <w:lvl w:ilvl="0" w:tplc="C41036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26D5C"/>
    <w:multiLevelType w:val="hybridMultilevel"/>
    <w:tmpl w:val="5B4E4562"/>
    <w:lvl w:ilvl="0" w:tplc="5520FD9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E1DA3"/>
    <w:multiLevelType w:val="hybridMultilevel"/>
    <w:tmpl w:val="D36080FA"/>
    <w:lvl w:ilvl="0" w:tplc="29F60CEA">
      <w:start w:val="1"/>
      <w:numFmt w:val="lowerRoman"/>
      <w:lvlText w:val="%1."/>
      <w:lvlJc w:val="left"/>
      <w:pPr>
        <w:ind w:left="1080" w:hanging="720"/>
      </w:pPr>
      <w:rPr>
        <w:rFonts w:cstheme="minorBid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94E6D75"/>
    <w:multiLevelType w:val="hybridMultilevel"/>
    <w:tmpl w:val="9C2EFCB0"/>
    <w:lvl w:ilvl="0" w:tplc="BFF6D442">
      <w:start w:val="1"/>
      <w:numFmt w:val="lowerRoman"/>
      <w:lvlText w:val="%1."/>
      <w:lvlJc w:val="left"/>
      <w:pPr>
        <w:ind w:left="1080" w:hanging="720"/>
      </w:pPr>
      <w:rPr>
        <w:rFonts w:eastAsiaTheme="minorEastAsia"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DB61597"/>
    <w:multiLevelType w:val="hybridMultilevel"/>
    <w:tmpl w:val="329C1A2C"/>
    <w:lvl w:ilvl="0" w:tplc="72C2E93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B1"/>
    <w:rsid w:val="00026B07"/>
    <w:rsid w:val="0005349C"/>
    <w:rsid w:val="00085AB4"/>
    <w:rsid w:val="000C6EEB"/>
    <w:rsid w:val="000C71F7"/>
    <w:rsid w:val="00111327"/>
    <w:rsid w:val="004406B5"/>
    <w:rsid w:val="0056659B"/>
    <w:rsid w:val="005C4332"/>
    <w:rsid w:val="005E1EFB"/>
    <w:rsid w:val="0062319E"/>
    <w:rsid w:val="00643C59"/>
    <w:rsid w:val="006E2B4B"/>
    <w:rsid w:val="008C6FB1"/>
    <w:rsid w:val="008D60CD"/>
    <w:rsid w:val="008E6C21"/>
    <w:rsid w:val="00A13E1A"/>
    <w:rsid w:val="00AF40FA"/>
    <w:rsid w:val="00BC5D7E"/>
    <w:rsid w:val="00C74DB1"/>
    <w:rsid w:val="00C86DE6"/>
    <w:rsid w:val="00D32B7F"/>
    <w:rsid w:val="00DF71CB"/>
    <w:rsid w:val="00E34B85"/>
    <w:rsid w:val="00F260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6FB1"/>
    <w:rPr>
      <w:color w:val="0000FF"/>
      <w:u w:val="single"/>
    </w:rPr>
  </w:style>
  <w:style w:type="character" w:styleId="HTMLCite">
    <w:name w:val="HTML Cite"/>
    <w:uiPriority w:val="99"/>
    <w:semiHidden/>
    <w:unhideWhenUsed/>
    <w:rsid w:val="008C6FB1"/>
    <w:rPr>
      <w:i w:val="0"/>
      <w:iCs w:val="0"/>
      <w:color w:val="009933"/>
    </w:rPr>
  </w:style>
  <w:style w:type="paragraph" w:styleId="FootnoteText">
    <w:name w:val="footnote text"/>
    <w:basedOn w:val="Normal"/>
    <w:link w:val="FootnoteTextChar"/>
    <w:uiPriority w:val="99"/>
    <w:unhideWhenUsed/>
    <w:rsid w:val="008C6FB1"/>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8C6FB1"/>
    <w:rPr>
      <w:rFonts w:ascii="Calibri" w:eastAsia="Calibri" w:hAnsi="Calibri" w:cs="Times New Roman"/>
      <w:sz w:val="20"/>
      <w:szCs w:val="20"/>
      <w:lang w:eastAsia="en-US"/>
    </w:rPr>
  </w:style>
  <w:style w:type="character" w:styleId="FootnoteReference">
    <w:name w:val="footnote reference"/>
    <w:uiPriority w:val="99"/>
    <w:semiHidden/>
    <w:unhideWhenUsed/>
    <w:rsid w:val="008C6FB1"/>
    <w:rPr>
      <w:vertAlign w:val="superscript"/>
    </w:rPr>
  </w:style>
  <w:style w:type="character" w:customStyle="1" w:styleId="sfbbfee58">
    <w:name w:val="sfbbfee58"/>
    <w:basedOn w:val="DefaultParagraphFont"/>
    <w:rsid w:val="008C6FB1"/>
  </w:style>
  <w:style w:type="character" w:customStyle="1" w:styleId="s6b621b36">
    <w:name w:val="s6b621b36"/>
    <w:basedOn w:val="DefaultParagraphFont"/>
    <w:rsid w:val="008C6FB1"/>
  </w:style>
  <w:style w:type="character" w:customStyle="1" w:styleId="searchtermshl1">
    <w:name w:val="searchtermshl1"/>
    <w:basedOn w:val="DefaultParagraphFont"/>
    <w:rsid w:val="008C6FB1"/>
    <w:rPr>
      <w:b/>
      <w:bCs/>
      <w:shd w:val="clear" w:color="auto" w:fill="CCFF99"/>
    </w:rPr>
  </w:style>
  <w:style w:type="character" w:styleId="Emphasis">
    <w:name w:val="Emphasis"/>
    <w:basedOn w:val="DefaultParagraphFont"/>
    <w:uiPriority w:val="20"/>
    <w:qFormat/>
    <w:rsid w:val="008C6FB1"/>
    <w:rPr>
      <w:i/>
      <w:iCs/>
    </w:rPr>
  </w:style>
  <w:style w:type="paragraph" w:customStyle="1" w:styleId="Default">
    <w:name w:val="Default"/>
    <w:rsid w:val="008C6FB1"/>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8C6FB1"/>
    <w:rPr>
      <w:sz w:val="16"/>
      <w:szCs w:val="16"/>
    </w:rPr>
  </w:style>
  <w:style w:type="paragraph" w:styleId="CommentText">
    <w:name w:val="annotation text"/>
    <w:basedOn w:val="Normal"/>
    <w:link w:val="CommentTextChar"/>
    <w:uiPriority w:val="99"/>
    <w:semiHidden/>
    <w:unhideWhenUsed/>
    <w:rsid w:val="008C6FB1"/>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8C6FB1"/>
    <w:rPr>
      <w:rFonts w:eastAsiaTheme="minorHAnsi"/>
      <w:sz w:val="20"/>
      <w:szCs w:val="20"/>
      <w:lang w:eastAsia="en-US"/>
    </w:rPr>
  </w:style>
  <w:style w:type="paragraph" w:styleId="BalloonText">
    <w:name w:val="Balloon Text"/>
    <w:basedOn w:val="Normal"/>
    <w:link w:val="BalloonTextChar"/>
    <w:uiPriority w:val="99"/>
    <w:semiHidden/>
    <w:unhideWhenUsed/>
    <w:rsid w:val="008C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6FB1"/>
    <w:rPr>
      <w:rFonts w:eastAsiaTheme="minorEastAsia"/>
      <w:b/>
      <w:bCs/>
      <w:lang w:eastAsia="zh-CN"/>
    </w:rPr>
  </w:style>
  <w:style w:type="character" w:customStyle="1" w:styleId="CommentSubjectChar">
    <w:name w:val="Comment Subject Char"/>
    <w:basedOn w:val="CommentTextChar"/>
    <w:link w:val="CommentSubject"/>
    <w:uiPriority w:val="99"/>
    <w:semiHidden/>
    <w:rsid w:val="008C6FB1"/>
    <w:rPr>
      <w:rFonts w:eastAsiaTheme="minorHAnsi"/>
      <w:b/>
      <w:bCs/>
      <w:sz w:val="20"/>
      <w:szCs w:val="20"/>
      <w:lang w:eastAsia="en-US"/>
    </w:rPr>
  </w:style>
  <w:style w:type="paragraph" w:styleId="Header">
    <w:name w:val="header"/>
    <w:basedOn w:val="Normal"/>
    <w:link w:val="HeaderChar"/>
    <w:uiPriority w:val="99"/>
    <w:unhideWhenUsed/>
    <w:rsid w:val="00C74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B1"/>
  </w:style>
  <w:style w:type="paragraph" w:styleId="Footer">
    <w:name w:val="footer"/>
    <w:basedOn w:val="Normal"/>
    <w:link w:val="FooterChar"/>
    <w:uiPriority w:val="99"/>
    <w:unhideWhenUsed/>
    <w:rsid w:val="00C74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6FB1"/>
    <w:rPr>
      <w:color w:val="0000FF"/>
      <w:u w:val="single"/>
    </w:rPr>
  </w:style>
  <w:style w:type="character" w:styleId="HTMLCite">
    <w:name w:val="HTML Cite"/>
    <w:uiPriority w:val="99"/>
    <w:semiHidden/>
    <w:unhideWhenUsed/>
    <w:rsid w:val="008C6FB1"/>
    <w:rPr>
      <w:i w:val="0"/>
      <w:iCs w:val="0"/>
      <w:color w:val="009933"/>
    </w:rPr>
  </w:style>
  <w:style w:type="paragraph" w:styleId="FootnoteText">
    <w:name w:val="footnote text"/>
    <w:basedOn w:val="Normal"/>
    <w:link w:val="FootnoteTextChar"/>
    <w:uiPriority w:val="99"/>
    <w:unhideWhenUsed/>
    <w:rsid w:val="008C6FB1"/>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8C6FB1"/>
    <w:rPr>
      <w:rFonts w:ascii="Calibri" w:eastAsia="Calibri" w:hAnsi="Calibri" w:cs="Times New Roman"/>
      <w:sz w:val="20"/>
      <w:szCs w:val="20"/>
      <w:lang w:eastAsia="en-US"/>
    </w:rPr>
  </w:style>
  <w:style w:type="character" w:styleId="FootnoteReference">
    <w:name w:val="footnote reference"/>
    <w:uiPriority w:val="99"/>
    <w:semiHidden/>
    <w:unhideWhenUsed/>
    <w:rsid w:val="008C6FB1"/>
    <w:rPr>
      <w:vertAlign w:val="superscript"/>
    </w:rPr>
  </w:style>
  <w:style w:type="character" w:customStyle="1" w:styleId="sfbbfee58">
    <w:name w:val="sfbbfee58"/>
    <w:basedOn w:val="DefaultParagraphFont"/>
    <w:rsid w:val="008C6FB1"/>
  </w:style>
  <w:style w:type="character" w:customStyle="1" w:styleId="s6b621b36">
    <w:name w:val="s6b621b36"/>
    <w:basedOn w:val="DefaultParagraphFont"/>
    <w:rsid w:val="008C6FB1"/>
  </w:style>
  <w:style w:type="character" w:customStyle="1" w:styleId="searchtermshl1">
    <w:name w:val="searchtermshl1"/>
    <w:basedOn w:val="DefaultParagraphFont"/>
    <w:rsid w:val="008C6FB1"/>
    <w:rPr>
      <w:b/>
      <w:bCs/>
      <w:shd w:val="clear" w:color="auto" w:fill="CCFF99"/>
    </w:rPr>
  </w:style>
  <w:style w:type="character" w:styleId="Emphasis">
    <w:name w:val="Emphasis"/>
    <w:basedOn w:val="DefaultParagraphFont"/>
    <w:uiPriority w:val="20"/>
    <w:qFormat/>
    <w:rsid w:val="008C6FB1"/>
    <w:rPr>
      <w:i/>
      <w:iCs/>
    </w:rPr>
  </w:style>
  <w:style w:type="paragraph" w:customStyle="1" w:styleId="Default">
    <w:name w:val="Default"/>
    <w:rsid w:val="008C6FB1"/>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8C6FB1"/>
    <w:rPr>
      <w:sz w:val="16"/>
      <w:szCs w:val="16"/>
    </w:rPr>
  </w:style>
  <w:style w:type="paragraph" w:styleId="CommentText">
    <w:name w:val="annotation text"/>
    <w:basedOn w:val="Normal"/>
    <w:link w:val="CommentTextChar"/>
    <w:uiPriority w:val="99"/>
    <w:semiHidden/>
    <w:unhideWhenUsed/>
    <w:rsid w:val="008C6FB1"/>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8C6FB1"/>
    <w:rPr>
      <w:rFonts w:eastAsiaTheme="minorHAnsi"/>
      <w:sz w:val="20"/>
      <w:szCs w:val="20"/>
      <w:lang w:eastAsia="en-US"/>
    </w:rPr>
  </w:style>
  <w:style w:type="paragraph" w:styleId="BalloonText">
    <w:name w:val="Balloon Text"/>
    <w:basedOn w:val="Normal"/>
    <w:link w:val="BalloonTextChar"/>
    <w:uiPriority w:val="99"/>
    <w:semiHidden/>
    <w:unhideWhenUsed/>
    <w:rsid w:val="008C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6FB1"/>
    <w:rPr>
      <w:rFonts w:eastAsiaTheme="minorEastAsia"/>
      <w:b/>
      <w:bCs/>
      <w:lang w:eastAsia="zh-CN"/>
    </w:rPr>
  </w:style>
  <w:style w:type="character" w:customStyle="1" w:styleId="CommentSubjectChar">
    <w:name w:val="Comment Subject Char"/>
    <w:basedOn w:val="CommentTextChar"/>
    <w:link w:val="CommentSubject"/>
    <w:uiPriority w:val="99"/>
    <w:semiHidden/>
    <w:rsid w:val="008C6FB1"/>
    <w:rPr>
      <w:rFonts w:eastAsiaTheme="minorHAnsi"/>
      <w:b/>
      <w:bCs/>
      <w:sz w:val="20"/>
      <w:szCs w:val="20"/>
      <w:lang w:eastAsia="en-US"/>
    </w:rPr>
  </w:style>
  <w:style w:type="paragraph" w:styleId="Header">
    <w:name w:val="header"/>
    <w:basedOn w:val="Normal"/>
    <w:link w:val="HeaderChar"/>
    <w:uiPriority w:val="99"/>
    <w:unhideWhenUsed/>
    <w:rsid w:val="00C74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B1"/>
  </w:style>
  <w:style w:type="paragraph" w:styleId="Footer">
    <w:name w:val="footer"/>
    <w:basedOn w:val="Normal"/>
    <w:link w:val="FooterChar"/>
    <w:uiPriority w:val="99"/>
    <w:unhideWhenUsed/>
    <w:rsid w:val="00C74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cd.coe.int/ViewDoc.jsp?Ref=CM(2007)74&amp;Language=lanEnglish" TargetMode="External"/><Relationship Id="rId3" Type="http://schemas.openxmlformats.org/officeDocument/2006/relationships/hyperlink" Target="http://hudoc.echr.coe.int/sites/eng/pages/search.aspx" TargetMode="External"/><Relationship Id="rId7" Type="http://schemas.openxmlformats.org/officeDocument/2006/relationships/hyperlink" Target="http://www.centreforsocialjustice.org.uk/UserStorage/pdf/Pdf%20reports/CSJEuropeanFamilyLaw.pdf" TargetMode="External"/><Relationship Id="rId2" Type="http://schemas.openxmlformats.org/officeDocument/2006/relationships/hyperlink" Target="http://www.equality-network.org/wp-content/uploads/2013/08/Equal-Marriage-Report-26.1.11.pdf" TargetMode="External"/><Relationship Id="rId1" Type="http://schemas.openxmlformats.org/officeDocument/2006/relationships/hyperlink" Target="http://www.centreforsocialjustice.org.uk/UserStorage/pdf/Pdf%20reports/CSJEuropeanFamilyLaw.pdf" TargetMode="External"/><Relationship Id="rId6" Type="http://schemas.openxmlformats.org/officeDocument/2006/relationships/hyperlink" Target="http://ciec1.org/SignatRatifConv.pdf" TargetMode="External"/><Relationship Id="rId5" Type="http://schemas.openxmlformats.org/officeDocument/2006/relationships/hyperlink" Target="http://eur-lex.europa.eu/LexUriServ/LexUriServ.do?uri=COM:2011:0126:FIN:EN:PDF" TargetMode="External"/><Relationship Id="rId4" Type="http://schemas.openxmlformats.org/officeDocument/2006/relationships/hyperlink" Target="http://www.ilga-europe.org/content/download/1448/9061/file/freedom.pdf" TargetMode="External"/><Relationship Id="rId9" Type="http://schemas.openxmlformats.org/officeDocument/2006/relationships/hyperlink" Target="http://www.centreforsocialjustice.org.uk/UserStorage/pdf/Pdf%20reports/CSJEuropeanFamily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9261</Words>
  <Characters>52790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Hamilton</dc:creator>
  <cp:lastModifiedBy>Lauren</cp:lastModifiedBy>
  <cp:revision>2</cp:revision>
  <dcterms:created xsi:type="dcterms:W3CDTF">2016-02-01T15:22:00Z</dcterms:created>
  <dcterms:modified xsi:type="dcterms:W3CDTF">2016-02-01T15:22:00Z</dcterms:modified>
</cp:coreProperties>
</file>