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544A11">
        <w:rPr>
          <w:rFonts w:ascii="Times New Roman" w:hAnsi="Times New Roman" w:cs="Times New Roman"/>
          <w:b/>
          <w:i/>
          <w:color w:val="000000"/>
          <w:sz w:val="24"/>
          <w:szCs w:val="24"/>
        </w:rPr>
        <w:t>Come to Daddy? Claiming Chris Cunningham for British Art Cinema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color w:val="000000"/>
          <w:sz w:val="24"/>
          <w:szCs w:val="24"/>
        </w:rPr>
        <w:t>James Leggott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Journal of British Cinema and Television </w:t>
      </w:r>
      <w:r w:rsidRPr="00544A11">
        <w:rPr>
          <w:rFonts w:ascii="Times New Roman" w:hAnsi="Times New Roman" w:cs="Times New Roman"/>
          <w:b/>
          <w:color w:val="000000"/>
          <w:sz w:val="24"/>
          <w:szCs w:val="24"/>
        </w:rPr>
        <w:t>13.2 (2016): 243–261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Twenty years after he came to prominen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via a series of provocative,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ground-breaking music videos, Chris Cunningh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 remains a troubling, elusive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figure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British visual culture.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His outpu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– which includes short films,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advertise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ments, art gallery commissions,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allations, music production and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touring multi-screen live performance – is rel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atively slim, and his seemingly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slow work rate (and tendency to leave projects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uncompleted or unreleased) has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been a frustration for fans and commentator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particularly those who hoped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he would channel his interests and talents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a full-length ‘feature’ film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project. There has been a diverse critical response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his musical sensitivity, his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associations with UK electronica culture –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Warp label in particular – his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working relationship with Aphex Twin, 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importance within the history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the pop video and his deployment of transgressive, suggestive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imagery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involving mutated, traumatised or robotic bodi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es. However, this article makes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claim for placing Cunningham within disco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urses of British art cinema. It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proposes that the many contradictions 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and animate Cunningham’s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 – narrative versus abstraction, politica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engagement versus surrealism,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sincerity versus provocation, commerce 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sus experimentation, art versus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craft, a ‘British’ sensibility versus a transnational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– are also those that typify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particular terrain of British film culture that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alls awkwardly between populism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experimentalism.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Keywords: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British art cinema; Chris Cunningham; cinematic bodies; film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music; music video.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Towards the end of Chris Cunning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ham’s disorientating short film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Rubber Johnny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(2005), the flesh of the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tular character – a grotesquely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deformed man/child played by the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irector himself under layers of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prosthetics – appears to explode repeatedly onto the camera lens.</w:t>
      </w:r>
      <w:r w:rsidRPr="00544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frenetic editing and electron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 score momentarily slows down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allow the viewer to perceive a series of unsettling tab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leaux of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rearranged body parts and unidentifia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viscera. It so happens that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reassembled body is the dominant motif of Cunningham’s moving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image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work of the twenty-first century.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Elsewhere, in his video for the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2006 song ‘Sheena Is a Parasite’ by The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orrors, a woman interrupts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her feverish dancing to the music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dress-lifting manoeuvre that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seems to direct her unleashed innards directly towards the camera. In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Spectral Musicians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.2011), shown to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only as part of Cunningham’s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live performances, incision marks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tracked along a child’s body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before it implodes in a blaze of light, 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subject to an alien invasion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autopsy. In his looped video installation piece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Flex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(2000), a naked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man and woman, suspended in a watery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space, lock into a rhythm that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alternates between intimacy and the brutalisation of each other’s flesh.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These depictions of unstabl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brutalised bodies are useful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encapsulations of Cunningham’s anatomical obsessions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attraction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towards transgressive imagery. But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are equally suggestive of his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body of creative work, which is similar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 messy, decentred, fractured.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the examples given above, Cunningha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m’s interest lies not merely in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evisceration of the human form, but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its reassembly; his productions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often describe rhythmic cycles of impl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osion and restoration. There is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warning, perhaps, for anyone attempting to impose coherence or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categorisation upon a body of work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efined so strongly by a tension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between order and chaos.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Twenty years after he came to prominence via a series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provocative, ground-breaking 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sic videos, Cunningham (who was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born in 1970) remains an elusive figure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within British visual culture.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His output – which includes short films,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advertisements, art gallery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commissions, installations, music produ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ction and a touring multiscreen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live performance – is relative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ly slim, and his seemingly slow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 rate (and tendency to leave proj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ects uncompleted or unreleased)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has been a frustration for fans and c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>ommentators, particularly those wh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 hoped he would channel his interests and talents into a full-length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‘feature’ film project.2 He has certainly not lacked critical acclaim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recognition, and there has been a diverse response to his musical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sensitivity, his associations with UK electronica culture (and the Warp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label in particular), his working relationship with Aphex Twin, his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importance within the history of the pop video and his deployment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transgressive, suggestive imagery involving mutated, traumatised or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robotic bodies.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Such is his creative idiosyncrasy, few would dispute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singularity as an artist, even when querying his worth and significance.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But there has been less agreement on exactly which artistic or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industrial contexts his work fits within most comfortably. Diane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Railton and Paul Watson, in their analysis of the music video form,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acknowledge Cunningham, as do many others, as a video auteur,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but warn that the ‘unearthing of thematic and stylistic consistencies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across numerous instances of any one [music video] director’s output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is incredibly rare’; furthermore, the anomalous notion of a video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author risks reducing the form to a ‘sub-genre of film’ (2011: 68),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marginalising the role of music, performance and other creative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personnel. Alternatively, one might query whether the term ‘music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video’ is a sufficient descriptor of productions such as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Rubber Johnny</w:t>
      </w:r>
      <w:r w:rsidR="00AD4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Flex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that are not dominated by a single track (or named after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one), yet are still ‘attuned to music’ (Fetveit 2011: 173). Indeed,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commentaries on his output – whether academic discussion or YouTube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comments on uploads/recordings – 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often betray a desire to project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straightforward trajectory upon his career, or to claim him for 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particular sphere of creativity. Thus, for example, the film-maker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Richard Stanley, in a survey of contemporary developments in horror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 written for an academic anthology, noted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beginnings in the realm of technical effects for fantasy cinema,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anticipated (wrongly) that his late 1990s music videos would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augur a return to genre film-making (2002: 187–8). He was not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only observer to witness Cunningham’s feeding on the ‘extremes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cinematic shorthand’ (Hanson 2006: 15), which also extended to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science fiction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 Is Full of Love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(1998)), film noir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Only You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(1997)) and</w:t>
      </w:r>
    </w:p>
    <w:p w:rsidR="00AD4592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British social realism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 More Talk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(1997)). In contrast, the art curator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Norman Rosenthal, in justification of his inclusion of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aptly named video installation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Flex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his Apocalypse exhibition at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Royal Academy of Arts in 2000, described him as a ‘celebrated young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maker of advertising and music videos, who is now choosing quite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deliberately to enter the discourse of contemporary art’ (2000: 28).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92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While this may well have been true, in retrospect this ‘legit gallery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status’ (Romney 2005: 34) is debateable, given that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subsequent activities, for all their possible engagement with tropes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developments within contemporary art practice,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mostly taken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place beyond the establishments and spaces associated with it.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picture is further complicated by the (one assumes) author-endorsed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statements on the back cover of his commercially released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Rubber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Johnny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DVD (with accompanying booklet of ‘original artwork’), which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describes the six-minute work as a ‘hallucinatory experimental video’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by ‘the UK’s most imaginative filmmaker’. Although ‘experimental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video’ is used here partly in refer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ence to Cunningham’s continuing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collaboration with the electronic musician Aphex Twin, and therefore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to emphasise the product’s kinship with music culture (and electronica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particular), the word ‘experimental’ is of course loaded with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associations of radical, avant-garde activity, and in this context ‘video’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casts off its connections with the pop music industry and instead links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to a tradition of British video art.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92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Published interviews and profiles have frequently evoked – if not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directly stated – the obvious parallels between Cunningham’s attraction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shape-shifting imagery and disorientating, animation-like editing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strategies, and his own professional fluidity between media, genres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artistic worlds; for Laura Frahm, for example, his work can be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conceived as a ‘permanent reflection about a world that is in a state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endless flux’ (2015: 163). Profiles of Cunningham tend to describe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his early work in special effects production, starting when he was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still a teenager. He was involved in design and technical roles on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Hellbound: Hellraiser II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(1988) 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Nightbreed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(1990), and was the main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alien sculptor on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Alien 3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(1992), before Stanley Kubrick employed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him to lead a robot design department on the pre-production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A.I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. (eventually directed by Steven Spielberg). During his time on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A.I.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he developed an interest in the synchronisation of music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movement and moved into music video production as a tentative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step towards film-making. In the accompanying booklet to the 2003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compilation DVD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Work of Chris Cunningham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issued as part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‘Directors Label’ series (which also included Spike Jonze, Michel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Gondry, Jonathan Glazer, Anton Corbijn and Mark Romanek), he told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 interviewer: ‘I love anatomy. I love the human form, I always have.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That’s why I got into painting and sculpting, that’s why I became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interested in prosthetics and why I make films about bodies. The one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thing that was missing was sound’ (Cunningham 2003).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After a self-funded video for the electronic music act Autechre,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involving an insect-like machine, proved disappointing, through his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inability to turn a visually abstract idea into a piece of film, 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gained a number of commissions for videos and advertisements. In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interviews, he has devalued much of this work, citing a perfectionist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uncompromising streak that made mainstream commissions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for the likes of Madonna difficult, and openly expressing in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accompanying booklet his disappointment with some of the eight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examples he selected for the ‘Directors Label’ DVD. He has also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expressed frustration that, in the age of YouTube, he cannot exercise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control over dissemination, complaining that: ‘If there’s something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you’ve done it’ll be on the fucking internet’ (Dombal 2005). In 1999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he announced a transition from music videos to film direction, but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 planned adaptation of William Gibson’s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Neuromancer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(1984) was as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ultimately fruitless as other feature projects to which he would allude 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next fifteen years. Originally intended as a short film for FilmFour,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but seemingly unviable because of its content (Bidder 2000),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Flex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was</w:t>
      </w:r>
    </w:p>
    <w:p w:rsidR="00AD4592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ultimately commissioned by the Anthony D’Offay gallery. Although 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distinguished it at the time from the ‘puerility’ and comedic impulses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previous collaborations with Aphex Twin, he also emphasised that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‘at the end of the day I just make films and this is just another venue’.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92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But he would again express disappo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intment with the realisation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Flex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including only three minutes of the seventeen-minute running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length on his DVD, and in an interview with Sean O’Hagan in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Guardian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18 April 2010, he described his move into live performance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from 2005 onwards – with shows consisting of a three-screen live ‘mix’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re-edit of released and unreleased work – as ‘the closest I can get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what I want to do: the visceral sound of a live show but massive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screens like a cinema’. He has also rejected the benefits of egalitarian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online platforms such as YouTube in disseminating his work to a wide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audience, instead lamenting to O’Hagan the decontextualisation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loss of image quality involved: ‘Why spend three years on a short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 for it to end up being shown out-of-sync on a shitty format?’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Promoting his 2012 multimedia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Jaqapparatus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installation for Audi City,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Cunningham seemed resigned to his outsider status: ‘What I’m doing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these days doesn’t really fit anywhere. A film company wouldn’t [fund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me] because it doesn’t fit their business model. That’s why people say,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“What have you been doing?’’’ (Anon. 2012).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As illustrated by such interview statements about his resistance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the expectations of his becoming a ‘director’ in the traditional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sense of a feature-length storyteller, Cunningham’s career lacks 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tidy narrative of creative evolution. The 1990s is now recognised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a boom period for UK music video production, an era 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which the ‘character and quantity of music videos produced were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stimulated by the policies of British terrestrial programmers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by the emergence of a new generation of independent film-makers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who sought pleasure within their artisanal practice’ (Caston 2014: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13). However, Cunningham has not followed the pathways of others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who used advertisements and music videos as a nursery slope for a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commercial directing career (such as Ridley Scott, Guy Ritchie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Jonathan Glazer), or who ‘graduated’ from intellectually orientated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or personal short films to ‘arthouse’ features (for example, Peter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Greenaway, Sally Potter and Lynn Ramsay). As tempting as it might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be to celebrate Cunningham as a maverick presence without obvious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parallel or precedent in British popular culture, I want instead to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draw him into discourses around British art cinema. I will offer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various definitions of art cinema in due course, but my argument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here is indebted to recent scholarship responding sensitively to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various currents and impulses that characterise contemporary British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My proposition is that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many contradictions that define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animate Cunningham’s work – narrative versus abstraction, political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engagement versus surrealism, sincerity versus provocation, commerce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versus experimentation, art versus craft, a ‘British’ sensibility versus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transnational one – are also those that typify a particular terrain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British film culture that falls awkwardly between populism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experimentalism.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 music videos to art cinema: figures and landscape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Defining a national variant of the already contested concept of art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 is no easy task. European art cinema has tended to be defined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terms of a rejection of the style and storytelling methods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Hollywood cinema, or as a strategic institutional response by European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film-makers. Although it is difficult to find equivalences in British film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culture to the various mid-century European movements associated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with broader artistic and literary developments, it is possible to locate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current of sophistication and exploration British film culture, even if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film-makers were moving against the tide. As Brian Hoyle (2012) notes,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both the influential documentary movement of the 1930s and 1940s,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the less internationally significant ‘kitchen sink’ new wave of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1950s and 1960s, contrasted sharply with the modernist experiments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contemporaneous continental film-makers. Buoyed in part by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arrival of Channel 4, the 1980s was a productive period for directors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such as Derek Jarman, Peter Greenaway, Sally Potter, Terence Davies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Mike Leigh, many of whom graduated from avant-garde or low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budget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 in the previous decade. For John Hill, this wave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film-makers made it ‘much easier to identify a recognisably British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art cinema and see it as a significant strand of British and, indeed,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European filmmaking’ (2000: 18). For Hoyle, British art cinema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last quarter of the twentieth century can be characterised on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one hand as a ‘belated continuation of classic European art cinema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but also a significant development from it’ (2006: 15–16), consisting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‘consciously eclectic’ films, ‘each blending a wide variety of influences,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genres, film-making styles and techniques’ (ibid.: 272).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However, some of the most singular talents that emerged in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1990s (for example, Patrick Keiller, Andrew Kötting and Lynne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Ramsay) struggled as much as the older generation to sustain a career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feature film-making in the late twentieth and early twenty-first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centuries. Furthermore, this ‘golden age’ narrative was challenged 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 article in the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Guardian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24 July 2009, by Andrew Pulver, which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cited emerging film-makers such as Peter Strickland, Gideon Koppel,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Joanna Hogg, Thomas Clay, Andrea Arnold and Duane Hopkins,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identified a revitalisation of British art cinema, albeit one defined by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eclecticism, cine-literacy and an embrace of digital culture rather than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by any shared aesthetic. Pulver quotes a comment by the managing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director of Warp Films, Robin Gutch, suggesting that their work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was united by a desire to ‘purify the medium rather than being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avant-garde’. For Tanya Horeck, this twenty-first century wave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British art cinema shares an interest in ‘questions of sensation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embodiment’ and in so doing connects with a broader development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‘new extremism and its stylised provocations’ (2011:169) in European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art-house cinema, with its exploitation of ‘cinema’s intensely tactile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quality’ (Beugnet 2007: 3). The level of contribution by British filmmakers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the French-led corpus of European films that have ‘attracted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attention for their graphic and confrontational images of sex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violence’ (Horeck and Kendall 2011: 1) is debatable, and it is not easy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locate obvious affinities with the work of directors such as Catherine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Breillat, Gaspar Noé, Lars von Trier and Ulrich Seidl, despite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sexual explicitness of films such as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Intimacy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(2001) 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 Songs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(2004).</w:t>
      </w:r>
    </w:p>
    <w:p w:rsidR="00AD4592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However, Horeck identifies certain kinships with the ‘poetic social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realist art cinema’ (2011: 170) of Andrea Arnold, where ‘poetic,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affective moments . . . offer insight into social relations’ (ibid.: 171).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If a hallmark of ‘extreme’ European film-making has been a tendency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to combine an art cinema aesthetic with ‘shock tactics traditionally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associated with gore, porn and horror’ (Beugnet 2007: 36), then it is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perhaps easier to identify a ‘reverse’ movement in British cinema: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revival of popular horror cinema. Although too broad-ranging to be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reduced to key tropes, some of the key films, such as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Eden Lake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(2008)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28 Days Later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(2002), have been those with a ‘realist’ attention to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landscape and spatial tensions. It is tempting to identify Cunningham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both outlier and bridge between these various developments. On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one hand,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(1997) is eerily prophetic of a later ‘hoodie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horror’ cycle of British films exploiting associations around dangerous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youth (Walker 2015). On the other, if the ‘new extremism’ movement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was characterised by, in James Quandt’s much-quoted description,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‘rivers of viscera and spumes of sperm’ (2011: 18), then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Flex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with its close-ups of genitalia, sexual acts, and highly stylised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blood-letting, is one of the few British examples of wilful transgression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this era outside of generic or avant-garde film-making. Indeed, 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words that actually anticipate Quandt, Cunningham (2004) described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Flex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2003 as a work encompassing ‘blood, muscles, heavy breathing,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spunk and God’.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Certain contemporary directors, such as Ben Rivers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 Years</w:t>
      </w:r>
      <w:r w:rsidR="00AD4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 Sea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(2011)) and Duane Hopkins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Better Things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(2008)), have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notably produced work for art galleries and cinemas whereas various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established figures in contemporary art, like Steve McQueen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Hunger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(2008)), Sam Taylor-Wood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Nowhere Boy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(2009)), Douglas Gordon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Zidane: A 21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Century Portrait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(2006)), Tracey Emin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Topspot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(2004))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Banksy (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Exit Through the Gift Shop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(2010)), have crossed into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commercial film-making. Writing in 1999, around the time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Cunningham’s gravitation towards exhibition spaces, A. L. Rees noted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rise of ‘gallery video’, and in 2011 he described how ‘many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exhibitions of contemporary art have been dominated by digital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screens and film loops’ (2011: vi). In relation to the mid-1990s wave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of ‘young British artists’, Rees identified the utilisation of film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video in ways more indebted to the ‘sounds and icons of TV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mainstream cinema’ (ibid.: 132) than to histories of avant-garde,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structuralist cinema. In relation to the subsequent trend for artists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migrating into mainstream or documentary features, symptomatic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what Amy Sargeant (2012: 519) describes as a ‘culture where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art and artists have become the subject of common currency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widespread popular commentary’ (Sargeant 2012: 519), she notes 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pattern of exchange involving a ‘decisive crossing of borders, to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fro, with all the territorial anxiety that activity implies, on either side,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for artists and critics alike’ (ibid.: 503). The blurring of categorical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boundaries suggested by Sergeant in relation to the visibility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“‘artists’ films’’, contemporary and retrospective, in formats shared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with regular features and television’ (ibid.: 519) can of course also be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witnessed in the circulation and popular reception of Cunningham’s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work. His videos have been anthologised across a range of platforms: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for example, his work has been featured in the Channel 4 television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series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Mirrorball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(1999–2001) which showcases video auteurs (the show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developed out of an event at the Edinburgh Film Festival), the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Bug</w:t>
      </w:r>
      <w:r w:rsidR="00AD4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events (2007–) at the British Film Institute (and elsewhere) tracing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evolution of music video, the aforementioned ‘Directors Label’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DVD release, Tate Britain’s 2003–4 retrospective ‘A Century of Artists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 in Britain’, and other galleries and spaces. And to illustrate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its simultaneous absorption within both the popular and critical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imagination, one might reference the inclusion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audience-polled Channel 4 show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100 Greatest Scary Moments</w:t>
      </w:r>
      <w:r w:rsidR="00AD4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(2003) – a countdown mostly of filmic and television examples – and at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top of the taste-making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Pitchfork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website’s list of the ‘top 50 music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videos of the 1990s’.</w:t>
      </w:r>
      <w:r w:rsidRPr="00AD459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Rees’s description of the video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art of the contemporary era as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‘more pictorialist than materialist’ (2011: 132) strengthens the case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made by a number of scholars of British visual culture (Orr 2012;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Hockenhull 2014) for a historical affinity between art and film-making,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and in particular the predominance of a ‘Romantic and Sublime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vocabulary’ (Hockenhull 2014: 17) that suggests a lineage between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eighteenth-century painting and contemporary British cinema. In her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aesthetic analysis of how recent British films have elicited an emotional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response through their conscious or unconscious use of landscape,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Stella Hockenhull has identified certain common impulses that unite 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number of generically variable texts; for example, various films in the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social realist tradition have conveyed states of ‘liminality, disconnection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self-reflection’ through the Romantic vocabulary of the landscape,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whereas horror films have typically portrayed landscapes as a ‘hostile</w:t>
      </w:r>
    </w:p>
    <w:p w:rsidR="00AD4592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and primitive space’ (ibid.: 30). Hockenhull’s main concern is a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‘pastoral lineage’ (ibid.: 24), which is admittedly difficult to extend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an indigenous tradition of music video, let alone to Cunningham.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92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Nevertheless, a correspondence 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can be made between the ways in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which a ‘pictorialist’ British cinema po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sitions figures suggestively in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rural and urban landscapes and the juxtaposition of bodies and spaces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music video. Cunningham, however, has tended to be defined in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terms of a post-industrial reinvention of Gothicism. Michael Bracewell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considers both his futuristic, clinical vision of erotically embracing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robots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 Is Full of Love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his 2003 PlayStation advert featuring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digitally altered young woman as redolent of the ‘postmodern fairy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tale’, stemming from the compensatory need for ‘tales of mystery and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imagination in a world increasingly explained by science’. In this way,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his borrowings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from fantasy genres suggest ‘stories which seem to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articulate the relation to human feelings to the mysteries and myths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our technologically accelerating age’ (2000: 148).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92" w:rsidRPr="00544A11" w:rsidRDefault="00AD4592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In her discussion of Cunningham i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n relation to a strand of music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videos that ‘propose references to the manifestations of past artistic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592">
        <w:rPr>
          <w:rFonts w:ascii="Times New Roman" w:hAnsi="Times New Roman" w:cs="Times New Roman"/>
          <w:color w:val="000000"/>
          <w:sz w:val="24"/>
          <w:szCs w:val="24"/>
        </w:rPr>
        <w:t>avant-gardes’ (Turim 2007: 85), Maureen Turim identifies a tension</w:t>
      </w:r>
      <w:r w:rsidR="00AD4592" w:rsidRP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within his work between ‘figurative bodies and narratives on one hand,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abstract visual impulses on the other’ (ibid.: 98). Thus, while his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recurrent imagery of fragmented or mutated bodies connects with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traditions of surrealist art, there is also scope for symbolic readings.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Afrika Shox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(1998), for instance, can be interpreted as a commentary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on both the economic underclass and US race relations in its portrayal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a ragged, haunted-looking black man in the financial district of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New York having his limbs shattered like porcelain as he comes</w:t>
      </w:r>
      <w:r w:rsidR="00AD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into contact with authority figures who barely register his presence.</w:t>
      </w:r>
    </w:p>
    <w:p w:rsidR="002F7669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Windowlicker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(1999), Cunningham’s playful deconstruction of tropes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from contemporaneous hip-hop and R&amp;B videos is predicated upon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grotesque conceit of a coterie of bikini-clad female dancers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each with the bearded face of Richard D. James (that is, Aphex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Twin) – a ‘dadaist gag’ (Shaughnessy 2005: 81) carried forward from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preceding Aphex collaboration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and rooted in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James’s previous iconisation of his own face in cover art and videos.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Given the ubiquity of the ‘big-bosomed 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bikini girl’ (O’Reilly 1999) in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hip-hop videos, and the ethnicity of the majority of the performances,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it is not surprising that it attracted accusations of racism and sexism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(O’Reilly 1999; Adams 2014).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However, it could be claimed that this tension between abstraction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figuration is hardly unique to Cunningham, being merely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manifestation of a broader conflict between understandings of music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videos as either primarily ‘narrative’ or ‘anti-narrative’ in impulse.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her detailed study of the form,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Carol Vernallis acknowledges a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schism in prior scholarship between those who claim that music videos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mostly work narratively, drawing on techniques from a Bordwellian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definition of Hollywood cinema, and those who detect instead a ‘kind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postmodern pastiche that gains energy from defying narrative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conventions’ (2004: xi). According to the latter approach, given that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video ‘offers no critical distance from the genre being parodied’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(Lola Young, cited in O’Reilly 1999), a challenging example such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Windowlicker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may be closer to pastiche than to satire, but achieves its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shock effect through its novel and unsettling deconstructive tactics. For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Vernallis, it is more fruitful to place videos within a continuum from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strong to anti-narrative, and to recognise that any ‘story’ exists ‘only in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dynamic relation between the song and the image as they unfold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time’ (2004: 4). In relation to Cunningham, Vernallis notes how his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work functions narratively in conveying a ‘sense of threat through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fracture, transformation, or faulty workings of machines and bodies’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(2013: 275).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Arguing that ‘Cunningham’s i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nterest in anatomy and music is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particular to him as a director’, Tristan Fidler identifies in a number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his videos a ‘pessimistic view of urban space . . . represented both in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forms of anatomy residing there and the damaging consequences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city has for the human extensions of its structural space’ (2007: 130).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Fidler draws upon the Lacanian-inspired premise of the imaginary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body and its incorporation into the ‘cinematic body’, arguing that: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‘For Cunningham, the meaning of the body of the symbolic order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is one of disruption and destabilisation, which is determined by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alternatively melancholic and assaulting music he chooses’ (ibid.: 126).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For Fidler, Cunningham’s auteurist sign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ature is partly the remediation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cinematic genres, most notably horror and action where the ‘visceral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transfiguration’ of the body is a means to impel or shock audiences,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within the ‘television genre of the music video’ (ibid.: 128).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What is evident from the analys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es of Fidler, Thumin, Bracewell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others is that the affiliations between Cunningham’s work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wider currents in either art or popular culture are fundamentally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related to his articulation of bodies in conflict with the environment.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But, as I will demonstrate through the following detailed analysis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one of his videos, his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oeuvre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itself – a body of work pulled critically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generically in many different directions – can be understood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emblematic of a tradition of exploratory British film-making that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resists comprehension in terms of lineage or linear development.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Filmed on a council estate in Thamesmead in East London,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is for me Cunningham’s most identifiably ‘indigenous’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production in terms of its iconography and its engagement with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associative ideas around delinquency and ‘media effects’ within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British popular imagination (albeit not exclusively). Although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comfortably classified as a music video, given its role in promoting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 EP of the same name by Aphex Twin,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introduces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right from the start a subtle challenge to video orthodoxy by imposing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name of the director, musician and title almost subliminally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over the images via quick flashes and muted colours. Moreover,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familiar Aphex Twin symbol – a branding logo that carries no other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discernible referents – is seen rapidly to switch back and forth to a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sign (reminiscent of the kind associated with public lavatory signs)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suggesting the human form; this anticipates not only the forthcoming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imagery but also the video’s broader tension between abstraction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figuration.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six-minute video begins with suspenseful establishing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shots – accompanied by unsettling electronic sounds – of a grey,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concrete tower block and the arrival of a vulnerable-looking elderly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woman whose large dog sniffs around a pile of rubbish and then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urinates on a small, abandoned television set. This brings to life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digitally shifting image of a face on the screen, that of Richard James,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the music track’s ‘horror jungle’ (Young 2005: 78) begins with his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aggressively processed voice screaming ‘I want your soul’. This draws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attention of a group of ‘little people’ (henceforth Aphex children),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all with James’s ‘trademark leer’ (Matthews 2004), and signified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either female or male by way of their school uniform or parka coat (a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nod perhaps to cult British evocations of ‘mod’ culture, most notably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Quadrophenia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(1979)), who run amok, squabble and scare a resident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a parking area. The television with James’s face is accidentally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dropped and this unleashes the ‘birth’ through a membranous screen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a skeletal, human-like creature, which then – and now with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familiar James face – stands proudly over its disciple-like ‘children’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a fog that obscures any sense of a particular location. The last 40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seconds of the video rapidly cut between the creature moving jerkily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abstract flashes of the preceding imagery: the TV face, static,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terrified old woman, the tower blocks, light flashes, splashes and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rampaging Aphex children At one point, the creature has its hands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over its head in a cowed position, as if mirroring the viewer’s own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subjugation to the video’s overwhelming sonic and visual assault;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furthermore, it is seen at one point wearing a cloth over its genitalia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that could either be an infantilising nappy or a loin-cloth, reinforcing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reading of the creature as a suffering Jesus figure.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Although the video is mostly ed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ited associatively to the harsh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rhythms of the music rather than in accordance with traditional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cinematic continuity style, there are instances of shot-reverse-shot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constructs in order to convey point of view and to evoke suspense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or threat. For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example, before Aphex children are unveiled,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series of shots draw on the horror/thriller convention of an unseen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observer – signified by a slightly obscured view from where the woman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senses a movement. The sticky birth of the television creature,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 evident homage to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Videodrome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(1983), clearly connects with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tradition of anatomically focused ‘body horror’ linked with the likes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Cronenberg and Clive Barker; the creature is revealed incrementally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through fragmentary images that generate anxiety about its form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what it might do to the woman.4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For Tristan Fidler, drawing upon paradigms relating to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construction of the cinematic body,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is emblematic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of Cunningham’s ‘pessimistic’ vision – as seen elsewhere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Only You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Afrika Shox –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the ‘human body and urban space as engaged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in a negative relationship that is filled with tension and unease’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(2007: 130). The Aphex children thus personify an experience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alienation in the estate through their phy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sically and socially disruptive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behaviour, while the television creature is also left alone and alienated,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emphasising a general ‘sense of uneasiness in the face of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spectacular Other’ (ibid.: 141). However, to interpret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merely a ‘scream against urban decay’ (Hanson 2006: 15) is too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reductive a reading of its more complex interrogation of anxieties in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British popular imagination relating to council estates, places that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have been exploited in print and visual media as ‘ciphers . . . shorthand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make a point about the society we live in’ (Hanley 2007: 183). By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time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the council estate was firmly established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recurrent setting for a certain strain of socially concerned British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film-making with an ambivalent stance on questions of agency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entrapment: one might contrast, for example, the way that characters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are overwhelmed by their environment in Ken Loach’s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Raining Stones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(1993) with the entitlement of the strutting teenage girls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Rita, Sue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Bob Too!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(1987). With its playful rather than didactic approach,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, however, is better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appreciated as a precursor to ‘fanciful’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representations such as the comedic television drama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Shameless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(Channel 4, 2004–13) and the horror film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Attack the Block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(2011) that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largely eschew naturalism yet still intervene in political debates around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‘underclass’. Although the video is atypical of Cunningham in its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deployment of a recognisable ‘real-world’ setting, the estate offers an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ideal platform for his signature fusion of figuration and abstraction.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council estate has been defined as a ‘meeting of archit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ectural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modernism with the ideals of the British welfare state’ (Taunton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2010: 176) and Cunningham finds an equivalence to the track’s sonic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violence in compositions and editing that exploit the brutalist lines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and shapes of the setting, while using characters to suggest a scenario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alternative paternal protection to that of the state. At one point,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towards the end of the video, a shot of the walls of the estate becomes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unexpectedly subject to a degradation effect, as if the interference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hitherto seen on the television monitor has transferred, like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creature within, to the ‘real’ world. Although the effect contributes to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video’s progressive blurring of mediated and unmediated realities,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it also alludes to the surveillance of public spaces through CCTV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technology, or at least the breakdown of such monitoring.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Through its depiction of phy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sical entities that blur ‘their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classification as child or adult’ (Fidler 2007: 135),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="002F7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complicates a straightforward reading of its narrative in terms of media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effects. While it is the aggressive imagery on the television set that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gives birth to a monstrous, physical threat to the elderly woman (who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can be taken to represent the wider social fabric here) and seemingly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impels the Aphex children towards delinquency, the television creature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also brings calm and unity to the children. For the British viewer at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least, these elements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may bring to mind the ‘video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nasty’ scare of the early 1980s relating to fears about the possible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impact upon children of explicit,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unregulated content (see Egan 2007).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Interestingly, Cunningham himself has outlined, in the context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British Board of Film Classification’s imposition of age-ratings on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online videos, the formative impact of ‘extreme’ material on his own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creativity: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 used to watch video nasties.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Was that a bad idea? I don’t know, but being</w:t>
      </w: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able to make that decision for yourself is magical . . . As a kid, I didn’t</w:t>
      </w: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really distinguish between looking through a book on surrealist painters,</w:t>
      </w: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 book on how Tom Savini did gore effects, or a music video. It’s all art to</w:t>
      </w: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me . . . For a while, music videos were a replacement of what avant-garde</w:t>
      </w:r>
    </w:p>
    <w:p w:rsidR="00544A11" w:rsidRP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cinema was doing. If you wanted to see anything avant-garde, or surreal,</w:t>
      </w:r>
    </w:p>
    <w:p w:rsidR="00544A11" w:rsidRDefault="00544A11" w:rsidP="002F766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you’d more likely see it in a music video than a movie. (Monroe 2015)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However, the song ‘Come to Daddy’ tends to be regarded in part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parodic swipe at ‘electro-rock dance hits’ of the time, particularly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 Prodigy’s 1996 techno hit ‘Fires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tarter’ (Fidler 2007: 131). And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mentioned earlier, the video was also the continuation of Aphex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Twin’s use of his own ‘face and body [in cover art and videos] in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bludgeoning attack on the over-cosmeticized imagery of contemporary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pop’ (Shaughnessy 2005: 81). In this respect, Rob Young notes how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Richard James’s discomfort with his growing reputation led to a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‘conscious decision to fight back by shredding his image, chopping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into digital images of his own, making himself appear like a smudged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loon’ (2005: 77–8). A notable precursor to Cunningham’s video is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David Slade’s promo for Aphex Twin’s ‘Donkey Rhubarb’ (1995), which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also has an urban backdrop and features three people, all in furry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‘bear’ outfits customised with the identical, flat faces of the musician,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who romp, squabble and make sexual gestures – including a ‘hipthrust’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manoeuvre that is repeated (the intertextuality is presumably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deliberate) by one of the Aphex children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. Although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utterly unforeseen, the creatures here, sometimes filmed interacting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with ‘real’ children, are oddly reminiscent of the characters on the BBC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children’s TV show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Teletubbies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which first aired in 1997. Given that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Teletubbies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to Daddy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both share a conceit of child-like figures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who receive and internalise video broadcasts, it is perhaps not too farfetched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to suggest that Aphex Twin and Cunningham are channelling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broader idea in both popular culture and postmodern theory about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children and cultural formation. Indeed, Jonathan Bignell’s analysis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Teletubbies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casting childhood as both familiar and alien has some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application to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particularly in how it ‘poses television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as a mediator of the uncertain boundaries between adulthood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childhood, familiar and alien, human and inhuman’ (2005: 374).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Conclusion: comedy and perceptual challenge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Carol Vernallis’s rhetorical ques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tion about whether Cunningham’s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disquieting effects come from his working ‘with taboo subject positions’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or merely from a ‘subtle mean streak’ (2013: 275) can be answered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partly via his claims that his impulses have often been comedic.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With regard to his repeated use of children or child-like figures – for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example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to Daddy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Only You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on My Selector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(1998),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Spectral Musicians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Rubber Johnny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– it is feasible to relate this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to a late 1990s trend in European art cinema for stories dealing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with fears and compulsions around the death or loss of a child.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But there is a more appropriate kinship with the era’s dark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morally inscrutable television and radio comedy, particularly Chris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Morris’s music-driven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Blue Jam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(BBC, Radio 1, 1997–9) which, as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well as prominently featuring tracks by Aphex Twin and other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ambient electronic acts, also featured unsettling scenarios involving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traumatised, sexualised or dead children. A key sketch, also repeated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in the television adaptation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(Channel 4, 2000), portrays a bereaved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mother begging a plumber to ‘fix’ her baby with hot pipes.5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shows attributed to Morris, including the controversial ‘Paedophilia’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special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Brass Eye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(Channel 4, 28 July 2001), are characterised by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 tension between satirical and surrealist intent in the way that they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allow for interpretation as a sustained commentary on the sanctity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parenthood/childhood while also tilting at subjects normally taboo for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grotesque imagery and tonal effects – analogous, as we have seen, with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Cunningham’s collapsing of figuration and abstraction.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These tensions are particularly prominent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Rubber Johnny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, which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begins with close-ups, shot in infrared,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of a face that could be either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that of a baby or an animal. A soothing male voice off-screen, which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could be that of a father or of some kind of institutional figure, asks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baby talking creature if it wants its ‘Mummy’ to come. After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brief credit sequence showing a condom being pulled off a penislike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shape – highly allusive given the title’s reference to a slang phase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for male contraception – we are introduced to the ‘adult’ Johnny, still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the same dark room (or one similar) and still foetus-like, with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his disproportionately bulbous head hanging over his wheelchair. As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Jonathan Romney observes, the initial section ‘hints at more serious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intentions to suggest themes of language and disability’ (2005: 35)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and the subsequent verbal threat that Johnny receives from an offscreen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male – ‘You great twat, you’ – lends weight to possible narratives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of failed contraception, abusive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parents and monstrous children.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However, the creature’s utterance of the word ‘Aphex’, with its obvious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intertextual associations, initiates the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final ‘splatterdance’ sequence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(ibid.: 2005: 36) where any satirical 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intention is overwhelmed by the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desire by the creators to ‘operate at, and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slightly beyond, the threshold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of human perception’ (Fetveit 2011: 177).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It is precisely this perceptual chal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lenge that has hitherto daunted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analyses of Cunningham, whether in terms of representational politics,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generic affiliation or relationship with avant-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garde art. Cunningham’s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long-anticipated ‘feature’ film may never see the light of day and while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there are some who would consider that a creative loss, this has also had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implications for the categorisation and reception of his work to date.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One avenue of potential analysis to which this article has only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briefly 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lluded is Cunningham’s consonanc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>e with a tradition of sonically 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ensitive British cinema. Surprisingly, perhaps, for a cinema so often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identified through pictorialist or lite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rary impulses, we might claim a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kind of ‘musicality’ – in the sense of an 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innate visual responsiveness to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sound and music – as a glue that bind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s Cunningham with the otherwise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mixed company of Humphrey Je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>nnings, Powell and Pressburger, T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erence Davies, Derek Jarman, Nicolas Roeg and Jonathan Glazer.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Of course, aligning him with an admittedly inscrutable tradition of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British art cinema is not unproblematic, as we have seen. But it is a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useful illustration of how threshold-crossing films and film-makers can</w:t>
      </w:r>
      <w:r w:rsidR="002F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expose qualities and concerns that assist a comprehension, if not quite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 definition, of a national film culture.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1. As I discuss in this article, Cunningham’s output raises numerous questions relating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to categorisation, but for clarity I describe the works that are not music videos, in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 traditional sense of sharing the name of the track and being dominated by it, as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‘films’.</w:t>
      </w:r>
    </w:p>
    <w:p w:rsidR="002F7669" w:rsidRPr="00544A11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2. A comprehensive (although unofficial) list of Cunningham’s completed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uncompleted projects can be found at &lt;http://kevinfholy.com/cunn/feature.html&gt;.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3. See &lt;http://pitchfork.com/features/staff-lists/7849-the-top-50-music-videos-of-the-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1990s/5/&gt;.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4. The lyrics of the Aphex Twin track are clearly indebted to Clive Barker’s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Hellraiser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(1987), in which the Frank character repeats the phrase ‘Come to Daddy’, and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‘Pinhead’ character utters the words ‘We’ll tear your soul apart’. The use of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phrase ‘Come to Daddy’ in other horror films (for example, it is uttered by Freddy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Kreuger 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Nightmare on Elm Street 4: The Dream Master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(1988)) bolsters the sense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that Cunningham/James are exploiting the shock/comedic potential of transplanting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 cliché of fantasy cinema into the humdrum spaces of urban decay.</w:t>
      </w:r>
    </w:p>
    <w:p w:rsidR="002F7669" w:rsidRDefault="002F7669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5. For a discussion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Blue Jam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in this context, including the affiliations between the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programme and Aphex Twin, see Dean and Hand (2013). It is also worth noting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that the Warp label, so strongly connected to the work of Cunningham and Aphex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Twin, released a CD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Blue Jam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material in 2000, and the first work to be released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through the offshoot Warp Films was Morris’s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Wrongs #8245–8249 &amp; 117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(2003).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Adams, R. (2014), ‘Who says white men can’t dance? Deconstructing racial stereotypes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in “Windowlicker’’’,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Unsettling Whiteness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11, pp. 263–73.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Anon. (2012), ‘Interview: Chris Cunningham talks tech and low-budget filmmaking’,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Pocket-lint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July. Available at: &lt;http://www.pocket-lint.com/news/116334-chriscunningham-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interview-talks-tech-audi-city-installation-july-2012&gt;.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Beugnet, M. (2007),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Cinema and Sensation: French Film and the Art of Transgression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Edinburgh: Edinburgh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Bidder, N. (2000), ‘Chris Cunningham’,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Dazed and Confused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70. Available at: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&lt;http://kevinfholy.com/cunn/pr13.html&gt;last accessed 1 September 2015.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Bignell, J. (2005), ‘Familiar aliens: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Teletubbies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postmodern childhood’,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Screen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46: 3,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pp. 373–88.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Bracewell, M. (2000), ‘Chris Cunningham: man, machine and music’, in N. Rosenthal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(ed.),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Apocalypse: Beauty and Horror in Contemporary Art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Royal Academy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Arts, pp. 148–51.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Caston, E. (2012), ‘Kick, bollocks and scramble: an examination of power and creative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decision making in the production process during the golden era of British music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videos 1995–2001’,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British Cinema and Television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9: 1, pp. 96–110.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Caston, E. (2014), ‘The fine art of commercial freedom: British music videos and film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culture’,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Scope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February. Available at: &lt;http://nottingham.ac.uk/scope/documents/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2014/february/caston1.pdf&gt;last accessed 1 September 2015.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Cunningham, C. (2003),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Work of Director Chris Cunningham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Directors Label DVD.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Dean, R. and Hand, R. (2013), “‘Bashed be biff by all with ears’’: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Blue Jam 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nd taboo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radio’, in J. Leggott and J. Sexton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 Known Cure: The Comedy of Chris Morris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Basingstoke: Palgrave Macmillan, pp. 126–40.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Dombal, R. (2005), ‘Interviews: Chris Cunningham’,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Pitchfork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July 31. Available at: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&lt;http://pitchfork.com/features/interviews/6103-chris-cunningham/&gt;last accessed 1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September 2015.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Egan, K. (2007),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Trash or Treasure? Censorship and the Changing Meanings of the Video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Nasties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Manchester: Manchester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Fetveit, A. (2011), ‘Mutable temporality in and beyond the music video: an aesthetic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post-production’, in E. Røssaak (ed.),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 Stillness and Motion: Film, Photography,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Algorithms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Amsterdam: Amsterdam University Press, pp. 159–86.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Fidler, T. (2007), ‘Music Video Auteurs: The Directors Label DVDs and the Music Videos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of Chris Cunningham, Michel Gondry and Spike Jonze’, PhD thesis, unpublished,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University of Western Australia.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Frahm, L. (2015), ‘Liquid cosmos, movement and mediality in music video’, in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H. Keazor and T. Wübbena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Rewind, Play, Fast Forward: The Past, Present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 of the Music Video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Piscataway, NJ: Transaction, pp. 155–78.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Hanley, L. (2007),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Estates: An Intimate History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Granta.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Hanson, M. (2006),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Reinventing Music Video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Hove: RotoVision.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Hill, J. (2000), ‘The rise and fall of British art cinema: a short history of the 1980s and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1990s’,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Aura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6: 3, pp. 18–32.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Hockenhull, S. (2014),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Aesthetics and Neo-Romanticism in 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ilm: Landscapes in Contemporary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British Cinema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I. B. Tauris.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Horeck, T. (2011), ‘A “passion for the real’’: sex, affect and performance in the films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of Andrea Arnold’, in T. Horeck and T. Kendall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New Extremism in Cinema: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 France to Europe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Edinburgh: Edinburgh University Press, pp. 169–79.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Horeck, T. and Kendall, T. (2011), ‘Introduction’, in T. Horeck and T. Kendall (eds),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New Extremism in Cinema: From France to Europe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Edinburgh: Edinburgh University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Press, pp. 1–17.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Hoyle, B. (2006), ‘British Art Cinema 1975–2000: Context and Practice’, PhD thesis,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unpublished, University of Hull.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Hoyle, B. (2012), ‘Arthouse’, in E. Bell and N. Mitchell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Directory of World Cinema: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Britain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Bristol: Intellect, pp. 188–205.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Matthews, P. D. (2004), ‘Music in his own image: the Aphex Twin face’,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Nebula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1: 1,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pp. 65–73.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Monroe, J. (2015), ‘Aphex Twin video director Chris Cunningham on why age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ratings on music videos are a bad idea’,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NME Blogs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27 August. Available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at: &lt;http://www.nme.com/blogs/nme-blogs/aphex-twin-video-director-chris-cunning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ham-on-why-age-ratings-on-music-videos-are-a-terrible-idea&gt;last accessed 1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September 2015.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O’Reilly, J. (1999), ‘Face the music’,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Guardian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5 March. Available at: &lt;http://www.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theguardian.com/friday_review/story/0„313437,00.html&gt;, last accessed 1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September 2015.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Orr, J. (2012),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Romantics and Modernists in British Cinema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Edinburgh: Edinburgh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Quandt, J. (2011), ‘Flesh and blood: sex and violence in recent French cinema’, in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T. Horeck and T. Kendall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New Extremism in Cinema: From France to Europe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Edinburgh: Edinburgh University Press, pp. 18–28.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Railton, D.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Watson, P. (2011),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Music Video and the Politics of Representation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Edinburgh: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Edinburgh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Rees, A. L. (2011),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History of Experimental Film and Video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2nd edn, Basingstoke: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Palgrave Macmillan.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Romney, J. (2005), ‘Bend it like . . . Chris Cunningham’s rubber johnny’,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Painters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July/August, pp. 34–7.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Rosenthal, N. (2000),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Apocalypse: Beauty and Horror in Contemporary Art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Royal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Academy of Arts.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Sargeant, A. (2012), ‘Crossing borders: artist film-makers in the new decade’,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British Cinema and Television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9: 3, pp. 502–20.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Shaughnessy, A. (2005), ‘Spray-on smiles: Aphex Twins’, in R. Young (ed.),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Warp: Labels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Unlimited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Black Dog Publishing, pp. 80–1.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Stanley, R. (2002), ‘Dying light: an obituary for the great British horror films of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the sound era’, in S. Chibnall and J. Petley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British Horror Cinema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Routledge, pp. 183–95.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Taunton, M. (2010), ‘Worlds made of concrete and celluloid: the London council estate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Nil by Mouth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Wonderland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‘, in V. Nünning, A. Nünning and B. Neumann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Cultural Ways of Worldmaking: Media and Narratives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New York: De Gruyter,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pp. 175–90.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Turim, N. (2007), ‘Art/music/video.com’, in R. Beebe et al. (eds),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Medium Cool: Music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Videos from Soundie to Cellphones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Durham, NC: Duke University Press, pp. 84–110.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Vernallis, C. (2004),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Experiencing Music Video: Aesthetics and Cultural Context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New York: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Columbia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Vernallis, C. (2013),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Unruly Media: YouTube, Music Video and the New Digital Media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Oxford: Oxford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Walker, J. (2015),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Contemporary British Horror Cinema: Industry, Genre and Society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Edinburgh: Edinburgh University Press.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Young, R. (2005),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Warp: Labels Unlimited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, London: Black Dog Publishing.</w:t>
      </w:r>
    </w:p>
    <w:p w:rsid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James Leggott 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lectures in film and television studies at Northumbria University. He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has published on various aspects of British film and television culture, including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contemporary cinema, comedy, historical drama and social realism. He is the principal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 xml:space="preserve">editor of </w:t>
      </w:r>
      <w:r w:rsidRPr="0054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Popular Television</w:t>
      </w:r>
      <w:r w:rsidRPr="00544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A11" w:rsidRPr="00544A11" w:rsidRDefault="00544A11" w:rsidP="00544A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A11">
        <w:rPr>
          <w:rFonts w:ascii="Times New Roman" w:hAnsi="Times New Roman" w:cs="Times New Roman"/>
          <w:color w:val="000000"/>
          <w:sz w:val="24"/>
          <w:szCs w:val="24"/>
        </w:rPr>
        <w:t>Email: james.leggott@northumbria.ac.uk</w:t>
      </w:r>
    </w:p>
    <w:p w:rsidR="00CF6DCE" w:rsidRPr="00544A11" w:rsidRDefault="00CF6DCE" w:rsidP="00544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F6DCE" w:rsidRPr="0054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1"/>
    <w:rsid w:val="001C71F8"/>
    <w:rsid w:val="002F7669"/>
    <w:rsid w:val="003F0599"/>
    <w:rsid w:val="00544A11"/>
    <w:rsid w:val="00621250"/>
    <w:rsid w:val="00AD4592"/>
    <w:rsid w:val="00C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Northumbria University</dc:creator>
  <cp:lastModifiedBy>Ay Okpokam</cp:lastModifiedBy>
  <cp:revision>2</cp:revision>
  <dcterms:created xsi:type="dcterms:W3CDTF">2016-05-11T08:11:00Z</dcterms:created>
  <dcterms:modified xsi:type="dcterms:W3CDTF">2016-05-11T08:11:00Z</dcterms:modified>
</cp:coreProperties>
</file>