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87" w:rsidRPr="00AA1E67" w:rsidRDefault="00257AD9" w:rsidP="00AA1E6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8B493F">
        <w:rPr>
          <w:rFonts w:ascii="Times New Roman" w:hAnsi="Times New Roman" w:cs="Times New Roman"/>
          <w:b/>
          <w:sz w:val="28"/>
          <w:szCs w:val="28"/>
        </w:rPr>
        <w:t xml:space="preserve">Discretion to exclude hearsay evidence </w:t>
      </w:r>
      <w:r w:rsidR="00637765">
        <w:rPr>
          <w:rFonts w:ascii="Times New Roman" w:hAnsi="Times New Roman" w:cs="Times New Roman"/>
          <w:b/>
          <w:sz w:val="28"/>
          <w:szCs w:val="28"/>
        </w:rPr>
        <w:t>under s.</w:t>
      </w:r>
      <w:r w:rsidR="008B493F">
        <w:rPr>
          <w:rFonts w:ascii="Times New Roman" w:hAnsi="Times New Roman" w:cs="Times New Roman"/>
          <w:b/>
          <w:sz w:val="28"/>
          <w:szCs w:val="28"/>
        </w:rPr>
        <w:t>126</w:t>
      </w:r>
      <w:r w:rsidR="00637765">
        <w:rPr>
          <w:rFonts w:ascii="Times New Roman" w:hAnsi="Times New Roman" w:cs="Times New Roman"/>
          <w:b/>
          <w:sz w:val="28"/>
          <w:szCs w:val="28"/>
        </w:rPr>
        <w:t xml:space="preserve"> Criminal Justice Act 2003</w:t>
      </w:r>
    </w:p>
    <w:p w:rsidR="003B1087" w:rsidRDefault="00AA1E67" w:rsidP="00AA1E67">
      <w:pPr>
        <w:jc w:val="center"/>
        <w:rPr>
          <w:rFonts w:ascii="Times New Roman" w:hAnsi="Times New Roman" w:cs="Times New Roman"/>
          <w:sz w:val="24"/>
          <w:szCs w:val="24"/>
        </w:rPr>
      </w:pPr>
      <w:r>
        <w:rPr>
          <w:rFonts w:ascii="Times New Roman" w:hAnsi="Times New Roman" w:cs="Times New Roman"/>
          <w:sz w:val="24"/>
          <w:szCs w:val="24"/>
        </w:rPr>
        <w:t xml:space="preserve">R v </w:t>
      </w:r>
      <w:r w:rsidR="008B493F">
        <w:rPr>
          <w:rFonts w:ascii="Times New Roman" w:hAnsi="Times New Roman" w:cs="Times New Roman"/>
          <w:sz w:val="24"/>
          <w:szCs w:val="24"/>
        </w:rPr>
        <w:t xml:space="preserve">Drinkwater </w:t>
      </w:r>
      <w:r>
        <w:rPr>
          <w:rFonts w:ascii="Times New Roman" w:hAnsi="Times New Roman" w:cs="Times New Roman"/>
          <w:sz w:val="24"/>
          <w:szCs w:val="24"/>
        </w:rPr>
        <w:t>[201</w:t>
      </w:r>
      <w:r w:rsidR="00E43BFE">
        <w:rPr>
          <w:rFonts w:ascii="Times New Roman" w:hAnsi="Times New Roman" w:cs="Times New Roman"/>
          <w:sz w:val="24"/>
          <w:szCs w:val="24"/>
        </w:rPr>
        <w:t>6</w:t>
      </w:r>
      <w:r>
        <w:rPr>
          <w:rFonts w:ascii="Times New Roman" w:hAnsi="Times New Roman" w:cs="Times New Roman"/>
          <w:sz w:val="24"/>
          <w:szCs w:val="24"/>
        </w:rPr>
        <w:t xml:space="preserve">] EWCA Crim </w:t>
      </w:r>
      <w:r w:rsidR="008B493F">
        <w:rPr>
          <w:rFonts w:ascii="Times New Roman" w:hAnsi="Times New Roman" w:cs="Times New Roman"/>
          <w:sz w:val="24"/>
          <w:szCs w:val="24"/>
        </w:rPr>
        <w:t>16</w:t>
      </w:r>
    </w:p>
    <w:p w:rsidR="00AA1E67" w:rsidRPr="00DA2E7D" w:rsidRDefault="00AA1E67" w:rsidP="00AA1E67">
      <w:pPr>
        <w:rPr>
          <w:rFonts w:ascii="Times New Roman" w:hAnsi="Times New Roman" w:cs="Times New Roman"/>
          <w:i/>
          <w:sz w:val="24"/>
          <w:szCs w:val="24"/>
        </w:rPr>
      </w:pPr>
      <w:r w:rsidRPr="00AA1E67">
        <w:rPr>
          <w:rFonts w:ascii="Times New Roman" w:hAnsi="Times New Roman" w:cs="Times New Roman"/>
          <w:i/>
          <w:sz w:val="24"/>
          <w:szCs w:val="24"/>
        </w:rPr>
        <w:t>Keywords</w:t>
      </w:r>
      <w:r w:rsidR="007B02DE">
        <w:rPr>
          <w:rFonts w:ascii="Times New Roman" w:hAnsi="Times New Roman" w:cs="Times New Roman"/>
          <w:i/>
          <w:sz w:val="24"/>
          <w:szCs w:val="24"/>
        </w:rPr>
        <w:t>:</w:t>
      </w:r>
      <w:r w:rsidRPr="00AA1E67">
        <w:rPr>
          <w:rFonts w:ascii="Times New Roman" w:hAnsi="Times New Roman" w:cs="Times New Roman"/>
          <w:i/>
          <w:sz w:val="24"/>
          <w:szCs w:val="24"/>
        </w:rPr>
        <w:t xml:space="preserve"> </w:t>
      </w:r>
      <w:r w:rsidR="00DA2E7D">
        <w:rPr>
          <w:rFonts w:ascii="Times New Roman" w:hAnsi="Times New Roman" w:cs="Times New Roman"/>
          <w:i/>
          <w:sz w:val="24"/>
          <w:szCs w:val="24"/>
        </w:rPr>
        <w:t xml:space="preserve">criminal evidence; </w:t>
      </w:r>
      <w:r w:rsidR="008B493F">
        <w:rPr>
          <w:rFonts w:ascii="Times New Roman" w:hAnsi="Times New Roman" w:cs="Times New Roman"/>
          <w:i/>
          <w:sz w:val="24"/>
          <w:szCs w:val="24"/>
        </w:rPr>
        <w:t xml:space="preserve">hearsay; exclusionary discretion; </w:t>
      </w:r>
      <w:r w:rsidR="00DA2E7D">
        <w:rPr>
          <w:rFonts w:ascii="Times New Roman" w:hAnsi="Times New Roman" w:cs="Times New Roman"/>
          <w:i/>
          <w:sz w:val="24"/>
          <w:szCs w:val="24"/>
        </w:rPr>
        <w:t>s.</w:t>
      </w:r>
      <w:r w:rsidR="00E43BFE">
        <w:rPr>
          <w:rFonts w:ascii="Times New Roman" w:hAnsi="Times New Roman" w:cs="Times New Roman"/>
          <w:i/>
          <w:sz w:val="24"/>
          <w:szCs w:val="24"/>
        </w:rPr>
        <w:t>1</w:t>
      </w:r>
      <w:r w:rsidR="008B493F">
        <w:rPr>
          <w:rFonts w:ascii="Times New Roman" w:hAnsi="Times New Roman" w:cs="Times New Roman"/>
          <w:i/>
          <w:sz w:val="24"/>
          <w:szCs w:val="24"/>
        </w:rPr>
        <w:t>26 Criminal Justice Act 2003</w:t>
      </w:r>
    </w:p>
    <w:p w:rsidR="0067262C" w:rsidRDefault="008B493F" w:rsidP="008B493F">
      <w:pPr>
        <w:rPr>
          <w:rFonts w:ascii="Times New Roman" w:hAnsi="Times New Roman" w:cs="Times New Roman"/>
          <w:sz w:val="24"/>
          <w:szCs w:val="24"/>
        </w:rPr>
      </w:pPr>
      <w:r w:rsidRPr="00C159DF">
        <w:rPr>
          <w:rFonts w:ascii="Times New Roman" w:hAnsi="Times New Roman" w:cs="Times New Roman"/>
          <w:sz w:val="24"/>
          <w:szCs w:val="24"/>
        </w:rPr>
        <w:t>D</w:t>
      </w:r>
      <w:r w:rsidR="00376619">
        <w:rPr>
          <w:rFonts w:ascii="Times New Roman" w:hAnsi="Times New Roman" w:cs="Times New Roman"/>
          <w:sz w:val="24"/>
          <w:szCs w:val="24"/>
        </w:rPr>
        <w:t>, the appellant,</w:t>
      </w:r>
      <w:r w:rsidRPr="00C159DF">
        <w:rPr>
          <w:rFonts w:ascii="Times New Roman" w:hAnsi="Times New Roman" w:cs="Times New Roman"/>
          <w:sz w:val="24"/>
          <w:szCs w:val="24"/>
        </w:rPr>
        <w:t xml:space="preserve"> </w:t>
      </w:r>
      <w:r w:rsidR="00376619">
        <w:rPr>
          <w:rFonts w:ascii="Times New Roman" w:hAnsi="Times New Roman" w:cs="Times New Roman"/>
          <w:sz w:val="24"/>
          <w:szCs w:val="24"/>
        </w:rPr>
        <w:t>was con</w:t>
      </w:r>
      <w:r w:rsidR="00C159DF" w:rsidRPr="00C159DF">
        <w:rPr>
          <w:rFonts w:ascii="Times New Roman" w:hAnsi="Times New Roman" w:cs="Times New Roman"/>
          <w:sz w:val="24"/>
          <w:szCs w:val="24"/>
        </w:rPr>
        <w:t xml:space="preserve">victed of </w:t>
      </w:r>
      <w:r w:rsidR="00466C42" w:rsidRPr="00C159DF">
        <w:rPr>
          <w:rFonts w:ascii="Times New Roman" w:hAnsi="Times New Roman" w:cs="Times New Roman"/>
          <w:sz w:val="24"/>
          <w:szCs w:val="24"/>
        </w:rPr>
        <w:t xml:space="preserve">two counts of </w:t>
      </w:r>
      <w:r w:rsidRPr="00C159DF">
        <w:rPr>
          <w:rFonts w:ascii="Times New Roman" w:hAnsi="Times New Roman" w:cs="Times New Roman"/>
          <w:sz w:val="24"/>
          <w:szCs w:val="24"/>
        </w:rPr>
        <w:t xml:space="preserve">rape, </w:t>
      </w:r>
      <w:r w:rsidR="00466C42" w:rsidRPr="00C159DF">
        <w:rPr>
          <w:rFonts w:ascii="Times New Roman" w:hAnsi="Times New Roman" w:cs="Times New Roman"/>
          <w:sz w:val="24"/>
          <w:szCs w:val="24"/>
        </w:rPr>
        <w:t xml:space="preserve">two of </w:t>
      </w:r>
      <w:r w:rsidRPr="00C159DF">
        <w:rPr>
          <w:rFonts w:ascii="Times New Roman" w:hAnsi="Times New Roman" w:cs="Times New Roman"/>
          <w:sz w:val="24"/>
          <w:szCs w:val="24"/>
        </w:rPr>
        <w:t xml:space="preserve">robbery and </w:t>
      </w:r>
      <w:r w:rsidR="00466C42" w:rsidRPr="00C159DF">
        <w:rPr>
          <w:rFonts w:ascii="Times New Roman" w:hAnsi="Times New Roman" w:cs="Times New Roman"/>
          <w:sz w:val="24"/>
          <w:szCs w:val="24"/>
        </w:rPr>
        <w:t xml:space="preserve">one of </w:t>
      </w:r>
      <w:r w:rsidRPr="00C159DF">
        <w:rPr>
          <w:rFonts w:ascii="Times New Roman" w:hAnsi="Times New Roman" w:cs="Times New Roman"/>
          <w:sz w:val="24"/>
          <w:szCs w:val="24"/>
        </w:rPr>
        <w:t>indecent assault</w:t>
      </w:r>
      <w:r w:rsidR="00376619">
        <w:rPr>
          <w:rFonts w:ascii="Times New Roman" w:hAnsi="Times New Roman" w:cs="Times New Roman"/>
          <w:sz w:val="24"/>
          <w:szCs w:val="24"/>
        </w:rPr>
        <w:t>. He appealed</w:t>
      </w:r>
      <w:r w:rsidRPr="00C159DF">
        <w:rPr>
          <w:rFonts w:ascii="Times New Roman" w:hAnsi="Times New Roman" w:cs="Times New Roman"/>
          <w:sz w:val="24"/>
          <w:szCs w:val="24"/>
        </w:rPr>
        <w:t xml:space="preserve"> on the ground that the trial judge should have permitted him to adduce hearsay evidence under s.116(2)(a) of the Criminal Justice Act 2003 rather than excluding the evidence in the exercise of her discretion under s.126 of the 2003 Act</w:t>
      </w:r>
      <w:r w:rsidR="00B335F4">
        <w:rPr>
          <w:rFonts w:ascii="Times New Roman" w:hAnsi="Times New Roman" w:cs="Times New Roman"/>
          <w:sz w:val="24"/>
          <w:szCs w:val="24"/>
        </w:rPr>
        <w:t xml:space="preserve">. </w:t>
      </w:r>
      <w:r w:rsidR="00386ADB">
        <w:rPr>
          <w:rFonts w:ascii="Times New Roman" w:hAnsi="Times New Roman" w:cs="Times New Roman"/>
          <w:sz w:val="24"/>
          <w:szCs w:val="24"/>
        </w:rPr>
        <w:t xml:space="preserve">The case concerned separate brutal attacks </w:t>
      </w:r>
      <w:r w:rsidR="00467799">
        <w:rPr>
          <w:rFonts w:ascii="Times New Roman" w:hAnsi="Times New Roman" w:cs="Times New Roman"/>
          <w:sz w:val="24"/>
          <w:szCs w:val="24"/>
        </w:rPr>
        <w:t>on</w:t>
      </w:r>
      <w:r w:rsidR="00386ADB">
        <w:rPr>
          <w:rFonts w:ascii="Times New Roman" w:hAnsi="Times New Roman" w:cs="Times New Roman"/>
          <w:sz w:val="24"/>
          <w:szCs w:val="24"/>
        </w:rPr>
        <w:t xml:space="preserve"> </w:t>
      </w:r>
      <w:r w:rsidR="00467799">
        <w:rPr>
          <w:rFonts w:ascii="Times New Roman" w:hAnsi="Times New Roman" w:cs="Times New Roman"/>
          <w:sz w:val="24"/>
          <w:szCs w:val="24"/>
        </w:rPr>
        <w:t xml:space="preserve">three </w:t>
      </w:r>
      <w:r w:rsidR="00386ADB">
        <w:rPr>
          <w:rFonts w:ascii="Times New Roman" w:hAnsi="Times New Roman" w:cs="Times New Roman"/>
          <w:sz w:val="24"/>
          <w:szCs w:val="24"/>
        </w:rPr>
        <w:t xml:space="preserve">young women </w:t>
      </w:r>
      <w:r w:rsidR="00467799">
        <w:rPr>
          <w:rFonts w:ascii="Times New Roman" w:hAnsi="Times New Roman" w:cs="Times New Roman"/>
          <w:sz w:val="24"/>
          <w:szCs w:val="24"/>
        </w:rPr>
        <w:t xml:space="preserve">in </w:t>
      </w:r>
      <w:r w:rsidR="00467799" w:rsidRPr="00386ADB">
        <w:rPr>
          <w:rFonts w:ascii="Times New Roman" w:hAnsi="Times New Roman" w:cs="Times New Roman"/>
          <w:sz w:val="24"/>
          <w:szCs w:val="24"/>
        </w:rPr>
        <w:t>Berkhamste</w:t>
      </w:r>
      <w:r w:rsidR="00467799">
        <w:rPr>
          <w:rFonts w:ascii="Times New Roman" w:hAnsi="Times New Roman" w:cs="Times New Roman"/>
          <w:sz w:val="24"/>
          <w:szCs w:val="24"/>
        </w:rPr>
        <w:t xml:space="preserve">d </w:t>
      </w:r>
      <w:r w:rsidR="00386ADB">
        <w:rPr>
          <w:rFonts w:ascii="Times New Roman" w:hAnsi="Times New Roman" w:cs="Times New Roman"/>
          <w:sz w:val="24"/>
          <w:szCs w:val="24"/>
        </w:rPr>
        <w:t xml:space="preserve">on </w:t>
      </w:r>
      <w:r w:rsidR="00467799">
        <w:rPr>
          <w:rFonts w:ascii="Times New Roman" w:hAnsi="Times New Roman" w:cs="Times New Roman"/>
          <w:sz w:val="24"/>
          <w:szCs w:val="24"/>
        </w:rPr>
        <w:t xml:space="preserve">two </w:t>
      </w:r>
      <w:r w:rsidR="00386ADB">
        <w:rPr>
          <w:rFonts w:ascii="Times New Roman" w:hAnsi="Times New Roman" w:cs="Times New Roman"/>
          <w:sz w:val="24"/>
          <w:szCs w:val="24"/>
        </w:rPr>
        <w:t>different occasions in 1984</w:t>
      </w:r>
      <w:r w:rsidR="00FA403F">
        <w:rPr>
          <w:rFonts w:ascii="Times New Roman" w:hAnsi="Times New Roman" w:cs="Times New Roman"/>
          <w:sz w:val="24"/>
          <w:szCs w:val="24"/>
        </w:rPr>
        <w:t xml:space="preserve"> (the latter incident </w:t>
      </w:r>
      <w:r w:rsidR="005D2AA7">
        <w:rPr>
          <w:rFonts w:ascii="Times New Roman" w:hAnsi="Times New Roman" w:cs="Times New Roman"/>
          <w:sz w:val="24"/>
          <w:szCs w:val="24"/>
        </w:rPr>
        <w:t xml:space="preserve">relating to </w:t>
      </w:r>
      <w:r w:rsidR="00FA403F">
        <w:rPr>
          <w:rFonts w:ascii="Times New Roman" w:hAnsi="Times New Roman" w:cs="Times New Roman"/>
          <w:sz w:val="24"/>
          <w:szCs w:val="24"/>
        </w:rPr>
        <w:t>two victims)</w:t>
      </w:r>
      <w:r w:rsidR="00467799">
        <w:rPr>
          <w:rFonts w:ascii="Times New Roman" w:hAnsi="Times New Roman" w:cs="Times New Roman"/>
          <w:sz w:val="24"/>
          <w:szCs w:val="24"/>
        </w:rPr>
        <w:t xml:space="preserve">. The attacks, </w:t>
      </w:r>
      <w:r w:rsidR="00386ADB">
        <w:rPr>
          <w:rFonts w:ascii="Times New Roman" w:hAnsi="Times New Roman" w:cs="Times New Roman"/>
          <w:sz w:val="24"/>
          <w:szCs w:val="24"/>
        </w:rPr>
        <w:t xml:space="preserve">by a man with a large knife who was </w:t>
      </w:r>
      <w:r w:rsidR="00467799">
        <w:rPr>
          <w:rFonts w:ascii="Times New Roman" w:hAnsi="Times New Roman" w:cs="Times New Roman"/>
          <w:sz w:val="24"/>
          <w:szCs w:val="24"/>
        </w:rPr>
        <w:t xml:space="preserve">wearing a balaclava, took place late at night when the women were walking home. There were striking similarities between the three attacks and the jury </w:t>
      </w:r>
      <w:r w:rsidR="00376619">
        <w:rPr>
          <w:rFonts w:ascii="Times New Roman" w:hAnsi="Times New Roman" w:cs="Times New Roman"/>
          <w:sz w:val="24"/>
          <w:szCs w:val="24"/>
        </w:rPr>
        <w:t>had been</w:t>
      </w:r>
      <w:r w:rsidR="00467799">
        <w:rPr>
          <w:rFonts w:ascii="Times New Roman" w:hAnsi="Times New Roman" w:cs="Times New Roman"/>
          <w:sz w:val="24"/>
          <w:szCs w:val="24"/>
        </w:rPr>
        <w:t xml:space="preserve"> properly directed that it was entitled to conclude that the same man had committed all of the attacks, the issue being whether D was the man. </w:t>
      </w:r>
      <w:r w:rsidR="00B335F4" w:rsidRPr="00B335F4">
        <w:rPr>
          <w:rFonts w:ascii="Times New Roman" w:hAnsi="Times New Roman" w:cs="Times New Roman"/>
          <w:sz w:val="24"/>
          <w:szCs w:val="24"/>
        </w:rPr>
        <w:t>The main hearsay evidence took the form of a confession made to the police by H, who had died 7 years before D’s trial. The confession had not been mechanically recorded and H, who had sought to retract the confession immediately after making it, had refused to sign a statement that had been typed out for him to sign.</w:t>
      </w:r>
    </w:p>
    <w:p w:rsidR="00241C51" w:rsidRDefault="001732FD" w:rsidP="008B493F">
      <w:pPr>
        <w:rPr>
          <w:rFonts w:ascii="Times New Roman" w:hAnsi="Times New Roman" w:cs="Times New Roman"/>
          <w:sz w:val="24"/>
          <w:szCs w:val="24"/>
        </w:rPr>
      </w:pPr>
      <w:r>
        <w:rPr>
          <w:rFonts w:ascii="Times New Roman" w:hAnsi="Times New Roman" w:cs="Times New Roman"/>
          <w:sz w:val="24"/>
          <w:szCs w:val="24"/>
        </w:rPr>
        <w:t xml:space="preserve">D had been interviewed as part of the original police investigation in 1985. In 2012, when the attacks were reinvestigated, </w:t>
      </w:r>
      <w:r w:rsidR="0050616C">
        <w:rPr>
          <w:rFonts w:ascii="Times New Roman" w:hAnsi="Times New Roman" w:cs="Times New Roman"/>
          <w:sz w:val="24"/>
          <w:szCs w:val="24"/>
        </w:rPr>
        <w:t>specimens from the victims were re-tested and the</w:t>
      </w:r>
      <w:r w:rsidR="007B02DE">
        <w:rPr>
          <w:rFonts w:ascii="Times New Roman" w:hAnsi="Times New Roman" w:cs="Times New Roman"/>
          <w:sz w:val="24"/>
          <w:szCs w:val="24"/>
        </w:rPr>
        <w:t>ir</w:t>
      </w:r>
      <w:r w:rsidR="0050616C">
        <w:rPr>
          <w:rFonts w:ascii="Times New Roman" w:hAnsi="Times New Roman" w:cs="Times New Roman"/>
          <w:sz w:val="24"/>
          <w:szCs w:val="24"/>
        </w:rPr>
        <w:t xml:space="preserve"> DNA profiles </w:t>
      </w:r>
      <w:r w:rsidR="00B335F4">
        <w:rPr>
          <w:rFonts w:ascii="Times New Roman" w:hAnsi="Times New Roman" w:cs="Times New Roman"/>
          <w:sz w:val="24"/>
          <w:szCs w:val="24"/>
        </w:rPr>
        <w:t xml:space="preserve">were found to </w:t>
      </w:r>
      <w:r w:rsidR="0050616C">
        <w:rPr>
          <w:rFonts w:ascii="Times New Roman" w:hAnsi="Times New Roman" w:cs="Times New Roman"/>
          <w:sz w:val="24"/>
          <w:szCs w:val="24"/>
        </w:rPr>
        <w:t xml:space="preserve">match D’s DNA profile. D denied that he had committed the offences, asserted that he had no idea how DNA matching his profile had been present (if it was his DNA that was present) and suggested that (if it was his DNA) its presence in the samples must have been a result of contamination from samples taken from different victims in relation to different incidents. </w:t>
      </w:r>
      <w:r w:rsidR="00D87CCA">
        <w:rPr>
          <w:rFonts w:ascii="Times New Roman" w:hAnsi="Times New Roman" w:cs="Times New Roman"/>
          <w:sz w:val="24"/>
          <w:szCs w:val="24"/>
        </w:rPr>
        <w:t>(D already had a number of convictions by the time of the original investigation in 1985 and had regular</w:t>
      </w:r>
      <w:r w:rsidR="0087187E">
        <w:rPr>
          <w:rFonts w:ascii="Times New Roman" w:hAnsi="Times New Roman" w:cs="Times New Roman"/>
          <w:sz w:val="24"/>
          <w:szCs w:val="24"/>
        </w:rPr>
        <w:t>ly ‘visited’</w:t>
      </w:r>
      <w:r w:rsidR="00D87CCA">
        <w:rPr>
          <w:rFonts w:ascii="Times New Roman" w:hAnsi="Times New Roman" w:cs="Times New Roman"/>
          <w:sz w:val="24"/>
          <w:szCs w:val="24"/>
        </w:rPr>
        <w:t xml:space="preserve"> </w:t>
      </w:r>
      <w:r w:rsidR="00D87CCA" w:rsidRPr="00D87CCA">
        <w:rPr>
          <w:rFonts w:ascii="Times New Roman" w:hAnsi="Times New Roman" w:cs="Times New Roman"/>
          <w:sz w:val="24"/>
          <w:szCs w:val="24"/>
        </w:rPr>
        <w:t>Berkhamsted Police station</w:t>
      </w:r>
      <w:r w:rsidR="00D87CCA">
        <w:rPr>
          <w:rFonts w:ascii="Times New Roman" w:hAnsi="Times New Roman" w:cs="Times New Roman"/>
          <w:sz w:val="24"/>
          <w:szCs w:val="24"/>
        </w:rPr>
        <w:t>.</w:t>
      </w:r>
      <w:r w:rsidR="0087187E">
        <w:rPr>
          <w:rFonts w:ascii="Times New Roman" w:hAnsi="Times New Roman" w:cs="Times New Roman"/>
          <w:sz w:val="24"/>
          <w:szCs w:val="24"/>
        </w:rPr>
        <w:t>)</w:t>
      </w:r>
      <w:r w:rsidR="00D87CCA">
        <w:rPr>
          <w:rFonts w:ascii="Times New Roman" w:hAnsi="Times New Roman" w:cs="Times New Roman"/>
          <w:sz w:val="24"/>
          <w:szCs w:val="24"/>
        </w:rPr>
        <w:t xml:space="preserve"> </w:t>
      </w:r>
      <w:r w:rsidR="007654C2">
        <w:rPr>
          <w:rFonts w:ascii="Times New Roman" w:hAnsi="Times New Roman" w:cs="Times New Roman"/>
          <w:sz w:val="24"/>
          <w:szCs w:val="24"/>
        </w:rPr>
        <w:t xml:space="preserve">The defence </w:t>
      </w:r>
      <w:r w:rsidR="0087187E">
        <w:rPr>
          <w:rFonts w:ascii="Times New Roman" w:hAnsi="Times New Roman" w:cs="Times New Roman"/>
          <w:sz w:val="24"/>
          <w:szCs w:val="24"/>
        </w:rPr>
        <w:t xml:space="preserve">did not adduce any scientific evidence in support of the suggestion of contamination and did not challenge the DNA evidence adduced by the </w:t>
      </w:r>
      <w:r w:rsidR="00B335F4">
        <w:rPr>
          <w:rFonts w:ascii="Times New Roman" w:hAnsi="Times New Roman" w:cs="Times New Roman"/>
          <w:sz w:val="24"/>
          <w:szCs w:val="24"/>
        </w:rPr>
        <w:t>prosecution</w:t>
      </w:r>
      <w:r w:rsidR="0087187E">
        <w:rPr>
          <w:rFonts w:ascii="Times New Roman" w:hAnsi="Times New Roman" w:cs="Times New Roman"/>
          <w:sz w:val="24"/>
          <w:szCs w:val="24"/>
        </w:rPr>
        <w:t xml:space="preserve">. In particular, </w:t>
      </w:r>
      <w:r w:rsidR="007654C2">
        <w:rPr>
          <w:rFonts w:ascii="Times New Roman" w:hAnsi="Times New Roman" w:cs="Times New Roman"/>
          <w:sz w:val="24"/>
          <w:szCs w:val="24"/>
        </w:rPr>
        <w:t>the defence</w:t>
      </w:r>
      <w:r w:rsidR="0087187E">
        <w:rPr>
          <w:rFonts w:ascii="Times New Roman" w:hAnsi="Times New Roman" w:cs="Times New Roman"/>
          <w:sz w:val="24"/>
          <w:szCs w:val="24"/>
        </w:rPr>
        <w:t xml:space="preserve"> did not challenge the </w:t>
      </w:r>
      <w:r w:rsidR="00B335F4">
        <w:rPr>
          <w:rFonts w:ascii="Times New Roman" w:hAnsi="Times New Roman" w:cs="Times New Roman"/>
          <w:sz w:val="24"/>
          <w:szCs w:val="24"/>
        </w:rPr>
        <w:t xml:space="preserve">prosecution’s </w:t>
      </w:r>
      <w:r w:rsidR="0087187E">
        <w:rPr>
          <w:rFonts w:ascii="Times New Roman" w:hAnsi="Times New Roman" w:cs="Times New Roman"/>
          <w:sz w:val="24"/>
          <w:szCs w:val="24"/>
        </w:rPr>
        <w:t xml:space="preserve">evidence in relation to the re-testing of a sample taken from H that there was no support for the view that H had contributed his DNA to the results. </w:t>
      </w:r>
    </w:p>
    <w:p w:rsidR="007654C2" w:rsidRDefault="00F52A8A" w:rsidP="00FA403F">
      <w:pPr>
        <w:rPr>
          <w:rFonts w:ascii="Times New Roman" w:hAnsi="Times New Roman" w:cs="Times New Roman"/>
          <w:sz w:val="24"/>
          <w:szCs w:val="24"/>
        </w:rPr>
      </w:pPr>
      <w:r>
        <w:rPr>
          <w:rFonts w:ascii="Times New Roman" w:hAnsi="Times New Roman" w:cs="Times New Roman"/>
          <w:sz w:val="24"/>
          <w:szCs w:val="24"/>
        </w:rPr>
        <w:t>The defence asserted that there was a credible possibility that H might have perpetrated the second attack (</w:t>
      </w:r>
      <w:r w:rsidR="00B335F4">
        <w:rPr>
          <w:rFonts w:ascii="Times New Roman" w:hAnsi="Times New Roman" w:cs="Times New Roman"/>
          <w:sz w:val="24"/>
          <w:szCs w:val="24"/>
        </w:rPr>
        <w:t>the attack on two victims</w:t>
      </w:r>
      <w:r>
        <w:rPr>
          <w:rFonts w:ascii="Times New Roman" w:hAnsi="Times New Roman" w:cs="Times New Roman"/>
          <w:sz w:val="24"/>
          <w:szCs w:val="24"/>
        </w:rPr>
        <w:t xml:space="preserve">). </w:t>
      </w:r>
      <w:r w:rsidR="00C67BC6">
        <w:rPr>
          <w:rFonts w:ascii="Times New Roman" w:hAnsi="Times New Roman" w:cs="Times New Roman"/>
          <w:sz w:val="24"/>
          <w:szCs w:val="24"/>
        </w:rPr>
        <w:t xml:space="preserve">H had appeared at a hotel about half </w:t>
      </w:r>
      <w:r w:rsidR="007654C2">
        <w:rPr>
          <w:rFonts w:ascii="Times New Roman" w:hAnsi="Times New Roman" w:cs="Times New Roman"/>
          <w:sz w:val="24"/>
          <w:szCs w:val="24"/>
        </w:rPr>
        <w:t>a mile from the scene of the attack</w:t>
      </w:r>
      <w:r w:rsidR="00C67BC6">
        <w:rPr>
          <w:rFonts w:ascii="Times New Roman" w:hAnsi="Times New Roman" w:cs="Times New Roman"/>
          <w:sz w:val="24"/>
          <w:szCs w:val="24"/>
        </w:rPr>
        <w:t>, wet</w:t>
      </w:r>
      <w:r w:rsidR="007654C2">
        <w:rPr>
          <w:rFonts w:ascii="Times New Roman" w:hAnsi="Times New Roman" w:cs="Times New Roman"/>
          <w:sz w:val="24"/>
          <w:szCs w:val="24"/>
        </w:rPr>
        <w:t>,</w:t>
      </w:r>
      <w:r w:rsidR="00C67BC6">
        <w:rPr>
          <w:rFonts w:ascii="Times New Roman" w:hAnsi="Times New Roman" w:cs="Times New Roman"/>
          <w:sz w:val="24"/>
          <w:szCs w:val="24"/>
        </w:rPr>
        <w:t xml:space="preserve"> covered in mud and claiming that he had been in a fight. He had asked the taxi driver who </w:t>
      </w:r>
      <w:r w:rsidR="007654C2">
        <w:rPr>
          <w:rFonts w:ascii="Times New Roman" w:hAnsi="Times New Roman" w:cs="Times New Roman"/>
          <w:sz w:val="24"/>
          <w:szCs w:val="24"/>
        </w:rPr>
        <w:t>had taken</w:t>
      </w:r>
      <w:r w:rsidR="00C67BC6">
        <w:rPr>
          <w:rFonts w:ascii="Times New Roman" w:hAnsi="Times New Roman" w:cs="Times New Roman"/>
          <w:sz w:val="24"/>
          <w:szCs w:val="24"/>
        </w:rPr>
        <w:t xml:space="preserve"> him home not to tell the police about him. </w:t>
      </w:r>
      <w:r>
        <w:rPr>
          <w:rFonts w:ascii="Times New Roman" w:hAnsi="Times New Roman" w:cs="Times New Roman"/>
          <w:sz w:val="24"/>
          <w:szCs w:val="24"/>
        </w:rPr>
        <w:t>When i</w:t>
      </w:r>
      <w:r w:rsidR="00C67BC6">
        <w:rPr>
          <w:rFonts w:ascii="Times New Roman" w:hAnsi="Times New Roman" w:cs="Times New Roman"/>
          <w:sz w:val="24"/>
          <w:szCs w:val="24"/>
        </w:rPr>
        <w:t>n</w:t>
      </w:r>
      <w:r>
        <w:rPr>
          <w:rFonts w:ascii="Times New Roman" w:hAnsi="Times New Roman" w:cs="Times New Roman"/>
          <w:sz w:val="24"/>
          <w:szCs w:val="24"/>
        </w:rPr>
        <w:t xml:space="preserve">terviewed </w:t>
      </w:r>
      <w:r w:rsidR="00C67BC6">
        <w:rPr>
          <w:rFonts w:ascii="Times New Roman" w:hAnsi="Times New Roman" w:cs="Times New Roman"/>
          <w:sz w:val="24"/>
          <w:szCs w:val="24"/>
        </w:rPr>
        <w:t xml:space="preserve">by the police </w:t>
      </w:r>
      <w:r>
        <w:rPr>
          <w:rFonts w:ascii="Times New Roman" w:hAnsi="Times New Roman" w:cs="Times New Roman"/>
          <w:sz w:val="24"/>
          <w:szCs w:val="24"/>
        </w:rPr>
        <w:t>he had admitted being involved in th</w:t>
      </w:r>
      <w:r w:rsidR="00C67BC6">
        <w:rPr>
          <w:rFonts w:ascii="Times New Roman" w:hAnsi="Times New Roman" w:cs="Times New Roman"/>
          <w:sz w:val="24"/>
          <w:szCs w:val="24"/>
        </w:rPr>
        <w:t xml:space="preserve">e </w:t>
      </w:r>
      <w:r w:rsidR="007B02DE">
        <w:rPr>
          <w:rFonts w:ascii="Times New Roman" w:hAnsi="Times New Roman" w:cs="Times New Roman"/>
          <w:sz w:val="24"/>
          <w:szCs w:val="24"/>
        </w:rPr>
        <w:t xml:space="preserve">attack </w:t>
      </w:r>
      <w:r>
        <w:rPr>
          <w:rFonts w:ascii="Times New Roman" w:hAnsi="Times New Roman" w:cs="Times New Roman"/>
          <w:sz w:val="24"/>
          <w:szCs w:val="24"/>
        </w:rPr>
        <w:t>but had denied wearing a balaclava (and</w:t>
      </w:r>
      <w:r w:rsidR="007654C2">
        <w:rPr>
          <w:rFonts w:ascii="Times New Roman" w:hAnsi="Times New Roman" w:cs="Times New Roman"/>
          <w:sz w:val="24"/>
          <w:szCs w:val="24"/>
        </w:rPr>
        <w:t>,</w:t>
      </w:r>
      <w:r>
        <w:rPr>
          <w:rFonts w:ascii="Times New Roman" w:hAnsi="Times New Roman" w:cs="Times New Roman"/>
          <w:sz w:val="24"/>
          <w:szCs w:val="24"/>
        </w:rPr>
        <w:t xml:space="preserve"> as was indicated above</w:t>
      </w:r>
      <w:r w:rsidR="007654C2">
        <w:rPr>
          <w:rFonts w:ascii="Times New Roman" w:hAnsi="Times New Roman" w:cs="Times New Roman"/>
          <w:sz w:val="24"/>
          <w:szCs w:val="24"/>
        </w:rPr>
        <w:t>,</w:t>
      </w:r>
      <w:r>
        <w:rPr>
          <w:rFonts w:ascii="Times New Roman" w:hAnsi="Times New Roman" w:cs="Times New Roman"/>
          <w:sz w:val="24"/>
          <w:szCs w:val="24"/>
        </w:rPr>
        <w:t xml:space="preserve"> had </w:t>
      </w:r>
      <w:r w:rsidR="007654C2">
        <w:rPr>
          <w:rFonts w:ascii="Times New Roman" w:hAnsi="Times New Roman" w:cs="Times New Roman"/>
          <w:sz w:val="24"/>
          <w:szCs w:val="24"/>
        </w:rPr>
        <w:t xml:space="preserve">then </w:t>
      </w:r>
      <w:r w:rsidR="00FA403F">
        <w:rPr>
          <w:rFonts w:ascii="Times New Roman" w:hAnsi="Times New Roman" w:cs="Times New Roman"/>
          <w:sz w:val="24"/>
          <w:szCs w:val="24"/>
        </w:rPr>
        <w:t xml:space="preserve">sought to retract </w:t>
      </w:r>
      <w:r>
        <w:rPr>
          <w:rFonts w:ascii="Times New Roman" w:hAnsi="Times New Roman" w:cs="Times New Roman"/>
          <w:sz w:val="24"/>
          <w:szCs w:val="24"/>
        </w:rPr>
        <w:t xml:space="preserve">the confession and had refused to sign a statement that had been typed out by the police for him to sign). </w:t>
      </w:r>
      <w:r w:rsidR="00FA403F">
        <w:rPr>
          <w:rFonts w:ascii="Times New Roman" w:hAnsi="Times New Roman" w:cs="Times New Roman"/>
          <w:sz w:val="24"/>
          <w:szCs w:val="24"/>
        </w:rPr>
        <w:lastRenderedPageBreak/>
        <w:t>One of the victims</w:t>
      </w:r>
      <w:r w:rsidR="007B02DE">
        <w:rPr>
          <w:rFonts w:ascii="Times New Roman" w:hAnsi="Times New Roman" w:cs="Times New Roman"/>
          <w:sz w:val="24"/>
          <w:szCs w:val="24"/>
        </w:rPr>
        <w:t>,</w:t>
      </w:r>
      <w:r w:rsidR="00FA403F">
        <w:rPr>
          <w:rFonts w:ascii="Times New Roman" w:hAnsi="Times New Roman" w:cs="Times New Roman"/>
          <w:sz w:val="24"/>
          <w:szCs w:val="24"/>
        </w:rPr>
        <w:t xml:space="preserve"> who knew H</w:t>
      </w:r>
      <w:r w:rsidR="007B02DE">
        <w:rPr>
          <w:rFonts w:ascii="Times New Roman" w:hAnsi="Times New Roman" w:cs="Times New Roman"/>
          <w:sz w:val="24"/>
          <w:szCs w:val="24"/>
        </w:rPr>
        <w:t>,</w:t>
      </w:r>
      <w:r w:rsidR="00FA403F">
        <w:rPr>
          <w:rFonts w:ascii="Times New Roman" w:hAnsi="Times New Roman" w:cs="Times New Roman"/>
          <w:sz w:val="24"/>
          <w:szCs w:val="24"/>
        </w:rPr>
        <w:t xml:space="preserve"> had made a statement suggesting that he was a “dreamer” who was “always looking for attention” and that “</w:t>
      </w:r>
      <w:r w:rsidRPr="00F52A8A">
        <w:rPr>
          <w:rFonts w:ascii="Times New Roman" w:hAnsi="Times New Roman" w:cs="Times New Roman"/>
          <w:sz w:val="24"/>
          <w:szCs w:val="24"/>
        </w:rPr>
        <w:t>she didn’t think he could have done it</w:t>
      </w:r>
      <w:r w:rsidR="00FA403F">
        <w:rPr>
          <w:rFonts w:ascii="Times New Roman" w:hAnsi="Times New Roman" w:cs="Times New Roman"/>
          <w:sz w:val="24"/>
          <w:szCs w:val="24"/>
        </w:rPr>
        <w:t>”</w:t>
      </w:r>
      <w:r w:rsidRPr="00F52A8A">
        <w:rPr>
          <w:rFonts w:ascii="Times New Roman" w:hAnsi="Times New Roman" w:cs="Times New Roman"/>
          <w:sz w:val="24"/>
          <w:szCs w:val="24"/>
        </w:rPr>
        <w:t xml:space="preserve">. </w:t>
      </w:r>
    </w:p>
    <w:p w:rsidR="007654C2" w:rsidRDefault="00FA403F" w:rsidP="00FA403F">
      <w:pPr>
        <w:rPr>
          <w:rFonts w:ascii="Times New Roman" w:hAnsi="Times New Roman" w:cs="Times New Roman"/>
          <w:sz w:val="24"/>
          <w:szCs w:val="24"/>
        </w:rPr>
      </w:pPr>
      <w:r>
        <w:rPr>
          <w:rFonts w:ascii="Times New Roman" w:hAnsi="Times New Roman" w:cs="Times New Roman"/>
          <w:sz w:val="24"/>
          <w:szCs w:val="24"/>
        </w:rPr>
        <w:t xml:space="preserve">As requested by </w:t>
      </w:r>
      <w:r w:rsidR="00E65937">
        <w:rPr>
          <w:rFonts w:ascii="Times New Roman" w:hAnsi="Times New Roman" w:cs="Times New Roman"/>
          <w:sz w:val="24"/>
          <w:szCs w:val="24"/>
        </w:rPr>
        <w:t>the defence</w:t>
      </w:r>
      <w:r>
        <w:rPr>
          <w:rFonts w:ascii="Times New Roman" w:hAnsi="Times New Roman" w:cs="Times New Roman"/>
          <w:sz w:val="24"/>
          <w:szCs w:val="24"/>
        </w:rPr>
        <w:t>, various matters relating to H were put before the jury at D’s trial as formal admissions under s.10 of the Criminal Justice Act 1967. The facts admitted included: that</w:t>
      </w:r>
      <w:r w:rsidR="00526465">
        <w:rPr>
          <w:rFonts w:ascii="Times New Roman" w:hAnsi="Times New Roman" w:cs="Times New Roman"/>
          <w:sz w:val="24"/>
          <w:szCs w:val="24"/>
        </w:rPr>
        <w:t xml:space="preserve"> </w:t>
      </w:r>
      <w:r>
        <w:rPr>
          <w:rFonts w:ascii="Times New Roman" w:hAnsi="Times New Roman" w:cs="Times New Roman"/>
          <w:sz w:val="24"/>
          <w:szCs w:val="24"/>
        </w:rPr>
        <w:t>knives, a sword and a balaclava had been discovered when H’s home was searched; that H’s father had stated that H had had another balaclava but that this had not been recovered</w:t>
      </w:r>
      <w:r w:rsidR="007654C2">
        <w:rPr>
          <w:rFonts w:ascii="Times New Roman" w:hAnsi="Times New Roman" w:cs="Times New Roman"/>
          <w:sz w:val="24"/>
          <w:szCs w:val="24"/>
        </w:rPr>
        <w:t>;</w:t>
      </w:r>
      <w:r>
        <w:rPr>
          <w:rFonts w:ascii="Times New Roman" w:hAnsi="Times New Roman" w:cs="Times New Roman"/>
          <w:sz w:val="24"/>
          <w:szCs w:val="24"/>
        </w:rPr>
        <w:t xml:space="preserve"> that H had been arrested on suspicion of rape and had admitted involvement in the latter offences but had denied wearing a balaclava, had </w:t>
      </w:r>
      <w:r w:rsidR="00526465">
        <w:rPr>
          <w:rFonts w:ascii="Times New Roman" w:hAnsi="Times New Roman" w:cs="Times New Roman"/>
          <w:sz w:val="24"/>
          <w:szCs w:val="24"/>
        </w:rPr>
        <w:t xml:space="preserve">refused to sign the statement that had been typed out and had sought to retract the confession. </w:t>
      </w:r>
      <w:r w:rsidR="007654C2">
        <w:rPr>
          <w:rFonts w:ascii="Times New Roman" w:hAnsi="Times New Roman" w:cs="Times New Roman"/>
          <w:sz w:val="24"/>
          <w:szCs w:val="24"/>
        </w:rPr>
        <w:t>The defence</w:t>
      </w:r>
      <w:r w:rsidR="00526465">
        <w:rPr>
          <w:rFonts w:ascii="Times New Roman" w:hAnsi="Times New Roman" w:cs="Times New Roman"/>
          <w:sz w:val="24"/>
          <w:szCs w:val="24"/>
        </w:rPr>
        <w:t xml:space="preserve"> was also permitted to read witness statements that had been taken when H had been investigated. </w:t>
      </w:r>
    </w:p>
    <w:p w:rsidR="00E65937" w:rsidRDefault="00526465" w:rsidP="00FA403F">
      <w:pPr>
        <w:rPr>
          <w:rFonts w:ascii="Times New Roman" w:hAnsi="Times New Roman" w:cs="Times New Roman"/>
          <w:sz w:val="24"/>
          <w:szCs w:val="24"/>
        </w:rPr>
      </w:pPr>
      <w:r>
        <w:rPr>
          <w:rFonts w:ascii="Times New Roman" w:hAnsi="Times New Roman" w:cs="Times New Roman"/>
          <w:sz w:val="24"/>
          <w:szCs w:val="24"/>
        </w:rPr>
        <w:t xml:space="preserve">The defence </w:t>
      </w:r>
      <w:r w:rsidR="00E65937">
        <w:rPr>
          <w:rFonts w:ascii="Times New Roman" w:hAnsi="Times New Roman" w:cs="Times New Roman"/>
          <w:sz w:val="24"/>
          <w:szCs w:val="24"/>
        </w:rPr>
        <w:t xml:space="preserve">desired </w:t>
      </w:r>
      <w:r>
        <w:rPr>
          <w:rFonts w:ascii="Times New Roman" w:hAnsi="Times New Roman" w:cs="Times New Roman"/>
          <w:sz w:val="24"/>
          <w:szCs w:val="24"/>
        </w:rPr>
        <w:t>to adduce</w:t>
      </w:r>
      <w:r w:rsidR="003B5130">
        <w:rPr>
          <w:rFonts w:ascii="Times New Roman" w:hAnsi="Times New Roman" w:cs="Times New Roman"/>
          <w:sz w:val="24"/>
          <w:szCs w:val="24"/>
        </w:rPr>
        <w:t xml:space="preserve"> some </w:t>
      </w:r>
      <w:r w:rsidR="00E65937">
        <w:rPr>
          <w:rFonts w:ascii="Times New Roman" w:hAnsi="Times New Roman" w:cs="Times New Roman"/>
          <w:sz w:val="24"/>
          <w:szCs w:val="24"/>
        </w:rPr>
        <w:t>additional</w:t>
      </w:r>
      <w:r w:rsidR="003B5130">
        <w:rPr>
          <w:rFonts w:ascii="Times New Roman" w:hAnsi="Times New Roman" w:cs="Times New Roman"/>
          <w:sz w:val="24"/>
          <w:szCs w:val="24"/>
        </w:rPr>
        <w:t xml:space="preserve"> hearsay evidence but the prosecution did not agree to its admission so the defence applied to have it admitted under s.116(2)(a). This evidence comprised:</w:t>
      </w:r>
      <w:r>
        <w:rPr>
          <w:rFonts w:ascii="Times New Roman" w:hAnsi="Times New Roman" w:cs="Times New Roman"/>
          <w:sz w:val="24"/>
          <w:szCs w:val="24"/>
        </w:rPr>
        <w:t xml:space="preserve"> the statement that H had refused to sign; parts of a report into the investigation of H made by W, a police officer, who had conducted the interview of H which had resulted in the typed statement; H’s detention record; and notes of an examination of H at the police station by a doctor. </w:t>
      </w:r>
    </w:p>
    <w:p w:rsidR="00045650" w:rsidRDefault="00526465" w:rsidP="00FA403F">
      <w:pPr>
        <w:rPr>
          <w:rFonts w:ascii="Times New Roman" w:hAnsi="Times New Roman" w:cs="Times New Roman"/>
          <w:sz w:val="24"/>
          <w:szCs w:val="24"/>
        </w:rPr>
      </w:pPr>
      <w:r w:rsidRPr="00C96089">
        <w:rPr>
          <w:rFonts w:ascii="Times New Roman" w:hAnsi="Times New Roman" w:cs="Times New Roman"/>
          <w:sz w:val="24"/>
          <w:szCs w:val="24"/>
        </w:rPr>
        <w:t>The main focus of D’s appeal concerned the statement that H had refused to sign and W’s report.</w:t>
      </w:r>
      <w:r>
        <w:rPr>
          <w:rFonts w:ascii="Times New Roman" w:hAnsi="Times New Roman" w:cs="Times New Roman"/>
          <w:sz w:val="24"/>
          <w:szCs w:val="24"/>
        </w:rPr>
        <w:t xml:space="preserve"> </w:t>
      </w:r>
      <w:r w:rsidR="00C67BC6">
        <w:rPr>
          <w:rFonts w:ascii="Times New Roman" w:hAnsi="Times New Roman" w:cs="Times New Roman"/>
          <w:sz w:val="24"/>
          <w:szCs w:val="24"/>
        </w:rPr>
        <w:t>The relevant parts of the report concerned</w:t>
      </w:r>
      <w:r w:rsidR="00E65937">
        <w:rPr>
          <w:rFonts w:ascii="Times New Roman" w:hAnsi="Times New Roman" w:cs="Times New Roman"/>
          <w:sz w:val="24"/>
          <w:szCs w:val="24"/>
        </w:rPr>
        <w:t>:</w:t>
      </w:r>
      <w:r w:rsidR="00C67BC6">
        <w:rPr>
          <w:rFonts w:ascii="Times New Roman" w:hAnsi="Times New Roman" w:cs="Times New Roman"/>
          <w:sz w:val="24"/>
          <w:szCs w:val="24"/>
        </w:rPr>
        <w:t xml:space="preserve"> H’s admission that he was the man at the hotel</w:t>
      </w:r>
      <w:r w:rsidR="00E65937">
        <w:rPr>
          <w:rFonts w:ascii="Times New Roman" w:hAnsi="Times New Roman" w:cs="Times New Roman"/>
          <w:sz w:val="24"/>
          <w:szCs w:val="24"/>
        </w:rPr>
        <w:t>;</w:t>
      </w:r>
      <w:r w:rsidR="00C67BC6">
        <w:rPr>
          <w:rFonts w:ascii="Times New Roman" w:hAnsi="Times New Roman" w:cs="Times New Roman"/>
          <w:sz w:val="24"/>
          <w:szCs w:val="24"/>
        </w:rPr>
        <w:t xml:space="preserve"> his initial denials that he had been involved in the incident</w:t>
      </w:r>
      <w:r w:rsidR="00E65937">
        <w:rPr>
          <w:rFonts w:ascii="Times New Roman" w:hAnsi="Times New Roman" w:cs="Times New Roman"/>
          <w:sz w:val="24"/>
          <w:szCs w:val="24"/>
        </w:rPr>
        <w:t>;</w:t>
      </w:r>
      <w:r w:rsidR="00C67BC6">
        <w:rPr>
          <w:rFonts w:ascii="Times New Roman" w:hAnsi="Times New Roman" w:cs="Times New Roman"/>
          <w:sz w:val="24"/>
          <w:szCs w:val="24"/>
        </w:rPr>
        <w:t xml:space="preserve"> his changes of story, including the statement that he refused to sign</w:t>
      </w:r>
      <w:r w:rsidR="00E65937">
        <w:rPr>
          <w:rFonts w:ascii="Times New Roman" w:hAnsi="Times New Roman" w:cs="Times New Roman"/>
          <w:sz w:val="24"/>
          <w:szCs w:val="24"/>
        </w:rPr>
        <w:t>;</w:t>
      </w:r>
      <w:r w:rsidR="00C67BC6">
        <w:rPr>
          <w:rFonts w:ascii="Times New Roman" w:hAnsi="Times New Roman" w:cs="Times New Roman"/>
          <w:sz w:val="24"/>
          <w:szCs w:val="24"/>
        </w:rPr>
        <w:t xml:space="preserve"> h</w:t>
      </w:r>
      <w:r w:rsidR="00E65937">
        <w:rPr>
          <w:rFonts w:ascii="Times New Roman" w:hAnsi="Times New Roman" w:cs="Times New Roman"/>
          <w:sz w:val="24"/>
          <w:szCs w:val="24"/>
        </w:rPr>
        <w:t xml:space="preserve">is retraction of that statement; </w:t>
      </w:r>
      <w:r w:rsidR="00C67BC6">
        <w:rPr>
          <w:rFonts w:ascii="Times New Roman" w:hAnsi="Times New Roman" w:cs="Times New Roman"/>
          <w:sz w:val="24"/>
          <w:szCs w:val="24"/>
        </w:rPr>
        <w:t xml:space="preserve">and his reasons for retracting it. </w:t>
      </w:r>
      <w:r w:rsidR="003B5130" w:rsidRPr="003B5130">
        <w:rPr>
          <w:rFonts w:ascii="Times New Roman" w:hAnsi="Times New Roman" w:cs="Times New Roman"/>
          <w:sz w:val="24"/>
          <w:szCs w:val="24"/>
        </w:rPr>
        <w:t>In the report</w:t>
      </w:r>
      <w:r w:rsidR="00E65937">
        <w:rPr>
          <w:rFonts w:ascii="Times New Roman" w:hAnsi="Times New Roman" w:cs="Times New Roman"/>
          <w:sz w:val="24"/>
          <w:szCs w:val="24"/>
        </w:rPr>
        <w:t>,</w:t>
      </w:r>
      <w:r w:rsidR="003B5130" w:rsidRPr="003B5130">
        <w:rPr>
          <w:rFonts w:ascii="Times New Roman" w:hAnsi="Times New Roman" w:cs="Times New Roman"/>
          <w:sz w:val="24"/>
          <w:szCs w:val="24"/>
        </w:rPr>
        <w:t xml:space="preserve"> </w:t>
      </w:r>
      <w:r w:rsidR="003B5130">
        <w:rPr>
          <w:rFonts w:ascii="Times New Roman" w:hAnsi="Times New Roman" w:cs="Times New Roman"/>
          <w:sz w:val="24"/>
          <w:szCs w:val="24"/>
        </w:rPr>
        <w:t xml:space="preserve">W indicated that H’s statement did not contain any details which the attacker alone would have been aware of and that the police’s efforts to determine whether H should continue to be a suspect had been unsatisfactory. </w:t>
      </w:r>
      <w:r w:rsidR="00045650">
        <w:rPr>
          <w:rFonts w:ascii="Times New Roman" w:hAnsi="Times New Roman" w:cs="Times New Roman"/>
          <w:sz w:val="24"/>
          <w:szCs w:val="24"/>
        </w:rPr>
        <w:t>Whilst some of the statement</w:t>
      </w:r>
      <w:r w:rsidR="00E65937">
        <w:rPr>
          <w:rFonts w:ascii="Times New Roman" w:hAnsi="Times New Roman" w:cs="Times New Roman"/>
          <w:sz w:val="24"/>
          <w:szCs w:val="24"/>
        </w:rPr>
        <w:t>s</w:t>
      </w:r>
      <w:r w:rsidR="00045650">
        <w:rPr>
          <w:rFonts w:ascii="Times New Roman" w:hAnsi="Times New Roman" w:cs="Times New Roman"/>
          <w:sz w:val="24"/>
          <w:szCs w:val="24"/>
        </w:rPr>
        <w:t xml:space="preserve"> in the report were multiple hearsay, W was available to give evidence so the judge </w:t>
      </w:r>
      <w:r w:rsidR="00E65937">
        <w:rPr>
          <w:rFonts w:ascii="Times New Roman" w:hAnsi="Times New Roman" w:cs="Times New Roman"/>
          <w:sz w:val="24"/>
          <w:szCs w:val="24"/>
        </w:rPr>
        <w:t xml:space="preserve">had </w:t>
      </w:r>
      <w:r w:rsidR="00045650">
        <w:rPr>
          <w:rFonts w:ascii="Times New Roman" w:hAnsi="Times New Roman" w:cs="Times New Roman"/>
          <w:sz w:val="24"/>
          <w:szCs w:val="24"/>
        </w:rPr>
        <w:t xml:space="preserve">not </w:t>
      </w:r>
      <w:r w:rsidR="00E65937">
        <w:rPr>
          <w:rFonts w:ascii="Times New Roman" w:hAnsi="Times New Roman" w:cs="Times New Roman"/>
          <w:sz w:val="24"/>
          <w:szCs w:val="24"/>
        </w:rPr>
        <w:t xml:space="preserve">been </w:t>
      </w:r>
      <w:r w:rsidR="00045650">
        <w:rPr>
          <w:rFonts w:ascii="Times New Roman" w:hAnsi="Times New Roman" w:cs="Times New Roman"/>
          <w:sz w:val="24"/>
          <w:szCs w:val="24"/>
        </w:rPr>
        <w:t xml:space="preserve">required to consider the issue of multiple hearsay when determining whether to admit the evidence. </w:t>
      </w:r>
    </w:p>
    <w:p w:rsidR="00045650" w:rsidRDefault="00045650" w:rsidP="00FA403F">
      <w:pPr>
        <w:rPr>
          <w:rFonts w:ascii="Times New Roman" w:hAnsi="Times New Roman" w:cs="Times New Roman"/>
          <w:sz w:val="24"/>
          <w:szCs w:val="24"/>
        </w:rPr>
      </w:pPr>
      <w:r>
        <w:rPr>
          <w:rFonts w:ascii="Times New Roman" w:hAnsi="Times New Roman" w:cs="Times New Roman"/>
          <w:sz w:val="24"/>
          <w:szCs w:val="24"/>
        </w:rPr>
        <w:t>The judge, exercising her discretion under s.126 of the 2003</w:t>
      </w:r>
      <w:r w:rsidR="00E07D7D">
        <w:rPr>
          <w:rFonts w:ascii="Times New Roman" w:hAnsi="Times New Roman" w:cs="Times New Roman"/>
          <w:sz w:val="24"/>
          <w:szCs w:val="24"/>
        </w:rPr>
        <w:t xml:space="preserve"> Act</w:t>
      </w:r>
      <w:r>
        <w:rPr>
          <w:rFonts w:ascii="Times New Roman" w:hAnsi="Times New Roman" w:cs="Times New Roman"/>
          <w:sz w:val="24"/>
          <w:szCs w:val="24"/>
        </w:rPr>
        <w:t xml:space="preserve">, declined to admit the hearsay evidence. </w:t>
      </w:r>
      <w:r w:rsidR="00E07D7D">
        <w:rPr>
          <w:rFonts w:ascii="Times New Roman" w:hAnsi="Times New Roman" w:cs="Times New Roman"/>
          <w:sz w:val="24"/>
          <w:szCs w:val="24"/>
        </w:rPr>
        <w:t xml:space="preserve">In reaching her decision, the judge, relying upon guidance provided by the Court of Appeal in </w:t>
      </w:r>
      <w:r w:rsidR="00E07D7D" w:rsidRPr="00045650">
        <w:rPr>
          <w:rFonts w:ascii="Times New Roman" w:hAnsi="Times New Roman" w:cs="Times New Roman"/>
          <w:i/>
          <w:sz w:val="24"/>
          <w:szCs w:val="24"/>
        </w:rPr>
        <w:t>R v Riat</w:t>
      </w:r>
      <w:r w:rsidR="00E07D7D" w:rsidRPr="00045650">
        <w:rPr>
          <w:rFonts w:ascii="Times New Roman" w:hAnsi="Times New Roman" w:cs="Times New Roman"/>
          <w:sz w:val="24"/>
          <w:szCs w:val="24"/>
        </w:rPr>
        <w:t xml:space="preserve"> [2012] EWCA Crim 1509</w:t>
      </w:r>
      <w:r w:rsidR="00E07D7D">
        <w:rPr>
          <w:rFonts w:ascii="Times New Roman" w:hAnsi="Times New Roman" w:cs="Times New Roman"/>
          <w:sz w:val="24"/>
          <w:szCs w:val="24"/>
        </w:rPr>
        <w:t xml:space="preserve">, considered the non-exhaustive factors contained in s.114(2) of the 2003 Act. </w:t>
      </w:r>
    </w:p>
    <w:p w:rsidR="0093748D" w:rsidRDefault="00EC7B90" w:rsidP="004B6E38">
      <w:pPr>
        <w:rPr>
          <w:rFonts w:ascii="Times New Roman" w:hAnsi="Times New Roman" w:cs="Times New Roman"/>
          <w:sz w:val="24"/>
          <w:szCs w:val="24"/>
        </w:rPr>
      </w:pPr>
      <w:r>
        <w:rPr>
          <w:rFonts w:ascii="Times New Roman" w:hAnsi="Times New Roman" w:cs="Times New Roman"/>
          <w:sz w:val="24"/>
          <w:szCs w:val="24"/>
        </w:rPr>
        <w:t xml:space="preserve">On appeal, </w:t>
      </w:r>
      <w:r w:rsidR="00E07D7D">
        <w:rPr>
          <w:rFonts w:ascii="Times New Roman" w:hAnsi="Times New Roman" w:cs="Times New Roman"/>
          <w:sz w:val="24"/>
          <w:szCs w:val="24"/>
        </w:rPr>
        <w:t xml:space="preserve">D asserted that </w:t>
      </w:r>
      <w:r w:rsidR="0093748D">
        <w:rPr>
          <w:rFonts w:ascii="Times New Roman" w:hAnsi="Times New Roman" w:cs="Times New Roman"/>
          <w:sz w:val="24"/>
          <w:szCs w:val="24"/>
        </w:rPr>
        <w:t xml:space="preserve">that </w:t>
      </w:r>
      <w:r w:rsidR="00E07D7D">
        <w:rPr>
          <w:rFonts w:ascii="Times New Roman" w:hAnsi="Times New Roman" w:cs="Times New Roman"/>
          <w:sz w:val="24"/>
          <w:szCs w:val="24"/>
        </w:rPr>
        <w:t>the judge</w:t>
      </w:r>
      <w:r w:rsidR="0093748D">
        <w:rPr>
          <w:rFonts w:ascii="Times New Roman" w:hAnsi="Times New Roman" w:cs="Times New Roman"/>
          <w:sz w:val="24"/>
          <w:szCs w:val="24"/>
        </w:rPr>
        <w:t>’s decision “</w:t>
      </w:r>
      <w:r w:rsidR="0093748D" w:rsidRPr="0093748D">
        <w:rPr>
          <w:rFonts w:ascii="Times New Roman" w:hAnsi="Times New Roman" w:cs="Times New Roman"/>
          <w:sz w:val="24"/>
          <w:szCs w:val="24"/>
        </w:rPr>
        <w:t>was irrational, and outside the range of reasonable decisions that were open to her on the facts</w:t>
      </w:r>
      <w:r w:rsidR="0093748D">
        <w:rPr>
          <w:rFonts w:ascii="Times New Roman" w:hAnsi="Times New Roman" w:cs="Times New Roman"/>
          <w:sz w:val="24"/>
          <w:szCs w:val="24"/>
        </w:rPr>
        <w:t xml:space="preserve"> [and]</w:t>
      </w:r>
      <w:r w:rsidR="0093748D" w:rsidRPr="0093748D">
        <w:rPr>
          <w:rFonts w:ascii="Times New Roman" w:hAnsi="Times New Roman" w:cs="Times New Roman"/>
          <w:sz w:val="24"/>
          <w:szCs w:val="24"/>
        </w:rPr>
        <w:t xml:space="preserve"> that the threshold for exclusion of evidence tendered by the defence was a lower one than that</w:t>
      </w:r>
      <w:r w:rsidR="0093748D">
        <w:rPr>
          <w:rFonts w:ascii="Times New Roman" w:hAnsi="Times New Roman" w:cs="Times New Roman"/>
          <w:sz w:val="24"/>
          <w:szCs w:val="24"/>
        </w:rPr>
        <w:t xml:space="preserve"> </w:t>
      </w:r>
      <w:r w:rsidR="0093748D" w:rsidRPr="0093748D">
        <w:rPr>
          <w:rFonts w:ascii="Times New Roman" w:hAnsi="Times New Roman" w:cs="Times New Roman"/>
          <w:sz w:val="24"/>
          <w:szCs w:val="24"/>
        </w:rPr>
        <w:t>for evidence tendered by the prosecution</w:t>
      </w:r>
      <w:r w:rsidR="0093748D">
        <w:rPr>
          <w:rFonts w:ascii="Times New Roman" w:hAnsi="Times New Roman" w:cs="Times New Roman"/>
          <w:sz w:val="24"/>
          <w:szCs w:val="24"/>
        </w:rPr>
        <w:t>”</w:t>
      </w:r>
      <w:r w:rsidR="001F0EAA">
        <w:rPr>
          <w:rFonts w:ascii="Times New Roman" w:hAnsi="Times New Roman" w:cs="Times New Roman"/>
          <w:sz w:val="24"/>
          <w:szCs w:val="24"/>
        </w:rPr>
        <w:t xml:space="preserve"> (at [43])</w:t>
      </w:r>
      <w:r w:rsidR="0093748D" w:rsidRPr="0093748D">
        <w:rPr>
          <w:rFonts w:ascii="Times New Roman" w:hAnsi="Times New Roman" w:cs="Times New Roman"/>
          <w:sz w:val="24"/>
          <w:szCs w:val="24"/>
        </w:rPr>
        <w:t xml:space="preserve">. </w:t>
      </w:r>
    </w:p>
    <w:p w:rsidR="007C4C62" w:rsidRDefault="00680767" w:rsidP="001D5048">
      <w:pPr>
        <w:rPr>
          <w:rFonts w:ascii="Times New Roman" w:hAnsi="Times New Roman" w:cs="Times New Roman"/>
          <w:sz w:val="24"/>
          <w:szCs w:val="24"/>
        </w:rPr>
      </w:pPr>
      <w:r w:rsidRPr="001D5048">
        <w:rPr>
          <w:rFonts w:ascii="Times New Roman" w:hAnsi="Times New Roman" w:cs="Times New Roman"/>
          <w:b/>
          <w:sz w:val="24"/>
          <w:szCs w:val="24"/>
        </w:rPr>
        <w:t>H</w:t>
      </w:r>
      <w:r w:rsidR="004D3A7E" w:rsidRPr="001D5048">
        <w:rPr>
          <w:rFonts w:ascii="Times New Roman" w:hAnsi="Times New Roman" w:cs="Times New Roman"/>
          <w:b/>
          <w:sz w:val="24"/>
          <w:szCs w:val="24"/>
        </w:rPr>
        <w:t xml:space="preserve">eld, </w:t>
      </w:r>
      <w:r w:rsidR="004D3A7E" w:rsidRPr="00E07D7D">
        <w:rPr>
          <w:rFonts w:ascii="Times New Roman" w:hAnsi="Times New Roman" w:cs="Times New Roman"/>
          <w:b/>
          <w:sz w:val="24"/>
          <w:szCs w:val="24"/>
        </w:rPr>
        <w:t>dismissing the appeal</w:t>
      </w:r>
      <w:r w:rsidR="005A33B0">
        <w:rPr>
          <w:rFonts w:ascii="Times New Roman" w:hAnsi="Times New Roman" w:cs="Times New Roman"/>
          <w:b/>
          <w:sz w:val="24"/>
          <w:szCs w:val="24"/>
        </w:rPr>
        <w:t>,</w:t>
      </w:r>
      <w:r w:rsidR="004D3A7E" w:rsidRPr="001D5048">
        <w:rPr>
          <w:rFonts w:ascii="Times New Roman" w:hAnsi="Times New Roman" w:cs="Times New Roman"/>
          <w:sz w:val="24"/>
          <w:szCs w:val="24"/>
        </w:rPr>
        <w:t xml:space="preserve"> </w:t>
      </w:r>
      <w:r w:rsidR="00C159DF">
        <w:rPr>
          <w:rFonts w:ascii="Times New Roman" w:hAnsi="Times New Roman" w:cs="Times New Roman"/>
          <w:sz w:val="24"/>
          <w:szCs w:val="24"/>
        </w:rPr>
        <w:t>the precise scope of the s.126 discretion may req</w:t>
      </w:r>
      <w:r w:rsidR="001D374B">
        <w:rPr>
          <w:rFonts w:ascii="Times New Roman" w:hAnsi="Times New Roman" w:cs="Times New Roman"/>
          <w:sz w:val="24"/>
          <w:szCs w:val="24"/>
        </w:rPr>
        <w:t xml:space="preserve">uire further consideration but </w:t>
      </w:r>
      <w:r w:rsidR="00235291">
        <w:rPr>
          <w:rFonts w:ascii="Times New Roman" w:hAnsi="Times New Roman" w:cs="Times New Roman"/>
          <w:sz w:val="24"/>
          <w:szCs w:val="24"/>
        </w:rPr>
        <w:t>the Court of Appeal’s</w:t>
      </w:r>
      <w:r w:rsidR="00C159DF">
        <w:rPr>
          <w:rFonts w:ascii="Times New Roman" w:hAnsi="Times New Roman" w:cs="Times New Roman"/>
          <w:sz w:val="24"/>
          <w:szCs w:val="24"/>
        </w:rPr>
        <w:t xml:space="preserve"> “</w:t>
      </w:r>
      <w:r w:rsidR="00C159DF" w:rsidRPr="00C159DF">
        <w:rPr>
          <w:rFonts w:ascii="Times New Roman" w:hAnsi="Times New Roman" w:cs="Times New Roman"/>
          <w:sz w:val="24"/>
          <w:szCs w:val="24"/>
        </w:rPr>
        <w:t xml:space="preserve">strong preliminary view </w:t>
      </w:r>
      <w:r w:rsidR="00C159DF">
        <w:rPr>
          <w:rFonts w:ascii="Times New Roman" w:hAnsi="Times New Roman" w:cs="Times New Roman"/>
          <w:sz w:val="24"/>
          <w:szCs w:val="24"/>
        </w:rPr>
        <w:t>[was]</w:t>
      </w:r>
      <w:r w:rsidR="00C159DF" w:rsidRPr="00C159DF">
        <w:rPr>
          <w:rFonts w:ascii="Times New Roman" w:hAnsi="Times New Roman" w:cs="Times New Roman"/>
          <w:sz w:val="24"/>
          <w:szCs w:val="24"/>
        </w:rPr>
        <w:t xml:space="preserve"> that, in order to prevent the potential admission of barely relevant evidence, section 126 permits the court to exclude hearsay evidence which lacks significant probative value</w:t>
      </w:r>
      <w:r w:rsidR="00E65937">
        <w:rPr>
          <w:rFonts w:ascii="Times New Roman" w:hAnsi="Times New Roman" w:cs="Times New Roman"/>
          <w:sz w:val="24"/>
          <w:szCs w:val="24"/>
        </w:rPr>
        <w:t>”</w:t>
      </w:r>
      <w:r w:rsidR="00235291">
        <w:rPr>
          <w:rFonts w:ascii="Times New Roman" w:hAnsi="Times New Roman" w:cs="Times New Roman"/>
          <w:sz w:val="24"/>
          <w:szCs w:val="24"/>
        </w:rPr>
        <w:t xml:space="preserve"> (at [40])</w:t>
      </w:r>
      <w:r w:rsidR="00C159DF" w:rsidRPr="00C159DF">
        <w:rPr>
          <w:rFonts w:ascii="Times New Roman" w:hAnsi="Times New Roman" w:cs="Times New Roman"/>
          <w:sz w:val="24"/>
          <w:szCs w:val="24"/>
        </w:rPr>
        <w:t>.</w:t>
      </w:r>
      <w:r w:rsidR="00C159DF">
        <w:rPr>
          <w:rFonts w:ascii="Times New Roman" w:hAnsi="Times New Roman" w:cs="Times New Roman"/>
          <w:sz w:val="24"/>
          <w:szCs w:val="24"/>
        </w:rPr>
        <w:t xml:space="preserve"> The judge ha</w:t>
      </w:r>
      <w:r w:rsidR="00E65937">
        <w:rPr>
          <w:rFonts w:ascii="Times New Roman" w:hAnsi="Times New Roman" w:cs="Times New Roman"/>
          <w:sz w:val="24"/>
          <w:szCs w:val="24"/>
        </w:rPr>
        <w:t>d</w:t>
      </w:r>
      <w:r w:rsidR="00C159DF">
        <w:rPr>
          <w:rFonts w:ascii="Times New Roman" w:hAnsi="Times New Roman" w:cs="Times New Roman"/>
          <w:sz w:val="24"/>
          <w:szCs w:val="24"/>
        </w:rPr>
        <w:t xml:space="preserve"> followed the same approach and</w:t>
      </w:r>
      <w:r w:rsidR="00E65937">
        <w:rPr>
          <w:rFonts w:ascii="Times New Roman" w:hAnsi="Times New Roman" w:cs="Times New Roman"/>
          <w:sz w:val="24"/>
          <w:szCs w:val="24"/>
        </w:rPr>
        <w:t>,</w:t>
      </w:r>
      <w:r w:rsidR="005A33B0">
        <w:rPr>
          <w:rFonts w:ascii="Times New Roman" w:hAnsi="Times New Roman" w:cs="Times New Roman"/>
          <w:sz w:val="24"/>
          <w:szCs w:val="24"/>
        </w:rPr>
        <w:t xml:space="preserve"> </w:t>
      </w:r>
      <w:r w:rsidR="00C159DF">
        <w:rPr>
          <w:rFonts w:ascii="Times New Roman" w:hAnsi="Times New Roman" w:cs="Times New Roman"/>
          <w:sz w:val="24"/>
          <w:szCs w:val="24"/>
        </w:rPr>
        <w:t>upon the assumption that this was the correct approach</w:t>
      </w:r>
      <w:r w:rsidR="00E65937">
        <w:rPr>
          <w:rFonts w:ascii="Times New Roman" w:hAnsi="Times New Roman" w:cs="Times New Roman"/>
          <w:sz w:val="24"/>
          <w:szCs w:val="24"/>
        </w:rPr>
        <w:t>,</w:t>
      </w:r>
      <w:r w:rsidR="00C159DF">
        <w:rPr>
          <w:rFonts w:ascii="Times New Roman" w:hAnsi="Times New Roman" w:cs="Times New Roman"/>
          <w:sz w:val="24"/>
          <w:szCs w:val="24"/>
        </w:rPr>
        <w:t xml:space="preserve"> her conclusion could not be faulted. Indeed, even if the scope of s.126 was narrower, detailed </w:t>
      </w:r>
      <w:r w:rsidR="00C159DF">
        <w:rPr>
          <w:rFonts w:ascii="Times New Roman" w:hAnsi="Times New Roman" w:cs="Times New Roman"/>
          <w:sz w:val="24"/>
          <w:szCs w:val="24"/>
        </w:rPr>
        <w:lastRenderedPageBreak/>
        <w:t>consideration of the hearsay evidence in question made it obvious that it had been properly excluded</w:t>
      </w:r>
      <w:r w:rsidR="007C4C62">
        <w:rPr>
          <w:rFonts w:ascii="Times New Roman" w:hAnsi="Times New Roman" w:cs="Times New Roman"/>
          <w:sz w:val="24"/>
          <w:szCs w:val="24"/>
        </w:rPr>
        <w:t xml:space="preserve">. </w:t>
      </w:r>
      <w:r w:rsidR="00E65937">
        <w:rPr>
          <w:rFonts w:ascii="Times New Roman" w:hAnsi="Times New Roman" w:cs="Times New Roman"/>
          <w:sz w:val="24"/>
          <w:szCs w:val="24"/>
        </w:rPr>
        <w:t xml:space="preserve">The hearsay evidence </w:t>
      </w:r>
      <w:r w:rsidR="007C4C62">
        <w:rPr>
          <w:rFonts w:ascii="Times New Roman" w:hAnsi="Times New Roman" w:cs="Times New Roman"/>
          <w:sz w:val="24"/>
          <w:szCs w:val="24"/>
        </w:rPr>
        <w:t xml:space="preserve">did </w:t>
      </w:r>
      <w:r w:rsidR="00E65937">
        <w:rPr>
          <w:rFonts w:ascii="Times New Roman" w:hAnsi="Times New Roman" w:cs="Times New Roman"/>
          <w:sz w:val="24"/>
          <w:szCs w:val="24"/>
        </w:rPr>
        <w:t xml:space="preserve">not </w:t>
      </w:r>
      <w:r w:rsidR="007C4C62">
        <w:rPr>
          <w:rFonts w:ascii="Times New Roman" w:hAnsi="Times New Roman" w:cs="Times New Roman"/>
          <w:sz w:val="24"/>
          <w:szCs w:val="24"/>
        </w:rPr>
        <w:t>prove or assist in proving anything</w:t>
      </w:r>
      <w:r w:rsidR="00E65937">
        <w:rPr>
          <w:rFonts w:ascii="Times New Roman" w:hAnsi="Times New Roman" w:cs="Times New Roman"/>
          <w:sz w:val="24"/>
          <w:szCs w:val="24"/>
        </w:rPr>
        <w:t>;</w:t>
      </w:r>
      <w:r w:rsidR="007C4C62">
        <w:rPr>
          <w:rFonts w:ascii="Times New Roman" w:hAnsi="Times New Roman" w:cs="Times New Roman"/>
          <w:sz w:val="24"/>
          <w:szCs w:val="24"/>
        </w:rPr>
        <w:t xml:space="preserve"> </w:t>
      </w:r>
      <w:r w:rsidR="00E65937">
        <w:rPr>
          <w:rFonts w:ascii="Times New Roman" w:hAnsi="Times New Roman" w:cs="Times New Roman"/>
          <w:sz w:val="24"/>
          <w:szCs w:val="24"/>
        </w:rPr>
        <w:t xml:space="preserve">it </w:t>
      </w:r>
      <w:r w:rsidR="007C4C62">
        <w:rPr>
          <w:rFonts w:ascii="Times New Roman" w:hAnsi="Times New Roman" w:cs="Times New Roman"/>
          <w:sz w:val="24"/>
          <w:szCs w:val="24"/>
        </w:rPr>
        <w:t>was of no value in determining D’s guilt or innocence</w:t>
      </w:r>
      <w:r w:rsidR="005A33B0">
        <w:rPr>
          <w:rFonts w:ascii="Times New Roman" w:hAnsi="Times New Roman" w:cs="Times New Roman"/>
          <w:sz w:val="24"/>
          <w:szCs w:val="24"/>
        </w:rPr>
        <w:t>,</w:t>
      </w:r>
      <w:r w:rsidR="007C4C62">
        <w:rPr>
          <w:rFonts w:ascii="Times New Roman" w:hAnsi="Times New Roman" w:cs="Times New Roman"/>
          <w:sz w:val="24"/>
          <w:szCs w:val="24"/>
        </w:rPr>
        <w:t xml:space="preserve"> and </w:t>
      </w:r>
      <w:r w:rsidR="00E65937">
        <w:rPr>
          <w:rFonts w:ascii="Times New Roman" w:hAnsi="Times New Roman" w:cs="Times New Roman"/>
          <w:sz w:val="24"/>
          <w:szCs w:val="24"/>
        </w:rPr>
        <w:t xml:space="preserve">it </w:t>
      </w:r>
      <w:r w:rsidR="007C4C62">
        <w:rPr>
          <w:rFonts w:ascii="Times New Roman" w:hAnsi="Times New Roman" w:cs="Times New Roman"/>
          <w:sz w:val="24"/>
          <w:szCs w:val="24"/>
        </w:rPr>
        <w:t xml:space="preserve">undermined D’s case, based on the admitted facts, that H had possibly been the attacker. </w:t>
      </w:r>
      <w:r w:rsidR="005768FE">
        <w:rPr>
          <w:rFonts w:ascii="Times New Roman" w:hAnsi="Times New Roman" w:cs="Times New Roman"/>
          <w:sz w:val="24"/>
          <w:szCs w:val="24"/>
        </w:rPr>
        <w:t xml:space="preserve">The detention record and the notes of the examination of H by a doctor, which showed that H had been fit to be </w:t>
      </w:r>
      <w:r w:rsidR="00E65937">
        <w:rPr>
          <w:rFonts w:ascii="Times New Roman" w:hAnsi="Times New Roman" w:cs="Times New Roman"/>
          <w:sz w:val="24"/>
          <w:szCs w:val="24"/>
        </w:rPr>
        <w:t>interviewed,</w:t>
      </w:r>
      <w:r w:rsidR="005768FE">
        <w:rPr>
          <w:rFonts w:ascii="Times New Roman" w:hAnsi="Times New Roman" w:cs="Times New Roman"/>
          <w:sz w:val="24"/>
          <w:szCs w:val="24"/>
        </w:rPr>
        <w:t xml:space="preserve"> were insignificant if H’s statement and W’s report were not admitted and the judge had been entitled to exclude them</w:t>
      </w:r>
      <w:r w:rsidR="00E65937">
        <w:rPr>
          <w:rFonts w:ascii="Times New Roman" w:hAnsi="Times New Roman" w:cs="Times New Roman"/>
          <w:sz w:val="24"/>
          <w:szCs w:val="24"/>
        </w:rPr>
        <w:t xml:space="preserve"> too</w:t>
      </w:r>
      <w:r w:rsidR="005768FE">
        <w:rPr>
          <w:rFonts w:ascii="Times New Roman" w:hAnsi="Times New Roman" w:cs="Times New Roman"/>
          <w:sz w:val="24"/>
          <w:szCs w:val="24"/>
        </w:rPr>
        <w:t xml:space="preserve">.  </w:t>
      </w:r>
    </w:p>
    <w:p w:rsidR="00376619" w:rsidRDefault="005A33B0" w:rsidP="00376619">
      <w:pPr>
        <w:rPr>
          <w:rFonts w:ascii="Times New Roman" w:hAnsi="Times New Roman" w:cs="Times New Roman"/>
          <w:sz w:val="24"/>
          <w:szCs w:val="24"/>
        </w:rPr>
      </w:pPr>
      <w:r>
        <w:rPr>
          <w:rFonts w:ascii="Times New Roman" w:hAnsi="Times New Roman" w:cs="Times New Roman"/>
          <w:sz w:val="24"/>
          <w:szCs w:val="24"/>
        </w:rPr>
        <w:t>W</w:t>
      </w:r>
      <w:r w:rsidR="00376619">
        <w:rPr>
          <w:rFonts w:ascii="Times New Roman" w:hAnsi="Times New Roman" w:cs="Times New Roman"/>
          <w:sz w:val="24"/>
          <w:szCs w:val="24"/>
        </w:rPr>
        <w:t>hatever the s.126 threshold was</w:t>
      </w:r>
      <w:r>
        <w:rPr>
          <w:rFonts w:ascii="Times New Roman" w:hAnsi="Times New Roman" w:cs="Times New Roman"/>
          <w:sz w:val="24"/>
          <w:szCs w:val="24"/>
        </w:rPr>
        <w:t>,</w:t>
      </w:r>
      <w:r w:rsidR="00376619">
        <w:rPr>
          <w:rFonts w:ascii="Times New Roman" w:hAnsi="Times New Roman" w:cs="Times New Roman"/>
          <w:sz w:val="24"/>
          <w:szCs w:val="24"/>
        </w:rPr>
        <w:t xml:space="preserve"> it had not been surmounted by the hearsay evidence that D had wished to adduce. </w:t>
      </w:r>
      <w:r>
        <w:rPr>
          <w:rFonts w:ascii="Times New Roman" w:hAnsi="Times New Roman" w:cs="Times New Roman"/>
          <w:sz w:val="24"/>
          <w:szCs w:val="24"/>
        </w:rPr>
        <w:t xml:space="preserve">Section </w:t>
      </w:r>
      <w:r w:rsidR="00376619">
        <w:rPr>
          <w:rFonts w:ascii="Times New Roman" w:hAnsi="Times New Roman" w:cs="Times New Roman"/>
          <w:sz w:val="24"/>
          <w:szCs w:val="24"/>
        </w:rPr>
        <w:t xml:space="preserve">126 does not require the court to apply a different threshold when hearsay evidence is tendered by the defence to that which it is required to apply when such evidence is tendered by the prosecution. </w:t>
      </w:r>
      <w:r>
        <w:rPr>
          <w:rFonts w:ascii="Times New Roman" w:hAnsi="Times New Roman" w:cs="Times New Roman"/>
          <w:sz w:val="24"/>
          <w:szCs w:val="24"/>
        </w:rPr>
        <w:t>T</w:t>
      </w:r>
      <w:r w:rsidR="00376619">
        <w:rPr>
          <w:rFonts w:ascii="Times New Roman" w:hAnsi="Times New Roman" w:cs="Times New Roman"/>
          <w:sz w:val="24"/>
          <w:szCs w:val="24"/>
        </w:rPr>
        <w:t>he overwhelming DNA evidence had “</w:t>
      </w:r>
      <w:r w:rsidR="00376619" w:rsidRPr="00376619">
        <w:rPr>
          <w:rFonts w:ascii="Times New Roman" w:hAnsi="Times New Roman" w:cs="Times New Roman"/>
          <w:sz w:val="24"/>
          <w:szCs w:val="24"/>
        </w:rPr>
        <w:t xml:space="preserve">entitled the jury to conclude that there was no realistic possibility that </w:t>
      </w:r>
      <w:r w:rsidR="00376619">
        <w:rPr>
          <w:rFonts w:ascii="Times New Roman" w:hAnsi="Times New Roman" w:cs="Times New Roman"/>
          <w:sz w:val="24"/>
          <w:szCs w:val="24"/>
        </w:rPr>
        <w:t>[</w:t>
      </w:r>
      <w:r w:rsidR="00376619" w:rsidRPr="00376619">
        <w:rPr>
          <w:rFonts w:ascii="Times New Roman" w:hAnsi="Times New Roman" w:cs="Times New Roman"/>
          <w:sz w:val="24"/>
          <w:szCs w:val="24"/>
        </w:rPr>
        <w:t>H</w:t>
      </w:r>
      <w:r w:rsidR="00376619">
        <w:rPr>
          <w:rFonts w:ascii="Times New Roman" w:hAnsi="Times New Roman" w:cs="Times New Roman"/>
          <w:sz w:val="24"/>
          <w:szCs w:val="24"/>
        </w:rPr>
        <w:t>]</w:t>
      </w:r>
      <w:r w:rsidR="00376619" w:rsidRPr="00376619">
        <w:rPr>
          <w:rFonts w:ascii="Times New Roman" w:hAnsi="Times New Roman" w:cs="Times New Roman"/>
          <w:sz w:val="24"/>
          <w:szCs w:val="24"/>
        </w:rPr>
        <w:t xml:space="preserve"> might have been responsible, to reject the defence’s ‘contamination’ theory, and to be sure that the perpetrator who ejaculated on each occasion was </w:t>
      </w:r>
      <w:r w:rsidR="00376619">
        <w:rPr>
          <w:rFonts w:ascii="Times New Roman" w:hAnsi="Times New Roman" w:cs="Times New Roman"/>
          <w:sz w:val="24"/>
          <w:szCs w:val="24"/>
        </w:rPr>
        <w:t>[D]”</w:t>
      </w:r>
      <w:r>
        <w:rPr>
          <w:rFonts w:ascii="Times New Roman" w:hAnsi="Times New Roman" w:cs="Times New Roman"/>
          <w:sz w:val="24"/>
          <w:szCs w:val="24"/>
        </w:rPr>
        <w:t xml:space="preserve"> (at [51])</w:t>
      </w:r>
      <w:r w:rsidR="00376619">
        <w:rPr>
          <w:rFonts w:ascii="Times New Roman" w:hAnsi="Times New Roman" w:cs="Times New Roman"/>
          <w:sz w:val="24"/>
          <w:szCs w:val="24"/>
        </w:rPr>
        <w:t xml:space="preserve">. </w:t>
      </w:r>
    </w:p>
    <w:p w:rsidR="0096721D" w:rsidRDefault="0096721D" w:rsidP="00B83F48">
      <w:pPr>
        <w:rPr>
          <w:rFonts w:ascii="Times New Roman" w:hAnsi="Times New Roman" w:cs="Times New Roman"/>
          <w:sz w:val="24"/>
          <w:szCs w:val="24"/>
        </w:rPr>
      </w:pPr>
    </w:p>
    <w:p w:rsidR="00B83F48" w:rsidRPr="002B59F1" w:rsidRDefault="00B83F48" w:rsidP="00B83F48">
      <w:pPr>
        <w:rPr>
          <w:rFonts w:ascii="Times New Roman" w:hAnsi="Times New Roman" w:cs="Times New Roman"/>
          <w:sz w:val="24"/>
          <w:szCs w:val="24"/>
        </w:rPr>
      </w:pPr>
      <w:r w:rsidRPr="002B59F1">
        <w:rPr>
          <w:rFonts w:ascii="Times New Roman" w:hAnsi="Times New Roman" w:cs="Times New Roman"/>
          <w:sz w:val="24"/>
          <w:szCs w:val="24"/>
        </w:rPr>
        <w:t>COMMENTARY</w:t>
      </w:r>
    </w:p>
    <w:p w:rsidR="008B493F" w:rsidRDefault="00E65937" w:rsidP="008B493F">
      <w:pPr>
        <w:rPr>
          <w:rFonts w:ascii="Times New Roman" w:hAnsi="Times New Roman" w:cs="Times New Roman"/>
          <w:sz w:val="24"/>
          <w:szCs w:val="24"/>
        </w:rPr>
      </w:pPr>
      <w:r>
        <w:rPr>
          <w:rFonts w:ascii="Times New Roman" w:hAnsi="Times New Roman" w:cs="Times New Roman"/>
          <w:sz w:val="24"/>
          <w:szCs w:val="24"/>
        </w:rPr>
        <w:t>Section 126 of the Criminal Justice Act 2003 provides as follows</w:t>
      </w:r>
      <w:r w:rsidR="00517C69">
        <w:rPr>
          <w:rFonts w:ascii="Times New Roman" w:hAnsi="Times New Roman" w:cs="Times New Roman"/>
          <w:sz w:val="24"/>
          <w:szCs w:val="24"/>
        </w:rPr>
        <w:t>:</w:t>
      </w:r>
    </w:p>
    <w:p w:rsidR="00C7185B" w:rsidRPr="00C7185B" w:rsidRDefault="00C7185B" w:rsidP="00C7185B">
      <w:pPr>
        <w:ind w:left="720"/>
        <w:rPr>
          <w:rFonts w:ascii="Times New Roman" w:hAnsi="Times New Roman" w:cs="Times New Roman"/>
          <w:sz w:val="24"/>
          <w:szCs w:val="24"/>
        </w:rPr>
      </w:pPr>
      <w:r w:rsidRPr="00C7185B">
        <w:rPr>
          <w:rFonts w:ascii="Times New Roman" w:hAnsi="Times New Roman" w:cs="Times New Roman"/>
          <w:sz w:val="24"/>
          <w:szCs w:val="24"/>
        </w:rPr>
        <w:t>(1)</w:t>
      </w:r>
      <w:r>
        <w:rPr>
          <w:rFonts w:ascii="Times New Roman" w:hAnsi="Times New Roman" w:cs="Times New Roman"/>
          <w:sz w:val="24"/>
          <w:szCs w:val="24"/>
        </w:rPr>
        <w:t xml:space="preserve"> </w:t>
      </w:r>
      <w:r w:rsidRPr="00C7185B">
        <w:rPr>
          <w:rFonts w:ascii="Times New Roman" w:hAnsi="Times New Roman" w:cs="Times New Roman"/>
          <w:sz w:val="24"/>
          <w:szCs w:val="24"/>
        </w:rPr>
        <w:t xml:space="preserve">In criminal proceedings the court may refuse to admit a statement as evidence of a matter stated if— </w:t>
      </w:r>
    </w:p>
    <w:p w:rsidR="00C7185B" w:rsidRPr="00C7185B" w:rsidRDefault="00C7185B" w:rsidP="00C7185B">
      <w:pPr>
        <w:ind w:left="720"/>
        <w:rPr>
          <w:rFonts w:ascii="Times New Roman" w:hAnsi="Times New Roman" w:cs="Times New Roman"/>
          <w:sz w:val="24"/>
          <w:szCs w:val="24"/>
        </w:rPr>
      </w:pPr>
      <w:r w:rsidRPr="00C7185B">
        <w:rPr>
          <w:rFonts w:ascii="Times New Roman" w:hAnsi="Times New Roman" w:cs="Times New Roman"/>
          <w:sz w:val="24"/>
          <w:szCs w:val="24"/>
        </w:rPr>
        <w:t>(a)</w:t>
      </w:r>
      <w:r>
        <w:rPr>
          <w:rFonts w:ascii="Times New Roman" w:hAnsi="Times New Roman" w:cs="Times New Roman"/>
          <w:sz w:val="24"/>
          <w:szCs w:val="24"/>
        </w:rPr>
        <w:t xml:space="preserve"> </w:t>
      </w:r>
      <w:r w:rsidRPr="00C7185B">
        <w:rPr>
          <w:rFonts w:ascii="Times New Roman" w:hAnsi="Times New Roman" w:cs="Times New Roman"/>
          <w:sz w:val="24"/>
          <w:szCs w:val="24"/>
        </w:rPr>
        <w:t xml:space="preserve">the statement was made otherwise than in oral evidence in the proceedings, and </w:t>
      </w:r>
    </w:p>
    <w:p w:rsidR="00C7185B" w:rsidRPr="00C7185B" w:rsidRDefault="00C7185B" w:rsidP="00C7185B">
      <w:pPr>
        <w:ind w:left="720"/>
        <w:rPr>
          <w:rFonts w:ascii="Times New Roman" w:hAnsi="Times New Roman" w:cs="Times New Roman"/>
          <w:sz w:val="24"/>
          <w:szCs w:val="24"/>
        </w:rPr>
      </w:pPr>
      <w:r w:rsidRPr="00C7185B">
        <w:rPr>
          <w:rFonts w:ascii="Times New Roman" w:hAnsi="Times New Roman" w:cs="Times New Roman"/>
          <w:sz w:val="24"/>
          <w:szCs w:val="24"/>
        </w:rPr>
        <w:t>(b)</w:t>
      </w:r>
      <w:r>
        <w:rPr>
          <w:rFonts w:ascii="Times New Roman" w:hAnsi="Times New Roman" w:cs="Times New Roman"/>
          <w:sz w:val="24"/>
          <w:szCs w:val="24"/>
        </w:rPr>
        <w:t xml:space="preserve"> </w:t>
      </w:r>
      <w:r w:rsidRPr="00C7185B">
        <w:rPr>
          <w:rFonts w:ascii="Times New Roman" w:hAnsi="Times New Roman" w:cs="Times New Roman"/>
          <w:sz w:val="24"/>
          <w:szCs w:val="24"/>
        </w:rPr>
        <w:t xml:space="preserve">the court is satisfied that the case for excluding the statement, taking account of the danger that to admit it would result in undue waste of time, substantially outweighs the case for admitting it, taking account of the value of the evidence. </w:t>
      </w:r>
    </w:p>
    <w:p w:rsidR="00C7185B" w:rsidRPr="00C7185B" w:rsidRDefault="00C7185B" w:rsidP="00C7185B">
      <w:pPr>
        <w:ind w:left="720"/>
        <w:rPr>
          <w:rFonts w:ascii="Times New Roman" w:hAnsi="Times New Roman" w:cs="Times New Roman"/>
          <w:sz w:val="24"/>
          <w:szCs w:val="24"/>
        </w:rPr>
      </w:pPr>
      <w:r w:rsidRPr="00C7185B">
        <w:rPr>
          <w:rFonts w:ascii="Times New Roman" w:hAnsi="Times New Roman" w:cs="Times New Roman"/>
          <w:sz w:val="24"/>
          <w:szCs w:val="24"/>
        </w:rPr>
        <w:t>(2)</w:t>
      </w:r>
      <w:r>
        <w:rPr>
          <w:rFonts w:ascii="Times New Roman" w:hAnsi="Times New Roman" w:cs="Times New Roman"/>
          <w:sz w:val="24"/>
          <w:szCs w:val="24"/>
        </w:rPr>
        <w:t xml:space="preserve"> </w:t>
      </w:r>
      <w:r w:rsidRPr="00C7185B">
        <w:rPr>
          <w:rFonts w:ascii="Times New Roman" w:hAnsi="Times New Roman" w:cs="Times New Roman"/>
          <w:sz w:val="24"/>
          <w:szCs w:val="24"/>
        </w:rPr>
        <w:t xml:space="preserve">Nothing in this Chapter prejudices— </w:t>
      </w:r>
    </w:p>
    <w:p w:rsidR="00C7185B" w:rsidRPr="00C7185B" w:rsidRDefault="00C7185B" w:rsidP="00C7185B">
      <w:pPr>
        <w:ind w:left="720"/>
        <w:rPr>
          <w:rFonts w:ascii="Times New Roman" w:hAnsi="Times New Roman" w:cs="Times New Roman"/>
          <w:sz w:val="24"/>
          <w:szCs w:val="24"/>
        </w:rPr>
      </w:pPr>
      <w:r w:rsidRPr="00C7185B">
        <w:rPr>
          <w:rFonts w:ascii="Times New Roman" w:hAnsi="Times New Roman" w:cs="Times New Roman"/>
          <w:sz w:val="24"/>
          <w:szCs w:val="24"/>
        </w:rPr>
        <w:t>(a)</w:t>
      </w:r>
      <w:r>
        <w:rPr>
          <w:rFonts w:ascii="Times New Roman" w:hAnsi="Times New Roman" w:cs="Times New Roman"/>
          <w:sz w:val="24"/>
          <w:szCs w:val="24"/>
        </w:rPr>
        <w:t xml:space="preserve"> </w:t>
      </w:r>
      <w:r w:rsidRPr="00C7185B">
        <w:rPr>
          <w:rFonts w:ascii="Times New Roman" w:hAnsi="Times New Roman" w:cs="Times New Roman"/>
          <w:sz w:val="24"/>
          <w:szCs w:val="24"/>
        </w:rPr>
        <w:t xml:space="preserve">any power of a court to exclude evidence under section 78 of the Police and Criminal Evidence Act 1984 (c. 60) (exclusion of unfair evidence), or </w:t>
      </w:r>
    </w:p>
    <w:p w:rsidR="00C7185B" w:rsidRPr="00C7185B" w:rsidRDefault="00C7185B" w:rsidP="00C7185B">
      <w:pPr>
        <w:ind w:left="720"/>
        <w:rPr>
          <w:rFonts w:ascii="Times New Roman" w:hAnsi="Times New Roman" w:cs="Times New Roman"/>
          <w:sz w:val="24"/>
          <w:szCs w:val="24"/>
        </w:rPr>
      </w:pPr>
      <w:r w:rsidRPr="00C7185B">
        <w:rPr>
          <w:rFonts w:ascii="Times New Roman" w:hAnsi="Times New Roman" w:cs="Times New Roman"/>
          <w:sz w:val="24"/>
          <w:szCs w:val="24"/>
        </w:rPr>
        <w:t>(b)</w:t>
      </w:r>
      <w:r>
        <w:rPr>
          <w:rFonts w:ascii="Times New Roman" w:hAnsi="Times New Roman" w:cs="Times New Roman"/>
          <w:sz w:val="24"/>
          <w:szCs w:val="24"/>
        </w:rPr>
        <w:t xml:space="preserve"> </w:t>
      </w:r>
      <w:r w:rsidRPr="00C7185B">
        <w:rPr>
          <w:rFonts w:ascii="Times New Roman" w:hAnsi="Times New Roman" w:cs="Times New Roman"/>
          <w:sz w:val="24"/>
          <w:szCs w:val="24"/>
        </w:rPr>
        <w:t>any other power of a court to exclude evidence at its discretion (whether by preventing questions from being put or otherwise).</w:t>
      </w:r>
    </w:p>
    <w:p w:rsidR="00755C2A" w:rsidRDefault="00755C2A" w:rsidP="008B493F">
      <w:pPr>
        <w:rPr>
          <w:rFonts w:ascii="Times New Roman" w:hAnsi="Times New Roman" w:cs="Times New Roman"/>
          <w:sz w:val="24"/>
          <w:szCs w:val="24"/>
        </w:rPr>
      </w:pPr>
      <w:r>
        <w:rPr>
          <w:rFonts w:ascii="Times New Roman" w:hAnsi="Times New Roman" w:cs="Times New Roman"/>
          <w:sz w:val="24"/>
          <w:szCs w:val="24"/>
        </w:rPr>
        <w:t xml:space="preserve">As the Supreme Court recognised in </w:t>
      </w:r>
      <w:r w:rsidRPr="00755C2A">
        <w:rPr>
          <w:rFonts w:ascii="Times New Roman" w:hAnsi="Times New Roman" w:cs="Times New Roman"/>
          <w:i/>
          <w:sz w:val="24"/>
          <w:szCs w:val="24"/>
        </w:rPr>
        <w:t>R v Horncastle</w:t>
      </w:r>
      <w:r>
        <w:rPr>
          <w:rFonts w:ascii="Times New Roman" w:hAnsi="Times New Roman" w:cs="Times New Roman"/>
          <w:sz w:val="24"/>
          <w:szCs w:val="24"/>
        </w:rPr>
        <w:t xml:space="preserve"> </w:t>
      </w:r>
      <w:r w:rsidRPr="00755C2A">
        <w:rPr>
          <w:rFonts w:ascii="Times New Roman" w:hAnsi="Times New Roman" w:cs="Times New Roman"/>
          <w:sz w:val="24"/>
          <w:szCs w:val="24"/>
        </w:rPr>
        <w:t>[2010] 2 AC 373</w:t>
      </w:r>
      <w:r>
        <w:rPr>
          <w:rFonts w:ascii="Times New Roman" w:hAnsi="Times New Roman" w:cs="Times New Roman"/>
          <w:sz w:val="24"/>
          <w:szCs w:val="24"/>
        </w:rPr>
        <w:t>, s.</w:t>
      </w:r>
      <w:r w:rsidR="00C7185B">
        <w:rPr>
          <w:rFonts w:ascii="Times New Roman" w:hAnsi="Times New Roman" w:cs="Times New Roman"/>
          <w:sz w:val="24"/>
          <w:szCs w:val="24"/>
        </w:rPr>
        <w:t xml:space="preserve">126(2) preserves the court’s statutory and common law discretions to exclude evidence tendered by the prosecution. The concern of the Court of Appeal in </w:t>
      </w:r>
      <w:r w:rsidR="00517C69">
        <w:rPr>
          <w:rFonts w:ascii="Times New Roman" w:hAnsi="Times New Roman" w:cs="Times New Roman"/>
          <w:sz w:val="24"/>
          <w:szCs w:val="24"/>
        </w:rPr>
        <w:t>the instant case</w:t>
      </w:r>
      <w:r w:rsidR="00517C69" w:rsidRPr="00C7185B">
        <w:rPr>
          <w:rFonts w:ascii="Times New Roman" w:hAnsi="Times New Roman" w:cs="Times New Roman"/>
          <w:i/>
          <w:sz w:val="24"/>
          <w:szCs w:val="24"/>
        </w:rPr>
        <w:t xml:space="preserve"> </w:t>
      </w:r>
      <w:r w:rsidR="00C7185B">
        <w:rPr>
          <w:rFonts w:ascii="Times New Roman" w:hAnsi="Times New Roman" w:cs="Times New Roman"/>
          <w:sz w:val="24"/>
          <w:szCs w:val="24"/>
        </w:rPr>
        <w:t xml:space="preserve">was </w:t>
      </w:r>
      <w:r w:rsidR="001F770B">
        <w:rPr>
          <w:rFonts w:ascii="Times New Roman" w:hAnsi="Times New Roman" w:cs="Times New Roman"/>
          <w:sz w:val="24"/>
          <w:szCs w:val="24"/>
        </w:rPr>
        <w:t>with s.126(1), which, as the Court of Appeal recognised in th</w:t>
      </w:r>
      <w:r w:rsidR="00517C69">
        <w:rPr>
          <w:rFonts w:ascii="Times New Roman" w:hAnsi="Times New Roman" w:cs="Times New Roman"/>
          <w:sz w:val="24"/>
          <w:szCs w:val="24"/>
        </w:rPr>
        <w:t>is</w:t>
      </w:r>
      <w:r w:rsidR="001F770B">
        <w:rPr>
          <w:rFonts w:ascii="Times New Roman" w:hAnsi="Times New Roman" w:cs="Times New Roman"/>
          <w:sz w:val="24"/>
          <w:szCs w:val="24"/>
        </w:rPr>
        <w:t xml:space="preserve"> case, </w:t>
      </w:r>
      <w:r w:rsidR="008A064B">
        <w:rPr>
          <w:rFonts w:ascii="Times New Roman" w:hAnsi="Times New Roman" w:cs="Times New Roman"/>
          <w:sz w:val="24"/>
          <w:szCs w:val="24"/>
        </w:rPr>
        <w:t xml:space="preserve">unlike the exclusionary discretions preserved by s.126(2), </w:t>
      </w:r>
      <w:r w:rsidR="001F770B">
        <w:rPr>
          <w:rFonts w:ascii="Times New Roman" w:hAnsi="Times New Roman" w:cs="Times New Roman"/>
          <w:sz w:val="24"/>
          <w:szCs w:val="24"/>
        </w:rPr>
        <w:t xml:space="preserve">may be deployed so as to exclude defence evidence. </w:t>
      </w:r>
    </w:p>
    <w:p w:rsidR="008A064B" w:rsidRDefault="00517C69" w:rsidP="008B493F">
      <w:pPr>
        <w:rPr>
          <w:rFonts w:ascii="Times New Roman" w:hAnsi="Times New Roman" w:cs="Times New Roman"/>
          <w:sz w:val="24"/>
          <w:szCs w:val="24"/>
        </w:rPr>
      </w:pPr>
      <w:r>
        <w:rPr>
          <w:rFonts w:ascii="Times New Roman" w:hAnsi="Times New Roman" w:cs="Times New Roman"/>
          <w:sz w:val="24"/>
          <w:szCs w:val="24"/>
        </w:rPr>
        <w:t xml:space="preserve">In its 1997 Report, </w:t>
      </w:r>
      <w:r>
        <w:rPr>
          <w:rFonts w:ascii="Times New Roman" w:hAnsi="Times New Roman" w:cs="Times New Roman"/>
          <w:i/>
          <w:sz w:val="24"/>
          <w:szCs w:val="24"/>
        </w:rPr>
        <w:t xml:space="preserve">Evidence in Criminal Proceedings: Hearsay and Related Topics, </w:t>
      </w:r>
      <w:r>
        <w:rPr>
          <w:rFonts w:ascii="Times New Roman" w:hAnsi="Times New Roman" w:cs="Times New Roman"/>
          <w:sz w:val="24"/>
          <w:szCs w:val="24"/>
        </w:rPr>
        <w:t>t</w:t>
      </w:r>
      <w:r w:rsidR="008A064B">
        <w:rPr>
          <w:rFonts w:ascii="Times New Roman" w:hAnsi="Times New Roman" w:cs="Times New Roman"/>
          <w:sz w:val="24"/>
          <w:szCs w:val="24"/>
        </w:rPr>
        <w:t>he Law Commission had envisaged that the provision which now exists in the form of s.126(2) would operate as follows</w:t>
      </w:r>
      <w:r w:rsidR="00A16E62">
        <w:rPr>
          <w:rFonts w:ascii="Times New Roman" w:hAnsi="Times New Roman" w:cs="Times New Roman"/>
          <w:sz w:val="24"/>
          <w:szCs w:val="24"/>
        </w:rPr>
        <w:t>:</w:t>
      </w:r>
    </w:p>
    <w:p w:rsidR="008A064B" w:rsidRDefault="008A064B" w:rsidP="008A064B">
      <w:pPr>
        <w:ind w:left="720"/>
        <w:rPr>
          <w:rFonts w:ascii="Times New Roman" w:hAnsi="Times New Roman" w:cs="Times New Roman"/>
          <w:sz w:val="24"/>
          <w:szCs w:val="24"/>
        </w:rPr>
      </w:pPr>
      <w:r w:rsidRPr="008A064B">
        <w:rPr>
          <w:rFonts w:ascii="Times New Roman" w:hAnsi="Times New Roman" w:cs="Times New Roman"/>
          <w:sz w:val="24"/>
          <w:szCs w:val="24"/>
        </w:rPr>
        <w:lastRenderedPageBreak/>
        <w:t>The new power to exclude superfluous hearsay would be available in relation to all hearsay evidence which would otherwise be admissible under our recommended scheme. We envisage that exercise of this power will be appropriate only in exceptional cases, where the probative value of the evidence is so slight that almost nothing is gained by admitting it. This power will help the opposing party and also ensure that the court’s time is not wasted, thereby meeting the point which concerned some respondents, that the admission of hearsay would lead to a lot of barely relevant evidence being adduced.</w:t>
      </w:r>
      <w:r w:rsidR="00517C69">
        <w:rPr>
          <w:rFonts w:ascii="Times New Roman" w:hAnsi="Times New Roman" w:cs="Times New Roman"/>
          <w:sz w:val="24"/>
          <w:szCs w:val="24"/>
        </w:rPr>
        <w:t xml:space="preserve"> (Law Com No.245, para.11.18)</w:t>
      </w:r>
    </w:p>
    <w:p w:rsidR="004F7757" w:rsidRDefault="004F7757" w:rsidP="008B493F">
      <w:pPr>
        <w:rPr>
          <w:rFonts w:ascii="Times New Roman" w:hAnsi="Times New Roman" w:cs="Times New Roman"/>
          <w:sz w:val="24"/>
          <w:szCs w:val="24"/>
        </w:rPr>
      </w:pPr>
      <w:r>
        <w:rPr>
          <w:rFonts w:ascii="Times New Roman" w:hAnsi="Times New Roman" w:cs="Times New Roman"/>
          <w:sz w:val="24"/>
          <w:szCs w:val="24"/>
        </w:rPr>
        <w:t>So far as judicial views in relation to the proper scope of s.126(1) are concerned, t</w:t>
      </w:r>
      <w:r w:rsidR="00755C2A">
        <w:rPr>
          <w:rFonts w:ascii="Times New Roman" w:hAnsi="Times New Roman" w:cs="Times New Roman"/>
          <w:sz w:val="24"/>
          <w:szCs w:val="24"/>
        </w:rPr>
        <w:t xml:space="preserve">he Supreme Court </w:t>
      </w:r>
      <w:r w:rsidR="008A064B">
        <w:rPr>
          <w:rFonts w:ascii="Times New Roman" w:hAnsi="Times New Roman" w:cs="Times New Roman"/>
          <w:sz w:val="24"/>
          <w:szCs w:val="24"/>
        </w:rPr>
        <w:t xml:space="preserve">in </w:t>
      </w:r>
      <w:r w:rsidR="008A064B" w:rsidRPr="008A064B">
        <w:rPr>
          <w:rFonts w:ascii="Times New Roman" w:hAnsi="Times New Roman" w:cs="Times New Roman"/>
          <w:i/>
          <w:sz w:val="24"/>
          <w:szCs w:val="24"/>
        </w:rPr>
        <w:t>Horncastle</w:t>
      </w:r>
      <w:r w:rsidR="008A064B">
        <w:rPr>
          <w:rFonts w:ascii="Times New Roman" w:hAnsi="Times New Roman" w:cs="Times New Roman"/>
          <w:sz w:val="24"/>
          <w:szCs w:val="24"/>
        </w:rPr>
        <w:t xml:space="preserve"> </w:t>
      </w:r>
      <w:r w:rsidR="00755C2A">
        <w:rPr>
          <w:rFonts w:ascii="Times New Roman" w:hAnsi="Times New Roman" w:cs="Times New Roman"/>
          <w:sz w:val="24"/>
          <w:szCs w:val="24"/>
        </w:rPr>
        <w:t xml:space="preserve">at </w:t>
      </w:r>
      <w:r w:rsidR="001D374B">
        <w:rPr>
          <w:rFonts w:ascii="Times New Roman" w:hAnsi="Times New Roman" w:cs="Times New Roman"/>
          <w:sz w:val="24"/>
          <w:szCs w:val="24"/>
        </w:rPr>
        <w:t>[</w:t>
      </w:r>
      <w:r w:rsidR="00755C2A">
        <w:rPr>
          <w:rFonts w:ascii="Times New Roman" w:hAnsi="Times New Roman" w:cs="Times New Roman"/>
          <w:sz w:val="24"/>
          <w:szCs w:val="24"/>
        </w:rPr>
        <w:t xml:space="preserve">36] indicated </w:t>
      </w:r>
      <w:r w:rsidR="001B7BC4">
        <w:rPr>
          <w:rFonts w:ascii="Times New Roman" w:hAnsi="Times New Roman" w:cs="Times New Roman"/>
          <w:sz w:val="24"/>
          <w:szCs w:val="24"/>
        </w:rPr>
        <w:t xml:space="preserve">in obiter observations </w:t>
      </w:r>
      <w:r w:rsidR="00755C2A">
        <w:rPr>
          <w:rFonts w:ascii="Times New Roman" w:hAnsi="Times New Roman" w:cs="Times New Roman"/>
          <w:sz w:val="24"/>
          <w:szCs w:val="24"/>
        </w:rPr>
        <w:t xml:space="preserve">that “the section </w:t>
      </w:r>
      <w:r w:rsidR="00755C2A" w:rsidRPr="00755C2A">
        <w:rPr>
          <w:rFonts w:ascii="Times New Roman" w:hAnsi="Times New Roman" w:cs="Times New Roman"/>
          <w:sz w:val="24"/>
          <w:szCs w:val="24"/>
        </w:rPr>
        <w:t>adds a further obligation upon the judge to exclude hearsay evidence if its admission would generate satellite disputes which would cause an undue waste of time such as to outweigh the case for admitting it</w:t>
      </w:r>
      <w:r w:rsidR="00755C2A">
        <w:rPr>
          <w:rFonts w:ascii="Times New Roman" w:hAnsi="Times New Roman" w:cs="Times New Roman"/>
          <w:sz w:val="24"/>
          <w:szCs w:val="24"/>
        </w:rPr>
        <w:t>”</w:t>
      </w:r>
      <w:r w:rsidR="00755C2A" w:rsidRPr="00755C2A">
        <w:rPr>
          <w:rFonts w:ascii="Times New Roman" w:hAnsi="Times New Roman" w:cs="Times New Roman"/>
          <w:sz w:val="24"/>
          <w:szCs w:val="24"/>
        </w:rPr>
        <w:t>.</w:t>
      </w:r>
      <w:r w:rsidR="00755C2A">
        <w:rPr>
          <w:rFonts w:ascii="Times New Roman" w:hAnsi="Times New Roman" w:cs="Times New Roman"/>
          <w:sz w:val="24"/>
          <w:szCs w:val="24"/>
        </w:rPr>
        <w:t xml:space="preserve"> </w:t>
      </w:r>
    </w:p>
    <w:p w:rsidR="00E65937" w:rsidRDefault="001B7BC4" w:rsidP="008B493F">
      <w:pPr>
        <w:rPr>
          <w:rFonts w:ascii="Times New Roman" w:hAnsi="Times New Roman" w:cs="Times New Roman"/>
          <w:sz w:val="24"/>
          <w:szCs w:val="24"/>
        </w:rPr>
      </w:pPr>
      <w:r>
        <w:rPr>
          <w:rFonts w:ascii="Times New Roman" w:hAnsi="Times New Roman" w:cs="Times New Roman"/>
          <w:sz w:val="24"/>
          <w:szCs w:val="24"/>
        </w:rPr>
        <w:t>Obiter guidance provided by</w:t>
      </w:r>
      <w:r w:rsidR="004F7757">
        <w:rPr>
          <w:rFonts w:ascii="Times New Roman" w:hAnsi="Times New Roman" w:cs="Times New Roman"/>
          <w:sz w:val="24"/>
          <w:szCs w:val="24"/>
        </w:rPr>
        <w:t xml:space="preserve"> the Court of Appeal in </w:t>
      </w:r>
      <w:r w:rsidR="004F7757" w:rsidRPr="004F7757">
        <w:rPr>
          <w:rFonts w:ascii="Times New Roman" w:hAnsi="Times New Roman" w:cs="Times New Roman"/>
          <w:i/>
          <w:sz w:val="24"/>
          <w:szCs w:val="24"/>
        </w:rPr>
        <w:t>R v Riat</w:t>
      </w:r>
      <w:r w:rsidR="004F7757">
        <w:rPr>
          <w:rFonts w:ascii="Times New Roman" w:hAnsi="Times New Roman" w:cs="Times New Roman"/>
          <w:sz w:val="24"/>
          <w:szCs w:val="24"/>
        </w:rPr>
        <w:t xml:space="preserve"> was relied upon by the </w:t>
      </w:r>
      <w:r w:rsidR="00517C69">
        <w:rPr>
          <w:rFonts w:ascii="Times New Roman" w:hAnsi="Times New Roman" w:cs="Times New Roman"/>
          <w:sz w:val="24"/>
          <w:szCs w:val="24"/>
        </w:rPr>
        <w:t xml:space="preserve">trial </w:t>
      </w:r>
      <w:r w:rsidR="004F7757">
        <w:rPr>
          <w:rFonts w:ascii="Times New Roman" w:hAnsi="Times New Roman" w:cs="Times New Roman"/>
          <w:sz w:val="24"/>
          <w:szCs w:val="24"/>
        </w:rPr>
        <w:t xml:space="preserve">judge in </w:t>
      </w:r>
      <w:r w:rsidR="00517C69">
        <w:rPr>
          <w:rFonts w:ascii="Times New Roman" w:hAnsi="Times New Roman" w:cs="Times New Roman"/>
          <w:sz w:val="24"/>
          <w:szCs w:val="24"/>
        </w:rPr>
        <w:t xml:space="preserve">the present case </w:t>
      </w:r>
      <w:r w:rsidR="004F7757">
        <w:rPr>
          <w:rFonts w:ascii="Times New Roman" w:hAnsi="Times New Roman" w:cs="Times New Roman"/>
          <w:sz w:val="24"/>
          <w:szCs w:val="24"/>
        </w:rPr>
        <w:t xml:space="preserve">and was </w:t>
      </w:r>
      <w:r w:rsidR="00517C69">
        <w:rPr>
          <w:rFonts w:ascii="Times New Roman" w:hAnsi="Times New Roman" w:cs="Times New Roman"/>
          <w:sz w:val="24"/>
          <w:szCs w:val="24"/>
        </w:rPr>
        <w:t xml:space="preserve">also </w:t>
      </w:r>
      <w:r w:rsidR="004F7757">
        <w:rPr>
          <w:rFonts w:ascii="Times New Roman" w:hAnsi="Times New Roman" w:cs="Times New Roman"/>
          <w:sz w:val="24"/>
          <w:szCs w:val="24"/>
        </w:rPr>
        <w:t>considered by the Court of Appeal</w:t>
      </w:r>
      <w:r w:rsidR="00517C69">
        <w:rPr>
          <w:rFonts w:ascii="Times New Roman" w:hAnsi="Times New Roman" w:cs="Times New Roman"/>
          <w:sz w:val="24"/>
          <w:szCs w:val="24"/>
        </w:rPr>
        <w:t>, which cited</w:t>
      </w:r>
      <w:r w:rsidR="004F7757">
        <w:rPr>
          <w:rFonts w:ascii="Times New Roman" w:hAnsi="Times New Roman" w:cs="Times New Roman"/>
          <w:sz w:val="24"/>
          <w:szCs w:val="24"/>
        </w:rPr>
        <w:t xml:space="preserve"> </w:t>
      </w:r>
      <w:r>
        <w:rPr>
          <w:rFonts w:ascii="Times New Roman" w:hAnsi="Times New Roman" w:cs="Times New Roman"/>
          <w:sz w:val="24"/>
          <w:szCs w:val="24"/>
        </w:rPr>
        <w:t>Hughes LJ</w:t>
      </w:r>
      <w:r w:rsidR="00517C69">
        <w:rPr>
          <w:rFonts w:ascii="Times New Roman" w:hAnsi="Times New Roman" w:cs="Times New Roman"/>
          <w:sz w:val="24"/>
          <w:szCs w:val="24"/>
        </w:rPr>
        <w:t xml:space="preserve">’s </w:t>
      </w:r>
      <w:r w:rsidR="00C07B3F">
        <w:rPr>
          <w:rFonts w:ascii="Times New Roman" w:hAnsi="Times New Roman" w:cs="Times New Roman"/>
          <w:sz w:val="24"/>
          <w:szCs w:val="24"/>
        </w:rPr>
        <w:t>suggestion</w:t>
      </w:r>
      <w:r>
        <w:rPr>
          <w:rFonts w:ascii="Times New Roman" w:hAnsi="Times New Roman" w:cs="Times New Roman"/>
          <w:sz w:val="24"/>
          <w:szCs w:val="24"/>
        </w:rPr>
        <w:t xml:space="preserve"> that, </w:t>
      </w:r>
    </w:p>
    <w:p w:rsidR="001B7BC4" w:rsidRDefault="00517C69" w:rsidP="001B7BC4">
      <w:pPr>
        <w:ind w:left="720"/>
        <w:rPr>
          <w:rFonts w:ascii="Times New Roman" w:hAnsi="Times New Roman" w:cs="Times New Roman"/>
          <w:sz w:val="24"/>
          <w:szCs w:val="24"/>
        </w:rPr>
      </w:pPr>
      <w:r>
        <w:rPr>
          <w:rFonts w:ascii="Times New Roman" w:hAnsi="Times New Roman" w:cs="Times New Roman"/>
          <w:sz w:val="24"/>
          <w:szCs w:val="24"/>
        </w:rPr>
        <w:t>[s]</w:t>
      </w:r>
      <w:r w:rsidR="001B7BC4" w:rsidRPr="001B7BC4">
        <w:rPr>
          <w:rFonts w:ascii="Times New Roman" w:hAnsi="Times New Roman" w:cs="Times New Roman"/>
          <w:sz w:val="24"/>
          <w:szCs w:val="24"/>
        </w:rPr>
        <w:t xml:space="preserve">ection 126 provides a free-standing jurisdiction to refuse to admit hearsay evidence. It does not apply to any other evidence tendered in a criminal case. If the evidence is tendered by the Crown, it stands in parallel to the general jurisdiction under s 78 PACE, which power is specifically preserved by s 126(2)(a). It goes, however, further than s 78 because it applies also to evidence tendered by a defendant, which might, of course, be targeted either at refuting Crown evidence or at inculpating a co-accused. </w:t>
      </w:r>
    </w:p>
    <w:p w:rsidR="001B7BC4" w:rsidRPr="00517C69" w:rsidRDefault="001B7BC4" w:rsidP="001B7BC4">
      <w:pPr>
        <w:ind w:left="720"/>
        <w:rPr>
          <w:rFonts w:ascii="Times New Roman" w:hAnsi="Times New Roman" w:cs="Times New Roman"/>
          <w:sz w:val="24"/>
          <w:szCs w:val="24"/>
        </w:rPr>
      </w:pPr>
      <w:r w:rsidRPr="001B7BC4">
        <w:rPr>
          <w:rFonts w:ascii="Times New Roman" w:hAnsi="Times New Roman" w:cs="Times New Roman"/>
          <w:sz w:val="24"/>
          <w:szCs w:val="24"/>
        </w:rPr>
        <w:t>The exact ambit of s 126 is not in question in any of our present cases and may need further consideration when it directly arises. The section makes specific reference in s</w:t>
      </w:r>
      <w:r w:rsidR="00C07B3F">
        <w:rPr>
          <w:rFonts w:ascii="Times New Roman" w:hAnsi="Times New Roman" w:cs="Times New Roman"/>
          <w:sz w:val="24"/>
          <w:szCs w:val="24"/>
        </w:rPr>
        <w:t>.</w:t>
      </w:r>
      <w:r w:rsidRPr="001B7BC4">
        <w:rPr>
          <w:rFonts w:ascii="Times New Roman" w:hAnsi="Times New Roman" w:cs="Times New Roman"/>
          <w:sz w:val="24"/>
          <w:szCs w:val="24"/>
        </w:rPr>
        <w:t xml:space="preserve">126(1)(b) to the possibility that hearsay evidence may be held inadmissible because it may generate undue waste of time upon satellite issues. But the jurisdiction provided by the section is not on its face limited to such a case; it explicitly extends to an assessment of the value of the evidence. The section appears under a side heading which, although not part of the enacted terms of the statute, suggests a general discretion, and such appears to have been assumed to be its effect, albeit without detailed argument to the contrary, in both </w:t>
      </w:r>
      <w:r w:rsidRPr="00E75027">
        <w:rPr>
          <w:rFonts w:ascii="Times New Roman" w:hAnsi="Times New Roman" w:cs="Times New Roman"/>
          <w:i/>
          <w:sz w:val="24"/>
          <w:szCs w:val="24"/>
        </w:rPr>
        <w:t>Gyima</w:t>
      </w:r>
      <w:r w:rsidRPr="001B7BC4">
        <w:rPr>
          <w:rFonts w:ascii="Times New Roman" w:hAnsi="Times New Roman" w:cs="Times New Roman"/>
          <w:sz w:val="24"/>
          <w:szCs w:val="24"/>
        </w:rPr>
        <w:t xml:space="preserve"> [2007] EWCA Crim 429 and </w:t>
      </w:r>
      <w:r w:rsidRPr="00E75027">
        <w:rPr>
          <w:rFonts w:ascii="Times New Roman" w:hAnsi="Times New Roman" w:cs="Times New Roman"/>
          <w:i/>
          <w:sz w:val="24"/>
          <w:szCs w:val="24"/>
        </w:rPr>
        <w:t>Atkinson</w:t>
      </w:r>
      <w:r w:rsidRPr="001B7BC4">
        <w:rPr>
          <w:rFonts w:ascii="Times New Roman" w:hAnsi="Times New Roman" w:cs="Times New Roman"/>
          <w:sz w:val="24"/>
          <w:szCs w:val="24"/>
        </w:rPr>
        <w:t xml:space="preserve"> [2011]</w:t>
      </w:r>
      <w:r w:rsidR="00C07B3F">
        <w:rPr>
          <w:rFonts w:ascii="Times New Roman" w:hAnsi="Times New Roman" w:cs="Times New Roman"/>
          <w:sz w:val="24"/>
          <w:szCs w:val="24"/>
        </w:rPr>
        <w:t xml:space="preserve"> </w:t>
      </w:r>
      <w:r w:rsidRPr="001B7BC4">
        <w:rPr>
          <w:rFonts w:ascii="Times New Roman" w:hAnsi="Times New Roman" w:cs="Times New Roman"/>
          <w:sz w:val="24"/>
          <w:szCs w:val="24"/>
        </w:rPr>
        <w:t>EWCA Crim 1746.</w:t>
      </w:r>
      <w:r w:rsidR="00517C69">
        <w:rPr>
          <w:rFonts w:ascii="Times New Roman" w:hAnsi="Times New Roman" w:cs="Times New Roman"/>
          <w:sz w:val="24"/>
          <w:szCs w:val="24"/>
        </w:rPr>
        <w:t xml:space="preserve"> (</w:t>
      </w:r>
      <w:r w:rsidR="00517C69">
        <w:rPr>
          <w:rFonts w:ascii="Times New Roman" w:hAnsi="Times New Roman" w:cs="Times New Roman"/>
          <w:i/>
          <w:sz w:val="24"/>
          <w:szCs w:val="24"/>
        </w:rPr>
        <w:t xml:space="preserve">Riat </w:t>
      </w:r>
      <w:r w:rsidR="00517C69">
        <w:rPr>
          <w:rFonts w:ascii="Times New Roman" w:hAnsi="Times New Roman" w:cs="Times New Roman"/>
          <w:sz w:val="24"/>
          <w:szCs w:val="24"/>
        </w:rPr>
        <w:t>at [23]-[24]).</w:t>
      </w:r>
    </w:p>
    <w:p w:rsidR="006A5B75" w:rsidRDefault="009578B5" w:rsidP="009578B5">
      <w:pPr>
        <w:rPr>
          <w:rFonts w:ascii="Times New Roman" w:hAnsi="Times New Roman" w:cs="Times New Roman"/>
          <w:sz w:val="24"/>
          <w:szCs w:val="24"/>
        </w:rPr>
      </w:pPr>
      <w:r>
        <w:rPr>
          <w:rFonts w:ascii="Times New Roman" w:hAnsi="Times New Roman" w:cs="Times New Roman"/>
          <w:sz w:val="24"/>
          <w:szCs w:val="24"/>
        </w:rPr>
        <w:t xml:space="preserve">As was indicated above, the Court of Appeal in </w:t>
      </w:r>
      <w:r w:rsidRPr="009578B5">
        <w:rPr>
          <w:rFonts w:ascii="Times New Roman" w:hAnsi="Times New Roman" w:cs="Times New Roman"/>
          <w:i/>
          <w:sz w:val="24"/>
          <w:szCs w:val="24"/>
        </w:rPr>
        <w:t>Drinkwater</w:t>
      </w:r>
      <w:r>
        <w:rPr>
          <w:rFonts w:ascii="Times New Roman" w:hAnsi="Times New Roman" w:cs="Times New Roman"/>
          <w:sz w:val="24"/>
          <w:szCs w:val="24"/>
        </w:rPr>
        <w:t xml:space="preserve"> at </w:t>
      </w:r>
      <w:r w:rsidR="001D374B">
        <w:rPr>
          <w:rFonts w:ascii="Times New Roman" w:hAnsi="Times New Roman" w:cs="Times New Roman"/>
          <w:sz w:val="24"/>
          <w:szCs w:val="24"/>
        </w:rPr>
        <w:t>[</w:t>
      </w:r>
      <w:r>
        <w:rPr>
          <w:rFonts w:ascii="Times New Roman" w:hAnsi="Times New Roman" w:cs="Times New Roman"/>
          <w:sz w:val="24"/>
          <w:szCs w:val="24"/>
        </w:rPr>
        <w:t>40], whilst accepting that</w:t>
      </w:r>
      <w:r w:rsidR="006A5B75" w:rsidRPr="009578B5">
        <w:rPr>
          <w:rFonts w:ascii="Times New Roman" w:hAnsi="Times New Roman" w:cs="Times New Roman"/>
          <w:sz w:val="24"/>
          <w:szCs w:val="24"/>
        </w:rPr>
        <w:t xml:space="preserve"> </w:t>
      </w:r>
      <w:r>
        <w:rPr>
          <w:rFonts w:ascii="Times New Roman" w:hAnsi="Times New Roman" w:cs="Times New Roman"/>
          <w:sz w:val="24"/>
          <w:szCs w:val="24"/>
        </w:rPr>
        <w:t>“</w:t>
      </w:r>
      <w:r w:rsidR="006A5B75" w:rsidRPr="009578B5">
        <w:rPr>
          <w:rFonts w:ascii="Times New Roman" w:hAnsi="Times New Roman" w:cs="Times New Roman"/>
          <w:sz w:val="24"/>
          <w:szCs w:val="24"/>
        </w:rPr>
        <w:t>the exact scope of the discretion to exclude hearsay evidence under section 126 CJA 2003 may need further consideration, if and when the point arises</w:t>
      </w:r>
      <w:r>
        <w:rPr>
          <w:rFonts w:ascii="Times New Roman" w:hAnsi="Times New Roman" w:cs="Times New Roman"/>
          <w:sz w:val="24"/>
          <w:szCs w:val="24"/>
        </w:rPr>
        <w:t xml:space="preserve">” held the </w:t>
      </w:r>
      <w:r w:rsidRPr="009578B5">
        <w:rPr>
          <w:rFonts w:ascii="Times New Roman" w:hAnsi="Times New Roman" w:cs="Times New Roman"/>
          <w:sz w:val="24"/>
          <w:szCs w:val="24"/>
        </w:rPr>
        <w:t>“</w:t>
      </w:r>
      <w:r w:rsidR="006A5B75" w:rsidRPr="009578B5">
        <w:rPr>
          <w:rFonts w:ascii="Times New Roman" w:hAnsi="Times New Roman" w:cs="Times New Roman"/>
          <w:sz w:val="24"/>
          <w:szCs w:val="24"/>
        </w:rPr>
        <w:t xml:space="preserve">strong preliminary view </w:t>
      </w:r>
      <w:r w:rsidRPr="009578B5">
        <w:rPr>
          <w:rFonts w:ascii="Times New Roman" w:hAnsi="Times New Roman" w:cs="Times New Roman"/>
          <w:sz w:val="24"/>
          <w:szCs w:val="24"/>
        </w:rPr>
        <w:t>[that]</w:t>
      </w:r>
      <w:r w:rsidR="006A5B75" w:rsidRPr="009578B5">
        <w:rPr>
          <w:rFonts w:ascii="Times New Roman" w:hAnsi="Times New Roman" w:cs="Times New Roman"/>
          <w:sz w:val="24"/>
          <w:szCs w:val="24"/>
        </w:rPr>
        <w:t xml:space="preserve"> in order to prevent the potential admission of barely relevant evidence, section 126 permits the court to exclude hearsay evidence which lacks significant probative value</w:t>
      </w:r>
      <w:r>
        <w:rPr>
          <w:rFonts w:ascii="Times New Roman" w:hAnsi="Times New Roman" w:cs="Times New Roman"/>
          <w:sz w:val="24"/>
          <w:szCs w:val="24"/>
        </w:rPr>
        <w:t>”</w:t>
      </w:r>
      <w:r w:rsidR="006A5B75" w:rsidRPr="009578B5">
        <w:rPr>
          <w:rFonts w:ascii="Times New Roman" w:hAnsi="Times New Roman" w:cs="Times New Roman"/>
          <w:sz w:val="24"/>
          <w:szCs w:val="24"/>
        </w:rPr>
        <w:t>.</w:t>
      </w:r>
      <w:r>
        <w:rPr>
          <w:rFonts w:ascii="Times New Roman" w:hAnsi="Times New Roman" w:cs="Times New Roman"/>
          <w:sz w:val="24"/>
          <w:szCs w:val="24"/>
        </w:rPr>
        <w:t xml:space="preserve"> The Court</w:t>
      </w:r>
      <w:r w:rsidR="00C07B3F">
        <w:rPr>
          <w:rFonts w:ascii="Times New Roman" w:hAnsi="Times New Roman" w:cs="Times New Roman"/>
          <w:sz w:val="24"/>
          <w:szCs w:val="24"/>
        </w:rPr>
        <w:t xml:space="preserve"> </w:t>
      </w:r>
      <w:r>
        <w:rPr>
          <w:rFonts w:ascii="Times New Roman" w:hAnsi="Times New Roman" w:cs="Times New Roman"/>
          <w:sz w:val="24"/>
          <w:szCs w:val="24"/>
        </w:rPr>
        <w:t xml:space="preserve">also agreed with counsel for the appellant that the guidance in </w:t>
      </w:r>
      <w:r w:rsidRPr="009578B5">
        <w:rPr>
          <w:rFonts w:ascii="Times New Roman" w:hAnsi="Times New Roman" w:cs="Times New Roman"/>
          <w:i/>
          <w:sz w:val="24"/>
          <w:szCs w:val="24"/>
        </w:rPr>
        <w:t>Riat</w:t>
      </w:r>
      <w:r>
        <w:rPr>
          <w:rFonts w:ascii="Times New Roman" w:hAnsi="Times New Roman" w:cs="Times New Roman"/>
          <w:sz w:val="24"/>
          <w:szCs w:val="24"/>
        </w:rPr>
        <w:t xml:space="preserve"> relating to s.126 was “very persuasive</w:t>
      </w:r>
      <w:r w:rsidR="00C07B3F">
        <w:rPr>
          <w:rFonts w:ascii="Times New Roman" w:hAnsi="Times New Roman" w:cs="Times New Roman"/>
          <w:sz w:val="24"/>
          <w:szCs w:val="24"/>
        </w:rPr>
        <w:t xml:space="preserve">…[T]he section </w:t>
      </w:r>
      <w:r w:rsidRPr="009578B5">
        <w:rPr>
          <w:rFonts w:ascii="Times New Roman" w:hAnsi="Times New Roman" w:cs="Times New Roman"/>
          <w:sz w:val="24"/>
          <w:szCs w:val="24"/>
        </w:rPr>
        <w:t>relates to evidence which is prima facie admissible and relevant</w:t>
      </w:r>
      <w:r w:rsidR="00C07B3F">
        <w:rPr>
          <w:rFonts w:ascii="Times New Roman" w:hAnsi="Times New Roman" w:cs="Times New Roman"/>
          <w:sz w:val="24"/>
          <w:szCs w:val="24"/>
        </w:rPr>
        <w:t xml:space="preserve">…[and] </w:t>
      </w:r>
      <w:r w:rsidR="0090523C">
        <w:rPr>
          <w:rFonts w:ascii="Times New Roman" w:hAnsi="Times New Roman" w:cs="Times New Roman"/>
          <w:sz w:val="24"/>
          <w:szCs w:val="24"/>
        </w:rPr>
        <w:t xml:space="preserve">as </w:t>
      </w:r>
      <w:r w:rsidR="00C07B3F">
        <w:rPr>
          <w:rFonts w:ascii="Times New Roman" w:hAnsi="Times New Roman" w:cs="Times New Roman"/>
          <w:sz w:val="24"/>
          <w:szCs w:val="24"/>
        </w:rPr>
        <w:t xml:space="preserve">the Court said in </w:t>
      </w:r>
      <w:r w:rsidR="0090523C" w:rsidRPr="0090523C">
        <w:rPr>
          <w:rFonts w:ascii="Times New Roman" w:hAnsi="Times New Roman" w:cs="Times New Roman"/>
          <w:i/>
          <w:sz w:val="24"/>
          <w:szCs w:val="24"/>
        </w:rPr>
        <w:t>Riat</w:t>
      </w:r>
      <w:r w:rsidR="00C07B3F">
        <w:rPr>
          <w:rFonts w:ascii="Times New Roman" w:hAnsi="Times New Roman" w:cs="Times New Roman"/>
          <w:sz w:val="24"/>
          <w:szCs w:val="24"/>
        </w:rPr>
        <w:t>…</w:t>
      </w:r>
      <w:r w:rsidR="0090523C">
        <w:rPr>
          <w:rFonts w:ascii="Times New Roman" w:hAnsi="Times New Roman" w:cs="Times New Roman"/>
          <w:sz w:val="24"/>
          <w:szCs w:val="24"/>
        </w:rPr>
        <w:t xml:space="preserve"> </w:t>
      </w:r>
      <w:r w:rsidR="0090523C" w:rsidRPr="009578B5">
        <w:rPr>
          <w:rFonts w:ascii="Times New Roman" w:hAnsi="Times New Roman" w:cs="Times New Roman"/>
          <w:sz w:val="24"/>
          <w:szCs w:val="24"/>
        </w:rPr>
        <w:t xml:space="preserve">the wording of the section gives the court the </w:t>
      </w:r>
      <w:r w:rsidR="0090523C" w:rsidRPr="009578B5">
        <w:rPr>
          <w:rFonts w:ascii="Times New Roman" w:hAnsi="Times New Roman" w:cs="Times New Roman"/>
          <w:sz w:val="24"/>
          <w:szCs w:val="24"/>
        </w:rPr>
        <w:lastRenderedPageBreak/>
        <w:t>power to assess the value of such ‘out-of-court’ statements when determining whether to exclude them</w:t>
      </w:r>
      <w:r w:rsidR="0090523C">
        <w:rPr>
          <w:rFonts w:ascii="Times New Roman" w:hAnsi="Times New Roman" w:cs="Times New Roman"/>
          <w:sz w:val="24"/>
          <w:szCs w:val="24"/>
        </w:rPr>
        <w:t>”</w:t>
      </w:r>
      <w:r w:rsidR="00C07B3F">
        <w:rPr>
          <w:rFonts w:ascii="Times New Roman" w:hAnsi="Times New Roman" w:cs="Times New Roman"/>
          <w:sz w:val="24"/>
          <w:szCs w:val="24"/>
        </w:rPr>
        <w:t xml:space="preserve"> (at [42])</w:t>
      </w:r>
      <w:r w:rsidR="0090523C">
        <w:rPr>
          <w:rFonts w:ascii="Times New Roman" w:hAnsi="Times New Roman" w:cs="Times New Roman"/>
          <w:sz w:val="24"/>
          <w:szCs w:val="24"/>
        </w:rPr>
        <w:t>.</w:t>
      </w:r>
    </w:p>
    <w:p w:rsidR="005C540F" w:rsidRDefault="00C07B3F" w:rsidP="0090523C">
      <w:pPr>
        <w:rPr>
          <w:rFonts w:ascii="Times New Roman" w:hAnsi="Times New Roman" w:cs="Times New Roman"/>
          <w:sz w:val="24"/>
          <w:szCs w:val="24"/>
        </w:rPr>
      </w:pPr>
      <w:r>
        <w:rPr>
          <w:rFonts w:ascii="Times New Roman" w:hAnsi="Times New Roman" w:cs="Times New Roman"/>
          <w:sz w:val="24"/>
          <w:szCs w:val="24"/>
        </w:rPr>
        <w:t>T</w:t>
      </w:r>
      <w:r w:rsidR="001B7BC4">
        <w:rPr>
          <w:rFonts w:ascii="Times New Roman" w:hAnsi="Times New Roman" w:cs="Times New Roman"/>
          <w:sz w:val="24"/>
          <w:szCs w:val="24"/>
        </w:rPr>
        <w:t xml:space="preserve">he Court of Appeal in </w:t>
      </w:r>
      <w:r w:rsidR="001B7BC4" w:rsidRPr="001B7BC4">
        <w:rPr>
          <w:rFonts w:ascii="Times New Roman" w:hAnsi="Times New Roman" w:cs="Times New Roman"/>
          <w:i/>
          <w:sz w:val="24"/>
          <w:szCs w:val="24"/>
        </w:rPr>
        <w:t>Riat</w:t>
      </w:r>
      <w:r w:rsidR="001B7BC4">
        <w:rPr>
          <w:rFonts w:ascii="Times New Roman" w:hAnsi="Times New Roman" w:cs="Times New Roman"/>
          <w:sz w:val="24"/>
          <w:szCs w:val="24"/>
        </w:rPr>
        <w:t xml:space="preserve"> suggested that, “[t]</w:t>
      </w:r>
      <w:r w:rsidR="001B7BC4" w:rsidRPr="001B7BC4">
        <w:rPr>
          <w:rFonts w:ascii="Times New Roman" w:hAnsi="Times New Roman" w:cs="Times New Roman"/>
          <w:sz w:val="24"/>
          <w:szCs w:val="24"/>
        </w:rPr>
        <w:t>he non-exhaustive considerations listed in s 114(2) as directly applicable to an application made under s 114(1)(d) are useful aides memoire for any judge considering the admissibility of hearsay evidence, whether under that subsection or under s 78 PACE, or otherwise</w:t>
      </w:r>
      <w:r w:rsidR="001B7BC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Riat </w:t>
      </w:r>
      <w:r>
        <w:rPr>
          <w:rFonts w:ascii="Times New Roman" w:hAnsi="Times New Roman" w:cs="Times New Roman"/>
          <w:sz w:val="24"/>
          <w:szCs w:val="24"/>
        </w:rPr>
        <w:t>at [22])</w:t>
      </w:r>
      <w:r w:rsidR="001B7BC4" w:rsidRPr="001B7BC4">
        <w:rPr>
          <w:rFonts w:ascii="Times New Roman" w:hAnsi="Times New Roman" w:cs="Times New Roman"/>
          <w:sz w:val="24"/>
          <w:szCs w:val="24"/>
        </w:rPr>
        <w:t>.</w:t>
      </w:r>
      <w:r w:rsidR="001B7BC4">
        <w:rPr>
          <w:rFonts w:ascii="Times New Roman" w:hAnsi="Times New Roman" w:cs="Times New Roman"/>
          <w:sz w:val="24"/>
          <w:szCs w:val="24"/>
        </w:rPr>
        <w:t xml:space="preserve"> </w:t>
      </w:r>
      <w:r w:rsidR="0090523C">
        <w:rPr>
          <w:rFonts w:ascii="Times New Roman" w:hAnsi="Times New Roman" w:cs="Times New Roman"/>
          <w:sz w:val="24"/>
          <w:szCs w:val="24"/>
        </w:rPr>
        <w:t xml:space="preserve">Similarly, the Court of Appeal in </w:t>
      </w:r>
      <w:r>
        <w:rPr>
          <w:rFonts w:ascii="Times New Roman" w:hAnsi="Times New Roman" w:cs="Times New Roman"/>
          <w:sz w:val="24"/>
          <w:szCs w:val="24"/>
        </w:rPr>
        <w:t>the present case</w:t>
      </w:r>
      <w:r w:rsidR="0090523C">
        <w:rPr>
          <w:rFonts w:ascii="Times New Roman" w:hAnsi="Times New Roman" w:cs="Times New Roman"/>
          <w:sz w:val="24"/>
          <w:szCs w:val="24"/>
        </w:rPr>
        <w:t xml:space="preserve"> agreed with counsel for the appellant that, “</w:t>
      </w:r>
      <w:r w:rsidR="0090523C" w:rsidRPr="009578B5">
        <w:rPr>
          <w:rFonts w:ascii="Times New Roman" w:hAnsi="Times New Roman" w:cs="Times New Roman"/>
          <w:sz w:val="24"/>
          <w:szCs w:val="24"/>
        </w:rPr>
        <w:t>the section 114(2) factors are a helpful common sense checklist which assists the court in assessing their value and therefore in deciding whether they should be excluded or not</w:t>
      </w:r>
      <w:r w:rsidR="0090523C">
        <w:rPr>
          <w:rFonts w:ascii="Times New Roman" w:hAnsi="Times New Roman" w:cs="Times New Roman"/>
          <w:sz w:val="24"/>
          <w:szCs w:val="24"/>
        </w:rPr>
        <w:t>”</w:t>
      </w:r>
      <w:r>
        <w:rPr>
          <w:rFonts w:ascii="Times New Roman" w:hAnsi="Times New Roman" w:cs="Times New Roman"/>
          <w:sz w:val="24"/>
          <w:szCs w:val="24"/>
        </w:rPr>
        <w:t xml:space="preserve"> (at [42])</w:t>
      </w:r>
      <w:r w:rsidR="0090523C">
        <w:rPr>
          <w:rFonts w:ascii="Times New Roman" w:hAnsi="Times New Roman" w:cs="Times New Roman"/>
          <w:sz w:val="24"/>
          <w:szCs w:val="24"/>
        </w:rPr>
        <w:t xml:space="preserve">. </w:t>
      </w:r>
      <w:r w:rsidR="005C540F">
        <w:rPr>
          <w:rFonts w:ascii="Times New Roman" w:hAnsi="Times New Roman" w:cs="Times New Roman"/>
          <w:sz w:val="24"/>
          <w:szCs w:val="24"/>
        </w:rPr>
        <w:t xml:space="preserve">Fundamentally, the </w:t>
      </w:r>
      <w:r>
        <w:rPr>
          <w:rFonts w:ascii="Times New Roman" w:hAnsi="Times New Roman" w:cs="Times New Roman"/>
          <w:sz w:val="24"/>
          <w:szCs w:val="24"/>
        </w:rPr>
        <w:t xml:space="preserve">Court </w:t>
      </w:r>
      <w:r w:rsidR="005C540F">
        <w:rPr>
          <w:rFonts w:ascii="Times New Roman" w:hAnsi="Times New Roman" w:cs="Times New Roman"/>
          <w:sz w:val="24"/>
          <w:szCs w:val="24"/>
        </w:rPr>
        <w:t xml:space="preserve"> </w:t>
      </w:r>
      <w:r w:rsidR="0096721D" w:rsidRPr="0096721D">
        <w:rPr>
          <w:rFonts w:ascii="Times New Roman" w:hAnsi="Times New Roman" w:cs="Times New Roman"/>
          <w:sz w:val="24"/>
          <w:szCs w:val="24"/>
        </w:rPr>
        <w:t>consider</w:t>
      </w:r>
      <w:r w:rsidR="0096721D">
        <w:rPr>
          <w:rFonts w:ascii="Times New Roman" w:hAnsi="Times New Roman" w:cs="Times New Roman"/>
          <w:sz w:val="24"/>
          <w:szCs w:val="24"/>
        </w:rPr>
        <w:t xml:space="preserve">ed </w:t>
      </w:r>
      <w:r w:rsidR="00A16E62">
        <w:rPr>
          <w:rFonts w:ascii="Times New Roman" w:hAnsi="Times New Roman" w:cs="Times New Roman"/>
          <w:sz w:val="24"/>
          <w:szCs w:val="24"/>
        </w:rPr>
        <w:t xml:space="preserve">that, </w:t>
      </w:r>
      <w:r w:rsidR="0096721D">
        <w:rPr>
          <w:rFonts w:ascii="Times New Roman" w:hAnsi="Times New Roman" w:cs="Times New Roman"/>
          <w:sz w:val="24"/>
          <w:szCs w:val="24"/>
        </w:rPr>
        <w:t>upon the facts</w:t>
      </w:r>
      <w:r w:rsidR="00A16E62">
        <w:rPr>
          <w:rFonts w:ascii="Times New Roman" w:hAnsi="Times New Roman" w:cs="Times New Roman"/>
          <w:sz w:val="24"/>
          <w:szCs w:val="24"/>
        </w:rPr>
        <w:t>,</w:t>
      </w:r>
      <w:r w:rsidR="0096721D">
        <w:rPr>
          <w:rFonts w:ascii="Times New Roman" w:hAnsi="Times New Roman" w:cs="Times New Roman"/>
          <w:sz w:val="24"/>
          <w:szCs w:val="24"/>
        </w:rPr>
        <w:t xml:space="preserve"> “</w:t>
      </w:r>
      <w:r w:rsidR="0096721D" w:rsidRPr="0096721D">
        <w:rPr>
          <w:rFonts w:ascii="Times New Roman" w:hAnsi="Times New Roman" w:cs="Times New Roman"/>
          <w:sz w:val="24"/>
          <w:szCs w:val="24"/>
        </w:rPr>
        <w:t xml:space="preserve">the case for exclusion </w:t>
      </w:r>
      <w:r w:rsidR="004A267C">
        <w:rPr>
          <w:rFonts w:ascii="Times New Roman" w:hAnsi="Times New Roman" w:cs="Times New Roman"/>
          <w:sz w:val="24"/>
          <w:szCs w:val="24"/>
        </w:rPr>
        <w:t>‘</w:t>
      </w:r>
      <w:r w:rsidR="0096721D" w:rsidRPr="0096721D">
        <w:rPr>
          <w:rFonts w:ascii="Times New Roman" w:hAnsi="Times New Roman" w:cs="Times New Roman"/>
          <w:sz w:val="24"/>
          <w:szCs w:val="24"/>
        </w:rPr>
        <w:t>taking account of the danger that to admit it would result in undue waste of time…taking account of the value of the evidence</w:t>
      </w:r>
      <w:r w:rsidR="004A267C">
        <w:rPr>
          <w:rFonts w:ascii="Times New Roman" w:hAnsi="Times New Roman" w:cs="Times New Roman"/>
          <w:sz w:val="24"/>
          <w:szCs w:val="24"/>
        </w:rPr>
        <w:t>’</w:t>
      </w:r>
      <w:r w:rsidR="0096721D" w:rsidRPr="0096721D">
        <w:rPr>
          <w:rFonts w:ascii="Times New Roman" w:hAnsi="Times New Roman" w:cs="Times New Roman"/>
          <w:sz w:val="24"/>
          <w:szCs w:val="24"/>
        </w:rPr>
        <w:t xml:space="preserve"> was overwhelming</w:t>
      </w:r>
      <w:r w:rsidR="0096721D">
        <w:rPr>
          <w:rFonts w:ascii="Times New Roman" w:hAnsi="Times New Roman" w:cs="Times New Roman"/>
          <w:sz w:val="24"/>
          <w:szCs w:val="24"/>
        </w:rPr>
        <w:t>”</w:t>
      </w:r>
      <w:r>
        <w:rPr>
          <w:rFonts w:ascii="Times New Roman" w:hAnsi="Times New Roman" w:cs="Times New Roman"/>
          <w:sz w:val="24"/>
          <w:szCs w:val="24"/>
        </w:rPr>
        <w:t xml:space="preserve"> (at[50])</w:t>
      </w:r>
      <w:r w:rsidR="0096721D">
        <w:rPr>
          <w:rFonts w:ascii="Times New Roman" w:hAnsi="Times New Roman" w:cs="Times New Roman"/>
          <w:sz w:val="24"/>
          <w:szCs w:val="24"/>
        </w:rPr>
        <w:t xml:space="preserve">. </w:t>
      </w:r>
    </w:p>
    <w:p w:rsidR="009578B5" w:rsidRDefault="00C07B3F" w:rsidP="001B7BC4">
      <w:pPr>
        <w:rPr>
          <w:rFonts w:ascii="Times New Roman" w:hAnsi="Times New Roman" w:cs="Times New Roman"/>
          <w:sz w:val="24"/>
          <w:szCs w:val="24"/>
        </w:rPr>
      </w:pPr>
      <w:r>
        <w:rPr>
          <w:rFonts w:ascii="Times New Roman" w:hAnsi="Times New Roman" w:cs="Times New Roman"/>
          <w:sz w:val="24"/>
          <w:szCs w:val="24"/>
        </w:rPr>
        <w:t>W</w:t>
      </w:r>
      <w:r w:rsidR="0090523C">
        <w:rPr>
          <w:rFonts w:ascii="Times New Roman" w:hAnsi="Times New Roman" w:cs="Times New Roman"/>
          <w:sz w:val="24"/>
          <w:szCs w:val="24"/>
        </w:rPr>
        <w:t xml:space="preserve">hilst the Court of Appeal in both </w:t>
      </w:r>
      <w:r w:rsidR="0090523C" w:rsidRPr="0090523C">
        <w:rPr>
          <w:rFonts w:ascii="Times New Roman" w:hAnsi="Times New Roman" w:cs="Times New Roman"/>
          <w:i/>
          <w:sz w:val="24"/>
          <w:szCs w:val="24"/>
        </w:rPr>
        <w:t>Riat</w:t>
      </w:r>
      <w:r w:rsidR="0090523C">
        <w:rPr>
          <w:rFonts w:ascii="Times New Roman" w:hAnsi="Times New Roman" w:cs="Times New Roman"/>
          <w:sz w:val="24"/>
          <w:szCs w:val="24"/>
        </w:rPr>
        <w:t xml:space="preserve"> and </w:t>
      </w:r>
      <w:r w:rsidR="0090523C" w:rsidRPr="0090523C">
        <w:rPr>
          <w:rFonts w:ascii="Times New Roman" w:hAnsi="Times New Roman" w:cs="Times New Roman"/>
          <w:i/>
          <w:sz w:val="24"/>
          <w:szCs w:val="24"/>
        </w:rPr>
        <w:t>Drinkwater</w:t>
      </w:r>
      <w:r w:rsidR="0090523C">
        <w:rPr>
          <w:rFonts w:ascii="Times New Roman" w:hAnsi="Times New Roman" w:cs="Times New Roman"/>
          <w:sz w:val="24"/>
          <w:szCs w:val="24"/>
        </w:rPr>
        <w:t xml:space="preserve"> </w:t>
      </w:r>
      <w:r w:rsidR="003779A6">
        <w:rPr>
          <w:rFonts w:ascii="Times New Roman" w:hAnsi="Times New Roman" w:cs="Times New Roman"/>
          <w:sz w:val="24"/>
          <w:szCs w:val="24"/>
        </w:rPr>
        <w:t xml:space="preserve">was not prepared to come to a final conclusion as regards the scope of the exclusionary discretion conferred by s.126(1) of the 2003 Act, </w:t>
      </w:r>
      <w:r w:rsidR="0096721D">
        <w:rPr>
          <w:rFonts w:ascii="Times New Roman" w:hAnsi="Times New Roman" w:cs="Times New Roman"/>
          <w:sz w:val="24"/>
          <w:szCs w:val="24"/>
        </w:rPr>
        <w:t xml:space="preserve">when read together </w:t>
      </w:r>
      <w:r>
        <w:rPr>
          <w:rFonts w:ascii="Times New Roman" w:hAnsi="Times New Roman" w:cs="Times New Roman"/>
          <w:sz w:val="24"/>
          <w:szCs w:val="24"/>
        </w:rPr>
        <w:t xml:space="preserve">these cases </w:t>
      </w:r>
      <w:r w:rsidR="003779A6">
        <w:rPr>
          <w:rFonts w:ascii="Times New Roman" w:hAnsi="Times New Roman" w:cs="Times New Roman"/>
          <w:sz w:val="24"/>
          <w:szCs w:val="24"/>
        </w:rPr>
        <w:t>have</w:t>
      </w:r>
      <w:r>
        <w:rPr>
          <w:rFonts w:ascii="Times New Roman" w:hAnsi="Times New Roman" w:cs="Times New Roman"/>
          <w:sz w:val="24"/>
          <w:szCs w:val="24"/>
        </w:rPr>
        <w:t>,</w:t>
      </w:r>
      <w:r w:rsidR="003779A6">
        <w:rPr>
          <w:rFonts w:ascii="Times New Roman" w:hAnsi="Times New Roman" w:cs="Times New Roman"/>
          <w:sz w:val="24"/>
          <w:szCs w:val="24"/>
        </w:rPr>
        <w:t xml:space="preserve"> for practical purposes</w:t>
      </w:r>
      <w:r w:rsidR="0096721D">
        <w:rPr>
          <w:rFonts w:ascii="Times New Roman" w:hAnsi="Times New Roman" w:cs="Times New Roman"/>
          <w:sz w:val="24"/>
          <w:szCs w:val="24"/>
        </w:rPr>
        <w:t>, provided guidance which should enable the criminal courts to exercise their exclusionary discretion so as to exclude marginally relevant hearsay evidence, whether tendered by the prosecution or the defence, the admission of which would unduly waste the court</w:t>
      </w:r>
      <w:r w:rsidR="00EF15D9">
        <w:rPr>
          <w:rFonts w:ascii="Times New Roman" w:hAnsi="Times New Roman" w:cs="Times New Roman"/>
          <w:sz w:val="24"/>
          <w:szCs w:val="24"/>
        </w:rPr>
        <w:t>’</w:t>
      </w:r>
      <w:r w:rsidR="0096721D">
        <w:rPr>
          <w:rFonts w:ascii="Times New Roman" w:hAnsi="Times New Roman" w:cs="Times New Roman"/>
          <w:sz w:val="24"/>
          <w:szCs w:val="24"/>
        </w:rPr>
        <w:t xml:space="preserve">s time. </w:t>
      </w:r>
    </w:p>
    <w:p w:rsidR="0096721D" w:rsidRDefault="0096721D" w:rsidP="001B7BC4">
      <w:pPr>
        <w:rPr>
          <w:rFonts w:ascii="Times New Roman" w:hAnsi="Times New Roman" w:cs="Times New Roman"/>
          <w:sz w:val="24"/>
          <w:szCs w:val="24"/>
        </w:rPr>
      </w:pPr>
    </w:p>
    <w:p w:rsidR="0052663C" w:rsidRDefault="00B71020">
      <w:pPr>
        <w:rPr>
          <w:rFonts w:ascii="Times New Roman" w:hAnsi="Times New Roman" w:cs="Times New Roman"/>
          <w:sz w:val="24"/>
          <w:szCs w:val="24"/>
        </w:rPr>
      </w:pPr>
      <w:r w:rsidRPr="00CB0E63">
        <w:rPr>
          <w:rFonts w:ascii="Times New Roman" w:hAnsi="Times New Roman" w:cs="Times New Roman"/>
          <w:i/>
          <w:sz w:val="24"/>
          <w:szCs w:val="24"/>
        </w:rPr>
        <w:t>Michael Stockdale</w:t>
      </w:r>
      <w:r w:rsidR="00E77452">
        <w:rPr>
          <w:rFonts w:ascii="Times New Roman" w:hAnsi="Times New Roman" w:cs="Times New Roman"/>
          <w:i/>
          <w:sz w:val="24"/>
          <w:szCs w:val="24"/>
        </w:rPr>
        <w:t xml:space="preserve"> </w:t>
      </w:r>
    </w:p>
    <w:sectPr w:rsidR="0052663C" w:rsidSect="00FC6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A6" w:rsidRDefault="00B629A6" w:rsidP="00F953E8">
      <w:pPr>
        <w:spacing w:after="0" w:line="240" w:lineRule="auto"/>
      </w:pPr>
      <w:r>
        <w:separator/>
      </w:r>
    </w:p>
  </w:endnote>
  <w:endnote w:type="continuationSeparator" w:id="0">
    <w:p w:rsidR="00B629A6" w:rsidRDefault="00B629A6" w:rsidP="00F9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A6" w:rsidRDefault="00B629A6" w:rsidP="00F953E8">
      <w:pPr>
        <w:spacing w:after="0" w:line="240" w:lineRule="auto"/>
      </w:pPr>
      <w:r>
        <w:separator/>
      </w:r>
    </w:p>
  </w:footnote>
  <w:footnote w:type="continuationSeparator" w:id="0">
    <w:p w:rsidR="00B629A6" w:rsidRDefault="00B629A6" w:rsidP="00F9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7EE7"/>
    <w:multiLevelType w:val="hybridMultilevel"/>
    <w:tmpl w:val="C5B2D4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4A"/>
    <w:rsid w:val="00037C0B"/>
    <w:rsid w:val="00043175"/>
    <w:rsid w:val="00045650"/>
    <w:rsid w:val="0005105C"/>
    <w:rsid w:val="00063167"/>
    <w:rsid w:val="000A6A3D"/>
    <w:rsid w:val="000C64FB"/>
    <w:rsid w:val="000D2D0D"/>
    <w:rsid w:val="000F2397"/>
    <w:rsid w:val="000F2547"/>
    <w:rsid w:val="000F3C79"/>
    <w:rsid w:val="0013663F"/>
    <w:rsid w:val="001732FD"/>
    <w:rsid w:val="001766F1"/>
    <w:rsid w:val="00191BE7"/>
    <w:rsid w:val="001A131E"/>
    <w:rsid w:val="001B7BC4"/>
    <w:rsid w:val="001C6F00"/>
    <w:rsid w:val="001D02EB"/>
    <w:rsid w:val="001D374B"/>
    <w:rsid w:val="001D5048"/>
    <w:rsid w:val="001F0EAA"/>
    <w:rsid w:val="001F770B"/>
    <w:rsid w:val="00200EFF"/>
    <w:rsid w:val="002054CA"/>
    <w:rsid w:val="0021795F"/>
    <w:rsid w:val="00235291"/>
    <w:rsid w:val="00241C51"/>
    <w:rsid w:val="00242082"/>
    <w:rsid w:val="00245FB7"/>
    <w:rsid w:val="00251461"/>
    <w:rsid w:val="00257AD9"/>
    <w:rsid w:val="002A53EE"/>
    <w:rsid w:val="002B59F1"/>
    <w:rsid w:val="002C4448"/>
    <w:rsid w:val="002D069C"/>
    <w:rsid w:val="002F48EA"/>
    <w:rsid w:val="003202A8"/>
    <w:rsid w:val="00327C7C"/>
    <w:rsid w:val="00343132"/>
    <w:rsid w:val="0035101A"/>
    <w:rsid w:val="003655BB"/>
    <w:rsid w:val="00372B63"/>
    <w:rsid w:val="003759C4"/>
    <w:rsid w:val="00376619"/>
    <w:rsid w:val="003779A6"/>
    <w:rsid w:val="00386ADB"/>
    <w:rsid w:val="00396595"/>
    <w:rsid w:val="003B1087"/>
    <w:rsid w:val="003B5130"/>
    <w:rsid w:val="003B57DD"/>
    <w:rsid w:val="003E1633"/>
    <w:rsid w:val="003E4980"/>
    <w:rsid w:val="00425959"/>
    <w:rsid w:val="00426673"/>
    <w:rsid w:val="00432A3A"/>
    <w:rsid w:val="00441F92"/>
    <w:rsid w:val="00445777"/>
    <w:rsid w:val="00462543"/>
    <w:rsid w:val="00466C42"/>
    <w:rsid w:val="00467799"/>
    <w:rsid w:val="00492EFA"/>
    <w:rsid w:val="00497E0C"/>
    <w:rsid w:val="004A267C"/>
    <w:rsid w:val="004B3C2A"/>
    <w:rsid w:val="004B6E38"/>
    <w:rsid w:val="004C4EE3"/>
    <w:rsid w:val="004D3A7E"/>
    <w:rsid w:val="004F061E"/>
    <w:rsid w:val="004F7757"/>
    <w:rsid w:val="0050616C"/>
    <w:rsid w:val="00517C69"/>
    <w:rsid w:val="00526465"/>
    <w:rsid w:val="0052663C"/>
    <w:rsid w:val="00541E80"/>
    <w:rsid w:val="00560E94"/>
    <w:rsid w:val="005621DA"/>
    <w:rsid w:val="00570E28"/>
    <w:rsid w:val="005768FE"/>
    <w:rsid w:val="005862D3"/>
    <w:rsid w:val="005A33B0"/>
    <w:rsid w:val="005B0344"/>
    <w:rsid w:val="005C540F"/>
    <w:rsid w:val="005C61D1"/>
    <w:rsid w:val="005D2AA7"/>
    <w:rsid w:val="005D51FC"/>
    <w:rsid w:val="005D634A"/>
    <w:rsid w:val="00601330"/>
    <w:rsid w:val="00603989"/>
    <w:rsid w:val="00623EDC"/>
    <w:rsid w:val="00627739"/>
    <w:rsid w:val="00637765"/>
    <w:rsid w:val="0064583C"/>
    <w:rsid w:val="00655E04"/>
    <w:rsid w:val="0067262C"/>
    <w:rsid w:val="00672F01"/>
    <w:rsid w:val="00680380"/>
    <w:rsid w:val="00680767"/>
    <w:rsid w:val="00681FE0"/>
    <w:rsid w:val="006929D3"/>
    <w:rsid w:val="006A5B75"/>
    <w:rsid w:val="006D7B50"/>
    <w:rsid w:val="006F1A7B"/>
    <w:rsid w:val="007256DA"/>
    <w:rsid w:val="007456A7"/>
    <w:rsid w:val="00755C2A"/>
    <w:rsid w:val="007654C2"/>
    <w:rsid w:val="00772074"/>
    <w:rsid w:val="00794053"/>
    <w:rsid w:val="007B02DE"/>
    <w:rsid w:val="007B14D6"/>
    <w:rsid w:val="007B2314"/>
    <w:rsid w:val="007C4C62"/>
    <w:rsid w:val="00827362"/>
    <w:rsid w:val="00840189"/>
    <w:rsid w:val="00842FB1"/>
    <w:rsid w:val="0087187E"/>
    <w:rsid w:val="0087229E"/>
    <w:rsid w:val="008777D4"/>
    <w:rsid w:val="00877F57"/>
    <w:rsid w:val="00881D46"/>
    <w:rsid w:val="00882077"/>
    <w:rsid w:val="008957A8"/>
    <w:rsid w:val="008A064B"/>
    <w:rsid w:val="008B493F"/>
    <w:rsid w:val="008F40DE"/>
    <w:rsid w:val="0090523C"/>
    <w:rsid w:val="009066D5"/>
    <w:rsid w:val="00906D0F"/>
    <w:rsid w:val="00917749"/>
    <w:rsid w:val="00930B04"/>
    <w:rsid w:val="009364EE"/>
    <w:rsid w:val="0093748D"/>
    <w:rsid w:val="00941838"/>
    <w:rsid w:val="009578B5"/>
    <w:rsid w:val="0096721D"/>
    <w:rsid w:val="0098366A"/>
    <w:rsid w:val="00993470"/>
    <w:rsid w:val="009957E3"/>
    <w:rsid w:val="009B1FC9"/>
    <w:rsid w:val="009B3194"/>
    <w:rsid w:val="009E6BB7"/>
    <w:rsid w:val="00A16E62"/>
    <w:rsid w:val="00A1714B"/>
    <w:rsid w:val="00A413CE"/>
    <w:rsid w:val="00A424AF"/>
    <w:rsid w:val="00A52495"/>
    <w:rsid w:val="00A824CB"/>
    <w:rsid w:val="00AA1E67"/>
    <w:rsid w:val="00AC0F48"/>
    <w:rsid w:val="00AC18F6"/>
    <w:rsid w:val="00AC257F"/>
    <w:rsid w:val="00AD0D75"/>
    <w:rsid w:val="00B335F4"/>
    <w:rsid w:val="00B51113"/>
    <w:rsid w:val="00B60374"/>
    <w:rsid w:val="00B629A6"/>
    <w:rsid w:val="00B71020"/>
    <w:rsid w:val="00B82935"/>
    <w:rsid w:val="00B83F48"/>
    <w:rsid w:val="00B950F3"/>
    <w:rsid w:val="00BA3788"/>
    <w:rsid w:val="00BB2B9C"/>
    <w:rsid w:val="00BB5ADD"/>
    <w:rsid w:val="00BB7832"/>
    <w:rsid w:val="00BD6C6D"/>
    <w:rsid w:val="00C07B3F"/>
    <w:rsid w:val="00C159DF"/>
    <w:rsid w:val="00C22E17"/>
    <w:rsid w:val="00C47352"/>
    <w:rsid w:val="00C67BC6"/>
    <w:rsid w:val="00C7185B"/>
    <w:rsid w:val="00C82745"/>
    <w:rsid w:val="00C84140"/>
    <w:rsid w:val="00C96089"/>
    <w:rsid w:val="00C975BA"/>
    <w:rsid w:val="00CB0E63"/>
    <w:rsid w:val="00D1745B"/>
    <w:rsid w:val="00D31391"/>
    <w:rsid w:val="00D34FB8"/>
    <w:rsid w:val="00D636FB"/>
    <w:rsid w:val="00D76090"/>
    <w:rsid w:val="00D824D6"/>
    <w:rsid w:val="00D87CCA"/>
    <w:rsid w:val="00DA2E7D"/>
    <w:rsid w:val="00DA588C"/>
    <w:rsid w:val="00DA7051"/>
    <w:rsid w:val="00DB17F1"/>
    <w:rsid w:val="00DD44ED"/>
    <w:rsid w:val="00DE19EF"/>
    <w:rsid w:val="00E074E3"/>
    <w:rsid w:val="00E07D7D"/>
    <w:rsid w:val="00E202F5"/>
    <w:rsid w:val="00E21C4A"/>
    <w:rsid w:val="00E43BFE"/>
    <w:rsid w:val="00E45B8C"/>
    <w:rsid w:val="00E50783"/>
    <w:rsid w:val="00E543F4"/>
    <w:rsid w:val="00E65937"/>
    <w:rsid w:val="00E75027"/>
    <w:rsid w:val="00E77452"/>
    <w:rsid w:val="00E82A3E"/>
    <w:rsid w:val="00EA1F90"/>
    <w:rsid w:val="00EC245E"/>
    <w:rsid w:val="00EC7B90"/>
    <w:rsid w:val="00EF15D9"/>
    <w:rsid w:val="00EF58BC"/>
    <w:rsid w:val="00F107E9"/>
    <w:rsid w:val="00F27AD6"/>
    <w:rsid w:val="00F3381D"/>
    <w:rsid w:val="00F35AA9"/>
    <w:rsid w:val="00F37819"/>
    <w:rsid w:val="00F52A8A"/>
    <w:rsid w:val="00F85891"/>
    <w:rsid w:val="00F953E8"/>
    <w:rsid w:val="00FA403F"/>
    <w:rsid w:val="00FA7ACA"/>
    <w:rsid w:val="00FC668A"/>
    <w:rsid w:val="00FF17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543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18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02F5"/>
    <w:rPr>
      <w:rFonts w:ascii="Times New Roman" w:eastAsia="Times New Roman" w:hAnsi="Times New Roman" w:cs="Times New Roman"/>
      <w:b/>
      <w:bCs/>
      <w:sz w:val="36"/>
      <w:szCs w:val="36"/>
    </w:rPr>
  </w:style>
  <w:style w:type="paragraph" w:customStyle="1" w:styleId="legclearfix">
    <w:name w:val="legclearfix"/>
    <w:basedOn w:val="Normal"/>
    <w:rsid w:val="00F10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107E9"/>
  </w:style>
  <w:style w:type="paragraph" w:customStyle="1" w:styleId="legrhs">
    <w:name w:val="legrhs"/>
    <w:basedOn w:val="Normal"/>
    <w:rsid w:val="00AC257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F953E8"/>
    <w:rPr>
      <w:vertAlign w:val="superscript"/>
    </w:rPr>
  </w:style>
  <w:style w:type="paragraph" w:styleId="BodyTextIndent2">
    <w:name w:val="Body Text Indent 2"/>
    <w:basedOn w:val="Normal"/>
    <w:link w:val="BodyTextIndent2Char"/>
    <w:semiHidden/>
    <w:rsid w:val="00F953E8"/>
    <w:pPr>
      <w:widowControl w:val="0"/>
      <w:autoSpaceDE w:val="0"/>
      <w:autoSpaceDN w:val="0"/>
      <w:spacing w:after="0" w:line="240" w:lineRule="auto"/>
      <w:ind w:firstLine="284"/>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semiHidden/>
    <w:rsid w:val="00F953E8"/>
    <w:rPr>
      <w:rFonts w:ascii="Times New Roman" w:eastAsia="Times New Roman" w:hAnsi="Times New Roman" w:cs="Times New Roman"/>
      <w:lang w:eastAsia="en-US"/>
    </w:rPr>
  </w:style>
  <w:style w:type="paragraph" w:styleId="FootnoteText">
    <w:name w:val="footnote text"/>
    <w:basedOn w:val="Normal"/>
    <w:link w:val="FootnoteTextChar"/>
    <w:uiPriority w:val="99"/>
    <w:rsid w:val="00F953E8"/>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953E8"/>
    <w:rPr>
      <w:rFonts w:ascii="Times New Roman" w:eastAsia="Times New Roman" w:hAnsi="Times New Roman" w:cs="Times New Roman"/>
      <w:sz w:val="20"/>
      <w:szCs w:val="20"/>
      <w:lang w:val="en-US" w:eastAsia="en-US"/>
    </w:rPr>
  </w:style>
  <w:style w:type="character" w:customStyle="1" w:styleId="apple-converted-space">
    <w:name w:val="apple-converted-space"/>
    <w:basedOn w:val="DefaultParagraphFont"/>
    <w:rsid w:val="0064583C"/>
  </w:style>
  <w:style w:type="character" w:styleId="Hyperlink">
    <w:name w:val="Hyperlink"/>
    <w:basedOn w:val="DefaultParagraphFont"/>
    <w:uiPriority w:val="99"/>
    <w:semiHidden/>
    <w:unhideWhenUsed/>
    <w:rsid w:val="0035101A"/>
    <w:rPr>
      <w:color w:val="0000FF"/>
      <w:u w:val="single"/>
    </w:rPr>
  </w:style>
  <w:style w:type="character" w:customStyle="1" w:styleId="Heading5Char">
    <w:name w:val="Heading 5 Char"/>
    <w:basedOn w:val="DefaultParagraphFont"/>
    <w:link w:val="Heading5"/>
    <w:uiPriority w:val="9"/>
    <w:semiHidden/>
    <w:rsid w:val="00C7185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543F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1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543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18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02F5"/>
    <w:rPr>
      <w:rFonts w:ascii="Times New Roman" w:eastAsia="Times New Roman" w:hAnsi="Times New Roman" w:cs="Times New Roman"/>
      <w:b/>
      <w:bCs/>
      <w:sz w:val="36"/>
      <w:szCs w:val="36"/>
    </w:rPr>
  </w:style>
  <w:style w:type="paragraph" w:customStyle="1" w:styleId="legclearfix">
    <w:name w:val="legclearfix"/>
    <w:basedOn w:val="Normal"/>
    <w:rsid w:val="00F10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107E9"/>
  </w:style>
  <w:style w:type="paragraph" w:customStyle="1" w:styleId="legrhs">
    <w:name w:val="legrhs"/>
    <w:basedOn w:val="Normal"/>
    <w:rsid w:val="00AC257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F953E8"/>
    <w:rPr>
      <w:vertAlign w:val="superscript"/>
    </w:rPr>
  </w:style>
  <w:style w:type="paragraph" w:styleId="BodyTextIndent2">
    <w:name w:val="Body Text Indent 2"/>
    <w:basedOn w:val="Normal"/>
    <w:link w:val="BodyTextIndent2Char"/>
    <w:semiHidden/>
    <w:rsid w:val="00F953E8"/>
    <w:pPr>
      <w:widowControl w:val="0"/>
      <w:autoSpaceDE w:val="0"/>
      <w:autoSpaceDN w:val="0"/>
      <w:spacing w:after="0" w:line="240" w:lineRule="auto"/>
      <w:ind w:firstLine="284"/>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semiHidden/>
    <w:rsid w:val="00F953E8"/>
    <w:rPr>
      <w:rFonts w:ascii="Times New Roman" w:eastAsia="Times New Roman" w:hAnsi="Times New Roman" w:cs="Times New Roman"/>
      <w:lang w:eastAsia="en-US"/>
    </w:rPr>
  </w:style>
  <w:style w:type="paragraph" w:styleId="FootnoteText">
    <w:name w:val="footnote text"/>
    <w:basedOn w:val="Normal"/>
    <w:link w:val="FootnoteTextChar"/>
    <w:uiPriority w:val="99"/>
    <w:rsid w:val="00F953E8"/>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953E8"/>
    <w:rPr>
      <w:rFonts w:ascii="Times New Roman" w:eastAsia="Times New Roman" w:hAnsi="Times New Roman" w:cs="Times New Roman"/>
      <w:sz w:val="20"/>
      <w:szCs w:val="20"/>
      <w:lang w:val="en-US" w:eastAsia="en-US"/>
    </w:rPr>
  </w:style>
  <w:style w:type="character" w:customStyle="1" w:styleId="apple-converted-space">
    <w:name w:val="apple-converted-space"/>
    <w:basedOn w:val="DefaultParagraphFont"/>
    <w:rsid w:val="0064583C"/>
  </w:style>
  <w:style w:type="character" w:styleId="Hyperlink">
    <w:name w:val="Hyperlink"/>
    <w:basedOn w:val="DefaultParagraphFont"/>
    <w:uiPriority w:val="99"/>
    <w:semiHidden/>
    <w:unhideWhenUsed/>
    <w:rsid w:val="0035101A"/>
    <w:rPr>
      <w:color w:val="0000FF"/>
      <w:u w:val="single"/>
    </w:rPr>
  </w:style>
  <w:style w:type="character" w:customStyle="1" w:styleId="Heading5Char">
    <w:name w:val="Heading 5 Char"/>
    <w:basedOn w:val="DefaultParagraphFont"/>
    <w:link w:val="Heading5"/>
    <w:uiPriority w:val="9"/>
    <w:semiHidden/>
    <w:rsid w:val="00C7185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543F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1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376">
      <w:bodyDiv w:val="1"/>
      <w:marLeft w:val="0"/>
      <w:marRight w:val="0"/>
      <w:marTop w:val="0"/>
      <w:marBottom w:val="0"/>
      <w:divBdr>
        <w:top w:val="none" w:sz="0" w:space="0" w:color="auto"/>
        <w:left w:val="none" w:sz="0" w:space="0" w:color="auto"/>
        <w:bottom w:val="none" w:sz="0" w:space="0" w:color="auto"/>
        <w:right w:val="none" w:sz="0" w:space="0" w:color="auto"/>
      </w:divBdr>
    </w:div>
    <w:div w:id="391585033">
      <w:bodyDiv w:val="1"/>
      <w:marLeft w:val="0"/>
      <w:marRight w:val="0"/>
      <w:marTop w:val="0"/>
      <w:marBottom w:val="0"/>
      <w:divBdr>
        <w:top w:val="none" w:sz="0" w:space="0" w:color="auto"/>
        <w:left w:val="none" w:sz="0" w:space="0" w:color="auto"/>
        <w:bottom w:val="none" w:sz="0" w:space="0" w:color="auto"/>
        <w:right w:val="none" w:sz="0" w:space="0" w:color="auto"/>
      </w:divBdr>
    </w:div>
    <w:div w:id="883249203">
      <w:bodyDiv w:val="1"/>
      <w:marLeft w:val="0"/>
      <w:marRight w:val="0"/>
      <w:marTop w:val="0"/>
      <w:marBottom w:val="0"/>
      <w:divBdr>
        <w:top w:val="none" w:sz="0" w:space="0" w:color="auto"/>
        <w:left w:val="none" w:sz="0" w:space="0" w:color="auto"/>
        <w:bottom w:val="none" w:sz="0" w:space="0" w:color="auto"/>
        <w:right w:val="none" w:sz="0" w:space="0" w:color="auto"/>
      </w:divBdr>
    </w:div>
    <w:div w:id="1180655651">
      <w:bodyDiv w:val="1"/>
      <w:marLeft w:val="0"/>
      <w:marRight w:val="0"/>
      <w:marTop w:val="0"/>
      <w:marBottom w:val="0"/>
      <w:divBdr>
        <w:top w:val="none" w:sz="0" w:space="0" w:color="auto"/>
        <w:left w:val="none" w:sz="0" w:space="0" w:color="auto"/>
        <w:bottom w:val="none" w:sz="0" w:space="0" w:color="auto"/>
        <w:right w:val="none" w:sz="0" w:space="0" w:color="auto"/>
      </w:divBdr>
    </w:div>
    <w:div w:id="1236629448">
      <w:bodyDiv w:val="1"/>
      <w:marLeft w:val="0"/>
      <w:marRight w:val="0"/>
      <w:marTop w:val="0"/>
      <w:marBottom w:val="0"/>
      <w:divBdr>
        <w:top w:val="none" w:sz="0" w:space="0" w:color="auto"/>
        <w:left w:val="none" w:sz="0" w:space="0" w:color="auto"/>
        <w:bottom w:val="none" w:sz="0" w:space="0" w:color="auto"/>
        <w:right w:val="none" w:sz="0" w:space="0" w:color="auto"/>
      </w:divBdr>
    </w:div>
    <w:div w:id="1326786601">
      <w:bodyDiv w:val="1"/>
      <w:marLeft w:val="0"/>
      <w:marRight w:val="0"/>
      <w:marTop w:val="0"/>
      <w:marBottom w:val="0"/>
      <w:divBdr>
        <w:top w:val="none" w:sz="0" w:space="0" w:color="auto"/>
        <w:left w:val="none" w:sz="0" w:space="0" w:color="auto"/>
        <w:bottom w:val="none" w:sz="0" w:space="0" w:color="auto"/>
        <w:right w:val="none" w:sz="0" w:space="0" w:color="auto"/>
      </w:divBdr>
    </w:div>
    <w:div w:id="1838417802">
      <w:bodyDiv w:val="1"/>
      <w:marLeft w:val="0"/>
      <w:marRight w:val="0"/>
      <w:marTop w:val="0"/>
      <w:marBottom w:val="0"/>
      <w:divBdr>
        <w:top w:val="none" w:sz="0" w:space="0" w:color="auto"/>
        <w:left w:val="none" w:sz="0" w:space="0" w:color="auto"/>
        <w:bottom w:val="none" w:sz="0" w:space="0" w:color="auto"/>
        <w:right w:val="none" w:sz="0" w:space="0" w:color="auto"/>
      </w:divBdr>
    </w:div>
    <w:div w:id="19274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8B2B-AB58-4667-8887-F65E338A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lams1</dc:creator>
  <cp:lastModifiedBy>Ay Okpokam</cp:lastModifiedBy>
  <cp:revision>2</cp:revision>
  <dcterms:created xsi:type="dcterms:W3CDTF">2016-05-09T10:24:00Z</dcterms:created>
  <dcterms:modified xsi:type="dcterms:W3CDTF">2016-05-09T10:24:00Z</dcterms:modified>
</cp:coreProperties>
</file>