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08" w:rsidRDefault="00FA2508" w:rsidP="00AA1E6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Court of Appeal </w:t>
      </w:r>
      <w:r w:rsidR="00257AD9">
        <w:rPr>
          <w:rFonts w:ascii="Times New Roman" w:hAnsi="Times New Roman" w:cs="Times New Roman"/>
          <w:b/>
          <w:sz w:val="28"/>
          <w:szCs w:val="28"/>
        </w:rPr>
        <w:t xml:space="preserve"> </w:t>
      </w:r>
    </w:p>
    <w:p w:rsidR="00FA2508" w:rsidRDefault="00FA2508" w:rsidP="00AA1E67">
      <w:pPr>
        <w:jc w:val="center"/>
        <w:rPr>
          <w:rFonts w:ascii="Times New Roman" w:hAnsi="Times New Roman" w:cs="Times New Roman"/>
          <w:b/>
          <w:sz w:val="28"/>
          <w:szCs w:val="28"/>
        </w:rPr>
      </w:pPr>
    </w:p>
    <w:p w:rsidR="003B1087" w:rsidRPr="00AA1E67" w:rsidRDefault="00F819EE" w:rsidP="00AA1E67">
      <w:pPr>
        <w:jc w:val="center"/>
        <w:rPr>
          <w:rFonts w:ascii="Times New Roman" w:hAnsi="Times New Roman" w:cs="Times New Roman"/>
          <w:b/>
          <w:sz w:val="28"/>
          <w:szCs w:val="28"/>
        </w:rPr>
      </w:pPr>
      <w:r>
        <w:rPr>
          <w:rFonts w:ascii="Times New Roman" w:hAnsi="Times New Roman" w:cs="Times New Roman"/>
          <w:b/>
          <w:sz w:val="28"/>
          <w:szCs w:val="28"/>
        </w:rPr>
        <w:t>Admissibility of third party previous convictions under PACE s.74</w:t>
      </w:r>
    </w:p>
    <w:p w:rsidR="003B1087" w:rsidRDefault="00AA1E67" w:rsidP="00AA1E67">
      <w:pPr>
        <w:jc w:val="center"/>
        <w:rPr>
          <w:rFonts w:ascii="Times New Roman" w:hAnsi="Times New Roman" w:cs="Times New Roman"/>
          <w:sz w:val="24"/>
          <w:szCs w:val="24"/>
        </w:rPr>
      </w:pPr>
      <w:r>
        <w:rPr>
          <w:rFonts w:ascii="Times New Roman" w:hAnsi="Times New Roman" w:cs="Times New Roman"/>
          <w:sz w:val="24"/>
          <w:szCs w:val="24"/>
        </w:rPr>
        <w:t xml:space="preserve">R v </w:t>
      </w:r>
      <w:r w:rsidR="008B493F">
        <w:rPr>
          <w:rFonts w:ascii="Times New Roman" w:hAnsi="Times New Roman" w:cs="Times New Roman"/>
          <w:sz w:val="24"/>
          <w:szCs w:val="24"/>
        </w:rPr>
        <w:t>D</w:t>
      </w:r>
      <w:r w:rsidR="00F819EE">
        <w:rPr>
          <w:rFonts w:ascii="Times New Roman" w:hAnsi="Times New Roman" w:cs="Times New Roman"/>
          <w:sz w:val="24"/>
          <w:szCs w:val="24"/>
        </w:rPr>
        <w:t>enham; R v Stansfield</w:t>
      </w:r>
      <w:r w:rsidR="008B493F">
        <w:rPr>
          <w:rFonts w:ascii="Times New Roman" w:hAnsi="Times New Roman" w:cs="Times New Roman"/>
          <w:sz w:val="24"/>
          <w:szCs w:val="24"/>
        </w:rPr>
        <w:t xml:space="preserve"> </w:t>
      </w:r>
      <w:r>
        <w:rPr>
          <w:rFonts w:ascii="Times New Roman" w:hAnsi="Times New Roman" w:cs="Times New Roman"/>
          <w:sz w:val="24"/>
          <w:szCs w:val="24"/>
        </w:rPr>
        <w:t>[201</w:t>
      </w:r>
      <w:r w:rsidR="00E43BFE">
        <w:rPr>
          <w:rFonts w:ascii="Times New Roman" w:hAnsi="Times New Roman" w:cs="Times New Roman"/>
          <w:sz w:val="24"/>
          <w:szCs w:val="24"/>
        </w:rPr>
        <w:t>6</w:t>
      </w:r>
      <w:r>
        <w:rPr>
          <w:rFonts w:ascii="Times New Roman" w:hAnsi="Times New Roman" w:cs="Times New Roman"/>
          <w:sz w:val="24"/>
          <w:szCs w:val="24"/>
        </w:rPr>
        <w:t xml:space="preserve">] EWCA Crim </w:t>
      </w:r>
      <w:r w:rsidR="00F819EE">
        <w:rPr>
          <w:rFonts w:ascii="Times New Roman" w:hAnsi="Times New Roman" w:cs="Times New Roman"/>
          <w:sz w:val="24"/>
          <w:szCs w:val="24"/>
        </w:rPr>
        <w:t>1048</w:t>
      </w:r>
    </w:p>
    <w:p w:rsidR="00AA1E67" w:rsidRPr="00DA2E7D" w:rsidRDefault="00AA1E67" w:rsidP="00AA1E67">
      <w:pPr>
        <w:rPr>
          <w:rFonts w:ascii="Times New Roman" w:hAnsi="Times New Roman" w:cs="Times New Roman"/>
          <w:i/>
          <w:sz w:val="24"/>
          <w:szCs w:val="24"/>
        </w:rPr>
      </w:pPr>
      <w:r w:rsidRPr="00AA1E67">
        <w:rPr>
          <w:rFonts w:ascii="Times New Roman" w:hAnsi="Times New Roman" w:cs="Times New Roman"/>
          <w:i/>
          <w:sz w:val="24"/>
          <w:szCs w:val="24"/>
        </w:rPr>
        <w:t>Keywords</w:t>
      </w:r>
      <w:r w:rsidR="00F30CC7">
        <w:rPr>
          <w:rFonts w:ascii="Times New Roman" w:hAnsi="Times New Roman" w:cs="Times New Roman"/>
          <w:i/>
          <w:sz w:val="24"/>
          <w:szCs w:val="24"/>
        </w:rPr>
        <w:t>:</w:t>
      </w:r>
      <w:r w:rsidRPr="00AA1E67">
        <w:rPr>
          <w:rFonts w:ascii="Times New Roman" w:hAnsi="Times New Roman" w:cs="Times New Roman"/>
          <w:i/>
          <w:sz w:val="24"/>
          <w:szCs w:val="24"/>
        </w:rPr>
        <w:t xml:space="preserve"> </w:t>
      </w:r>
      <w:r w:rsidR="00DA2E7D">
        <w:rPr>
          <w:rFonts w:ascii="Times New Roman" w:hAnsi="Times New Roman" w:cs="Times New Roman"/>
          <w:i/>
          <w:sz w:val="24"/>
          <w:szCs w:val="24"/>
        </w:rPr>
        <w:t xml:space="preserve">criminal evidence; </w:t>
      </w:r>
      <w:r w:rsidR="00C744B1">
        <w:rPr>
          <w:rFonts w:ascii="Times New Roman" w:hAnsi="Times New Roman" w:cs="Times New Roman"/>
          <w:i/>
          <w:sz w:val="24"/>
          <w:szCs w:val="24"/>
        </w:rPr>
        <w:t>previous convictions;</w:t>
      </w:r>
      <w:r w:rsidR="008B493F">
        <w:rPr>
          <w:rFonts w:ascii="Times New Roman" w:hAnsi="Times New Roman" w:cs="Times New Roman"/>
          <w:i/>
          <w:sz w:val="24"/>
          <w:szCs w:val="24"/>
        </w:rPr>
        <w:t xml:space="preserve"> </w:t>
      </w:r>
      <w:r w:rsidR="00C744B1">
        <w:rPr>
          <w:rFonts w:ascii="Times New Roman" w:hAnsi="Times New Roman" w:cs="Times New Roman"/>
          <w:i/>
          <w:sz w:val="24"/>
          <w:szCs w:val="24"/>
        </w:rPr>
        <w:t xml:space="preserve">third parties; </w:t>
      </w:r>
      <w:r w:rsidR="008B493F">
        <w:rPr>
          <w:rFonts w:ascii="Times New Roman" w:hAnsi="Times New Roman" w:cs="Times New Roman"/>
          <w:i/>
          <w:sz w:val="24"/>
          <w:szCs w:val="24"/>
        </w:rPr>
        <w:t xml:space="preserve">exclusionary discretion; </w:t>
      </w:r>
      <w:r w:rsidR="00DA2E7D">
        <w:rPr>
          <w:rFonts w:ascii="Times New Roman" w:hAnsi="Times New Roman" w:cs="Times New Roman"/>
          <w:i/>
          <w:sz w:val="24"/>
          <w:szCs w:val="24"/>
        </w:rPr>
        <w:t>s.</w:t>
      </w:r>
      <w:r w:rsidR="00C744B1">
        <w:rPr>
          <w:rFonts w:ascii="Times New Roman" w:hAnsi="Times New Roman" w:cs="Times New Roman"/>
          <w:i/>
          <w:sz w:val="24"/>
          <w:szCs w:val="24"/>
        </w:rPr>
        <w:t>74 Police and Criminal Evidence Act 1984</w:t>
      </w:r>
    </w:p>
    <w:p w:rsidR="000467D8" w:rsidRDefault="008B493F" w:rsidP="00C744B1">
      <w:pPr>
        <w:rPr>
          <w:rFonts w:ascii="Times New Roman" w:hAnsi="Times New Roman" w:cs="Times New Roman"/>
          <w:sz w:val="24"/>
          <w:szCs w:val="24"/>
        </w:rPr>
      </w:pPr>
      <w:r w:rsidRPr="00C159DF">
        <w:rPr>
          <w:rFonts w:ascii="Times New Roman" w:hAnsi="Times New Roman" w:cs="Times New Roman"/>
          <w:sz w:val="24"/>
          <w:szCs w:val="24"/>
        </w:rPr>
        <w:t>D</w:t>
      </w:r>
      <w:r w:rsidR="00EE6B86">
        <w:rPr>
          <w:rFonts w:ascii="Times New Roman" w:hAnsi="Times New Roman" w:cs="Times New Roman"/>
          <w:sz w:val="24"/>
          <w:szCs w:val="24"/>
        </w:rPr>
        <w:t xml:space="preserve"> was convicted of c</w:t>
      </w:r>
      <w:r w:rsidR="00EE6B86" w:rsidRPr="00EE6B86">
        <w:rPr>
          <w:rFonts w:ascii="Times New Roman" w:hAnsi="Times New Roman" w:cs="Times New Roman"/>
          <w:sz w:val="24"/>
          <w:szCs w:val="24"/>
        </w:rPr>
        <w:t xml:space="preserve">onspiracy to </w:t>
      </w:r>
      <w:r w:rsidR="00EE6B86">
        <w:rPr>
          <w:rFonts w:ascii="Times New Roman" w:hAnsi="Times New Roman" w:cs="Times New Roman"/>
          <w:sz w:val="24"/>
          <w:szCs w:val="24"/>
        </w:rPr>
        <w:t>s</w:t>
      </w:r>
      <w:r w:rsidR="00EE6B86" w:rsidRPr="00EE6B86">
        <w:rPr>
          <w:rFonts w:ascii="Times New Roman" w:hAnsi="Times New Roman" w:cs="Times New Roman"/>
          <w:sz w:val="24"/>
          <w:szCs w:val="24"/>
        </w:rPr>
        <w:t xml:space="preserve">exually </w:t>
      </w:r>
      <w:r w:rsidR="00EE6B86">
        <w:rPr>
          <w:rFonts w:ascii="Times New Roman" w:hAnsi="Times New Roman" w:cs="Times New Roman"/>
          <w:sz w:val="24"/>
          <w:szCs w:val="24"/>
        </w:rPr>
        <w:t>a</w:t>
      </w:r>
      <w:r w:rsidR="00EE6B86" w:rsidRPr="00EE6B86">
        <w:rPr>
          <w:rFonts w:ascii="Times New Roman" w:hAnsi="Times New Roman" w:cs="Times New Roman"/>
          <w:sz w:val="24"/>
          <w:szCs w:val="24"/>
        </w:rPr>
        <w:t xml:space="preserve">ssault a </w:t>
      </w:r>
      <w:r w:rsidR="00EE6B86">
        <w:rPr>
          <w:rFonts w:ascii="Times New Roman" w:hAnsi="Times New Roman" w:cs="Times New Roman"/>
          <w:sz w:val="24"/>
          <w:szCs w:val="24"/>
        </w:rPr>
        <w:t>c</w:t>
      </w:r>
      <w:r w:rsidR="00EE6B86" w:rsidRPr="00EE6B86">
        <w:rPr>
          <w:rFonts w:ascii="Times New Roman" w:hAnsi="Times New Roman" w:cs="Times New Roman"/>
          <w:sz w:val="24"/>
          <w:szCs w:val="24"/>
        </w:rPr>
        <w:t>hild under 13</w:t>
      </w:r>
      <w:r w:rsidR="00EE6B86">
        <w:rPr>
          <w:rFonts w:ascii="Times New Roman" w:hAnsi="Times New Roman" w:cs="Times New Roman"/>
          <w:sz w:val="24"/>
          <w:szCs w:val="24"/>
        </w:rPr>
        <w:t xml:space="preserve"> </w:t>
      </w:r>
      <w:r w:rsidR="000F161B">
        <w:rPr>
          <w:rFonts w:ascii="Times New Roman" w:hAnsi="Times New Roman" w:cs="Times New Roman"/>
          <w:sz w:val="24"/>
          <w:szCs w:val="24"/>
        </w:rPr>
        <w:t xml:space="preserve">(count 1A, which was an alternative to count 1, which alleged conspiracy to rape a child). </w:t>
      </w:r>
      <w:r w:rsidR="00EE6B86">
        <w:rPr>
          <w:rFonts w:ascii="Times New Roman" w:hAnsi="Times New Roman" w:cs="Times New Roman"/>
          <w:sz w:val="24"/>
          <w:szCs w:val="24"/>
        </w:rPr>
        <w:t xml:space="preserve">S was convicted of </w:t>
      </w:r>
      <w:r w:rsidR="00C73006">
        <w:rPr>
          <w:rFonts w:ascii="Times New Roman" w:hAnsi="Times New Roman" w:cs="Times New Roman"/>
          <w:sz w:val="24"/>
          <w:szCs w:val="24"/>
        </w:rPr>
        <w:t xml:space="preserve">two counts of </w:t>
      </w:r>
      <w:r w:rsidR="00EE6B86">
        <w:rPr>
          <w:rFonts w:ascii="Times New Roman" w:hAnsi="Times New Roman" w:cs="Times New Roman"/>
          <w:sz w:val="24"/>
          <w:szCs w:val="24"/>
        </w:rPr>
        <w:t>c</w:t>
      </w:r>
      <w:r w:rsidR="00EE6B86" w:rsidRPr="00EE6B86">
        <w:rPr>
          <w:rFonts w:ascii="Times New Roman" w:hAnsi="Times New Roman" w:cs="Times New Roman"/>
          <w:sz w:val="24"/>
          <w:szCs w:val="24"/>
        </w:rPr>
        <w:t xml:space="preserve">onspiracy to </w:t>
      </w:r>
      <w:r w:rsidR="00EE6B86">
        <w:rPr>
          <w:rFonts w:ascii="Times New Roman" w:hAnsi="Times New Roman" w:cs="Times New Roman"/>
          <w:sz w:val="24"/>
          <w:szCs w:val="24"/>
        </w:rPr>
        <w:t>r</w:t>
      </w:r>
      <w:r w:rsidR="00EE6B86" w:rsidRPr="00EE6B86">
        <w:rPr>
          <w:rFonts w:ascii="Times New Roman" w:hAnsi="Times New Roman" w:cs="Times New Roman"/>
          <w:sz w:val="24"/>
          <w:szCs w:val="24"/>
        </w:rPr>
        <w:t xml:space="preserve">ape a </w:t>
      </w:r>
      <w:r w:rsidR="00EE6B86">
        <w:rPr>
          <w:rFonts w:ascii="Times New Roman" w:hAnsi="Times New Roman" w:cs="Times New Roman"/>
          <w:sz w:val="24"/>
          <w:szCs w:val="24"/>
        </w:rPr>
        <w:t>c</w:t>
      </w:r>
      <w:r w:rsidR="00EE6B86" w:rsidRPr="00EE6B86">
        <w:rPr>
          <w:rFonts w:ascii="Times New Roman" w:hAnsi="Times New Roman" w:cs="Times New Roman"/>
          <w:sz w:val="24"/>
          <w:szCs w:val="24"/>
        </w:rPr>
        <w:t>hild</w:t>
      </w:r>
      <w:r w:rsidR="000F161B">
        <w:rPr>
          <w:rFonts w:ascii="Times New Roman" w:hAnsi="Times New Roman" w:cs="Times New Roman"/>
          <w:sz w:val="24"/>
          <w:szCs w:val="24"/>
        </w:rPr>
        <w:t xml:space="preserve"> (counts 2 and 4)</w:t>
      </w:r>
      <w:r w:rsidR="00EE6B86" w:rsidRPr="00EE6B86">
        <w:rPr>
          <w:rFonts w:ascii="Times New Roman" w:hAnsi="Times New Roman" w:cs="Times New Roman"/>
          <w:sz w:val="24"/>
          <w:szCs w:val="24"/>
        </w:rPr>
        <w:t>.</w:t>
      </w:r>
      <w:r w:rsidR="009222E5">
        <w:rPr>
          <w:rFonts w:ascii="Times New Roman" w:hAnsi="Times New Roman" w:cs="Times New Roman"/>
          <w:sz w:val="24"/>
          <w:szCs w:val="24"/>
        </w:rPr>
        <w:t xml:space="preserve"> The ground of appeal upon which this case note focuses </w:t>
      </w:r>
      <w:r w:rsidR="000F161B">
        <w:rPr>
          <w:rFonts w:ascii="Times New Roman" w:hAnsi="Times New Roman" w:cs="Times New Roman"/>
          <w:sz w:val="24"/>
          <w:szCs w:val="24"/>
        </w:rPr>
        <w:t xml:space="preserve">relates to the prosecution’s reliance </w:t>
      </w:r>
      <w:r w:rsidR="00A75FB4">
        <w:rPr>
          <w:rFonts w:ascii="Times New Roman" w:hAnsi="Times New Roman" w:cs="Times New Roman"/>
          <w:sz w:val="24"/>
          <w:szCs w:val="24"/>
        </w:rPr>
        <w:t xml:space="preserve">on </w:t>
      </w:r>
      <w:r w:rsidR="000F161B">
        <w:rPr>
          <w:rFonts w:ascii="Times New Roman" w:hAnsi="Times New Roman" w:cs="Times New Roman"/>
          <w:sz w:val="24"/>
          <w:szCs w:val="24"/>
        </w:rPr>
        <w:t>the guilty pleas of H (to counts 1, 2 and 4) and K (to counts 1 and 2)</w:t>
      </w:r>
      <w:r w:rsidR="00A75FB4">
        <w:rPr>
          <w:rFonts w:ascii="Times New Roman" w:hAnsi="Times New Roman" w:cs="Times New Roman"/>
          <w:sz w:val="24"/>
          <w:szCs w:val="24"/>
        </w:rPr>
        <w:t xml:space="preserve"> as evidence against D and S.</w:t>
      </w:r>
      <w:r w:rsidR="000467D8">
        <w:rPr>
          <w:rFonts w:ascii="Times New Roman" w:hAnsi="Times New Roman" w:cs="Times New Roman"/>
          <w:sz w:val="24"/>
          <w:szCs w:val="24"/>
        </w:rPr>
        <w:t xml:space="preserve"> The statutory provisions that the judge considered were s.74(1),(2) and s.78(1) of the Police and Criminal Evidence Act 1984 (PACE).</w:t>
      </w:r>
    </w:p>
    <w:p w:rsidR="000467D8" w:rsidRDefault="000467D8" w:rsidP="000467D8">
      <w:pPr>
        <w:rPr>
          <w:rFonts w:ascii="Times New Roman" w:hAnsi="Times New Roman" w:cs="Times New Roman"/>
          <w:sz w:val="24"/>
          <w:szCs w:val="24"/>
        </w:rPr>
      </w:pPr>
      <w:r>
        <w:rPr>
          <w:rFonts w:ascii="Times New Roman" w:hAnsi="Times New Roman" w:cs="Times New Roman"/>
          <w:sz w:val="24"/>
          <w:szCs w:val="24"/>
        </w:rPr>
        <w:t>Section 74(1),(2) provide as follows</w:t>
      </w:r>
      <w:r w:rsidR="00C73006">
        <w:rPr>
          <w:rFonts w:ascii="Times New Roman" w:hAnsi="Times New Roman" w:cs="Times New Roman"/>
          <w:sz w:val="24"/>
          <w:szCs w:val="24"/>
        </w:rPr>
        <w:t>:</w:t>
      </w:r>
      <w:r>
        <w:rPr>
          <w:rFonts w:ascii="Times New Roman" w:hAnsi="Times New Roman" w:cs="Times New Roman"/>
          <w:sz w:val="24"/>
          <w:szCs w:val="24"/>
        </w:rPr>
        <w:t xml:space="preserve"> </w:t>
      </w:r>
    </w:p>
    <w:p w:rsidR="000467D8" w:rsidRPr="000467D8" w:rsidRDefault="000467D8" w:rsidP="000467D8">
      <w:pPr>
        <w:ind w:left="720"/>
        <w:rPr>
          <w:rFonts w:ascii="Times New Roman" w:hAnsi="Times New Roman" w:cs="Times New Roman"/>
          <w:sz w:val="24"/>
          <w:szCs w:val="24"/>
        </w:rPr>
      </w:pPr>
      <w:r w:rsidRPr="000467D8">
        <w:rPr>
          <w:rFonts w:ascii="Times New Roman" w:hAnsi="Times New Roman" w:cs="Times New Roman"/>
          <w:sz w:val="24"/>
          <w:szCs w:val="24"/>
        </w:rPr>
        <w:t>(1) In any proceedings the fact that a person other than the accused has been convicted of an offence by or before any court in the United Kingdom</w:t>
      </w:r>
      <w:r w:rsidR="00D3296E">
        <w:rPr>
          <w:rFonts w:ascii="Times New Roman" w:hAnsi="Times New Roman" w:cs="Times New Roman"/>
          <w:sz w:val="24"/>
          <w:szCs w:val="24"/>
        </w:rPr>
        <w:t xml:space="preserve"> </w:t>
      </w:r>
      <w:r w:rsidR="00D3296E" w:rsidRPr="00D3296E">
        <w:rPr>
          <w:rFonts w:ascii="Times New Roman" w:hAnsi="Times New Roman" w:cs="Times New Roman"/>
          <w:sz w:val="24"/>
          <w:szCs w:val="24"/>
        </w:rPr>
        <w:t>or any other member State or by a Service court outside the United Kingdom</w:t>
      </w:r>
      <w:r w:rsidR="00D3296E">
        <w:rPr>
          <w:rFonts w:ascii="Times New Roman" w:hAnsi="Times New Roman" w:cs="Times New Roman"/>
          <w:sz w:val="24"/>
          <w:szCs w:val="24"/>
        </w:rPr>
        <w:t xml:space="preserve"> </w:t>
      </w:r>
      <w:r w:rsidRPr="000467D8">
        <w:rPr>
          <w:rFonts w:ascii="Times New Roman" w:hAnsi="Times New Roman" w:cs="Times New Roman"/>
          <w:sz w:val="24"/>
          <w:szCs w:val="24"/>
        </w:rPr>
        <w:t xml:space="preserve">shall be admissible in evidence for the purpose of proving that that person committed that offence, where evidence of his having done so is admissible, whether or not any other evidence of his having committed that offence is given. </w:t>
      </w:r>
    </w:p>
    <w:p w:rsidR="000467D8" w:rsidRDefault="000467D8" w:rsidP="000467D8">
      <w:pPr>
        <w:ind w:left="720"/>
        <w:rPr>
          <w:rFonts w:ascii="Times New Roman" w:hAnsi="Times New Roman" w:cs="Times New Roman"/>
          <w:sz w:val="24"/>
          <w:szCs w:val="24"/>
        </w:rPr>
      </w:pPr>
      <w:r w:rsidRPr="000467D8">
        <w:rPr>
          <w:rFonts w:ascii="Times New Roman" w:hAnsi="Times New Roman" w:cs="Times New Roman"/>
          <w:sz w:val="24"/>
          <w:szCs w:val="24"/>
        </w:rPr>
        <w:t>(2) In any proceedings in which by virtue of this section a person other than the accused is proved to have been convicted of an offence by or before any court in the United Kingdom</w:t>
      </w:r>
      <w:r w:rsidR="00D3296E">
        <w:rPr>
          <w:rFonts w:ascii="Times New Roman" w:hAnsi="Times New Roman" w:cs="Times New Roman"/>
          <w:sz w:val="24"/>
          <w:szCs w:val="24"/>
        </w:rPr>
        <w:t xml:space="preserve"> </w:t>
      </w:r>
      <w:r w:rsidR="00D3296E" w:rsidRPr="00D3296E">
        <w:rPr>
          <w:rFonts w:ascii="Times New Roman" w:hAnsi="Times New Roman" w:cs="Times New Roman"/>
          <w:sz w:val="24"/>
          <w:szCs w:val="24"/>
        </w:rPr>
        <w:t>or any other member State or by a Service court outside the United Kingdom, h</w:t>
      </w:r>
      <w:r w:rsidRPr="000467D8">
        <w:rPr>
          <w:rFonts w:ascii="Times New Roman" w:hAnsi="Times New Roman" w:cs="Times New Roman"/>
          <w:sz w:val="24"/>
          <w:szCs w:val="24"/>
        </w:rPr>
        <w:t>e shall be taken to have committed the offence unless the contrary is proved.</w:t>
      </w:r>
    </w:p>
    <w:p w:rsidR="000467D8" w:rsidRDefault="000467D8" w:rsidP="00C744B1">
      <w:pPr>
        <w:rPr>
          <w:rFonts w:ascii="Times New Roman" w:hAnsi="Times New Roman" w:cs="Times New Roman"/>
          <w:sz w:val="24"/>
          <w:szCs w:val="24"/>
        </w:rPr>
      </w:pPr>
      <w:r>
        <w:rPr>
          <w:rFonts w:ascii="Times New Roman" w:hAnsi="Times New Roman" w:cs="Times New Roman"/>
          <w:sz w:val="24"/>
          <w:szCs w:val="24"/>
        </w:rPr>
        <w:t xml:space="preserve"> S.78(1) provides that, </w:t>
      </w:r>
    </w:p>
    <w:p w:rsidR="002A189F" w:rsidRDefault="000467D8" w:rsidP="000467D8">
      <w:pPr>
        <w:ind w:left="720"/>
        <w:rPr>
          <w:rFonts w:ascii="Times New Roman" w:hAnsi="Times New Roman" w:cs="Times New Roman"/>
          <w:sz w:val="24"/>
          <w:szCs w:val="24"/>
        </w:rPr>
      </w:pPr>
      <w:r w:rsidRPr="000467D8">
        <w:rPr>
          <w:rFonts w:ascii="Times New Roman" w:hAnsi="Times New Roman" w:cs="Times New Roman"/>
          <w:sz w:val="24"/>
          <w:szCs w:val="24"/>
        </w:rPr>
        <w:t>(1) In any proceedings the court may refuse to allow evidence on which the prosecution proposes to rely if it appears to the court that, having regard to all the circumstances, including the circumstances in which the evidence was obtained, the admission of the evidence would have such an adverse effect on the fairness of the proceedings that the court ought not to admit it.</w:t>
      </w:r>
    </w:p>
    <w:p w:rsidR="004264AB" w:rsidRDefault="004264AB" w:rsidP="00C744B1">
      <w:pPr>
        <w:rPr>
          <w:rFonts w:ascii="Times New Roman" w:hAnsi="Times New Roman" w:cs="Times New Roman"/>
          <w:sz w:val="24"/>
          <w:szCs w:val="24"/>
        </w:rPr>
      </w:pPr>
      <w:r>
        <w:rPr>
          <w:rFonts w:ascii="Times New Roman" w:hAnsi="Times New Roman" w:cs="Times New Roman"/>
          <w:sz w:val="24"/>
          <w:szCs w:val="24"/>
        </w:rPr>
        <w:t xml:space="preserve">The judge, having considered previous jurisprudence of the Court of Appeal concerning the relationship of s.74 and s.78 in conspiracy cases (namely </w:t>
      </w:r>
      <w:r w:rsidRPr="004264AB">
        <w:rPr>
          <w:rFonts w:ascii="Times New Roman" w:hAnsi="Times New Roman" w:cs="Times New Roman"/>
          <w:i/>
          <w:sz w:val="24"/>
          <w:szCs w:val="24"/>
        </w:rPr>
        <w:t>R v Curry</w:t>
      </w:r>
      <w:r w:rsidRPr="004264AB">
        <w:rPr>
          <w:rFonts w:ascii="Times New Roman" w:hAnsi="Times New Roman" w:cs="Times New Roman"/>
          <w:sz w:val="24"/>
          <w:szCs w:val="24"/>
        </w:rPr>
        <w:t xml:space="preserve"> [1988] Crim LR 527; </w:t>
      </w:r>
      <w:r w:rsidRPr="004264AB">
        <w:rPr>
          <w:rFonts w:ascii="Times New Roman" w:hAnsi="Times New Roman" w:cs="Times New Roman"/>
          <w:i/>
          <w:sz w:val="24"/>
          <w:szCs w:val="24"/>
        </w:rPr>
        <w:t xml:space="preserve">R v </w:t>
      </w:r>
      <w:proofErr w:type="spellStart"/>
      <w:r w:rsidRPr="004264AB">
        <w:rPr>
          <w:rFonts w:ascii="Times New Roman" w:hAnsi="Times New Roman" w:cs="Times New Roman"/>
          <w:i/>
          <w:sz w:val="24"/>
          <w:szCs w:val="24"/>
        </w:rPr>
        <w:t>Kempster</w:t>
      </w:r>
      <w:proofErr w:type="spellEnd"/>
      <w:r>
        <w:rPr>
          <w:rFonts w:ascii="Times New Roman" w:hAnsi="Times New Roman" w:cs="Times New Roman"/>
          <w:sz w:val="24"/>
          <w:szCs w:val="24"/>
        </w:rPr>
        <w:t xml:space="preserve"> (</w:t>
      </w:r>
      <w:r w:rsidRPr="004264AB">
        <w:rPr>
          <w:rFonts w:ascii="Times New Roman" w:hAnsi="Times New Roman" w:cs="Times New Roman"/>
          <w:sz w:val="24"/>
          <w:szCs w:val="24"/>
        </w:rPr>
        <w:t>1990</w:t>
      </w:r>
      <w:r>
        <w:rPr>
          <w:rFonts w:ascii="Times New Roman" w:hAnsi="Times New Roman" w:cs="Times New Roman"/>
          <w:sz w:val="24"/>
          <w:szCs w:val="24"/>
        </w:rPr>
        <w:t>)</w:t>
      </w:r>
      <w:r w:rsidRPr="004264AB">
        <w:rPr>
          <w:rFonts w:ascii="Times New Roman" w:hAnsi="Times New Roman" w:cs="Times New Roman"/>
          <w:sz w:val="24"/>
          <w:szCs w:val="24"/>
        </w:rPr>
        <w:t xml:space="preserve"> 90 Cr App 14; </w:t>
      </w:r>
      <w:r w:rsidRPr="004264AB">
        <w:rPr>
          <w:rFonts w:ascii="Times New Roman" w:hAnsi="Times New Roman" w:cs="Times New Roman"/>
          <w:i/>
          <w:sz w:val="24"/>
          <w:szCs w:val="24"/>
        </w:rPr>
        <w:t>R v Smith</w:t>
      </w:r>
      <w:r w:rsidRPr="004264AB">
        <w:rPr>
          <w:rFonts w:ascii="Times New Roman" w:hAnsi="Times New Roman" w:cs="Times New Roman"/>
          <w:sz w:val="24"/>
          <w:szCs w:val="24"/>
        </w:rPr>
        <w:t xml:space="preserve"> [2007] EWCA Crim 2105 and </w:t>
      </w:r>
      <w:r w:rsidRPr="004264AB">
        <w:rPr>
          <w:rFonts w:ascii="Times New Roman" w:hAnsi="Times New Roman" w:cs="Times New Roman"/>
          <w:i/>
          <w:sz w:val="24"/>
          <w:szCs w:val="24"/>
        </w:rPr>
        <w:t>R v FBMK</w:t>
      </w:r>
      <w:r>
        <w:rPr>
          <w:rFonts w:ascii="Times New Roman" w:hAnsi="Times New Roman" w:cs="Times New Roman"/>
          <w:sz w:val="24"/>
          <w:szCs w:val="24"/>
        </w:rPr>
        <w:t xml:space="preserve"> [2012] EWCA Crim 2438</w:t>
      </w:r>
      <w:r w:rsidR="00C73006">
        <w:rPr>
          <w:rFonts w:ascii="Times New Roman" w:hAnsi="Times New Roman" w:cs="Times New Roman"/>
          <w:sz w:val="24"/>
          <w:szCs w:val="24"/>
        </w:rPr>
        <w:t>)</w:t>
      </w:r>
      <w:r w:rsidR="00A75FB4">
        <w:rPr>
          <w:rFonts w:ascii="Times New Roman" w:hAnsi="Times New Roman" w:cs="Times New Roman"/>
          <w:sz w:val="24"/>
          <w:szCs w:val="24"/>
        </w:rPr>
        <w:t xml:space="preserve"> had</w:t>
      </w:r>
      <w:r w:rsidR="000B3D13">
        <w:rPr>
          <w:rFonts w:ascii="Times New Roman" w:hAnsi="Times New Roman" w:cs="Times New Roman"/>
          <w:sz w:val="24"/>
          <w:szCs w:val="24"/>
        </w:rPr>
        <w:t xml:space="preserve"> concluded </w:t>
      </w:r>
      <w:r>
        <w:rPr>
          <w:rFonts w:ascii="Times New Roman" w:hAnsi="Times New Roman" w:cs="Times New Roman"/>
          <w:sz w:val="24"/>
          <w:szCs w:val="24"/>
        </w:rPr>
        <w:t xml:space="preserve">that, </w:t>
      </w:r>
    </w:p>
    <w:p w:rsidR="004264AB" w:rsidRDefault="00612111" w:rsidP="002A189F">
      <w:pPr>
        <w:ind w:left="720"/>
        <w:rPr>
          <w:rFonts w:ascii="Times New Roman" w:hAnsi="Times New Roman" w:cs="Times New Roman"/>
          <w:sz w:val="24"/>
          <w:szCs w:val="24"/>
        </w:rPr>
      </w:pPr>
      <w:r>
        <w:rPr>
          <w:rFonts w:ascii="Times New Roman" w:hAnsi="Times New Roman" w:cs="Times New Roman"/>
          <w:sz w:val="24"/>
          <w:szCs w:val="24"/>
        </w:rPr>
        <w:lastRenderedPageBreak/>
        <w:t>[s]</w:t>
      </w:r>
      <w:proofErr w:type="spellStart"/>
      <w:r w:rsidR="004264AB" w:rsidRPr="004264AB">
        <w:rPr>
          <w:rFonts w:ascii="Times New Roman" w:hAnsi="Times New Roman" w:cs="Times New Roman"/>
          <w:sz w:val="24"/>
          <w:szCs w:val="24"/>
        </w:rPr>
        <w:t>ection</w:t>
      </w:r>
      <w:proofErr w:type="spellEnd"/>
      <w:r w:rsidR="004264AB" w:rsidRPr="004264AB">
        <w:rPr>
          <w:rFonts w:ascii="Times New Roman" w:hAnsi="Times New Roman" w:cs="Times New Roman"/>
          <w:sz w:val="24"/>
          <w:szCs w:val="24"/>
        </w:rPr>
        <w:t xml:space="preserve"> 74 is to be approached with caution and it is not to be used as a matter of routine. It is not to be used as a smuggling device to place evidence before the jury which it would be convenient for the jury to hear. The paradigm notions to be applied will be those of relevance and then fairness.</w:t>
      </w:r>
      <w:r w:rsidR="00C73006">
        <w:rPr>
          <w:rFonts w:ascii="Times New Roman" w:hAnsi="Times New Roman" w:cs="Times New Roman"/>
          <w:sz w:val="24"/>
          <w:szCs w:val="24"/>
        </w:rPr>
        <w:t xml:space="preserve"> (at [34])</w:t>
      </w:r>
    </w:p>
    <w:p w:rsidR="000B3D13" w:rsidRDefault="000B3D13" w:rsidP="000B3D13">
      <w:pPr>
        <w:rPr>
          <w:rFonts w:ascii="Times New Roman" w:hAnsi="Times New Roman" w:cs="Times New Roman"/>
          <w:sz w:val="24"/>
          <w:szCs w:val="24"/>
        </w:rPr>
      </w:pPr>
      <w:r>
        <w:rPr>
          <w:rFonts w:ascii="Times New Roman" w:hAnsi="Times New Roman" w:cs="Times New Roman"/>
          <w:sz w:val="24"/>
          <w:szCs w:val="24"/>
        </w:rPr>
        <w:t>The judge had recognised, however</w:t>
      </w:r>
      <w:r w:rsidR="00C73006">
        <w:rPr>
          <w:rFonts w:ascii="Times New Roman" w:hAnsi="Times New Roman" w:cs="Times New Roman"/>
          <w:sz w:val="24"/>
          <w:szCs w:val="24"/>
        </w:rPr>
        <w:t>,</w:t>
      </w:r>
      <w:r>
        <w:rPr>
          <w:rFonts w:ascii="Times New Roman" w:hAnsi="Times New Roman" w:cs="Times New Roman"/>
          <w:sz w:val="24"/>
          <w:szCs w:val="24"/>
        </w:rPr>
        <w:t xml:space="preserve"> that “</w:t>
      </w:r>
      <w:r w:rsidRPr="000B3D13">
        <w:rPr>
          <w:rFonts w:ascii="Times New Roman" w:hAnsi="Times New Roman" w:cs="Times New Roman"/>
          <w:sz w:val="24"/>
          <w:szCs w:val="24"/>
        </w:rPr>
        <w:t>it also remains true that such evidence may well be unfair, if the issues are such that this evidence would close off the issues which the jury has to try. But it means just that, to close off, not to make more difficult</w:t>
      </w:r>
      <w:r>
        <w:rPr>
          <w:rFonts w:ascii="Times New Roman" w:hAnsi="Times New Roman" w:cs="Times New Roman"/>
          <w:sz w:val="24"/>
          <w:szCs w:val="24"/>
        </w:rPr>
        <w:t>”</w:t>
      </w:r>
      <w:r w:rsidR="00C73006">
        <w:rPr>
          <w:rFonts w:ascii="Times New Roman" w:hAnsi="Times New Roman" w:cs="Times New Roman"/>
          <w:sz w:val="24"/>
          <w:szCs w:val="24"/>
        </w:rPr>
        <w:t xml:space="preserve"> (at [36]).</w:t>
      </w:r>
    </w:p>
    <w:p w:rsidR="002A189F" w:rsidRDefault="002A189F" w:rsidP="00C744B1">
      <w:pPr>
        <w:rPr>
          <w:rFonts w:ascii="Times New Roman" w:hAnsi="Times New Roman" w:cs="Times New Roman"/>
          <w:sz w:val="24"/>
          <w:szCs w:val="24"/>
        </w:rPr>
      </w:pPr>
      <w:r>
        <w:rPr>
          <w:rFonts w:ascii="Times New Roman" w:hAnsi="Times New Roman" w:cs="Times New Roman"/>
          <w:sz w:val="24"/>
          <w:szCs w:val="24"/>
        </w:rPr>
        <w:t>On the facts of the case before him, on the basis that “</w:t>
      </w:r>
      <w:r w:rsidRPr="002A189F">
        <w:rPr>
          <w:rFonts w:ascii="Times New Roman" w:hAnsi="Times New Roman" w:cs="Times New Roman"/>
          <w:sz w:val="24"/>
          <w:szCs w:val="24"/>
        </w:rPr>
        <w:t>the real issue was whether the present defendants were party to the concluded agreements, with the requisite intent, or not</w:t>
      </w:r>
      <w:r>
        <w:rPr>
          <w:rFonts w:ascii="Times New Roman" w:hAnsi="Times New Roman" w:cs="Times New Roman"/>
          <w:sz w:val="24"/>
          <w:szCs w:val="24"/>
        </w:rPr>
        <w:t xml:space="preserve">” (at [36]), </w:t>
      </w:r>
      <w:r w:rsidR="00A75FB4">
        <w:rPr>
          <w:rFonts w:ascii="Times New Roman" w:hAnsi="Times New Roman" w:cs="Times New Roman"/>
          <w:sz w:val="24"/>
          <w:szCs w:val="24"/>
        </w:rPr>
        <w:t xml:space="preserve">the judge held that </w:t>
      </w:r>
      <w:r>
        <w:rPr>
          <w:rFonts w:ascii="Times New Roman" w:hAnsi="Times New Roman" w:cs="Times New Roman"/>
          <w:sz w:val="24"/>
          <w:szCs w:val="24"/>
        </w:rPr>
        <w:t xml:space="preserve">held that it was “fair and proper” to admit the evidence (at [37]). </w:t>
      </w:r>
    </w:p>
    <w:p w:rsidR="000B3D13" w:rsidRDefault="000B3D13">
      <w:pPr>
        <w:rPr>
          <w:rFonts w:ascii="Times New Roman" w:hAnsi="Times New Roman" w:cs="Times New Roman"/>
          <w:b/>
          <w:sz w:val="24"/>
          <w:szCs w:val="24"/>
        </w:rPr>
      </w:pPr>
    </w:p>
    <w:p w:rsidR="000B3D13" w:rsidRDefault="00680767" w:rsidP="00A75FB4">
      <w:pPr>
        <w:rPr>
          <w:rFonts w:ascii="Times New Roman" w:hAnsi="Times New Roman" w:cs="Times New Roman"/>
          <w:sz w:val="24"/>
          <w:szCs w:val="24"/>
        </w:rPr>
      </w:pPr>
      <w:r w:rsidRPr="001D5048">
        <w:rPr>
          <w:rFonts w:ascii="Times New Roman" w:hAnsi="Times New Roman" w:cs="Times New Roman"/>
          <w:b/>
          <w:sz w:val="24"/>
          <w:szCs w:val="24"/>
        </w:rPr>
        <w:t>H</w:t>
      </w:r>
      <w:r w:rsidR="004D3A7E" w:rsidRPr="001D5048">
        <w:rPr>
          <w:rFonts w:ascii="Times New Roman" w:hAnsi="Times New Roman" w:cs="Times New Roman"/>
          <w:b/>
          <w:sz w:val="24"/>
          <w:szCs w:val="24"/>
        </w:rPr>
        <w:t xml:space="preserve">eld, </w:t>
      </w:r>
      <w:r w:rsidR="004D3A7E" w:rsidRPr="00E07D7D">
        <w:rPr>
          <w:rFonts w:ascii="Times New Roman" w:hAnsi="Times New Roman" w:cs="Times New Roman"/>
          <w:b/>
          <w:sz w:val="24"/>
          <w:szCs w:val="24"/>
        </w:rPr>
        <w:t>dismissing the appeal</w:t>
      </w:r>
      <w:r w:rsidR="00C73006">
        <w:rPr>
          <w:rFonts w:ascii="Times New Roman" w:hAnsi="Times New Roman" w:cs="Times New Roman"/>
          <w:sz w:val="24"/>
          <w:szCs w:val="24"/>
        </w:rPr>
        <w:t>, t</w:t>
      </w:r>
      <w:r w:rsidR="00A75FB4">
        <w:rPr>
          <w:rFonts w:ascii="Times New Roman" w:hAnsi="Times New Roman" w:cs="Times New Roman"/>
          <w:sz w:val="24"/>
          <w:szCs w:val="24"/>
        </w:rPr>
        <w:t>he judge had</w:t>
      </w:r>
      <w:r w:rsidR="00612111">
        <w:rPr>
          <w:rFonts w:ascii="Times New Roman" w:hAnsi="Times New Roman" w:cs="Times New Roman"/>
          <w:sz w:val="24"/>
          <w:szCs w:val="24"/>
        </w:rPr>
        <w:t xml:space="preserve"> (at [39])</w:t>
      </w:r>
      <w:r w:rsidR="000B3D13">
        <w:rPr>
          <w:rFonts w:ascii="Times New Roman" w:hAnsi="Times New Roman" w:cs="Times New Roman"/>
          <w:sz w:val="24"/>
          <w:szCs w:val="24"/>
        </w:rPr>
        <w:t>,</w:t>
      </w:r>
      <w:r w:rsidR="00A75FB4">
        <w:rPr>
          <w:rFonts w:ascii="Times New Roman" w:hAnsi="Times New Roman" w:cs="Times New Roman"/>
          <w:sz w:val="24"/>
          <w:szCs w:val="24"/>
        </w:rPr>
        <w:t xml:space="preserve"> </w:t>
      </w:r>
    </w:p>
    <w:p w:rsidR="00A75FB4" w:rsidRPr="00A75FB4" w:rsidRDefault="00A75FB4" w:rsidP="000B3D13">
      <w:pPr>
        <w:ind w:left="720"/>
        <w:rPr>
          <w:rFonts w:ascii="Times New Roman" w:hAnsi="Times New Roman" w:cs="Times New Roman"/>
          <w:sz w:val="24"/>
          <w:szCs w:val="24"/>
        </w:rPr>
      </w:pPr>
      <w:r w:rsidRPr="00A75FB4">
        <w:rPr>
          <w:rFonts w:ascii="Times New Roman" w:hAnsi="Times New Roman" w:cs="Times New Roman"/>
          <w:sz w:val="24"/>
          <w:szCs w:val="24"/>
        </w:rPr>
        <w:t xml:space="preserve">correctly stated the law which should be applied. The evidence should be excluded if its admission were unfair in the particular circumstances. The admission of prosecution evidence will often raise difficulties for a defence; but it is unfairness to, and not difficulties for, the defence which is the key.  </w:t>
      </w:r>
    </w:p>
    <w:p w:rsidR="00612111" w:rsidRDefault="009E16CC" w:rsidP="000C5EC4">
      <w:pPr>
        <w:rPr>
          <w:rFonts w:ascii="Times New Roman" w:hAnsi="Times New Roman" w:cs="Times New Roman"/>
          <w:sz w:val="24"/>
          <w:szCs w:val="24"/>
        </w:rPr>
      </w:pPr>
      <w:r>
        <w:rPr>
          <w:rFonts w:ascii="Times New Roman" w:hAnsi="Times New Roman" w:cs="Times New Roman"/>
          <w:sz w:val="24"/>
          <w:szCs w:val="24"/>
        </w:rPr>
        <w:t>W</w:t>
      </w:r>
      <w:r w:rsidR="000C5EC4">
        <w:rPr>
          <w:rFonts w:ascii="Times New Roman" w:hAnsi="Times New Roman" w:cs="Times New Roman"/>
          <w:sz w:val="24"/>
          <w:szCs w:val="24"/>
        </w:rPr>
        <w:t xml:space="preserve">hilst the decision whether to admit such evidence is often referred to as an exercise of discretion it is better described </w:t>
      </w:r>
      <w:r w:rsidR="000C5EC4" w:rsidRPr="000C5EC4">
        <w:rPr>
          <w:rFonts w:ascii="Times New Roman" w:hAnsi="Times New Roman" w:cs="Times New Roman"/>
          <w:sz w:val="24"/>
          <w:szCs w:val="24"/>
        </w:rPr>
        <w:t xml:space="preserve">as </w:t>
      </w:r>
      <w:r w:rsidR="000C5EC4">
        <w:rPr>
          <w:rFonts w:ascii="Times New Roman" w:hAnsi="Times New Roman" w:cs="Times New Roman"/>
          <w:sz w:val="24"/>
          <w:szCs w:val="24"/>
        </w:rPr>
        <w:t>“</w:t>
      </w:r>
      <w:r w:rsidR="000C5EC4" w:rsidRPr="000C5EC4">
        <w:rPr>
          <w:rFonts w:ascii="Times New Roman" w:hAnsi="Times New Roman" w:cs="Times New Roman"/>
          <w:sz w:val="24"/>
          <w:szCs w:val="24"/>
        </w:rPr>
        <w:t>the exercise of a judgment in which a balance has to be struck on the issue of fairness</w:t>
      </w:r>
      <w:r w:rsidR="000C5EC4">
        <w:rPr>
          <w:rFonts w:ascii="Times New Roman" w:hAnsi="Times New Roman" w:cs="Times New Roman"/>
          <w:sz w:val="24"/>
          <w:szCs w:val="24"/>
        </w:rPr>
        <w:t>”</w:t>
      </w:r>
      <w:r>
        <w:rPr>
          <w:rFonts w:ascii="Times New Roman" w:hAnsi="Times New Roman" w:cs="Times New Roman"/>
          <w:sz w:val="24"/>
          <w:szCs w:val="24"/>
        </w:rPr>
        <w:t xml:space="preserve"> (at [40]).</w:t>
      </w:r>
      <w:r w:rsidR="000C5EC4">
        <w:rPr>
          <w:rFonts w:ascii="Times New Roman" w:hAnsi="Times New Roman" w:cs="Times New Roman"/>
          <w:sz w:val="24"/>
          <w:szCs w:val="24"/>
        </w:rPr>
        <w:t xml:space="preserve">  The</w:t>
      </w:r>
      <w:r w:rsidR="00143909">
        <w:rPr>
          <w:rFonts w:ascii="Times New Roman" w:hAnsi="Times New Roman" w:cs="Times New Roman"/>
          <w:sz w:val="24"/>
          <w:szCs w:val="24"/>
        </w:rPr>
        <w:t xml:space="preserve"> significance of this distinction was that</w:t>
      </w:r>
      <w:r w:rsidR="003D1F06">
        <w:rPr>
          <w:rFonts w:ascii="Times New Roman" w:hAnsi="Times New Roman" w:cs="Times New Roman"/>
          <w:sz w:val="24"/>
          <w:szCs w:val="24"/>
        </w:rPr>
        <w:t>,</w:t>
      </w:r>
      <w:r w:rsidR="000C5EC4">
        <w:rPr>
          <w:rFonts w:ascii="Times New Roman" w:hAnsi="Times New Roman" w:cs="Times New Roman"/>
          <w:sz w:val="24"/>
          <w:szCs w:val="24"/>
        </w:rPr>
        <w:t xml:space="preserve"> if the decision was a pure exercise of discretion</w:t>
      </w:r>
      <w:r w:rsidR="00612212">
        <w:rPr>
          <w:rFonts w:ascii="Times New Roman" w:hAnsi="Times New Roman" w:cs="Times New Roman"/>
          <w:sz w:val="24"/>
          <w:szCs w:val="24"/>
        </w:rPr>
        <w:t>,</w:t>
      </w:r>
      <w:r w:rsidR="00143909">
        <w:rPr>
          <w:rFonts w:ascii="Times New Roman" w:hAnsi="Times New Roman" w:cs="Times New Roman"/>
          <w:sz w:val="24"/>
          <w:szCs w:val="24"/>
        </w:rPr>
        <w:t xml:space="preserve"> “</w:t>
      </w:r>
      <w:r w:rsidR="000C5EC4" w:rsidRPr="000C5EC4">
        <w:rPr>
          <w:rFonts w:ascii="Times New Roman" w:hAnsi="Times New Roman" w:cs="Times New Roman"/>
          <w:sz w:val="24"/>
          <w:szCs w:val="24"/>
        </w:rPr>
        <w:t>the basis of challenge to a judge’s decision might be unduly confined</w:t>
      </w:r>
      <w:r w:rsidR="00143909">
        <w:rPr>
          <w:rFonts w:ascii="Times New Roman" w:hAnsi="Times New Roman" w:cs="Times New Roman"/>
          <w:sz w:val="24"/>
          <w:szCs w:val="24"/>
        </w:rPr>
        <w:t>”</w:t>
      </w:r>
      <w:r w:rsidR="00612111">
        <w:rPr>
          <w:rFonts w:ascii="Times New Roman" w:hAnsi="Times New Roman" w:cs="Times New Roman"/>
          <w:sz w:val="24"/>
          <w:szCs w:val="24"/>
        </w:rPr>
        <w:t>. Rather, the position was that, “t</w:t>
      </w:r>
      <w:r w:rsidR="00143909" w:rsidRPr="000C5EC4">
        <w:rPr>
          <w:rFonts w:ascii="Times New Roman" w:hAnsi="Times New Roman" w:cs="Times New Roman"/>
          <w:sz w:val="24"/>
          <w:szCs w:val="24"/>
        </w:rPr>
        <w:t>he decision whether to admit evidence in these circumstances is either right or wrong, although whether the conviction is safe is another matter</w:t>
      </w:r>
      <w:r>
        <w:rPr>
          <w:rFonts w:ascii="Times New Roman" w:hAnsi="Times New Roman" w:cs="Times New Roman"/>
          <w:sz w:val="24"/>
          <w:szCs w:val="24"/>
        </w:rPr>
        <w:t>.</w:t>
      </w:r>
      <w:r w:rsidR="00143909">
        <w:rPr>
          <w:rFonts w:ascii="Times New Roman" w:hAnsi="Times New Roman" w:cs="Times New Roman"/>
          <w:sz w:val="24"/>
          <w:szCs w:val="24"/>
        </w:rPr>
        <w:t>”</w:t>
      </w:r>
      <w:r>
        <w:rPr>
          <w:rFonts w:ascii="Times New Roman" w:hAnsi="Times New Roman" w:cs="Times New Roman"/>
          <w:sz w:val="24"/>
          <w:szCs w:val="24"/>
        </w:rPr>
        <w:t xml:space="preserve"> However,</w:t>
      </w:r>
      <w:r w:rsidR="00143909">
        <w:rPr>
          <w:rFonts w:ascii="Times New Roman" w:hAnsi="Times New Roman" w:cs="Times New Roman"/>
          <w:sz w:val="24"/>
          <w:szCs w:val="24"/>
        </w:rPr>
        <w:t xml:space="preserve"> “</w:t>
      </w:r>
      <w:r w:rsidR="000C5EC4" w:rsidRPr="000C5EC4">
        <w:rPr>
          <w:rFonts w:ascii="Times New Roman" w:hAnsi="Times New Roman" w:cs="Times New Roman"/>
          <w:sz w:val="24"/>
          <w:szCs w:val="24"/>
        </w:rPr>
        <w:t>such decisions will necessarily be fact sensitive, and the judge will be in a particularly good position to assess the issue of fairness in the context of the dynamics of the trial process</w:t>
      </w:r>
      <w:r w:rsidR="00143909">
        <w:rPr>
          <w:rFonts w:ascii="Times New Roman" w:hAnsi="Times New Roman" w:cs="Times New Roman"/>
          <w:sz w:val="24"/>
          <w:szCs w:val="24"/>
        </w:rPr>
        <w:t>”</w:t>
      </w:r>
      <w:r w:rsidR="00612212">
        <w:rPr>
          <w:rFonts w:ascii="Times New Roman" w:hAnsi="Times New Roman" w:cs="Times New Roman"/>
          <w:sz w:val="24"/>
          <w:szCs w:val="24"/>
        </w:rPr>
        <w:t xml:space="preserve"> (at [40])</w:t>
      </w:r>
      <w:r w:rsidR="00143909">
        <w:rPr>
          <w:rFonts w:ascii="Times New Roman" w:hAnsi="Times New Roman" w:cs="Times New Roman"/>
          <w:sz w:val="24"/>
          <w:szCs w:val="24"/>
        </w:rPr>
        <w:t xml:space="preserve">. </w:t>
      </w:r>
    </w:p>
    <w:p w:rsidR="00612111" w:rsidRDefault="00612111" w:rsidP="00612111">
      <w:pPr>
        <w:rPr>
          <w:rFonts w:ascii="Times New Roman" w:hAnsi="Times New Roman" w:cs="Times New Roman"/>
          <w:sz w:val="24"/>
          <w:szCs w:val="24"/>
        </w:rPr>
      </w:pPr>
      <w:r>
        <w:rPr>
          <w:rFonts w:ascii="Times New Roman" w:hAnsi="Times New Roman" w:cs="Times New Roman"/>
          <w:sz w:val="24"/>
          <w:szCs w:val="24"/>
        </w:rPr>
        <w:t>On the facts of the case,</w:t>
      </w:r>
    </w:p>
    <w:p w:rsidR="000B3D13" w:rsidRDefault="00612111" w:rsidP="00612111">
      <w:pPr>
        <w:ind w:left="720"/>
        <w:rPr>
          <w:rFonts w:ascii="Times New Roman" w:hAnsi="Times New Roman" w:cs="Times New Roman"/>
          <w:sz w:val="24"/>
          <w:szCs w:val="24"/>
        </w:rPr>
      </w:pPr>
      <w:r w:rsidRPr="00612111">
        <w:rPr>
          <w:rFonts w:ascii="Times New Roman" w:hAnsi="Times New Roman" w:cs="Times New Roman"/>
          <w:sz w:val="24"/>
          <w:szCs w:val="24"/>
        </w:rPr>
        <w:t xml:space="preserve">the admission of the evidence of </w:t>
      </w:r>
      <w:r>
        <w:rPr>
          <w:rFonts w:ascii="Times New Roman" w:hAnsi="Times New Roman" w:cs="Times New Roman"/>
          <w:sz w:val="24"/>
          <w:szCs w:val="24"/>
        </w:rPr>
        <w:t xml:space="preserve">[the guilty] </w:t>
      </w:r>
      <w:r w:rsidRPr="00612111">
        <w:rPr>
          <w:rFonts w:ascii="Times New Roman" w:hAnsi="Times New Roman" w:cs="Times New Roman"/>
          <w:sz w:val="24"/>
          <w:szCs w:val="24"/>
        </w:rPr>
        <w:t>pleas neither shut off the defences which had been raised in the defence statements, nor close down the very issue the jury had to consider.</w:t>
      </w:r>
      <w:r>
        <w:rPr>
          <w:rFonts w:ascii="Times New Roman" w:hAnsi="Times New Roman" w:cs="Times New Roman"/>
          <w:sz w:val="24"/>
          <w:szCs w:val="24"/>
        </w:rPr>
        <w:t xml:space="preserve"> </w:t>
      </w:r>
      <w:r w:rsidRPr="00612111">
        <w:rPr>
          <w:rFonts w:ascii="Times New Roman" w:hAnsi="Times New Roman" w:cs="Times New Roman"/>
          <w:sz w:val="24"/>
          <w:szCs w:val="24"/>
        </w:rPr>
        <w:t>It was not the defence of either appellant that there were no conspiracies to abuse T, their cases were that they were no</w:t>
      </w:r>
      <w:r>
        <w:rPr>
          <w:rFonts w:ascii="Times New Roman" w:hAnsi="Times New Roman" w:cs="Times New Roman"/>
          <w:sz w:val="24"/>
          <w:szCs w:val="24"/>
        </w:rPr>
        <w:t>t a party to such conspiracies…</w:t>
      </w:r>
      <w:r w:rsidR="00612212">
        <w:rPr>
          <w:rFonts w:ascii="Times New Roman" w:hAnsi="Times New Roman" w:cs="Times New Roman"/>
          <w:sz w:val="24"/>
          <w:szCs w:val="24"/>
        </w:rPr>
        <w:t xml:space="preserve"> (at [41]).</w:t>
      </w:r>
    </w:p>
    <w:p w:rsidR="000B3D13" w:rsidRDefault="000B3D13" w:rsidP="00A75FB4">
      <w:pPr>
        <w:rPr>
          <w:rFonts w:ascii="Times New Roman" w:hAnsi="Times New Roman" w:cs="Times New Roman"/>
          <w:sz w:val="24"/>
          <w:szCs w:val="24"/>
        </w:rPr>
      </w:pPr>
    </w:p>
    <w:p w:rsidR="00B83F48" w:rsidRPr="002B59F1" w:rsidRDefault="00B83F48" w:rsidP="00B83F48">
      <w:pPr>
        <w:rPr>
          <w:rFonts w:ascii="Times New Roman" w:hAnsi="Times New Roman" w:cs="Times New Roman"/>
          <w:sz w:val="24"/>
          <w:szCs w:val="24"/>
        </w:rPr>
      </w:pPr>
      <w:r w:rsidRPr="002B59F1">
        <w:rPr>
          <w:rFonts w:ascii="Times New Roman" w:hAnsi="Times New Roman" w:cs="Times New Roman"/>
          <w:sz w:val="24"/>
          <w:szCs w:val="24"/>
        </w:rPr>
        <w:t>COMMENTARY</w:t>
      </w:r>
    </w:p>
    <w:p w:rsidR="00B33FD6" w:rsidRDefault="00281ABA" w:rsidP="00C744B1">
      <w:pPr>
        <w:rPr>
          <w:rFonts w:ascii="Times New Roman" w:hAnsi="Times New Roman" w:cs="Times New Roman"/>
          <w:sz w:val="24"/>
          <w:szCs w:val="24"/>
        </w:rPr>
      </w:pPr>
      <w:r>
        <w:rPr>
          <w:rFonts w:ascii="Times New Roman" w:hAnsi="Times New Roman" w:cs="Times New Roman"/>
          <w:sz w:val="24"/>
          <w:szCs w:val="24"/>
        </w:rPr>
        <w:t xml:space="preserve">When it was first enacted, </w:t>
      </w:r>
      <w:r w:rsidR="00D3296E">
        <w:rPr>
          <w:rFonts w:ascii="Times New Roman" w:hAnsi="Times New Roman" w:cs="Times New Roman"/>
          <w:sz w:val="24"/>
          <w:szCs w:val="24"/>
        </w:rPr>
        <w:t xml:space="preserve">the effect of </w:t>
      </w:r>
      <w:r>
        <w:rPr>
          <w:rFonts w:ascii="Times New Roman" w:hAnsi="Times New Roman" w:cs="Times New Roman"/>
          <w:sz w:val="24"/>
          <w:szCs w:val="24"/>
        </w:rPr>
        <w:t xml:space="preserve">s.74(1) of PACE </w:t>
      </w:r>
      <w:r w:rsidR="00D3296E">
        <w:rPr>
          <w:rFonts w:ascii="Times New Roman" w:hAnsi="Times New Roman" w:cs="Times New Roman"/>
          <w:sz w:val="24"/>
          <w:szCs w:val="24"/>
        </w:rPr>
        <w:t xml:space="preserve">was that evidence of third party convictions was admissible to prove that the person convicted committed the offence of which that </w:t>
      </w:r>
      <w:r w:rsidR="00B33FD6">
        <w:rPr>
          <w:rFonts w:ascii="Times New Roman" w:hAnsi="Times New Roman" w:cs="Times New Roman"/>
          <w:sz w:val="24"/>
          <w:szCs w:val="24"/>
        </w:rPr>
        <w:t xml:space="preserve">person was convicted if so to prove was relevant to an issue in the proceedings. The jurisprudence of the Court of Appeal soon established, however, that,  </w:t>
      </w:r>
    </w:p>
    <w:p w:rsidR="00B33FD6" w:rsidRDefault="00B33FD6" w:rsidP="00C744B1">
      <w:pPr>
        <w:rPr>
          <w:rFonts w:ascii="Times New Roman" w:hAnsi="Times New Roman" w:cs="Times New Roman"/>
          <w:sz w:val="24"/>
          <w:szCs w:val="24"/>
        </w:rPr>
      </w:pPr>
    </w:p>
    <w:p w:rsidR="00B33FD6" w:rsidRDefault="00B33FD6" w:rsidP="00B33FD6">
      <w:pPr>
        <w:ind w:left="720"/>
        <w:rPr>
          <w:rFonts w:ascii="Times New Roman" w:hAnsi="Times New Roman" w:cs="Times New Roman"/>
          <w:sz w:val="24"/>
          <w:szCs w:val="24"/>
        </w:rPr>
      </w:pPr>
      <w:r>
        <w:rPr>
          <w:rFonts w:ascii="Times New Roman" w:hAnsi="Times New Roman" w:cs="Times New Roman"/>
          <w:sz w:val="24"/>
          <w:szCs w:val="24"/>
        </w:rPr>
        <w:t>[s]</w:t>
      </w:r>
      <w:proofErr w:type="spellStart"/>
      <w:r w:rsidRPr="00B33FD6">
        <w:rPr>
          <w:rFonts w:ascii="Times New Roman" w:hAnsi="Times New Roman" w:cs="Times New Roman"/>
          <w:sz w:val="24"/>
          <w:szCs w:val="24"/>
        </w:rPr>
        <w:t>ection</w:t>
      </w:r>
      <w:proofErr w:type="spellEnd"/>
      <w:r w:rsidRPr="00B33FD6">
        <w:rPr>
          <w:rFonts w:ascii="Times New Roman" w:hAnsi="Times New Roman" w:cs="Times New Roman"/>
          <w:sz w:val="24"/>
          <w:szCs w:val="24"/>
        </w:rPr>
        <w:t xml:space="preserve"> 74 is a provision which should be sparingly used. There will be occasions where, although the evidence may be technically admissible, its effect is likely to be so slight that it will be wiser not to adduce it. This is particularly so where there is any danger of a contravention of section 78. </w:t>
      </w:r>
      <w:r>
        <w:rPr>
          <w:rFonts w:ascii="Times New Roman" w:hAnsi="Times New Roman" w:cs="Times New Roman"/>
          <w:sz w:val="24"/>
          <w:szCs w:val="24"/>
        </w:rPr>
        <w:t>(</w:t>
      </w:r>
      <w:r w:rsidRPr="00B33FD6">
        <w:rPr>
          <w:rFonts w:ascii="Times New Roman" w:hAnsi="Times New Roman" w:cs="Times New Roman"/>
          <w:i/>
          <w:sz w:val="24"/>
          <w:szCs w:val="24"/>
        </w:rPr>
        <w:t>R v Robertson v Golder</w:t>
      </w:r>
      <w:r>
        <w:rPr>
          <w:rFonts w:ascii="Times New Roman" w:hAnsi="Times New Roman" w:cs="Times New Roman"/>
          <w:sz w:val="24"/>
          <w:szCs w:val="24"/>
        </w:rPr>
        <w:t xml:space="preserve"> [1987] QB 920 at p. 928). </w:t>
      </w:r>
    </w:p>
    <w:p w:rsidR="00291D1E" w:rsidRDefault="001C799E" w:rsidP="001C799E">
      <w:pPr>
        <w:rPr>
          <w:rFonts w:ascii="Times New Roman" w:hAnsi="Times New Roman" w:cs="Times New Roman"/>
          <w:sz w:val="24"/>
          <w:szCs w:val="24"/>
        </w:rPr>
      </w:pPr>
      <w:r>
        <w:rPr>
          <w:rFonts w:ascii="Times New Roman" w:hAnsi="Times New Roman" w:cs="Times New Roman"/>
          <w:sz w:val="24"/>
          <w:szCs w:val="24"/>
        </w:rPr>
        <w:t xml:space="preserve">Thus, in </w:t>
      </w:r>
      <w:r w:rsidRPr="001C799E">
        <w:rPr>
          <w:rFonts w:ascii="Times New Roman" w:hAnsi="Times New Roman" w:cs="Times New Roman"/>
          <w:i/>
          <w:sz w:val="24"/>
          <w:szCs w:val="24"/>
        </w:rPr>
        <w:t xml:space="preserve">R v </w:t>
      </w:r>
      <w:proofErr w:type="spellStart"/>
      <w:r w:rsidRPr="001C799E">
        <w:rPr>
          <w:rFonts w:ascii="Times New Roman" w:hAnsi="Times New Roman" w:cs="Times New Roman"/>
          <w:i/>
          <w:sz w:val="24"/>
          <w:szCs w:val="24"/>
        </w:rPr>
        <w:t>Kempster</w:t>
      </w:r>
      <w:proofErr w:type="spellEnd"/>
      <w:r>
        <w:rPr>
          <w:rFonts w:ascii="Times New Roman" w:hAnsi="Times New Roman" w:cs="Times New Roman"/>
          <w:sz w:val="24"/>
          <w:szCs w:val="24"/>
        </w:rPr>
        <w:t xml:space="preserve"> (</w:t>
      </w:r>
      <w:r w:rsidRPr="004264AB">
        <w:rPr>
          <w:rFonts w:ascii="Times New Roman" w:hAnsi="Times New Roman" w:cs="Times New Roman"/>
          <w:sz w:val="24"/>
          <w:szCs w:val="24"/>
        </w:rPr>
        <w:t>1990</w:t>
      </w:r>
      <w:r>
        <w:rPr>
          <w:rFonts w:ascii="Times New Roman" w:hAnsi="Times New Roman" w:cs="Times New Roman"/>
          <w:sz w:val="24"/>
          <w:szCs w:val="24"/>
        </w:rPr>
        <w:t>)</w:t>
      </w:r>
      <w:r w:rsidRPr="004264AB">
        <w:rPr>
          <w:rFonts w:ascii="Times New Roman" w:hAnsi="Times New Roman" w:cs="Times New Roman"/>
          <w:sz w:val="24"/>
          <w:szCs w:val="24"/>
        </w:rPr>
        <w:t xml:space="preserve"> 90 Cr App 14</w:t>
      </w:r>
      <w:r>
        <w:rPr>
          <w:rFonts w:ascii="Times New Roman" w:hAnsi="Times New Roman" w:cs="Times New Roman"/>
          <w:sz w:val="24"/>
          <w:szCs w:val="24"/>
        </w:rPr>
        <w:t xml:space="preserve"> the Court of Appeal </w:t>
      </w:r>
      <w:r w:rsidR="007C3669">
        <w:rPr>
          <w:rFonts w:ascii="Times New Roman" w:hAnsi="Times New Roman" w:cs="Times New Roman"/>
          <w:sz w:val="24"/>
          <w:szCs w:val="24"/>
        </w:rPr>
        <w:t>(</w:t>
      </w:r>
      <w:r>
        <w:rPr>
          <w:rFonts w:ascii="Times New Roman" w:hAnsi="Times New Roman" w:cs="Times New Roman"/>
          <w:sz w:val="24"/>
          <w:szCs w:val="24"/>
        </w:rPr>
        <w:t>at p. 19</w:t>
      </w:r>
      <w:r w:rsidR="007C3669">
        <w:rPr>
          <w:rFonts w:ascii="Times New Roman" w:hAnsi="Times New Roman" w:cs="Times New Roman"/>
          <w:sz w:val="24"/>
          <w:szCs w:val="24"/>
        </w:rPr>
        <w:t>)</w:t>
      </w:r>
      <w:r>
        <w:rPr>
          <w:rFonts w:ascii="Times New Roman" w:hAnsi="Times New Roman" w:cs="Times New Roman"/>
          <w:sz w:val="24"/>
          <w:szCs w:val="24"/>
        </w:rPr>
        <w:t xml:space="preserve"> </w:t>
      </w:r>
      <w:r w:rsidR="00A4070C">
        <w:rPr>
          <w:rFonts w:ascii="Times New Roman" w:hAnsi="Times New Roman" w:cs="Times New Roman"/>
          <w:sz w:val="24"/>
          <w:szCs w:val="24"/>
        </w:rPr>
        <w:t xml:space="preserve">regarded it as being “of </w:t>
      </w:r>
      <w:r w:rsidR="00A4070C" w:rsidRPr="00A4070C">
        <w:rPr>
          <w:rFonts w:ascii="Times New Roman" w:hAnsi="Times New Roman" w:cs="Times New Roman"/>
          <w:sz w:val="24"/>
          <w:szCs w:val="24"/>
        </w:rPr>
        <w:t>vital importance to distinguish between </w:t>
      </w:r>
      <w:r w:rsidRPr="001C799E">
        <w:rPr>
          <w:rFonts w:ascii="Times New Roman" w:hAnsi="Times New Roman" w:cs="Times New Roman"/>
          <w:sz w:val="24"/>
          <w:szCs w:val="24"/>
        </w:rPr>
        <w:t>the extent of the power conferred by section 74, and the circumstances in which evidence should be excluded</w:t>
      </w:r>
      <w:r>
        <w:rPr>
          <w:rFonts w:ascii="Times New Roman" w:hAnsi="Times New Roman" w:cs="Times New Roman"/>
          <w:sz w:val="24"/>
          <w:szCs w:val="24"/>
        </w:rPr>
        <w:t xml:space="preserve">”. Their Lordships indicated that the power’s extent was </w:t>
      </w:r>
      <w:r w:rsidR="00A4070C">
        <w:rPr>
          <w:rFonts w:ascii="Times New Roman" w:hAnsi="Times New Roman" w:cs="Times New Roman"/>
          <w:sz w:val="24"/>
          <w:szCs w:val="24"/>
        </w:rPr>
        <w:t xml:space="preserve">“determined” </w:t>
      </w:r>
      <w:r>
        <w:rPr>
          <w:rFonts w:ascii="Times New Roman" w:hAnsi="Times New Roman" w:cs="Times New Roman"/>
          <w:sz w:val="24"/>
          <w:szCs w:val="24"/>
        </w:rPr>
        <w:t xml:space="preserve">by the wording of s.74(1) which at that time provided </w:t>
      </w:r>
      <w:r w:rsidR="0026220B">
        <w:rPr>
          <w:rFonts w:ascii="Times New Roman" w:hAnsi="Times New Roman" w:cs="Times New Roman"/>
          <w:sz w:val="24"/>
          <w:szCs w:val="24"/>
        </w:rPr>
        <w:t>that evidence</w:t>
      </w:r>
      <w:r w:rsidR="007E2C03">
        <w:rPr>
          <w:rFonts w:ascii="Times New Roman" w:hAnsi="Times New Roman" w:cs="Times New Roman"/>
          <w:sz w:val="24"/>
          <w:szCs w:val="24"/>
        </w:rPr>
        <w:t xml:space="preserve"> </w:t>
      </w:r>
      <w:r w:rsidR="0026220B">
        <w:rPr>
          <w:rFonts w:ascii="Times New Roman" w:hAnsi="Times New Roman" w:cs="Times New Roman"/>
          <w:sz w:val="24"/>
          <w:szCs w:val="24"/>
        </w:rPr>
        <w:t xml:space="preserve">of a </w:t>
      </w:r>
      <w:r w:rsidR="003D1F06">
        <w:rPr>
          <w:rFonts w:ascii="Times New Roman" w:hAnsi="Times New Roman" w:cs="Times New Roman"/>
          <w:sz w:val="24"/>
          <w:szCs w:val="24"/>
        </w:rPr>
        <w:t xml:space="preserve">person’s </w:t>
      </w:r>
      <w:r w:rsidR="0026220B">
        <w:rPr>
          <w:rFonts w:ascii="Times New Roman" w:hAnsi="Times New Roman" w:cs="Times New Roman"/>
          <w:sz w:val="24"/>
          <w:szCs w:val="24"/>
        </w:rPr>
        <w:t xml:space="preserve">conviction was admissible </w:t>
      </w:r>
      <w:r w:rsidR="003D1F06">
        <w:rPr>
          <w:rFonts w:ascii="Times New Roman" w:hAnsi="Times New Roman" w:cs="Times New Roman"/>
          <w:sz w:val="24"/>
          <w:szCs w:val="24"/>
        </w:rPr>
        <w:t xml:space="preserve">in any proceedings </w:t>
      </w:r>
      <w:r w:rsidR="0026220B">
        <w:rPr>
          <w:rFonts w:ascii="Times New Roman" w:hAnsi="Times New Roman" w:cs="Times New Roman"/>
          <w:sz w:val="24"/>
          <w:szCs w:val="24"/>
        </w:rPr>
        <w:t xml:space="preserve">to prove that </w:t>
      </w:r>
      <w:r w:rsidR="003D1F06">
        <w:rPr>
          <w:rFonts w:ascii="Times New Roman" w:hAnsi="Times New Roman" w:cs="Times New Roman"/>
          <w:sz w:val="24"/>
          <w:szCs w:val="24"/>
        </w:rPr>
        <w:t>he</w:t>
      </w:r>
      <w:r w:rsidR="0026220B">
        <w:rPr>
          <w:rFonts w:ascii="Times New Roman" w:hAnsi="Times New Roman" w:cs="Times New Roman"/>
          <w:sz w:val="24"/>
          <w:szCs w:val="24"/>
        </w:rPr>
        <w:t xml:space="preserve"> committed the offence</w:t>
      </w:r>
      <w:r>
        <w:rPr>
          <w:rFonts w:ascii="Times New Roman" w:hAnsi="Times New Roman" w:cs="Times New Roman"/>
          <w:sz w:val="24"/>
          <w:szCs w:val="24"/>
        </w:rPr>
        <w:t xml:space="preserve"> </w:t>
      </w:r>
      <w:r w:rsidRPr="001C799E">
        <w:rPr>
          <w:rFonts w:ascii="Times New Roman" w:hAnsi="Times New Roman" w:cs="Times New Roman"/>
          <w:sz w:val="24"/>
          <w:szCs w:val="24"/>
        </w:rPr>
        <w:t>“where to do so is relevant to</w:t>
      </w:r>
      <w:r>
        <w:rPr>
          <w:rFonts w:ascii="Times New Roman" w:hAnsi="Times New Roman" w:cs="Times New Roman"/>
          <w:sz w:val="24"/>
          <w:szCs w:val="24"/>
        </w:rPr>
        <w:t xml:space="preserve"> any issue in those proceedings”. The</w:t>
      </w:r>
      <w:r w:rsidR="003D1F06">
        <w:rPr>
          <w:rFonts w:ascii="Times New Roman" w:hAnsi="Times New Roman" w:cs="Times New Roman"/>
          <w:sz w:val="24"/>
          <w:szCs w:val="24"/>
        </w:rPr>
        <w:t>ir Lordships</w:t>
      </w:r>
      <w:r>
        <w:rPr>
          <w:rFonts w:ascii="Times New Roman" w:hAnsi="Times New Roman" w:cs="Times New Roman"/>
          <w:sz w:val="24"/>
          <w:szCs w:val="24"/>
        </w:rPr>
        <w:t xml:space="preserve"> emphasised </w:t>
      </w:r>
      <w:r w:rsidR="0026220B">
        <w:rPr>
          <w:rFonts w:ascii="Times New Roman" w:hAnsi="Times New Roman" w:cs="Times New Roman"/>
          <w:sz w:val="24"/>
          <w:szCs w:val="24"/>
        </w:rPr>
        <w:t>(</w:t>
      </w:r>
      <w:r>
        <w:rPr>
          <w:rFonts w:ascii="Times New Roman" w:hAnsi="Times New Roman" w:cs="Times New Roman"/>
          <w:sz w:val="24"/>
          <w:szCs w:val="24"/>
        </w:rPr>
        <w:t>at p. 20</w:t>
      </w:r>
      <w:r w:rsidR="0026220B">
        <w:rPr>
          <w:rFonts w:ascii="Times New Roman" w:hAnsi="Times New Roman" w:cs="Times New Roman"/>
          <w:sz w:val="24"/>
          <w:szCs w:val="24"/>
        </w:rPr>
        <w:t>)</w:t>
      </w:r>
      <w:r>
        <w:rPr>
          <w:rFonts w:ascii="Times New Roman" w:hAnsi="Times New Roman" w:cs="Times New Roman"/>
          <w:sz w:val="24"/>
          <w:szCs w:val="24"/>
        </w:rPr>
        <w:t xml:space="preserve"> that s.78 raised “</w:t>
      </w:r>
      <w:r w:rsidRPr="001C799E">
        <w:rPr>
          <w:rFonts w:ascii="Times New Roman" w:hAnsi="Times New Roman" w:cs="Times New Roman"/>
          <w:sz w:val="24"/>
          <w:szCs w:val="24"/>
        </w:rPr>
        <w:t>a separate and distinct question—whether the admission of the evidence would have such an adverse effect on the fairness of the proceedings that the Court ought not to admit it</w:t>
      </w:r>
      <w:r>
        <w:rPr>
          <w:rFonts w:ascii="Times New Roman" w:hAnsi="Times New Roman" w:cs="Times New Roman"/>
          <w:sz w:val="24"/>
          <w:szCs w:val="24"/>
        </w:rPr>
        <w:t>”</w:t>
      </w:r>
      <w:r w:rsidRPr="001C799E">
        <w:rPr>
          <w:rFonts w:ascii="Times New Roman" w:hAnsi="Times New Roman" w:cs="Times New Roman"/>
          <w:sz w:val="24"/>
          <w:szCs w:val="24"/>
        </w:rPr>
        <w:t>.</w:t>
      </w:r>
      <w:r w:rsidR="00291D1E">
        <w:rPr>
          <w:rFonts w:ascii="Times New Roman" w:hAnsi="Times New Roman" w:cs="Times New Roman"/>
          <w:sz w:val="24"/>
          <w:szCs w:val="24"/>
        </w:rPr>
        <w:t xml:space="preserve"> </w:t>
      </w:r>
    </w:p>
    <w:p w:rsidR="00CC4FF9" w:rsidRPr="00E802CF" w:rsidRDefault="00291D1E" w:rsidP="00E802CF">
      <w:pPr>
        <w:rPr>
          <w:rFonts w:ascii="Times New Roman" w:hAnsi="Times New Roman" w:cs="Times New Roman"/>
          <w:sz w:val="24"/>
          <w:szCs w:val="24"/>
        </w:rPr>
      </w:pPr>
      <w:r>
        <w:rPr>
          <w:rFonts w:ascii="Times New Roman" w:hAnsi="Times New Roman" w:cs="Times New Roman"/>
          <w:sz w:val="24"/>
          <w:szCs w:val="24"/>
        </w:rPr>
        <w:t xml:space="preserve">As the decision of the Court of Appeal in </w:t>
      </w:r>
      <w:r w:rsidRPr="00E802CF">
        <w:rPr>
          <w:rFonts w:ascii="Times New Roman" w:hAnsi="Times New Roman" w:cs="Times New Roman"/>
          <w:i/>
          <w:sz w:val="24"/>
          <w:szCs w:val="24"/>
        </w:rPr>
        <w:t>R v Denham; R v Stansfield</w:t>
      </w:r>
      <w:r>
        <w:rPr>
          <w:rFonts w:ascii="Times New Roman" w:hAnsi="Times New Roman" w:cs="Times New Roman"/>
          <w:sz w:val="24"/>
          <w:szCs w:val="24"/>
        </w:rPr>
        <w:t xml:space="preserve"> makes clear, the relationship between s.74 and s.78 continues to be one whereby the ambit of s.74 is restricted by the existence of s.78. One point that is not referred to in th</w:t>
      </w:r>
      <w:r w:rsidR="000B6593">
        <w:rPr>
          <w:rFonts w:ascii="Times New Roman" w:hAnsi="Times New Roman" w:cs="Times New Roman"/>
          <w:sz w:val="24"/>
          <w:szCs w:val="24"/>
        </w:rPr>
        <w:t>is</w:t>
      </w:r>
      <w:r>
        <w:rPr>
          <w:rFonts w:ascii="Times New Roman" w:hAnsi="Times New Roman" w:cs="Times New Roman"/>
          <w:sz w:val="24"/>
          <w:szCs w:val="24"/>
        </w:rPr>
        <w:t xml:space="preserve"> recent case</w:t>
      </w:r>
      <w:r w:rsidR="0026220B">
        <w:rPr>
          <w:rFonts w:ascii="Times New Roman" w:hAnsi="Times New Roman" w:cs="Times New Roman"/>
          <w:sz w:val="24"/>
          <w:szCs w:val="24"/>
        </w:rPr>
        <w:t>,</w:t>
      </w:r>
      <w:r>
        <w:rPr>
          <w:rFonts w:ascii="Times New Roman" w:hAnsi="Times New Roman" w:cs="Times New Roman"/>
          <w:sz w:val="24"/>
          <w:szCs w:val="24"/>
        </w:rPr>
        <w:t xml:space="preserve"> however </w:t>
      </w:r>
      <w:r w:rsidR="00E227B3">
        <w:rPr>
          <w:rFonts w:ascii="Times New Roman" w:hAnsi="Times New Roman" w:cs="Times New Roman"/>
          <w:sz w:val="24"/>
          <w:szCs w:val="24"/>
        </w:rPr>
        <w:t xml:space="preserve">(though a point that Rao recently recognised in an article in </w:t>
      </w:r>
      <w:r w:rsidR="0026220B">
        <w:rPr>
          <w:rFonts w:ascii="Times New Roman" w:hAnsi="Times New Roman" w:cs="Times New Roman"/>
          <w:sz w:val="24"/>
          <w:szCs w:val="24"/>
        </w:rPr>
        <w:t xml:space="preserve">[2016] 6 </w:t>
      </w:r>
      <w:r w:rsidR="00E227B3" w:rsidRPr="00E227B3">
        <w:rPr>
          <w:rFonts w:ascii="Times New Roman" w:hAnsi="Times New Roman" w:cs="Times New Roman"/>
          <w:sz w:val="24"/>
          <w:szCs w:val="24"/>
        </w:rPr>
        <w:t>Arch. Rev. 5</w:t>
      </w:r>
      <w:r w:rsidR="00E227B3">
        <w:rPr>
          <w:rFonts w:ascii="Times New Roman" w:hAnsi="Times New Roman" w:cs="Times New Roman"/>
          <w:sz w:val="24"/>
          <w:szCs w:val="24"/>
        </w:rPr>
        <w:t>) i</w:t>
      </w:r>
      <w:r>
        <w:rPr>
          <w:rFonts w:ascii="Times New Roman" w:hAnsi="Times New Roman" w:cs="Times New Roman"/>
          <w:sz w:val="24"/>
          <w:szCs w:val="24"/>
        </w:rPr>
        <w:t xml:space="preserve">s that since the bad character provisions of the Criminal Justice Act 2003 came into force, the effect of s.74(1) has been that evidence of third party convictions is admissible to prove that the person convicted committed the offence of which that person was convicted </w:t>
      </w:r>
      <w:r w:rsidR="00C14903">
        <w:rPr>
          <w:rFonts w:ascii="Times New Roman" w:hAnsi="Times New Roman" w:cs="Times New Roman"/>
          <w:sz w:val="24"/>
          <w:szCs w:val="24"/>
        </w:rPr>
        <w:t xml:space="preserve">only </w:t>
      </w:r>
      <w:r>
        <w:rPr>
          <w:rFonts w:ascii="Times New Roman" w:hAnsi="Times New Roman" w:cs="Times New Roman"/>
          <w:sz w:val="24"/>
          <w:szCs w:val="24"/>
        </w:rPr>
        <w:t>if evidence that the person convicted committed the offence is admissible. Thus, whereas the original version of s.74(1) contained a test of relevance which, subject to the operation of s.78, governed the admissibility of third party convictions, the operation of s.74 in its current form is dependent upon the satisfaction of an external test of admissibility which operates independent</w:t>
      </w:r>
      <w:r w:rsidR="0026220B">
        <w:rPr>
          <w:rFonts w:ascii="Times New Roman" w:hAnsi="Times New Roman" w:cs="Times New Roman"/>
          <w:sz w:val="24"/>
          <w:szCs w:val="24"/>
        </w:rPr>
        <w:t>ly</w:t>
      </w:r>
      <w:r>
        <w:rPr>
          <w:rFonts w:ascii="Times New Roman" w:hAnsi="Times New Roman" w:cs="Times New Roman"/>
          <w:sz w:val="24"/>
          <w:szCs w:val="24"/>
        </w:rPr>
        <w:t xml:space="preserve"> of s.74. To </w:t>
      </w:r>
      <w:r w:rsidR="009807E7">
        <w:rPr>
          <w:rFonts w:ascii="Times New Roman" w:hAnsi="Times New Roman" w:cs="Times New Roman"/>
          <w:sz w:val="24"/>
          <w:szCs w:val="24"/>
        </w:rPr>
        <w:t>apply</w:t>
      </w:r>
      <w:r>
        <w:rPr>
          <w:rFonts w:ascii="Times New Roman" w:hAnsi="Times New Roman" w:cs="Times New Roman"/>
          <w:sz w:val="24"/>
          <w:szCs w:val="24"/>
        </w:rPr>
        <w:t xml:space="preserve"> the terminology used by the Court of Appeal in </w:t>
      </w:r>
      <w:proofErr w:type="spellStart"/>
      <w:r w:rsidRPr="00E802CF">
        <w:rPr>
          <w:rFonts w:ascii="Times New Roman" w:hAnsi="Times New Roman" w:cs="Times New Roman"/>
          <w:i/>
          <w:sz w:val="24"/>
          <w:szCs w:val="24"/>
        </w:rPr>
        <w:t>Kempster</w:t>
      </w:r>
      <w:proofErr w:type="spellEnd"/>
      <w:r>
        <w:rPr>
          <w:rFonts w:ascii="Times New Roman" w:hAnsi="Times New Roman" w:cs="Times New Roman"/>
          <w:sz w:val="24"/>
          <w:szCs w:val="24"/>
        </w:rPr>
        <w:t xml:space="preserve">, “the extent of the power conferred by s.74” </w:t>
      </w:r>
      <w:r w:rsidR="00A4070C">
        <w:rPr>
          <w:rFonts w:ascii="Times New Roman" w:hAnsi="Times New Roman" w:cs="Times New Roman"/>
          <w:sz w:val="24"/>
          <w:szCs w:val="24"/>
        </w:rPr>
        <w:t xml:space="preserve">is no longer “determined” by the wording of that section. </w:t>
      </w:r>
      <w:r w:rsidR="00E227B3">
        <w:rPr>
          <w:rFonts w:ascii="Times New Roman" w:hAnsi="Times New Roman" w:cs="Times New Roman"/>
          <w:sz w:val="24"/>
          <w:szCs w:val="24"/>
        </w:rPr>
        <w:t>Rather,</w:t>
      </w:r>
      <w:r w:rsidR="00CC4FF9" w:rsidRPr="00E802CF">
        <w:rPr>
          <w:rFonts w:ascii="Times New Roman" w:hAnsi="Times New Roman" w:cs="Times New Roman"/>
          <w:sz w:val="24"/>
          <w:szCs w:val="24"/>
        </w:rPr>
        <w:t xml:space="preserve"> the </w:t>
      </w:r>
      <w:r w:rsidR="00CC4FF9">
        <w:rPr>
          <w:rFonts w:ascii="Times New Roman" w:hAnsi="Times New Roman" w:cs="Times New Roman"/>
          <w:sz w:val="24"/>
          <w:szCs w:val="24"/>
        </w:rPr>
        <w:t>position is as follows</w:t>
      </w:r>
      <w:r w:rsidR="00C14903">
        <w:rPr>
          <w:rFonts w:ascii="Times New Roman" w:hAnsi="Times New Roman" w:cs="Times New Roman"/>
          <w:sz w:val="24"/>
          <w:szCs w:val="24"/>
        </w:rPr>
        <w:t>.</w:t>
      </w:r>
    </w:p>
    <w:p w:rsidR="005D46C4" w:rsidRDefault="00C14903" w:rsidP="005D46C4">
      <w:pPr>
        <w:rPr>
          <w:rFonts w:ascii="Times New Roman" w:hAnsi="Times New Roman" w:cs="Times New Roman"/>
          <w:sz w:val="24"/>
          <w:szCs w:val="24"/>
        </w:rPr>
      </w:pPr>
      <w:r>
        <w:rPr>
          <w:rFonts w:ascii="Times New Roman" w:hAnsi="Times New Roman" w:cs="Times New Roman"/>
          <w:sz w:val="24"/>
          <w:szCs w:val="24"/>
        </w:rPr>
        <w:t xml:space="preserve">A </w:t>
      </w:r>
      <w:r w:rsidR="00CC4FF9">
        <w:rPr>
          <w:rFonts w:ascii="Times New Roman" w:hAnsi="Times New Roman" w:cs="Times New Roman"/>
          <w:sz w:val="24"/>
          <w:szCs w:val="24"/>
        </w:rPr>
        <w:t>previous conviction will amount to evidence of the commission of a criminal offence and, thus, under s.112 of the Criminal Justice Act 2003, to evidence of misconduct</w:t>
      </w:r>
      <w:r w:rsidR="00CC4FF9" w:rsidRPr="00E802CF">
        <w:rPr>
          <w:rFonts w:ascii="Times New Roman" w:hAnsi="Times New Roman" w:cs="Times New Roman"/>
          <w:sz w:val="24"/>
          <w:szCs w:val="24"/>
        </w:rPr>
        <w:t xml:space="preserve"> for the purposes of the 2003 Act’s bad character provisions. </w:t>
      </w:r>
      <w:r>
        <w:rPr>
          <w:rFonts w:ascii="Times New Roman" w:hAnsi="Times New Roman" w:cs="Times New Roman"/>
          <w:sz w:val="24"/>
          <w:szCs w:val="24"/>
        </w:rPr>
        <w:t xml:space="preserve">Such </w:t>
      </w:r>
      <w:r w:rsidR="00CC4FF9">
        <w:rPr>
          <w:rFonts w:ascii="Times New Roman" w:hAnsi="Times New Roman" w:cs="Times New Roman"/>
          <w:sz w:val="24"/>
          <w:szCs w:val="24"/>
        </w:rPr>
        <w:t>evidence will</w:t>
      </w:r>
      <w:r w:rsidR="00584558" w:rsidRPr="00E802CF">
        <w:rPr>
          <w:rFonts w:ascii="Times New Roman" w:hAnsi="Times New Roman" w:cs="Times New Roman"/>
          <w:sz w:val="24"/>
          <w:szCs w:val="24"/>
        </w:rPr>
        <w:t>, thus,</w:t>
      </w:r>
      <w:r w:rsidR="00CC4FF9">
        <w:rPr>
          <w:rFonts w:ascii="Times New Roman" w:hAnsi="Times New Roman" w:cs="Times New Roman"/>
          <w:sz w:val="24"/>
          <w:szCs w:val="24"/>
        </w:rPr>
        <w:t xml:space="preserve"> amount to evidence of bad character under s.98 of the 2003 Act unless it is excluded from the definition of bad character by virtue of the operation of s.98(a) or s.98(b), which exclude from the statutory definition of bad character, </w:t>
      </w:r>
      <w:r w:rsidR="00CC4FF9" w:rsidRPr="00E802CF">
        <w:rPr>
          <w:rFonts w:ascii="Times New Roman" w:hAnsi="Times New Roman" w:cs="Times New Roman"/>
          <w:sz w:val="24"/>
          <w:szCs w:val="24"/>
        </w:rPr>
        <w:t>“evidence which--</w:t>
      </w:r>
      <w:r w:rsidR="00CC4FF9" w:rsidRPr="00CC4FF9">
        <w:rPr>
          <w:rFonts w:ascii="Times New Roman" w:hAnsi="Times New Roman" w:cs="Times New Roman"/>
          <w:sz w:val="24"/>
          <w:szCs w:val="24"/>
        </w:rPr>
        <w:t>(a)</w:t>
      </w:r>
      <w:r w:rsidR="00CC4FF9" w:rsidRPr="00E802CF">
        <w:rPr>
          <w:rFonts w:ascii="Times New Roman" w:hAnsi="Times New Roman" w:cs="Times New Roman"/>
          <w:sz w:val="24"/>
          <w:szCs w:val="24"/>
        </w:rPr>
        <w:t xml:space="preserve"> </w:t>
      </w:r>
      <w:r w:rsidR="00CC4FF9" w:rsidRPr="00CC4FF9">
        <w:rPr>
          <w:rFonts w:ascii="Times New Roman" w:hAnsi="Times New Roman" w:cs="Times New Roman"/>
          <w:sz w:val="24"/>
          <w:szCs w:val="24"/>
        </w:rPr>
        <w:t>has to do with the alleged facts of the offence with which the defendant is charged, or</w:t>
      </w:r>
      <w:r w:rsidR="00CC4FF9" w:rsidRPr="00E802CF">
        <w:rPr>
          <w:rFonts w:ascii="Times New Roman" w:hAnsi="Times New Roman" w:cs="Times New Roman"/>
          <w:sz w:val="24"/>
          <w:szCs w:val="24"/>
        </w:rPr>
        <w:t xml:space="preserve"> (b) is evidence of misconduct in connection with the investigation or prosecution of that offence”. </w:t>
      </w:r>
    </w:p>
    <w:p w:rsidR="008C47B1" w:rsidRDefault="00C14903" w:rsidP="008C47B1">
      <w:pPr>
        <w:rPr>
          <w:rFonts w:ascii="Times New Roman" w:hAnsi="Times New Roman" w:cs="Times New Roman"/>
          <w:sz w:val="24"/>
          <w:szCs w:val="24"/>
        </w:rPr>
      </w:pPr>
      <w:r>
        <w:rPr>
          <w:rFonts w:ascii="Times New Roman" w:hAnsi="Times New Roman" w:cs="Times New Roman"/>
          <w:sz w:val="24"/>
          <w:szCs w:val="24"/>
        </w:rPr>
        <w:t>The admissibility of e</w:t>
      </w:r>
      <w:r w:rsidR="00584558" w:rsidRPr="00E802CF">
        <w:rPr>
          <w:rFonts w:ascii="Times New Roman" w:hAnsi="Times New Roman" w:cs="Times New Roman"/>
          <w:sz w:val="24"/>
          <w:szCs w:val="24"/>
        </w:rPr>
        <w:t xml:space="preserve">vidence </w:t>
      </w:r>
      <w:r>
        <w:rPr>
          <w:rFonts w:ascii="Times New Roman" w:hAnsi="Times New Roman" w:cs="Times New Roman"/>
          <w:sz w:val="24"/>
          <w:szCs w:val="24"/>
        </w:rPr>
        <w:t xml:space="preserve">of the bad character of a person other than the accused is </w:t>
      </w:r>
      <w:r w:rsidR="00584558" w:rsidRPr="00E802CF">
        <w:rPr>
          <w:rFonts w:ascii="Times New Roman" w:hAnsi="Times New Roman" w:cs="Times New Roman"/>
          <w:sz w:val="24"/>
          <w:szCs w:val="24"/>
        </w:rPr>
        <w:t xml:space="preserve">governed by s.100 </w:t>
      </w:r>
      <w:r w:rsidR="005D46C4">
        <w:rPr>
          <w:rFonts w:ascii="Times New Roman" w:hAnsi="Times New Roman" w:cs="Times New Roman"/>
          <w:sz w:val="24"/>
          <w:szCs w:val="24"/>
        </w:rPr>
        <w:t>of the 2003 Act. U</w:t>
      </w:r>
      <w:r>
        <w:rPr>
          <w:rFonts w:ascii="Times New Roman" w:hAnsi="Times New Roman" w:cs="Times New Roman"/>
          <w:sz w:val="24"/>
          <w:szCs w:val="24"/>
        </w:rPr>
        <w:t xml:space="preserve">nder </w:t>
      </w:r>
      <w:r w:rsidR="005D46C4">
        <w:rPr>
          <w:rFonts w:ascii="Times New Roman" w:hAnsi="Times New Roman" w:cs="Times New Roman"/>
          <w:sz w:val="24"/>
          <w:szCs w:val="24"/>
        </w:rPr>
        <w:t xml:space="preserve">s.100 (and subject to s.78 of PACE if it is tendered by the prosecution) such evidence may </w:t>
      </w:r>
      <w:r>
        <w:rPr>
          <w:rFonts w:ascii="Times New Roman" w:hAnsi="Times New Roman" w:cs="Times New Roman"/>
          <w:sz w:val="24"/>
          <w:szCs w:val="24"/>
        </w:rPr>
        <w:t xml:space="preserve">be admissible </w:t>
      </w:r>
      <w:r w:rsidR="005D46C4">
        <w:rPr>
          <w:rFonts w:ascii="Times New Roman" w:hAnsi="Times New Roman" w:cs="Times New Roman"/>
          <w:sz w:val="24"/>
          <w:szCs w:val="24"/>
        </w:rPr>
        <w:t xml:space="preserve">as important explanatory evidence or if </w:t>
      </w:r>
      <w:r w:rsidR="005D46C4">
        <w:rPr>
          <w:rFonts w:ascii="Times New Roman" w:hAnsi="Times New Roman" w:cs="Times New Roman"/>
          <w:sz w:val="24"/>
          <w:szCs w:val="24"/>
        </w:rPr>
        <w:lastRenderedPageBreak/>
        <w:t xml:space="preserve">it </w:t>
      </w:r>
      <w:r w:rsidR="005D46C4" w:rsidRPr="00E802CF">
        <w:rPr>
          <w:rFonts w:ascii="Times New Roman" w:hAnsi="Times New Roman" w:cs="Times New Roman"/>
          <w:sz w:val="24"/>
          <w:szCs w:val="24"/>
        </w:rPr>
        <w:t>has substantial probative valu</w:t>
      </w:r>
      <w:r w:rsidR="005D46C4">
        <w:rPr>
          <w:rFonts w:ascii="Times New Roman" w:hAnsi="Times New Roman" w:cs="Times New Roman"/>
          <w:sz w:val="24"/>
          <w:szCs w:val="24"/>
        </w:rPr>
        <w:t xml:space="preserve">e in relation to a matter in issue in the proceedings which is of substantial importance in the context of the case as a whole or if the parties agree to its admission. Where evidence falls outside the ambit of the 2003 Act’s bad character regime due to the operation of s.98(a) or (b), </w:t>
      </w:r>
      <w:r w:rsidR="005D46C4" w:rsidRPr="00E802CF">
        <w:rPr>
          <w:rFonts w:ascii="Times New Roman" w:hAnsi="Times New Roman" w:cs="Times New Roman"/>
          <w:sz w:val="24"/>
          <w:szCs w:val="24"/>
        </w:rPr>
        <w:t>admissibility is governed by the common law test of relevance (subject to the exercise of the s.78 discretion if the evidence i</w:t>
      </w:r>
      <w:r w:rsidR="005D46C4">
        <w:rPr>
          <w:rFonts w:ascii="Times New Roman" w:hAnsi="Times New Roman" w:cs="Times New Roman"/>
          <w:sz w:val="24"/>
          <w:szCs w:val="24"/>
        </w:rPr>
        <w:t xml:space="preserve">s tendered by the prosecution) (see, for example, </w:t>
      </w:r>
      <w:r w:rsidR="005D46C4" w:rsidRPr="00E802CF">
        <w:rPr>
          <w:rFonts w:ascii="Times New Roman" w:hAnsi="Times New Roman" w:cs="Times New Roman"/>
          <w:i/>
          <w:sz w:val="24"/>
          <w:szCs w:val="24"/>
        </w:rPr>
        <w:t>R v Mullings</w:t>
      </w:r>
      <w:r w:rsidR="005D46C4" w:rsidRPr="00E802CF">
        <w:rPr>
          <w:rFonts w:ascii="Times New Roman" w:hAnsi="Times New Roman" w:cs="Times New Roman"/>
          <w:sz w:val="24"/>
          <w:szCs w:val="24"/>
        </w:rPr>
        <w:t xml:space="preserve"> [2011] 2 Cr App R 2 and </w:t>
      </w:r>
      <w:r w:rsidR="005D46C4" w:rsidRPr="00E802CF">
        <w:rPr>
          <w:rFonts w:ascii="Times New Roman" w:hAnsi="Times New Roman" w:cs="Times New Roman"/>
          <w:i/>
          <w:sz w:val="24"/>
          <w:szCs w:val="24"/>
        </w:rPr>
        <w:t xml:space="preserve">R v </w:t>
      </w:r>
      <w:proofErr w:type="spellStart"/>
      <w:r w:rsidR="005D46C4" w:rsidRPr="00E802CF">
        <w:rPr>
          <w:rFonts w:ascii="Times New Roman" w:hAnsi="Times New Roman" w:cs="Times New Roman"/>
          <w:i/>
          <w:sz w:val="24"/>
          <w:szCs w:val="24"/>
        </w:rPr>
        <w:t>Apabhai</w:t>
      </w:r>
      <w:proofErr w:type="spellEnd"/>
      <w:r w:rsidR="005D46C4" w:rsidRPr="00E802CF">
        <w:rPr>
          <w:rFonts w:ascii="Times New Roman" w:hAnsi="Times New Roman" w:cs="Times New Roman"/>
          <w:sz w:val="24"/>
          <w:szCs w:val="24"/>
        </w:rPr>
        <w:t xml:space="preserve"> [2011] EWCA Crim 917</w:t>
      </w:r>
      <w:r w:rsidR="005D46C4">
        <w:rPr>
          <w:rFonts w:ascii="Times New Roman" w:hAnsi="Times New Roman" w:cs="Times New Roman"/>
          <w:sz w:val="24"/>
          <w:szCs w:val="24"/>
        </w:rPr>
        <w:t xml:space="preserve">). </w:t>
      </w:r>
      <w:r w:rsidR="005D46C4" w:rsidRPr="00E802CF">
        <w:rPr>
          <w:rFonts w:ascii="Times New Roman" w:hAnsi="Times New Roman" w:cs="Times New Roman"/>
          <w:sz w:val="24"/>
          <w:szCs w:val="24"/>
        </w:rPr>
        <w:t xml:space="preserve">For example, in </w:t>
      </w:r>
      <w:r w:rsidR="005D46C4" w:rsidRPr="00E802CF">
        <w:rPr>
          <w:rFonts w:ascii="Times New Roman" w:hAnsi="Times New Roman" w:cs="Times New Roman"/>
          <w:i/>
          <w:sz w:val="24"/>
          <w:szCs w:val="24"/>
        </w:rPr>
        <w:t>R v Smith</w:t>
      </w:r>
      <w:r w:rsidR="005D46C4" w:rsidRPr="00E802CF">
        <w:rPr>
          <w:rFonts w:ascii="Times New Roman" w:hAnsi="Times New Roman" w:cs="Times New Roman"/>
          <w:sz w:val="24"/>
          <w:szCs w:val="24"/>
        </w:rPr>
        <w:t xml:space="preserve">, one of the s.74 authorities relied on by the judge in </w:t>
      </w:r>
      <w:r w:rsidR="005D46C4" w:rsidRPr="00E802CF">
        <w:rPr>
          <w:rFonts w:ascii="Times New Roman" w:hAnsi="Times New Roman" w:cs="Times New Roman"/>
          <w:i/>
          <w:sz w:val="24"/>
          <w:szCs w:val="24"/>
        </w:rPr>
        <w:t>R v Denham; R v Stansfield</w:t>
      </w:r>
      <w:r w:rsidR="005D46C4" w:rsidRPr="00E802CF">
        <w:rPr>
          <w:rFonts w:ascii="Times New Roman" w:hAnsi="Times New Roman" w:cs="Times New Roman"/>
          <w:sz w:val="24"/>
          <w:szCs w:val="24"/>
        </w:rPr>
        <w:t xml:space="preserve">, the Court of Appeal </w:t>
      </w:r>
      <w:r w:rsidR="0026220B">
        <w:rPr>
          <w:rFonts w:ascii="Times New Roman" w:hAnsi="Times New Roman" w:cs="Times New Roman"/>
          <w:sz w:val="24"/>
          <w:szCs w:val="24"/>
        </w:rPr>
        <w:t>(</w:t>
      </w:r>
      <w:r w:rsidR="005D46C4" w:rsidRPr="00E802CF">
        <w:rPr>
          <w:rFonts w:ascii="Times New Roman" w:hAnsi="Times New Roman" w:cs="Times New Roman"/>
          <w:sz w:val="24"/>
          <w:szCs w:val="24"/>
        </w:rPr>
        <w:t>at [9]</w:t>
      </w:r>
      <w:r w:rsidR="0026220B">
        <w:rPr>
          <w:rFonts w:ascii="Times New Roman" w:hAnsi="Times New Roman" w:cs="Times New Roman"/>
          <w:sz w:val="24"/>
          <w:szCs w:val="24"/>
        </w:rPr>
        <w:t>)</w:t>
      </w:r>
      <w:r w:rsidR="005D46C4" w:rsidRPr="00E802CF">
        <w:rPr>
          <w:rFonts w:ascii="Times New Roman" w:hAnsi="Times New Roman" w:cs="Times New Roman"/>
          <w:sz w:val="24"/>
          <w:szCs w:val="24"/>
        </w:rPr>
        <w:t xml:space="preserve"> held that the admissibility of the guilty pleas that the case concerned was not governed by s.100 because “[t]he pleas of guilty were evidence that the girl had committed the very two offences which the jury was trying…This misconduct by the girl did have to do with the offences charged — precisely. Bad character provisions were simply not relevant”. And in </w:t>
      </w:r>
      <w:r w:rsidR="005D46C4" w:rsidRPr="00E802CF">
        <w:rPr>
          <w:rFonts w:ascii="Times New Roman" w:hAnsi="Times New Roman" w:cs="Times New Roman"/>
          <w:i/>
          <w:sz w:val="24"/>
          <w:szCs w:val="24"/>
        </w:rPr>
        <w:t>R v T</w:t>
      </w:r>
      <w:r w:rsidR="005D46C4" w:rsidRPr="00E802CF">
        <w:rPr>
          <w:rFonts w:ascii="Times New Roman" w:hAnsi="Times New Roman" w:cs="Times New Roman"/>
          <w:sz w:val="24"/>
          <w:szCs w:val="24"/>
        </w:rPr>
        <w:t xml:space="preserve"> [2007] 1 Cr App R 4, another decision under the post-2003 Act formulation of s.74 in which the Court of Appeal was not applying the s.100 test, the Court of Appeal indicated </w:t>
      </w:r>
      <w:r w:rsidR="0026220B">
        <w:rPr>
          <w:rFonts w:ascii="Times New Roman" w:hAnsi="Times New Roman" w:cs="Times New Roman"/>
          <w:sz w:val="24"/>
          <w:szCs w:val="24"/>
        </w:rPr>
        <w:t>(</w:t>
      </w:r>
      <w:r w:rsidR="005D46C4" w:rsidRPr="00E802CF">
        <w:rPr>
          <w:rFonts w:ascii="Times New Roman" w:hAnsi="Times New Roman" w:cs="Times New Roman"/>
          <w:sz w:val="24"/>
          <w:szCs w:val="24"/>
        </w:rPr>
        <w:t>at [12</w:t>
      </w:r>
      <w:r w:rsidR="0026220B">
        <w:rPr>
          <w:rFonts w:ascii="Times New Roman" w:hAnsi="Times New Roman" w:cs="Times New Roman"/>
          <w:sz w:val="24"/>
          <w:szCs w:val="24"/>
        </w:rPr>
        <w:t>]</w:t>
      </w:r>
      <w:r w:rsidR="005D46C4" w:rsidRPr="00E802CF">
        <w:rPr>
          <w:rFonts w:ascii="Times New Roman" w:hAnsi="Times New Roman" w:cs="Times New Roman"/>
          <w:sz w:val="24"/>
          <w:szCs w:val="24"/>
        </w:rPr>
        <w:t>-</w:t>
      </w:r>
      <w:r w:rsidR="0026220B">
        <w:rPr>
          <w:rFonts w:ascii="Times New Roman" w:hAnsi="Times New Roman" w:cs="Times New Roman"/>
          <w:sz w:val="24"/>
          <w:szCs w:val="24"/>
        </w:rPr>
        <w:t>[</w:t>
      </w:r>
      <w:r w:rsidR="005D46C4" w:rsidRPr="00E802CF">
        <w:rPr>
          <w:rFonts w:ascii="Times New Roman" w:hAnsi="Times New Roman" w:cs="Times New Roman"/>
          <w:sz w:val="24"/>
          <w:szCs w:val="24"/>
        </w:rPr>
        <w:t>13]</w:t>
      </w:r>
      <w:r w:rsidR="0026220B">
        <w:rPr>
          <w:rFonts w:ascii="Times New Roman" w:hAnsi="Times New Roman" w:cs="Times New Roman"/>
          <w:sz w:val="24"/>
          <w:szCs w:val="24"/>
        </w:rPr>
        <w:t>)</w:t>
      </w:r>
      <w:r w:rsidR="005D46C4" w:rsidRPr="00E802CF">
        <w:rPr>
          <w:rFonts w:ascii="Times New Roman" w:hAnsi="Times New Roman" w:cs="Times New Roman"/>
          <w:sz w:val="24"/>
          <w:szCs w:val="24"/>
        </w:rPr>
        <w:t xml:space="preserve"> that “[as] far as s.74 of the 1984 Act is concerned, that again refers expressly to the fact that the evidence of a conviction has to be “admissible”</w:t>
      </w:r>
      <w:r w:rsidR="0072694C">
        <w:rPr>
          <w:rFonts w:ascii="Times New Roman" w:hAnsi="Times New Roman" w:cs="Times New Roman"/>
          <w:sz w:val="24"/>
          <w:szCs w:val="24"/>
        </w:rPr>
        <w:t xml:space="preserve">, their Lordships recognising that, </w:t>
      </w:r>
      <w:r w:rsidR="005D46C4" w:rsidRPr="00E802CF">
        <w:rPr>
          <w:rFonts w:ascii="Times New Roman" w:hAnsi="Times New Roman" w:cs="Times New Roman"/>
          <w:sz w:val="24"/>
          <w:szCs w:val="24"/>
        </w:rPr>
        <w:t xml:space="preserve">“[t]he general principle is that for evidence to be admissible as relevant, it must be logically probative (or </w:t>
      </w:r>
      <w:proofErr w:type="spellStart"/>
      <w:r w:rsidR="005D46C4" w:rsidRPr="00E802CF">
        <w:rPr>
          <w:rFonts w:ascii="Times New Roman" w:hAnsi="Times New Roman" w:cs="Times New Roman"/>
          <w:sz w:val="24"/>
          <w:szCs w:val="24"/>
        </w:rPr>
        <w:t>disprobative</w:t>
      </w:r>
      <w:proofErr w:type="spellEnd"/>
      <w:r w:rsidR="005D46C4" w:rsidRPr="00E802CF">
        <w:rPr>
          <w:rFonts w:ascii="Times New Roman" w:hAnsi="Times New Roman" w:cs="Times New Roman"/>
          <w:sz w:val="24"/>
          <w:szCs w:val="24"/>
        </w:rPr>
        <w:t>) of a fact in issue between the parties.”</w:t>
      </w:r>
      <w:r w:rsidR="0072694C">
        <w:rPr>
          <w:rFonts w:ascii="Times New Roman" w:hAnsi="Times New Roman" w:cs="Times New Roman"/>
          <w:sz w:val="24"/>
          <w:szCs w:val="24"/>
        </w:rPr>
        <w:t xml:space="preserve"> Thus, before the court is required to consider the relationship between s.74(1) and s.78, on which the Court of Appeal in </w:t>
      </w:r>
      <w:r w:rsidR="0072694C" w:rsidRPr="00E802CF">
        <w:rPr>
          <w:rFonts w:ascii="Times New Roman" w:hAnsi="Times New Roman" w:cs="Times New Roman"/>
          <w:i/>
          <w:sz w:val="24"/>
          <w:szCs w:val="24"/>
        </w:rPr>
        <w:t>R v Denham; R v Stansfield</w:t>
      </w:r>
      <w:r w:rsidR="0072694C">
        <w:rPr>
          <w:rFonts w:ascii="Times New Roman" w:hAnsi="Times New Roman" w:cs="Times New Roman"/>
          <w:sz w:val="24"/>
          <w:szCs w:val="24"/>
        </w:rPr>
        <w:t xml:space="preserve"> concentrated, it should first determine which of the two admissibility routes is applicable and consider whether</w:t>
      </w:r>
      <w:r w:rsidR="0026220B">
        <w:rPr>
          <w:rFonts w:ascii="Times New Roman" w:hAnsi="Times New Roman" w:cs="Times New Roman"/>
          <w:sz w:val="24"/>
          <w:szCs w:val="24"/>
        </w:rPr>
        <w:t>,</w:t>
      </w:r>
      <w:r w:rsidR="0072694C">
        <w:rPr>
          <w:rFonts w:ascii="Times New Roman" w:hAnsi="Times New Roman" w:cs="Times New Roman"/>
          <w:sz w:val="24"/>
          <w:szCs w:val="24"/>
        </w:rPr>
        <w:t xml:space="preserve"> as a matter of law</w:t>
      </w:r>
      <w:r w:rsidR="0026220B">
        <w:rPr>
          <w:rFonts w:ascii="Times New Roman" w:hAnsi="Times New Roman" w:cs="Times New Roman"/>
          <w:sz w:val="24"/>
          <w:szCs w:val="24"/>
        </w:rPr>
        <w:t>,</w:t>
      </w:r>
      <w:r w:rsidR="0072694C">
        <w:rPr>
          <w:rFonts w:ascii="Times New Roman" w:hAnsi="Times New Roman" w:cs="Times New Roman"/>
          <w:sz w:val="24"/>
          <w:szCs w:val="24"/>
        </w:rPr>
        <w:t xml:space="preserve"> the evidence (subject to potential exclusion under s.78) is admissible under the applicable admissibility test. </w:t>
      </w:r>
      <w:r w:rsidR="00C267B1">
        <w:rPr>
          <w:rFonts w:ascii="Times New Roman" w:hAnsi="Times New Roman" w:cs="Times New Roman"/>
          <w:sz w:val="24"/>
          <w:szCs w:val="24"/>
        </w:rPr>
        <w:t xml:space="preserve">If the evidence is not admissible under the applicable </w:t>
      </w:r>
      <w:r w:rsidR="0072694C">
        <w:rPr>
          <w:rFonts w:ascii="Times New Roman" w:hAnsi="Times New Roman" w:cs="Times New Roman"/>
          <w:sz w:val="24"/>
          <w:szCs w:val="24"/>
        </w:rPr>
        <w:t>admissibility</w:t>
      </w:r>
      <w:r w:rsidR="00C267B1">
        <w:rPr>
          <w:rFonts w:ascii="Times New Roman" w:hAnsi="Times New Roman" w:cs="Times New Roman"/>
          <w:sz w:val="24"/>
          <w:szCs w:val="24"/>
        </w:rPr>
        <w:t xml:space="preserve"> test it will be unnecessary for the court to consider the fairness of admitting it. </w:t>
      </w:r>
    </w:p>
    <w:p w:rsidR="00513B48" w:rsidRDefault="000057B5" w:rsidP="00513B48">
      <w:pPr>
        <w:rPr>
          <w:rFonts w:ascii="Times New Roman" w:hAnsi="Times New Roman" w:cs="Times New Roman"/>
          <w:sz w:val="24"/>
          <w:szCs w:val="24"/>
        </w:rPr>
      </w:pPr>
      <w:r>
        <w:rPr>
          <w:rFonts w:ascii="Times New Roman" w:hAnsi="Times New Roman" w:cs="Times New Roman"/>
          <w:sz w:val="24"/>
          <w:szCs w:val="24"/>
        </w:rPr>
        <w:t>Thus, i</w:t>
      </w:r>
      <w:r w:rsidR="0072694C">
        <w:rPr>
          <w:rFonts w:ascii="Times New Roman" w:hAnsi="Times New Roman" w:cs="Times New Roman"/>
          <w:sz w:val="24"/>
          <w:szCs w:val="24"/>
        </w:rPr>
        <w:t xml:space="preserve">n the context of a multi-count indictment such as that encountered in </w:t>
      </w:r>
      <w:r w:rsidR="0072694C" w:rsidRPr="00E802CF">
        <w:rPr>
          <w:rFonts w:ascii="Times New Roman" w:hAnsi="Times New Roman" w:cs="Times New Roman"/>
          <w:i/>
          <w:sz w:val="24"/>
          <w:szCs w:val="24"/>
        </w:rPr>
        <w:t>R v Denham; R v Stansfield</w:t>
      </w:r>
      <w:r w:rsidR="0072694C">
        <w:rPr>
          <w:rFonts w:ascii="Times New Roman" w:hAnsi="Times New Roman" w:cs="Times New Roman"/>
          <w:i/>
          <w:sz w:val="24"/>
          <w:szCs w:val="24"/>
        </w:rPr>
        <w:t xml:space="preserve">, </w:t>
      </w:r>
      <w:r w:rsidR="0068166E" w:rsidRPr="0068166E">
        <w:rPr>
          <w:rFonts w:ascii="Times New Roman" w:hAnsi="Times New Roman" w:cs="Times New Roman"/>
          <w:sz w:val="24"/>
          <w:szCs w:val="24"/>
        </w:rPr>
        <w:t xml:space="preserve">in order to determine </w:t>
      </w:r>
      <w:r w:rsidR="0068166E">
        <w:rPr>
          <w:rFonts w:ascii="Times New Roman" w:hAnsi="Times New Roman" w:cs="Times New Roman"/>
          <w:sz w:val="24"/>
          <w:szCs w:val="24"/>
        </w:rPr>
        <w:t xml:space="preserve">which admissibility route is applicable </w:t>
      </w:r>
      <w:r w:rsidR="0072694C" w:rsidRPr="0068166E">
        <w:rPr>
          <w:rFonts w:ascii="Times New Roman" w:hAnsi="Times New Roman" w:cs="Times New Roman"/>
          <w:sz w:val="24"/>
          <w:szCs w:val="24"/>
        </w:rPr>
        <w:t>the</w:t>
      </w:r>
      <w:r w:rsidR="0072694C" w:rsidRPr="0072694C">
        <w:rPr>
          <w:rFonts w:ascii="Times New Roman" w:hAnsi="Times New Roman" w:cs="Times New Roman"/>
          <w:sz w:val="24"/>
          <w:szCs w:val="24"/>
        </w:rPr>
        <w:t xml:space="preserve"> court </w:t>
      </w:r>
      <w:r w:rsidR="0072694C">
        <w:rPr>
          <w:rFonts w:ascii="Times New Roman" w:hAnsi="Times New Roman" w:cs="Times New Roman"/>
          <w:sz w:val="24"/>
          <w:szCs w:val="24"/>
        </w:rPr>
        <w:t>should consider</w:t>
      </w:r>
      <w:r w:rsidR="0068166E">
        <w:rPr>
          <w:rFonts w:ascii="Times New Roman" w:hAnsi="Times New Roman" w:cs="Times New Roman"/>
          <w:sz w:val="24"/>
          <w:szCs w:val="24"/>
        </w:rPr>
        <w:t xml:space="preserve"> whether evidence of </w:t>
      </w:r>
      <w:r w:rsidR="00513B48">
        <w:rPr>
          <w:rFonts w:ascii="Times New Roman" w:hAnsi="Times New Roman" w:cs="Times New Roman"/>
          <w:sz w:val="24"/>
          <w:szCs w:val="24"/>
        </w:rPr>
        <w:t xml:space="preserve">a </w:t>
      </w:r>
      <w:r w:rsidR="0068166E">
        <w:rPr>
          <w:rFonts w:ascii="Times New Roman" w:hAnsi="Times New Roman" w:cs="Times New Roman"/>
          <w:sz w:val="24"/>
          <w:szCs w:val="24"/>
        </w:rPr>
        <w:t xml:space="preserve">count to which a former co-defendant has pleaded guilty has to do with the alleged facts </w:t>
      </w:r>
      <w:r>
        <w:rPr>
          <w:rFonts w:ascii="Times New Roman" w:hAnsi="Times New Roman" w:cs="Times New Roman"/>
          <w:sz w:val="24"/>
          <w:szCs w:val="24"/>
        </w:rPr>
        <w:t xml:space="preserve">of </w:t>
      </w:r>
      <w:r w:rsidR="00513B48">
        <w:rPr>
          <w:rFonts w:ascii="Times New Roman" w:hAnsi="Times New Roman" w:cs="Times New Roman"/>
          <w:sz w:val="24"/>
          <w:szCs w:val="24"/>
        </w:rPr>
        <w:t>a count to which a co-defendant who has pleaded not</w:t>
      </w:r>
      <w:r w:rsidR="0026220B">
        <w:rPr>
          <w:rFonts w:ascii="Times New Roman" w:hAnsi="Times New Roman" w:cs="Times New Roman"/>
          <w:sz w:val="24"/>
          <w:szCs w:val="24"/>
        </w:rPr>
        <w:t xml:space="preserve"> </w:t>
      </w:r>
      <w:r w:rsidR="00513B48">
        <w:rPr>
          <w:rFonts w:ascii="Times New Roman" w:hAnsi="Times New Roman" w:cs="Times New Roman"/>
          <w:sz w:val="24"/>
          <w:szCs w:val="24"/>
        </w:rPr>
        <w:t xml:space="preserve">guilty is charged. </w:t>
      </w:r>
      <w:r w:rsidR="0068166E">
        <w:rPr>
          <w:rFonts w:ascii="Times New Roman" w:hAnsi="Times New Roman" w:cs="Times New Roman"/>
          <w:sz w:val="24"/>
          <w:szCs w:val="24"/>
        </w:rPr>
        <w:t xml:space="preserve"> </w:t>
      </w:r>
      <w:r w:rsidR="00513B48">
        <w:rPr>
          <w:rFonts w:ascii="Times New Roman" w:hAnsi="Times New Roman" w:cs="Times New Roman"/>
          <w:sz w:val="24"/>
          <w:szCs w:val="24"/>
        </w:rPr>
        <w:t xml:space="preserve">For example, </w:t>
      </w:r>
      <w:r w:rsidR="00513B48" w:rsidRPr="00A82AD8">
        <w:rPr>
          <w:rFonts w:ascii="Times New Roman" w:hAnsi="Times New Roman" w:cs="Times New Roman"/>
          <w:i/>
          <w:sz w:val="24"/>
          <w:szCs w:val="24"/>
        </w:rPr>
        <w:t xml:space="preserve">R v </w:t>
      </w:r>
      <w:proofErr w:type="spellStart"/>
      <w:r w:rsidR="00513B48" w:rsidRPr="00A82AD8">
        <w:rPr>
          <w:rFonts w:ascii="Times New Roman" w:hAnsi="Times New Roman" w:cs="Times New Roman"/>
          <w:i/>
          <w:sz w:val="24"/>
          <w:szCs w:val="24"/>
        </w:rPr>
        <w:t>Haxihaj</w:t>
      </w:r>
      <w:proofErr w:type="spellEnd"/>
      <w:r w:rsidR="00513B48">
        <w:rPr>
          <w:rFonts w:ascii="Times New Roman" w:hAnsi="Times New Roman" w:cs="Times New Roman"/>
          <w:sz w:val="24"/>
          <w:szCs w:val="24"/>
        </w:rPr>
        <w:t xml:space="preserve"> </w:t>
      </w:r>
      <w:r w:rsidR="00513B48" w:rsidRPr="00A82AD8">
        <w:rPr>
          <w:rFonts w:ascii="Times New Roman" w:hAnsi="Times New Roman" w:cs="Times New Roman"/>
          <w:sz w:val="24"/>
          <w:szCs w:val="24"/>
        </w:rPr>
        <w:t>[2016] EWCA Crim 83</w:t>
      </w:r>
      <w:r w:rsidR="00513B48">
        <w:rPr>
          <w:rFonts w:ascii="Times New Roman" w:hAnsi="Times New Roman" w:cs="Times New Roman"/>
          <w:sz w:val="24"/>
          <w:szCs w:val="24"/>
        </w:rPr>
        <w:t xml:space="preserve"> concerned two conspiracies to supply a Class A drug (</w:t>
      </w:r>
      <w:r w:rsidR="0026220B">
        <w:rPr>
          <w:rFonts w:ascii="Times New Roman" w:hAnsi="Times New Roman" w:cs="Times New Roman"/>
          <w:sz w:val="24"/>
          <w:szCs w:val="24"/>
        </w:rPr>
        <w:t xml:space="preserve">a </w:t>
      </w:r>
      <w:r w:rsidR="00513B48">
        <w:rPr>
          <w:rFonts w:ascii="Times New Roman" w:hAnsi="Times New Roman" w:cs="Times New Roman"/>
          <w:sz w:val="24"/>
          <w:szCs w:val="24"/>
        </w:rPr>
        <w:t xml:space="preserve">March 2013 conspiracy, charged as count 1 and </w:t>
      </w:r>
      <w:r w:rsidR="0026220B">
        <w:rPr>
          <w:rFonts w:ascii="Times New Roman" w:hAnsi="Times New Roman" w:cs="Times New Roman"/>
          <w:sz w:val="24"/>
          <w:szCs w:val="24"/>
        </w:rPr>
        <w:t xml:space="preserve">a </w:t>
      </w:r>
      <w:r w:rsidR="00513B48">
        <w:rPr>
          <w:rFonts w:ascii="Times New Roman" w:hAnsi="Times New Roman" w:cs="Times New Roman"/>
          <w:sz w:val="24"/>
          <w:szCs w:val="24"/>
        </w:rPr>
        <w:t>May 2013 conspiracy, charged as count 2). One of the co-defendants, who was charged solely with count 1, applied for leave to adduce evidence of misconduct on the part of his co-defendants relating to count 2 either under s.98(a) and (b) or under s.101 of the 2003 Act and to adduce evidence of misconduct on the part of a former co-defendant who ha</w:t>
      </w:r>
      <w:r w:rsidR="0026220B">
        <w:rPr>
          <w:rFonts w:ascii="Times New Roman" w:hAnsi="Times New Roman" w:cs="Times New Roman"/>
          <w:sz w:val="24"/>
          <w:szCs w:val="24"/>
        </w:rPr>
        <w:t>d</w:t>
      </w:r>
      <w:r w:rsidR="00513B48">
        <w:rPr>
          <w:rFonts w:ascii="Times New Roman" w:hAnsi="Times New Roman" w:cs="Times New Roman"/>
          <w:sz w:val="24"/>
          <w:szCs w:val="24"/>
        </w:rPr>
        <w:t xml:space="preserve"> pleaded guilty under s.100. The Court of Appeal held </w:t>
      </w:r>
      <w:r w:rsidR="0026220B">
        <w:rPr>
          <w:rFonts w:ascii="Times New Roman" w:hAnsi="Times New Roman" w:cs="Times New Roman"/>
          <w:sz w:val="24"/>
          <w:szCs w:val="24"/>
        </w:rPr>
        <w:t>(</w:t>
      </w:r>
      <w:r w:rsidR="00513B48">
        <w:rPr>
          <w:rFonts w:ascii="Times New Roman" w:hAnsi="Times New Roman" w:cs="Times New Roman"/>
          <w:sz w:val="24"/>
          <w:szCs w:val="24"/>
        </w:rPr>
        <w:t>at [17]</w:t>
      </w:r>
      <w:r w:rsidR="0026220B">
        <w:rPr>
          <w:rFonts w:ascii="Times New Roman" w:hAnsi="Times New Roman" w:cs="Times New Roman"/>
          <w:sz w:val="24"/>
          <w:szCs w:val="24"/>
        </w:rPr>
        <w:t>)</w:t>
      </w:r>
      <w:r w:rsidR="00513B48">
        <w:rPr>
          <w:rFonts w:ascii="Times New Roman" w:hAnsi="Times New Roman" w:cs="Times New Roman"/>
          <w:sz w:val="24"/>
          <w:szCs w:val="24"/>
        </w:rPr>
        <w:t xml:space="preserve"> that the evidence did not fall within the ambit of s.98(a) or s.98(b) because,</w:t>
      </w:r>
    </w:p>
    <w:p w:rsidR="00513B48" w:rsidRDefault="00513B48" w:rsidP="00513B48">
      <w:pPr>
        <w:ind w:left="720"/>
        <w:rPr>
          <w:rFonts w:ascii="Times New Roman" w:hAnsi="Times New Roman" w:cs="Times New Roman"/>
          <w:sz w:val="24"/>
          <w:szCs w:val="24"/>
        </w:rPr>
      </w:pPr>
      <w:r>
        <w:rPr>
          <w:rFonts w:ascii="Times New Roman" w:hAnsi="Times New Roman" w:cs="Times New Roman"/>
          <w:sz w:val="24"/>
          <w:szCs w:val="24"/>
        </w:rPr>
        <w:t>[h</w:t>
      </w:r>
      <w:r w:rsidRPr="006E3E6A">
        <w:rPr>
          <w:rFonts w:ascii="Times New Roman" w:hAnsi="Times New Roman" w:cs="Times New Roman"/>
          <w:sz w:val="24"/>
          <w:szCs w:val="24"/>
        </w:rPr>
        <w:t>e</w:t>
      </w:r>
      <w:r>
        <w:rPr>
          <w:rFonts w:ascii="Times New Roman" w:hAnsi="Times New Roman" w:cs="Times New Roman"/>
          <w:sz w:val="24"/>
          <w:szCs w:val="24"/>
        </w:rPr>
        <w:t>]</w:t>
      </w:r>
      <w:r w:rsidRPr="006E3E6A">
        <w:rPr>
          <w:rFonts w:ascii="Times New Roman" w:hAnsi="Times New Roman" w:cs="Times New Roman"/>
          <w:sz w:val="24"/>
          <w:szCs w:val="24"/>
        </w:rPr>
        <w:t xml:space="preserve"> was charged with participation in the March conspiracy; these matters all relate, if at all, to the</w:t>
      </w:r>
      <w:r>
        <w:rPr>
          <w:rFonts w:ascii="Times New Roman" w:hAnsi="Times New Roman" w:cs="Times New Roman"/>
          <w:sz w:val="24"/>
          <w:szCs w:val="24"/>
        </w:rPr>
        <w:t xml:space="preserve"> </w:t>
      </w:r>
      <w:r w:rsidRPr="006E3E6A">
        <w:rPr>
          <w:rFonts w:ascii="Times New Roman" w:hAnsi="Times New Roman" w:cs="Times New Roman"/>
          <w:sz w:val="24"/>
          <w:szCs w:val="24"/>
        </w:rPr>
        <w:t>May conspiracy.  Secondly, it is said that the evidence</w:t>
      </w:r>
      <w:r>
        <w:rPr>
          <w:rFonts w:ascii="Times New Roman" w:hAnsi="Times New Roman" w:cs="Times New Roman"/>
          <w:sz w:val="24"/>
          <w:szCs w:val="24"/>
        </w:rPr>
        <w:t xml:space="preserve"> </w:t>
      </w:r>
      <w:r w:rsidRPr="006E3E6A">
        <w:rPr>
          <w:rFonts w:ascii="Times New Roman" w:hAnsi="Times New Roman" w:cs="Times New Roman"/>
          <w:sz w:val="24"/>
          <w:szCs w:val="24"/>
        </w:rPr>
        <w:t xml:space="preserve">is evidence of misconduct in connection with the investigation or prosecution of that offence.  Once again, it has to be evidence of misconduct in connection with the investigation or prosecution of the offence with which the defendant is charged, and here it is not.  </w:t>
      </w:r>
      <w:r w:rsidRPr="006E3E6A">
        <w:rPr>
          <w:rFonts w:ascii="Times New Roman" w:hAnsi="Times New Roman" w:cs="Times New Roman"/>
          <w:sz w:val="24"/>
          <w:szCs w:val="24"/>
        </w:rPr>
        <w:lastRenderedPageBreak/>
        <w:t>Accordingly, if this evidence is admissible, it must be pursuant to one of the provisions of the Criminal Justice Act</w:t>
      </w:r>
      <w:r>
        <w:rPr>
          <w:rFonts w:ascii="Times New Roman" w:hAnsi="Times New Roman" w:cs="Times New Roman"/>
          <w:sz w:val="24"/>
          <w:szCs w:val="24"/>
        </w:rPr>
        <w:t xml:space="preserve"> </w:t>
      </w:r>
      <w:r w:rsidRPr="006E3E6A">
        <w:rPr>
          <w:rFonts w:ascii="Times New Roman" w:hAnsi="Times New Roman" w:cs="Times New Roman"/>
          <w:sz w:val="24"/>
          <w:szCs w:val="24"/>
        </w:rPr>
        <w:t>2003</w:t>
      </w:r>
      <w:r>
        <w:rPr>
          <w:rFonts w:ascii="Times New Roman" w:hAnsi="Times New Roman" w:cs="Times New Roman"/>
          <w:sz w:val="24"/>
          <w:szCs w:val="24"/>
        </w:rPr>
        <w:t>.</w:t>
      </w:r>
    </w:p>
    <w:p w:rsidR="000057B5" w:rsidRDefault="000057B5" w:rsidP="000057B5">
      <w:pPr>
        <w:rPr>
          <w:rFonts w:ascii="Times New Roman" w:hAnsi="Times New Roman" w:cs="Times New Roman"/>
          <w:sz w:val="24"/>
          <w:szCs w:val="24"/>
        </w:rPr>
      </w:pPr>
      <w:r>
        <w:rPr>
          <w:rFonts w:ascii="Times New Roman" w:hAnsi="Times New Roman" w:cs="Times New Roman"/>
          <w:sz w:val="24"/>
          <w:szCs w:val="24"/>
        </w:rPr>
        <w:t>This, it is submitted, is the first stage approach that a court should take u</w:t>
      </w:r>
      <w:r w:rsidRPr="000057B5">
        <w:rPr>
          <w:rFonts w:ascii="Times New Roman" w:hAnsi="Times New Roman" w:cs="Times New Roman"/>
          <w:sz w:val="24"/>
          <w:szCs w:val="24"/>
        </w:rPr>
        <w:t xml:space="preserve">pon facts </w:t>
      </w:r>
      <w:r>
        <w:rPr>
          <w:rFonts w:ascii="Times New Roman" w:hAnsi="Times New Roman" w:cs="Times New Roman"/>
          <w:sz w:val="24"/>
          <w:szCs w:val="24"/>
        </w:rPr>
        <w:t xml:space="preserve">such as those </w:t>
      </w:r>
      <w:r w:rsidRPr="000057B5">
        <w:rPr>
          <w:rFonts w:ascii="Times New Roman" w:hAnsi="Times New Roman" w:cs="Times New Roman"/>
          <w:sz w:val="24"/>
          <w:szCs w:val="24"/>
        </w:rPr>
        <w:t xml:space="preserve">as </w:t>
      </w:r>
      <w:r w:rsidRPr="000057B5">
        <w:rPr>
          <w:rFonts w:ascii="Times New Roman" w:hAnsi="Times New Roman" w:cs="Times New Roman"/>
          <w:i/>
          <w:sz w:val="24"/>
          <w:szCs w:val="24"/>
        </w:rPr>
        <w:t>R v Denham; R v Stansfield</w:t>
      </w:r>
      <w:r w:rsidRPr="000057B5">
        <w:rPr>
          <w:rFonts w:ascii="Times New Roman" w:hAnsi="Times New Roman" w:cs="Times New Roman"/>
          <w:sz w:val="24"/>
          <w:szCs w:val="24"/>
        </w:rPr>
        <w:t>,</w:t>
      </w:r>
      <w:r>
        <w:rPr>
          <w:rFonts w:ascii="Times New Roman" w:hAnsi="Times New Roman" w:cs="Times New Roman"/>
          <w:sz w:val="24"/>
          <w:szCs w:val="24"/>
        </w:rPr>
        <w:t xml:space="preserve"> before, secondly, applying the appropriate admissibility test (common law or s.100</w:t>
      </w:r>
      <w:r w:rsidR="00111AAF">
        <w:rPr>
          <w:rFonts w:ascii="Times New Roman" w:hAnsi="Times New Roman" w:cs="Times New Roman"/>
          <w:sz w:val="24"/>
          <w:szCs w:val="24"/>
        </w:rPr>
        <w:t xml:space="preserve"> of the 2003 Act</w:t>
      </w:r>
      <w:r>
        <w:rPr>
          <w:rFonts w:ascii="Times New Roman" w:hAnsi="Times New Roman" w:cs="Times New Roman"/>
          <w:sz w:val="24"/>
          <w:szCs w:val="24"/>
        </w:rPr>
        <w:t xml:space="preserve">). Only if the evidence is admissible as a matter of law should it be necessary for the court to consider whether to exclude it </w:t>
      </w:r>
      <w:r w:rsidR="00111AAF">
        <w:rPr>
          <w:rFonts w:ascii="Times New Roman" w:hAnsi="Times New Roman" w:cs="Times New Roman"/>
          <w:sz w:val="24"/>
          <w:szCs w:val="24"/>
        </w:rPr>
        <w:t>under s.78 of PACE.</w:t>
      </w:r>
    </w:p>
    <w:p w:rsidR="000057B5" w:rsidRDefault="000057B5" w:rsidP="000057B5">
      <w:pPr>
        <w:rPr>
          <w:rFonts w:ascii="Times New Roman" w:hAnsi="Times New Roman" w:cs="Times New Roman"/>
          <w:sz w:val="24"/>
          <w:szCs w:val="24"/>
        </w:rPr>
      </w:pPr>
      <w:r w:rsidRPr="00CB0E63">
        <w:rPr>
          <w:rFonts w:ascii="Times New Roman" w:hAnsi="Times New Roman" w:cs="Times New Roman"/>
          <w:i/>
          <w:sz w:val="24"/>
          <w:szCs w:val="24"/>
        </w:rPr>
        <w:t>Michael Stockdale</w:t>
      </w:r>
      <w:r>
        <w:rPr>
          <w:rFonts w:ascii="Times New Roman" w:hAnsi="Times New Roman" w:cs="Times New Roman"/>
          <w:i/>
          <w:sz w:val="24"/>
          <w:szCs w:val="24"/>
        </w:rPr>
        <w:t xml:space="preserve"> </w:t>
      </w:r>
    </w:p>
    <w:p w:rsidR="000057B5" w:rsidRDefault="000057B5" w:rsidP="00513B48">
      <w:pPr>
        <w:ind w:left="720"/>
        <w:rPr>
          <w:rFonts w:ascii="Times New Roman" w:hAnsi="Times New Roman" w:cs="Times New Roman"/>
          <w:sz w:val="24"/>
          <w:szCs w:val="24"/>
        </w:rPr>
      </w:pPr>
    </w:p>
    <w:sectPr w:rsidR="000057B5" w:rsidSect="00FC6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95" w:rsidRDefault="00863E95" w:rsidP="00F953E8">
      <w:pPr>
        <w:spacing w:after="0" w:line="240" w:lineRule="auto"/>
      </w:pPr>
      <w:r>
        <w:separator/>
      </w:r>
    </w:p>
  </w:endnote>
  <w:endnote w:type="continuationSeparator" w:id="0">
    <w:p w:rsidR="00863E95" w:rsidRDefault="00863E95" w:rsidP="00F9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95" w:rsidRDefault="00863E95" w:rsidP="00F953E8">
      <w:pPr>
        <w:spacing w:after="0" w:line="240" w:lineRule="auto"/>
      </w:pPr>
      <w:r>
        <w:separator/>
      </w:r>
    </w:p>
  </w:footnote>
  <w:footnote w:type="continuationSeparator" w:id="0">
    <w:p w:rsidR="00863E95" w:rsidRDefault="00863E95" w:rsidP="00F9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2EFF18"/>
    <w:lvl w:ilvl="0">
      <w:start w:val="1"/>
      <w:numFmt w:val="bullet"/>
      <w:lvlText w:val=""/>
      <w:lvlJc w:val="left"/>
      <w:pPr>
        <w:tabs>
          <w:tab w:val="num" w:pos="360"/>
        </w:tabs>
        <w:ind w:left="360" w:hanging="360"/>
      </w:pPr>
      <w:rPr>
        <w:rFonts w:ascii="Symbol" w:hAnsi="Symbol" w:hint="default"/>
      </w:rPr>
    </w:lvl>
  </w:abstractNum>
  <w:abstractNum w:abstractNumId="1">
    <w:nsid w:val="24887EE7"/>
    <w:multiLevelType w:val="hybridMultilevel"/>
    <w:tmpl w:val="C5B2D4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9414DB3"/>
    <w:multiLevelType w:val="hybridMultilevel"/>
    <w:tmpl w:val="0E68FEDE"/>
    <w:lvl w:ilvl="0" w:tplc="DBC23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4A"/>
    <w:rsid w:val="000057B5"/>
    <w:rsid w:val="00037C0B"/>
    <w:rsid w:val="00043175"/>
    <w:rsid w:val="00045650"/>
    <w:rsid w:val="000467D8"/>
    <w:rsid w:val="00063167"/>
    <w:rsid w:val="000A2841"/>
    <w:rsid w:val="000A6A3D"/>
    <w:rsid w:val="000B3D13"/>
    <w:rsid w:val="000B6593"/>
    <w:rsid w:val="000C5EC4"/>
    <w:rsid w:val="000C64FB"/>
    <w:rsid w:val="000D2D0D"/>
    <w:rsid w:val="000F161B"/>
    <w:rsid w:val="000F2397"/>
    <w:rsid w:val="000F2547"/>
    <w:rsid w:val="000F3C79"/>
    <w:rsid w:val="00111AAF"/>
    <w:rsid w:val="0011754D"/>
    <w:rsid w:val="0013663F"/>
    <w:rsid w:val="00143909"/>
    <w:rsid w:val="001732FD"/>
    <w:rsid w:val="001766F1"/>
    <w:rsid w:val="00191BE7"/>
    <w:rsid w:val="001937C6"/>
    <w:rsid w:val="001A131E"/>
    <w:rsid w:val="001B7BC4"/>
    <w:rsid w:val="001C6F00"/>
    <w:rsid w:val="001C799E"/>
    <w:rsid w:val="001D02EB"/>
    <w:rsid w:val="001D374B"/>
    <w:rsid w:val="001D5048"/>
    <w:rsid w:val="001F770B"/>
    <w:rsid w:val="00200EFF"/>
    <w:rsid w:val="002054CA"/>
    <w:rsid w:val="00214F2E"/>
    <w:rsid w:val="0021795F"/>
    <w:rsid w:val="00241C51"/>
    <w:rsid w:val="00242082"/>
    <w:rsid w:val="00245FB7"/>
    <w:rsid w:val="00251461"/>
    <w:rsid w:val="00257AD9"/>
    <w:rsid w:val="0026220B"/>
    <w:rsid w:val="00281ABA"/>
    <w:rsid w:val="00291D1E"/>
    <w:rsid w:val="002A189F"/>
    <w:rsid w:val="002A53EE"/>
    <w:rsid w:val="002B59F1"/>
    <w:rsid w:val="002B682D"/>
    <w:rsid w:val="002C4448"/>
    <w:rsid w:val="002C5B2C"/>
    <w:rsid w:val="002D069C"/>
    <w:rsid w:val="002F48EA"/>
    <w:rsid w:val="003202A8"/>
    <w:rsid w:val="00327C7C"/>
    <w:rsid w:val="00343132"/>
    <w:rsid w:val="0035101A"/>
    <w:rsid w:val="003655BB"/>
    <w:rsid w:val="003759C4"/>
    <w:rsid w:val="00376619"/>
    <w:rsid w:val="003779A6"/>
    <w:rsid w:val="00386ADB"/>
    <w:rsid w:val="00396595"/>
    <w:rsid w:val="003B1087"/>
    <w:rsid w:val="003B5130"/>
    <w:rsid w:val="003B57DD"/>
    <w:rsid w:val="003D1F06"/>
    <w:rsid w:val="003E1633"/>
    <w:rsid w:val="003E4980"/>
    <w:rsid w:val="004209A2"/>
    <w:rsid w:val="00425959"/>
    <w:rsid w:val="004264AB"/>
    <w:rsid w:val="00426673"/>
    <w:rsid w:val="00432A3A"/>
    <w:rsid w:val="00441F92"/>
    <w:rsid w:val="00445777"/>
    <w:rsid w:val="00451501"/>
    <w:rsid w:val="00462543"/>
    <w:rsid w:val="00466C42"/>
    <w:rsid w:val="00467799"/>
    <w:rsid w:val="00492EFA"/>
    <w:rsid w:val="00497E0C"/>
    <w:rsid w:val="004B3C2A"/>
    <w:rsid w:val="004B6E38"/>
    <w:rsid w:val="004C4EE3"/>
    <w:rsid w:val="004D3A7E"/>
    <w:rsid w:val="004F061E"/>
    <w:rsid w:val="004F7757"/>
    <w:rsid w:val="0050616C"/>
    <w:rsid w:val="00513B48"/>
    <w:rsid w:val="00526465"/>
    <w:rsid w:val="0052663C"/>
    <w:rsid w:val="00541E80"/>
    <w:rsid w:val="00554730"/>
    <w:rsid w:val="00560E94"/>
    <w:rsid w:val="005621DA"/>
    <w:rsid w:val="00570E28"/>
    <w:rsid w:val="005768FE"/>
    <w:rsid w:val="00584558"/>
    <w:rsid w:val="005862D3"/>
    <w:rsid w:val="005B0344"/>
    <w:rsid w:val="005C540F"/>
    <w:rsid w:val="005C61D1"/>
    <w:rsid w:val="005D46C4"/>
    <w:rsid w:val="005D51FC"/>
    <w:rsid w:val="005D634A"/>
    <w:rsid w:val="00601330"/>
    <w:rsid w:val="00603989"/>
    <w:rsid w:val="00607CB5"/>
    <w:rsid w:val="00612111"/>
    <w:rsid w:val="00612212"/>
    <w:rsid w:val="00623EDC"/>
    <w:rsid w:val="00627739"/>
    <w:rsid w:val="00637765"/>
    <w:rsid w:val="0064583C"/>
    <w:rsid w:val="00655E04"/>
    <w:rsid w:val="0067262C"/>
    <w:rsid w:val="00672F01"/>
    <w:rsid w:val="00680380"/>
    <w:rsid w:val="00680767"/>
    <w:rsid w:val="0068166E"/>
    <w:rsid w:val="00681FE0"/>
    <w:rsid w:val="006929D3"/>
    <w:rsid w:val="006A5B75"/>
    <w:rsid w:val="006B79B8"/>
    <w:rsid w:val="006D7B50"/>
    <w:rsid w:val="006E3E6A"/>
    <w:rsid w:val="006E4AF3"/>
    <w:rsid w:val="006F1A7B"/>
    <w:rsid w:val="00710C77"/>
    <w:rsid w:val="007256DA"/>
    <w:rsid w:val="0072694C"/>
    <w:rsid w:val="007456A7"/>
    <w:rsid w:val="007558B7"/>
    <w:rsid w:val="00755C2A"/>
    <w:rsid w:val="007654C2"/>
    <w:rsid w:val="00772074"/>
    <w:rsid w:val="007930DF"/>
    <w:rsid w:val="00794053"/>
    <w:rsid w:val="007B14D6"/>
    <w:rsid w:val="007B2314"/>
    <w:rsid w:val="007C3669"/>
    <w:rsid w:val="007C4C62"/>
    <w:rsid w:val="007E2C03"/>
    <w:rsid w:val="00827362"/>
    <w:rsid w:val="00834C32"/>
    <w:rsid w:val="00840189"/>
    <w:rsid w:val="00842FB1"/>
    <w:rsid w:val="00863E95"/>
    <w:rsid w:val="0087187E"/>
    <w:rsid w:val="0087229E"/>
    <w:rsid w:val="008777D4"/>
    <w:rsid w:val="00877F57"/>
    <w:rsid w:val="00881D46"/>
    <w:rsid w:val="00882077"/>
    <w:rsid w:val="008957A8"/>
    <w:rsid w:val="008A064B"/>
    <w:rsid w:val="008B42CD"/>
    <w:rsid w:val="008B493F"/>
    <w:rsid w:val="008C47B1"/>
    <w:rsid w:val="008F40DE"/>
    <w:rsid w:val="0090523C"/>
    <w:rsid w:val="009066D5"/>
    <w:rsid w:val="00906D0F"/>
    <w:rsid w:val="00917749"/>
    <w:rsid w:val="009222E5"/>
    <w:rsid w:val="00930B04"/>
    <w:rsid w:val="009364EE"/>
    <w:rsid w:val="0093748D"/>
    <w:rsid w:val="00941838"/>
    <w:rsid w:val="009578B5"/>
    <w:rsid w:val="0096721D"/>
    <w:rsid w:val="009750D7"/>
    <w:rsid w:val="009807E7"/>
    <w:rsid w:val="0098366A"/>
    <w:rsid w:val="00993470"/>
    <w:rsid w:val="009957E3"/>
    <w:rsid w:val="009B1FC9"/>
    <w:rsid w:val="009B3194"/>
    <w:rsid w:val="009E16CC"/>
    <w:rsid w:val="009E6BB7"/>
    <w:rsid w:val="00A1714B"/>
    <w:rsid w:val="00A17F3C"/>
    <w:rsid w:val="00A35108"/>
    <w:rsid w:val="00A4070C"/>
    <w:rsid w:val="00A413CE"/>
    <w:rsid w:val="00A52495"/>
    <w:rsid w:val="00A54710"/>
    <w:rsid w:val="00A75FB4"/>
    <w:rsid w:val="00A824CB"/>
    <w:rsid w:val="00A82AD8"/>
    <w:rsid w:val="00AA1E67"/>
    <w:rsid w:val="00AC0F48"/>
    <w:rsid w:val="00AC18F6"/>
    <w:rsid w:val="00AC257F"/>
    <w:rsid w:val="00AD0D75"/>
    <w:rsid w:val="00AD2A81"/>
    <w:rsid w:val="00B02834"/>
    <w:rsid w:val="00B335F4"/>
    <w:rsid w:val="00B33FD6"/>
    <w:rsid w:val="00B42A84"/>
    <w:rsid w:val="00B51113"/>
    <w:rsid w:val="00B60374"/>
    <w:rsid w:val="00B71020"/>
    <w:rsid w:val="00B82935"/>
    <w:rsid w:val="00B83F48"/>
    <w:rsid w:val="00B950F3"/>
    <w:rsid w:val="00BA3788"/>
    <w:rsid w:val="00BB2B9C"/>
    <w:rsid w:val="00BB7832"/>
    <w:rsid w:val="00BD6C6D"/>
    <w:rsid w:val="00C14903"/>
    <w:rsid w:val="00C159DF"/>
    <w:rsid w:val="00C22E17"/>
    <w:rsid w:val="00C267B1"/>
    <w:rsid w:val="00C47352"/>
    <w:rsid w:val="00C67BC6"/>
    <w:rsid w:val="00C7185B"/>
    <w:rsid w:val="00C73006"/>
    <w:rsid w:val="00C744B1"/>
    <w:rsid w:val="00C82745"/>
    <w:rsid w:val="00C84140"/>
    <w:rsid w:val="00C96089"/>
    <w:rsid w:val="00C975BA"/>
    <w:rsid w:val="00CB0E63"/>
    <w:rsid w:val="00CC4FF9"/>
    <w:rsid w:val="00D1745B"/>
    <w:rsid w:val="00D31391"/>
    <w:rsid w:val="00D3296E"/>
    <w:rsid w:val="00D34FB8"/>
    <w:rsid w:val="00D61329"/>
    <w:rsid w:val="00D636FB"/>
    <w:rsid w:val="00D74B65"/>
    <w:rsid w:val="00D76090"/>
    <w:rsid w:val="00D824D6"/>
    <w:rsid w:val="00D87CCA"/>
    <w:rsid w:val="00DA2E7D"/>
    <w:rsid w:val="00DA588C"/>
    <w:rsid w:val="00DA7051"/>
    <w:rsid w:val="00DB17F1"/>
    <w:rsid w:val="00DD44ED"/>
    <w:rsid w:val="00DE19EF"/>
    <w:rsid w:val="00DE3227"/>
    <w:rsid w:val="00E06DDA"/>
    <w:rsid w:val="00E074E3"/>
    <w:rsid w:val="00E07D7D"/>
    <w:rsid w:val="00E163CE"/>
    <w:rsid w:val="00E202F5"/>
    <w:rsid w:val="00E21C4A"/>
    <w:rsid w:val="00E227B3"/>
    <w:rsid w:val="00E43BFE"/>
    <w:rsid w:val="00E45B8C"/>
    <w:rsid w:val="00E50783"/>
    <w:rsid w:val="00E543F4"/>
    <w:rsid w:val="00E65937"/>
    <w:rsid w:val="00E77452"/>
    <w:rsid w:val="00E802CF"/>
    <w:rsid w:val="00E81AD5"/>
    <w:rsid w:val="00E82A3E"/>
    <w:rsid w:val="00EA1F90"/>
    <w:rsid w:val="00EC245E"/>
    <w:rsid w:val="00EC7B90"/>
    <w:rsid w:val="00EE6B86"/>
    <w:rsid w:val="00EF58BC"/>
    <w:rsid w:val="00F107E9"/>
    <w:rsid w:val="00F27AD6"/>
    <w:rsid w:val="00F30CC7"/>
    <w:rsid w:val="00F3381D"/>
    <w:rsid w:val="00F35AA9"/>
    <w:rsid w:val="00F37819"/>
    <w:rsid w:val="00F52A8A"/>
    <w:rsid w:val="00F819EE"/>
    <w:rsid w:val="00F85891"/>
    <w:rsid w:val="00F953E8"/>
    <w:rsid w:val="00FA0D82"/>
    <w:rsid w:val="00FA2508"/>
    <w:rsid w:val="00FA403F"/>
    <w:rsid w:val="00FA7ACA"/>
    <w:rsid w:val="00FC668A"/>
    <w:rsid w:val="00FF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7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20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543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18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02F5"/>
    <w:rPr>
      <w:rFonts w:ascii="Times New Roman" w:eastAsia="Times New Roman" w:hAnsi="Times New Roman" w:cs="Times New Roman"/>
      <w:b/>
      <w:bCs/>
      <w:sz w:val="36"/>
      <w:szCs w:val="36"/>
    </w:rPr>
  </w:style>
  <w:style w:type="paragraph" w:customStyle="1" w:styleId="legclearfix">
    <w:name w:val="legclearfix"/>
    <w:basedOn w:val="Normal"/>
    <w:rsid w:val="00F10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107E9"/>
  </w:style>
  <w:style w:type="paragraph" w:customStyle="1" w:styleId="legrhs">
    <w:name w:val="legrhs"/>
    <w:basedOn w:val="Normal"/>
    <w:rsid w:val="00AC257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F953E8"/>
    <w:rPr>
      <w:vertAlign w:val="superscript"/>
    </w:rPr>
  </w:style>
  <w:style w:type="paragraph" w:styleId="BodyTextIndent2">
    <w:name w:val="Body Text Indent 2"/>
    <w:basedOn w:val="Normal"/>
    <w:link w:val="BodyTextIndent2Char"/>
    <w:semiHidden/>
    <w:rsid w:val="00F953E8"/>
    <w:pPr>
      <w:widowControl w:val="0"/>
      <w:autoSpaceDE w:val="0"/>
      <w:autoSpaceDN w:val="0"/>
      <w:spacing w:after="0" w:line="240" w:lineRule="auto"/>
      <w:ind w:firstLine="284"/>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semiHidden/>
    <w:rsid w:val="00F953E8"/>
    <w:rPr>
      <w:rFonts w:ascii="Times New Roman" w:eastAsia="Times New Roman" w:hAnsi="Times New Roman" w:cs="Times New Roman"/>
      <w:lang w:eastAsia="en-US"/>
    </w:rPr>
  </w:style>
  <w:style w:type="paragraph" w:styleId="FootnoteText">
    <w:name w:val="footnote text"/>
    <w:basedOn w:val="Normal"/>
    <w:link w:val="FootnoteTextChar"/>
    <w:uiPriority w:val="99"/>
    <w:rsid w:val="00F953E8"/>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953E8"/>
    <w:rPr>
      <w:rFonts w:ascii="Times New Roman" w:eastAsia="Times New Roman" w:hAnsi="Times New Roman" w:cs="Times New Roman"/>
      <w:sz w:val="20"/>
      <w:szCs w:val="20"/>
      <w:lang w:val="en-US" w:eastAsia="en-US"/>
    </w:rPr>
  </w:style>
  <w:style w:type="character" w:customStyle="1" w:styleId="apple-converted-space">
    <w:name w:val="apple-converted-space"/>
    <w:basedOn w:val="DefaultParagraphFont"/>
    <w:rsid w:val="0064583C"/>
  </w:style>
  <w:style w:type="character" w:styleId="Hyperlink">
    <w:name w:val="Hyperlink"/>
    <w:basedOn w:val="DefaultParagraphFont"/>
    <w:uiPriority w:val="99"/>
    <w:semiHidden/>
    <w:unhideWhenUsed/>
    <w:rsid w:val="0035101A"/>
    <w:rPr>
      <w:color w:val="0000FF"/>
      <w:u w:val="single"/>
    </w:rPr>
  </w:style>
  <w:style w:type="character" w:customStyle="1" w:styleId="Heading5Char">
    <w:name w:val="Heading 5 Char"/>
    <w:basedOn w:val="DefaultParagraphFont"/>
    <w:link w:val="Heading5"/>
    <w:uiPriority w:val="9"/>
    <w:semiHidden/>
    <w:rsid w:val="00C7185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543F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E163CE"/>
    <w:pPr>
      <w:spacing w:after="120"/>
    </w:pPr>
  </w:style>
  <w:style w:type="character" w:customStyle="1" w:styleId="BodyTextChar">
    <w:name w:val="Body Text Char"/>
    <w:basedOn w:val="DefaultParagraphFont"/>
    <w:link w:val="BodyText"/>
    <w:uiPriority w:val="99"/>
    <w:semiHidden/>
    <w:rsid w:val="00E163CE"/>
  </w:style>
  <w:style w:type="paragraph" w:styleId="ListParagraph">
    <w:name w:val="List Paragraph"/>
    <w:basedOn w:val="Normal"/>
    <w:uiPriority w:val="34"/>
    <w:qFormat/>
    <w:rsid w:val="00D3296E"/>
    <w:pPr>
      <w:ind w:left="720"/>
      <w:contextualSpacing/>
    </w:pPr>
  </w:style>
  <w:style w:type="paragraph" w:customStyle="1" w:styleId="indent1">
    <w:name w:val="indent1"/>
    <w:basedOn w:val="Normal"/>
    <w:rsid w:val="006E4A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7B3"/>
    <w:rPr>
      <w:b/>
      <w:bCs/>
    </w:rPr>
  </w:style>
  <w:style w:type="character" w:customStyle="1" w:styleId="Heading1Char">
    <w:name w:val="Heading 1 Char"/>
    <w:basedOn w:val="DefaultParagraphFont"/>
    <w:link w:val="Heading1"/>
    <w:uiPriority w:val="9"/>
    <w:rsid w:val="00E227B3"/>
    <w:rPr>
      <w:rFonts w:asciiTheme="majorHAnsi" w:eastAsiaTheme="majorEastAsia" w:hAnsiTheme="majorHAnsi" w:cstheme="majorBidi"/>
      <w:color w:val="365F91" w:themeColor="accent1" w:themeShade="BF"/>
      <w:sz w:val="32"/>
      <w:szCs w:val="32"/>
    </w:rPr>
  </w:style>
  <w:style w:type="paragraph" w:customStyle="1" w:styleId="center">
    <w:name w:val="center"/>
    <w:basedOn w:val="Normal"/>
    <w:rsid w:val="00E22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page">
    <w:name w:val="starpage"/>
    <w:basedOn w:val="DefaultParagraphFont"/>
    <w:rsid w:val="00E227B3"/>
  </w:style>
  <w:style w:type="character" w:styleId="Emphasis">
    <w:name w:val="Emphasis"/>
    <w:basedOn w:val="DefaultParagraphFont"/>
    <w:uiPriority w:val="20"/>
    <w:qFormat/>
    <w:rsid w:val="00E227B3"/>
    <w:rPr>
      <w:i/>
      <w:iCs/>
    </w:rPr>
  </w:style>
  <w:style w:type="character" w:styleId="CommentReference">
    <w:name w:val="annotation reference"/>
    <w:basedOn w:val="DefaultParagraphFont"/>
    <w:uiPriority w:val="99"/>
    <w:semiHidden/>
    <w:unhideWhenUsed/>
    <w:rsid w:val="003D1F06"/>
    <w:rPr>
      <w:sz w:val="16"/>
      <w:szCs w:val="16"/>
    </w:rPr>
  </w:style>
  <w:style w:type="paragraph" w:styleId="CommentText">
    <w:name w:val="annotation text"/>
    <w:basedOn w:val="Normal"/>
    <w:link w:val="CommentTextChar"/>
    <w:uiPriority w:val="99"/>
    <w:semiHidden/>
    <w:unhideWhenUsed/>
    <w:rsid w:val="003D1F06"/>
    <w:pPr>
      <w:spacing w:line="240" w:lineRule="auto"/>
    </w:pPr>
    <w:rPr>
      <w:sz w:val="20"/>
      <w:szCs w:val="20"/>
    </w:rPr>
  </w:style>
  <w:style w:type="character" w:customStyle="1" w:styleId="CommentTextChar">
    <w:name w:val="Comment Text Char"/>
    <w:basedOn w:val="DefaultParagraphFont"/>
    <w:link w:val="CommentText"/>
    <w:uiPriority w:val="99"/>
    <w:semiHidden/>
    <w:rsid w:val="003D1F06"/>
    <w:rPr>
      <w:sz w:val="20"/>
      <w:szCs w:val="20"/>
    </w:rPr>
  </w:style>
  <w:style w:type="paragraph" w:styleId="CommentSubject">
    <w:name w:val="annotation subject"/>
    <w:basedOn w:val="CommentText"/>
    <w:next w:val="CommentText"/>
    <w:link w:val="CommentSubjectChar"/>
    <w:uiPriority w:val="99"/>
    <w:semiHidden/>
    <w:unhideWhenUsed/>
    <w:rsid w:val="003D1F06"/>
    <w:rPr>
      <w:b/>
      <w:bCs/>
    </w:rPr>
  </w:style>
  <w:style w:type="character" w:customStyle="1" w:styleId="CommentSubjectChar">
    <w:name w:val="Comment Subject Char"/>
    <w:basedOn w:val="CommentTextChar"/>
    <w:link w:val="CommentSubject"/>
    <w:uiPriority w:val="99"/>
    <w:semiHidden/>
    <w:rsid w:val="003D1F06"/>
    <w:rPr>
      <w:b/>
      <w:bCs/>
      <w:sz w:val="20"/>
      <w:szCs w:val="20"/>
    </w:rPr>
  </w:style>
  <w:style w:type="paragraph" w:styleId="BalloonText">
    <w:name w:val="Balloon Text"/>
    <w:basedOn w:val="Normal"/>
    <w:link w:val="BalloonTextChar"/>
    <w:uiPriority w:val="99"/>
    <w:semiHidden/>
    <w:unhideWhenUsed/>
    <w:rsid w:val="003D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7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20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543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18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02F5"/>
    <w:rPr>
      <w:rFonts w:ascii="Times New Roman" w:eastAsia="Times New Roman" w:hAnsi="Times New Roman" w:cs="Times New Roman"/>
      <w:b/>
      <w:bCs/>
      <w:sz w:val="36"/>
      <w:szCs w:val="36"/>
    </w:rPr>
  </w:style>
  <w:style w:type="paragraph" w:customStyle="1" w:styleId="legclearfix">
    <w:name w:val="legclearfix"/>
    <w:basedOn w:val="Normal"/>
    <w:rsid w:val="00F10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107E9"/>
  </w:style>
  <w:style w:type="paragraph" w:customStyle="1" w:styleId="legrhs">
    <w:name w:val="legrhs"/>
    <w:basedOn w:val="Normal"/>
    <w:rsid w:val="00AC257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F953E8"/>
    <w:rPr>
      <w:vertAlign w:val="superscript"/>
    </w:rPr>
  </w:style>
  <w:style w:type="paragraph" w:styleId="BodyTextIndent2">
    <w:name w:val="Body Text Indent 2"/>
    <w:basedOn w:val="Normal"/>
    <w:link w:val="BodyTextIndent2Char"/>
    <w:semiHidden/>
    <w:rsid w:val="00F953E8"/>
    <w:pPr>
      <w:widowControl w:val="0"/>
      <w:autoSpaceDE w:val="0"/>
      <w:autoSpaceDN w:val="0"/>
      <w:spacing w:after="0" w:line="240" w:lineRule="auto"/>
      <w:ind w:firstLine="284"/>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semiHidden/>
    <w:rsid w:val="00F953E8"/>
    <w:rPr>
      <w:rFonts w:ascii="Times New Roman" w:eastAsia="Times New Roman" w:hAnsi="Times New Roman" w:cs="Times New Roman"/>
      <w:lang w:eastAsia="en-US"/>
    </w:rPr>
  </w:style>
  <w:style w:type="paragraph" w:styleId="FootnoteText">
    <w:name w:val="footnote text"/>
    <w:basedOn w:val="Normal"/>
    <w:link w:val="FootnoteTextChar"/>
    <w:uiPriority w:val="99"/>
    <w:rsid w:val="00F953E8"/>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953E8"/>
    <w:rPr>
      <w:rFonts w:ascii="Times New Roman" w:eastAsia="Times New Roman" w:hAnsi="Times New Roman" w:cs="Times New Roman"/>
      <w:sz w:val="20"/>
      <w:szCs w:val="20"/>
      <w:lang w:val="en-US" w:eastAsia="en-US"/>
    </w:rPr>
  </w:style>
  <w:style w:type="character" w:customStyle="1" w:styleId="apple-converted-space">
    <w:name w:val="apple-converted-space"/>
    <w:basedOn w:val="DefaultParagraphFont"/>
    <w:rsid w:val="0064583C"/>
  </w:style>
  <w:style w:type="character" w:styleId="Hyperlink">
    <w:name w:val="Hyperlink"/>
    <w:basedOn w:val="DefaultParagraphFont"/>
    <w:uiPriority w:val="99"/>
    <w:semiHidden/>
    <w:unhideWhenUsed/>
    <w:rsid w:val="0035101A"/>
    <w:rPr>
      <w:color w:val="0000FF"/>
      <w:u w:val="single"/>
    </w:rPr>
  </w:style>
  <w:style w:type="character" w:customStyle="1" w:styleId="Heading5Char">
    <w:name w:val="Heading 5 Char"/>
    <w:basedOn w:val="DefaultParagraphFont"/>
    <w:link w:val="Heading5"/>
    <w:uiPriority w:val="9"/>
    <w:semiHidden/>
    <w:rsid w:val="00C7185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543F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E163CE"/>
    <w:pPr>
      <w:spacing w:after="120"/>
    </w:pPr>
  </w:style>
  <w:style w:type="character" w:customStyle="1" w:styleId="BodyTextChar">
    <w:name w:val="Body Text Char"/>
    <w:basedOn w:val="DefaultParagraphFont"/>
    <w:link w:val="BodyText"/>
    <w:uiPriority w:val="99"/>
    <w:semiHidden/>
    <w:rsid w:val="00E163CE"/>
  </w:style>
  <w:style w:type="paragraph" w:styleId="ListParagraph">
    <w:name w:val="List Paragraph"/>
    <w:basedOn w:val="Normal"/>
    <w:uiPriority w:val="34"/>
    <w:qFormat/>
    <w:rsid w:val="00D3296E"/>
    <w:pPr>
      <w:ind w:left="720"/>
      <w:contextualSpacing/>
    </w:pPr>
  </w:style>
  <w:style w:type="paragraph" w:customStyle="1" w:styleId="indent1">
    <w:name w:val="indent1"/>
    <w:basedOn w:val="Normal"/>
    <w:rsid w:val="006E4A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7B3"/>
    <w:rPr>
      <w:b/>
      <w:bCs/>
    </w:rPr>
  </w:style>
  <w:style w:type="character" w:customStyle="1" w:styleId="Heading1Char">
    <w:name w:val="Heading 1 Char"/>
    <w:basedOn w:val="DefaultParagraphFont"/>
    <w:link w:val="Heading1"/>
    <w:uiPriority w:val="9"/>
    <w:rsid w:val="00E227B3"/>
    <w:rPr>
      <w:rFonts w:asciiTheme="majorHAnsi" w:eastAsiaTheme="majorEastAsia" w:hAnsiTheme="majorHAnsi" w:cstheme="majorBidi"/>
      <w:color w:val="365F91" w:themeColor="accent1" w:themeShade="BF"/>
      <w:sz w:val="32"/>
      <w:szCs w:val="32"/>
    </w:rPr>
  </w:style>
  <w:style w:type="paragraph" w:customStyle="1" w:styleId="center">
    <w:name w:val="center"/>
    <w:basedOn w:val="Normal"/>
    <w:rsid w:val="00E22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page">
    <w:name w:val="starpage"/>
    <w:basedOn w:val="DefaultParagraphFont"/>
    <w:rsid w:val="00E227B3"/>
  </w:style>
  <w:style w:type="character" w:styleId="Emphasis">
    <w:name w:val="Emphasis"/>
    <w:basedOn w:val="DefaultParagraphFont"/>
    <w:uiPriority w:val="20"/>
    <w:qFormat/>
    <w:rsid w:val="00E227B3"/>
    <w:rPr>
      <w:i/>
      <w:iCs/>
    </w:rPr>
  </w:style>
  <w:style w:type="character" w:styleId="CommentReference">
    <w:name w:val="annotation reference"/>
    <w:basedOn w:val="DefaultParagraphFont"/>
    <w:uiPriority w:val="99"/>
    <w:semiHidden/>
    <w:unhideWhenUsed/>
    <w:rsid w:val="003D1F06"/>
    <w:rPr>
      <w:sz w:val="16"/>
      <w:szCs w:val="16"/>
    </w:rPr>
  </w:style>
  <w:style w:type="paragraph" w:styleId="CommentText">
    <w:name w:val="annotation text"/>
    <w:basedOn w:val="Normal"/>
    <w:link w:val="CommentTextChar"/>
    <w:uiPriority w:val="99"/>
    <w:semiHidden/>
    <w:unhideWhenUsed/>
    <w:rsid w:val="003D1F06"/>
    <w:pPr>
      <w:spacing w:line="240" w:lineRule="auto"/>
    </w:pPr>
    <w:rPr>
      <w:sz w:val="20"/>
      <w:szCs w:val="20"/>
    </w:rPr>
  </w:style>
  <w:style w:type="character" w:customStyle="1" w:styleId="CommentTextChar">
    <w:name w:val="Comment Text Char"/>
    <w:basedOn w:val="DefaultParagraphFont"/>
    <w:link w:val="CommentText"/>
    <w:uiPriority w:val="99"/>
    <w:semiHidden/>
    <w:rsid w:val="003D1F06"/>
    <w:rPr>
      <w:sz w:val="20"/>
      <w:szCs w:val="20"/>
    </w:rPr>
  </w:style>
  <w:style w:type="paragraph" w:styleId="CommentSubject">
    <w:name w:val="annotation subject"/>
    <w:basedOn w:val="CommentText"/>
    <w:next w:val="CommentText"/>
    <w:link w:val="CommentSubjectChar"/>
    <w:uiPriority w:val="99"/>
    <w:semiHidden/>
    <w:unhideWhenUsed/>
    <w:rsid w:val="003D1F06"/>
    <w:rPr>
      <w:b/>
      <w:bCs/>
    </w:rPr>
  </w:style>
  <w:style w:type="character" w:customStyle="1" w:styleId="CommentSubjectChar">
    <w:name w:val="Comment Subject Char"/>
    <w:basedOn w:val="CommentTextChar"/>
    <w:link w:val="CommentSubject"/>
    <w:uiPriority w:val="99"/>
    <w:semiHidden/>
    <w:rsid w:val="003D1F06"/>
    <w:rPr>
      <w:b/>
      <w:bCs/>
      <w:sz w:val="20"/>
      <w:szCs w:val="20"/>
    </w:rPr>
  </w:style>
  <w:style w:type="paragraph" w:styleId="BalloonText">
    <w:name w:val="Balloon Text"/>
    <w:basedOn w:val="Normal"/>
    <w:link w:val="BalloonTextChar"/>
    <w:uiPriority w:val="99"/>
    <w:semiHidden/>
    <w:unhideWhenUsed/>
    <w:rsid w:val="003D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121">
      <w:bodyDiv w:val="1"/>
      <w:marLeft w:val="0"/>
      <w:marRight w:val="0"/>
      <w:marTop w:val="0"/>
      <w:marBottom w:val="0"/>
      <w:divBdr>
        <w:top w:val="none" w:sz="0" w:space="0" w:color="auto"/>
        <w:left w:val="none" w:sz="0" w:space="0" w:color="auto"/>
        <w:bottom w:val="none" w:sz="0" w:space="0" w:color="auto"/>
        <w:right w:val="none" w:sz="0" w:space="0" w:color="auto"/>
      </w:divBdr>
    </w:div>
    <w:div w:id="107697376">
      <w:bodyDiv w:val="1"/>
      <w:marLeft w:val="0"/>
      <w:marRight w:val="0"/>
      <w:marTop w:val="0"/>
      <w:marBottom w:val="0"/>
      <w:divBdr>
        <w:top w:val="none" w:sz="0" w:space="0" w:color="auto"/>
        <w:left w:val="none" w:sz="0" w:space="0" w:color="auto"/>
        <w:bottom w:val="none" w:sz="0" w:space="0" w:color="auto"/>
        <w:right w:val="none" w:sz="0" w:space="0" w:color="auto"/>
      </w:divBdr>
    </w:div>
    <w:div w:id="137572951">
      <w:bodyDiv w:val="1"/>
      <w:marLeft w:val="0"/>
      <w:marRight w:val="0"/>
      <w:marTop w:val="0"/>
      <w:marBottom w:val="0"/>
      <w:divBdr>
        <w:top w:val="none" w:sz="0" w:space="0" w:color="auto"/>
        <w:left w:val="none" w:sz="0" w:space="0" w:color="auto"/>
        <w:bottom w:val="none" w:sz="0" w:space="0" w:color="auto"/>
        <w:right w:val="none" w:sz="0" w:space="0" w:color="auto"/>
      </w:divBdr>
    </w:div>
    <w:div w:id="391585033">
      <w:bodyDiv w:val="1"/>
      <w:marLeft w:val="0"/>
      <w:marRight w:val="0"/>
      <w:marTop w:val="0"/>
      <w:marBottom w:val="0"/>
      <w:divBdr>
        <w:top w:val="none" w:sz="0" w:space="0" w:color="auto"/>
        <w:left w:val="none" w:sz="0" w:space="0" w:color="auto"/>
        <w:bottom w:val="none" w:sz="0" w:space="0" w:color="auto"/>
        <w:right w:val="none" w:sz="0" w:space="0" w:color="auto"/>
      </w:divBdr>
    </w:div>
    <w:div w:id="869416278">
      <w:bodyDiv w:val="1"/>
      <w:marLeft w:val="0"/>
      <w:marRight w:val="0"/>
      <w:marTop w:val="0"/>
      <w:marBottom w:val="0"/>
      <w:divBdr>
        <w:top w:val="none" w:sz="0" w:space="0" w:color="auto"/>
        <w:left w:val="none" w:sz="0" w:space="0" w:color="auto"/>
        <w:bottom w:val="none" w:sz="0" w:space="0" w:color="auto"/>
        <w:right w:val="none" w:sz="0" w:space="0" w:color="auto"/>
      </w:divBdr>
    </w:div>
    <w:div w:id="883249203">
      <w:bodyDiv w:val="1"/>
      <w:marLeft w:val="0"/>
      <w:marRight w:val="0"/>
      <w:marTop w:val="0"/>
      <w:marBottom w:val="0"/>
      <w:divBdr>
        <w:top w:val="none" w:sz="0" w:space="0" w:color="auto"/>
        <w:left w:val="none" w:sz="0" w:space="0" w:color="auto"/>
        <w:bottom w:val="none" w:sz="0" w:space="0" w:color="auto"/>
        <w:right w:val="none" w:sz="0" w:space="0" w:color="auto"/>
      </w:divBdr>
    </w:div>
    <w:div w:id="974025626">
      <w:bodyDiv w:val="1"/>
      <w:marLeft w:val="0"/>
      <w:marRight w:val="0"/>
      <w:marTop w:val="0"/>
      <w:marBottom w:val="0"/>
      <w:divBdr>
        <w:top w:val="none" w:sz="0" w:space="0" w:color="auto"/>
        <w:left w:val="none" w:sz="0" w:space="0" w:color="auto"/>
        <w:bottom w:val="none" w:sz="0" w:space="0" w:color="auto"/>
        <w:right w:val="none" w:sz="0" w:space="0" w:color="auto"/>
      </w:divBdr>
    </w:div>
    <w:div w:id="1073889923">
      <w:bodyDiv w:val="1"/>
      <w:marLeft w:val="0"/>
      <w:marRight w:val="0"/>
      <w:marTop w:val="0"/>
      <w:marBottom w:val="0"/>
      <w:divBdr>
        <w:top w:val="none" w:sz="0" w:space="0" w:color="auto"/>
        <w:left w:val="none" w:sz="0" w:space="0" w:color="auto"/>
        <w:bottom w:val="none" w:sz="0" w:space="0" w:color="auto"/>
        <w:right w:val="none" w:sz="0" w:space="0" w:color="auto"/>
      </w:divBdr>
    </w:div>
    <w:div w:id="1180655651">
      <w:bodyDiv w:val="1"/>
      <w:marLeft w:val="0"/>
      <w:marRight w:val="0"/>
      <w:marTop w:val="0"/>
      <w:marBottom w:val="0"/>
      <w:divBdr>
        <w:top w:val="none" w:sz="0" w:space="0" w:color="auto"/>
        <w:left w:val="none" w:sz="0" w:space="0" w:color="auto"/>
        <w:bottom w:val="none" w:sz="0" w:space="0" w:color="auto"/>
        <w:right w:val="none" w:sz="0" w:space="0" w:color="auto"/>
      </w:divBdr>
    </w:div>
    <w:div w:id="1236629448">
      <w:bodyDiv w:val="1"/>
      <w:marLeft w:val="0"/>
      <w:marRight w:val="0"/>
      <w:marTop w:val="0"/>
      <w:marBottom w:val="0"/>
      <w:divBdr>
        <w:top w:val="none" w:sz="0" w:space="0" w:color="auto"/>
        <w:left w:val="none" w:sz="0" w:space="0" w:color="auto"/>
        <w:bottom w:val="none" w:sz="0" w:space="0" w:color="auto"/>
        <w:right w:val="none" w:sz="0" w:space="0" w:color="auto"/>
      </w:divBdr>
    </w:div>
    <w:div w:id="1297445536">
      <w:bodyDiv w:val="1"/>
      <w:marLeft w:val="0"/>
      <w:marRight w:val="0"/>
      <w:marTop w:val="0"/>
      <w:marBottom w:val="0"/>
      <w:divBdr>
        <w:top w:val="none" w:sz="0" w:space="0" w:color="auto"/>
        <w:left w:val="none" w:sz="0" w:space="0" w:color="auto"/>
        <w:bottom w:val="none" w:sz="0" w:space="0" w:color="auto"/>
        <w:right w:val="none" w:sz="0" w:space="0" w:color="auto"/>
      </w:divBdr>
      <w:divsChild>
        <w:div w:id="1089739897">
          <w:marLeft w:val="0"/>
          <w:marRight w:val="0"/>
          <w:marTop w:val="450"/>
          <w:marBottom w:val="0"/>
          <w:divBdr>
            <w:top w:val="none" w:sz="0" w:space="0" w:color="auto"/>
            <w:left w:val="none" w:sz="0" w:space="0" w:color="auto"/>
            <w:bottom w:val="none" w:sz="0" w:space="0" w:color="auto"/>
            <w:right w:val="none" w:sz="0" w:space="0" w:color="auto"/>
          </w:divBdr>
          <w:divsChild>
            <w:div w:id="536167505">
              <w:marLeft w:val="105"/>
              <w:marRight w:val="105"/>
              <w:marTop w:val="105"/>
              <w:marBottom w:val="105"/>
              <w:divBdr>
                <w:top w:val="none" w:sz="0" w:space="0" w:color="auto"/>
                <w:left w:val="none" w:sz="0" w:space="0" w:color="auto"/>
                <w:bottom w:val="none" w:sz="0" w:space="0" w:color="auto"/>
                <w:right w:val="none" w:sz="0" w:space="0" w:color="auto"/>
              </w:divBdr>
              <w:divsChild>
                <w:div w:id="788546733">
                  <w:marLeft w:val="0"/>
                  <w:marRight w:val="0"/>
                  <w:marTop w:val="0"/>
                  <w:marBottom w:val="0"/>
                  <w:divBdr>
                    <w:top w:val="none" w:sz="0" w:space="0" w:color="auto"/>
                    <w:left w:val="none" w:sz="0" w:space="0" w:color="auto"/>
                    <w:bottom w:val="none" w:sz="0" w:space="0" w:color="auto"/>
                    <w:right w:val="none" w:sz="0" w:space="0" w:color="auto"/>
                  </w:divBdr>
                </w:div>
                <w:div w:id="1132164632">
                  <w:marLeft w:val="840"/>
                  <w:marRight w:val="0"/>
                  <w:marTop w:val="0"/>
                  <w:marBottom w:val="0"/>
                  <w:divBdr>
                    <w:top w:val="none" w:sz="0" w:space="0" w:color="auto"/>
                    <w:left w:val="none" w:sz="0" w:space="0" w:color="auto"/>
                    <w:bottom w:val="none" w:sz="0" w:space="0" w:color="auto"/>
                    <w:right w:val="none" w:sz="0" w:space="0" w:color="auto"/>
                  </w:divBdr>
                </w:div>
              </w:divsChild>
            </w:div>
            <w:div w:id="748966414">
              <w:marLeft w:val="105"/>
              <w:marRight w:val="105"/>
              <w:marTop w:val="105"/>
              <w:marBottom w:val="105"/>
              <w:divBdr>
                <w:top w:val="none" w:sz="0" w:space="0" w:color="auto"/>
                <w:left w:val="none" w:sz="0" w:space="0" w:color="auto"/>
                <w:bottom w:val="none" w:sz="0" w:space="0" w:color="auto"/>
                <w:right w:val="none" w:sz="0" w:space="0" w:color="auto"/>
              </w:divBdr>
              <w:divsChild>
                <w:div w:id="2111704344">
                  <w:marLeft w:val="0"/>
                  <w:marRight w:val="0"/>
                  <w:marTop w:val="0"/>
                  <w:marBottom w:val="0"/>
                  <w:divBdr>
                    <w:top w:val="none" w:sz="0" w:space="0" w:color="auto"/>
                    <w:left w:val="none" w:sz="0" w:space="0" w:color="auto"/>
                    <w:bottom w:val="none" w:sz="0" w:space="0" w:color="auto"/>
                    <w:right w:val="none" w:sz="0" w:space="0" w:color="auto"/>
                  </w:divBdr>
                </w:div>
                <w:div w:id="1604992562">
                  <w:marLeft w:val="840"/>
                  <w:marRight w:val="0"/>
                  <w:marTop w:val="0"/>
                  <w:marBottom w:val="0"/>
                  <w:divBdr>
                    <w:top w:val="none" w:sz="0" w:space="0" w:color="auto"/>
                    <w:left w:val="none" w:sz="0" w:space="0" w:color="auto"/>
                    <w:bottom w:val="none" w:sz="0" w:space="0" w:color="auto"/>
                    <w:right w:val="none" w:sz="0" w:space="0" w:color="auto"/>
                  </w:divBdr>
                </w:div>
              </w:divsChild>
            </w:div>
            <w:div w:id="140393572">
              <w:marLeft w:val="105"/>
              <w:marRight w:val="105"/>
              <w:marTop w:val="105"/>
              <w:marBottom w:val="105"/>
              <w:divBdr>
                <w:top w:val="none" w:sz="0" w:space="0" w:color="auto"/>
                <w:left w:val="none" w:sz="0" w:space="0" w:color="auto"/>
                <w:bottom w:val="none" w:sz="0" w:space="0" w:color="auto"/>
                <w:right w:val="none" w:sz="0" w:space="0" w:color="auto"/>
              </w:divBdr>
              <w:divsChild>
                <w:div w:id="28721727">
                  <w:marLeft w:val="0"/>
                  <w:marRight w:val="0"/>
                  <w:marTop w:val="0"/>
                  <w:marBottom w:val="0"/>
                  <w:divBdr>
                    <w:top w:val="none" w:sz="0" w:space="0" w:color="auto"/>
                    <w:left w:val="none" w:sz="0" w:space="0" w:color="auto"/>
                    <w:bottom w:val="none" w:sz="0" w:space="0" w:color="auto"/>
                    <w:right w:val="none" w:sz="0" w:space="0" w:color="auto"/>
                  </w:divBdr>
                </w:div>
                <w:div w:id="352925356">
                  <w:marLeft w:val="840"/>
                  <w:marRight w:val="0"/>
                  <w:marTop w:val="0"/>
                  <w:marBottom w:val="0"/>
                  <w:divBdr>
                    <w:top w:val="none" w:sz="0" w:space="0" w:color="auto"/>
                    <w:left w:val="none" w:sz="0" w:space="0" w:color="auto"/>
                    <w:bottom w:val="none" w:sz="0" w:space="0" w:color="auto"/>
                    <w:right w:val="none" w:sz="0" w:space="0" w:color="auto"/>
                  </w:divBdr>
                </w:div>
              </w:divsChild>
            </w:div>
            <w:div w:id="314837785">
              <w:marLeft w:val="105"/>
              <w:marRight w:val="105"/>
              <w:marTop w:val="105"/>
              <w:marBottom w:val="105"/>
              <w:divBdr>
                <w:top w:val="none" w:sz="0" w:space="0" w:color="auto"/>
                <w:left w:val="none" w:sz="0" w:space="0" w:color="auto"/>
                <w:bottom w:val="none" w:sz="0" w:space="0" w:color="auto"/>
                <w:right w:val="none" w:sz="0" w:space="0" w:color="auto"/>
              </w:divBdr>
              <w:divsChild>
                <w:div w:id="1943414976">
                  <w:marLeft w:val="0"/>
                  <w:marRight w:val="0"/>
                  <w:marTop w:val="0"/>
                  <w:marBottom w:val="0"/>
                  <w:divBdr>
                    <w:top w:val="none" w:sz="0" w:space="0" w:color="auto"/>
                    <w:left w:val="none" w:sz="0" w:space="0" w:color="auto"/>
                    <w:bottom w:val="none" w:sz="0" w:space="0" w:color="auto"/>
                    <w:right w:val="none" w:sz="0" w:space="0" w:color="auto"/>
                  </w:divBdr>
                </w:div>
                <w:div w:id="1910729539">
                  <w:marLeft w:val="840"/>
                  <w:marRight w:val="0"/>
                  <w:marTop w:val="0"/>
                  <w:marBottom w:val="0"/>
                  <w:divBdr>
                    <w:top w:val="none" w:sz="0" w:space="0" w:color="auto"/>
                    <w:left w:val="none" w:sz="0" w:space="0" w:color="auto"/>
                    <w:bottom w:val="none" w:sz="0" w:space="0" w:color="auto"/>
                    <w:right w:val="none" w:sz="0" w:space="0" w:color="auto"/>
                  </w:divBdr>
                </w:div>
              </w:divsChild>
            </w:div>
            <w:div w:id="1607301611">
              <w:marLeft w:val="105"/>
              <w:marRight w:val="105"/>
              <w:marTop w:val="105"/>
              <w:marBottom w:val="105"/>
              <w:divBdr>
                <w:top w:val="none" w:sz="0" w:space="0" w:color="auto"/>
                <w:left w:val="none" w:sz="0" w:space="0" w:color="auto"/>
                <w:bottom w:val="none" w:sz="0" w:space="0" w:color="auto"/>
                <w:right w:val="none" w:sz="0" w:space="0" w:color="auto"/>
              </w:divBdr>
              <w:divsChild>
                <w:div w:id="1265303828">
                  <w:marLeft w:val="0"/>
                  <w:marRight w:val="0"/>
                  <w:marTop w:val="0"/>
                  <w:marBottom w:val="0"/>
                  <w:divBdr>
                    <w:top w:val="none" w:sz="0" w:space="0" w:color="auto"/>
                    <w:left w:val="none" w:sz="0" w:space="0" w:color="auto"/>
                    <w:bottom w:val="none" w:sz="0" w:space="0" w:color="auto"/>
                    <w:right w:val="none" w:sz="0" w:space="0" w:color="auto"/>
                  </w:divBdr>
                </w:div>
                <w:div w:id="1583876272">
                  <w:marLeft w:val="840"/>
                  <w:marRight w:val="0"/>
                  <w:marTop w:val="0"/>
                  <w:marBottom w:val="0"/>
                  <w:divBdr>
                    <w:top w:val="none" w:sz="0" w:space="0" w:color="auto"/>
                    <w:left w:val="none" w:sz="0" w:space="0" w:color="auto"/>
                    <w:bottom w:val="none" w:sz="0" w:space="0" w:color="auto"/>
                    <w:right w:val="none" w:sz="0" w:space="0" w:color="auto"/>
                  </w:divBdr>
                </w:div>
              </w:divsChild>
            </w:div>
            <w:div w:id="804660829">
              <w:marLeft w:val="105"/>
              <w:marRight w:val="105"/>
              <w:marTop w:val="105"/>
              <w:marBottom w:val="105"/>
              <w:divBdr>
                <w:top w:val="none" w:sz="0" w:space="0" w:color="auto"/>
                <w:left w:val="none" w:sz="0" w:space="0" w:color="auto"/>
                <w:bottom w:val="none" w:sz="0" w:space="0" w:color="auto"/>
                <w:right w:val="none" w:sz="0" w:space="0" w:color="auto"/>
              </w:divBdr>
              <w:divsChild>
                <w:div w:id="1798403020">
                  <w:marLeft w:val="0"/>
                  <w:marRight w:val="0"/>
                  <w:marTop w:val="0"/>
                  <w:marBottom w:val="0"/>
                  <w:divBdr>
                    <w:top w:val="none" w:sz="0" w:space="0" w:color="auto"/>
                    <w:left w:val="none" w:sz="0" w:space="0" w:color="auto"/>
                    <w:bottom w:val="none" w:sz="0" w:space="0" w:color="auto"/>
                    <w:right w:val="none" w:sz="0" w:space="0" w:color="auto"/>
                  </w:divBdr>
                </w:div>
                <w:div w:id="5671146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6601">
      <w:bodyDiv w:val="1"/>
      <w:marLeft w:val="0"/>
      <w:marRight w:val="0"/>
      <w:marTop w:val="0"/>
      <w:marBottom w:val="0"/>
      <w:divBdr>
        <w:top w:val="none" w:sz="0" w:space="0" w:color="auto"/>
        <w:left w:val="none" w:sz="0" w:space="0" w:color="auto"/>
        <w:bottom w:val="none" w:sz="0" w:space="0" w:color="auto"/>
        <w:right w:val="none" w:sz="0" w:space="0" w:color="auto"/>
      </w:divBdr>
    </w:div>
    <w:div w:id="1838417802">
      <w:bodyDiv w:val="1"/>
      <w:marLeft w:val="0"/>
      <w:marRight w:val="0"/>
      <w:marTop w:val="0"/>
      <w:marBottom w:val="0"/>
      <w:divBdr>
        <w:top w:val="none" w:sz="0" w:space="0" w:color="auto"/>
        <w:left w:val="none" w:sz="0" w:space="0" w:color="auto"/>
        <w:bottom w:val="none" w:sz="0" w:space="0" w:color="auto"/>
        <w:right w:val="none" w:sz="0" w:space="0" w:color="auto"/>
      </w:divBdr>
    </w:div>
    <w:div w:id="19274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D77D-A475-4E4D-B49F-BEB8FC02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lams1</cp:lastModifiedBy>
  <cp:revision>2</cp:revision>
  <dcterms:created xsi:type="dcterms:W3CDTF">2016-08-16T22:53:00Z</dcterms:created>
  <dcterms:modified xsi:type="dcterms:W3CDTF">2016-08-16T22:53:00Z</dcterms:modified>
</cp:coreProperties>
</file>