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16" w:rsidRPr="004E2E16" w:rsidRDefault="00C96412" w:rsidP="004E2E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Finding</w:t>
      </w:r>
      <w:r w:rsidR="007F0052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en-GB"/>
        </w:rPr>
        <w:t>a willing supervisor</w:t>
      </w:r>
      <w:r w:rsidR="007F0052">
        <w:rPr>
          <w:rFonts w:ascii="Arial" w:eastAsia="Times New Roman" w:hAnsi="Arial" w:cs="Arial"/>
          <w:sz w:val="30"/>
          <w:szCs w:val="30"/>
          <w:lang w:eastAsia="en-GB"/>
        </w:rPr>
        <w:t xml:space="preserve"> for </w:t>
      </w:r>
      <w:r>
        <w:rPr>
          <w:rFonts w:ascii="Arial" w:eastAsia="Times New Roman" w:hAnsi="Arial" w:cs="Arial"/>
          <w:sz w:val="30"/>
          <w:szCs w:val="30"/>
          <w:lang w:eastAsia="en-GB"/>
        </w:rPr>
        <w:t>an unfit defendant</w:t>
      </w:r>
    </w:p>
    <w:p w:rsidR="005A1625" w:rsidRDefault="005A1625" w:rsidP="004E2E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4E2E16" w:rsidRDefault="004E2E16" w:rsidP="004E2E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i/>
          <w:sz w:val="30"/>
          <w:szCs w:val="30"/>
          <w:lang w:eastAsia="en-GB"/>
        </w:rPr>
        <w:t xml:space="preserve">City and County of Swansea v Swansea Crown Court </w:t>
      </w:r>
      <w:r w:rsidRPr="004E2E16">
        <w:rPr>
          <w:rFonts w:ascii="Arial" w:eastAsia="Times New Roman" w:hAnsi="Arial" w:cs="Arial"/>
          <w:sz w:val="30"/>
          <w:szCs w:val="30"/>
          <w:lang w:eastAsia="en-GB"/>
        </w:rPr>
        <w:t>[2016] EWHC 1389</w:t>
      </w:r>
      <w:r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Pr="004E2E16">
        <w:rPr>
          <w:rFonts w:ascii="Arial" w:eastAsia="Times New Roman" w:hAnsi="Arial" w:cs="Arial"/>
          <w:sz w:val="30"/>
          <w:szCs w:val="30"/>
          <w:lang w:eastAsia="en-GB"/>
        </w:rPr>
        <w:t>(Admin)</w:t>
      </w:r>
    </w:p>
    <w:p w:rsidR="003F3F41" w:rsidRDefault="003F3F41" w:rsidP="004E2E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3F3F41" w:rsidRDefault="003F3F41" w:rsidP="004E2E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Keywords: Unfitness to plead; capacity; disposals; supervision order;</w:t>
      </w:r>
      <w:r w:rsidR="00B829D4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="00EB1D51">
        <w:rPr>
          <w:rFonts w:ascii="Arial" w:eastAsia="Times New Roman" w:hAnsi="Arial" w:cs="Arial"/>
          <w:sz w:val="30"/>
          <w:szCs w:val="30"/>
          <w:lang w:eastAsia="en-GB"/>
        </w:rPr>
        <w:t xml:space="preserve">judicial review; </w:t>
      </w:r>
      <w:r w:rsidR="00B829D4">
        <w:rPr>
          <w:rFonts w:ascii="Arial" w:eastAsia="Times New Roman" w:hAnsi="Arial" w:cs="Arial"/>
          <w:sz w:val="30"/>
          <w:szCs w:val="30"/>
          <w:lang w:eastAsia="en-GB"/>
        </w:rPr>
        <w:t>matters relating to trial on indictment</w:t>
      </w:r>
    </w:p>
    <w:p w:rsidR="004E2E16" w:rsidRDefault="004E2E16" w:rsidP="004E2E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4E2E16" w:rsidRDefault="004E2E16" w:rsidP="004E2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 had been charged with </w:t>
      </w:r>
      <w:r w:rsidR="006B2FD5">
        <w:rPr>
          <w:rFonts w:ascii="Arial" w:eastAsia="Times New Roman" w:hAnsi="Arial" w:cs="Arial"/>
          <w:sz w:val="24"/>
          <w:szCs w:val="24"/>
          <w:lang w:eastAsia="en-GB"/>
        </w:rPr>
        <w:t xml:space="preserve">numerous </w:t>
      </w:r>
      <w:r>
        <w:rPr>
          <w:rFonts w:ascii="Arial" w:eastAsia="Times New Roman" w:hAnsi="Arial" w:cs="Arial"/>
          <w:sz w:val="24"/>
          <w:szCs w:val="24"/>
          <w:lang w:eastAsia="en-GB"/>
        </w:rPr>
        <w:t>historic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FD5">
        <w:rPr>
          <w:rFonts w:ascii="Arial" w:eastAsia="Times New Roman" w:hAnsi="Arial" w:cs="Arial"/>
          <w:sz w:val="24"/>
          <w:szCs w:val="24"/>
          <w:lang w:eastAsia="en-GB"/>
        </w:rPr>
        <w:t>sexual offences against a child family member.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By the time of his trial, 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 xml:space="preserve">B was suffering from dementia and was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found 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>unfit to plead</w:t>
      </w:r>
      <w:r>
        <w:rPr>
          <w:rFonts w:ascii="Arial" w:eastAsia="Times New Roman" w:hAnsi="Arial" w:cs="Arial"/>
          <w:sz w:val="24"/>
          <w:szCs w:val="24"/>
          <w:lang w:eastAsia="en-GB"/>
        </w:rPr>
        <w:t>. A jury was empanelled under s.4A of the Criminal Procedure (Insanity) Act 1964 (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sz w:val="24"/>
          <w:szCs w:val="24"/>
          <w:lang w:eastAsia="en-GB"/>
        </w:rPr>
        <w:t>CP(I)A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) to determine whether B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sz w:val="24"/>
          <w:szCs w:val="24"/>
          <w:lang w:eastAsia="en-GB"/>
        </w:rPr>
        <w:t>did the act</w:t>
      </w:r>
      <w:r w:rsidR="00E858AB">
        <w:rPr>
          <w:rFonts w:ascii="Arial" w:eastAsia="Times New Roman" w:hAnsi="Arial" w:cs="Arial"/>
          <w:sz w:val="24"/>
          <w:szCs w:val="24"/>
          <w:lang w:eastAsia="en-GB"/>
        </w:rPr>
        <w:t>[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858AB">
        <w:rPr>
          <w:rFonts w:ascii="Arial" w:eastAsia="Times New Roman" w:hAnsi="Arial" w:cs="Arial"/>
          <w:sz w:val="24"/>
          <w:szCs w:val="24"/>
          <w:lang w:eastAsia="en-GB"/>
        </w:rPr>
        <w:t>]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58AB">
        <w:rPr>
          <w:rFonts w:ascii="Arial" w:eastAsia="Times New Roman" w:hAnsi="Arial" w:cs="Arial"/>
          <w:sz w:val="24"/>
          <w:szCs w:val="24"/>
          <w:lang w:eastAsia="en-GB"/>
        </w:rPr>
        <w:t xml:space="preserve">… </w:t>
      </w:r>
      <w:r>
        <w:rPr>
          <w:rFonts w:ascii="Arial" w:eastAsia="Times New Roman" w:hAnsi="Arial" w:cs="Arial"/>
          <w:sz w:val="24"/>
          <w:szCs w:val="24"/>
          <w:lang w:eastAsia="en-GB"/>
        </w:rPr>
        <w:t>charged against him as the offence</w:t>
      </w:r>
      <w:r w:rsidR="00E858AB">
        <w:rPr>
          <w:rFonts w:ascii="Arial" w:eastAsia="Times New Roman" w:hAnsi="Arial" w:cs="Arial"/>
          <w:sz w:val="24"/>
          <w:szCs w:val="24"/>
          <w:lang w:eastAsia="en-GB"/>
        </w:rPr>
        <w:t>[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]’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B2FD5">
        <w:rPr>
          <w:rFonts w:ascii="Arial" w:eastAsia="Times New Roman" w:hAnsi="Arial" w:cs="Arial"/>
          <w:sz w:val="24"/>
          <w:szCs w:val="24"/>
          <w:lang w:eastAsia="en-GB"/>
        </w:rPr>
        <w:t>The jury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FD5">
        <w:rPr>
          <w:rFonts w:ascii="Arial" w:eastAsia="Times New Roman" w:hAnsi="Arial" w:cs="Arial"/>
          <w:sz w:val="24"/>
          <w:szCs w:val="24"/>
          <w:lang w:eastAsia="en-GB"/>
        </w:rPr>
        <w:t>found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B had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sz w:val="24"/>
          <w:szCs w:val="24"/>
          <w:lang w:eastAsia="en-GB"/>
        </w:rPr>
        <w:t>done the acts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relating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13 counts of rape of a child under 13 and seven counts of causing a child to engage in sexual activity.</w:t>
      </w:r>
    </w:p>
    <w:p w:rsidR="00DB72F5" w:rsidRDefault="00DB72F5" w:rsidP="004E2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2E16" w:rsidRDefault="004E2E16" w:rsidP="004E2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Following a finding that an unfit accused did the</w:t>
      </w:r>
      <w:r w:rsidR="00E858AB"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act</w:t>
      </w:r>
      <w:r w:rsidR="00E858AB">
        <w:rPr>
          <w:rFonts w:ascii="Arial" w:eastAsia="Times New Roman" w:hAnsi="Arial" w:cs="Arial"/>
          <w:sz w:val="24"/>
          <w:szCs w:val="24"/>
          <w:lang w:eastAsia="en-GB"/>
        </w:rPr>
        <w:t>(s)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s.5 of the CP(I)A 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(as amended) 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>requires the court to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make a hospital order, a supervision order or an absolute discharge. 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In the present case, 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 xml:space="preserve">Mr Recorder </w:t>
      </w:r>
      <w:proofErr w:type="spellStart"/>
      <w:r w:rsidR="00CD4CAC">
        <w:rPr>
          <w:rFonts w:ascii="Arial" w:eastAsia="Times New Roman" w:hAnsi="Arial" w:cs="Arial"/>
          <w:sz w:val="24"/>
          <w:szCs w:val="24"/>
          <w:lang w:eastAsia="en-GB"/>
        </w:rPr>
        <w:t>Philpotts</w:t>
      </w:r>
      <w:proofErr w:type="spellEnd"/>
      <w:r w:rsidR="00CD4C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purported to make a supervision order for two years, naming Ms </w:t>
      </w:r>
      <w:proofErr w:type="spellStart"/>
      <w:r w:rsidR="00DB72F5"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, a social worker for the City and County of Swansea (‘the Council’), as the supervising officer. The order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required 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to: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keep in touch with Ms </w:t>
      </w:r>
      <w:proofErr w:type="spellStart"/>
      <w:r w:rsidR="00EB1D51"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 w:rsidR="00EB1D51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reside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 at a specifi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ed care home;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B72F5">
        <w:rPr>
          <w:rFonts w:ascii="Arial" w:eastAsia="Times New Roman" w:hAnsi="Arial" w:cs="Arial"/>
          <w:sz w:val="24"/>
          <w:szCs w:val="24"/>
          <w:lang w:eastAsia="en-GB"/>
        </w:rPr>
        <w:t xml:space="preserve"> submit to treatment by a named medical practitioner.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However, Ms </w:t>
      </w:r>
      <w:proofErr w:type="spellStart"/>
      <w:r w:rsidR="00EB1D51"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was not asked whether she was willing to act as B’s supervisor for the purposes of the supervision order.</w:t>
      </w:r>
    </w:p>
    <w:p w:rsidR="00DB72F5" w:rsidRDefault="00DB72F5" w:rsidP="004E2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37B0B" w:rsidRDefault="00337B0B" w:rsidP="00337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Shortly before the hearing at which the supervision order was 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made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B had been 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 xml:space="preserve">referred to the Council’s Social Services Department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placed in a care home pending a formal assessment of his needs. The conclusion of the assessment had been that B did not meet the necessary criteria for 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>local authority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accommodation or services. Ms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had been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 xml:space="preserve"> the social worker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charge of B’s case at that time. </w:t>
      </w:r>
    </w:p>
    <w:p w:rsidR="00337B0B" w:rsidRDefault="00337B0B" w:rsidP="004E2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4CAC" w:rsidRDefault="00337B0B" w:rsidP="00CD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Upon 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discovering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the order named Ms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as B’s supervising officer, </w:t>
      </w:r>
      <w:r w:rsidR="00FB2974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Council applied to the Crown Court to revoke the order. Ms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made a statement explaining that she had not ag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>reed to take on this role. The R</w:t>
      </w:r>
      <w:r>
        <w:rPr>
          <w:rFonts w:ascii="Arial" w:eastAsia="Times New Roman" w:hAnsi="Arial" w:cs="Arial"/>
          <w:sz w:val="24"/>
          <w:szCs w:val="24"/>
          <w:lang w:eastAsia="en-GB"/>
        </w:rPr>
        <w:t>ecorder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 xml:space="preserve"> dismissed the application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>he Council</w:t>
      </w:r>
      <w:r w:rsidR="003673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D4CAC">
        <w:rPr>
          <w:rFonts w:ascii="Arial" w:eastAsia="Times New Roman" w:hAnsi="Arial" w:cs="Arial"/>
          <w:sz w:val="24"/>
          <w:szCs w:val="24"/>
          <w:lang w:eastAsia="en-GB"/>
        </w:rPr>
        <w:t>applied for judicial review of the imposition of the order.</w:t>
      </w:r>
    </w:p>
    <w:p w:rsidR="00CD4CAC" w:rsidRDefault="00CD4CAC" w:rsidP="00CD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35F5E" w:rsidRDefault="00CD4CAC" w:rsidP="00CD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HELD, ALLOWING THE </w:t>
      </w:r>
      <w:r w:rsidR="00367328">
        <w:rPr>
          <w:rFonts w:ascii="Arial" w:eastAsia="Times New Roman" w:hAnsi="Arial" w:cs="Arial"/>
          <w:b/>
          <w:sz w:val="24"/>
          <w:szCs w:val="24"/>
          <w:lang w:eastAsia="en-GB"/>
        </w:rPr>
        <w:t>APPLICATION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QUASHING THE SUPERVISION ORDER, </w:t>
      </w:r>
      <w:r w:rsidR="00235F5E">
        <w:rPr>
          <w:rFonts w:ascii="Arial" w:eastAsia="Times New Roman" w:hAnsi="Arial" w:cs="Arial"/>
          <w:sz w:val="24"/>
          <w:szCs w:val="24"/>
          <w:lang w:eastAsia="en-GB"/>
        </w:rPr>
        <w:t>the Council’s contention that the Recorder had no juri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sdiction to make the order was ‘unanswerable’</w:t>
      </w:r>
      <w:r w:rsidR="00235F5E">
        <w:rPr>
          <w:rFonts w:ascii="Arial" w:eastAsia="Times New Roman" w:hAnsi="Arial" w:cs="Arial"/>
          <w:sz w:val="24"/>
          <w:szCs w:val="24"/>
          <w:lang w:eastAsia="en-GB"/>
        </w:rPr>
        <w:t xml:space="preserve"> (at [7]). Sch</w:t>
      </w:r>
      <w:r w:rsidR="006B19EE">
        <w:rPr>
          <w:rFonts w:ascii="Arial" w:eastAsia="Times New Roman" w:hAnsi="Arial" w:cs="Arial"/>
          <w:sz w:val="24"/>
          <w:szCs w:val="24"/>
          <w:lang w:eastAsia="en-GB"/>
        </w:rPr>
        <w:t>edule</w:t>
      </w:r>
      <w:r w:rsidR="00235F5E">
        <w:rPr>
          <w:rFonts w:ascii="Arial" w:eastAsia="Times New Roman" w:hAnsi="Arial" w:cs="Arial"/>
          <w:sz w:val="24"/>
          <w:szCs w:val="24"/>
          <w:lang w:eastAsia="en-GB"/>
        </w:rPr>
        <w:t xml:space="preserve"> 1A, para. 2(2) of the CP(I)A provides that,</w:t>
      </w:r>
    </w:p>
    <w:p w:rsidR="00235F5E" w:rsidRDefault="00235F5E" w:rsidP="00235F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35F5E" w:rsidRPr="00235F5E" w:rsidRDefault="00235F5E" w:rsidP="00235F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[t]</w:t>
      </w:r>
      <w:r w:rsidRPr="00235F5E">
        <w:rPr>
          <w:rFonts w:ascii="Arial" w:eastAsia="Times New Roman" w:hAnsi="Arial" w:cs="Arial"/>
          <w:sz w:val="24"/>
          <w:szCs w:val="24"/>
          <w:lang w:eastAsia="en-GB"/>
        </w:rPr>
        <w:t>he court shall not make a supervision order unless it is … satisfied–</w:t>
      </w:r>
    </w:p>
    <w:p w:rsidR="00235F5E" w:rsidRPr="00235F5E" w:rsidRDefault="00235F5E" w:rsidP="00235F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235F5E">
        <w:rPr>
          <w:rFonts w:ascii="Arial" w:eastAsia="Times New Roman" w:hAnsi="Arial" w:cs="Arial"/>
          <w:sz w:val="24"/>
          <w:szCs w:val="24"/>
          <w:lang w:eastAsia="en-GB"/>
        </w:rPr>
        <w:t>(a) that the supervising officer intended to be specified in the order is willing to undertake the supervision; and</w:t>
      </w:r>
    </w:p>
    <w:p w:rsidR="00235F5E" w:rsidRPr="00235F5E" w:rsidRDefault="00235F5E" w:rsidP="00235F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235F5E">
        <w:rPr>
          <w:rFonts w:ascii="Arial" w:eastAsia="Times New Roman" w:hAnsi="Arial" w:cs="Arial"/>
          <w:sz w:val="24"/>
          <w:szCs w:val="24"/>
          <w:lang w:eastAsia="en-GB"/>
        </w:rPr>
        <w:t>(b) that arrangements have been made for the treatment intended to be specified in the order.</w:t>
      </w:r>
    </w:p>
    <w:p w:rsidR="00235F5E" w:rsidRDefault="00235F5E" w:rsidP="00235F5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35F5E" w:rsidRDefault="00235F5E" w:rsidP="00235F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Ms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19EE">
        <w:rPr>
          <w:rFonts w:ascii="Arial" w:eastAsia="Times New Roman" w:hAnsi="Arial" w:cs="Arial"/>
          <w:sz w:val="24"/>
          <w:szCs w:val="24"/>
          <w:lang w:eastAsia="en-GB"/>
        </w:rPr>
        <w:t>had not indicated that she was willing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supervise the o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rder ‘</w:t>
      </w:r>
      <w:r>
        <w:rPr>
          <w:rFonts w:ascii="Arial" w:eastAsia="Times New Roman" w:hAnsi="Arial" w:cs="Arial"/>
          <w:sz w:val="24"/>
          <w:szCs w:val="24"/>
          <w:lang w:eastAsia="en-GB"/>
        </w:rPr>
        <w:t>and there was no evidential foundation upon which the Recorder could properly h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ave made a finding that she did’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(at [7]).</w:t>
      </w:r>
      <w:r w:rsidR="002258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35F5E" w:rsidRDefault="00235F5E" w:rsidP="00235F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B19EE" w:rsidRDefault="00235F5E" w:rsidP="00235F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Where a Crown Court judge </w:t>
      </w:r>
      <w:r w:rsidR="002258CB">
        <w:rPr>
          <w:rFonts w:ascii="Arial" w:eastAsia="Times New Roman" w:hAnsi="Arial" w:cs="Arial"/>
          <w:sz w:val="24"/>
          <w:szCs w:val="24"/>
          <w:lang w:eastAsia="en-GB"/>
        </w:rPr>
        <w:t>has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 jurisdiction to make the</w:t>
      </w:r>
      <w:r w:rsidR="002258CB">
        <w:rPr>
          <w:rFonts w:ascii="Arial" w:eastAsia="Times New Roman" w:hAnsi="Arial" w:cs="Arial"/>
          <w:sz w:val="24"/>
          <w:szCs w:val="24"/>
          <w:lang w:eastAsia="en-GB"/>
        </w:rPr>
        <w:t xml:space="preserve"> order he purports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make, it </w:t>
      </w:r>
      <w:r w:rsidR="002258CB">
        <w:rPr>
          <w:rFonts w:ascii="Arial" w:eastAsia="Times New Roman" w:hAnsi="Arial" w:cs="Arial"/>
          <w:sz w:val="24"/>
          <w:szCs w:val="24"/>
          <w:lang w:eastAsia="en-GB"/>
        </w:rPr>
        <w:t>cannot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be regarded as a ‘</w:t>
      </w:r>
      <w:r>
        <w:rPr>
          <w:rFonts w:ascii="Arial" w:eastAsia="Times New Roman" w:hAnsi="Arial" w:cs="Arial"/>
          <w:sz w:val="24"/>
          <w:szCs w:val="24"/>
          <w:lang w:eastAsia="en-GB"/>
        </w:rPr>
        <w:t>matter relati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ng to trial on indictment’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Accordingly, the decision </w:t>
      </w:r>
      <w:r w:rsidR="006B19EE">
        <w:rPr>
          <w:rFonts w:ascii="Arial" w:eastAsia="Times New Roman" w:hAnsi="Arial" w:cs="Arial"/>
          <w:sz w:val="24"/>
          <w:szCs w:val="24"/>
          <w:lang w:eastAsia="en-GB"/>
        </w:rPr>
        <w:t xml:space="preserve">to make the order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was amenable to judicial review </w:t>
      </w:r>
      <w:r w:rsidR="00222C0F">
        <w:rPr>
          <w:rFonts w:ascii="Arial" w:eastAsia="Times New Roman" w:hAnsi="Arial" w:cs="Arial"/>
          <w:sz w:val="24"/>
          <w:szCs w:val="24"/>
          <w:lang w:eastAsia="en-GB"/>
        </w:rPr>
        <w:t>and was not exclu</w:t>
      </w:r>
      <w:bookmarkStart w:id="0" w:name="_GoBack"/>
      <w:bookmarkEnd w:id="0"/>
      <w:r w:rsidR="00222C0F">
        <w:rPr>
          <w:rFonts w:ascii="Arial" w:eastAsia="Times New Roman" w:hAnsi="Arial" w:cs="Arial"/>
          <w:sz w:val="24"/>
          <w:szCs w:val="24"/>
          <w:lang w:eastAsia="en-GB"/>
        </w:rPr>
        <w:t xml:space="preserve">ded by s.29(3) of the Senior Courts Act 1981 (at [8]). </w:t>
      </w:r>
    </w:p>
    <w:p w:rsidR="00235F5E" w:rsidRDefault="00235F5E" w:rsidP="00235F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35F5E" w:rsidRDefault="00235F5E" w:rsidP="00CD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35F5E" w:rsidRDefault="00222C0F" w:rsidP="00CD4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COMMENT</w:t>
      </w:r>
      <w:r w:rsidR="00EB1D51">
        <w:rPr>
          <w:rFonts w:ascii="Arial" w:eastAsia="Times New Roman" w:hAnsi="Arial" w:cs="Arial"/>
          <w:b/>
          <w:sz w:val="24"/>
          <w:szCs w:val="24"/>
          <w:lang w:eastAsia="en-GB"/>
        </w:rPr>
        <w:t>ARY</w:t>
      </w:r>
    </w:p>
    <w:p w:rsidR="001E7D39" w:rsidRDefault="001E7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2B4" w:rsidRDefault="002F3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Sch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edule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1A of the CP(I)A prescribes clear criteria for making a supervision order in respect of </w:t>
      </w:r>
      <w:r w:rsidR="00975C04">
        <w:rPr>
          <w:rFonts w:ascii="Arial" w:eastAsia="Times New Roman" w:hAnsi="Arial" w:cs="Arial"/>
          <w:sz w:val="24"/>
          <w:szCs w:val="24"/>
          <w:lang w:eastAsia="en-GB"/>
        </w:rPr>
        <w:t>an unfit defendant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 xml:space="preserve">If the order is to be supervised by a social worker, it must </w:t>
      </w:r>
      <w:r>
        <w:rPr>
          <w:rFonts w:ascii="Arial" w:eastAsia="Times New Roman" w:hAnsi="Arial" w:cs="Arial"/>
          <w:sz w:val="24"/>
          <w:szCs w:val="24"/>
          <w:lang w:eastAsia="en-GB"/>
        </w:rPr>
        <w:t>specify the local social services authority in which the super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vised person will reside (para.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3), as well as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naming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 xml:space="preserve">supervising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social worker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(para.2). If the order is to be supervised by a probation officer, the order must identify the local justice area (para.3)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256DA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probation officer who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will supervise the order (para.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2).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Para.</w:t>
      </w:r>
      <w:r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states that the court ‘shall not’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make an order unless satisfied that the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relevant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supervising officer is willing to undertake the supervision.</w:t>
      </w:r>
    </w:p>
    <w:p w:rsidR="00E901CE" w:rsidRDefault="00E90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2B4" w:rsidRPr="009256DA" w:rsidRDefault="00E90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975C04">
        <w:rPr>
          <w:rFonts w:ascii="Arial" w:eastAsia="Times New Roman" w:hAnsi="Arial" w:cs="Arial"/>
          <w:sz w:val="24"/>
          <w:szCs w:val="24"/>
          <w:lang w:eastAsia="en-GB"/>
        </w:rPr>
        <w:t>the present case the order na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med Ms </w:t>
      </w:r>
      <w:proofErr w:type="spellStart"/>
      <w:r w:rsidR="00EB1D51">
        <w:rPr>
          <w:rFonts w:ascii="Arial" w:eastAsia="Times New Roman" w:hAnsi="Arial" w:cs="Arial"/>
          <w:sz w:val="24"/>
          <w:szCs w:val="24"/>
          <w:lang w:eastAsia="en-GB"/>
        </w:rPr>
        <w:t>Beasant</w:t>
      </w:r>
      <w:proofErr w:type="spellEnd"/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and stated that ‘</w:t>
      </w:r>
      <w:r w:rsidR="00975C0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75C04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court was satisfied that Ms </w:t>
      </w:r>
      <w:proofErr w:type="spellStart"/>
      <w:r w:rsidR="00975C04" w:rsidRPr="007E3AD5">
        <w:rPr>
          <w:rFonts w:ascii="Arial" w:eastAsia="Times New Roman" w:hAnsi="Arial" w:cs="Arial"/>
          <w:sz w:val="24"/>
          <w:szCs w:val="24"/>
          <w:lang w:eastAsia="en-GB"/>
        </w:rPr>
        <w:t>Bea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sant</w:t>
      </w:r>
      <w:proofErr w:type="spellEnd"/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was willing to supervise B’</w:t>
      </w:r>
      <w:r w:rsidR="00975C04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(at [2]). This was </w:t>
      </w:r>
      <w:r w:rsidR="009256DA" w:rsidRPr="007E3AD5">
        <w:rPr>
          <w:rFonts w:ascii="Arial" w:eastAsia="Times New Roman" w:hAnsi="Arial" w:cs="Arial"/>
          <w:sz w:val="24"/>
          <w:szCs w:val="24"/>
          <w:lang w:eastAsia="en-GB"/>
        </w:rPr>
        <w:t>incorrect</w:t>
      </w:r>
      <w:r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63A1A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A supervision order is different to 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the supervision that may take place as part of </w:t>
      </w:r>
      <w:r w:rsidR="00163A1A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a community 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>order</w:t>
      </w:r>
      <w:r w:rsidR="00163A1A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imposed 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>up</w:t>
      </w:r>
      <w:r w:rsidR="00163A1A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on a convicted offender </w:t>
      </w:r>
      <w:r w:rsidR="00975C04" w:rsidRPr="007E3AD5">
        <w:rPr>
          <w:rFonts w:ascii="Arial" w:eastAsia="Times New Roman" w:hAnsi="Arial" w:cs="Arial"/>
          <w:sz w:val="24"/>
          <w:szCs w:val="24"/>
          <w:lang w:eastAsia="en-GB"/>
        </w:rPr>
        <w:t>unde</w:t>
      </w:r>
      <w:r w:rsidR="00163A1A" w:rsidRPr="007E3AD5">
        <w:rPr>
          <w:rFonts w:ascii="Arial" w:eastAsia="Times New Roman" w:hAnsi="Arial" w:cs="Arial"/>
          <w:sz w:val="24"/>
          <w:szCs w:val="24"/>
          <w:lang w:eastAsia="en-GB"/>
        </w:rPr>
        <w:t>r t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>he Criminal Justice Act 2003. A</w:t>
      </w:r>
      <w:r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256DA" w:rsidRPr="007E3AD5">
        <w:rPr>
          <w:rFonts w:ascii="Arial" w:eastAsia="Times New Roman" w:hAnsi="Arial" w:cs="Arial"/>
          <w:sz w:val="24"/>
          <w:szCs w:val="24"/>
          <w:lang w:eastAsia="en-GB"/>
        </w:rPr>
        <w:t>court</w:t>
      </w:r>
      <w:r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75C04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cannot simply 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>assume</w:t>
      </w:r>
      <w:r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21D79" w:rsidRPr="007E3AD5">
        <w:rPr>
          <w:rFonts w:ascii="Arial" w:eastAsia="Times New Roman" w:hAnsi="Arial" w:cs="Arial"/>
          <w:sz w:val="24"/>
          <w:szCs w:val="24"/>
          <w:lang w:eastAsia="en-GB"/>
        </w:rPr>
        <w:t>that someone will</w:t>
      </w:r>
      <w:r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supervi</w:t>
      </w:r>
      <w:r w:rsidR="00975C04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se </w:t>
      </w:r>
      <w:r w:rsidR="009256DA" w:rsidRPr="007E3AD5">
        <w:rPr>
          <w:rFonts w:ascii="Arial" w:eastAsia="Times New Roman" w:hAnsi="Arial" w:cs="Arial"/>
          <w:sz w:val="24"/>
          <w:szCs w:val="24"/>
          <w:lang w:eastAsia="en-GB"/>
        </w:rPr>
        <w:t>an order made under the CP(I)A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and t</w:t>
      </w:r>
      <w:r w:rsidR="00921D79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here is no power to compel a social worker or probation officer to supervise </w:t>
      </w:r>
      <w:r w:rsidR="007E3AD5" w:rsidRPr="007E3AD5">
        <w:rPr>
          <w:rFonts w:ascii="Arial" w:eastAsia="Times New Roman" w:hAnsi="Arial" w:cs="Arial"/>
          <w:sz w:val="24"/>
          <w:szCs w:val="24"/>
          <w:lang w:eastAsia="en-GB"/>
        </w:rPr>
        <w:t>such an</w:t>
      </w:r>
      <w:r w:rsidR="00921D79" w:rsidRPr="007E3AD5">
        <w:rPr>
          <w:rFonts w:ascii="Arial" w:eastAsia="Times New Roman" w:hAnsi="Arial" w:cs="Arial"/>
          <w:sz w:val="24"/>
          <w:szCs w:val="24"/>
          <w:lang w:eastAsia="en-GB"/>
        </w:rPr>
        <w:t xml:space="preserve"> order.</w:t>
      </w:r>
      <w:r w:rsidR="00921D79" w:rsidRPr="009256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75C04" w:rsidRPr="009256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256DA" w:rsidRPr="009256DA" w:rsidRDefault="00925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256DA" w:rsidRPr="003F3F41" w:rsidRDefault="00925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6DA">
        <w:rPr>
          <w:rFonts w:ascii="Arial" w:eastAsia="Times New Roman" w:hAnsi="Arial" w:cs="Arial"/>
          <w:sz w:val="24"/>
          <w:szCs w:val="24"/>
          <w:lang w:eastAsia="en-GB"/>
        </w:rPr>
        <w:t xml:space="preserve">An unfit defendant who is found to have done the relevant act or made the omission has not been convicted and so he cannot be sentenced. The disposal options 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>availabl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e to the court are, therefore, ‘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>not intended to have a punitive or retributive (</w:t>
      </w:r>
      <w:r w:rsidR="00C96412" w:rsidRPr="003F3F41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>pay-back</w:t>
      </w:r>
      <w:r w:rsidR="00C96412" w:rsidRPr="003F3F41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) element to them. Rather, the disposals are imposed to support the individual to live without engaging in criminal behaviour, and to protect the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public, where that is necessary’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(Law Commission, </w:t>
      </w:r>
      <w:r w:rsidRPr="003F3F41">
        <w:rPr>
          <w:rFonts w:ascii="Arial" w:eastAsia="Times New Roman" w:hAnsi="Arial" w:cs="Arial"/>
          <w:i/>
          <w:sz w:val="24"/>
          <w:szCs w:val="24"/>
          <w:lang w:eastAsia="en-GB"/>
        </w:rPr>
        <w:t>Unfitness to Plead: Volume 1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, Law Com. No.364, para. 6.3). </w:t>
      </w:r>
      <w:r w:rsidR="00AC7662"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However, </w:t>
      </w:r>
      <w:r w:rsidR="003F3F41" w:rsidRPr="003F3F41">
        <w:rPr>
          <w:rFonts w:ascii="Arial" w:eastAsia="Times New Roman" w:hAnsi="Arial" w:cs="Arial"/>
          <w:sz w:val="24"/>
          <w:szCs w:val="24"/>
          <w:lang w:eastAsia="en-GB"/>
        </w:rPr>
        <w:t>by enabling</w:t>
      </w:r>
      <w:r w:rsidR="00AC7662"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a proposed supervising officer to refuse to supervise an order</w:t>
      </w:r>
      <w:r w:rsidR="003F3F41" w:rsidRPr="003F3F41">
        <w:rPr>
          <w:rFonts w:ascii="Arial" w:eastAsia="Times New Roman" w:hAnsi="Arial" w:cs="Arial"/>
          <w:sz w:val="24"/>
          <w:szCs w:val="24"/>
          <w:lang w:eastAsia="en-GB"/>
        </w:rPr>
        <w:t>, the current law</w:t>
      </w:r>
      <w:r w:rsidR="00AC7662"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potentially </w:t>
      </w:r>
      <w:r w:rsidR="00C96412" w:rsidRPr="003F3F41">
        <w:rPr>
          <w:rFonts w:ascii="Arial" w:eastAsia="Times New Roman" w:hAnsi="Arial" w:cs="Arial"/>
          <w:sz w:val="24"/>
          <w:szCs w:val="24"/>
          <w:lang w:eastAsia="en-GB"/>
        </w:rPr>
        <w:t>takes</w:t>
      </w:r>
      <w:r w:rsidR="00AC7662"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the disposal of the case out of the hands of the judge and places it in the hands of those employed by agencies that</w:t>
      </w:r>
      <w:r w:rsidR="00C96412"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may have </w:t>
      </w:r>
      <w:r w:rsidR="003F3F41">
        <w:rPr>
          <w:rFonts w:ascii="Arial" w:eastAsia="Times New Roman" w:hAnsi="Arial" w:cs="Arial"/>
          <w:sz w:val="24"/>
          <w:szCs w:val="24"/>
          <w:lang w:eastAsia="en-GB"/>
        </w:rPr>
        <w:t xml:space="preserve">to bear </w:t>
      </w:r>
      <w:r w:rsidR="00C96412" w:rsidRPr="003F3F41">
        <w:rPr>
          <w:rFonts w:ascii="Arial" w:eastAsia="Times New Roman" w:hAnsi="Arial" w:cs="Arial"/>
          <w:sz w:val="24"/>
          <w:szCs w:val="24"/>
          <w:lang w:eastAsia="en-GB"/>
        </w:rPr>
        <w:t>external considerations in mind.</w:t>
      </w:r>
      <w:r w:rsidR="00AC7662"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F3F4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E901CE" w:rsidRDefault="005727D4" w:rsidP="005727D4">
      <w:pPr>
        <w:tabs>
          <w:tab w:val="left" w:pos="8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E901CE" w:rsidRPr="00921D79" w:rsidRDefault="00E90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its recent report,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Unfitness to Plead</w:t>
      </w:r>
      <w:r w:rsidR="00921D79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(Law Com. No.364</w:t>
      </w:r>
      <w:r w:rsidR="00D234C0">
        <w:rPr>
          <w:rFonts w:ascii="Arial" w:eastAsia="Times New Roman" w:hAnsi="Arial" w:cs="Arial"/>
          <w:sz w:val="24"/>
          <w:szCs w:val="24"/>
          <w:lang w:eastAsia="en-GB"/>
        </w:rPr>
        <w:t>, 2016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), the Law Commission expressed concerns that difficulties i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dentifying willing supervisors ‘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>are only likely to become more frequent as a result of current resourcing constraints acr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oss the criminal justice system’</w:t>
      </w:r>
      <w:r w:rsidR="00921D79">
        <w:rPr>
          <w:rFonts w:ascii="Arial" w:eastAsia="Times New Roman" w:hAnsi="Arial" w:cs="Arial"/>
          <w:sz w:val="24"/>
          <w:szCs w:val="24"/>
          <w:lang w:eastAsia="en-GB"/>
        </w:rPr>
        <w:t xml:space="preserve"> (para. 6.26). 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The Commission recommended that the local authority area in which a defendant who lacks capacity ordinarily resides should have sole responsibility for supervising that individual if the court deems a supervision order to be appropriate. 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t>The Commission concluded that local authorities, rather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than probation providers, are ‘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t>the most appropriate bod[</w:t>
      </w:r>
      <w:proofErr w:type="spellStart"/>
      <w:r w:rsidR="00C96412">
        <w:rPr>
          <w:rFonts w:ascii="Arial" w:eastAsia="Times New Roman" w:hAnsi="Arial" w:cs="Arial"/>
          <w:sz w:val="24"/>
          <w:szCs w:val="24"/>
          <w:lang w:eastAsia="en-GB"/>
        </w:rPr>
        <w:t>ies</w:t>
      </w:r>
      <w:proofErr w:type="spellEnd"/>
      <w:r w:rsidR="00C96412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to fulfil the supervisory role’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(para.6.39). Local authorities ‘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t xml:space="preserve">work closely with NHS bodies and Clinical Commissioning groups and would be well-placed to co-ordinate the socially 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supportive a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nd health elements of the order’ (para.6.39(1)). They are also ‘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t>in a position to co-ordinate [any] co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nstructive aspects of the order’</w:t>
      </w:r>
      <w:r w:rsidR="00C96412">
        <w:rPr>
          <w:rFonts w:ascii="Arial" w:eastAsia="Times New Roman" w:hAnsi="Arial" w:cs="Arial"/>
          <w:sz w:val="24"/>
          <w:szCs w:val="24"/>
          <w:lang w:eastAsia="en-GB"/>
        </w:rPr>
        <w:t xml:space="preserve"> (para.6.39(2)). 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Under the Commission’s proposals, an individual officer would not be entitled to refuse to supervise the defendant, although a judge would </w:t>
      </w:r>
      <w:r w:rsidR="00555D80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be able to </w:t>
      </w:r>
      <w:r w:rsidR="00555D80">
        <w:rPr>
          <w:rFonts w:ascii="Arial" w:eastAsia="Times New Roman" w:hAnsi="Arial" w:cs="Arial"/>
          <w:sz w:val="24"/>
          <w:szCs w:val="24"/>
          <w:lang w:eastAsia="en-GB"/>
        </w:rPr>
        <w:t>include a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3F41">
        <w:rPr>
          <w:rFonts w:ascii="Arial" w:eastAsia="Times New Roman" w:hAnsi="Arial" w:cs="Arial"/>
          <w:sz w:val="24"/>
          <w:szCs w:val="24"/>
          <w:lang w:eastAsia="en-GB"/>
        </w:rPr>
        <w:t xml:space="preserve">constructive 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>requirement</w:t>
      </w:r>
      <w:r w:rsidR="00555D80">
        <w:rPr>
          <w:rFonts w:ascii="Arial" w:eastAsia="Times New Roman" w:hAnsi="Arial" w:cs="Arial"/>
          <w:sz w:val="24"/>
          <w:szCs w:val="24"/>
          <w:lang w:eastAsia="en-GB"/>
        </w:rPr>
        <w:t xml:space="preserve"> in the order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5D80"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the supervising officer ‘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>is able to make such arrangements as are necessary to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give effect to the requirement’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(para.6.47).</w:t>
      </w:r>
    </w:p>
    <w:p w:rsidR="00E901CE" w:rsidRDefault="00E90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2B4" w:rsidRDefault="002F3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Unless and until the Commission’s 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>recommendations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are enacted, a supervision order cannot be made unless it is possible to identify a social worker or probation officer who is </w:t>
      </w:r>
      <w:r w:rsidR="009256DA">
        <w:rPr>
          <w:rFonts w:ascii="Arial" w:eastAsia="Times New Roman" w:hAnsi="Arial" w:cs="Arial"/>
          <w:sz w:val="24"/>
          <w:szCs w:val="24"/>
          <w:lang w:eastAsia="en-GB"/>
        </w:rPr>
        <w:t>prepared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supervise </w:t>
      </w:r>
      <w:r w:rsidR="005D1955">
        <w:rPr>
          <w:rFonts w:ascii="Arial" w:eastAsia="Times New Roman" w:hAnsi="Arial" w:cs="Arial"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As the Court of Appeal pointed out in </w:t>
      </w:r>
      <w:r w:rsidR="0052676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R v </w:t>
      </w:r>
      <w:proofErr w:type="spellStart"/>
      <w:r w:rsidR="00526762">
        <w:rPr>
          <w:rFonts w:ascii="Arial" w:eastAsia="Times New Roman" w:hAnsi="Arial" w:cs="Arial"/>
          <w:i/>
          <w:sz w:val="24"/>
          <w:szCs w:val="24"/>
          <w:lang w:eastAsia="en-GB"/>
        </w:rPr>
        <w:t>Chinegwundoh</w:t>
      </w:r>
      <w:proofErr w:type="spellEnd"/>
      <w:r w:rsidR="0052676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[2015] 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>EWCA Crim 109, ‘particular care’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is required when </w:t>
      </w:r>
      <w:r w:rsidR="005D1955">
        <w:rPr>
          <w:rFonts w:ascii="Arial" w:eastAsia="Times New Roman" w:hAnsi="Arial" w:cs="Arial"/>
          <w:sz w:val="24"/>
          <w:szCs w:val="24"/>
          <w:lang w:eastAsia="en-GB"/>
        </w:rPr>
        <w:t>making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supervision order</w:t>
      </w:r>
      <w:r w:rsidR="009256D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under the CP(I)A, ‘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>for sorting them out on appeal is wasteful</w:t>
      </w:r>
      <w:r w:rsidR="00EB1D51">
        <w:rPr>
          <w:rFonts w:ascii="Arial" w:eastAsia="Times New Roman" w:hAnsi="Arial" w:cs="Arial"/>
          <w:sz w:val="24"/>
          <w:szCs w:val="24"/>
          <w:lang w:eastAsia="en-GB"/>
        </w:rPr>
        <w:t xml:space="preserve"> of valuable time and resources’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="00526762">
        <w:rPr>
          <w:rFonts w:ascii="Arial" w:eastAsia="Times New Roman" w:hAnsi="Arial" w:cs="Arial"/>
          <w:i/>
          <w:sz w:val="24"/>
          <w:szCs w:val="24"/>
          <w:lang w:eastAsia="en-GB"/>
        </w:rPr>
        <w:t>Chinegwundoh</w:t>
      </w:r>
      <w:proofErr w:type="spellEnd"/>
      <w:r w:rsidR="0052676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526762">
        <w:rPr>
          <w:rFonts w:ascii="Arial" w:eastAsia="Times New Roman" w:hAnsi="Arial" w:cs="Arial"/>
          <w:sz w:val="24"/>
          <w:szCs w:val="24"/>
          <w:lang w:eastAsia="en-GB"/>
        </w:rPr>
        <w:t>at [18]).</w:t>
      </w:r>
    </w:p>
    <w:p w:rsidR="005A1625" w:rsidRDefault="005A16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1625" w:rsidRPr="00526762" w:rsidRDefault="005A16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Natalie Wortley</w:t>
      </w:r>
    </w:p>
    <w:p w:rsidR="00E901CE" w:rsidRDefault="00E90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01CE" w:rsidRPr="004E2E16" w:rsidRDefault="00E90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901CE" w:rsidRPr="004E2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6"/>
    <w:rsid w:val="00163A1A"/>
    <w:rsid w:val="001E7D39"/>
    <w:rsid w:val="00222C0F"/>
    <w:rsid w:val="002258CB"/>
    <w:rsid w:val="00235F5E"/>
    <w:rsid w:val="002C438C"/>
    <w:rsid w:val="002F32B4"/>
    <w:rsid w:val="00337B0B"/>
    <w:rsid w:val="00367328"/>
    <w:rsid w:val="003F3F41"/>
    <w:rsid w:val="004E2E16"/>
    <w:rsid w:val="00526762"/>
    <w:rsid w:val="00555D80"/>
    <w:rsid w:val="005727D4"/>
    <w:rsid w:val="005A1625"/>
    <w:rsid w:val="005D1955"/>
    <w:rsid w:val="005D2C5B"/>
    <w:rsid w:val="006B19EE"/>
    <w:rsid w:val="006B2FD5"/>
    <w:rsid w:val="00781DA8"/>
    <w:rsid w:val="007D1EFA"/>
    <w:rsid w:val="007E3AD5"/>
    <w:rsid w:val="007F0052"/>
    <w:rsid w:val="00921D79"/>
    <w:rsid w:val="009256DA"/>
    <w:rsid w:val="00975C04"/>
    <w:rsid w:val="009E1E15"/>
    <w:rsid w:val="00AC7662"/>
    <w:rsid w:val="00B829D4"/>
    <w:rsid w:val="00C96412"/>
    <w:rsid w:val="00CD4CAC"/>
    <w:rsid w:val="00D234C0"/>
    <w:rsid w:val="00DB72F5"/>
    <w:rsid w:val="00E858AB"/>
    <w:rsid w:val="00E901CE"/>
    <w:rsid w:val="00EB1D51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0202"/>
  <w15:docId w15:val="{1FDBEE55-E4A0-4656-85E9-247699A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F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Wortley</dc:creator>
  <cp:lastModifiedBy>Natalie Wortley</cp:lastModifiedBy>
  <cp:revision>3</cp:revision>
  <dcterms:created xsi:type="dcterms:W3CDTF">2016-08-10T21:54:00Z</dcterms:created>
  <dcterms:modified xsi:type="dcterms:W3CDTF">2016-09-15T14:35:00Z</dcterms:modified>
</cp:coreProperties>
</file>