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9D" w:rsidRPr="0088097A" w:rsidRDefault="002C4F66" w:rsidP="00A43C9D">
      <w:pPr>
        <w:rPr>
          <w:b/>
          <w:sz w:val="20"/>
          <w:szCs w:val="20"/>
          <w:u w:val="single"/>
        </w:rPr>
      </w:pPr>
      <w:r w:rsidRPr="0088097A">
        <w:rPr>
          <w:b/>
          <w:sz w:val="20"/>
          <w:szCs w:val="20"/>
          <w:u w:val="single"/>
        </w:rPr>
        <w:t xml:space="preserve"> </w:t>
      </w:r>
      <w:r w:rsidR="004907A3" w:rsidRPr="0088097A">
        <w:rPr>
          <w:b/>
          <w:sz w:val="20"/>
          <w:szCs w:val="20"/>
          <w:u w:val="single"/>
        </w:rPr>
        <w:t>WELLER V ASSOCIATED NEWSPAPERS: PH</w:t>
      </w:r>
      <w:r w:rsidR="0008371B">
        <w:rPr>
          <w:b/>
          <w:sz w:val="20"/>
          <w:szCs w:val="20"/>
          <w:u w:val="single"/>
        </w:rPr>
        <w:t>OTOGRAPHS OF CHILDREN IN PUBLIC</w:t>
      </w:r>
    </w:p>
    <w:p w:rsidR="00A43C9D" w:rsidRPr="0088097A" w:rsidRDefault="00A43C9D" w:rsidP="00A43C9D">
      <w:pPr>
        <w:rPr>
          <w:b/>
          <w:sz w:val="20"/>
          <w:szCs w:val="20"/>
          <w:u w:val="single"/>
        </w:rPr>
      </w:pPr>
      <w:r w:rsidRPr="0088097A">
        <w:rPr>
          <w:b/>
          <w:sz w:val="20"/>
          <w:szCs w:val="20"/>
          <w:u w:val="single"/>
        </w:rPr>
        <w:t>Key words</w:t>
      </w:r>
    </w:p>
    <w:p w:rsidR="007F3260" w:rsidRPr="0088097A" w:rsidRDefault="007F3260" w:rsidP="00A43C9D">
      <w:pPr>
        <w:rPr>
          <w:b/>
          <w:sz w:val="20"/>
          <w:szCs w:val="20"/>
        </w:rPr>
      </w:pPr>
      <w:r w:rsidRPr="0088097A">
        <w:rPr>
          <w:b/>
          <w:sz w:val="20"/>
          <w:szCs w:val="20"/>
        </w:rPr>
        <w:t>Privacy; Article 8; Right to respect for private life</w:t>
      </w:r>
    </w:p>
    <w:p w:rsidR="00A43C9D" w:rsidRPr="0088097A" w:rsidRDefault="00A43C9D" w:rsidP="00A43C9D">
      <w:pPr>
        <w:rPr>
          <w:b/>
          <w:sz w:val="20"/>
          <w:szCs w:val="20"/>
          <w:u w:val="single"/>
        </w:rPr>
      </w:pPr>
      <w:r w:rsidRPr="0088097A">
        <w:rPr>
          <w:b/>
          <w:sz w:val="20"/>
          <w:szCs w:val="20"/>
          <w:u w:val="single"/>
        </w:rPr>
        <w:t>Introduction</w:t>
      </w:r>
    </w:p>
    <w:p w:rsidR="00ED6EAA" w:rsidRPr="0088097A" w:rsidRDefault="0012589F" w:rsidP="00ED6EAA">
      <w:pPr>
        <w:rPr>
          <w:sz w:val="20"/>
          <w:szCs w:val="20"/>
        </w:rPr>
      </w:pPr>
      <w:r>
        <w:rPr>
          <w:sz w:val="20"/>
          <w:szCs w:val="20"/>
        </w:rPr>
        <w:t>The question of w</w:t>
      </w:r>
      <w:r w:rsidR="00567B5C" w:rsidRPr="0088097A">
        <w:rPr>
          <w:sz w:val="20"/>
          <w:szCs w:val="20"/>
        </w:rPr>
        <w:t>he</w:t>
      </w:r>
      <w:r>
        <w:rPr>
          <w:sz w:val="20"/>
          <w:szCs w:val="20"/>
        </w:rPr>
        <w:t>n</w:t>
      </w:r>
      <w:r w:rsidR="00567B5C" w:rsidRPr="0088097A">
        <w:rPr>
          <w:sz w:val="20"/>
          <w:szCs w:val="20"/>
        </w:rPr>
        <w:t xml:space="preserve"> </w:t>
      </w:r>
      <w:r w:rsidR="003018EF">
        <w:rPr>
          <w:sz w:val="20"/>
          <w:szCs w:val="20"/>
        </w:rPr>
        <w:t>someone may take</w:t>
      </w:r>
      <w:r w:rsidR="00A43C9D" w:rsidRPr="0088097A">
        <w:rPr>
          <w:sz w:val="20"/>
          <w:szCs w:val="20"/>
        </w:rPr>
        <w:t xml:space="preserve"> and </w:t>
      </w:r>
      <w:r>
        <w:rPr>
          <w:sz w:val="20"/>
          <w:szCs w:val="20"/>
        </w:rPr>
        <w:t>publish</w:t>
      </w:r>
      <w:r w:rsidR="00A43C9D" w:rsidRPr="0088097A">
        <w:rPr>
          <w:sz w:val="20"/>
          <w:szCs w:val="20"/>
        </w:rPr>
        <w:t xml:space="preserve"> photographs</w:t>
      </w:r>
      <w:r w:rsidR="00161010" w:rsidRPr="0088097A">
        <w:rPr>
          <w:sz w:val="20"/>
          <w:szCs w:val="20"/>
        </w:rPr>
        <w:t xml:space="preserve"> of </w:t>
      </w:r>
      <w:r>
        <w:rPr>
          <w:sz w:val="20"/>
          <w:szCs w:val="20"/>
        </w:rPr>
        <w:t>an</w:t>
      </w:r>
      <w:r w:rsidR="00161010" w:rsidRPr="0088097A">
        <w:rPr>
          <w:sz w:val="20"/>
          <w:szCs w:val="20"/>
        </w:rPr>
        <w:t xml:space="preserve">other </w:t>
      </w:r>
      <w:r>
        <w:rPr>
          <w:sz w:val="20"/>
          <w:szCs w:val="20"/>
        </w:rPr>
        <w:t>person has been</w:t>
      </w:r>
      <w:r w:rsidR="002D3D53">
        <w:rPr>
          <w:sz w:val="20"/>
          <w:szCs w:val="20"/>
        </w:rPr>
        <w:t xml:space="preserve"> considered in a string of domestic and European cases.</w:t>
      </w:r>
      <w:r w:rsidR="002D3D53">
        <w:rPr>
          <w:rStyle w:val="FootnoteReference"/>
          <w:sz w:val="20"/>
          <w:szCs w:val="20"/>
        </w:rPr>
        <w:footnoteReference w:id="1"/>
      </w:r>
      <w:r w:rsidR="002D3D53">
        <w:rPr>
          <w:sz w:val="20"/>
          <w:szCs w:val="20"/>
        </w:rPr>
        <w:t xml:space="preserve"> It</w:t>
      </w:r>
      <w:r w:rsidR="00A43C9D" w:rsidRPr="0088097A">
        <w:rPr>
          <w:sz w:val="20"/>
          <w:szCs w:val="20"/>
        </w:rPr>
        <w:t xml:space="preserve"> has </w:t>
      </w:r>
      <w:r w:rsidR="00567B5C" w:rsidRPr="0088097A">
        <w:rPr>
          <w:sz w:val="20"/>
          <w:szCs w:val="20"/>
        </w:rPr>
        <w:t xml:space="preserve">most recently </w:t>
      </w:r>
      <w:r w:rsidR="00A43C9D" w:rsidRPr="0088097A">
        <w:rPr>
          <w:sz w:val="20"/>
          <w:szCs w:val="20"/>
        </w:rPr>
        <w:t xml:space="preserve">been considered by the Court of Appeal in </w:t>
      </w:r>
      <w:r w:rsidR="00A43C9D" w:rsidRPr="0088097A">
        <w:rPr>
          <w:i/>
          <w:sz w:val="20"/>
          <w:szCs w:val="20"/>
        </w:rPr>
        <w:t xml:space="preserve">Weller v </w:t>
      </w:r>
      <w:r w:rsidR="00567B5C" w:rsidRPr="0088097A">
        <w:rPr>
          <w:i/>
          <w:sz w:val="20"/>
          <w:szCs w:val="20"/>
        </w:rPr>
        <w:t>Associated Newspapers.</w:t>
      </w:r>
      <w:r w:rsidR="00A43C9D" w:rsidRPr="0088097A">
        <w:rPr>
          <w:rStyle w:val="FootnoteReference"/>
          <w:i/>
          <w:sz w:val="20"/>
          <w:szCs w:val="20"/>
        </w:rPr>
        <w:footnoteReference w:id="2"/>
      </w:r>
      <w:r w:rsidR="00A43C9D" w:rsidRPr="0088097A">
        <w:rPr>
          <w:i/>
          <w:sz w:val="20"/>
          <w:szCs w:val="20"/>
        </w:rPr>
        <w:t xml:space="preserve"> </w:t>
      </w:r>
      <w:r w:rsidR="00567B5C" w:rsidRPr="0088097A">
        <w:rPr>
          <w:sz w:val="20"/>
          <w:szCs w:val="20"/>
        </w:rPr>
        <w:t>This</w:t>
      </w:r>
      <w:r w:rsidR="00A43C9D" w:rsidRPr="0088097A">
        <w:rPr>
          <w:sz w:val="20"/>
          <w:szCs w:val="20"/>
        </w:rPr>
        <w:t xml:space="preserve"> case is significant </w:t>
      </w:r>
      <w:r w:rsidR="00567B5C" w:rsidRPr="0088097A">
        <w:rPr>
          <w:sz w:val="20"/>
          <w:szCs w:val="20"/>
        </w:rPr>
        <w:t xml:space="preserve">in confirming </w:t>
      </w:r>
      <w:r w:rsidR="00A43C9D" w:rsidRPr="0088097A">
        <w:rPr>
          <w:sz w:val="20"/>
          <w:szCs w:val="20"/>
        </w:rPr>
        <w:t xml:space="preserve">that </w:t>
      </w:r>
      <w:r w:rsidR="00567B5C" w:rsidRPr="0088097A">
        <w:rPr>
          <w:sz w:val="20"/>
          <w:szCs w:val="20"/>
        </w:rPr>
        <w:t xml:space="preserve">publication of </w:t>
      </w:r>
      <w:r w:rsidR="00A43C9D" w:rsidRPr="0088097A">
        <w:rPr>
          <w:sz w:val="20"/>
          <w:szCs w:val="20"/>
        </w:rPr>
        <w:t>innocuous photographs</w:t>
      </w:r>
      <w:r w:rsidR="00A05139" w:rsidRPr="0088097A">
        <w:rPr>
          <w:sz w:val="20"/>
          <w:szCs w:val="20"/>
        </w:rPr>
        <w:t xml:space="preserve"> of </w:t>
      </w:r>
      <w:r w:rsidR="002C4F66" w:rsidRPr="0088097A">
        <w:rPr>
          <w:sz w:val="20"/>
          <w:szCs w:val="20"/>
        </w:rPr>
        <w:t xml:space="preserve">the </w:t>
      </w:r>
      <w:r w:rsidR="00321AC8" w:rsidRPr="0088097A">
        <w:rPr>
          <w:sz w:val="20"/>
          <w:szCs w:val="20"/>
        </w:rPr>
        <w:t>children</w:t>
      </w:r>
      <w:r w:rsidR="00A43C9D" w:rsidRPr="0088097A">
        <w:rPr>
          <w:sz w:val="20"/>
          <w:szCs w:val="20"/>
        </w:rPr>
        <w:t xml:space="preserve"> </w:t>
      </w:r>
      <w:r w:rsidR="002C4F66" w:rsidRPr="0088097A">
        <w:rPr>
          <w:sz w:val="20"/>
          <w:szCs w:val="20"/>
        </w:rPr>
        <w:t xml:space="preserve">of public figures </w:t>
      </w:r>
      <w:r w:rsidR="00A43C9D" w:rsidRPr="0088097A">
        <w:rPr>
          <w:sz w:val="20"/>
          <w:szCs w:val="20"/>
        </w:rPr>
        <w:t>may justify a claim under the law of misuse of information</w:t>
      </w:r>
      <w:r w:rsidR="003018EF">
        <w:rPr>
          <w:sz w:val="20"/>
          <w:szCs w:val="20"/>
        </w:rPr>
        <w:t>, even when t</w:t>
      </w:r>
      <w:r w:rsidR="009451FC">
        <w:rPr>
          <w:sz w:val="20"/>
          <w:szCs w:val="20"/>
        </w:rPr>
        <w:t xml:space="preserve">hose photographs were taken in </w:t>
      </w:r>
      <w:r w:rsidR="003018EF">
        <w:rPr>
          <w:sz w:val="20"/>
          <w:szCs w:val="20"/>
        </w:rPr>
        <w:t>public place</w:t>
      </w:r>
      <w:r w:rsidR="00567B5C" w:rsidRPr="0088097A">
        <w:rPr>
          <w:sz w:val="20"/>
          <w:szCs w:val="20"/>
        </w:rPr>
        <w:t>.</w:t>
      </w:r>
      <w:r w:rsidR="009C67FE">
        <w:rPr>
          <w:sz w:val="20"/>
          <w:szCs w:val="20"/>
        </w:rPr>
        <w:t xml:space="preserve"> </w:t>
      </w:r>
      <w:r w:rsidR="00ED6EAA" w:rsidRPr="0088097A">
        <w:rPr>
          <w:sz w:val="20"/>
          <w:szCs w:val="20"/>
        </w:rPr>
        <w:t xml:space="preserve">What is unclear, however, is whether the judgement in </w:t>
      </w:r>
      <w:r w:rsidR="00ED6EAA" w:rsidRPr="0088097A">
        <w:rPr>
          <w:i/>
          <w:sz w:val="20"/>
          <w:szCs w:val="20"/>
        </w:rPr>
        <w:t xml:space="preserve">Weller </w:t>
      </w:r>
      <w:r w:rsidR="00ED6EAA" w:rsidRPr="0088097A">
        <w:rPr>
          <w:sz w:val="20"/>
          <w:szCs w:val="20"/>
        </w:rPr>
        <w:t xml:space="preserve">is of wider relevance, </w:t>
      </w:r>
      <w:r w:rsidR="00ED6EAA">
        <w:rPr>
          <w:sz w:val="20"/>
          <w:szCs w:val="20"/>
        </w:rPr>
        <w:t xml:space="preserve">for example </w:t>
      </w:r>
      <w:r w:rsidR="00ED6EAA" w:rsidRPr="0088097A">
        <w:rPr>
          <w:sz w:val="20"/>
          <w:szCs w:val="20"/>
        </w:rPr>
        <w:t xml:space="preserve">when the claimants are not the children of famous parents and where the defendants are </w:t>
      </w:r>
      <w:r w:rsidR="00ED6EAA">
        <w:rPr>
          <w:sz w:val="20"/>
          <w:szCs w:val="20"/>
        </w:rPr>
        <w:t xml:space="preserve">not </w:t>
      </w:r>
      <w:r w:rsidR="00ED6EAA" w:rsidRPr="0088097A">
        <w:rPr>
          <w:sz w:val="20"/>
          <w:szCs w:val="20"/>
        </w:rPr>
        <w:t xml:space="preserve">the media.  </w:t>
      </w:r>
      <w:r w:rsidR="00ED6EAA">
        <w:rPr>
          <w:sz w:val="20"/>
          <w:szCs w:val="20"/>
        </w:rPr>
        <w:t>T</w:t>
      </w:r>
      <w:r w:rsidR="00ED6EAA" w:rsidRPr="0088097A">
        <w:rPr>
          <w:sz w:val="20"/>
          <w:szCs w:val="20"/>
        </w:rPr>
        <w:t xml:space="preserve">his article considers </w:t>
      </w:r>
      <w:r w:rsidR="00ED6EAA">
        <w:rPr>
          <w:sz w:val="20"/>
          <w:szCs w:val="20"/>
        </w:rPr>
        <w:t xml:space="preserve">why it might be appropriate to extend the reach of the decision to all children, and </w:t>
      </w:r>
      <w:r w:rsidR="00ED6EAA" w:rsidRPr="0088097A">
        <w:rPr>
          <w:sz w:val="20"/>
          <w:szCs w:val="20"/>
        </w:rPr>
        <w:t xml:space="preserve">how the approach adopted in </w:t>
      </w:r>
      <w:r w:rsidR="00ED6EAA" w:rsidRPr="0088097A">
        <w:rPr>
          <w:i/>
          <w:sz w:val="20"/>
          <w:szCs w:val="20"/>
        </w:rPr>
        <w:t xml:space="preserve">Weller </w:t>
      </w:r>
      <w:r w:rsidR="00ED6EAA" w:rsidRPr="0088097A">
        <w:rPr>
          <w:sz w:val="20"/>
          <w:szCs w:val="20"/>
        </w:rPr>
        <w:t>might be applied</w:t>
      </w:r>
      <w:r w:rsidR="00ED6EAA">
        <w:rPr>
          <w:sz w:val="20"/>
          <w:szCs w:val="20"/>
        </w:rPr>
        <w:t xml:space="preserve"> to</w:t>
      </w:r>
      <w:r w:rsidR="00ED6EAA" w:rsidRPr="0088097A">
        <w:rPr>
          <w:sz w:val="20"/>
          <w:szCs w:val="20"/>
        </w:rPr>
        <w:t xml:space="preserve"> </w:t>
      </w:r>
      <w:r w:rsidR="00ED6EAA">
        <w:rPr>
          <w:sz w:val="20"/>
          <w:szCs w:val="20"/>
        </w:rPr>
        <w:t>such ‘</w:t>
      </w:r>
      <w:r w:rsidR="00ED6EAA" w:rsidRPr="0088097A">
        <w:rPr>
          <w:sz w:val="20"/>
          <w:szCs w:val="20"/>
        </w:rPr>
        <w:t>ordinary</w:t>
      </w:r>
      <w:r w:rsidR="00ED6EAA">
        <w:rPr>
          <w:sz w:val="20"/>
          <w:szCs w:val="20"/>
        </w:rPr>
        <w:t>’</w:t>
      </w:r>
      <w:r w:rsidR="00ED6EAA" w:rsidRPr="0088097A">
        <w:rPr>
          <w:sz w:val="20"/>
          <w:szCs w:val="20"/>
        </w:rPr>
        <w:t xml:space="preserve"> individuals. </w:t>
      </w:r>
    </w:p>
    <w:p w:rsidR="00A43C9D" w:rsidRPr="0088097A" w:rsidRDefault="00A43C9D" w:rsidP="00A43C9D">
      <w:pPr>
        <w:rPr>
          <w:b/>
          <w:sz w:val="20"/>
          <w:szCs w:val="20"/>
          <w:u w:val="single"/>
        </w:rPr>
      </w:pPr>
      <w:r w:rsidRPr="0088097A">
        <w:rPr>
          <w:b/>
          <w:i/>
          <w:sz w:val="20"/>
          <w:szCs w:val="20"/>
          <w:u w:val="single"/>
        </w:rPr>
        <w:t xml:space="preserve">Weller: </w:t>
      </w:r>
      <w:r w:rsidRPr="0088097A">
        <w:rPr>
          <w:b/>
          <w:sz w:val="20"/>
          <w:szCs w:val="20"/>
          <w:u w:val="single"/>
        </w:rPr>
        <w:t>The facts</w:t>
      </w:r>
    </w:p>
    <w:p w:rsidR="00A43C9D" w:rsidRPr="0088097A" w:rsidRDefault="007837B5" w:rsidP="00A43C9D">
      <w:pPr>
        <w:rPr>
          <w:sz w:val="20"/>
          <w:szCs w:val="20"/>
        </w:rPr>
      </w:pPr>
      <w:r>
        <w:rPr>
          <w:sz w:val="20"/>
          <w:szCs w:val="20"/>
        </w:rPr>
        <w:t>In October 2012 Paul</w:t>
      </w:r>
      <w:r w:rsidR="00A43C9D" w:rsidRPr="0088097A">
        <w:rPr>
          <w:sz w:val="20"/>
          <w:szCs w:val="20"/>
        </w:rPr>
        <w:t xml:space="preserve"> Weller, a well-known musician, was enjoying a family shopping trip </w:t>
      </w:r>
      <w:r w:rsidR="001777C7">
        <w:rPr>
          <w:sz w:val="20"/>
          <w:szCs w:val="20"/>
        </w:rPr>
        <w:t xml:space="preserve">in </w:t>
      </w:r>
      <w:r w:rsidR="00A43C9D" w:rsidRPr="0088097A">
        <w:rPr>
          <w:sz w:val="20"/>
          <w:szCs w:val="20"/>
        </w:rPr>
        <w:t>California with his 10-month-old twin boys and his 16</w:t>
      </w:r>
      <w:r w:rsidR="001777C7">
        <w:rPr>
          <w:sz w:val="20"/>
          <w:szCs w:val="20"/>
        </w:rPr>
        <w:t>-</w:t>
      </w:r>
      <w:r w:rsidR="00A43C9D" w:rsidRPr="0088097A">
        <w:rPr>
          <w:sz w:val="20"/>
          <w:szCs w:val="20"/>
        </w:rPr>
        <w:t>year</w:t>
      </w:r>
      <w:r w:rsidR="001777C7">
        <w:rPr>
          <w:sz w:val="20"/>
          <w:szCs w:val="20"/>
        </w:rPr>
        <w:t>-</w:t>
      </w:r>
      <w:r w:rsidR="00A43C9D" w:rsidRPr="0088097A">
        <w:rPr>
          <w:sz w:val="20"/>
          <w:szCs w:val="20"/>
        </w:rPr>
        <w:t>old daughter</w:t>
      </w:r>
      <w:r w:rsidR="00161010" w:rsidRPr="0088097A">
        <w:rPr>
          <w:sz w:val="20"/>
          <w:szCs w:val="20"/>
        </w:rPr>
        <w:t xml:space="preserve">.  A </w:t>
      </w:r>
      <w:r w:rsidR="00A43C9D" w:rsidRPr="0088097A">
        <w:rPr>
          <w:sz w:val="20"/>
          <w:szCs w:val="20"/>
        </w:rPr>
        <w:t>photographer</w:t>
      </w:r>
      <w:r w:rsidR="00161010" w:rsidRPr="0088097A">
        <w:rPr>
          <w:sz w:val="20"/>
          <w:szCs w:val="20"/>
        </w:rPr>
        <w:t>, without the consent of the children or Mr Weller,</w:t>
      </w:r>
      <w:r w:rsidR="00A43C9D" w:rsidRPr="0088097A">
        <w:rPr>
          <w:sz w:val="20"/>
          <w:szCs w:val="20"/>
        </w:rPr>
        <w:t xml:space="preserve"> too</w:t>
      </w:r>
      <w:r>
        <w:rPr>
          <w:sz w:val="20"/>
          <w:szCs w:val="20"/>
        </w:rPr>
        <w:t xml:space="preserve">k photographs of the family </w:t>
      </w:r>
      <w:r w:rsidR="00A43C9D" w:rsidRPr="0088097A">
        <w:rPr>
          <w:sz w:val="20"/>
          <w:szCs w:val="20"/>
        </w:rPr>
        <w:t>on the street and at a café.  Seven photographs were published by the Mail Online.  The children</w:t>
      </w:r>
      <w:r w:rsidR="00161010" w:rsidRPr="0088097A">
        <w:rPr>
          <w:sz w:val="20"/>
          <w:szCs w:val="20"/>
        </w:rPr>
        <w:t xml:space="preserve"> </w:t>
      </w:r>
      <w:r w:rsidR="001777C7">
        <w:rPr>
          <w:sz w:val="20"/>
          <w:szCs w:val="20"/>
        </w:rPr>
        <w:t>instituted</w:t>
      </w:r>
      <w:r w:rsidR="00161010" w:rsidRPr="0088097A">
        <w:rPr>
          <w:sz w:val="20"/>
          <w:szCs w:val="20"/>
        </w:rPr>
        <w:t xml:space="preserve"> a claim alleging</w:t>
      </w:r>
      <w:r w:rsidR="00A43C9D" w:rsidRPr="0088097A">
        <w:rPr>
          <w:sz w:val="20"/>
          <w:szCs w:val="20"/>
        </w:rPr>
        <w:t xml:space="preserve"> misuse of their private information and breach of the Data Protection Act 1998.  </w:t>
      </w:r>
    </w:p>
    <w:p w:rsidR="00A43C9D" w:rsidRPr="0088097A" w:rsidRDefault="002400C0" w:rsidP="001777C7">
      <w:pPr>
        <w:rPr>
          <w:sz w:val="20"/>
          <w:szCs w:val="20"/>
        </w:rPr>
      </w:pPr>
      <w:r w:rsidRPr="0088097A">
        <w:rPr>
          <w:sz w:val="20"/>
          <w:szCs w:val="20"/>
        </w:rPr>
        <w:t xml:space="preserve">At first instance </w:t>
      </w:r>
      <w:proofErr w:type="spellStart"/>
      <w:r w:rsidR="00A43C9D" w:rsidRPr="0088097A">
        <w:rPr>
          <w:sz w:val="20"/>
          <w:szCs w:val="20"/>
        </w:rPr>
        <w:t>Dingemans</w:t>
      </w:r>
      <w:proofErr w:type="spellEnd"/>
      <w:r w:rsidR="00161010" w:rsidRPr="0088097A">
        <w:rPr>
          <w:sz w:val="20"/>
          <w:szCs w:val="20"/>
        </w:rPr>
        <w:t xml:space="preserve"> J</w:t>
      </w:r>
      <w:r w:rsidR="00A43C9D" w:rsidRPr="0088097A">
        <w:rPr>
          <w:sz w:val="20"/>
          <w:szCs w:val="20"/>
        </w:rPr>
        <w:t xml:space="preserve"> concluded the children’s claim for misuse of privat</w:t>
      </w:r>
      <w:r w:rsidR="00161010" w:rsidRPr="0088097A">
        <w:rPr>
          <w:sz w:val="20"/>
          <w:szCs w:val="20"/>
        </w:rPr>
        <w:t>e information was well-founded and</w:t>
      </w:r>
      <w:r w:rsidR="00A43C9D" w:rsidRPr="0088097A">
        <w:rPr>
          <w:sz w:val="20"/>
          <w:szCs w:val="20"/>
        </w:rPr>
        <w:t xml:space="preserve"> awarded </w:t>
      </w:r>
      <w:r w:rsidR="007837B5">
        <w:rPr>
          <w:sz w:val="20"/>
          <w:szCs w:val="20"/>
        </w:rPr>
        <w:t xml:space="preserve">£5,000 </w:t>
      </w:r>
      <w:r w:rsidR="00A43C9D" w:rsidRPr="0088097A">
        <w:rPr>
          <w:sz w:val="20"/>
          <w:szCs w:val="20"/>
        </w:rPr>
        <w:t xml:space="preserve">damages to the daughter and £2,500 </w:t>
      </w:r>
      <w:r w:rsidR="009153D3">
        <w:rPr>
          <w:sz w:val="20"/>
          <w:szCs w:val="20"/>
        </w:rPr>
        <w:t xml:space="preserve">to </w:t>
      </w:r>
      <w:r w:rsidR="00A43C9D" w:rsidRPr="0088097A">
        <w:rPr>
          <w:sz w:val="20"/>
          <w:szCs w:val="20"/>
        </w:rPr>
        <w:t>each boy.  The defendant newspaper</w:t>
      </w:r>
      <w:r w:rsidR="001777C7">
        <w:rPr>
          <w:sz w:val="20"/>
          <w:szCs w:val="20"/>
        </w:rPr>
        <w:t xml:space="preserve"> appealed, questioning whether </w:t>
      </w:r>
      <w:r w:rsidR="00A43C9D" w:rsidRPr="0088097A">
        <w:rPr>
          <w:sz w:val="20"/>
          <w:szCs w:val="20"/>
        </w:rPr>
        <w:t>publication of an “innocuous” photograph of a child taken in a pub</w:t>
      </w:r>
      <w:r w:rsidR="001777C7">
        <w:rPr>
          <w:sz w:val="20"/>
          <w:szCs w:val="20"/>
        </w:rPr>
        <w:t>lic street without consent can give</w:t>
      </w:r>
      <w:r w:rsidR="00A43C9D" w:rsidRPr="0088097A">
        <w:rPr>
          <w:sz w:val="20"/>
          <w:szCs w:val="20"/>
        </w:rPr>
        <w:t xml:space="preserve"> rise to a re</w:t>
      </w:r>
      <w:r w:rsidR="0008371B">
        <w:rPr>
          <w:sz w:val="20"/>
          <w:szCs w:val="20"/>
        </w:rPr>
        <w:t>asonable expectation of privacy</w:t>
      </w:r>
      <w:r w:rsidR="00A43C9D" w:rsidRPr="0088097A">
        <w:rPr>
          <w:sz w:val="20"/>
          <w:szCs w:val="20"/>
        </w:rPr>
        <w:t xml:space="preserve"> merely because the person is identifiable but where nothi</w:t>
      </w:r>
      <w:r w:rsidR="001777C7">
        <w:rPr>
          <w:sz w:val="20"/>
          <w:szCs w:val="20"/>
        </w:rPr>
        <w:t>ng inherently private is shown.</w:t>
      </w:r>
      <w:r w:rsidR="00A43C9D" w:rsidRPr="0088097A">
        <w:rPr>
          <w:rStyle w:val="FootnoteReference"/>
          <w:sz w:val="20"/>
          <w:szCs w:val="20"/>
        </w:rPr>
        <w:footnoteReference w:id="3"/>
      </w:r>
    </w:p>
    <w:p w:rsidR="00A43C9D" w:rsidRPr="0088097A" w:rsidRDefault="0008371B" w:rsidP="00A43C9D">
      <w:pPr>
        <w:rPr>
          <w:sz w:val="20"/>
          <w:szCs w:val="20"/>
        </w:rPr>
      </w:pPr>
      <w:r>
        <w:rPr>
          <w:sz w:val="20"/>
          <w:szCs w:val="20"/>
        </w:rPr>
        <w:t>The appeal was unsuccessful.  A</w:t>
      </w:r>
      <w:r w:rsidR="00161010" w:rsidRPr="0088097A">
        <w:rPr>
          <w:sz w:val="20"/>
          <w:szCs w:val="20"/>
        </w:rPr>
        <w:t xml:space="preserve"> misuse of the children’s private information had occurred.</w:t>
      </w:r>
      <w:r w:rsidR="00A43C9D" w:rsidRPr="0088097A">
        <w:rPr>
          <w:sz w:val="20"/>
          <w:szCs w:val="20"/>
        </w:rPr>
        <w:t xml:space="preserve">  </w:t>
      </w:r>
    </w:p>
    <w:p w:rsidR="00A43C9D" w:rsidRPr="0088097A" w:rsidRDefault="00A43C9D" w:rsidP="00A43C9D">
      <w:pPr>
        <w:rPr>
          <w:b/>
          <w:sz w:val="20"/>
          <w:szCs w:val="20"/>
          <w:u w:val="single"/>
        </w:rPr>
      </w:pPr>
      <w:r w:rsidRPr="0088097A">
        <w:rPr>
          <w:b/>
          <w:sz w:val="20"/>
          <w:szCs w:val="20"/>
          <w:u w:val="single"/>
        </w:rPr>
        <w:t>The</w:t>
      </w:r>
      <w:r w:rsidRPr="0088097A">
        <w:rPr>
          <w:sz w:val="20"/>
          <w:szCs w:val="20"/>
          <w:u w:val="single"/>
        </w:rPr>
        <w:t xml:space="preserve"> </w:t>
      </w:r>
      <w:r w:rsidRPr="0088097A">
        <w:rPr>
          <w:b/>
          <w:sz w:val="20"/>
          <w:szCs w:val="20"/>
          <w:u w:val="single"/>
        </w:rPr>
        <w:t>law</w:t>
      </w:r>
    </w:p>
    <w:p w:rsidR="00A43C9D" w:rsidRPr="0088097A" w:rsidRDefault="00412D45" w:rsidP="00A43C9D">
      <w:pPr>
        <w:rPr>
          <w:sz w:val="20"/>
          <w:szCs w:val="20"/>
        </w:rPr>
      </w:pPr>
      <w:r>
        <w:rPr>
          <w:sz w:val="20"/>
          <w:szCs w:val="20"/>
        </w:rPr>
        <w:t>I</w:t>
      </w:r>
      <w:r w:rsidR="002400C0" w:rsidRPr="0088097A">
        <w:rPr>
          <w:sz w:val="20"/>
          <w:szCs w:val="20"/>
        </w:rPr>
        <w:t xml:space="preserve">n </w:t>
      </w:r>
      <w:r>
        <w:rPr>
          <w:i/>
          <w:sz w:val="20"/>
          <w:szCs w:val="20"/>
        </w:rPr>
        <w:t xml:space="preserve">Weller, </w:t>
      </w:r>
      <w:r w:rsidR="0008371B">
        <w:rPr>
          <w:sz w:val="20"/>
          <w:szCs w:val="20"/>
        </w:rPr>
        <w:t>the Master of the Rolls, Lord Dyson</w:t>
      </w:r>
      <w:r w:rsidR="00F210FB">
        <w:rPr>
          <w:sz w:val="20"/>
          <w:szCs w:val="20"/>
        </w:rPr>
        <w:t xml:space="preserve"> reiterate</w:t>
      </w:r>
      <w:r w:rsidR="002400C0" w:rsidRPr="0088097A">
        <w:rPr>
          <w:sz w:val="20"/>
          <w:szCs w:val="20"/>
        </w:rPr>
        <w:t xml:space="preserve">d that </w:t>
      </w:r>
      <w:r w:rsidR="00A43C9D" w:rsidRPr="0088097A">
        <w:rPr>
          <w:sz w:val="20"/>
          <w:szCs w:val="20"/>
        </w:rPr>
        <w:t>where a publication is claimed to be a misuse of private information the ‘starting point’</w:t>
      </w:r>
      <w:r w:rsidR="00A43C9D" w:rsidRPr="0088097A">
        <w:rPr>
          <w:rStyle w:val="FootnoteReference"/>
          <w:sz w:val="20"/>
          <w:szCs w:val="20"/>
        </w:rPr>
        <w:footnoteReference w:id="4"/>
      </w:r>
      <w:r w:rsidR="00A43C9D" w:rsidRPr="0088097A">
        <w:rPr>
          <w:sz w:val="20"/>
          <w:szCs w:val="20"/>
        </w:rPr>
        <w:t xml:space="preserve"> is the two stage test established in </w:t>
      </w:r>
      <w:r w:rsidR="00A43C9D" w:rsidRPr="0088097A">
        <w:rPr>
          <w:i/>
          <w:sz w:val="20"/>
          <w:szCs w:val="20"/>
        </w:rPr>
        <w:t>Campbell v MGN Ltd.</w:t>
      </w:r>
      <w:r w:rsidR="00A43C9D" w:rsidRPr="0088097A">
        <w:rPr>
          <w:rStyle w:val="FootnoteReference"/>
          <w:i/>
          <w:sz w:val="20"/>
          <w:szCs w:val="20"/>
        </w:rPr>
        <w:footnoteReference w:id="5"/>
      </w:r>
      <w:r w:rsidR="00A43C9D" w:rsidRPr="0088097A">
        <w:rPr>
          <w:sz w:val="20"/>
          <w:szCs w:val="20"/>
        </w:rPr>
        <w:t xml:space="preserve">  </w:t>
      </w:r>
      <w:r w:rsidR="002400C0" w:rsidRPr="0088097A">
        <w:rPr>
          <w:sz w:val="20"/>
          <w:szCs w:val="20"/>
        </w:rPr>
        <w:t xml:space="preserve">First one must consider </w:t>
      </w:r>
      <w:r w:rsidR="00A43C9D" w:rsidRPr="0088097A">
        <w:rPr>
          <w:sz w:val="20"/>
          <w:szCs w:val="20"/>
        </w:rPr>
        <w:t xml:space="preserve">‘whether in </w:t>
      </w:r>
      <w:proofErr w:type="gramStart"/>
      <w:r w:rsidR="00A43C9D" w:rsidRPr="0088097A">
        <w:rPr>
          <w:sz w:val="20"/>
          <w:szCs w:val="20"/>
        </w:rPr>
        <w:t>respect</w:t>
      </w:r>
      <w:proofErr w:type="gramEnd"/>
      <w:r w:rsidR="00A43C9D" w:rsidRPr="0088097A">
        <w:rPr>
          <w:sz w:val="20"/>
          <w:szCs w:val="20"/>
        </w:rPr>
        <w:t xml:space="preserve"> of the disclosed facts the person in question had a reasonable expectation of privacy.’  If the answer is no, the claim fails.  If the answer is yes</w:t>
      </w:r>
      <w:r w:rsidR="009153D3">
        <w:rPr>
          <w:sz w:val="20"/>
          <w:szCs w:val="20"/>
        </w:rPr>
        <w:t>,</w:t>
      </w:r>
      <w:r w:rsidR="00A43C9D" w:rsidRPr="0088097A">
        <w:rPr>
          <w:sz w:val="20"/>
          <w:szCs w:val="20"/>
        </w:rPr>
        <w:t xml:space="preserve"> the court must conduct the ‘ultimate balancing test,’</w:t>
      </w:r>
      <w:r w:rsidR="00A43C9D" w:rsidRPr="0088097A">
        <w:rPr>
          <w:rStyle w:val="FootnoteReference"/>
          <w:sz w:val="20"/>
          <w:szCs w:val="20"/>
        </w:rPr>
        <w:footnoteReference w:id="6"/>
      </w:r>
      <w:r w:rsidR="00A43C9D" w:rsidRPr="0088097A">
        <w:rPr>
          <w:sz w:val="20"/>
          <w:szCs w:val="20"/>
        </w:rPr>
        <w:t xml:space="preserve"> weighing the</w:t>
      </w:r>
      <w:r w:rsidR="007E17D0">
        <w:rPr>
          <w:sz w:val="20"/>
          <w:szCs w:val="20"/>
        </w:rPr>
        <w:t xml:space="preserve"> claimant’s Article 8</w:t>
      </w:r>
      <w:r w:rsidR="007E17D0">
        <w:rPr>
          <w:rStyle w:val="FootnoteReference"/>
          <w:sz w:val="20"/>
          <w:szCs w:val="20"/>
        </w:rPr>
        <w:footnoteReference w:id="7"/>
      </w:r>
      <w:r w:rsidR="00A43C9D" w:rsidRPr="0088097A">
        <w:rPr>
          <w:sz w:val="20"/>
          <w:szCs w:val="20"/>
        </w:rPr>
        <w:t xml:space="preserve"> rights against the publisher’s </w:t>
      </w:r>
      <w:r w:rsidR="00F210FB">
        <w:rPr>
          <w:sz w:val="20"/>
          <w:szCs w:val="20"/>
        </w:rPr>
        <w:t xml:space="preserve">Article 10 </w:t>
      </w:r>
      <w:r w:rsidR="00A43C9D" w:rsidRPr="0088097A">
        <w:rPr>
          <w:sz w:val="20"/>
          <w:szCs w:val="20"/>
        </w:rPr>
        <w:t xml:space="preserve">rights. </w:t>
      </w:r>
      <w:r w:rsidR="002400C0" w:rsidRPr="0088097A">
        <w:rPr>
          <w:sz w:val="20"/>
          <w:szCs w:val="20"/>
        </w:rPr>
        <w:t xml:space="preserve">  </w:t>
      </w:r>
    </w:p>
    <w:p w:rsidR="00A43C9D" w:rsidRPr="0088097A" w:rsidRDefault="002400C0" w:rsidP="00A43C9D">
      <w:pPr>
        <w:rPr>
          <w:sz w:val="20"/>
          <w:szCs w:val="20"/>
        </w:rPr>
      </w:pPr>
      <w:r w:rsidRPr="0088097A">
        <w:rPr>
          <w:sz w:val="20"/>
          <w:szCs w:val="20"/>
        </w:rPr>
        <w:t>The question of whether a person has a reasonable expectation of privacy is an objective one.</w:t>
      </w:r>
      <w:r w:rsidR="009153D3">
        <w:rPr>
          <w:sz w:val="20"/>
          <w:szCs w:val="20"/>
        </w:rPr>
        <w:t xml:space="preserve">  </w:t>
      </w:r>
      <w:r w:rsidRPr="0088097A">
        <w:rPr>
          <w:i/>
          <w:sz w:val="20"/>
          <w:szCs w:val="20"/>
        </w:rPr>
        <w:t>‘</w:t>
      </w:r>
      <w:r w:rsidRPr="0088097A">
        <w:rPr>
          <w:sz w:val="20"/>
          <w:szCs w:val="20"/>
        </w:rPr>
        <w:t>The question is what a reasonable person of ordinary sensibilities would feel if she was placed in the same position as the claimant and faced with the same publicity.’</w:t>
      </w:r>
      <w:r w:rsidR="009153D3" w:rsidRPr="009153D3">
        <w:rPr>
          <w:rStyle w:val="FootnoteReference"/>
          <w:i/>
          <w:sz w:val="20"/>
          <w:szCs w:val="20"/>
        </w:rPr>
        <w:t xml:space="preserve"> </w:t>
      </w:r>
      <w:r w:rsidR="009153D3" w:rsidRPr="0088097A">
        <w:rPr>
          <w:rStyle w:val="FootnoteReference"/>
          <w:i/>
          <w:sz w:val="20"/>
          <w:szCs w:val="20"/>
        </w:rPr>
        <w:footnoteReference w:id="8"/>
      </w:r>
      <w:r w:rsidR="00DB5600">
        <w:rPr>
          <w:i/>
          <w:sz w:val="20"/>
          <w:szCs w:val="20"/>
        </w:rPr>
        <w:t xml:space="preserve"> </w:t>
      </w:r>
      <w:r w:rsidR="00DB5600" w:rsidRPr="00DB5600">
        <w:rPr>
          <w:sz w:val="20"/>
          <w:szCs w:val="20"/>
        </w:rPr>
        <w:t>A</w:t>
      </w:r>
      <w:r w:rsidR="00A43C9D" w:rsidRPr="0088097A">
        <w:rPr>
          <w:sz w:val="20"/>
          <w:szCs w:val="20"/>
        </w:rPr>
        <w:t>ll the circumstances of the case must be taken into account</w:t>
      </w:r>
      <w:r w:rsidR="00DB5600">
        <w:rPr>
          <w:sz w:val="20"/>
          <w:szCs w:val="20"/>
        </w:rPr>
        <w:t>,</w:t>
      </w:r>
      <w:r w:rsidR="00DB5600" w:rsidRPr="0088097A">
        <w:rPr>
          <w:rStyle w:val="FootnoteReference"/>
          <w:sz w:val="20"/>
          <w:szCs w:val="20"/>
        </w:rPr>
        <w:footnoteReference w:id="9"/>
      </w:r>
      <w:r w:rsidR="00DB5600">
        <w:rPr>
          <w:sz w:val="20"/>
          <w:szCs w:val="20"/>
        </w:rPr>
        <w:t xml:space="preserve"> but particularly</w:t>
      </w:r>
      <w:r w:rsidR="00A43C9D" w:rsidRPr="0088097A">
        <w:rPr>
          <w:sz w:val="20"/>
          <w:szCs w:val="20"/>
        </w:rPr>
        <w:t>;</w:t>
      </w:r>
    </w:p>
    <w:p w:rsidR="00A43C9D" w:rsidRPr="0088097A" w:rsidRDefault="00A43C9D" w:rsidP="00A43C9D">
      <w:pPr>
        <w:ind w:left="720"/>
        <w:rPr>
          <w:sz w:val="20"/>
          <w:szCs w:val="20"/>
        </w:rPr>
      </w:pPr>
      <w:r w:rsidRPr="0088097A">
        <w:rPr>
          <w:sz w:val="20"/>
          <w:szCs w:val="20"/>
        </w:rPr>
        <w:t>‘the attributes of the claimant, the nature of the activity in which the claimant was engaged, the place at which it was happening, the nature and purpose of the intrusion, the absence of consent and whether it was known or could be inferred, the effect on the claimant and the circumstances in which and the purposes for which the information came into the hands of the publisher.’</w:t>
      </w:r>
      <w:r w:rsidRPr="0088097A">
        <w:rPr>
          <w:rStyle w:val="FootnoteReference"/>
          <w:i/>
          <w:sz w:val="20"/>
          <w:szCs w:val="20"/>
        </w:rPr>
        <w:footnoteReference w:id="10"/>
      </w:r>
    </w:p>
    <w:p w:rsidR="00A43C9D" w:rsidRPr="0088097A" w:rsidRDefault="00A43C9D" w:rsidP="00687BDC">
      <w:pPr>
        <w:rPr>
          <w:sz w:val="20"/>
          <w:szCs w:val="20"/>
        </w:rPr>
      </w:pPr>
      <w:r w:rsidRPr="0088097A">
        <w:rPr>
          <w:sz w:val="20"/>
          <w:szCs w:val="20"/>
        </w:rPr>
        <w:t>In</w:t>
      </w:r>
      <w:r w:rsidR="00412D45">
        <w:rPr>
          <w:sz w:val="20"/>
          <w:szCs w:val="20"/>
        </w:rPr>
        <w:t xml:space="preserve"> concluding that the children </w:t>
      </w:r>
      <w:r w:rsidR="00F210FB">
        <w:rPr>
          <w:sz w:val="20"/>
          <w:szCs w:val="20"/>
        </w:rPr>
        <w:t>had</w:t>
      </w:r>
      <w:r w:rsidR="00412D45">
        <w:rPr>
          <w:sz w:val="20"/>
          <w:szCs w:val="20"/>
        </w:rPr>
        <w:t xml:space="preserve"> a reasonable expectation of privacy</w:t>
      </w:r>
      <w:r w:rsidR="000E7F6E" w:rsidRPr="0088097A">
        <w:rPr>
          <w:rStyle w:val="FootnoteReference"/>
          <w:sz w:val="20"/>
          <w:szCs w:val="20"/>
        </w:rPr>
        <w:footnoteReference w:id="11"/>
      </w:r>
      <w:r w:rsidRPr="0088097A">
        <w:rPr>
          <w:i/>
          <w:sz w:val="20"/>
          <w:szCs w:val="20"/>
        </w:rPr>
        <w:t xml:space="preserve"> </w:t>
      </w:r>
      <w:r w:rsidR="007E17D0">
        <w:rPr>
          <w:sz w:val="20"/>
          <w:szCs w:val="20"/>
        </w:rPr>
        <w:t>Lord Dyson</w:t>
      </w:r>
      <w:r w:rsidR="002400C0" w:rsidRPr="0088097A">
        <w:rPr>
          <w:sz w:val="20"/>
          <w:szCs w:val="20"/>
        </w:rPr>
        <w:t xml:space="preserve"> stress</w:t>
      </w:r>
      <w:r w:rsidR="00412D45">
        <w:rPr>
          <w:sz w:val="20"/>
          <w:szCs w:val="20"/>
        </w:rPr>
        <w:t xml:space="preserve">ed </w:t>
      </w:r>
      <w:r w:rsidR="002400C0" w:rsidRPr="0088097A">
        <w:rPr>
          <w:sz w:val="20"/>
          <w:szCs w:val="20"/>
        </w:rPr>
        <w:t xml:space="preserve">that </w:t>
      </w:r>
      <w:r w:rsidRPr="0088097A">
        <w:rPr>
          <w:sz w:val="20"/>
          <w:szCs w:val="20"/>
        </w:rPr>
        <w:t>the claimants were children</w:t>
      </w:r>
      <w:r w:rsidR="00687BDC" w:rsidRPr="0088097A">
        <w:rPr>
          <w:sz w:val="20"/>
          <w:szCs w:val="20"/>
        </w:rPr>
        <w:t xml:space="preserve"> and</w:t>
      </w:r>
      <w:r w:rsidR="009153D3">
        <w:rPr>
          <w:sz w:val="20"/>
          <w:szCs w:val="20"/>
        </w:rPr>
        <w:t>,</w:t>
      </w:r>
      <w:r w:rsidR="00687BDC" w:rsidRPr="0088097A">
        <w:rPr>
          <w:sz w:val="20"/>
          <w:szCs w:val="20"/>
        </w:rPr>
        <w:t xml:space="preserve"> critically</w:t>
      </w:r>
      <w:r w:rsidR="009153D3">
        <w:rPr>
          <w:sz w:val="20"/>
          <w:szCs w:val="20"/>
        </w:rPr>
        <w:t>, that</w:t>
      </w:r>
      <w:r w:rsidR="00687BDC" w:rsidRPr="0088097A">
        <w:rPr>
          <w:sz w:val="20"/>
          <w:szCs w:val="20"/>
        </w:rPr>
        <w:t xml:space="preserve"> they were identified by publication of their surname alongside the image</w:t>
      </w:r>
      <w:r w:rsidR="002400C0" w:rsidRPr="0088097A">
        <w:rPr>
          <w:sz w:val="20"/>
          <w:szCs w:val="20"/>
        </w:rPr>
        <w:t xml:space="preserve">.  </w:t>
      </w:r>
      <w:r w:rsidR="00687BDC" w:rsidRPr="0088097A">
        <w:rPr>
          <w:sz w:val="20"/>
          <w:szCs w:val="20"/>
        </w:rPr>
        <w:t xml:space="preserve">As children they were </w:t>
      </w:r>
      <w:r w:rsidRPr="0088097A">
        <w:rPr>
          <w:sz w:val="20"/>
          <w:szCs w:val="20"/>
        </w:rPr>
        <w:t xml:space="preserve">not </w:t>
      </w:r>
      <w:r w:rsidR="00687BDC" w:rsidRPr="0088097A">
        <w:rPr>
          <w:sz w:val="20"/>
          <w:szCs w:val="20"/>
        </w:rPr>
        <w:t xml:space="preserve">in a position to have </w:t>
      </w:r>
      <w:r w:rsidRPr="0088097A">
        <w:rPr>
          <w:sz w:val="20"/>
          <w:szCs w:val="20"/>
        </w:rPr>
        <w:t>knowingly or accidentally la</w:t>
      </w:r>
      <w:r w:rsidR="002400C0" w:rsidRPr="0088097A">
        <w:rPr>
          <w:sz w:val="20"/>
          <w:szCs w:val="20"/>
        </w:rPr>
        <w:t>id</w:t>
      </w:r>
      <w:r w:rsidRPr="0088097A">
        <w:rPr>
          <w:sz w:val="20"/>
          <w:szCs w:val="20"/>
        </w:rPr>
        <w:t xml:space="preserve"> themsel</w:t>
      </w:r>
      <w:r w:rsidR="002400C0" w:rsidRPr="0088097A">
        <w:rPr>
          <w:sz w:val="20"/>
          <w:szCs w:val="20"/>
        </w:rPr>
        <w:t>ves open to being photographed</w:t>
      </w:r>
      <w:r w:rsidR="00687BDC" w:rsidRPr="0088097A">
        <w:rPr>
          <w:sz w:val="20"/>
          <w:szCs w:val="20"/>
        </w:rPr>
        <w:t>,</w:t>
      </w:r>
      <w:r w:rsidR="002400C0" w:rsidRPr="0088097A">
        <w:rPr>
          <w:rStyle w:val="FootnoteReference"/>
          <w:sz w:val="20"/>
          <w:szCs w:val="20"/>
        </w:rPr>
        <w:footnoteReference w:id="12"/>
      </w:r>
      <w:r w:rsidR="00687BDC" w:rsidRPr="0088097A">
        <w:rPr>
          <w:sz w:val="20"/>
          <w:szCs w:val="20"/>
        </w:rPr>
        <w:t xml:space="preserve"> and as children the</w:t>
      </w:r>
      <w:r w:rsidR="009153D3">
        <w:rPr>
          <w:sz w:val="20"/>
          <w:szCs w:val="20"/>
        </w:rPr>
        <w:t xml:space="preserve"> publication </w:t>
      </w:r>
      <w:r w:rsidR="00F210FB">
        <w:rPr>
          <w:sz w:val="20"/>
          <w:szCs w:val="20"/>
        </w:rPr>
        <w:t>and their identification</w:t>
      </w:r>
      <w:r w:rsidR="009153D3">
        <w:rPr>
          <w:sz w:val="20"/>
          <w:szCs w:val="20"/>
        </w:rPr>
        <w:t xml:space="preserve"> might cause </w:t>
      </w:r>
      <w:r w:rsidR="00687BDC" w:rsidRPr="0088097A">
        <w:rPr>
          <w:sz w:val="20"/>
          <w:szCs w:val="20"/>
        </w:rPr>
        <w:t xml:space="preserve">harms, including embarrassment, bullying and threats to their safety and security.  Lord Dyson </w:t>
      </w:r>
      <w:r w:rsidR="00FB4AE1">
        <w:rPr>
          <w:sz w:val="20"/>
          <w:szCs w:val="20"/>
        </w:rPr>
        <w:t>emphasised</w:t>
      </w:r>
      <w:r w:rsidR="00DB5600">
        <w:rPr>
          <w:sz w:val="20"/>
          <w:szCs w:val="20"/>
        </w:rPr>
        <w:t xml:space="preserve"> also</w:t>
      </w:r>
      <w:r w:rsidR="00687BDC" w:rsidRPr="0088097A">
        <w:rPr>
          <w:sz w:val="20"/>
          <w:szCs w:val="20"/>
        </w:rPr>
        <w:t xml:space="preserve"> that the children were enjoying</w:t>
      </w:r>
      <w:r w:rsidRPr="0088097A">
        <w:rPr>
          <w:sz w:val="20"/>
          <w:szCs w:val="20"/>
        </w:rPr>
        <w:t xml:space="preserve"> a ‘private family outing,’ a</w:t>
      </w:r>
      <w:r w:rsidR="00DB5600">
        <w:rPr>
          <w:sz w:val="20"/>
          <w:szCs w:val="20"/>
        </w:rPr>
        <w:t xml:space="preserve">n </w:t>
      </w:r>
      <w:r w:rsidRPr="0088097A">
        <w:rPr>
          <w:sz w:val="20"/>
          <w:szCs w:val="20"/>
        </w:rPr>
        <w:t xml:space="preserve">activity distinctively different in nature to a mere </w:t>
      </w:r>
      <w:r w:rsidRPr="0088097A">
        <w:rPr>
          <w:sz w:val="20"/>
          <w:szCs w:val="20"/>
        </w:rPr>
        <w:lastRenderedPageBreak/>
        <w:t>trip to the shops or walk along the street</w:t>
      </w:r>
      <w:r w:rsidR="00687BDC" w:rsidRPr="0088097A">
        <w:rPr>
          <w:sz w:val="20"/>
          <w:szCs w:val="20"/>
        </w:rPr>
        <w:t>.</w:t>
      </w:r>
      <w:r w:rsidRPr="0088097A">
        <w:rPr>
          <w:sz w:val="20"/>
          <w:szCs w:val="20"/>
        </w:rPr>
        <w:t xml:space="preserve"> </w:t>
      </w:r>
      <w:r w:rsidR="000E7F6E" w:rsidRPr="0088097A">
        <w:rPr>
          <w:sz w:val="20"/>
          <w:szCs w:val="20"/>
        </w:rPr>
        <w:t xml:space="preserve">  Relevant also, however, was </w:t>
      </w:r>
      <w:r w:rsidRPr="0088097A">
        <w:rPr>
          <w:sz w:val="20"/>
          <w:szCs w:val="20"/>
        </w:rPr>
        <w:t xml:space="preserve">the fact that the parents had not courted publicity, and that </w:t>
      </w:r>
      <w:r w:rsidR="00DB5600">
        <w:rPr>
          <w:sz w:val="20"/>
          <w:szCs w:val="20"/>
        </w:rPr>
        <w:t xml:space="preserve">their </w:t>
      </w:r>
      <w:r w:rsidRPr="0088097A">
        <w:rPr>
          <w:sz w:val="20"/>
          <w:szCs w:val="20"/>
        </w:rPr>
        <w:t>consent to photography was not given</w:t>
      </w:r>
      <w:r w:rsidR="000E7F6E" w:rsidRPr="0088097A">
        <w:rPr>
          <w:sz w:val="20"/>
          <w:szCs w:val="20"/>
        </w:rPr>
        <w:t xml:space="preserve">. </w:t>
      </w:r>
    </w:p>
    <w:p w:rsidR="00F210FB" w:rsidRPr="0088097A" w:rsidRDefault="009F080B" w:rsidP="00F210FB">
      <w:pPr>
        <w:rPr>
          <w:sz w:val="20"/>
          <w:szCs w:val="20"/>
          <w:lang w:eastAsia="en-GB"/>
        </w:rPr>
      </w:pPr>
      <w:r>
        <w:rPr>
          <w:sz w:val="20"/>
          <w:szCs w:val="20"/>
        </w:rPr>
        <w:t xml:space="preserve">In considering the balance between the </w:t>
      </w:r>
      <w:r w:rsidR="008B0779">
        <w:rPr>
          <w:sz w:val="20"/>
          <w:szCs w:val="20"/>
        </w:rPr>
        <w:t xml:space="preserve">parties’ </w:t>
      </w:r>
      <w:r>
        <w:rPr>
          <w:sz w:val="20"/>
          <w:szCs w:val="20"/>
        </w:rPr>
        <w:t xml:space="preserve">rights, </w:t>
      </w:r>
      <w:r w:rsidR="00A43C9D" w:rsidRPr="0088097A">
        <w:rPr>
          <w:sz w:val="20"/>
          <w:szCs w:val="20"/>
        </w:rPr>
        <w:t xml:space="preserve">Lord Dyson </w:t>
      </w:r>
      <w:r w:rsidR="00990418" w:rsidRPr="0088097A">
        <w:rPr>
          <w:sz w:val="20"/>
          <w:szCs w:val="20"/>
        </w:rPr>
        <w:t xml:space="preserve">expands upon the guidance previously given in </w:t>
      </w:r>
      <w:r w:rsidR="00990418" w:rsidRPr="0088097A">
        <w:rPr>
          <w:i/>
          <w:sz w:val="20"/>
          <w:szCs w:val="20"/>
        </w:rPr>
        <w:t xml:space="preserve">Campbell v MGN Ltd </w:t>
      </w:r>
      <w:r w:rsidR="00990418" w:rsidRPr="0088097A">
        <w:rPr>
          <w:sz w:val="20"/>
          <w:szCs w:val="20"/>
        </w:rPr>
        <w:t xml:space="preserve">and </w:t>
      </w:r>
      <w:r w:rsidR="00990418" w:rsidRPr="0088097A">
        <w:rPr>
          <w:i/>
          <w:sz w:val="20"/>
          <w:szCs w:val="20"/>
        </w:rPr>
        <w:t>Re S</w:t>
      </w:r>
      <w:r w:rsidR="008C4474">
        <w:rPr>
          <w:i/>
          <w:sz w:val="20"/>
          <w:szCs w:val="20"/>
        </w:rPr>
        <w:t>,</w:t>
      </w:r>
      <w:r w:rsidR="00990418" w:rsidRPr="0088097A">
        <w:rPr>
          <w:i/>
          <w:sz w:val="20"/>
          <w:szCs w:val="20"/>
        </w:rPr>
        <w:t xml:space="preserve"> </w:t>
      </w:r>
      <w:r w:rsidR="008B686C">
        <w:rPr>
          <w:sz w:val="20"/>
          <w:szCs w:val="20"/>
        </w:rPr>
        <w:t>highlighting</w:t>
      </w:r>
      <w:r w:rsidRPr="0088097A">
        <w:rPr>
          <w:rStyle w:val="FootnoteReference"/>
          <w:sz w:val="20"/>
          <w:szCs w:val="20"/>
        </w:rPr>
        <w:footnoteReference w:id="13"/>
      </w:r>
      <w:r w:rsidR="008B686C">
        <w:rPr>
          <w:sz w:val="20"/>
          <w:szCs w:val="20"/>
        </w:rPr>
        <w:t xml:space="preserve"> that in </w:t>
      </w:r>
      <w:r w:rsidR="009153D3">
        <w:rPr>
          <w:sz w:val="20"/>
          <w:szCs w:val="20"/>
        </w:rPr>
        <w:t>case</w:t>
      </w:r>
      <w:r w:rsidR="008B686C">
        <w:rPr>
          <w:sz w:val="20"/>
          <w:szCs w:val="20"/>
        </w:rPr>
        <w:t>s involving</w:t>
      </w:r>
      <w:r w:rsidR="00A43C9D" w:rsidRPr="0088097A">
        <w:rPr>
          <w:sz w:val="20"/>
          <w:szCs w:val="20"/>
        </w:rPr>
        <w:t xml:space="preserve"> children</w:t>
      </w:r>
      <w:r>
        <w:rPr>
          <w:sz w:val="20"/>
          <w:szCs w:val="20"/>
        </w:rPr>
        <w:t>, e</w:t>
      </w:r>
      <w:r w:rsidR="008B686C">
        <w:rPr>
          <w:rFonts w:eastAsia="Times New Roman" w:cs="Times New Roman"/>
          <w:sz w:val="20"/>
          <w:szCs w:val="20"/>
          <w:lang w:eastAsia="en-GB"/>
        </w:rPr>
        <w:t xml:space="preserve">ven if </w:t>
      </w:r>
      <w:r w:rsidR="00321AC8" w:rsidRPr="0088097A">
        <w:rPr>
          <w:rFonts w:eastAsia="Times New Roman" w:cs="Times New Roman"/>
          <w:sz w:val="20"/>
          <w:szCs w:val="20"/>
          <w:lang w:eastAsia="en-GB"/>
        </w:rPr>
        <w:t>a</w:t>
      </w:r>
      <w:r w:rsidR="00A43C9D" w:rsidRPr="0088097A">
        <w:rPr>
          <w:rFonts w:eastAsia="Times New Roman" w:cs="Times New Roman"/>
          <w:sz w:val="20"/>
          <w:szCs w:val="20"/>
          <w:lang w:eastAsia="en-GB"/>
        </w:rPr>
        <w:t xml:space="preserve"> child’s article 8 right</w:t>
      </w:r>
      <w:r w:rsidR="008B686C">
        <w:rPr>
          <w:rFonts w:eastAsia="Times New Roman" w:cs="Times New Roman"/>
          <w:sz w:val="20"/>
          <w:szCs w:val="20"/>
          <w:lang w:eastAsia="en-GB"/>
        </w:rPr>
        <w:t>s</w:t>
      </w:r>
      <w:r w:rsidR="00A43C9D" w:rsidRPr="0088097A">
        <w:rPr>
          <w:rFonts w:eastAsia="Times New Roman" w:cs="Times New Roman"/>
          <w:sz w:val="20"/>
          <w:szCs w:val="20"/>
          <w:lang w:eastAsia="en-GB"/>
        </w:rPr>
        <w:t xml:space="preserve"> </w:t>
      </w:r>
      <w:r w:rsidR="00321AC8" w:rsidRPr="0088097A">
        <w:rPr>
          <w:rFonts w:eastAsia="Times New Roman" w:cs="Times New Roman"/>
          <w:sz w:val="20"/>
          <w:szCs w:val="20"/>
          <w:lang w:eastAsia="en-GB"/>
        </w:rPr>
        <w:t>are</w:t>
      </w:r>
      <w:r w:rsidR="00A43C9D" w:rsidRPr="0088097A">
        <w:rPr>
          <w:rFonts w:eastAsia="Times New Roman" w:cs="Times New Roman"/>
          <w:sz w:val="20"/>
          <w:szCs w:val="20"/>
          <w:lang w:eastAsia="en-GB"/>
        </w:rPr>
        <w:t xml:space="preserve"> engaged </w:t>
      </w:r>
      <w:r w:rsidR="008B686C">
        <w:rPr>
          <w:rFonts w:eastAsia="Times New Roman" w:cs="Times New Roman"/>
          <w:sz w:val="20"/>
          <w:szCs w:val="20"/>
          <w:lang w:eastAsia="en-GB"/>
        </w:rPr>
        <w:t>they do</w:t>
      </w:r>
      <w:r w:rsidR="00A43C9D" w:rsidRPr="0088097A">
        <w:rPr>
          <w:rFonts w:eastAsia="Times New Roman" w:cs="Times New Roman"/>
          <w:sz w:val="20"/>
          <w:szCs w:val="20"/>
          <w:lang w:eastAsia="en-GB"/>
        </w:rPr>
        <w:t xml:space="preserve"> not automatically </w:t>
      </w:r>
      <w:r w:rsidR="008B686C">
        <w:rPr>
          <w:rFonts w:eastAsia="Times New Roman" w:cs="Times New Roman"/>
          <w:sz w:val="20"/>
          <w:szCs w:val="20"/>
          <w:lang w:eastAsia="en-GB"/>
        </w:rPr>
        <w:t>trump</w:t>
      </w:r>
      <w:r w:rsidR="00A43C9D" w:rsidRPr="0088097A">
        <w:rPr>
          <w:rFonts w:eastAsia="Times New Roman" w:cs="Times New Roman"/>
          <w:sz w:val="20"/>
          <w:szCs w:val="20"/>
          <w:lang w:eastAsia="en-GB"/>
        </w:rPr>
        <w:t xml:space="preserve"> </w:t>
      </w:r>
      <w:r w:rsidR="008B686C">
        <w:rPr>
          <w:rFonts w:eastAsia="Times New Roman" w:cs="Times New Roman"/>
          <w:sz w:val="20"/>
          <w:szCs w:val="20"/>
          <w:lang w:eastAsia="en-GB"/>
        </w:rPr>
        <w:t xml:space="preserve">any </w:t>
      </w:r>
      <w:r w:rsidR="00A43C9D" w:rsidRPr="0088097A">
        <w:rPr>
          <w:rFonts w:eastAsia="Times New Roman" w:cs="Times New Roman"/>
          <w:sz w:val="20"/>
          <w:szCs w:val="20"/>
          <w:lang w:eastAsia="en-GB"/>
        </w:rPr>
        <w:t>article 10 rights</w:t>
      </w:r>
      <w:r w:rsidR="00FB4AE1">
        <w:rPr>
          <w:rFonts w:eastAsia="Times New Roman" w:cs="Times New Roman"/>
          <w:sz w:val="20"/>
          <w:szCs w:val="20"/>
          <w:lang w:eastAsia="en-GB"/>
        </w:rPr>
        <w:t>.</w:t>
      </w:r>
      <w:r w:rsidR="00A43C9D" w:rsidRPr="0088097A">
        <w:rPr>
          <w:rFonts w:eastAsia="Times New Roman" w:cs="Times New Roman"/>
          <w:sz w:val="20"/>
          <w:szCs w:val="20"/>
          <w:lang w:eastAsia="en-GB"/>
        </w:rPr>
        <w:t xml:space="preserve"> </w:t>
      </w:r>
      <w:bookmarkStart w:id="0" w:name="para40"/>
      <w:r>
        <w:rPr>
          <w:rFonts w:eastAsia="Times New Roman" w:cs="Times New Roman"/>
          <w:sz w:val="20"/>
          <w:szCs w:val="20"/>
          <w:lang w:eastAsia="en-GB"/>
        </w:rPr>
        <w:t xml:space="preserve"> Nonetheless</w:t>
      </w:r>
      <w:r w:rsidR="00A43C9D" w:rsidRPr="0088097A">
        <w:rPr>
          <w:rFonts w:eastAsia="Times New Roman" w:cs="Times New Roman"/>
          <w:sz w:val="20"/>
          <w:szCs w:val="20"/>
          <w:lang w:eastAsia="en-GB"/>
        </w:rPr>
        <w:t xml:space="preserve">, the primacy of the best interests of a child means that, where a child's interests would be adversely affected, they must be given considerable weight. </w:t>
      </w:r>
      <w:r w:rsidR="00990418" w:rsidRPr="0088097A">
        <w:rPr>
          <w:rFonts w:eastAsia="Times New Roman" w:cs="Times New Roman"/>
          <w:sz w:val="20"/>
          <w:szCs w:val="20"/>
          <w:lang w:eastAsia="en-GB"/>
        </w:rPr>
        <w:t>P</w:t>
      </w:r>
      <w:r w:rsidR="00A43C9D" w:rsidRPr="0088097A">
        <w:rPr>
          <w:rFonts w:eastAsia="Times New Roman" w:cs="Times New Roman"/>
          <w:sz w:val="20"/>
          <w:szCs w:val="20"/>
          <w:lang w:eastAsia="en-GB"/>
        </w:rPr>
        <w:t>owerful article 10 rights (for example, exceptional reasons in the public interest) may be needed to outweigh a child's article 8 rights where publication would harm a child</w:t>
      </w:r>
      <w:bookmarkStart w:id="1" w:name="para41"/>
      <w:bookmarkEnd w:id="0"/>
      <w:r w:rsidR="00FB4AE1">
        <w:rPr>
          <w:rFonts w:eastAsia="Times New Roman" w:cs="Times New Roman"/>
          <w:sz w:val="20"/>
          <w:szCs w:val="20"/>
          <w:lang w:eastAsia="en-GB"/>
        </w:rPr>
        <w:t>.</w:t>
      </w:r>
      <w:r>
        <w:rPr>
          <w:rFonts w:eastAsia="Times New Roman" w:cs="Times New Roman"/>
          <w:sz w:val="20"/>
          <w:szCs w:val="20"/>
          <w:lang w:eastAsia="en-GB"/>
        </w:rPr>
        <w:t xml:space="preserve"> Where likely harm is alleged, t</w:t>
      </w:r>
      <w:r w:rsidR="00A43C9D" w:rsidRPr="0088097A">
        <w:rPr>
          <w:rFonts w:eastAsia="Times New Roman" w:cs="Times New Roman"/>
          <w:sz w:val="20"/>
          <w:szCs w:val="20"/>
          <w:lang w:eastAsia="en-GB"/>
        </w:rPr>
        <w:t xml:space="preserve">he court does not require evidence of the harm that may be caused. </w:t>
      </w:r>
      <w:bookmarkEnd w:id="1"/>
      <w:r w:rsidR="00D00629">
        <w:rPr>
          <w:rFonts w:eastAsia="Times New Roman" w:cs="Times New Roman"/>
          <w:sz w:val="20"/>
          <w:szCs w:val="20"/>
          <w:lang w:eastAsia="en-GB"/>
        </w:rPr>
        <w:t xml:space="preserve">Applying the </w:t>
      </w:r>
      <w:r w:rsidR="00FB4AE1">
        <w:rPr>
          <w:rFonts w:eastAsia="Times New Roman" w:cs="Times New Roman"/>
          <w:sz w:val="20"/>
          <w:szCs w:val="20"/>
          <w:lang w:eastAsia="en-GB"/>
        </w:rPr>
        <w:t xml:space="preserve">balancing criteria detailed by </w:t>
      </w:r>
      <w:r w:rsidR="00E157EA" w:rsidRPr="0088097A">
        <w:rPr>
          <w:rFonts w:eastAsia="Times New Roman" w:cs="Times New Roman"/>
          <w:sz w:val="20"/>
          <w:szCs w:val="20"/>
          <w:lang w:eastAsia="en-GB"/>
        </w:rPr>
        <w:t xml:space="preserve">the European Court of Human Rights in </w:t>
      </w:r>
      <w:r w:rsidR="00D73795" w:rsidRPr="0088097A">
        <w:rPr>
          <w:rFonts w:eastAsia="Times New Roman" w:cs="Times New Roman"/>
          <w:i/>
          <w:sz w:val="20"/>
          <w:szCs w:val="20"/>
          <w:lang w:eastAsia="en-GB"/>
        </w:rPr>
        <w:t>Von Hannover (no 2)</w:t>
      </w:r>
      <w:r w:rsidR="00321AC8" w:rsidRPr="0088097A">
        <w:rPr>
          <w:rStyle w:val="FootnoteReference"/>
          <w:rFonts w:eastAsia="Times New Roman" w:cs="Times New Roman"/>
          <w:i/>
          <w:sz w:val="20"/>
          <w:szCs w:val="20"/>
          <w:lang w:eastAsia="en-GB"/>
        </w:rPr>
        <w:footnoteReference w:id="14"/>
      </w:r>
      <w:r w:rsidR="00E157EA" w:rsidRPr="0088097A">
        <w:rPr>
          <w:rFonts w:eastAsia="Times New Roman" w:cs="Times New Roman"/>
          <w:i/>
          <w:sz w:val="20"/>
          <w:szCs w:val="20"/>
          <w:lang w:eastAsia="en-GB"/>
        </w:rPr>
        <w:t xml:space="preserve"> </w:t>
      </w:r>
      <w:r w:rsidR="00D00629">
        <w:rPr>
          <w:rFonts w:eastAsia="Times New Roman" w:cs="Times New Roman"/>
          <w:sz w:val="20"/>
          <w:szCs w:val="20"/>
          <w:lang w:eastAsia="en-GB"/>
        </w:rPr>
        <w:t>to</w:t>
      </w:r>
      <w:r w:rsidR="007E17D0">
        <w:rPr>
          <w:rFonts w:eastAsia="Times New Roman" w:cs="Times New Roman"/>
          <w:sz w:val="20"/>
          <w:szCs w:val="20"/>
          <w:lang w:eastAsia="en-GB"/>
        </w:rPr>
        <w:t xml:space="preserve"> the facts Lord Dyson thus found</w:t>
      </w:r>
      <w:r w:rsidR="00D73795" w:rsidRPr="0088097A">
        <w:rPr>
          <w:rFonts w:eastAsia="Times New Roman" w:cs="Times New Roman"/>
          <w:sz w:val="20"/>
          <w:szCs w:val="20"/>
          <w:lang w:eastAsia="en-GB"/>
        </w:rPr>
        <w:t xml:space="preserve"> </w:t>
      </w:r>
      <w:r w:rsidR="00D73795" w:rsidRPr="0088097A">
        <w:rPr>
          <w:sz w:val="20"/>
          <w:szCs w:val="20"/>
          <w:lang w:eastAsia="en-GB"/>
        </w:rPr>
        <w:t>that</w:t>
      </w:r>
      <w:r w:rsidR="00E157EA" w:rsidRPr="0088097A">
        <w:rPr>
          <w:sz w:val="20"/>
          <w:szCs w:val="20"/>
          <w:lang w:eastAsia="en-GB"/>
        </w:rPr>
        <w:t>;</w:t>
      </w:r>
    </w:p>
    <w:p w:rsidR="00E157EA" w:rsidRPr="0088097A" w:rsidRDefault="00321AC8" w:rsidP="00E157EA">
      <w:pPr>
        <w:pStyle w:val="ListParagraph"/>
        <w:numPr>
          <w:ilvl w:val="0"/>
          <w:numId w:val="7"/>
        </w:numPr>
        <w:spacing w:before="100" w:beforeAutospacing="1" w:after="100" w:afterAutospacing="1" w:line="240" w:lineRule="auto"/>
        <w:rPr>
          <w:sz w:val="20"/>
          <w:szCs w:val="20"/>
          <w:lang w:eastAsia="en-GB"/>
        </w:rPr>
      </w:pPr>
      <w:r w:rsidRPr="0088097A">
        <w:rPr>
          <w:sz w:val="20"/>
          <w:szCs w:val="20"/>
          <w:lang w:eastAsia="en-GB"/>
        </w:rPr>
        <w:t>T</w:t>
      </w:r>
      <w:r w:rsidR="00D73795" w:rsidRPr="0088097A">
        <w:rPr>
          <w:sz w:val="20"/>
          <w:szCs w:val="20"/>
          <w:lang w:eastAsia="en-GB"/>
        </w:rPr>
        <w:t xml:space="preserve">he publication of the photographs made no contribution to any current debate of general interest  </w:t>
      </w:r>
    </w:p>
    <w:p w:rsidR="00E157EA" w:rsidRPr="0088097A" w:rsidRDefault="00D73795" w:rsidP="00E157EA">
      <w:pPr>
        <w:pStyle w:val="ListParagraph"/>
        <w:numPr>
          <w:ilvl w:val="0"/>
          <w:numId w:val="7"/>
        </w:numPr>
        <w:spacing w:before="100" w:beforeAutospacing="1" w:after="100" w:afterAutospacing="1" w:line="240" w:lineRule="auto"/>
        <w:rPr>
          <w:sz w:val="20"/>
          <w:szCs w:val="20"/>
          <w:lang w:eastAsia="en-GB"/>
        </w:rPr>
      </w:pPr>
      <w:r w:rsidRPr="0088097A">
        <w:rPr>
          <w:sz w:val="20"/>
          <w:szCs w:val="20"/>
          <w:lang w:eastAsia="en-GB"/>
        </w:rPr>
        <w:t xml:space="preserve">The children had no ‘public profile’ such as would justify disclosure of information about their private lives </w:t>
      </w:r>
    </w:p>
    <w:p w:rsidR="00E157EA" w:rsidRPr="0088097A" w:rsidRDefault="00D73795" w:rsidP="00E157EA">
      <w:pPr>
        <w:pStyle w:val="ListParagraph"/>
        <w:numPr>
          <w:ilvl w:val="0"/>
          <w:numId w:val="7"/>
        </w:numPr>
        <w:spacing w:before="100" w:beforeAutospacing="1" w:after="100" w:afterAutospacing="1" w:line="240" w:lineRule="auto"/>
        <w:rPr>
          <w:sz w:val="20"/>
          <w:szCs w:val="20"/>
          <w:lang w:eastAsia="en-GB"/>
        </w:rPr>
      </w:pPr>
      <w:r w:rsidRPr="0088097A">
        <w:rPr>
          <w:sz w:val="20"/>
          <w:szCs w:val="20"/>
          <w:lang w:eastAsia="en-GB"/>
        </w:rPr>
        <w:t xml:space="preserve">The family had been careful to ensure </w:t>
      </w:r>
      <w:r w:rsidR="00F33617">
        <w:rPr>
          <w:sz w:val="20"/>
          <w:szCs w:val="20"/>
          <w:lang w:eastAsia="en-GB"/>
        </w:rPr>
        <w:t>maintain their children’s privacy, avoiding online publication of their faces</w:t>
      </w:r>
      <w:r w:rsidRPr="0088097A">
        <w:rPr>
          <w:sz w:val="20"/>
          <w:szCs w:val="20"/>
          <w:lang w:eastAsia="en-GB"/>
        </w:rPr>
        <w:t xml:space="preserve"> </w:t>
      </w:r>
    </w:p>
    <w:p w:rsidR="00E157EA" w:rsidRPr="0088097A" w:rsidRDefault="00D73795" w:rsidP="00E157EA">
      <w:pPr>
        <w:pStyle w:val="ListParagraph"/>
        <w:numPr>
          <w:ilvl w:val="0"/>
          <w:numId w:val="7"/>
        </w:numPr>
        <w:spacing w:before="100" w:beforeAutospacing="1" w:after="100" w:afterAutospacing="1" w:line="240" w:lineRule="auto"/>
        <w:rPr>
          <w:sz w:val="20"/>
          <w:szCs w:val="20"/>
          <w:lang w:eastAsia="en-GB"/>
        </w:rPr>
      </w:pPr>
      <w:r w:rsidRPr="0088097A">
        <w:rPr>
          <w:sz w:val="20"/>
          <w:szCs w:val="20"/>
          <w:lang w:eastAsia="en-GB"/>
        </w:rPr>
        <w:t>The publication had embarrassed and upset the family and had provo</w:t>
      </w:r>
      <w:r w:rsidR="00D00629">
        <w:rPr>
          <w:sz w:val="20"/>
          <w:szCs w:val="20"/>
          <w:lang w:eastAsia="en-GB"/>
        </w:rPr>
        <w:t xml:space="preserve">ked </w:t>
      </w:r>
      <w:r w:rsidR="009F080B">
        <w:rPr>
          <w:sz w:val="20"/>
          <w:szCs w:val="20"/>
          <w:lang w:eastAsia="en-GB"/>
        </w:rPr>
        <w:t xml:space="preserve">safety </w:t>
      </w:r>
      <w:r w:rsidR="00D00629">
        <w:rPr>
          <w:sz w:val="20"/>
          <w:szCs w:val="20"/>
          <w:lang w:eastAsia="en-GB"/>
        </w:rPr>
        <w:t>concerns</w:t>
      </w:r>
      <w:r w:rsidRPr="0088097A">
        <w:rPr>
          <w:sz w:val="20"/>
          <w:szCs w:val="20"/>
          <w:lang w:eastAsia="en-GB"/>
        </w:rPr>
        <w:t xml:space="preserve">  </w:t>
      </w:r>
    </w:p>
    <w:p w:rsidR="00D00629" w:rsidRDefault="00D00629" w:rsidP="00326BA0">
      <w:pPr>
        <w:pStyle w:val="ListParagraph"/>
        <w:numPr>
          <w:ilvl w:val="0"/>
          <w:numId w:val="7"/>
        </w:numPr>
        <w:spacing w:before="100" w:beforeAutospacing="1" w:after="100" w:afterAutospacing="1" w:line="240" w:lineRule="auto"/>
        <w:rPr>
          <w:sz w:val="20"/>
          <w:szCs w:val="20"/>
          <w:lang w:eastAsia="en-GB"/>
        </w:rPr>
      </w:pPr>
      <w:r w:rsidRPr="00D00629">
        <w:rPr>
          <w:sz w:val="20"/>
          <w:szCs w:val="20"/>
          <w:lang w:eastAsia="en-GB"/>
        </w:rPr>
        <w:t>T</w:t>
      </w:r>
      <w:r w:rsidR="00D73795" w:rsidRPr="00D00629">
        <w:rPr>
          <w:sz w:val="20"/>
          <w:szCs w:val="20"/>
          <w:lang w:eastAsia="en-GB"/>
        </w:rPr>
        <w:t>he photograph had been taken not only without the family’s consent, but contrary to their specific wishes and in circumstances amounting to h</w:t>
      </w:r>
      <w:r w:rsidRPr="00D00629">
        <w:rPr>
          <w:sz w:val="20"/>
          <w:szCs w:val="20"/>
          <w:lang w:eastAsia="en-GB"/>
        </w:rPr>
        <w:t xml:space="preserve">arassment </w:t>
      </w:r>
    </w:p>
    <w:p w:rsidR="00A06F58" w:rsidRPr="00D00629" w:rsidRDefault="00A06F58" w:rsidP="00326BA0">
      <w:pPr>
        <w:pStyle w:val="ListParagraph"/>
        <w:numPr>
          <w:ilvl w:val="0"/>
          <w:numId w:val="7"/>
        </w:numPr>
        <w:spacing w:before="100" w:beforeAutospacing="1" w:after="100" w:afterAutospacing="1" w:line="240" w:lineRule="auto"/>
        <w:rPr>
          <w:sz w:val="20"/>
          <w:szCs w:val="20"/>
          <w:lang w:eastAsia="en-GB"/>
        </w:rPr>
      </w:pPr>
      <w:r w:rsidRPr="00D00629">
        <w:rPr>
          <w:sz w:val="20"/>
          <w:szCs w:val="20"/>
          <w:lang w:eastAsia="en-GB"/>
        </w:rPr>
        <w:t xml:space="preserve">Taking </w:t>
      </w:r>
      <w:r w:rsidR="008B0779">
        <w:rPr>
          <w:sz w:val="20"/>
          <w:szCs w:val="20"/>
          <w:lang w:eastAsia="en-GB"/>
        </w:rPr>
        <w:t xml:space="preserve">the </w:t>
      </w:r>
      <w:r w:rsidRPr="00D00629">
        <w:rPr>
          <w:sz w:val="20"/>
          <w:szCs w:val="20"/>
          <w:lang w:eastAsia="en-GB"/>
        </w:rPr>
        <w:t xml:space="preserve">weak </w:t>
      </w:r>
      <w:r w:rsidR="00D31FB0" w:rsidRPr="00D00629">
        <w:rPr>
          <w:sz w:val="20"/>
          <w:szCs w:val="20"/>
          <w:lang w:eastAsia="en-GB"/>
        </w:rPr>
        <w:t>argument</w:t>
      </w:r>
      <w:r w:rsidRPr="00D00629">
        <w:rPr>
          <w:sz w:val="20"/>
          <w:szCs w:val="20"/>
          <w:lang w:eastAsia="en-GB"/>
        </w:rPr>
        <w:t>s for publication</w:t>
      </w:r>
      <w:r w:rsidR="00D31FB0" w:rsidRPr="00D00629">
        <w:rPr>
          <w:sz w:val="20"/>
          <w:szCs w:val="20"/>
          <w:lang w:eastAsia="en-GB"/>
        </w:rPr>
        <w:t xml:space="preserve"> </w:t>
      </w:r>
      <w:r w:rsidRPr="00D00629">
        <w:rPr>
          <w:sz w:val="20"/>
          <w:szCs w:val="20"/>
          <w:lang w:eastAsia="en-GB"/>
        </w:rPr>
        <w:t>and weighing them against the children’s Article 8 rights, the claimant</w:t>
      </w:r>
      <w:r w:rsidR="008B0779">
        <w:rPr>
          <w:sz w:val="20"/>
          <w:szCs w:val="20"/>
          <w:lang w:eastAsia="en-GB"/>
        </w:rPr>
        <w:t>’</w:t>
      </w:r>
      <w:r w:rsidRPr="00D00629">
        <w:rPr>
          <w:sz w:val="20"/>
          <w:szCs w:val="20"/>
          <w:lang w:eastAsia="en-GB"/>
        </w:rPr>
        <w:t>s article 8 rights outweighed the defendant’s article 10 right</w:t>
      </w:r>
      <w:r w:rsidR="00B16758" w:rsidRPr="00D00629">
        <w:rPr>
          <w:sz w:val="20"/>
          <w:szCs w:val="20"/>
          <w:lang w:eastAsia="en-GB"/>
        </w:rPr>
        <w:t>s</w:t>
      </w:r>
      <w:r w:rsidRPr="00D00629">
        <w:rPr>
          <w:sz w:val="20"/>
          <w:szCs w:val="20"/>
          <w:lang w:eastAsia="en-GB"/>
        </w:rPr>
        <w:t xml:space="preserve">. </w:t>
      </w:r>
    </w:p>
    <w:p w:rsidR="00655589" w:rsidRPr="0088097A" w:rsidRDefault="00BB4D3F" w:rsidP="00655589">
      <w:pPr>
        <w:spacing w:before="100" w:beforeAutospacing="1" w:after="100" w:afterAutospacing="1" w:line="240" w:lineRule="auto"/>
        <w:rPr>
          <w:rFonts w:eastAsia="Times New Roman" w:cs="Times New Roman"/>
          <w:b/>
          <w:sz w:val="20"/>
          <w:szCs w:val="20"/>
          <w:u w:val="single"/>
          <w:lang w:eastAsia="en-GB"/>
        </w:rPr>
      </w:pPr>
      <w:r>
        <w:rPr>
          <w:rFonts w:eastAsia="Times New Roman" w:cs="Times New Roman"/>
          <w:b/>
          <w:sz w:val="20"/>
          <w:szCs w:val="20"/>
          <w:u w:val="single"/>
          <w:lang w:eastAsia="en-GB"/>
        </w:rPr>
        <w:t>Why the non-famous need privacy protection</w:t>
      </w:r>
    </w:p>
    <w:p w:rsidR="00997BB2" w:rsidRPr="0088097A" w:rsidRDefault="00997BB2" w:rsidP="00997BB2">
      <w:pPr>
        <w:pStyle w:val="NormalWeb"/>
        <w:rPr>
          <w:rFonts w:asciiTheme="minorHAnsi" w:hAnsiTheme="minorHAnsi"/>
          <w:sz w:val="20"/>
          <w:szCs w:val="20"/>
          <w:lang w:val="en"/>
        </w:rPr>
      </w:pPr>
      <w:r>
        <w:rPr>
          <w:rFonts w:asciiTheme="minorHAnsi" w:hAnsiTheme="minorHAnsi"/>
          <w:sz w:val="20"/>
          <w:szCs w:val="20"/>
        </w:rPr>
        <w:t>Some have criticised</w:t>
      </w:r>
      <w:r w:rsidRPr="0088097A">
        <w:rPr>
          <w:rFonts w:asciiTheme="minorHAnsi" w:hAnsiTheme="minorHAnsi"/>
          <w:sz w:val="20"/>
          <w:szCs w:val="20"/>
        </w:rPr>
        <w:t xml:space="preserve"> the outcome</w:t>
      </w:r>
      <w:r>
        <w:rPr>
          <w:rFonts w:asciiTheme="minorHAnsi" w:hAnsiTheme="minorHAnsi"/>
          <w:sz w:val="20"/>
          <w:szCs w:val="20"/>
        </w:rPr>
        <w:t>, suggesting</w:t>
      </w:r>
      <w:r w:rsidRPr="0088097A">
        <w:rPr>
          <w:rFonts w:asciiTheme="minorHAnsi" w:hAnsiTheme="minorHAnsi"/>
          <w:sz w:val="20"/>
          <w:szCs w:val="20"/>
        </w:rPr>
        <w:t xml:space="preserve"> </w:t>
      </w:r>
      <w:r w:rsidRPr="0088097A">
        <w:rPr>
          <w:rFonts w:asciiTheme="minorHAnsi" w:hAnsiTheme="minorHAnsi"/>
          <w:i/>
          <w:sz w:val="20"/>
          <w:szCs w:val="20"/>
        </w:rPr>
        <w:t xml:space="preserve">Weller </w:t>
      </w:r>
      <w:r w:rsidRPr="0088097A">
        <w:rPr>
          <w:rFonts w:asciiTheme="minorHAnsi" w:hAnsiTheme="minorHAnsi"/>
          <w:sz w:val="20"/>
          <w:szCs w:val="20"/>
        </w:rPr>
        <w:t>goes too far</w:t>
      </w:r>
      <w:r>
        <w:rPr>
          <w:rFonts w:asciiTheme="minorHAnsi" w:hAnsiTheme="minorHAnsi"/>
          <w:sz w:val="20"/>
          <w:szCs w:val="20"/>
        </w:rPr>
        <w:t>,</w:t>
      </w:r>
      <w:r w:rsidRPr="0088097A">
        <w:rPr>
          <w:rFonts w:asciiTheme="minorHAnsi" w:hAnsiTheme="minorHAnsi"/>
          <w:sz w:val="20"/>
          <w:szCs w:val="20"/>
        </w:rPr>
        <w:t xml:space="preserve"> ef</w:t>
      </w:r>
      <w:r>
        <w:rPr>
          <w:rFonts w:asciiTheme="minorHAnsi" w:hAnsiTheme="minorHAnsi"/>
          <w:sz w:val="20"/>
          <w:szCs w:val="20"/>
        </w:rPr>
        <w:t>fectively creating image rights</w:t>
      </w:r>
      <w:r w:rsidRPr="0088097A">
        <w:rPr>
          <w:rFonts w:asciiTheme="minorHAnsi" w:hAnsiTheme="minorHAnsi"/>
          <w:sz w:val="20"/>
          <w:szCs w:val="20"/>
        </w:rPr>
        <w:t>.</w:t>
      </w:r>
      <w:r w:rsidRPr="0088097A">
        <w:rPr>
          <w:rStyle w:val="FootnoteReference"/>
          <w:rFonts w:asciiTheme="minorHAnsi" w:hAnsiTheme="minorHAnsi"/>
          <w:sz w:val="20"/>
          <w:szCs w:val="20"/>
        </w:rPr>
        <w:footnoteReference w:id="15"/>
      </w:r>
      <w:r w:rsidRPr="0088097A">
        <w:rPr>
          <w:rFonts w:asciiTheme="minorHAnsi" w:hAnsiTheme="minorHAnsi"/>
          <w:sz w:val="20"/>
          <w:szCs w:val="20"/>
        </w:rPr>
        <w:t xml:space="preserve"> Nonetheless this decision cannot be ignored.  Associated Newspapers have now been refused permission to appeal by the Court of Appeal and the Supreme Court.  </w:t>
      </w:r>
      <w:r w:rsidRPr="0088097A">
        <w:rPr>
          <w:rFonts w:asciiTheme="minorHAnsi" w:hAnsiTheme="minorHAnsi"/>
          <w:sz w:val="20"/>
          <w:szCs w:val="20"/>
          <w:lang w:val="en"/>
        </w:rPr>
        <w:t>The Court of Appeal’s analysis</w:t>
      </w:r>
      <w:r>
        <w:rPr>
          <w:rFonts w:asciiTheme="minorHAnsi" w:hAnsiTheme="minorHAnsi"/>
          <w:sz w:val="20"/>
          <w:szCs w:val="20"/>
          <w:lang w:val="en"/>
        </w:rPr>
        <w:t xml:space="preserve"> currently provides the ‘</w:t>
      </w:r>
      <w:r w:rsidRPr="0088097A">
        <w:rPr>
          <w:rFonts w:asciiTheme="minorHAnsi" w:hAnsiTheme="minorHAnsi"/>
          <w:sz w:val="20"/>
          <w:szCs w:val="20"/>
          <w:lang w:val="en"/>
        </w:rPr>
        <w:t>definitive statement</w:t>
      </w:r>
      <w:r>
        <w:rPr>
          <w:rFonts w:asciiTheme="minorHAnsi" w:hAnsiTheme="minorHAnsi"/>
          <w:sz w:val="20"/>
          <w:szCs w:val="20"/>
          <w:lang w:val="en"/>
        </w:rPr>
        <w:t xml:space="preserve">’ </w:t>
      </w:r>
      <w:r w:rsidRPr="0088097A">
        <w:rPr>
          <w:rFonts w:asciiTheme="minorHAnsi" w:hAnsiTheme="minorHAnsi"/>
          <w:sz w:val="20"/>
          <w:szCs w:val="20"/>
          <w:lang w:val="en"/>
        </w:rPr>
        <w:t xml:space="preserve">of </w:t>
      </w:r>
      <w:r>
        <w:rPr>
          <w:rFonts w:asciiTheme="minorHAnsi" w:hAnsiTheme="minorHAnsi"/>
          <w:sz w:val="20"/>
          <w:szCs w:val="20"/>
          <w:lang w:val="en"/>
        </w:rPr>
        <w:t>how</w:t>
      </w:r>
      <w:r w:rsidRPr="0088097A">
        <w:rPr>
          <w:rFonts w:asciiTheme="minorHAnsi" w:hAnsiTheme="minorHAnsi"/>
          <w:sz w:val="20"/>
          <w:szCs w:val="20"/>
          <w:lang w:val="en"/>
        </w:rPr>
        <w:t xml:space="preserve"> the </w:t>
      </w:r>
      <w:r>
        <w:rPr>
          <w:rFonts w:asciiTheme="minorHAnsi" w:hAnsiTheme="minorHAnsi"/>
          <w:sz w:val="20"/>
          <w:szCs w:val="20"/>
          <w:lang w:val="en"/>
        </w:rPr>
        <w:t>tort</w:t>
      </w:r>
      <w:r w:rsidRPr="0088097A">
        <w:rPr>
          <w:rFonts w:asciiTheme="minorHAnsi" w:hAnsiTheme="minorHAnsi"/>
          <w:sz w:val="20"/>
          <w:szCs w:val="20"/>
          <w:lang w:val="en"/>
        </w:rPr>
        <w:t xml:space="preserve"> of misuse of private information </w:t>
      </w:r>
      <w:r>
        <w:rPr>
          <w:rFonts w:asciiTheme="minorHAnsi" w:hAnsiTheme="minorHAnsi"/>
          <w:sz w:val="20"/>
          <w:szCs w:val="20"/>
          <w:lang w:val="en"/>
        </w:rPr>
        <w:t xml:space="preserve">applies </w:t>
      </w:r>
      <w:r w:rsidRPr="0088097A">
        <w:rPr>
          <w:rFonts w:asciiTheme="minorHAnsi" w:hAnsiTheme="minorHAnsi"/>
          <w:sz w:val="20"/>
          <w:szCs w:val="20"/>
          <w:lang w:val="en"/>
        </w:rPr>
        <w:t>to paparazzi photographs of children</w:t>
      </w:r>
      <w:r>
        <w:rPr>
          <w:rFonts w:asciiTheme="minorHAnsi" w:hAnsiTheme="minorHAnsi"/>
          <w:sz w:val="20"/>
          <w:szCs w:val="20"/>
          <w:lang w:val="en"/>
        </w:rPr>
        <w:t>.</w:t>
      </w:r>
      <w:r w:rsidRPr="0088097A">
        <w:rPr>
          <w:rStyle w:val="FootnoteReference"/>
          <w:rFonts w:asciiTheme="minorHAnsi" w:hAnsiTheme="minorHAnsi"/>
          <w:sz w:val="20"/>
          <w:szCs w:val="20"/>
          <w:lang w:val="en"/>
        </w:rPr>
        <w:footnoteReference w:id="16"/>
      </w:r>
      <w:r w:rsidRPr="0088097A">
        <w:rPr>
          <w:rFonts w:asciiTheme="minorHAnsi" w:hAnsiTheme="minorHAnsi"/>
          <w:sz w:val="20"/>
          <w:szCs w:val="20"/>
          <w:lang w:val="en"/>
        </w:rPr>
        <w:t xml:space="preserve"> </w:t>
      </w:r>
      <w:r>
        <w:rPr>
          <w:rFonts w:asciiTheme="minorHAnsi" w:hAnsiTheme="minorHAnsi"/>
          <w:sz w:val="20"/>
          <w:szCs w:val="20"/>
          <w:lang w:val="en"/>
        </w:rPr>
        <w:t xml:space="preserve"> The question yet to be answered, however, is whether </w:t>
      </w:r>
      <w:r w:rsidRPr="00F33617">
        <w:rPr>
          <w:rFonts w:asciiTheme="minorHAnsi" w:hAnsiTheme="minorHAnsi"/>
          <w:i/>
          <w:sz w:val="20"/>
          <w:szCs w:val="20"/>
          <w:lang w:val="en"/>
        </w:rPr>
        <w:t>Weller</w:t>
      </w:r>
      <w:r>
        <w:rPr>
          <w:rFonts w:asciiTheme="minorHAnsi" w:hAnsiTheme="minorHAnsi"/>
          <w:sz w:val="20"/>
          <w:szCs w:val="20"/>
          <w:lang w:val="en"/>
        </w:rPr>
        <w:t xml:space="preserve"> applies to </w:t>
      </w:r>
      <w:r w:rsidRPr="0088097A">
        <w:rPr>
          <w:rFonts w:asciiTheme="minorHAnsi" w:hAnsiTheme="minorHAnsi"/>
          <w:sz w:val="20"/>
          <w:szCs w:val="20"/>
        </w:rPr>
        <w:t>cases which do not involve the famous or the paparazzi.</w:t>
      </w:r>
    </w:p>
    <w:p w:rsidR="002A78F4" w:rsidRPr="0088097A" w:rsidRDefault="00A10F2F" w:rsidP="00F00022">
      <w:pPr>
        <w:rPr>
          <w:sz w:val="20"/>
          <w:szCs w:val="20"/>
        </w:rPr>
      </w:pPr>
      <w:r w:rsidRPr="0088097A">
        <w:rPr>
          <w:sz w:val="20"/>
          <w:szCs w:val="20"/>
        </w:rPr>
        <w:t>I</w:t>
      </w:r>
      <w:r w:rsidR="00F00022" w:rsidRPr="0088097A">
        <w:rPr>
          <w:sz w:val="20"/>
          <w:szCs w:val="20"/>
        </w:rPr>
        <w:t>t is rare</w:t>
      </w:r>
      <w:r w:rsidR="00C443A7">
        <w:rPr>
          <w:sz w:val="20"/>
          <w:szCs w:val="20"/>
        </w:rPr>
        <w:t xml:space="preserve"> for</w:t>
      </w:r>
      <w:r w:rsidR="00F00022" w:rsidRPr="0088097A">
        <w:rPr>
          <w:sz w:val="20"/>
          <w:szCs w:val="20"/>
        </w:rPr>
        <w:t xml:space="preserve"> ‘ordinary people’ </w:t>
      </w:r>
      <w:r w:rsidR="00C443A7">
        <w:rPr>
          <w:sz w:val="20"/>
          <w:szCs w:val="20"/>
        </w:rPr>
        <w:t xml:space="preserve">to </w:t>
      </w:r>
      <w:r w:rsidR="00412D45">
        <w:rPr>
          <w:sz w:val="20"/>
          <w:szCs w:val="20"/>
        </w:rPr>
        <w:t xml:space="preserve">claim that </w:t>
      </w:r>
      <w:r w:rsidR="00C443A7">
        <w:rPr>
          <w:sz w:val="20"/>
          <w:szCs w:val="20"/>
        </w:rPr>
        <w:t xml:space="preserve">the media has breached </w:t>
      </w:r>
      <w:r w:rsidR="00412D45">
        <w:rPr>
          <w:sz w:val="20"/>
          <w:szCs w:val="20"/>
        </w:rPr>
        <w:t xml:space="preserve">their </w:t>
      </w:r>
      <w:r w:rsidR="00F00022" w:rsidRPr="0088097A">
        <w:rPr>
          <w:sz w:val="20"/>
          <w:szCs w:val="20"/>
        </w:rPr>
        <w:t>privacy</w:t>
      </w:r>
      <w:r w:rsidRPr="0088097A">
        <w:rPr>
          <w:sz w:val="20"/>
          <w:szCs w:val="20"/>
        </w:rPr>
        <w:t>.</w:t>
      </w:r>
      <w:r w:rsidRPr="0088097A">
        <w:rPr>
          <w:rStyle w:val="FootnoteReference"/>
          <w:sz w:val="20"/>
          <w:szCs w:val="20"/>
        </w:rPr>
        <w:t xml:space="preserve"> </w:t>
      </w:r>
      <w:r w:rsidRPr="0088097A">
        <w:rPr>
          <w:rStyle w:val="FootnoteReference"/>
          <w:sz w:val="20"/>
          <w:szCs w:val="20"/>
        </w:rPr>
        <w:footnoteReference w:id="17"/>
      </w:r>
      <w:r w:rsidRPr="0088097A">
        <w:rPr>
          <w:sz w:val="20"/>
          <w:szCs w:val="20"/>
        </w:rPr>
        <w:t xml:space="preserve"> Similarly few misuse of private information claims have been brought by ordinary people against other individuals.</w:t>
      </w:r>
      <w:r w:rsidRPr="0088097A">
        <w:rPr>
          <w:rStyle w:val="FootnoteReference"/>
          <w:sz w:val="20"/>
          <w:szCs w:val="20"/>
        </w:rPr>
        <w:footnoteReference w:id="18"/>
      </w:r>
      <w:r w:rsidR="007E17D0">
        <w:rPr>
          <w:sz w:val="20"/>
          <w:szCs w:val="20"/>
        </w:rPr>
        <w:t xml:space="preserve"> </w:t>
      </w:r>
      <w:r w:rsidR="00AA588D">
        <w:rPr>
          <w:sz w:val="20"/>
          <w:szCs w:val="20"/>
        </w:rPr>
        <w:t>However, t</w:t>
      </w:r>
      <w:r w:rsidR="00AA588D" w:rsidRPr="0088097A">
        <w:rPr>
          <w:sz w:val="20"/>
          <w:szCs w:val="20"/>
        </w:rPr>
        <w:t>he rise of smart phone</w:t>
      </w:r>
      <w:r w:rsidR="00AA588D">
        <w:rPr>
          <w:sz w:val="20"/>
          <w:szCs w:val="20"/>
        </w:rPr>
        <w:t>s and social media</w:t>
      </w:r>
      <w:r w:rsidR="00AA588D" w:rsidRPr="0088097A">
        <w:rPr>
          <w:sz w:val="20"/>
          <w:szCs w:val="20"/>
        </w:rPr>
        <w:t xml:space="preserve"> </w:t>
      </w:r>
      <w:r w:rsidR="00AA588D">
        <w:rPr>
          <w:sz w:val="20"/>
          <w:szCs w:val="20"/>
        </w:rPr>
        <w:t xml:space="preserve">now </w:t>
      </w:r>
      <w:r w:rsidR="00AA588D" w:rsidRPr="0088097A">
        <w:rPr>
          <w:sz w:val="20"/>
          <w:szCs w:val="20"/>
        </w:rPr>
        <w:t>m</w:t>
      </w:r>
      <w:r w:rsidR="00AA588D">
        <w:rPr>
          <w:sz w:val="20"/>
          <w:szCs w:val="20"/>
        </w:rPr>
        <w:t xml:space="preserve">akes it simple </w:t>
      </w:r>
      <w:r w:rsidR="00F33617">
        <w:rPr>
          <w:sz w:val="20"/>
          <w:szCs w:val="20"/>
        </w:rPr>
        <w:t xml:space="preserve">for individuals to disseminate others’ private information, including </w:t>
      </w:r>
      <w:r w:rsidR="00AA588D" w:rsidRPr="0088097A">
        <w:rPr>
          <w:sz w:val="20"/>
          <w:szCs w:val="20"/>
        </w:rPr>
        <w:t>photo</w:t>
      </w:r>
      <w:r w:rsidR="00AA588D">
        <w:rPr>
          <w:sz w:val="20"/>
          <w:szCs w:val="20"/>
        </w:rPr>
        <w:t>graph</w:t>
      </w:r>
      <w:r w:rsidR="00AA588D" w:rsidRPr="0088097A">
        <w:rPr>
          <w:sz w:val="20"/>
          <w:szCs w:val="20"/>
        </w:rPr>
        <w:t>s</w:t>
      </w:r>
      <w:r w:rsidR="00F33617">
        <w:rPr>
          <w:sz w:val="20"/>
          <w:szCs w:val="20"/>
        </w:rPr>
        <w:t>,</w:t>
      </w:r>
      <w:r w:rsidR="00AA588D">
        <w:rPr>
          <w:sz w:val="20"/>
          <w:szCs w:val="20"/>
        </w:rPr>
        <w:t xml:space="preserve"> </w:t>
      </w:r>
      <w:r w:rsidR="00AA588D" w:rsidRPr="0088097A">
        <w:rPr>
          <w:sz w:val="20"/>
          <w:szCs w:val="20"/>
        </w:rPr>
        <w:t>online</w:t>
      </w:r>
      <w:r w:rsidR="00F33617">
        <w:rPr>
          <w:sz w:val="20"/>
          <w:szCs w:val="20"/>
        </w:rPr>
        <w:t>.</w:t>
      </w:r>
      <w:r w:rsidR="00AA588D">
        <w:rPr>
          <w:sz w:val="20"/>
          <w:szCs w:val="20"/>
        </w:rPr>
        <w:t xml:space="preserve">  T</w:t>
      </w:r>
      <w:r w:rsidR="009F51DD" w:rsidRPr="0088097A">
        <w:rPr>
          <w:sz w:val="20"/>
          <w:szCs w:val="20"/>
        </w:rPr>
        <w:t xml:space="preserve">hat individuals are increasingly </w:t>
      </w:r>
      <w:r w:rsidR="00C443A7">
        <w:rPr>
          <w:sz w:val="20"/>
          <w:szCs w:val="20"/>
        </w:rPr>
        <w:t xml:space="preserve">using </w:t>
      </w:r>
      <w:r w:rsidR="00C443A7" w:rsidRPr="0088097A">
        <w:rPr>
          <w:sz w:val="20"/>
          <w:szCs w:val="20"/>
        </w:rPr>
        <w:t xml:space="preserve">social media </w:t>
      </w:r>
      <w:r w:rsidR="00C443A7">
        <w:rPr>
          <w:sz w:val="20"/>
          <w:szCs w:val="20"/>
        </w:rPr>
        <w:t>to share</w:t>
      </w:r>
      <w:r w:rsidR="009F51DD" w:rsidRPr="0088097A">
        <w:rPr>
          <w:sz w:val="20"/>
          <w:szCs w:val="20"/>
        </w:rPr>
        <w:t xml:space="preserve"> </w:t>
      </w:r>
      <w:r w:rsidR="00412D45">
        <w:rPr>
          <w:sz w:val="20"/>
          <w:szCs w:val="20"/>
        </w:rPr>
        <w:t xml:space="preserve">private </w:t>
      </w:r>
      <w:r w:rsidR="009F51DD" w:rsidRPr="0088097A">
        <w:rPr>
          <w:sz w:val="20"/>
          <w:szCs w:val="20"/>
        </w:rPr>
        <w:t>information</w:t>
      </w:r>
      <w:r w:rsidR="00C443A7">
        <w:rPr>
          <w:sz w:val="20"/>
          <w:szCs w:val="20"/>
        </w:rPr>
        <w:t xml:space="preserve">, </w:t>
      </w:r>
      <w:r w:rsidR="009F51DD" w:rsidRPr="0088097A">
        <w:rPr>
          <w:sz w:val="20"/>
          <w:szCs w:val="20"/>
        </w:rPr>
        <w:t>causing harm to others in the process</w:t>
      </w:r>
      <w:r w:rsidR="00412D45">
        <w:rPr>
          <w:sz w:val="20"/>
          <w:szCs w:val="20"/>
        </w:rPr>
        <w:t>,</w:t>
      </w:r>
      <w:r w:rsidR="009F51DD" w:rsidRPr="0088097A">
        <w:rPr>
          <w:sz w:val="20"/>
          <w:szCs w:val="20"/>
        </w:rPr>
        <w:t xml:space="preserve"> has not gone unnoticed in the criminal courts</w:t>
      </w:r>
      <w:r w:rsidR="00AA588D">
        <w:rPr>
          <w:sz w:val="20"/>
          <w:szCs w:val="20"/>
        </w:rPr>
        <w:t>,</w:t>
      </w:r>
      <w:r w:rsidR="00237755" w:rsidRPr="0088097A">
        <w:rPr>
          <w:rStyle w:val="FootnoteReference"/>
          <w:sz w:val="20"/>
          <w:szCs w:val="20"/>
        </w:rPr>
        <w:footnoteReference w:id="19"/>
      </w:r>
      <w:r w:rsidR="00237755" w:rsidRPr="0088097A">
        <w:rPr>
          <w:sz w:val="20"/>
          <w:szCs w:val="20"/>
        </w:rPr>
        <w:t xml:space="preserve">  </w:t>
      </w:r>
      <w:r w:rsidR="00AA588D">
        <w:rPr>
          <w:sz w:val="20"/>
          <w:szCs w:val="20"/>
        </w:rPr>
        <w:t>and i</w:t>
      </w:r>
      <w:r w:rsidR="009F51DD" w:rsidRPr="0088097A">
        <w:rPr>
          <w:sz w:val="20"/>
          <w:szCs w:val="20"/>
        </w:rPr>
        <w:t>t is</w:t>
      </w:r>
      <w:r w:rsidR="00237755" w:rsidRPr="0088097A">
        <w:rPr>
          <w:sz w:val="20"/>
          <w:szCs w:val="20"/>
        </w:rPr>
        <w:t xml:space="preserve"> arguable</w:t>
      </w:r>
      <w:r w:rsidR="009F51DD" w:rsidRPr="0088097A">
        <w:rPr>
          <w:sz w:val="20"/>
          <w:szCs w:val="20"/>
        </w:rPr>
        <w:t xml:space="preserve"> </w:t>
      </w:r>
      <w:r w:rsidR="00237755" w:rsidRPr="0088097A">
        <w:rPr>
          <w:sz w:val="20"/>
          <w:szCs w:val="20"/>
        </w:rPr>
        <w:t xml:space="preserve">that </w:t>
      </w:r>
      <w:r w:rsidR="00BB4D3F">
        <w:rPr>
          <w:sz w:val="20"/>
          <w:szCs w:val="20"/>
        </w:rPr>
        <w:t xml:space="preserve">we should </w:t>
      </w:r>
      <w:r w:rsidR="00AA588D">
        <w:rPr>
          <w:sz w:val="20"/>
          <w:szCs w:val="20"/>
        </w:rPr>
        <w:t xml:space="preserve">now </w:t>
      </w:r>
      <w:r w:rsidR="00BB4D3F">
        <w:rPr>
          <w:sz w:val="20"/>
          <w:szCs w:val="20"/>
        </w:rPr>
        <w:t xml:space="preserve">consider how </w:t>
      </w:r>
      <w:r w:rsidR="00237755" w:rsidRPr="0088097A">
        <w:rPr>
          <w:sz w:val="20"/>
          <w:szCs w:val="20"/>
        </w:rPr>
        <w:t xml:space="preserve">the </w:t>
      </w:r>
      <w:r w:rsidR="009F51DD" w:rsidRPr="0088097A">
        <w:rPr>
          <w:sz w:val="20"/>
          <w:szCs w:val="20"/>
        </w:rPr>
        <w:t xml:space="preserve">tort </w:t>
      </w:r>
      <w:r w:rsidR="00C443A7">
        <w:rPr>
          <w:sz w:val="20"/>
          <w:szCs w:val="20"/>
        </w:rPr>
        <w:t>of misuse of private information</w:t>
      </w:r>
      <w:r w:rsidR="00612BA6">
        <w:rPr>
          <w:sz w:val="20"/>
          <w:szCs w:val="20"/>
        </w:rPr>
        <w:t>, used primarily by the rich and famous,</w:t>
      </w:r>
      <w:r w:rsidR="00C443A7">
        <w:rPr>
          <w:sz w:val="20"/>
          <w:szCs w:val="20"/>
        </w:rPr>
        <w:t xml:space="preserve"> </w:t>
      </w:r>
      <w:r w:rsidR="00BB4D3F">
        <w:rPr>
          <w:sz w:val="20"/>
          <w:szCs w:val="20"/>
        </w:rPr>
        <w:t xml:space="preserve">can be used to </w:t>
      </w:r>
      <w:r w:rsidR="00C443A7">
        <w:rPr>
          <w:sz w:val="20"/>
          <w:szCs w:val="20"/>
        </w:rPr>
        <w:t xml:space="preserve">protect </w:t>
      </w:r>
      <w:r w:rsidR="002A78F4" w:rsidRPr="0088097A">
        <w:rPr>
          <w:sz w:val="20"/>
          <w:szCs w:val="20"/>
        </w:rPr>
        <w:t>ordinary individuals</w:t>
      </w:r>
      <w:r w:rsidR="00612BA6">
        <w:rPr>
          <w:sz w:val="20"/>
          <w:szCs w:val="20"/>
        </w:rPr>
        <w:t>.</w:t>
      </w:r>
      <w:r w:rsidR="009F51DD" w:rsidRPr="0088097A">
        <w:rPr>
          <w:sz w:val="20"/>
          <w:szCs w:val="20"/>
        </w:rPr>
        <w:t xml:space="preserve">   This is not to suggest </w:t>
      </w:r>
      <w:r w:rsidR="00AA588D">
        <w:rPr>
          <w:sz w:val="20"/>
          <w:szCs w:val="20"/>
        </w:rPr>
        <w:t xml:space="preserve">that </w:t>
      </w:r>
      <w:r w:rsidR="00612BA6">
        <w:rPr>
          <w:sz w:val="20"/>
          <w:szCs w:val="20"/>
        </w:rPr>
        <w:t>the tort should be considered relevant</w:t>
      </w:r>
      <w:r w:rsidR="00AA588D">
        <w:rPr>
          <w:sz w:val="20"/>
          <w:szCs w:val="20"/>
        </w:rPr>
        <w:t xml:space="preserve"> </w:t>
      </w:r>
      <w:r w:rsidR="00C443A7">
        <w:rPr>
          <w:sz w:val="20"/>
          <w:szCs w:val="20"/>
        </w:rPr>
        <w:t>whenever an individual is photographed</w:t>
      </w:r>
      <w:r w:rsidR="009F51DD" w:rsidRPr="0088097A">
        <w:rPr>
          <w:sz w:val="20"/>
          <w:szCs w:val="20"/>
        </w:rPr>
        <w:t xml:space="preserve"> </w:t>
      </w:r>
      <w:r w:rsidR="006F47DC" w:rsidRPr="0088097A">
        <w:rPr>
          <w:sz w:val="20"/>
          <w:szCs w:val="20"/>
        </w:rPr>
        <w:t>in public</w:t>
      </w:r>
      <w:r w:rsidR="009F51DD" w:rsidRPr="0088097A">
        <w:rPr>
          <w:sz w:val="20"/>
          <w:szCs w:val="20"/>
        </w:rPr>
        <w:t xml:space="preserve">.  </w:t>
      </w:r>
      <w:r w:rsidR="00BB4D3F">
        <w:rPr>
          <w:sz w:val="20"/>
          <w:szCs w:val="20"/>
        </w:rPr>
        <w:t xml:space="preserve">No domestic case has </w:t>
      </w:r>
      <w:r w:rsidR="00BB4D3F" w:rsidRPr="0088097A">
        <w:rPr>
          <w:sz w:val="20"/>
          <w:szCs w:val="20"/>
        </w:rPr>
        <w:t xml:space="preserve">yet suggested that </w:t>
      </w:r>
      <w:r w:rsidR="00BB4D3F">
        <w:rPr>
          <w:sz w:val="20"/>
          <w:szCs w:val="20"/>
        </w:rPr>
        <w:t xml:space="preserve">publication of </w:t>
      </w:r>
      <w:r w:rsidR="00BB4D3F" w:rsidRPr="0088097A">
        <w:rPr>
          <w:sz w:val="20"/>
          <w:szCs w:val="20"/>
        </w:rPr>
        <w:t>innocuous photographs of adults in public engage</w:t>
      </w:r>
      <w:r w:rsidR="00BB4D3F">
        <w:rPr>
          <w:sz w:val="20"/>
          <w:szCs w:val="20"/>
        </w:rPr>
        <w:t>s</w:t>
      </w:r>
      <w:r w:rsidR="00BB4D3F" w:rsidRPr="0088097A">
        <w:rPr>
          <w:sz w:val="20"/>
          <w:szCs w:val="20"/>
        </w:rPr>
        <w:t xml:space="preserve"> Article 8.</w:t>
      </w:r>
      <w:r w:rsidR="00BB4D3F" w:rsidRPr="0088097A">
        <w:rPr>
          <w:rStyle w:val="FootnoteReference"/>
          <w:sz w:val="20"/>
          <w:szCs w:val="20"/>
        </w:rPr>
        <w:footnoteReference w:id="20"/>
      </w:r>
      <w:r w:rsidR="00BB4D3F">
        <w:rPr>
          <w:sz w:val="20"/>
          <w:szCs w:val="20"/>
        </w:rPr>
        <w:t xml:space="preserve"> </w:t>
      </w:r>
      <w:r w:rsidR="00C443A7">
        <w:rPr>
          <w:sz w:val="20"/>
          <w:szCs w:val="20"/>
        </w:rPr>
        <w:t xml:space="preserve">It is relevant that the claimants in </w:t>
      </w:r>
      <w:r w:rsidR="00C443A7">
        <w:rPr>
          <w:i/>
          <w:sz w:val="20"/>
          <w:szCs w:val="20"/>
        </w:rPr>
        <w:t xml:space="preserve">Weller </w:t>
      </w:r>
      <w:r w:rsidR="00C443A7">
        <w:rPr>
          <w:sz w:val="20"/>
          <w:szCs w:val="20"/>
        </w:rPr>
        <w:t xml:space="preserve">were </w:t>
      </w:r>
      <w:r w:rsidR="00C443A7" w:rsidRPr="00612BA6">
        <w:rPr>
          <w:i/>
          <w:sz w:val="20"/>
          <w:szCs w:val="20"/>
        </w:rPr>
        <w:t>children</w:t>
      </w:r>
      <w:r w:rsidR="00C443A7">
        <w:rPr>
          <w:sz w:val="20"/>
          <w:szCs w:val="20"/>
        </w:rPr>
        <w:t xml:space="preserve"> for whom </w:t>
      </w:r>
      <w:r w:rsidR="00C443A7" w:rsidRPr="0088097A">
        <w:rPr>
          <w:sz w:val="20"/>
          <w:szCs w:val="20"/>
        </w:rPr>
        <w:t xml:space="preserve">the publication of a photograph </w:t>
      </w:r>
      <w:r w:rsidR="00C443A7">
        <w:rPr>
          <w:sz w:val="20"/>
          <w:szCs w:val="20"/>
        </w:rPr>
        <w:t>might</w:t>
      </w:r>
      <w:r w:rsidR="00C443A7" w:rsidRPr="0088097A">
        <w:rPr>
          <w:sz w:val="20"/>
          <w:szCs w:val="20"/>
        </w:rPr>
        <w:t xml:space="preserve"> have greater repercussions than for adults</w:t>
      </w:r>
      <w:r w:rsidR="00C443A7">
        <w:rPr>
          <w:sz w:val="20"/>
          <w:szCs w:val="20"/>
        </w:rPr>
        <w:t xml:space="preserve">.  </w:t>
      </w:r>
    </w:p>
    <w:p w:rsidR="00F26502" w:rsidRPr="0088097A" w:rsidRDefault="00370F49" w:rsidP="003E19EC">
      <w:pPr>
        <w:rPr>
          <w:sz w:val="20"/>
          <w:szCs w:val="20"/>
        </w:rPr>
      </w:pPr>
      <w:r>
        <w:rPr>
          <w:sz w:val="20"/>
          <w:szCs w:val="20"/>
        </w:rPr>
        <w:t>C</w:t>
      </w:r>
      <w:r w:rsidR="002A78F4" w:rsidRPr="0088097A">
        <w:rPr>
          <w:sz w:val="20"/>
          <w:szCs w:val="20"/>
        </w:rPr>
        <w:t>hildr</w:t>
      </w:r>
      <w:r w:rsidR="00412D45">
        <w:rPr>
          <w:sz w:val="20"/>
          <w:szCs w:val="20"/>
        </w:rPr>
        <w:t>en may be photographed</w:t>
      </w:r>
      <w:r w:rsidR="002A78F4" w:rsidRPr="0088097A">
        <w:rPr>
          <w:sz w:val="20"/>
          <w:szCs w:val="20"/>
        </w:rPr>
        <w:t xml:space="preserve"> </w:t>
      </w:r>
      <w:r>
        <w:rPr>
          <w:sz w:val="20"/>
          <w:szCs w:val="20"/>
        </w:rPr>
        <w:t>when</w:t>
      </w:r>
      <w:r w:rsidR="002A78F4" w:rsidRPr="0088097A">
        <w:rPr>
          <w:sz w:val="20"/>
          <w:szCs w:val="20"/>
        </w:rPr>
        <w:t xml:space="preserve"> out shopping, at cafés and restaurants, in the park, at school sports days and school plays, at </w:t>
      </w:r>
      <w:r w:rsidR="00E327A5">
        <w:rPr>
          <w:sz w:val="20"/>
          <w:szCs w:val="20"/>
        </w:rPr>
        <w:t xml:space="preserve">public events and </w:t>
      </w:r>
      <w:r w:rsidR="00412D45">
        <w:rPr>
          <w:sz w:val="20"/>
          <w:szCs w:val="20"/>
        </w:rPr>
        <w:t xml:space="preserve">fetes, and at </w:t>
      </w:r>
      <w:r w:rsidR="002A78F4" w:rsidRPr="0088097A">
        <w:rPr>
          <w:sz w:val="20"/>
          <w:szCs w:val="20"/>
        </w:rPr>
        <w:t xml:space="preserve">sporting events.   Whilst little </w:t>
      </w:r>
      <w:r>
        <w:rPr>
          <w:sz w:val="20"/>
          <w:szCs w:val="20"/>
        </w:rPr>
        <w:t xml:space="preserve">academic </w:t>
      </w:r>
      <w:r w:rsidR="00412D45">
        <w:rPr>
          <w:sz w:val="20"/>
          <w:szCs w:val="20"/>
        </w:rPr>
        <w:t>attention</w:t>
      </w:r>
      <w:r w:rsidR="002A78F4" w:rsidRPr="0088097A">
        <w:rPr>
          <w:sz w:val="20"/>
          <w:szCs w:val="20"/>
        </w:rPr>
        <w:t xml:space="preserve"> has been </w:t>
      </w:r>
      <w:r w:rsidR="00412D45">
        <w:rPr>
          <w:sz w:val="20"/>
          <w:szCs w:val="20"/>
        </w:rPr>
        <w:t xml:space="preserve">paid </w:t>
      </w:r>
      <w:r w:rsidR="002A78F4" w:rsidRPr="0088097A">
        <w:rPr>
          <w:sz w:val="20"/>
          <w:szCs w:val="20"/>
        </w:rPr>
        <w:t xml:space="preserve">to </w:t>
      </w:r>
      <w:r w:rsidR="009C67FE">
        <w:rPr>
          <w:sz w:val="20"/>
          <w:szCs w:val="20"/>
        </w:rPr>
        <w:t xml:space="preserve">any </w:t>
      </w:r>
      <w:r w:rsidR="00412D45">
        <w:rPr>
          <w:sz w:val="20"/>
          <w:szCs w:val="20"/>
        </w:rPr>
        <w:t>potential need to prote</w:t>
      </w:r>
      <w:r w:rsidR="00E327A5">
        <w:rPr>
          <w:sz w:val="20"/>
          <w:szCs w:val="20"/>
        </w:rPr>
        <w:t>ct ordinary children’s privacy i</w:t>
      </w:r>
      <w:r w:rsidR="00412D45">
        <w:rPr>
          <w:sz w:val="20"/>
          <w:szCs w:val="20"/>
        </w:rPr>
        <w:t xml:space="preserve">n </w:t>
      </w:r>
      <w:r w:rsidR="00E327A5">
        <w:rPr>
          <w:sz w:val="20"/>
          <w:szCs w:val="20"/>
        </w:rPr>
        <w:t xml:space="preserve">public </w:t>
      </w:r>
      <w:r w:rsidR="002A78F4" w:rsidRPr="0088097A">
        <w:rPr>
          <w:sz w:val="20"/>
          <w:szCs w:val="20"/>
        </w:rPr>
        <w:t xml:space="preserve">there is evidence that </w:t>
      </w:r>
      <w:r w:rsidR="004A5ADD" w:rsidRPr="0088097A">
        <w:rPr>
          <w:sz w:val="20"/>
          <w:szCs w:val="20"/>
        </w:rPr>
        <w:t xml:space="preserve">some organisations involved with children </w:t>
      </w:r>
      <w:r w:rsidR="00E327A5">
        <w:rPr>
          <w:sz w:val="20"/>
          <w:szCs w:val="20"/>
        </w:rPr>
        <w:t xml:space="preserve">have </w:t>
      </w:r>
      <w:r w:rsidR="00412D45">
        <w:rPr>
          <w:sz w:val="20"/>
          <w:szCs w:val="20"/>
        </w:rPr>
        <w:t>consider</w:t>
      </w:r>
      <w:r w:rsidR="00E327A5">
        <w:rPr>
          <w:sz w:val="20"/>
          <w:szCs w:val="20"/>
        </w:rPr>
        <w:t>ed</w:t>
      </w:r>
      <w:r w:rsidR="00412D45">
        <w:rPr>
          <w:sz w:val="20"/>
          <w:szCs w:val="20"/>
        </w:rPr>
        <w:t xml:space="preserve"> this </w:t>
      </w:r>
      <w:r w:rsidR="004A5ADD" w:rsidRPr="0088097A">
        <w:rPr>
          <w:sz w:val="20"/>
          <w:szCs w:val="20"/>
        </w:rPr>
        <w:t xml:space="preserve">issue.  The </w:t>
      </w:r>
      <w:r w:rsidR="009C67FE">
        <w:rPr>
          <w:sz w:val="20"/>
          <w:szCs w:val="20"/>
        </w:rPr>
        <w:t xml:space="preserve">NSPCC’s </w:t>
      </w:r>
      <w:r w:rsidR="004A5ADD" w:rsidRPr="0088097A">
        <w:rPr>
          <w:sz w:val="20"/>
          <w:szCs w:val="20"/>
        </w:rPr>
        <w:t>Child Protection in Sport Unit suggests</w:t>
      </w:r>
      <w:r w:rsidR="00AA588D">
        <w:rPr>
          <w:sz w:val="20"/>
          <w:szCs w:val="20"/>
        </w:rPr>
        <w:t>,</w:t>
      </w:r>
      <w:r w:rsidR="004A5ADD" w:rsidRPr="0088097A">
        <w:rPr>
          <w:sz w:val="20"/>
          <w:szCs w:val="20"/>
        </w:rPr>
        <w:t xml:space="preserve"> </w:t>
      </w:r>
      <w:r w:rsidR="009C67FE">
        <w:rPr>
          <w:sz w:val="20"/>
          <w:szCs w:val="20"/>
        </w:rPr>
        <w:t xml:space="preserve">when children take part in sporting activities they </w:t>
      </w:r>
      <w:r w:rsidR="004A5ADD" w:rsidRPr="0088097A">
        <w:rPr>
          <w:sz w:val="20"/>
          <w:szCs w:val="20"/>
        </w:rPr>
        <w:t xml:space="preserve">and their parents should have a right to decide if </w:t>
      </w:r>
      <w:r w:rsidR="009C67FE">
        <w:rPr>
          <w:sz w:val="20"/>
          <w:szCs w:val="20"/>
        </w:rPr>
        <w:t>their</w:t>
      </w:r>
      <w:r w:rsidR="004A5ADD" w:rsidRPr="0088097A">
        <w:rPr>
          <w:sz w:val="20"/>
          <w:szCs w:val="20"/>
        </w:rPr>
        <w:t xml:space="preserve"> images are taken and how they may be used.</w:t>
      </w:r>
      <w:r w:rsidR="004A5ADD" w:rsidRPr="0088097A">
        <w:rPr>
          <w:rStyle w:val="FootnoteReference"/>
          <w:sz w:val="20"/>
          <w:szCs w:val="20"/>
        </w:rPr>
        <w:footnoteReference w:id="21"/>
      </w:r>
      <w:r w:rsidR="004A5ADD" w:rsidRPr="0088097A">
        <w:rPr>
          <w:sz w:val="20"/>
          <w:szCs w:val="20"/>
        </w:rPr>
        <w:t xml:space="preserve">  </w:t>
      </w:r>
      <w:r>
        <w:rPr>
          <w:sz w:val="20"/>
          <w:szCs w:val="20"/>
        </w:rPr>
        <w:t>R</w:t>
      </w:r>
      <w:r w:rsidR="004A5ADD" w:rsidRPr="0088097A">
        <w:rPr>
          <w:sz w:val="20"/>
          <w:szCs w:val="20"/>
        </w:rPr>
        <w:t>esearch undertaken in 2013</w:t>
      </w:r>
      <w:r w:rsidR="004A5ADD" w:rsidRPr="0088097A">
        <w:rPr>
          <w:rStyle w:val="FootnoteReference"/>
          <w:sz w:val="20"/>
          <w:szCs w:val="20"/>
        </w:rPr>
        <w:footnoteReference w:id="22"/>
      </w:r>
      <w:r w:rsidR="004A5ADD" w:rsidRPr="0088097A">
        <w:rPr>
          <w:sz w:val="20"/>
          <w:szCs w:val="20"/>
        </w:rPr>
        <w:t xml:space="preserve"> </w:t>
      </w:r>
      <w:r w:rsidR="009C67FE">
        <w:rPr>
          <w:sz w:val="20"/>
          <w:szCs w:val="20"/>
        </w:rPr>
        <w:t>identifies</w:t>
      </w:r>
      <w:r w:rsidR="004A5ADD" w:rsidRPr="0088097A">
        <w:rPr>
          <w:sz w:val="20"/>
          <w:szCs w:val="20"/>
        </w:rPr>
        <w:t xml:space="preserve"> </w:t>
      </w:r>
      <w:r w:rsidR="009C67FE">
        <w:rPr>
          <w:sz w:val="20"/>
          <w:szCs w:val="20"/>
        </w:rPr>
        <w:t>that many</w:t>
      </w:r>
      <w:r w:rsidR="004A5ADD" w:rsidRPr="0088097A">
        <w:rPr>
          <w:sz w:val="20"/>
          <w:szCs w:val="20"/>
        </w:rPr>
        <w:t xml:space="preserve"> </w:t>
      </w:r>
      <w:r w:rsidR="002A78F4" w:rsidRPr="0088097A">
        <w:rPr>
          <w:sz w:val="20"/>
          <w:szCs w:val="20"/>
        </w:rPr>
        <w:t>education au</w:t>
      </w:r>
      <w:r w:rsidR="003E19EC" w:rsidRPr="0088097A">
        <w:rPr>
          <w:sz w:val="20"/>
          <w:szCs w:val="20"/>
        </w:rPr>
        <w:t xml:space="preserve">thorities </w:t>
      </w:r>
      <w:r w:rsidR="009C67FE">
        <w:rPr>
          <w:sz w:val="20"/>
          <w:szCs w:val="20"/>
        </w:rPr>
        <w:t xml:space="preserve">consider </w:t>
      </w:r>
      <w:r w:rsidR="003E19EC" w:rsidRPr="0088097A">
        <w:rPr>
          <w:sz w:val="20"/>
          <w:szCs w:val="20"/>
        </w:rPr>
        <w:t>parental photography</w:t>
      </w:r>
      <w:r w:rsidR="004A5ADD" w:rsidRPr="0088097A">
        <w:rPr>
          <w:sz w:val="20"/>
          <w:szCs w:val="20"/>
        </w:rPr>
        <w:t xml:space="preserve"> at school events</w:t>
      </w:r>
      <w:r w:rsidR="00AA588D">
        <w:rPr>
          <w:sz w:val="20"/>
          <w:szCs w:val="20"/>
        </w:rPr>
        <w:t xml:space="preserve"> raises significant legal issues</w:t>
      </w:r>
      <w:r w:rsidR="003E19EC" w:rsidRPr="0088097A">
        <w:rPr>
          <w:sz w:val="20"/>
          <w:szCs w:val="20"/>
        </w:rPr>
        <w:t xml:space="preserve">.  </w:t>
      </w:r>
      <w:r w:rsidR="007F3260" w:rsidRPr="0088097A">
        <w:rPr>
          <w:sz w:val="20"/>
          <w:szCs w:val="20"/>
        </w:rPr>
        <w:t>Forty-one</w:t>
      </w:r>
      <w:r w:rsidR="003E19EC" w:rsidRPr="0088097A">
        <w:rPr>
          <w:sz w:val="20"/>
          <w:szCs w:val="20"/>
        </w:rPr>
        <w:t xml:space="preserve"> </w:t>
      </w:r>
      <w:r w:rsidR="009C67FE">
        <w:rPr>
          <w:sz w:val="20"/>
          <w:szCs w:val="20"/>
        </w:rPr>
        <w:t>education</w:t>
      </w:r>
      <w:r w:rsidR="003E19EC" w:rsidRPr="0088097A">
        <w:rPr>
          <w:sz w:val="20"/>
          <w:szCs w:val="20"/>
        </w:rPr>
        <w:t xml:space="preserve"> </w:t>
      </w:r>
      <w:r w:rsidR="00E327A5">
        <w:rPr>
          <w:sz w:val="20"/>
          <w:szCs w:val="20"/>
        </w:rPr>
        <w:t>authorities recognise that when</w:t>
      </w:r>
      <w:r w:rsidR="003E19EC" w:rsidRPr="0088097A">
        <w:rPr>
          <w:sz w:val="20"/>
          <w:szCs w:val="20"/>
        </w:rPr>
        <w:t xml:space="preserve"> parents take photographs </w:t>
      </w:r>
      <w:r w:rsidR="00412D45">
        <w:rPr>
          <w:sz w:val="20"/>
          <w:szCs w:val="20"/>
        </w:rPr>
        <w:t xml:space="preserve">at school events capturing images </w:t>
      </w:r>
      <w:r w:rsidR="003E19EC" w:rsidRPr="0088097A">
        <w:rPr>
          <w:sz w:val="20"/>
          <w:szCs w:val="20"/>
        </w:rPr>
        <w:t xml:space="preserve">of </w:t>
      </w:r>
      <w:r w:rsidR="00E327A5">
        <w:rPr>
          <w:sz w:val="20"/>
          <w:szCs w:val="20"/>
        </w:rPr>
        <w:t xml:space="preserve">children other than </w:t>
      </w:r>
      <w:r w:rsidR="003E19EC" w:rsidRPr="0088097A">
        <w:rPr>
          <w:sz w:val="20"/>
          <w:szCs w:val="20"/>
        </w:rPr>
        <w:t>their own this raises potential safeguarding issues, particularly where</w:t>
      </w:r>
      <w:r w:rsidR="00E327A5">
        <w:rPr>
          <w:sz w:val="20"/>
          <w:szCs w:val="20"/>
        </w:rPr>
        <w:t xml:space="preserve"> children’s </w:t>
      </w:r>
      <w:r w:rsidR="00E327A5" w:rsidRPr="0088097A">
        <w:rPr>
          <w:sz w:val="20"/>
          <w:szCs w:val="20"/>
        </w:rPr>
        <w:t>whereabouts are not to be disclosed</w:t>
      </w:r>
      <w:r w:rsidR="00E327A5">
        <w:rPr>
          <w:sz w:val="20"/>
          <w:szCs w:val="20"/>
        </w:rPr>
        <w:t xml:space="preserve"> </w:t>
      </w:r>
      <w:r w:rsidR="00E327A5">
        <w:rPr>
          <w:sz w:val="20"/>
          <w:szCs w:val="20"/>
        </w:rPr>
        <w:lastRenderedPageBreak/>
        <w:t>because they</w:t>
      </w:r>
      <w:r w:rsidR="003E19EC" w:rsidRPr="0088097A">
        <w:rPr>
          <w:sz w:val="20"/>
          <w:szCs w:val="20"/>
        </w:rPr>
        <w:t xml:space="preserve"> have been adopted</w:t>
      </w:r>
      <w:r w:rsidR="00E327A5">
        <w:rPr>
          <w:sz w:val="20"/>
          <w:szCs w:val="20"/>
        </w:rPr>
        <w:t>,</w:t>
      </w:r>
      <w:r w:rsidR="003E19EC" w:rsidRPr="0088097A">
        <w:rPr>
          <w:sz w:val="20"/>
          <w:szCs w:val="20"/>
        </w:rPr>
        <w:t xml:space="preserve"> are in local authority care, or </w:t>
      </w:r>
      <w:r w:rsidR="00E327A5">
        <w:rPr>
          <w:sz w:val="20"/>
          <w:szCs w:val="20"/>
        </w:rPr>
        <w:t>are fleeing from</w:t>
      </w:r>
      <w:r w:rsidR="003E19EC" w:rsidRPr="0088097A">
        <w:rPr>
          <w:sz w:val="20"/>
          <w:szCs w:val="20"/>
        </w:rPr>
        <w:t xml:space="preserve"> domestic abuse.  </w:t>
      </w:r>
      <w:r>
        <w:rPr>
          <w:sz w:val="20"/>
          <w:szCs w:val="20"/>
        </w:rPr>
        <w:t xml:space="preserve">The </w:t>
      </w:r>
      <w:r w:rsidRPr="0088097A">
        <w:rPr>
          <w:sz w:val="20"/>
          <w:szCs w:val="20"/>
        </w:rPr>
        <w:t xml:space="preserve">concern in such situations is the harm </w:t>
      </w:r>
      <w:r w:rsidR="00E327A5">
        <w:rPr>
          <w:sz w:val="20"/>
          <w:szCs w:val="20"/>
        </w:rPr>
        <w:t>posed to the</w:t>
      </w:r>
      <w:r>
        <w:rPr>
          <w:sz w:val="20"/>
          <w:szCs w:val="20"/>
        </w:rPr>
        <w:t xml:space="preserve"> vulnerable child </w:t>
      </w:r>
      <w:r w:rsidR="00E327A5">
        <w:rPr>
          <w:sz w:val="20"/>
          <w:szCs w:val="20"/>
        </w:rPr>
        <w:t>if they</w:t>
      </w:r>
      <w:r w:rsidR="009C67FE">
        <w:rPr>
          <w:sz w:val="20"/>
          <w:szCs w:val="20"/>
        </w:rPr>
        <w:t xml:space="preserve"> and their location</w:t>
      </w:r>
      <w:r w:rsidR="00E327A5">
        <w:rPr>
          <w:sz w:val="20"/>
          <w:szCs w:val="20"/>
        </w:rPr>
        <w:t xml:space="preserve"> are</w:t>
      </w:r>
      <w:r w:rsidRPr="0088097A">
        <w:rPr>
          <w:sz w:val="20"/>
          <w:szCs w:val="20"/>
        </w:rPr>
        <w:t xml:space="preserve"> identified </w:t>
      </w:r>
      <w:r>
        <w:rPr>
          <w:sz w:val="20"/>
          <w:szCs w:val="20"/>
        </w:rPr>
        <w:t>by the online publication of</w:t>
      </w:r>
      <w:r w:rsidRPr="0088097A">
        <w:rPr>
          <w:sz w:val="20"/>
          <w:szCs w:val="20"/>
        </w:rPr>
        <w:t xml:space="preserve"> a photograph.</w:t>
      </w:r>
    </w:p>
    <w:p w:rsidR="00770CE2" w:rsidRDefault="00863893" w:rsidP="00361355">
      <w:pPr>
        <w:rPr>
          <w:rFonts w:eastAsia="Times New Roman" w:cs="Times New Roman"/>
          <w:sz w:val="20"/>
          <w:szCs w:val="20"/>
          <w:lang w:eastAsia="en-GB"/>
        </w:rPr>
      </w:pPr>
      <w:r>
        <w:rPr>
          <w:sz w:val="20"/>
          <w:szCs w:val="20"/>
        </w:rPr>
        <w:t>At</w:t>
      </w:r>
      <w:r w:rsidR="00F26502" w:rsidRPr="0088097A">
        <w:rPr>
          <w:sz w:val="20"/>
          <w:szCs w:val="20"/>
        </w:rPr>
        <w:t xml:space="preserve"> a school or </w:t>
      </w:r>
      <w:r w:rsidR="00E327A5">
        <w:rPr>
          <w:sz w:val="20"/>
          <w:szCs w:val="20"/>
        </w:rPr>
        <w:t xml:space="preserve">a sporting event it may be </w:t>
      </w:r>
      <w:r w:rsidR="00370F49">
        <w:rPr>
          <w:sz w:val="20"/>
          <w:szCs w:val="20"/>
        </w:rPr>
        <w:t>possible</w:t>
      </w:r>
      <w:r w:rsidR="00F26502" w:rsidRPr="0088097A">
        <w:rPr>
          <w:sz w:val="20"/>
          <w:szCs w:val="20"/>
        </w:rPr>
        <w:t xml:space="preserve"> to minimise </w:t>
      </w:r>
      <w:r w:rsidR="00743B8D" w:rsidRPr="0088097A">
        <w:rPr>
          <w:sz w:val="20"/>
          <w:szCs w:val="20"/>
        </w:rPr>
        <w:t xml:space="preserve">identification </w:t>
      </w:r>
      <w:r w:rsidR="009C67FE">
        <w:rPr>
          <w:sz w:val="20"/>
          <w:szCs w:val="20"/>
        </w:rPr>
        <w:t xml:space="preserve">risks </w:t>
      </w:r>
      <w:r w:rsidR="00370F49">
        <w:rPr>
          <w:sz w:val="20"/>
          <w:szCs w:val="20"/>
        </w:rPr>
        <w:t xml:space="preserve">by </w:t>
      </w:r>
      <w:r w:rsidR="009C67FE">
        <w:rPr>
          <w:sz w:val="20"/>
          <w:szCs w:val="20"/>
        </w:rPr>
        <w:t>asking</w:t>
      </w:r>
      <w:r w:rsidR="00370F49">
        <w:rPr>
          <w:sz w:val="20"/>
          <w:szCs w:val="20"/>
        </w:rPr>
        <w:t xml:space="preserve"> parents</w:t>
      </w:r>
      <w:r w:rsidR="00F26502" w:rsidRPr="0088097A">
        <w:rPr>
          <w:sz w:val="20"/>
          <w:szCs w:val="20"/>
        </w:rPr>
        <w:t xml:space="preserve"> to accept </w:t>
      </w:r>
      <w:r w:rsidR="00743B8D" w:rsidRPr="0088097A">
        <w:rPr>
          <w:sz w:val="20"/>
          <w:szCs w:val="20"/>
        </w:rPr>
        <w:t>restrictions on online posting</w:t>
      </w:r>
      <w:r w:rsidR="00E327A5">
        <w:rPr>
          <w:sz w:val="20"/>
          <w:szCs w:val="20"/>
        </w:rPr>
        <w:t xml:space="preserve"> or photography</w:t>
      </w:r>
      <w:r w:rsidR="00370F49">
        <w:rPr>
          <w:sz w:val="20"/>
          <w:szCs w:val="20"/>
        </w:rPr>
        <w:t>;</w:t>
      </w:r>
      <w:r w:rsidR="00743B8D" w:rsidRPr="0088097A">
        <w:rPr>
          <w:sz w:val="20"/>
          <w:szCs w:val="20"/>
        </w:rPr>
        <w:t xml:space="preserve"> or </w:t>
      </w:r>
      <w:r w:rsidR="007F3260" w:rsidRPr="0088097A">
        <w:rPr>
          <w:sz w:val="20"/>
          <w:szCs w:val="20"/>
        </w:rPr>
        <w:t xml:space="preserve">by </w:t>
      </w:r>
      <w:r w:rsidR="00743B8D" w:rsidRPr="0088097A">
        <w:rPr>
          <w:sz w:val="20"/>
          <w:szCs w:val="20"/>
        </w:rPr>
        <w:t>seek</w:t>
      </w:r>
      <w:r w:rsidR="007F3260" w:rsidRPr="0088097A">
        <w:rPr>
          <w:sz w:val="20"/>
          <w:szCs w:val="20"/>
        </w:rPr>
        <w:t>ing</w:t>
      </w:r>
      <w:r w:rsidR="00743B8D" w:rsidRPr="0088097A">
        <w:rPr>
          <w:sz w:val="20"/>
          <w:szCs w:val="20"/>
        </w:rPr>
        <w:t xml:space="preserve"> explicit consent to photo</w:t>
      </w:r>
      <w:r w:rsidR="007F3260" w:rsidRPr="0088097A">
        <w:rPr>
          <w:sz w:val="20"/>
          <w:szCs w:val="20"/>
        </w:rPr>
        <w:t xml:space="preserve">graphy from all </w:t>
      </w:r>
      <w:r w:rsidR="00361355">
        <w:rPr>
          <w:sz w:val="20"/>
          <w:szCs w:val="20"/>
        </w:rPr>
        <w:t>parents,</w:t>
      </w:r>
      <w:r w:rsidR="007F3260" w:rsidRPr="0088097A">
        <w:rPr>
          <w:sz w:val="20"/>
          <w:szCs w:val="20"/>
        </w:rPr>
        <w:t xml:space="preserve"> taking</w:t>
      </w:r>
      <w:r w:rsidR="00743B8D" w:rsidRPr="0088097A">
        <w:rPr>
          <w:sz w:val="20"/>
          <w:szCs w:val="20"/>
        </w:rPr>
        <w:t xml:space="preserve"> steps to prevent photographs where consent is not provided.</w:t>
      </w:r>
      <w:r w:rsidR="00F26502" w:rsidRPr="0088097A">
        <w:rPr>
          <w:sz w:val="20"/>
          <w:szCs w:val="20"/>
        </w:rPr>
        <w:t xml:space="preserve"> </w:t>
      </w:r>
      <w:r w:rsidR="00AA588D">
        <w:rPr>
          <w:sz w:val="20"/>
          <w:szCs w:val="20"/>
        </w:rPr>
        <w:t xml:space="preserve"> W</w:t>
      </w:r>
      <w:r w:rsidR="00361355">
        <w:rPr>
          <w:sz w:val="20"/>
          <w:szCs w:val="20"/>
        </w:rPr>
        <w:t xml:space="preserve">hen </w:t>
      </w:r>
      <w:r w:rsidR="00370F49">
        <w:rPr>
          <w:sz w:val="20"/>
          <w:szCs w:val="20"/>
        </w:rPr>
        <w:t>a child is</w:t>
      </w:r>
      <w:r w:rsidR="00AA6A22">
        <w:rPr>
          <w:sz w:val="20"/>
          <w:szCs w:val="20"/>
        </w:rPr>
        <w:t xml:space="preserve"> </w:t>
      </w:r>
      <w:r w:rsidR="00AA588D">
        <w:rPr>
          <w:sz w:val="20"/>
          <w:szCs w:val="20"/>
        </w:rPr>
        <w:t xml:space="preserve">playing </w:t>
      </w:r>
      <w:r w:rsidR="00AA6A22">
        <w:rPr>
          <w:sz w:val="20"/>
          <w:szCs w:val="20"/>
        </w:rPr>
        <w:t>in the park or</w:t>
      </w:r>
      <w:r w:rsidR="00370F49">
        <w:rPr>
          <w:sz w:val="20"/>
          <w:szCs w:val="20"/>
        </w:rPr>
        <w:t xml:space="preserve"> attending </w:t>
      </w:r>
      <w:r w:rsidR="00F26502" w:rsidRPr="0088097A">
        <w:rPr>
          <w:sz w:val="20"/>
          <w:szCs w:val="20"/>
        </w:rPr>
        <w:t>a publically organised event, it may</w:t>
      </w:r>
      <w:r w:rsidR="0008371F">
        <w:rPr>
          <w:sz w:val="20"/>
          <w:szCs w:val="20"/>
        </w:rPr>
        <w:t>, however,</w:t>
      </w:r>
      <w:r w:rsidR="00F26502" w:rsidRPr="0088097A">
        <w:rPr>
          <w:sz w:val="20"/>
          <w:szCs w:val="20"/>
        </w:rPr>
        <w:t xml:space="preserve"> be impossible to prevent photograph</w:t>
      </w:r>
      <w:r w:rsidR="00AA588D">
        <w:rPr>
          <w:sz w:val="20"/>
          <w:szCs w:val="20"/>
        </w:rPr>
        <w:t>y</w:t>
      </w:r>
      <w:r w:rsidR="00F26502" w:rsidRPr="0088097A">
        <w:rPr>
          <w:sz w:val="20"/>
          <w:szCs w:val="20"/>
        </w:rPr>
        <w:t xml:space="preserve">.  </w:t>
      </w:r>
      <w:r w:rsidR="0008371F">
        <w:rPr>
          <w:sz w:val="20"/>
          <w:szCs w:val="20"/>
        </w:rPr>
        <w:t>Questions are raised as to h</w:t>
      </w:r>
      <w:r w:rsidR="00AA588D">
        <w:rPr>
          <w:sz w:val="20"/>
          <w:szCs w:val="20"/>
        </w:rPr>
        <w:t>ow</w:t>
      </w:r>
      <w:r w:rsidR="00361355">
        <w:rPr>
          <w:rFonts w:eastAsia="Times New Roman" w:cs="Times New Roman"/>
          <w:sz w:val="20"/>
          <w:szCs w:val="20"/>
          <w:lang w:eastAsia="en-GB"/>
        </w:rPr>
        <w:t xml:space="preserve"> </w:t>
      </w:r>
      <w:r w:rsidR="00E327A5">
        <w:rPr>
          <w:rFonts w:eastAsia="Times New Roman" w:cs="Times New Roman"/>
          <w:sz w:val="20"/>
          <w:szCs w:val="20"/>
          <w:lang w:eastAsia="en-GB"/>
        </w:rPr>
        <w:t xml:space="preserve">many </w:t>
      </w:r>
      <w:r w:rsidR="00361355">
        <w:rPr>
          <w:rFonts w:eastAsia="Times New Roman" w:cs="Times New Roman"/>
          <w:sz w:val="20"/>
          <w:szCs w:val="20"/>
          <w:lang w:eastAsia="en-GB"/>
        </w:rPr>
        <w:t>parents</w:t>
      </w:r>
      <w:r w:rsidR="0008371F">
        <w:rPr>
          <w:rFonts w:eastAsia="Times New Roman" w:cs="Times New Roman"/>
          <w:sz w:val="20"/>
          <w:szCs w:val="20"/>
          <w:lang w:eastAsia="en-GB"/>
        </w:rPr>
        <w:t>,</w:t>
      </w:r>
      <w:r w:rsidR="00AA588D">
        <w:rPr>
          <w:rFonts w:eastAsia="Times New Roman" w:cs="Times New Roman"/>
          <w:sz w:val="20"/>
          <w:szCs w:val="20"/>
          <w:lang w:eastAsia="en-GB"/>
        </w:rPr>
        <w:t xml:space="preserve"> in such circumstan</w:t>
      </w:r>
      <w:r w:rsidR="0008371F">
        <w:rPr>
          <w:rFonts w:eastAsia="Times New Roman" w:cs="Times New Roman"/>
          <w:sz w:val="20"/>
          <w:szCs w:val="20"/>
          <w:lang w:eastAsia="en-GB"/>
        </w:rPr>
        <w:t xml:space="preserve">ces, would consider </w:t>
      </w:r>
      <w:r w:rsidR="00361355">
        <w:rPr>
          <w:rFonts w:eastAsia="Times New Roman" w:cs="Times New Roman"/>
          <w:sz w:val="20"/>
          <w:szCs w:val="20"/>
          <w:lang w:eastAsia="en-GB"/>
        </w:rPr>
        <w:t>their child ha</w:t>
      </w:r>
      <w:r w:rsidR="0008371F">
        <w:rPr>
          <w:rFonts w:eastAsia="Times New Roman" w:cs="Times New Roman"/>
          <w:sz w:val="20"/>
          <w:szCs w:val="20"/>
          <w:lang w:eastAsia="en-GB"/>
        </w:rPr>
        <w:t>d</w:t>
      </w:r>
      <w:r w:rsidR="00770CE2" w:rsidRPr="0088097A">
        <w:rPr>
          <w:rFonts w:eastAsia="Times New Roman" w:cs="Times New Roman"/>
          <w:sz w:val="20"/>
          <w:szCs w:val="20"/>
          <w:lang w:eastAsia="en-GB"/>
        </w:rPr>
        <w:t xml:space="preserve"> a reasonable expectation of privacy</w:t>
      </w:r>
      <w:r w:rsidR="00361355">
        <w:rPr>
          <w:rFonts w:eastAsia="Times New Roman" w:cs="Times New Roman"/>
          <w:sz w:val="20"/>
          <w:szCs w:val="20"/>
          <w:lang w:eastAsia="en-GB"/>
        </w:rPr>
        <w:t xml:space="preserve"> justifying restricti</w:t>
      </w:r>
      <w:r w:rsidR="00AA588D">
        <w:rPr>
          <w:rFonts w:eastAsia="Times New Roman" w:cs="Times New Roman"/>
          <w:sz w:val="20"/>
          <w:szCs w:val="20"/>
          <w:lang w:eastAsia="en-GB"/>
        </w:rPr>
        <w:t>ons on</w:t>
      </w:r>
      <w:r w:rsidR="00370F49">
        <w:rPr>
          <w:rFonts w:eastAsia="Times New Roman" w:cs="Times New Roman"/>
          <w:sz w:val="20"/>
          <w:szCs w:val="20"/>
          <w:lang w:eastAsia="en-GB"/>
        </w:rPr>
        <w:t xml:space="preserve"> photography</w:t>
      </w:r>
      <w:r w:rsidR="0008371F">
        <w:rPr>
          <w:rFonts w:eastAsia="Times New Roman" w:cs="Times New Roman"/>
          <w:sz w:val="20"/>
          <w:szCs w:val="20"/>
          <w:lang w:eastAsia="en-GB"/>
        </w:rPr>
        <w:t>.</w:t>
      </w:r>
      <w:r w:rsidR="00370F49">
        <w:rPr>
          <w:rFonts w:eastAsia="Times New Roman" w:cs="Times New Roman"/>
          <w:sz w:val="20"/>
          <w:szCs w:val="20"/>
          <w:lang w:eastAsia="en-GB"/>
        </w:rPr>
        <w:t xml:space="preserve"> </w:t>
      </w:r>
      <w:r w:rsidR="00AA588D">
        <w:rPr>
          <w:rFonts w:eastAsia="Times New Roman" w:cs="Times New Roman"/>
          <w:sz w:val="20"/>
          <w:szCs w:val="20"/>
          <w:lang w:eastAsia="en-GB"/>
        </w:rPr>
        <w:t>As yet no research answers this question</w:t>
      </w:r>
      <w:r w:rsidR="0008371F">
        <w:rPr>
          <w:rFonts w:eastAsia="Times New Roman" w:cs="Times New Roman"/>
          <w:sz w:val="20"/>
          <w:szCs w:val="20"/>
          <w:lang w:eastAsia="en-GB"/>
        </w:rPr>
        <w:t>.  When, however,</w:t>
      </w:r>
      <w:r w:rsidR="00361355">
        <w:rPr>
          <w:rFonts w:eastAsia="Times New Roman" w:cs="Times New Roman"/>
          <w:sz w:val="20"/>
          <w:szCs w:val="20"/>
          <w:lang w:eastAsia="en-GB"/>
        </w:rPr>
        <w:t xml:space="preserve"> one considers the factors which</w:t>
      </w:r>
      <w:r w:rsidR="00770CE2" w:rsidRPr="0088097A">
        <w:rPr>
          <w:rFonts w:eastAsia="Times New Roman" w:cs="Times New Roman"/>
          <w:sz w:val="20"/>
          <w:szCs w:val="20"/>
          <w:lang w:eastAsia="en-GB"/>
        </w:rPr>
        <w:t xml:space="preserve"> led to the Court of Appeal finding </w:t>
      </w:r>
      <w:r w:rsidR="00370F49">
        <w:rPr>
          <w:rFonts w:eastAsia="Times New Roman" w:cs="Times New Roman"/>
          <w:sz w:val="20"/>
          <w:szCs w:val="20"/>
          <w:lang w:eastAsia="en-GB"/>
        </w:rPr>
        <w:t xml:space="preserve">the </w:t>
      </w:r>
      <w:r w:rsidR="00370F49" w:rsidRPr="00370F49">
        <w:rPr>
          <w:rFonts w:eastAsia="Times New Roman" w:cs="Times New Roman"/>
          <w:sz w:val="20"/>
          <w:szCs w:val="20"/>
          <w:lang w:eastAsia="en-GB"/>
        </w:rPr>
        <w:t xml:space="preserve">Weller </w:t>
      </w:r>
      <w:r w:rsidR="00370F49">
        <w:rPr>
          <w:rFonts w:eastAsia="Times New Roman" w:cs="Times New Roman"/>
          <w:sz w:val="20"/>
          <w:szCs w:val="20"/>
          <w:lang w:eastAsia="en-GB"/>
        </w:rPr>
        <w:t>children</w:t>
      </w:r>
      <w:r w:rsidR="00770CE2" w:rsidRPr="0088097A">
        <w:rPr>
          <w:rFonts w:eastAsia="Times New Roman" w:cs="Times New Roman"/>
          <w:sz w:val="20"/>
          <w:szCs w:val="20"/>
          <w:lang w:eastAsia="en-GB"/>
        </w:rPr>
        <w:t xml:space="preserve"> had a reasonable expectation of privacy</w:t>
      </w:r>
      <w:r w:rsidR="00361355">
        <w:rPr>
          <w:rFonts w:eastAsia="Times New Roman" w:cs="Times New Roman"/>
          <w:sz w:val="20"/>
          <w:szCs w:val="20"/>
          <w:lang w:eastAsia="en-GB"/>
        </w:rPr>
        <w:t xml:space="preserve">, it is possible that </w:t>
      </w:r>
      <w:r w:rsidR="0008371F">
        <w:rPr>
          <w:rFonts w:eastAsia="Times New Roman" w:cs="Times New Roman"/>
          <w:sz w:val="20"/>
          <w:szCs w:val="20"/>
          <w:lang w:eastAsia="en-GB"/>
        </w:rPr>
        <w:t xml:space="preserve">some </w:t>
      </w:r>
      <w:r w:rsidR="00E327A5">
        <w:rPr>
          <w:rFonts w:eastAsia="Times New Roman" w:cs="Times New Roman"/>
          <w:sz w:val="20"/>
          <w:szCs w:val="20"/>
          <w:lang w:eastAsia="en-GB"/>
        </w:rPr>
        <w:t xml:space="preserve">ordinary </w:t>
      </w:r>
      <w:r w:rsidR="00321AC8" w:rsidRPr="0088097A">
        <w:rPr>
          <w:rFonts w:eastAsia="Times New Roman" w:cs="Times New Roman"/>
          <w:sz w:val="20"/>
          <w:szCs w:val="20"/>
          <w:lang w:eastAsia="en-GB"/>
        </w:rPr>
        <w:t>children might</w:t>
      </w:r>
      <w:r w:rsidR="00612BA6">
        <w:rPr>
          <w:rFonts w:eastAsia="Times New Roman" w:cs="Times New Roman"/>
          <w:sz w:val="20"/>
          <w:szCs w:val="20"/>
          <w:lang w:eastAsia="en-GB"/>
        </w:rPr>
        <w:t xml:space="preserve"> be considered</w:t>
      </w:r>
      <w:r w:rsidR="0008371F">
        <w:rPr>
          <w:rFonts w:eastAsia="Times New Roman" w:cs="Times New Roman"/>
          <w:sz w:val="20"/>
          <w:szCs w:val="20"/>
          <w:lang w:eastAsia="en-GB"/>
        </w:rPr>
        <w:t xml:space="preserve"> to </w:t>
      </w:r>
      <w:r w:rsidR="00831CEF" w:rsidRPr="0088097A">
        <w:rPr>
          <w:rFonts w:eastAsia="Times New Roman" w:cs="Times New Roman"/>
          <w:sz w:val="20"/>
          <w:szCs w:val="20"/>
          <w:lang w:eastAsia="en-GB"/>
        </w:rPr>
        <w:t>have a reasonable expectation of privacy</w:t>
      </w:r>
      <w:r w:rsidR="0008371F">
        <w:rPr>
          <w:rFonts w:eastAsia="Times New Roman" w:cs="Times New Roman"/>
          <w:sz w:val="20"/>
          <w:szCs w:val="20"/>
          <w:lang w:eastAsia="en-GB"/>
        </w:rPr>
        <w:t xml:space="preserve"> in such circumstances</w:t>
      </w:r>
      <w:r w:rsidR="00831CEF" w:rsidRPr="0088097A">
        <w:rPr>
          <w:rFonts w:eastAsia="Times New Roman" w:cs="Times New Roman"/>
          <w:sz w:val="20"/>
          <w:szCs w:val="20"/>
          <w:lang w:eastAsia="en-GB"/>
        </w:rPr>
        <w:t>.</w:t>
      </w:r>
      <w:r w:rsidR="00321AC8" w:rsidRPr="0088097A">
        <w:rPr>
          <w:rFonts w:eastAsia="Times New Roman" w:cs="Times New Roman"/>
          <w:sz w:val="20"/>
          <w:szCs w:val="20"/>
          <w:lang w:eastAsia="en-GB"/>
        </w:rPr>
        <w:t xml:space="preserve"> </w:t>
      </w:r>
    </w:p>
    <w:p w:rsidR="00361355" w:rsidRPr="00E327A5" w:rsidRDefault="00220925" w:rsidP="00361355">
      <w:pPr>
        <w:rPr>
          <w:rFonts w:eastAsia="Times New Roman" w:cs="Times New Roman"/>
          <w:b/>
          <w:sz w:val="20"/>
          <w:szCs w:val="20"/>
          <w:u w:val="single"/>
          <w:lang w:eastAsia="en-GB"/>
        </w:rPr>
      </w:pPr>
      <w:r>
        <w:rPr>
          <w:rFonts w:eastAsia="Times New Roman" w:cs="Times New Roman"/>
          <w:b/>
          <w:sz w:val="20"/>
          <w:szCs w:val="20"/>
          <w:u w:val="single"/>
          <w:lang w:eastAsia="en-GB"/>
        </w:rPr>
        <w:t>Determining if a child has a reasonable expectation of privacy in public</w:t>
      </w:r>
    </w:p>
    <w:p w:rsidR="00770CE2" w:rsidRPr="004059C5" w:rsidRDefault="00321AC8" w:rsidP="00115B20">
      <w:pPr>
        <w:spacing w:before="100" w:beforeAutospacing="1" w:after="100" w:afterAutospacing="1" w:line="240" w:lineRule="auto"/>
        <w:rPr>
          <w:rFonts w:eastAsia="Times New Roman" w:cs="Times New Roman"/>
          <w:sz w:val="20"/>
          <w:szCs w:val="20"/>
          <w:lang w:eastAsia="en-GB"/>
        </w:rPr>
      </w:pPr>
      <w:r w:rsidRPr="004059C5">
        <w:rPr>
          <w:rFonts w:eastAsia="Times New Roman" w:cs="Times New Roman"/>
          <w:sz w:val="20"/>
          <w:szCs w:val="20"/>
          <w:lang w:eastAsia="en-GB"/>
        </w:rPr>
        <w:t xml:space="preserve">In </w:t>
      </w:r>
      <w:r w:rsidRPr="004059C5">
        <w:rPr>
          <w:rFonts w:eastAsia="Times New Roman" w:cs="Times New Roman"/>
          <w:i/>
          <w:sz w:val="20"/>
          <w:szCs w:val="20"/>
          <w:lang w:eastAsia="en-GB"/>
        </w:rPr>
        <w:t xml:space="preserve">Weller </w:t>
      </w:r>
      <w:r w:rsidR="00370F49" w:rsidRPr="004059C5">
        <w:rPr>
          <w:rFonts w:eastAsia="Times New Roman" w:cs="Times New Roman"/>
          <w:sz w:val="20"/>
          <w:szCs w:val="20"/>
          <w:lang w:eastAsia="en-GB"/>
        </w:rPr>
        <w:t xml:space="preserve">it was </w:t>
      </w:r>
      <w:r w:rsidR="00464284" w:rsidRPr="004059C5">
        <w:rPr>
          <w:rFonts w:eastAsia="Times New Roman" w:cs="Times New Roman"/>
          <w:sz w:val="20"/>
          <w:szCs w:val="20"/>
          <w:lang w:eastAsia="en-GB"/>
        </w:rPr>
        <w:t>important</w:t>
      </w:r>
      <w:r w:rsidR="00370F49" w:rsidRPr="004059C5">
        <w:rPr>
          <w:rFonts w:eastAsia="Times New Roman" w:cs="Times New Roman"/>
          <w:sz w:val="20"/>
          <w:szCs w:val="20"/>
          <w:lang w:eastAsia="en-GB"/>
        </w:rPr>
        <w:t xml:space="preserve"> that </w:t>
      </w:r>
      <w:r w:rsidRPr="004059C5">
        <w:rPr>
          <w:rFonts w:eastAsia="Times New Roman" w:cs="Times New Roman"/>
          <w:sz w:val="20"/>
          <w:szCs w:val="20"/>
          <w:lang w:eastAsia="en-GB"/>
        </w:rPr>
        <w:t>the claimants were children</w:t>
      </w:r>
      <w:r w:rsidR="0005151C">
        <w:rPr>
          <w:rFonts w:eastAsia="Times New Roman" w:cs="Times New Roman"/>
          <w:sz w:val="20"/>
          <w:szCs w:val="20"/>
          <w:lang w:eastAsia="en-GB"/>
        </w:rPr>
        <w:t xml:space="preserve"> and</w:t>
      </w:r>
      <w:r w:rsidRPr="004059C5">
        <w:rPr>
          <w:rFonts w:eastAsia="Times New Roman" w:cs="Times New Roman"/>
          <w:sz w:val="20"/>
          <w:szCs w:val="20"/>
          <w:lang w:eastAsia="en-GB"/>
        </w:rPr>
        <w:t xml:space="preserve"> had no </w:t>
      </w:r>
      <w:r w:rsidR="00370F49" w:rsidRPr="004059C5">
        <w:rPr>
          <w:rFonts w:eastAsia="Times New Roman" w:cs="Times New Roman"/>
          <w:sz w:val="20"/>
          <w:szCs w:val="20"/>
          <w:lang w:eastAsia="en-GB"/>
        </w:rPr>
        <w:t xml:space="preserve">influence over their exposure </w:t>
      </w:r>
      <w:r w:rsidR="00361355" w:rsidRPr="004059C5">
        <w:rPr>
          <w:rFonts w:eastAsia="Times New Roman" w:cs="Times New Roman"/>
          <w:sz w:val="20"/>
          <w:szCs w:val="20"/>
          <w:lang w:eastAsia="en-GB"/>
        </w:rPr>
        <w:t xml:space="preserve">to being photographed.  </w:t>
      </w:r>
      <w:r w:rsidR="00464284" w:rsidRPr="004059C5">
        <w:rPr>
          <w:rFonts w:eastAsia="Times New Roman" w:cs="Times New Roman"/>
          <w:sz w:val="20"/>
          <w:szCs w:val="20"/>
          <w:lang w:eastAsia="en-GB"/>
        </w:rPr>
        <w:t xml:space="preserve">Simply being a child, therefore seems to be </w:t>
      </w:r>
      <w:r w:rsidR="00370F49" w:rsidRPr="004059C5">
        <w:rPr>
          <w:rFonts w:eastAsia="Times New Roman" w:cs="Times New Roman"/>
          <w:sz w:val="20"/>
          <w:szCs w:val="20"/>
          <w:lang w:eastAsia="en-GB"/>
        </w:rPr>
        <w:t>a factor which</w:t>
      </w:r>
      <w:r w:rsidR="0005151C">
        <w:rPr>
          <w:rFonts w:eastAsia="Times New Roman" w:cs="Times New Roman"/>
          <w:sz w:val="20"/>
          <w:szCs w:val="20"/>
          <w:lang w:eastAsia="en-GB"/>
        </w:rPr>
        <w:t xml:space="preserve"> </w:t>
      </w:r>
      <w:r w:rsidR="002E62FA">
        <w:rPr>
          <w:rFonts w:eastAsia="Times New Roman" w:cs="Times New Roman"/>
          <w:sz w:val="20"/>
          <w:szCs w:val="20"/>
          <w:lang w:eastAsia="en-GB"/>
        </w:rPr>
        <w:t>strengthen</w:t>
      </w:r>
      <w:r w:rsidR="0019680E">
        <w:rPr>
          <w:rFonts w:eastAsia="Times New Roman" w:cs="Times New Roman"/>
          <w:sz w:val="20"/>
          <w:szCs w:val="20"/>
          <w:lang w:eastAsia="en-GB"/>
        </w:rPr>
        <w:t>s</w:t>
      </w:r>
      <w:r w:rsidR="002E62FA">
        <w:rPr>
          <w:rFonts w:eastAsia="Times New Roman" w:cs="Times New Roman"/>
          <w:sz w:val="20"/>
          <w:szCs w:val="20"/>
          <w:lang w:eastAsia="en-GB"/>
        </w:rPr>
        <w:t xml:space="preserve"> a claim not to be </w:t>
      </w:r>
      <w:r w:rsidR="00370F49" w:rsidRPr="004059C5">
        <w:rPr>
          <w:rFonts w:eastAsia="Times New Roman" w:cs="Times New Roman"/>
          <w:sz w:val="20"/>
          <w:szCs w:val="20"/>
          <w:lang w:eastAsia="en-GB"/>
        </w:rPr>
        <w:t>photographed</w:t>
      </w:r>
      <w:r w:rsidR="002E62FA">
        <w:rPr>
          <w:rFonts w:eastAsia="Times New Roman" w:cs="Times New Roman"/>
          <w:sz w:val="20"/>
          <w:szCs w:val="20"/>
          <w:lang w:eastAsia="en-GB"/>
        </w:rPr>
        <w:t xml:space="preserve"> in public</w:t>
      </w:r>
      <w:r w:rsidR="00361355" w:rsidRPr="004059C5">
        <w:rPr>
          <w:rFonts w:eastAsia="Times New Roman" w:cs="Times New Roman"/>
          <w:sz w:val="20"/>
          <w:szCs w:val="20"/>
          <w:lang w:eastAsia="en-GB"/>
        </w:rPr>
        <w:t xml:space="preserve">.  </w:t>
      </w:r>
      <w:r w:rsidR="00464284" w:rsidRPr="004059C5">
        <w:rPr>
          <w:rFonts w:eastAsia="Times New Roman" w:cs="Times New Roman"/>
          <w:sz w:val="20"/>
          <w:szCs w:val="20"/>
          <w:lang w:eastAsia="en-GB"/>
        </w:rPr>
        <w:t xml:space="preserve">It was also significant </w:t>
      </w:r>
      <w:r w:rsidR="00C17326" w:rsidRPr="004059C5">
        <w:rPr>
          <w:rFonts w:eastAsia="Times New Roman" w:cs="Times New Roman"/>
          <w:sz w:val="20"/>
          <w:szCs w:val="20"/>
          <w:lang w:eastAsia="en-GB"/>
        </w:rPr>
        <w:t xml:space="preserve">that the </w:t>
      </w:r>
      <w:r w:rsidR="00464284" w:rsidRPr="004059C5">
        <w:rPr>
          <w:rFonts w:eastAsia="Times New Roman" w:cs="Times New Roman"/>
          <w:sz w:val="20"/>
          <w:szCs w:val="20"/>
          <w:lang w:eastAsia="en-GB"/>
        </w:rPr>
        <w:t>Wellers were enjoying</w:t>
      </w:r>
      <w:r w:rsidR="00C17326" w:rsidRPr="004059C5">
        <w:rPr>
          <w:rFonts w:eastAsia="Times New Roman" w:cs="Times New Roman"/>
          <w:sz w:val="20"/>
          <w:szCs w:val="20"/>
          <w:lang w:eastAsia="en-GB"/>
        </w:rPr>
        <w:t xml:space="preserve"> a ‘private family outing</w:t>
      </w:r>
      <w:r w:rsidR="00464284" w:rsidRPr="004059C5">
        <w:rPr>
          <w:rFonts w:eastAsia="Times New Roman" w:cs="Times New Roman"/>
          <w:sz w:val="20"/>
          <w:szCs w:val="20"/>
          <w:lang w:eastAsia="en-GB"/>
        </w:rPr>
        <w:t>,’ albeit one</w:t>
      </w:r>
      <w:r w:rsidR="00C17326" w:rsidRPr="004059C5">
        <w:rPr>
          <w:rFonts w:eastAsia="Times New Roman" w:cs="Times New Roman"/>
          <w:sz w:val="20"/>
          <w:szCs w:val="20"/>
          <w:lang w:eastAsia="en-GB"/>
        </w:rPr>
        <w:t xml:space="preserve"> conducted in public</w:t>
      </w:r>
      <w:r w:rsidR="00C17326" w:rsidRPr="004059C5">
        <w:rPr>
          <w:rFonts w:eastAsia="Times New Roman" w:cs="Times New Roman"/>
          <w:i/>
          <w:sz w:val="20"/>
          <w:szCs w:val="20"/>
          <w:lang w:eastAsia="en-GB"/>
        </w:rPr>
        <w:t>.</w:t>
      </w:r>
      <w:r w:rsidR="00C17326" w:rsidRPr="0088097A">
        <w:rPr>
          <w:rStyle w:val="FootnoteReference"/>
          <w:rFonts w:eastAsia="Times New Roman" w:cs="Times New Roman"/>
          <w:i/>
          <w:sz w:val="20"/>
          <w:szCs w:val="20"/>
          <w:lang w:eastAsia="en-GB"/>
        </w:rPr>
        <w:footnoteReference w:id="23"/>
      </w:r>
      <w:r w:rsidR="002E62FA">
        <w:rPr>
          <w:rFonts w:eastAsia="Times New Roman" w:cs="Times New Roman"/>
          <w:i/>
          <w:sz w:val="20"/>
          <w:szCs w:val="20"/>
          <w:lang w:eastAsia="en-GB"/>
        </w:rPr>
        <w:t xml:space="preserve"> </w:t>
      </w:r>
      <w:r w:rsidR="002E62FA">
        <w:rPr>
          <w:rFonts w:eastAsia="Times New Roman" w:cs="Times New Roman"/>
          <w:sz w:val="20"/>
          <w:szCs w:val="20"/>
          <w:lang w:eastAsia="en-GB"/>
        </w:rPr>
        <w:t>One might accordingly argue that w</w:t>
      </w:r>
      <w:r w:rsidR="00770CE2" w:rsidRPr="004059C5">
        <w:rPr>
          <w:rFonts w:eastAsia="Times New Roman" w:cs="Times New Roman"/>
          <w:sz w:val="20"/>
          <w:szCs w:val="20"/>
          <w:lang w:eastAsia="en-GB"/>
        </w:rPr>
        <w:t>hen any child enjoys a</w:t>
      </w:r>
      <w:r w:rsidR="00AB177B" w:rsidRPr="004059C5">
        <w:rPr>
          <w:rFonts w:eastAsia="Times New Roman" w:cs="Times New Roman"/>
          <w:sz w:val="20"/>
          <w:szCs w:val="20"/>
          <w:lang w:eastAsia="en-GB"/>
        </w:rPr>
        <w:t xml:space="preserve"> family</w:t>
      </w:r>
      <w:r w:rsidR="00361355" w:rsidRPr="004059C5">
        <w:rPr>
          <w:rFonts w:eastAsia="Times New Roman" w:cs="Times New Roman"/>
          <w:sz w:val="20"/>
          <w:szCs w:val="20"/>
          <w:lang w:eastAsia="en-GB"/>
        </w:rPr>
        <w:t xml:space="preserve"> excursion</w:t>
      </w:r>
      <w:r w:rsidR="00464284" w:rsidRPr="004059C5">
        <w:rPr>
          <w:rFonts w:eastAsia="Times New Roman" w:cs="Times New Roman"/>
          <w:sz w:val="20"/>
          <w:szCs w:val="20"/>
          <w:lang w:eastAsia="en-GB"/>
        </w:rPr>
        <w:t xml:space="preserve"> their article 8 rights </w:t>
      </w:r>
      <w:r w:rsidR="00612BA6">
        <w:rPr>
          <w:rFonts w:eastAsia="Times New Roman" w:cs="Times New Roman"/>
          <w:sz w:val="20"/>
          <w:szCs w:val="20"/>
          <w:lang w:eastAsia="en-GB"/>
        </w:rPr>
        <w:t>are</w:t>
      </w:r>
      <w:r w:rsidR="00464284" w:rsidRPr="004059C5">
        <w:rPr>
          <w:rFonts w:eastAsia="Times New Roman" w:cs="Times New Roman"/>
          <w:sz w:val="20"/>
          <w:szCs w:val="20"/>
          <w:lang w:eastAsia="en-GB"/>
        </w:rPr>
        <w:t xml:space="preserve"> </w:t>
      </w:r>
      <w:r w:rsidR="00AB177B" w:rsidRPr="004059C5">
        <w:rPr>
          <w:rFonts w:eastAsia="Times New Roman" w:cs="Times New Roman"/>
          <w:sz w:val="20"/>
          <w:szCs w:val="20"/>
          <w:lang w:eastAsia="en-GB"/>
        </w:rPr>
        <w:t xml:space="preserve">potentially </w:t>
      </w:r>
      <w:r w:rsidR="00464284" w:rsidRPr="004059C5">
        <w:rPr>
          <w:rFonts w:eastAsia="Times New Roman" w:cs="Times New Roman"/>
          <w:sz w:val="20"/>
          <w:szCs w:val="20"/>
          <w:lang w:eastAsia="en-GB"/>
        </w:rPr>
        <w:t>engaged</w:t>
      </w:r>
      <w:r w:rsidRPr="004059C5">
        <w:rPr>
          <w:rFonts w:eastAsia="Times New Roman" w:cs="Times New Roman"/>
          <w:sz w:val="20"/>
          <w:szCs w:val="20"/>
          <w:lang w:eastAsia="en-GB"/>
        </w:rPr>
        <w:t>.</w:t>
      </w:r>
      <w:r w:rsidR="00770CE2" w:rsidRPr="004059C5">
        <w:rPr>
          <w:rFonts w:eastAsia="Times New Roman" w:cs="Times New Roman"/>
          <w:sz w:val="20"/>
          <w:szCs w:val="20"/>
          <w:lang w:eastAsia="en-GB"/>
        </w:rPr>
        <w:t xml:space="preserve">  </w:t>
      </w:r>
      <w:r w:rsidR="004059C5">
        <w:rPr>
          <w:rFonts w:eastAsia="Times New Roman" w:cs="Times New Roman"/>
          <w:sz w:val="20"/>
          <w:szCs w:val="20"/>
          <w:lang w:eastAsia="en-GB"/>
        </w:rPr>
        <w:t>Th</w:t>
      </w:r>
      <w:r w:rsidR="00770CE2" w:rsidRPr="004059C5">
        <w:rPr>
          <w:rFonts w:eastAsia="Times New Roman" w:cs="Times New Roman"/>
          <w:sz w:val="20"/>
          <w:szCs w:val="20"/>
          <w:lang w:eastAsia="en-GB"/>
        </w:rPr>
        <w:t xml:space="preserve">e fact </w:t>
      </w:r>
      <w:r w:rsidR="00C17326" w:rsidRPr="004059C5">
        <w:rPr>
          <w:rFonts w:eastAsia="Times New Roman" w:cs="Times New Roman"/>
          <w:sz w:val="20"/>
          <w:szCs w:val="20"/>
          <w:lang w:eastAsia="en-GB"/>
        </w:rPr>
        <w:t>Paul and Hannah Weller</w:t>
      </w:r>
      <w:r w:rsidR="00770CE2" w:rsidRPr="004059C5">
        <w:rPr>
          <w:rFonts w:eastAsia="Times New Roman" w:cs="Times New Roman"/>
          <w:sz w:val="20"/>
          <w:szCs w:val="20"/>
          <w:lang w:eastAsia="en-GB"/>
        </w:rPr>
        <w:t xml:space="preserve"> had </w:t>
      </w:r>
      <w:r w:rsidR="00C17326" w:rsidRPr="004059C5">
        <w:rPr>
          <w:rFonts w:eastAsia="Times New Roman" w:cs="Times New Roman"/>
          <w:sz w:val="20"/>
          <w:szCs w:val="20"/>
          <w:lang w:eastAsia="en-GB"/>
        </w:rPr>
        <w:t>attempted</w:t>
      </w:r>
      <w:r w:rsidR="008A632C" w:rsidRPr="004059C5">
        <w:rPr>
          <w:rFonts w:eastAsia="Times New Roman" w:cs="Times New Roman"/>
          <w:sz w:val="20"/>
          <w:szCs w:val="20"/>
          <w:lang w:eastAsia="en-GB"/>
        </w:rPr>
        <w:t xml:space="preserve"> to </w:t>
      </w:r>
      <w:r w:rsidR="00FB15F5">
        <w:rPr>
          <w:rFonts w:eastAsia="Times New Roman" w:cs="Times New Roman"/>
          <w:sz w:val="20"/>
          <w:szCs w:val="20"/>
          <w:lang w:eastAsia="en-GB"/>
        </w:rPr>
        <w:t xml:space="preserve">maintain </w:t>
      </w:r>
      <w:r w:rsidR="008A632C" w:rsidRPr="004059C5">
        <w:rPr>
          <w:rFonts w:eastAsia="Times New Roman" w:cs="Times New Roman"/>
          <w:sz w:val="20"/>
          <w:szCs w:val="20"/>
          <w:lang w:eastAsia="en-GB"/>
        </w:rPr>
        <w:t>their children</w:t>
      </w:r>
      <w:r w:rsidR="00FB15F5">
        <w:rPr>
          <w:rFonts w:eastAsia="Times New Roman" w:cs="Times New Roman"/>
          <w:sz w:val="20"/>
          <w:szCs w:val="20"/>
          <w:lang w:eastAsia="en-GB"/>
        </w:rPr>
        <w:t>’s privacy</w:t>
      </w:r>
      <w:r w:rsidR="0014229B" w:rsidRPr="004059C5">
        <w:rPr>
          <w:rFonts w:eastAsia="Times New Roman" w:cs="Times New Roman"/>
          <w:sz w:val="20"/>
          <w:szCs w:val="20"/>
          <w:lang w:eastAsia="en-GB"/>
        </w:rPr>
        <w:t xml:space="preserve"> was </w:t>
      </w:r>
      <w:r w:rsidR="004059C5">
        <w:rPr>
          <w:rFonts w:eastAsia="Times New Roman" w:cs="Times New Roman"/>
          <w:sz w:val="20"/>
          <w:szCs w:val="20"/>
          <w:lang w:eastAsia="en-GB"/>
        </w:rPr>
        <w:t>also</w:t>
      </w:r>
      <w:r w:rsidR="00E327A5">
        <w:rPr>
          <w:rFonts w:eastAsia="Times New Roman" w:cs="Times New Roman"/>
          <w:sz w:val="20"/>
          <w:szCs w:val="20"/>
          <w:lang w:eastAsia="en-GB"/>
        </w:rPr>
        <w:t>, however,</w:t>
      </w:r>
      <w:r w:rsidR="004059C5">
        <w:rPr>
          <w:rFonts w:eastAsia="Times New Roman" w:cs="Times New Roman"/>
          <w:sz w:val="20"/>
          <w:szCs w:val="20"/>
          <w:lang w:eastAsia="en-GB"/>
        </w:rPr>
        <w:t xml:space="preserve"> </w:t>
      </w:r>
      <w:r w:rsidR="0014229B" w:rsidRPr="004059C5">
        <w:rPr>
          <w:rFonts w:eastAsia="Times New Roman" w:cs="Times New Roman"/>
          <w:sz w:val="20"/>
          <w:szCs w:val="20"/>
          <w:lang w:eastAsia="en-GB"/>
        </w:rPr>
        <w:t xml:space="preserve">clearly relevant to </w:t>
      </w:r>
      <w:r w:rsidR="0005151C">
        <w:rPr>
          <w:rFonts w:eastAsia="Times New Roman" w:cs="Times New Roman"/>
          <w:sz w:val="20"/>
          <w:szCs w:val="20"/>
          <w:lang w:eastAsia="en-GB"/>
        </w:rPr>
        <w:t xml:space="preserve">the court </w:t>
      </w:r>
      <w:r w:rsidR="0014229B" w:rsidRPr="004059C5">
        <w:rPr>
          <w:rFonts w:eastAsia="Times New Roman" w:cs="Times New Roman"/>
          <w:sz w:val="20"/>
          <w:szCs w:val="20"/>
          <w:lang w:eastAsia="en-GB"/>
        </w:rPr>
        <w:t>finding the</w:t>
      </w:r>
      <w:r w:rsidR="004059C5">
        <w:rPr>
          <w:rFonts w:eastAsia="Times New Roman" w:cs="Times New Roman"/>
          <w:sz w:val="20"/>
          <w:szCs w:val="20"/>
          <w:lang w:eastAsia="en-GB"/>
        </w:rPr>
        <w:t>ir</w:t>
      </w:r>
      <w:r w:rsidR="0014229B" w:rsidRPr="004059C5">
        <w:rPr>
          <w:rFonts w:eastAsia="Times New Roman" w:cs="Times New Roman"/>
          <w:sz w:val="20"/>
          <w:szCs w:val="20"/>
          <w:lang w:eastAsia="en-GB"/>
        </w:rPr>
        <w:t xml:space="preserve"> children had a reasonable expectation of privacy</w:t>
      </w:r>
      <w:r w:rsidR="0005151C">
        <w:rPr>
          <w:rFonts w:eastAsia="Times New Roman" w:cs="Times New Roman"/>
          <w:sz w:val="20"/>
          <w:szCs w:val="20"/>
          <w:lang w:eastAsia="en-GB"/>
        </w:rPr>
        <w:t xml:space="preserve">. It is </w:t>
      </w:r>
      <w:r w:rsidR="00612BA6">
        <w:rPr>
          <w:rFonts w:eastAsia="Times New Roman" w:cs="Times New Roman"/>
          <w:sz w:val="20"/>
          <w:szCs w:val="20"/>
          <w:lang w:eastAsia="en-GB"/>
        </w:rPr>
        <w:t xml:space="preserve">well-established </w:t>
      </w:r>
      <w:r w:rsidR="0005151C">
        <w:rPr>
          <w:rFonts w:eastAsia="Times New Roman" w:cs="Times New Roman"/>
          <w:sz w:val="20"/>
          <w:szCs w:val="20"/>
          <w:lang w:eastAsia="en-GB"/>
        </w:rPr>
        <w:t>that a parent’s actions may impact upon their child’s article 8 rights</w:t>
      </w:r>
      <w:r w:rsidR="0019680E">
        <w:rPr>
          <w:rFonts w:eastAsia="Times New Roman" w:cs="Times New Roman"/>
          <w:sz w:val="20"/>
          <w:szCs w:val="20"/>
          <w:lang w:eastAsia="en-GB"/>
        </w:rPr>
        <w:t>.</w:t>
      </w:r>
      <w:r w:rsidR="009F28A3" w:rsidRPr="0088097A">
        <w:rPr>
          <w:rStyle w:val="FootnoteReference"/>
          <w:rFonts w:eastAsia="Times New Roman" w:cs="Times New Roman"/>
          <w:sz w:val="20"/>
          <w:szCs w:val="20"/>
          <w:lang w:eastAsia="en-GB"/>
        </w:rPr>
        <w:footnoteReference w:id="24"/>
      </w:r>
      <w:r w:rsidRPr="004059C5">
        <w:rPr>
          <w:rFonts w:eastAsia="Times New Roman" w:cs="Times New Roman"/>
          <w:sz w:val="20"/>
          <w:szCs w:val="20"/>
          <w:lang w:eastAsia="en-GB"/>
        </w:rPr>
        <w:t xml:space="preserve">  </w:t>
      </w:r>
      <w:r w:rsidR="00115B20">
        <w:rPr>
          <w:rFonts w:eastAsia="Times New Roman" w:cs="Times New Roman"/>
          <w:sz w:val="20"/>
          <w:szCs w:val="20"/>
          <w:lang w:eastAsia="en-GB"/>
        </w:rPr>
        <w:t>I</w:t>
      </w:r>
      <w:r w:rsidR="00115B20" w:rsidRPr="004059C5">
        <w:rPr>
          <w:rFonts w:eastAsia="Times New Roman" w:cs="Times New Roman"/>
          <w:sz w:val="20"/>
          <w:szCs w:val="20"/>
          <w:lang w:eastAsia="en-GB"/>
        </w:rPr>
        <w:t xml:space="preserve">f a parent </w:t>
      </w:r>
      <w:r w:rsidR="00115B20">
        <w:rPr>
          <w:rFonts w:eastAsia="Times New Roman" w:cs="Times New Roman"/>
          <w:sz w:val="20"/>
          <w:szCs w:val="20"/>
          <w:lang w:eastAsia="en-GB"/>
        </w:rPr>
        <w:t>has taken</w:t>
      </w:r>
      <w:r w:rsidR="00115B20" w:rsidRPr="004059C5">
        <w:rPr>
          <w:rFonts w:eastAsia="Times New Roman" w:cs="Times New Roman"/>
          <w:sz w:val="20"/>
          <w:szCs w:val="20"/>
          <w:lang w:eastAsia="en-GB"/>
        </w:rPr>
        <w:t xml:space="preserve"> positive steps to minimise </w:t>
      </w:r>
      <w:r w:rsidR="00FB15F5">
        <w:rPr>
          <w:rFonts w:eastAsia="Times New Roman" w:cs="Times New Roman"/>
          <w:sz w:val="20"/>
          <w:szCs w:val="20"/>
          <w:lang w:eastAsia="en-GB"/>
        </w:rPr>
        <w:t xml:space="preserve">publication </w:t>
      </w:r>
      <w:r w:rsidR="00115B20" w:rsidRPr="004059C5">
        <w:rPr>
          <w:rFonts w:eastAsia="Times New Roman" w:cs="Times New Roman"/>
          <w:sz w:val="20"/>
          <w:szCs w:val="20"/>
          <w:lang w:eastAsia="en-GB"/>
        </w:rPr>
        <w:t>of their child’s photographs</w:t>
      </w:r>
      <w:r w:rsidR="00115B20">
        <w:rPr>
          <w:rFonts w:eastAsia="Times New Roman" w:cs="Times New Roman"/>
          <w:sz w:val="20"/>
          <w:szCs w:val="20"/>
          <w:lang w:eastAsia="en-GB"/>
        </w:rPr>
        <w:t xml:space="preserve"> this would seemingly</w:t>
      </w:r>
      <w:r w:rsidR="00115B20" w:rsidRPr="004059C5">
        <w:rPr>
          <w:rFonts w:eastAsia="Times New Roman" w:cs="Times New Roman"/>
          <w:sz w:val="20"/>
          <w:szCs w:val="20"/>
          <w:lang w:eastAsia="en-GB"/>
        </w:rPr>
        <w:t xml:space="preserve"> </w:t>
      </w:r>
      <w:r w:rsidR="00115B20">
        <w:rPr>
          <w:rFonts w:eastAsia="Times New Roman" w:cs="Times New Roman"/>
          <w:sz w:val="20"/>
          <w:szCs w:val="20"/>
          <w:lang w:eastAsia="en-GB"/>
        </w:rPr>
        <w:t>support an</w:t>
      </w:r>
      <w:r w:rsidR="00115B20" w:rsidRPr="004059C5">
        <w:rPr>
          <w:rFonts w:eastAsia="Times New Roman" w:cs="Times New Roman"/>
          <w:sz w:val="20"/>
          <w:szCs w:val="20"/>
          <w:lang w:eastAsia="en-GB"/>
        </w:rPr>
        <w:t xml:space="preserve"> argument </w:t>
      </w:r>
      <w:r w:rsidR="00F33617">
        <w:rPr>
          <w:rFonts w:eastAsia="Times New Roman" w:cs="Times New Roman"/>
          <w:sz w:val="20"/>
          <w:szCs w:val="20"/>
          <w:lang w:eastAsia="en-GB"/>
        </w:rPr>
        <w:t>that their child has a reasonable expectation of privacy</w:t>
      </w:r>
      <w:r w:rsidR="0008371F">
        <w:rPr>
          <w:rFonts w:eastAsia="Times New Roman" w:cs="Times New Roman"/>
          <w:sz w:val="20"/>
          <w:szCs w:val="20"/>
          <w:lang w:eastAsia="en-GB"/>
        </w:rPr>
        <w:t>. In the</w:t>
      </w:r>
      <w:r w:rsidR="00115B20">
        <w:rPr>
          <w:rFonts w:eastAsia="Times New Roman" w:cs="Times New Roman"/>
          <w:sz w:val="20"/>
          <w:szCs w:val="20"/>
          <w:lang w:eastAsia="en-GB"/>
        </w:rPr>
        <w:t xml:space="preserve"> same vein, presumably the child of </w:t>
      </w:r>
      <w:r w:rsidR="009F28A3" w:rsidRPr="004059C5">
        <w:rPr>
          <w:rFonts w:eastAsia="Times New Roman" w:cs="Times New Roman"/>
          <w:sz w:val="20"/>
          <w:szCs w:val="20"/>
          <w:lang w:eastAsia="en-GB"/>
        </w:rPr>
        <w:t xml:space="preserve">a parent </w:t>
      </w:r>
      <w:r w:rsidR="00115B20">
        <w:rPr>
          <w:rFonts w:eastAsia="Times New Roman" w:cs="Times New Roman"/>
          <w:sz w:val="20"/>
          <w:szCs w:val="20"/>
          <w:lang w:eastAsia="en-GB"/>
        </w:rPr>
        <w:t xml:space="preserve">who </w:t>
      </w:r>
      <w:r w:rsidR="0008371F">
        <w:rPr>
          <w:rFonts w:eastAsia="Times New Roman" w:cs="Times New Roman"/>
          <w:sz w:val="20"/>
          <w:szCs w:val="20"/>
          <w:lang w:eastAsia="en-GB"/>
        </w:rPr>
        <w:t xml:space="preserve">regularly </w:t>
      </w:r>
      <w:r w:rsidR="00115B20">
        <w:rPr>
          <w:rFonts w:eastAsia="Times New Roman" w:cs="Times New Roman"/>
          <w:sz w:val="20"/>
          <w:szCs w:val="20"/>
          <w:lang w:eastAsia="en-GB"/>
        </w:rPr>
        <w:t>posts</w:t>
      </w:r>
      <w:r w:rsidR="009F28A3" w:rsidRPr="004059C5">
        <w:rPr>
          <w:rFonts w:eastAsia="Times New Roman" w:cs="Times New Roman"/>
          <w:sz w:val="20"/>
          <w:szCs w:val="20"/>
          <w:lang w:eastAsia="en-GB"/>
        </w:rPr>
        <w:t xml:space="preserve"> </w:t>
      </w:r>
      <w:r w:rsidR="00115B20">
        <w:rPr>
          <w:rFonts w:eastAsia="Times New Roman" w:cs="Times New Roman"/>
          <w:sz w:val="20"/>
          <w:szCs w:val="20"/>
          <w:lang w:eastAsia="en-GB"/>
        </w:rPr>
        <w:t xml:space="preserve">family </w:t>
      </w:r>
      <w:r w:rsidR="009F28A3" w:rsidRPr="004059C5">
        <w:rPr>
          <w:rFonts w:eastAsia="Times New Roman" w:cs="Times New Roman"/>
          <w:sz w:val="20"/>
          <w:szCs w:val="20"/>
          <w:lang w:eastAsia="en-GB"/>
        </w:rPr>
        <w:t xml:space="preserve">photographs </w:t>
      </w:r>
      <w:r w:rsidR="00115B20">
        <w:rPr>
          <w:rFonts w:eastAsia="Times New Roman" w:cs="Times New Roman"/>
          <w:sz w:val="20"/>
          <w:szCs w:val="20"/>
          <w:lang w:eastAsia="en-GB"/>
        </w:rPr>
        <w:t>to</w:t>
      </w:r>
      <w:r w:rsidR="009F28A3" w:rsidRPr="004059C5">
        <w:rPr>
          <w:rFonts w:eastAsia="Times New Roman" w:cs="Times New Roman"/>
          <w:sz w:val="20"/>
          <w:szCs w:val="20"/>
          <w:lang w:eastAsia="en-GB"/>
        </w:rPr>
        <w:t xml:space="preserve"> a public blog</w:t>
      </w:r>
      <w:r w:rsidR="00115B20">
        <w:rPr>
          <w:rFonts w:eastAsia="Times New Roman" w:cs="Times New Roman"/>
          <w:sz w:val="20"/>
          <w:szCs w:val="20"/>
          <w:lang w:eastAsia="en-GB"/>
        </w:rPr>
        <w:t xml:space="preserve"> might be considered to have a lower expectation of privacy</w:t>
      </w:r>
      <w:r w:rsidR="009F28A3" w:rsidRPr="004059C5">
        <w:rPr>
          <w:rFonts w:eastAsia="Times New Roman" w:cs="Times New Roman"/>
          <w:sz w:val="20"/>
          <w:szCs w:val="20"/>
          <w:lang w:eastAsia="en-GB"/>
        </w:rPr>
        <w:t>.</w:t>
      </w:r>
      <w:r w:rsidR="00115B20">
        <w:rPr>
          <w:rFonts w:eastAsia="Times New Roman" w:cs="Times New Roman"/>
          <w:sz w:val="20"/>
          <w:szCs w:val="20"/>
          <w:lang w:eastAsia="en-GB"/>
        </w:rPr>
        <w:t xml:space="preserve">  </w:t>
      </w:r>
    </w:p>
    <w:p w:rsidR="00AF6EC1" w:rsidRPr="00E9019B" w:rsidRDefault="0008371F" w:rsidP="00AF6EC1">
      <w:pPr>
        <w:spacing w:before="100" w:beforeAutospacing="1" w:after="100" w:afterAutospacing="1" w:line="240" w:lineRule="auto"/>
        <w:rPr>
          <w:rFonts w:eastAsia="Times New Roman" w:cs="Times New Roman"/>
          <w:i/>
          <w:sz w:val="20"/>
          <w:szCs w:val="20"/>
          <w:lang w:eastAsia="en-GB"/>
        </w:rPr>
      </w:pPr>
      <w:r>
        <w:rPr>
          <w:rFonts w:eastAsia="Times New Roman" w:cs="Times New Roman"/>
          <w:sz w:val="20"/>
          <w:szCs w:val="20"/>
          <w:lang w:eastAsia="en-GB"/>
        </w:rPr>
        <w:t>Another</w:t>
      </w:r>
      <w:r w:rsidR="00115B20">
        <w:rPr>
          <w:rFonts w:eastAsia="Times New Roman" w:cs="Times New Roman"/>
          <w:sz w:val="20"/>
          <w:szCs w:val="20"/>
          <w:lang w:eastAsia="en-GB"/>
        </w:rPr>
        <w:t xml:space="preserve"> factor emphasised by the court in </w:t>
      </w:r>
      <w:r w:rsidR="00115B20">
        <w:rPr>
          <w:rFonts w:eastAsia="Times New Roman" w:cs="Times New Roman"/>
          <w:i/>
          <w:sz w:val="20"/>
          <w:szCs w:val="20"/>
          <w:lang w:eastAsia="en-GB"/>
        </w:rPr>
        <w:t xml:space="preserve">Weller </w:t>
      </w:r>
      <w:r w:rsidR="00115B20">
        <w:rPr>
          <w:rFonts w:eastAsia="Times New Roman" w:cs="Times New Roman"/>
          <w:sz w:val="20"/>
          <w:szCs w:val="20"/>
          <w:lang w:eastAsia="en-GB"/>
        </w:rPr>
        <w:t xml:space="preserve">was the identification of the children by name.  </w:t>
      </w:r>
      <w:r w:rsidR="00AF6EC1" w:rsidRPr="0088097A">
        <w:rPr>
          <w:rFonts w:eastAsia="Times New Roman" w:cs="Times New Roman"/>
          <w:sz w:val="20"/>
          <w:szCs w:val="20"/>
          <w:lang w:eastAsia="en-GB"/>
        </w:rPr>
        <w:t>There</w:t>
      </w:r>
      <w:r w:rsidR="00AF6EC1">
        <w:rPr>
          <w:rFonts w:eastAsia="Times New Roman" w:cs="Times New Roman"/>
          <w:sz w:val="20"/>
          <w:szCs w:val="20"/>
          <w:lang w:eastAsia="en-GB"/>
        </w:rPr>
        <w:t xml:space="preserve"> </w:t>
      </w:r>
      <w:r>
        <w:rPr>
          <w:rFonts w:eastAsia="Times New Roman" w:cs="Times New Roman"/>
          <w:sz w:val="20"/>
          <w:szCs w:val="20"/>
          <w:lang w:eastAsia="en-GB"/>
        </w:rPr>
        <w:t xml:space="preserve">will </w:t>
      </w:r>
      <w:r w:rsidR="00AF6EC1">
        <w:rPr>
          <w:rFonts w:eastAsia="Times New Roman" w:cs="Times New Roman"/>
          <w:sz w:val="20"/>
          <w:szCs w:val="20"/>
          <w:lang w:eastAsia="en-GB"/>
        </w:rPr>
        <w:t>be instances when a child is photographed</w:t>
      </w:r>
      <w:r w:rsidR="00AF6EC1" w:rsidRPr="0088097A">
        <w:rPr>
          <w:rFonts w:eastAsia="Times New Roman" w:cs="Times New Roman"/>
          <w:sz w:val="20"/>
          <w:szCs w:val="20"/>
          <w:lang w:eastAsia="en-GB"/>
        </w:rPr>
        <w:t xml:space="preserve"> in public and </w:t>
      </w:r>
      <w:r>
        <w:rPr>
          <w:rFonts w:eastAsia="Times New Roman" w:cs="Times New Roman"/>
          <w:sz w:val="20"/>
          <w:szCs w:val="20"/>
          <w:lang w:eastAsia="en-GB"/>
        </w:rPr>
        <w:t>their</w:t>
      </w:r>
      <w:r w:rsidR="00AF6EC1" w:rsidRPr="0088097A">
        <w:rPr>
          <w:rFonts w:eastAsia="Times New Roman" w:cs="Times New Roman"/>
          <w:sz w:val="20"/>
          <w:szCs w:val="20"/>
          <w:lang w:eastAsia="en-GB"/>
        </w:rPr>
        <w:t xml:space="preserve"> image subsequently published with an accompanying commentary </w:t>
      </w:r>
      <w:r w:rsidR="005E67CF">
        <w:rPr>
          <w:rFonts w:eastAsia="Times New Roman" w:cs="Times New Roman"/>
          <w:sz w:val="20"/>
          <w:szCs w:val="20"/>
          <w:lang w:eastAsia="en-GB"/>
        </w:rPr>
        <w:t>or</w:t>
      </w:r>
      <w:r w:rsidR="00AF6EC1" w:rsidRPr="0088097A">
        <w:rPr>
          <w:rFonts w:eastAsia="Times New Roman" w:cs="Times New Roman"/>
          <w:sz w:val="20"/>
          <w:szCs w:val="20"/>
          <w:lang w:eastAsia="en-GB"/>
        </w:rPr>
        <w:t xml:space="preserve"> their name</w:t>
      </w:r>
      <w:r w:rsidR="00AF6EC1">
        <w:rPr>
          <w:rFonts w:eastAsia="Times New Roman" w:cs="Times New Roman"/>
          <w:sz w:val="20"/>
          <w:szCs w:val="20"/>
          <w:lang w:eastAsia="en-GB"/>
        </w:rPr>
        <w:t xml:space="preserve"> (</w:t>
      </w:r>
      <w:r>
        <w:rPr>
          <w:rFonts w:eastAsia="Times New Roman" w:cs="Times New Roman"/>
          <w:sz w:val="20"/>
          <w:szCs w:val="20"/>
          <w:lang w:eastAsia="en-GB"/>
        </w:rPr>
        <w:t>usually</w:t>
      </w:r>
      <w:r w:rsidR="00AF6EC1">
        <w:rPr>
          <w:rFonts w:eastAsia="Times New Roman" w:cs="Times New Roman"/>
          <w:sz w:val="20"/>
          <w:szCs w:val="20"/>
          <w:lang w:eastAsia="en-GB"/>
        </w:rPr>
        <w:t xml:space="preserve"> </w:t>
      </w:r>
      <w:r w:rsidR="005E67CF">
        <w:rPr>
          <w:rFonts w:eastAsia="Times New Roman" w:cs="Times New Roman"/>
          <w:sz w:val="20"/>
          <w:szCs w:val="20"/>
          <w:lang w:eastAsia="en-GB"/>
        </w:rPr>
        <w:t xml:space="preserve">when </w:t>
      </w:r>
      <w:r w:rsidR="00AF6EC1" w:rsidRPr="0088097A">
        <w:rPr>
          <w:rFonts w:eastAsia="Times New Roman" w:cs="Times New Roman"/>
          <w:sz w:val="20"/>
          <w:szCs w:val="20"/>
          <w:lang w:eastAsia="en-GB"/>
        </w:rPr>
        <w:t xml:space="preserve">a friend </w:t>
      </w:r>
      <w:r>
        <w:rPr>
          <w:rFonts w:eastAsia="Times New Roman" w:cs="Times New Roman"/>
          <w:sz w:val="20"/>
          <w:szCs w:val="20"/>
          <w:lang w:eastAsia="en-GB"/>
        </w:rPr>
        <w:t xml:space="preserve">or </w:t>
      </w:r>
      <w:r w:rsidR="005E67CF">
        <w:rPr>
          <w:rFonts w:eastAsia="Times New Roman" w:cs="Times New Roman"/>
          <w:sz w:val="20"/>
          <w:szCs w:val="20"/>
          <w:lang w:eastAsia="en-GB"/>
        </w:rPr>
        <w:t xml:space="preserve">family </w:t>
      </w:r>
      <w:r>
        <w:rPr>
          <w:rFonts w:eastAsia="Times New Roman" w:cs="Times New Roman"/>
          <w:sz w:val="20"/>
          <w:szCs w:val="20"/>
          <w:lang w:eastAsia="en-GB"/>
        </w:rPr>
        <w:t xml:space="preserve">member </w:t>
      </w:r>
      <w:r w:rsidR="00AF6EC1" w:rsidRPr="0088097A">
        <w:rPr>
          <w:rFonts w:eastAsia="Times New Roman" w:cs="Times New Roman"/>
          <w:sz w:val="20"/>
          <w:szCs w:val="20"/>
          <w:lang w:eastAsia="en-GB"/>
        </w:rPr>
        <w:t xml:space="preserve">posts </w:t>
      </w:r>
      <w:r>
        <w:rPr>
          <w:rFonts w:eastAsia="Times New Roman" w:cs="Times New Roman"/>
          <w:sz w:val="20"/>
          <w:szCs w:val="20"/>
          <w:lang w:eastAsia="en-GB"/>
        </w:rPr>
        <w:t>the</w:t>
      </w:r>
      <w:r w:rsidR="00AF6EC1" w:rsidRPr="0088097A">
        <w:rPr>
          <w:rFonts w:eastAsia="Times New Roman" w:cs="Times New Roman"/>
          <w:sz w:val="20"/>
          <w:szCs w:val="20"/>
          <w:lang w:eastAsia="en-GB"/>
        </w:rPr>
        <w:t xml:space="preserve"> image on</w:t>
      </w:r>
      <w:r>
        <w:rPr>
          <w:rFonts w:eastAsia="Times New Roman" w:cs="Times New Roman"/>
          <w:sz w:val="20"/>
          <w:szCs w:val="20"/>
          <w:lang w:eastAsia="en-GB"/>
        </w:rPr>
        <w:t>line</w:t>
      </w:r>
      <w:r w:rsidR="00AF6EC1">
        <w:rPr>
          <w:rFonts w:eastAsia="Times New Roman" w:cs="Times New Roman"/>
          <w:sz w:val="20"/>
          <w:szCs w:val="20"/>
          <w:lang w:eastAsia="en-GB"/>
        </w:rPr>
        <w:t>)</w:t>
      </w:r>
      <w:r w:rsidR="00AF6EC1" w:rsidRPr="0088097A">
        <w:rPr>
          <w:rFonts w:eastAsia="Times New Roman" w:cs="Times New Roman"/>
          <w:sz w:val="20"/>
          <w:szCs w:val="20"/>
          <w:lang w:eastAsia="en-GB"/>
        </w:rPr>
        <w:t>.</w:t>
      </w:r>
      <w:r w:rsidR="00AF6EC1">
        <w:rPr>
          <w:rFonts w:eastAsia="Times New Roman" w:cs="Times New Roman"/>
          <w:sz w:val="20"/>
          <w:szCs w:val="20"/>
          <w:lang w:eastAsia="en-GB"/>
        </w:rPr>
        <w:t xml:space="preserve">  I</w:t>
      </w:r>
      <w:r w:rsidR="00AF6EC1" w:rsidRPr="0088097A">
        <w:rPr>
          <w:rFonts w:eastAsia="Times New Roman" w:cs="Times New Roman"/>
          <w:sz w:val="20"/>
          <w:szCs w:val="20"/>
          <w:lang w:eastAsia="en-GB"/>
        </w:rPr>
        <w:t>n</w:t>
      </w:r>
      <w:r w:rsidR="005E67CF">
        <w:rPr>
          <w:rFonts w:eastAsia="Times New Roman" w:cs="Times New Roman"/>
          <w:sz w:val="20"/>
          <w:szCs w:val="20"/>
          <w:lang w:eastAsia="en-GB"/>
        </w:rPr>
        <w:t xml:space="preserve"> </w:t>
      </w:r>
      <w:r>
        <w:rPr>
          <w:rFonts w:eastAsia="Times New Roman" w:cs="Times New Roman"/>
          <w:sz w:val="20"/>
          <w:szCs w:val="20"/>
          <w:lang w:eastAsia="en-GB"/>
        </w:rPr>
        <w:t>many</w:t>
      </w:r>
      <w:r w:rsidR="00AF6EC1" w:rsidRPr="0088097A">
        <w:rPr>
          <w:rFonts w:eastAsia="Times New Roman" w:cs="Times New Roman"/>
          <w:sz w:val="20"/>
          <w:szCs w:val="20"/>
          <w:lang w:eastAsia="en-GB"/>
        </w:rPr>
        <w:t xml:space="preserve"> situations</w:t>
      </w:r>
      <w:r w:rsidR="00AF6EC1">
        <w:rPr>
          <w:rFonts w:eastAsia="Times New Roman" w:cs="Times New Roman"/>
          <w:sz w:val="20"/>
          <w:szCs w:val="20"/>
          <w:lang w:eastAsia="en-GB"/>
        </w:rPr>
        <w:t>, however,</w:t>
      </w:r>
      <w:r w:rsidR="00AF6EC1" w:rsidRPr="0088097A">
        <w:rPr>
          <w:rFonts w:eastAsia="Times New Roman" w:cs="Times New Roman"/>
          <w:sz w:val="20"/>
          <w:szCs w:val="20"/>
          <w:lang w:eastAsia="en-GB"/>
        </w:rPr>
        <w:t xml:space="preserve"> photographs </w:t>
      </w:r>
      <w:r w:rsidR="00AF6EC1">
        <w:rPr>
          <w:rFonts w:eastAsia="Times New Roman" w:cs="Times New Roman"/>
          <w:sz w:val="20"/>
          <w:szCs w:val="20"/>
          <w:lang w:eastAsia="en-GB"/>
        </w:rPr>
        <w:t xml:space="preserve">are </w:t>
      </w:r>
      <w:r w:rsidR="00AF6EC1" w:rsidRPr="0088097A">
        <w:rPr>
          <w:rFonts w:eastAsia="Times New Roman" w:cs="Times New Roman"/>
          <w:sz w:val="20"/>
          <w:szCs w:val="20"/>
          <w:lang w:eastAsia="en-GB"/>
        </w:rPr>
        <w:t xml:space="preserve">published </w:t>
      </w:r>
      <w:r w:rsidR="00AF6EC1">
        <w:rPr>
          <w:rFonts w:eastAsia="Times New Roman" w:cs="Times New Roman"/>
          <w:sz w:val="20"/>
          <w:szCs w:val="20"/>
          <w:lang w:eastAsia="en-GB"/>
        </w:rPr>
        <w:t xml:space="preserve">without </w:t>
      </w:r>
      <w:r>
        <w:rPr>
          <w:rFonts w:eastAsia="Times New Roman" w:cs="Times New Roman"/>
          <w:sz w:val="20"/>
          <w:szCs w:val="20"/>
          <w:lang w:eastAsia="en-GB"/>
        </w:rPr>
        <w:t>any accompanying name</w:t>
      </w:r>
      <w:r w:rsidR="00AF6EC1" w:rsidRPr="0088097A">
        <w:rPr>
          <w:rFonts w:eastAsia="Times New Roman" w:cs="Times New Roman"/>
          <w:sz w:val="20"/>
          <w:szCs w:val="20"/>
          <w:lang w:eastAsia="en-GB"/>
        </w:rPr>
        <w:t>.  What is not entirely clear from</w:t>
      </w:r>
      <w:r w:rsidR="00AF6EC1" w:rsidRPr="0088097A">
        <w:rPr>
          <w:rFonts w:eastAsia="Times New Roman" w:cs="Times New Roman"/>
          <w:i/>
          <w:sz w:val="20"/>
          <w:szCs w:val="20"/>
          <w:lang w:eastAsia="en-GB"/>
        </w:rPr>
        <w:t xml:space="preserve"> Weller </w:t>
      </w:r>
      <w:r w:rsidR="00AF6EC1" w:rsidRPr="0088097A">
        <w:rPr>
          <w:rFonts w:eastAsia="Times New Roman" w:cs="Times New Roman"/>
          <w:sz w:val="20"/>
          <w:szCs w:val="20"/>
          <w:lang w:eastAsia="en-GB"/>
        </w:rPr>
        <w:t xml:space="preserve">is whether the </w:t>
      </w:r>
      <w:r w:rsidR="00AF6EC1">
        <w:rPr>
          <w:rFonts w:eastAsia="Times New Roman" w:cs="Times New Roman"/>
          <w:sz w:val="20"/>
          <w:szCs w:val="20"/>
          <w:lang w:eastAsia="en-GB"/>
        </w:rPr>
        <w:t xml:space="preserve">naming of the </w:t>
      </w:r>
      <w:r w:rsidR="00AF6EC1" w:rsidRPr="0088097A">
        <w:rPr>
          <w:rFonts w:eastAsia="Times New Roman" w:cs="Times New Roman"/>
          <w:sz w:val="20"/>
          <w:szCs w:val="20"/>
          <w:lang w:eastAsia="en-GB"/>
        </w:rPr>
        <w:t>children was essential to the finding they had a reasonable expectation of privacy.  It has been suggested the naming of the children was a ‘critical factor.’</w:t>
      </w:r>
      <w:r w:rsidR="00AF6EC1" w:rsidRPr="0088097A">
        <w:rPr>
          <w:rStyle w:val="FootnoteReference"/>
          <w:rFonts w:eastAsia="Times New Roman" w:cs="Times New Roman"/>
          <w:sz w:val="20"/>
          <w:szCs w:val="20"/>
          <w:lang w:eastAsia="en-GB"/>
        </w:rPr>
        <w:footnoteReference w:id="25"/>
      </w:r>
      <w:r w:rsidR="00AF6EC1" w:rsidRPr="0088097A">
        <w:rPr>
          <w:rFonts w:eastAsia="Times New Roman" w:cs="Times New Roman"/>
          <w:sz w:val="20"/>
          <w:szCs w:val="20"/>
          <w:lang w:eastAsia="en-GB"/>
        </w:rPr>
        <w:t xml:space="preserve">  </w:t>
      </w:r>
      <w:r w:rsidR="005E67CF">
        <w:rPr>
          <w:rFonts w:eastAsia="Times New Roman" w:cs="Times New Roman"/>
          <w:sz w:val="20"/>
          <w:szCs w:val="20"/>
          <w:lang w:eastAsia="en-GB"/>
        </w:rPr>
        <w:t xml:space="preserve">It is possible, however, that the naming of these </w:t>
      </w:r>
      <w:r w:rsidR="00612BA6">
        <w:rPr>
          <w:rFonts w:eastAsia="Times New Roman" w:cs="Times New Roman"/>
          <w:sz w:val="20"/>
          <w:szCs w:val="20"/>
          <w:lang w:eastAsia="en-GB"/>
        </w:rPr>
        <w:t xml:space="preserve">children was </w:t>
      </w:r>
      <w:r w:rsidR="00113AB6">
        <w:rPr>
          <w:rFonts w:eastAsia="Times New Roman" w:cs="Times New Roman"/>
          <w:sz w:val="20"/>
          <w:szCs w:val="20"/>
          <w:lang w:eastAsia="en-GB"/>
        </w:rPr>
        <w:t xml:space="preserve">of importance in this case </w:t>
      </w:r>
      <w:r>
        <w:rPr>
          <w:rFonts w:eastAsia="Times New Roman" w:cs="Times New Roman"/>
          <w:sz w:val="20"/>
          <w:szCs w:val="20"/>
          <w:lang w:eastAsia="en-GB"/>
        </w:rPr>
        <w:t xml:space="preserve">only </w:t>
      </w:r>
      <w:r w:rsidR="005E67CF">
        <w:rPr>
          <w:rFonts w:eastAsia="Times New Roman" w:cs="Times New Roman"/>
          <w:sz w:val="20"/>
          <w:szCs w:val="20"/>
          <w:lang w:eastAsia="en-GB"/>
        </w:rPr>
        <w:t xml:space="preserve">because their parents were </w:t>
      </w:r>
      <w:r w:rsidR="005E67CF" w:rsidRPr="00186014">
        <w:rPr>
          <w:rFonts w:eastAsia="Times New Roman" w:cs="Times New Roman"/>
          <w:sz w:val="20"/>
          <w:szCs w:val="20"/>
          <w:lang w:eastAsia="en-GB"/>
        </w:rPr>
        <w:t>famous</w:t>
      </w:r>
      <w:r w:rsidR="00186014">
        <w:rPr>
          <w:rFonts w:eastAsia="Times New Roman" w:cs="Times New Roman"/>
          <w:sz w:val="20"/>
          <w:szCs w:val="20"/>
          <w:lang w:eastAsia="en-GB"/>
        </w:rPr>
        <w:t>.  T</w:t>
      </w:r>
      <w:r w:rsidR="00186014" w:rsidRPr="00186014">
        <w:rPr>
          <w:rFonts w:eastAsia="Times New Roman" w:cs="Times New Roman"/>
          <w:sz w:val="20"/>
          <w:szCs w:val="20"/>
          <w:lang w:eastAsia="en-GB"/>
        </w:rPr>
        <w:t>he claimant’s parents in this case were said to have ‘security concerns’ as a result of the photographs’ publication</w:t>
      </w:r>
      <w:r w:rsidR="00113AB6">
        <w:rPr>
          <w:rFonts w:eastAsia="Times New Roman" w:cs="Times New Roman"/>
          <w:sz w:val="20"/>
          <w:szCs w:val="20"/>
          <w:lang w:eastAsia="en-GB"/>
        </w:rPr>
        <w:t>.</w:t>
      </w:r>
      <w:r w:rsidR="00186014" w:rsidRPr="00186014">
        <w:rPr>
          <w:rStyle w:val="FootnoteReference"/>
          <w:rFonts w:eastAsia="Times New Roman" w:cs="Times New Roman"/>
          <w:sz w:val="20"/>
          <w:szCs w:val="20"/>
          <w:lang w:eastAsia="en-GB"/>
        </w:rPr>
        <w:footnoteReference w:id="26"/>
      </w:r>
      <w:r w:rsidR="00186014" w:rsidRPr="00186014">
        <w:rPr>
          <w:rFonts w:eastAsia="Times New Roman" w:cs="Times New Roman"/>
          <w:sz w:val="20"/>
          <w:szCs w:val="20"/>
          <w:lang w:eastAsia="en-GB"/>
        </w:rPr>
        <w:t xml:space="preserve"> </w:t>
      </w:r>
      <w:r w:rsidR="00113AB6">
        <w:rPr>
          <w:rFonts w:eastAsia="Times New Roman" w:cs="Times New Roman"/>
          <w:sz w:val="20"/>
          <w:szCs w:val="20"/>
          <w:lang w:eastAsia="en-GB"/>
        </w:rPr>
        <w:t>W</w:t>
      </w:r>
      <w:r w:rsidR="00186014">
        <w:rPr>
          <w:rFonts w:eastAsia="Times New Roman" w:cs="Times New Roman"/>
          <w:sz w:val="20"/>
          <w:szCs w:val="20"/>
          <w:lang w:eastAsia="en-GB"/>
        </w:rPr>
        <w:t>hether the parents of ‘ordinary’ children would experience similar security concerns following the publication of their children’s images is debatable</w:t>
      </w:r>
      <w:r w:rsidRPr="00186014">
        <w:rPr>
          <w:rFonts w:eastAsia="Times New Roman" w:cs="Times New Roman"/>
          <w:sz w:val="20"/>
          <w:szCs w:val="20"/>
          <w:lang w:eastAsia="en-GB"/>
        </w:rPr>
        <w:t>.  On</w:t>
      </w:r>
      <w:r w:rsidR="00612BA6" w:rsidRPr="00186014">
        <w:rPr>
          <w:rFonts w:eastAsia="Times New Roman" w:cs="Times New Roman"/>
          <w:sz w:val="20"/>
          <w:szCs w:val="20"/>
          <w:lang w:eastAsia="en-GB"/>
        </w:rPr>
        <w:t>e should recognise, however, that</w:t>
      </w:r>
      <w:r w:rsidRPr="00186014">
        <w:rPr>
          <w:rFonts w:eastAsia="Times New Roman" w:cs="Times New Roman"/>
          <w:sz w:val="20"/>
          <w:szCs w:val="20"/>
          <w:lang w:eastAsia="en-GB"/>
        </w:rPr>
        <w:t xml:space="preserve"> for some</w:t>
      </w:r>
      <w:r w:rsidR="00D00629" w:rsidRPr="00186014">
        <w:rPr>
          <w:rFonts w:eastAsia="Times New Roman" w:cs="Times New Roman"/>
          <w:sz w:val="20"/>
          <w:szCs w:val="20"/>
          <w:lang w:eastAsia="en-GB"/>
        </w:rPr>
        <w:t xml:space="preserve"> vulnerable children</w:t>
      </w:r>
      <w:r w:rsidRPr="00186014">
        <w:rPr>
          <w:rFonts w:eastAsia="Times New Roman" w:cs="Times New Roman"/>
          <w:sz w:val="20"/>
          <w:szCs w:val="20"/>
          <w:lang w:eastAsia="en-GB"/>
        </w:rPr>
        <w:t xml:space="preserve">, it is not simply identification by name </w:t>
      </w:r>
      <w:r w:rsidR="00186014">
        <w:rPr>
          <w:rFonts w:eastAsia="Times New Roman" w:cs="Times New Roman"/>
          <w:sz w:val="20"/>
          <w:szCs w:val="20"/>
          <w:lang w:eastAsia="en-GB"/>
        </w:rPr>
        <w:t>which may cause risks of embarrassment, bullying or threats to safety</w:t>
      </w:r>
      <w:r>
        <w:rPr>
          <w:rFonts w:eastAsia="Times New Roman" w:cs="Times New Roman"/>
          <w:sz w:val="20"/>
          <w:szCs w:val="20"/>
          <w:lang w:eastAsia="en-GB"/>
        </w:rPr>
        <w:t>.</w:t>
      </w:r>
      <w:r w:rsidR="00186014" w:rsidRPr="00186014">
        <w:rPr>
          <w:rStyle w:val="FootnoteReference"/>
          <w:rFonts w:eastAsia="Times New Roman" w:cs="Times New Roman"/>
          <w:sz w:val="20"/>
          <w:szCs w:val="20"/>
          <w:lang w:eastAsia="en-GB"/>
        </w:rPr>
        <w:t xml:space="preserve"> </w:t>
      </w:r>
      <w:r w:rsidR="00186014">
        <w:rPr>
          <w:rStyle w:val="FootnoteReference"/>
          <w:rFonts w:eastAsia="Times New Roman" w:cs="Times New Roman"/>
          <w:sz w:val="20"/>
          <w:szCs w:val="20"/>
          <w:lang w:eastAsia="en-GB"/>
        </w:rPr>
        <w:footnoteReference w:id="27"/>
      </w:r>
      <w:r>
        <w:rPr>
          <w:rFonts w:eastAsia="Times New Roman" w:cs="Times New Roman"/>
          <w:sz w:val="20"/>
          <w:szCs w:val="20"/>
          <w:lang w:eastAsia="en-GB"/>
        </w:rPr>
        <w:t xml:space="preserve">  </w:t>
      </w:r>
      <w:r w:rsidR="00AF6EC1">
        <w:rPr>
          <w:rFonts w:eastAsia="Times New Roman" w:cs="Times New Roman"/>
          <w:sz w:val="20"/>
          <w:szCs w:val="20"/>
          <w:lang w:eastAsia="en-GB"/>
        </w:rPr>
        <w:t xml:space="preserve">For children whose whereabouts must be kept secret </w:t>
      </w:r>
      <w:r>
        <w:rPr>
          <w:rFonts w:eastAsia="Times New Roman" w:cs="Times New Roman"/>
          <w:sz w:val="20"/>
          <w:szCs w:val="20"/>
          <w:lang w:eastAsia="en-GB"/>
        </w:rPr>
        <w:t xml:space="preserve">from abusive family members </w:t>
      </w:r>
      <w:r w:rsidR="00AF6EC1">
        <w:rPr>
          <w:rFonts w:eastAsia="Times New Roman" w:cs="Times New Roman"/>
          <w:sz w:val="20"/>
          <w:szCs w:val="20"/>
          <w:lang w:eastAsia="en-GB"/>
        </w:rPr>
        <w:t>the publication of a photograph</w:t>
      </w:r>
      <w:r>
        <w:rPr>
          <w:rFonts w:eastAsia="Times New Roman" w:cs="Times New Roman"/>
          <w:sz w:val="20"/>
          <w:szCs w:val="20"/>
          <w:lang w:eastAsia="en-GB"/>
        </w:rPr>
        <w:t>, even without an accompanying name,</w:t>
      </w:r>
      <w:r w:rsidR="00AF6EC1">
        <w:rPr>
          <w:rFonts w:eastAsia="Times New Roman" w:cs="Times New Roman"/>
          <w:sz w:val="20"/>
          <w:szCs w:val="20"/>
          <w:lang w:eastAsia="en-GB"/>
        </w:rPr>
        <w:t xml:space="preserve"> </w:t>
      </w:r>
      <w:r w:rsidR="00115B20">
        <w:rPr>
          <w:rFonts w:eastAsia="Times New Roman" w:cs="Times New Roman"/>
          <w:sz w:val="20"/>
          <w:szCs w:val="20"/>
          <w:lang w:eastAsia="en-GB"/>
        </w:rPr>
        <w:t>may</w:t>
      </w:r>
      <w:r w:rsidR="00AF6EC1">
        <w:rPr>
          <w:rFonts w:eastAsia="Times New Roman" w:cs="Times New Roman"/>
          <w:sz w:val="20"/>
          <w:szCs w:val="20"/>
          <w:lang w:eastAsia="en-GB"/>
        </w:rPr>
        <w:t xml:space="preserve"> pose significant risks</w:t>
      </w:r>
      <w:r>
        <w:rPr>
          <w:rFonts w:eastAsia="Times New Roman" w:cs="Times New Roman"/>
          <w:sz w:val="20"/>
          <w:szCs w:val="20"/>
          <w:lang w:eastAsia="en-GB"/>
        </w:rPr>
        <w:t>,</w:t>
      </w:r>
      <w:r w:rsidR="00AF6EC1">
        <w:rPr>
          <w:rFonts w:eastAsia="Times New Roman" w:cs="Times New Roman"/>
          <w:sz w:val="20"/>
          <w:szCs w:val="20"/>
          <w:lang w:eastAsia="en-GB"/>
        </w:rPr>
        <w:t xml:space="preserve"> </w:t>
      </w:r>
      <w:r w:rsidR="00E327A5">
        <w:rPr>
          <w:rFonts w:eastAsia="Times New Roman" w:cs="Times New Roman"/>
          <w:sz w:val="20"/>
          <w:szCs w:val="20"/>
          <w:lang w:eastAsia="en-GB"/>
        </w:rPr>
        <w:t xml:space="preserve">particularly </w:t>
      </w:r>
      <w:r w:rsidR="00F33617">
        <w:rPr>
          <w:rFonts w:eastAsia="Times New Roman" w:cs="Times New Roman"/>
          <w:sz w:val="20"/>
          <w:szCs w:val="20"/>
          <w:lang w:eastAsia="en-GB"/>
        </w:rPr>
        <w:t>if</w:t>
      </w:r>
      <w:r w:rsidR="00115B20">
        <w:rPr>
          <w:rFonts w:eastAsia="Times New Roman" w:cs="Times New Roman"/>
          <w:sz w:val="20"/>
          <w:szCs w:val="20"/>
          <w:lang w:eastAsia="en-GB"/>
        </w:rPr>
        <w:t xml:space="preserve"> the photograph’s location</w:t>
      </w:r>
      <w:r w:rsidR="00F33617">
        <w:rPr>
          <w:rFonts w:eastAsia="Times New Roman" w:cs="Times New Roman"/>
          <w:sz w:val="20"/>
          <w:szCs w:val="20"/>
          <w:lang w:eastAsia="en-GB"/>
        </w:rPr>
        <w:t xml:space="preserve"> is revealed</w:t>
      </w:r>
      <w:r w:rsidR="00AF6EC1">
        <w:rPr>
          <w:rFonts w:eastAsia="Times New Roman" w:cs="Times New Roman"/>
          <w:sz w:val="20"/>
          <w:szCs w:val="20"/>
          <w:lang w:eastAsia="en-GB"/>
        </w:rPr>
        <w:t xml:space="preserve">. </w:t>
      </w:r>
      <w:r w:rsidR="00E9019B">
        <w:rPr>
          <w:rFonts w:eastAsia="Times New Roman" w:cs="Times New Roman"/>
          <w:sz w:val="20"/>
          <w:szCs w:val="20"/>
          <w:lang w:eastAsia="en-GB"/>
        </w:rPr>
        <w:t>O</w:t>
      </w:r>
      <w:r w:rsidR="00AF6EC1">
        <w:rPr>
          <w:rFonts w:eastAsia="Times New Roman" w:cs="Times New Roman"/>
          <w:sz w:val="20"/>
          <w:szCs w:val="20"/>
          <w:lang w:eastAsia="en-GB"/>
        </w:rPr>
        <w:t>ne could argue that</w:t>
      </w:r>
      <w:r>
        <w:rPr>
          <w:rFonts w:eastAsia="Times New Roman" w:cs="Times New Roman"/>
          <w:sz w:val="20"/>
          <w:szCs w:val="20"/>
          <w:lang w:eastAsia="en-GB"/>
        </w:rPr>
        <w:t xml:space="preserve"> when</w:t>
      </w:r>
      <w:r w:rsidR="00AF6EC1">
        <w:rPr>
          <w:rFonts w:eastAsia="Times New Roman" w:cs="Times New Roman"/>
          <w:sz w:val="20"/>
          <w:szCs w:val="20"/>
          <w:lang w:eastAsia="en-GB"/>
        </w:rPr>
        <w:t xml:space="preserve"> a child is not the focus of the image but simply part of a crowd no reasonable expectation of privacy should arise. However, a</w:t>
      </w:r>
      <w:r w:rsidR="00E327A5">
        <w:rPr>
          <w:rFonts w:eastAsia="Times New Roman" w:cs="Times New Roman"/>
          <w:sz w:val="20"/>
          <w:szCs w:val="20"/>
          <w:lang w:eastAsia="en-GB"/>
        </w:rPr>
        <w:t xml:space="preserve"> vulnerable child, identifiable in a crowd scene</w:t>
      </w:r>
      <w:r w:rsidR="00AF6EC1">
        <w:rPr>
          <w:rFonts w:eastAsia="Times New Roman" w:cs="Times New Roman"/>
          <w:sz w:val="20"/>
          <w:szCs w:val="20"/>
          <w:lang w:eastAsia="en-GB"/>
        </w:rPr>
        <w:t xml:space="preserve"> even </w:t>
      </w:r>
      <w:r w:rsidR="00E327A5">
        <w:rPr>
          <w:rFonts w:eastAsia="Times New Roman" w:cs="Times New Roman"/>
          <w:sz w:val="20"/>
          <w:szCs w:val="20"/>
          <w:lang w:eastAsia="en-GB"/>
        </w:rPr>
        <w:t xml:space="preserve">without </w:t>
      </w:r>
      <w:r w:rsidR="00AF6EC1">
        <w:rPr>
          <w:rFonts w:eastAsia="Times New Roman" w:cs="Times New Roman"/>
          <w:sz w:val="20"/>
          <w:szCs w:val="20"/>
          <w:lang w:eastAsia="en-GB"/>
        </w:rPr>
        <w:t xml:space="preserve">their name, </w:t>
      </w:r>
      <w:r w:rsidR="005E67CF">
        <w:rPr>
          <w:rFonts w:eastAsia="Times New Roman" w:cs="Times New Roman"/>
          <w:sz w:val="20"/>
          <w:szCs w:val="20"/>
          <w:lang w:eastAsia="en-GB"/>
        </w:rPr>
        <w:t xml:space="preserve">might </w:t>
      </w:r>
      <w:r w:rsidR="00AF6EC1">
        <w:rPr>
          <w:rFonts w:eastAsia="Times New Roman" w:cs="Times New Roman"/>
          <w:sz w:val="20"/>
          <w:szCs w:val="20"/>
          <w:lang w:eastAsia="en-GB"/>
        </w:rPr>
        <w:t>still have good grounds for objecting to publication and</w:t>
      </w:r>
      <w:r>
        <w:rPr>
          <w:rFonts w:eastAsia="Times New Roman" w:cs="Times New Roman"/>
          <w:sz w:val="20"/>
          <w:szCs w:val="20"/>
          <w:lang w:eastAsia="en-GB"/>
        </w:rPr>
        <w:t>, arguably,</w:t>
      </w:r>
      <w:r w:rsidR="00AF6EC1">
        <w:rPr>
          <w:rFonts w:eastAsia="Times New Roman" w:cs="Times New Roman"/>
          <w:sz w:val="20"/>
          <w:szCs w:val="20"/>
          <w:lang w:eastAsia="en-GB"/>
        </w:rPr>
        <w:t xml:space="preserve"> a reasonable expectation</w:t>
      </w:r>
      <w:r w:rsidR="005E67CF">
        <w:rPr>
          <w:rFonts w:eastAsia="Times New Roman" w:cs="Times New Roman"/>
          <w:sz w:val="20"/>
          <w:szCs w:val="20"/>
          <w:lang w:eastAsia="en-GB"/>
        </w:rPr>
        <w:t xml:space="preserve"> </w:t>
      </w:r>
      <w:r>
        <w:rPr>
          <w:rFonts w:eastAsia="Times New Roman" w:cs="Times New Roman"/>
          <w:sz w:val="20"/>
          <w:szCs w:val="20"/>
          <w:lang w:eastAsia="en-GB"/>
        </w:rPr>
        <w:t>that their photograph should not be published without consent</w:t>
      </w:r>
      <w:r w:rsidR="005E67CF">
        <w:rPr>
          <w:rFonts w:eastAsia="Times New Roman" w:cs="Times New Roman"/>
          <w:sz w:val="20"/>
          <w:szCs w:val="20"/>
          <w:lang w:eastAsia="en-GB"/>
        </w:rPr>
        <w:t xml:space="preserve">.  </w:t>
      </w:r>
    </w:p>
    <w:p w:rsidR="00115B20" w:rsidRDefault="0008371F" w:rsidP="00C17326">
      <w:pPr>
        <w:spacing w:before="100" w:beforeAutospacing="1" w:after="100" w:afterAutospacing="1" w:line="240" w:lineRule="auto"/>
        <w:rPr>
          <w:rFonts w:eastAsia="Times New Roman" w:cs="Times New Roman"/>
          <w:sz w:val="20"/>
          <w:szCs w:val="20"/>
          <w:lang w:eastAsia="en-GB"/>
        </w:rPr>
      </w:pPr>
      <w:r>
        <w:rPr>
          <w:rFonts w:eastAsia="Times New Roman" w:cs="Times New Roman"/>
          <w:sz w:val="20"/>
          <w:szCs w:val="20"/>
          <w:lang w:eastAsia="en-GB"/>
        </w:rPr>
        <w:t>An absence of parental consent to the taking and publishing of the photographs was, for Lord Dyson another key factor, relevant to finding that the Weller children’s article 8 rights were engaged.</w:t>
      </w:r>
      <w:r w:rsidR="00BE2F73">
        <w:rPr>
          <w:rStyle w:val="FootnoteReference"/>
          <w:rFonts w:eastAsia="Times New Roman" w:cs="Times New Roman"/>
          <w:sz w:val="20"/>
          <w:szCs w:val="20"/>
          <w:lang w:eastAsia="en-GB"/>
        </w:rPr>
        <w:footnoteReference w:id="28"/>
      </w:r>
      <w:r>
        <w:rPr>
          <w:rFonts w:eastAsia="Times New Roman" w:cs="Times New Roman"/>
          <w:sz w:val="20"/>
          <w:szCs w:val="20"/>
          <w:lang w:eastAsia="en-GB"/>
        </w:rPr>
        <w:t xml:space="preserve"> This reflects the opinions of the European Court of Human Rights</w:t>
      </w:r>
      <w:r w:rsidR="00115B20">
        <w:rPr>
          <w:rFonts w:eastAsia="Times New Roman" w:cs="Times New Roman"/>
          <w:sz w:val="20"/>
          <w:szCs w:val="20"/>
          <w:lang w:eastAsia="en-GB"/>
        </w:rPr>
        <w:t xml:space="preserve"> in </w:t>
      </w:r>
      <w:proofErr w:type="spellStart"/>
      <w:r w:rsidR="00115B20">
        <w:rPr>
          <w:rFonts w:eastAsia="Times New Roman" w:cs="Times New Roman"/>
          <w:i/>
          <w:sz w:val="20"/>
          <w:szCs w:val="20"/>
          <w:lang w:eastAsia="en-GB"/>
        </w:rPr>
        <w:t>Reklos</w:t>
      </w:r>
      <w:proofErr w:type="spellEnd"/>
      <w:r w:rsidR="00C17326" w:rsidRPr="00C17326">
        <w:rPr>
          <w:rFonts w:eastAsia="Times New Roman" w:cs="Times New Roman"/>
          <w:sz w:val="20"/>
          <w:szCs w:val="20"/>
          <w:lang w:eastAsia="en-GB"/>
        </w:rPr>
        <w:t xml:space="preserve"> that the obtaining of parental consent </w:t>
      </w:r>
      <w:r w:rsidR="00C17326" w:rsidRPr="004059C5">
        <w:rPr>
          <w:rFonts w:eastAsia="Times New Roman" w:cs="Times New Roman"/>
          <w:sz w:val="20"/>
          <w:szCs w:val="20"/>
          <w:lang w:eastAsia="en-GB"/>
        </w:rPr>
        <w:t>before a child’s photograph is taken</w:t>
      </w:r>
      <w:r w:rsidR="00C17326" w:rsidRPr="00C17326">
        <w:rPr>
          <w:rFonts w:eastAsia="Times New Roman" w:cs="Times New Roman"/>
          <w:sz w:val="20"/>
          <w:szCs w:val="20"/>
          <w:lang w:eastAsia="en-GB"/>
        </w:rPr>
        <w:t xml:space="preserve"> is ‘indispensable,’ even if the child’s photograph is not published.</w:t>
      </w:r>
      <w:r w:rsidR="00C17326" w:rsidRPr="00C17326">
        <w:rPr>
          <w:rStyle w:val="FootnoteReference"/>
          <w:rFonts w:eastAsia="Times New Roman" w:cs="Times New Roman"/>
          <w:sz w:val="20"/>
          <w:szCs w:val="20"/>
          <w:lang w:eastAsia="en-GB"/>
        </w:rPr>
        <w:t xml:space="preserve"> </w:t>
      </w:r>
      <w:r w:rsidR="00C17326" w:rsidRPr="0088097A">
        <w:rPr>
          <w:rStyle w:val="FootnoteReference"/>
          <w:rFonts w:eastAsia="Times New Roman" w:cs="Times New Roman"/>
          <w:sz w:val="20"/>
          <w:szCs w:val="20"/>
          <w:lang w:eastAsia="en-GB"/>
        </w:rPr>
        <w:footnoteReference w:id="29"/>
      </w:r>
      <w:r w:rsidR="00C17326" w:rsidRPr="00C17326">
        <w:rPr>
          <w:rFonts w:eastAsia="Times New Roman" w:cs="Times New Roman"/>
          <w:sz w:val="20"/>
          <w:szCs w:val="20"/>
          <w:lang w:eastAsia="en-GB"/>
        </w:rPr>
        <w:t xml:space="preserve">  </w:t>
      </w:r>
      <w:r w:rsidR="00612BA6">
        <w:rPr>
          <w:rFonts w:eastAsia="Times New Roman" w:cs="Times New Roman"/>
          <w:sz w:val="20"/>
          <w:szCs w:val="20"/>
          <w:lang w:eastAsia="en-GB"/>
        </w:rPr>
        <w:t>However, w</w:t>
      </w:r>
      <w:r w:rsidR="00C17326">
        <w:rPr>
          <w:rFonts w:eastAsia="Times New Roman" w:cs="Times New Roman"/>
          <w:sz w:val="20"/>
          <w:szCs w:val="20"/>
          <w:lang w:eastAsia="en-GB"/>
        </w:rPr>
        <w:t>hilst</w:t>
      </w:r>
      <w:r w:rsidR="00612BA6">
        <w:rPr>
          <w:rFonts w:eastAsia="Times New Roman" w:cs="Times New Roman"/>
          <w:sz w:val="20"/>
          <w:szCs w:val="20"/>
          <w:lang w:eastAsia="en-GB"/>
        </w:rPr>
        <w:t xml:space="preserve"> </w:t>
      </w:r>
      <w:r w:rsidR="00C17326">
        <w:rPr>
          <w:rFonts w:eastAsia="Times New Roman" w:cs="Times New Roman"/>
          <w:sz w:val="20"/>
          <w:szCs w:val="20"/>
          <w:lang w:eastAsia="en-GB"/>
        </w:rPr>
        <w:t>it may be feasible to expect journalists to ask before taking photographs of celebrities’ children</w:t>
      </w:r>
      <w:r w:rsidR="00115B20">
        <w:rPr>
          <w:rFonts w:eastAsia="Times New Roman" w:cs="Times New Roman"/>
          <w:sz w:val="20"/>
          <w:szCs w:val="20"/>
          <w:lang w:eastAsia="en-GB"/>
        </w:rPr>
        <w:t>,</w:t>
      </w:r>
      <w:r w:rsidR="00C17326">
        <w:rPr>
          <w:rFonts w:eastAsia="Times New Roman" w:cs="Times New Roman"/>
          <w:sz w:val="20"/>
          <w:szCs w:val="20"/>
          <w:lang w:eastAsia="en-GB"/>
        </w:rPr>
        <w:t xml:space="preserve"> </w:t>
      </w:r>
      <w:r w:rsidR="00115B20">
        <w:rPr>
          <w:rFonts w:eastAsia="Times New Roman" w:cs="Times New Roman"/>
          <w:sz w:val="20"/>
          <w:szCs w:val="20"/>
          <w:lang w:eastAsia="en-GB"/>
        </w:rPr>
        <w:t xml:space="preserve">can one expect </w:t>
      </w:r>
      <w:r w:rsidR="00C17326">
        <w:rPr>
          <w:rFonts w:eastAsia="Times New Roman" w:cs="Times New Roman"/>
          <w:sz w:val="20"/>
          <w:szCs w:val="20"/>
          <w:lang w:eastAsia="en-GB"/>
        </w:rPr>
        <w:t xml:space="preserve">a journalist taking </w:t>
      </w:r>
      <w:r w:rsidR="00115B20">
        <w:rPr>
          <w:rFonts w:eastAsia="Times New Roman" w:cs="Times New Roman"/>
          <w:sz w:val="20"/>
          <w:szCs w:val="20"/>
          <w:lang w:eastAsia="en-GB"/>
        </w:rPr>
        <w:t>photographs</w:t>
      </w:r>
      <w:r w:rsidR="00C17326">
        <w:rPr>
          <w:rFonts w:eastAsia="Times New Roman" w:cs="Times New Roman"/>
          <w:sz w:val="20"/>
          <w:szCs w:val="20"/>
          <w:lang w:eastAsia="en-GB"/>
        </w:rPr>
        <w:t xml:space="preserve"> at a public event or </w:t>
      </w:r>
      <w:r w:rsidR="00115B20">
        <w:rPr>
          <w:rFonts w:eastAsia="Times New Roman" w:cs="Times New Roman"/>
          <w:sz w:val="20"/>
          <w:szCs w:val="20"/>
          <w:lang w:eastAsia="en-GB"/>
        </w:rPr>
        <w:t>an</w:t>
      </w:r>
      <w:r w:rsidR="00F33617">
        <w:rPr>
          <w:rFonts w:eastAsia="Times New Roman" w:cs="Times New Roman"/>
          <w:sz w:val="20"/>
          <w:szCs w:val="20"/>
          <w:lang w:eastAsia="en-GB"/>
        </w:rPr>
        <w:t xml:space="preserve"> individual taking photographs i</w:t>
      </w:r>
      <w:r w:rsidR="00115B20">
        <w:rPr>
          <w:rFonts w:eastAsia="Times New Roman" w:cs="Times New Roman"/>
          <w:sz w:val="20"/>
          <w:szCs w:val="20"/>
          <w:lang w:eastAsia="en-GB"/>
        </w:rPr>
        <w:t xml:space="preserve">n the </w:t>
      </w:r>
      <w:r w:rsidR="00F33617">
        <w:rPr>
          <w:rFonts w:eastAsia="Times New Roman" w:cs="Times New Roman"/>
          <w:sz w:val="20"/>
          <w:szCs w:val="20"/>
          <w:lang w:eastAsia="en-GB"/>
        </w:rPr>
        <w:t>park</w:t>
      </w:r>
      <w:r w:rsidR="00115B20">
        <w:rPr>
          <w:rFonts w:eastAsia="Times New Roman" w:cs="Times New Roman"/>
          <w:sz w:val="20"/>
          <w:szCs w:val="20"/>
          <w:lang w:eastAsia="en-GB"/>
        </w:rPr>
        <w:t xml:space="preserve"> to </w:t>
      </w:r>
      <w:r w:rsidR="00C17326">
        <w:rPr>
          <w:rFonts w:eastAsia="Times New Roman" w:cs="Times New Roman"/>
          <w:sz w:val="20"/>
          <w:szCs w:val="20"/>
          <w:lang w:eastAsia="en-GB"/>
        </w:rPr>
        <w:t xml:space="preserve">obtain permission from every child </w:t>
      </w:r>
      <w:r w:rsidR="00115B20">
        <w:rPr>
          <w:rFonts w:eastAsia="Times New Roman" w:cs="Times New Roman"/>
          <w:sz w:val="20"/>
          <w:szCs w:val="20"/>
          <w:lang w:eastAsia="en-GB"/>
        </w:rPr>
        <w:t>who</w:t>
      </w:r>
      <w:r w:rsidR="00E327A5">
        <w:rPr>
          <w:rFonts w:eastAsia="Times New Roman" w:cs="Times New Roman"/>
          <w:sz w:val="20"/>
          <w:szCs w:val="20"/>
          <w:lang w:eastAsia="en-GB"/>
        </w:rPr>
        <w:t>se image</w:t>
      </w:r>
      <w:r w:rsidR="00115B20">
        <w:rPr>
          <w:rFonts w:eastAsia="Times New Roman" w:cs="Times New Roman"/>
          <w:sz w:val="20"/>
          <w:szCs w:val="20"/>
          <w:lang w:eastAsia="en-GB"/>
        </w:rPr>
        <w:t xml:space="preserve"> may be captured?  </w:t>
      </w:r>
      <w:r w:rsidR="00220925">
        <w:rPr>
          <w:rFonts w:eastAsia="Times New Roman" w:cs="Times New Roman"/>
          <w:sz w:val="20"/>
          <w:szCs w:val="20"/>
          <w:lang w:eastAsia="en-GB"/>
        </w:rPr>
        <w:t xml:space="preserve">In </w:t>
      </w:r>
      <w:r w:rsidR="00220925" w:rsidRPr="00220925">
        <w:rPr>
          <w:rFonts w:eastAsia="Times New Roman" w:cs="Times New Roman"/>
          <w:i/>
          <w:sz w:val="20"/>
          <w:szCs w:val="20"/>
          <w:lang w:eastAsia="en-GB"/>
        </w:rPr>
        <w:t>Weller</w:t>
      </w:r>
      <w:r w:rsidR="00220925">
        <w:rPr>
          <w:rFonts w:eastAsia="Times New Roman" w:cs="Times New Roman"/>
          <w:sz w:val="20"/>
          <w:szCs w:val="20"/>
          <w:lang w:eastAsia="en-GB"/>
        </w:rPr>
        <w:t xml:space="preserve"> </w:t>
      </w:r>
      <w:r w:rsidR="00E327A5">
        <w:rPr>
          <w:rFonts w:eastAsia="Times New Roman" w:cs="Times New Roman"/>
          <w:sz w:val="20"/>
          <w:szCs w:val="20"/>
          <w:lang w:eastAsia="en-GB"/>
        </w:rPr>
        <w:t xml:space="preserve">the Court of Appeal </w:t>
      </w:r>
      <w:r w:rsidR="00220925">
        <w:rPr>
          <w:rFonts w:eastAsia="Times New Roman" w:cs="Times New Roman"/>
          <w:sz w:val="20"/>
          <w:szCs w:val="20"/>
          <w:lang w:eastAsia="en-GB"/>
        </w:rPr>
        <w:t xml:space="preserve">was </w:t>
      </w:r>
      <w:r w:rsidR="00E327A5">
        <w:rPr>
          <w:rFonts w:eastAsia="Times New Roman" w:cs="Times New Roman"/>
          <w:sz w:val="20"/>
          <w:szCs w:val="20"/>
          <w:lang w:eastAsia="en-GB"/>
        </w:rPr>
        <w:t xml:space="preserve">perhaps </w:t>
      </w:r>
      <w:r w:rsidR="00220925">
        <w:rPr>
          <w:rFonts w:eastAsia="Times New Roman" w:cs="Times New Roman"/>
          <w:sz w:val="20"/>
          <w:szCs w:val="20"/>
          <w:lang w:eastAsia="en-GB"/>
        </w:rPr>
        <w:t>mindful of the harassment many celebrities are subjected to by the media. It was</w:t>
      </w:r>
      <w:r w:rsidR="00612BA6">
        <w:rPr>
          <w:rFonts w:eastAsia="Times New Roman" w:cs="Times New Roman"/>
          <w:sz w:val="20"/>
          <w:szCs w:val="20"/>
          <w:lang w:eastAsia="en-GB"/>
        </w:rPr>
        <w:t xml:space="preserve"> also arguably</w:t>
      </w:r>
      <w:r w:rsidR="00220925">
        <w:rPr>
          <w:rFonts w:eastAsia="Times New Roman" w:cs="Times New Roman"/>
          <w:sz w:val="20"/>
          <w:szCs w:val="20"/>
          <w:lang w:eastAsia="en-GB"/>
        </w:rPr>
        <w:t xml:space="preserve"> relevant that not only had </w:t>
      </w:r>
      <w:r w:rsidR="001D440D">
        <w:rPr>
          <w:rFonts w:eastAsia="Times New Roman" w:cs="Times New Roman"/>
          <w:sz w:val="20"/>
          <w:szCs w:val="20"/>
          <w:lang w:eastAsia="en-GB"/>
        </w:rPr>
        <w:t>Mr Weller</w:t>
      </w:r>
      <w:r>
        <w:rPr>
          <w:rFonts w:eastAsia="Times New Roman" w:cs="Times New Roman"/>
          <w:sz w:val="20"/>
          <w:szCs w:val="20"/>
          <w:lang w:eastAsia="en-GB"/>
        </w:rPr>
        <w:t xml:space="preserve"> not provided</w:t>
      </w:r>
      <w:r w:rsidR="001D440D">
        <w:rPr>
          <w:rFonts w:eastAsia="Times New Roman" w:cs="Times New Roman"/>
          <w:sz w:val="20"/>
          <w:szCs w:val="20"/>
          <w:lang w:eastAsia="en-GB"/>
        </w:rPr>
        <w:t xml:space="preserve"> consent, </w:t>
      </w:r>
      <w:r w:rsidR="00220925">
        <w:rPr>
          <w:rFonts w:eastAsia="Times New Roman" w:cs="Times New Roman"/>
          <w:sz w:val="20"/>
          <w:szCs w:val="20"/>
          <w:lang w:eastAsia="en-GB"/>
        </w:rPr>
        <w:t xml:space="preserve">he had in fact </w:t>
      </w:r>
      <w:r w:rsidR="001D440D" w:rsidRPr="004059C5">
        <w:rPr>
          <w:rFonts w:eastAsia="Times New Roman" w:cs="Times New Roman"/>
          <w:i/>
          <w:sz w:val="20"/>
          <w:szCs w:val="20"/>
          <w:lang w:eastAsia="en-GB"/>
        </w:rPr>
        <w:t>objected</w:t>
      </w:r>
      <w:r w:rsidR="001D440D">
        <w:rPr>
          <w:rFonts w:eastAsia="Times New Roman" w:cs="Times New Roman"/>
          <w:sz w:val="20"/>
          <w:szCs w:val="20"/>
          <w:lang w:eastAsia="en-GB"/>
        </w:rPr>
        <w:t xml:space="preserve"> to the photography</w:t>
      </w:r>
      <w:r w:rsidR="00220925">
        <w:rPr>
          <w:rFonts w:eastAsia="Times New Roman" w:cs="Times New Roman"/>
          <w:sz w:val="20"/>
          <w:szCs w:val="20"/>
          <w:lang w:eastAsia="en-GB"/>
        </w:rPr>
        <w:t xml:space="preserve">. </w:t>
      </w:r>
      <w:r>
        <w:rPr>
          <w:rFonts w:eastAsia="Times New Roman" w:cs="Times New Roman"/>
          <w:sz w:val="20"/>
          <w:szCs w:val="20"/>
          <w:lang w:eastAsia="en-GB"/>
        </w:rPr>
        <w:t xml:space="preserve"> </w:t>
      </w:r>
      <w:r w:rsidR="00612BA6">
        <w:rPr>
          <w:rFonts w:eastAsia="Times New Roman" w:cs="Times New Roman"/>
          <w:sz w:val="20"/>
          <w:szCs w:val="20"/>
          <w:lang w:eastAsia="en-GB"/>
        </w:rPr>
        <w:t>Questions therefore remain as to whether</w:t>
      </w:r>
      <w:r>
        <w:rPr>
          <w:rFonts w:eastAsia="Times New Roman" w:cs="Times New Roman"/>
          <w:sz w:val="20"/>
          <w:szCs w:val="20"/>
          <w:lang w:eastAsia="en-GB"/>
        </w:rPr>
        <w:t xml:space="preserve"> consent </w:t>
      </w:r>
      <w:r w:rsidR="00612BA6">
        <w:rPr>
          <w:rFonts w:eastAsia="Times New Roman" w:cs="Times New Roman"/>
          <w:sz w:val="20"/>
          <w:szCs w:val="20"/>
          <w:lang w:eastAsia="en-GB"/>
        </w:rPr>
        <w:t xml:space="preserve">is always required, even </w:t>
      </w:r>
      <w:r w:rsidR="00220925">
        <w:rPr>
          <w:rFonts w:eastAsia="Times New Roman" w:cs="Times New Roman"/>
          <w:sz w:val="20"/>
          <w:szCs w:val="20"/>
          <w:lang w:eastAsia="en-GB"/>
        </w:rPr>
        <w:t>when the claimant i</w:t>
      </w:r>
      <w:r>
        <w:rPr>
          <w:rFonts w:eastAsia="Times New Roman" w:cs="Times New Roman"/>
          <w:sz w:val="20"/>
          <w:szCs w:val="20"/>
          <w:lang w:eastAsia="en-GB"/>
        </w:rPr>
        <w:t xml:space="preserve">s </w:t>
      </w:r>
      <w:r w:rsidR="00612BA6">
        <w:rPr>
          <w:rFonts w:eastAsia="Times New Roman" w:cs="Times New Roman"/>
          <w:sz w:val="20"/>
          <w:szCs w:val="20"/>
          <w:lang w:eastAsia="en-GB"/>
        </w:rPr>
        <w:t>an</w:t>
      </w:r>
      <w:r>
        <w:rPr>
          <w:rFonts w:eastAsia="Times New Roman" w:cs="Times New Roman"/>
          <w:sz w:val="20"/>
          <w:szCs w:val="20"/>
          <w:lang w:eastAsia="en-GB"/>
        </w:rPr>
        <w:t xml:space="preserve"> ‘ordinary’ child</w:t>
      </w:r>
      <w:r w:rsidR="00220925">
        <w:rPr>
          <w:rFonts w:eastAsia="Times New Roman" w:cs="Times New Roman"/>
          <w:sz w:val="20"/>
          <w:szCs w:val="20"/>
          <w:lang w:eastAsia="en-GB"/>
        </w:rPr>
        <w:t>.</w:t>
      </w:r>
      <w:r w:rsidR="00115B20">
        <w:rPr>
          <w:rFonts w:eastAsia="Times New Roman" w:cs="Times New Roman"/>
          <w:sz w:val="20"/>
          <w:szCs w:val="20"/>
          <w:lang w:eastAsia="en-GB"/>
        </w:rPr>
        <w:t xml:space="preserve">  </w:t>
      </w:r>
    </w:p>
    <w:p w:rsidR="009F4CD3" w:rsidRDefault="00612BA6" w:rsidP="00115B20">
      <w:pPr>
        <w:spacing w:before="100" w:beforeAutospacing="1" w:after="100" w:afterAutospacing="1" w:line="240" w:lineRule="auto"/>
        <w:rPr>
          <w:rFonts w:eastAsia="Times New Roman" w:cs="Times New Roman"/>
          <w:sz w:val="20"/>
          <w:szCs w:val="20"/>
          <w:lang w:eastAsia="en-GB"/>
        </w:rPr>
      </w:pPr>
      <w:r>
        <w:rPr>
          <w:rFonts w:eastAsia="Times New Roman" w:cs="Times New Roman"/>
          <w:i/>
          <w:sz w:val="20"/>
          <w:szCs w:val="20"/>
          <w:lang w:eastAsia="en-GB"/>
        </w:rPr>
        <w:t xml:space="preserve">Weller, </w:t>
      </w:r>
      <w:r>
        <w:rPr>
          <w:rFonts w:eastAsia="Times New Roman" w:cs="Times New Roman"/>
          <w:sz w:val="20"/>
          <w:szCs w:val="20"/>
          <w:lang w:eastAsia="en-GB"/>
        </w:rPr>
        <w:t xml:space="preserve">also however </w:t>
      </w:r>
      <w:r w:rsidR="00115B20">
        <w:rPr>
          <w:rFonts w:eastAsia="Times New Roman" w:cs="Times New Roman"/>
          <w:sz w:val="20"/>
          <w:szCs w:val="20"/>
          <w:lang w:eastAsia="en-GB"/>
        </w:rPr>
        <w:t xml:space="preserve">raises </w:t>
      </w:r>
      <w:r>
        <w:rPr>
          <w:rFonts w:eastAsia="Times New Roman" w:cs="Times New Roman"/>
          <w:sz w:val="20"/>
          <w:szCs w:val="20"/>
          <w:lang w:eastAsia="en-GB"/>
        </w:rPr>
        <w:t>other</w:t>
      </w:r>
      <w:r w:rsidR="00115B20">
        <w:rPr>
          <w:rFonts w:eastAsia="Times New Roman" w:cs="Times New Roman"/>
          <w:sz w:val="20"/>
          <w:szCs w:val="20"/>
          <w:lang w:eastAsia="en-GB"/>
        </w:rPr>
        <w:t xml:space="preserve"> questions. </w:t>
      </w:r>
      <w:r w:rsidR="00AA6A22">
        <w:rPr>
          <w:rFonts w:eastAsia="Times New Roman" w:cs="Times New Roman"/>
          <w:sz w:val="20"/>
          <w:szCs w:val="20"/>
          <w:lang w:eastAsia="en-GB"/>
        </w:rPr>
        <w:t>It seems</w:t>
      </w:r>
      <w:r w:rsidR="00115B20" w:rsidRPr="0088097A">
        <w:rPr>
          <w:rFonts w:eastAsia="Times New Roman" w:cs="Times New Roman"/>
          <w:sz w:val="20"/>
          <w:szCs w:val="20"/>
          <w:lang w:eastAsia="en-GB"/>
        </w:rPr>
        <w:t xml:space="preserve"> that an ordinary child might </w:t>
      </w:r>
      <w:r w:rsidR="0008371F">
        <w:rPr>
          <w:rFonts w:eastAsia="Times New Roman" w:cs="Times New Roman"/>
          <w:sz w:val="20"/>
          <w:szCs w:val="20"/>
          <w:lang w:eastAsia="en-GB"/>
        </w:rPr>
        <w:t xml:space="preserve">be able to </w:t>
      </w:r>
      <w:r w:rsidR="00AA6A22">
        <w:rPr>
          <w:rFonts w:eastAsia="Times New Roman" w:cs="Times New Roman"/>
          <w:sz w:val="20"/>
          <w:szCs w:val="20"/>
          <w:lang w:eastAsia="en-GB"/>
        </w:rPr>
        <w:t>establish</w:t>
      </w:r>
      <w:r w:rsidR="00115B20" w:rsidRPr="0088097A">
        <w:rPr>
          <w:rFonts w:eastAsia="Times New Roman" w:cs="Times New Roman"/>
          <w:sz w:val="20"/>
          <w:szCs w:val="20"/>
          <w:lang w:eastAsia="en-GB"/>
        </w:rPr>
        <w:t xml:space="preserve"> a re</w:t>
      </w:r>
      <w:r w:rsidR="00AA6A22">
        <w:rPr>
          <w:rFonts w:eastAsia="Times New Roman" w:cs="Times New Roman"/>
          <w:sz w:val="20"/>
          <w:szCs w:val="20"/>
          <w:lang w:eastAsia="en-GB"/>
        </w:rPr>
        <w:t>asonable expectation of privacy</w:t>
      </w:r>
      <w:r w:rsidR="004F53A9">
        <w:rPr>
          <w:rFonts w:eastAsia="Times New Roman" w:cs="Times New Roman"/>
          <w:sz w:val="20"/>
          <w:szCs w:val="20"/>
          <w:lang w:eastAsia="en-GB"/>
        </w:rPr>
        <w:t>;</w:t>
      </w:r>
      <w:r w:rsidR="00115B20">
        <w:rPr>
          <w:rFonts w:eastAsia="Times New Roman" w:cs="Times New Roman"/>
          <w:sz w:val="20"/>
          <w:szCs w:val="20"/>
          <w:lang w:eastAsia="en-GB"/>
        </w:rPr>
        <w:t xml:space="preserve"> </w:t>
      </w:r>
      <w:r w:rsidR="0008371F">
        <w:rPr>
          <w:rFonts w:eastAsia="Times New Roman" w:cs="Times New Roman"/>
          <w:sz w:val="20"/>
          <w:szCs w:val="20"/>
          <w:lang w:eastAsia="en-GB"/>
        </w:rPr>
        <w:t>when enjoying a family activity</w:t>
      </w:r>
      <w:r w:rsidR="004F53A9">
        <w:rPr>
          <w:rFonts w:eastAsia="Times New Roman" w:cs="Times New Roman"/>
          <w:sz w:val="20"/>
          <w:szCs w:val="20"/>
          <w:lang w:eastAsia="en-GB"/>
        </w:rPr>
        <w:t>;</w:t>
      </w:r>
      <w:r w:rsidR="00115B20" w:rsidRPr="0088097A">
        <w:rPr>
          <w:rFonts w:eastAsia="Times New Roman" w:cs="Times New Roman"/>
          <w:sz w:val="20"/>
          <w:szCs w:val="20"/>
          <w:lang w:eastAsia="en-GB"/>
        </w:rPr>
        <w:t xml:space="preserve"> </w:t>
      </w:r>
      <w:r w:rsidR="0008371F">
        <w:rPr>
          <w:rFonts w:eastAsia="Times New Roman" w:cs="Times New Roman"/>
          <w:sz w:val="20"/>
          <w:szCs w:val="20"/>
          <w:lang w:eastAsia="en-GB"/>
        </w:rPr>
        <w:t>if consent to photography has not been provided or has been refused</w:t>
      </w:r>
      <w:r w:rsidR="004F53A9">
        <w:rPr>
          <w:rFonts w:eastAsia="Times New Roman" w:cs="Times New Roman"/>
          <w:sz w:val="20"/>
          <w:szCs w:val="20"/>
          <w:lang w:eastAsia="en-GB"/>
        </w:rPr>
        <w:t>;</w:t>
      </w:r>
      <w:r w:rsidR="0008371F">
        <w:rPr>
          <w:rFonts w:eastAsia="Times New Roman" w:cs="Times New Roman"/>
          <w:sz w:val="20"/>
          <w:szCs w:val="20"/>
          <w:lang w:eastAsia="en-GB"/>
        </w:rPr>
        <w:t xml:space="preserve"> if</w:t>
      </w:r>
      <w:r w:rsidR="0008371F" w:rsidRPr="0088097A">
        <w:rPr>
          <w:rFonts w:eastAsia="Times New Roman" w:cs="Times New Roman"/>
          <w:sz w:val="20"/>
          <w:szCs w:val="20"/>
          <w:lang w:eastAsia="en-GB"/>
        </w:rPr>
        <w:t xml:space="preserve"> parents have previously </w:t>
      </w:r>
      <w:r w:rsidR="0008371F">
        <w:rPr>
          <w:rFonts w:eastAsia="Times New Roman" w:cs="Times New Roman"/>
          <w:sz w:val="20"/>
          <w:szCs w:val="20"/>
          <w:lang w:eastAsia="en-GB"/>
        </w:rPr>
        <w:t>attempted</w:t>
      </w:r>
      <w:r w:rsidR="0008371F" w:rsidRPr="0088097A">
        <w:rPr>
          <w:rFonts w:eastAsia="Times New Roman" w:cs="Times New Roman"/>
          <w:sz w:val="20"/>
          <w:szCs w:val="20"/>
          <w:lang w:eastAsia="en-GB"/>
        </w:rPr>
        <w:t xml:space="preserve"> to maintain their child’s privacy</w:t>
      </w:r>
      <w:r w:rsidR="004F53A9">
        <w:rPr>
          <w:rFonts w:eastAsia="Times New Roman" w:cs="Times New Roman"/>
          <w:sz w:val="20"/>
          <w:szCs w:val="20"/>
          <w:lang w:eastAsia="en-GB"/>
        </w:rPr>
        <w:t>;</w:t>
      </w:r>
      <w:r w:rsidR="0008371F">
        <w:rPr>
          <w:rFonts w:eastAsia="Times New Roman" w:cs="Times New Roman"/>
          <w:sz w:val="20"/>
          <w:szCs w:val="20"/>
          <w:lang w:eastAsia="en-GB"/>
        </w:rPr>
        <w:t xml:space="preserve"> and </w:t>
      </w:r>
      <w:r w:rsidR="00115B20">
        <w:rPr>
          <w:rFonts w:eastAsia="Times New Roman" w:cs="Times New Roman"/>
          <w:sz w:val="20"/>
          <w:szCs w:val="20"/>
          <w:lang w:eastAsia="en-GB"/>
        </w:rPr>
        <w:t xml:space="preserve">if </w:t>
      </w:r>
      <w:r w:rsidR="00220925">
        <w:rPr>
          <w:rFonts w:eastAsia="Times New Roman" w:cs="Times New Roman"/>
          <w:sz w:val="20"/>
          <w:szCs w:val="20"/>
          <w:lang w:eastAsia="en-GB"/>
        </w:rPr>
        <w:t>a photograph</w:t>
      </w:r>
      <w:r w:rsidR="00AA6A22">
        <w:rPr>
          <w:rFonts w:eastAsia="Times New Roman" w:cs="Times New Roman"/>
          <w:sz w:val="20"/>
          <w:szCs w:val="20"/>
          <w:lang w:eastAsia="en-GB"/>
        </w:rPr>
        <w:t xml:space="preserve"> </w:t>
      </w:r>
      <w:r w:rsidR="0008371F">
        <w:rPr>
          <w:rFonts w:eastAsia="Times New Roman" w:cs="Times New Roman"/>
          <w:sz w:val="20"/>
          <w:szCs w:val="20"/>
          <w:lang w:eastAsia="en-GB"/>
        </w:rPr>
        <w:t xml:space="preserve">is subsequently </w:t>
      </w:r>
      <w:r w:rsidR="00AA6A22">
        <w:rPr>
          <w:rFonts w:eastAsia="Times New Roman" w:cs="Times New Roman"/>
          <w:sz w:val="20"/>
          <w:szCs w:val="20"/>
          <w:lang w:eastAsia="en-GB"/>
        </w:rPr>
        <w:t xml:space="preserve">published </w:t>
      </w:r>
      <w:r w:rsidR="0008371F">
        <w:rPr>
          <w:rFonts w:eastAsia="Times New Roman" w:cs="Times New Roman"/>
          <w:sz w:val="20"/>
          <w:szCs w:val="20"/>
          <w:lang w:eastAsia="en-GB"/>
        </w:rPr>
        <w:t>along with identifying details</w:t>
      </w:r>
      <w:r w:rsidR="00115B20" w:rsidRPr="0088097A">
        <w:rPr>
          <w:rFonts w:eastAsia="Times New Roman" w:cs="Times New Roman"/>
          <w:sz w:val="20"/>
          <w:szCs w:val="20"/>
          <w:lang w:eastAsia="en-GB"/>
        </w:rPr>
        <w:t xml:space="preserve">.  </w:t>
      </w:r>
      <w:r w:rsidR="00115B20">
        <w:rPr>
          <w:rFonts w:eastAsia="Times New Roman" w:cs="Times New Roman"/>
          <w:sz w:val="20"/>
          <w:szCs w:val="20"/>
          <w:lang w:eastAsia="en-GB"/>
        </w:rPr>
        <w:t xml:space="preserve"> </w:t>
      </w:r>
      <w:r w:rsidR="0008371F">
        <w:rPr>
          <w:rFonts w:eastAsia="Times New Roman" w:cs="Times New Roman"/>
          <w:sz w:val="20"/>
          <w:szCs w:val="20"/>
          <w:lang w:eastAsia="en-GB"/>
        </w:rPr>
        <w:t>W</w:t>
      </w:r>
      <w:r w:rsidR="004E7E48">
        <w:rPr>
          <w:rFonts w:eastAsia="Times New Roman" w:cs="Times New Roman"/>
          <w:sz w:val="20"/>
          <w:szCs w:val="20"/>
          <w:lang w:eastAsia="en-GB"/>
        </w:rPr>
        <w:t xml:space="preserve">hat is not clear is whether </w:t>
      </w:r>
      <w:r w:rsidR="00115B20">
        <w:rPr>
          <w:rFonts w:eastAsia="Times New Roman" w:cs="Times New Roman"/>
          <w:sz w:val="20"/>
          <w:szCs w:val="20"/>
          <w:lang w:eastAsia="en-GB"/>
        </w:rPr>
        <w:t xml:space="preserve">children </w:t>
      </w:r>
      <w:r w:rsidR="004E7E48">
        <w:rPr>
          <w:rFonts w:eastAsia="Times New Roman" w:cs="Times New Roman"/>
          <w:sz w:val="20"/>
          <w:szCs w:val="20"/>
          <w:lang w:eastAsia="en-GB"/>
        </w:rPr>
        <w:t xml:space="preserve">can </w:t>
      </w:r>
      <w:r w:rsidR="00115B20">
        <w:rPr>
          <w:rFonts w:eastAsia="Times New Roman" w:cs="Times New Roman"/>
          <w:sz w:val="20"/>
          <w:szCs w:val="20"/>
          <w:lang w:eastAsia="en-GB"/>
        </w:rPr>
        <w:t>establish a reasonable expectation of privacy</w:t>
      </w:r>
      <w:r w:rsidR="004E7E48">
        <w:rPr>
          <w:rFonts w:eastAsia="Times New Roman" w:cs="Times New Roman"/>
          <w:sz w:val="20"/>
          <w:szCs w:val="20"/>
          <w:lang w:eastAsia="en-GB"/>
        </w:rPr>
        <w:t xml:space="preserve"> if they satisfy some but not all of the </w:t>
      </w:r>
      <w:r w:rsidR="004E7E48">
        <w:rPr>
          <w:rFonts w:eastAsia="Times New Roman" w:cs="Times New Roman"/>
          <w:i/>
          <w:sz w:val="20"/>
          <w:szCs w:val="20"/>
          <w:lang w:eastAsia="en-GB"/>
        </w:rPr>
        <w:t xml:space="preserve">Weller </w:t>
      </w:r>
      <w:r w:rsidR="004E7E48">
        <w:rPr>
          <w:rFonts w:eastAsia="Times New Roman" w:cs="Times New Roman"/>
          <w:sz w:val="20"/>
          <w:szCs w:val="20"/>
          <w:lang w:eastAsia="en-GB"/>
        </w:rPr>
        <w:t>factors</w:t>
      </w:r>
      <w:r w:rsidR="0008371F">
        <w:rPr>
          <w:rFonts w:eastAsia="Times New Roman" w:cs="Times New Roman"/>
          <w:sz w:val="20"/>
          <w:szCs w:val="20"/>
          <w:lang w:eastAsia="en-GB"/>
        </w:rPr>
        <w:t xml:space="preserve"> (for example if they are not named)</w:t>
      </w:r>
      <w:r w:rsidR="004E7E48">
        <w:rPr>
          <w:rFonts w:eastAsia="Times New Roman" w:cs="Times New Roman"/>
          <w:sz w:val="20"/>
          <w:szCs w:val="20"/>
          <w:lang w:eastAsia="en-GB"/>
        </w:rPr>
        <w:t>.</w:t>
      </w:r>
      <w:r w:rsidR="00115B20">
        <w:rPr>
          <w:rFonts w:eastAsia="Times New Roman" w:cs="Times New Roman"/>
          <w:sz w:val="20"/>
          <w:szCs w:val="20"/>
          <w:lang w:eastAsia="en-GB"/>
        </w:rPr>
        <w:t xml:space="preserve"> </w:t>
      </w:r>
      <w:r w:rsidR="0008371F">
        <w:rPr>
          <w:rFonts w:eastAsia="Times New Roman" w:cs="Times New Roman"/>
          <w:sz w:val="20"/>
          <w:szCs w:val="20"/>
          <w:lang w:eastAsia="en-GB"/>
        </w:rPr>
        <w:t xml:space="preserve"> Questions are also raised as to whether family activities are the only </w:t>
      </w:r>
      <w:r w:rsidR="0008371F">
        <w:rPr>
          <w:rFonts w:eastAsia="Times New Roman" w:cs="Times New Roman"/>
          <w:sz w:val="20"/>
          <w:szCs w:val="20"/>
          <w:lang w:eastAsia="en-GB"/>
        </w:rPr>
        <w:lastRenderedPageBreak/>
        <w:t>activities in respect of which</w:t>
      </w:r>
      <w:r w:rsidR="00115B20">
        <w:rPr>
          <w:rFonts w:eastAsia="Times New Roman" w:cs="Times New Roman"/>
          <w:sz w:val="20"/>
          <w:szCs w:val="20"/>
          <w:lang w:eastAsia="en-GB"/>
        </w:rPr>
        <w:t xml:space="preserve"> an ordinary child might have a reasonable expectation of privacy</w:t>
      </w:r>
      <w:r w:rsidR="0008371F">
        <w:rPr>
          <w:rFonts w:eastAsia="Times New Roman" w:cs="Times New Roman"/>
          <w:sz w:val="20"/>
          <w:szCs w:val="20"/>
          <w:lang w:eastAsia="en-GB"/>
        </w:rPr>
        <w:t>.</w:t>
      </w:r>
      <w:r w:rsidR="00115B20">
        <w:rPr>
          <w:rFonts w:eastAsia="Times New Roman" w:cs="Times New Roman"/>
          <w:sz w:val="20"/>
          <w:szCs w:val="20"/>
          <w:lang w:eastAsia="en-GB"/>
        </w:rPr>
        <w:t xml:space="preserve"> </w:t>
      </w:r>
      <w:r w:rsidR="009F4CD3" w:rsidRPr="004059C5">
        <w:rPr>
          <w:rFonts w:eastAsia="Times New Roman" w:cs="Times New Roman"/>
          <w:sz w:val="20"/>
          <w:szCs w:val="20"/>
          <w:lang w:eastAsia="en-GB"/>
        </w:rPr>
        <w:t>Lord Dyson’s comments that ‘[t]</w:t>
      </w:r>
      <w:r w:rsidR="009F4CD3" w:rsidRPr="004059C5">
        <w:rPr>
          <w:sz w:val="20"/>
          <w:szCs w:val="20"/>
          <w:lang w:eastAsia="en-GB"/>
        </w:rPr>
        <w:t>he taking of photographs in a public street must be taken to be one of the ordinary incidents of living in a free community’</w:t>
      </w:r>
      <w:r w:rsidR="009F4CD3" w:rsidRPr="0088097A">
        <w:rPr>
          <w:rStyle w:val="FootnoteReference"/>
          <w:sz w:val="20"/>
          <w:szCs w:val="20"/>
          <w:lang w:eastAsia="en-GB"/>
        </w:rPr>
        <w:footnoteReference w:id="30"/>
      </w:r>
      <w:r w:rsidR="009F4CD3" w:rsidRPr="004059C5">
        <w:rPr>
          <w:rFonts w:eastAsia="Times New Roman" w:cs="Times New Roman"/>
          <w:sz w:val="20"/>
          <w:szCs w:val="20"/>
          <w:lang w:eastAsia="en-GB"/>
        </w:rPr>
        <w:t xml:space="preserve"> suggest the court did not consider a reasonable expectation of privacy should apply whenever a child is in public. One might indeed argue that an anodyne activity which reveals no information of an essentially private nature, and which would not be expected to damage the child’s private life should not attract </w:t>
      </w:r>
      <w:r w:rsidR="00F33617">
        <w:rPr>
          <w:rFonts w:eastAsia="Times New Roman" w:cs="Times New Roman"/>
          <w:sz w:val="20"/>
          <w:szCs w:val="20"/>
          <w:lang w:eastAsia="en-GB"/>
        </w:rPr>
        <w:t>the protection of Article 8.</w:t>
      </w:r>
      <w:r w:rsidR="009F4CD3" w:rsidRPr="0088097A">
        <w:rPr>
          <w:rStyle w:val="FootnoteReference"/>
          <w:rFonts w:eastAsia="Times New Roman" w:cs="Times New Roman"/>
          <w:i/>
          <w:sz w:val="20"/>
          <w:szCs w:val="20"/>
          <w:lang w:eastAsia="en-GB"/>
        </w:rPr>
        <w:footnoteReference w:id="31"/>
      </w:r>
      <w:r w:rsidR="00A257A1">
        <w:rPr>
          <w:rFonts w:eastAsia="Times New Roman" w:cs="Times New Roman"/>
          <w:sz w:val="20"/>
          <w:szCs w:val="20"/>
          <w:lang w:eastAsia="en-GB"/>
        </w:rPr>
        <w:t xml:space="preserve"> </w:t>
      </w:r>
      <w:r w:rsidR="004F53A9">
        <w:rPr>
          <w:rFonts w:eastAsia="Times New Roman" w:cs="Times New Roman"/>
          <w:sz w:val="20"/>
          <w:szCs w:val="20"/>
          <w:lang w:eastAsia="en-GB"/>
        </w:rPr>
        <w:t>O</w:t>
      </w:r>
      <w:r w:rsidR="009F4CD3" w:rsidRPr="004059C5">
        <w:rPr>
          <w:rFonts w:eastAsia="Times New Roman" w:cs="Times New Roman"/>
          <w:sz w:val="20"/>
          <w:szCs w:val="20"/>
          <w:lang w:eastAsia="en-GB"/>
        </w:rPr>
        <w:t>ne might</w:t>
      </w:r>
      <w:r w:rsidR="004F53A9">
        <w:rPr>
          <w:rFonts w:eastAsia="Times New Roman" w:cs="Times New Roman"/>
          <w:sz w:val="20"/>
          <w:szCs w:val="20"/>
          <w:lang w:eastAsia="en-GB"/>
        </w:rPr>
        <w:t>, however,</w:t>
      </w:r>
      <w:r w:rsidR="009F4CD3" w:rsidRPr="004059C5">
        <w:rPr>
          <w:rFonts w:eastAsia="Times New Roman" w:cs="Times New Roman"/>
          <w:sz w:val="20"/>
          <w:szCs w:val="20"/>
          <w:lang w:eastAsia="en-GB"/>
        </w:rPr>
        <w:t xml:space="preserve"> argue that there are </w:t>
      </w:r>
      <w:r w:rsidR="0008371F">
        <w:rPr>
          <w:rFonts w:eastAsia="Times New Roman" w:cs="Times New Roman"/>
          <w:sz w:val="20"/>
          <w:szCs w:val="20"/>
          <w:lang w:eastAsia="en-GB"/>
        </w:rPr>
        <w:t xml:space="preserve">other </w:t>
      </w:r>
      <w:r w:rsidR="009F4CD3" w:rsidRPr="004059C5">
        <w:rPr>
          <w:rFonts w:eastAsia="Times New Roman" w:cs="Times New Roman"/>
          <w:sz w:val="20"/>
          <w:szCs w:val="20"/>
          <w:lang w:eastAsia="en-GB"/>
        </w:rPr>
        <w:t>s</w:t>
      </w:r>
      <w:r w:rsidR="004F53A9">
        <w:rPr>
          <w:rFonts w:eastAsia="Times New Roman" w:cs="Times New Roman"/>
          <w:sz w:val="20"/>
          <w:szCs w:val="20"/>
          <w:lang w:eastAsia="en-GB"/>
        </w:rPr>
        <w:t xml:space="preserve">ituations, not considered in </w:t>
      </w:r>
      <w:r w:rsidR="004F53A9">
        <w:rPr>
          <w:rFonts w:eastAsia="Times New Roman" w:cs="Times New Roman"/>
          <w:i/>
          <w:sz w:val="20"/>
          <w:szCs w:val="20"/>
          <w:lang w:eastAsia="en-GB"/>
        </w:rPr>
        <w:t xml:space="preserve">Weller, </w:t>
      </w:r>
      <w:r w:rsidR="004E7E48">
        <w:rPr>
          <w:rFonts w:eastAsia="Times New Roman" w:cs="Times New Roman"/>
          <w:sz w:val="20"/>
          <w:szCs w:val="20"/>
          <w:lang w:eastAsia="en-GB"/>
        </w:rPr>
        <w:t>when a child</w:t>
      </w:r>
      <w:r w:rsidR="009F4CD3" w:rsidRPr="004059C5">
        <w:rPr>
          <w:rFonts w:eastAsia="Times New Roman" w:cs="Times New Roman"/>
          <w:sz w:val="20"/>
          <w:szCs w:val="20"/>
          <w:lang w:eastAsia="en-GB"/>
        </w:rPr>
        <w:t xml:space="preserve"> in public should have a re</w:t>
      </w:r>
      <w:r w:rsidR="00A257A1">
        <w:rPr>
          <w:rFonts w:eastAsia="Times New Roman" w:cs="Times New Roman"/>
          <w:sz w:val="20"/>
          <w:szCs w:val="20"/>
          <w:lang w:eastAsia="en-GB"/>
        </w:rPr>
        <w:t>asonable expectation of privacy,</w:t>
      </w:r>
      <w:r w:rsidR="009F4CD3" w:rsidRPr="004059C5">
        <w:rPr>
          <w:rFonts w:eastAsia="Times New Roman" w:cs="Times New Roman"/>
          <w:sz w:val="20"/>
          <w:szCs w:val="20"/>
          <w:lang w:eastAsia="en-GB"/>
        </w:rPr>
        <w:t xml:space="preserve"> for example</w:t>
      </w:r>
      <w:r w:rsidR="00A257A1">
        <w:rPr>
          <w:rFonts w:eastAsia="Times New Roman" w:cs="Times New Roman"/>
          <w:sz w:val="20"/>
          <w:szCs w:val="20"/>
          <w:lang w:eastAsia="en-GB"/>
        </w:rPr>
        <w:t>:</w:t>
      </w:r>
      <w:r w:rsidR="009F4CD3" w:rsidRPr="004059C5">
        <w:rPr>
          <w:rFonts w:eastAsia="Times New Roman" w:cs="Times New Roman"/>
          <w:sz w:val="20"/>
          <w:szCs w:val="20"/>
          <w:lang w:eastAsia="en-GB"/>
        </w:rPr>
        <w:t xml:space="preserve"> when ‘in a situation of</w:t>
      </w:r>
      <w:r w:rsidR="00A257A1">
        <w:rPr>
          <w:rFonts w:eastAsia="Times New Roman" w:cs="Times New Roman"/>
          <w:sz w:val="20"/>
          <w:szCs w:val="20"/>
          <w:lang w:eastAsia="en-GB"/>
        </w:rPr>
        <w:t xml:space="preserve"> humiliation or severe distress;</w:t>
      </w:r>
      <w:r w:rsidR="009F4CD3" w:rsidRPr="004059C5">
        <w:rPr>
          <w:rFonts w:eastAsia="Times New Roman" w:cs="Times New Roman"/>
          <w:sz w:val="20"/>
          <w:szCs w:val="20"/>
          <w:lang w:eastAsia="en-GB"/>
        </w:rPr>
        <w:t>’</w:t>
      </w:r>
      <w:r w:rsidR="009F4CD3" w:rsidRPr="0088097A">
        <w:rPr>
          <w:rStyle w:val="FootnoteReference"/>
          <w:rFonts w:eastAsia="Times New Roman" w:cs="Times New Roman"/>
          <w:sz w:val="20"/>
          <w:szCs w:val="20"/>
          <w:lang w:eastAsia="en-GB"/>
        </w:rPr>
        <w:footnoteReference w:id="32"/>
      </w:r>
      <w:r w:rsidR="009F4CD3" w:rsidRPr="004059C5">
        <w:rPr>
          <w:rFonts w:eastAsia="Times New Roman" w:cs="Times New Roman"/>
          <w:sz w:val="20"/>
          <w:szCs w:val="20"/>
          <w:lang w:eastAsia="en-GB"/>
        </w:rPr>
        <w:t xml:space="preserve"> </w:t>
      </w:r>
      <w:r w:rsidR="004E7E48" w:rsidRPr="004059C5">
        <w:rPr>
          <w:rFonts w:eastAsia="Times New Roman" w:cs="Times New Roman"/>
          <w:sz w:val="20"/>
          <w:szCs w:val="20"/>
          <w:lang w:eastAsia="en-GB"/>
        </w:rPr>
        <w:t>when the revelation of their whereabouts would place them at risk of harm</w:t>
      </w:r>
      <w:r w:rsidR="00A257A1">
        <w:rPr>
          <w:rFonts w:eastAsia="Times New Roman" w:cs="Times New Roman"/>
          <w:sz w:val="20"/>
          <w:szCs w:val="20"/>
          <w:lang w:eastAsia="en-GB"/>
        </w:rPr>
        <w:t>;</w:t>
      </w:r>
      <w:r w:rsidR="004E7E48" w:rsidRPr="004059C5">
        <w:rPr>
          <w:rFonts w:eastAsia="Times New Roman" w:cs="Times New Roman"/>
          <w:sz w:val="20"/>
          <w:szCs w:val="20"/>
          <w:lang w:eastAsia="en-GB"/>
        </w:rPr>
        <w:t xml:space="preserve"> </w:t>
      </w:r>
      <w:r w:rsidR="004E7E48">
        <w:rPr>
          <w:rFonts w:eastAsia="Times New Roman" w:cs="Times New Roman"/>
          <w:sz w:val="20"/>
          <w:szCs w:val="20"/>
          <w:lang w:eastAsia="en-GB"/>
        </w:rPr>
        <w:t xml:space="preserve">or </w:t>
      </w:r>
      <w:r w:rsidR="009F4CD3" w:rsidRPr="004059C5">
        <w:rPr>
          <w:rFonts w:eastAsia="Times New Roman" w:cs="Times New Roman"/>
          <w:sz w:val="20"/>
          <w:szCs w:val="20"/>
          <w:lang w:eastAsia="en-GB"/>
        </w:rPr>
        <w:t xml:space="preserve">when </w:t>
      </w:r>
      <w:r w:rsidR="00A257A1">
        <w:rPr>
          <w:rFonts w:eastAsia="Times New Roman" w:cs="Times New Roman"/>
          <w:sz w:val="20"/>
          <w:szCs w:val="20"/>
          <w:lang w:eastAsia="en-GB"/>
        </w:rPr>
        <w:t>engaged in certain sporting activities and thus physically exposed</w:t>
      </w:r>
      <w:r w:rsidR="004E7E48">
        <w:rPr>
          <w:rFonts w:eastAsia="Times New Roman" w:cs="Times New Roman"/>
          <w:sz w:val="20"/>
          <w:szCs w:val="20"/>
          <w:lang w:eastAsia="en-GB"/>
        </w:rPr>
        <w:t>.</w:t>
      </w:r>
      <w:r w:rsidR="009F4CD3">
        <w:rPr>
          <w:rStyle w:val="FootnoteReference"/>
          <w:rFonts w:eastAsia="Times New Roman" w:cs="Times New Roman"/>
          <w:sz w:val="20"/>
          <w:szCs w:val="20"/>
          <w:lang w:eastAsia="en-GB"/>
        </w:rPr>
        <w:footnoteReference w:id="33"/>
      </w:r>
    </w:p>
    <w:p w:rsidR="00220925" w:rsidRPr="00220925" w:rsidRDefault="00220925" w:rsidP="00115B20">
      <w:pPr>
        <w:spacing w:before="100" w:beforeAutospacing="1" w:after="100" w:afterAutospacing="1" w:line="240" w:lineRule="auto"/>
        <w:rPr>
          <w:rFonts w:eastAsia="Times New Roman" w:cs="Times New Roman"/>
          <w:b/>
          <w:sz w:val="20"/>
          <w:szCs w:val="20"/>
          <w:u w:val="single"/>
          <w:lang w:eastAsia="en-GB"/>
        </w:rPr>
      </w:pPr>
      <w:r w:rsidRPr="00220925">
        <w:rPr>
          <w:rFonts w:eastAsia="Times New Roman" w:cs="Times New Roman"/>
          <w:b/>
          <w:sz w:val="20"/>
          <w:szCs w:val="20"/>
          <w:u w:val="single"/>
          <w:lang w:eastAsia="en-GB"/>
        </w:rPr>
        <w:t>Balancing children’s rights</w:t>
      </w:r>
      <w:r>
        <w:rPr>
          <w:rFonts w:eastAsia="Times New Roman" w:cs="Times New Roman"/>
          <w:b/>
          <w:sz w:val="20"/>
          <w:szCs w:val="20"/>
          <w:u w:val="single"/>
          <w:lang w:eastAsia="en-GB"/>
        </w:rPr>
        <w:t xml:space="preserve"> against</w:t>
      </w:r>
      <w:r w:rsidRPr="00220925">
        <w:rPr>
          <w:rFonts w:eastAsia="Times New Roman" w:cs="Times New Roman"/>
          <w:b/>
          <w:sz w:val="20"/>
          <w:szCs w:val="20"/>
          <w:u w:val="single"/>
          <w:lang w:eastAsia="en-GB"/>
        </w:rPr>
        <w:t xml:space="preserve"> others’ rights</w:t>
      </w:r>
    </w:p>
    <w:p w:rsidR="00F33617" w:rsidRDefault="00AA6A22" w:rsidP="00852723">
      <w:pPr>
        <w:spacing w:before="100" w:beforeAutospacing="1" w:after="100" w:afterAutospacing="1" w:line="240" w:lineRule="auto"/>
        <w:rPr>
          <w:rFonts w:eastAsia="Times New Roman" w:cs="Times New Roman"/>
          <w:sz w:val="20"/>
          <w:szCs w:val="20"/>
          <w:lang w:eastAsia="en-GB"/>
        </w:rPr>
      </w:pPr>
      <w:r>
        <w:rPr>
          <w:rFonts w:eastAsia="Times New Roman" w:cs="Times New Roman"/>
          <w:i/>
          <w:sz w:val="20"/>
          <w:szCs w:val="20"/>
          <w:lang w:eastAsia="en-GB"/>
        </w:rPr>
        <w:t xml:space="preserve">Weller </w:t>
      </w:r>
      <w:r>
        <w:rPr>
          <w:rFonts w:eastAsia="Times New Roman" w:cs="Times New Roman"/>
          <w:sz w:val="20"/>
          <w:szCs w:val="20"/>
          <w:lang w:eastAsia="en-GB"/>
        </w:rPr>
        <w:t xml:space="preserve">of course reiterates that </w:t>
      </w:r>
      <w:r w:rsidR="004F53A9">
        <w:rPr>
          <w:rFonts w:eastAsia="Times New Roman" w:cs="Times New Roman"/>
          <w:sz w:val="20"/>
          <w:szCs w:val="20"/>
          <w:lang w:eastAsia="en-GB"/>
        </w:rPr>
        <w:t xml:space="preserve">where </w:t>
      </w:r>
      <w:r>
        <w:rPr>
          <w:rFonts w:eastAsia="Times New Roman" w:cs="Times New Roman"/>
          <w:sz w:val="20"/>
          <w:szCs w:val="20"/>
          <w:lang w:eastAsia="en-GB"/>
        </w:rPr>
        <w:t>a child objects to the publication of their image</w:t>
      </w:r>
      <w:r w:rsidR="00F33617">
        <w:rPr>
          <w:rFonts w:eastAsia="Times New Roman" w:cs="Times New Roman"/>
          <w:sz w:val="20"/>
          <w:szCs w:val="20"/>
          <w:lang w:eastAsia="en-GB"/>
        </w:rPr>
        <w:t>, and can establish</w:t>
      </w:r>
      <w:r w:rsidR="00A257A1">
        <w:rPr>
          <w:rFonts w:eastAsia="Times New Roman" w:cs="Times New Roman"/>
          <w:sz w:val="20"/>
          <w:szCs w:val="20"/>
          <w:lang w:eastAsia="en-GB"/>
        </w:rPr>
        <w:t xml:space="preserve"> </w:t>
      </w:r>
      <w:r w:rsidR="00FF5D8F" w:rsidRPr="0088097A">
        <w:rPr>
          <w:rFonts w:eastAsia="Times New Roman" w:cs="Times New Roman"/>
          <w:sz w:val="20"/>
          <w:szCs w:val="20"/>
          <w:lang w:eastAsia="en-GB"/>
        </w:rPr>
        <w:t>a reasonable expectation of privacy</w:t>
      </w:r>
      <w:r w:rsidR="004F53A9">
        <w:rPr>
          <w:rFonts w:eastAsia="Times New Roman" w:cs="Times New Roman"/>
          <w:sz w:val="20"/>
          <w:szCs w:val="20"/>
          <w:lang w:eastAsia="en-GB"/>
        </w:rPr>
        <w:t>,</w:t>
      </w:r>
      <w:r>
        <w:rPr>
          <w:rFonts w:eastAsia="Times New Roman" w:cs="Times New Roman"/>
          <w:sz w:val="20"/>
          <w:szCs w:val="20"/>
          <w:lang w:eastAsia="en-GB"/>
        </w:rPr>
        <w:t xml:space="preserve"> one </w:t>
      </w:r>
      <w:r w:rsidR="00A257A1">
        <w:rPr>
          <w:rFonts w:eastAsia="Times New Roman" w:cs="Times New Roman"/>
          <w:sz w:val="20"/>
          <w:szCs w:val="20"/>
          <w:lang w:eastAsia="en-GB"/>
        </w:rPr>
        <w:t>must</w:t>
      </w:r>
      <w:r w:rsidR="00F33617">
        <w:rPr>
          <w:rFonts w:eastAsia="Times New Roman" w:cs="Times New Roman"/>
          <w:sz w:val="20"/>
          <w:szCs w:val="20"/>
          <w:lang w:eastAsia="en-GB"/>
        </w:rPr>
        <w:t xml:space="preserve"> then</w:t>
      </w:r>
      <w:r w:rsidR="00170A2A" w:rsidRPr="0088097A">
        <w:rPr>
          <w:rFonts w:eastAsia="Times New Roman" w:cs="Times New Roman"/>
          <w:sz w:val="20"/>
          <w:szCs w:val="20"/>
          <w:lang w:eastAsia="en-GB"/>
        </w:rPr>
        <w:t xml:space="preserve"> balance the </w:t>
      </w:r>
      <w:r>
        <w:rPr>
          <w:rFonts w:eastAsia="Times New Roman" w:cs="Times New Roman"/>
          <w:sz w:val="20"/>
          <w:szCs w:val="20"/>
          <w:lang w:eastAsia="en-GB"/>
        </w:rPr>
        <w:t xml:space="preserve">child’s </w:t>
      </w:r>
      <w:r w:rsidR="00170A2A" w:rsidRPr="0088097A">
        <w:rPr>
          <w:rFonts w:eastAsia="Times New Roman" w:cs="Times New Roman"/>
          <w:sz w:val="20"/>
          <w:szCs w:val="20"/>
          <w:lang w:eastAsia="en-GB"/>
        </w:rPr>
        <w:t xml:space="preserve">rights </w:t>
      </w:r>
      <w:r w:rsidR="00F33617">
        <w:rPr>
          <w:rFonts w:eastAsia="Times New Roman" w:cs="Times New Roman"/>
          <w:sz w:val="20"/>
          <w:szCs w:val="20"/>
          <w:lang w:eastAsia="en-GB"/>
        </w:rPr>
        <w:t>against</w:t>
      </w:r>
      <w:r w:rsidR="00FF5D8F" w:rsidRPr="0088097A">
        <w:rPr>
          <w:rFonts w:eastAsia="Times New Roman" w:cs="Times New Roman"/>
          <w:sz w:val="20"/>
          <w:szCs w:val="20"/>
          <w:lang w:eastAsia="en-GB"/>
        </w:rPr>
        <w:t xml:space="preserve"> the </w:t>
      </w:r>
      <w:r>
        <w:rPr>
          <w:rFonts w:eastAsia="Times New Roman" w:cs="Times New Roman"/>
          <w:sz w:val="20"/>
          <w:szCs w:val="20"/>
          <w:lang w:eastAsia="en-GB"/>
        </w:rPr>
        <w:t xml:space="preserve">publisher’s </w:t>
      </w:r>
      <w:r w:rsidR="00FF5D8F" w:rsidRPr="0088097A">
        <w:rPr>
          <w:rFonts w:eastAsia="Times New Roman" w:cs="Times New Roman"/>
          <w:sz w:val="20"/>
          <w:szCs w:val="20"/>
          <w:lang w:eastAsia="en-GB"/>
        </w:rPr>
        <w:t>rights.   Where the publisher is a newspaper</w:t>
      </w:r>
      <w:r w:rsidR="004F53A9">
        <w:rPr>
          <w:rFonts w:eastAsia="Times New Roman" w:cs="Times New Roman"/>
          <w:sz w:val="20"/>
          <w:szCs w:val="20"/>
          <w:lang w:eastAsia="en-GB"/>
        </w:rPr>
        <w:t>,</w:t>
      </w:r>
      <w:r w:rsidR="00FF5D8F" w:rsidRPr="0088097A">
        <w:rPr>
          <w:rFonts w:eastAsia="Times New Roman" w:cs="Times New Roman"/>
          <w:sz w:val="20"/>
          <w:szCs w:val="20"/>
          <w:lang w:eastAsia="en-GB"/>
        </w:rPr>
        <w:t xml:space="preserve"> the publisher </w:t>
      </w:r>
      <w:r w:rsidR="00220925">
        <w:rPr>
          <w:rFonts w:eastAsia="Times New Roman" w:cs="Times New Roman"/>
          <w:sz w:val="20"/>
          <w:szCs w:val="20"/>
          <w:lang w:eastAsia="en-GB"/>
        </w:rPr>
        <w:t xml:space="preserve">must </w:t>
      </w:r>
      <w:r w:rsidR="00FF5D8F" w:rsidRPr="0088097A">
        <w:rPr>
          <w:rFonts w:eastAsia="Times New Roman" w:cs="Times New Roman"/>
          <w:sz w:val="20"/>
          <w:szCs w:val="20"/>
          <w:lang w:eastAsia="en-GB"/>
        </w:rPr>
        <w:t>demonstrate the publication contributes to a debate of general interest.</w:t>
      </w:r>
      <w:r w:rsidR="004F53A9">
        <w:rPr>
          <w:rStyle w:val="FootnoteReference"/>
          <w:rFonts w:eastAsia="Times New Roman" w:cs="Times New Roman"/>
          <w:sz w:val="20"/>
          <w:szCs w:val="20"/>
          <w:lang w:eastAsia="en-GB"/>
        </w:rPr>
        <w:footnoteReference w:id="34"/>
      </w:r>
      <w:r w:rsidR="00FF5D8F" w:rsidRPr="0088097A">
        <w:rPr>
          <w:rFonts w:eastAsia="Times New Roman" w:cs="Times New Roman"/>
          <w:sz w:val="20"/>
          <w:szCs w:val="20"/>
          <w:lang w:eastAsia="en-GB"/>
        </w:rPr>
        <w:t xml:space="preserve"> </w:t>
      </w:r>
      <w:r w:rsidR="00612BA6">
        <w:rPr>
          <w:rFonts w:eastAsia="Times New Roman" w:cs="Times New Roman"/>
          <w:sz w:val="20"/>
          <w:szCs w:val="20"/>
          <w:lang w:eastAsia="en-GB"/>
        </w:rPr>
        <w:t xml:space="preserve">It is arguable that following </w:t>
      </w:r>
      <w:r w:rsidR="00612BA6">
        <w:rPr>
          <w:rFonts w:eastAsia="Times New Roman" w:cs="Times New Roman"/>
          <w:i/>
          <w:sz w:val="20"/>
          <w:szCs w:val="20"/>
          <w:lang w:eastAsia="en-GB"/>
        </w:rPr>
        <w:t>Weller</w:t>
      </w:r>
      <w:r w:rsidR="00D21C7C">
        <w:rPr>
          <w:rFonts w:eastAsia="Times New Roman" w:cs="Times New Roman"/>
          <w:i/>
          <w:sz w:val="20"/>
          <w:szCs w:val="20"/>
          <w:lang w:eastAsia="en-GB"/>
        </w:rPr>
        <w:t xml:space="preserve">, </w:t>
      </w:r>
      <w:r w:rsidR="00D21C7C">
        <w:rPr>
          <w:rFonts w:eastAsia="Times New Roman" w:cs="Times New Roman"/>
          <w:sz w:val="20"/>
          <w:szCs w:val="20"/>
          <w:lang w:eastAsia="en-GB"/>
        </w:rPr>
        <w:t xml:space="preserve">and given uncertainty as to how </w:t>
      </w:r>
      <w:r w:rsidR="00D21C7C">
        <w:rPr>
          <w:rFonts w:eastAsia="Times New Roman" w:cs="Times New Roman"/>
          <w:i/>
          <w:sz w:val="20"/>
          <w:szCs w:val="20"/>
          <w:lang w:eastAsia="en-GB"/>
        </w:rPr>
        <w:t xml:space="preserve">Weller </w:t>
      </w:r>
      <w:r w:rsidR="00D21C7C">
        <w:rPr>
          <w:rFonts w:eastAsia="Times New Roman" w:cs="Times New Roman"/>
          <w:sz w:val="20"/>
          <w:szCs w:val="20"/>
          <w:lang w:eastAsia="en-GB"/>
        </w:rPr>
        <w:t>applies to ordinary children,</w:t>
      </w:r>
      <w:r w:rsidR="00612BA6">
        <w:rPr>
          <w:rFonts w:eastAsia="Times New Roman" w:cs="Times New Roman"/>
          <w:i/>
          <w:sz w:val="20"/>
          <w:szCs w:val="20"/>
          <w:lang w:eastAsia="en-GB"/>
        </w:rPr>
        <w:t xml:space="preserve"> </w:t>
      </w:r>
      <w:r w:rsidR="00612BA6">
        <w:rPr>
          <w:rFonts w:eastAsia="Times New Roman" w:cs="Times New Roman"/>
          <w:sz w:val="20"/>
          <w:szCs w:val="20"/>
          <w:lang w:eastAsia="en-GB"/>
        </w:rPr>
        <w:t>the media</w:t>
      </w:r>
      <w:r w:rsidR="00D21C7C">
        <w:rPr>
          <w:rFonts w:eastAsia="Times New Roman" w:cs="Times New Roman"/>
          <w:sz w:val="20"/>
          <w:szCs w:val="20"/>
          <w:lang w:eastAsia="en-GB"/>
        </w:rPr>
        <w:t xml:space="preserve"> should ensure that </w:t>
      </w:r>
      <w:r w:rsidR="00612BA6">
        <w:rPr>
          <w:rFonts w:eastAsia="Times New Roman" w:cs="Times New Roman"/>
          <w:sz w:val="20"/>
          <w:szCs w:val="20"/>
          <w:lang w:eastAsia="en-GB"/>
        </w:rPr>
        <w:t xml:space="preserve">even when ordinary children’s images are </w:t>
      </w:r>
      <w:r w:rsidR="00D21C7C">
        <w:rPr>
          <w:rFonts w:eastAsia="Times New Roman" w:cs="Times New Roman"/>
          <w:sz w:val="20"/>
          <w:szCs w:val="20"/>
          <w:lang w:eastAsia="en-GB"/>
        </w:rPr>
        <w:t xml:space="preserve">published the photographs contribute demonstrably to a debate of general interest or alternatively that, unless parental consent has been provided, such images should be </w:t>
      </w:r>
      <w:proofErr w:type="spellStart"/>
      <w:r w:rsidR="00D21C7C">
        <w:rPr>
          <w:sz w:val="20"/>
          <w:szCs w:val="20"/>
          <w:lang w:val="en"/>
        </w:rPr>
        <w:t>pixellated</w:t>
      </w:r>
      <w:proofErr w:type="spellEnd"/>
      <w:r w:rsidR="00D21C7C">
        <w:rPr>
          <w:sz w:val="20"/>
          <w:szCs w:val="20"/>
          <w:lang w:val="en"/>
        </w:rPr>
        <w:t>.</w:t>
      </w:r>
      <w:r w:rsidR="00D21C7C">
        <w:rPr>
          <w:rStyle w:val="FootnoteReference"/>
          <w:sz w:val="20"/>
          <w:szCs w:val="20"/>
          <w:lang w:val="en"/>
        </w:rPr>
        <w:footnoteReference w:id="35"/>
      </w:r>
      <w:r w:rsidR="00D21C7C">
        <w:rPr>
          <w:sz w:val="20"/>
          <w:szCs w:val="20"/>
          <w:lang w:val="en"/>
        </w:rPr>
        <w:t xml:space="preserve"> </w:t>
      </w:r>
      <w:r w:rsidR="00612BA6">
        <w:rPr>
          <w:rFonts w:eastAsia="Times New Roman" w:cs="Times New Roman"/>
          <w:sz w:val="20"/>
          <w:szCs w:val="20"/>
          <w:lang w:eastAsia="en-GB"/>
        </w:rPr>
        <w:t xml:space="preserve"> </w:t>
      </w:r>
      <w:r w:rsidR="004F53A9">
        <w:rPr>
          <w:rFonts w:eastAsia="Times New Roman" w:cs="Times New Roman"/>
          <w:sz w:val="20"/>
          <w:szCs w:val="20"/>
          <w:lang w:eastAsia="en-GB"/>
        </w:rPr>
        <w:t xml:space="preserve">Where a child’s photograph is captured by an ordinary individual the </w:t>
      </w:r>
      <w:r w:rsidR="00612BA6">
        <w:rPr>
          <w:rFonts w:eastAsia="Times New Roman" w:cs="Times New Roman"/>
          <w:sz w:val="20"/>
          <w:szCs w:val="20"/>
          <w:lang w:eastAsia="en-GB"/>
        </w:rPr>
        <w:t xml:space="preserve">legal principles that apply are </w:t>
      </w:r>
      <w:r w:rsidR="004F53A9">
        <w:rPr>
          <w:rFonts w:eastAsia="Times New Roman" w:cs="Times New Roman"/>
          <w:sz w:val="20"/>
          <w:szCs w:val="20"/>
          <w:lang w:eastAsia="en-GB"/>
        </w:rPr>
        <w:t xml:space="preserve">less clear. </w:t>
      </w:r>
    </w:p>
    <w:p w:rsidR="00170A2A" w:rsidRPr="00AA6A22" w:rsidRDefault="00220925" w:rsidP="00852723">
      <w:pPr>
        <w:spacing w:before="100" w:beforeAutospacing="1" w:after="100" w:afterAutospacing="1" w:line="240" w:lineRule="auto"/>
        <w:rPr>
          <w:rFonts w:eastAsia="Times New Roman" w:cs="Times New Roman"/>
          <w:i/>
          <w:sz w:val="20"/>
          <w:szCs w:val="20"/>
          <w:lang w:eastAsia="en-GB"/>
        </w:rPr>
      </w:pPr>
      <w:r>
        <w:rPr>
          <w:rFonts w:eastAsia="Times New Roman" w:cs="Times New Roman"/>
          <w:sz w:val="20"/>
          <w:szCs w:val="20"/>
          <w:lang w:eastAsia="en-GB"/>
        </w:rPr>
        <w:t>T</w:t>
      </w:r>
      <w:r w:rsidR="003521FD" w:rsidRPr="0088097A">
        <w:rPr>
          <w:rFonts w:eastAsia="Times New Roman" w:cs="Times New Roman"/>
          <w:sz w:val="20"/>
          <w:szCs w:val="20"/>
          <w:lang w:eastAsia="en-GB"/>
        </w:rPr>
        <w:t>he tort of misuse of information was designed to respond to the vicissitudes of the press</w:t>
      </w:r>
      <w:r w:rsidR="003521FD">
        <w:rPr>
          <w:rFonts w:eastAsia="Times New Roman" w:cs="Times New Roman"/>
          <w:sz w:val="20"/>
          <w:szCs w:val="20"/>
          <w:lang w:eastAsia="en-GB"/>
        </w:rPr>
        <w:t xml:space="preserve"> </w:t>
      </w:r>
      <w:r>
        <w:rPr>
          <w:rFonts w:eastAsia="Times New Roman" w:cs="Times New Roman"/>
          <w:sz w:val="20"/>
          <w:szCs w:val="20"/>
          <w:lang w:eastAsia="en-GB"/>
        </w:rPr>
        <w:t xml:space="preserve">and </w:t>
      </w:r>
      <w:r w:rsidR="004F53A9">
        <w:rPr>
          <w:rFonts w:eastAsia="Times New Roman" w:cs="Times New Roman"/>
          <w:sz w:val="20"/>
          <w:szCs w:val="20"/>
          <w:lang w:eastAsia="en-GB"/>
        </w:rPr>
        <w:t>unsurprisingly therefore</w:t>
      </w:r>
      <w:r>
        <w:rPr>
          <w:rFonts w:eastAsia="Times New Roman" w:cs="Times New Roman"/>
          <w:sz w:val="20"/>
          <w:szCs w:val="20"/>
          <w:lang w:eastAsia="en-GB"/>
        </w:rPr>
        <w:t xml:space="preserve"> </w:t>
      </w:r>
      <w:r w:rsidR="00AA6A22">
        <w:rPr>
          <w:rFonts w:eastAsia="Times New Roman" w:cs="Times New Roman"/>
          <w:sz w:val="20"/>
          <w:szCs w:val="20"/>
          <w:lang w:eastAsia="en-GB"/>
        </w:rPr>
        <w:t>the balancing exerc</w:t>
      </w:r>
      <w:r>
        <w:rPr>
          <w:rFonts w:eastAsia="Times New Roman" w:cs="Times New Roman"/>
          <w:sz w:val="20"/>
          <w:szCs w:val="20"/>
          <w:lang w:eastAsia="en-GB"/>
        </w:rPr>
        <w:t xml:space="preserve">ise designed for the media </w:t>
      </w:r>
      <w:r w:rsidR="00AA6A22">
        <w:rPr>
          <w:rFonts w:eastAsia="Times New Roman" w:cs="Times New Roman"/>
          <w:sz w:val="20"/>
          <w:szCs w:val="20"/>
          <w:lang w:eastAsia="en-GB"/>
        </w:rPr>
        <w:t>s</w:t>
      </w:r>
      <w:r>
        <w:rPr>
          <w:rFonts w:eastAsia="Times New Roman" w:cs="Times New Roman"/>
          <w:sz w:val="20"/>
          <w:szCs w:val="20"/>
          <w:lang w:eastAsia="en-GB"/>
        </w:rPr>
        <w:t>eems</w:t>
      </w:r>
      <w:r w:rsidR="00AA6A22" w:rsidRPr="0088097A">
        <w:rPr>
          <w:rFonts w:eastAsia="Times New Roman" w:cs="Times New Roman"/>
          <w:sz w:val="20"/>
          <w:szCs w:val="20"/>
          <w:lang w:eastAsia="en-GB"/>
        </w:rPr>
        <w:t xml:space="preserve"> ill-suited to the non-media publisher.</w:t>
      </w:r>
      <w:r w:rsidR="00AA6A22" w:rsidRPr="0088097A">
        <w:rPr>
          <w:rStyle w:val="FootnoteReference"/>
          <w:rFonts w:eastAsia="Times New Roman" w:cs="Times New Roman"/>
          <w:sz w:val="20"/>
          <w:szCs w:val="20"/>
          <w:lang w:eastAsia="en-GB"/>
        </w:rPr>
        <w:footnoteReference w:id="36"/>
      </w:r>
      <w:r w:rsidR="00AA6A22">
        <w:rPr>
          <w:rFonts w:eastAsia="Times New Roman" w:cs="Times New Roman"/>
          <w:sz w:val="20"/>
          <w:szCs w:val="20"/>
          <w:lang w:eastAsia="en-GB"/>
        </w:rPr>
        <w:t xml:space="preserve">  </w:t>
      </w:r>
      <w:r w:rsidR="0012589F">
        <w:rPr>
          <w:rFonts w:eastAsia="Times New Roman" w:cs="Times New Roman"/>
          <w:sz w:val="20"/>
          <w:szCs w:val="20"/>
          <w:lang w:eastAsia="en-GB"/>
        </w:rPr>
        <w:t>C</w:t>
      </w:r>
      <w:r w:rsidR="003521FD">
        <w:rPr>
          <w:rFonts w:eastAsia="Times New Roman" w:cs="Times New Roman"/>
          <w:sz w:val="20"/>
          <w:szCs w:val="20"/>
          <w:lang w:eastAsia="en-GB"/>
        </w:rPr>
        <w:t>ould</w:t>
      </w:r>
      <w:r w:rsidR="00FF5D8F" w:rsidRPr="0088097A">
        <w:rPr>
          <w:rFonts w:eastAsia="Times New Roman" w:cs="Times New Roman"/>
          <w:sz w:val="20"/>
          <w:szCs w:val="20"/>
          <w:lang w:eastAsia="en-GB"/>
        </w:rPr>
        <w:t xml:space="preserve"> </w:t>
      </w:r>
      <w:r>
        <w:rPr>
          <w:rFonts w:eastAsia="Times New Roman" w:cs="Times New Roman"/>
          <w:sz w:val="20"/>
          <w:szCs w:val="20"/>
          <w:lang w:eastAsia="en-GB"/>
        </w:rPr>
        <w:t>and indeed sh</w:t>
      </w:r>
      <w:r w:rsidR="00AA6A22">
        <w:rPr>
          <w:rFonts w:eastAsia="Times New Roman" w:cs="Times New Roman"/>
          <w:sz w:val="20"/>
          <w:szCs w:val="20"/>
          <w:lang w:eastAsia="en-GB"/>
        </w:rPr>
        <w:t xml:space="preserve">ould </w:t>
      </w:r>
      <w:r w:rsidR="00FF5D8F" w:rsidRPr="0088097A">
        <w:rPr>
          <w:rFonts w:eastAsia="Times New Roman" w:cs="Times New Roman"/>
          <w:sz w:val="20"/>
          <w:szCs w:val="20"/>
          <w:lang w:eastAsia="en-GB"/>
        </w:rPr>
        <w:t>individual</w:t>
      </w:r>
      <w:r w:rsidR="00612BA6">
        <w:rPr>
          <w:rFonts w:eastAsia="Times New Roman" w:cs="Times New Roman"/>
          <w:sz w:val="20"/>
          <w:szCs w:val="20"/>
          <w:lang w:eastAsia="en-GB"/>
        </w:rPr>
        <w:t>s be expected to</w:t>
      </w:r>
      <w:r w:rsidR="003521FD">
        <w:rPr>
          <w:rFonts w:eastAsia="Times New Roman" w:cs="Times New Roman"/>
          <w:sz w:val="20"/>
          <w:szCs w:val="20"/>
          <w:lang w:eastAsia="en-GB"/>
        </w:rPr>
        <w:t xml:space="preserve"> </w:t>
      </w:r>
      <w:r w:rsidR="00A257A1">
        <w:rPr>
          <w:rFonts w:eastAsia="Times New Roman" w:cs="Times New Roman"/>
          <w:sz w:val="20"/>
          <w:szCs w:val="20"/>
          <w:lang w:eastAsia="en-GB"/>
        </w:rPr>
        <w:t>demonstrate their</w:t>
      </w:r>
      <w:r w:rsidR="00FF5D8F" w:rsidRPr="0088097A">
        <w:rPr>
          <w:rFonts w:eastAsia="Times New Roman" w:cs="Times New Roman"/>
          <w:sz w:val="20"/>
          <w:szCs w:val="20"/>
          <w:lang w:eastAsia="en-GB"/>
        </w:rPr>
        <w:t xml:space="preserve"> </w:t>
      </w:r>
      <w:r w:rsidR="003521FD">
        <w:rPr>
          <w:rFonts w:eastAsia="Times New Roman" w:cs="Times New Roman"/>
          <w:sz w:val="20"/>
          <w:szCs w:val="20"/>
          <w:lang w:eastAsia="en-GB"/>
        </w:rPr>
        <w:t xml:space="preserve">publication </w:t>
      </w:r>
      <w:r>
        <w:rPr>
          <w:rFonts w:eastAsia="Times New Roman" w:cs="Times New Roman"/>
          <w:sz w:val="20"/>
          <w:szCs w:val="20"/>
          <w:lang w:eastAsia="en-GB"/>
        </w:rPr>
        <w:t xml:space="preserve">of a child’s photograph </w:t>
      </w:r>
      <w:r w:rsidR="00A257A1">
        <w:rPr>
          <w:rFonts w:eastAsia="Times New Roman" w:cs="Times New Roman"/>
          <w:sz w:val="20"/>
          <w:szCs w:val="20"/>
          <w:lang w:eastAsia="en-GB"/>
        </w:rPr>
        <w:t>contributes</w:t>
      </w:r>
      <w:r w:rsidR="00FF5D8F" w:rsidRPr="0088097A">
        <w:rPr>
          <w:rFonts w:eastAsia="Times New Roman" w:cs="Times New Roman"/>
          <w:sz w:val="20"/>
          <w:szCs w:val="20"/>
          <w:lang w:eastAsia="en-GB"/>
        </w:rPr>
        <w:t xml:space="preserve"> to a debate of general interest?  </w:t>
      </w:r>
      <w:r w:rsidR="00AA6A22">
        <w:rPr>
          <w:rFonts w:eastAsia="Times New Roman" w:cs="Times New Roman"/>
          <w:sz w:val="20"/>
          <w:szCs w:val="20"/>
          <w:lang w:eastAsia="en-GB"/>
        </w:rPr>
        <w:t xml:space="preserve">Probably not.  </w:t>
      </w:r>
      <w:r w:rsidR="003521FD">
        <w:rPr>
          <w:rFonts w:eastAsia="Times New Roman" w:cs="Times New Roman"/>
          <w:sz w:val="20"/>
          <w:szCs w:val="20"/>
          <w:lang w:eastAsia="en-GB"/>
        </w:rPr>
        <w:t xml:space="preserve">Might they instead suggest </w:t>
      </w:r>
      <w:r w:rsidR="001C5177" w:rsidRPr="0088097A">
        <w:rPr>
          <w:rFonts w:eastAsia="Times New Roman" w:cs="Times New Roman"/>
          <w:sz w:val="20"/>
          <w:szCs w:val="20"/>
          <w:lang w:eastAsia="en-GB"/>
        </w:rPr>
        <w:t>such a publication provide</w:t>
      </w:r>
      <w:r w:rsidR="00AA6A22">
        <w:rPr>
          <w:rFonts w:eastAsia="Times New Roman" w:cs="Times New Roman"/>
          <w:sz w:val="20"/>
          <w:szCs w:val="20"/>
          <w:lang w:eastAsia="en-GB"/>
        </w:rPr>
        <w:t>s</w:t>
      </w:r>
      <w:r w:rsidR="001C5177" w:rsidRPr="0088097A">
        <w:rPr>
          <w:rFonts w:eastAsia="Times New Roman" w:cs="Times New Roman"/>
          <w:sz w:val="20"/>
          <w:szCs w:val="20"/>
          <w:lang w:eastAsia="en-GB"/>
        </w:rPr>
        <w:t xml:space="preserve"> social benefits</w:t>
      </w:r>
      <w:r w:rsidR="001C5177" w:rsidRPr="0088097A">
        <w:rPr>
          <w:rStyle w:val="FootnoteReference"/>
          <w:rFonts w:eastAsia="Times New Roman" w:cs="Times New Roman"/>
          <w:sz w:val="20"/>
          <w:szCs w:val="20"/>
          <w:lang w:eastAsia="en-GB"/>
        </w:rPr>
        <w:footnoteReference w:id="37"/>
      </w:r>
      <w:r w:rsidR="00612BA6">
        <w:rPr>
          <w:rFonts w:eastAsia="Times New Roman" w:cs="Times New Roman"/>
          <w:sz w:val="20"/>
          <w:szCs w:val="20"/>
          <w:lang w:eastAsia="en-GB"/>
        </w:rPr>
        <w:t xml:space="preserve"> or </w:t>
      </w:r>
      <w:r w:rsidR="008D46FA">
        <w:rPr>
          <w:rFonts w:eastAsia="Times New Roman" w:cs="Times New Roman"/>
          <w:sz w:val="20"/>
          <w:szCs w:val="20"/>
          <w:lang w:eastAsia="en-GB"/>
        </w:rPr>
        <w:t xml:space="preserve">alternatively argue it </w:t>
      </w:r>
      <w:r w:rsidR="008800FA">
        <w:rPr>
          <w:rFonts w:eastAsia="Times New Roman" w:cs="Times New Roman"/>
          <w:sz w:val="20"/>
          <w:szCs w:val="20"/>
          <w:lang w:eastAsia="en-GB"/>
        </w:rPr>
        <w:t xml:space="preserve">is </w:t>
      </w:r>
      <w:r w:rsidR="008D46FA">
        <w:rPr>
          <w:rFonts w:eastAsia="Times New Roman" w:cs="Times New Roman"/>
          <w:sz w:val="20"/>
          <w:szCs w:val="20"/>
          <w:lang w:eastAsia="en-GB"/>
        </w:rPr>
        <w:t>simply in the public interest for individuals to be able to take and share photographs, as an exercise of their right to freedom of expression</w:t>
      </w:r>
      <w:r w:rsidR="00AA6A22">
        <w:rPr>
          <w:rFonts w:eastAsia="Times New Roman" w:cs="Times New Roman"/>
          <w:sz w:val="20"/>
          <w:szCs w:val="20"/>
          <w:lang w:eastAsia="en-GB"/>
        </w:rPr>
        <w:t>?  Whichever argument is used,</w:t>
      </w:r>
      <w:r w:rsidR="00F33617">
        <w:rPr>
          <w:rFonts w:eastAsia="Times New Roman" w:cs="Times New Roman"/>
          <w:sz w:val="20"/>
          <w:szCs w:val="20"/>
          <w:lang w:eastAsia="en-GB"/>
        </w:rPr>
        <w:t xml:space="preserve"> could</w:t>
      </w:r>
      <w:r w:rsidR="008800FA">
        <w:rPr>
          <w:rFonts w:eastAsia="Times New Roman" w:cs="Times New Roman"/>
          <w:sz w:val="20"/>
          <w:szCs w:val="20"/>
          <w:lang w:eastAsia="en-GB"/>
        </w:rPr>
        <w:t xml:space="preserve"> an individual </w:t>
      </w:r>
      <w:r w:rsidR="00F33617">
        <w:rPr>
          <w:rFonts w:eastAsia="Times New Roman" w:cs="Times New Roman"/>
          <w:sz w:val="20"/>
          <w:szCs w:val="20"/>
          <w:lang w:eastAsia="en-GB"/>
        </w:rPr>
        <w:t xml:space="preserve">ever </w:t>
      </w:r>
      <w:r w:rsidR="008800FA">
        <w:rPr>
          <w:rFonts w:eastAsia="Times New Roman" w:cs="Times New Roman"/>
          <w:sz w:val="20"/>
          <w:szCs w:val="20"/>
          <w:lang w:eastAsia="en-GB"/>
        </w:rPr>
        <w:t xml:space="preserve">justify </w:t>
      </w:r>
      <w:r w:rsidR="00AA6A22">
        <w:rPr>
          <w:rFonts w:eastAsia="Times New Roman" w:cs="Times New Roman"/>
          <w:sz w:val="20"/>
          <w:szCs w:val="20"/>
          <w:lang w:eastAsia="en-GB"/>
        </w:rPr>
        <w:t>publishing a child’s image</w:t>
      </w:r>
      <w:r w:rsidR="008800FA">
        <w:rPr>
          <w:rFonts w:eastAsia="Times New Roman" w:cs="Times New Roman"/>
          <w:sz w:val="20"/>
          <w:szCs w:val="20"/>
          <w:lang w:eastAsia="en-GB"/>
        </w:rPr>
        <w:t xml:space="preserve"> </w:t>
      </w:r>
      <w:r w:rsidR="00F33617">
        <w:rPr>
          <w:rFonts w:eastAsia="Times New Roman" w:cs="Times New Roman"/>
          <w:sz w:val="20"/>
          <w:szCs w:val="20"/>
          <w:lang w:eastAsia="en-GB"/>
        </w:rPr>
        <w:t xml:space="preserve">given </w:t>
      </w:r>
      <w:r w:rsidR="00ED6EAA">
        <w:rPr>
          <w:rFonts w:eastAsia="Times New Roman" w:cs="Times New Roman"/>
          <w:sz w:val="20"/>
          <w:szCs w:val="20"/>
          <w:lang w:eastAsia="en-GB"/>
        </w:rPr>
        <w:t xml:space="preserve">the </w:t>
      </w:r>
      <w:r w:rsidR="008800FA">
        <w:rPr>
          <w:rFonts w:eastAsia="Times New Roman" w:cs="Times New Roman"/>
          <w:sz w:val="20"/>
          <w:szCs w:val="20"/>
          <w:lang w:eastAsia="en-GB"/>
        </w:rPr>
        <w:t xml:space="preserve">considerable weight </w:t>
      </w:r>
      <w:r>
        <w:rPr>
          <w:rFonts w:eastAsia="Times New Roman" w:cs="Times New Roman"/>
          <w:sz w:val="20"/>
          <w:szCs w:val="20"/>
          <w:lang w:eastAsia="en-GB"/>
        </w:rPr>
        <w:t>Lord Dyson suggests</w:t>
      </w:r>
      <w:r w:rsidR="008800FA">
        <w:rPr>
          <w:rFonts w:eastAsia="Times New Roman" w:cs="Times New Roman"/>
          <w:sz w:val="20"/>
          <w:szCs w:val="20"/>
          <w:lang w:eastAsia="en-GB"/>
        </w:rPr>
        <w:t xml:space="preserve"> </w:t>
      </w:r>
      <w:r w:rsidR="00F33617">
        <w:rPr>
          <w:rFonts w:eastAsia="Times New Roman" w:cs="Times New Roman"/>
          <w:sz w:val="20"/>
          <w:szCs w:val="20"/>
          <w:lang w:eastAsia="en-GB"/>
        </w:rPr>
        <w:t>children’s interests</w:t>
      </w:r>
      <w:r w:rsidR="00ED6EAA">
        <w:rPr>
          <w:rFonts w:eastAsia="Times New Roman" w:cs="Times New Roman"/>
          <w:sz w:val="20"/>
          <w:szCs w:val="20"/>
          <w:lang w:eastAsia="en-GB"/>
        </w:rPr>
        <w:t xml:space="preserve"> </w:t>
      </w:r>
      <w:r w:rsidR="008800FA">
        <w:rPr>
          <w:rFonts w:eastAsia="Times New Roman" w:cs="Times New Roman"/>
          <w:sz w:val="20"/>
          <w:szCs w:val="20"/>
          <w:lang w:eastAsia="en-GB"/>
        </w:rPr>
        <w:t>be afforded</w:t>
      </w:r>
      <w:r w:rsidR="00F33617">
        <w:rPr>
          <w:rFonts w:eastAsia="Times New Roman" w:cs="Times New Roman"/>
          <w:sz w:val="20"/>
          <w:szCs w:val="20"/>
          <w:lang w:eastAsia="en-GB"/>
        </w:rPr>
        <w:t>?</w:t>
      </w:r>
      <w:r w:rsidR="008800FA">
        <w:rPr>
          <w:rFonts w:eastAsia="Times New Roman" w:cs="Times New Roman"/>
          <w:sz w:val="20"/>
          <w:szCs w:val="20"/>
          <w:lang w:eastAsia="en-GB"/>
        </w:rPr>
        <w:t xml:space="preserve">  </w:t>
      </w:r>
      <w:r w:rsidR="008D46FA">
        <w:rPr>
          <w:rFonts w:eastAsia="Times New Roman" w:cs="Times New Roman"/>
          <w:sz w:val="20"/>
          <w:szCs w:val="20"/>
          <w:lang w:eastAsia="en-GB"/>
        </w:rPr>
        <w:t>To complicate matters further, there will, undoubtedly, be situations when an individual</w:t>
      </w:r>
      <w:r>
        <w:rPr>
          <w:rFonts w:eastAsia="Times New Roman" w:cs="Times New Roman"/>
          <w:sz w:val="20"/>
          <w:szCs w:val="20"/>
          <w:lang w:eastAsia="en-GB"/>
        </w:rPr>
        <w:t xml:space="preserve"> takes but does not publish a child’s photographs</w:t>
      </w:r>
      <w:r w:rsidR="008D46FA">
        <w:rPr>
          <w:rFonts w:eastAsia="Times New Roman" w:cs="Times New Roman"/>
          <w:sz w:val="20"/>
          <w:szCs w:val="20"/>
          <w:lang w:eastAsia="en-GB"/>
        </w:rPr>
        <w:t>.</w:t>
      </w:r>
      <w:r w:rsidR="001C5177" w:rsidRPr="0088097A">
        <w:rPr>
          <w:rFonts w:eastAsia="Times New Roman" w:cs="Times New Roman"/>
          <w:sz w:val="20"/>
          <w:szCs w:val="20"/>
          <w:lang w:eastAsia="en-GB"/>
        </w:rPr>
        <w:t xml:space="preserve">  This is, of course, not </w:t>
      </w:r>
      <w:r>
        <w:rPr>
          <w:rFonts w:eastAsia="Times New Roman" w:cs="Times New Roman"/>
          <w:sz w:val="20"/>
          <w:szCs w:val="20"/>
          <w:lang w:eastAsia="en-GB"/>
        </w:rPr>
        <w:t>something</w:t>
      </w:r>
      <w:r w:rsidR="001C5177" w:rsidRPr="0088097A">
        <w:rPr>
          <w:rFonts w:eastAsia="Times New Roman" w:cs="Times New Roman"/>
          <w:sz w:val="20"/>
          <w:szCs w:val="20"/>
          <w:lang w:eastAsia="en-GB"/>
        </w:rPr>
        <w:t xml:space="preserve"> the </w:t>
      </w:r>
      <w:r>
        <w:rPr>
          <w:rFonts w:eastAsia="Times New Roman" w:cs="Times New Roman"/>
          <w:sz w:val="20"/>
          <w:szCs w:val="20"/>
          <w:lang w:eastAsia="en-GB"/>
        </w:rPr>
        <w:t>C</w:t>
      </w:r>
      <w:r w:rsidR="001C5177" w:rsidRPr="0088097A">
        <w:rPr>
          <w:rFonts w:eastAsia="Times New Roman" w:cs="Times New Roman"/>
          <w:sz w:val="20"/>
          <w:szCs w:val="20"/>
          <w:lang w:eastAsia="en-GB"/>
        </w:rPr>
        <w:t xml:space="preserve">ourt of </w:t>
      </w:r>
      <w:r>
        <w:rPr>
          <w:rFonts w:eastAsia="Times New Roman" w:cs="Times New Roman"/>
          <w:sz w:val="20"/>
          <w:szCs w:val="20"/>
          <w:lang w:eastAsia="en-GB"/>
        </w:rPr>
        <w:t>A</w:t>
      </w:r>
      <w:r w:rsidR="0012589F">
        <w:rPr>
          <w:rFonts w:eastAsia="Times New Roman" w:cs="Times New Roman"/>
          <w:sz w:val="20"/>
          <w:szCs w:val="20"/>
          <w:lang w:eastAsia="en-GB"/>
        </w:rPr>
        <w:t xml:space="preserve">ppeal </w:t>
      </w:r>
      <w:r w:rsidR="00612BA6">
        <w:rPr>
          <w:rFonts w:eastAsia="Times New Roman" w:cs="Times New Roman"/>
          <w:sz w:val="20"/>
          <w:szCs w:val="20"/>
          <w:lang w:eastAsia="en-GB"/>
        </w:rPr>
        <w:t>consider</w:t>
      </w:r>
      <w:r w:rsidR="00D21C7C">
        <w:rPr>
          <w:rFonts w:eastAsia="Times New Roman" w:cs="Times New Roman"/>
          <w:sz w:val="20"/>
          <w:szCs w:val="20"/>
          <w:lang w:eastAsia="en-GB"/>
        </w:rPr>
        <w:t>ed</w:t>
      </w:r>
      <w:r w:rsidR="0012589F">
        <w:rPr>
          <w:rFonts w:eastAsia="Times New Roman" w:cs="Times New Roman"/>
          <w:sz w:val="20"/>
          <w:szCs w:val="20"/>
          <w:lang w:eastAsia="en-GB"/>
        </w:rPr>
        <w:t>. O</w:t>
      </w:r>
      <w:r w:rsidR="001C5177" w:rsidRPr="0088097A">
        <w:rPr>
          <w:rFonts w:eastAsia="Times New Roman" w:cs="Times New Roman"/>
          <w:sz w:val="20"/>
          <w:szCs w:val="20"/>
          <w:lang w:eastAsia="en-GB"/>
        </w:rPr>
        <w:t xml:space="preserve">ne might ask </w:t>
      </w:r>
      <w:r w:rsidR="00612BA6" w:rsidRPr="0088097A">
        <w:rPr>
          <w:rFonts w:eastAsia="Times New Roman" w:cs="Times New Roman"/>
          <w:sz w:val="20"/>
          <w:szCs w:val="20"/>
          <w:lang w:eastAsia="en-GB"/>
        </w:rPr>
        <w:t>what harm</w:t>
      </w:r>
      <w:r w:rsidR="00D21C7C">
        <w:rPr>
          <w:rFonts w:eastAsia="Times New Roman" w:cs="Times New Roman"/>
          <w:sz w:val="20"/>
          <w:szCs w:val="20"/>
          <w:lang w:eastAsia="en-GB"/>
        </w:rPr>
        <w:t xml:space="preserve"> is caused when a photograph is taken but  not published; </w:t>
      </w:r>
      <w:r w:rsidR="001C5177" w:rsidRPr="0088097A">
        <w:rPr>
          <w:rFonts w:eastAsia="Times New Roman" w:cs="Times New Roman"/>
          <w:sz w:val="20"/>
          <w:szCs w:val="20"/>
          <w:lang w:eastAsia="en-GB"/>
        </w:rPr>
        <w:t xml:space="preserve">how any claim for misuse of private information can </w:t>
      </w:r>
      <w:r w:rsidR="00612BA6">
        <w:rPr>
          <w:rFonts w:eastAsia="Times New Roman" w:cs="Times New Roman"/>
          <w:sz w:val="20"/>
          <w:szCs w:val="20"/>
          <w:lang w:eastAsia="en-GB"/>
        </w:rPr>
        <w:t xml:space="preserve">thus </w:t>
      </w:r>
      <w:r w:rsidR="001C5177" w:rsidRPr="0088097A">
        <w:rPr>
          <w:rFonts w:eastAsia="Times New Roman" w:cs="Times New Roman"/>
          <w:sz w:val="20"/>
          <w:szCs w:val="20"/>
          <w:lang w:eastAsia="en-GB"/>
        </w:rPr>
        <w:t>be founded.</w:t>
      </w:r>
      <w:r w:rsidR="009421BB" w:rsidRPr="0088097A">
        <w:rPr>
          <w:rFonts w:eastAsia="Times New Roman" w:cs="Times New Roman"/>
          <w:sz w:val="20"/>
          <w:szCs w:val="20"/>
          <w:lang w:eastAsia="en-GB"/>
        </w:rPr>
        <w:t xml:space="preserve">  On the other hand, one might argue that </w:t>
      </w:r>
      <w:r>
        <w:rPr>
          <w:rFonts w:eastAsia="Times New Roman" w:cs="Times New Roman"/>
          <w:sz w:val="20"/>
          <w:szCs w:val="20"/>
          <w:lang w:eastAsia="en-GB"/>
        </w:rPr>
        <w:t>absent</w:t>
      </w:r>
      <w:r w:rsidR="009421BB" w:rsidRPr="0088097A">
        <w:rPr>
          <w:rFonts w:eastAsia="Times New Roman" w:cs="Times New Roman"/>
          <w:sz w:val="20"/>
          <w:szCs w:val="20"/>
          <w:lang w:eastAsia="en-GB"/>
        </w:rPr>
        <w:t xml:space="preserve"> publication, and thus absent exercise of Article 10 rights, the only right</w:t>
      </w:r>
      <w:r>
        <w:rPr>
          <w:rFonts w:eastAsia="Times New Roman" w:cs="Times New Roman"/>
          <w:sz w:val="20"/>
          <w:szCs w:val="20"/>
          <w:lang w:eastAsia="en-GB"/>
        </w:rPr>
        <w:t>s</w:t>
      </w:r>
      <w:r w:rsidR="009421BB" w:rsidRPr="0088097A">
        <w:rPr>
          <w:rFonts w:eastAsia="Times New Roman" w:cs="Times New Roman"/>
          <w:sz w:val="20"/>
          <w:szCs w:val="20"/>
          <w:lang w:eastAsia="en-GB"/>
        </w:rPr>
        <w:t xml:space="preserve"> </w:t>
      </w:r>
      <w:r>
        <w:rPr>
          <w:rFonts w:eastAsia="Times New Roman" w:cs="Times New Roman"/>
          <w:sz w:val="20"/>
          <w:szCs w:val="20"/>
          <w:lang w:eastAsia="en-GB"/>
        </w:rPr>
        <w:t>engaged are</w:t>
      </w:r>
      <w:r w:rsidR="009421BB" w:rsidRPr="0088097A">
        <w:rPr>
          <w:rFonts w:eastAsia="Times New Roman" w:cs="Times New Roman"/>
          <w:sz w:val="20"/>
          <w:szCs w:val="20"/>
          <w:lang w:eastAsia="en-GB"/>
        </w:rPr>
        <w:t xml:space="preserve"> the child’s Article 8 right</w:t>
      </w:r>
      <w:r>
        <w:rPr>
          <w:rFonts w:eastAsia="Times New Roman" w:cs="Times New Roman"/>
          <w:sz w:val="20"/>
          <w:szCs w:val="20"/>
          <w:lang w:eastAsia="en-GB"/>
        </w:rPr>
        <w:t>s</w:t>
      </w:r>
      <w:r w:rsidR="00D21C7C">
        <w:rPr>
          <w:rFonts w:eastAsia="Times New Roman" w:cs="Times New Roman"/>
          <w:sz w:val="20"/>
          <w:szCs w:val="20"/>
          <w:lang w:eastAsia="en-GB"/>
        </w:rPr>
        <w:t xml:space="preserve"> which should accordingly</w:t>
      </w:r>
      <w:r w:rsidR="002844CB">
        <w:rPr>
          <w:rFonts w:eastAsia="Times New Roman" w:cs="Times New Roman"/>
          <w:sz w:val="20"/>
          <w:szCs w:val="20"/>
          <w:lang w:eastAsia="en-GB"/>
        </w:rPr>
        <w:t xml:space="preserve"> assume pre-eminence</w:t>
      </w:r>
      <w:r w:rsidR="009421BB" w:rsidRPr="0088097A">
        <w:rPr>
          <w:rFonts w:eastAsia="Times New Roman" w:cs="Times New Roman"/>
          <w:sz w:val="20"/>
          <w:szCs w:val="20"/>
          <w:lang w:eastAsia="en-GB"/>
        </w:rPr>
        <w:t>.</w:t>
      </w:r>
      <w:r w:rsidR="009421BB" w:rsidRPr="0088097A">
        <w:rPr>
          <w:rStyle w:val="FootnoteReference"/>
          <w:rFonts w:eastAsia="Times New Roman" w:cs="Times New Roman"/>
          <w:sz w:val="20"/>
          <w:szCs w:val="20"/>
          <w:lang w:eastAsia="en-GB"/>
        </w:rPr>
        <w:footnoteReference w:id="38"/>
      </w:r>
      <w:r w:rsidR="008800FA">
        <w:rPr>
          <w:rFonts w:eastAsia="Times New Roman" w:cs="Times New Roman"/>
          <w:sz w:val="20"/>
          <w:szCs w:val="20"/>
          <w:lang w:eastAsia="en-GB"/>
        </w:rPr>
        <w:t xml:space="preserve">  If this </w:t>
      </w:r>
      <w:r w:rsidR="00ED6EAA">
        <w:rPr>
          <w:rFonts w:eastAsia="Times New Roman" w:cs="Times New Roman"/>
          <w:sz w:val="20"/>
          <w:szCs w:val="20"/>
          <w:lang w:eastAsia="en-GB"/>
        </w:rPr>
        <w:t xml:space="preserve">is </w:t>
      </w:r>
      <w:r w:rsidR="008800FA">
        <w:rPr>
          <w:rFonts w:eastAsia="Times New Roman" w:cs="Times New Roman"/>
          <w:sz w:val="20"/>
          <w:szCs w:val="20"/>
          <w:lang w:eastAsia="en-GB"/>
        </w:rPr>
        <w:t xml:space="preserve">correct, </w:t>
      </w:r>
      <w:r w:rsidR="002844CB">
        <w:rPr>
          <w:rFonts w:eastAsia="Times New Roman" w:cs="Times New Roman"/>
          <w:sz w:val="20"/>
          <w:szCs w:val="20"/>
          <w:lang w:eastAsia="en-GB"/>
        </w:rPr>
        <w:t xml:space="preserve">however, </w:t>
      </w:r>
      <w:r w:rsidR="008800FA">
        <w:rPr>
          <w:rFonts w:eastAsia="Times New Roman" w:cs="Times New Roman"/>
          <w:sz w:val="20"/>
          <w:szCs w:val="20"/>
          <w:lang w:eastAsia="en-GB"/>
        </w:rPr>
        <w:t>significant restrictions would be imposed on photography</w:t>
      </w:r>
      <w:r w:rsidR="00F33617">
        <w:rPr>
          <w:rFonts w:eastAsia="Times New Roman" w:cs="Times New Roman"/>
          <w:sz w:val="20"/>
          <w:szCs w:val="20"/>
          <w:lang w:eastAsia="en-GB"/>
        </w:rPr>
        <w:t xml:space="preserve"> in public</w:t>
      </w:r>
      <w:r w:rsidR="008800FA">
        <w:rPr>
          <w:rFonts w:eastAsia="Times New Roman" w:cs="Times New Roman"/>
          <w:sz w:val="20"/>
          <w:szCs w:val="20"/>
          <w:lang w:eastAsia="en-GB"/>
        </w:rPr>
        <w:t xml:space="preserve">.  </w:t>
      </w:r>
      <w:r w:rsidR="00AA6A22">
        <w:rPr>
          <w:rFonts w:eastAsia="Times New Roman" w:cs="Times New Roman"/>
          <w:sz w:val="20"/>
          <w:szCs w:val="20"/>
          <w:lang w:eastAsia="en-GB"/>
        </w:rPr>
        <w:t xml:space="preserve">One can only assume that this was not the intention of the Court of Appeal when giving judgment in </w:t>
      </w:r>
      <w:r w:rsidR="00AA6A22">
        <w:rPr>
          <w:rFonts w:eastAsia="Times New Roman" w:cs="Times New Roman"/>
          <w:i/>
          <w:sz w:val="20"/>
          <w:szCs w:val="20"/>
          <w:lang w:eastAsia="en-GB"/>
        </w:rPr>
        <w:t>Weller</w:t>
      </w:r>
      <w:r w:rsidR="00ED6EAA">
        <w:rPr>
          <w:rFonts w:eastAsia="Times New Roman" w:cs="Times New Roman"/>
          <w:i/>
          <w:sz w:val="20"/>
          <w:szCs w:val="20"/>
          <w:lang w:eastAsia="en-GB"/>
        </w:rPr>
        <w:t xml:space="preserve">, </w:t>
      </w:r>
      <w:r w:rsidR="00ED6EAA">
        <w:rPr>
          <w:rFonts w:eastAsia="Times New Roman" w:cs="Times New Roman"/>
          <w:sz w:val="20"/>
          <w:szCs w:val="20"/>
          <w:lang w:eastAsia="en-GB"/>
        </w:rPr>
        <w:t xml:space="preserve">and that if a claim were brought by an individual against another individual the courts might need to reconsider the very tests that lie at the heart of the </w:t>
      </w:r>
      <w:r w:rsidR="00ED6EAA">
        <w:rPr>
          <w:rFonts w:eastAsia="Times New Roman" w:cs="Times New Roman"/>
          <w:i/>
          <w:sz w:val="20"/>
          <w:szCs w:val="20"/>
          <w:lang w:eastAsia="en-GB"/>
        </w:rPr>
        <w:t xml:space="preserve">Weller </w:t>
      </w:r>
      <w:r w:rsidR="00ED6EAA">
        <w:rPr>
          <w:rFonts w:eastAsia="Times New Roman" w:cs="Times New Roman"/>
          <w:sz w:val="20"/>
          <w:szCs w:val="20"/>
          <w:lang w:eastAsia="en-GB"/>
        </w:rPr>
        <w:t>decision</w:t>
      </w:r>
      <w:r w:rsidR="00AA6A22">
        <w:rPr>
          <w:rFonts w:eastAsia="Times New Roman" w:cs="Times New Roman"/>
          <w:i/>
          <w:sz w:val="20"/>
          <w:szCs w:val="20"/>
          <w:lang w:eastAsia="en-GB"/>
        </w:rPr>
        <w:t>.</w:t>
      </w:r>
    </w:p>
    <w:p w:rsidR="00D35AEB" w:rsidRPr="0088097A" w:rsidRDefault="00D35AEB" w:rsidP="00852723">
      <w:pPr>
        <w:spacing w:before="100" w:beforeAutospacing="1" w:after="100" w:afterAutospacing="1" w:line="240" w:lineRule="auto"/>
        <w:rPr>
          <w:rFonts w:eastAsia="Times New Roman" w:cs="Times New Roman"/>
          <w:b/>
          <w:sz w:val="20"/>
          <w:szCs w:val="20"/>
          <w:u w:val="single"/>
          <w:lang w:eastAsia="en-GB"/>
        </w:rPr>
      </w:pPr>
      <w:r w:rsidRPr="0088097A">
        <w:rPr>
          <w:rFonts w:eastAsia="Times New Roman" w:cs="Times New Roman"/>
          <w:b/>
          <w:sz w:val="20"/>
          <w:szCs w:val="20"/>
          <w:u w:val="single"/>
          <w:lang w:eastAsia="en-GB"/>
        </w:rPr>
        <w:t>Conclusion</w:t>
      </w:r>
    </w:p>
    <w:p w:rsidR="00D35AEB" w:rsidRPr="00470632" w:rsidRDefault="00D35AEB" w:rsidP="00852723">
      <w:pPr>
        <w:spacing w:before="100" w:beforeAutospacing="1" w:after="100" w:afterAutospacing="1" w:line="240" w:lineRule="auto"/>
        <w:rPr>
          <w:rFonts w:eastAsia="Times New Roman" w:cs="Times New Roman"/>
          <w:sz w:val="20"/>
          <w:szCs w:val="20"/>
          <w:lang w:eastAsia="en-GB"/>
        </w:rPr>
      </w:pPr>
      <w:r w:rsidRPr="0088097A">
        <w:rPr>
          <w:rFonts w:eastAsia="Times New Roman" w:cs="Times New Roman"/>
          <w:sz w:val="20"/>
          <w:szCs w:val="20"/>
          <w:lang w:eastAsia="en-GB"/>
        </w:rPr>
        <w:t xml:space="preserve">Numerous commentators have commented on the significance of the </w:t>
      </w:r>
      <w:r w:rsidRPr="0088097A">
        <w:rPr>
          <w:rFonts w:eastAsia="Times New Roman" w:cs="Times New Roman"/>
          <w:i/>
          <w:sz w:val="20"/>
          <w:szCs w:val="20"/>
          <w:lang w:eastAsia="en-GB"/>
        </w:rPr>
        <w:t xml:space="preserve">Weller </w:t>
      </w:r>
      <w:r w:rsidRPr="0088097A">
        <w:rPr>
          <w:rFonts w:eastAsia="Times New Roman" w:cs="Times New Roman"/>
          <w:sz w:val="20"/>
          <w:szCs w:val="20"/>
          <w:lang w:eastAsia="en-GB"/>
        </w:rPr>
        <w:t>case,</w:t>
      </w:r>
      <w:r w:rsidR="00612BA6">
        <w:rPr>
          <w:rFonts w:eastAsia="Times New Roman" w:cs="Times New Roman"/>
          <w:sz w:val="20"/>
          <w:szCs w:val="20"/>
          <w:lang w:eastAsia="en-GB"/>
        </w:rPr>
        <w:t xml:space="preserve"> yet</w:t>
      </w:r>
      <w:r w:rsidRPr="0088097A">
        <w:rPr>
          <w:rFonts w:eastAsia="Times New Roman" w:cs="Times New Roman"/>
          <w:sz w:val="20"/>
          <w:szCs w:val="20"/>
          <w:lang w:eastAsia="en-GB"/>
        </w:rPr>
        <w:t xml:space="preserve"> it </w:t>
      </w:r>
      <w:r w:rsidR="00612BA6">
        <w:rPr>
          <w:rFonts w:eastAsia="Times New Roman" w:cs="Times New Roman"/>
          <w:sz w:val="20"/>
          <w:szCs w:val="20"/>
          <w:lang w:eastAsia="en-GB"/>
        </w:rPr>
        <w:t>remains</w:t>
      </w:r>
      <w:r w:rsidRPr="0088097A">
        <w:rPr>
          <w:rFonts w:eastAsia="Times New Roman" w:cs="Times New Roman"/>
          <w:sz w:val="20"/>
          <w:szCs w:val="20"/>
          <w:lang w:eastAsia="en-GB"/>
        </w:rPr>
        <w:t xml:space="preserve"> </w:t>
      </w:r>
      <w:r w:rsidR="00612BA6">
        <w:rPr>
          <w:rFonts w:eastAsia="Times New Roman" w:cs="Times New Roman"/>
          <w:sz w:val="20"/>
          <w:szCs w:val="20"/>
          <w:lang w:eastAsia="en-GB"/>
        </w:rPr>
        <w:t>un</w:t>
      </w:r>
      <w:r w:rsidRPr="0088097A">
        <w:rPr>
          <w:rFonts w:eastAsia="Times New Roman" w:cs="Times New Roman"/>
          <w:sz w:val="20"/>
          <w:szCs w:val="20"/>
          <w:lang w:eastAsia="en-GB"/>
        </w:rPr>
        <w:t xml:space="preserve">clear </w:t>
      </w:r>
      <w:r w:rsidR="00AA6A22">
        <w:rPr>
          <w:rFonts w:eastAsia="Times New Roman" w:cs="Times New Roman"/>
          <w:sz w:val="20"/>
          <w:szCs w:val="20"/>
          <w:lang w:eastAsia="en-GB"/>
        </w:rPr>
        <w:t xml:space="preserve">whether </w:t>
      </w:r>
      <w:r w:rsidRPr="0088097A">
        <w:rPr>
          <w:rFonts w:eastAsia="Times New Roman" w:cs="Times New Roman"/>
          <w:i/>
          <w:sz w:val="20"/>
          <w:szCs w:val="20"/>
          <w:lang w:eastAsia="en-GB"/>
        </w:rPr>
        <w:t xml:space="preserve">Weller </w:t>
      </w:r>
      <w:r w:rsidRPr="0088097A">
        <w:rPr>
          <w:rFonts w:eastAsia="Times New Roman" w:cs="Times New Roman"/>
          <w:sz w:val="20"/>
          <w:szCs w:val="20"/>
          <w:lang w:eastAsia="en-GB"/>
        </w:rPr>
        <w:t xml:space="preserve">is </w:t>
      </w:r>
      <w:r w:rsidR="0010035E">
        <w:rPr>
          <w:rFonts w:eastAsia="Times New Roman" w:cs="Times New Roman"/>
          <w:sz w:val="20"/>
          <w:szCs w:val="20"/>
          <w:lang w:eastAsia="en-GB"/>
        </w:rPr>
        <w:t xml:space="preserve">in fact </w:t>
      </w:r>
      <w:r w:rsidRPr="0088097A">
        <w:rPr>
          <w:rFonts w:eastAsia="Times New Roman" w:cs="Times New Roman"/>
          <w:sz w:val="20"/>
          <w:szCs w:val="20"/>
          <w:lang w:eastAsia="en-GB"/>
        </w:rPr>
        <w:t>relevant only in narrow circumstances</w:t>
      </w:r>
      <w:r w:rsidR="0010035E">
        <w:rPr>
          <w:rFonts w:eastAsia="Times New Roman" w:cs="Times New Roman"/>
          <w:sz w:val="20"/>
          <w:szCs w:val="20"/>
          <w:lang w:eastAsia="en-GB"/>
        </w:rPr>
        <w:t>,</w:t>
      </w:r>
      <w:r w:rsidRPr="0088097A">
        <w:rPr>
          <w:rFonts w:eastAsia="Times New Roman" w:cs="Times New Roman"/>
          <w:sz w:val="20"/>
          <w:szCs w:val="20"/>
          <w:lang w:eastAsia="en-GB"/>
        </w:rPr>
        <w:t xml:space="preserve"> </w:t>
      </w:r>
      <w:r w:rsidR="00AA6A22">
        <w:rPr>
          <w:rFonts w:eastAsia="Times New Roman" w:cs="Times New Roman"/>
          <w:sz w:val="20"/>
          <w:szCs w:val="20"/>
          <w:lang w:eastAsia="en-GB"/>
        </w:rPr>
        <w:t xml:space="preserve">where the </w:t>
      </w:r>
      <w:r w:rsidRPr="0088097A">
        <w:rPr>
          <w:rFonts w:eastAsia="Times New Roman" w:cs="Times New Roman"/>
          <w:sz w:val="20"/>
          <w:szCs w:val="20"/>
          <w:lang w:eastAsia="en-GB"/>
        </w:rPr>
        <w:t xml:space="preserve">claimant </w:t>
      </w:r>
      <w:r w:rsidR="00AA6A22">
        <w:rPr>
          <w:rFonts w:eastAsia="Times New Roman" w:cs="Times New Roman"/>
          <w:sz w:val="20"/>
          <w:szCs w:val="20"/>
          <w:lang w:eastAsia="en-GB"/>
        </w:rPr>
        <w:t xml:space="preserve">is the identified </w:t>
      </w:r>
      <w:r w:rsidR="0010035E">
        <w:rPr>
          <w:rFonts w:eastAsia="Times New Roman" w:cs="Times New Roman"/>
          <w:sz w:val="20"/>
          <w:szCs w:val="20"/>
          <w:lang w:eastAsia="en-GB"/>
        </w:rPr>
        <w:t>child of famous parents</w:t>
      </w:r>
      <w:r w:rsidR="00AA6A22">
        <w:rPr>
          <w:rFonts w:eastAsia="Times New Roman" w:cs="Times New Roman"/>
          <w:sz w:val="20"/>
          <w:szCs w:val="20"/>
          <w:lang w:eastAsia="en-GB"/>
        </w:rPr>
        <w:t xml:space="preserve"> who strongly object to their children’s images being made public</w:t>
      </w:r>
      <w:r w:rsidR="0010035E">
        <w:rPr>
          <w:rFonts w:eastAsia="Times New Roman" w:cs="Times New Roman"/>
          <w:sz w:val="20"/>
          <w:szCs w:val="20"/>
          <w:lang w:eastAsia="en-GB"/>
        </w:rPr>
        <w:t>,</w:t>
      </w:r>
      <w:r w:rsidR="00AA6A22">
        <w:rPr>
          <w:rFonts w:eastAsia="Times New Roman" w:cs="Times New Roman"/>
          <w:sz w:val="20"/>
          <w:szCs w:val="20"/>
          <w:lang w:eastAsia="en-GB"/>
        </w:rPr>
        <w:t xml:space="preserve"> </w:t>
      </w:r>
      <w:r w:rsidR="0010035E">
        <w:rPr>
          <w:rFonts w:eastAsia="Times New Roman" w:cs="Times New Roman"/>
          <w:sz w:val="20"/>
          <w:szCs w:val="20"/>
          <w:lang w:eastAsia="en-GB"/>
        </w:rPr>
        <w:t xml:space="preserve">where the claimant is </w:t>
      </w:r>
      <w:r w:rsidR="00AA6A22">
        <w:rPr>
          <w:rFonts w:eastAsia="Times New Roman" w:cs="Times New Roman"/>
          <w:sz w:val="20"/>
          <w:szCs w:val="20"/>
          <w:lang w:eastAsia="en-GB"/>
        </w:rPr>
        <w:t>engaged in a</w:t>
      </w:r>
      <w:r w:rsidRPr="0088097A">
        <w:rPr>
          <w:rFonts w:eastAsia="Times New Roman" w:cs="Times New Roman"/>
          <w:sz w:val="20"/>
          <w:szCs w:val="20"/>
          <w:lang w:eastAsia="en-GB"/>
        </w:rPr>
        <w:t xml:space="preserve"> family activity</w:t>
      </w:r>
      <w:r w:rsidR="00612BA6">
        <w:rPr>
          <w:rFonts w:eastAsia="Times New Roman" w:cs="Times New Roman"/>
          <w:sz w:val="20"/>
          <w:szCs w:val="20"/>
          <w:lang w:eastAsia="en-GB"/>
        </w:rPr>
        <w:t xml:space="preserve"> and the claim is against a media defendant</w:t>
      </w:r>
      <w:r w:rsidR="00AA6A22">
        <w:rPr>
          <w:rFonts w:eastAsia="Times New Roman" w:cs="Times New Roman"/>
          <w:sz w:val="20"/>
          <w:szCs w:val="20"/>
          <w:lang w:eastAsia="en-GB"/>
        </w:rPr>
        <w:t xml:space="preserve">.    </w:t>
      </w:r>
      <w:r w:rsidR="00470632">
        <w:rPr>
          <w:rFonts w:eastAsia="Times New Roman" w:cs="Times New Roman"/>
          <w:sz w:val="20"/>
          <w:szCs w:val="20"/>
          <w:lang w:eastAsia="en-GB"/>
        </w:rPr>
        <w:t>Analysis of the key factors which led to the Court of Appeal finding the Weller children had a reasonable expectation of privacy</w:t>
      </w:r>
      <w:r w:rsidR="00612BA6">
        <w:rPr>
          <w:rFonts w:eastAsia="Times New Roman" w:cs="Times New Roman"/>
          <w:sz w:val="20"/>
          <w:szCs w:val="20"/>
          <w:lang w:eastAsia="en-GB"/>
        </w:rPr>
        <w:t>,</w:t>
      </w:r>
      <w:r w:rsidR="00470632">
        <w:rPr>
          <w:rFonts w:eastAsia="Times New Roman" w:cs="Times New Roman"/>
          <w:sz w:val="20"/>
          <w:szCs w:val="20"/>
          <w:lang w:eastAsia="en-GB"/>
        </w:rPr>
        <w:t xml:space="preserve"> and application of those factors to ordinary individuals</w:t>
      </w:r>
      <w:r w:rsidR="00612BA6">
        <w:rPr>
          <w:rFonts w:eastAsia="Times New Roman" w:cs="Times New Roman"/>
          <w:sz w:val="20"/>
          <w:szCs w:val="20"/>
          <w:lang w:eastAsia="en-GB"/>
        </w:rPr>
        <w:t>,</w:t>
      </w:r>
      <w:r w:rsidR="00470632">
        <w:rPr>
          <w:rFonts w:eastAsia="Times New Roman" w:cs="Times New Roman"/>
          <w:sz w:val="20"/>
          <w:szCs w:val="20"/>
          <w:lang w:eastAsia="en-GB"/>
        </w:rPr>
        <w:t xml:space="preserve"> suggests that following </w:t>
      </w:r>
      <w:r w:rsidR="00470632">
        <w:rPr>
          <w:rFonts w:eastAsia="Times New Roman" w:cs="Times New Roman"/>
          <w:i/>
          <w:sz w:val="20"/>
          <w:szCs w:val="20"/>
          <w:lang w:eastAsia="en-GB"/>
        </w:rPr>
        <w:t xml:space="preserve">Weller </w:t>
      </w:r>
      <w:r w:rsidR="00470632">
        <w:rPr>
          <w:rFonts w:eastAsia="Times New Roman" w:cs="Times New Roman"/>
          <w:sz w:val="20"/>
          <w:szCs w:val="20"/>
          <w:lang w:eastAsia="en-GB"/>
        </w:rPr>
        <w:t>the tort of misuse of private information could</w:t>
      </w:r>
      <w:r w:rsidR="007E17D0">
        <w:rPr>
          <w:rFonts w:eastAsia="Times New Roman" w:cs="Times New Roman"/>
          <w:sz w:val="20"/>
          <w:szCs w:val="20"/>
          <w:lang w:eastAsia="en-GB"/>
        </w:rPr>
        <w:t xml:space="preserve"> perhaps</w:t>
      </w:r>
      <w:r w:rsidR="00470632">
        <w:rPr>
          <w:rFonts w:eastAsia="Times New Roman" w:cs="Times New Roman"/>
          <w:sz w:val="20"/>
          <w:szCs w:val="20"/>
          <w:lang w:eastAsia="en-GB"/>
        </w:rPr>
        <w:t xml:space="preserve"> be </w:t>
      </w:r>
      <w:r w:rsidR="0010035E">
        <w:rPr>
          <w:rFonts w:eastAsia="Times New Roman" w:cs="Times New Roman"/>
          <w:sz w:val="20"/>
          <w:szCs w:val="20"/>
          <w:lang w:eastAsia="en-GB"/>
        </w:rPr>
        <w:t>used</w:t>
      </w:r>
      <w:r w:rsidR="00AA6A22">
        <w:rPr>
          <w:rFonts w:eastAsia="Times New Roman" w:cs="Times New Roman"/>
          <w:sz w:val="20"/>
          <w:szCs w:val="20"/>
          <w:lang w:eastAsia="en-GB"/>
        </w:rPr>
        <w:t xml:space="preserve"> to </w:t>
      </w:r>
      <w:r w:rsidR="0012589F">
        <w:rPr>
          <w:rFonts w:eastAsia="Times New Roman" w:cs="Times New Roman"/>
          <w:sz w:val="20"/>
          <w:szCs w:val="20"/>
          <w:lang w:eastAsia="en-GB"/>
        </w:rPr>
        <w:t>protect</w:t>
      </w:r>
      <w:r w:rsidR="00AA6A22">
        <w:rPr>
          <w:rFonts w:eastAsia="Times New Roman" w:cs="Times New Roman"/>
          <w:sz w:val="20"/>
          <w:szCs w:val="20"/>
          <w:lang w:eastAsia="en-GB"/>
        </w:rPr>
        <w:t xml:space="preserve"> </w:t>
      </w:r>
      <w:r w:rsidR="00470632">
        <w:rPr>
          <w:rFonts w:eastAsia="Times New Roman" w:cs="Times New Roman"/>
          <w:sz w:val="20"/>
          <w:szCs w:val="20"/>
          <w:lang w:eastAsia="en-GB"/>
        </w:rPr>
        <w:t xml:space="preserve">ordinary </w:t>
      </w:r>
      <w:r w:rsidR="00AA6A22">
        <w:rPr>
          <w:rFonts w:eastAsia="Times New Roman" w:cs="Times New Roman"/>
          <w:sz w:val="20"/>
          <w:szCs w:val="20"/>
          <w:lang w:eastAsia="en-GB"/>
        </w:rPr>
        <w:t>children’s privacy</w:t>
      </w:r>
      <w:r w:rsidR="007E17D0">
        <w:rPr>
          <w:rFonts w:eastAsia="Times New Roman" w:cs="Times New Roman"/>
          <w:sz w:val="20"/>
          <w:szCs w:val="20"/>
          <w:lang w:eastAsia="en-GB"/>
        </w:rPr>
        <w:t>,</w:t>
      </w:r>
      <w:r w:rsidR="00303489">
        <w:rPr>
          <w:rFonts w:eastAsia="Times New Roman" w:cs="Times New Roman"/>
          <w:sz w:val="20"/>
          <w:szCs w:val="20"/>
          <w:lang w:eastAsia="en-GB"/>
        </w:rPr>
        <w:t xml:space="preserve"> with a similar balancing test applying in media intrusion cases</w:t>
      </w:r>
      <w:r w:rsidR="007E17D0">
        <w:rPr>
          <w:rFonts w:eastAsia="Times New Roman" w:cs="Times New Roman"/>
          <w:sz w:val="20"/>
          <w:szCs w:val="20"/>
          <w:lang w:eastAsia="en-GB"/>
        </w:rPr>
        <w:t xml:space="preserve"> to that applied in </w:t>
      </w:r>
      <w:r w:rsidR="007E17D0">
        <w:rPr>
          <w:rFonts w:eastAsia="Times New Roman" w:cs="Times New Roman"/>
          <w:i/>
          <w:sz w:val="20"/>
          <w:szCs w:val="20"/>
          <w:lang w:eastAsia="en-GB"/>
        </w:rPr>
        <w:t xml:space="preserve">Weller </w:t>
      </w:r>
      <w:r w:rsidR="007E17D0">
        <w:rPr>
          <w:rFonts w:eastAsia="Times New Roman" w:cs="Times New Roman"/>
          <w:sz w:val="20"/>
          <w:szCs w:val="20"/>
          <w:lang w:eastAsia="en-GB"/>
        </w:rPr>
        <w:t>and other celebrity cases</w:t>
      </w:r>
      <w:r w:rsidR="00AA6A22">
        <w:rPr>
          <w:rFonts w:eastAsia="Times New Roman" w:cs="Times New Roman"/>
          <w:sz w:val="20"/>
          <w:szCs w:val="20"/>
          <w:lang w:eastAsia="en-GB"/>
        </w:rPr>
        <w:t xml:space="preserve">.  The </w:t>
      </w:r>
      <w:r w:rsidR="00612BA6">
        <w:rPr>
          <w:rFonts w:eastAsia="Times New Roman" w:cs="Times New Roman"/>
          <w:sz w:val="20"/>
          <w:szCs w:val="20"/>
          <w:lang w:eastAsia="en-GB"/>
        </w:rPr>
        <w:t xml:space="preserve">primary </w:t>
      </w:r>
      <w:r w:rsidR="00AA6A22">
        <w:rPr>
          <w:rFonts w:eastAsia="Times New Roman" w:cs="Times New Roman"/>
          <w:sz w:val="20"/>
          <w:szCs w:val="20"/>
          <w:lang w:eastAsia="en-GB"/>
        </w:rPr>
        <w:t xml:space="preserve">difficulty </w:t>
      </w:r>
      <w:r w:rsidR="007E17D0">
        <w:rPr>
          <w:rFonts w:eastAsia="Times New Roman" w:cs="Times New Roman"/>
          <w:sz w:val="20"/>
          <w:szCs w:val="20"/>
          <w:lang w:eastAsia="en-GB"/>
        </w:rPr>
        <w:t xml:space="preserve">arises where the defendant publisher is an individual.  </w:t>
      </w:r>
      <w:r w:rsidR="00470632">
        <w:rPr>
          <w:rFonts w:eastAsia="Times New Roman" w:cs="Times New Roman"/>
          <w:sz w:val="20"/>
          <w:szCs w:val="20"/>
          <w:lang w:eastAsia="en-GB"/>
        </w:rPr>
        <w:t xml:space="preserve">The tort having been designed to tackle media intrusion, and with Lord Dyson in </w:t>
      </w:r>
      <w:r w:rsidR="00470632">
        <w:rPr>
          <w:rFonts w:eastAsia="Times New Roman" w:cs="Times New Roman"/>
          <w:i/>
          <w:sz w:val="20"/>
          <w:szCs w:val="20"/>
          <w:lang w:eastAsia="en-GB"/>
        </w:rPr>
        <w:t xml:space="preserve">Weller </w:t>
      </w:r>
      <w:r w:rsidR="00470632">
        <w:rPr>
          <w:rFonts w:eastAsia="Times New Roman" w:cs="Times New Roman"/>
          <w:sz w:val="20"/>
          <w:szCs w:val="20"/>
          <w:lang w:eastAsia="en-GB"/>
        </w:rPr>
        <w:t xml:space="preserve">emphasising the weight to be given to children’s interests, it is hard to see how, </w:t>
      </w:r>
      <w:r w:rsidR="00303489">
        <w:rPr>
          <w:rFonts w:eastAsia="Times New Roman" w:cs="Times New Roman"/>
          <w:sz w:val="20"/>
          <w:szCs w:val="20"/>
          <w:lang w:eastAsia="en-GB"/>
        </w:rPr>
        <w:t>if the court</w:t>
      </w:r>
      <w:r w:rsidR="007E17D0">
        <w:rPr>
          <w:rFonts w:eastAsia="Times New Roman" w:cs="Times New Roman"/>
          <w:sz w:val="20"/>
          <w:szCs w:val="20"/>
          <w:lang w:eastAsia="en-GB"/>
        </w:rPr>
        <w:t xml:space="preserve"> applies</w:t>
      </w:r>
      <w:r w:rsidR="00470632">
        <w:rPr>
          <w:rFonts w:eastAsia="Times New Roman" w:cs="Times New Roman"/>
          <w:sz w:val="20"/>
          <w:szCs w:val="20"/>
          <w:lang w:eastAsia="en-GB"/>
        </w:rPr>
        <w:t xml:space="preserve"> the </w:t>
      </w:r>
      <w:r w:rsidR="00303489">
        <w:rPr>
          <w:rFonts w:eastAsia="Times New Roman" w:cs="Times New Roman"/>
          <w:sz w:val="20"/>
          <w:szCs w:val="20"/>
          <w:lang w:eastAsia="en-GB"/>
        </w:rPr>
        <w:t xml:space="preserve">same </w:t>
      </w:r>
      <w:r w:rsidR="00470632">
        <w:rPr>
          <w:rFonts w:eastAsia="Times New Roman" w:cs="Times New Roman"/>
          <w:sz w:val="20"/>
          <w:szCs w:val="20"/>
          <w:lang w:eastAsia="en-GB"/>
        </w:rPr>
        <w:t>balancing test</w:t>
      </w:r>
      <w:r w:rsidR="00303489">
        <w:rPr>
          <w:rFonts w:eastAsia="Times New Roman" w:cs="Times New Roman"/>
          <w:sz w:val="20"/>
          <w:szCs w:val="20"/>
          <w:lang w:eastAsia="en-GB"/>
        </w:rPr>
        <w:t xml:space="preserve"> </w:t>
      </w:r>
      <w:r w:rsidR="007E17D0">
        <w:rPr>
          <w:rFonts w:eastAsia="Times New Roman" w:cs="Times New Roman"/>
          <w:sz w:val="20"/>
          <w:szCs w:val="20"/>
          <w:lang w:eastAsia="en-GB"/>
        </w:rPr>
        <w:t xml:space="preserve">to individuals </w:t>
      </w:r>
      <w:r w:rsidR="00303489">
        <w:rPr>
          <w:rFonts w:eastAsia="Times New Roman" w:cs="Times New Roman"/>
          <w:sz w:val="20"/>
          <w:szCs w:val="20"/>
          <w:lang w:eastAsia="en-GB"/>
        </w:rPr>
        <w:t>as to the media</w:t>
      </w:r>
      <w:r w:rsidR="00470632">
        <w:rPr>
          <w:rFonts w:eastAsia="Times New Roman" w:cs="Times New Roman"/>
          <w:sz w:val="20"/>
          <w:szCs w:val="20"/>
          <w:lang w:eastAsia="en-GB"/>
        </w:rPr>
        <w:t xml:space="preserve"> </w:t>
      </w:r>
      <w:r w:rsidR="00303489">
        <w:rPr>
          <w:rFonts w:eastAsia="Times New Roman" w:cs="Times New Roman"/>
          <w:sz w:val="20"/>
          <w:szCs w:val="20"/>
          <w:lang w:eastAsia="en-GB"/>
        </w:rPr>
        <w:t>it could ever find in favour of a non-media publisher.</w:t>
      </w:r>
      <w:r w:rsidR="007E17D0">
        <w:rPr>
          <w:rFonts w:eastAsia="Times New Roman" w:cs="Times New Roman"/>
          <w:sz w:val="20"/>
          <w:szCs w:val="20"/>
          <w:lang w:eastAsia="en-GB"/>
        </w:rPr>
        <w:t xml:space="preserve">  In such cases a new balancing test may need to be devised to ensure the appropriate balance between individual rights can be achieved.</w:t>
      </w:r>
    </w:p>
    <w:sectPr w:rsidR="00D35AEB" w:rsidRPr="00470632" w:rsidSect="0088097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C6" w:rsidRDefault="000B7DC6" w:rsidP="00A43C9D">
      <w:pPr>
        <w:spacing w:after="0" w:line="240" w:lineRule="auto"/>
      </w:pPr>
      <w:r>
        <w:separator/>
      </w:r>
    </w:p>
  </w:endnote>
  <w:endnote w:type="continuationSeparator" w:id="0">
    <w:p w:rsidR="000B7DC6" w:rsidRDefault="000B7DC6" w:rsidP="00A4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C6" w:rsidRDefault="000B7DC6" w:rsidP="00A43C9D">
      <w:pPr>
        <w:spacing w:after="0" w:line="240" w:lineRule="auto"/>
      </w:pPr>
      <w:r>
        <w:separator/>
      </w:r>
    </w:p>
  </w:footnote>
  <w:footnote w:type="continuationSeparator" w:id="0">
    <w:p w:rsidR="000B7DC6" w:rsidRDefault="000B7DC6" w:rsidP="00A43C9D">
      <w:pPr>
        <w:spacing w:after="0" w:line="240" w:lineRule="auto"/>
      </w:pPr>
      <w:r>
        <w:continuationSeparator/>
      </w:r>
    </w:p>
  </w:footnote>
  <w:footnote w:id="1">
    <w:p w:rsidR="000B7DC6" w:rsidRPr="00ED6EAA" w:rsidRDefault="000B7DC6">
      <w:pPr>
        <w:pStyle w:val="FootnoteText"/>
        <w:rPr>
          <w:sz w:val="16"/>
          <w:szCs w:val="16"/>
        </w:rPr>
      </w:pPr>
      <w:r w:rsidRPr="00ED6EAA">
        <w:rPr>
          <w:rStyle w:val="FootnoteReference"/>
          <w:sz w:val="16"/>
          <w:szCs w:val="16"/>
        </w:rPr>
        <w:footnoteRef/>
      </w:r>
      <w:r w:rsidRPr="00ED6EAA">
        <w:rPr>
          <w:sz w:val="16"/>
          <w:szCs w:val="16"/>
        </w:rPr>
        <w:t xml:space="preserve"> Notably </w:t>
      </w:r>
      <w:r w:rsidRPr="00ED6EAA">
        <w:rPr>
          <w:i/>
          <w:sz w:val="16"/>
          <w:szCs w:val="16"/>
        </w:rPr>
        <w:t xml:space="preserve">Campbell v MGN Ltd </w:t>
      </w:r>
      <w:r w:rsidRPr="00ED6EAA">
        <w:rPr>
          <w:sz w:val="16"/>
          <w:szCs w:val="16"/>
        </w:rPr>
        <w:t>[2004] UKHL 22</w:t>
      </w:r>
      <w:r w:rsidR="00D2165A">
        <w:rPr>
          <w:sz w:val="16"/>
          <w:szCs w:val="16"/>
        </w:rPr>
        <w:t xml:space="preserve"> (‘</w:t>
      </w:r>
      <w:r w:rsidR="00D2165A">
        <w:rPr>
          <w:i/>
          <w:sz w:val="16"/>
          <w:szCs w:val="16"/>
        </w:rPr>
        <w:t>Campbell’)</w:t>
      </w:r>
      <w:r w:rsidRPr="00ED6EAA">
        <w:rPr>
          <w:i/>
          <w:sz w:val="16"/>
          <w:szCs w:val="16"/>
        </w:rPr>
        <w:t xml:space="preserve">; Murray v Big Pictures Ltd </w:t>
      </w:r>
      <w:r w:rsidRPr="00ED6EAA">
        <w:rPr>
          <w:sz w:val="16"/>
          <w:szCs w:val="16"/>
        </w:rPr>
        <w:t xml:space="preserve">[2008] EWCA </w:t>
      </w:r>
      <w:proofErr w:type="spellStart"/>
      <w:r w:rsidRPr="00ED6EAA">
        <w:rPr>
          <w:sz w:val="16"/>
          <w:szCs w:val="16"/>
        </w:rPr>
        <w:t>Civ</w:t>
      </w:r>
      <w:proofErr w:type="spellEnd"/>
      <w:r w:rsidRPr="00ED6EAA">
        <w:rPr>
          <w:sz w:val="16"/>
          <w:szCs w:val="16"/>
        </w:rPr>
        <w:t xml:space="preserve"> 446</w:t>
      </w:r>
      <w:r w:rsidRPr="00ED6EAA">
        <w:rPr>
          <w:i/>
          <w:sz w:val="16"/>
          <w:szCs w:val="16"/>
        </w:rPr>
        <w:t xml:space="preserve">; Von Hannover v Germany </w:t>
      </w:r>
      <w:r w:rsidRPr="00ED6EAA">
        <w:rPr>
          <w:sz w:val="16"/>
          <w:szCs w:val="16"/>
        </w:rPr>
        <w:t>(2005) 40 EHRR 1 and</w:t>
      </w:r>
      <w:r w:rsidRPr="00ED6EAA">
        <w:rPr>
          <w:i/>
          <w:sz w:val="16"/>
          <w:szCs w:val="16"/>
        </w:rPr>
        <w:t xml:space="preserve"> Von Hannover v Germany (No 2) </w:t>
      </w:r>
      <w:r w:rsidRPr="00ED6EAA">
        <w:rPr>
          <w:sz w:val="16"/>
          <w:szCs w:val="16"/>
        </w:rPr>
        <w:t xml:space="preserve">(2012) 55 EHRR 15; </w:t>
      </w:r>
      <w:proofErr w:type="spellStart"/>
      <w:r w:rsidRPr="00ED6EAA">
        <w:rPr>
          <w:i/>
          <w:sz w:val="16"/>
          <w:szCs w:val="16"/>
        </w:rPr>
        <w:t>Reklos</w:t>
      </w:r>
      <w:proofErr w:type="spellEnd"/>
      <w:r w:rsidRPr="00ED6EAA">
        <w:rPr>
          <w:i/>
          <w:sz w:val="16"/>
          <w:szCs w:val="16"/>
        </w:rPr>
        <w:t xml:space="preserve"> and </w:t>
      </w:r>
      <w:proofErr w:type="spellStart"/>
      <w:r w:rsidRPr="00ED6EAA">
        <w:rPr>
          <w:i/>
          <w:sz w:val="16"/>
          <w:szCs w:val="16"/>
        </w:rPr>
        <w:t>Davourlis</w:t>
      </w:r>
      <w:proofErr w:type="spellEnd"/>
      <w:r w:rsidRPr="00ED6EAA">
        <w:rPr>
          <w:i/>
          <w:sz w:val="16"/>
          <w:szCs w:val="16"/>
        </w:rPr>
        <w:t xml:space="preserve"> v Greece </w:t>
      </w:r>
      <w:r w:rsidRPr="00ED6EAA">
        <w:rPr>
          <w:sz w:val="16"/>
          <w:szCs w:val="16"/>
        </w:rPr>
        <w:t xml:space="preserve">App no 1234/05 judgment 15.4.09; </w:t>
      </w:r>
    </w:p>
  </w:footnote>
  <w:footnote w:id="2">
    <w:p w:rsidR="000B7DC6" w:rsidRPr="00ED6EAA" w:rsidRDefault="000B7DC6" w:rsidP="00A43C9D">
      <w:pPr>
        <w:pStyle w:val="FootnoteText"/>
        <w:rPr>
          <w:i/>
          <w:sz w:val="16"/>
          <w:szCs w:val="16"/>
        </w:rPr>
      </w:pPr>
      <w:r w:rsidRPr="00ED6EAA">
        <w:rPr>
          <w:rStyle w:val="FootnoteReference"/>
          <w:sz w:val="16"/>
          <w:szCs w:val="16"/>
        </w:rPr>
        <w:footnoteRef/>
      </w:r>
      <w:r w:rsidRPr="00ED6EAA">
        <w:rPr>
          <w:sz w:val="16"/>
          <w:szCs w:val="16"/>
        </w:rPr>
        <w:t xml:space="preserve"> [2015] EWCA </w:t>
      </w:r>
      <w:proofErr w:type="spellStart"/>
      <w:r w:rsidRPr="00ED6EAA">
        <w:rPr>
          <w:sz w:val="16"/>
          <w:szCs w:val="16"/>
        </w:rPr>
        <w:t>Civ</w:t>
      </w:r>
      <w:proofErr w:type="spellEnd"/>
      <w:r w:rsidRPr="00ED6EAA">
        <w:rPr>
          <w:sz w:val="16"/>
          <w:szCs w:val="16"/>
        </w:rPr>
        <w:t xml:space="preserve"> 1176 (‘</w:t>
      </w:r>
      <w:r w:rsidRPr="00ED6EAA">
        <w:rPr>
          <w:i/>
          <w:sz w:val="16"/>
          <w:szCs w:val="16"/>
        </w:rPr>
        <w:t>Weller’)</w:t>
      </w:r>
    </w:p>
  </w:footnote>
  <w:footnote w:id="3">
    <w:p w:rsidR="000B7DC6" w:rsidRPr="00ED6EAA" w:rsidRDefault="000B7DC6" w:rsidP="00A43C9D">
      <w:pPr>
        <w:pStyle w:val="FootnoteText"/>
        <w:rPr>
          <w:sz w:val="16"/>
          <w:szCs w:val="16"/>
        </w:rPr>
      </w:pPr>
      <w:r w:rsidRPr="00ED6EAA">
        <w:rPr>
          <w:rStyle w:val="FootnoteReference"/>
          <w:sz w:val="16"/>
          <w:szCs w:val="16"/>
        </w:rPr>
        <w:footnoteRef/>
      </w:r>
      <w:r w:rsidRPr="00ED6EAA">
        <w:rPr>
          <w:sz w:val="16"/>
          <w:szCs w:val="16"/>
        </w:rPr>
        <w:t xml:space="preserve"> </w:t>
      </w:r>
      <w:r w:rsidRPr="00ED6EAA">
        <w:rPr>
          <w:i/>
          <w:sz w:val="16"/>
          <w:szCs w:val="16"/>
        </w:rPr>
        <w:t xml:space="preserve">Weller, </w:t>
      </w:r>
      <w:r w:rsidRPr="00ED6EAA">
        <w:rPr>
          <w:sz w:val="16"/>
          <w:szCs w:val="16"/>
        </w:rPr>
        <w:t>[5]</w:t>
      </w:r>
    </w:p>
  </w:footnote>
  <w:footnote w:id="4">
    <w:p w:rsidR="000B7DC6" w:rsidRPr="00ED6EAA" w:rsidRDefault="000B7DC6" w:rsidP="00A43C9D">
      <w:pPr>
        <w:pStyle w:val="FootnoteText"/>
        <w:rPr>
          <w:sz w:val="16"/>
          <w:szCs w:val="16"/>
        </w:rPr>
      </w:pPr>
      <w:r w:rsidRPr="00ED6EAA">
        <w:rPr>
          <w:rStyle w:val="FootnoteReference"/>
          <w:sz w:val="16"/>
          <w:szCs w:val="16"/>
        </w:rPr>
        <w:footnoteRef/>
      </w:r>
      <w:r w:rsidRPr="00ED6EAA">
        <w:rPr>
          <w:sz w:val="16"/>
          <w:szCs w:val="16"/>
        </w:rPr>
        <w:t xml:space="preserve"> </w:t>
      </w:r>
      <w:r w:rsidRPr="00ED6EAA">
        <w:rPr>
          <w:i/>
          <w:sz w:val="16"/>
          <w:szCs w:val="16"/>
        </w:rPr>
        <w:t xml:space="preserve">Weller, </w:t>
      </w:r>
      <w:r w:rsidRPr="00ED6EAA">
        <w:rPr>
          <w:sz w:val="16"/>
          <w:szCs w:val="16"/>
        </w:rPr>
        <w:t>[15]</w:t>
      </w:r>
    </w:p>
  </w:footnote>
  <w:footnote w:id="5">
    <w:p w:rsidR="000B7DC6" w:rsidRPr="00ED6EAA" w:rsidRDefault="000B7DC6" w:rsidP="00A43C9D">
      <w:pPr>
        <w:pStyle w:val="FootnoteText"/>
        <w:rPr>
          <w:sz w:val="16"/>
          <w:szCs w:val="16"/>
        </w:rPr>
      </w:pPr>
      <w:r w:rsidRPr="00ED6EAA">
        <w:rPr>
          <w:rStyle w:val="FootnoteReference"/>
          <w:sz w:val="16"/>
          <w:szCs w:val="16"/>
        </w:rPr>
        <w:footnoteRef/>
      </w:r>
      <w:r w:rsidRPr="00ED6EAA">
        <w:rPr>
          <w:sz w:val="16"/>
          <w:szCs w:val="16"/>
        </w:rPr>
        <w:t xml:space="preserve"> [2004] UKHL 22</w:t>
      </w:r>
    </w:p>
  </w:footnote>
  <w:footnote w:id="6">
    <w:p w:rsidR="000B7DC6" w:rsidRPr="00ED6EAA" w:rsidRDefault="000B7DC6" w:rsidP="00A43C9D">
      <w:pPr>
        <w:pStyle w:val="FootnoteText"/>
        <w:rPr>
          <w:i/>
          <w:sz w:val="16"/>
          <w:szCs w:val="16"/>
        </w:rPr>
      </w:pPr>
      <w:r w:rsidRPr="00ED6EAA">
        <w:rPr>
          <w:rStyle w:val="FootnoteReference"/>
          <w:sz w:val="16"/>
          <w:szCs w:val="16"/>
        </w:rPr>
        <w:footnoteRef/>
      </w:r>
      <w:r w:rsidRPr="00ED6EAA">
        <w:rPr>
          <w:sz w:val="16"/>
          <w:szCs w:val="16"/>
        </w:rPr>
        <w:t xml:space="preserve"> </w:t>
      </w:r>
      <w:r w:rsidRPr="00ED6EAA">
        <w:rPr>
          <w:i/>
          <w:sz w:val="16"/>
          <w:szCs w:val="16"/>
        </w:rPr>
        <w:t xml:space="preserve">Re S (FC) (A Child) </w:t>
      </w:r>
      <w:r w:rsidRPr="00ED6EAA">
        <w:rPr>
          <w:sz w:val="16"/>
          <w:szCs w:val="16"/>
        </w:rPr>
        <w:t>[2004] UKHL 47, [17] per Lord Steyn</w:t>
      </w:r>
    </w:p>
  </w:footnote>
  <w:footnote w:id="7">
    <w:p w:rsidR="007E17D0" w:rsidRPr="00ED6EAA" w:rsidRDefault="007E17D0">
      <w:pPr>
        <w:pStyle w:val="FootnoteText"/>
        <w:rPr>
          <w:sz w:val="16"/>
          <w:szCs w:val="16"/>
        </w:rPr>
      </w:pPr>
      <w:r w:rsidRPr="00ED6EAA">
        <w:rPr>
          <w:rStyle w:val="FootnoteReference"/>
          <w:sz w:val="16"/>
          <w:szCs w:val="16"/>
        </w:rPr>
        <w:footnoteRef/>
      </w:r>
      <w:r w:rsidRPr="00ED6EAA">
        <w:rPr>
          <w:sz w:val="16"/>
          <w:szCs w:val="16"/>
        </w:rPr>
        <w:t xml:space="preserve"> Article 8 European Convention for the Protection of Human Rights and Fundamental Freedoms</w:t>
      </w:r>
    </w:p>
  </w:footnote>
  <w:footnote w:id="8">
    <w:p w:rsidR="000B7DC6" w:rsidRPr="00ED6EAA" w:rsidRDefault="000B7DC6" w:rsidP="009153D3">
      <w:pPr>
        <w:pStyle w:val="FootnoteText"/>
        <w:rPr>
          <w:sz w:val="16"/>
          <w:szCs w:val="16"/>
        </w:rPr>
      </w:pPr>
      <w:r w:rsidRPr="00ED6EAA">
        <w:rPr>
          <w:rStyle w:val="FootnoteReference"/>
          <w:sz w:val="16"/>
          <w:szCs w:val="16"/>
        </w:rPr>
        <w:footnoteRef/>
      </w:r>
      <w:r w:rsidRPr="00ED6EAA">
        <w:rPr>
          <w:sz w:val="16"/>
          <w:szCs w:val="16"/>
        </w:rPr>
        <w:t xml:space="preserve"> </w:t>
      </w:r>
      <w:r w:rsidRPr="00ED6EAA">
        <w:rPr>
          <w:i/>
          <w:sz w:val="16"/>
          <w:szCs w:val="16"/>
        </w:rPr>
        <w:t>Campbell</w:t>
      </w:r>
      <w:r w:rsidRPr="00ED6EAA">
        <w:rPr>
          <w:sz w:val="16"/>
          <w:szCs w:val="16"/>
        </w:rPr>
        <w:t xml:space="preserve">, [99] per Lord Hope </w:t>
      </w:r>
    </w:p>
  </w:footnote>
  <w:footnote w:id="9">
    <w:p w:rsidR="000B7DC6" w:rsidRPr="00ED6EAA" w:rsidRDefault="000B7DC6" w:rsidP="00DB5600">
      <w:pPr>
        <w:pStyle w:val="FootnoteText"/>
        <w:rPr>
          <w:sz w:val="16"/>
          <w:szCs w:val="16"/>
        </w:rPr>
      </w:pPr>
      <w:r w:rsidRPr="00ED6EAA">
        <w:rPr>
          <w:rStyle w:val="FootnoteReference"/>
          <w:sz w:val="16"/>
          <w:szCs w:val="16"/>
        </w:rPr>
        <w:footnoteRef/>
      </w:r>
      <w:r w:rsidRPr="00ED6EAA">
        <w:rPr>
          <w:sz w:val="16"/>
          <w:szCs w:val="16"/>
        </w:rPr>
        <w:t xml:space="preserve"> </w:t>
      </w:r>
      <w:r w:rsidRPr="00ED6EAA">
        <w:rPr>
          <w:i/>
          <w:sz w:val="16"/>
          <w:szCs w:val="16"/>
        </w:rPr>
        <w:t xml:space="preserve">Weller, </w:t>
      </w:r>
      <w:r w:rsidRPr="00ED6EAA">
        <w:rPr>
          <w:sz w:val="16"/>
          <w:szCs w:val="16"/>
        </w:rPr>
        <w:t>[30]</w:t>
      </w:r>
    </w:p>
  </w:footnote>
  <w:footnote w:id="10">
    <w:p w:rsidR="000B7DC6" w:rsidRPr="00ED6EAA" w:rsidRDefault="000B7DC6" w:rsidP="00A43C9D">
      <w:pPr>
        <w:pStyle w:val="FootnoteText"/>
        <w:rPr>
          <w:sz w:val="16"/>
          <w:szCs w:val="16"/>
        </w:rPr>
      </w:pPr>
      <w:r w:rsidRPr="00ED6EAA">
        <w:rPr>
          <w:rStyle w:val="FootnoteReference"/>
          <w:sz w:val="16"/>
          <w:szCs w:val="16"/>
        </w:rPr>
        <w:footnoteRef/>
      </w:r>
      <w:r w:rsidRPr="00ED6EAA">
        <w:rPr>
          <w:sz w:val="16"/>
          <w:szCs w:val="16"/>
        </w:rPr>
        <w:t xml:space="preserve"> </w:t>
      </w:r>
      <w:r w:rsidRPr="00ED6EAA">
        <w:rPr>
          <w:i/>
          <w:sz w:val="16"/>
          <w:szCs w:val="16"/>
        </w:rPr>
        <w:t xml:space="preserve">Murray v Big Pictures (UK) Ltd </w:t>
      </w:r>
      <w:r w:rsidRPr="00ED6EAA">
        <w:rPr>
          <w:sz w:val="16"/>
          <w:szCs w:val="16"/>
        </w:rPr>
        <w:t xml:space="preserve">[2008] EWCA </w:t>
      </w:r>
      <w:proofErr w:type="spellStart"/>
      <w:r w:rsidRPr="00ED6EAA">
        <w:rPr>
          <w:sz w:val="16"/>
          <w:szCs w:val="16"/>
        </w:rPr>
        <w:t>Civ</w:t>
      </w:r>
      <w:proofErr w:type="spellEnd"/>
      <w:r w:rsidRPr="00ED6EAA">
        <w:rPr>
          <w:sz w:val="16"/>
          <w:szCs w:val="16"/>
        </w:rPr>
        <w:t xml:space="preserve"> 446, [36].  Use of these factors has been endorsed by the Supreme Court (</w:t>
      </w:r>
      <w:r w:rsidRPr="00ED6EAA">
        <w:rPr>
          <w:i/>
          <w:sz w:val="16"/>
          <w:szCs w:val="16"/>
        </w:rPr>
        <w:t xml:space="preserve">In re JR 38 </w:t>
      </w:r>
      <w:r w:rsidRPr="00ED6EAA">
        <w:rPr>
          <w:sz w:val="16"/>
          <w:szCs w:val="16"/>
        </w:rPr>
        <w:t xml:space="preserve">[2015] UKSC 42 per Lord </w:t>
      </w:r>
      <w:proofErr w:type="spellStart"/>
      <w:r w:rsidRPr="00ED6EAA">
        <w:rPr>
          <w:sz w:val="16"/>
          <w:szCs w:val="16"/>
        </w:rPr>
        <w:t>Toulson</w:t>
      </w:r>
      <w:proofErr w:type="spellEnd"/>
      <w:r w:rsidRPr="00ED6EAA">
        <w:rPr>
          <w:sz w:val="16"/>
          <w:szCs w:val="16"/>
        </w:rPr>
        <w:t>)</w:t>
      </w:r>
    </w:p>
  </w:footnote>
  <w:footnote w:id="11">
    <w:p w:rsidR="000B7DC6" w:rsidRPr="00ED6EAA" w:rsidRDefault="000B7DC6">
      <w:pPr>
        <w:pStyle w:val="FootnoteText"/>
        <w:rPr>
          <w:i/>
          <w:sz w:val="16"/>
          <w:szCs w:val="16"/>
        </w:rPr>
      </w:pPr>
      <w:r w:rsidRPr="00ED6EAA">
        <w:rPr>
          <w:rStyle w:val="FootnoteReference"/>
          <w:sz w:val="16"/>
          <w:szCs w:val="16"/>
        </w:rPr>
        <w:footnoteRef/>
      </w:r>
      <w:r w:rsidRPr="00ED6EAA">
        <w:rPr>
          <w:sz w:val="16"/>
          <w:szCs w:val="16"/>
        </w:rPr>
        <w:t xml:space="preserve"> </w:t>
      </w:r>
      <w:r w:rsidRPr="00ED6EAA">
        <w:rPr>
          <w:i/>
          <w:sz w:val="16"/>
          <w:szCs w:val="16"/>
        </w:rPr>
        <w:t>Weller,</w:t>
      </w:r>
      <w:r w:rsidRPr="00ED6EAA">
        <w:rPr>
          <w:sz w:val="16"/>
          <w:szCs w:val="16"/>
        </w:rPr>
        <w:t xml:space="preserve"> [56-64]</w:t>
      </w:r>
    </w:p>
  </w:footnote>
  <w:footnote w:id="12">
    <w:p w:rsidR="000B7DC6" w:rsidRPr="00ED6EAA" w:rsidRDefault="000B7DC6">
      <w:pPr>
        <w:pStyle w:val="FootnoteText"/>
        <w:rPr>
          <w:sz w:val="16"/>
          <w:szCs w:val="16"/>
        </w:rPr>
      </w:pPr>
      <w:r w:rsidRPr="00ED6EAA">
        <w:rPr>
          <w:rStyle w:val="FootnoteReference"/>
          <w:sz w:val="16"/>
          <w:szCs w:val="16"/>
        </w:rPr>
        <w:footnoteRef/>
      </w:r>
      <w:r w:rsidRPr="00ED6EAA">
        <w:rPr>
          <w:sz w:val="16"/>
          <w:szCs w:val="16"/>
        </w:rPr>
        <w:t xml:space="preserve"> An issue specifically considered in </w:t>
      </w:r>
      <w:proofErr w:type="spellStart"/>
      <w:r w:rsidRPr="00ED6EAA">
        <w:rPr>
          <w:i/>
          <w:sz w:val="16"/>
          <w:szCs w:val="16"/>
        </w:rPr>
        <w:t>Reklos</w:t>
      </w:r>
      <w:proofErr w:type="spellEnd"/>
      <w:r w:rsidRPr="00ED6EAA">
        <w:rPr>
          <w:i/>
          <w:sz w:val="16"/>
          <w:szCs w:val="16"/>
        </w:rPr>
        <w:t xml:space="preserve"> and </w:t>
      </w:r>
      <w:proofErr w:type="spellStart"/>
      <w:r w:rsidRPr="00ED6EAA">
        <w:rPr>
          <w:i/>
          <w:sz w:val="16"/>
          <w:szCs w:val="16"/>
        </w:rPr>
        <w:t>Davourlis</w:t>
      </w:r>
      <w:proofErr w:type="spellEnd"/>
      <w:r w:rsidRPr="00ED6EAA">
        <w:rPr>
          <w:i/>
          <w:sz w:val="16"/>
          <w:szCs w:val="16"/>
        </w:rPr>
        <w:t xml:space="preserve"> v Greece </w:t>
      </w:r>
      <w:r w:rsidRPr="00ED6EAA">
        <w:rPr>
          <w:sz w:val="16"/>
          <w:szCs w:val="16"/>
        </w:rPr>
        <w:t>App no 1234/05 judgement 15.4.2009</w:t>
      </w:r>
    </w:p>
  </w:footnote>
  <w:footnote w:id="13">
    <w:p w:rsidR="009F080B" w:rsidRPr="00ED6EAA" w:rsidRDefault="009F080B" w:rsidP="009F080B">
      <w:pPr>
        <w:pStyle w:val="FootnoteText"/>
        <w:rPr>
          <w:sz w:val="16"/>
          <w:szCs w:val="16"/>
        </w:rPr>
      </w:pPr>
      <w:r w:rsidRPr="00ED6EAA">
        <w:rPr>
          <w:rStyle w:val="FootnoteReference"/>
          <w:sz w:val="16"/>
          <w:szCs w:val="16"/>
        </w:rPr>
        <w:footnoteRef/>
      </w:r>
      <w:r w:rsidRPr="00ED6EAA">
        <w:rPr>
          <w:sz w:val="16"/>
          <w:szCs w:val="16"/>
        </w:rPr>
        <w:t xml:space="preserve"> </w:t>
      </w:r>
      <w:r w:rsidRPr="00ED6EAA">
        <w:rPr>
          <w:i/>
          <w:sz w:val="16"/>
          <w:szCs w:val="16"/>
        </w:rPr>
        <w:t xml:space="preserve">Weller, </w:t>
      </w:r>
      <w:r w:rsidRPr="00ED6EAA">
        <w:rPr>
          <w:sz w:val="16"/>
          <w:szCs w:val="16"/>
        </w:rPr>
        <w:t>[39-41]</w:t>
      </w:r>
    </w:p>
  </w:footnote>
  <w:footnote w:id="14">
    <w:p w:rsidR="000B7DC6" w:rsidRPr="00ED6EAA" w:rsidRDefault="000B7DC6">
      <w:pPr>
        <w:pStyle w:val="FootnoteText"/>
        <w:rPr>
          <w:i/>
          <w:sz w:val="16"/>
          <w:szCs w:val="16"/>
        </w:rPr>
      </w:pPr>
      <w:r w:rsidRPr="00ED6EAA">
        <w:rPr>
          <w:rStyle w:val="FootnoteReference"/>
          <w:sz w:val="16"/>
          <w:szCs w:val="16"/>
        </w:rPr>
        <w:footnoteRef/>
      </w:r>
      <w:r w:rsidRPr="00ED6EAA">
        <w:rPr>
          <w:sz w:val="16"/>
          <w:szCs w:val="16"/>
        </w:rPr>
        <w:t xml:space="preserve"> </w:t>
      </w:r>
      <w:r w:rsidRPr="00ED6EAA">
        <w:rPr>
          <w:i/>
          <w:sz w:val="16"/>
          <w:szCs w:val="16"/>
        </w:rPr>
        <w:t xml:space="preserve">Von Hannover v Germany (No 2) </w:t>
      </w:r>
      <w:r w:rsidRPr="00ED6EAA">
        <w:rPr>
          <w:sz w:val="16"/>
          <w:szCs w:val="16"/>
        </w:rPr>
        <w:t>(2012) 55 EHRR 15 [108-113]</w:t>
      </w:r>
    </w:p>
  </w:footnote>
  <w:footnote w:id="15">
    <w:p w:rsidR="00997BB2" w:rsidRPr="00ED6EAA" w:rsidRDefault="00997BB2" w:rsidP="00997BB2">
      <w:pPr>
        <w:pStyle w:val="FootnoteText"/>
        <w:rPr>
          <w:sz w:val="16"/>
          <w:szCs w:val="16"/>
        </w:rPr>
      </w:pPr>
      <w:r w:rsidRPr="00ED6EAA">
        <w:rPr>
          <w:rStyle w:val="FootnoteReference"/>
          <w:sz w:val="16"/>
          <w:szCs w:val="16"/>
        </w:rPr>
        <w:footnoteRef/>
      </w:r>
      <w:r w:rsidRPr="00ED6EAA">
        <w:rPr>
          <w:sz w:val="16"/>
          <w:szCs w:val="16"/>
        </w:rPr>
        <w:t xml:space="preserve"> See Brian </w:t>
      </w:r>
      <w:proofErr w:type="spellStart"/>
      <w:r w:rsidRPr="00ED6EAA">
        <w:rPr>
          <w:sz w:val="16"/>
          <w:szCs w:val="16"/>
        </w:rPr>
        <w:t>Pillans</w:t>
      </w:r>
      <w:proofErr w:type="spellEnd"/>
      <w:r w:rsidRPr="00ED6EAA">
        <w:rPr>
          <w:sz w:val="16"/>
          <w:szCs w:val="16"/>
        </w:rPr>
        <w:t xml:space="preserve"> ‘Protecting the Privacy of Children: Weller v Associated Newspapers Ltd [2015 EWCA </w:t>
      </w:r>
      <w:proofErr w:type="spellStart"/>
      <w:r w:rsidRPr="00ED6EAA">
        <w:rPr>
          <w:sz w:val="16"/>
          <w:szCs w:val="16"/>
        </w:rPr>
        <w:t>Civ</w:t>
      </w:r>
      <w:proofErr w:type="spellEnd"/>
      <w:r w:rsidRPr="00ED6EAA">
        <w:rPr>
          <w:sz w:val="16"/>
          <w:szCs w:val="16"/>
        </w:rPr>
        <w:t xml:space="preserve"> 1176’ (2016) 1 CL 16; Jennifer Agate ‘Court of Appeal Dismisses Appeal in Weller v Associated Newspapers Ltd’ [2016] Ent LR 69</w:t>
      </w:r>
    </w:p>
  </w:footnote>
  <w:footnote w:id="16">
    <w:p w:rsidR="00997BB2" w:rsidRPr="00ED6EAA" w:rsidRDefault="00997BB2" w:rsidP="00997BB2">
      <w:pPr>
        <w:pStyle w:val="FootnoteText"/>
        <w:rPr>
          <w:sz w:val="16"/>
          <w:szCs w:val="16"/>
        </w:rPr>
      </w:pPr>
      <w:r w:rsidRPr="00ED6EAA">
        <w:rPr>
          <w:rStyle w:val="FootnoteReference"/>
          <w:sz w:val="16"/>
          <w:szCs w:val="16"/>
        </w:rPr>
        <w:footnoteRef/>
      </w:r>
      <w:r w:rsidRPr="00ED6EAA">
        <w:rPr>
          <w:sz w:val="16"/>
          <w:szCs w:val="16"/>
        </w:rPr>
        <w:t xml:space="preserve"> </w:t>
      </w:r>
      <w:proofErr w:type="spellStart"/>
      <w:r w:rsidRPr="00ED6EAA">
        <w:rPr>
          <w:sz w:val="16"/>
          <w:szCs w:val="16"/>
        </w:rPr>
        <w:t>Inforrm’s</w:t>
      </w:r>
      <w:proofErr w:type="spellEnd"/>
      <w:r w:rsidRPr="00ED6EAA">
        <w:rPr>
          <w:sz w:val="16"/>
          <w:szCs w:val="16"/>
        </w:rPr>
        <w:t xml:space="preserve"> Blog ‘</w:t>
      </w:r>
      <w:r w:rsidRPr="00ED6EAA">
        <w:rPr>
          <w:sz w:val="16"/>
          <w:szCs w:val="16"/>
          <w:lang w:val="en"/>
        </w:rPr>
        <w:t xml:space="preserve">News: Supreme Court refuses permission to appeal in Weller children paparazzi photographs case’ 26 March 2016 </w:t>
      </w:r>
      <w:hyperlink r:id="rId1" w:history="1">
        <w:r w:rsidRPr="00ED6EAA">
          <w:rPr>
            <w:rStyle w:val="Hyperlink"/>
            <w:sz w:val="16"/>
            <w:szCs w:val="16"/>
          </w:rPr>
          <w:t>https://inforrm.wordpress.com/2016/03/26/news-supreme-court-refuses-permission-to-appeal-in-weller-children-paparazzi-photographs-case/</w:t>
        </w:r>
      </w:hyperlink>
      <w:r w:rsidRPr="00ED6EAA">
        <w:rPr>
          <w:rStyle w:val="Hyperlink"/>
          <w:sz w:val="16"/>
          <w:szCs w:val="16"/>
        </w:rPr>
        <w:t xml:space="preserve"> </w:t>
      </w:r>
      <w:r w:rsidRPr="00ED6EAA">
        <w:rPr>
          <w:sz w:val="16"/>
          <w:szCs w:val="16"/>
          <w:lang w:val="en"/>
        </w:rPr>
        <w:t xml:space="preserve">accessed 28.4.16 </w:t>
      </w:r>
    </w:p>
  </w:footnote>
  <w:footnote w:id="17">
    <w:p w:rsidR="000B7DC6" w:rsidRPr="00ED6EAA" w:rsidRDefault="000B7DC6" w:rsidP="00A10F2F">
      <w:pPr>
        <w:pStyle w:val="FootnoteText"/>
        <w:rPr>
          <w:sz w:val="16"/>
          <w:szCs w:val="16"/>
        </w:rPr>
      </w:pPr>
      <w:r w:rsidRPr="00ED6EAA">
        <w:rPr>
          <w:rStyle w:val="FootnoteReference"/>
          <w:sz w:val="16"/>
          <w:szCs w:val="16"/>
        </w:rPr>
        <w:footnoteRef/>
      </w:r>
      <w:r w:rsidRPr="00ED6EAA">
        <w:rPr>
          <w:sz w:val="16"/>
          <w:szCs w:val="16"/>
        </w:rPr>
        <w:t xml:space="preserve"> Lord Justice </w:t>
      </w:r>
      <w:proofErr w:type="spellStart"/>
      <w:r w:rsidRPr="00ED6EAA">
        <w:rPr>
          <w:sz w:val="16"/>
          <w:szCs w:val="16"/>
        </w:rPr>
        <w:t>Leveson</w:t>
      </w:r>
      <w:proofErr w:type="spellEnd"/>
      <w:r w:rsidRPr="00ED6EAA">
        <w:rPr>
          <w:sz w:val="16"/>
          <w:szCs w:val="16"/>
        </w:rPr>
        <w:t xml:space="preserve">  </w:t>
      </w:r>
      <w:r w:rsidR="00612BA6">
        <w:rPr>
          <w:sz w:val="16"/>
          <w:szCs w:val="16"/>
        </w:rPr>
        <w:t>does however identify</w:t>
      </w:r>
      <w:r w:rsidRPr="00ED6EAA">
        <w:rPr>
          <w:sz w:val="16"/>
          <w:szCs w:val="16"/>
        </w:rPr>
        <w:t xml:space="preserve"> several ‘ordinary’  individuals whose phones were hacked by the press </w:t>
      </w:r>
      <w:r w:rsidR="009C67FE" w:rsidRPr="00ED6EAA">
        <w:rPr>
          <w:sz w:val="16"/>
          <w:szCs w:val="16"/>
        </w:rPr>
        <w:t xml:space="preserve">(‘An Inquiry Into the Culture, Practices and Ethics of the press (The </w:t>
      </w:r>
      <w:proofErr w:type="spellStart"/>
      <w:r w:rsidR="009C67FE" w:rsidRPr="00ED6EAA">
        <w:rPr>
          <w:sz w:val="16"/>
          <w:szCs w:val="16"/>
        </w:rPr>
        <w:t>Leveson</w:t>
      </w:r>
      <w:proofErr w:type="spellEnd"/>
      <w:r w:rsidR="009C67FE" w:rsidRPr="00ED6EAA">
        <w:rPr>
          <w:sz w:val="16"/>
          <w:szCs w:val="16"/>
        </w:rPr>
        <w:t xml:space="preserve"> Inquiry Report’) 2012)</w:t>
      </w:r>
    </w:p>
  </w:footnote>
  <w:footnote w:id="18">
    <w:p w:rsidR="000B7DC6" w:rsidRPr="00ED6EAA" w:rsidRDefault="000B7DC6" w:rsidP="00A10F2F">
      <w:pPr>
        <w:pStyle w:val="FootnoteText"/>
        <w:rPr>
          <w:sz w:val="16"/>
          <w:szCs w:val="16"/>
        </w:rPr>
      </w:pPr>
      <w:r w:rsidRPr="00ED6EAA">
        <w:rPr>
          <w:rStyle w:val="FootnoteReference"/>
          <w:sz w:val="16"/>
          <w:szCs w:val="16"/>
        </w:rPr>
        <w:footnoteRef/>
      </w:r>
      <w:r w:rsidRPr="00ED6EAA">
        <w:rPr>
          <w:sz w:val="16"/>
          <w:szCs w:val="16"/>
        </w:rPr>
        <w:t xml:space="preserve"> </w:t>
      </w:r>
      <w:r w:rsidR="007E17D0" w:rsidRPr="00ED6EAA">
        <w:rPr>
          <w:sz w:val="16"/>
          <w:szCs w:val="16"/>
        </w:rPr>
        <w:t xml:space="preserve">Although see </w:t>
      </w:r>
      <w:r w:rsidRPr="00ED6EAA">
        <w:rPr>
          <w:i/>
          <w:sz w:val="16"/>
          <w:szCs w:val="16"/>
        </w:rPr>
        <w:t xml:space="preserve">Applause Store Productions and another v Raphael </w:t>
      </w:r>
      <w:r w:rsidRPr="00ED6EAA">
        <w:rPr>
          <w:bCs/>
          <w:sz w:val="16"/>
          <w:szCs w:val="16"/>
        </w:rPr>
        <w:t xml:space="preserve">[2008] EWHC </w:t>
      </w:r>
      <w:bookmarkStart w:id="2" w:name="_Hlk204673871"/>
      <w:r w:rsidRPr="00ED6EAA">
        <w:rPr>
          <w:bCs/>
          <w:sz w:val="16"/>
          <w:szCs w:val="16"/>
        </w:rPr>
        <w:t>1781</w:t>
      </w:r>
      <w:bookmarkEnd w:id="2"/>
      <w:r w:rsidRPr="00ED6EAA">
        <w:rPr>
          <w:bCs/>
          <w:sz w:val="16"/>
          <w:szCs w:val="16"/>
        </w:rPr>
        <w:t xml:space="preserve"> (QB)</w:t>
      </w:r>
    </w:p>
  </w:footnote>
  <w:footnote w:id="19">
    <w:p w:rsidR="000B7DC6" w:rsidRPr="00ED6EAA" w:rsidRDefault="000B7DC6" w:rsidP="00237755">
      <w:pPr>
        <w:pStyle w:val="FootnoteText"/>
        <w:rPr>
          <w:sz w:val="16"/>
          <w:szCs w:val="16"/>
        </w:rPr>
      </w:pPr>
      <w:r w:rsidRPr="00ED6EAA">
        <w:rPr>
          <w:rStyle w:val="FootnoteReference"/>
          <w:sz w:val="16"/>
          <w:szCs w:val="16"/>
        </w:rPr>
        <w:footnoteRef/>
      </w:r>
      <w:r w:rsidRPr="00ED6EAA">
        <w:rPr>
          <w:sz w:val="16"/>
          <w:szCs w:val="16"/>
        </w:rPr>
        <w:t xml:space="preserve"> Crown Prosecution Service ‘Guidelines on prosecuting cases involving communications sent via soci</w:t>
      </w:r>
      <w:r w:rsidR="009C67FE" w:rsidRPr="00ED6EAA">
        <w:rPr>
          <w:sz w:val="16"/>
          <w:szCs w:val="16"/>
        </w:rPr>
        <w:t>al media’ (2012) outlines and provides</w:t>
      </w:r>
      <w:r w:rsidRPr="00ED6EAA">
        <w:rPr>
          <w:sz w:val="16"/>
          <w:szCs w:val="16"/>
        </w:rPr>
        <w:t xml:space="preserve"> guidance on offences likely to be commonly committed by the sending of communications via social media.</w:t>
      </w:r>
    </w:p>
  </w:footnote>
  <w:footnote w:id="20">
    <w:p w:rsidR="00BB4D3F" w:rsidRPr="00ED6EAA" w:rsidRDefault="00BB4D3F" w:rsidP="00BB4D3F">
      <w:pPr>
        <w:pStyle w:val="FootnoteText"/>
        <w:rPr>
          <w:i/>
          <w:sz w:val="16"/>
          <w:szCs w:val="16"/>
        </w:rPr>
      </w:pPr>
      <w:r w:rsidRPr="00997BB2">
        <w:rPr>
          <w:rStyle w:val="FootnoteReference"/>
          <w:sz w:val="16"/>
          <w:szCs w:val="16"/>
        </w:rPr>
        <w:footnoteRef/>
      </w:r>
      <w:r w:rsidRPr="00997BB2">
        <w:rPr>
          <w:sz w:val="16"/>
          <w:szCs w:val="16"/>
        </w:rPr>
        <w:t xml:space="preserve">  </w:t>
      </w:r>
      <w:r w:rsidR="00997BB2" w:rsidRPr="00997BB2">
        <w:rPr>
          <w:sz w:val="16"/>
          <w:szCs w:val="16"/>
        </w:rPr>
        <w:t xml:space="preserve">See </w:t>
      </w:r>
      <w:r w:rsidR="00997BB2">
        <w:rPr>
          <w:sz w:val="16"/>
          <w:szCs w:val="16"/>
        </w:rPr>
        <w:t xml:space="preserve">discussion in </w:t>
      </w:r>
      <w:r w:rsidR="00997BB2" w:rsidRPr="00997BB2">
        <w:rPr>
          <w:i/>
          <w:sz w:val="16"/>
          <w:szCs w:val="16"/>
        </w:rPr>
        <w:t xml:space="preserve">Johns v Associated Newspapers Ltd </w:t>
      </w:r>
      <w:r w:rsidR="00997BB2" w:rsidRPr="00997BB2">
        <w:rPr>
          <w:rFonts w:eastAsia="Times New Roman" w:cs="Times New Roman"/>
          <w:bCs/>
          <w:sz w:val="16"/>
          <w:szCs w:val="16"/>
          <w:lang w:eastAsia="en-GB"/>
        </w:rPr>
        <w:t>[2006] EWHC 1611 (QB)</w:t>
      </w:r>
      <w:r w:rsidR="00997BB2">
        <w:rPr>
          <w:rFonts w:eastAsia="Times New Roman" w:cs="Times New Roman"/>
          <w:bCs/>
          <w:sz w:val="16"/>
          <w:szCs w:val="16"/>
          <w:lang w:eastAsia="en-GB"/>
        </w:rPr>
        <w:t>.  NB however that it</w:t>
      </w:r>
      <w:r w:rsidRPr="00ED6EAA">
        <w:rPr>
          <w:sz w:val="16"/>
          <w:szCs w:val="16"/>
        </w:rPr>
        <w:t xml:space="preserve"> is implied in </w:t>
      </w:r>
      <w:r w:rsidR="009C67FE" w:rsidRPr="00ED6EAA">
        <w:rPr>
          <w:i/>
          <w:sz w:val="16"/>
          <w:szCs w:val="16"/>
        </w:rPr>
        <w:t xml:space="preserve">Von Hannover v Germany </w:t>
      </w:r>
      <w:r w:rsidR="009C67FE" w:rsidRPr="00ED6EAA">
        <w:rPr>
          <w:sz w:val="16"/>
          <w:szCs w:val="16"/>
        </w:rPr>
        <w:t>(2005) 40 EHRR 1 and</w:t>
      </w:r>
      <w:r w:rsidR="009C67FE" w:rsidRPr="00ED6EAA">
        <w:rPr>
          <w:i/>
          <w:sz w:val="16"/>
          <w:szCs w:val="16"/>
        </w:rPr>
        <w:t xml:space="preserve"> Von Hannover v Germany (No 2) </w:t>
      </w:r>
      <w:r w:rsidR="009C67FE" w:rsidRPr="00ED6EAA">
        <w:rPr>
          <w:sz w:val="16"/>
          <w:szCs w:val="16"/>
        </w:rPr>
        <w:t>(2012) 55 EHRR 15, [110]</w:t>
      </w:r>
      <w:r w:rsidRPr="00ED6EAA">
        <w:rPr>
          <w:sz w:val="16"/>
          <w:szCs w:val="16"/>
        </w:rPr>
        <w:t xml:space="preserve"> that a private individual unknown to the public would be able to claim the protection of article 8</w:t>
      </w:r>
    </w:p>
  </w:footnote>
  <w:footnote w:id="21">
    <w:p w:rsidR="000B7DC6" w:rsidRPr="00ED6EAA" w:rsidRDefault="000B7DC6">
      <w:pPr>
        <w:pStyle w:val="FootnoteText"/>
        <w:rPr>
          <w:sz w:val="16"/>
          <w:szCs w:val="16"/>
        </w:rPr>
      </w:pPr>
      <w:r w:rsidRPr="00ED6EAA">
        <w:rPr>
          <w:rStyle w:val="FootnoteReference"/>
          <w:sz w:val="16"/>
          <w:szCs w:val="16"/>
        </w:rPr>
        <w:footnoteRef/>
      </w:r>
      <w:r w:rsidRPr="00ED6EAA">
        <w:rPr>
          <w:sz w:val="16"/>
          <w:szCs w:val="16"/>
        </w:rPr>
        <w:t xml:space="preserve"> NSPCC Child Protection in Sport Unit ‘CPSU Briefings: Photographing and Filming Children in Sport’ (2012)</w:t>
      </w:r>
    </w:p>
  </w:footnote>
  <w:footnote w:id="22">
    <w:p w:rsidR="000B7DC6" w:rsidRPr="00ED6EAA" w:rsidRDefault="000B7DC6" w:rsidP="004A5ADD">
      <w:pPr>
        <w:pStyle w:val="FootnoteText"/>
        <w:rPr>
          <w:sz w:val="16"/>
          <w:szCs w:val="16"/>
        </w:rPr>
      </w:pPr>
      <w:r w:rsidRPr="00ED6EAA">
        <w:rPr>
          <w:rStyle w:val="FootnoteReference"/>
          <w:sz w:val="16"/>
          <w:szCs w:val="16"/>
        </w:rPr>
        <w:footnoteRef/>
      </w:r>
      <w:r w:rsidRPr="00ED6EAA">
        <w:rPr>
          <w:sz w:val="16"/>
          <w:szCs w:val="16"/>
        </w:rPr>
        <w:t xml:space="preserve"> </w:t>
      </w:r>
      <w:r w:rsidRPr="00ED6EAA">
        <w:rPr>
          <w:rFonts w:cs="Arial"/>
          <w:color w:val="000000"/>
          <w:sz w:val="16"/>
          <w:szCs w:val="16"/>
        </w:rPr>
        <w:t>Claire Bessant</w:t>
      </w:r>
      <w:r w:rsidRPr="00ED6EAA">
        <w:rPr>
          <w:sz w:val="16"/>
          <w:szCs w:val="16"/>
        </w:rPr>
        <w:t xml:space="preserve"> ‘Data Protection, Safeguarding and the Protection of Children’s Privacy:  Exploring local authority guidance on parental photography at school events, (2014) ICTL 23(3) 256 </w:t>
      </w:r>
    </w:p>
  </w:footnote>
  <w:footnote w:id="23">
    <w:p w:rsidR="000B7DC6" w:rsidRPr="00ED6EAA" w:rsidRDefault="000B7DC6" w:rsidP="00C17326">
      <w:pPr>
        <w:pStyle w:val="FootnoteText"/>
        <w:rPr>
          <w:sz w:val="16"/>
          <w:szCs w:val="16"/>
        </w:rPr>
      </w:pPr>
      <w:r w:rsidRPr="00ED6EAA">
        <w:rPr>
          <w:rStyle w:val="FootnoteReference"/>
          <w:sz w:val="16"/>
          <w:szCs w:val="16"/>
        </w:rPr>
        <w:footnoteRef/>
      </w:r>
      <w:r w:rsidRPr="00ED6EAA">
        <w:rPr>
          <w:sz w:val="16"/>
          <w:szCs w:val="16"/>
        </w:rPr>
        <w:t xml:space="preserve"> See </w:t>
      </w:r>
      <w:r w:rsidRPr="00ED6EAA">
        <w:rPr>
          <w:i/>
          <w:sz w:val="16"/>
          <w:szCs w:val="16"/>
        </w:rPr>
        <w:t>Weller</w:t>
      </w:r>
      <w:r w:rsidR="00D2165A">
        <w:rPr>
          <w:i/>
          <w:sz w:val="16"/>
          <w:szCs w:val="16"/>
        </w:rPr>
        <w:t>, [61]</w:t>
      </w:r>
    </w:p>
  </w:footnote>
  <w:footnote w:id="24">
    <w:p w:rsidR="000B7DC6" w:rsidRPr="00ED6EAA" w:rsidRDefault="000B7DC6">
      <w:pPr>
        <w:pStyle w:val="FootnoteText"/>
        <w:rPr>
          <w:i/>
          <w:sz w:val="16"/>
          <w:szCs w:val="16"/>
        </w:rPr>
      </w:pPr>
      <w:r w:rsidRPr="00ED6EAA">
        <w:rPr>
          <w:rStyle w:val="FootnoteReference"/>
          <w:sz w:val="16"/>
          <w:szCs w:val="16"/>
        </w:rPr>
        <w:footnoteRef/>
      </w:r>
      <w:r w:rsidRPr="00ED6EAA">
        <w:rPr>
          <w:sz w:val="16"/>
          <w:szCs w:val="16"/>
        </w:rPr>
        <w:t xml:space="preserve"> </w:t>
      </w:r>
      <w:r w:rsidR="00D2165A">
        <w:rPr>
          <w:sz w:val="16"/>
          <w:szCs w:val="16"/>
        </w:rPr>
        <w:t xml:space="preserve">See </w:t>
      </w:r>
      <w:r w:rsidR="00D2165A">
        <w:rPr>
          <w:i/>
          <w:sz w:val="16"/>
          <w:szCs w:val="16"/>
        </w:rPr>
        <w:t xml:space="preserve">Murray v Big Pictures (UK) Ltd </w:t>
      </w:r>
      <w:r w:rsidR="00D2165A" w:rsidRPr="00ED6EAA">
        <w:rPr>
          <w:sz w:val="16"/>
          <w:szCs w:val="16"/>
        </w:rPr>
        <w:t xml:space="preserve">[2008] EWCA </w:t>
      </w:r>
      <w:proofErr w:type="spellStart"/>
      <w:r w:rsidR="00D2165A" w:rsidRPr="00ED6EAA">
        <w:rPr>
          <w:sz w:val="16"/>
          <w:szCs w:val="16"/>
        </w:rPr>
        <w:t>Civ</w:t>
      </w:r>
      <w:proofErr w:type="spellEnd"/>
      <w:r w:rsidR="00D2165A" w:rsidRPr="00ED6EAA">
        <w:rPr>
          <w:sz w:val="16"/>
          <w:szCs w:val="16"/>
        </w:rPr>
        <w:t xml:space="preserve"> 446</w:t>
      </w:r>
      <w:r w:rsidR="00D2165A">
        <w:rPr>
          <w:sz w:val="16"/>
          <w:szCs w:val="16"/>
        </w:rPr>
        <w:t xml:space="preserve">; </w:t>
      </w:r>
      <w:r w:rsidR="00D2165A" w:rsidRPr="00D2165A">
        <w:rPr>
          <w:i/>
          <w:sz w:val="16"/>
          <w:szCs w:val="16"/>
        </w:rPr>
        <w:t xml:space="preserve">AAA </w:t>
      </w:r>
      <w:r w:rsidR="00D2165A">
        <w:rPr>
          <w:i/>
          <w:sz w:val="16"/>
          <w:szCs w:val="16"/>
        </w:rPr>
        <w:t xml:space="preserve">v Associated Newspapers Ltd </w:t>
      </w:r>
      <w:r w:rsidR="00D2165A">
        <w:rPr>
          <w:sz w:val="16"/>
          <w:szCs w:val="16"/>
        </w:rPr>
        <w:t xml:space="preserve">[2013] EWCA </w:t>
      </w:r>
      <w:proofErr w:type="spellStart"/>
      <w:r w:rsidR="00D2165A">
        <w:rPr>
          <w:sz w:val="16"/>
          <w:szCs w:val="16"/>
        </w:rPr>
        <w:t>Civ</w:t>
      </w:r>
      <w:proofErr w:type="spellEnd"/>
      <w:r w:rsidR="00D2165A">
        <w:rPr>
          <w:sz w:val="16"/>
          <w:szCs w:val="16"/>
        </w:rPr>
        <w:t xml:space="preserve"> 554</w:t>
      </w:r>
    </w:p>
  </w:footnote>
  <w:footnote w:id="25">
    <w:p w:rsidR="000B7DC6" w:rsidRPr="00ED6EAA" w:rsidRDefault="000B7DC6" w:rsidP="00AF6EC1">
      <w:pPr>
        <w:pStyle w:val="FootnoteText"/>
        <w:rPr>
          <w:sz w:val="16"/>
          <w:szCs w:val="16"/>
        </w:rPr>
      </w:pPr>
      <w:r w:rsidRPr="00ED6EAA">
        <w:rPr>
          <w:rStyle w:val="FootnoteReference"/>
          <w:sz w:val="16"/>
          <w:szCs w:val="16"/>
        </w:rPr>
        <w:footnoteRef/>
      </w:r>
      <w:r w:rsidRPr="00ED6EAA">
        <w:rPr>
          <w:sz w:val="16"/>
          <w:szCs w:val="16"/>
        </w:rPr>
        <w:t xml:space="preserve"> Jennifer Agate ‘Court of Appeal Dismisses Appeal in Weller v Associated Newspapers’ [2016] Ent LR 69, 70</w:t>
      </w:r>
    </w:p>
  </w:footnote>
  <w:footnote w:id="26">
    <w:p w:rsidR="00186014" w:rsidRPr="00186014" w:rsidRDefault="00186014">
      <w:pPr>
        <w:pStyle w:val="FootnoteText"/>
        <w:rPr>
          <w:i/>
          <w:sz w:val="16"/>
          <w:szCs w:val="16"/>
        </w:rPr>
      </w:pPr>
      <w:r w:rsidRPr="00186014">
        <w:rPr>
          <w:rStyle w:val="FootnoteReference"/>
          <w:sz w:val="16"/>
          <w:szCs w:val="16"/>
        </w:rPr>
        <w:footnoteRef/>
      </w:r>
      <w:r w:rsidRPr="00186014">
        <w:rPr>
          <w:sz w:val="16"/>
          <w:szCs w:val="16"/>
        </w:rPr>
        <w:t xml:space="preserve"> </w:t>
      </w:r>
      <w:r w:rsidRPr="00186014">
        <w:rPr>
          <w:i/>
          <w:sz w:val="16"/>
          <w:szCs w:val="16"/>
        </w:rPr>
        <w:t xml:space="preserve">Weller v Associated Newspapers Ltd </w:t>
      </w:r>
      <w:r w:rsidRPr="00186014">
        <w:rPr>
          <w:bCs/>
          <w:sz w:val="16"/>
          <w:szCs w:val="16"/>
        </w:rPr>
        <w:t>[2014] EWHC 1163 (QB),</w:t>
      </w:r>
      <w:r w:rsidRPr="00186014">
        <w:rPr>
          <w:i/>
          <w:sz w:val="16"/>
          <w:szCs w:val="16"/>
        </w:rPr>
        <w:t xml:space="preserve"> [168]</w:t>
      </w:r>
    </w:p>
  </w:footnote>
  <w:footnote w:id="27">
    <w:p w:rsidR="00186014" w:rsidRPr="00CE2035" w:rsidRDefault="00186014" w:rsidP="00186014">
      <w:pPr>
        <w:pStyle w:val="FootnoteText"/>
        <w:rPr>
          <w:sz w:val="16"/>
          <w:szCs w:val="16"/>
        </w:rPr>
      </w:pPr>
      <w:r w:rsidRPr="00CE2035">
        <w:rPr>
          <w:rStyle w:val="FootnoteReference"/>
          <w:sz w:val="16"/>
          <w:szCs w:val="16"/>
        </w:rPr>
        <w:footnoteRef/>
      </w:r>
      <w:r w:rsidRPr="00CE2035">
        <w:rPr>
          <w:sz w:val="16"/>
          <w:szCs w:val="16"/>
        </w:rPr>
        <w:t xml:space="preserve"> </w:t>
      </w:r>
      <w:r>
        <w:rPr>
          <w:sz w:val="16"/>
          <w:szCs w:val="16"/>
        </w:rPr>
        <w:t xml:space="preserve">These are the specific risks identified by Lord Dyson at [64].  </w:t>
      </w:r>
      <w:r w:rsidRPr="00CE2035">
        <w:rPr>
          <w:sz w:val="16"/>
          <w:szCs w:val="16"/>
        </w:rPr>
        <w:t xml:space="preserve">See </w:t>
      </w:r>
      <w:r>
        <w:rPr>
          <w:sz w:val="16"/>
          <w:szCs w:val="16"/>
        </w:rPr>
        <w:t xml:space="preserve">also </w:t>
      </w:r>
      <w:r w:rsidRPr="00CE2035">
        <w:rPr>
          <w:i/>
          <w:sz w:val="16"/>
          <w:szCs w:val="16"/>
        </w:rPr>
        <w:t xml:space="preserve">Jaqueline A v London Borough of Newham </w:t>
      </w:r>
      <w:r>
        <w:rPr>
          <w:sz w:val="16"/>
          <w:szCs w:val="16"/>
        </w:rPr>
        <w:t>(</w:t>
      </w:r>
      <w:r w:rsidRPr="00CE2035">
        <w:rPr>
          <w:sz w:val="16"/>
          <w:szCs w:val="16"/>
        </w:rPr>
        <w:t>QBD</w:t>
      </w:r>
      <w:r>
        <w:rPr>
          <w:sz w:val="16"/>
          <w:szCs w:val="16"/>
        </w:rPr>
        <w:t>)</w:t>
      </w:r>
      <w:r w:rsidRPr="00CE2035">
        <w:rPr>
          <w:sz w:val="16"/>
          <w:szCs w:val="16"/>
        </w:rPr>
        <w:t xml:space="preserve"> 16.10.2001 unreported</w:t>
      </w:r>
      <w:r>
        <w:rPr>
          <w:sz w:val="16"/>
          <w:szCs w:val="16"/>
        </w:rPr>
        <w:t xml:space="preserve"> </w:t>
      </w:r>
    </w:p>
  </w:footnote>
  <w:footnote w:id="28">
    <w:p w:rsidR="000B7DC6" w:rsidRPr="00ED6EAA" w:rsidRDefault="000B7DC6">
      <w:pPr>
        <w:pStyle w:val="FootnoteText"/>
        <w:rPr>
          <w:sz w:val="16"/>
          <w:szCs w:val="16"/>
        </w:rPr>
      </w:pPr>
      <w:r w:rsidRPr="00ED6EAA">
        <w:rPr>
          <w:rStyle w:val="FootnoteReference"/>
          <w:sz w:val="16"/>
          <w:szCs w:val="16"/>
        </w:rPr>
        <w:footnoteRef/>
      </w:r>
      <w:r w:rsidRPr="00ED6EAA">
        <w:rPr>
          <w:sz w:val="16"/>
          <w:szCs w:val="16"/>
        </w:rPr>
        <w:t xml:space="preserve"> </w:t>
      </w:r>
      <w:r w:rsidRPr="00ED6EAA">
        <w:rPr>
          <w:i/>
          <w:sz w:val="16"/>
          <w:szCs w:val="16"/>
        </w:rPr>
        <w:t>Weller [62]</w:t>
      </w:r>
      <w:r w:rsidRPr="00ED6EAA">
        <w:rPr>
          <w:sz w:val="16"/>
          <w:szCs w:val="16"/>
        </w:rPr>
        <w:t xml:space="preserve"> </w:t>
      </w:r>
    </w:p>
  </w:footnote>
  <w:footnote w:id="29">
    <w:p w:rsidR="000B7DC6" w:rsidRPr="00ED6EAA" w:rsidRDefault="000B7DC6" w:rsidP="00C17326">
      <w:pPr>
        <w:pStyle w:val="FootnoteText"/>
        <w:rPr>
          <w:i/>
          <w:sz w:val="16"/>
          <w:szCs w:val="16"/>
        </w:rPr>
      </w:pPr>
      <w:r w:rsidRPr="00ED6EAA">
        <w:rPr>
          <w:rStyle w:val="FootnoteReference"/>
          <w:sz w:val="16"/>
          <w:szCs w:val="16"/>
        </w:rPr>
        <w:footnoteRef/>
      </w:r>
      <w:r w:rsidRPr="00ED6EAA">
        <w:rPr>
          <w:sz w:val="16"/>
          <w:szCs w:val="16"/>
        </w:rPr>
        <w:t xml:space="preserve"> </w:t>
      </w:r>
      <w:proofErr w:type="spellStart"/>
      <w:r w:rsidRPr="00ED6EAA">
        <w:rPr>
          <w:i/>
          <w:sz w:val="16"/>
          <w:szCs w:val="16"/>
        </w:rPr>
        <w:t>Reklos</w:t>
      </w:r>
      <w:proofErr w:type="spellEnd"/>
      <w:r w:rsidRPr="00ED6EAA">
        <w:rPr>
          <w:i/>
          <w:sz w:val="16"/>
          <w:szCs w:val="16"/>
        </w:rPr>
        <w:t xml:space="preserve"> [41]</w:t>
      </w:r>
    </w:p>
  </w:footnote>
  <w:footnote w:id="30">
    <w:p w:rsidR="000B7DC6" w:rsidRPr="00ED6EAA" w:rsidRDefault="000B7DC6" w:rsidP="009F4CD3">
      <w:pPr>
        <w:pStyle w:val="FootnoteText"/>
        <w:rPr>
          <w:sz w:val="16"/>
          <w:szCs w:val="16"/>
        </w:rPr>
      </w:pPr>
      <w:r w:rsidRPr="00ED6EAA">
        <w:rPr>
          <w:rStyle w:val="FootnoteReference"/>
          <w:sz w:val="16"/>
          <w:szCs w:val="16"/>
        </w:rPr>
        <w:footnoteRef/>
      </w:r>
      <w:r w:rsidRPr="00ED6EAA">
        <w:rPr>
          <w:sz w:val="16"/>
          <w:szCs w:val="16"/>
        </w:rPr>
        <w:t xml:space="preserve"> </w:t>
      </w:r>
      <w:r w:rsidRPr="00ED6EAA">
        <w:rPr>
          <w:i/>
          <w:sz w:val="16"/>
          <w:szCs w:val="16"/>
        </w:rPr>
        <w:t xml:space="preserve">Weller [18] </w:t>
      </w:r>
      <w:r w:rsidRPr="00ED6EAA">
        <w:rPr>
          <w:sz w:val="16"/>
          <w:szCs w:val="16"/>
        </w:rPr>
        <w:t xml:space="preserve">citing </w:t>
      </w:r>
      <w:r w:rsidRPr="00ED6EAA">
        <w:rPr>
          <w:i/>
          <w:sz w:val="16"/>
          <w:szCs w:val="16"/>
        </w:rPr>
        <w:t xml:space="preserve">Hoskins v </w:t>
      </w:r>
      <w:proofErr w:type="spellStart"/>
      <w:r w:rsidRPr="00ED6EAA">
        <w:rPr>
          <w:i/>
          <w:sz w:val="16"/>
          <w:szCs w:val="16"/>
        </w:rPr>
        <w:t>Runting</w:t>
      </w:r>
      <w:proofErr w:type="spellEnd"/>
      <w:r w:rsidRPr="00ED6EAA">
        <w:rPr>
          <w:i/>
          <w:sz w:val="16"/>
          <w:szCs w:val="16"/>
        </w:rPr>
        <w:t xml:space="preserve"> </w:t>
      </w:r>
      <w:r w:rsidRPr="00ED6EAA">
        <w:rPr>
          <w:sz w:val="16"/>
          <w:szCs w:val="16"/>
        </w:rPr>
        <w:t>[2003] 3 NZLR 385 [138]</w:t>
      </w:r>
    </w:p>
  </w:footnote>
  <w:footnote w:id="31">
    <w:p w:rsidR="000B7DC6" w:rsidRPr="00ED6EAA" w:rsidRDefault="000B7DC6" w:rsidP="009F4CD3">
      <w:pPr>
        <w:pStyle w:val="FootnoteText"/>
        <w:rPr>
          <w:sz w:val="16"/>
          <w:szCs w:val="16"/>
        </w:rPr>
      </w:pPr>
      <w:r w:rsidRPr="00ED6EAA">
        <w:rPr>
          <w:rStyle w:val="FootnoteReference"/>
          <w:sz w:val="16"/>
          <w:szCs w:val="16"/>
        </w:rPr>
        <w:footnoteRef/>
      </w:r>
      <w:r w:rsidRPr="00ED6EAA">
        <w:rPr>
          <w:sz w:val="16"/>
          <w:szCs w:val="16"/>
        </w:rPr>
        <w:t xml:space="preserve"> </w:t>
      </w:r>
      <w:r w:rsidR="00D2165A" w:rsidRPr="00D2165A">
        <w:rPr>
          <w:i/>
          <w:sz w:val="16"/>
          <w:szCs w:val="16"/>
        </w:rPr>
        <w:t>Campbell</w:t>
      </w:r>
      <w:r w:rsidR="00D2165A">
        <w:rPr>
          <w:sz w:val="16"/>
          <w:szCs w:val="16"/>
        </w:rPr>
        <w:t>, [154] per Baroness Hale</w:t>
      </w:r>
    </w:p>
  </w:footnote>
  <w:footnote w:id="32">
    <w:p w:rsidR="000B7DC6" w:rsidRPr="00D2165A" w:rsidRDefault="000B7DC6" w:rsidP="009F4CD3">
      <w:pPr>
        <w:pStyle w:val="FootnoteText"/>
        <w:rPr>
          <w:sz w:val="16"/>
          <w:szCs w:val="16"/>
        </w:rPr>
      </w:pPr>
      <w:r w:rsidRPr="00ED6EAA">
        <w:rPr>
          <w:rStyle w:val="FootnoteReference"/>
          <w:sz w:val="16"/>
          <w:szCs w:val="16"/>
        </w:rPr>
        <w:footnoteRef/>
      </w:r>
      <w:r w:rsidRPr="00ED6EAA">
        <w:rPr>
          <w:sz w:val="16"/>
          <w:szCs w:val="16"/>
        </w:rPr>
        <w:t xml:space="preserve"> </w:t>
      </w:r>
      <w:r w:rsidRPr="00ED6EAA">
        <w:rPr>
          <w:rFonts w:eastAsia="Times New Roman" w:cs="Times New Roman"/>
          <w:i/>
          <w:sz w:val="16"/>
          <w:szCs w:val="16"/>
          <w:lang w:eastAsia="en-GB"/>
        </w:rPr>
        <w:t>Campbell</w:t>
      </w:r>
      <w:r w:rsidR="00D2165A">
        <w:rPr>
          <w:rFonts w:eastAsia="Times New Roman" w:cs="Times New Roman"/>
          <w:i/>
          <w:sz w:val="16"/>
          <w:szCs w:val="16"/>
          <w:lang w:eastAsia="en-GB"/>
        </w:rPr>
        <w:t>,</w:t>
      </w:r>
      <w:r w:rsidRPr="00D2165A">
        <w:rPr>
          <w:rFonts w:eastAsia="Times New Roman" w:cs="Times New Roman"/>
          <w:sz w:val="16"/>
          <w:szCs w:val="16"/>
          <w:lang w:eastAsia="en-GB"/>
        </w:rPr>
        <w:t xml:space="preserve"> </w:t>
      </w:r>
      <w:r w:rsidRPr="00D2165A">
        <w:rPr>
          <w:sz w:val="16"/>
          <w:szCs w:val="16"/>
        </w:rPr>
        <w:t>[75]</w:t>
      </w:r>
      <w:r w:rsidR="00D2165A">
        <w:rPr>
          <w:i/>
          <w:sz w:val="16"/>
          <w:szCs w:val="16"/>
        </w:rPr>
        <w:t xml:space="preserve"> </w:t>
      </w:r>
      <w:r w:rsidR="00D2165A">
        <w:rPr>
          <w:sz w:val="16"/>
          <w:szCs w:val="16"/>
        </w:rPr>
        <w:t>per Lord Hoffman</w:t>
      </w:r>
    </w:p>
  </w:footnote>
  <w:footnote w:id="33">
    <w:p w:rsidR="000B7DC6" w:rsidRPr="00ED6EAA" w:rsidRDefault="000B7DC6" w:rsidP="009F4CD3">
      <w:pPr>
        <w:pStyle w:val="FootnoteText"/>
        <w:rPr>
          <w:sz w:val="16"/>
          <w:szCs w:val="16"/>
        </w:rPr>
      </w:pPr>
      <w:r w:rsidRPr="00ED6EAA">
        <w:rPr>
          <w:rStyle w:val="FootnoteReference"/>
          <w:sz w:val="16"/>
          <w:szCs w:val="16"/>
        </w:rPr>
        <w:footnoteRef/>
      </w:r>
      <w:r w:rsidRPr="00ED6EAA">
        <w:rPr>
          <w:sz w:val="16"/>
          <w:szCs w:val="16"/>
        </w:rPr>
        <w:t xml:space="preserve"> Play By the Rules ‘Images of Children’ </w:t>
      </w:r>
      <w:hyperlink r:id="rId2" w:history="1">
        <w:r w:rsidR="00A257A1" w:rsidRPr="00ED6EAA">
          <w:rPr>
            <w:rStyle w:val="Hyperlink"/>
            <w:sz w:val="16"/>
            <w:szCs w:val="16"/>
          </w:rPr>
          <w:t>http://www.playbytherules.net.au/legal-stuff/child-protection/images-of-children accessed 29.4.16</w:t>
        </w:r>
      </w:hyperlink>
      <w:r w:rsidR="00A257A1" w:rsidRPr="00ED6EAA">
        <w:rPr>
          <w:sz w:val="16"/>
          <w:szCs w:val="16"/>
        </w:rPr>
        <w:t xml:space="preserve">; Nicole </w:t>
      </w:r>
      <w:proofErr w:type="spellStart"/>
      <w:r w:rsidR="00A257A1" w:rsidRPr="00ED6EAA">
        <w:rPr>
          <w:sz w:val="16"/>
          <w:szCs w:val="16"/>
        </w:rPr>
        <w:t>Moreham</w:t>
      </w:r>
      <w:proofErr w:type="spellEnd"/>
      <w:r w:rsidR="00A257A1" w:rsidRPr="00ED6EAA">
        <w:rPr>
          <w:sz w:val="16"/>
          <w:szCs w:val="16"/>
        </w:rPr>
        <w:t xml:space="preserve"> ‘Privacy in Public Places’ (2006) 65 CLJ 606</w:t>
      </w:r>
    </w:p>
  </w:footnote>
  <w:footnote w:id="34">
    <w:p w:rsidR="004F53A9" w:rsidRPr="00ED6EAA" w:rsidRDefault="004F53A9">
      <w:pPr>
        <w:pStyle w:val="FootnoteText"/>
        <w:rPr>
          <w:i/>
          <w:sz w:val="16"/>
          <w:szCs w:val="16"/>
        </w:rPr>
      </w:pPr>
      <w:r w:rsidRPr="00ED6EAA">
        <w:rPr>
          <w:rStyle w:val="FootnoteReference"/>
          <w:sz w:val="16"/>
          <w:szCs w:val="16"/>
        </w:rPr>
        <w:footnoteRef/>
      </w:r>
      <w:r w:rsidRPr="00ED6EAA">
        <w:rPr>
          <w:sz w:val="16"/>
          <w:szCs w:val="16"/>
        </w:rPr>
        <w:t xml:space="preserve"> </w:t>
      </w:r>
      <w:r w:rsidRPr="00ED6EAA">
        <w:rPr>
          <w:i/>
          <w:sz w:val="16"/>
          <w:szCs w:val="16"/>
        </w:rPr>
        <w:t>Weller [74]</w:t>
      </w:r>
    </w:p>
  </w:footnote>
  <w:footnote w:id="35">
    <w:p w:rsidR="00D21C7C" w:rsidRPr="00ED6EAA" w:rsidRDefault="00D21C7C" w:rsidP="00D21C7C">
      <w:pPr>
        <w:pStyle w:val="FootnoteText"/>
        <w:rPr>
          <w:sz w:val="16"/>
          <w:szCs w:val="16"/>
        </w:rPr>
      </w:pPr>
      <w:r w:rsidRPr="00ED6EAA">
        <w:rPr>
          <w:rStyle w:val="FootnoteReference"/>
          <w:sz w:val="16"/>
          <w:szCs w:val="16"/>
        </w:rPr>
        <w:footnoteRef/>
      </w:r>
      <w:r>
        <w:rPr>
          <w:sz w:val="16"/>
          <w:szCs w:val="16"/>
        </w:rPr>
        <w:t xml:space="preserve"> </w:t>
      </w:r>
      <w:proofErr w:type="spellStart"/>
      <w:r w:rsidRPr="00ED6EAA">
        <w:rPr>
          <w:sz w:val="16"/>
          <w:szCs w:val="16"/>
        </w:rPr>
        <w:t>Inforrm’s</w:t>
      </w:r>
      <w:proofErr w:type="spellEnd"/>
      <w:r w:rsidRPr="00ED6EAA">
        <w:rPr>
          <w:sz w:val="16"/>
          <w:szCs w:val="16"/>
        </w:rPr>
        <w:t xml:space="preserve"> Blog</w:t>
      </w:r>
      <w:r>
        <w:rPr>
          <w:sz w:val="16"/>
          <w:szCs w:val="16"/>
        </w:rPr>
        <w:t xml:space="preserve"> (n18)</w:t>
      </w:r>
    </w:p>
  </w:footnote>
  <w:footnote w:id="36">
    <w:p w:rsidR="000B7DC6" w:rsidRPr="00ED6EAA" w:rsidRDefault="000B7DC6" w:rsidP="00AA6A22">
      <w:pPr>
        <w:pStyle w:val="FootnoteText"/>
        <w:rPr>
          <w:sz w:val="16"/>
          <w:szCs w:val="16"/>
        </w:rPr>
      </w:pPr>
      <w:r w:rsidRPr="00ED6EAA">
        <w:rPr>
          <w:rStyle w:val="FootnoteReference"/>
          <w:sz w:val="16"/>
          <w:szCs w:val="16"/>
        </w:rPr>
        <w:footnoteRef/>
      </w:r>
      <w:r w:rsidRPr="00ED6EAA">
        <w:rPr>
          <w:sz w:val="16"/>
          <w:szCs w:val="16"/>
        </w:rPr>
        <w:t xml:space="preserve"> Jacob </w:t>
      </w:r>
      <w:proofErr w:type="spellStart"/>
      <w:r w:rsidRPr="00ED6EAA">
        <w:rPr>
          <w:sz w:val="16"/>
          <w:szCs w:val="16"/>
        </w:rPr>
        <w:t>Rowbottom</w:t>
      </w:r>
      <w:proofErr w:type="spellEnd"/>
      <w:r w:rsidRPr="00ED6EAA">
        <w:rPr>
          <w:sz w:val="16"/>
          <w:szCs w:val="16"/>
        </w:rPr>
        <w:t xml:space="preserve"> ‘A landmark at a turning point: Campbell and the use of privacy law to constrain media power’ (2015) 7(2) JML 170; Jacob </w:t>
      </w:r>
      <w:proofErr w:type="spellStart"/>
      <w:r w:rsidRPr="00ED6EAA">
        <w:rPr>
          <w:sz w:val="16"/>
          <w:szCs w:val="16"/>
        </w:rPr>
        <w:t>Rowbottom</w:t>
      </w:r>
      <w:proofErr w:type="spellEnd"/>
      <w:r w:rsidRPr="00ED6EAA">
        <w:rPr>
          <w:sz w:val="16"/>
          <w:szCs w:val="16"/>
        </w:rPr>
        <w:t xml:space="preserve"> ‘To rant, vent and converse: Protecting low level digital speech’ (2012) 71 (2) CLJ 355</w:t>
      </w:r>
    </w:p>
  </w:footnote>
  <w:footnote w:id="37">
    <w:p w:rsidR="000B7DC6" w:rsidRPr="00ED6EAA" w:rsidRDefault="000B7DC6">
      <w:pPr>
        <w:pStyle w:val="FootnoteText"/>
        <w:rPr>
          <w:sz w:val="16"/>
          <w:szCs w:val="16"/>
        </w:rPr>
      </w:pPr>
      <w:r w:rsidRPr="00ED6EAA">
        <w:rPr>
          <w:rStyle w:val="FootnoteReference"/>
          <w:sz w:val="16"/>
          <w:szCs w:val="16"/>
        </w:rPr>
        <w:footnoteRef/>
      </w:r>
      <w:r w:rsidRPr="00ED6EAA">
        <w:rPr>
          <w:sz w:val="16"/>
          <w:szCs w:val="16"/>
        </w:rPr>
        <w:t xml:space="preserve"> Rob Mindell ‘Rewriting privacy: the impact of online social networks’ (2012) Ent LR 52</w:t>
      </w:r>
    </w:p>
  </w:footnote>
  <w:footnote w:id="38">
    <w:p w:rsidR="000B7DC6" w:rsidRPr="00ED6EAA" w:rsidRDefault="000B7DC6">
      <w:pPr>
        <w:pStyle w:val="FootnoteText"/>
        <w:rPr>
          <w:sz w:val="16"/>
          <w:szCs w:val="16"/>
        </w:rPr>
      </w:pPr>
      <w:r w:rsidRPr="00ED6EAA">
        <w:rPr>
          <w:rStyle w:val="FootnoteReference"/>
          <w:sz w:val="16"/>
          <w:szCs w:val="16"/>
        </w:rPr>
        <w:footnoteRef/>
      </w:r>
      <w:r w:rsidRPr="00ED6EAA">
        <w:rPr>
          <w:sz w:val="16"/>
          <w:szCs w:val="16"/>
        </w:rPr>
        <w:t xml:space="preserve"> This appears to be the basis of the court’s decision in </w:t>
      </w:r>
      <w:proofErr w:type="spellStart"/>
      <w:r w:rsidRPr="00ED6EAA">
        <w:rPr>
          <w:i/>
          <w:sz w:val="16"/>
          <w:szCs w:val="16"/>
        </w:rPr>
        <w:t>Reklos</w:t>
      </w:r>
      <w:proofErr w:type="spellEnd"/>
      <w:r w:rsidRPr="00ED6EAA">
        <w:rPr>
          <w:i/>
          <w:sz w:val="16"/>
          <w:szCs w:val="16"/>
        </w:rPr>
        <w:t xml:space="preserve"> and </w:t>
      </w:r>
      <w:proofErr w:type="spellStart"/>
      <w:r w:rsidRPr="00ED6EAA">
        <w:rPr>
          <w:i/>
          <w:sz w:val="16"/>
          <w:szCs w:val="16"/>
        </w:rPr>
        <w:t>Davourlis</w:t>
      </w:r>
      <w:proofErr w:type="spellEnd"/>
      <w:r w:rsidRPr="00ED6EAA">
        <w:rPr>
          <w:i/>
          <w:sz w:val="16"/>
          <w:szCs w:val="16"/>
        </w:rPr>
        <w:t xml:space="preserve"> v Greece </w:t>
      </w:r>
      <w:r w:rsidRPr="00ED6EAA">
        <w:rPr>
          <w:sz w:val="16"/>
          <w:szCs w:val="16"/>
        </w:rPr>
        <w:t>App no 1234/05 judgment 15.4.2009; see also John Hartshorne ‘The Protection of Prosse</w:t>
      </w:r>
      <w:bookmarkStart w:id="3" w:name="_GoBack"/>
      <w:bookmarkEnd w:id="3"/>
      <w:r w:rsidRPr="00ED6EAA">
        <w:rPr>
          <w:sz w:val="16"/>
          <w:szCs w:val="16"/>
        </w:rPr>
        <w:t>r’s Privacy Categories within English tort law’ (2014) 22 TLJ 37, 50-51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406C"/>
    <w:multiLevelType w:val="hybridMultilevel"/>
    <w:tmpl w:val="7B22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95C89"/>
    <w:multiLevelType w:val="hybridMultilevel"/>
    <w:tmpl w:val="7408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B2A75"/>
    <w:multiLevelType w:val="hybridMultilevel"/>
    <w:tmpl w:val="2C3E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261D1"/>
    <w:multiLevelType w:val="hybridMultilevel"/>
    <w:tmpl w:val="924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2527D"/>
    <w:multiLevelType w:val="hybridMultilevel"/>
    <w:tmpl w:val="80886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3A7BEB"/>
    <w:multiLevelType w:val="hybridMultilevel"/>
    <w:tmpl w:val="70C8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A55C4"/>
    <w:multiLevelType w:val="hybridMultilevel"/>
    <w:tmpl w:val="114AC9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516D04FA"/>
    <w:multiLevelType w:val="hybridMultilevel"/>
    <w:tmpl w:val="550C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F87DBC"/>
    <w:multiLevelType w:val="hybridMultilevel"/>
    <w:tmpl w:val="D908A660"/>
    <w:lvl w:ilvl="0" w:tplc="450C5EA8">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6D1AC1"/>
    <w:multiLevelType w:val="hybridMultilevel"/>
    <w:tmpl w:val="B98CA1AE"/>
    <w:lvl w:ilvl="0" w:tplc="6E66DF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num>
  <w:num w:numId="6">
    <w:abstractNumId w:val="1"/>
  </w:num>
  <w:num w:numId="7">
    <w:abstractNumId w:val="6"/>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9D"/>
    <w:rsid w:val="0005151C"/>
    <w:rsid w:val="0008371B"/>
    <w:rsid w:val="0008371F"/>
    <w:rsid w:val="000A438F"/>
    <w:rsid w:val="000A615E"/>
    <w:rsid w:val="000B561A"/>
    <w:rsid w:val="000B7DC6"/>
    <w:rsid w:val="000E7F6E"/>
    <w:rsid w:val="0010035E"/>
    <w:rsid w:val="00113AB6"/>
    <w:rsid w:val="00115B20"/>
    <w:rsid w:val="0012589F"/>
    <w:rsid w:val="0014229B"/>
    <w:rsid w:val="00161010"/>
    <w:rsid w:val="00170A2A"/>
    <w:rsid w:val="001777C7"/>
    <w:rsid w:val="00186014"/>
    <w:rsid w:val="0019680E"/>
    <w:rsid w:val="001C5177"/>
    <w:rsid w:val="001D440D"/>
    <w:rsid w:val="002002C7"/>
    <w:rsid w:val="00220925"/>
    <w:rsid w:val="00237755"/>
    <w:rsid w:val="002400C0"/>
    <w:rsid w:val="002844CB"/>
    <w:rsid w:val="002A78F4"/>
    <w:rsid w:val="002C4F66"/>
    <w:rsid w:val="002D3D53"/>
    <w:rsid w:val="002E235A"/>
    <w:rsid w:val="002E62FA"/>
    <w:rsid w:val="003018EF"/>
    <w:rsid w:val="00303489"/>
    <w:rsid w:val="00321AC8"/>
    <w:rsid w:val="003521FD"/>
    <w:rsid w:val="00361355"/>
    <w:rsid w:val="00370F49"/>
    <w:rsid w:val="003D4EEB"/>
    <w:rsid w:val="003E19EC"/>
    <w:rsid w:val="004059C5"/>
    <w:rsid w:val="00412D45"/>
    <w:rsid w:val="00430C2B"/>
    <w:rsid w:val="00463E15"/>
    <w:rsid w:val="00464284"/>
    <w:rsid w:val="00470632"/>
    <w:rsid w:val="004907A3"/>
    <w:rsid w:val="00491631"/>
    <w:rsid w:val="004A5ADD"/>
    <w:rsid w:val="004E7E48"/>
    <w:rsid w:val="004F53A9"/>
    <w:rsid w:val="00567B5C"/>
    <w:rsid w:val="005B2B0D"/>
    <w:rsid w:val="005C04DE"/>
    <w:rsid w:val="005E67CF"/>
    <w:rsid w:val="00612BA6"/>
    <w:rsid w:val="00655589"/>
    <w:rsid w:val="00687BDC"/>
    <w:rsid w:val="006F47DC"/>
    <w:rsid w:val="00743B8D"/>
    <w:rsid w:val="00770CE2"/>
    <w:rsid w:val="007837B5"/>
    <w:rsid w:val="007E17D0"/>
    <w:rsid w:val="007F3260"/>
    <w:rsid w:val="007F7274"/>
    <w:rsid w:val="00831CEF"/>
    <w:rsid w:val="008503D2"/>
    <w:rsid w:val="00852723"/>
    <w:rsid w:val="00863893"/>
    <w:rsid w:val="008800FA"/>
    <w:rsid w:val="0088097A"/>
    <w:rsid w:val="008A632C"/>
    <w:rsid w:val="008B0779"/>
    <w:rsid w:val="008B686C"/>
    <w:rsid w:val="008C4474"/>
    <w:rsid w:val="008D46FA"/>
    <w:rsid w:val="009153D3"/>
    <w:rsid w:val="009421BB"/>
    <w:rsid w:val="009451FC"/>
    <w:rsid w:val="00990418"/>
    <w:rsid w:val="00997BB2"/>
    <w:rsid w:val="009C1FA0"/>
    <w:rsid w:val="009C67FE"/>
    <w:rsid w:val="009F080B"/>
    <w:rsid w:val="009F28A3"/>
    <w:rsid w:val="009F4CD3"/>
    <w:rsid w:val="009F51DD"/>
    <w:rsid w:val="00A05139"/>
    <w:rsid w:val="00A06F58"/>
    <w:rsid w:val="00A10F2F"/>
    <w:rsid w:val="00A257A1"/>
    <w:rsid w:val="00A43C9D"/>
    <w:rsid w:val="00A56A82"/>
    <w:rsid w:val="00A91CE8"/>
    <w:rsid w:val="00A933CD"/>
    <w:rsid w:val="00AA588D"/>
    <w:rsid w:val="00AA6A22"/>
    <w:rsid w:val="00AB177B"/>
    <w:rsid w:val="00AB5182"/>
    <w:rsid w:val="00AC6392"/>
    <w:rsid w:val="00AD15B1"/>
    <w:rsid w:val="00AF6EC1"/>
    <w:rsid w:val="00B16758"/>
    <w:rsid w:val="00B26F4F"/>
    <w:rsid w:val="00BB4D3F"/>
    <w:rsid w:val="00BE2F73"/>
    <w:rsid w:val="00C04666"/>
    <w:rsid w:val="00C17326"/>
    <w:rsid w:val="00C443A7"/>
    <w:rsid w:val="00C70727"/>
    <w:rsid w:val="00C72456"/>
    <w:rsid w:val="00C9772B"/>
    <w:rsid w:val="00CE2035"/>
    <w:rsid w:val="00CE3856"/>
    <w:rsid w:val="00D00629"/>
    <w:rsid w:val="00D10D76"/>
    <w:rsid w:val="00D2165A"/>
    <w:rsid w:val="00D21C7C"/>
    <w:rsid w:val="00D31FB0"/>
    <w:rsid w:val="00D35AEB"/>
    <w:rsid w:val="00D55B7F"/>
    <w:rsid w:val="00D73795"/>
    <w:rsid w:val="00D95253"/>
    <w:rsid w:val="00DB5600"/>
    <w:rsid w:val="00E157EA"/>
    <w:rsid w:val="00E20A6B"/>
    <w:rsid w:val="00E327A5"/>
    <w:rsid w:val="00E34E6A"/>
    <w:rsid w:val="00E849A6"/>
    <w:rsid w:val="00E9019B"/>
    <w:rsid w:val="00ED6EAA"/>
    <w:rsid w:val="00EE0D60"/>
    <w:rsid w:val="00F00022"/>
    <w:rsid w:val="00F210FB"/>
    <w:rsid w:val="00F26502"/>
    <w:rsid w:val="00F33617"/>
    <w:rsid w:val="00FB15F5"/>
    <w:rsid w:val="00FB2B9E"/>
    <w:rsid w:val="00FB3BA6"/>
    <w:rsid w:val="00FB4AE1"/>
    <w:rsid w:val="00FF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3930AB-DB82-46DF-8227-B33FBE24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3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C9D"/>
    <w:rPr>
      <w:sz w:val="20"/>
      <w:szCs w:val="20"/>
    </w:rPr>
  </w:style>
  <w:style w:type="character" w:styleId="FootnoteReference">
    <w:name w:val="footnote reference"/>
    <w:basedOn w:val="DefaultParagraphFont"/>
    <w:uiPriority w:val="99"/>
    <w:semiHidden/>
    <w:unhideWhenUsed/>
    <w:rsid w:val="00A43C9D"/>
    <w:rPr>
      <w:vertAlign w:val="superscript"/>
    </w:rPr>
  </w:style>
  <w:style w:type="paragraph" w:styleId="ListParagraph">
    <w:name w:val="List Paragraph"/>
    <w:basedOn w:val="Normal"/>
    <w:uiPriority w:val="34"/>
    <w:qFormat/>
    <w:rsid w:val="00A43C9D"/>
    <w:pPr>
      <w:ind w:left="720"/>
      <w:contextualSpacing/>
    </w:pPr>
  </w:style>
  <w:style w:type="paragraph" w:styleId="NormalWeb">
    <w:name w:val="Normal (Web)"/>
    <w:basedOn w:val="Normal"/>
    <w:uiPriority w:val="99"/>
    <w:unhideWhenUsed/>
    <w:rsid w:val="008503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03D2"/>
    <w:rPr>
      <w:color w:val="0563C1" w:themeColor="hyperlink"/>
      <w:u w:val="single"/>
    </w:rPr>
  </w:style>
  <w:style w:type="character" w:styleId="Emphasis">
    <w:name w:val="Emphasis"/>
    <w:basedOn w:val="DefaultParagraphFont"/>
    <w:uiPriority w:val="20"/>
    <w:qFormat/>
    <w:rsid w:val="00A56A82"/>
    <w:rPr>
      <w:i/>
      <w:iCs/>
    </w:rPr>
  </w:style>
  <w:style w:type="character" w:styleId="CommentReference">
    <w:name w:val="annotation reference"/>
    <w:basedOn w:val="DefaultParagraphFont"/>
    <w:uiPriority w:val="99"/>
    <w:semiHidden/>
    <w:unhideWhenUsed/>
    <w:rsid w:val="004F53A9"/>
    <w:rPr>
      <w:sz w:val="16"/>
      <w:szCs w:val="16"/>
    </w:rPr>
  </w:style>
  <w:style w:type="paragraph" w:styleId="CommentText">
    <w:name w:val="annotation text"/>
    <w:basedOn w:val="Normal"/>
    <w:link w:val="CommentTextChar"/>
    <w:uiPriority w:val="99"/>
    <w:semiHidden/>
    <w:unhideWhenUsed/>
    <w:rsid w:val="004F53A9"/>
    <w:pPr>
      <w:spacing w:line="240" w:lineRule="auto"/>
    </w:pPr>
    <w:rPr>
      <w:sz w:val="20"/>
      <w:szCs w:val="20"/>
    </w:rPr>
  </w:style>
  <w:style w:type="character" w:customStyle="1" w:styleId="CommentTextChar">
    <w:name w:val="Comment Text Char"/>
    <w:basedOn w:val="DefaultParagraphFont"/>
    <w:link w:val="CommentText"/>
    <w:uiPriority w:val="99"/>
    <w:semiHidden/>
    <w:rsid w:val="004F53A9"/>
    <w:rPr>
      <w:sz w:val="20"/>
      <w:szCs w:val="20"/>
    </w:rPr>
  </w:style>
  <w:style w:type="paragraph" w:styleId="CommentSubject">
    <w:name w:val="annotation subject"/>
    <w:basedOn w:val="CommentText"/>
    <w:next w:val="CommentText"/>
    <w:link w:val="CommentSubjectChar"/>
    <w:uiPriority w:val="99"/>
    <w:semiHidden/>
    <w:unhideWhenUsed/>
    <w:rsid w:val="004F53A9"/>
    <w:rPr>
      <w:b/>
      <w:bCs/>
    </w:rPr>
  </w:style>
  <w:style w:type="character" w:customStyle="1" w:styleId="CommentSubjectChar">
    <w:name w:val="Comment Subject Char"/>
    <w:basedOn w:val="CommentTextChar"/>
    <w:link w:val="CommentSubject"/>
    <w:uiPriority w:val="99"/>
    <w:semiHidden/>
    <w:rsid w:val="004F53A9"/>
    <w:rPr>
      <w:b/>
      <w:bCs/>
      <w:sz w:val="20"/>
      <w:szCs w:val="20"/>
    </w:rPr>
  </w:style>
  <w:style w:type="paragraph" w:styleId="BalloonText">
    <w:name w:val="Balloon Text"/>
    <w:basedOn w:val="Normal"/>
    <w:link w:val="BalloonTextChar"/>
    <w:uiPriority w:val="99"/>
    <w:semiHidden/>
    <w:unhideWhenUsed/>
    <w:rsid w:val="004F5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3A9"/>
    <w:rPr>
      <w:rFonts w:ascii="Segoe UI" w:hAnsi="Segoe UI" w:cs="Segoe UI"/>
      <w:sz w:val="18"/>
      <w:szCs w:val="18"/>
    </w:rPr>
  </w:style>
  <w:style w:type="paragraph" w:styleId="Revision">
    <w:name w:val="Revision"/>
    <w:hidden/>
    <w:uiPriority w:val="99"/>
    <w:semiHidden/>
    <w:rsid w:val="004F5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64776">
      <w:bodyDiv w:val="1"/>
      <w:marLeft w:val="0"/>
      <w:marRight w:val="0"/>
      <w:marTop w:val="0"/>
      <w:marBottom w:val="0"/>
      <w:divBdr>
        <w:top w:val="none" w:sz="0" w:space="0" w:color="auto"/>
        <w:left w:val="none" w:sz="0" w:space="0" w:color="auto"/>
        <w:bottom w:val="none" w:sz="0" w:space="0" w:color="auto"/>
        <w:right w:val="none" w:sz="0" w:space="0" w:color="auto"/>
      </w:divBdr>
      <w:divsChild>
        <w:div w:id="1594171567">
          <w:marLeft w:val="0"/>
          <w:marRight w:val="0"/>
          <w:marTop w:val="0"/>
          <w:marBottom w:val="0"/>
          <w:divBdr>
            <w:top w:val="none" w:sz="0" w:space="0" w:color="auto"/>
            <w:left w:val="none" w:sz="0" w:space="0" w:color="auto"/>
            <w:bottom w:val="none" w:sz="0" w:space="0" w:color="auto"/>
            <w:right w:val="none" w:sz="0" w:space="0" w:color="auto"/>
          </w:divBdr>
          <w:divsChild>
            <w:div w:id="974139071">
              <w:marLeft w:val="0"/>
              <w:marRight w:val="0"/>
              <w:marTop w:val="0"/>
              <w:marBottom w:val="0"/>
              <w:divBdr>
                <w:top w:val="none" w:sz="0" w:space="0" w:color="auto"/>
                <w:left w:val="none" w:sz="0" w:space="0" w:color="auto"/>
                <w:bottom w:val="none" w:sz="0" w:space="0" w:color="auto"/>
                <w:right w:val="none" w:sz="0" w:space="0" w:color="auto"/>
              </w:divBdr>
              <w:divsChild>
                <w:div w:id="986712203">
                  <w:marLeft w:val="0"/>
                  <w:marRight w:val="0"/>
                  <w:marTop w:val="0"/>
                  <w:marBottom w:val="0"/>
                  <w:divBdr>
                    <w:top w:val="none" w:sz="0" w:space="0" w:color="auto"/>
                    <w:left w:val="none" w:sz="0" w:space="0" w:color="auto"/>
                    <w:bottom w:val="none" w:sz="0" w:space="0" w:color="auto"/>
                    <w:right w:val="none" w:sz="0" w:space="0" w:color="auto"/>
                  </w:divBdr>
                  <w:divsChild>
                    <w:div w:id="254095845">
                      <w:marLeft w:val="0"/>
                      <w:marRight w:val="0"/>
                      <w:marTop w:val="0"/>
                      <w:marBottom w:val="0"/>
                      <w:divBdr>
                        <w:top w:val="none" w:sz="0" w:space="0" w:color="auto"/>
                        <w:left w:val="none" w:sz="0" w:space="0" w:color="auto"/>
                        <w:bottom w:val="none" w:sz="0" w:space="0" w:color="auto"/>
                        <w:right w:val="none" w:sz="0" w:space="0" w:color="auto"/>
                      </w:divBdr>
                      <w:divsChild>
                        <w:div w:id="915942897">
                          <w:marLeft w:val="0"/>
                          <w:marRight w:val="0"/>
                          <w:marTop w:val="0"/>
                          <w:marBottom w:val="0"/>
                          <w:divBdr>
                            <w:top w:val="none" w:sz="0" w:space="0" w:color="auto"/>
                            <w:left w:val="none" w:sz="0" w:space="0" w:color="auto"/>
                            <w:bottom w:val="none" w:sz="0" w:space="0" w:color="auto"/>
                            <w:right w:val="none" w:sz="0" w:space="0" w:color="auto"/>
                          </w:divBdr>
                          <w:divsChild>
                            <w:div w:id="1263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laybytherules.net.au/legal-stuff/child-protection/images-of-children%20accessed%2029.4.16" TargetMode="External"/><Relationship Id="rId1" Type="http://schemas.openxmlformats.org/officeDocument/2006/relationships/hyperlink" Target="https://inforrm.wordpress.com/2016/03/26/news-supreme-court-refuses-permission-to-appeal-in-weller-children-paparazzi-photographs-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7EB7B-EA32-4308-A307-84E3495D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3064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andPaul</dc:creator>
  <cp:keywords/>
  <dc:description/>
  <cp:lastModifiedBy>Claire andPaul</cp:lastModifiedBy>
  <cp:revision>4</cp:revision>
  <cp:lastPrinted>2016-04-29T13:48:00Z</cp:lastPrinted>
  <dcterms:created xsi:type="dcterms:W3CDTF">2016-05-11T11:11:00Z</dcterms:created>
  <dcterms:modified xsi:type="dcterms:W3CDTF">2016-05-11T11:53:00Z</dcterms:modified>
</cp:coreProperties>
</file>