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6D" w:rsidRPr="00226954" w:rsidRDefault="00FA3432" w:rsidP="005D3B28">
      <w:pPr>
        <w:pStyle w:val="Title"/>
        <w:jc w:val="both"/>
        <w:rPr>
          <w:rFonts w:asciiTheme="minorHAnsi" w:hAnsiTheme="minorHAnsi"/>
          <w:color w:val="auto"/>
        </w:rPr>
      </w:pPr>
      <w:r w:rsidRPr="00226954">
        <w:rPr>
          <w:rFonts w:asciiTheme="minorHAnsi" w:hAnsiTheme="minorHAnsi"/>
          <w:color w:val="auto"/>
        </w:rPr>
        <w:t>R</w:t>
      </w:r>
      <w:r w:rsidR="0044606D" w:rsidRPr="00226954">
        <w:rPr>
          <w:rFonts w:asciiTheme="minorHAnsi" w:hAnsiTheme="minorHAnsi"/>
          <w:color w:val="auto"/>
        </w:rPr>
        <w:t>ights</w:t>
      </w:r>
      <w:r w:rsidRPr="00226954">
        <w:rPr>
          <w:rFonts w:asciiTheme="minorHAnsi" w:hAnsiTheme="minorHAnsi"/>
          <w:color w:val="auto"/>
        </w:rPr>
        <w:t xml:space="preserve"> and liberties</w:t>
      </w:r>
      <w:r w:rsidR="0044606D" w:rsidRPr="00226954">
        <w:rPr>
          <w:rFonts w:asciiTheme="minorHAnsi" w:hAnsiTheme="minorHAnsi"/>
          <w:color w:val="auto"/>
        </w:rPr>
        <w:t xml:space="preserve">; </w:t>
      </w:r>
      <w:r w:rsidRPr="00226954">
        <w:rPr>
          <w:rFonts w:asciiTheme="minorHAnsi" w:hAnsiTheme="minorHAnsi"/>
          <w:color w:val="auto"/>
        </w:rPr>
        <w:t xml:space="preserve">their </w:t>
      </w:r>
      <w:r w:rsidR="0044606D" w:rsidRPr="00226954">
        <w:rPr>
          <w:rFonts w:asciiTheme="minorHAnsi" w:hAnsiTheme="minorHAnsi"/>
          <w:color w:val="auto"/>
        </w:rPr>
        <w:t>legal protection in the UK</w:t>
      </w:r>
    </w:p>
    <w:p w:rsidR="00E762CE" w:rsidRPr="00226954" w:rsidRDefault="00E762CE" w:rsidP="005D3B28">
      <w:pPr>
        <w:pStyle w:val="Heading1"/>
        <w:jc w:val="both"/>
        <w:rPr>
          <w:rFonts w:asciiTheme="minorHAnsi" w:hAnsiTheme="minorHAnsi"/>
        </w:rPr>
      </w:pPr>
      <w:r w:rsidRPr="00226954">
        <w:rPr>
          <w:rFonts w:asciiTheme="minorHAnsi" w:hAnsiTheme="minorHAnsi"/>
        </w:rPr>
        <w:t>Part 1</w:t>
      </w:r>
    </w:p>
    <w:p w:rsidR="00E762CE" w:rsidRPr="00226954" w:rsidRDefault="00E762CE" w:rsidP="005D3B28">
      <w:pPr>
        <w:spacing w:line="480" w:lineRule="auto"/>
        <w:jc w:val="both"/>
      </w:pPr>
    </w:p>
    <w:p w:rsidR="00C31F8F" w:rsidRDefault="00E762CE" w:rsidP="005D3B28">
      <w:pPr>
        <w:spacing w:line="480" w:lineRule="auto"/>
        <w:jc w:val="both"/>
      </w:pPr>
      <w:r w:rsidRPr="00226954">
        <w:t>In many Western democracies the rights of citizens are enshrined in a constitutional document usually known as a Bill or Charter of Rights. As Chapter</w:t>
      </w:r>
      <w:r w:rsidR="00891418" w:rsidRPr="00226954">
        <w:t xml:space="preserve"> </w:t>
      </w:r>
      <w:r w:rsidRPr="00226954">
        <w:t xml:space="preserve">3 will explain, the rights protected under such a constitutional document are often given a special status; in a number of countries they are entrenched. Until the inception of the Human Rights Act 1998 (HRA), the UK had no similar charter of rights. </w:t>
      </w:r>
      <w:r w:rsidR="009C3D32">
        <w:t>The Magna Carta 1215, while influential as a very early statement of rights, is not comparable to a modern Bill of Rights in terms of extent or impact on current law.</w:t>
      </w:r>
      <w:r w:rsidR="009C3D32">
        <w:rPr>
          <w:rStyle w:val="FootnoteReference"/>
        </w:rPr>
        <w:footnoteReference w:id="1"/>
      </w:r>
      <w:r w:rsidR="009C3D32">
        <w:t xml:space="preserve">  </w:t>
      </w:r>
      <w:r w:rsidRPr="00226954">
        <w:t xml:space="preserve">In 2000, the HRA afforded further </w:t>
      </w:r>
      <w:r w:rsidR="009C3D32">
        <w:t xml:space="preserve">domestic </w:t>
      </w:r>
      <w:r w:rsidRPr="00226954">
        <w:t>effect to the European Convention on Human Rights</w:t>
      </w:r>
      <w:r w:rsidR="009C3D32">
        <w:t>, as discussed in Chapter 4</w:t>
      </w:r>
      <w:r w:rsidRPr="00226954">
        <w:t>. But even under the HRA, the rights are not entrenched</w:t>
      </w:r>
      <w:r w:rsidR="00C31F8F">
        <w:t>, meaning that the HRA or parts of it could be repealed just as any other statute can be</w:t>
      </w:r>
      <w:r w:rsidRPr="00226954">
        <w:t xml:space="preserve">. </w:t>
      </w:r>
      <w:r w:rsidR="00C31F8F">
        <w:t xml:space="preserve">However, </w:t>
      </w:r>
      <w:r w:rsidR="001D5C74">
        <w:t>as Chapter 1 explains the inception of the HRA means that protections previously recognised as liberties are now recognised as rights.</w:t>
      </w:r>
    </w:p>
    <w:p w:rsidR="001D5C74" w:rsidRDefault="001D5C74" w:rsidP="005D3B28">
      <w:pPr>
        <w:spacing w:line="480" w:lineRule="auto"/>
        <w:jc w:val="both"/>
      </w:pPr>
    </w:p>
    <w:p w:rsidR="00E762CE" w:rsidRPr="00226954" w:rsidRDefault="00E762CE" w:rsidP="001D5C74">
      <w:pPr>
        <w:spacing w:line="480" w:lineRule="auto"/>
        <w:jc w:val="both"/>
      </w:pPr>
      <w:r w:rsidRPr="00226954">
        <w:t xml:space="preserve">Traditionally, </w:t>
      </w:r>
      <w:r w:rsidR="001D5C74">
        <w:t xml:space="preserve">pre-HRA, </w:t>
      </w:r>
      <w:r w:rsidRPr="00226954">
        <w:t xml:space="preserve">in order to discover which freedoms </w:t>
      </w:r>
      <w:r w:rsidR="001D5C74">
        <w:t>we</w:t>
      </w:r>
      <w:r w:rsidRPr="00226954">
        <w:t xml:space="preserve">re protected and the extent of that protection, it </w:t>
      </w:r>
      <w:r w:rsidR="001D5C74">
        <w:t>w</w:t>
      </w:r>
      <w:r w:rsidRPr="00226954">
        <w:t xml:space="preserve">as necessary to examine the common law, statutes and the influence of treaties to which the UK is a party, especially the European Convention on Human Rights. Civil liberties </w:t>
      </w:r>
      <w:r w:rsidR="001D5C74">
        <w:t>were</w:t>
      </w:r>
      <w:r w:rsidRPr="00226954">
        <w:t xml:space="preserve"> traditionally defined as residual, not entrenched as in other countries.</w:t>
      </w:r>
      <w:r w:rsidR="001D5C74">
        <w:t xml:space="preserve"> In other words, once the restrictions had been defined the area of liberty was the residue that could be recognised as remaining. Thus, t</w:t>
      </w:r>
      <w:r w:rsidRPr="00226954">
        <w:t xml:space="preserve">raditional judicial reasoning in civil liberties cases quite often consisted merely of </w:t>
      </w:r>
      <w:r w:rsidR="001D5C74">
        <w:t>the</w:t>
      </w:r>
      <w:r w:rsidRPr="00226954">
        <w:t xml:space="preserve"> application of the law deriving from statute and common law precedents; the negative liberty </w:t>
      </w:r>
      <w:r w:rsidRPr="00226954">
        <w:lastRenderedPageBreak/>
        <w:t>was simply what was left over after the scope of the restrictions had been determined. Often there was an application of common law precedents or a mechanistic approach to statutory interpretation, which was devoid of principle in the sense of recognising that any important issues were at stake requiring a departure from that normal judicial technique. This approach was very marked in freedom of assembly cases.</w:t>
      </w:r>
      <w:r w:rsidR="001D5C74">
        <w:rPr>
          <w:rStyle w:val="FootnoteReference"/>
        </w:rPr>
        <w:footnoteReference w:id="2"/>
      </w:r>
      <w:r w:rsidRPr="00226954">
        <w:t xml:space="preserve"> In the first edition of this book it was necessary to confront a mass of common law and statutory restrictions on liberties to consider the width of these restrictions in order to determine the size of the residual area left within which liberty could be exercised.</w:t>
      </w:r>
      <w:r w:rsidR="007C2081" w:rsidRPr="00226954">
        <w:rPr>
          <w:rStyle w:val="FootnoteReference"/>
        </w:rPr>
        <w:footnoteReference w:id="3"/>
      </w:r>
      <w:r w:rsidRPr="00226954">
        <w:t xml:space="preserve"> This did not mean that civil liberties were without protection and in the late 1990s, the immediate pre-HRA era, certain common law ‘rights’ found recognition, as Chapter 3 explains. Thus, it was often said that civil liberties in the UK were in a more precarious position than they were in other democracies</w:t>
      </w:r>
      <w:r w:rsidR="001D5C74">
        <w:t xml:space="preserve"> with Bills of Rights</w:t>
      </w:r>
      <w:r w:rsidRPr="00226954">
        <w:t xml:space="preserve">, although this </w:t>
      </w:r>
      <w:r w:rsidR="001D5C74">
        <w:t xml:space="preserve">clearly </w:t>
      </w:r>
      <w:r w:rsidRPr="00226954">
        <w:t xml:space="preserve">did not necessarily mean that they were inevitably less well protected: some Bills of Rights offered only a theoretical protection to freedoms which was </w:t>
      </w:r>
      <w:r w:rsidR="001D5C74">
        <w:t>far from being</w:t>
      </w:r>
      <w:r w:rsidRPr="00226954">
        <w:t xml:space="preserve"> reflected in practice.</w:t>
      </w:r>
      <w:r w:rsidR="00217D0A">
        <w:t xml:space="preserve"> As Chapter 3 explains, freedoms obtained significant recognition under the common law pre-HRA, and continue to do so in the HRA era. The mere fact that a freedom falls within the area of an ECHR right, does not mean that further enquiry as to its protection under the common law should be abandoned.</w:t>
      </w:r>
      <w:r w:rsidR="00217D0A">
        <w:rPr>
          <w:rStyle w:val="FootnoteReference"/>
        </w:rPr>
        <w:footnoteReference w:id="4"/>
      </w:r>
      <w:r w:rsidR="00217D0A">
        <w:t xml:space="preserve"> </w:t>
      </w:r>
    </w:p>
    <w:p w:rsidR="004E5202" w:rsidRDefault="00E762CE" w:rsidP="005D3B28">
      <w:pPr>
        <w:spacing w:line="480" w:lineRule="auto"/>
        <w:ind w:firstLine="360"/>
        <w:jc w:val="both"/>
      </w:pPr>
      <w:r w:rsidRPr="00226954">
        <w:t xml:space="preserve">Certain characteristics of the UK </w:t>
      </w:r>
      <w:r w:rsidR="001D5C74">
        <w:t>C</w:t>
      </w:r>
      <w:r w:rsidRPr="00226954">
        <w:t xml:space="preserve">onstitution have determined and, under the HRA, are continuing to determine – albeit with some modification – the means of protecting fundamental freedoms in the UK. The doctrine of the supremacy of Parliament means that constitutional law can be changed in the ordinary way – by Act of Parliament. As every student of constitutional law knows, Parliament has the power to abridge freedoms that in other countries are seen as fundamental rights. It follows from this that, aside from EU law, all parts of the law are equal – there is no hierarchy of laws and therefore constitutional law cannot constrain other laws. In general there is no </w:t>
      </w:r>
      <w:r w:rsidRPr="00226954">
        <w:lastRenderedPageBreak/>
        <w:t xml:space="preserve">judicial review of Acts of Parliament. If, for example, a statute is passed containing a provision which in some way limits freedom of speech, a judge must apply it, whereas in a country with an entrenched Bill of Rights the provision might be struck down as unconstitutional. As Chapter 4 explains, s 3 HRA has placed </w:t>
      </w:r>
      <w:r w:rsidR="004E5202">
        <w:t xml:space="preserve">significant </w:t>
      </w:r>
      <w:r w:rsidRPr="00226954">
        <w:t xml:space="preserve">pressure on this traditional position, but technically it still subsists. </w:t>
      </w:r>
      <w:r w:rsidR="004E5202" w:rsidRPr="00226954">
        <w:t>Under the HRA, a judge is not able to declare a statutory provision invalid because it conflicts with a Convention right protected by the Act.</w:t>
      </w:r>
      <w:r w:rsidR="004E5202">
        <w:t xml:space="preserve"> </w:t>
      </w:r>
      <w:r w:rsidR="004E5202" w:rsidRPr="00226954">
        <w:t xml:space="preserve">These constitutional arrangements have not been fundamentally changed by the HRA but, as Chapter 4 indicates, they have been placed under </w:t>
      </w:r>
      <w:r w:rsidR="004E5202">
        <w:t xml:space="preserve">considerable </w:t>
      </w:r>
      <w:r w:rsidR="004E5202" w:rsidRPr="00226954">
        <w:t>pressure</w:t>
      </w:r>
      <w:r w:rsidR="004E5202">
        <w:t xml:space="preserve"> because</w:t>
      </w:r>
      <w:r w:rsidR="004E5202" w:rsidRPr="00226954">
        <w:t xml:space="preserve"> </w:t>
      </w:r>
      <w:r w:rsidR="004E5202">
        <w:t>t</w:t>
      </w:r>
      <w:r w:rsidR="004E5202" w:rsidRPr="00226954">
        <w:t xml:space="preserve">he HRA </w:t>
      </w:r>
      <w:proofErr w:type="gramStart"/>
      <w:r w:rsidR="004E5202">
        <w:t>e</w:t>
      </w:r>
      <w:r w:rsidR="004E5202" w:rsidRPr="00226954">
        <w:t>ffected</w:t>
      </w:r>
      <w:proofErr w:type="gramEnd"/>
      <w:r w:rsidR="004E5202" w:rsidRPr="00226954">
        <w:t xml:space="preserve"> a difficult compromise between protecting parliamentary sovereignty and achieving effective rights protection. </w:t>
      </w:r>
    </w:p>
    <w:p w:rsidR="00E762CE" w:rsidRPr="00226954" w:rsidRDefault="00E762CE" w:rsidP="005D3B28">
      <w:pPr>
        <w:spacing w:line="480" w:lineRule="auto"/>
        <w:ind w:firstLine="360"/>
        <w:jc w:val="both"/>
      </w:pPr>
      <w:r w:rsidRPr="00226954">
        <w:t>However, where fundamental rights are protected by EU law, which also reflects the principles of the European Convention on Human Rights, they take precedence over statutory provisions due to the supremacy of EU law. Thus if a domestic provision comes into conflict with an EU provision, the judge will decide to ‘</w:t>
      </w:r>
      <w:proofErr w:type="spellStart"/>
      <w:r w:rsidRPr="00226954">
        <w:t>disapply</w:t>
      </w:r>
      <w:proofErr w:type="spellEnd"/>
      <w:r w:rsidRPr="00226954">
        <w:t xml:space="preserve">’ it, unless the conflict can be resolved. </w:t>
      </w:r>
      <w:r w:rsidR="004E5202">
        <w:t>P</w:t>
      </w:r>
      <w:r w:rsidRPr="00226954">
        <w:t xml:space="preserve">arliamentary sovereignty has </w:t>
      </w:r>
      <w:r w:rsidR="004E5202">
        <w:t xml:space="preserve">therefore </w:t>
      </w:r>
      <w:r w:rsidRPr="00226954">
        <w:t>suffered some limitation. Where EU law does have an impact on fundamental freedoms, it provides a protection which may broadly be said to remove certain freedoms, or aspects of them, from the reach of Parliament, at least while the UK is a member of the EU.</w:t>
      </w:r>
    </w:p>
    <w:p w:rsidR="000A6D4F" w:rsidRDefault="00E762CE" w:rsidP="005D3B28">
      <w:pPr>
        <w:spacing w:line="480" w:lineRule="auto"/>
        <w:ind w:firstLine="360"/>
        <w:jc w:val="both"/>
      </w:pPr>
      <w:r w:rsidRPr="00226954">
        <w:t>That is the constitutional background to the HRA. It is still of great significance since it is crucial in the development of civil liberties in this country and because the HRA has been greatly influenced by the domestic constitutional traditions. This Part will seek to show that although the HRA is of immense constitutional significance, it has not brought about a fundamental constitutional transformation. It has a</w:t>
      </w:r>
      <w:r w:rsidR="000B67AE">
        <w:t xml:space="preserve">llowed </w:t>
      </w:r>
      <w:r w:rsidRPr="00226954">
        <w:t xml:space="preserve">the European Convention on Human Rights </w:t>
      </w:r>
      <w:r w:rsidR="000B67AE">
        <w:t xml:space="preserve">to be relied on directly </w:t>
      </w:r>
      <w:r w:rsidRPr="00226954">
        <w:t xml:space="preserve">in domestic </w:t>
      </w:r>
      <w:r w:rsidR="000B67AE">
        <w:t xml:space="preserve">courts, and </w:t>
      </w:r>
      <w:r w:rsidR="00754A19" w:rsidRPr="00226954">
        <w:t xml:space="preserve">in the fifteen years that the HRA has been in force </w:t>
      </w:r>
      <w:r w:rsidRPr="00226954">
        <w:t xml:space="preserve">there </w:t>
      </w:r>
      <w:r w:rsidR="00754A19" w:rsidRPr="00226954">
        <w:t>have been some</w:t>
      </w:r>
      <w:r w:rsidRPr="00226954">
        <w:t xml:space="preserve"> signs </w:t>
      </w:r>
      <w:r w:rsidR="000B67AE">
        <w:t xml:space="preserve">– but not many - </w:t>
      </w:r>
      <w:r w:rsidRPr="00226954">
        <w:t xml:space="preserve">that the judiciary are prepared to give a domestic effect to the rights that affords them a broader scope than they </w:t>
      </w:r>
      <w:r w:rsidR="000B67AE">
        <w:t xml:space="preserve">have been </w:t>
      </w:r>
      <w:r w:rsidRPr="00226954">
        <w:t xml:space="preserve">afforded at </w:t>
      </w:r>
      <w:r w:rsidR="001531A8">
        <w:t xml:space="preserve">the </w:t>
      </w:r>
      <w:r w:rsidRPr="00226954">
        <w:t>Strasbourg</w:t>
      </w:r>
      <w:r w:rsidR="001531A8">
        <w:t xml:space="preserve"> Court (the European Court of </w:t>
      </w:r>
      <w:r w:rsidR="001531A8">
        <w:lastRenderedPageBreak/>
        <w:t>Human Rights)</w:t>
      </w:r>
      <w:r w:rsidRPr="00226954">
        <w:t>.</w:t>
      </w:r>
      <w:r w:rsidR="00754A19" w:rsidRPr="00226954">
        <w:rPr>
          <w:rStyle w:val="FootnoteReference"/>
        </w:rPr>
        <w:footnoteReference w:id="5"/>
      </w:r>
      <w:r w:rsidRPr="00226954">
        <w:t xml:space="preserve"> Further, although </w:t>
      </w:r>
      <w:r w:rsidR="000B67AE">
        <w:t xml:space="preserve">under the HRA </w:t>
      </w:r>
      <w:r w:rsidRPr="00226954">
        <w:t>judges cannot strike down legislation, they can change it</w:t>
      </w:r>
      <w:r w:rsidR="000B67AE">
        <w:t>s provisions</w:t>
      </w:r>
      <w:r w:rsidRPr="00226954">
        <w:t xml:space="preserve"> through interpretation, which includes implying ‘missing’ words into it, or declare the incompatibility</w:t>
      </w:r>
      <w:r w:rsidR="000B67AE">
        <w:t xml:space="preserve"> between such provisions and one or more ECHR rights</w:t>
      </w:r>
      <w:r w:rsidRPr="00226954">
        <w:t>. Where they take the latter course, the government, as Chapter 4 shows, normally tends to respond.</w:t>
      </w:r>
      <w:r w:rsidR="000B67AE">
        <w:rPr>
          <w:rStyle w:val="FootnoteReference"/>
        </w:rPr>
        <w:footnoteReference w:id="6"/>
      </w:r>
      <w:r w:rsidRPr="00226954">
        <w:t xml:space="preserve"> Thus the HRA </w:t>
      </w:r>
      <w:r w:rsidR="00754A19" w:rsidRPr="00226954">
        <w:t xml:space="preserve">has shown a resemblance to </w:t>
      </w:r>
      <w:r w:rsidRPr="00226954">
        <w:t>a Bill of Rights, despite its limitations, which were imposed on it in accordance with British constitutional traditions.</w:t>
      </w:r>
      <w:r w:rsidR="000B67AE">
        <w:rPr>
          <w:rStyle w:val="FootnoteReference"/>
        </w:rPr>
        <w:footnoteReference w:id="7"/>
      </w:r>
      <w:r w:rsidRPr="00226954">
        <w:t xml:space="preserve"> This notion of </w:t>
      </w:r>
      <w:r w:rsidR="00AC16A4">
        <w:t xml:space="preserve">the </w:t>
      </w:r>
      <w:r w:rsidRPr="00226954">
        <w:t xml:space="preserve">transition </w:t>
      </w:r>
      <w:r w:rsidR="00AC16A4">
        <w:t xml:space="preserve">over the last fifteen years </w:t>
      </w:r>
      <w:r w:rsidRPr="00226954">
        <w:t xml:space="preserve">from an instrument giving an international instrument domestic effect to something resembling a Bill of Rights forms a </w:t>
      </w:r>
      <w:r w:rsidR="00457FA0">
        <w:t>key</w:t>
      </w:r>
      <w:r w:rsidRPr="00226954">
        <w:t xml:space="preserve"> theme in this Part, and indeed in this book as a whole.</w:t>
      </w:r>
      <w:r w:rsidR="00754A19" w:rsidRPr="00226954">
        <w:t xml:space="preserve"> </w:t>
      </w:r>
      <w:r w:rsidR="00457FA0">
        <w:t xml:space="preserve">But this edition </w:t>
      </w:r>
      <w:r w:rsidR="0062211E">
        <w:t xml:space="preserve">of this book </w:t>
      </w:r>
      <w:r w:rsidR="00457FA0">
        <w:t xml:space="preserve">is written at a time when pressure to repeal the HRA is apparent, partly due to </w:t>
      </w:r>
      <w:r w:rsidR="00DC25B5">
        <w:t>the rising fear of Islamic terrorism.</w:t>
      </w:r>
      <w:r w:rsidR="00457FA0">
        <w:t xml:space="preserve">  </w:t>
      </w:r>
    </w:p>
    <w:p w:rsidR="00327118" w:rsidRPr="00226954" w:rsidRDefault="000A6D4F" w:rsidP="00327118">
      <w:pPr>
        <w:spacing w:line="480" w:lineRule="auto"/>
        <w:ind w:firstLine="360"/>
        <w:jc w:val="both"/>
      </w:pPr>
      <w:r w:rsidRPr="00226954">
        <w:t>The HRA was introduced by the Labour Government in 1998 on the basis that the Convention rights were, finally, to be ‘brought home’.</w:t>
      </w:r>
      <w:r w:rsidRPr="00226954">
        <w:rPr>
          <w:rStyle w:val="FootnoteReference"/>
        </w:rPr>
        <w:footnoteReference w:id="8"/>
      </w:r>
      <w:r w:rsidRPr="00226954">
        <w:t xml:space="preserve"> There were expectations at that time that the HRA would revive the civil liberties tradition – there was a sense of a break with the erosions of liberty of the past.</w:t>
      </w:r>
      <w:r w:rsidRPr="00226954">
        <w:rPr>
          <w:vertAlign w:val="superscript"/>
        </w:rPr>
        <w:t>3</w:t>
      </w:r>
      <w:r w:rsidRPr="00226954">
        <w:t xml:space="preserve"> But before the HRA had had a chance to gain acceptance among politicians and the British people generally, the world was hit by the devastating 9/11 attacks. The same Labour government that passed the HRA was then responsible for an unprecedented incursion into peace-time civil liberties in an effort to address the terrorist threat. The legislative response began only one year after the HRA came into force, in 2001, when the Labour Government derogated from one of the most fundamental freedoms – the right to liberty.</w:t>
      </w:r>
      <w:r w:rsidRPr="00226954">
        <w:rPr>
          <w:rStyle w:val="FootnoteReference"/>
        </w:rPr>
        <w:footnoteReference w:id="9"/>
      </w:r>
      <w:r w:rsidRPr="00226954">
        <w:t xml:space="preserve"> The Labour government followed this derogation with further legislation that curbed freedoms which had long been entrenched as civil liberties </w:t>
      </w:r>
      <w:r w:rsidRPr="00226954">
        <w:lastRenderedPageBreak/>
        <w:t>before the inception of the HRA, including the Regulation of Investigatory Powers Act 2000 (see chapter 1</w:t>
      </w:r>
      <w:r>
        <w:t>0</w:t>
      </w:r>
      <w:r w:rsidRPr="00226954">
        <w:t xml:space="preserve">), the Serious and Organised Crime Act 2005 (see chapter 12) and, in response to the 7/7 bombings, the Terrorism Act 2006 (see Chapter 14). </w:t>
      </w:r>
      <w:r>
        <w:t>The Coalition government of 2010-2015 built on that legislation in passing the Counter-terrorism and Security Act 2015</w:t>
      </w:r>
      <w:r w:rsidR="007721D8">
        <w:t>,</w:t>
      </w:r>
      <w:r>
        <w:t xml:space="preserve"> and the current Conservative government proposes to introduce further legislation to combat extremism in Autumn 2015</w:t>
      </w:r>
      <w:r w:rsidR="00327118">
        <w:t>, in r</w:t>
      </w:r>
      <w:r w:rsidR="00327118" w:rsidRPr="00226954">
        <w:t>esponse to the spread of ISIS and the shooting of 30 Britons in Tunisia on 26</w:t>
      </w:r>
      <w:r w:rsidR="00327118" w:rsidRPr="00226954">
        <w:rPr>
          <w:vertAlign w:val="superscript"/>
        </w:rPr>
        <w:t>th</w:t>
      </w:r>
      <w:r w:rsidR="00327118" w:rsidRPr="00226954">
        <w:t xml:space="preserve"> June 2015, the greatest loss of British life in a terrorist attack since the 7/7 bombings</w:t>
      </w:r>
      <w:r w:rsidR="00327118">
        <w:t>.</w:t>
      </w:r>
      <w:r w:rsidR="00327118" w:rsidRPr="00226954">
        <w:t xml:space="preserve"> </w:t>
      </w:r>
    </w:p>
    <w:p w:rsidR="00FD586B" w:rsidRDefault="000A6D4F" w:rsidP="00DC25B5">
      <w:pPr>
        <w:spacing w:line="480" w:lineRule="auto"/>
        <w:ind w:firstLine="360"/>
        <w:jc w:val="both"/>
      </w:pPr>
      <w:r w:rsidRPr="00226954">
        <w:t>Thus, a key aim of this book is to consider the impact which the HRA has had in enhancing the protection for liberty in the face of a range of statutes enhancing state power very significantly</w:t>
      </w:r>
      <w:r>
        <w:t xml:space="preserve"> since 9/11</w:t>
      </w:r>
      <w:r w:rsidRPr="00226954">
        <w:t xml:space="preserve">. At the same time it will examine the </w:t>
      </w:r>
      <w:r>
        <w:t xml:space="preserve">extent to which </w:t>
      </w:r>
      <w:r w:rsidR="007721D8">
        <w:t xml:space="preserve">expansive interpretations of </w:t>
      </w:r>
      <w:r w:rsidRPr="00226954">
        <w:t xml:space="preserve">Convention rights </w:t>
      </w:r>
      <w:r>
        <w:t>are</w:t>
      </w:r>
      <w:r w:rsidRPr="00226954">
        <w:t xml:space="preserve"> </w:t>
      </w:r>
      <w:r w:rsidR="007721D8">
        <w:t xml:space="preserve">currently being retreated from at Strasbourg, </w:t>
      </w:r>
      <w:r w:rsidRPr="00226954">
        <w:t xml:space="preserve">in Parliament and in the courts. There is the possibility that, in Parliament, the rights </w:t>
      </w:r>
      <w:r w:rsidR="007721D8">
        <w:t xml:space="preserve">have at times been treated as </w:t>
      </w:r>
      <w:r w:rsidRPr="00226954">
        <w:t xml:space="preserve">guarantees </w:t>
      </w:r>
      <w:r>
        <w:t xml:space="preserve">partly emptied of content </w:t>
      </w:r>
      <w:r w:rsidRPr="00226954">
        <w:t xml:space="preserve">which cast a legitimising cloak over rights-abridging legislation and executive action. </w:t>
      </w:r>
    </w:p>
    <w:p w:rsidR="00DC25B5" w:rsidRPr="00226954" w:rsidRDefault="000A6D4F" w:rsidP="00DC25B5">
      <w:pPr>
        <w:spacing w:line="480" w:lineRule="auto"/>
        <w:ind w:firstLine="360"/>
        <w:jc w:val="both"/>
      </w:pPr>
      <w:r w:rsidRPr="00226954">
        <w:t xml:space="preserve">This book will argue that the </w:t>
      </w:r>
      <w:r w:rsidR="0062211E">
        <w:t xml:space="preserve">core values that </w:t>
      </w:r>
      <w:r w:rsidR="00FD586B">
        <w:t xml:space="preserve">human </w:t>
      </w:r>
      <w:r w:rsidR="0062211E">
        <w:t xml:space="preserve">rights protect </w:t>
      </w:r>
      <w:r w:rsidR="00FD586B">
        <w:t xml:space="preserve">– whether recognised under the ECHR, the common law, or in future under a British Bill of Rights - </w:t>
      </w:r>
      <w:r w:rsidRPr="00226954">
        <w:t xml:space="preserve">should be afforded a genuine efficacy, since the alternative would be likely to lead to a </w:t>
      </w:r>
      <w:r w:rsidRPr="00226954">
        <w:rPr>
          <w:i/>
          <w:iCs/>
        </w:rPr>
        <w:t xml:space="preserve">decrease </w:t>
      </w:r>
      <w:r w:rsidRPr="00226954">
        <w:t xml:space="preserve">in state accountability and an obscuring of political discourse as to the nature of state power and countervailing rights. </w:t>
      </w:r>
      <w:r w:rsidR="00FD586B">
        <w:t>T</w:t>
      </w:r>
      <w:r w:rsidRPr="00226954">
        <w:t xml:space="preserve">he fact that </w:t>
      </w:r>
      <w:r w:rsidR="00FD586B">
        <w:t xml:space="preserve">the UK </w:t>
      </w:r>
      <w:r w:rsidR="00370EA6">
        <w:t>may have</w:t>
      </w:r>
      <w:r w:rsidR="00FD586B">
        <w:t xml:space="preserve"> a </w:t>
      </w:r>
      <w:r w:rsidR="00370EA6">
        <w:t xml:space="preserve">British Bill of Rights or </w:t>
      </w:r>
      <w:r w:rsidRPr="00226954">
        <w:t xml:space="preserve">a </w:t>
      </w:r>
      <w:r w:rsidR="00370EA6">
        <w:t>measure</w:t>
      </w:r>
      <w:r w:rsidRPr="00226954">
        <w:t xml:space="preserve"> </w:t>
      </w:r>
      <w:r w:rsidR="00370EA6">
        <w:t xml:space="preserve">– the HRA - </w:t>
      </w:r>
      <w:r w:rsidRPr="00226954">
        <w:t xml:space="preserve">that looks something like a Bill of Rights, in the tradition of other democracies, should not </w:t>
      </w:r>
      <w:r w:rsidR="003E73C9">
        <w:t xml:space="preserve">necessarily </w:t>
      </w:r>
      <w:proofErr w:type="gramStart"/>
      <w:r w:rsidR="00370EA6">
        <w:t>be</w:t>
      </w:r>
      <w:proofErr w:type="gramEnd"/>
      <w:r w:rsidR="00370EA6">
        <w:t xml:space="preserve"> taken to suggest that rights protection is secured. Countervailing concerns </w:t>
      </w:r>
      <w:r w:rsidRPr="00226954">
        <w:t xml:space="preserve">are especially pressing at the present time, in 2015, after a number of terrorist incidents, including the murder of Lee Rigby in 2013, and the foiling of a range of terrorist plots. </w:t>
      </w:r>
      <w:r w:rsidR="003E73C9">
        <w:t xml:space="preserve">Indeed, such concerns are leading to the </w:t>
      </w:r>
      <w:r w:rsidR="00327118">
        <w:t xml:space="preserve">current </w:t>
      </w:r>
      <w:r w:rsidR="003E73C9">
        <w:t xml:space="preserve">demand for departure from ECHR standards. </w:t>
      </w:r>
      <w:r w:rsidR="00327118">
        <w:t>T</w:t>
      </w:r>
      <w:r w:rsidR="00370EA6">
        <w:t>he interaction between the HRA and the interests of unpopular minority groups</w:t>
      </w:r>
      <w:r w:rsidR="003E73C9">
        <w:t xml:space="preserve">, including suspected terrorists and </w:t>
      </w:r>
      <w:r w:rsidR="00370EA6">
        <w:t>prisoners</w:t>
      </w:r>
      <w:r w:rsidR="003E73C9">
        <w:t xml:space="preserve">, has fuelled the move to repeal the HRA. </w:t>
      </w:r>
      <w:r w:rsidR="00370EA6">
        <w:t>T</w:t>
      </w:r>
      <w:r w:rsidRPr="00226954">
        <w:t xml:space="preserve">he perception that the HRA stands in the way of adopting necessary security measures, in addition to </w:t>
      </w:r>
      <w:r w:rsidRPr="00226954">
        <w:lastRenderedPageBreak/>
        <w:t xml:space="preserve">various concerns that the Act is overly generous towards the morally culpable (such as prisoners and terrorists) has gradually become established in the popular consciousness. After fifteen years of the HRA, the Conservative government, now unrestrained by being part of a Coalition (albeit with a limited majority), and threatened by the anti-HRA rhetoric of UKIP, has stated that it intends to consult on repeal of the HRA </w:t>
      </w:r>
      <w:r w:rsidR="00DC25B5">
        <w:t xml:space="preserve">in 2017 or 2018 </w:t>
      </w:r>
      <w:r w:rsidRPr="00226954">
        <w:t xml:space="preserve">and </w:t>
      </w:r>
      <w:r w:rsidR="007721D8">
        <w:t xml:space="preserve">its </w:t>
      </w:r>
      <w:r w:rsidRPr="00226954">
        <w:t>replacement with a British Bill of Rights.</w:t>
      </w:r>
      <w:r w:rsidRPr="00226954">
        <w:rPr>
          <w:rStyle w:val="FootnoteReference"/>
        </w:rPr>
        <w:footnoteReference w:id="10"/>
      </w:r>
      <w:r w:rsidR="00DC25B5">
        <w:t xml:space="preserve"> </w:t>
      </w:r>
    </w:p>
    <w:p w:rsidR="000A6D4F" w:rsidRPr="00226954" w:rsidRDefault="000A6D4F" w:rsidP="000A6D4F">
      <w:pPr>
        <w:spacing w:line="480" w:lineRule="auto"/>
        <w:ind w:firstLine="360"/>
        <w:jc w:val="both"/>
      </w:pPr>
      <w:r w:rsidRPr="00226954">
        <w:t xml:space="preserve">It is argued in this book that the popular assessment of the HRA is </w:t>
      </w:r>
      <w:r w:rsidR="00327118">
        <w:t xml:space="preserve">largely </w:t>
      </w:r>
      <w:r w:rsidRPr="00226954">
        <w:t xml:space="preserve">unfounded and is the result of </w:t>
      </w:r>
      <w:r w:rsidR="00327118">
        <w:t>the</w:t>
      </w:r>
      <w:r w:rsidRPr="00226954">
        <w:t xml:space="preserve"> failure </w:t>
      </w:r>
      <w:r w:rsidR="00327118">
        <w:t>of</w:t>
      </w:r>
      <w:r w:rsidRPr="00226954">
        <w:t xml:space="preserve"> the British public to grasp its real nature and significance. The lack of popular support is a result of various problems with the popular image of human rights and with their operation in the UK under the HRA specifically. Human rights represent complex requirements whose specific content is often controversial (see Chapter 1). Furthermore, they create a profound legal challenge that redefines the role legal institutions play in developing the law in a common law jurisdiction, such as the UK. Finally, as discussed in Chapter 2, the practical enforcement of human rights in the UK is parasitic upon an international legal instrument (the European Convention of Human Rights). The</w:t>
      </w:r>
      <w:r w:rsidR="00327118">
        <w:t xml:space="preserve"> rights</w:t>
      </w:r>
      <w:r w:rsidRPr="00226954">
        <w:t xml:space="preserve"> are not ‘owned’ by the British people in the way that Canadians appear to own their Charter or US citizens their Constitution. </w:t>
      </w:r>
    </w:p>
    <w:p w:rsidR="000A6D4F" w:rsidRPr="00226954" w:rsidRDefault="000A6D4F" w:rsidP="000A6D4F">
      <w:pPr>
        <w:spacing w:line="480" w:lineRule="auto"/>
        <w:ind w:firstLine="360"/>
        <w:jc w:val="both"/>
      </w:pPr>
      <w:r w:rsidRPr="00226954">
        <w:t xml:space="preserve">All these difficulties with the popular image of human rights in the UK have been preyed upon by the British news media, which has been almost uniformly hostile to the HRA. This is a striking feature of the UK human rights debate (and the Bill of Rights debate, discussed in Chapter 3) since the news media are the traditional guardians of and even </w:t>
      </w:r>
      <w:r w:rsidRPr="00226954">
        <w:rPr>
          <w:i/>
        </w:rPr>
        <w:t xml:space="preserve">recipients </w:t>
      </w:r>
      <w:r w:rsidRPr="00226954">
        <w:t>of civil liberties and human rights (</w:t>
      </w:r>
      <w:r w:rsidR="00327118">
        <w:t>in particular,</w:t>
      </w:r>
      <w:r w:rsidRPr="00226954">
        <w:t xml:space="preserve"> the right to free expression; see Part 2). The reason for such hostility, in addition to the fertile ground for misunderstandings about the protection of human rights, is perhaps that the traditional conception of civil liberties in the UK undoubtedly gave greater weight to the right to free expression relative to the countervailing right to privacy (see chapter 10).</w:t>
      </w:r>
    </w:p>
    <w:p w:rsidR="000A6D4F" w:rsidRPr="00226954" w:rsidRDefault="000A6D4F" w:rsidP="000A6D4F">
      <w:pPr>
        <w:spacing w:line="480" w:lineRule="auto"/>
        <w:ind w:firstLine="360"/>
        <w:jc w:val="both"/>
      </w:pPr>
      <w:r w:rsidRPr="00226954">
        <w:lastRenderedPageBreak/>
        <w:t xml:space="preserve">So the HRA is under immense pressure at the present time, a time when, ironically, in a number of respects it has shown its ability to change the face of rights-protection in the UK. This is an age in which counterterrorist and organised crime concerns dominate the political agenda, and when the need for an instrument that can curb executive tendencies to introduce in response hasty, over-broad rights-abridging measures is especially pressing. </w:t>
      </w:r>
      <w:r w:rsidR="00327118">
        <w:t xml:space="preserve">But at the same time it will acknowledge that the maintenance of security is </w:t>
      </w:r>
      <w:r w:rsidR="00F513EE">
        <w:t>an essential prerequisite for the enjoyment in practise of the benefits of rights.</w:t>
      </w:r>
    </w:p>
    <w:p w:rsidR="00E762CE" w:rsidRPr="00226954" w:rsidRDefault="00AC16A4" w:rsidP="005D3B28">
      <w:pPr>
        <w:spacing w:line="480" w:lineRule="auto"/>
        <w:ind w:firstLine="360"/>
        <w:jc w:val="both"/>
      </w:pPr>
      <w:r>
        <w:t xml:space="preserve">In this Part </w:t>
      </w:r>
      <w:r w:rsidR="00E762CE" w:rsidRPr="00226954">
        <w:t>Chapter 1 will offer an indication of the theoretical basis of rights and liberties and of the distinction between them, seeking to demonstrate that a shift from liberties to rights has occurred</w:t>
      </w:r>
      <w:r>
        <w:t xml:space="preserve"> in the UK</w:t>
      </w:r>
      <w:r w:rsidR="00E762CE" w:rsidRPr="00226954">
        <w:t xml:space="preserve">. Chapter 2 will undertake analysis of the Treaty which has been afforded further effect in domestic law and which is </w:t>
      </w:r>
      <w:r>
        <w:t xml:space="preserve">currently </w:t>
      </w:r>
      <w:r w:rsidR="00E762CE" w:rsidRPr="00226954">
        <w:t xml:space="preserve">tending to act, in effect, as </w:t>
      </w:r>
      <w:r w:rsidR="00EF2D9C" w:rsidRPr="00226954">
        <w:t xml:space="preserve">the basis of </w:t>
      </w:r>
      <w:r w:rsidR="00E762CE" w:rsidRPr="00226954">
        <w:t>a UK Bill of Rights – the European Convention on Human Rights</w:t>
      </w:r>
      <w:r w:rsidR="00EF2D9C" w:rsidRPr="00226954">
        <w:t xml:space="preserve"> (ECHR)</w:t>
      </w:r>
      <w:r w:rsidR="00E762CE" w:rsidRPr="00226954">
        <w:t xml:space="preserve">. Chapter 3 will consider the nature and adequacy of the traditional domestic arrangements which protected fundamental freedoms </w:t>
      </w:r>
      <w:r>
        <w:t xml:space="preserve">mainly </w:t>
      </w:r>
      <w:r w:rsidR="00E762CE" w:rsidRPr="00226954">
        <w:t>as liberties</w:t>
      </w:r>
      <w:r w:rsidR="001A406F">
        <w:t xml:space="preserve"> and </w:t>
      </w:r>
      <w:r w:rsidR="001A406F" w:rsidRPr="00226954">
        <w:t>the extent to which the Convention influenced the domestic protection of civil liberties in the pre-HRA era</w:t>
      </w:r>
      <w:r>
        <w:t xml:space="preserve">; it </w:t>
      </w:r>
      <w:r w:rsidR="00E762CE" w:rsidRPr="00226954">
        <w:t xml:space="preserve">will </w:t>
      </w:r>
      <w:r>
        <w:t xml:space="preserve">also </w:t>
      </w:r>
      <w:r w:rsidR="00E762CE" w:rsidRPr="00226954">
        <w:t xml:space="preserve">consider </w:t>
      </w:r>
      <w:r w:rsidR="001A406F">
        <w:t xml:space="preserve">the </w:t>
      </w:r>
      <w:r>
        <w:t xml:space="preserve">current resurgence in 2013-15 of </w:t>
      </w:r>
      <w:r w:rsidR="001A406F">
        <w:t>common law rights, not reliant on the HRA.</w:t>
      </w:r>
      <w:r w:rsidR="001A406F">
        <w:rPr>
          <w:rStyle w:val="FootnoteReference"/>
        </w:rPr>
        <w:footnoteReference w:id="11"/>
      </w:r>
      <w:r w:rsidR="00E762CE" w:rsidRPr="00226954">
        <w:t xml:space="preserve">. </w:t>
      </w:r>
      <w:r w:rsidR="00EF2D9C" w:rsidRPr="00226954">
        <w:t xml:space="preserve">It will also </w:t>
      </w:r>
      <w:r w:rsidR="001A406F">
        <w:t>discuss</w:t>
      </w:r>
      <w:r w:rsidR="00EF2D9C" w:rsidRPr="00226954">
        <w:t xml:space="preserve"> the </w:t>
      </w:r>
      <w:r w:rsidR="001A406F">
        <w:t xml:space="preserve">proposal for the </w:t>
      </w:r>
      <w:r w:rsidR="00EF2D9C" w:rsidRPr="00226954">
        <w:t xml:space="preserve">future replacement of the HRA with a British Bill of Rights. </w:t>
      </w:r>
      <w:r w:rsidR="00E762CE" w:rsidRPr="00226954">
        <w:t xml:space="preserve">Chapter 4 will consider the nature of the instrument that has received the Convention into domestic law – the HRA. </w:t>
      </w:r>
      <w:r w:rsidR="00095DFF" w:rsidRPr="00226954">
        <w:t xml:space="preserve">Chapter 5 will consider </w:t>
      </w:r>
      <w:r w:rsidR="004241D2" w:rsidRPr="00226954">
        <w:t xml:space="preserve">the </w:t>
      </w:r>
      <w:r w:rsidR="003E5B8D" w:rsidRPr="00226954">
        <w:t xml:space="preserve">influence of the </w:t>
      </w:r>
      <w:r w:rsidR="00EF2D9C" w:rsidRPr="00226954">
        <w:t>ECHR</w:t>
      </w:r>
      <w:r w:rsidR="003E5B8D" w:rsidRPr="00226954">
        <w:t xml:space="preserve"> upon anti-discrimination law</w:t>
      </w:r>
      <w:r w:rsidR="001A406F">
        <w:t>,</w:t>
      </w:r>
      <w:r w:rsidR="003E5B8D" w:rsidRPr="00226954">
        <w:t xml:space="preserve"> and </w:t>
      </w:r>
      <w:r w:rsidR="00EF2D9C" w:rsidRPr="00226954">
        <w:t xml:space="preserve">the </w:t>
      </w:r>
      <w:r w:rsidR="003E5B8D" w:rsidRPr="00226954">
        <w:t xml:space="preserve">protection of </w:t>
      </w:r>
      <w:r w:rsidR="00095DFF" w:rsidRPr="00226954">
        <w:t>equality</w:t>
      </w:r>
      <w:r w:rsidR="003E5B8D" w:rsidRPr="00226954">
        <w:t xml:space="preserve"> in the UK</w:t>
      </w:r>
      <w:r w:rsidR="00095DFF" w:rsidRPr="00226954">
        <w:t>.</w:t>
      </w:r>
    </w:p>
    <w:p w:rsidR="00096938" w:rsidRPr="00226954" w:rsidRDefault="00096938" w:rsidP="00096938">
      <w:pPr>
        <w:spacing w:line="480" w:lineRule="auto"/>
        <w:ind w:firstLine="360"/>
        <w:jc w:val="both"/>
      </w:pPr>
    </w:p>
    <w:p w:rsidR="00E762CE" w:rsidRPr="00226954" w:rsidRDefault="00E762CE" w:rsidP="005D3B28">
      <w:pPr>
        <w:spacing w:line="480" w:lineRule="auto"/>
        <w:jc w:val="both"/>
        <w:rPr>
          <w:b/>
          <w:bCs/>
        </w:rPr>
      </w:pPr>
    </w:p>
    <w:p w:rsidR="00B9067D" w:rsidRDefault="00B9067D" w:rsidP="005D3B28">
      <w:pPr>
        <w:pStyle w:val="Title"/>
        <w:jc w:val="both"/>
        <w:rPr>
          <w:rFonts w:asciiTheme="minorHAnsi" w:hAnsiTheme="minorHAnsi"/>
        </w:rPr>
      </w:pPr>
      <w:r>
        <w:rPr>
          <w:rFonts w:asciiTheme="minorHAnsi" w:hAnsiTheme="minorHAnsi"/>
        </w:rPr>
        <w:t>Chapter 1</w:t>
      </w:r>
    </w:p>
    <w:p w:rsidR="00FA3432" w:rsidRPr="00226954" w:rsidRDefault="00B9067D" w:rsidP="005D3B28">
      <w:pPr>
        <w:pStyle w:val="Title"/>
        <w:jc w:val="both"/>
        <w:rPr>
          <w:rFonts w:asciiTheme="minorHAnsi" w:hAnsiTheme="minorHAnsi"/>
        </w:rPr>
      </w:pPr>
      <w:r>
        <w:rPr>
          <w:rFonts w:asciiTheme="minorHAnsi" w:hAnsiTheme="minorHAnsi"/>
        </w:rPr>
        <w:lastRenderedPageBreak/>
        <w:t>An i</w:t>
      </w:r>
      <w:r w:rsidR="00FA3432" w:rsidRPr="00226954">
        <w:rPr>
          <w:rFonts w:asciiTheme="minorHAnsi" w:hAnsiTheme="minorHAnsi"/>
        </w:rPr>
        <w:t>ntroduction</w:t>
      </w:r>
      <w:r>
        <w:rPr>
          <w:rFonts w:asciiTheme="minorHAnsi" w:hAnsiTheme="minorHAnsi"/>
        </w:rPr>
        <w:t xml:space="preserve"> to</w:t>
      </w:r>
      <w:r w:rsidR="00FA3432" w:rsidRPr="00226954">
        <w:rPr>
          <w:rFonts w:asciiTheme="minorHAnsi" w:hAnsiTheme="minorHAnsi"/>
        </w:rPr>
        <w:t xml:space="preserve"> the nature of rights and liberties</w:t>
      </w:r>
    </w:p>
    <w:p w:rsidR="00E762CE" w:rsidRPr="00226954" w:rsidRDefault="004C45EF" w:rsidP="005D3B28">
      <w:pPr>
        <w:pStyle w:val="Heading1"/>
        <w:jc w:val="both"/>
        <w:rPr>
          <w:rFonts w:asciiTheme="minorHAnsi" w:hAnsiTheme="minorHAnsi"/>
        </w:rPr>
      </w:pPr>
      <w:r w:rsidRPr="00226954">
        <w:rPr>
          <w:rFonts w:asciiTheme="minorHAnsi" w:hAnsiTheme="minorHAnsi"/>
        </w:rPr>
        <w:t>1 Introduction</w:t>
      </w:r>
    </w:p>
    <w:p w:rsidR="00E762CE" w:rsidRPr="00226954" w:rsidRDefault="00E762CE" w:rsidP="005D3B28">
      <w:pPr>
        <w:jc w:val="both"/>
      </w:pPr>
    </w:p>
    <w:p w:rsidR="004C45EF" w:rsidRPr="00226954" w:rsidRDefault="00E762CE" w:rsidP="005D3B28">
      <w:pPr>
        <w:spacing w:line="480" w:lineRule="auto"/>
        <w:jc w:val="both"/>
      </w:pPr>
      <w:r w:rsidRPr="00226954">
        <w:t xml:space="preserve">This book is intended to provide an analysis of the legal protection given to civil liberties </w:t>
      </w:r>
      <w:r w:rsidR="00E443DA" w:rsidRPr="00226954">
        <w:t xml:space="preserve">and human rights </w:t>
      </w:r>
      <w:r w:rsidRPr="00226954">
        <w:t>in the UK</w:t>
      </w:r>
      <w:r w:rsidR="00E443DA" w:rsidRPr="00226954">
        <w:t>.</w:t>
      </w:r>
      <w:r w:rsidR="00A67305" w:rsidRPr="00226954">
        <w:rPr>
          <w:rStyle w:val="FootnoteReference"/>
        </w:rPr>
        <w:footnoteReference w:id="12"/>
      </w:r>
      <w:r w:rsidR="00E443DA" w:rsidRPr="00226954">
        <w:t xml:space="preserve"> The term ‘civil liberties’ denotes the broad class of </w:t>
      </w:r>
      <w:r w:rsidR="009E468D" w:rsidRPr="00226954">
        <w:t>liberties</w:t>
      </w:r>
      <w:r w:rsidR="00E443DA" w:rsidRPr="00226954">
        <w:t xml:space="preserve"> often referred to as civil and political </w:t>
      </w:r>
      <w:r w:rsidR="009E468D" w:rsidRPr="00226954">
        <w:t>liberties</w:t>
      </w:r>
      <w:r w:rsidR="00E443DA" w:rsidRPr="00226954">
        <w:t xml:space="preserve"> as they are traditionally recognised in the UK,</w:t>
      </w:r>
      <w:r w:rsidR="00614156" w:rsidRPr="00226954">
        <w:rPr>
          <w:rStyle w:val="FootnoteReference"/>
        </w:rPr>
        <w:footnoteReference w:id="13"/>
      </w:r>
      <w:r w:rsidR="00E443DA" w:rsidRPr="00226954">
        <w:t xml:space="preserve"> while the term ‘human rights’ </w:t>
      </w:r>
      <w:r w:rsidR="00B2294F" w:rsidRPr="00226954">
        <w:t xml:space="preserve">broadly </w:t>
      </w:r>
      <w:r w:rsidR="00E443DA" w:rsidRPr="00226954">
        <w:t xml:space="preserve">refers to </w:t>
      </w:r>
      <w:r w:rsidR="007F686A">
        <w:t>rights that can be claimed against state bodies,</w:t>
      </w:r>
      <w:r w:rsidR="00E443DA" w:rsidRPr="00226954">
        <w:t xml:space="preserve"> recognised internationally in the Universal Declaration on Human Rights.</w:t>
      </w:r>
      <w:r w:rsidR="009E468D" w:rsidRPr="00226954">
        <w:t xml:space="preserve"> </w:t>
      </w:r>
      <w:r w:rsidR="00E443DA" w:rsidRPr="00226954">
        <w:t xml:space="preserve">In order to </w:t>
      </w:r>
      <w:r w:rsidR="009E468D" w:rsidRPr="00226954">
        <w:t xml:space="preserve">develop </w:t>
      </w:r>
      <w:r w:rsidR="00D9114F">
        <w:t>a</w:t>
      </w:r>
      <w:r w:rsidR="009E468D" w:rsidRPr="00226954">
        <w:t xml:space="preserve"> conception of these requirements</w:t>
      </w:r>
      <w:r w:rsidR="00E443DA" w:rsidRPr="00226954">
        <w:t xml:space="preserve"> a theoretical position will be outlined from which to mount an internally consistent critique of the state of civil liberties and human rights in the UK today.</w:t>
      </w:r>
      <w:r w:rsidR="00614156" w:rsidRPr="00226954">
        <w:rPr>
          <w:rStyle w:val="FootnoteReference"/>
        </w:rPr>
        <w:footnoteReference w:id="14"/>
      </w:r>
      <w:r w:rsidR="00E443DA" w:rsidRPr="00226954">
        <w:t xml:space="preserve"> This chapter will therefore aim to </w:t>
      </w:r>
      <w:r w:rsidR="00AA7CA1" w:rsidRPr="00226954">
        <w:t xml:space="preserve">provide an </w:t>
      </w:r>
      <w:r w:rsidR="00E443DA" w:rsidRPr="00226954">
        <w:t xml:space="preserve">outline account of </w:t>
      </w:r>
      <w:r w:rsidR="00A52816" w:rsidRPr="00226954">
        <w:t xml:space="preserve">the nature </w:t>
      </w:r>
      <w:r w:rsidR="00D9114F">
        <w:t xml:space="preserve">of </w:t>
      </w:r>
      <w:r w:rsidR="00DA14D3" w:rsidRPr="00226954">
        <w:t xml:space="preserve">and </w:t>
      </w:r>
      <w:r w:rsidR="00D9114F">
        <w:t xml:space="preserve">underlying </w:t>
      </w:r>
      <w:r w:rsidR="00DA14D3" w:rsidRPr="00226954">
        <w:t>justification f</w:t>
      </w:r>
      <w:r w:rsidR="00D9114F">
        <w:t>or</w:t>
      </w:r>
      <w:r w:rsidR="00DA14D3" w:rsidRPr="00226954">
        <w:t xml:space="preserve"> </w:t>
      </w:r>
      <w:r w:rsidR="00D9114F">
        <w:t xml:space="preserve">state acceptance of </w:t>
      </w:r>
      <w:r w:rsidR="00AA7CA1" w:rsidRPr="00226954">
        <w:t>civil liberties and human rights</w:t>
      </w:r>
      <w:r w:rsidR="00831531" w:rsidRPr="00226954">
        <w:t xml:space="preserve">. </w:t>
      </w:r>
    </w:p>
    <w:p w:rsidR="004C45EF" w:rsidRPr="00226954" w:rsidRDefault="004C45EF" w:rsidP="005D3B28">
      <w:pPr>
        <w:pStyle w:val="Heading1"/>
        <w:jc w:val="both"/>
        <w:rPr>
          <w:rFonts w:asciiTheme="minorHAnsi" w:hAnsiTheme="minorHAnsi"/>
        </w:rPr>
      </w:pPr>
      <w:r w:rsidRPr="00226954">
        <w:rPr>
          <w:rFonts w:asciiTheme="minorHAnsi" w:hAnsiTheme="minorHAnsi"/>
        </w:rPr>
        <w:lastRenderedPageBreak/>
        <w:t>2</w:t>
      </w:r>
      <w:r w:rsidR="0009403E" w:rsidRPr="00226954">
        <w:rPr>
          <w:rFonts w:asciiTheme="minorHAnsi" w:hAnsiTheme="minorHAnsi"/>
        </w:rPr>
        <w:t xml:space="preserve"> The nature</w:t>
      </w:r>
      <w:r w:rsidR="003B3C33" w:rsidRPr="00226954">
        <w:rPr>
          <w:rFonts w:asciiTheme="minorHAnsi" w:hAnsiTheme="minorHAnsi"/>
        </w:rPr>
        <w:t xml:space="preserve"> </w:t>
      </w:r>
      <w:r w:rsidRPr="00226954">
        <w:rPr>
          <w:rFonts w:asciiTheme="minorHAnsi" w:hAnsiTheme="minorHAnsi"/>
        </w:rPr>
        <w:t>of civil liberties and human rights</w:t>
      </w:r>
    </w:p>
    <w:p w:rsidR="004C45EF" w:rsidRPr="00226954" w:rsidRDefault="004C45EF" w:rsidP="005D3B28">
      <w:pPr>
        <w:spacing w:line="480" w:lineRule="auto"/>
        <w:jc w:val="both"/>
      </w:pPr>
    </w:p>
    <w:p w:rsidR="00C2487A" w:rsidRPr="00226954" w:rsidRDefault="003143BA" w:rsidP="005D3B28">
      <w:pPr>
        <w:spacing w:line="480" w:lineRule="auto"/>
        <w:jc w:val="both"/>
      </w:pPr>
      <w:r w:rsidRPr="00226954">
        <w:t>Both rights and liberties are fundamenta</w:t>
      </w:r>
      <w:r w:rsidR="00B018ED" w:rsidRPr="00226954">
        <w:t>lly</w:t>
      </w:r>
      <w:r w:rsidR="00564856" w:rsidRPr="00226954">
        <w:t xml:space="preserve"> </w:t>
      </w:r>
      <w:r w:rsidRPr="00226954">
        <w:rPr>
          <w:i/>
        </w:rPr>
        <w:t>requirements</w:t>
      </w:r>
      <w:r w:rsidR="00564856" w:rsidRPr="00226954">
        <w:t>.</w:t>
      </w:r>
      <w:r w:rsidRPr="00226954">
        <w:rPr>
          <w:i/>
        </w:rPr>
        <w:t xml:space="preserve"> </w:t>
      </w:r>
      <w:r w:rsidR="00564856" w:rsidRPr="00226954">
        <w:t>T</w:t>
      </w:r>
      <w:r w:rsidRPr="00226954">
        <w:t xml:space="preserve">o have a right is to be able to (validly) require another </w:t>
      </w:r>
      <w:r w:rsidR="00564856" w:rsidRPr="00226954">
        <w:t>pe</w:t>
      </w:r>
      <w:r w:rsidR="0084077F" w:rsidRPr="00226954">
        <w:t xml:space="preserve">rson </w:t>
      </w:r>
      <w:r w:rsidRPr="00226954">
        <w:t xml:space="preserve">to do or not do something. </w:t>
      </w:r>
      <w:r w:rsidR="001353E4" w:rsidRPr="00226954">
        <w:t xml:space="preserve">As requirements they can be broken down into </w:t>
      </w:r>
      <w:r w:rsidR="002060E7" w:rsidRPr="00226954">
        <w:t xml:space="preserve">various </w:t>
      </w:r>
      <w:r w:rsidR="001353E4" w:rsidRPr="00226954">
        <w:t>elements: firstly the requirement must have a</w:t>
      </w:r>
      <w:r w:rsidR="00DA14D3" w:rsidRPr="00226954">
        <w:t>n object</w:t>
      </w:r>
      <w:r w:rsidR="00FB713D" w:rsidRPr="00226954">
        <w:t>, i.e. it must be about some thing or action (</w:t>
      </w:r>
      <w:proofErr w:type="spellStart"/>
      <w:r w:rsidR="00FB713D" w:rsidRPr="00226954">
        <w:t>eg</w:t>
      </w:r>
      <w:proofErr w:type="spellEnd"/>
      <w:r w:rsidR="00FB713D" w:rsidRPr="00226954">
        <w:t xml:space="preserve"> not to be killed); secondly the requirement must have a </w:t>
      </w:r>
      <w:r w:rsidR="001353E4" w:rsidRPr="00226954">
        <w:t xml:space="preserve">subject, a person (S) who is owed </w:t>
      </w:r>
      <w:r w:rsidR="002060E7" w:rsidRPr="00226954">
        <w:t xml:space="preserve">the </w:t>
      </w:r>
      <w:r w:rsidR="00DA14D3" w:rsidRPr="00226954">
        <w:t>object</w:t>
      </w:r>
      <w:r w:rsidR="001353E4" w:rsidRPr="00226954">
        <w:t xml:space="preserve">; </w:t>
      </w:r>
      <w:r w:rsidR="00FB713D" w:rsidRPr="00226954">
        <w:t xml:space="preserve">thirdly </w:t>
      </w:r>
      <w:r w:rsidR="001353E4" w:rsidRPr="00226954">
        <w:t>it must have a respondent (R)</w:t>
      </w:r>
      <w:r w:rsidR="00FB713D" w:rsidRPr="00226954">
        <w:t>,</w:t>
      </w:r>
      <w:r w:rsidR="001353E4" w:rsidRPr="00226954">
        <w:t xml:space="preserve"> who owes S the </w:t>
      </w:r>
      <w:r w:rsidR="00DA14D3" w:rsidRPr="00226954">
        <w:t>object</w:t>
      </w:r>
      <w:r w:rsidR="00FB713D" w:rsidRPr="00226954">
        <w:t xml:space="preserve">. </w:t>
      </w:r>
    </w:p>
    <w:p w:rsidR="007B4FB7" w:rsidRPr="00226954" w:rsidRDefault="001E27A9" w:rsidP="007B4FB7">
      <w:pPr>
        <w:spacing w:line="480" w:lineRule="auto"/>
        <w:ind w:firstLine="720"/>
        <w:jc w:val="both"/>
        <w:rPr>
          <w:b/>
        </w:rPr>
      </w:pPr>
      <w:r w:rsidRPr="00226954">
        <w:t>This section will provide an outline</w:t>
      </w:r>
      <w:r w:rsidR="00C2487A" w:rsidRPr="00226954">
        <w:t xml:space="preserve"> </w:t>
      </w:r>
      <w:r w:rsidRPr="00226954">
        <w:t>acco</w:t>
      </w:r>
      <w:r w:rsidR="00BB590E" w:rsidRPr="00226954">
        <w:t>unt of the constituent elements and</w:t>
      </w:r>
      <w:r w:rsidRPr="00226954">
        <w:t xml:space="preserve"> relations </w:t>
      </w:r>
      <w:r w:rsidR="00BB590E" w:rsidRPr="00226954">
        <w:t xml:space="preserve">that define </w:t>
      </w:r>
      <w:r w:rsidR="00C2487A" w:rsidRPr="00226954">
        <w:t xml:space="preserve">rights and liberties </w:t>
      </w:r>
      <w:r w:rsidRPr="00226954">
        <w:t xml:space="preserve">as requirements. This outline will be used to define the nature </w:t>
      </w:r>
      <w:r w:rsidR="00BB590E" w:rsidRPr="00226954">
        <w:t xml:space="preserve">and operation </w:t>
      </w:r>
      <w:r w:rsidRPr="00226954">
        <w:t xml:space="preserve">of </w:t>
      </w:r>
      <w:r w:rsidR="00A85D2F" w:rsidRPr="00226954">
        <w:t>human rights and civil liberties</w:t>
      </w:r>
      <w:r w:rsidR="002E0606" w:rsidRPr="00226954">
        <w:t xml:space="preserve"> </w:t>
      </w:r>
      <w:r w:rsidR="00BB590E" w:rsidRPr="00226954">
        <w:t xml:space="preserve">which </w:t>
      </w:r>
      <w:r w:rsidR="00D9114F">
        <w:t xml:space="preserve">as pertaining to the UK </w:t>
      </w:r>
      <w:r w:rsidR="00BB590E" w:rsidRPr="00226954">
        <w:t>is</w:t>
      </w:r>
      <w:r w:rsidRPr="00226954">
        <w:t xml:space="preserve"> the focal concern of this book</w:t>
      </w:r>
      <w:r w:rsidR="00A85D2F" w:rsidRPr="00226954">
        <w:t xml:space="preserve">. </w:t>
      </w:r>
    </w:p>
    <w:p w:rsidR="00197DAE" w:rsidRPr="00226954" w:rsidRDefault="00197DAE" w:rsidP="001E27A9">
      <w:pPr>
        <w:spacing w:line="480" w:lineRule="auto"/>
        <w:ind w:firstLine="720"/>
        <w:jc w:val="both"/>
      </w:pPr>
    </w:p>
    <w:p w:rsidR="00C648AC" w:rsidRPr="00226954" w:rsidRDefault="004C45EF" w:rsidP="005D3B28">
      <w:pPr>
        <w:pStyle w:val="Heading2"/>
        <w:jc w:val="both"/>
        <w:rPr>
          <w:rFonts w:asciiTheme="minorHAnsi" w:hAnsiTheme="minorHAnsi"/>
        </w:rPr>
      </w:pPr>
      <w:r w:rsidRPr="00226954">
        <w:rPr>
          <w:rFonts w:asciiTheme="minorHAnsi" w:hAnsiTheme="minorHAnsi"/>
        </w:rPr>
        <w:t>2</w:t>
      </w:r>
      <w:r w:rsidR="004F02B2" w:rsidRPr="00226954">
        <w:rPr>
          <w:rFonts w:asciiTheme="minorHAnsi" w:hAnsiTheme="minorHAnsi"/>
        </w:rPr>
        <w:t>.1</w:t>
      </w:r>
      <w:r w:rsidR="0082499A" w:rsidRPr="00226954">
        <w:rPr>
          <w:rFonts w:asciiTheme="minorHAnsi" w:hAnsiTheme="minorHAnsi"/>
        </w:rPr>
        <w:t xml:space="preserve"> Legal rights and moral rights</w:t>
      </w:r>
    </w:p>
    <w:p w:rsidR="001E37A6" w:rsidRPr="00226954" w:rsidRDefault="001E37A6" w:rsidP="005D3B28">
      <w:pPr>
        <w:spacing w:line="480" w:lineRule="auto"/>
        <w:jc w:val="both"/>
      </w:pPr>
    </w:p>
    <w:p w:rsidR="00C648AC" w:rsidRPr="00226954" w:rsidRDefault="001E27A9" w:rsidP="00847EDA">
      <w:pPr>
        <w:spacing w:line="480" w:lineRule="auto"/>
        <w:ind w:firstLine="720"/>
        <w:jc w:val="both"/>
      </w:pPr>
      <w:r w:rsidRPr="00226954">
        <w:t xml:space="preserve">Before considering the content of </w:t>
      </w:r>
      <w:r w:rsidR="00847EDA" w:rsidRPr="00226954">
        <w:t xml:space="preserve">rights as </w:t>
      </w:r>
      <w:r w:rsidRPr="00226954">
        <w:t xml:space="preserve">requirements </w:t>
      </w:r>
      <w:r w:rsidR="00847EDA" w:rsidRPr="00226954">
        <w:t xml:space="preserve">it is </w:t>
      </w:r>
      <w:r w:rsidR="00C423FC" w:rsidRPr="00226954">
        <w:t xml:space="preserve">first </w:t>
      </w:r>
      <w:r w:rsidRPr="00226954">
        <w:t xml:space="preserve">necessary to </w:t>
      </w:r>
      <w:r w:rsidR="00847EDA" w:rsidRPr="00226954">
        <w:t xml:space="preserve">establish </w:t>
      </w:r>
      <w:r w:rsidRPr="00226954">
        <w:t xml:space="preserve">their </w:t>
      </w:r>
      <w:r w:rsidR="00791761" w:rsidRPr="00226954">
        <w:t>validity</w:t>
      </w:r>
      <w:r w:rsidRPr="00226954">
        <w:t xml:space="preserve">. In other words, why should a respondent </w:t>
      </w:r>
      <w:r w:rsidR="00791761" w:rsidRPr="00226954">
        <w:t xml:space="preserve">state </w:t>
      </w:r>
      <w:r w:rsidRPr="00226954">
        <w:t xml:space="preserve">accept that </w:t>
      </w:r>
      <w:r w:rsidR="00791761" w:rsidRPr="00226954">
        <w:t xml:space="preserve">it </w:t>
      </w:r>
      <w:r w:rsidRPr="00226954">
        <w:t xml:space="preserve">owes a duty towards </w:t>
      </w:r>
      <w:r w:rsidR="00791761" w:rsidRPr="00226954">
        <w:t>an individual who is the</w:t>
      </w:r>
      <w:r w:rsidRPr="00226954">
        <w:t xml:space="preserve"> subject of </w:t>
      </w:r>
      <w:r w:rsidR="00791761" w:rsidRPr="00226954">
        <w:t xml:space="preserve">a </w:t>
      </w:r>
      <w:r w:rsidRPr="00226954">
        <w:t xml:space="preserve">right? </w:t>
      </w:r>
      <w:r w:rsidR="00847EDA" w:rsidRPr="00226954">
        <w:t>Validity</w:t>
      </w:r>
      <w:r w:rsidRPr="00226954">
        <w:t xml:space="preserve"> is at the essence of the distinction between a</w:t>
      </w:r>
      <w:r w:rsidR="00C423FC" w:rsidRPr="00226954">
        <w:t xml:space="preserve"> legal</w:t>
      </w:r>
      <w:r w:rsidRPr="00226954">
        <w:t xml:space="preserve"> and a moral </w:t>
      </w:r>
      <w:r w:rsidR="00DA0569" w:rsidRPr="00226954">
        <w:t>right</w:t>
      </w:r>
      <w:r w:rsidRPr="00226954">
        <w:t xml:space="preserve">. </w:t>
      </w:r>
      <w:r w:rsidR="00C648AC" w:rsidRPr="00226954">
        <w:t>The endeavour to distinguish legal from moral rights involves a central issue in jurisprudence, namely, the relationship between law and morality, on which there is a vast literature and a number of clearly defined schools of thought. Only the barest indications of the various positions on this tendentious issue are possible here.</w:t>
      </w:r>
    </w:p>
    <w:p w:rsidR="004604F7" w:rsidRPr="00226954" w:rsidRDefault="002D707D" w:rsidP="00A57F64">
      <w:pPr>
        <w:spacing w:line="480" w:lineRule="auto"/>
        <w:ind w:firstLine="720"/>
        <w:jc w:val="both"/>
      </w:pPr>
      <w:r w:rsidRPr="00226954">
        <w:t xml:space="preserve">There are </w:t>
      </w:r>
      <w:r w:rsidR="0044792B" w:rsidRPr="00226954">
        <w:t>two</w:t>
      </w:r>
      <w:r w:rsidRPr="00226954">
        <w:t xml:space="preserve"> familiar scenarios </w:t>
      </w:r>
      <w:r w:rsidR="00B06DB4" w:rsidRPr="00226954">
        <w:t>with</w:t>
      </w:r>
      <w:r w:rsidR="00223F8A" w:rsidRPr="00226954">
        <w:t xml:space="preserve">in which </w:t>
      </w:r>
      <w:r w:rsidRPr="00226954">
        <w:t>‘rights’ and ‘</w:t>
      </w:r>
      <w:r w:rsidR="00223F8A" w:rsidRPr="00226954">
        <w:t>liberties</w:t>
      </w:r>
      <w:r w:rsidRPr="00226954">
        <w:t xml:space="preserve">’ are </w:t>
      </w:r>
      <w:r w:rsidR="0044792B" w:rsidRPr="00226954">
        <w:t xml:space="preserve">commonly </w:t>
      </w:r>
      <w:r w:rsidRPr="00226954">
        <w:t xml:space="preserve">referred to. The first </w:t>
      </w:r>
      <w:r w:rsidR="00D9114F">
        <w:t xml:space="preserve">such </w:t>
      </w:r>
      <w:r w:rsidRPr="00226954">
        <w:t>scenario</w:t>
      </w:r>
      <w:r w:rsidR="00C648AC" w:rsidRPr="00226954">
        <w:t xml:space="preserve"> i</w:t>
      </w:r>
      <w:r w:rsidRPr="00226954">
        <w:t xml:space="preserve">s one where </w:t>
      </w:r>
      <w:r w:rsidR="004D7A18" w:rsidRPr="00226954">
        <w:t xml:space="preserve">an individual </w:t>
      </w:r>
      <w:r w:rsidR="001E37A6" w:rsidRPr="00226954">
        <w:t xml:space="preserve">makes a claim that </w:t>
      </w:r>
      <w:r w:rsidR="00C648AC" w:rsidRPr="00226954">
        <w:t>he has a right</w:t>
      </w:r>
      <w:r w:rsidR="0057044D" w:rsidRPr="00226954">
        <w:t>/liberty</w:t>
      </w:r>
      <w:r w:rsidR="00C648AC" w:rsidRPr="00226954">
        <w:t xml:space="preserve"> </w:t>
      </w:r>
      <w:r w:rsidR="001E37A6" w:rsidRPr="00226954">
        <w:t xml:space="preserve">from </w:t>
      </w:r>
      <w:r w:rsidR="004D7A18" w:rsidRPr="00226954">
        <w:t xml:space="preserve">the state </w:t>
      </w:r>
      <w:r w:rsidR="004604F7" w:rsidRPr="00226954">
        <w:t>by virtue of a</w:t>
      </w:r>
      <w:r w:rsidR="004D7A18" w:rsidRPr="00226954">
        <w:t xml:space="preserve"> specific legal</w:t>
      </w:r>
      <w:r w:rsidR="004604F7" w:rsidRPr="00226954">
        <w:t xml:space="preserve"> authority</w:t>
      </w:r>
      <w:r w:rsidR="004D7A18" w:rsidRPr="00226954">
        <w:t>, such as a statute</w:t>
      </w:r>
      <w:r w:rsidR="004604F7" w:rsidRPr="00226954">
        <w:t xml:space="preserve">. </w:t>
      </w:r>
      <w:r w:rsidRPr="00226954">
        <w:t xml:space="preserve">For example, if </w:t>
      </w:r>
      <w:r w:rsidR="008F1066">
        <w:t xml:space="preserve">an individual who </w:t>
      </w:r>
      <w:r w:rsidR="008F1066">
        <w:lastRenderedPageBreak/>
        <w:t xml:space="preserve">will be called </w:t>
      </w:r>
      <w:r w:rsidRPr="00226954">
        <w:t>S</w:t>
      </w:r>
      <w:r w:rsidR="004D7A18" w:rsidRPr="00226954">
        <w:t xml:space="preserve">am </w:t>
      </w:r>
      <w:r w:rsidRPr="00226954">
        <w:t xml:space="preserve">is </w:t>
      </w:r>
      <w:r w:rsidR="004D7A18" w:rsidRPr="00226954">
        <w:t xml:space="preserve">arrested by police with no given reason and attacked by the same officers while in custody, he </w:t>
      </w:r>
      <w:r w:rsidR="00EF4B84">
        <w:t>could</w:t>
      </w:r>
      <w:r w:rsidR="004D7A18" w:rsidRPr="00226954">
        <w:t xml:space="preserve"> claim that the state has violated </w:t>
      </w:r>
      <w:r w:rsidR="00D9114F">
        <w:t xml:space="preserve">a number </w:t>
      </w:r>
      <w:r w:rsidR="004D7A18" w:rsidRPr="00226954">
        <w:t>of his rights (including his right</w:t>
      </w:r>
      <w:r w:rsidR="00EF4B84">
        <w:t>s</w:t>
      </w:r>
      <w:r w:rsidR="004D7A18" w:rsidRPr="00226954">
        <w:t xml:space="preserve"> </w:t>
      </w:r>
      <w:r w:rsidRPr="00226954">
        <w:t xml:space="preserve">to </w:t>
      </w:r>
      <w:r w:rsidR="004D7A18" w:rsidRPr="00226954">
        <w:t>privacy and liberty</w:t>
      </w:r>
      <w:r w:rsidR="00EF4B84">
        <w:t>;</w:t>
      </w:r>
      <w:r w:rsidR="004D7A18" w:rsidRPr="00226954">
        <w:t xml:space="preserve"> see </w:t>
      </w:r>
      <w:r w:rsidR="00791761" w:rsidRPr="00226954">
        <w:t>C</w:t>
      </w:r>
      <w:r w:rsidR="004D7A18" w:rsidRPr="00226954">
        <w:t>hap</w:t>
      </w:r>
      <w:r w:rsidR="00791761" w:rsidRPr="00226954">
        <w:t>ters</w:t>
      </w:r>
      <w:r w:rsidR="004D7A18" w:rsidRPr="00226954">
        <w:t xml:space="preserve"> 10 and 12). Sam </w:t>
      </w:r>
      <w:r w:rsidR="00FF56CE" w:rsidRPr="00226954">
        <w:t xml:space="preserve">could refer to the various </w:t>
      </w:r>
      <w:r w:rsidR="00C70179" w:rsidRPr="00226954">
        <w:t xml:space="preserve">relevant </w:t>
      </w:r>
      <w:r w:rsidR="00FE3974">
        <w:t xml:space="preserve">legal </w:t>
      </w:r>
      <w:r w:rsidR="00C70179" w:rsidRPr="00226954">
        <w:t>authorit</w:t>
      </w:r>
      <w:r w:rsidR="00FF56CE" w:rsidRPr="00226954">
        <w:t>ies proscribing the actions</w:t>
      </w:r>
      <w:r w:rsidR="00FE3974">
        <w:t xml:space="preserve"> of the police</w:t>
      </w:r>
      <w:r w:rsidR="00791761" w:rsidRPr="00226954">
        <w:t>,</w:t>
      </w:r>
      <w:r w:rsidR="00FF56CE" w:rsidRPr="00226954">
        <w:t xml:space="preserve"> </w:t>
      </w:r>
      <w:r w:rsidR="00791761" w:rsidRPr="00226954">
        <w:t xml:space="preserve">such as </w:t>
      </w:r>
      <w:r w:rsidR="00FF56CE" w:rsidRPr="00226954">
        <w:t xml:space="preserve">the </w:t>
      </w:r>
      <w:r w:rsidR="00791761" w:rsidRPr="00226954">
        <w:t>offence of assault.</w:t>
      </w:r>
      <w:r w:rsidR="00791761" w:rsidRPr="00226954">
        <w:rPr>
          <w:rStyle w:val="FootnoteReference"/>
        </w:rPr>
        <w:footnoteReference w:id="15"/>
      </w:r>
      <w:r w:rsidRPr="00226954">
        <w:t xml:space="preserve"> </w:t>
      </w:r>
      <w:r w:rsidR="00FE3974">
        <w:t xml:space="preserve">Thus Sam’s rights would be vindicated in a legal sense. </w:t>
      </w:r>
      <w:r w:rsidR="00ED111F" w:rsidRPr="00226954">
        <w:t xml:space="preserve">The second scenario </w:t>
      </w:r>
      <w:r w:rsidR="00D9114F">
        <w:t>ar</w:t>
      </w:r>
      <w:r w:rsidR="00ED111F" w:rsidRPr="00226954">
        <w:t>is</w:t>
      </w:r>
      <w:r w:rsidR="00D9114F">
        <w:t>es</w:t>
      </w:r>
      <w:r w:rsidR="00ED111F" w:rsidRPr="00226954">
        <w:t xml:space="preserve"> where the </w:t>
      </w:r>
      <w:r w:rsidR="00FF56CE" w:rsidRPr="00226954">
        <w:t xml:space="preserve">individual claims </w:t>
      </w:r>
      <w:r w:rsidR="00D9114F">
        <w:t xml:space="preserve">that </w:t>
      </w:r>
      <w:r w:rsidR="00ED111F" w:rsidRPr="00226954">
        <w:t xml:space="preserve">his </w:t>
      </w:r>
      <w:r w:rsidR="00FF56CE" w:rsidRPr="00226954">
        <w:t>rights/liberties</w:t>
      </w:r>
      <w:r w:rsidR="00ED111F" w:rsidRPr="00226954">
        <w:t xml:space="preserve"> are infringed</w:t>
      </w:r>
      <w:r w:rsidR="00FF56CE" w:rsidRPr="00226954">
        <w:t xml:space="preserve">, but </w:t>
      </w:r>
      <w:r w:rsidR="00ED111F" w:rsidRPr="00226954">
        <w:t xml:space="preserve">there is no such legal </w:t>
      </w:r>
      <w:r w:rsidR="00FF56CE" w:rsidRPr="00226954">
        <w:t>authority</w:t>
      </w:r>
      <w:r w:rsidR="00ED111F" w:rsidRPr="00226954">
        <w:t xml:space="preserve"> vindicating his rights. </w:t>
      </w:r>
      <w:r w:rsidR="00791761" w:rsidRPr="00226954">
        <w:t xml:space="preserve">For </w:t>
      </w:r>
      <w:r w:rsidR="00ED111F" w:rsidRPr="00226954">
        <w:t>example</w:t>
      </w:r>
      <w:r w:rsidR="008F1066">
        <w:t>,</w:t>
      </w:r>
      <w:r w:rsidR="00ED111F" w:rsidRPr="00226954">
        <w:t xml:space="preserve"> i</w:t>
      </w:r>
      <w:r w:rsidR="00791761" w:rsidRPr="00226954">
        <w:t>f</w:t>
      </w:r>
      <w:r w:rsidR="00ED111F" w:rsidRPr="00226954">
        <w:t xml:space="preserve"> </w:t>
      </w:r>
      <w:r w:rsidR="00FE3974">
        <w:t xml:space="preserve">pre-HRA </w:t>
      </w:r>
      <w:r w:rsidRPr="00226954">
        <w:t>S</w:t>
      </w:r>
      <w:r w:rsidR="00527449" w:rsidRPr="00226954">
        <w:t>hirley</w:t>
      </w:r>
      <w:r w:rsidR="00FF56CE" w:rsidRPr="00226954">
        <w:t xml:space="preserve">, a </w:t>
      </w:r>
      <w:r w:rsidR="00527449" w:rsidRPr="00226954">
        <w:t xml:space="preserve">male </w:t>
      </w:r>
      <w:r w:rsidR="00ED111F" w:rsidRPr="00226954">
        <w:t xml:space="preserve">to </w:t>
      </w:r>
      <w:r w:rsidR="00527449" w:rsidRPr="00226954">
        <w:t>fe</w:t>
      </w:r>
      <w:r w:rsidR="00ED111F" w:rsidRPr="00226954">
        <w:t xml:space="preserve">male </w:t>
      </w:r>
      <w:r w:rsidR="00FF56CE" w:rsidRPr="00226954">
        <w:t xml:space="preserve">transsexual teacher seeking to receive social acceptance for </w:t>
      </w:r>
      <w:r w:rsidR="00527449" w:rsidRPr="00226954">
        <w:t>her</w:t>
      </w:r>
      <w:r w:rsidR="00ED111F" w:rsidRPr="00226954">
        <w:t xml:space="preserve"> </w:t>
      </w:r>
      <w:r w:rsidR="00FF56CE" w:rsidRPr="00226954">
        <w:t xml:space="preserve">transition, </w:t>
      </w:r>
      <w:r w:rsidR="00527449" w:rsidRPr="00226954">
        <w:t>finds that her</w:t>
      </w:r>
      <w:r w:rsidR="00ED111F" w:rsidRPr="00226954">
        <w:t xml:space="preserve"> personal life is exposed in various newspapers</w:t>
      </w:r>
      <w:r w:rsidR="006E3A63">
        <w:t xml:space="preserve"> </w:t>
      </w:r>
      <w:r w:rsidR="006C2819">
        <w:t xml:space="preserve">in lurid terms, with intimate details obtained by secret filming, </w:t>
      </w:r>
      <w:r w:rsidR="006E3A63">
        <w:t>before she can talk to her pupils about her transition</w:t>
      </w:r>
      <w:r w:rsidR="003521C8" w:rsidRPr="00226954">
        <w:t>, she would not be able to refer to authorities proscribing the newspapers</w:t>
      </w:r>
      <w:r w:rsidR="00FE3974">
        <w:t>’</w:t>
      </w:r>
      <w:r w:rsidR="003521C8" w:rsidRPr="00226954">
        <w:t xml:space="preserve"> action</w:t>
      </w:r>
      <w:r w:rsidR="00FE3974">
        <w:t>s</w:t>
      </w:r>
      <w:r w:rsidR="003521C8" w:rsidRPr="00226954">
        <w:t>, as Sam could</w:t>
      </w:r>
      <w:r w:rsidR="00ED111F" w:rsidRPr="00226954">
        <w:t xml:space="preserve">. Prior to </w:t>
      </w:r>
      <w:r w:rsidR="003521C8" w:rsidRPr="00226954">
        <w:t xml:space="preserve">the developments that occurred after the passing of the Human Rights Act </w:t>
      </w:r>
      <w:r w:rsidR="00FE3974">
        <w:t xml:space="preserve">she would not have been able </w:t>
      </w:r>
      <w:r w:rsidR="003521C8" w:rsidRPr="00226954">
        <w:t xml:space="preserve">to vindicate her right to </w:t>
      </w:r>
      <w:r w:rsidR="00ED111F" w:rsidRPr="00226954">
        <w:t>priva</w:t>
      </w:r>
      <w:r w:rsidR="003521C8" w:rsidRPr="00226954">
        <w:t>te life in UK law in this situation</w:t>
      </w:r>
      <w:r w:rsidR="00ED111F" w:rsidRPr="00226954">
        <w:t>.</w:t>
      </w:r>
      <w:r w:rsidR="003521C8" w:rsidRPr="00226954">
        <w:rPr>
          <w:rStyle w:val="FootnoteReference"/>
        </w:rPr>
        <w:footnoteReference w:id="16"/>
      </w:r>
      <w:r w:rsidR="00ED111F" w:rsidRPr="00226954">
        <w:t xml:space="preserve"> </w:t>
      </w:r>
      <w:r w:rsidR="003521C8" w:rsidRPr="00226954">
        <w:t xml:space="preserve">She could still </w:t>
      </w:r>
      <w:r w:rsidR="00ED111F" w:rsidRPr="00226954">
        <w:t xml:space="preserve">argue that </w:t>
      </w:r>
      <w:r w:rsidR="003521C8" w:rsidRPr="00226954">
        <w:t xml:space="preserve">the newspaper had infringed her </w:t>
      </w:r>
      <w:r w:rsidR="00ED111F" w:rsidRPr="00226954">
        <w:t>right to privacy</w:t>
      </w:r>
      <w:r w:rsidR="003521C8" w:rsidRPr="00226954">
        <w:t>, but her putative right would not be enforced in UK law</w:t>
      </w:r>
      <w:r w:rsidR="00ED111F" w:rsidRPr="00226954">
        <w:t>.</w:t>
      </w:r>
    </w:p>
    <w:p w:rsidR="00223F8A" w:rsidRPr="00226954" w:rsidRDefault="0044792B" w:rsidP="00AD30FD">
      <w:pPr>
        <w:spacing w:line="480" w:lineRule="auto"/>
        <w:ind w:firstLine="720"/>
        <w:jc w:val="both"/>
      </w:pPr>
      <w:r w:rsidRPr="00226954">
        <w:t>The two scenarios represent – very crudely</w:t>
      </w:r>
      <w:r w:rsidR="004604F7" w:rsidRPr="00226954">
        <w:t xml:space="preserve"> – </w:t>
      </w:r>
      <w:r w:rsidRPr="00226954">
        <w:t xml:space="preserve">the division between a legal and moral right </w:t>
      </w:r>
      <w:r w:rsidR="004604F7" w:rsidRPr="00226954">
        <w:t xml:space="preserve">put forward by the school of jurisprudence known as legal positivism, whose central insistence is that there is no </w:t>
      </w:r>
      <w:r w:rsidR="004604F7" w:rsidRPr="00226954">
        <w:rPr>
          <w:i/>
          <w:iCs/>
        </w:rPr>
        <w:t xml:space="preserve">necessary </w:t>
      </w:r>
      <w:r w:rsidR="004604F7" w:rsidRPr="00226954">
        <w:t>connection between law and morality.</w:t>
      </w:r>
      <w:r w:rsidR="00614156" w:rsidRPr="00226954">
        <w:rPr>
          <w:rStyle w:val="FootnoteReference"/>
        </w:rPr>
        <w:footnoteReference w:id="17"/>
      </w:r>
      <w:r w:rsidR="00FB0E91" w:rsidRPr="00226954">
        <w:t xml:space="preserve"> </w:t>
      </w:r>
      <w:r w:rsidR="00E1081A" w:rsidRPr="00226954">
        <w:t xml:space="preserve">A positivist would argue that in the second scenario </w:t>
      </w:r>
      <w:r w:rsidR="00C648AC" w:rsidRPr="00226954">
        <w:t xml:space="preserve">there is no </w:t>
      </w:r>
      <w:r w:rsidR="00C648AC" w:rsidRPr="00226954">
        <w:rPr>
          <w:i/>
        </w:rPr>
        <w:t>law</w:t>
      </w:r>
      <w:r w:rsidR="00C648AC" w:rsidRPr="00226954">
        <w:t xml:space="preserve"> </w:t>
      </w:r>
      <w:r w:rsidR="001E37A6" w:rsidRPr="00226954">
        <w:t xml:space="preserve">justifying </w:t>
      </w:r>
      <w:r w:rsidR="00E1081A" w:rsidRPr="00226954">
        <w:t>S</w:t>
      </w:r>
      <w:r w:rsidR="00D32F86" w:rsidRPr="00226954">
        <w:t>hirley</w:t>
      </w:r>
      <w:r w:rsidR="00E1081A" w:rsidRPr="00226954">
        <w:t xml:space="preserve">’s </w:t>
      </w:r>
      <w:r w:rsidR="00223F8A" w:rsidRPr="00226954">
        <w:t>claim</w:t>
      </w:r>
      <w:r w:rsidR="001E37A6" w:rsidRPr="00226954">
        <w:t xml:space="preserve"> </w:t>
      </w:r>
      <w:r w:rsidR="00E1081A" w:rsidRPr="00226954">
        <w:t>and</w:t>
      </w:r>
      <w:r w:rsidR="00223F8A" w:rsidRPr="00226954">
        <w:t>,</w:t>
      </w:r>
      <w:r w:rsidR="00E1081A" w:rsidRPr="00226954">
        <w:t xml:space="preserve"> </w:t>
      </w:r>
      <w:r w:rsidR="006E3A63">
        <w:t>instead</w:t>
      </w:r>
      <w:r w:rsidR="00223F8A" w:rsidRPr="00226954">
        <w:t>,</w:t>
      </w:r>
      <w:r w:rsidR="00E1081A" w:rsidRPr="00226954">
        <w:t xml:space="preserve"> that </w:t>
      </w:r>
      <w:r w:rsidR="00D32F86" w:rsidRPr="00226954">
        <w:t>s</w:t>
      </w:r>
      <w:r w:rsidR="00C648AC" w:rsidRPr="00226954">
        <w:t xml:space="preserve">he </w:t>
      </w:r>
      <w:r w:rsidR="00E1081A" w:rsidRPr="00226954">
        <w:t xml:space="preserve">is </w:t>
      </w:r>
      <w:r w:rsidR="00292ED5" w:rsidRPr="00226954">
        <w:t xml:space="preserve">merely </w:t>
      </w:r>
      <w:r w:rsidR="001E37A6" w:rsidRPr="00226954">
        <w:t xml:space="preserve">asserting </w:t>
      </w:r>
      <w:r w:rsidR="00C648AC" w:rsidRPr="00226954">
        <w:t xml:space="preserve">a </w:t>
      </w:r>
      <w:r w:rsidR="00C648AC" w:rsidRPr="00226954">
        <w:rPr>
          <w:iCs/>
        </w:rPr>
        <w:t>moral</w:t>
      </w:r>
      <w:r w:rsidR="00C648AC" w:rsidRPr="00226954">
        <w:rPr>
          <w:i/>
          <w:iCs/>
        </w:rPr>
        <w:t xml:space="preserve"> </w:t>
      </w:r>
      <w:r w:rsidR="00AF6A98" w:rsidRPr="00226954">
        <w:t>right</w:t>
      </w:r>
      <w:r w:rsidR="00223F8A" w:rsidRPr="00226954">
        <w:t>. A positivist would argue that while S</w:t>
      </w:r>
      <w:r w:rsidR="00D32F86" w:rsidRPr="00226954">
        <w:t>hirley</w:t>
      </w:r>
      <w:r w:rsidR="00223F8A" w:rsidRPr="00226954">
        <w:t xml:space="preserve"> could argue </w:t>
      </w:r>
      <w:r w:rsidR="00AD30FD" w:rsidRPr="00226954">
        <w:t xml:space="preserve">that </w:t>
      </w:r>
      <w:r w:rsidR="00D32F86" w:rsidRPr="00226954">
        <w:t>her</w:t>
      </w:r>
      <w:r w:rsidR="00C648AC" w:rsidRPr="00226954">
        <w:t xml:space="preserve"> claim </w:t>
      </w:r>
      <w:r w:rsidR="00C648AC" w:rsidRPr="00226954">
        <w:rPr>
          <w:i/>
        </w:rPr>
        <w:t>ought</w:t>
      </w:r>
      <w:r w:rsidR="00C648AC" w:rsidRPr="00226954">
        <w:t xml:space="preserve"> to be given </w:t>
      </w:r>
      <w:r w:rsidR="00C648AC" w:rsidRPr="00226954">
        <w:rPr>
          <w:iCs/>
        </w:rPr>
        <w:t>legal</w:t>
      </w:r>
      <w:r w:rsidR="00C648AC" w:rsidRPr="00226954">
        <w:rPr>
          <w:i/>
          <w:iCs/>
        </w:rPr>
        <w:t xml:space="preserve"> </w:t>
      </w:r>
      <w:r w:rsidR="00C648AC" w:rsidRPr="00226954">
        <w:t>force through the enactment of a specific legal right</w:t>
      </w:r>
      <w:r w:rsidR="001531A8">
        <w:t>,</w:t>
      </w:r>
      <w:r w:rsidR="00223F8A" w:rsidRPr="00226954">
        <w:t xml:space="preserve"> this is in no </w:t>
      </w:r>
      <w:r w:rsidR="001531A8">
        <w:t>respect</w:t>
      </w:r>
      <w:r w:rsidR="00223F8A" w:rsidRPr="00226954">
        <w:t xml:space="preserve"> equivalent to </w:t>
      </w:r>
      <w:r w:rsidR="00D32F86" w:rsidRPr="00226954">
        <w:t xml:space="preserve">her </w:t>
      </w:r>
      <w:r w:rsidR="00223F8A" w:rsidRPr="00226954">
        <w:t>possessi</w:t>
      </w:r>
      <w:r w:rsidR="001531A8">
        <w:t>o</w:t>
      </w:r>
      <w:r w:rsidR="00223F8A" w:rsidRPr="00226954">
        <w:t>n</w:t>
      </w:r>
      <w:r w:rsidR="001531A8">
        <w:t xml:space="preserve"> of</w:t>
      </w:r>
      <w:r w:rsidR="00223F8A" w:rsidRPr="00226954">
        <w:t xml:space="preserve"> a legal right</w:t>
      </w:r>
      <w:r w:rsidR="00C648AC" w:rsidRPr="00226954">
        <w:t xml:space="preserve">. </w:t>
      </w:r>
    </w:p>
    <w:p w:rsidR="00C648AC" w:rsidRPr="00226954" w:rsidRDefault="00C648AC" w:rsidP="00AD30FD">
      <w:pPr>
        <w:spacing w:line="480" w:lineRule="auto"/>
        <w:ind w:firstLine="720"/>
        <w:jc w:val="both"/>
      </w:pPr>
      <w:r w:rsidRPr="00226954">
        <w:lastRenderedPageBreak/>
        <w:t>To a member of the natural law school in its traditional form,</w:t>
      </w:r>
      <w:r w:rsidR="00614156" w:rsidRPr="00226954">
        <w:rPr>
          <w:rStyle w:val="FootnoteReference"/>
        </w:rPr>
        <w:footnoteReference w:id="18"/>
      </w:r>
      <w:r w:rsidRPr="00226954">
        <w:t xml:space="preserve"> by contrast, the question of whether </w:t>
      </w:r>
      <w:r w:rsidR="00223F8A" w:rsidRPr="00226954">
        <w:t>S</w:t>
      </w:r>
      <w:r w:rsidR="0039751B" w:rsidRPr="00226954">
        <w:t>hirley</w:t>
      </w:r>
      <w:r w:rsidRPr="00226954">
        <w:t>’s claim was moral or legal w</w:t>
      </w:r>
      <w:r w:rsidR="00223F8A" w:rsidRPr="00226954">
        <w:t xml:space="preserve">ould </w:t>
      </w:r>
      <w:r w:rsidR="00AD30FD" w:rsidRPr="00226954">
        <w:t xml:space="preserve">not </w:t>
      </w:r>
      <w:r w:rsidR="00223F8A" w:rsidRPr="00226954">
        <w:t>be decided empirically (</w:t>
      </w:r>
      <w:proofErr w:type="spellStart"/>
      <w:r w:rsidR="00223F8A" w:rsidRPr="00226954">
        <w:t>eg</w:t>
      </w:r>
      <w:proofErr w:type="spellEnd"/>
      <w:r w:rsidRPr="00226954">
        <w:t xml:space="preserve"> by consulting the statute book</w:t>
      </w:r>
      <w:r w:rsidR="00223F8A" w:rsidRPr="00226954">
        <w:t>)</w:t>
      </w:r>
      <w:r w:rsidRPr="00226954">
        <w:t xml:space="preserve">, but rather by examining the normative claim made by her. If </w:t>
      </w:r>
      <w:r w:rsidR="00B15BFD" w:rsidRPr="00226954">
        <w:t>h</w:t>
      </w:r>
      <w:r w:rsidR="001531A8">
        <w:t>er</w:t>
      </w:r>
      <w:r w:rsidRPr="00226954">
        <w:t xml:space="preserve"> claim was supported by </w:t>
      </w:r>
      <w:r w:rsidR="00B15BFD" w:rsidRPr="00226954">
        <w:rPr>
          <w:i/>
        </w:rPr>
        <w:t>moral</w:t>
      </w:r>
      <w:r w:rsidR="00B15BFD" w:rsidRPr="00226954">
        <w:t xml:space="preserve"> law</w:t>
      </w:r>
      <w:r w:rsidRPr="00226954">
        <w:t xml:space="preserve">, then </w:t>
      </w:r>
      <w:r w:rsidR="00B15BFD" w:rsidRPr="00226954">
        <w:t>an empirical authority</w:t>
      </w:r>
      <w:r w:rsidRPr="00226954">
        <w:t xml:space="preserve"> purporting to deny </w:t>
      </w:r>
      <w:r w:rsidR="00B15BFD" w:rsidRPr="00226954">
        <w:t>h</w:t>
      </w:r>
      <w:r w:rsidR="001531A8">
        <w:t xml:space="preserve">er </w:t>
      </w:r>
      <w:r w:rsidRPr="00226954">
        <w:t>claim would not be accepted as a valid law since it would be unjust. The approach sounds extreme, but was employed during the Nuremberg trials as the underlying justification for what might otherwise have been seen as the retrospective criminalisation of those who committed their crimes under the Nazi laws thought valid at the time.</w:t>
      </w:r>
    </w:p>
    <w:p w:rsidR="00C648AC" w:rsidRPr="00226954" w:rsidRDefault="00C648AC" w:rsidP="00AD30FD">
      <w:pPr>
        <w:spacing w:line="480" w:lineRule="auto"/>
        <w:ind w:firstLine="360"/>
        <w:jc w:val="both"/>
      </w:pPr>
      <w:r w:rsidRPr="00226954">
        <w:t>The views of Ronald Dworkin</w:t>
      </w:r>
      <w:r w:rsidR="00614156" w:rsidRPr="00226954">
        <w:rPr>
          <w:rStyle w:val="FootnoteReference"/>
        </w:rPr>
        <w:footnoteReference w:id="19"/>
      </w:r>
      <w:r w:rsidRPr="00226954">
        <w:t xml:space="preserve"> provide a middle ground between these two theories – a ‘third theory of law’.</w:t>
      </w:r>
      <w:r w:rsidR="00614156" w:rsidRPr="00226954">
        <w:rPr>
          <w:rStyle w:val="FootnoteReference"/>
        </w:rPr>
        <w:footnoteReference w:id="20"/>
      </w:r>
      <w:r w:rsidRPr="00226954">
        <w:t xml:space="preserve"> His theory is highly complex, but in essence </w:t>
      </w:r>
      <w:r w:rsidR="00B06DB4" w:rsidRPr="00226954">
        <w:t xml:space="preserve">it </w:t>
      </w:r>
      <w:r w:rsidRPr="00226954">
        <w:t>is more inclusive than the positivist theory; recognising rights</w:t>
      </w:r>
      <w:r w:rsidR="00472054" w:rsidRPr="00226954">
        <w:t xml:space="preserve"> set forth by empirical authorities</w:t>
      </w:r>
      <w:r w:rsidRPr="00226954">
        <w:t>,</w:t>
      </w:r>
      <w:r w:rsidR="00614156" w:rsidRPr="00226954">
        <w:rPr>
          <w:rStyle w:val="FootnoteReference"/>
        </w:rPr>
        <w:footnoteReference w:id="21"/>
      </w:r>
      <w:r w:rsidRPr="00226954">
        <w:t xml:space="preserve"> it insists that the law may contain </w:t>
      </w:r>
      <w:r w:rsidRPr="00226954">
        <w:rPr>
          <w:i/>
          <w:iCs/>
        </w:rPr>
        <w:t xml:space="preserve">further </w:t>
      </w:r>
      <w:r w:rsidRPr="00226954">
        <w:t xml:space="preserve">rights which have never yet been recognised by a statute or in any judicial decision. Thus, </w:t>
      </w:r>
      <w:r w:rsidR="00472054" w:rsidRPr="00226954">
        <w:t>S</w:t>
      </w:r>
      <w:r w:rsidR="006459F2" w:rsidRPr="00226954">
        <w:t>hirley</w:t>
      </w:r>
      <w:r w:rsidR="00472054" w:rsidRPr="00226954">
        <w:t xml:space="preserve"> could correctly claim </w:t>
      </w:r>
      <w:r w:rsidR="001531A8">
        <w:t>s</w:t>
      </w:r>
      <w:r w:rsidRPr="00226954">
        <w:t xml:space="preserve">he had a right, on Dworkin’s account, if (a) the right would be consistent with the bulk of existing </w:t>
      </w:r>
      <w:r w:rsidR="00472054" w:rsidRPr="00226954">
        <w:t xml:space="preserve">empirical authority </w:t>
      </w:r>
      <w:r w:rsidRPr="00226954">
        <w:t>and (b) it would figure in the bes</w:t>
      </w:r>
      <w:r w:rsidR="00472054" w:rsidRPr="00226954">
        <w:t>t possible interpretation of those authorities</w:t>
      </w:r>
      <w:r w:rsidRPr="00226954">
        <w:t xml:space="preserve">. By this, Dworkin means that the relevant past judicial decisions would be most satisfactorily justified by showing them all to have been concerned with protecting the right at issue, even if previous individual judgments did not explicitly recognise its existence. </w:t>
      </w:r>
      <w:r w:rsidR="000C0BB8" w:rsidRPr="00226954">
        <w:t xml:space="preserve">This exercise involves </w:t>
      </w:r>
      <w:r w:rsidR="000C0BB8" w:rsidRPr="00226954">
        <w:rPr>
          <w:i/>
        </w:rPr>
        <w:t xml:space="preserve">moral </w:t>
      </w:r>
      <w:r w:rsidR="000C0BB8" w:rsidRPr="00226954">
        <w:t xml:space="preserve">analysis in that the criteria for determining the ‘best interpretation’ </w:t>
      </w:r>
      <w:r w:rsidR="001531A8">
        <w:t xml:space="preserve">consist of </w:t>
      </w:r>
      <w:r w:rsidR="000C0BB8" w:rsidRPr="00226954">
        <w:t xml:space="preserve">an evaluation of how far the relevant laws adhere to a principle of equal concern and respect. </w:t>
      </w:r>
      <w:r w:rsidRPr="00226954">
        <w:t xml:space="preserve">Such a claim might well, of course, be controversial, but it is precisely this that is at the root of Dworkin’s disagreement with the positivists: finding out what the law is, he argues, will require not </w:t>
      </w:r>
      <w:r w:rsidRPr="00226954">
        <w:lastRenderedPageBreak/>
        <w:t xml:space="preserve">merely an empirical test of the law’s </w:t>
      </w:r>
      <w:r w:rsidRPr="00226954">
        <w:rPr>
          <w:i/>
          <w:iCs/>
        </w:rPr>
        <w:t xml:space="preserve">pedigree </w:t>
      </w:r>
      <w:r w:rsidRPr="00226954">
        <w:t xml:space="preserve">(does it emanate from </w:t>
      </w:r>
      <w:r w:rsidR="00AD5611" w:rsidRPr="00226954">
        <w:t>a particular institution?</w:t>
      </w:r>
      <w:r w:rsidRPr="00226954">
        <w:t>), but rather a complex inquiry which will, as he puts it, carry the lawyer ‘very deep into moral and political theory’.</w:t>
      </w:r>
      <w:r w:rsidR="00614156" w:rsidRPr="00226954">
        <w:rPr>
          <w:rStyle w:val="FootnoteReference"/>
        </w:rPr>
        <w:footnoteReference w:id="22"/>
      </w:r>
    </w:p>
    <w:p w:rsidR="000C0BB8" w:rsidRPr="00226954" w:rsidRDefault="00C648AC" w:rsidP="00AD30FD">
      <w:pPr>
        <w:spacing w:line="480" w:lineRule="auto"/>
        <w:ind w:firstLine="360"/>
        <w:jc w:val="both"/>
      </w:pPr>
      <w:r w:rsidRPr="00226954">
        <w:t>If one is convinced by Dworkin’s ingenious argument, the existence of a legal right can be adduced through interpretation (at least in common law jurisdictions)</w:t>
      </w:r>
      <w:r w:rsidR="000C0BB8" w:rsidRPr="00226954">
        <w:t xml:space="preserve"> that is partially moral in character</w:t>
      </w:r>
      <w:r w:rsidRPr="00226954">
        <w:t xml:space="preserve">. </w:t>
      </w:r>
      <w:r w:rsidR="000C0BB8" w:rsidRPr="00226954">
        <w:t xml:space="preserve">The resulting laws thus posited are ‘legal-moral’ in that they </w:t>
      </w:r>
      <w:r w:rsidR="00AD30FD" w:rsidRPr="00226954">
        <w:t xml:space="preserve">amount to </w:t>
      </w:r>
      <w:r w:rsidR="000C0BB8" w:rsidRPr="00226954">
        <w:t>authoritative determinations who</w:t>
      </w:r>
      <w:r w:rsidR="00AD30FD" w:rsidRPr="00226954">
        <w:t>se</w:t>
      </w:r>
      <w:r w:rsidR="000C0BB8" w:rsidRPr="00226954">
        <w:t xml:space="preserve"> authority stems from moral </w:t>
      </w:r>
      <w:r w:rsidR="000C0BB8" w:rsidRPr="00226954">
        <w:rPr>
          <w:i/>
        </w:rPr>
        <w:t>and</w:t>
      </w:r>
      <w:r w:rsidR="00AD30FD" w:rsidRPr="00226954">
        <w:t xml:space="preserve"> empirical </w:t>
      </w:r>
      <w:r w:rsidR="000C0BB8" w:rsidRPr="00226954">
        <w:t xml:space="preserve">law. Returning to </w:t>
      </w:r>
      <w:r w:rsidR="0006392A" w:rsidRPr="00226954">
        <w:t xml:space="preserve">Shirley’s </w:t>
      </w:r>
      <w:r w:rsidR="000C0BB8" w:rsidRPr="00226954">
        <w:t>s</w:t>
      </w:r>
      <w:r w:rsidR="00AD30FD" w:rsidRPr="00226954">
        <w:t xml:space="preserve">ituation </w:t>
      </w:r>
      <w:r w:rsidR="0006392A" w:rsidRPr="00226954">
        <w:t>above</w:t>
      </w:r>
      <w:r w:rsidR="00AD30FD" w:rsidRPr="00226954">
        <w:t>,</w:t>
      </w:r>
      <w:r w:rsidR="000C0BB8" w:rsidRPr="00226954">
        <w:t xml:space="preserve"> a </w:t>
      </w:r>
      <w:r w:rsidR="00AD30FD" w:rsidRPr="00226954">
        <w:t>judge</w:t>
      </w:r>
      <w:r w:rsidR="0006392A" w:rsidRPr="00226954">
        <w:t xml:space="preserve"> deciding on the validity of her</w:t>
      </w:r>
      <w:r w:rsidR="00AD30FD" w:rsidRPr="00226954">
        <w:t xml:space="preserve"> claim </w:t>
      </w:r>
      <w:r w:rsidR="000C0BB8" w:rsidRPr="00226954">
        <w:t>should</w:t>
      </w:r>
      <w:r w:rsidR="00AD30FD" w:rsidRPr="00226954">
        <w:t>, on Dworkin’s view,</w:t>
      </w:r>
      <w:r w:rsidR="000C0BB8" w:rsidRPr="00226954">
        <w:t xml:space="preserve"> seek </w:t>
      </w:r>
      <w:r w:rsidR="00AD30FD" w:rsidRPr="00226954">
        <w:t xml:space="preserve">to identify a consistent line of authority valuing </w:t>
      </w:r>
      <w:r w:rsidR="001531A8">
        <w:t>analogous</w:t>
      </w:r>
      <w:r w:rsidR="00AD30FD" w:rsidRPr="00226954">
        <w:t xml:space="preserve"> </w:t>
      </w:r>
      <w:r w:rsidR="0006392A" w:rsidRPr="00226954">
        <w:t xml:space="preserve">rights </w:t>
      </w:r>
      <w:r w:rsidR="00AD30FD" w:rsidRPr="00226954">
        <w:t xml:space="preserve">and </w:t>
      </w:r>
      <w:r w:rsidR="000C0BB8" w:rsidRPr="00226954">
        <w:t>the</w:t>
      </w:r>
      <w:r w:rsidR="00AD30FD" w:rsidRPr="00226954">
        <w:t>n</w:t>
      </w:r>
      <w:r w:rsidR="000C0BB8" w:rsidRPr="00226954">
        <w:t xml:space="preserve"> </w:t>
      </w:r>
      <w:r w:rsidR="00AD30FD" w:rsidRPr="00226954">
        <w:t xml:space="preserve">adopt the </w:t>
      </w:r>
      <w:r w:rsidR="00346BBA" w:rsidRPr="00226954">
        <w:t>‘</w:t>
      </w:r>
      <w:r w:rsidR="000C0BB8" w:rsidRPr="00226954">
        <w:t>best</w:t>
      </w:r>
      <w:r w:rsidR="00346BBA" w:rsidRPr="00226954">
        <w:t>’</w:t>
      </w:r>
      <w:r w:rsidR="000C0BB8" w:rsidRPr="00226954">
        <w:t xml:space="preserve"> interpretation of </w:t>
      </w:r>
      <w:r w:rsidR="00AD30FD" w:rsidRPr="00226954">
        <w:t xml:space="preserve">such authorities in order to determine </w:t>
      </w:r>
      <w:r w:rsidR="00B06DB4" w:rsidRPr="00226954">
        <w:t>whether</w:t>
      </w:r>
      <w:r w:rsidR="00AD30FD" w:rsidRPr="00226954">
        <w:t xml:space="preserve"> S</w:t>
      </w:r>
      <w:r w:rsidR="0006392A" w:rsidRPr="00226954">
        <w:t>hirley</w:t>
      </w:r>
      <w:r w:rsidR="00AD30FD" w:rsidRPr="00226954">
        <w:t xml:space="preserve"> possesses</w:t>
      </w:r>
      <w:r w:rsidR="000C0BB8" w:rsidRPr="00226954">
        <w:t xml:space="preserve"> </w:t>
      </w:r>
      <w:r w:rsidR="00AD30FD" w:rsidRPr="00226954">
        <w:t xml:space="preserve">the relevant </w:t>
      </w:r>
      <w:r w:rsidR="0006392A" w:rsidRPr="00226954">
        <w:t>right</w:t>
      </w:r>
      <w:r w:rsidR="000C0BB8" w:rsidRPr="00226954">
        <w:t>.</w:t>
      </w:r>
      <w:r w:rsidR="0006392A" w:rsidRPr="00226954">
        <w:t xml:space="preserve"> </w:t>
      </w:r>
      <w:r w:rsidR="009D4E2A">
        <w:t xml:space="preserve">By </w:t>
      </w:r>
      <w:r w:rsidR="00650016">
        <w:t xml:space="preserve">‘best’ </w:t>
      </w:r>
      <w:r w:rsidR="009D4E2A">
        <w:t xml:space="preserve">is meant </w:t>
      </w:r>
      <w:r w:rsidR="001C5A60">
        <w:t xml:space="preserve">very broadly </w:t>
      </w:r>
      <w:r w:rsidR="009D4E2A">
        <w:t xml:space="preserve">that the judge adjudicating on Shirley’s claim, which might be loosely based on an existing but doubtfully applicable cause of action, could take account of countervailing legal considerations but also the </w:t>
      </w:r>
      <w:r w:rsidR="00650016">
        <w:t xml:space="preserve">recognition of the right in international </w:t>
      </w:r>
      <w:r w:rsidR="009D4E2A">
        <w:t>H</w:t>
      </w:r>
      <w:r w:rsidR="00650016">
        <w:t xml:space="preserve">uman </w:t>
      </w:r>
      <w:r w:rsidR="009D4E2A">
        <w:t>R</w:t>
      </w:r>
      <w:r w:rsidR="00650016">
        <w:t xml:space="preserve">ights Treaties and in </w:t>
      </w:r>
      <w:r w:rsidR="009D4E2A">
        <w:t xml:space="preserve">the Bills of Rights of </w:t>
      </w:r>
      <w:r w:rsidR="00650016">
        <w:t>comparable democracies</w:t>
      </w:r>
      <w:r w:rsidR="009D4E2A">
        <w:t>.</w:t>
      </w:r>
      <w:r w:rsidR="001C5A60">
        <w:rPr>
          <w:rStyle w:val="FootnoteReference"/>
        </w:rPr>
        <w:footnoteReference w:id="23"/>
      </w:r>
    </w:p>
    <w:p w:rsidR="0044606D" w:rsidRPr="00226954" w:rsidRDefault="0044606D" w:rsidP="005D3B28">
      <w:pPr>
        <w:jc w:val="both"/>
      </w:pPr>
    </w:p>
    <w:p w:rsidR="0044606D" w:rsidRPr="00226954" w:rsidRDefault="004C45EF" w:rsidP="005D3B28">
      <w:pPr>
        <w:pStyle w:val="Heading2"/>
        <w:jc w:val="both"/>
        <w:rPr>
          <w:rFonts w:asciiTheme="minorHAnsi" w:hAnsiTheme="minorHAnsi"/>
        </w:rPr>
      </w:pPr>
      <w:r w:rsidRPr="00226954">
        <w:rPr>
          <w:rFonts w:asciiTheme="minorHAnsi" w:hAnsiTheme="minorHAnsi"/>
        </w:rPr>
        <w:t>2</w:t>
      </w:r>
      <w:r w:rsidR="004F02B2" w:rsidRPr="00226954">
        <w:rPr>
          <w:rFonts w:asciiTheme="minorHAnsi" w:hAnsiTheme="minorHAnsi"/>
        </w:rPr>
        <w:t>.</w:t>
      </w:r>
      <w:r w:rsidR="0044606D" w:rsidRPr="00226954">
        <w:rPr>
          <w:rFonts w:asciiTheme="minorHAnsi" w:hAnsiTheme="minorHAnsi"/>
        </w:rPr>
        <w:t xml:space="preserve">2 The </w:t>
      </w:r>
      <w:proofErr w:type="spellStart"/>
      <w:r w:rsidR="0044606D" w:rsidRPr="00226954">
        <w:rPr>
          <w:rFonts w:asciiTheme="minorHAnsi" w:hAnsiTheme="minorHAnsi"/>
        </w:rPr>
        <w:t>Hohfeldian</w:t>
      </w:r>
      <w:proofErr w:type="spellEnd"/>
      <w:r w:rsidR="0044606D" w:rsidRPr="00226954">
        <w:rPr>
          <w:rFonts w:asciiTheme="minorHAnsi" w:hAnsiTheme="minorHAnsi"/>
        </w:rPr>
        <w:t xml:space="preserve"> conception of rights</w:t>
      </w:r>
      <w:r w:rsidR="004223D5" w:rsidRPr="00226954">
        <w:rPr>
          <w:rFonts w:asciiTheme="minorHAnsi" w:hAnsiTheme="minorHAnsi"/>
        </w:rPr>
        <w:t xml:space="preserve"> and liberties</w:t>
      </w:r>
    </w:p>
    <w:p w:rsidR="0044606D" w:rsidRPr="00226954" w:rsidRDefault="0044606D" w:rsidP="005D3B28">
      <w:pPr>
        <w:jc w:val="both"/>
      </w:pPr>
    </w:p>
    <w:p w:rsidR="004F7A01" w:rsidRPr="00226954" w:rsidRDefault="001E681B" w:rsidP="005D3B28">
      <w:pPr>
        <w:spacing w:line="480" w:lineRule="auto"/>
        <w:jc w:val="both"/>
      </w:pPr>
      <w:r w:rsidRPr="00226954">
        <w:t>Having given an account</w:t>
      </w:r>
      <w:r w:rsidR="004223D5" w:rsidRPr="00226954">
        <w:t xml:space="preserve">, in general terms, </w:t>
      </w:r>
      <w:r w:rsidRPr="00226954">
        <w:t xml:space="preserve">of the </w:t>
      </w:r>
      <w:r w:rsidR="008B1B37" w:rsidRPr="00226954">
        <w:t xml:space="preserve">nature of rights and liberties as </w:t>
      </w:r>
      <w:r w:rsidR="0006528E" w:rsidRPr="00226954">
        <w:t xml:space="preserve">legal </w:t>
      </w:r>
      <w:r w:rsidR="008B1B37" w:rsidRPr="00226954">
        <w:t xml:space="preserve">and </w:t>
      </w:r>
      <w:r w:rsidR="0006528E" w:rsidRPr="00226954">
        <w:t xml:space="preserve">moral </w:t>
      </w:r>
      <w:r w:rsidR="008B1B37" w:rsidRPr="00226954">
        <w:t xml:space="preserve">requirements it is now necessary to consider the content of such requirements. </w:t>
      </w:r>
      <w:r w:rsidR="00240F45" w:rsidRPr="00226954">
        <w:t>Their</w:t>
      </w:r>
      <w:r w:rsidR="008B1B37" w:rsidRPr="00226954">
        <w:t xml:space="preserve"> content is </w:t>
      </w:r>
      <w:r w:rsidR="00DF272A" w:rsidRPr="00226954">
        <w:t xml:space="preserve">fundamentally </w:t>
      </w:r>
      <w:r w:rsidR="001C5A60">
        <w:t xml:space="preserve">derived from </w:t>
      </w:r>
      <w:r w:rsidR="008B1B37" w:rsidRPr="00226954">
        <w:t xml:space="preserve">the </w:t>
      </w:r>
      <w:r w:rsidR="004E3E40" w:rsidRPr="00226954">
        <w:t xml:space="preserve">relationship of obligation between </w:t>
      </w:r>
      <w:r w:rsidRPr="00226954">
        <w:t xml:space="preserve">the </w:t>
      </w:r>
      <w:r w:rsidR="004E3E40" w:rsidRPr="00226954">
        <w:t xml:space="preserve">subject </w:t>
      </w:r>
      <w:r w:rsidR="00413051" w:rsidRPr="00226954">
        <w:t>(</w:t>
      </w:r>
      <w:proofErr w:type="spellStart"/>
      <w:r w:rsidR="00413051" w:rsidRPr="00226954">
        <w:t>eg</w:t>
      </w:r>
      <w:proofErr w:type="spellEnd"/>
      <w:r w:rsidR="00413051" w:rsidRPr="00226954">
        <w:t xml:space="preserve"> an individual) </w:t>
      </w:r>
      <w:r w:rsidR="004E3E40" w:rsidRPr="00226954">
        <w:t xml:space="preserve">and </w:t>
      </w:r>
      <w:r w:rsidR="001C5A60">
        <w:t xml:space="preserve">the </w:t>
      </w:r>
      <w:r w:rsidR="004E3E40" w:rsidRPr="00226954">
        <w:t xml:space="preserve">respondent </w:t>
      </w:r>
      <w:r w:rsidR="00413051" w:rsidRPr="00226954">
        <w:t>(</w:t>
      </w:r>
      <w:r w:rsidR="001C5A60">
        <w:t>usually</w:t>
      </w:r>
      <w:r w:rsidR="00413051" w:rsidRPr="00226954">
        <w:t xml:space="preserve"> the state</w:t>
      </w:r>
      <w:r w:rsidR="001C5A60">
        <w:t xml:space="preserve"> or an emanation of it, such as the police service</w:t>
      </w:r>
      <w:r w:rsidR="00413051" w:rsidRPr="00226954">
        <w:t xml:space="preserve">) </w:t>
      </w:r>
      <w:r w:rsidR="004E3E40" w:rsidRPr="00226954">
        <w:t xml:space="preserve">involved in the assertion </w:t>
      </w:r>
      <w:r w:rsidRPr="00226954">
        <w:t xml:space="preserve">of a right or liberty. </w:t>
      </w:r>
      <w:r w:rsidR="004223D5" w:rsidRPr="00226954">
        <w:t>One of the more influential attempts to analyse closely the nature of a right</w:t>
      </w:r>
      <w:r w:rsidR="001C5A60">
        <w:t xml:space="preserve"> or a </w:t>
      </w:r>
      <w:r w:rsidR="00DF272A" w:rsidRPr="00226954">
        <w:t>liberty</w:t>
      </w:r>
      <w:r w:rsidR="004223D5" w:rsidRPr="00226954">
        <w:t xml:space="preserve"> was made by the American jurist Wesley </w:t>
      </w:r>
      <w:proofErr w:type="spellStart"/>
      <w:r w:rsidR="004223D5" w:rsidRPr="00226954">
        <w:t>Hohfeld</w:t>
      </w:r>
      <w:proofErr w:type="spellEnd"/>
      <w:r w:rsidR="004223D5" w:rsidRPr="00226954">
        <w:t>.</w:t>
      </w:r>
      <w:r w:rsidR="00614156" w:rsidRPr="00226954">
        <w:rPr>
          <w:rStyle w:val="FootnoteReference"/>
        </w:rPr>
        <w:footnoteReference w:id="24"/>
      </w:r>
      <w:r w:rsidR="004223D5" w:rsidRPr="00226954">
        <w:t xml:space="preserve"> </w:t>
      </w:r>
      <w:proofErr w:type="spellStart"/>
      <w:r w:rsidR="004223D5" w:rsidRPr="00226954">
        <w:t>Hohfeld</w:t>
      </w:r>
      <w:proofErr w:type="spellEnd"/>
      <w:r w:rsidR="004223D5" w:rsidRPr="00226954">
        <w:t xml:space="preserve"> attempted to </w:t>
      </w:r>
      <w:r w:rsidR="004223D5" w:rsidRPr="00226954">
        <w:lastRenderedPageBreak/>
        <w:t xml:space="preserve">demonstrate that claims of rights in everyday language can in fact be broken down into </w:t>
      </w:r>
      <w:r w:rsidR="001C5A60">
        <w:t>three</w:t>
      </w:r>
      <w:r w:rsidR="004223D5" w:rsidRPr="00226954">
        <w:t xml:space="preserve"> more specific claims</w:t>
      </w:r>
      <w:r w:rsidR="004F7A01" w:rsidRPr="00226954">
        <w:t xml:space="preserve">: </w:t>
      </w:r>
      <w:r w:rsidR="004473F0">
        <w:t xml:space="preserve">a </w:t>
      </w:r>
      <w:r w:rsidR="004F7A01" w:rsidRPr="00226954">
        <w:t xml:space="preserve">claim-right, </w:t>
      </w:r>
      <w:r w:rsidR="004473F0">
        <w:t xml:space="preserve">a </w:t>
      </w:r>
      <w:r w:rsidR="004F7A01" w:rsidRPr="00226954">
        <w:t xml:space="preserve">liberty </w:t>
      </w:r>
      <w:r w:rsidR="004473F0">
        <w:t xml:space="preserve">an </w:t>
      </w:r>
      <w:r w:rsidR="004F7A01" w:rsidRPr="00226954">
        <w:t>immunity</w:t>
      </w:r>
      <w:r w:rsidR="00647056">
        <w:t xml:space="preserve"> and a power</w:t>
      </w:r>
      <w:r w:rsidR="004223D5" w:rsidRPr="00226954">
        <w:t>.</w:t>
      </w:r>
      <w:r w:rsidR="001C5A60">
        <w:rPr>
          <w:rStyle w:val="FootnoteReference"/>
        </w:rPr>
        <w:footnoteReference w:id="25"/>
      </w:r>
      <w:r w:rsidR="004F7A01" w:rsidRPr="00226954">
        <w:t xml:space="preserve"> </w:t>
      </w:r>
    </w:p>
    <w:p w:rsidR="004F7A01" w:rsidRPr="00226954" w:rsidRDefault="004F7A01" w:rsidP="005D3B28">
      <w:pPr>
        <w:pStyle w:val="Heading3"/>
        <w:jc w:val="both"/>
        <w:rPr>
          <w:rFonts w:asciiTheme="minorHAnsi" w:hAnsiTheme="minorHAnsi"/>
        </w:rPr>
      </w:pPr>
      <w:r w:rsidRPr="00226954">
        <w:rPr>
          <w:rFonts w:asciiTheme="minorHAnsi" w:hAnsiTheme="minorHAnsi"/>
        </w:rPr>
        <w:t>2.2.1 Claim-right</w:t>
      </w:r>
    </w:p>
    <w:p w:rsidR="004F7A01" w:rsidRPr="00226954" w:rsidRDefault="004F7A01" w:rsidP="005D3B28">
      <w:pPr>
        <w:spacing w:line="480" w:lineRule="auto"/>
        <w:jc w:val="both"/>
      </w:pPr>
    </w:p>
    <w:p w:rsidR="00F87DF0" w:rsidRPr="00226954" w:rsidRDefault="009C764B" w:rsidP="00FD41F9">
      <w:pPr>
        <w:spacing w:line="480" w:lineRule="auto"/>
        <w:jc w:val="both"/>
      </w:pPr>
      <w:r w:rsidRPr="00226954">
        <w:t>I</w:t>
      </w:r>
      <w:r w:rsidR="004223D5" w:rsidRPr="00226954">
        <w:t xml:space="preserve">f it is claimed that </w:t>
      </w:r>
      <w:r w:rsidR="00885977" w:rsidRPr="00226954">
        <w:t>the subject</w:t>
      </w:r>
      <w:r w:rsidR="00413051" w:rsidRPr="00226954">
        <w:t>, an individual</w:t>
      </w:r>
      <w:r w:rsidR="00885977" w:rsidRPr="00226954">
        <w:t xml:space="preserve"> (</w:t>
      </w:r>
      <w:proofErr w:type="spellStart"/>
      <w:r w:rsidR="00413051" w:rsidRPr="00226954">
        <w:t>eg</w:t>
      </w:r>
      <w:proofErr w:type="spellEnd"/>
      <w:r w:rsidR="00413051" w:rsidRPr="00226954">
        <w:t xml:space="preserve"> </w:t>
      </w:r>
      <w:r w:rsidR="00885977" w:rsidRPr="00226954">
        <w:t>S</w:t>
      </w:r>
      <w:r w:rsidR="00413051" w:rsidRPr="00226954">
        <w:t>am</w:t>
      </w:r>
      <w:r w:rsidR="00885977" w:rsidRPr="00226954">
        <w:t>)</w:t>
      </w:r>
      <w:r w:rsidR="004223D5" w:rsidRPr="00226954">
        <w:t xml:space="preserve"> has a right proper or </w:t>
      </w:r>
      <w:r w:rsidR="004473F0">
        <w:t xml:space="preserve">a </w:t>
      </w:r>
      <w:r w:rsidR="004223D5" w:rsidRPr="00226954">
        <w:t xml:space="preserve">‘claim right’ to </w:t>
      </w:r>
      <w:r w:rsidR="00413051" w:rsidRPr="00226954">
        <w:t>the</w:t>
      </w:r>
      <w:r w:rsidR="00885977" w:rsidRPr="00226954">
        <w:t xml:space="preserve"> object</w:t>
      </w:r>
      <w:r w:rsidR="00413051" w:rsidRPr="00226954">
        <w:t xml:space="preserve"> of the right</w:t>
      </w:r>
      <w:r w:rsidR="004223D5" w:rsidRPr="00226954">
        <w:t xml:space="preserve">, then this means that </w:t>
      </w:r>
      <w:r w:rsidR="00346BBA" w:rsidRPr="00226954">
        <w:t xml:space="preserve">the </w:t>
      </w:r>
      <w:r w:rsidR="00885977" w:rsidRPr="00226954">
        <w:t>respondent</w:t>
      </w:r>
      <w:r w:rsidR="00413051" w:rsidRPr="00226954">
        <w:t xml:space="preserve"> (</w:t>
      </w:r>
      <w:proofErr w:type="spellStart"/>
      <w:r w:rsidR="00413051" w:rsidRPr="00226954">
        <w:t>eg</w:t>
      </w:r>
      <w:proofErr w:type="spellEnd"/>
      <w:r w:rsidR="00413051" w:rsidRPr="00226954">
        <w:t xml:space="preserve"> a </w:t>
      </w:r>
      <w:r w:rsidR="001C5A60">
        <w:t>state or ‘</w:t>
      </w:r>
      <w:r w:rsidR="00413051" w:rsidRPr="00226954">
        <w:t>public</w:t>
      </w:r>
      <w:r w:rsidR="001C5A60">
        <w:t>’</w:t>
      </w:r>
      <w:r w:rsidR="00413051" w:rsidRPr="00226954">
        <w:t xml:space="preserve"> body)</w:t>
      </w:r>
      <w:r w:rsidR="001C5A60">
        <w:rPr>
          <w:rStyle w:val="FootnoteReference"/>
        </w:rPr>
        <w:footnoteReference w:id="26"/>
      </w:r>
      <w:r w:rsidR="00885977" w:rsidRPr="00226954">
        <w:t xml:space="preserve"> </w:t>
      </w:r>
      <w:r w:rsidR="00A8498C" w:rsidRPr="00226954">
        <w:t xml:space="preserve">is </w:t>
      </w:r>
      <w:r w:rsidR="004223D5" w:rsidRPr="00226954">
        <w:t xml:space="preserve">under </w:t>
      </w:r>
      <w:r w:rsidR="00A8498C" w:rsidRPr="00226954">
        <w:t xml:space="preserve">a </w:t>
      </w:r>
      <w:r w:rsidR="004223D5" w:rsidRPr="00226954">
        <w:t xml:space="preserve">specific corresponding duty to ensure that </w:t>
      </w:r>
      <w:r w:rsidR="00885977" w:rsidRPr="00226954">
        <w:t>S</w:t>
      </w:r>
      <w:r w:rsidR="00413051" w:rsidRPr="00226954">
        <w:t>am</w:t>
      </w:r>
      <w:r w:rsidR="004223D5" w:rsidRPr="00226954">
        <w:t xml:space="preserve"> has access to </w:t>
      </w:r>
      <w:r w:rsidR="00413051" w:rsidRPr="00226954">
        <w:t>that</w:t>
      </w:r>
      <w:r w:rsidR="00DF272A" w:rsidRPr="00226954">
        <w:t xml:space="preserve"> object</w:t>
      </w:r>
      <w:r w:rsidR="004223D5" w:rsidRPr="00226954">
        <w:t xml:space="preserve">. </w:t>
      </w:r>
      <w:r w:rsidR="00A8498C" w:rsidRPr="00226954">
        <w:t xml:space="preserve">These rights are among the most ‘powerful’ rights to possess since the duties typically </w:t>
      </w:r>
      <w:r w:rsidR="006B27ED">
        <w:t>require</w:t>
      </w:r>
      <w:r w:rsidR="00A8498C" w:rsidRPr="00226954">
        <w:t xml:space="preserve"> the respondent </w:t>
      </w:r>
      <w:r w:rsidR="006B27ED">
        <w:t xml:space="preserve">to </w:t>
      </w:r>
      <w:r w:rsidR="00A8498C" w:rsidRPr="00226954">
        <w:t xml:space="preserve">act to fulfil </w:t>
      </w:r>
      <w:r w:rsidR="00226954">
        <w:t>its</w:t>
      </w:r>
      <w:r w:rsidR="00A8498C" w:rsidRPr="00226954">
        <w:t xml:space="preserve"> duty to the subject. An example would be the right </w:t>
      </w:r>
      <w:r w:rsidRPr="00226954">
        <w:t xml:space="preserve">to </w:t>
      </w:r>
      <w:r w:rsidR="00A65903" w:rsidRPr="00226954">
        <w:t xml:space="preserve">freedom of </w:t>
      </w:r>
      <w:r w:rsidR="00413051" w:rsidRPr="00226954">
        <w:t>expression</w:t>
      </w:r>
      <w:r w:rsidR="00A65903" w:rsidRPr="00226954">
        <w:t xml:space="preserve"> recognised by Article 10 of the European Convention of Human Rights</w:t>
      </w:r>
      <w:r w:rsidR="00A8498C" w:rsidRPr="00226954">
        <w:t xml:space="preserve">. </w:t>
      </w:r>
      <w:r w:rsidR="00FD41F9" w:rsidRPr="00226954">
        <w:t xml:space="preserve">If </w:t>
      </w:r>
      <w:r w:rsidR="006B27ED">
        <w:t xml:space="preserve">for example </w:t>
      </w:r>
      <w:r w:rsidR="00FD41F9" w:rsidRPr="00226954">
        <w:t>Sam</w:t>
      </w:r>
      <w:r w:rsidR="00413051" w:rsidRPr="00226954">
        <w:t xml:space="preserve"> </w:t>
      </w:r>
      <w:r w:rsidR="00FD41F9" w:rsidRPr="00226954">
        <w:t xml:space="preserve">was fined or imprisoned for </w:t>
      </w:r>
      <w:r w:rsidR="00CA7467" w:rsidRPr="00226954">
        <w:t>publish</w:t>
      </w:r>
      <w:r w:rsidR="00FD41F9" w:rsidRPr="00226954">
        <w:t>ing</w:t>
      </w:r>
      <w:r w:rsidR="00CA7467" w:rsidRPr="00226954">
        <w:t xml:space="preserve"> </w:t>
      </w:r>
      <w:r w:rsidR="00FD41F9" w:rsidRPr="00226954">
        <w:t xml:space="preserve">material which was deemed </w:t>
      </w:r>
      <w:r w:rsidR="00292ED5" w:rsidRPr="00226954">
        <w:t xml:space="preserve">an </w:t>
      </w:r>
      <w:r w:rsidR="00FD41F9" w:rsidRPr="00226954">
        <w:t>‘obscene</w:t>
      </w:r>
      <w:r w:rsidR="00292ED5" w:rsidRPr="00226954">
        <w:t xml:space="preserve"> publication</w:t>
      </w:r>
      <w:r w:rsidR="00FD41F9" w:rsidRPr="00226954">
        <w:t>’</w:t>
      </w:r>
      <w:r w:rsidR="00FD41F9" w:rsidRPr="00226954">
        <w:rPr>
          <w:rStyle w:val="FootnoteReference"/>
        </w:rPr>
        <w:footnoteReference w:id="27"/>
      </w:r>
      <w:r w:rsidR="00FD41F9" w:rsidRPr="00226954">
        <w:t xml:space="preserve"> then he could claim that this interference was contrary to his Article 10 right. </w:t>
      </w:r>
    </w:p>
    <w:p w:rsidR="00F87DF0" w:rsidRPr="00226954" w:rsidRDefault="00F87DF0" w:rsidP="005D3B28">
      <w:pPr>
        <w:pStyle w:val="Heading3"/>
        <w:jc w:val="both"/>
        <w:rPr>
          <w:rFonts w:asciiTheme="minorHAnsi" w:hAnsiTheme="minorHAnsi"/>
        </w:rPr>
      </w:pPr>
      <w:r w:rsidRPr="00226954">
        <w:rPr>
          <w:rFonts w:asciiTheme="minorHAnsi" w:hAnsiTheme="minorHAnsi"/>
        </w:rPr>
        <w:t xml:space="preserve">2.2.2 </w:t>
      </w:r>
      <w:r w:rsidR="00596E67" w:rsidRPr="00226954">
        <w:rPr>
          <w:rFonts w:asciiTheme="minorHAnsi" w:hAnsiTheme="minorHAnsi"/>
        </w:rPr>
        <w:t>Liberty</w:t>
      </w:r>
    </w:p>
    <w:p w:rsidR="00F87DF0" w:rsidRPr="00226954" w:rsidRDefault="00F87DF0" w:rsidP="005D3B28">
      <w:pPr>
        <w:spacing w:line="480" w:lineRule="auto"/>
        <w:jc w:val="both"/>
      </w:pPr>
    </w:p>
    <w:p w:rsidR="0055705E" w:rsidRPr="00226954" w:rsidRDefault="009C764B" w:rsidP="00BE0548">
      <w:pPr>
        <w:spacing w:line="480" w:lineRule="auto"/>
        <w:jc w:val="both"/>
      </w:pPr>
      <w:r w:rsidRPr="00226954">
        <w:t>I</w:t>
      </w:r>
      <w:r w:rsidR="00F87DF0" w:rsidRPr="00226954">
        <w:t>f S</w:t>
      </w:r>
      <w:r w:rsidR="00A65903" w:rsidRPr="00226954">
        <w:t>am</w:t>
      </w:r>
      <w:r w:rsidR="00F87DF0" w:rsidRPr="00226954">
        <w:t xml:space="preserve"> has only a liberty (what </w:t>
      </w:r>
      <w:proofErr w:type="spellStart"/>
      <w:r w:rsidR="00F87DF0" w:rsidRPr="00226954">
        <w:t>Hohfeld</w:t>
      </w:r>
      <w:proofErr w:type="spellEnd"/>
      <w:r w:rsidR="00F87DF0" w:rsidRPr="00226954">
        <w:t xml:space="preserve"> calls a privilege) to </w:t>
      </w:r>
      <w:r w:rsidR="00A65903" w:rsidRPr="00226954">
        <w:t>enjoy the object of his right</w:t>
      </w:r>
      <w:r w:rsidR="00F87DF0" w:rsidRPr="00226954">
        <w:t xml:space="preserve">, this far weaker claim merely means that he does no wrong in </w:t>
      </w:r>
      <w:r w:rsidR="00A65903" w:rsidRPr="00226954">
        <w:t>doing so</w:t>
      </w:r>
      <w:r w:rsidR="00F87DF0" w:rsidRPr="00226954">
        <w:t xml:space="preserve">. The </w:t>
      </w:r>
      <w:r w:rsidR="00A65903" w:rsidRPr="00226954">
        <w:t xml:space="preserve">state </w:t>
      </w:r>
      <w:r w:rsidR="00F87DF0" w:rsidRPr="00226954">
        <w:t xml:space="preserve">has no duty to enable </w:t>
      </w:r>
      <w:r w:rsidR="00A65903" w:rsidRPr="00226954">
        <w:t>him</w:t>
      </w:r>
      <w:r w:rsidR="00F87DF0" w:rsidRPr="00226954">
        <w:t xml:space="preserve"> to achieve </w:t>
      </w:r>
      <w:r w:rsidR="00A65903" w:rsidRPr="00226954">
        <w:t>th</w:t>
      </w:r>
      <w:r w:rsidR="00305A18" w:rsidRPr="00226954">
        <w:t>e</w:t>
      </w:r>
      <w:r w:rsidR="00A65903" w:rsidRPr="00226954">
        <w:t xml:space="preserve"> object </w:t>
      </w:r>
      <w:r w:rsidR="00305A18" w:rsidRPr="00226954">
        <w:t>of his liberty</w:t>
      </w:r>
      <w:r w:rsidR="00F87DF0" w:rsidRPr="00226954">
        <w:t>.</w:t>
      </w:r>
      <w:r w:rsidR="0050459A" w:rsidRPr="00226954">
        <w:t xml:space="preserve"> </w:t>
      </w:r>
      <w:r w:rsidR="00E50BB9">
        <w:t xml:space="preserve">Thus if a statute bans all assemblies in public places consisting of more than 10 people whereas persons did no wrong in assembling in any numbers in public, then a liberty of persons to assemble has been severely encroached upon. Since individuals cannot claim a right to assemble, they have no clear means of challenging the new statutory power when applied by the police to arrest persons assembling in a group of more than ten. </w:t>
      </w:r>
      <w:r w:rsidR="00D82443">
        <w:t>On the other hand</w:t>
      </w:r>
      <w:r w:rsidR="00E50BB9">
        <w:t>, persons representing the state, such as the police, need a specific power to encroach on a liberty.</w:t>
      </w:r>
      <w:r w:rsidR="00D82443">
        <w:t xml:space="preserve"> </w:t>
      </w:r>
      <w:r w:rsidR="00E50BB9">
        <w:t xml:space="preserve">Liberties are assumed to exist unless specifically curtailed by legal powers. </w:t>
      </w:r>
      <w:r w:rsidR="0050459A" w:rsidRPr="00226954">
        <w:t>A historical</w:t>
      </w:r>
      <w:r w:rsidR="00596E67" w:rsidRPr="00226954">
        <w:t xml:space="preserve"> example</w:t>
      </w:r>
      <w:r w:rsidR="00F407D4">
        <w:t xml:space="preserve">, </w:t>
      </w:r>
      <w:r w:rsidR="00E50BB9">
        <w:t xml:space="preserve">which could </w:t>
      </w:r>
      <w:r w:rsidR="00E50BB9">
        <w:lastRenderedPageBreak/>
        <w:t xml:space="preserve">have arisen in Britain </w:t>
      </w:r>
      <w:r w:rsidR="00F407D4">
        <w:t xml:space="preserve">prior to the general statutory power </w:t>
      </w:r>
      <w:r w:rsidR="00E50BB9">
        <w:t xml:space="preserve">of stop and search </w:t>
      </w:r>
      <w:r w:rsidR="00F407D4">
        <w:t xml:space="preserve">created by the Police and Criminal Evidence Act, </w:t>
      </w:r>
      <w:r w:rsidR="00E50BB9">
        <w:t>is provided by</w:t>
      </w:r>
      <w:r w:rsidR="0050459A" w:rsidRPr="00226954">
        <w:t xml:space="preserve"> the lack of a general statutory power for police to detain and search individuals</w:t>
      </w:r>
      <w:r w:rsidR="00240F45" w:rsidRPr="00226954">
        <w:t>.</w:t>
      </w:r>
      <w:r w:rsidR="0055705E" w:rsidRPr="00226954">
        <w:rPr>
          <w:rStyle w:val="FootnoteReference"/>
        </w:rPr>
        <w:footnoteReference w:id="28"/>
      </w:r>
      <w:r w:rsidR="00240F45" w:rsidRPr="00226954">
        <w:t xml:space="preserve"> </w:t>
      </w:r>
      <w:r w:rsidR="00F25AA6" w:rsidRPr="00226954">
        <w:t>I</w:t>
      </w:r>
      <w:r w:rsidR="0055705E" w:rsidRPr="00226954">
        <w:t xml:space="preserve">f the police were to </w:t>
      </w:r>
      <w:r w:rsidR="00E50BB9">
        <w:t xml:space="preserve">seek to stop and </w:t>
      </w:r>
      <w:r w:rsidR="0050459A" w:rsidRPr="00226954">
        <w:t xml:space="preserve">search </w:t>
      </w:r>
      <w:r w:rsidR="00F25AA6" w:rsidRPr="00226954">
        <w:t xml:space="preserve">a hypothetical suspect, </w:t>
      </w:r>
      <w:r w:rsidR="0055705E" w:rsidRPr="00226954">
        <w:t>Sam</w:t>
      </w:r>
      <w:r w:rsidR="00E50BB9">
        <w:t>,</w:t>
      </w:r>
      <w:r w:rsidR="0050459A" w:rsidRPr="00226954">
        <w:t xml:space="preserve"> in the absence of specific </w:t>
      </w:r>
      <w:r w:rsidR="00F407D4">
        <w:t xml:space="preserve">common law or statutory </w:t>
      </w:r>
      <w:r w:rsidR="0050459A" w:rsidRPr="00226954">
        <w:t>authority</w:t>
      </w:r>
      <w:r w:rsidR="00A93AC5" w:rsidRPr="00226954">
        <w:t xml:space="preserve"> –</w:t>
      </w:r>
      <w:r w:rsidR="0050459A" w:rsidRPr="00226954">
        <w:t xml:space="preserve"> </w:t>
      </w:r>
      <w:r w:rsidR="00E35797">
        <w:t xml:space="preserve">he </w:t>
      </w:r>
      <w:r w:rsidR="0055705E" w:rsidRPr="00226954">
        <w:t xml:space="preserve">could assert that he was under no duty to </w:t>
      </w:r>
      <w:r w:rsidR="0050459A" w:rsidRPr="00226954">
        <w:t>consent to their search</w:t>
      </w:r>
      <w:r w:rsidR="0055705E" w:rsidRPr="00226954">
        <w:t xml:space="preserve">. </w:t>
      </w:r>
      <w:r w:rsidR="00F407D4">
        <w:t>Obviously</w:t>
      </w:r>
      <w:r w:rsidR="0055705E" w:rsidRPr="00226954">
        <w:t xml:space="preserve">, by asserting his liberty he is not asserting a claim-right </w:t>
      </w:r>
      <w:r w:rsidR="0050459A" w:rsidRPr="00226954">
        <w:t>(</w:t>
      </w:r>
      <w:proofErr w:type="spellStart"/>
      <w:r w:rsidR="0050459A" w:rsidRPr="00226954">
        <w:t>eg</w:t>
      </w:r>
      <w:proofErr w:type="spellEnd"/>
      <w:r w:rsidR="0050459A" w:rsidRPr="00226954">
        <w:t xml:space="preserve"> </w:t>
      </w:r>
      <w:r w:rsidR="0055705E" w:rsidRPr="00226954">
        <w:t>to non-interference with his person</w:t>
      </w:r>
      <w:r w:rsidR="0050459A" w:rsidRPr="00226954">
        <w:t>)</w:t>
      </w:r>
      <w:r w:rsidR="00E35797">
        <w:t>, but he is asserting that there is no power to interfere with his liberty</w:t>
      </w:r>
      <w:r w:rsidR="00305A18" w:rsidRPr="00226954">
        <w:t>.</w:t>
      </w:r>
      <w:r w:rsidR="00F407D4">
        <w:t xml:space="preserve"> </w:t>
      </w:r>
      <w:r w:rsidR="00E35797">
        <w:t>In that instance in the absence of a specific power of stop and search, the assertion of a claim right or of a liberty would lead to the same legal result – that the police would be found to have acted unlawfully. But t</w:t>
      </w:r>
      <w:r w:rsidR="00F407D4">
        <w:t xml:space="preserve">he creation of a general statutory power </w:t>
      </w:r>
      <w:r w:rsidR="00E35797">
        <w:t xml:space="preserve">of stop and search </w:t>
      </w:r>
      <w:r w:rsidR="00F407D4">
        <w:t>would obviously destroy Sam’s liberty</w:t>
      </w:r>
      <w:r w:rsidR="00E35797">
        <w:t xml:space="preserve"> to go about his business in public free from police interference, assuming that he satisfied the conditions in the statute allowing the police to stop and search him</w:t>
      </w:r>
      <w:r w:rsidR="00F407D4">
        <w:t>.</w:t>
      </w:r>
      <w:r w:rsidR="00E35797">
        <w:t xml:space="preserve"> If however he had a claim right to non-detention by police, even for the brief period of a stop and search, then he could challenge the stop and search on the basis of non-compliance with the terms of that right (as set out in the relevant Bill of Rights), even if the terms of the statute allowing </w:t>
      </w:r>
      <w:r w:rsidR="008B769E">
        <w:t xml:space="preserve">the </w:t>
      </w:r>
      <w:r w:rsidR="00E35797">
        <w:t xml:space="preserve">police to stop and search him were fulfilled. </w:t>
      </w:r>
    </w:p>
    <w:p w:rsidR="00F87DF0" w:rsidRPr="00226954" w:rsidRDefault="00F87DF0" w:rsidP="005D3B28">
      <w:pPr>
        <w:pStyle w:val="Heading3"/>
        <w:jc w:val="both"/>
        <w:rPr>
          <w:rFonts w:asciiTheme="minorHAnsi" w:hAnsiTheme="minorHAnsi"/>
        </w:rPr>
      </w:pPr>
      <w:r w:rsidRPr="00226954">
        <w:rPr>
          <w:rFonts w:asciiTheme="minorHAnsi" w:hAnsiTheme="minorHAnsi"/>
        </w:rPr>
        <w:t xml:space="preserve">2.2.3 </w:t>
      </w:r>
      <w:r w:rsidR="00895311" w:rsidRPr="00226954">
        <w:rPr>
          <w:rFonts w:asciiTheme="minorHAnsi" w:hAnsiTheme="minorHAnsi"/>
        </w:rPr>
        <w:t>Immunity</w:t>
      </w:r>
    </w:p>
    <w:p w:rsidR="00F87DF0" w:rsidRPr="00226954" w:rsidRDefault="00F87DF0" w:rsidP="005D3B28">
      <w:pPr>
        <w:spacing w:line="480" w:lineRule="auto"/>
        <w:jc w:val="both"/>
      </w:pPr>
    </w:p>
    <w:p w:rsidR="008B243C" w:rsidRPr="00226954" w:rsidRDefault="007176A0" w:rsidP="005D3B28">
      <w:pPr>
        <w:spacing w:line="480" w:lineRule="auto"/>
        <w:jc w:val="both"/>
      </w:pPr>
      <w:r w:rsidRPr="00226954">
        <w:t>Both the previous requirements considered so far, c</w:t>
      </w:r>
      <w:r w:rsidR="00895311" w:rsidRPr="00226954">
        <w:t>laim</w:t>
      </w:r>
      <w:r w:rsidR="00573A6E">
        <w:t xml:space="preserve"> rights</w:t>
      </w:r>
      <w:r w:rsidR="00895311" w:rsidRPr="00226954">
        <w:t xml:space="preserve"> and liberties</w:t>
      </w:r>
      <w:r w:rsidRPr="00226954">
        <w:t>,</w:t>
      </w:r>
      <w:r w:rsidR="00895311" w:rsidRPr="00226954">
        <w:t xml:space="preserve"> </w:t>
      </w:r>
      <w:r w:rsidR="003438A0" w:rsidRPr="00226954">
        <w:t xml:space="preserve">are </w:t>
      </w:r>
      <w:r w:rsidR="00895311" w:rsidRPr="00226954">
        <w:rPr>
          <w:i/>
        </w:rPr>
        <w:t>primary</w:t>
      </w:r>
      <w:r w:rsidR="00895311" w:rsidRPr="00226954">
        <w:t xml:space="preserve"> </w:t>
      </w:r>
      <w:r w:rsidR="00F0371D" w:rsidRPr="00226954">
        <w:t xml:space="preserve">rules </w:t>
      </w:r>
      <w:r w:rsidRPr="00226954">
        <w:t xml:space="preserve">that </w:t>
      </w:r>
      <w:r w:rsidR="004716F4" w:rsidRPr="00226954">
        <w:t xml:space="preserve">directly require </w:t>
      </w:r>
      <w:r w:rsidR="00895311" w:rsidRPr="00226954">
        <w:t xml:space="preserve">the respondent </w:t>
      </w:r>
      <w:r w:rsidR="004716F4" w:rsidRPr="00226954">
        <w:t xml:space="preserve">to do something </w:t>
      </w:r>
      <w:r w:rsidR="003968C9" w:rsidRPr="00226954">
        <w:t xml:space="preserve">(claims) or that the subject has no duty </w:t>
      </w:r>
      <w:r w:rsidR="004716F4" w:rsidRPr="00226954">
        <w:t xml:space="preserve">not </w:t>
      </w:r>
      <w:r w:rsidR="00743684" w:rsidRPr="00226954">
        <w:t xml:space="preserve">to </w:t>
      </w:r>
      <w:r w:rsidR="004716F4" w:rsidRPr="00226954">
        <w:t xml:space="preserve">do something </w:t>
      </w:r>
      <w:r w:rsidR="003968C9" w:rsidRPr="00226954">
        <w:t>(liberties)</w:t>
      </w:r>
      <w:r w:rsidR="00895311" w:rsidRPr="00226954">
        <w:t>.</w:t>
      </w:r>
      <w:r w:rsidR="003968C9" w:rsidRPr="00226954">
        <w:t xml:space="preserve"> </w:t>
      </w:r>
      <w:proofErr w:type="gramStart"/>
      <w:r w:rsidR="00573A6E">
        <w:t>An</w:t>
      </w:r>
      <w:r w:rsidR="003968C9" w:rsidRPr="00226954">
        <w:t xml:space="preserve"> immunity</w:t>
      </w:r>
      <w:proofErr w:type="gramEnd"/>
      <w:r w:rsidR="00895311" w:rsidRPr="00226954">
        <w:t xml:space="preserve">, </w:t>
      </w:r>
      <w:r w:rsidR="003968C9" w:rsidRPr="00226954">
        <w:t>in contrast</w:t>
      </w:r>
      <w:r w:rsidR="00895311" w:rsidRPr="00226954">
        <w:t xml:space="preserve">, </w:t>
      </w:r>
      <w:r w:rsidR="003968C9" w:rsidRPr="00226954">
        <w:t xml:space="preserve">is a </w:t>
      </w:r>
      <w:r w:rsidR="00895311" w:rsidRPr="00226954">
        <w:rPr>
          <w:i/>
        </w:rPr>
        <w:t>secondary</w:t>
      </w:r>
      <w:r w:rsidR="00895311" w:rsidRPr="00226954">
        <w:t xml:space="preserve"> </w:t>
      </w:r>
      <w:r w:rsidR="003968C9" w:rsidRPr="00226954">
        <w:t xml:space="preserve">rule. Rather than refer to rules requiring action directly (claims/liberties), the immunity refers to the right to </w:t>
      </w:r>
      <w:r w:rsidR="003968C9" w:rsidRPr="00226954">
        <w:rPr>
          <w:i/>
        </w:rPr>
        <w:t>change</w:t>
      </w:r>
      <w:r w:rsidR="003968C9" w:rsidRPr="00226954">
        <w:t xml:space="preserve"> </w:t>
      </w:r>
      <w:r w:rsidR="00AC6767" w:rsidRPr="00226954">
        <w:t>such</w:t>
      </w:r>
      <w:r w:rsidR="003968C9" w:rsidRPr="00226954">
        <w:t xml:space="preserve"> rules</w:t>
      </w:r>
      <w:r w:rsidR="00895311" w:rsidRPr="00226954">
        <w:t xml:space="preserve">. </w:t>
      </w:r>
      <w:r w:rsidR="00AC6767" w:rsidRPr="00226954">
        <w:t>More s</w:t>
      </w:r>
      <w:r w:rsidR="003968C9" w:rsidRPr="00226954">
        <w:t xml:space="preserve">pecifically, if one has </w:t>
      </w:r>
      <w:proofErr w:type="gramStart"/>
      <w:r w:rsidR="003968C9" w:rsidRPr="00226954">
        <w:t>an immunity</w:t>
      </w:r>
      <w:proofErr w:type="gramEnd"/>
      <w:r w:rsidR="003968C9" w:rsidRPr="00226954">
        <w:t>, then the respondent (</w:t>
      </w:r>
      <w:proofErr w:type="spellStart"/>
      <w:r w:rsidR="003968C9" w:rsidRPr="00226954">
        <w:t>eg</w:t>
      </w:r>
      <w:proofErr w:type="spellEnd"/>
      <w:r w:rsidR="003968C9" w:rsidRPr="00226954">
        <w:t xml:space="preserve"> a public authority)</w:t>
      </w:r>
      <w:r w:rsidR="00E42C73" w:rsidRPr="00226954">
        <w:t xml:space="preserve"> is disabled from creating a rule requiring the subject to act contrary to the object of the immunity. </w:t>
      </w:r>
      <w:r w:rsidR="006E35C9">
        <w:t>An</w:t>
      </w:r>
      <w:r w:rsidR="008B243C" w:rsidRPr="00226954">
        <w:t xml:space="preserve"> immunity has a corollary – </w:t>
      </w:r>
      <w:r w:rsidR="006E35C9">
        <w:t>a</w:t>
      </w:r>
      <w:r w:rsidR="008B243C" w:rsidRPr="00226954">
        <w:t xml:space="preserve"> power – which, rather than disable the alteration of primary rules</w:t>
      </w:r>
      <w:r w:rsidR="006E35C9">
        <w:t>,</w:t>
      </w:r>
      <w:r w:rsidR="008B243C" w:rsidRPr="00226954">
        <w:t xml:space="preserve"> enables such </w:t>
      </w:r>
      <w:r w:rsidR="008B243C" w:rsidRPr="00226954">
        <w:lastRenderedPageBreak/>
        <w:t xml:space="preserve">alteration; however, unlike </w:t>
      </w:r>
      <w:r w:rsidR="006E35C9">
        <w:t>an</w:t>
      </w:r>
      <w:r w:rsidR="008B243C" w:rsidRPr="00226954">
        <w:t xml:space="preserve"> immunity, </w:t>
      </w:r>
      <w:r w:rsidR="006E35C9">
        <w:t>a</w:t>
      </w:r>
      <w:r w:rsidR="008B243C" w:rsidRPr="00226954">
        <w:t xml:space="preserve"> power is not a feature of the civil liberties or human rights considered in this work and is therefore not considered further in this chapter.</w:t>
      </w:r>
      <w:r w:rsidR="008B243C" w:rsidRPr="00226954">
        <w:rPr>
          <w:rStyle w:val="FootnoteReference"/>
        </w:rPr>
        <w:footnoteReference w:id="29"/>
      </w:r>
    </w:p>
    <w:p w:rsidR="007002E1" w:rsidRPr="00226954" w:rsidRDefault="00E42C73" w:rsidP="008B243C">
      <w:pPr>
        <w:spacing w:line="480" w:lineRule="auto"/>
        <w:ind w:firstLine="720"/>
        <w:jc w:val="both"/>
      </w:pPr>
      <w:r w:rsidRPr="00226954">
        <w:t>An immunity works most effectively in tandem with a liberty</w:t>
      </w:r>
      <w:r w:rsidR="00C62F13" w:rsidRPr="00226954">
        <w:t>; th</w:t>
      </w:r>
      <w:r w:rsidR="006E35C9">
        <w:t>at</w:t>
      </w:r>
      <w:r w:rsidR="00C62F13" w:rsidRPr="00226954">
        <w:t xml:space="preserve"> is because a liberty </w:t>
      </w:r>
      <w:r w:rsidRPr="00226954">
        <w:t xml:space="preserve">refers to the absence of a duty to act contrary to </w:t>
      </w:r>
      <w:r w:rsidR="00C62F13" w:rsidRPr="00226954">
        <w:t xml:space="preserve">its </w:t>
      </w:r>
      <w:r w:rsidRPr="00226954">
        <w:t>object (</w:t>
      </w:r>
      <w:proofErr w:type="spellStart"/>
      <w:r w:rsidRPr="00226954">
        <w:t>eg</w:t>
      </w:r>
      <w:proofErr w:type="spellEnd"/>
      <w:r w:rsidRPr="00226954">
        <w:t xml:space="preserve"> </w:t>
      </w:r>
      <w:r w:rsidR="006E35C9">
        <w:t xml:space="preserve">above Sam had </w:t>
      </w:r>
      <w:r w:rsidRPr="00226954">
        <w:t xml:space="preserve">no duty to acquiesce to a </w:t>
      </w:r>
      <w:r w:rsidR="006E35C9">
        <w:t xml:space="preserve">police stop and </w:t>
      </w:r>
      <w:r w:rsidRPr="00226954">
        <w:t>search</w:t>
      </w:r>
      <w:r w:rsidR="006E35C9">
        <w:t xml:space="preserve"> in the absence of a statutory provision allowing such police action</w:t>
      </w:r>
      <w:r w:rsidRPr="00226954">
        <w:t xml:space="preserve">), while an immunity disables </w:t>
      </w:r>
      <w:r w:rsidR="00C62F13" w:rsidRPr="00226954">
        <w:t xml:space="preserve">the </w:t>
      </w:r>
      <w:r w:rsidRPr="00226954">
        <w:t>creati</w:t>
      </w:r>
      <w:r w:rsidR="00C62F13" w:rsidRPr="00226954">
        <w:t>on of</w:t>
      </w:r>
      <w:r w:rsidRPr="00226954">
        <w:t xml:space="preserve"> a duty contrary to the object of the immunity (</w:t>
      </w:r>
      <w:proofErr w:type="spellStart"/>
      <w:r w:rsidRPr="00226954">
        <w:t>eg</w:t>
      </w:r>
      <w:proofErr w:type="spellEnd"/>
      <w:r w:rsidRPr="00226954">
        <w:t xml:space="preserve"> no </w:t>
      </w:r>
      <w:r w:rsidR="008C7EC0">
        <w:t xml:space="preserve">statutory provision can be created </w:t>
      </w:r>
      <w:r w:rsidRPr="00226954">
        <w:t>authoris</w:t>
      </w:r>
      <w:r w:rsidR="008C7EC0">
        <w:t>ing</w:t>
      </w:r>
      <w:r w:rsidRPr="00226954">
        <w:t xml:space="preserve"> </w:t>
      </w:r>
      <w:r w:rsidR="008C7EC0">
        <w:t xml:space="preserve">police stop and </w:t>
      </w:r>
      <w:r w:rsidRPr="00226954">
        <w:t>search).</w:t>
      </w:r>
      <w:r w:rsidR="00F70923" w:rsidRPr="00226954">
        <w:t xml:space="preserve"> </w:t>
      </w:r>
      <w:r w:rsidR="008C7EC0">
        <w:t xml:space="preserve">In general the UK does not recognise immunities in its constitutional arrangements, since Parliament can in theory legislate to </w:t>
      </w:r>
      <w:r w:rsidR="00FF3C11">
        <w:t>abridge any human right. However, a</w:t>
      </w:r>
      <w:r w:rsidR="0050459A" w:rsidRPr="00226954">
        <w:t xml:space="preserve">n </w:t>
      </w:r>
      <w:r w:rsidR="002E4FF6" w:rsidRPr="00226954">
        <w:t>example of a</w:t>
      </w:r>
      <w:r w:rsidR="00FF3C11">
        <w:t xml:space="preserve"> de facto</w:t>
      </w:r>
      <w:r w:rsidR="00573A6E">
        <w:t xml:space="preserve"> </w:t>
      </w:r>
      <w:r w:rsidR="002E4FF6" w:rsidRPr="00226954">
        <w:t xml:space="preserve">immunity </w:t>
      </w:r>
      <w:r w:rsidR="00FF3C11">
        <w:t xml:space="preserve">in the UK </w:t>
      </w:r>
      <w:r w:rsidR="002E4FF6" w:rsidRPr="00226954">
        <w:t xml:space="preserve">is </w:t>
      </w:r>
      <w:r w:rsidR="001E2496" w:rsidRPr="00226954">
        <w:t>t</w:t>
      </w:r>
      <w:r w:rsidR="002E4F5A" w:rsidRPr="00226954">
        <w:t xml:space="preserve">he </w:t>
      </w:r>
      <w:r w:rsidR="007002E1" w:rsidRPr="00226954">
        <w:t xml:space="preserve">right to silence </w:t>
      </w:r>
      <w:r w:rsidR="00FF3C11">
        <w:t>since while Parliament is free to abolish it completely,</w:t>
      </w:r>
      <w:r w:rsidR="00846E2E" w:rsidRPr="00226954">
        <w:rPr>
          <w:rStyle w:val="FootnoteReference"/>
        </w:rPr>
        <w:footnoteReference w:id="30"/>
      </w:r>
      <w:r w:rsidR="00FF3C11">
        <w:t xml:space="preserve"> </w:t>
      </w:r>
      <w:r w:rsidR="00846E2E">
        <w:t xml:space="preserve">it has such a long pedigree in the UK that such an eventuality is unlikely. </w:t>
      </w:r>
      <w:r w:rsidR="00AC6767" w:rsidRPr="00226954">
        <w:t xml:space="preserve">This </w:t>
      </w:r>
      <w:r w:rsidR="00ED439B" w:rsidRPr="00226954">
        <w:t xml:space="preserve">right </w:t>
      </w:r>
      <w:r w:rsidR="00C00143">
        <w:t xml:space="preserve">could be said to operate </w:t>
      </w:r>
      <w:r w:rsidR="00846E2E">
        <w:t>currently a</w:t>
      </w:r>
      <w:r w:rsidR="00ED439B" w:rsidRPr="00226954">
        <w:t xml:space="preserve">s </w:t>
      </w:r>
      <w:r w:rsidR="00AC6767" w:rsidRPr="00226954">
        <w:t xml:space="preserve">an immunity </w:t>
      </w:r>
      <w:r w:rsidR="00647056">
        <w:t>in the sense that</w:t>
      </w:r>
      <w:r w:rsidR="00AC6767" w:rsidRPr="00226954">
        <w:t xml:space="preserve"> </w:t>
      </w:r>
      <w:r w:rsidR="00ED439B" w:rsidRPr="00226954">
        <w:t xml:space="preserve">it is a requirement that </w:t>
      </w:r>
      <w:r w:rsidR="00AC6767" w:rsidRPr="00226954">
        <w:t xml:space="preserve">a court </w:t>
      </w:r>
      <w:r w:rsidR="00846E2E">
        <w:t>is</w:t>
      </w:r>
      <w:r w:rsidR="00ED439B" w:rsidRPr="00226954">
        <w:t xml:space="preserve"> </w:t>
      </w:r>
      <w:r w:rsidR="00AC6767" w:rsidRPr="00226954">
        <w:t xml:space="preserve">disabled from exercising its authority to </w:t>
      </w:r>
      <w:r w:rsidR="00503C31">
        <w:t xml:space="preserve">convict </w:t>
      </w:r>
      <w:r w:rsidR="00AC6767" w:rsidRPr="00226954">
        <w:t xml:space="preserve">a suspect </w:t>
      </w:r>
      <w:r w:rsidR="00503C31">
        <w:t xml:space="preserve">purely on the basis of remaining silent </w:t>
      </w:r>
      <w:r w:rsidR="00AC6767" w:rsidRPr="00226954">
        <w:t xml:space="preserve">in </w:t>
      </w:r>
      <w:r w:rsidR="00503C31">
        <w:t xml:space="preserve">court or in the face of police questioning since that would fundamentally violate </w:t>
      </w:r>
      <w:r w:rsidR="008B243C" w:rsidRPr="00226954">
        <w:t>his</w:t>
      </w:r>
      <w:r w:rsidR="00AC6767" w:rsidRPr="00226954">
        <w:t xml:space="preserve"> right to silence (</w:t>
      </w:r>
      <w:r w:rsidR="008B243C" w:rsidRPr="00226954">
        <w:t xml:space="preserve">which is </w:t>
      </w:r>
      <w:r w:rsidR="00AC6767" w:rsidRPr="00226954">
        <w:t xml:space="preserve">the object of the immunity). To return to the example of Sam, his right to silence means </w:t>
      </w:r>
      <w:r w:rsidR="00503C31">
        <w:t xml:space="preserve">that while </w:t>
      </w:r>
      <w:r w:rsidR="00AC6767" w:rsidRPr="00226954">
        <w:t>adverse inferences c</w:t>
      </w:r>
      <w:r w:rsidR="004052B3">
        <w:t>ould</w:t>
      </w:r>
      <w:r w:rsidR="00AC6767" w:rsidRPr="00226954">
        <w:t xml:space="preserve"> be drawn </w:t>
      </w:r>
      <w:r w:rsidR="004052B3">
        <w:t xml:space="preserve">in court </w:t>
      </w:r>
      <w:r w:rsidR="00AC6767" w:rsidRPr="00226954">
        <w:t xml:space="preserve">from his refusal to answer police questions about a suspected </w:t>
      </w:r>
      <w:r w:rsidR="00503C31">
        <w:t xml:space="preserve">offence, </w:t>
      </w:r>
      <w:r w:rsidR="004052B3">
        <w:t>he can nevertheless refuse to answer such questions</w:t>
      </w:r>
      <w:r w:rsidR="00AC6767" w:rsidRPr="00226954">
        <w:t xml:space="preserve">. His immunity provides that he will only </w:t>
      </w:r>
      <w:r w:rsidR="00647056">
        <w:t xml:space="preserve">be convicted </w:t>
      </w:r>
      <w:r w:rsidR="00F70444" w:rsidRPr="00226954">
        <w:t xml:space="preserve">if </w:t>
      </w:r>
      <w:r w:rsidR="00AC6767" w:rsidRPr="00226954">
        <w:t xml:space="preserve">a </w:t>
      </w:r>
      <w:r w:rsidR="00F70444" w:rsidRPr="00226954">
        <w:t xml:space="preserve">court finds him guilty </w:t>
      </w:r>
      <w:r w:rsidR="00647056">
        <w:t xml:space="preserve">of the offence </w:t>
      </w:r>
      <w:r w:rsidR="00AC6767" w:rsidRPr="00647056">
        <w:t>without</w:t>
      </w:r>
      <w:r w:rsidR="00AC6767" w:rsidRPr="00226954">
        <w:rPr>
          <w:i/>
        </w:rPr>
        <w:t xml:space="preserve"> </w:t>
      </w:r>
      <w:r w:rsidR="00AC6767" w:rsidRPr="00226954">
        <w:t xml:space="preserve">relying </w:t>
      </w:r>
      <w:r w:rsidR="00647056">
        <w:t xml:space="preserve">solely </w:t>
      </w:r>
      <w:r w:rsidR="00AC6767" w:rsidRPr="00226954">
        <w:t>on such adverse inferences</w:t>
      </w:r>
      <w:r w:rsidR="00F70444" w:rsidRPr="00226954">
        <w:t xml:space="preserve">. </w:t>
      </w:r>
    </w:p>
    <w:p w:rsidR="0044606D" w:rsidRPr="00226954" w:rsidRDefault="00E63105" w:rsidP="005D3B28">
      <w:pPr>
        <w:pStyle w:val="Heading3"/>
        <w:jc w:val="both"/>
        <w:rPr>
          <w:rFonts w:asciiTheme="minorHAnsi" w:hAnsiTheme="minorHAnsi"/>
        </w:rPr>
      </w:pPr>
      <w:r w:rsidRPr="00226954">
        <w:rPr>
          <w:rFonts w:asciiTheme="minorHAnsi" w:hAnsiTheme="minorHAnsi"/>
        </w:rPr>
        <w:t>2.2.4 Conclusion</w:t>
      </w:r>
      <w:r w:rsidR="00647056">
        <w:rPr>
          <w:rFonts w:asciiTheme="minorHAnsi" w:hAnsiTheme="minorHAnsi"/>
        </w:rPr>
        <w:t>s</w:t>
      </w:r>
      <w:r w:rsidRPr="00226954">
        <w:rPr>
          <w:rFonts w:asciiTheme="minorHAnsi" w:hAnsiTheme="minorHAnsi"/>
        </w:rPr>
        <w:t xml:space="preserve"> on the </w:t>
      </w:r>
      <w:proofErr w:type="spellStart"/>
      <w:r w:rsidRPr="00226954">
        <w:rPr>
          <w:rFonts w:asciiTheme="minorHAnsi" w:hAnsiTheme="minorHAnsi"/>
        </w:rPr>
        <w:t>Hohfeldian</w:t>
      </w:r>
      <w:proofErr w:type="spellEnd"/>
      <w:r w:rsidRPr="00226954">
        <w:rPr>
          <w:rFonts w:asciiTheme="minorHAnsi" w:hAnsiTheme="minorHAnsi"/>
        </w:rPr>
        <w:t xml:space="preserve"> framework</w:t>
      </w:r>
    </w:p>
    <w:p w:rsidR="00E63105" w:rsidRPr="00226954" w:rsidRDefault="00E63105" w:rsidP="005D3B28">
      <w:pPr>
        <w:jc w:val="both"/>
      </w:pPr>
    </w:p>
    <w:p w:rsidR="00EB500E" w:rsidRPr="00226954" w:rsidRDefault="00506A0C" w:rsidP="00BB590E">
      <w:pPr>
        <w:spacing w:line="480" w:lineRule="auto"/>
        <w:jc w:val="both"/>
        <w:rPr>
          <w:rFonts w:cs="Times New Roman"/>
        </w:rPr>
      </w:pPr>
      <w:r w:rsidRPr="00226954">
        <w:rPr>
          <w:rFonts w:cs="Times New Roman"/>
        </w:rPr>
        <w:lastRenderedPageBreak/>
        <w:t xml:space="preserve">The above </w:t>
      </w:r>
      <w:r w:rsidR="00C172C3" w:rsidRPr="00226954">
        <w:rPr>
          <w:rFonts w:cs="Times New Roman"/>
        </w:rPr>
        <w:t xml:space="preserve">outline </w:t>
      </w:r>
      <w:r w:rsidR="00BE0548" w:rsidRPr="00226954">
        <w:rPr>
          <w:rFonts w:cs="Times New Roman"/>
        </w:rPr>
        <w:t>emphasises two</w:t>
      </w:r>
      <w:r w:rsidRPr="00226954">
        <w:rPr>
          <w:rFonts w:cs="Times New Roman"/>
        </w:rPr>
        <w:t xml:space="preserve"> significant </w:t>
      </w:r>
      <w:r w:rsidR="00BE0548" w:rsidRPr="00226954">
        <w:rPr>
          <w:rFonts w:cs="Times New Roman"/>
        </w:rPr>
        <w:t xml:space="preserve">distinctions. </w:t>
      </w:r>
      <w:r w:rsidR="00791ABD" w:rsidRPr="00226954">
        <w:rPr>
          <w:rFonts w:cs="Times New Roman"/>
        </w:rPr>
        <w:t>Firstly, and most straightf</w:t>
      </w:r>
      <w:r w:rsidR="00A967A2" w:rsidRPr="00226954">
        <w:rPr>
          <w:rFonts w:cs="Times New Roman"/>
        </w:rPr>
        <w:t xml:space="preserve">orwardly, claim-rights impose an </w:t>
      </w:r>
      <w:r w:rsidR="00791ABD" w:rsidRPr="00226954">
        <w:rPr>
          <w:rFonts w:cs="Times New Roman"/>
        </w:rPr>
        <w:t xml:space="preserve">obligation upon </w:t>
      </w:r>
      <w:r w:rsidR="00A967A2" w:rsidRPr="00226954">
        <w:rPr>
          <w:rFonts w:cs="Times New Roman"/>
        </w:rPr>
        <w:t>the respondent</w:t>
      </w:r>
      <w:r w:rsidR="00A967A2" w:rsidRPr="00226954">
        <w:rPr>
          <w:rFonts w:cs="Times New Roman"/>
          <w:i/>
        </w:rPr>
        <w:t xml:space="preserve"> </w:t>
      </w:r>
      <w:r w:rsidR="008C088A" w:rsidRPr="00226954">
        <w:rPr>
          <w:rFonts w:cs="Times New Roman"/>
        </w:rPr>
        <w:t>(</w:t>
      </w:r>
      <w:r w:rsidR="004716F4" w:rsidRPr="00226954">
        <w:rPr>
          <w:rFonts w:cs="Times New Roman"/>
        </w:rPr>
        <w:t xml:space="preserve">the state) </w:t>
      </w:r>
      <w:r w:rsidR="00A967A2" w:rsidRPr="00226954">
        <w:rPr>
          <w:rFonts w:cs="Times New Roman"/>
        </w:rPr>
        <w:t>to act</w:t>
      </w:r>
      <w:r w:rsidR="00647056">
        <w:rPr>
          <w:rFonts w:cs="Times New Roman"/>
        </w:rPr>
        <w:t>,</w:t>
      </w:r>
      <w:r w:rsidR="00A967A2" w:rsidRPr="00226954">
        <w:rPr>
          <w:rFonts w:cs="Times New Roman"/>
        </w:rPr>
        <w:t xml:space="preserve"> while</w:t>
      </w:r>
      <w:r w:rsidR="00791ABD" w:rsidRPr="00226954">
        <w:rPr>
          <w:rFonts w:cs="Times New Roman"/>
        </w:rPr>
        <w:t xml:space="preserve"> liberties</w:t>
      </w:r>
      <w:r w:rsidR="00A967A2" w:rsidRPr="00226954">
        <w:rPr>
          <w:rFonts w:cs="Times New Roman"/>
        </w:rPr>
        <w:t xml:space="preserve"> do </w:t>
      </w:r>
      <w:r w:rsidR="008C088A" w:rsidRPr="00226954">
        <w:rPr>
          <w:rFonts w:cs="Times New Roman"/>
        </w:rPr>
        <w:t>not</w:t>
      </w:r>
      <w:r w:rsidR="004716F4" w:rsidRPr="00226954">
        <w:rPr>
          <w:rFonts w:cs="Times New Roman"/>
        </w:rPr>
        <w:t xml:space="preserve"> and instead indicate that there is no obligation upon the subject (an individual)</w:t>
      </w:r>
      <w:r w:rsidR="00647056">
        <w:rPr>
          <w:rFonts w:cs="Times New Roman"/>
        </w:rPr>
        <w:t xml:space="preserve"> to do anything in the absence of a legal rule preventing a particular exercise of a liberty</w:t>
      </w:r>
      <w:r w:rsidR="00791ABD" w:rsidRPr="00226954">
        <w:rPr>
          <w:rFonts w:cs="Times New Roman"/>
        </w:rPr>
        <w:t xml:space="preserve">. Secondly, </w:t>
      </w:r>
      <w:r w:rsidRPr="00226954">
        <w:rPr>
          <w:rFonts w:cs="Times New Roman"/>
        </w:rPr>
        <w:t xml:space="preserve">rights </w:t>
      </w:r>
      <w:r w:rsidR="00435082" w:rsidRPr="00226954">
        <w:rPr>
          <w:rFonts w:cs="Times New Roman"/>
        </w:rPr>
        <w:t>involve two</w:t>
      </w:r>
      <w:r w:rsidR="007C713B" w:rsidRPr="00226954">
        <w:rPr>
          <w:rFonts w:cs="Times New Roman"/>
        </w:rPr>
        <w:t xml:space="preserve"> </w:t>
      </w:r>
      <w:r w:rsidRPr="00226954">
        <w:rPr>
          <w:rFonts w:cs="Times New Roman"/>
        </w:rPr>
        <w:t>basic</w:t>
      </w:r>
      <w:r w:rsidR="007C713B" w:rsidRPr="00226954">
        <w:rPr>
          <w:rFonts w:cs="Times New Roman"/>
        </w:rPr>
        <w:t xml:space="preserve"> </w:t>
      </w:r>
      <w:r w:rsidR="007C713B" w:rsidRPr="00226954">
        <w:rPr>
          <w:rFonts w:cs="Times New Roman"/>
          <w:i/>
        </w:rPr>
        <w:t>types</w:t>
      </w:r>
      <w:r w:rsidR="007C713B" w:rsidRPr="00226954">
        <w:rPr>
          <w:rFonts w:cs="Times New Roman"/>
        </w:rPr>
        <w:t xml:space="preserve"> of rules: primary rules that </w:t>
      </w:r>
      <w:r w:rsidR="00791ABD" w:rsidRPr="00226954">
        <w:rPr>
          <w:rFonts w:cs="Times New Roman"/>
        </w:rPr>
        <w:t xml:space="preserve">establish the </w:t>
      </w:r>
      <w:r w:rsidR="008C088A" w:rsidRPr="00226954">
        <w:rPr>
          <w:rFonts w:cs="Times New Roman"/>
        </w:rPr>
        <w:t xml:space="preserve">existence of an </w:t>
      </w:r>
      <w:r w:rsidR="007C713B" w:rsidRPr="00226954">
        <w:rPr>
          <w:rFonts w:cs="Times New Roman"/>
        </w:rPr>
        <w:t>obligation</w:t>
      </w:r>
      <w:r w:rsidR="00791ABD" w:rsidRPr="00226954">
        <w:rPr>
          <w:rFonts w:cs="Times New Roman"/>
        </w:rPr>
        <w:t xml:space="preserve"> upon </w:t>
      </w:r>
      <w:r w:rsidR="004716F4" w:rsidRPr="00226954">
        <w:rPr>
          <w:rFonts w:cs="Times New Roman"/>
        </w:rPr>
        <w:t xml:space="preserve">the </w:t>
      </w:r>
      <w:r w:rsidR="008A4D88" w:rsidRPr="00226954">
        <w:rPr>
          <w:rFonts w:cs="Times New Roman"/>
        </w:rPr>
        <w:t xml:space="preserve">respondent to secure </w:t>
      </w:r>
      <w:r w:rsidR="003101B9">
        <w:rPr>
          <w:rFonts w:cs="Times New Roman"/>
        </w:rPr>
        <w:t xml:space="preserve">the individual’s </w:t>
      </w:r>
      <w:r w:rsidR="008A4D88" w:rsidRPr="00226954">
        <w:rPr>
          <w:rFonts w:cs="Times New Roman"/>
        </w:rPr>
        <w:t xml:space="preserve">right </w:t>
      </w:r>
      <w:r w:rsidR="00C00143">
        <w:rPr>
          <w:rFonts w:cs="Times New Roman"/>
        </w:rPr>
        <w:t xml:space="preserve">- </w:t>
      </w:r>
      <w:r w:rsidR="008A4D88" w:rsidRPr="00226954">
        <w:rPr>
          <w:rFonts w:cs="Times New Roman"/>
        </w:rPr>
        <w:t>a claim-right</w:t>
      </w:r>
      <w:r w:rsidR="00C00143">
        <w:rPr>
          <w:rFonts w:cs="Times New Roman"/>
        </w:rPr>
        <w:t>,</w:t>
      </w:r>
      <w:r w:rsidR="008A4D88" w:rsidRPr="00226954">
        <w:rPr>
          <w:rFonts w:cs="Times New Roman"/>
        </w:rPr>
        <w:t xml:space="preserve"> </w:t>
      </w:r>
      <w:r w:rsidR="004716F4" w:rsidRPr="00226954">
        <w:rPr>
          <w:rFonts w:cs="Times New Roman"/>
        </w:rPr>
        <w:t xml:space="preserve">or </w:t>
      </w:r>
      <w:r w:rsidR="00C00143">
        <w:rPr>
          <w:rFonts w:cs="Times New Roman"/>
        </w:rPr>
        <w:t xml:space="preserve">in the case of a liberty </w:t>
      </w:r>
      <w:r w:rsidR="008C088A" w:rsidRPr="00226954">
        <w:rPr>
          <w:rFonts w:cs="Times New Roman"/>
        </w:rPr>
        <w:t xml:space="preserve">of no-obligation upon </w:t>
      </w:r>
      <w:r w:rsidR="004716F4" w:rsidRPr="00226954">
        <w:rPr>
          <w:rFonts w:cs="Times New Roman"/>
        </w:rPr>
        <w:t xml:space="preserve">the </w:t>
      </w:r>
      <w:r w:rsidR="008A4D88" w:rsidRPr="00226954">
        <w:rPr>
          <w:rFonts w:cs="Times New Roman"/>
        </w:rPr>
        <w:t xml:space="preserve">subject </w:t>
      </w:r>
      <w:r w:rsidR="00C00143">
        <w:rPr>
          <w:rFonts w:cs="Times New Roman"/>
        </w:rPr>
        <w:t xml:space="preserve">to </w:t>
      </w:r>
      <w:r w:rsidR="008A4D88" w:rsidRPr="00226954">
        <w:rPr>
          <w:rFonts w:cs="Times New Roman"/>
        </w:rPr>
        <w:t xml:space="preserve">act contrary to his </w:t>
      </w:r>
      <w:r w:rsidR="00C00143">
        <w:rPr>
          <w:rFonts w:cs="Times New Roman"/>
        </w:rPr>
        <w:t>liberty</w:t>
      </w:r>
      <w:r w:rsidR="00791ABD" w:rsidRPr="00226954">
        <w:rPr>
          <w:rFonts w:cs="Times New Roman"/>
        </w:rPr>
        <w:t>,</w:t>
      </w:r>
      <w:r w:rsidR="007C713B" w:rsidRPr="00226954">
        <w:rPr>
          <w:rFonts w:cs="Times New Roman"/>
        </w:rPr>
        <w:t xml:space="preserve"> and secondary rules that </w:t>
      </w:r>
      <w:r w:rsidR="008C088A" w:rsidRPr="00226954">
        <w:rPr>
          <w:rFonts w:cs="Times New Roman"/>
        </w:rPr>
        <w:t xml:space="preserve">disable the creation or </w:t>
      </w:r>
      <w:r w:rsidR="007C713B" w:rsidRPr="00226954">
        <w:rPr>
          <w:rFonts w:cs="Times New Roman"/>
        </w:rPr>
        <w:t>alter</w:t>
      </w:r>
      <w:r w:rsidR="008C088A" w:rsidRPr="00226954">
        <w:rPr>
          <w:rFonts w:cs="Times New Roman"/>
        </w:rPr>
        <w:t>ation</w:t>
      </w:r>
      <w:r w:rsidR="007C713B" w:rsidRPr="00226954">
        <w:rPr>
          <w:rFonts w:cs="Times New Roman"/>
        </w:rPr>
        <w:t xml:space="preserve"> </w:t>
      </w:r>
      <w:r w:rsidR="008C088A" w:rsidRPr="00226954">
        <w:rPr>
          <w:rFonts w:cs="Times New Roman"/>
        </w:rPr>
        <w:t>of the individual’s claims or liberties</w:t>
      </w:r>
      <w:r w:rsidR="008A4D88" w:rsidRPr="00226954">
        <w:rPr>
          <w:rFonts w:cs="Times New Roman"/>
        </w:rPr>
        <w:t xml:space="preserve"> (an </w:t>
      </w:r>
      <w:r w:rsidR="008C088A" w:rsidRPr="00226954">
        <w:rPr>
          <w:rFonts w:cs="Times New Roman"/>
        </w:rPr>
        <w:t>immunit</w:t>
      </w:r>
      <w:r w:rsidR="008A4D88" w:rsidRPr="00226954">
        <w:rPr>
          <w:rFonts w:cs="Times New Roman"/>
        </w:rPr>
        <w:t>y)</w:t>
      </w:r>
      <w:r w:rsidR="007C713B" w:rsidRPr="00226954">
        <w:rPr>
          <w:rFonts w:cs="Times New Roman"/>
        </w:rPr>
        <w:t xml:space="preserve">. </w:t>
      </w:r>
      <w:r w:rsidR="00A967A2" w:rsidRPr="00226954">
        <w:rPr>
          <w:rFonts w:cs="Times New Roman"/>
        </w:rPr>
        <w:t xml:space="preserve">These two, basic, distinctions are </w:t>
      </w:r>
      <w:r w:rsidR="00264C0B" w:rsidRPr="00226954">
        <w:rPr>
          <w:rFonts w:cs="Times New Roman"/>
        </w:rPr>
        <w:t>important</w:t>
      </w:r>
      <w:r w:rsidR="00A967A2" w:rsidRPr="00226954">
        <w:rPr>
          <w:rFonts w:cs="Times New Roman"/>
        </w:rPr>
        <w:t xml:space="preserve"> when considering the practical implementation of human rights, since it is human </w:t>
      </w:r>
      <w:r w:rsidR="00A967A2" w:rsidRPr="00226954">
        <w:rPr>
          <w:rFonts w:cs="Times New Roman"/>
          <w:i/>
        </w:rPr>
        <w:t>claim</w:t>
      </w:r>
      <w:r w:rsidR="00A967A2" w:rsidRPr="00226954">
        <w:rPr>
          <w:rFonts w:cs="Times New Roman"/>
        </w:rPr>
        <w:t xml:space="preserve">-rights as primary rules </w:t>
      </w:r>
      <w:r w:rsidR="00264C0B" w:rsidRPr="00226954">
        <w:rPr>
          <w:rFonts w:cs="Times New Roman"/>
        </w:rPr>
        <w:t xml:space="preserve">requiring the state to </w:t>
      </w:r>
      <w:r w:rsidR="00A967A2" w:rsidRPr="00226954">
        <w:rPr>
          <w:rFonts w:cs="Times New Roman"/>
        </w:rPr>
        <w:t xml:space="preserve">act </w:t>
      </w:r>
      <w:r w:rsidR="007B7F1F">
        <w:rPr>
          <w:rFonts w:cs="Times New Roman"/>
        </w:rPr>
        <w:t xml:space="preserve">or not to act where it otherwise would </w:t>
      </w:r>
      <w:r w:rsidR="00A967A2" w:rsidRPr="00226954">
        <w:rPr>
          <w:rFonts w:cs="Times New Roman"/>
        </w:rPr>
        <w:t xml:space="preserve">that cause the greatest difficulty </w:t>
      </w:r>
      <w:r w:rsidR="00D46350" w:rsidRPr="00226954">
        <w:rPr>
          <w:rFonts w:cs="Times New Roman"/>
        </w:rPr>
        <w:t xml:space="preserve">in deploying </w:t>
      </w:r>
      <w:r w:rsidR="00A967A2" w:rsidRPr="00226954">
        <w:rPr>
          <w:rFonts w:cs="Times New Roman"/>
        </w:rPr>
        <w:t>rights</w:t>
      </w:r>
      <w:r w:rsidR="00D46350" w:rsidRPr="00226954">
        <w:rPr>
          <w:rFonts w:cs="Times New Roman"/>
        </w:rPr>
        <w:t xml:space="preserve"> in practice</w:t>
      </w:r>
      <w:r w:rsidR="00A967A2" w:rsidRPr="00226954">
        <w:rPr>
          <w:rFonts w:cs="Times New Roman"/>
        </w:rPr>
        <w:t>.</w:t>
      </w:r>
      <w:r w:rsidR="00193B3D" w:rsidRPr="00226954">
        <w:rPr>
          <w:rFonts w:cs="Times New Roman"/>
        </w:rPr>
        <w:t xml:space="preserve"> </w:t>
      </w:r>
      <w:r w:rsidR="007B7F1F">
        <w:rPr>
          <w:rFonts w:cs="Times New Roman"/>
        </w:rPr>
        <w:t>For example the right of access to legal advice captured in Article 6(3) requires the state to ensure that such provision is made (see Chapter</w:t>
      </w:r>
      <w:r w:rsidR="00621138">
        <w:rPr>
          <w:rFonts w:cs="Times New Roman"/>
        </w:rPr>
        <w:t xml:space="preserve"> </w:t>
      </w:r>
      <w:r w:rsidR="007B7F1F">
        <w:rPr>
          <w:rFonts w:cs="Times New Roman"/>
        </w:rPr>
        <w:t>2)</w:t>
      </w:r>
      <w:r w:rsidR="00621138">
        <w:rPr>
          <w:rFonts w:cs="Times New Roman"/>
        </w:rPr>
        <w:t>, regardless of the financial cost</w:t>
      </w:r>
      <w:r w:rsidR="007B7F1F">
        <w:rPr>
          <w:rFonts w:cs="Times New Roman"/>
        </w:rPr>
        <w:t>.</w:t>
      </w:r>
      <w:r w:rsidR="007B7F1F">
        <w:rPr>
          <w:rStyle w:val="FootnoteReference"/>
          <w:rFonts w:cs="Times New Roman"/>
        </w:rPr>
        <w:footnoteReference w:id="31"/>
      </w:r>
      <w:r w:rsidR="007B7F1F">
        <w:rPr>
          <w:rFonts w:cs="Times New Roman"/>
        </w:rPr>
        <w:t xml:space="preserve"> </w:t>
      </w:r>
      <w:r w:rsidR="00621138">
        <w:rPr>
          <w:rFonts w:cs="Times New Roman"/>
        </w:rPr>
        <w:t>T</w:t>
      </w:r>
      <w:r w:rsidR="00193B3D" w:rsidRPr="00226954">
        <w:rPr>
          <w:rFonts w:cs="Times New Roman"/>
        </w:rPr>
        <w:t xml:space="preserve">he </w:t>
      </w:r>
      <w:r w:rsidR="00ED439B" w:rsidRPr="00226954">
        <w:rPr>
          <w:rFonts w:cs="Times New Roman"/>
        </w:rPr>
        <w:t>claim-</w:t>
      </w:r>
      <w:r w:rsidR="00193B3D" w:rsidRPr="00226954">
        <w:rPr>
          <w:rFonts w:cs="Times New Roman"/>
        </w:rPr>
        <w:t>right to freedom from torture or inhuman and degrading treatment</w:t>
      </w:r>
      <w:r w:rsidR="004B2BA0" w:rsidRPr="00226954">
        <w:rPr>
          <w:rFonts w:cs="Times New Roman"/>
        </w:rPr>
        <w:t xml:space="preserve"> </w:t>
      </w:r>
      <w:r w:rsidR="00193B3D" w:rsidRPr="00226954">
        <w:rPr>
          <w:rFonts w:cs="Times New Roman"/>
        </w:rPr>
        <w:t>(Article 3 ECHR</w:t>
      </w:r>
      <w:r w:rsidR="007B7F1F">
        <w:rPr>
          <w:rFonts w:cs="Times New Roman"/>
        </w:rPr>
        <w:t>, scheduled in the HRA</w:t>
      </w:r>
      <w:r w:rsidR="00193B3D" w:rsidRPr="00226954">
        <w:rPr>
          <w:rFonts w:cs="Times New Roman"/>
        </w:rPr>
        <w:t xml:space="preserve">) has been applied </w:t>
      </w:r>
      <w:r w:rsidR="00267783" w:rsidRPr="00226954">
        <w:rPr>
          <w:rFonts w:cs="Times New Roman"/>
        </w:rPr>
        <w:t xml:space="preserve">to </w:t>
      </w:r>
      <w:r w:rsidR="00C00143">
        <w:rPr>
          <w:rFonts w:cs="Times New Roman"/>
        </w:rPr>
        <w:t xml:space="preserve">suspected Islamic terrorists </w:t>
      </w:r>
      <w:r w:rsidR="00193B3D" w:rsidRPr="00226954">
        <w:rPr>
          <w:rFonts w:cs="Times New Roman"/>
        </w:rPr>
        <w:t>so as to prevent deportation to their country of origin on the basis that they m</w:t>
      </w:r>
      <w:r w:rsidR="007B7F1F">
        <w:rPr>
          <w:rFonts w:cs="Times New Roman"/>
        </w:rPr>
        <w:t>ight</w:t>
      </w:r>
      <w:r w:rsidR="00193B3D" w:rsidRPr="00226954">
        <w:rPr>
          <w:rFonts w:cs="Times New Roman"/>
        </w:rPr>
        <w:t xml:space="preserve"> be subject to treatment</w:t>
      </w:r>
      <w:r w:rsidR="008C088A" w:rsidRPr="00226954">
        <w:rPr>
          <w:rFonts w:cs="Times New Roman"/>
        </w:rPr>
        <w:t xml:space="preserve"> contrary to that Article</w:t>
      </w:r>
      <w:r w:rsidR="00193B3D" w:rsidRPr="00226954">
        <w:rPr>
          <w:rFonts w:cs="Times New Roman"/>
        </w:rPr>
        <w:t>.</w:t>
      </w:r>
      <w:r w:rsidR="00193B3D" w:rsidRPr="00226954">
        <w:rPr>
          <w:rStyle w:val="FootnoteReference"/>
          <w:rFonts w:cs="Times New Roman"/>
        </w:rPr>
        <w:footnoteReference w:id="32"/>
      </w:r>
      <w:r w:rsidR="00193B3D" w:rsidRPr="00226954">
        <w:rPr>
          <w:rFonts w:cs="Times New Roman"/>
        </w:rPr>
        <w:t xml:space="preserve"> This application of Article 3 </w:t>
      </w:r>
      <w:r w:rsidR="00267783" w:rsidRPr="00226954">
        <w:rPr>
          <w:rFonts w:cs="Times New Roman"/>
        </w:rPr>
        <w:t xml:space="preserve">is controversial due to the </w:t>
      </w:r>
      <w:r w:rsidR="00193B3D" w:rsidRPr="00226954">
        <w:rPr>
          <w:rFonts w:cs="Times New Roman"/>
        </w:rPr>
        <w:t xml:space="preserve">burden </w:t>
      </w:r>
      <w:r w:rsidR="00267783" w:rsidRPr="00226954">
        <w:rPr>
          <w:rFonts w:cs="Times New Roman"/>
        </w:rPr>
        <w:t xml:space="preserve">it places </w:t>
      </w:r>
      <w:r w:rsidR="00193B3D" w:rsidRPr="00226954">
        <w:rPr>
          <w:rFonts w:cs="Times New Roman"/>
        </w:rPr>
        <w:t xml:space="preserve">upon the </w:t>
      </w:r>
      <w:r w:rsidR="00267783" w:rsidRPr="00226954">
        <w:rPr>
          <w:rFonts w:cs="Times New Roman"/>
        </w:rPr>
        <w:t>UK government</w:t>
      </w:r>
      <w:r w:rsidR="00193B3D" w:rsidRPr="00226954">
        <w:rPr>
          <w:rFonts w:cs="Times New Roman"/>
        </w:rPr>
        <w:t xml:space="preserve">, especially given </w:t>
      </w:r>
      <w:r w:rsidR="00267783" w:rsidRPr="00226954">
        <w:rPr>
          <w:rFonts w:cs="Times New Roman"/>
        </w:rPr>
        <w:t xml:space="preserve">its </w:t>
      </w:r>
      <w:r w:rsidR="00193B3D" w:rsidRPr="00226954">
        <w:rPr>
          <w:rFonts w:cs="Times New Roman"/>
        </w:rPr>
        <w:t xml:space="preserve">responsibility to safeguard the lives of its citizens from the actions </w:t>
      </w:r>
      <w:r w:rsidR="007B7F1F">
        <w:rPr>
          <w:rFonts w:cs="Times New Roman"/>
        </w:rPr>
        <w:t xml:space="preserve">and influence </w:t>
      </w:r>
      <w:r w:rsidR="00193B3D" w:rsidRPr="00226954">
        <w:rPr>
          <w:rFonts w:cs="Times New Roman"/>
        </w:rPr>
        <w:t xml:space="preserve">of such </w:t>
      </w:r>
      <w:r w:rsidR="007B7F1F">
        <w:rPr>
          <w:rFonts w:cs="Times New Roman"/>
        </w:rPr>
        <w:t>suspects</w:t>
      </w:r>
      <w:r w:rsidR="00193B3D" w:rsidRPr="00226954">
        <w:rPr>
          <w:rFonts w:cs="Times New Roman"/>
        </w:rPr>
        <w:t xml:space="preserve">. </w:t>
      </w:r>
    </w:p>
    <w:p w:rsidR="00A52816" w:rsidRPr="00226954" w:rsidRDefault="004C45EF" w:rsidP="005D3B28">
      <w:pPr>
        <w:pStyle w:val="Heading2"/>
        <w:jc w:val="both"/>
        <w:rPr>
          <w:rFonts w:asciiTheme="minorHAnsi" w:hAnsiTheme="minorHAnsi"/>
        </w:rPr>
      </w:pPr>
      <w:r w:rsidRPr="00226954">
        <w:rPr>
          <w:rFonts w:asciiTheme="minorHAnsi" w:hAnsiTheme="minorHAnsi"/>
          <w:b w:val="0"/>
          <w:bCs w:val="0"/>
        </w:rPr>
        <w:t>2</w:t>
      </w:r>
      <w:r w:rsidR="0044606D" w:rsidRPr="00226954">
        <w:rPr>
          <w:rFonts w:asciiTheme="minorHAnsi" w:hAnsiTheme="minorHAnsi"/>
          <w:b w:val="0"/>
          <w:bCs w:val="0"/>
        </w:rPr>
        <w:t>.</w:t>
      </w:r>
      <w:r w:rsidR="00BB590E" w:rsidRPr="00226954">
        <w:rPr>
          <w:rFonts w:asciiTheme="minorHAnsi" w:hAnsiTheme="minorHAnsi"/>
        </w:rPr>
        <w:t>3</w:t>
      </w:r>
      <w:r w:rsidR="000946CE" w:rsidRPr="00226954">
        <w:rPr>
          <w:rFonts w:asciiTheme="minorHAnsi" w:hAnsiTheme="minorHAnsi"/>
        </w:rPr>
        <w:t xml:space="preserve"> What are ‘human</w:t>
      </w:r>
      <w:r w:rsidR="0044606D" w:rsidRPr="00226954">
        <w:rPr>
          <w:rFonts w:asciiTheme="minorHAnsi" w:hAnsiTheme="minorHAnsi"/>
        </w:rPr>
        <w:t xml:space="preserve"> rights</w:t>
      </w:r>
      <w:r w:rsidR="000946CE" w:rsidRPr="00226954">
        <w:rPr>
          <w:rFonts w:asciiTheme="minorHAnsi" w:hAnsiTheme="minorHAnsi"/>
        </w:rPr>
        <w:t>’</w:t>
      </w:r>
      <w:r w:rsidR="004C44C1" w:rsidRPr="00226954">
        <w:rPr>
          <w:rFonts w:asciiTheme="minorHAnsi" w:hAnsiTheme="minorHAnsi"/>
        </w:rPr>
        <w:t xml:space="preserve"> and </w:t>
      </w:r>
      <w:r w:rsidR="00335BCF" w:rsidRPr="00226954">
        <w:rPr>
          <w:rFonts w:asciiTheme="minorHAnsi" w:hAnsiTheme="minorHAnsi"/>
        </w:rPr>
        <w:t>‘</w:t>
      </w:r>
      <w:r w:rsidR="004C44C1" w:rsidRPr="00226954">
        <w:rPr>
          <w:rFonts w:asciiTheme="minorHAnsi" w:hAnsiTheme="minorHAnsi"/>
        </w:rPr>
        <w:t>civil liberties</w:t>
      </w:r>
      <w:r w:rsidR="00335BCF" w:rsidRPr="00226954">
        <w:rPr>
          <w:rFonts w:asciiTheme="minorHAnsi" w:hAnsiTheme="minorHAnsi"/>
        </w:rPr>
        <w:t>’</w:t>
      </w:r>
      <w:r w:rsidR="0044606D" w:rsidRPr="00226954">
        <w:rPr>
          <w:rFonts w:asciiTheme="minorHAnsi" w:hAnsiTheme="minorHAnsi"/>
        </w:rPr>
        <w:t>?</w:t>
      </w:r>
    </w:p>
    <w:p w:rsidR="007E1320" w:rsidRPr="00226954" w:rsidRDefault="007E1320" w:rsidP="005D3B28">
      <w:pPr>
        <w:jc w:val="both"/>
      </w:pPr>
    </w:p>
    <w:p w:rsidR="004C44C1" w:rsidRPr="00226954" w:rsidRDefault="004C44C1" w:rsidP="00CA24AA">
      <w:pPr>
        <w:spacing w:after="0" w:line="480" w:lineRule="auto"/>
        <w:jc w:val="both"/>
      </w:pPr>
      <w:r w:rsidRPr="00226954">
        <w:t>To address this</w:t>
      </w:r>
      <w:r w:rsidR="007E1320" w:rsidRPr="00226954">
        <w:t xml:space="preserve"> question it is useful to summarise </w:t>
      </w:r>
      <w:r w:rsidR="00346BBA" w:rsidRPr="00226954">
        <w:t xml:space="preserve">briefly </w:t>
      </w:r>
      <w:r w:rsidR="007E1320" w:rsidRPr="00226954">
        <w:t>what has already been established. Rights are requirements with an individual subject, object, respondent</w:t>
      </w:r>
      <w:r w:rsidR="00346BBA" w:rsidRPr="00226954">
        <w:t>,</w:t>
      </w:r>
      <w:r w:rsidR="00802F7F" w:rsidRPr="00226954">
        <w:t xml:space="preserve"> </w:t>
      </w:r>
      <w:r w:rsidR="007E1320" w:rsidRPr="00226954">
        <w:t xml:space="preserve">which are justified by reference to </w:t>
      </w:r>
      <w:r w:rsidR="00DD2DF8">
        <w:t xml:space="preserve">both </w:t>
      </w:r>
      <w:r w:rsidR="00802F7F" w:rsidRPr="00226954">
        <w:t xml:space="preserve">moral </w:t>
      </w:r>
      <w:r w:rsidR="00DD2DF8">
        <w:t xml:space="preserve">and legal </w:t>
      </w:r>
      <w:r w:rsidR="00802F7F" w:rsidRPr="00226954">
        <w:t>p</w:t>
      </w:r>
      <w:r w:rsidR="007E1320" w:rsidRPr="00226954">
        <w:t>rinciple</w:t>
      </w:r>
      <w:r w:rsidR="00DD2DF8">
        <w:t xml:space="preserve"> on </w:t>
      </w:r>
      <w:proofErr w:type="spellStart"/>
      <w:r w:rsidR="00DD2DF8">
        <w:t>Dworkinian</w:t>
      </w:r>
      <w:proofErr w:type="spellEnd"/>
      <w:r w:rsidR="00DD2DF8">
        <w:t xml:space="preserve"> lines, as discussed above</w:t>
      </w:r>
      <w:r w:rsidR="007E1320" w:rsidRPr="00226954">
        <w:t xml:space="preserve">. </w:t>
      </w:r>
      <w:r w:rsidR="001366E8">
        <w:t>The word ‘</w:t>
      </w:r>
      <w:r w:rsidR="007E1320" w:rsidRPr="00226954">
        <w:t>right</w:t>
      </w:r>
      <w:r w:rsidR="001366E8">
        <w:t>’ can denote</w:t>
      </w:r>
      <w:r w:rsidR="007E1320" w:rsidRPr="00226954">
        <w:t xml:space="preserve"> </w:t>
      </w:r>
      <w:r w:rsidR="001366E8">
        <w:t xml:space="preserve">a </w:t>
      </w:r>
      <w:r w:rsidR="007E1320" w:rsidRPr="00226954">
        <w:t xml:space="preserve">primary </w:t>
      </w:r>
      <w:r w:rsidR="00802F7F" w:rsidRPr="00226954">
        <w:t xml:space="preserve">rule requiring </w:t>
      </w:r>
      <w:r w:rsidR="007E1320" w:rsidRPr="00226954">
        <w:t xml:space="preserve">a respondent to act to secure the right (a claim-right) or merely the absence </w:t>
      </w:r>
      <w:r w:rsidR="007E1320" w:rsidRPr="00226954">
        <w:lastRenderedPageBreak/>
        <w:t xml:space="preserve">of a duty upon the subject </w:t>
      </w:r>
      <w:r w:rsidR="001366E8">
        <w:t xml:space="preserve">to act or refrain from </w:t>
      </w:r>
      <w:r w:rsidR="007E1320" w:rsidRPr="00226954">
        <w:t>act</w:t>
      </w:r>
      <w:r w:rsidR="001366E8">
        <w:t>ing</w:t>
      </w:r>
      <w:r w:rsidR="007E1320" w:rsidRPr="00226954">
        <w:t xml:space="preserve"> (a liberty)</w:t>
      </w:r>
      <w:r w:rsidR="001366E8">
        <w:t>. S</w:t>
      </w:r>
      <w:r w:rsidR="007E1320" w:rsidRPr="00226954">
        <w:t xml:space="preserve">econdary rules </w:t>
      </w:r>
      <w:r w:rsidR="001366E8">
        <w:t xml:space="preserve">can </w:t>
      </w:r>
      <w:r w:rsidR="00802F7F" w:rsidRPr="00226954">
        <w:t>affect the respondent’s ability to alter the subject’s claim-rights</w:t>
      </w:r>
      <w:r w:rsidR="001366E8">
        <w:t xml:space="preserve"> or </w:t>
      </w:r>
      <w:r w:rsidR="007E1320" w:rsidRPr="00226954">
        <w:t>libert</w:t>
      </w:r>
      <w:r w:rsidR="00802F7F" w:rsidRPr="00226954">
        <w:t>ies</w:t>
      </w:r>
      <w:r w:rsidR="007E1320" w:rsidRPr="00226954">
        <w:t xml:space="preserve"> (powers/immunities)</w:t>
      </w:r>
      <w:r w:rsidR="001366E8">
        <w:t>, but they are not of significance in the UK context</w:t>
      </w:r>
      <w:r w:rsidR="007E1320" w:rsidRPr="00226954">
        <w:t xml:space="preserve">. </w:t>
      </w:r>
      <w:r w:rsidR="00E60F44" w:rsidRPr="00226954">
        <w:t xml:space="preserve">This section will </w:t>
      </w:r>
      <w:r w:rsidR="00CA24AA" w:rsidRPr="00226954">
        <w:t xml:space="preserve">therefore </w:t>
      </w:r>
      <w:r w:rsidR="00E60F44" w:rsidRPr="00226954">
        <w:t xml:space="preserve">outline the areas of consensus and division as to what is generally accepted to constitute the subject, object, respondent of civil liberties and human rights as relevant to this work. </w:t>
      </w:r>
      <w:r w:rsidR="001366E8">
        <w:t xml:space="preserve">The </w:t>
      </w:r>
      <w:r w:rsidR="001366E8" w:rsidRPr="00226954">
        <w:t>relations</w:t>
      </w:r>
      <w:r w:rsidR="001366E8">
        <w:t xml:space="preserve"> between </w:t>
      </w:r>
      <w:r w:rsidR="001366E8" w:rsidRPr="00226954">
        <w:t>civil liberties and human rights</w:t>
      </w:r>
      <w:r w:rsidR="001366E8">
        <w:t xml:space="preserve"> will also be considered.</w:t>
      </w:r>
    </w:p>
    <w:p w:rsidR="004C44C1" w:rsidRPr="00226954" w:rsidRDefault="00CE13FD" w:rsidP="005D3B28">
      <w:pPr>
        <w:pStyle w:val="Heading3"/>
        <w:jc w:val="both"/>
        <w:rPr>
          <w:rFonts w:asciiTheme="minorHAnsi" w:hAnsiTheme="minorHAnsi"/>
        </w:rPr>
      </w:pPr>
      <w:r w:rsidRPr="00226954">
        <w:rPr>
          <w:rFonts w:asciiTheme="minorHAnsi" w:hAnsiTheme="minorHAnsi"/>
        </w:rPr>
        <w:t>2.3</w:t>
      </w:r>
      <w:r w:rsidR="004C44C1" w:rsidRPr="00226954">
        <w:rPr>
          <w:rFonts w:asciiTheme="minorHAnsi" w:hAnsiTheme="minorHAnsi"/>
        </w:rPr>
        <w:t>.1 Civil liberties</w:t>
      </w:r>
      <w:r w:rsidR="00B253B5" w:rsidRPr="00226954">
        <w:rPr>
          <w:rFonts w:asciiTheme="minorHAnsi" w:hAnsiTheme="minorHAnsi"/>
        </w:rPr>
        <w:t xml:space="preserve"> and rights</w:t>
      </w:r>
    </w:p>
    <w:p w:rsidR="004C44C1" w:rsidRPr="00226954" w:rsidRDefault="004C44C1" w:rsidP="00F946AF">
      <w:pPr>
        <w:spacing w:after="0" w:line="480" w:lineRule="auto"/>
        <w:jc w:val="both"/>
      </w:pPr>
    </w:p>
    <w:p w:rsidR="00435082" w:rsidRPr="00226954" w:rsidRDefault="00B70FA0" w:rsidP="00F946AF">
      <w:pPr>
        <w:spacing w:after="0" w:line="480" w:lineRule="auto"/>
        <w:jc w:val="both"/>
      </w:pPr>
      <w:r>
        <w:t xml:space="preserve">Liberties are termed ‘civil’ liberties in the UK because they refer to </w:t>
      </w:r>
      <w:r w:rsidR="006254A2">
        <w:t xml:space="preserve">freedoms of citizens within the civic state. </w:t>
      </w:r>
      <w:r w:rsidR="00035299">
        <w:t xml:space="preserve">The term civil is also used in contrast to the term ‘social and economic’, referring to matters such as ‘a right to housing’ which would fall within the area of social and economic rights. </w:t>
      </w:r>
      <w:r w:rsidR="004C44C1" w:rsidRPr="00226954">
        <w:t>The subject</w:t>
      </w:r>
      <w:r w:rsidR="0037237A" w:rsidRPr="00226954">
        <w:t>s</w:t>
      </w:r>
      <w:r w:rsidR="004C44C1" w:rsidRPr="00226954">
        <w:t xml:space="preserve"> of civil liberties </w:t>
      </w:r>
      <w:r w:rsidR="0037237A" w:rsidRPr="00226954">
        <w:t>are</w:t>
      </w:r>
      <w:r w:rsidR="004C44C1" w:rsidRPr="00226954">
        <w:t xml:space="preserve"> straightforwardly citizen</w:t>
      </w:r>
      <w:r w:rsidR="0037237A" w:rsidRPr="00226954">
        <w:t>s</w:t>
      </w:r>
      <w:r w:rsidR="004C44C1" w:rsidRPr="00226954">
        <w:t xml:space="preserve">, </w:t>
      </w:r>
      <w:r w:rsidR="00B253B5" w:rsidRPr="00226954">
        <w:t xml:space="preserve">and </w:t>
      </w:r>
      <w:r w:rsidR="004C44C1" w:rsidRPr="00226954">
        <w:t xml:space="preserve">the respondent is </w:t>
      </w:r>
      <w:r w:rsidR="00294B20">
        <w:t>the ‘state’, meaning an emanation of the state (public authorities, such as the police or prison service)</w:t>
      </w:r>
      <w:r w:rsidR="00BE7051" w:rsidRPr="00226954">
        <w:t xml:space="preserve">. </w:t>
      </w:r>
      <w:r w:rsidR="004C44C1" w:rsidRPr="00226954">
        <w:t xml:space="preserve">The object of civil liberties </w:t>
      </w:r>
      <w:r w:rsidR="0037237A" w:rsidRPr="00226954">
        <w:t xml:space="preserve">is </w:t>
      </w:r>
      <w:r w:rsidR="00BE7051" w:rsidRPr="00226954">
        <w:t xml:space="preserve">the </w:t>
      </w:r>
      <w:r w:rsidR="004C44C1" w:rsidRPr="00226954">
        <w:t xml:space="preserve">freedom to </w:t>
      </w:r>
      <w:r w:rsidR="00BE7051" w:rsidRPr="00226954">
        <w:t xml:space="preserve">act </w:t>
      </w:r>
      <w:r w:rsidR="00BE7ED8" w:rsidRPr="00226954">
        <w:t xml:space="preserve">except </w:t>
      </w:r>
      <w:r w:rsidR="00BE7051" w:rsidRPr="00226954">
        <w:t xml:space="preserve">as </w:t>
      </w:r>
      <w:r w:rsidR="00BE7ED8" w:rsidRPr="00226954">
        <w:t>is prohibited by law</w:t>
      </w:r>
      <w:r w:rsidR="00294B20">
        <w:t xml:space="preserve"> (</w:t>
      </w:r>
      <w:proofErr w:type="spellStart"/>
      <w:r w:rsidR="00294B20">
        <w:t>eg</w:t>
      </w:r>
      <w:proofErr w:type="spellEnd"/>
      <w:r w:rsidR="00294B20">
        <w:t xml:space="preserve"> to take part in a protest or go about one’s everyday life without interference from the police except as designated in legal rules governing police powers)</w:t>
      </w:r>
      <w:r w:rsidR="00BE7ED8" w:rsidRPr="00226954">
        <w:t>.</w:t>
      </w:r>
      <w:r w:rsidR="005D3B28" w:rsidRPr="00226954">
        <w:t xml:space="preserve"> The</w:t>
      </w:r>
      <w:r w:rsidR="00F946AF" w:rsidRPr="00226954">
        <w:t xml:space="preserve"> </w:t>
      </w:r>
      <w:r w:rsidR="0037237A" w:rsidRPr="00226954">
        <w:t>basis</w:t>
      </w:r>
      <w:r w:rsidR="005D3B28" w:rsidRPr="00226954">
        <w:t xml:space="preserve"> </w:t>
      </w:r>
      <w:r w:rsidR="00F946AF" w:rsidRPr="00226954">
        <w:t xml:space="preserve">of civil liberties </w:t>
      </w:r>
      <w:r w:rsidR="005D3B28" w:rsidRPr="00226954">
        <w:t xml:space="preserve">is </w:t>
      </w:r>
      <w:r w:rsidR="00B253B5" w:rsidRPr="00226954">
        <w:t>the existence of law</w:t>
      </w:r>
      <w:r>
        <w:t>s which impliedly designate the areas of freedom that citizens can enjoy</w:t>
      </w:r>
      <w:r w:rsidR="00F624F1" w:rsidRPr="00226954">
        <w:t xml:space="preserve">. </w:t>
      </w:r>
      <w:r w:rsidR="00035299">
        <w:t xml:space="preserve">In other words, </w:t>
      </w:r>
      <w:r w:rsidR="00F624F1" w:rsidRPr="00226954">
        <w:t>it is clear that the existence</w:t>
      </w:r>
      <w:r w:rsidR="00F624F1" w:rsidRPr="00226954">
        <w:rPr>
          <w:i/>
        </w:rPr>
        <w:t xml:space="preserve"> </w:t>
      </w:r>
      <w:r w:rsidR="00F624F1" w:rsidRPr="00226954">
        <w:t xml:space="preserve">of a civil liberty depends on the non-existence of </w:t>
      </w:r>
      <w:r w:rsidR="00B253B5" w:rsidRPr="00226954">
        <w:t xml:space="preserve">a conflicting </w:t>
      </w:r>
      <w:r w:rsidR="00F624F1" w:rsidRPr="00226954">
        <w:t xml:space="preserve">legal </w:t>
      </w:r>
      <w:r w:rsidR="00B253B5" w:rsidRPr="00226954">
        <w:t>enactment (</w:t>
      </w:r>
      <w:proofErr w:type="spellStart"/>
      <w:r w:rsidR="00B253B5" w:rsidRPr="00226954">
        <w:t>eg</w:t>
      </w:r>
      <w:proofErr w:type="spellEnd"/>
      <w:r w:rsidR="00B253B5" w:rsidRPr="00226954">
        <w:t xml:space="preserve"> a statute)</w:t>
      </w:r>
      <w:r w:rsidR="00F624F1" w:rsidRPr="00226954">
        <w:t xml:space="preserve">. </w:t>
      </w:r>
      <w:r w:rsidR="00F25BB9" w:rsidRPr="00226954">
        <w:t xml:space="preserve">The relationship between the citizen and the state is that of a </w:t>
      </w:r>
      <w:proofErr w:type="spellStart"/>
      <w:r w:rsidR="00F25BB9" w:rsidRPr="00226954">
        <w:t>Hohfeldian</w:t>
      </w:r>
      <w:proofErr w:type="spellEnd"/>
      <w:r w:rsidR="00F25BB9" w:rsidRPr="00226954">
        <w:t xml:space="preserve"> liberty</w:t>
      </w:r>
      <w:r w:rsidR="00035299">
        <w:t>:</w:t>
      </w:r>
      <w:r w:rsidR="00F25BB9" w:rsidRPr="00226954">
        <w:t xml:space="preserve"> only when a citizen is </w:t>
      </w:r>
      <w:r w:rsidR="00476044">
        <w:t xml:space="preserve">not placed </w:t>
      </w:r>
      <w:r w:rsidR="00F25BB9" w:rsidRPr="00226954">
        <w:t xml:space="preserve">under </w:t>
      </w:r>
      <w:r w:rsidR="00476044">
        <w:t>a</w:t>
      </w:r>
      <w:r w:rsidR="00F25BB9" w:rsidRPr="00226954">
        <w:t xml:space="preserve"> duty to </w:t>
      </w:r>
      <w:r w:rsidR="00476044">
        <w:t>refrain from exercising the liberty</w:t>
      </w:r>
      <w:r w:rsidR="00F25BB9" w:rsidRPr="00226954">
        <w:t xml:space="preserve">, </w:t>
      </w:r>
      <w:r w:rsidR="00476044">
        <w:t xml:space="preserve">such as </w:t>
      </w:r>
      <w:r w:rsidR="00F25BB9" w:rsidRPr="00226954">
        <w:t>his freedom of expression</w:t>
      </w:r>
      <w:r w:rsidR="00476044">
        <w:t>,</w:t>
      </w:r>
      <w:r w:rsidR="00F25BB9" w:rsidRPr="00226954">
        <w:t xml:space="preserve"> does he have a civil liberty.</w:t>
      </w:r>
      <w:r w:rsidR="001B0C86" w:rsidRPr="00226954">
        <w:t xml:space="preserve"> In other words, he has an area within which the liberty in question can be exercised, delineated by laws that designate the extent of the area. That notion is explored in Part 2 in relation to freedom of expression.</w:t>
      </w:r>
      <w:r w:rsidR="001B0C86" w:rsidRPr="00226954">
        <w:rPr>
          <w:rStyle w:val="FootnoteReference"/>
        </w:rPr>
        <w:footnoteReference w:id="33"/>
      </w:r>
    </w:p>
    <w:p w:rsidR="007E79A4" w:rsidRPr="007E79A4" w:rsidRDefault="0082508C" w:rsidP="007E79A4">
      <w:pPr>
        <w:spacing w:after="0" w:line="480" w:lineRule="auto"/>
        <w:ind w:firstLine="720"/>
        <w:jc w:val="both"/>
      </w:pPr>
      <w:r w:rsidRPr="00226954">
        <w:lastRenderedPageBreak/>
        <w:t>From the</w:t>
      </w:r>
      <w:r w:rsidR="00BE7ED8" w:rsidRPr="00226954">
        <w:t xml:space="preserve"> </w:t>
      </w:r>
      <w:r w:rsidRPr="00226954">
        <w:t>17</w:t>
      </w:r>
      <w:r w:rsidR="00BE7ED8" w:rsidRPr="00226954">
        <w:rPr>
          <w:vertAlign w:val="superscript"/>
        </w:rPr>
        <w:t>th</w:t>
      </w:r>
      <w:r w:rsidR="00047CE6" w:rsidRPr="00226954">
        <w:t xml:space="preserve"> Centur</w:t>
      </w:r>
      <w:r w:rsidR="00736C34" w:rsidRPr="00226954">
        <w:t>y</w:t>
      </w:r>
      <w:r w:rsidR="00476044">
        <w:t xml:space="preserve"> onwards</w:t>
      </w:r>
      <w:r w:rsidR="00610715" w:rsidRPr="00226954">
        <w:t>,</w:t>
      </w:r>
      <w:r w:rsidR="00B50CC1" w:rsidRPr="00226954">
        <w:t xml:space="preserve"> liberal </w:t>
      </w:r>
      <w:r w:rsidR="001148C2" w:rsidRPr="00226954">
        <w:t xml:space="preserve">theorists and politicians </w:t>
      </w:r>
      <w:r w:rsidR="00452FFF">
        <w:t xml:space="preserve">have </w:t>
      </w:r>
      <w:r w:rsidR="001148C2" w:rsidRPr="00226954">
        <w:t xml:space="preserve">argued that citizens should </w:t>
      </w:r>
      <w:r w:rsidR="007E79A4">
        <w:t xml:space="preserve">be able to </w:t>
      </w:r>
      <w:r w:rsidR="001148C2" w:rsidRPr="00226954">
        <w:t xml:space="preserve">benefit from </w:t>
      </w:r>
      <w:r w:rsidR="00452FFF">
        <w:t>claim-</w:t>
      </w:r>
      <w:r w:rsidR="001148C2" w:rsidRPr="00226954">
        <w:t>rights</w:t>
      </w:r>
      <w:r w:rsidR="0040605F" w:rsidRPr="00226954">
        <w:t xml:space="preserve"> </w:t>
      </w:r>
      <w:r w:rsidR="00452FFF">
        <w:t xml:space="preserve">rather </w:t>
      </w:r>
      <w:r w:rsidR="0040605F" w:rsidRPr="00226954">
        <w:t>than civil liberties</w:t>
      </w:r>
      <w:r w:rsidR="00BE7ED8" w:rsidRPr="00226954">
        <w:t>.</w:t>
      </w:r>
      <w:r w:rsidR="00CF27BC" w:rsidRPr="00226954">
        <w:rPr>
          <w:rStyle w:val="FootnoteReference"/>
        </w:rPr>
        <w:footnoteReference w:id="34"/>
      </w:r>
      <w:r w:rsidR="00BE7ED8" w:rsidRPr="00226954">
        <w:t xml:space="preserve"> Rather than enjoying freedoms to act</w:t>
      </w:r>
      <w:r w:rsidR="00971DF6" w:rsidRPr="00226954">
        <w:t xml:space="preserve"> in ways not proscribed by </w:t>
      </w:r>
      <w:r w:rsidR="00BE7ED8" w:rsidRPr="00226954">
        <w:t xml:space="preserve">law, there was increasing pressure </w:t>
      </w:r>
      <w:r w:rsidR="00452FFF">
        <w:t xml:space="preserve">post-Enlightenment </w:t>
      </w:r>
      <w:r w:rsidR="00BE7ED8" w:rsidRPr="00226954">
        <w:t xml:space="preserve">to recognise </w:t>
      </w:r>
      <w:r w:rsidRPr="00226954">
        <w:t xml:space="preserve">civil liberties as legal </w:t>
      </w:r>
      <w:r w:rsidR="00BE7ED8" w:rsidRPr="00226954">
        <w:t>rights</w:t>
      </w:r>
      <w:r w:rsidR="00BE7ED8" w:rsidRPr="00226954">
        <w:rPr>
          <w:i/>
        </w:rPr>
        <w:t xml:space="preserve">. </w:t>
      </w:r>
      <w:r w:rsidR="007E79A4" w:rsidRPr="007E79A4">
        <w:t>Virtually all Western democracies</w:t>
      </w:r>
      <w:r w:rsidR="007E79A4">
        <w:rPr>
          <w:i/>
        </w:rPr>
        <w:t xml:space="preserve"> </w:t>
      </w:r>
      <w:r w:rsidR="007E79A4" w:rsidRPr="007E79A4">
        <w:t xml:space="preserve">have introduced Bills or Charters of </w:t>
      </w:r>
      <w:r w:rsidR="007E79A4">
        <w:t>r</w:t>
      </w:r>
      <w:r w:rsidR="007E79A4" w:rsidRPr="007E79A4">
        <w:t xml:space="preserve">ights </w:t>
      </w:r>
      <w:r w:rsidR="007E79A4">
        <w:t xml:space="preserve">which usually accord citizens claim-rights. But, as mentioned at the beginning of this Part, the UK only recognised such rights as civil liberties until the inception of the Human Rights Act 1998. </w:t>
      </w:r>
    </w:p>
    <w:p w:rsidR="004C44C1" w:rsidRPr="00226954" w:rsidRDefault="00CE13FD" w:rsidP="005D3B28">
      <w:pPr>
        <w:pStyle w:val="Heading3"/>
        <w:jc w:val="both"/>
        <w:rPr>
          <w:rFonts w:asciiTheme="minorHAnsi" w:hAnsiTheme="minorHAnsi"/>
        </w:rPr>
      </w:pPr>
      <w:r w:rsidRPr="00226954">
        <w:rPr>
          <w:rFonts w:asciiTheme="minorHAnsi" w:hAnsiTheme="minorHAnsi"/>
        </w:rPr>
        <w:t>2.3</w:t>
      </w:r>
      <w:r w:rsidR="004C44C1" w:rsidRPr="00226954">
        <w:rPr>
          <w:rFonts w:asciiTheme="minorHAnsi" w:hAnsiTheme="minorHAnsi"/>
        </w:rPr>
        <w:t xml:space="preserve">.2 Human rights </w:t>
      </w:r>
    </w:p>
    <w:p w:rsidR="004C44C1" w:rsidRPr="00226954" w:rsidRDefault="004C44C1" w:rsidP="00F946AF">
      <w:pPr>
        <w:spacing w:after="0" w:line="480" w:lineRule="auto"/>
        <w:jc w:val="both"/>
      </w:pPr>
    </w:p>
    <w:p w:rsidR="00A5772F" w:rsidRPr="00226954" w:rsidRDefault="0069664E" w:rsidP="00F946AF">
      <w:pPr>
        <w:spacing w:after="0" w:line="480" w:lineRule="auto"/>
        <w:jc w:val="both"/>
      </w:pPr>
      <w:r w:rsidRPr="00226954">
        <w:t>The subject</w:t>
      </w:r>
      <w:r w:rsidR="00EC3A25">
        <w:t>s</w:t>
      </w:r>
      <w:r w:rsidRPr="00226954">
        <w:t xml:space="preserve"> implied by ‘human rights’ would appear straightforwardly to be ‘humans’. However, it is </w:t>
      </w:r>
      <w:r w:rsidR="00573EBA" w:rsidRPr="00226954">
        <w:t>not generally accepted</w:t>
      </w:r>
      <w:r w:rsidRPr="00226954">
        <w:t xml:space="preserve"> that humans at all stages of development </w:t>
      </w:r>
      <w:r w:rsidR="00573EBA" w:rsidRPr="00226954">
        <w:t>are</w:t>
      </w:r>
      <w:r w:rsidRPr="00226954">
        <w:t xml:space="preserve"> the subject of human rights. </w:t>
      </w:r>
      <w:r w:rsidR="00573EBA" w:rsidRPr="00226954">
        <w:t>There is no consensus as to whether a ‘foetus’ counts as a subject of human rights</w:t>
      </w:r>
      <w:r w:rsidR="00473AF4" w:rsidRPr="00226954">
        <w:rPr>
          <w:rStyle w:val="FootnoteReference"/>
        </w:rPr>
        <w:footnoteReference w:id="35"/>
      </w:r>
      <w:r w:rsidR="00573EBA" w:rsidRPr="00226954">
        <w:t xml:space="preserve"> and i</w:t>
      </w:r>
      <w:r w:rsidRPr="00226954">
        <w:t xml:space="preserve">t is not accepted that infants should possess </w:t>
      </w:r>
      <w:r w:rsidR="00573EBA" w:rsidRPr="00226954">
        <w:t xml:space="preserve">certain </w:t>
      </w:r>
      <w:r w:rsidRPr="00226954">
        <w:t>right</w:t>
      </w:r>
      <w:r w:rsidR="00573EBA" w:rsidRPr="00226954">
        <w:t>s, such as</w:t>
      </w:r>
      <w:r w:rsidRPr="00226954">
        <w:t xml:space="preserve"> to marry.</w:t>
      </w:r>
      <w:r w:rsidR="00573EBA" w:rsidRPr="00226954">
        <w:rPr>
          <w:rStyle w:val="FootnoteReference"/>
        </w:rPr>
        <w:footnoteReference w:id="36"/>
      </w:r>
      <w:r w:rsidRPr="00226954">
        <w:t xml:space="preserve"> Similarly, it is not generally accepted that humans who lack certain capacities can benefit from certain rights, so that the mentally disordered </w:t>
      </w:r>
      <w:r w:rsidR="00951931" w:rsidRPr="00226954">
        <w:t xml:space="preserve">may </w:t>
      </w:r>
      <w:r w:rsidRPr="00226954">
        <w:t xml:space="preserve">not </w:t>
      </w:r>
      <w:r w:rsidR="00951931" w:rsidRPr="00226954">
        <w:t xml:space="preserve">be able to </w:t>
      </w:r>
      <w:r w:rsidRPr="00226954">
        <w:t xml:space="preserve">benefit </w:t>
      </w:r>
      <w:r w:rsidR="00EC3A25">
        <w:t xml:space="preserve">in certain circumstances </w:t>
      </w:r>
      <w:r w:rsidRPr="00226954">
        <w:t xml:space="preserve">from </w:t>
      </w:r>
      <w:r w:rsidR="00573EBA" w:rsidRPr="00226954">
        <w:t xml:space="preserve">the right to personal autonomy, </w:t>
      </w:r>
      <w:r w:rsidRPr="00226954">
        <w:t>an aspe</w:t>
      </w:r>
      <w:r w:rsidR="00573EBA" w:rsidRPr="00226954">
        <w:t>ct of the right to respect for private life (Article 8 ECHR),</w:t>
      </w:r>
      <w:r w:rsidRPr="00226954">
        <w:t xml:space="preserve"> </w:t>
      </w:r>
      <w:r w:rsidR="007B722F" w:rsidRPr="00226954">
        <w:t xml:space="preserve">since </w:t>
      </w:r>
      <w:r w:rsidR="00951931" w:rsidRPr="00226954">
        <w:t>in relation to certain decisions that Article 8 might potentially protect it</w:t>
      </w:r>
      <w:r w:rsidRPr="00226954">
        <w:t xml:space="preserve"> require</w:t>
      </w:r>
      <w:r w:rsidR="00573EBA" w:rsidRPr="00226954">
        <w:t>s</w:t>
      </w:r>
      <w:r w:rsidRPr="00226954">
        <w:t xml:space="preserve"> that rational self-oriented decisions </w:t>
      </w:r>
      <w:r w:rsidR="00951931" w:rsidRPr="00226954">
        <w:t xml:space="preserve">alone should </w:t>
      </w:r>
      <w:r w:rsidRPr="00226954">
        <w:t>be respected.</w:t>
      </w:r>
      <w:r w:rsidR="00573EBA" w:rsidRPr="00226954">
        <w:rPr>
          <w:rStyle w:val="FootnoteReference"/>
        </w:rPr>
        <w:footnoteReference w:id="37"/>
      </w:r>
      <w:r w:rsidRPr="00226954">
        <w:t xml:space="preserve"> </w:t>
      </w:r>
    </w:p>
    <w:p w:rsidR="00411950" w:rsidRDefault="00335601" w:rsidP="007639D4">
      <w:pPr>
        <w:spacing w:after="0" w:line="480" w:lineRule="auto"/>
        <w:ind w:firstLine="720"/>
        <w:jc w:val="both"/>
      </w:pPr>
      <w:r w:rsidRPr="00226954">
        <w:t>One in</w:t>
      </w:r>
      <w:r w:rsidR="00A5772F" w:rsidRPr="00226954">
        <w:t>terpretation of the subject of human</w:t>
      </w:r>
      <w:r w:rsidRPr="00226954">
        <w:t xml:space="preserve"> rights is that the subject of </w:t>
      </w:r>
      <w:r w:rsidR="00EC3A25">
        <w:t xml:space="preserve">certain </w:t>
      </w:r>
      <w:r w:rsidRPr="00226954">
        <w:t xml:space="preserve">‘human’ rights is </w:t>
      </w:r>
      <w:r w:rsidR="00A5772F" w:rsidRPr="00226954">
        <w:t xml:space="preserve">more aptly defined as </w:t>
      </w:r>
      <w:r w:rsidR="00404E25" w:rsidRPr="00226954">
        <w:t xml:space="preserve">relating to </w:t>
      </w:r>
      <w:r w:rsidRPr="00226954">
        <w:t xml:space="preserve">beings with </w:t>
      </w:r>
      <w:r w:rsidR="00A5772F" w:rsidRPr="00226954">
        <w:t>the capacity for autonomous self-determination which is, so far as we know, unique to human beings</w:t>
      </w:r>
      <w:r w:rsidRPr="00226954">
        <w:t>.</w:t>
      </w:r>
      <w:r w:rsidR="00A5772F" w:rsidRPr="00226954">
        <w:rPr>
          <w:rStyle w:val="FootnoteReference"/>
        </w:rPr>
        <w:footnoteReference w:id="38"/>
      </w:r>
      <w:r w:rsidRPr="00226954">
        <w:t xml:space="preserve"> </w:t>
      </w:r>
      <w:r w:rsidR="00D06328">
        <w:t>Without going into detail, this view did not lead to determining that young children, the mentally ill or unconscious humans (</w:t>
      </w:r>
      <w:proofErr w:type="spellStart"/>
      <w:r w:rsidR="00D06328">
        <w:t>eg</w:t>
      </w:r>
      <w:proofErr w:type="spellEnd"/>
      <w:r w:rsidR="00D06328">
        <w:t xml:space="preserve"> in a PVS state) would be excluded from enjoying the benefits of a range of rights. For example, </w:t>
      </w:r>
      <w:r w:rsidR="00411950">
        <w:t xml:space="preserve">very </w:t>
      </w:r>
      <w:r w:rsidR="00411950">
        <w:lastRenderedPageBreak/>
        <w:t>young children would obviously be able to benefit from a range of human rights</w:t>
      </w:r>
      <w:r w:rsidR="00007BC0">
        <w:t>,</w:t>
      </w:r>
      <w:r w:rsidR="00411950">
        <w:t xml:space="preserve"> such as the right to be free from torture or inhuman or degrading treatment (see Article 3 ECHR). </w:t>
      </w:r>
      <w:r w:rsidR="00007BC0">
        <w:t xml:space="preserve">But this view </w:t>
      </w:r>
      <w:r w:rsidRPr="00226954">
        <w:t xml:space="preserve">is disputed by those who argue that it </w:t>
      </w:r>
      <w:r w:rsidR="00007BC0">
        <w:t xml:space="preserve">could </w:t>
      </w:r>
      <w:r w:rsidRPr="00226954">
        <w:t>den</w:t>
      </w:r>
      <w:r w:rsidR="00007BC0">
        <w:t>y</w:t>
      </w:r>
      <w:r w:rsidRPr="00226954">
        <w:t xml:space="preserve"> the protection of human rights to a far greater range of human beings than is generally considered to be morally acceptable.</w:t>
      </w:r>
      <w:r w:rsidRPr="00226954">
        <w:rPr>
          <w:rStyle w:val="FootnoteReference"/>
        </w:rPr>
        <w:footnoteReference w:id="39"/>
      </w:r>
      <w:r w:rsidR="00EC3A25">
        <w:t xml:space="preserve"> </w:t>
      </w:r>
      <w:r w:rsidR="00007BC0">
        <w:t>The better view is that all humans (except the foetus up to a certain stage of development) are the subject of human rights.</w:t>
      </w:r>
    </w:p>
    <w:p w:rsidR="008D7D94" w:rsidRPr="00226954" w:rsidRDefault="008D7D94" w:rsidP="007639D4">
      <w:pPr>
        <w:spacing w:after="0" w:line="480" w:lineRule="auto"/>
        <w:ind w:firstLine="720"/>
        <w:jc w:val="both"/>
      </w:pPr>
      <w:r w:rsidRPr="00226954">
        <w:t>There is a general agreement among legal scholars that the respondent to human rights is the state</w:t>
      </w:r>
      <w:r w:rsidR="00404E25" w:rsidRPr="00226954">
        <w:t xml:space="preserve"> (under the HRA the respondents are ‘public authorities’)</w:t>
      </w:r>
      <w:r w:rsidRPr="00226954">
        <w:t>.</w:t>
      </w:r>
      <w:r w:rsidR="00D10568" w:rsidRPr="00226954">
        <w:rPr>
          <w:rStyle w:val="FootnoteReference"/>
        </w:rPr>
        <w:footnoteReference w:id="40"/>
      </w:r>
      <w:r w:rsidRPr="00226954">
        <w:t xml:space="preserve"> Human rights instruments, such as the ECHR, refer to the obligations that fall upon the ‘contracting parties’ and not upon individuals within those states. However, even this </w:t>
      </w:r>
      <w:r w:rsidR="00007BC0">
        <w:t xml:space="preserve">matter </w:t>
      </w:r>
      <w:r w:rsidRPr="00226954">
        <w:t xml:space="preserve">is not entirely without controversy. As this book discusses in relation to </w:t>
      </w:r>
      <w:r w:rsidR="00D10568" w:rsidRPr="00226954">
        <w:t xml:space="preserve">the right to </w:t>
      </w:r>
      <w:r w:rsidR="008A4D88" w:rsidRPr="00226954">
        <w:t xml:space="preserve">privacy </w:t>
      </w:r>
      <w:r w:rsidR="007639D4" w:rsidRPr="00226954">
        <w:t>(</w:t>
      </w:r>
      <w:r w:rsidR="00007BC0">
        <w:t>see C</w:t>
      </w:r>
      <w:r w:rsidR="007639D4" w:rsidRPr="00226954">
        <w:t>hapter 10</w:t>
      </w:r>
      <w:r w:rsidRPr="00226954">
        <w:t xml:space="preserve">) there are </w:t>
      </w:r>
      <w:r w:rsidR="00404E25" w:rsidRPr="00226954">
        <w:t xml:space="preserve">a range of </w:t>
      </w:r>
      <w:r w:rsidRPr="00226954">
        <w:t xml:space="preserve">instances </w:t>
      </w:r>
      <w:r w:rsidR="00404E25" w:rsidRPr="00226954">
        <w:t xml:space="preserve">in </w:t>
      </w:r>
      <w:r w:rsidRPr="00226954">
        <w:t>wh</w:t>
      </w:r>
      <w:r w:rsidR="00404E25" w:rsidRPr="00226954">
        <w:t>ich</w:t>
      </w:r>
      <w:r w:rsidRPr="00226954">
        <w:t xml:space="preserve"> individual citizens are affixed with an obligation to respect </w:t>
      </w:r>
      <w:r w:rsidR="00D10568" w:rsidRPr="00226954">
        <w:t xml:space="preserve">the </w:t>
      </w:r>
      <w:r w:rsidR="007639D4" w:rsidRPr="00226954">
        <w:t xml:space="preserve">human </w:t>
      </w:r>
      <w:r w:rsidR="00D10568" w:rsidRPr="00226954">
        <w:t>rights of others</w:t>
      </w:r>
      <w:r w:rsidRPr="00226954">
        <w:t>.</w:t>
      </w:r>
      <w:r w:rsidR="00404E25" w:rsidRPr="00226954">
        <w:t xml:space="preserve"> This position may be referred to as the ‘indirect horizontal effect’ of a human rights instrument.</w:t>
      </w:r>
      <w:r w:rsidR="00404E25" w:rsidRPr="00226954">
        <w:rPr>
          <w:rStyle w:val="FootnoteReference"/>
        </w:rPr>
        <w:footnoteReference w:id="41"/>
      </w:r>
      <w:r w:rsidR="002D7EA6" w:rsidRPr="00226954">
        <w:t xml:space="preserve"> As explained in Chapter 10, the creation of rights </w:t>
      </w:r>
      <w:r w:rsidR="002D7EA6" w:rsidRPr="00226954">
        <w:rPr>
          <w:i/>
        </w:rPr>
        <w:t xml:space="preserve">between </w:t>
      </w:r>
      <w:r w:rsidR="002D7EA6" w:rsidRPr="00226954">
        <w:t xml:space="preserve">individuals is considered to be an aspect of the UK’s obligation to secure the Article 8 right to </w:t>
      </w:r>
      <w:r w:rsidR="003F6BEB">
        <w:t xml:space="preserve">respect for private life </w:t>
      </w:r>
      <w:r w:rsidR="003F6BEB" w:rsidRPr="00226954">
        <w:t>effectively</w:t>
      </w:r>
      <w:r w:rsidR="002D7EA6" w:rsidRPr="00226954">
        <w:t>. For instance, in the example given as regards Shirley above in relation to claim-rights, the invasion of her privacy was not by the state but by a newspaper</w:t>
      </w:r>
      <w:r w:rsidR="003F6BEB">
        <w:t xml:space="preserve">, but the state has an obligation under Article 8 scheduled in the HRA to ensure that her privacy is protected from private actors as well as from the state. In </w:t>
      </w:r>
      <w:proofErr w:type="gramStart"/>
      <w:r w:rsidR="003F6BEB">
        <w:t xml:space="preserve">practice </w:t>
      </w:r>
      <w:r w:rsidR="002D7EA6" w:rsidRPr="00226954">
        <w:t xml:space="preserve"> the</w:t>
      </w:r>
      <w:proofErr w:type="gramEnd"/>
      <w:r w:rsidR="002D7EA6" w:rsidRPr="00226954">
        <w:t xml:space="preserve"> state </w:t>
      </w:r>
      <w:r w:rsidR="00DF1AAD" w:rsidRPr="00226954">
        <w:t xml:space="preserve">becomes involved when a </w:t>
      </w:r>
      <w:r w:rsidR="002D7EA6" w:rsidRPr="00226954">
        <w:rPr>
          <w:i/>
        </w:rPr>
        <w:t>court</w:t>
      </w:r>
      <w:r w:rsidR="002D7EA6" w:rsidRPr="00226954">
        <w:t xml:space="preserve"> </w:t>
      </w:r>
      <w:r w:rsidR="003F6BEB">
        <w:t xml:space="preserve">is asked to </w:t>
      </w:r>
      <w:r w:rsidR="002D7EA6" w:rsidRPr="00226954">
        <w:t xml:space="preserve">interpret the rights and obligations of </w:t>
      </w:r>
      <w:r w:rsidR="00DF1AAD" w:rsidRPr="00226954">
        <w:t xml:space="preserve">Shirley and the newspaper </w:t>
      </w:r>
      <w:r w:rsidR="008A4D88" w:rsidRPr="00226954">
        <w:t>if she brings an action</w:t>
      </w:r>
      <w:r w:rsidR="00DF1AAD" w:rsidRPr="00226954">
        <w:t xml:space="preserve"> against the </w:t>
      </w:r>
      <w:r w:rsidR="008A4D88" w:rsidRPr="00226954">
        <w:t>newspaper</w:t>
      </w:r>
      <w:r w:rsidR="00DF1AAD" w:rsidRPr="00226954">
        <w:t>.</w:t>
      </w:r>
      <w:r w:rsidR="00DF1AAD" w:rsidRPr="00226954">
        <w:rPr>
          <w:rStyle w:val="FootnoteReference"/>
        </w:rPr>
        <w:footnoteReference w:id="42"/>
      </w:r>
    </w:p>
    <w:p w:rsidR="008D7D94" w:rsidRPr="00226954" w:rsidRDefault="00D10568" w:rsidP="007639D4">
      <w:pPr>
        <w:spacing w:after="0" w:line="480" w:lineRule="auto"/>
        <w:ind w:firstLine="720"/>
        <w:jc w:val="both"/>
      </w:pPr>
      <w:r w:rsidRPr="00226954">
        <w:t xml:space="preserve">As regards the </w:t>
      </w:r>
      <w:r w:rsidR="007639D4" w:rsidRPr="00226954">
        <w:t xml:space="preserve">proper </w:t>
      </w:r>
      <w:r w:rsidRPr="00226954">
        <w:t>object of human rights</w:t>
      </w:r>
      <w:r w:rsidR="007639D4" w:rsidRPr="00226954">
        <w:t xml:space="preserve"> </w:t>
      </w:r>
      <w:r w:rsidR="00346533" w:rsidRPr="00226954">
        <w:t xml:space="preserve">there </w:t>
      </w:r>
      <w:r w:rsidR="007639D4" w:rsidRPr="00226954">
        <w:t xml:space="preserve">is arguably </w:t>
      </w:r>
      <w:r w:rsidR="00404E25" w:rsidRPr="00226954">
        <w:t xml:space="preserve">little </w:t>
      </w:r>
      <w:r w:rsidR="00346533" w:rsidRPr="00226954">
        <w:t>agreement</w:t>
      </w:r>
      <w:r w:rsidR="00404E25" w:rsidRPr="00226954">
        <w:t xml:space="preserve"> between theorists</w:t>
      </w:r>
      <w:r w:rsidR="008D7D94" w:rsidRPr="00226954">
        <w:t>.</w:t>
      </w:r>
      <w:r w:rsidR="00404E25" w:rsidRPr="00226954">
        <w:rPr>
          <w:rStyle w:val="FootnoteReference"/>
        </w:rPr>
        <w:footnoteReference w:id="43"/>
      </w:r>
      <w:r w:rsidR="008D7D94" w:rsidRPr="00226954">
        <w:t xml:space="preserve"> This book</w:t>
      </w:r>
      <w:r w:rsidR="00346533" w:rsidRPr="00226954">
        <w:t xml:space="preserve"> considers human rights to expression</w:t>
      </w:r>
      <w:r w:rsidR="007639D4" w:rsidRPr="00226954">
        <w:t xml:space="preserve"> (Part 2</w:t>
      </w:r>
      <w:r w:rsidR="00B045B3" w:rsidRPr="00226954">
        <w:t>)</w:t>
      </w:r>
      <w:r w:rsidR="00346533" w:rsidRPr="00226954">
        <w:t xml:space="preserve">, privacy </w:t>
      </w:r>
      <w:r w:rsidR="00B045B3" w:rsidRPr="00226954">
        <w:t>(</w:t>
      </w:r>
      <w:r w:rsidR="007639D4" w:rsidRPr="00226954">
        <w:t>Part 3</w:t>
      </w:r>
      <w:r w:rsidR="00B045B3" w:rsidRPr="00226954">
        <w:t xml:space="preserve">) </w:t>
      </w:r>
      <w:r w:rsidR="00346533" w:rsidRPr="00226954">
        <w:t>and liberty</w:t>
      </w:r>
      <w:r w:rsidR="00B045B3" w:rsidRPr="00226954">
        <w:t xml:space="preserve"> (</w:t>
      </w:r>
      <w:r w:rsidR="007639D4" w:rsidRPr="00226954">
        <w:t>Part 4</w:t>
      </w:r>
      <w:r w:rsidR="00B045B3" w:rsidRPr="00226954">
        <w:t>)</w:t>
      </w:r>
      <w:r w:rsidR="00346533" w:rsidRPr="00226954">
        <w:t xml:space="preserve">. </w:t>
      </w:r>
      <w:r w:rsidR="00C76C81" w:rsidRPr="00226954">
        <w:t xml:space="preserve">One view is that human rights should be understood to be most fundamentally claims to the </w:t>
      </w:r>
      <w:r w:rsidR="00C76C81" w:rsidRPr="00226954">
        <w:lastRenderedPageBreak/>
        <w:t>conditions that are necessary for ‘humans’ to live freely and with dignity; human rights that reflect this rationale are the rights to life (Article 2 ECHR) and freedom from torture (Article 3, ECHR).</w:t>
      </w:r>
      <w:r w:rsidR="00C76C81" w:rsidRPr="00226954">
        <w:rPr>
          <w:rStyle w:val="FootnoteReference"/>
        </w:rPr>
        <w:footnoteReference w:id="44"/>
      </w:r>
      <w:r w:rsidR="00C76C81">
        <w:t xml:space="preserve"> But civil human rights are mainly though not solely aimed at enabling full participation in the political life of civil society (rights to freedoms of expression, assembly, association, and to vote). </w:t>
      </w:r>
      <w:r w:rsidR="00346533" w:rsidRPr="00226954">
        <w:t>The human right to privacy generates by far the greatest controversy</w:t>
      </w:r>
      <w:r w:rsidR="00B045B3" w:rsidRPr="00226954">
        <w:t>; for example</w:t>
      </w:r>
      <w:r w:rsidR="00CC029E" w:rsidRPr="00226954">
        <w:t>,</w:t>
      </w:r>
      <w:r w:rsidR="0033461E" w:rsidRPr="00226954">
        <w:t xml:space="preserve"> </w:t>
      </w:r>
      <w:r w:rsidR="00B045B3" w:rsidRPr="00226954">
        <w:t>t</w:t>
      </w:r>
      <w:r w:rsidR="0033461E" w:rsidRPr="00226954">
        <w:t>he tabloid media has (with dubious good faith) ridiculed the idea that this human right extends to a spectrum of</w:t>
      </w:r>
      <w:r w:rsidR="00EA52B8" w:rsidRPr="00226954">
        <w:t xml:space="preserve"> further human rights, such as the</w:t>
      </w:r>
      <w:r w:rsidR="0033461E" w:rsidRPr="00226954">
        <w:t xml:space="preserve"> right </w:t>
      </w:r>
      <w:r w:rsidR="00EA52B8" w:rsidRPr="00226954">
        <w:t>of a prisoner to receive IVF</w:t>
      </w:r>
      <w:r w:rsidR="0033461E" w:rsidRPr="00226954">
        <w:t>.</w:t>
      </w:r>
      <w:r w:rsidR="0033461E" w:rsidRPr="00226954">
        <w:rPr>
          <w:rStyle w:val="FootnoteReference"/>
        </w:rPr>
        <w:footnoteReference w:id="45"/>
      </w:r>
      <w:r w:rsidR="0033461E" w:rsidRPr="00226954">
        <w:t xml:space="preserve"> There is also controversy over the validity of claims </w:t>
      </w:r>
      <w:r w:rsidR="007639D4" w:rsidRPr="00226954">
        <w:t xml:space="preserve">by certain </w:t>
      </w:r>
      <w:r w:rsidR="00CC029E" w:rsidRPr="00226954">
        <w:t>T</w:t>
      </w:r>
      <w:r w:rsidR="0033461E" w:rsidRPr="00226954">
        <w:t xml:space="preserve">reaties to establish economic and social human rights as well as </w:t>
      </w:r>
      <w:r w:rsidR="0006162B">
        <w:t xml:space="preserve">civil and political rights since the former </w:t>
      </w:r>
      <w:r w:rsidR="0033461E" w:rsidRPr="00226954">
        <w:t>depart from traditional enlightenment ideas of the object of human rights.</w:t>
      </w:r>
    </w:p>
    <w:p w:rsidR="001025CA" w:rsidRPr="00226954" w:rsidRDefault="007639D4" w:rsidP="00884FB7">
      <w:pPr>
        <w:spacing w:after="0" w:line="480" w:lineRule="auto"/>
        <w:ind w:firstLine="720"/>
        <w:jc w:val="both"/>
      </w:pPr>
      <w:r w:rsidRPr="00226954">
        <w:t xml:space="preserve">To describe the rights considered in this book in terms of their </w:t>
      </w:r>
      <w:proofErr w:type="spellStart"/>
      <w:r w:rsidRPr="00226954">
        <w:t>Hohfeldian</w:t>
      </w:r>
      <w:proofErr w:type="spellEnd"/>
      <w:r w:rsidRPr="00226954">
        <w:t xml:space="preserve"> incidents, t</w:t>
      </w:r>
      <w:r w:rsidR="00B045B3" w:rsidRPr="00226954">
        <w:t>he rights to freedom of expression</w:t>
      </w:r>
      <w:r w:rsidR="00C76C81">
        <w:t>, liberty</w:t>
      </w:r>
      <w:r w:rsidR="00B045B3" w:rsidRPr="00226954">
        <w:t xml:space="preserve"> and privacy are straightforwardly understood as </w:t>
      </w:r>
      <w:proofErr w:type="spellStart"/>
      <w:r w:rsidRPr="00226954">
        <w:t>Hohfeldian</w:t>
      </w:r>
      <w:proofErr w:type="spellEnd"/>
      <w:r w:rsidRPr="00226954">
        <w:t xml:space="preserve"> </w:t>
      </w:r>
      <w:r w:rsidR="00884FB7" w:rsidRPr="00226954">
        <w:t>claim-rights</w:t>
      </w:r>
      <w:r w:rsidRPr="00226954">
        <w:t xml:space="preserve">, </w:t>
      </w:r>
      <w:r w:rsidR="00C76C81">
        <w:t xml:space="preserve">due to the operation of the Human Rights Act, which places obligations on public authorities to abide by those rights. </w:t>
      </w:r>
    </w:p>
    <w:p w:rsidR="00B045B3" w:rsidRPr="00226954" w:rsidRDefault="001025CA" w:rsidP="00884FB7">
      <w:pPr>
        <w:spacing w:after="0" w:line="480" w:lineRule="auto"/>
        <w:ind w:firstLine="720"/>
        <w:jc w:val="both"/>
      </w:pPr>
      <w:r w:rsidRPr="00226954">
        <w:t xml:space="preserve">The above provides an outline of the basic nature of human rights. However, the theoretical disputes as to their nature are somewhat removed from the immediate concerns </w:t>
      </w:r>
      <w:r w:rsidR="00EA4D4A">
        <w:t xml:space="preserve">generated by </w:t>
      </w:r>
      <w:r w:rsidRPr="00226954">
        <w:t>the legal application of such rights. Rather, it is t</w:t>
      </w:r>
      <w:r w:rsidR="00884FB7" w:rsidRPr="00226954">
        <w:t xml:space="preserve">he </w:t>
      </w:r>
      <w:r w:rsidR="00884FB7" w:rsidRPr="00226954">
        <w:rPr>
          <w:i/>
        </w:rPr>
        <w:t>operation</w:t>
      </w:r>
      <w:r w:rsidR="00884FB7" w:rsidRPr="00226954">
        <w:t xml:space="preserve"> of </w:t>
      </w:r>
      <w:r w:rsidRPr="00226954">
        <w:t xml:space="preserve">such </w:t>
      </w:r>
      <w:r w:rsidR="00884FB7" w:rsidRPr="00226954">
        <w:t>rights</w:t>
      </w:r>
      <w:r w:rsidRPr="00226954">
        <w:t xml:space="preserve"> that form the primary concern of this book</w:t>
      </w:r>
      <w:r w:rsidR="00EA4D4A">
        <w:t xml:space="preserve">, and in particular the scope of the rights and the exceptions to them. </w:t>
      </w:r>
      <w:r w:rsidRPr="00226954">
        <w:t xml:space="preserve">This is </w:t>
      </w:r>
      <w:r w:rsidR="00884FB7" w:rsidRPr="00226954">
        <w:t xml:space="preserve">particularly </w:t>
      </w:r>
      <w:r w:rsidRPr="00226954">
        <w:t xml:space="preserve">the case </w:t>
      </w:r>
      <w:r w:rsidR="00884FB7" w:rsidRPr="00226954">
        <w:t xml:space="preserve">as regards </w:t>
      </w:r>
      <w:r w:rsidRPr="00226954">
        <w:t xml:space="preserve">the operation of human </w:t>
      </w:r>
      <w:r w:rsidRPr="00226954">
        <w:rPr>
          <w:i/>
        </w:rPr>
        <w:t>claim-rights</w:t>
      </w:r>
      <w:r w:rsidR="003C406D" w:rsidRPr="00226954">
        <w:t xml:space="preserve">. </w:t>
      </w:r>
      <w:r w:rsidRPr="00226954">
        <w:t xml:space="preserve">Therefore it is to this aspect of the nature of human rights that this chapter will now turn. </w:t>
      </w:r>
    </w:p>
    <w:p w:rsidR="00BB590E" w:rsidRPr="00226954" w:rsidRDefault="00BB590E" w:rsidP="00BB590E">
      <w:pPr>
        <w:pStyle w:val="Heading2"/>
        <w:jc w:val="both"/>
        <w:rPr>
          <w:rFonts w:asciiTheme="minorHAnsi" w:hAnsiTheme="minorHAnsi"/>
          <w:bCs w:val="0"/>
        </w:rPr>
      </w:pPr>
      <w:r w:rsidRPr="00226954">
        <w:rPr>
          <w:rFonts w:asciiTheme="minorHAnsi" w:hAnsiTheme="minorHAnsi"/>
          <w:bCs w:val="0"/>
        </w:rPr>
        <w:t>2.4 The operation of human claim-rights</w:t>
      </w:r>
      <w:r w:rsidR="00E72AC7">
        <w:rPr>
          <w:rFonts w:asciiTheme="minorHAnsi" w:hAnsiTheme="minorHAnsi"/>
          <w:bCs w:val="0"/>
        </w:rPr>
        <w:t>: conflicts with other claims</w:t>
      </w:r>
      <w:r w:rsidRPr="00226954">
        <w:rPr>
          <w:rFonts w:asciiTheme="minorHAnsi" w:hAnsiTheme="minorHAnsi"/>
          <w:bCs w:val="0"/>
        </w:rPr>
        <w:t xml:space="preserve"> </w:t>
      </w:r>
    </w:p>
    <w:p w:rsidR="00BB590E" w:rsidRPr="00226954" w:rsidRDefault="00BB590E" w:rsidP="00BB590E">
      <w:pPr>
        <w:jc w:val="both"/>
      </w:pPr>
    </w:p>
    <w:p w:rsidR="00350F12" w:rsidRPr="00350F12" w:rsidRDefault="00BB590E" w:rsidP="00350F12">
      <w:pPr>
        <w:spacing w:line="480" w:lineRule="auto"/>
        <w:jc w:val="both"/>
      </w:pPr>
      <w:r w:rsidRPr="00226954">
        <w:t xml:space="preserve">There are many situations where an individual has a </w:t>
      </w:r>
      <w:r w:rsidR="00EA4D4A">
        <w:t xml:space="preserve">claim to a right </w:t>
      </w:r>
      <w:r w:rsidRPr="00226954">
        <w:t xml:space="preserve">but </w:t>
      </w:r>
      <w:r w:rsidR="00EA4D4A">
        <w:t xml:space="preserve">it is justifiable for </w:t>
      </w:r>
      <w:r w:rsidRPr="00226954">
        <w:t xml:space="preserve">the respondent state not </w:t>
      </w:r>
      <w:r w:rsidR="00EA4D4A">
        <w:t xml:space="preserve">to </w:t>
      </w:r>
      <w:r w:rsidRPr="00226954">
        <w:t>fulfil its obligation</w:t>
      </w:r>
      <w:r w:rsidR="00EA4D4A">
        <w:t xml:space="preserve"> to deliver the right</w:t>
      </w:r>
      <w:r w:rsidRPr="00226954">
        <w:t xml:space="preserve">. </w:t>
      </w:r>
      <w:r w:rsidR="00350F12" w:rsidRPr="00350F12">
        <w:t xml:space="preserve">The right may come into conflict with </w:t>
      </w:r>
      <w:r w:rsidR="00350F12" w:rsidRPr="00350F12">
        <w:lastRenderedPageBreak/>
        <w:t>the claims of society, such as that a certain standard of morality should be upheld. Clearly, in resolving such a conflict, a judge will inevitably draw upon his or her background political theory. If, for example, a judge in the European Court of Human Rights, who is a utilitarian by conviction, has to consider a convincing demonstration by a defendant government that the particular application of the right to free speech claimed by the applicant will, on balance, make society worse off as a whole, he or she will be inclined to find for the government and allow the infringement of the right. Such infringement will, of course, be more readily allowable if the right is framed or has developed in such a way as to be open-ended in scope with in-built exceptions.</w:t>
      </w:r>
    </w:p>
    <w:p w:rsidR="00350F12" w:rsidRPr="00350F12" w:rsidRDefault="00350F12" w:rsidP="00350F12">
      <w:pPr>
        <w:spacing w:line="480" w:lineRule="auto"/>
        <w:ind w:firstLine="360"/>
        <w:jc w:val="both"/>
      </w:pPr>
      <w:r w:rsidRPr="00350F12">
        <w:t xml:space="preserve">Both Dworkin and Rawls have argued persuasively against making rights vulnerable to utilitarian considerations in this way. The idea that ‘[e]ach person possesses an inviolability founded on </w:t>
      </w:r>
      <w:proofErr w:type="gramStart"/>
      <w:r w:rsidRPr="00350F12">
        <w:t>justice that even</w:t>
      </w:r>
      <w:proofErr w:type="gramEnd"/>
      <w:r w:rsidRPr="00350F12">
        <w:t xml:space="preserve"> the welfare of society as a whole cannot override’</w:t>
      </w:r>
      <w:r>
        <w:rPr>
          <w:rStyle w:val="FootnoteReference"/>
        </w:rPr>
        <w:footnoteReference w:id="46"/>
      </w:r>
      <w:r w:rsidRPr="00350F12">
        <w:t xml:space="preserve"> lies at the centre of Rawls’s political thought. The idea of such inviolable rights may seem extreme, but is in fact accepted by all civilised countries in the case, for example, of torture. It is not thought to be a sound argument for a government to assert that it is justified in torturing certain of its citizens on the grounds that it can increase the general welfare thereby. The acceptance of this principle is attested to by the non-</w:t>
      </w:r>
      <w:proofErr w:type="spellStart"/>
      <w:r w:rsidRPr="00350F12">
        <w:t>derogability</w:t>
      </w:r>
      <w:proofErr w:type="spellEnd"/>
      <w:r w:rsidRPr="00350F12">
        <w:t xml:space="preserve"> of the right to freedom from torture in all international human rights treaties, including the European Convention on Human Rights (Art 15(2)).</w:t>
      </w:r>
    </w:p>
    <w:p w:rsidR="00350F12" w:rsidRPr="00350F12" w:rsidRDefault="00350F12" w:rsidP="00350F12">
      <w:pPr>
        <w:spacing w:line="480" w:lineRule="auto"/>
        <w:ind w:firstLine="360"/>
        <w:jc w:val="both"/>
      </w:pPr>
      <w:r w:rsidRPr="00350F12">
        <w:t xml:space="preserve">Dworkin has addressed the specific question as to the means of understanding a legal right in an adjudicative context in some detail. Earlier, the distinction between moral and legal rights was discussed. Here it should be noted that Dworkin also distinguishes between rights that have ‘trump’ status and those that do not. He gives as an example of the latter a legal right to drive either way on a two-way road: such a right is a ‘weak’ legal right, because it is not an important human interest which is likely to be denied to certain groups through the influence of external preferences. It follows that such a right could justifiably be overridden by the government (through making the road </w:t>
      </w:r>
      <w:r w:rsidRPr="00350F12">
        <w:lastRenderedPageBreak/>
        <w:t>one-way) if it thought it in the general interest to do so. By contrast, his conception of the strength of ‘trump’ rights leads to his insistence that an assertion of (for example) a right to free speech held by citizens ‘must imply that it would be wrong for the government to stop them from speaking, even when the government believes that what they say will cause more harm than good’.</w:t>
      </w:r>
      <w:r>
        <w:rPr>
          <w:rStyle w:val="FootnoteReference"/>
        </w:rPr>
        <w:footnoteReference w:id="47"/>
      </w:r>
    </w:p>
    <w:p w:rsidR="00350F12" w:rsidRPr="00350F12" w:rsidRDefault="00350F12" w:rsidP="00350F12">
      <w:pPr>
        <w:spacing w:line="480" w:lineRule="auto"/>
        <w:ind w:firstLine="360"/>
        <w:jc w:val="both"/>
      </w:pPr>
      <w:r w:rsidRPr="00350F12">
        <w:t xml:space="preserve">It can be seen, then, that Dworkin gives us a very clear prescription for the approach that a judge should take in weighing strong or ‘trump’ rights against the general welfare of society. He roundly condemns the idea that a judge, in adjudicating upon a right or a government in framing it, should carefully weigh up the right of the citizen against the possible adverse social consequences, accepting that it is sometimes preferable to err on the side of society, sometimes on the side of the individual, but on the whole getting the balance about right. ‘It must be wrong’, he argues, to consider that ‘inflating rights is as serious as invading them’. For to </w:t>
      </w:r>
      <w:r w:rsidRPr="00350F12">
        <w:rPr>
          <w:i/>
          <w:iCs/>
        </w:rPr>
        <w:t xml:space="preserve">invade </w:t>
      </w:r>
      <w:r w:rsidRPr="00350F12">
        <w:t xml:space="preserve">a right is to affront human dignity or treat certain citizens as less worthy of respect than others, while to </w:t>
      </w:r>
      <w:r w:rsidRPr="00350F12">
        <w:rPr>
          <w:i/>
          <w:iCs/>
        </w:rPr>
        <w:t xml:space="preserve">inflate </w:t>
      </w:r>
      <w:r w:rsidRPr="00350F12">
        <w:t>a right is simply to pay ‘a little more in social efficiency’</w:t>
      </w:r>
      <w:r>
        <w:rPr>
          <w:rStyle w:val="FootnoteReference"/>
        </w:rPr>
        <w:footnoteReference w:id="48"/>
      </w:r>
      <w:r w:rsidRPr="00350F12">
        <w:t xml:space="preserve"> than the government </w:t>
      </w:r>
      <w:r w:rsidRPr="00350F12">
        <w:rPr>
          <w:i/>
          <w:iCs/>
        </w:rPr>
        <w:t xml:space="preserve">already </w:t>
      </w:r>
      <w:r w:rsidRPr="00350F12">
        <w:t>has to pay in allowing the right at all. Thus, for Dworkin, if one asserts a ‘trump’ right, ordinary counter-arguments about a decrease in the welfare of society as a whole are simply irrelevant.</w:t>
      </w:r>
    </w:p>
    <w:p w:rsidR="00BB590E" w:rsidRPr="00226954" w:rsidRDefault="00350F12" w:rsidP="00350F12">
      <w:pPr>
        <w:spacing w:line="480" w:lineRule="auto"/>
        <w:ind w:firstLine="360"/>
        <w:jc w:val="both"/>
      </w:pPr>
      <w:r w:rsidRPr="00350F12">
        <w:t>In what circumstances, then, may a strong individual right be overridden? Dworkin has argued</w:t>
      </w:r>
      <w:r>
        <w:rPr>
          <w:rStyle w:val="FootnoteReference"/>
        </w:rPr>
        <w:footnoteReference w:id="49"/>
      </w:r>
      <w:r w:rsidRPr="00350F12">
        <w:t xml:space="preserve"> that there are three general justifications for infringement and these appear to be general</w:t>
      </w:r>
      <w:r>
        <w:t xml:space="preserve">ly accepted by liberal thought. </w:t>
      </w:r>
      <w:r w:rsidR="00BB590E" w:rsidRPr="00226954">
        <w:t xml:space="preserve">This section will </w:t>
      </w:r>
      <w:r w:rsidR="00880FC9">
        <w:t xml:space="preserve">consider </w:t>
      </w:r>
      <w:r w:rsidR="00E53A76">
        <w:t xml:space="preserve">the </w:t>
      </w:r>
      <w:r w:rsidR="00BB590E" w:rsidRPr="00226954">
        <w:t>three common situations</w:t>
      </w:r>
      <w:r w:rsidR="00E53A76">
        <w:t xml:space="preserve"> in which rights may be ove</w:t>
      </w:r>
      <w:r w:rsidR="00880FC9">
        <w:t>r</w:t>
      </w:r>
      <w:r w:rsidR="00E53A76">
        <w:t>rid</w:t>
      </w:r>
      <w:r w:rsidR="00880FC9">
        <w:t>d</w:t>
      </w:r>
      <w:r w:rsidR="00E53A76">
        <w:t>en</w:t>
      </w:r>
      <w:r w:rsidR="00221AE4">
        <w:t>, but will indicate that Dworkin’s view as to resolution of clashes between rights and societal interests has not been fully accepted</w:t>
      </w:r>
      <w:r w:rsidR="00A90CFD" w:rsidRPr="00226954">
        <w:t>.</w:t>
      </w:r>
      <w:r w:rsidR="00BB590E" w:rsidRPr="00226954">
        <w:t xml:space="preserve"> </w:t>
      </w:r>
      <w:r w:rsidR="00A90CFD" w:rsidRPr="00226954">
        <w:t>F</w:t>
      </w:r>
      <w:r w:rsidR="00BB590E" w:rsidRPr="00226954">
        <w:t xml:space="preserve">irstly, </w:t>
      </w:r>
      <w:r w:rsidR="00A90CFD" w:rsidRPr="00226954">
        <w:t xml:space="preserve">there are clash of rights situations in </w:t>
      </w:r>
      <w:r w:rsidR="00BB590E" w:rsidRPr="00226954">
        <w:t>wh</w:t>
      </w:r>
      <w:r w:rsidR="00A90CFD" w:rsidRPr="00226954">
        <w:t>ich</w:t>
      </w:r>
      <w:r w:rsidR="00BB590E" w:rsidRPr="00226954">
        <w:t xml:space="preserve"> </w:t>
      </w:r>
      <w:r w:rsidR="00A90CFD" w:rsidRPr="00226954">
        <w:t xml:space="preserve">a state’s right-based </w:t>
      </w:r>
      <w:r w:rsidR="00BB590E" w:rsidRPr="00226954">
        <w:t>duty conflicts with another duty under a conflicting claim-right</w:t>
      </w:r>
      <w:r w:rsidR="00A90CFD" w:rsidRPr="00226954">
        <w:t>. S</w:t>
      </w:r>
      <w:r w:rsidR="00BB590E" w:rsidRPr="00226954">
        <w:t xml:space="preserve">econdly, </w:t>
      </w:r>
      <w:r w:rsidR="00A90CFD" w:rsidRPr="00226954">
        <w:t xml:space="preserve">there is the situation in which its </w:t>
      </w:r>
      <w:r w:rsidR="00BB590E" w:rsidRPr="00226954">
        <w:t>duty conflicts with another duty under a conflicting non-rights-</w:t>
      </w:r>
      <w:r w:rsidR="00BB590E" w:rsidRPr="00226954">
        <w:lastRenderedPageBreak/>
        <w:t>requirement</w:t>
      </w:r>
      <w:r w:rsidR="00A90CFD" w:rsidRPr="00226954">
        <w:t xml:space="preserve"> (</w:t>
      </w:r>
      <w:proofErr w:type="spellStart"/>
      <w:r w:rsidR="00A90CFD" w:rsidRPr="00226954">
        <w:t>ie</w:t>
      </w:r>
      <w:proofErr w:type="spellEnd"/>
      <w:r w:rsidR="00A90CFD" w:rsidRPr="00226954">
        <w:t xml:space="preserve"> a societal interest such as the protection of national security). T</w:t>
      </w:r>
      <w:r w:rsidR="00BB590E" w:rsidRPr="00226954">
        <w:t xml:space="preserve">hirdly </w:t>
      </w:r>
      <w:r w:rsidR="00A90CFD" w:rsidRPr="00226954">
        <w:t xml:space="preserve">a situation may arise in which </w:t>
      </w:r>
      <w:r w:rsidR="00E55BB5" w:rsidRPr="00226954">
        <w:t>the state</w:t>
      </w:r>
      <w:r w:rsidR="00BB590E" w:rsidRPr="00226954">
        <w:t xml:space="preserve"> is unable to fulfil </w:t>
      </w:r>
      <w:r w:rsidR="00E55BB5" w:rsidRPr="00226954">
        <w:t xml:space="preserve">its </w:t>
      </w:r>
      <w:r w:rsidR="00BB590E" w:rsidRPr="00226954">
        <w:t xml:space="preserve">duty </w:t>
      </w:r>
      <w:r w:rsidR="00E55BB5" w:rsidRPr="00226954">
        <w:t>because it lacks the resources to do so</w:t>
      </w:r>
      <w:r w:rsidR="00BB590E" w:rsidRPr="00226954">
        <w:t>.</w:t>
      </w:r>
    </w:p>
    <w:p w:rsidR="00BB590E" w:rsidRPr="00226954" w:rsidRDefault="00BB590E" w:rsidP="003657E8">
      <w:pPr>
        <w:spacing w:line="480" w:lineRule="auto"/>
        <w:ind w:firstLine="720"/>
        <w:jc w:val="both"/>
      </w:pPr>
      <w:r w:rsidRPr="00226954">
        <w:t>Before considering the operation of human claim-rights in these situations it is useful to consider a preliminary point</w:t>
      </w:r>
      <w:r w:rsidR="00880FC9">
        <w:t xml:space="preserve"> </w:t>
      </w:r>
      <w:r w:rsidR="00880FC9" w:rsidRPr="00226954">
        <w:t>briefly</w:t>
      </w:r>
      <w:r w:rsidRPr="00226954">
        <w:t xml:space="preserve">. Does a respondent </w:t>
      </w:r>
      <w:r w:rsidR="008141CA" w:rsidRPr="00226954">
        <w:t xml:space="preserve">state </w:t>
      </w:r>
      <w:r w:rsidRPr="00226954">
        <w:t xml:space="preserve">retain </w:t>
      </w:r>
      <w:r w:rsidR="008141CA" w:rsidRPr="00226954">
        <w:t>its</w:t>
      </w:r>
      <w:r w:rsidRPr="00226954">
        <w:t xml:space="preserve"> obligation even if </w:t>
      </w:r>
      <w:r w:rsidR="008141CA" w:rsidRPr="00226954">
        <w:t>it</w:t>
      </w:r>
      <w:r w:rsidRPr="00226954">
        <w:t xml:space="preserve"> is unable to fulfil it? A maxim of practical ethics is that </w:t>
      </w:r>
      <w:proofErr w:type="gramStart"/>
      <w:r w:rsidRPr="00226954">
        <w:t>‘ought</w:t>
      </w:r>
      <w:proofErr w:type="gramEnd"/>
      <w:r w:rsidRPr="00226954">
        <w:t xml:space="preserve"> implies can,’</w:t>
      </w:r>
      <w:r w:rsidRPr="00226954">
        <w:rPr>
          <w:rStyle w:val="FootnoteReference"/>
        </w:rPr>
        <w:footnoteReference w:id="50"/>
      </w:r>
      <w:r w:rsidRPr="00226954">
        <w:t xml:space="preserve"> by which is meant that an impossible to fulfil requirement cannot be a moral requirement. Th</w:t>
      </w:r>
      <w:r w:rsidR="008141CA" w:rsidRPr="00226954">
        <w:t>at</w:t>
      </w:r>
      <w:r w:rsidRPr="00226954">
        <w:t xml:space="preserve"> is because a moral requirement fundamentally refers to an individual able to exercise a capacity to act that he currently possesses. Human claim-rights</w:t>
      </w:r>
      <w:r w:rsidR="00E55BB5" w:rsidRPr="00226954">
        <w:t xml:space="preserve"> </w:t>
      </w:r>
      <w:r w:rsidRPr="00226954">
        <w:t>must respect this maxim</w:t>
      </w:r>
      <w:r w:rsidR="00E55BB5" w:rsidRPr="00226954">
        <w:t xml:space="preserve"> if they are to be rationally defensible as practical requirements</w:t>
      </w:r>
      <w:r w:rsidR="00DB5994" w:rsidRPr="00226954">
        <w:t xml:space="preserve">, and therefore modern Treaties of human rights </w:t>
      </w:r>
      <w:r w:rsidR="008E47D9" w:rsidRPr="00226954">
        <w:t>include</w:t>
      </w:r>
      <w:r w:rsidR="00DB5994" w:rsidRPr="00226954">
        <w:t xml:space="preserve"> limitations on certain rights</w:t>
      </w:r>
      <w:r w:rsidR="003657E8" w:rsidRPr="00226954">
        <w:t>.</w:t>
      </w:r>
      <w:r w:rsidRPr="00226954">
        <w:t xml:space="preserve"> </w:t>
      </w:r>
      <w:r w:rsidR="00DB5994" w:rsidRPr="00226954">
        <w:t>For example, Article 8 (ECHR) sets out the right to respect for private and family life in the first paragraph, but accepts that a public authority may justifiably interfere with an individual’s right where that interference is prescribed by law and is “necessary in a democratic society” to protect the rights of others or to secure various important public interests (such as national security or health).</w:t>
      </w:r>
    </w:p>
    <w:p w:rsidR="00BB590E" w:rsidRPr="00226954" w:rsidRDefault="00CE13FD" w:rsidP="00BB590E">
      <w:pPr>
        <w:pStyle w:val="Heading3"/>
        <w:jc w:val="both"/>
        <w:rPr>
          <w:rFonts w:asciiTheme="minorHAnsi" w:hAnsiTheme="minorHAnsi"/>
        </w:rPr>
      </w:pPr>
      <w:r w:rsidRPr="00226954">
        <w:rPr>
          <w:rFonts w:asciiTheme="minorHAnsi" w:hAnsiTheme="minorHAnsi"/>
        </w:rPr>
        <w:t>2.4</w:t>
      </w:r>
      <w:r w:rsidR="00BB590E" w:rsidRPr="00226954">
        <w:rPr>
          <w:rFonts w:asciiTheme="minorHAnsi" w:hAnsiTheme="minorHAnsi"/>
        </w:rPr>
        <w:t>.1 Conflicts between rights</w:t>
      </w:r>
    </w:p>
    <w:p w:rsidR="00BB590E" w:rsidRPr="00226954" w:rsidRDefault="00BB590E" w:rsidP="00BB590E">
      <w:pPr>
        <w:spacing w:line="480" w:lineRule="auto"/>
        <w:jc w:val="both"/>
      </w:pPr>
    </w:p>
    <w:p w:rsidR="004D067B" w:rsidRDefault="00BB590E" w:rsidP="00BB590E">
      <w:pPr>
        <w:spacing w:line="480" w:lineRule="auto"/>
        <w:jc w:val="both"/>
      </w:pPr>
      <w:r w:rsidRPr="00226954">
        <w:t>Rights</w:t>
      </w:r>
      <w:r w:rsidR="00880FC9">
        <w:t xml:space="preserve"> </w:t>
      </w:r>
      <w:r w:rsidRPr="00226954">
        <w:t xml:space="preserve">conflict occurs where there is a clear competing individual claim, so that the exercise of the original right will directly infringe the competing right. </w:t>
      </w:r>
      <w:r w:rsidR="00EC7E41">
        <w:t>A</w:t>
      </w:r>
      <w:r w:rsidRPr="00226954">
        <w:t xml:space="preserve"> paradigmatic example of such a collision of rights</w:t>
      </w:r>
      <w:r w:rsidR="00EC7E41">
        <w:t>, considered in Chapter 11,</w:t>
      </w:r>
      <w:r w:rsidRPr="00226954">
        <w:t xml:space="preserve"> </w:t>
      </w:r>
      <w:r w:rsidR="00EC7E41" w:rsidRPr="00226954">
        <w:t xml:space="preserve">arises </w:t>
      </w:r>
      <w:r w:rsidRPr="00226954">
        <w:t>where one individual (</w:t>
      </w:r>
      <w:proofErr w:type="spellStart"/>
      <w:r w:rsidRPr="00226954">
        <w:t>eg</w:t>
      </w:r>
      <w:proofErr w:type="spellEnd"/>
      <w:r w:rsidRPr="00226954">
        <w:t xml:space="preserve"> Albert</w:t>
      </w:r>
      <w:r w:rsidR="00EC7E41">
        <w:t xml:space="preserve"> as a newspaper editor</w:t>
      </w:r>
      <w:r w:rsidRPr="00226954">
        <w:t xml:space="preserve">) exercises his right of free speech to </w:t>
      </w:r>
      <w:r w:rsidR="008141CA" w:rsidRPr="00226954">
        <w:t>invade</w:t>
      </w:r>
      <w:r w:rsidRPr="00226954">
        <w:t xml:space="preserve"> the right to privacy of another (</w:t>
      </w:r>
      <w:proofErr w:type="spellStart"/>
      <w:r w:rsidRPr="00226954">
        <w:t>eg</w:t>
      </w:r>
      <w:proofErr w:type="spellEnd"/>
      <w:r w:rsidRPr="00226954">
        <w:t xml:space="preserve"> Brenda). Another is where Albert uses his right to free speech to incite violence against Brenda, thus infringing her right to security of the person. In such cases rights theorists divide as to the way in which this conflict could be resolved. On </w:t>
      </w:r>
      <w:r w:rsidR="007708CA">
        <w:t xml:space="preserve">the most commonly held </w:t>
      </w:r>
      <w:r w:rsidRPr="00226954">
        <w:t xml:space="preserve">view it may be possible to resolve the conflict by </w:t>
      </w:r>
      <w:r w:rsidRPr="00226954">
        <w:lastRenderedPageBreak/>
        <w:t>undertaking a balancing act between the two rights based on proportionality,</w:t>
      </w:r>
      <w:r w:rsidR="008141CA" w:rsidRPr="00226954">
        <w:rPr>
          <w:rStyle w:val="FootnoteReference"/>
        </w:rPr>
        <w:footnoteReference w:id="51"/>
      </w:r>
      <w:r w:rsidRPr="00226954">
        <w:t xml:space="preserve"> the result of which is determined by reference to the rule/principle justifying the existence of the right. This may be termed the conflict view of rights.</w:t>
      </w:r>
      <w:r w:rsidR="00DC127F">
        <w:rPr>
          <w:rStyle w:val="FootnoteReference"/>
        </w:rPr>
        <w:footnoteReference w:id="52"/>
      </w:r>
      <w:r w:rsidRPr="00226954">
        <w:t xml:space="preserve"> </w:t>
      </w:r>
      <w:r w:rsidR="00EB54D5">
        <w:t xml:space="preserve">In most of the instance of a clash of rights covered in this </w:t>
      </w:r>
      <w:proofErr w:type="gramStart"/>
      <w:r w:rsidR="00EB54D5">
        <w:t>book, that</w:t>
      </w:r>
      <w:proofErr w:type="gramEnd"/>
      <w:r w:rsidR="00EB54D5">
        <w:t xml:space="preserve"> is the way that the conflict is resolved.</w:t>
      </w:r>
      <w:r w:rsidR="00EB54D5">
        <w:rPr>
          <w:rStyle w:val="FootnoteReference"/>
        </w:rPr>
        <w:footnoteReference w:id="53"/>
      </w:r>
      <w:r w:rsidR="00EB54D5">
        <w:t xml:space="preserve"> </w:t>
      </w:r>
    </w:p>
    <w:p w:rsidR="00221AE4" w:rsidRDefault="003B7232" w:rsidP="003B7232">
      <w:pPr>
        <w:spacing w:line="480" w:lineRule="auto"/>
        <w:ind w:firstLine="720"/>
        <w:jc w:val="both"/>
      </w:pPr>
      <w:r w:rsidRPr="00786172">
        <w:t xml:space="preserve">If avoidance of conflict was impossible, a determination might be made as to the damage inflicted on each right if the other </w:t>
      </w:r>
      <w:r>
        <w:t>is</w:t>
      </w:r>
      <w:r w:rsidRPr="00786172">
        <w:t xml:space="preserve"> allowed to prevail. In the case of incitement to violence, the damage inflicted if free speech was allowed to prevail might be almost irretrievable, since the group affected might be placed at great risk for a period of time. In contrast, the damage to free speech created by avoidance of the risk might be of a lesser nature, although undesirable: the speech could be uttered in another form or another forum, so that its meaning was not lost, but it was rendered less inflammatory. Alternatively, utterance of the speech could be delayed until the situation had become less volatile. The words advocating immediate violence might be perceived as outside the area of protected speech and so might be severed from the accompanying words which could be permitted.</w:t>
      </w:r>
    </w:p>
    <w:p w:rsidR="00BB590E" w:rsidRPr="00226954" w:rsidRDefault="00BB590E" w:rsidP="00BB590E">
      <w:pPr>
        <w:spacing w:line="480" w:lineRule="auto"/>
        <w:jc w:val="both"/>
      </w:pPr>
      <w:r w:rsidRPr="00226954">
        <w:t xml:space="preserve">On another view the conflict </w:t>
      </w:r>
      <w:r w:rsidR="00E53A76">
        <w:t>can be</w:t>
      </w:r>
      <w:r w:rsidRPr="00226954">
        <w:t xml:space="preserve"> resolved by redefining the scope of the right, </w:t>
      </w:r>
      <w:r w:rsidR="00EB54D5">
        <w:t xml:space="preserve">or applying a limiting definition to its scope where a more expansive one could have been available, </w:t>
      </w:r>
      <w:r w:rsidRPr="00226954">
        <w:t xml:space="preserve">so that either Albert or Brenda are unable to claim that they can validly exercise their right in a way that infringes the other’s exercise of their right. The question of whose right is to be </w:t>
      </w:r>
      <w:r w:rsidR="00EB54D5">
        <w:t xml:space="preserve">non-expansively defined or </w:t>
      </w:r>
      <w:r w:rsidRPr="00226954">
        <w:t>redefined to allow for the other’s exercise can similarly be resolved by reference to the rule/principle justifying the existence of the right. This may be termed the non-conflict view of rights</w:t>
      </w:r>
      <w:r w:rsidR="00EB54D5">
        <w:t>,</w:t>
      </w:r>
      <w:r w:rsidR="00B007BD">
        <w:rPr>
          <w:rStyle w:val="FootnoteReference"/>
        </w:rPr>
        <w:footnoteReference w:id="54"/>
      </w:r>
      <w:r w:rsidR="00B007BD">
        <w:t xml:space="preserve"> </w:t>
      </w:r>
      <w:r w:rsidR="00EB54D5">
        <w:t>but it</w:t>
      </w:r>
      <w:r w:rsidR="004D067B">
        <w:t xml:space="preserve"> i</w:t>
      </w:r>
      <w:r w:rsidR="00EB54D5">
        <w:t xml:space="preserve">s rarely invoked in the </w:t>
      </w:r>
      <w:r w:rsidR="004D067B">
        <w:t xml:space="preserve">clash of rights </w:t>
      </w:r>
      <w:r w:rsidR="00EB54D5">
        <w:t>instances covered in this book</w:t>
      </w:r>
      <w:r w:rsidR="004D067B">
        <w:t xml:space="preserve">. </w:t>
      </w:r>
      <w:r w:rsidR="00BB389E">
        <w:t xml:space="preserve">Deploying a limiting redefinition of the scope of a right </w:t>
      </w:r>
      <w:r w:rsidR="004D067B">
        <w:t xml:space="preserve">is much more relevant to a potential clash between a right and a societal interest, considered below, where deploying </w:t>
      </w:r>
      <w:r w:rsidR="00BB389E">
        <w:t xml:space="preserve">such </w:t>
      </w:r>
      <w:r w:rsidR="004D067B">
        <w:t xml:space="preserve">a redefinition allows the </w:t>
      </w:r>
      <w:r w:rsidR="004D067B">
        <w:lastRenderedPageBreak/>
        <w:t>societal interest to prevail</w:t>
      </w:r>
      <w:r w:rsidR="00EB54D5">
        <w:t>.</w:t>
      </w:r>
      <w:r w:rsidR="004D067B">
        <w:rPr>
          <w:rStyle w:val="FootnoteReference"/>
        </w:rPr>
        <w:footnoteReference w:id="55"/>
      </w:r>
      <w:r w:rsidR="00EB54D5">
        <w:t xml:space="preserve"> </w:t>
      </w:r>
      <w:r w:rsidR="00B47FCE">
        <w:t xml:space="preserve">That may </w:t>
      </w:r>
      <w:r w:rsidR="00B47FCE" w:rsidRPr="00226954">
        <w:t>occur in relation to human rights that are expressed as absolute requirements (</w:t>
      </w:r>
      <w:proofErr w:type="spellStart"/>
      <w:r w:rsidR="00B47FCE" w:rsidRPr="00226954">
        <w:t>eg</w:t>
      </w:r>
      <w:proofErr w:type="spellEnd"/>
      <w:r w:rsidR="00B47FCE" w:rsidRPr="00226954">
        <w:t xml:space="preserve"> Article 3 ECHR, the prohibition on torture).</w:t>
      </w:r>
      <w:r w:rsidR="00B47FCE" w:rsidRPr="00226954">
        <w:rPr>
          <w:rStyle w:val="FootnoteReference"/>
        </w:rPr>
        <w:footnoteReference w:id="56"/>
      </w:r>
    </w:p>
    <w:p w:rsidR="00BB389E" w:rsidRDefault="00BB389E" w:rsidP="00BB590E">
      <w:pPr>
        <w:spacing w:after="0" w:line="480" w:lineRule="auto"/>
        <w:ind w:firstLine="720"/>
        <w:jc w:val="both"/>
      </w:pPr>
    </w:p>
    <w:p w:rsidR="00BB590E" w:rsidRPr="00226954" w:rsidRDefault="00BB590E" w:rsidP="00BB590E">
      <w:pPr>
        <w:spacing w:after="0" w:line="480" w:lineRule="auto"/>
        <w:ind w:firstLine="720"/>
        <w:jc w:val="both"/>
      </w:pPr>
      <w:r w:rsidRPr="00226954">
        <w:t xml:space="preserve">However, the influence of </w:t>
      </w:r>
      <w:r w:rsidR="00BB389E" w:rsidRPr="00226954">
        <w:t xml:space="preserve">a non-conflict view of rights </w:t>
      </w:r>
      <w:r w:rsidRPr="00226954">
        <w:t xml:space="preserve">can be </w:t>
      </w:r>
      <w:r w:rsidR="00B47FCE">
        <w:t>discerned</w:t>
      </w:r>
      <w:r w:rsidRPr="00226954">
        <w:t xml:space="preserve"> when courts adopt strategies to </w:t>
      </w:r>
      <w:r w:rsidR="00B47FCE">
        <w:t xml:space="preserve">find that in the instant case the values underlying the right in question are not fully at stake. This </w:t>
      </w:r>
      <w:r w:rsidRPr="00226954">
        <w:t>strategy find</w:t>
      </w:r>
      <w:r w:rsidR="00B47FCE">
        <w:t>s</w:t>
      </w:r>
      <w:r w:rsidRPr="00226954">
        <w:t xml:space="preserve"> that rights have a ‘core’, the invasion of which will constitute an actual overriding of the right which cannot be tolerated, but they also have a ‘penumbra’ – an area in which the value the right protects is present only in a weaker form.</w:t>
      </w:r>
      <w:r w:rsidRPr="00226954">
        <w:rPr>
          <w:rStyle w:val="FootnoteReference"/>
        </w:rPr>
        <w:footnoteReference w:id="57"/>
      </w:r>
      <w:r w:rsidRPr="00226954">
        <w:t xml:space="preserve"> An invasion of the penumbra may be said to constitute only an </w:t>
      </w:r>
      <w:r w:rsidRPr="00226954">
        <w:rPr>
          <w:i/>
          <w:iCs/>
        </w:rPr>
        <w:t xml:space="preserve">infringement </w:t>
      </w:r>
      <w:r w:rsidRPr="00226954">
        <w:t>of the right and may therefore be more readily justified</w:t>
      </w:r>
      <w:r w:rsidR="001F2712">
        <w:t>, whether in relation to a clash with another right or with a societal interest</w:t>
      </w:r>
      <w:r w:rsidRPr="00226954">
        <w:t>. The argument that commercial speech should not be afforded the same protection as other kinds of speech would appear to rest precisely on the argument that it is in the penumbra of free speech;</w:t>
      </w:r>
      <w:r w:rsidRPr="00226954">
        <w:rPr>
          <w:rStyle w:val="FootnoteReference"/>
        </w:rPr>
        <w:footnoteReference w:id="58"/>
      </w:r>
      <w:r w:rsidRPr="00226954">
        <w:t xml:space="preserve"> by contrast, political speech is clearly in the ‘core’ of free speech.</w:t>
      </w:r>
      <w:r w:rsidRPr="00226954">
        <w:rPr>
          <w:rStyle w:val="FootnoteReference"/>
        </w:rPr>
        <w:footnoteReference w:id="59"/>
      </w:r>
      <w:r w:rsidR="001F2712">
        <w:t xml:space="preserve"> Clashes between Article 8 (the right to respect for private life) and Article 10 protecting freedom of expression have been resolved by finding that celebrity gossip in newspapers – </w:t>
      </w:r>
      <w:proofErr w:type="spellStart"/>
      <w:r w:rsidR="001F2712">
        <w:t>ie</w:t>
      </w:r>
      <w:proofErr w:type="spellEnd"/>
      <w:r w:rsidR="001F2712">
        <w:t xml:space="preserve"> privacy-invading expression – is not in the core of free expression since it has very little speech-value.</w:t>
      </w:r>
      <w:r w:rsidR="001F2712">
        <w:rPr>
          <w:rStyle w:val="FootnoteReference"/>
        </w:rPr>
        <w:footnoteReference w:id="60"/>
      </w:r>
      <w:r w:rsidR="001F2712">
        <w:t xml:space="preserve"> Therefore while Articles 8 and 10 are balanced against each other in such a situation, the Article 10-based argument will tend to be quite readily overcome. </w:t>
      </w:r>
    </w:p>
    <w:p w:rsidR="00BB590E" w:rsidRPr="00226954" w:rsidRDefault="00BB590E" w:rsidP="00BB590E">
      <w:pPr>
        <w:spacing w:line="480" w:lineRule="auto"/>
        <w:jc w:val="both"/>
        <w:rPr>
          <w:i/>
          <w:iCs/>
        </w:rPr>
      </w:pPr>
    </w:p>
    <w:p w:rsidR="00BB590E" w:rsidRPr="00226954" w:rsidRDefault="00CE13FD" w:rsidP="00BB590E">
      <w:pPr>
        <w:pStyle w:val="Heading3"/>
        <w:jc w:val="both"/>
        <w:rPr>
          <w:rFonts w:asciiTheme="minorHAnsi" w:hAnsiTheme="minorHAnsi"/>
        </w:rPr>
      </w:pPr>
      <w:r w:rsidRPr="00226954">
        <w:rPr>
          <w:rFonts w:asciiTheme="minorHAnsi" w:hAnsiTheme="minorHAnsi"/>
        </w:rPr>
        <w:t>2.4</w:t>
      </w:r>
      <w:r w:rsidR="00BB590E" w:rsidRPr="00226954">
        <w:rPr>
          <w:rFonts w:asciiTheme="minorHAnsi" w:hAnsiTheme="minorHAnsi"/>
        </w:rPr>
        <w:t xml:space="preserve">.2 Conflicts between rights and </w:t>
      </w:r>
      <w:r w:rsidR="00E72AC7">
        <w:rPr>
          <w:rFonts w:asciiTheme="minorHAnsi" w:hAnsiTheme="minorHAnsi"/>
        </w:rPr>
        <w:t>societal interests</w:t>
      </w:r>
      <w:r w:rsidR="00BB590E" w:rsidRPr="00226954">
        <w:rPr>
          <w:rFonts w:asciiTheme="minorHAnsi" w:hAnsiTheme="minorHAnsi"/>
        </w:rPr>
        <w:t xml:space="preserve"> </w:t>
      </w:r>
    </w:p>
    <w:p w:rsidR="00BB590E" w:rsidRPr="00226954" w:rsidRDefault="00BB590E" w:rsidP="00BB590E">
      <w:pPr>
        <w:spacing w:line="480" w:lineRule="auto"/>
        <w:jc w:val="both"/>
      </w:pPr>
    </w:p>
    <w:p w:rsidR="00EC7E41" w:rsidRDefault="00BB590E" w:rsidP="00BB590E">
      <w:pPr>
        <w:spacing w:line="480" w:lineRule="auto"/>
        <w:jc w:val="both"/>
      </w:pPr>
      <w:r w:rsidRPr="00226954">
        <w:t xml:space="preserve">The operation of rights-requirements in practice </w:t>
      </w:r>
      <w:r w:rsidR="003D490E">
        <w:t xml:space="preserve">will frequently </w:t>
      </w:r>
      <w:r w:rsidRPr="00226954">
        <w:t xml:space="preserve">involve conflict with other non-rights-based requirements, particularly important matters of public policy. An obvious instance </w:t>
      </w:r>
      <w:r w:rsidR="008141CA" w:rsidRPr="00226954">
        <w:t>ar</w:t>
      </w:r>
      <w:r w:rsidRPr="00226954">
        <w:t>is</w:t>
      </w:r>
      <w:r w:rsidR="008141CA" w:rsidRPr="00226954">
        <w:t>es</w:t>
      </w:r>
      <w:r w:rsidRPr="00226954">
        <w:t xml:space="preserve"> where the exercise of a right may pose a real danger to society. </w:t>
      </w:r>
      <w:r w:rsidR="00791A1D" w:rsidRPr="00786172">
        <w:t>In such instances, liberals are unwilling to take danger to mean danger to some abstract attribute to society, such as its moral health</w:t>
      </w:r>
      <w:proofErr w:type="gramStart"/>
      <w:r w:rsidR="00791A1D" w:rsidRPr="00786172">
        <w:t>,</w:t>
      </w:r>
      <w:r w:rsidR="00791A1D" w:rsidRPr="00786172">
        <w:rPr>
          <w:vertAlign w:val="superscript"/>
        </w:rPr>
        <w:t>35</w:t>
      </w:r>
      <w:proofErr w:type="gramEnd"/>
      <w:r w:rsidR="00791A1D" w:rsidRPr="00786172">
        <w:t xml:space="preserve"> but rather insist that the danger must ultimately amount to a threat to some concrete aspect of its citizens’ well-being. Thus, typically, liberals are hostile to characterising the likelihood of shocking or offending citizens as a concrete harm justifying the suppression of the right of free speech. Dworkin’s own rather unrealistically stringent, test is that the ‘risk to society’ justification for overriding rights is only made out if the state demonstrates ‘a clear and substantial risk’ that exercise of the right ‘will do great damage to the person or property of others’.</w:t>
      </w:r>
      <w:r w:rsidR="00791A1D" w:rsidRPr="00786172">
        <w:rPr>
          <w:vertAlign w:val="superscript"/>
        </w:rPr>
        <w:t>36</w:t>
      </w:r>
      <w:r w:rsidR="00791A1D" w:rsidRPr="00786172">
        <w:t xml:space="preserve"> It seems unlikely that governments would be prepared to accept such a test; the criterion laid down, for example, by the European Court of Human Rights for curtailing the right of free expression as set out in Art 10 does not even approach Dworkin’s prescription in either stringency or clarity; instead, it has adopted the somewhat weak and uncertain phrase, ‘a pressing social need’.</w:t>
      </w:r>
      <w:r w:rsidR="00791A1D" w:rsidRPr="00786172">
        <w:rPr>
          <w:vertAlign w:val="superscript"/>
        </w:rPr>
        <w:t>37</w:t>
      </w:r>
      <w:r w:rsidR="00791A1D" w:rsidRPr="00786172">
        <w:t xml:space="preserve"> Dworkin’s rights analysis should not, therefore, be taken as a description of the way rights and liberties are </w:t>
      </w:r>
      <w:r w:rsidR="00791A1D" w:rsidRPr="00786172">
        <w:rPr>
          <w:i/>
          <w:iCs/>
        </w:rPr>
        <w:t xml:space="preserve">actually </w:t>
      </w:r>
      <w:r w:rsidR="00791A1D" w:rsidRPr="00786172">
        <w:t>treated in the UK</w:t>
      </w:r>
      <w:r w:rsidR="00791A1D">
        <w:t xml:space="preserve"> under the ECHR.</w:t>
      </w:r>
    </w:p>
    <w:p w:rsidR="00455F9F" w:rsidRDefault="00455F9F" w:rsidP="00791A1D">
      <w:pPr>
        <w:spacing w:line="480" w:lineRule="auto"/>
        <w:ind w:firstLine="720"/>
        <w:jc w:val="both"/>
      </w:pPr>
      <w:r w:rsidRPr="00226954">
        <w:t xml:space="preserve">The rights-as-trumps view finds that it is only meaningful to describe </w:t>
      </w:r>
      <w:r>
        <w:t>an individual</w:t>
      </w:r>
      <w:r w:rsidRPr="00226954">
        <w:t xml:space="preserve"> as having </w:t>
      </w:r>
      <w:proofErr w:type="gramStart"/>
      <w:r w:rsidRPr="00226954">
        <w:t>a</w:t>
      </w:r>
      <w:proofErr w:type="gramEnd"/>
      <w:r w:rsidRPr="00226954">
        <w:t xml:space="preserve"> right when the justification for his claim is a value that is fundamental to the legal system. The fundamental status of these values means that the legal system can only condone their abrogation when similarly fundamental values are at stake. This view is one that is associated with liberal political theory, since rights are individually oriented requirements, and thus when a society accepts that the protection of rights is among its fundamental legal values it has committed itself to </w:t>
      </w:r>
      <w:r w:rsidRPr="00226954">
        <w:lastRenderedPageBreak/>
        <w:t>demonstrating respect for the liberty of individuals.</w:t>
      </w:r>
      <w:r w:rsidR="00E2247F">
        <w:t xml:space="preserve"> However, the competing societal interest at stake may also relate in a general sense to the liberty, security and well-being of individuals in the society in question, even if it cannot be said </w:t>
      </w:r>
      <w:r w:rsidR="00304A01">
        <w:t xml:space="preserve">or is not claimed </w:t>
      </w:r>
      <w:r w:rsidR="00E2247F">
        <w:t>that a specific clash of rights is present.</w:t>
      </w:r>
      <w:r w:rsidR="007708CA">
        <w:rPr>
          <w:rStyle w:val="FootnoteReference"/>
        </w:rPr>
        <w:footnoteReference w:id="61"/>
      </w:r>
      <w:r w:rsidR="00E2247F">
        <w:t xml:space="preserve"> For example, a mass public protest may </w:t>
      </w:r>
      <w:r w:rsidR="007708CA">
        <w:t xml:space="preserve">significantly </w:t>
      </w:r>
      <w:r w:rsidR="00E2247F">
        <w:t xml:space="preserve">impede the use of the highway by passers-by; it may also be threatening or harassing to such persons. The use of anti-terrorist legislation may reduce the scope for terrorist attacks </w:t>
      </w:r>
      <w:r w:rsidR="007708CA">
        <w:t xml:space="preserve">putting lives at risk </w:t>
      </w:r>
      <w:r w:rsidR="00E2247F">
        <w:t>and may lead to a reduction in the use of security measures in a range of circumstances</w:t>
      </w:r>
      <w:r w:rsidR="002807DC">
        <w:t>, impeding free movement of persons generally.</w:t>
      </w:r>
      <w:r w:rsidR="00E2247F">
        <w:t xml:space="preserve"> </w:t>
      </w:r>
      <w:r w:rsidR="00EC7E41">
        <w:t>Refusal to rely on hearsay evidence where the victim-witness in question is too intimidated to come to court, or too badly injured to do so may be detrimental to the interests of that victim and potential victims.</w:t>
      </w:r>
      <w:r w:rsidR="00EC7E41">
        <w:rPr>
          <w:rStyle w:val="FootnoteReference"/>
        </w:rPr>
        <w:footnoteReference w:id="62"/>
      </w:r>
      <w:r w:rsidR="00EC7E41">
        <w:t xml:space="preserve"> </w:t>
      </w:r>
      <w:r w:rsidR="002807DC">
        <w:t xml:space="preserve">Thus respect for liberty in the society in general does not depend only on elevating respect for individual rights on the </w:t>
      </w:r>
      <w:proofErr w:type="spellStart"/>
      <w:r w:rsidR="002807DC">
        <w:t>Dworkinian</w:t>
      </w:r>
      <w:proofErr w:type="spellEnd"/>
      <w:r w:rsidR="002807DC">
        <w:t xml:space="preserve"> model above societal concerns that also relate to liberty.</w:t>
      </w:r>
    </w:p>
    <w:p w:rsidR="00BB590E" w:rsidRPr="00226954" w:rsidRDefault="00800935" w:rsidP="00A93172">
      <w:pPr>
        <w:spacing w:line="480" w:lineRule="auto"/>
        <w:ind w:firstLine="720"/>
        <w:jc w:val="both"/>
      </w:pPr>
      <w:r>
        <w:t>Thus, t</w:t>
      </w:r>
      <w:r w:rsidR="00BB590E" w:rsidRPr="00226954">
        <w:t xml:space="preserve">he </w:t>
      </w:r>
      <w:proofErr w:type="gramStart"/>
      <w:r w:rsidR="00BB590E" w:rsidRPr="00226954">
        <w:t xml:space="preserve">approach to such conflicts </w:t>
      </w:r>
      <w:r>
        <w:t>under the ECHR, whether domestically under the HRA or at the Strasbourg Court, rely</w:t>
      </w:r>
      <w:proofErr w:type="gramEnd"/>
      <w:r>
        <w:t xml:space="preserve"> on </w:t>
      </w:r>
      <w:r w:rsidR="00BB590E" w:rsidRPr="00226954">
        <w:t xml:space="preserve">balancing/proportionality approaches </w:t>
      </w:r>
      <w:r w:rsidR="00455F9F">
        <w:t xml:space="preserve">rather than the </w:t>
      </w:r>
      <w:r w:rsidR="00BB590E" w:rsidRPr="00226954">
        <w:t xml:space="preserve">more absolutist </w:t>
      </w:r>
      <w:proofErr w:type="spellStart"/>
      <w:r w:rsidR="00455F9F">
        <w:t>Dworkinian</w:t>
      </w:r>
      <w:proofErr w:type="spellEnd"/>
      <w:r w:rsidR="00455F9F">
        <w:t xml:space="preserve"> </w:t>
      </w:r>
      <w:r w:rsidR="00BB590E" w:rsidRPr="00226954">
        <w:t xml:space="preserve">approach. The view </w:t>
      </w:r>
      <w:r w:rsidR="00455F9F">
        <w:t xml:space="preserve">taken </w:t>
      </w:r>
      <w:r w:rsidR="00BB590E" w:rsidRPr="00226954">
        <w:t xml:space="preserve">is that rights should be treated as particularly weighty requirements, but that sometimes public policy </w:t>
      </w:r>
      <w:r w:rsidR="00455F9F">
        <w:t xml:space="preserve">concerns can </w:t>
      </w:r>
      <w:r w:rsidR="00BB590E" w:rsidRPr="00226954">
        <w:t>outweigh the right</w:t>
      </w:r>
      <w:r w:rsidR="00DB4B78">
        <w:t>, as discussed in Chapter 2.</w:t>
      </w:r>
      <w:r w:rsidR="00BB590E" w:rsidRPr="00226954">
        <w:t xml:space="preserve"> </w:t>
      </w:r>
    </w:p>
    <w:p w:rsidR="00BB590E" w:rsidRPr="00226954" w:rsidRDefault="00BB590E" w:rsidP="00BB590E">
      <w:pPr>
        <w:spacing w:line="480" w:lineRule="auto"/>
        <w:ind w:firstLine="720"/>
        <w:jc w:val="both"/>
      </w:pPr>
      <w:r w:rsidRPr="00226954">
        <w:rPr>
          <w:i/>
        </w:rPr>
        <w:t xml:space="preserve">  </w:t>
      </w:r>
    </w:p>
    <w:p w:rsidR="00BB590E" w:rsidRPr="00226954" w:rsidRDefault="00CE13FD" w:rsidP="00BB590E">
      <w:pPr>
        <w:pStyle w:val="Heading3"/>
        <w:rPr>
          <w:rFonts w:asciiTheme="minorHAnsi" w:hAnsiTheme="minorHAnsi"/>
        </w:rPr>
      </w:pPr>
      <w:r w:rsidRPr="00226954">
        <w:rPr>
          <w:rFonts w:asciiTheme="minorHAnsi" w:hAnsiTheme="minorHAnsi"/>
        </w:rPr>
        <w:t>2.4</w:t>
      </w:r>
      <w:r w:rsidR="00BB590E" w:rsidRPr="00226954">
        <w:rPr>
          <w:rFonts w:asciiTheme="minorHAnsi" w:hAnsiTheme="minorHAnsi"/>
        </w:rPr>
        <w:t xml:space="preserve">.3 </w:t>
      </w:r>
      <w:r w:rsidR="00311C0D" w:rsidRPr="00226954">
        <w:rPr>
          <w:rFonts w:asciiTheme="minorHAnsi" w:hAnsiTheme="minorHAnsi"/>
        </w:rPr>
        <w:t xml:space="preserve">Respondent unable to fulfil duty </w:t>
      </w:r>
      <w:r w:rsidR="00500587">
        <w:rPr>
          <w:rFonts w:asciiTheme="minorHAnsi" w:hAnsiTheme="minorHAnsi"/>
        </w:rPr>
        <w:t>due to lack of resources</w:t>
      </w:r>
    </w:p>
    <w:p w:rsidR="00BB590E" w:rsidRPr="00226954" w:rsidRDefault="00BB590E" w:rsidP="00BB590E">
      <w:pPr>
        <w:jc w:val="both"/>
      </w:pPr>
    </w:p>
    <w:p w:rsidR="00BB590E" w:rsidRPr="00226954" w:rsidRDefault="00BB590E" w:rsidP="00BB590E">
      <w:pPr>
        <w:spacing w:after="0" w:line="480" w:lineRule="auto"/>
        <w:jc w:val="both"/>
      </w:pPr>
      <w:r w:rsidRPr="00226954">
        <w:t xml:space="preserve">A respondent </w:t>
      </w:r>
      <w:r w:rsidR="00311C0D" w:rsidRPr="00226954">
        <w:t xml:space="preserve">state </w:t>
      </w:r>
      <w:r w:rsidRPr="00226954">
        <w:t>may be able</w:t>
      </w:r>
      <w:r w:rsidRPr="00226954">
        <w:rPr>
          <w:i/>
        </w:rPr>
        <w:t xml:space="preserve"> </w:t>
      </w:r>
      <w:r w:rsidRPr="00226954">
        <w:t xml:space="preserve">to </w:t>
      </w:r>
      <w:r w:rsidR="00311C0D" w:rsidRPr="00226954">
        <w:t xml:space="preserve">respect an individual’s human claim-rights </w:t>
      </w:r>
      <w:r w:rsidRPr="00226954">
        <w:t xml:space="preserve">in </w:t>
      </w:r>
      <w:r w:rsidRPr="00226954">
        <w:rPr>
          <w:i/>
        </w:rPr>
        <w:t>isolation</w:t>
      </w:r>
      <w:r w:rsidRPr="00226954">
        <w:t xml:space="preserve">, but </w:t>
      </w:r>
      <w:r w:rsidR="00311C0D" w:rsidRPr="00226954">
        <w:t xml:space="preserve">a state such as the UK has </w:t>
      </w:r>
      <w:r w:rsidRPr="00226954">
        <w:t xml:space="preserve">many similar claims upon </w:t>
      </w:r>
      <w:r w:rsidR="00311C0D" w:rsidRPr="00226954">
        <w:t xml:space="preserve">its </w:t>
      </w:r>
      <w:r w:rsidRPr="00226954">
        <w:t>action</w:t>
      </w:r>
      <w:r w:rsidR="00202605">
        <w:t>s</w:t>
      </w:r>
      <w:r w:rsidRPr="00226954">
        <w:t xml:space="preserve"> and, in their totality, </w:t>
      </w:r>
      <w:r w:rsidR="00311C0D" w:rsidRPr="00226954">
        <w:t xml:space="preserve">the state may be </w:t>
      </w:r>
      <w:r w:rsidRPr="00226954">
        <w:t>unable to fulfil them.</w:t>
      </w:r>
      <w:r w:rsidR="00202605">
        <w:rPr>
          <w:rStyle w:val="FootnoteReference"/>
        </w:rPr>
        <w:footnoteReference w:id="63"/>
      </w:r>
      <w:r w:rsidRPr="00226954">
        <w:t xml:space="preserve"> It is therefore necessary in practice for </w:t>
      </w:r>
      <w:r w:rsidR="00311C0D" w:rsidRPr="00226954">
        <w:t xml:space="preserve">such a </w:t>
      </w:r>
      <w:r w:rsidRPr="00226954">
        <w:t xml:space="preserve">respondent to recognise a hierarchy of </w:t>
      </w:r>
      <w:r w:rsidRPr="00226954">
        <w:lastRenderedPageBreak/>
        <w:t>obligation</w:t>
      </w:r>
      <w:r w:rsidR="000E10DF" w:rsidRPr="00226954">
        <w:t>s</w:t>
      </w:r>
      <w:r w:rsidRPr="00226954">
        <w:t xml:space="preserve"> if </w:t>
      </w:r>
      <w:r w:rsidR="000E10DF" w:rsidRPr="00226954">
        <w:t>it</w:t>
      </w:r>
      <w:r w:rsidRPr="00226954">
        <w:t xml:space="preserve"> is to act to fulfil them. The nature of this hierarchy will depend upon the </w:t>
      </w:r>
      <w:r w:rsidRPr="00226954">
        <w:rPr>
          <w:i/>
        </w:rPr>
        <w:t xml:space="preserve">justification </w:t>
      </w:r>
      <w:r w:rsidRPr="00226954">
        <w:t xml:space="preserve">for the right, since </w:t>
      </w:r>
      <w:r w:rsidR="00974D1F" w:rsidRPr="00226954">
        <w:t>t</w:t>
      </w:r>
      <w:r w:rsidRPr="00226954">
        <w:t xml:space="preserve">he </w:t>
      </w:r>
      <w:r w:rsidR="00FC3A4A">
        <w:t xml:space="preserve">courts or legislative bodies </w:t>
      </w:r>
      <w:r w:rsidRPr="00226954">
        <w:t>must determine which obligations are more ‘weighty;’</w:t>
      </w:r>
      <w:r w:rsidR="00FC3A4A">
        <w:rPr>
          <w:rStyle w:val="FootnoteReference"/>
        </w:rPr>
        <w:footnoteReference w:id="64"/>
      </w:r>
      <w:r w:rsidRPr="00226954">
        <w:t xml:space="preserve"> such a determination requires an analysis of the relationship between the various obligations and their justifying basis.</w:t>
      </w:r>
    </w:p>
    <w:p w:rsidR="00BB590E" w:rsidRPr="00226954" w:rsidRDefault="00BB590E" w:rsidP="00BB590E">
      <w:pPr>
        <w:spacing w:after="0" w:line="480" w:lineRule="auto"/>
        <w:ind w:firstLine="720"/>
        <w:jc w:val="both"/>
      </w:pPr>
      <w:r w:rsidRPr="00226954">
        <w:t xml:space="preserve">The rights discussed in this book refer to state actors with extensive responsibilities and limited resources. The </w:t>
      </w:r>
      <w:r w:rsidRPr="00226954">
        <w:rPr>
          <w:i/>
        </w:rPr>
        <w:t>object</w:t>
      </w:r>
      <w:r w:rsidRPr="00226954">
        <w:t xml:space="preserve"> of these rights – even seemingly basic rights, such as the right to life – can require extensive action in certain situations. Furthermore, if a legal regime that respects these rights is to be administered effectively, then resources must be deployed to enable legal officials to prioritise the differing obligations. All of these considerations have resulted in a consensus among rights-theorists that </w:t>
      </w:r>
      <w:r w:rsidR="00311C0D" w:rsidRPr="00226954">
        <w:t>human claim-rights</w:t>
      </w:r>
      <w:r w:rsidRPr="00226954">
        <w:t xml:space="preserve"> must impose </w:t>
      </w:r>
      <w:r w:rsidRPr="00226954">
        <w:rPr>
          <w:i/>
        </w:rPr>
        <w:t xml:space="preserve">minimal </w:t>
      </w:r>
      <w:r w:rsidRPr="00226954">
        <w:t xml:space="preserve">or even entirely </w:t>
      </w:r>
      <w:r w:rsidRPr="00226954">
        <w:rPr>
          <w:i/>
        </w:rPr>
        <w:t>negative</w:t>
      </w:r>
      <w:r w:rsidRPr="00226954">
        <w:t xml:space="preserve"> obligations.</w:t>
      </w:r>
      <w:r w:rsidRPr="00226954">
        <w:rPr>
          <w:rStyle w:val="FootnoteReference"/>
        </w:rPr>
        <w:footnoteReference w:id="65"/>
      </w:r>
      <w:r w:rsidRPr="00226954">
        <w:t xml:space="preserve"> Negative obligations require individuals merely to </w:t>
      </w:r>
      <w:r w:rsidR="00974D1F" w:rsidRPr="00226954">
        <w:t xml:space="preserve">refrain from </w:t>
      </w:r>
      <w:r w:rsidRPr="00226954">
        <w:t>act</w:t>
      </w:r>
      <w:r w:rsidR="00974D1F" w:rsidRPr="00226954">
        <w:t>ing</w:t>
      </w:r>
      <w:r w:rsidRPr="00226954">
        <w:t xml:space="preserve"> to interfere with another’s right depending upon the justification advanced for its existence; they are contrasted with (minimal) positive</w:t>
      </w:r>
      <w:r w:rsidRPr="00226954">
        <w:rPr>
          <w:i/>
        </w:rPr>
        <w:t xml:space="preserve"> </w:t>
      </w:r>
      <w:r w:rsidRPr="00226954">
        <w:t>obligations that do require the state to secure the right by positive action</w:t>
      </w:r>
      <w:r w:rsidR="00202605">
        <w:t>, although not all obligations deemed ‘positive’ do require the expenditure of significant resources</w:t>
      </w:r>
      <w:r w:rsidRPr="00226954">
        <w:t>.</w:t>
      </w:r>
      <w:r w:rsidR="00202605">
        <w:rPr>
          <w:rStyle w:val="FootnoteReference"/>
        </w:rPr>
        <w:footnoteReference w:id="66"/>
      </w:r>
      <w:r w:rsidRPr="00226954">
        <w:t xml:space="preserve"> </w:t>
      </w:r>
    </w:p>
    <w:p w:rsidR="00BB590E" w:rsidRPr="00226954" w:rsidRDefault="00BB590E" w:rsidP="00BB590E">
      <w:pPr>
        <w:spacing w:after="0" w:line="480" w:lineRule="auto"/>
        <w:ind w:firstLine="720"/>
        <w:jc w:val="both"/>
      </w:pPr>
      <w:r w:rsidRPr="00226954">
        <w:t xml:space="preserve">A separate problem </w:t>
      </w:r>
      <w:r w:rsidR="00974D1F" w:rsidRPr="00226954">
        <w:t xml:space="preserve">in respect of </w:t>
      </w:r>
      <w:r w:rsidRPr="00226954">
        <w:t xml:space="preserve">positive obligations is raised by libertarian theorists. Libertarians consider that </w:t>
      </w:r>
      <w:r w:rsidR="00B75553" w:rsidRPr="00226954">
        <w:t>natural</w:t>
      </w:r>
      <w:r w:rsidRPr="00226954">
        <w:t xml:space="preserve"> rights exceed their justificatory basis when they require another to act to further the purposes of the rights-holder.</w:t>
      </w:r>
      <w:r w:rsidRPr="00226954">
        <w:rPr>
          <w:rStyle w:val="FootnoteReference"/>
        </w:rPr>
        <w:footnoteReference w:id="67"/>
      </w:r>
      <w:r w:rsidRPr="00226954">
        <w:t xml:space="preserve"> This view has not found purchase in European human rights law. The European approach reflects a social liberal approach that is closer to the views of theorists, such as </w:t>
      </w:r>
      <w:proofErr w:type="spellStart"/>
      <w:r w:rsidRPr="00226954">
        <w:t>Gewirth</w:t>
      </w:r>
      <w:proofErr w:type="spellEnd"/>
      <w:r w:rsidRPr="00226954">
        <w:t>, who do not recognise an absolute limitation on positive rights.</w:t>
      </w:r>
      <w:r w:rsidRPr="00226954">
        <w:rPr>
          <w:rStyle w:val="FootnoteReference"/>
        </w:rPr>
        <w:footnoteReference w:id="68"/>
      </w:r>
      <w:r w:rsidRPr="00226954">
        <w:t xml:space="preserve"> </w:t>
      </w:r>
    </w:p>
    <w:p w:rsidR="00BB590E" w:rsidRPr="00226954" w:rsidRDefault="00BB590E" w:rsidP="00BB590E">
      <w:pPr>
        <w:jc w:val="both"/>
      </w:pPr>
      <w:r w:rsidRPr="00226954">
        <w:t xml:space="preserve"> </w:t>
      </w:r>
    </w:p>
    <w:p w:rsidR="0044606D" w:rsidRPr="00226954" w:rsidRDefault="004C45EF" w:rsidP="005D3B28">
      <w:pPr>
        <w:pStyle w:val="Heading1"/>
        <w:jc w:val="both"/>
        <w:rPr>
          <w:rFonts w:asciiTheme="minorHAnsi" w:hAnsiTheme="minorHAnsi"/>
        </w:rPr>
      </w:pPr>
      <w:r w:rsidRPr="00226954">
        <w:rPr>
          <w:rFonts w:asciiTheme="minorHAnsi" w:hAnsiTheme="minorHAnsi"/>
        </w:rPr>
        <w:t>3</w:t>
      </w:r>
      <w:r w:rsidR="0044606D" w:rsidRPr="00226954">
        <w:rPr>
          <w:rFonts w:asciiTheme="minorHAnsi" w:hAnsiTheme="minorHAnsi"/>
        </w:rPr>
        <w:t xml:space="preserve"> </w:t>
      </w:r>
      <w:r w:rsidR="00E432AB">
        <w:rPr>
          <w:rFonts w:asciiTheme="minorHAnsi" w:hAnsiTheme="minorHAnsi"/>
        </w:rPr>
        <w:t>The</w:t>
      </w:r>
      <w:r w:rsidR="0044606D" w:rsidRPr="00226954">
        <w:rPr>
          <w:rFonts w:asciiTheme="minorHAnsi" w:hAnsiTheme="minorHAnsi"/>
        </w:rPr>
        <w:t xml:space="preserve"> justification</w:t>
      </w:r>
      <w:r w:rsidR="00E432AB">
        <w:rPr>
          <w:rFonts w:asciiTheme="minorHAnsi" w:hAnsiTheme="minorHAnsi"/>
        </w:rPr>
        <w:t>s</w:t>
      </w:r>
      <w:r w:rsidR="0044606D" w:rsidRPr="00226954">
        <w:rPr>
          <w:rFonts w:asciiTheme="minorHAnsi" w:hAnsiTheme="minorHAnsi"/>
        </w:rPr>
        <w:t xml:space="preserve"> for human rights </w:t>
      </w:r>
    </w:p>
    <w:p w:rsidR="0044606D" w:rsidRPr="00226954" w:rsidRDefault="0044606D" w:rsidP="005D3B28">
      <w:pPr>
        <w:jc w:val="both"/>
      </w:pPr>
    </w:p>
    <w:p w:rsidR="00197DAE" w:rsidRPr="00226954" w:rsidRDefault="00197DAE" w:rsidP="00DA7999">
      <w:pPr>
        <w:spacing w:line="480" w:lineRule="auto"/>
        <w:jc w:val="both"/>
      </w:pPr>
      <w:r w:rsidRPr="00226954">
        <w:lastRenderedPageBreak/>
        <w:t>This chapter will discuss the main</w:t>
      </w:r>
      <w:r w:rsidR="0021307A" w:rsidRPr="00226954">
        <w:t xml:space="preserve"> criticisms of, and</w:t>
      </w:r>
      <w:r w:rsidRPr="00226954">
        <w:t xml:space="preserve"> justifications for</w:t>
      </w:r>
      <w:r w:rsidR="00974D1F" w:rsidRPr="00226954">
        <w:t>,</w:t>
      </w:r>
      <w:r w:rsidRPr="00226954">
        <w:t xml:space="preserve"> the existence of a duty upon the state to protect </w:t>
      </w:r>
      <w:r w:rsidR="001D0E3A" w:rsidRPr="00226954">
        <w:t xml:space="preserve">human </w:t>
      </w:r>
      <w:r w:rsidRPr="00226954">
        <w:t xml:space="preserve">rights. </w:t>
      </w:r>
      <w:r w:rsidR="001D0E3A" w:rsidRPr="00226954">
        <w:t xml:space="preserve">The </w:t>
      </w:r>
      <w:r w:rsidR="0021307A" w:rsidRPr="00226954">
        <w:t xml:space="preserve">section </w:t>
      </w:r>
      <w:r w:rsidR="001D0E3A" w:rsidRPr="00226954">
        <w:t xml:space="preserve">will </w:t>
      </w:r>
      <w:r w:rsidR="0021307A" w:rsidRPr="00226954">
        <w:t xml:space="preserve">begin by setting out key criticisms of human rights from utilitarian, Marxist and critical legal studies perspectives. The chapter will then turn to the </w:t>
      </w:r>
      <w:r w:rsidR="00DA7999" w:rsidRPr="00226954">
        <w:t>justification for human rights</w:t>
      </w:r>
      <w:r w:rsidR="00B379B5">
        <w:t>; t</w:t>
      </w:r>
      <w:r w:rsidR="00DA7999" w:rsidRPr="00226954">
        <w:t>he position adopted will reflect the particular brand of political liberalism expounded by John Rawls and Ronald Dworkin, in so far as their theories converge.</w:t>
      </w:r>
    </w:p>
    <w:p w:rsidR="00CC7021" w:rsidRPr="00226954" w:rsidRDefault="00CC7021" w:rsidP="00CC7021">
      <w:pPr>
        <w:pStyle w:val="Heading2"/>
        <w:rPr>
          <w:rFonts w:asciiTheme="minorHAnsi" w:hAnsiTheme="minorHAnsi"/>
        </w:rPr>
      </w:pPr>
      <w:r w:rsidRPr="00226954">
        <w:rPr>
          <w:rFonts w:asciiTheme="minorHAnsi" w:hAnsiTheme="minorHAnsi"/>
        </w:rPr>
        <w:t xml:space="preserve">3.1 Opposition to </w:t>
      </w:r>
      <w:r w:rsidR="00B379B5">
        <w:rPr>
          <w:rFonts w:asciiTheme="minorHAnsi" w:hAnsiTheme="minorHAnsi"/>
        </w:rPr>
        <w:t xml:space="preserve">the liberal conception of </w:t>
      </w:r>
      <w:r w:rsidRPr="00226954">
        <w:rPr>
          <w:rFonts w:asciiTheme="minorHAnsi" w:hAnsiTheme="minorHAnsi"/>
        </w:rPr>
        <w:t>human rights</w:t>
      </w:r>
      <w:r w:rsidR="00D618B2" w:rsidRPr="00226954">
        <w:rPr>
          <w:rFonts w:asciiTheme="minorHAnsi" w:hAnsiTheme="minorHAnsi"/>
        </w:rPr>
        <w:t xml:space="preserve">  </w:t>
      </w:r>
    </w:p>
    <w:p w:rsidR="00CC7021" w:rsidRPr="00226954" w:rsidRDefault="00CC7021" w:rsidP="00CC7021">
      <w:pPr>
        <w:jc w:val="both"/>
      </w:pPr>
    </w:p>
    <w:p w:rsidR="00CC7021" w:rsidRPr="00226954" w:rsidRDefault="00CC7021" w:rsidP="00CC7021">
      <w:pPr>
        <w:pStyle w:val="Heading3"/>
        <w:rPr>
          <w:rFonts w:asciiTheme="minorHAnsi" w:hAnsiTheme="minorHAnsi"/>
        </w:rPr>
      </w:pPr>
      <w:r w:rsidRPr="00226954">
        <w:rPr>
          <w:rFonts w:asciiTheme="minorHAnsi" w:hAnsiTheme="minorHAnsi"/>
        </w:rPr>
        <w:t>3.1.1 Utilitarianism</w:t>
      </w:r>
    </w:p>
    <w:p w:rsidR="00CC7021" w:rsidRPr="00226954" w:rsidRDefault="00CC7021" w:rsidP="00CC7021">
      <w:pPr>
        <w:spacing w:line="480" w:lineRule="auto"/>
        <w:jc w:val="both"/>
      </w:pPr>
    </w:p>
    <w:p w:rsidR="00CC7021" w:rsidRPr="00226954" w:rsidRDefault="00CC7021" w:rsidP="00CC7021">
      <w:pPr>
        <w:spacing w:line="480" w:lineRule="auto"/>
        <w:jc w:val="both"/>
      </w:pPr>
      <w:r w:rsidRPr="00226954">
        <w:t>Utilitarianism has historically been generally hostile to the idea of rights, most famously to the notion of natural and inalienable human rights as set out, for example, in the American Declaration of Independence, which was characterised by Jeremy Bentham as merely so much ‘bawling upon paper’.</w:t>
      </w:r>
      <w:r w:rsidR="00616A89" w:rsidRPr="00226954">
        <w:rPr>
          <w:rStyle w:val="FootnoteReference"/>
        </w:rPr>
        <w:footnoteReference w:id="69"/>
      </w:r>
      <w:r w:rsidRPr="00226954">
        <w:t xml:space="preserve"> The opposition of </w:t>
      </w:r>
      <w:proofErr w:type="spellStart"/>
      <w:r w:rsidRPr="00226954">
        <w:t>utilitarians</w:t>
      </w:r>
      <w:proofErr w:type="spellEnd"/>
      <w:r w:rsidRPr="00226954">
        <w:t xml:space="preserve"> to the notion of </w:t>
      </w:r>
      <w:r w:rsidRPr="00226954">
        <w:rPr>
          <w:i/>
          <w:iCs/>
        </w:rPr>
        <w:t xml:space="preserve">natural </w:t>
      </w:r>
      <w:r w:rsidRPr="00226954">
        <w:t xml:space="preserve">rights sprang mainly from their legal positivism – their belief that a legal right only exists if there is a specific ‘black letter’ provision guaranteeing it. But in general, since utilitarianism sets out one supreme goal of happiness or, in its more modern version, preference maximisation, it would clearly follow </w:t>
      </w:r>
      <w:proofErr w:type="gramStart"/>
      <w:r w:rsidRPr="00226954">
        <w:t>that</w:t>
      </w:r>
      <w:r w:rsidR="00B379B5">
        <w:t xml:space="preserve"> </w:t>
      </w:r>
      <w:r w:rsidRPr="00226954">
        <w:t>rights</w:t>
      </w:r>
      <w:proofErr w:type="gramEnd"/>
      <w:r w:rsidRPr="00226954">
        <w:t xml:space="preserve"> under utilitarianism can have only a contingent justification.</w:t>
      </w:r>
      <w:r w:rsidR="00616A89" w:rsidRPr="00226954">
        <w:rPr>
          <w:rStyle w:val="FootnoteReference"/>
        </w:rPr>
        <w:footnoteReference w:id="70"/>
      </w:r>
      <w:r w:rsidRPr="00226954">
        <w:t xml:space="preserve"> In other words, they are to be respected if they help bring about the goal of maximum satisfaction of preferences, but not otherwise. It may seem odd to postulate an opposition between utilitarianism and human rights, bearing in mind that JS Mill combined utilitarianism with a passionate belief in the desirability of free expression and civil rights generally. It should be noted, however, that Mill’s arguments for free speech depend essentially on a belief that allowing free speech will, in the long term, have good effects – such as </w:t>
      </w:r>
      <w:r w:rsidRPr="00226954">
        <w:lastRenderedPageBreak/>
        <w:t>increasing the likelihood that the truth will be discovered – rather than on a belief that free expression is a good in itself or something to which human beings are entitled without reference to its likely effects. A utilitarian, confronted with a situation in which infringing a right would undeniably benefit society as a whole, would have no reason to support the inviolability of the right; for example, he or she would find it hard to explain why criminal suspects should not be tortured if it were proved that reliable evidence would be derived thereby, leading to increased convictions, deterrence of crime and substantial consequential benefit to society.</w:t>
      </w:r>
    </w:p>
    <w:p w:rsidR="00CC7021" w:rsidRPr="00226954" w:rsidRDefault="00CC7021" w:rsidP="00CC7021">
      <w:pPr>
        <w:spacing w:line="480" w:lineRule="auto"/>
        <w:ind w:firstLine="360"/>
        <w:jc w:val="both"/>
      </w:pPr>
      <w:r w:rsidRPr="00226954">
        <w:t>A further variant of the theory which has sometimes been termed ‘rule utilitarianism’, however, states that the goals of utilitarianism can best be reached by constructing rules which it is thought will, in general, further the goal of happiness or ‘preference maximisation’ and then applying these rules to situations as absolutes rather than considering in each individual situation what can best further the goal (for discussion, see Smart and Williams).</w:t>
      </w:r>
      <w:r w:rsidR="00616A89" w:rsidRPr="00226954">
        <w:rPr>
          <w:rStyle w:val="FootnoteReference"/>
        </w:rPr>
        <w:footnoteReference w:id="71"/>
      </w:r>
      <w:r w:rsidRPr="00226954">
        <w:t xml:space="preserve"> Such rules could, of course, consist, at least in part, of a set of human rights. In relation to the example of torture given in the text, a rule utilitarian could plausibly maintain that a general rule of humane treatment of citizens is likely to lead to the greatest happiness. In deciding whether to torture an individual suspect, this would mean that instead of considering whether in this case overall utility would be increased thereby, the state should apply the rule of humane treatment, even if in the particular case it would lead to a decrease in utility. It can be seen that for rule </w:t>
      </w:r>
      <w:proofErr w:type="spellStart"/>
      <w:r w:rsidRPr="00226954">
        <w:t>utilitarians</w:t>
      </w:r>
      <w:proofErr w:type="spellEnd"/>
      <w:r w:rsidRPr="00226954">
        <w:t>, the good (the goal of preference maximisation or greatest happiness) is prior to the right, in opposition to Rawls’s clearly expressed conviction that the right (a system of just entitlements of citizens) is prior to any conceptions of the good – the substantive moral convictions by which individuals will live their lives</w:t>
      </w:r>
      <w:r w:rsidR="003C17AF" w:rsidRPr="00226954">
        <w:t xml:space="preserve"> (see below, 3.2.2)</w:t>
      </w:r>
      <w:r w:rsidRPr="00226954">
        <w:t>.</w:t>
      </w:r>
    </w:p>
    <w:p w:rsidR="00CC7021" w:rsidRPr="00226954" w:rsidRDefault="00CC7021" w:rsidP="00CC7021">
      <w:pPr>
        <w:spacing w:line="480" w:lineRule="auto"/>
        <w:jc w:val="both"/>
      </w:pPr>
    </w:p>
    <w:p w:rsidR="00CC7021" w:rsidRPr="00226954" w:rsidRDefault="00CC7021" w:rsidP="00CC7021">
      <w:pPr>
        <w:pStyle w:val="Heading3"/>
        <w:rPr>
          <w:rFonts w:asciiTheme="minorHAnsi" w:hAnsiTheme="minorHAnsi"/>
        </w:rPr>
      </w:pPr>
      <w:r w:rsidRPr="00226954">
        <w:rPr>
          <w:rFonts w:asciiTheme="minorHAnsi" w:hAnsiTheme="minorHAnsi"/>
        </w:rPr>
        <w:t>3.1.2 Marxism</w:t>
      </w:r>
    </w:p>
    <w:p w:rsidR="00CC7021" w:rsidRPr="00226954" w:rsidRDefault="00CC7021" w:rsidP="00CC7021">
      <w:pPr>
        <w:spacing w:line="480" w:lineRule="auto"/>
        <w:jc w:val="both"/>
      </w:pPr>
    </w:p>
    <w:p w:rsidR="00CC7021" w:rsidRPr="00226954" w:rsidRDefault="00CC7021" w:rsidP="00CC7021">
      <w:pPr>
        <w:spacing w:line="480" w:lineRule="auto"/>
        <w:jc w:val="both"/>
        <w:rPr>
          <w:vertAlign w:val="superscript"/>
        </w:rPr>
      </w:pPr>
      <w:r w:rsidRPr="00226954">
        <w:lastRenderedPageBreak/>
        <w:t>The former socialist bloc of states – the Soviet Union and Eastern Europe – was the driving force behind the international recognition of economic, social and cultural rights. This was at least partly due to the fact that there is a measure of hostility within Marxist thought to civil and political rights.</w:t>
      </w:r>
      <w:r w:rsidR="00616A89" w:rsidRPr="00226954">
        <w:rPr>
          <w:rStyle w:val="FootnoteReference"/>
        </w:rPr>
        <w:footnoteReference w:id="72"/>
      </w:r>
      <w:r w:rsidRPr="00226954">
        <w:t xml:space="preserve"> Such hostility exists mainly because Marxism advocates establishing a state which, far from being neutral amongst its citizens’ varying conceptions of the good and guaranteeing them the liberties necessary to pursue their private goals, instead imposes a particular conception of the good upon society. Since it regards the protection of this conception (the achievements of the revolution) as the supreme value and duty of the state, the exercise of liberties which threaten this achievement can be justifiably curtailed; hence the consistently poor record of the former Soviet bloc states and Communist China on such civil rights as freedom of speech. A theoretically related, but more moderate, critique of the Western liberal conception of human rights can be found in the writings of the so-called communitarians.</w:t>
      </w:r>
      <w:r w:rsidR="00616A89" w:rsidRPr="00226954">
        <w:rPr>
          <w:rStyle w:val="FootnoteReference"/>
        </w:rPr>
        <w:footnoteReference w:id="73"/>
      </w:r>
    </w:p>
    <w:p w:rsidR="00CC7021" w:rsidRPr="00226954" w:rsidRDefault="00CC7021" w:rsidP="00CC7021">
      <w:pPr>
        <w:pStyle w:val="Heading3"/>
        <w:rPr>
          <w:rFonts w:asciiTheme="minorHAnsi" w:hAnsiTheme="minorHAnsi"/>
        </w:rPr>
      </w:pPr>
      <w:r w:rsidRPr="00226954">
        <w:rPr>
          <w:rFonts w:asciiTheme="minorHAnsi" w:hAnsiTheme="minorHAnsi"/>
        </w:rPr>
        <w:t>3.1.3 Critical Legal Studies</w:t>
      </w:r>
    </w:p>
    <w:p w:rsidR="00CC7021" w:rsidRPr="00226954" w:rsidRDefault="00CC7021" w:rsidP="00CC7021">
      <w:pPr>
        <w:spacing w:line="480" w:lineRule="auto"/>
        <w:jc w:val="both"/>
      </w:pPr>
    </w:p>
    <w:p w:rsidR="00CC7021" w:rsidRPr="00226954" w:rsidRDefault="00CC7021" w:rsidP="00CC7021">
      <w:pPr>
        <w:spacing w:line="480" w:lineRule="auto"/>
        <w:jc w:val="both"/>
      </w:pPr>
      <w:r w:rsidRPr="00226954">
        <w:t>The Critical Legal Studies movement (CLS) attacks the whole liberal conception of law as neutral, objective and rational. It seeks to expose the value judgments, internal inconsistencies and ideological conflicts which it sees as concealed under law’s benevolent exterior of impartial justice.</w:t>
      </w:r>
      <w:r w:rsidR="00616A89" w:rsidRPr="00226954">
        <w:rPr>
          <w:rStyle w:val="FootnoteReference"/>
        </w:rPr>
        <w:footnoteReference w:id="74"/>
      </w:r>
      <w:r w:rsidRPr="00226954">
        <w:t xml:space="preserve"> Since the whole structure of legally guaranteed human rights is a creature of the liberal conception of law, the CLS attack fastens by extension onto the liberal notion of rights. Mark </w:t>
      </w:r>
      <w:proofErr w:type="spellStart"/>
      <w:r w:rsidRPr="00226954">
        <w:t>Tushnet</w:t>
      </w:r>
      <w:proofErr w:type="spellEnd"/>
      <w:r w:rsidRPr="00226954">
        <w:t xml:space="preserve">, for example, has made four main criticisms of the liberal theory of rights in what he calls ‘a Schumpeterian act of creative destruction’. He asserts that rights are: first, unstable – that is, meaningful only in a particular social setting; secondly, they produce ‘no determinate consequences if claimed’; thirdly, ‘rights talk . . . falsely converts into empty abstractions . . . real experiences that we ought to value for their own sake’; and fourthly, if conceded a dominant position in </w:t>
      </w:r>
      <w:r w:rsidRPr="00226954">
        <w:lastRenderedPageBreak/>
        <w:t>contemporary discourse, rights threaten to ‘impede advances by progressive social forces’.</w:t>
      </w:r>
      <w:r w:rsidR="00616A89" w:rsidRPr="00226954">
        <w:rPr>
          <w:rStyle w:val="FootnoteReference"/>
        </w:rPr>
        <w:footnoteReference w:id="75"/>
      </w:r>
      <w:r w:rsidRPr="00226954">
        <w:t xml:space="preserve"> It would be inappropriate to attempt a detailed refutation of the CLS position here.</w:t>
      </w:r>
      <w:r w:rsidRPr="00226954">
        <w:rPr>
          <w:vertAlign w:val="superscript"/>
        </w:rPr>
        <w:t>19</w:t>
      </w:r>
      <w:r w:rsidRPr="00226954">
        <w:t xml:space="preserve"> Perhaps the most important weakness in its critique of rights is that, as many writers have pointed out</w:t>
      </w:r>
      <w:proofErr w:type="gramStart"/>
      <w:r w:rsidRPr="00226954">
        <w:t>,</w:t>
      </w:r>
      <w:r w:rsidRPr="00226954">
        <w:rPr>
          <w:vertAlign w:val="superscript"/>
        </w:rPr>
        <w:t>20</w:t>
      </w:r>
      <w:proofErr w:type="gramEnd"/>
      <w:r w:rsidRPr="00226954">
        <w:t xml:space="preserve"> it offers no guidance whatsoever as to how the interests of vulnerable minorities are to be protected without the institution of legal rights.</w:t>
      </w:r>
    </w:p>
    <w:p w:rsidR="00CC7021" w:rsidRPr="00226954" w:rsidRDefault="00CC7021" w:rsidP="00CC7021">
      <w:pPr>
        <w:jc w:val="both"/>
      </w:pPr>
    </w:p>
    <w:p w:rsidR="0044606D" w:rsidRPr="00226954" w:rsidRDefault="00A67305" w:rsidP="005D3B28">
      <w:pPr>
        <w:pStyle w:val="Heading2"/>
        <w:jc w:val="both"/>
        <w:rPr>
          <w:rFonts w:asciiTheme="minorHAnsi" w:hAnsiTheme="minorHAnsi"/>
        </w:rPr>
      </w:pPr>
      <w:r w:rsidRPr="00226954">
        <w:rPr>
          <w:rFonts w:asciiTheme="minorHAnsi" w:hAnsiTheme="minorHAnsi"/>
        </w:rPr>
        <w:t>3</w:t>
      </w:r>
      <w:r w:rsidR="00CC7021" w:rsidRPr="00226954">
        <w:rPr>
          <w:rFonts w:asciiTheme="minorHAnsi" w:hAnsiTheme="minorHAnsi"/>
        </w:rPr>
        <w:t>.2</w:t>
      </w:r>
      <w:r w:rsidR="0044606D" w:rsidRPr="00226954">
        <w:rPr>
          <w:rFonts w:asciiTheme="minorHAnsi" w:hAnsiTheme="minorHAnsi"/>
        </w:rPr>
        <w:t xml:space="preserve"> The liberal justification for human rights</w:t>
      </w:r>
    </w:p>
    <w:p w:rsidR="003C17AF" w:rsidRPr="00226954" w:rsidRDefault="003C17AF" w:rsidP="00DA7999">
      <w:pPr>
        <w:spacing w:line="480" w:lineRule="auto"/>
        <w:jc w:val="both"/>
      </w:pPr>
    </w:p>
    <w:p w:rsidR="00DA7999" w:rsidRPr="00226954" w:rsidRDefault="00215A44" w:rsidP="00DA7999">
      <w:pPr>
        <w:spacing w:line="480" w:lineRule="auto"/>
        <w:jc w:val="both"/>
      </w:pPr>
      <w:r w:rsidRPr="00226954">
        <w:t xml:space="preserve">The liberal conception of </w:t>
      </w:r>
      <w:r w:rsidR="001D0E3A" w:rsidRPr="00226954">
        <w:t xml:space="preserve">human </w:t>
      </w:r>
      <w:r w:rsidRPr="00226954">
        <w:t xml:space="preserve">rights </w:t>
      </w:r>
      <w:r w:rsidR="001D0E3A" w:rsidRPr="00226954">
        <w:t xml:space="preserve">and civil liberties </w:t>
      </w:r>
      <w:r w:rsidRPr="00226954">
        <w:t>can be seen to owe its a</w:t>
      </w:r>
      <w:r w:rsidR="005C45B4" w:rsidRPr="00226954">
        <w:t>ntecedents to the school of so-</w:t>
      </w:r>
      <w:r w:rsidRPr="00226954">
        <w:t>called social contractarians which found perhaps its earliest advocate in the writings of John Locke.</w:t>
      </w:r>
      <w:r w:rsidR="00616A89" w:rsidRPr="00226954">
        <w:rPr>
          <w:rStyle w:val="FootnoteReference"/>
        </w:rPr>
        <w:footnoteReference w:id="76"/>
      </w:r>
      <w:r w:rsidRPr="00226954">
        <w:t xml:space="preserve"> Locke imagined an actual social contract between individuals and the state at the setting up of civil society in which citizens, in order to secure the protection of their property, handed over certain powers (most importantly, a monopoly of coercive force) to the government in return for the guarantee of certain rights to ‘lives, liberties and estates’. Locke thus introduced the idea, which is still central to liberalism today, that the overriding purpose of the state is the securing and protection of its citizens’ basic liberties. </w:t>
      </w:r>
    </w:p>
    <w:p w:rsidR="00215A44" w:rsidRPr="00226954" w:rsidRDefault="00215A44" w:rsidP="003C17AF">
      <w:pPr>
        <w:spacing w:line="480" w:lineRule="auto"/>
        <w:ind w:firstLine="720"/>
        <w:jc w:val="both"/>
      </w:pPr>
      <w:r w:rsidRPr="00226954">
        <w:t xml:space="preserve">The idea of the social contract is clearly an immensely potent one and it is John Rawls’s revival and radical revision of the idea in his </w:t>
      </w:r>
      <w:r w:rsidRPr="00226954">
        <w:rPr>
          <w:i/>
          <w:iCs/>
        </w:rPr>
        <w:t>A Theory of Justice</w:t>
      </w:r>
      <w:r w:rsidR="00974D1F" w:rsidRPr="00226954">
        <w:rPr>
          <w:rStyle w:val="FootnoteReference"/>
          <w:iCs/>
        </w:rPr>
        <w:footnoteReference w:id="77"/>
      </w:r>
      <w:r w:rsidRPr="00226954">
        <w:t xml:space="preserve"> which has almost single-handedly transformed the face of political theory; as HLA Hart has commented, rights-based theories have replaced utilitarianism as the primary focus of attention.</w:t>
      </w:r>
      <w:r w:rsidR="00616A89" w:rsidRPr="00226954">
        <w:rPr>
          <w:rStyle w:val="FootnoteReference"/>
        </w:rPr>
        <w:footnoteReference w:id="78"/>
      </w:r>
      <w:r w:rsidRPr="00226954">
        <w:t xml:space="preserve"> Robert </w:t>
      </w:r>
      <w:proofErr w:type="spellStart"/>
      <w:r w:rsidRPr="00226954">
        <w:t>Nozick</w:t>
      </w:r>
      <w:proofErr w:type="spellEnd"/>
      <w:r w:rsidRPr="00226954">
        <w:t xml:space="preserve">, a right-wing critic of Rawls </w:t>
      </w:r>
      <w:r w:rsidRPr="00226954">
        <w:lastRenderedPageBreak/>
        <w:t xml:space="preserve">whose work </w:t>
      </w:r>
      <w:r w:rsidRPr="00226954">
        <w:rPr>
          <w:i/>
          <w:iCs/>
        </w:rPr>
        <w:t>Anarchy, State and Utopia</w:t>
      </w:r>
      <w:r w:rsidR="00974D1F" w:rsidRPr="00226954">
        <w:rPr>
          <w:i/>
          <w:iCs/>
        </w:rPr>
        <w:t xml:space="preserve"> </w:t>
      </w:r>
      <w:r w:rsidRPr="00226954">
        <w:t>mounts a sustained attack upon Rawls’s theory, has written: ‘Political philosophers now must either work within Rawls’s theory or explain why not’.</w:t>
      </w:r>
      <w:r w:rsidR="00616A89" w:rsidRPr="00226954">
        <w:rPr>
          <w:rStyle w:val="FootnoteReference"/>
        </w:rPr>
        <w:footnoteReference w:id="79"/>
      </w:r>
    </w:p>
    <w:p w:rsidR="00215A44" w:rsidRPr="00226954" w:rsidRDefault="00215A44" w:rsidP="003C17AF">
      <w:pPr>
        <w:spacing w:line="480" w:lineRule="auto"/>
        <w:ind w:firstLine="720"/>
        <w:jc w:val="both"/>
      </w:pPr>
      <w:r w:rsidRPr="00226954">
        <w:t>Rawls imagines not an actual, but a hypothetical, social contract taking place in what he terms ‘the original position’. The essential feature of this position is that the contractors (Rawls’s men) are devising amongst themselves the outlines of ‘the foundation charter of their society’ whilst behind ‘the veil of ignorance’. The men are ignorant not only of what will be their positions in the future social hierarchy, but also of their skills, weaknesses, preferences and conceptions of the good life – whether, for example, they will be strict Muslims or humanist academics. Since none of the contractors knows what mode of life he will wish to pursue, he is bound (if he is rational) to choose a tolerant society and one which guarantees him the rights necessary to pursue any individual goals he may in future choose. In other words, the men will wish to put in place the means whereby they will, in future, be able to pursue their goals rather than adopting structures which might in future prevent them from doing so. Thus, almost any conception of the good life will require, for example, freedom from arbitrary arrest, the right to a fair trial and freedom from inhuman treatment. In addit</w:t>
      </w:r>
      <w:r w:rsidR="00181CA2" w:rsidRPr="00226954">
        <w:t>ion, the man who will become a</w:t>
      </w:r>
      <w:r w:rsidRPr="00226954">
        <w:t xml:space="preserve"> Muslim might </w:t>
      </w:r>
      <w:r w:rsidRPr="00226954">
        <w:rPr>
          <w:i/>
          <w:iCs/>
        </w:rPr>
        <w:t xml:space="preserve">in future </w:t>
      </w:r>
      <w:r w:rsidRPr="00226954">
        <w:t xml:space="preserve">wish to restrict freedom of speech on religious matters but, </w:t>
      </w:r>
      <w:r w:rsidRPr="00226954">
        <w:rPr>
          <w:i/>
          <w:iCs/>
        </w:rPr>
        <w:t>at present</w:t>
      </w:r>
      <w:r w:rsidRPr="00226954">
        <w:t xml:space="preserve">, self-interest dictates that he </w:t>
      </w:r>
      <w:proofErr w:type="gramStart"/>
      <w:r w:rsidRPr="00226954">
        <w:t>consider</w:t>
      </w:r>
      <w:proofErr w:type="gramEnd"/>
      <w:r w:rsidRPr="00226954">
        <w:t xml:space="preserve"> the possibility that his conception of the good life might necessarily include the exercise of freedom of speech. Thus Rawls’s men adopt, </w:t>
      </w:r>
      <w:r w:rsidRPr="00226954">
        <w:rPr>
          <w:i/>
          <w:iCs/>
        </w:rPr>
        <w:t>inter alia</w:t>
      </w:r>
      <w:r w:rsidRPr="00226954">
        <w:t>, ‘the first principle’, stating that ‘each person is to have an equal right to the most extensive, total system of equal basic liberties compatible with a similar system of liberty for all’.</w:t>
      </w:r>
      <w:r w:rsidR="00616A89" w:rsidRPr="00226954">
        <w:rPr>
          <w:rStyle w:val="FootnoteReference"/>
        </w:rPr>
        <w:footnoteReference w:id="80"/>
      </w:r>
      <w:r w:rsidRPr="00226954">
        <w:t xml:space="preserve"> These basic liberties are identical with any familiar list of civil and political rights</w:t>
      </w:r>
      <w:r w:rsidR="00B379B5">
        <w:t xml:space="preserve"> in a human rights Treaty such as the ECHR or in a domestic Bill or Charter of Rights</w:t>
      </w:r>
      <w:r w:rsidRPr="00226954">
        <w:t>.</w:t>
      </w:r>
    </w:p>
    <w:p w:rsidR="00215A44" w:rsidRPr="00226954" w:rsidRDefault="00215A44" w:rsidP="005D3B28">
      <w:pPr>
        <w:spacing w:line="480" w:lineRule="auto"/>
        <w:ind w:firstLine="360"/>
        <w:jc w:val="both"/>
      </w:pPr>
      <w:r w:rsidRPr="00226954">
        <w:t xml:space="preserve">Although similar to Rawls in political outlook, Ronald Dworkin offers a theoretical construct which derives rights in a different manner, and indeed has criticised Rawls’s theory, arguing that a </w:t>
      </w:r>
      <w:r w:rsidRPr="00226954">
        <w:rPr>
          <w:i/>
          <w:iCs/>
        </w:rPr>
        <w:lastRenderedPageBreak/>
        <w:t>hypothetical</w:t>
      </w:r>
      <w:r w:rsidRPr="00226954">
        <w:t xml:space="preserve">, unlike an </w:t>
      </w:r>
      <w:r w:rsidRPr="00226954">
        <w:rPr>
          <w:i/>
          <w:iCs/>
        </w:rPr>
        <w:t>actual</w:t>
      </w:r>
      <w:r w:rsidRPr="00226954">
        <w:t>, contract provides no grounds for binding actual people to its terms.</w:t>
      </w:r>
      <w:r w:rsidR="00616A89" w:rsidRPr="00226954">
        <w:rPr>
          <w:rStyle w:val="FootnoteReference"/>
        </w:rPr>
        <w:footnoteReference w:id="81"/>
      </w:r>
      <w:r w:rsidRPr="00226954">
        <w:t xml:space="preserve"> Dworkin attempts to derive rights from the premise, to which he hopes all will agree, that the state owes a duty to treat all of its citizens with equal concern and respect – a premise which he argues persuasively is the deep assumption underlying Rawls’s use of the contract device. Dworkin is not concerned with defending rights from despotic and repressive governments and indeed he sees no need to protect – by designating them as rights – those individual interests which the </w:t>
      </w:r>
      <w:r w:rsidRPr="00226954">
        <w:rPr>
          <w:i/>
          <w:iCs/>
        </w:rPr>
        <w:t xml:space="preserve">majority </w:t>
      </w:r>
      <w:r w:rsidRPr="00226954">
        <w:t xml:space="preserve">would like to see protected, since these will in any case be ensured by the democratic process which he assumes as a background to his theory. Dworkin’s particular concern is to justify the protection of </w:t>
      </w:r>
      <w:r w:rsidRPr="00226954">
        <w:rPr>
          <w:i/>
          <w:iCs/>
        </w:rPr>
        <w:t xml:space="preserve">unpopular </w:t>
      </w:r>
      <w:r w:rsidRPr="00226954">
        <w:t>or minority rights – or those whose exercise may on occasion threaten the overall well-being of the community – because such rights would potentially be put at risk if their validity were to be determined through a democratic vote.</w:t>
      </w:r>
    </w:p>
    <w:p w:rsidR="00215A44" w:rsidRPr="00226954" w:rsidRDefault="00215A44" w:rsidP="005D3B28">
      <w:pPr>
        <w:spacing w:line="480" w:lineRule="auto"/>
        <w:ind w:firstLine="360"/>
        <w:jc w:val="both"/>
      </w:pPr>
      <w:r w:rsidRPr="00226954">
        <w:t>Clearly, the institution of democracy and most familiar sets of political policies, such as seeking the economic betterment of the majority, seem to be satisfactorily explained by an underpinning utilitarianism. Dworkin hypothesises that the great appeal of utilitarianism is owed at least in part to its appearance of egalitarianism through its promise to ‘treat the wishes of each member of the community on a par with the wishes of any other’,</w:t>
      </w:r>
      <w:r w:rsidR="00616A89" w:rsidRPr="00226954">
        <w:rPr>
          <w:rStyle w:val="FootnoteReference"/>
        </w:rPr>
        <w:footnoteReference w:id="82"/>
      </w:r>
      <w:r w:rsidRPr="00226954">
        <w:t xml:space="preserve"> taking into account only the intensity of the preference and the number of people who hold it. This appeal is evinced in the utilitarian maxim: ‘everybody to count for one, nobody for more than one.’ Dworkin finds, however, that raw utilitarianism betrays this promise, since it fails to distinguish between what he denotes external and personal preferences. For example, if the question of whether homosexual </w:t>
      </w:r>
      <w:r w:rsidR="00AA681F">
        <w:t xml:space="preserve">partners </w:t>
      </w:r>
      <w:r w:rsidRPr="00226954">
        <w:t xml:space="preserve">should be </w:t>
      </w:r>
      <w:r w:rsidR="00AA681F">
        <w:t xml:space="preserve">able to contract marriage </w:t>
      </w:r>
      <w:r w:rsidRPr="00226954">
        <w:t>were to be decided by a majority vote (</w:t>
      </w:r>
      <w:r w:rsidRPr="00226954">
        <w:rPr>
          <w:i/>
          <w:iCs/>
        </w:rPr>
        <w:t>preference maximisation</w:t>
      </w:r>
      <w:r w:rsidRPr="00226954">
        <w:t>)</w:t>
      </w:r>
      <w:r w:rsidR="00AA681F">
        <w:t xml:space="preserve"> in certain states</w:t>
      </w:r>
      <w:r w:rsidRPr="00226954">
        <w:t xml:space="preserve">, </w:t>
      </w:r>
      <w:r w:rsidR="00AA681F">
        <w:t xml:space="preserve">many </w:t>
      </w:r>
      <w:r w:rsidRPr="00226954">
        <w:t xml:space="preserve">homosexuals would </w:t>
      </w:r>
      <w:r w:rsidR="00AA681F">
        <w:t xml:space="preserve">probably </w:t>
      </w:r>
      <w:r w:rsidRPr="00226954">
        <w:t xml:space="preserve">express their personal preference for freedom to </w:t>
      </w:r>
      <w:r w:rsidR="00AA681F">
        <w:t>choose to marry</w:t>
      </w:r>
      <w:r w:rsidRPr="00226954">
        <w:t xml:space="preserve">. Certain heterosexuals, however, </w:t>
      </w:r>
      <w:r w:rsidR="00AA681F">
        <w:t>might</w:t>
      </w:r>
      <w:r w:rsidRPr="00226954">
        <w:t xml:space="preserve"> vote against allowing this freedom, because their external preference is that homosexuals should not be free to </w:t>
      </w:r>
      <w:r w:rsidR="00AA681F">
        <w:t>marry</w:t>
      </w:r>
      <w:r w:rsidRPr="00226954">
        <w:t>.</w:t>
      </w:r>
    </w:p>
    <w:p w:rsidR="00215A44" w:rsidRPr="00226954" w:rsidRDefault="00215A44" w:rsidP="005D3B28">
      <w:pPr>
        <w:spacing w:line="480" w:lineRule="auto"/>
        <w:ind w:firstLine="360"/>
        <w:jc w:val="both"/>
      </w:pPr>
      <w:r w:rsidRPr="00226954">
        <w:lastRenderedPageBreak/>
        <w:t xml:space="preserve">Thus, resolution of the question could be affected by the fact that certain citizens think that the homosexual way of </w:t>
      </w:r>
      <w:r w:rsidR="00733E26">
        <w:t>leading family lif</w:t>
      </w:r>
      <w:r w:rsidRPr="00226954">
        <w:t xml:space="preserve">e is not deserving of equal respect; a decision would therefore have been made at least partly on the basis that the way of life of certain citizens was in some way contemptible. </w:t>
      </w:r>
      <w:proofErr w:type="gramStart"/>
      <w:r w:rsidRPr="00226954">
        <w:t>If the government enforced this decision through the use of coercive force (the criminal law), it would clearly have failed in its central duty to treat its citizens with equal concern and respect.</w:t>
      </w:r>
      <w:proofErr w:type="gramEnd"/>
      <w:r w:rsidRPr="00226954">
        <w:t xml:space="preserve"> In other words, utilitarianism – and therefore democracy – has an in-built means of undermining its own promise of equality. Since for Dworkin protecting this promise of equality is the central postulate of political morality, he finds that homosexuals should be granted a right to moral autonomy which cannot be overridden even by a majority decision-making process.</w:t>
      </w:r>
    </w:p>
    <w:p w:rsidR="00215A44" w:rsidRPr="00226954" w:rsidRDefault="00215A44" w:rsidP="005D3B28">
      <w:pPr>
        <w:jc w:val="both"/>
      </w:pPr>
    </w:p>
    <w:p w:rsidR="0044606D" w:rsidRPr="00226954" w:rsidRDefault="00A67305" w:rsidP="005D3B28">
      <w:pPr>
        <w:pStyle w:val="Heading2"/>
        <w:jc w:val="both"/>
        <w:rPr>
          <w:rFonts w:asciiTheme="minorHAnsi" w:hAnsiTheme="minorHAnsi"/>
        </w:rPr>
      </w:pPr>
      <w:r w:rsidRPr="00226954">
        <w:rPr>
          <w:rFonts w:asciiTheme="minorHAnsi" w:hAnsiTheme="minorHAnsi"/>
        </w:rPr>
        <w:t>3</w:t>
      </w:r>
      <w:r w:rsidR="0044606D" w:rsidRPr="00226954">
        <w:rPr>
          <w:rFonts w:asciiTheme="minorHAnsi" w:hAnsiTheme="minorHAnsi"/>
        </w:rPr>
        <w:t>.3 Conclusion</w:t>
      </w:r>
      <w:r w:rsidR="00962705" w:rsidRPr="00226954">
        <w:rPr>
          <w:rFonts w:asciiTheme="minorHAnsi" w:hAnsiTheme="minorHAnsi"/>
        </w:rPr>
        <w:t xml:space="preserve"> on the liberal justification for human rights</w:t>
      </w:r>
    </w:p>
    <w:p w:rsidR="0044606D" w:rsidRPr="00226954" w:rsidRDefault="0044606D" w:rsidP="00F531FB">
      <w:pPr>
        <w:spacing w:line="480" w:lineRule="auto"/>
        <w:jc w:val="both"/>
        <w:rPr>
          <w:rFonts w:cs="Times New Roman"/>
          <w:sz w:val="24"/>
          <w:szCs w:val="24"/>
        </w:rPr>
      </w:pPr>
    </w:p>
    <w:p w:rsidR="008B6669" w:rsidRPr="00226954" w:rsidRDefault="008B6669" w:rsidP="00F531FB">
      <w:pPr>
        <w:spacing w:line="480" w:lineRule="auto"/>
        <w:jc w:val="both"/>
        <w:rPr>
          <w:rFonts w:cs="Times New Roman"/>
        </w:rPr>
      </w:pPr>
      <w:r w:rsidRPr="00226954">
        <w:rPr>
          <w:rFonts w:cs="Times New Roman"/>
        </w:rPr>
        <w:t xml:space="preserve">The </w:t>
      </w:r>
      <w:r w:rsidR="00677544" w:rsidRPr="00226954">
        <w:rPr>
          <w:rFonts w:cs="Times New Roman"/>
        </w:rPr>
        <w:t xml:space="preserve">fundamental basis </w:t>
      </w:r>
      <w:r w:rsidRPr="00226954">
        <w:rPr>
          <w:rFonts w:cs="Times New Roman"/>
        </w:rPr>
        <w:t xml:space="preserve">of the liberal justification for human rights presented in this section </w:t>
      </w:r>
      <w:r w:rsidR="0021307A" w:rsidRPr="00226954">
        <w:rPr>
          <w:rFonts w:cs="Times New Roman"/>
        </w:rPr>
        <w:t>is the equal intrinsic value of individuals. This is reflected in Rawls ‘original position’ device and the fundamental value of ‘equal concern and respect’ alluded to by Dworkin. Both theories seek to address criticisms of the individualism of human rights</w:t>
      </w:r>
      <w:r w:rsidR="00D618B2" w:rsidRPr="00226954">
        <w:rPr>
          <w:rFonts w:cs="Times New Roman"/>
        </w:rPr>
        <w:t xml:space="preserve"> by emphasising that majority preferences to protect majority-rights are a primary goal of liberal theory, but seek to adj</w:t>
      </w:r>
      <w:r w:rsidR="00677544" w:rsidRPr="00226954">
        <w:rPr>
          <w:rFonts w:cs="Times New Roman"/>
        </w:rPr>
        <w:t xml:space="preserve">ust such rights via rationalism. However, </w:t>
      </w:r>
      <w:r w:rsidR="00F531FB" w:rsidRPr="00226954">
        <w:rPr>
          <w:rFonts w:cs="Times New Roman"/>
        </w:rPr>
        <w:t xml:space="preserve">Dworkin goes further </w:t>
      </w:r>
      <w:r w:rsidR="00677544" w:rsidRPr="00226954">
        <w:rPr>
          <w:rFonts w:cs="Times New Roman"/>
        </w:rPr>
        <w:t xml:space="preserve">than Rawls </w:t>
      </w:r>
      <w:r w:rsidR="00D618B2" w:rsidRPr="00226954">
        <w:rPr>
          <w:rFonts w:cs="Times New Roman"/>
        </w:rPr>
        <w:t xml:space="preserve">by imposing a </w:t>
      </w:r>
      <w:r w:rsidR="00D618B2" w:rsidRPr="00226954">
        <w:rPr>
          <w:rFonts w:cs="Times New Roman"/>
          <w:i/>
        </w:rPr>
        <w:t>moral</w:t>
      </w:r>
      <w:r w:rsidR="00D618B2" w:rsidRPr="00226954">
        <w:rPr>
          <w:rFonts w:cs="Times New Roman"/>
        </w:rPr>
        <w:t xml:space="preserve"> adjustment in favour of equal concern and respect. It is the development of a rational and moral theory in favour of </w:t>
      </w:r>
      <w:r w:rsidR="00D618B2" w:rsidRPr="00226954">
        <w:rPr>
          <w:rFonts w:cs="Times New Roman"/>
          <w:i/>
        </w:rPr>
        <w:t>substantive</w:t>
      </w:r>
      <w:r w:rsidR="00D618B2" w:rsidRPr="00226954">
        <w:rPr>
          <w:rFonts w:cs="Times New Roman"/>
        </w:rPr>
        <w:t xml:space="preserve"> rights for individuals that provides a justification for human rights.</w:t>
      </w:r>
    </w:p>
    <w:p w:rsidR="00403445" w:rsidRPr="00226954" w:rsidRDefault="00403445" w:rsidP="00F204A1">
      <w:pPr>
        <w:spacing w:line="480" w:lineRule="auto"/>
        <w:ind w:firstLine="720"/>
        <w:jc w:val="both"/>
      </w:pPr>
      <w:r w:rsidRPr="00226954">
        <w:t xml:space="preserve">The outline of the liberal justificatory approach to human rights set out in this chapter provides the foundation for the evaluation of the relevant law discussed in this work. It is important to emphasise that this evaluation does not assume that the responsibility for protecting </w:t>
      </w:r>
      <w:r w:rsidR="008A65F3" w:rsidRPr="00226954">
        <w:t>human</w:t>
      </w:r>
      <w:r w:rsidRPr="00226954">
        <w:t xml:space="preserve"> rights is mainly a judicial responsibility. Obviously, the responsibility of Parliament should be emphasised since it is the democratically accountable institution. However, to under-emphasise </w:t>
      </w:r>
      <w:r w:rsidRPr="00226954">
        <w:lastRenderedPageBreak/>
        <w:t>judicial responsibility risks undermining underrepresented minority rights in favour of majority rights. In the current climate of popular hostility to human rights which sometimes assumes that judges, especially judges in the Strasbourg Court, are imposing alien, anti-common</w:t>
      </w:r>
      <w:r w:rsidR="00143EFB" w:rsidRPr="00226954">
        <w:t>-</w:t>
      </w:r>
      <w:r w:rsidRPr="00226954">
        <w:t xml:space="preserve">sense standards of rights’ protection in Britain, it is more important than ever for those engaging with law to appreciate these concerns. </w:t>
      </w:r>
    </w:p>
    <w:p w:rsidR="0044606D" w:rsidRPr="00226954" w:rsidRDefault="00A67305" w:rsidP="005D3B28">
      <w:pPr>
        <w:pStyle w:val="Heading1"/>
        <w:jc w:val="both"/>
        <w:rPr>
          <w:rFonts w:asciiTheme="minorHAnsi" w:hAnsiTheme="minorHAnsi"/>
        </w:rPr>
      </w:pPr>
      <w:r w:rsidRPr="00226954">
        <w:rPr>
          <w:rFonts w:asciiTheme="minorHAnsi" w:hAnsiTheme="minorHAnsi"/>
        </w:rPr>
        <w:t>4</w:t>
      </w:r>
      <w:r w:rsidR="0044606D" w:rsidRPr="00226954">
        <w:rPr>
          <w:rFonts w:asciiTheme="minorHAnsi" w:hAnsiTheme="minorHAnsi"/>
        </w:rPr>
        <w:t xml:space="preserve"> </w:t>
      </w:r>
      <w:r w:rsidR="00306202" w:rsidRPr="00226954">
        <w:rPr>
          <w:rFonts w:asciiTheme="minorHAnsi" w:hAnsiTheme="minorHAnsi"/>
        </w:rPr>
        <w:t>Challenges for the legal protection of human rights in the UK</w:t>
      </w:r>
    </w:p>
    <w:p w:rsidR="00FA51C1" w:rsidRPr="00226954" w:rsidRDefault="00FA51C1" w:rsidP="005D3B28">
      <w:pPr>
        <w:jc w:val="both"/>
      </w:pPr>
    </w:p>
    <w:p w:rsidR="00306202" w:rsidRPr="00226954" w:rsidRDefault="00AA7D33" w:rsidP="00306202">
      <w:pPr>
        <w:spacing w:line="480" w:lineRule="auto"/>
        <w:ind w:firstLine="720"/>
        <w:jc w:val="both"/>
      </w:pPr>
      <w:r w:rsidRPr="00226954">
        <w:t xml:space="preserve">The most significant </w:t>
      </w:r>
      <w:r w:rsidR="0049128A" w:rsidRPr="00226954">
        <w:t xml:space="preserve">challenges </w:t>
      </w:r>
      <w:r w:rsidRPr="00226954">
        <w:t xml:space="preserve">created by </w:t>
      </w:r>
      <w:r w:rsidR="0049128A" w:rsidRPr="00226954">
        <w:t xml:space="preserve">the </w:t>
      </w:r>
      <w:r w:rsidRPr="00226954">
        <w:t xml:space="preserve">legal protection </w:t>
      </w:r>
      <w:r w:rsidR="0049128A" w:rsidRPr="00226954">
        <w:t xml:space="preserve">of </w:t>
      </w:r>
      <w:r w:rsidR="00002F39" w:rsidRPr="00226954">
        <w:t xml:space="preserve">human </w:t>
      </w:r>
      <w:r w:rsidR="0049128A" w:rsidRPr="00226954">
        <w:t xml:space="preserve">rights </w:t>
      </w:r>
      <w:r w:rsidRPr="00226954">
        <w:t xml:space="preserve">are that </w:t>
      </w:r>
      <w:r w:rsidR="0049128A" w:rsidRPr="00226954">
        <w:t xml:space="preserve">the </w:t>
      </w:r>
      <w:r w:rsidR="00827AE1" w:rsidRPr="00226954">
        <w:t xml:space="preserve">obligations </w:t>
      </w:r>
      <w:r w:rsidR="0049128A" w:rsidRPr="00226954">
        <w:t xml:space="preserve">imposed </w:t>
      </w:r>
      <w:r w:rsidR="00002F39" w:rsidRPr="00226954">
        <w:t xml:space="preserve">upon the state </w:t>
      </w:r>
      <w:r w:rsidR="0049128A" w:rsidRPr="00226954">
        <w:t xml:space="preserve">by claim-rights </w:t>
      </w:r>
      <w:r w:rsidR="004F4AD5" w:rsidRPr="00226954">
        <w:t xml:space="preserve">can be particularly onerous and the reasons for </w:t>
      </w:r>
      <w:r w:rsidR="00827AE1" w:rsidRPr="00226954">
        <w:t xml:space="preserve">the </w:t>
      </w:r>
      <w:r w:rsidR="004F4AD5" w:rsidRPr="00226954">
        <w:t xml:space="preserve">imposition </w:t>
      </w:r>
      <w:r w:rsidR="00827AE1" w:rsidRPr="00226954">
        <w:t xml:space="preserve">of such obligations can be </w:t>
      </w:r>
      <w:r w:rsidR="004F4AD5" w:rsidRPr="00226954">
        <w:t>complex</w:t>
      </w:r>
      <w:r w:rsidR="0049128A" w:rsidRPr="00226954">
        <w:t xml:space="preserve">. </w:t>
      </w:r>
      <w:r w:rsidR="005F23B4" w:rsidRPr="00226954">
        <w:t xml:space="preserve">These challenges contrast with the relatively </w:t>
      </w:r>
      <w:proofErr w:type="gramStart"/>
      <w:r w:rsidR="005F23B4" w:rsidRPr="00226954">
        <w:t>weaker</w:t>
      </w:r>
      <w:r w:rsidR="00827AE1" w:rsidRPr="00226954">
        <w:t>,</w:t>
      </w:r>
      <w:proofErr w:type="gramEnd"/>
      <w:r w:rsidR="005F23B4" w:rsidRPr="00226954">
        <w:t xml:space="preserve"> </w:t>
      </w:r>
      <w:r w:rsidR="00827AE1" w:rsidRPr="00226954">
        <w:t xml:space="preserve">and more straightforward, </w:t>
      </w:r>
      <w:r w:rsidR="004F4AD5" w:rsidRPr="00226954">
        <w:t>traditional approach to civil liberties in the UK</w:t>
      </w:r>
      <w:r w:rsidR="00827AE1" w:rsidRPr="00226954">
        <w:t xml:space="preserve"> p</w:t>
      </w:r>
      <w:r w:rsidR="005F23B4" w:rsidRPr="00226954">
        <w:t>rior to the Human Rights Act (HRA)</w:t>
      </w:r>
      <w:r w:rsidR="00095FFF" w:rsidRPr="00226954">
        <w:t>.</w:t>
      </w:r>
      <w:r w:rsidR="005F23B4" w:rsidRPr="00226954">
        <w:rPr>
          <w:rStyle w:val="FootnoteReference"/>
        </w:rPr>
        <w:footnoteReference w:id="83"/>
      </w:r>
      <w:r w:rsidR="00095FFF" w:rsidRPr="00226954">
        <w:t xml:space="preserve"> When the </w:t>
      </w:r>
      <w:r w:rsidR="00306202" w:rsidRPr="00226954">
        <w:t>HRA</w:t>
      </w:r>
      <w:r w:rsidR="00095FFF" w:rsidRPr="00226954">
        <w:t xml:space="preserve"> came fully into force</w:t>
      </w:r>
      <w:r w:rsidR="00306202" w:rsidRPr="00226954">
        <w:t xml:space="preserve"> </w:t>
      </w:r>
      <w:r w:rsidR="00095FFF" w:rsidRPr="00226954">
        <w:t xml:space="preserve">many of </w:t>
      </w:r>
      <w:r w:rsidR="00766B87">
        <w:t xml:space="preserve">the British </w:t>
      </w:r>
      <w:proofErr w:type="spellStart"/>
      <w:r w:rsidR="00095FFF" w:rsidRPr="00226954">
        <w:t>Hohfeldian</w:t>
      </w:r>
      <w:proofErr w:type="spellEnd"/>
      <w:r w:rsidR="00095FFF" w:rsidRPr="00226954">
        <w:t xml:space="preserve"> liberties became rights in </w:t>
      </w:r>
      <w:proofErr w:type="spellStart"/>
      <w:r w:rsidR="00095FFF" w:rsidRPr="00226954">
        <w:t>Hohfeldian</w:t>
      </w:r>
      <w:proofErr w:type="spellEnd"/>
      <w:r w:rsidR="00095FFF" w:rsidRPr="00226954">
        <w:t xml:space="preserve"> terms since, as Chapter 4 explains, public authorities were laid under a positive duty to respect them and are acting unl</w:t>
      </w:r>
      <w:r w:rsidR="006D1B09" w:rsidRPr="00226954">
        <w:t>awfully if they do not (s 6(1)).</w:t>
      </w:r>
      <w:r w:rsidR="006D1B09" w:rsidRPr="00226954">
        <w:rPr>
          <w:rStyle w:val="FootnoteReference"/>
        </w:rPr>
        <w:footnoteReference w:id="84"/>
      </w:r>
      <w:r w:rsidR="00095FFF" w:rsidRPr="00226954">
        <w:t xml:space="preserve"> </w:t>
      </w:r>
    </w:p>
    <w:p w:rsidR="006D1B09" w:rsidRPr="00226954" w:rsidRDefault="00853887" w:rsidP="00306202">
      <w:pPr>
        <w:spacing w:line="480" w:lineRule="auto"/>
        <w:ind w:firstLine="720"/>
        <w:jc w:val="both"/>
      </w:pPr>
      <w:r w:rsidRPr="00226954">
        <w:t>T</w:t>
      </w:r>
      <w:r w:rsidR="001A4D95" w:rsidRPr="00226954">
        <w:t xml:space="preserve">he </w:t>
      </w:r>
      <w:r w:rsidR="00306202" w:rsidRPr="00226954">
        <w:t>HRA</w:t>
      </w:r>
      <w:r w:rsidR="001A4D95" w:rsidRPr="00226954">
        <w:t xml:space="preserve"> clearly represented</w:t>
      </w:r>
      <w:r w:rsidR="00095FFF" w:rsidRPr="00226954">
        <w:t xml:space="preserve"> a dramatic shift in rights protection in the UK, away from residual fr</w:t>
      </w:r>
      <w:r w:rsidR="001A4D95" w:rsidRPr="00226954">
        <w:t xml:space="preserve">eedoms towards positive rights. </w:t>
      </w:r>
      <w:r w:rsidR="001A4D95" w:rsidRPr="00226954">
        <w:rPr>
          <w:rFonts w:eastAsia="Times New Roman" w:cs="Times New Roman"/>
          <w:lang w:eastAsia="en-GB"/>
        </w:rPr>
        <w:t xml:space="preserve">The liberal ideal was </w:t>
      </w:r>
      <w:r w:rsidR="00306202" w:rsidRPr="00226954">
        <w:rPr>
          <w:rFonts w:eastAsia="Times New Roman" w:cs="Times New Roman"/>
          <w:lang w:eastAsia="en-GB"/>
        </w:rPr>
        <w:t xml:space="preserve">therefore </w:t>
      </w:r>
      <w:r w:rsidR="001A4D95" w:rsidRPr="00226954">
        <w:rPr>
          <w:rFonts w:eastAsia="Times New Roman" w:cs="Times New Roman"/>
          <w:lang w:eastAsia="en-GB"/>
        </w:rPr>
        <w:t xml:space="preserve">realised to an extent under the HRA, and – as this book discusses – the legal protection of human rights has been bolstered in a number of respects. However, crucially for the continued protection of human </w:t>
      </w:r>
      <w:r w:rsidR="0020549F" w:rsidRPr="00226954">
        <w:rPr>
          <w:rFonts w:eastAsia="Times New Roman" w:cs="Times New Roman"/>
          <w:lang w:eastAsia="en-GB"/>
        </w:rPr>
        <w:t xml:space="preserve">rights </w:t>
      </w:r>
      <w:r w:rsidR="001A4D95" w:rsidRPr="00226954">
        <w:rPr>
          <w:rFonts w:eastAsia="Times New Roman" w:cs="Times New Roman"/>
          <w:lang w:eastAsia="en-GB"/>
        </w:rPr>
        <w:t xml:space="preserve">in the UK, </w:t>
      </w:r>
      <w:r w:rsidR="006E18E6" w:rsidRPr="00226954">
        <w:rPr>
          <w:rFonts w:eastAsia="Times New Roman" w:cs="Times New Roman"/>
          <w:lang w:eastAsia="en-GB"/>
        </w:rPr>
        <w:t xml:space="preserve">various </w:t>
      </w:r>
      <w:r w:rsidR="001A4D95" w:rsidRPr="00226954">
        <w:rPr>
          <w:rFonts w:eastAsia="Times New Roman" w:cs="Times New Roman"/>
          <w:lang w:eastAsia="en-GB"/>
        </w:rPr>
        <w:t xml:space="preserve">criticisms of its operation have </w:t>
      </w:r>
      <w:r w:rsidR="006E18E6" w:rsidRPr="00226954">
        <w:rPr>
          <w:rFonts w:eastAsia="Times New Roman" w:cs="Times New Roman"/>
          <w:lang w:eastAsia="en-GB"/>
        </w:rPr>
        <w:t xml:space="preserve">gained </w:t>
      </w:r>
      <w:r w:rsidR="001A4D95" w:rsidRPr="00226954">
        <w:rPr>
          <w:rFonts w:eastAsia="Times New Roman" w:cs="Times New Roman"/>
          <w:lang w:eastAsia="en-GB"/>
        </w:rPr>
        <w:t xml:space="preserve">considerable traction with the current Conservative </w:t>
      </w:r>
      <w:r w:rsidR="001A4D95" w:rsidRPr="00226954">
        <w:rPr>
          <w:rFonts w:eastAsia="Times New Roman" w:cs="Times New Roman"/>
          <w:lang w:eastAsia="en-GB"/>
        </w:rPr>
        <w:lastRenderedPageBreak/>
        <w:t>government and the voting public</w:t>
      </w:r>
      <w:r w:rsidR="005F23B4" w:rsidRPr="00226954">
        <w:rPr>
          <w:rFonts w:eastAsia="Times New Roman" w:cs="Times New Roman"/>
          <w:lang w:eastAsia="en-GB"/>
        </w:rPr>
        <w:t>,</w:t>
      </w:r>
      <w:r w:rsidR="006D1B09" w:rsidRPr="00226954">
        <w:rPr>
          <w:rFonts w:eastAsia="Times New Roman" w:cs="Times New Roman"/>
          <w:lang w:eastAsia="en-GB"/>
        </w:rPr>
        <w:t xml:space="preserve"> </w:t>
      </w:r>
      <w:r w:rsidR="001A4D95" w:rsidRPr="00226954">
        <w:rPr>
          <w:rFonts w:eastAsia="Times New Roman" w:cs="Times New Roman"/>
          <w:lang w:eastAsia="en-GB"/>
        </w:rPr>
        <w:t xml:space="preserve">who </w:t>
      </w:r>
      <w:r w:rsidR="00E12397" w:rsidRPr="00226954">
        <w:rPr>
          <w:rFonts w:eastAsia="Times New Roman" w:cs="Times New Roman"/>
          <w:lang w:eastAsia="en-GB"/>
        </w:rPr>
        <w:t>support</w:t>
      </w:r>
      <w:r w:rsidR="001A4D95" w:rsidRPr="00226954">
        <w:rPr>
          <w:rFonts w:eastAsia="Times New Roman" w:cs="Times New Roman"/>
          <w:lang w:eastAsia="en-GB"/>
        </w:rPr>
        <w:t xml:space="preserve"> the </w:t>
      </w:r>
      <w:r w:rsidR="00480A38" w:rsidRPr="00226954">
        <w:rPr>
          <w:rFonts w:eastAsia="Times New Roman" w:cs="Times New Roman"/>
          <w:lang w:eastAsia="en-GB"/>
        </w:rPr>
        <w:t xml:space="preserve">current </w:t>
      </w:r>
      <w:r w:rsidR="001A4D95" w:rsidRPr="00226954">
        <w:rPr>
          <w:rFonts w:eastAsia="Times New Roman" w:cs="Times New Roman"/>
          <w:lang w:eastAsia="en-GB"/>
        </w:rPr>
        <w:t xml:space="preserve">government’s anti-HRA </w:t>
      </w:r>
      <w:r w:rsidR="00480A38" w:rsidRPr="00226954">
        <w:rPr>
          <w:rFonts w:eastAsia="Times New Roman" w:cs="Times New Roman"/>
          <w:lang w:eastAsia="en-GB"/>
        </w:rPr>
        <w:t>stance</w:t>
      </w:r>
      <w:r w:rsidR="001A4D95" w:rsidRPr="00226954">
        <w:rPr>
          <w:rFonts w:eastAsia="Times New Roman" w:cs="Times New Roman"/>
          <w:lang w:eastAsia="en-GB"/>
        </w:rPr>
        <w:t xml:space="preserve">. </w:t>
      </w:r>
      <w:r w:rsidR="00306202" w:rsidRPr="00226954">
        <w:rPr>
          <w:rFonts w:eastAsia="Times New Roman" w:cs="Times New Roman"/>
          <w:lang w:eastAsia="en-GB"/>
        </w:rPr>
        <w:t>To an extent these criticisms stem from the difficulties with the operation of human rights discussed in this chapter.</w:t>
      </w:r>
    </w:p>
    <w:p w:rsidR="002D7F45" w:rsidRPr="00226954" w:rsidRDefault="006E18E6" w:rsidP="006D1B09">
      <w:pPr>
        <w:spacing w:line="480" w:lineRule="auto"/>
        <w:ind w:firstLine="360"/>
        <w:jc w:val="both"/>
        <w:rPr>
          <w:rFonts w:eastAsia="Times New Roman" w:cs="Times New Roman"/>
          <w:lang w:eastAsia="en-GB"/>
        </w:rPr>
      </w:pPr>
      <w:r w:rsidRPr="00226954">
        <w:rPr>
          <w:rFonts w:eastAsia="Times New Roman" w:cs="Times New Roman"/>
          <w:lang w:eastAsia="en-GB"/>
        </w:rPr>
        <w:t xml:space="preserve">The most powerful criticism is </w:t>
      </w:r>
      <w:r w:rsidR="001A4D95" w:rsidRPr="00226954">
        <w:rPr>
          <w:rFonts w:eastAsia="Times New Roman" w:cs="Times New Roman"/>
          <w:lang w:eastAsia="en-GB"/>
        </w:rPr>
        <w:t xml:space="preserve">that </w:t>
      </w:r>
      <w:r w:rsidRPr="00226954">
        <w:rPr>
          <w:rFonts w:eastAsia="Times New Roman" w:cs="Times New Roman"/>
          <w:lang w:eastAsia="en-GB"/>
        </w:rPr>
        <w:t xml:space="preserve">judges </w:t>
      </w:r>
      <w:r w:rsidR="00766B87">
        <w:rPr>
          <w:rFonts w:eastAsia="Times New Roman" w:cs="Times New Roman"/>
          <w:lang w:eastAsia="en-GB"/>
        </w:rPr>
        <w:t xml:space="preserve">usually in the Strasbourg Court, but also at times in domestic courts under the HRA, </w:t>
      </w:r>
      <w:r w:rsidRPr="00226954">
        <w:rPr>
          <w:rFonts w:eastAsia="Times New Roman" w:cs="Times New Roman"/>
          <w:lang w:eastAsia="en-GB"/>
        </w:rPr>
        <w:t>have failed to balance individual rights</w:t>
      </w:r>
      <w:r w:rsidR="00766B87">
        <w:rPr>
          <w:rFonts w:eastAsia="Times New Roman" w:cs="Times New Roman"/>
          <w:lang w:eastAsia="en-GB"/>
        </w:rPr>
        <w:t xml:space="preserve"> with</w:t>
      </w:r>
      <w:r w:rsidRPr="00226954">
        <w:rPr>
          <w:rFonts w:eastAsia="Times New Roman" w:cs="Times New Roman"/>
          <w:lang w:eastAsia="en-GB"/>
        </w:rPr>
        <w:t xml:space="preserve"> the rights of others and societal interests</w:t>
      </w:r>
      <w:r w:rsidR="00766B87">
        <w:rPr>
          <w:rFonts w:eastAsia="Times New Roman" w:cs="Times New Roman"/>
          <w:lang w:eastAsia="en-GB"/>
        </w:rPr>
        <w:t xml:space="preserve"> </w:t>
      </w:r>
      <w:r w:rsidR="00766B87" w:rsidRPr="00226954">
        <w:rPr>
          <w:rFonts w:eastAsia="Times New Roman" w:cs="Times New Roman"/>
          <w:lang w:eastAsia="en-GB"/>
        </w:rPr>
        <w:t>correctly</w:t>
      </w:r>
      <w:r w:rsidRPr="00226954">
        <w:rPr>
          <w:rFonts w:eastAsia="Times New Roman" w:cs="Times New Roman"/>
          <w:lang w:eastAsia="en-GB"/>
        </w:rPr>
        <w:t xml:space="preserve">. This </w:t>
      </w:r>
      <w:r w:rsidR="004C7241" w:rsidRPr="00226954">
        <w:rPr>
          <w:rFonts w:eastAsia="Times New Roman" w:cs="Times New Roman"/>
          <w:lang w:eastAsia="en-GB"/>
        </w:rPr>
        <w:t xml:space="preserve">general </w:t>
      </w:r>
      <w:r w:rsidRPr="00226954">
        <w:rPr>
          <w:rFonts w:eastAsia="Times New Roman" w:cs="Times New Roman"/>
          <w:lang w:eastAsia="en-GB"/>
        </w:rPr>
        <w:t xml:space="preserve">criticism is </w:t>
      </w:r>
      <w:r w:rsidR="004C7241" w:rsidRPr="00226954">
        <w:rPr>
          <w:rFonts w:eastAsia="Times New Roman" w:cs="Times New Roman"/>
          <w:lang w:eastAsia="en-GB"/>
        </w:rPr>
        <w:t xml:space="preserve">made </w:t>
      </w:r>
      <w:r w:rsidRPr="00226954">
        <w:rPr>
          <w:rFonts w:eastAsia="Times New Roman" w:cs="Times New Roman"/>
          <w:lang w:eastAsia="en-GB"/>
        </w:rPr>
        <w:t xml:space="preserve">most </w:t>
      </w:r>
      <w:r w:rsidR="004C7241" w:rsidRPr="00226954">
        <w:rPr>
          <w:rFonts w:eastAsia="Times New Roman" w:cs="Times New Roman"/>
          <w:lang w:eastAsia="en-GB"/>
        </w:rPr>
        <w:t xml:space="preserve">forcefully </w:t>
      </w:r>
      <w:r w:rsidRPr="00226954">
        <w:rPr>
          <w:rFonts w:eastAsia="Times New Roman" w:cs="Times New Roman"/>
          <w:lang w:eastAsia="en-GB"/>
        </w:rPr>
        <w:t xml:space="preserve">in relation to </w:t>
      </w:r>
      <w:r w:rsidR="006D1B09" w:rsidRPr="00226954">
        <w:rPr>
          <w:rFonts w:eastAsia="Times New Roman" w:cs="Times New Roman"/>
          <w:lang w:eastAsia="en-GB"/>
        </w:rPr>
        <w:t xml:space="preserve">the legal protection of human rights in the terrorism context; for example, </w:t>
      </w:r>
      <w:r w:rsidR="00766B87">
        <w:rPr>
          <w:rFonts w:eastAsia="Times New Roman" w:cs="Times New Roman"/>
          <w:lang w:eastAsia="en-GB"/>
        </w:rPr>
        <w:t xml:space="preserve">in respect of </w:t>
      </w:r>
      <w:r w:rsidR="00480A38" w:rsidRPr="00226954">
        <w:rPr>
          <w:rFonts w:eastAsia="Times New Roman" w:cs="Times New Roman"/>
          <w:lang w:eastAsia="en-GB"/>
        </w:rPr>
        <w:t>Abu Qatada</w:t>
      </w:r>
      <w:r w:rsidR="004B00A5" w:rsidRPr="00226954">
        <w:rPr>
          <w:rFonts w:eastAsia="Times New Roman" w:cs="Times New Roman"/>
          <w:lang w:eastAsia="en-GB"/>
        </w:rPr>
        <w:t xml:space="preserve"> whose deportation to face terrorism charges </w:t>
      </w:r>
      <w:r w:rsidR="00480A38" w:rsidRPr="00226954">
        <w:rPr>
          <w:rFonts w:eastAsia="Times New Roman" w:cs="Times New Roman"/>
          <w:lang w:eastAsia="en-GB"/>
        </w:rPr>
        <w:t xml:space="preserve">in Jordan </w:t>
      </w:r>
      <w:r w:rsidR="004B00A5" w:rsidRPr="00226954">
        <w:rPr>
          <w:rFonts w:eastAsia="Times New Roman" w:cs="Times New Roman"/>
          <w:lang w:eastAsia="en-GB"/>
        </w:rPr>
        <w:t xml:space="preserve">was </w:t>
      </w:r>
      <w:r w:rsidR="00480A38" w:rsidRPr="00226954">
        <w:rPr>
          <w:rFonts w:eastAsia="Times New Roman" w:cs="Times New Roman"/>
          <w:lang w:eastAsia="en-GB"/>
        </w:rPr>
        <w:t>successfully challenged (under Article 6 ECHR), due to concerns that he would not receive a fair trial</w:t>
      </w:r>
      <w:r w:rsidR="004B00A5" w:rsidRPr="00226954">
        <w:rPr>
          <w:rFonts w:eastAsia="Times New Roman" w:cs="Times New Roman"/>
          <w:lang w:eastAsia="en-GB"/>
        </w:rPr>
        <w:t>.</w:t>
      </w:r>
      <w:r w:rsidR="004B00A5" w:rsidRPr="00226954">
        <w:rPr>
          <w:rStyle w:val="FootnoteReference"/>
          <w:rFonts w:eastAsia="Times New Roman" w:cs="Times New Roman"/>
          <w:lang w:eastAsia="en-GB"/>
        </w:rPr>
        <w:footnoteReference w:id="85"/>
      </w:r>
      <w:r w:rsidR="004B00A5" w:rsidRPr="00226954">
        <w:rPr>
          <w:rFonts w:eastAsia="Times New Roman" w:cs="Times New Roman"/>
          <w:lang w:eastAsia="en-GB"/>
        </w:rPr>
        <w:t xml:space="preserve"> A</w:t>
      </w:r>
      <w:r w:rsidR="006D1B09" w:rsidRPr="00226954">
        <w:rPr>
          <w:rFonts w:eastAsia="Times New Roman" w:cs="Times New Roman"/>
          <w:lang w:eastAsia="en-GB"/>
        </w:rPr>
        <w:t>nother</w:t>
      </w:r>
      <w:r w:rsidR="004B00A5" w:rsidRPr="00226954">
        <w:rPr>
          <w:rFonts w:eastAsia="Times New Roman" w:cs="Times New Roman"/>
          <w:lang w:eastAsia="en-GB"/>
        </w:rPr>
        <w:t xml:space="preserve"> criticism is that the administrative burden of securing human rights in law is disproportionately great. </w:t>
      </w:r>
      <w:r w:rsidR="006D1B09" w:rsidRPr="00226954">
        <w:rPr>
          <w:rFonts w:eastAsia="Times New Roman" w:cs="Times New Roman"/>
          <w:lang w:eastAsia="en-GB"/>
        </w:rPr>
        <w:t>Again, t</w:t>
      </w:r>
      <w:r w:rsidR="004B00A5" w:rsidRPr="00226954">
        <w:rPr>
          <w:rFonts w:eastAsia="Times New Roman" w:cs="Times New Roman"/>
          <w:lang w:eastAsia="en-GB"/>
        </w:rPr>
        <w:t xml:space="preserve">his </w:t>
      </w:r>
      <w:r w:rsidR="006D1B09" w:rsidRPr="00226954">
        <w:rPr>
          <w:rFonts w:eastAsia="Times New Roman" w:cs="Times New Roman"/>
          <w:lang w:eastAsia="en-GB"/>
        </w:rPr>
        <w:t xml:space="preserve">criticism is made particularly as regards rights-protection </w:t>
      </w:r>
      <w:r w:rsidR="004B00A5" w:rsidRPr="00226954">
        <w:rPr>
          <w:rFonts w:eastAsia="Times New Roman" w:cs="Times New Roman"/>
          <w:lang w:eastAsia="en-GB"/>
        </w:rPr>
        <w:t>in the terrorist context, where</w:t>
      </w:r>
      <w:r w:rsidR="00480A38" w:rsidRPr="00226954">
        <w:rPr>
          <w:rFonts w:eastAsia="Times New Roman" w:cs="Times New Roman"/>
          <w:lang w:eastAsia="en-GB"/>
        </w:rPr>
        <w:t xml:space="preserve"> challenges to</w:t>
      </w:r>
      <w:r w:rsidR="004B00A5" w:rsidRPr="00226954">
        <w:rPr>
          <w:rFonts w:eastAsia="Times New Roman" w:cs="Times New Roman"/>
          <w:lang w:eastAsia="en-GB"/>
        </w:rPr>
        <w:t xml:space="preserve"> </w:t>
      </w:r>
      <w:r w:rsidR="00480A38" w:rsidRPr="00226954">
        <w:rPr>
          <w:rFonts w:eastAsia="Times New Roman" w:cs="Times New Roman"/>
          <w:lang w:eastAsia="en-GB"/>
        </w:rPr>
        <w:t xml:space="preserve">the detention of a </w:t>
      </w:r>
      <w:r w:rsidR="004B00A5" w:rsidRPr="00226954">
        <w:rPr>
          <w:rFonts w:eastAsia="Times New Roman" w:cs="Times New Roman"/>
          <w:lang w:eastAsia="en-GB"/>
        </w:rPr>
        <w:t>small number of suspect</w:t>
      </w:r>
      <w:r w:rsidR="00480A38" w:rsidRPr="00226954">
        <w:rPr>
          <w:rFonts w:eastAsia="Times New Roman" w:cs="Times New Roman"/>
          <w:lang w:eastAsia="en-GB"/>
        </w:rPr>
        <w:t>ed terrorists</w:t>
      </w:r>
      <w:r w:rsidR="004B00A5" w:rsidRPr="00226954">
        <w:rPr>
          <w:rFonts w:eastAsia="Times New Roman" w:cs="Times New Roman"/>
          <w:lang w:eastAsia="en-GB"/>
        </w:rPr>
        <w:t xml:space="preserve"> ha</w:t>
      </w:r>
      <w:r w:rsidR="00480A38" w:rsidRPr="00226954">
        <w:rPr>
          <w:rFonts w:eastAsia="Times New Roman" w:cs="Times New Roman"/>
          <w:lang w:eastAsia="en-GB"/>
        </w:rPr>
        <w:t>ve</w:t>
      </w:r>
      <w:r w:rsidR="004B00A5" w:rsidRPr="00226954">
        <w:rPr>
          <w:rFonts w:eastAsia="Times New Roman" w:cs="Times New Roman"/>
          <w:lang w:eastAsia="en-GB"/>
        </w:rPr>
        <w:t xml:space="preserve"> </w:t>
      </w:r>
      <w:r w:rsidR="00480A38" w:rsidRPr="00226954">
        <w:rPr>
          <w:rFonts w:eastAsia="Times New Roman" w:cs="Times New Roman"/>
          <w:lang w:eastAsia="en-GB"/>
        </w:rPr>
        <w:t xml:space="preserve">resulted in prolonged and extremely </w:t>
      </w:r>
      <w:r w:rsidR="004B00A5" w:rsidRPr="00226954">
        <w:rPr>
          <w:rFonts w:eastAsia="Times New Roman" w:cs="Times New Roman"/>
          <w:lang w:eastAsia="en-GB"/>
        </w:rPr>
        <w:t>cost</w:t>
      </w:r>
      <w:r w:rsidR="00480A38" w:rsidRPr="00226954">
        <w:rPr>
          <w:rFonts w:eastAsia="Times New Roman" w:cs="Times New Roman"/>
          <w:lang w:eastAsia="en-GB"/>
        </w:rPr>
        <w:t>ly</w:t>
      </w:r>
      <w:r w:rsidR="004B00A5" w:rsidRPr="00226954">
        <w:rPr>
          <w:rFonts w:eastAsia="Times New Roman" w:cs="Times New Roman"/>
          <w:lang w:eastAsia="en-GB"/>
        </w:rPr>
        <w:t xml:space="preserve"> </w:t>
      </w:r>
      <w:r w:rsidR="00480A38" w:rsidRPr="00226954">
        <w:rPr>
          <w:rFonts w:eastAsia="Times New Roman" w:cs="Times New Roman"/>
          <w:lang w:eastAsia="en-GB"/>
        </w:rPr>
        <w:t>litigation</w:t>
      </w:r>
      <w:r w:rsidR="002D7F45" w:rsidRPr="00226954">
        <w:rPr>
          <w:rFonts w:eastAsia="Times New Roman" w:cs="Times New Roman"/>
          <w:lang w:eastAsia="en-GB"/>
        </w:rPr>
        <w:t>.</w:t>
      </w:r>
      <w:r w:rsidR="00480A38" w:rsidRPr="00226954">
        <w:rPr>
          <w:rStyle w:val="FootnoteReference"/>
          <w:rFonts w:eastAsia="Times New Roman" w:cs="Times New Roman"/>
          <w:lang w:eastAsia="en-GB"/>
        </w:rPr>
        <w:footnoteReference w:id="86"/>
      </w:r>
      <w:r w:rsidR="002D7F45" w:rsidRPr="00226954">
        <w:rPr>
          <w:rFonts w:eastAsia="Times New Roman" w:cs="Times New Roman"/>
          <w:lang w:eastAsia="en-GB"/>
        </w:rPr>
        <w:t xml:space="preserve"> </w:t>
      </w:r>
      <w:r w:rsidR="004C7241" w:rsidRPr="00226954">
        <w:rPr>
          <w:rFonts w:eastAsia="Times New Roman" w:cs="Times New Roman"/>
          <w:lang w:eastAsia="en-GB"/>
        </w:rPr>
        <w:t xml:space="preserve">However, while both criticisms raise important challenges that any legal system seeking to protect human rights must face, it is not the case that in other </w:t>
      </w:r>
      <w:r w:rsidR="00766B87">
        <w:rPr>
          <w:rFonts w:eastAsia="Times New Roman" w:cs="Times New Roman"/>
          <w:lang w:eastAsia="en-GB"/>
        </w:rPr>
        <w:t xml:space="preserve">democratic </w:t>
      </w:r>
      <w:r w:rsidR="004C7241" w:rsidRPr="00226954">
        <w:rPr>
          <w:rFonts w:eastAsia="Times New Roman" w:cs="Times New Roman"/>
          <w:lang w:eastAsia="en-GB"/>
        </w:rPr>
        <w:t>societ</w:t>
      </w:r>
      <w:r w:rsidR="00766B87">
        <w:rPr>
          <w:rFonts w:eastAsia="Times New Roman" w:cs="Times New Roman"/>
          <w:lang w:eastAsia="en-GB"/>
        </w:rPr>
        <w:t>ies</w:t>
      </w:r>
      <w:r w:rsidR="004C7241" w:rsidRPr="00226954">
        <w:rPr>
          <w:rFonts w:eastAsia="Times New Roman" w:cs="Times New Roman"/>
          <w:lang w:eastAsia="en-GB"/>
        </w:rPr>
        <w:t xml:space="preserve"> where such rights receive legal protection there is a popular movement to repeal such protections. In the USA, for example, the Constitution retains support from voters and politicians on both sides of the political spectrum</w:t>
      </w:r>
      <w:r w:rsidR="00B33717" w:rsidRPr="00226954">
        <w:rPr>
          <w:rFonts w:eastAsia="Times New Roman" w:cs="Times New Roman"/>
          <w:lang w:eastAsia="en-GB"/>
        </w:rPr>
        <w:t xml:space="preserve">, despite leading to the protection of rights – such as </w:t>
      </w:r>
      <w:r w:rsidR="005F23B4" w:rsidRPr="00226954">
        <w:rPr>
          <w:rFonts w:eastAsia="Times New Roman" w:cs="Times New Roman"/>
          <w:lang w:eastAsia="en-GB"/>
        </w:rPr>
        <w:t>abortion</w:t>
      </w:r>
      <w:r w:rsidR="005F23B4" w:rsidRPr="00226954">
        <w:rPr>
          <w:rStyle w:val="FootnoteReference"/>
          <w:rFonts w:eastAsia="Times New Roman" w:cs="Times New Roman"/>
          <w:lang w:eastAsia="en-GB"/>
        </w:rPr>
        <w:footnoteReference w:id="87"/>
      </w:r>
      <w:r w:rsidR="005F23B4" w:rsidRPr="00226954">
        <w:rPr>
          <w:rFonts w:eastAsia="Times New Roman" w:cs="Times New Roman"/>
          <w:lang w:eastAsia="en-GB"/>
        </w:rPr>
        <w:t xml:space="preserve"> and </w:t>
      </w:r>
      <w:r w:rsidR="00B33717" w:rsidRPr="00226954">
        <w:rPr>
          <w:rFonts w:eastAsia="Times New Roman" w:cs="Times New Roman"/>
          <w:lang w:eastAsia="en-GB"/>
        </w:rPr>
        <w:t>gay marriage</w:t>
      </w:r>
      <w:r w:rsidR="00B33717" w:rsidRPr="00226954">
        <w:rPr>
          <w:rStyle w:val="FootnoteReference"/>
          <w:rFonts w:eastAsia="Times New Roman" w:cs="Times New Roman"/>
          <w:lang w:eastAsia="en-GB"/>
        </w:rPr>
        <w:footnoteReference w:id="88"/>
      </w:r>
      <w:r w:rsidR="00B33717" w:rsidRPr="00226954">
        <w:rPr>
          <w:rFonts w:eastAsia="Times New Roman" w:cs="Times New Roman"/>
          <w:lang w:eastAsia="en-GB"/>
        </w:rPr>
        <w:t xml:space="preserve"> – which </w:t>
      </w:r>
      <w:r w:rsidR="005F23B4" w:rsidRPr="00226954">
        <w:rPr>
          <w:rFonts w:eastAsia="Times New Roman" w:cs="Times New Roman"/>
          <w:lang w:eastAsia="en-GB"/>
        </w:rPr>
        <w:t>were</w:t>
      </w:r>
      <w:r w:rsidR="00306202" w:rsidRPr="00226954">
        <w:rPr>
          <w:rFonts w:eastAsia="Times New Roman" w:cs="Times New Roman"/>
          <w:lang w:eastAsia="en-GB"/>
        </w:rPr>
        <w:t>,</w:t>
      </w:r>
      <w:r w:rsidR="005F23B4" w:rsidRPr="00226954">
        <w:rPr>
          <w:rFonts w:eastAsia="Times New Roman" w:cs="Times New Roman"/>
          <w:lang w:eastAsia="en-GB"/>
        </w:rPr>
        <w:t xml:space="preserve"> at the time</w:t>
      </w:r>
      <w:r w:rsidR="00766B87">
        <w:rPr>
          <w:rFonts w:eastAsia="Times New Roman" w:cs="Times New Roman"/>
          <w:lang w:eastAsia="en-GB"/>
        </w:rPr>
        <w:t>s in question</w:t>
      </w:r>
      <w:r w:rsidR="00306202" w:rsidRPr="00226954">
        <w:rPr>
          <w:rFonts w:eastAsia="Times New Roman" w:cs="Times New Roman"/>
          <w:lang w:eastAsia="en-GB"/>
        </w:rPr>
        <w:t>,</w:t>
      </w:r>
      <w:r w:rsidR="005F23B4" w:rsidRPr="00226954">
        <w:rPr>
          <w:rFonts w:eastAsia="Times New Roman" w:cs="Times New Roman"/>
          <w:lang w:eastAsia="en-GB"/>
        </w:rPr>
        <w:t xml:space="preserve"> </w:t>
      </w:r>
      <w:r w:rsidR="00B33717" w:rsidRPr="00226954">
        <w:rPr>
          <w:rFonts w:eastAsia="Times New Roman" w:cs="Times New Roman"/>
          <w:lang w:eastAsia="en-GB"/>
        </w:rPr>
        <w:t>hugely unpopular with large sections of its population</w:t>
      </w:r>
      <w:r w:rsidR="004C7241" w:rsidRPr="00226954">
        <w:rPr>
          <w:rFonts w:eastAsia="Times New Roman" w:cs="Times New Roman"/>
          <w:lang w:eastAsia="en-GB"/>
        </w:rPr>
        <w:t>. The HRA faces an objection that goes deeper than the practical operation of</w:t>
      </w:r>
      <w:r w:rsidR="00B33717" w:rsidRPr="00226954">
        <w:rPr>
          <w:rFonts w:eastAsia="Times New Roman" w:cs="Times New Roman"/>
          <w:lang w:eastAsia="en-GB"/>
        </w:rPr>
        <w:t xml:space="preserve"> human rights in that</w:t>
      </w:r>
      <w:r w:rsidR="004C7241" w:rsidRPr="00226954">
        <w:rPr>
          <w:rFonts w:eastAsia="Times New Roman" w:cs="Times New Roman"/>
          <w:lang w:eastAsia="en-GB"/>
        </w:rPr>
        <w:t xml:space="preserve"> the rights-settlement that the HRA represents </w:t>
      </w:r>
      <w:r w:rsidR="00B33717" w:rsidRPr="00226954">
        <w:rPr>
          <w:rFonts w:eastAsia="Times New Roman" w:cs="Times New Roman"/>
          <w:lang w:eastAsia="en-GB"/>
        </w:rPr>
        <w:t xml:space="preserve">is </w:t>
      </w:r>
      <w:r w:rsidR="004C7241" w:rsidRPr="00226954">
        <w:rPr>
          <w:rFonts w:eastAsia="Times New Roman" w:cs="Times New Roman"/>
          <w:lang w:eastAsia="en-GB"/>
        </w:rPr>
        <w:t>not the product of a popular revolution, as occurred in European countries</w:t>
      </w:r>
      <w:r w:rsidR="00B33717" w:rsidRPr="00226954">
        <w:rPr>
          <w:rFonts w:eastAsia="Times New Roman" w:cs="Times New Roman"/>
          <w:lang w:eastAsia="en-GB"/>
        </w:rPr>
        <w:t xml:space="preserve">, but </w:t>
      </w:r>
      <w:r w:rsidR="003D3DA5">
        <w:rPr>
          <w:rFonts w:eastAsia="Times New Roman" w:cs="Times New Roman"/>
          <w:lang w:eastAsia="en-GB"/>
        </w:rPr>
        <w:t xml:space="preserve">was </w:t>
      </w:r>
      <w:r w:rsidR="00B33717" w:rsidRPr="00226954">
        <w:rPr>
          <w:rFonts w:eastAsia="Times New Roman" w:cs="Times New Roman"/>
          <w:lang w:eastAsia="en-GB"/>
        </w:rPr>
        <w:t>instead</w:t>
      </w:r>
      <w:r w:rsidR="004C76EA" w:rsidRPr="00226954">
        <w:rPr>
          <w:rFonts w:eastAsia="Times New Roman" w:cs="Times New Roman"/>
          <w:lang w:eastAsia="en-GB"/>
        </w:rPr>
        <w:t xml:space="preserve"> </w:t>
      </w:r>
      <w:r w:rsidR="00D96CC1" w:rsidRPr="00226954">
        <w:rPr>
          <w:rFonts w:eastAsia="Times New Roman" w:cs="Times New Roman"/>
          <w:lang w:eastAsia="en-GB"/>
        </w:rPr>
        <w:t xml:space="preserve">created by a standard </w:t>
      </w:r>
      <w:r w:rsidR="00306202" w:rsidRPr="00226954">
        <w:rPr>
          <w:rFonts w:eastAsia="Times New Roman" w:cs="Times New Roman"/>
          <w:lang w:eastAsia="en-GB"/>
        </w:rPr>
        <w:t>legislat</w:t>
      </w:r>
      <w:r w:rsidR="00D96CC1" w:rsidRPr="00226954">
        <w:rPr>
          <w:rFonts w:eastAsia="Times New Roman" w:cs="Times New Roman"/>
          <w:lang w:eastAsia="en-GB"/>
        </w:rPr>
        <w:t>ive process</w:t>
      </w:r>
      <w:r w:rsidR="003D3DA5">
        <w:rPr>
          <w:rFonts w:eastAsia="Times New Roman" w:cs="Times New Roman"/>
          <w:lang w:eastAsia="en-GB"/>
        </w:rPr>
        <w:t xml:space="preserve"> and was not ‘sold’ to the British people via some form of educational programme</w:t>
      </w:r>
      <w:r w:rsidR="004C7241" w:rsidRPr="00226954">
        <w:rPr>
          <w:rFonts w:eastAsia="Times New Roman" w:cs="Times New Roman"/>
          <w:lang w:eastAsia="en-GB"/>
        </w:rPr>
        <w:t xml:space="preserve">. </w:t>
      </w:r>
    </w:p>
    <w:p w:rsidR="005C333F" w:rsidRDefault="0020549F" w:rsidP="00A339EA">
      <w:pPr>
        <w:spacing w:line="480" w:lineRule="auto"/>
        <w:ind w:firstLine="360"/>
        <w:jc w:val="both"/>
        <w:rPr>
          <w:rFonts w:eastAsia="Times New Roman" w:cs="Times New Roman"/>
          <w:lang w:eastAsia="en-GB"/>
        </w:rPr>
      </w:pPr>
      <w:r w:rsidRPr="00226954">
        <w:rPr>
          <w:rFonts w:eastAsia="Times New Roman" w:cs="Times New Roman"/>
          <w:lang w:eastAsia="en-GB"/>
        </w:rPr>
        <w:lastRenderedPageBreak/>
        <w:t>T</w:t>
      </w:r>
      <w:r w:rsidR="008F1065" w:rsidRPr="00226954">
        <w:rPr>
          <w:rFonts w:eastAsia="Times New Roman" w:cs="Times New Roman"/>
          <w:lang w:eastAsia="en-GB"/>
        </w:rPr>
        <w:t>he c</w:t>
      </w:r>
      <w:r w:rsidR="001A4D95" w:rsidRPr="00226954">
        <w:rPr>
          <w:rFonts w:eastAsia="Times New Roman" w:cs="Times New Roman"/>
          <w:lang w:eastAsia="en-GB"/>
        </w:rPr>
        <w:t xml:space="preserve">ultural transition from liberties to </w:t>
      </w:r>
      <w:r w:rsidR="00663B3D" w:rsidRPr="00226954">
        <w:rPr>
          <w:rFonts w:eastAsia="Times New Roman" w:cs="Times New Roman"/>
          <w:lang w:eastAsia="en-GB"/>
        </w:rPr>
        <w:t xml:space="preserve">human </w:t>
      </w:r>
      <w:r w:rsidR="001A4D95" w:rsidRPr="00226954">
        <w:rPr>
          <w:rFonts w:eastAsia="Times New Roman" w:cs="Times New Roman"/>
          <w:lang w:eastAsia="en-GB"/>
        </w:rPr>
        <w:t xml:space="preserve">rights has </w:t>
      </w:r>
      <w:r w:rsidR="00D96CC1" w:rsidRPr="00226954">
        <w:rPr>
          <w:rFonts w:eastAsia="Times New Roman" w:cs="Times New Roman"/>
          <w:lang w:eastAsia="en-GB"/>
        </w:rPr>
        <w:t xml:space="preserve">therefore </w:t>
      </w:r>
      <w:r w:rsidR="001A4D95" w:rsidRPr="00226954">
        <w:rPr>
          <w:rFonts w:eastAsia="Times New Roman" w:cs="Times New Roman"/>
          <w:lang w:eastAsia="en-GB"/>
        </w:rPr>
        <w:t>not tak</w:t>
      </w:r>
      <w:r w:rsidR="008F1065" w:rsidRPr="00226954">
        <w:rPr>
          <w:rFonts w:eastAsia="Times New Roman" w:cs="Times New Roman"/>
          <w:lang w:eastAsia="en-GB"/>
        </w:rPr>
        <w:t xml:space="preserve">en </w:t>
      </w:r>
      <w:r w:rsidR="004939F2">
        <w:rPr>
          <w:rFonts w:eastAsia="Times New Roman" w:cs="Times New Roman"/>
          <w:lang w:eastAsia="en-GB"/>
        </w:rPr>
        <w:t xml:space="preserve">a favourable </w:t>
      </w:r>
      <w:r w:rsidR="008F1065" w:rsidRPr="00226954">
        <w:rPr>
          <w:rFonts w:eastAsia="Times New Roman" w:cs="Times New Roman"/>
          <w:lang w:eastAsia="en-GB"/>
        </w:rPr>
        <w:t xml:space="preserve">hold in </w:t>
      </w:r>
      <w:r w:rsidR="00663B3D" w:rsidRPr="00226954">
        <w:rPr>
          <w:rFonts w:eastAsia="Times New Roman" w:cs="Times New Roman"/>
          <w:lang w:eastAsia="en-GB"/>
        </w:rPr>
        <w:t xml:space="preserve">the </w:t>
      </w:r>
      <w:r w:rsidR="0006143F" w:rsidRPr="00226954">
        <w:rPr>
          <w:rFonts w:eastAsia="Times New Roman" w:cs="Times New Roman"/>
          <w:lang w:eastAsia="en-GB"/>
        </w:rPr>
        <w:t>popular imagination;</w:t>
      </w:r>
      <w:r w:rsidR="001A4D95" w:rsidRPr="00226954">
        <w:rPr>
          <w:rFonts w:eastAsia="Times New Roman" w:cs="Times New Roman"/>
          <w:lang w:eastAsia="en-GB"/>
        </w:rPr>
        <w:t xml:space="preserve"> </w:t>
      </w:r>
      <w:r w:rsidR="0006143F" w:rsidRPr="00226954">
        <w:rPr>
          <w:rFonts w:eastAsia="Times New Roman" w:cs="Times New Roman"/>
          <w:lang w:eastAsia="en-GB"/>
        </w:rPr>
        <w:t>i</w:t>
      </w:r>
      <w:r w:rsidR="00663B3D" w:rsidRPr="00226954">
        <w:rPr>
          <w:rFonts w:eastAsia="Times New Roman" w:cs="Times New Roman"/>
          <w:lang w:eastAsia="en-GB"/>
        </w:rPr>
        <w:t>nstead</w:t>
      </w:r>
      <w:r w:rsidR="0006143F" w:rsidRPr="00226954">
        <w:rPr>
          <w:rFonts w:eastAsia="Times New Roman" w:cs="Times New Roman"/>
          <w:lang w:eastAsia="en-GB"/>
        </w:rPr>
        <w:t>,</w:t>
      </w:r>
      <w:r w:rsidR="00663B3D" w:rsidRPr="00226954">
        <w:rPr>
          <w:rFonts w:eastAsia="Times New Roman" w:cs="Times New Roman"/>
          <w:lang w:eastAsia="en-GB"/>
        </w:rPr>
        <w:t xml:space="preserve"> human rights are associated with European institutions, such as the European Court of Human Rights. </w:t>
      </w:r>
      <w:r w:rsidR="00AC7B8E" w:rsidRPr="00226954">
        <w:rPr>
          <w:rFonts w:eastAsia="Times New Roman" w:cs="Times New Roman"/>
          <w:lang w:eastAsia="en-GB"/>
        </w:rPr>
        <w:t>J</w:t>
      </w:r>
      <w:r w:rsidR="00663B3D" w:rsidRPr="00226954">
        <w:rPr>
          <w:rFonts w:eastAsia="Times New Roman" w:cs="Times New Roman"/>
          <w:lang w:eastAsia="en-GB"/>
        </w:rPr>
        <w:t>udicial reasoning</w:t>
      </w:r>
      <w:r w:rsidR="00AC7B8E" w:rsidRPr="00226954">
        <w:rPr>
          <w:rFonts w:eastAsia="Times New Roman" w:cs="Times New Roman"/>
          <w:lang w:eastAsia="en-GB"/>
        </w:rPr>
        <w:t xml:space="preserve"> has confirmed the impression that the divergence between civil liberties and human rights amounts to a European imposition. J</w:t>
      </w:r>
      <w:r w:rsidR="00A542AD" w:rsidRPr="00226954">
        <w:rPr>
          <w:rFonts w:eastAsia="Times New Roman" w:cs="Times New Roman"/>
          <w:lang w:eastAsia="en-GB"/>
        </w:rPr>
        <w:t xml:space="preserve">udges have </w:t>
      </w:r>
      <w:r w:rsidR="00AC7B8E" w:rsidRPr="00226954">
        <w:rPr>
          <w:rFonts w:eastAsia="Times New Roman" w:cs="Times New Roman"/>
          <w:lang w:eastAsia="en-GB"/>
        </w:rPr>
        <w:t xml:space="preserve">had limited success in </w:t>
      </w:r>
      <w:r w:rsidR="00A542AD" w:rsidRPr="00226954">
        <w:rPr>
          <w:rFonts w:eastAsia="Times New Roman" w:cs="Times New Roman"/>
          <w:lang w:eastAsia="en-GB"/>
        </w:rPr>
        <w:t>develop</w:t>
      </w:r>
      <w:r w:rsidR="00AC7B8E" w:rsidRPr="00226954">
        <w:rPr>
          <w:rFonts w:eastAsia="Times New Roman" w:cs="Times New Roman"/>
          <w:lang w:eastAsia="en-GB"/>
        </w:rPr>
        <w:t>ing</w:t>
      </w:r>
      <w:r w:rsidR="00A542AD" w:rsidRPr="00226954">
        <w:rPr>
          <w:rFonts w:eastAsia="Times New Roman" w:cs="Times New Roman"/>
          <w:lang w:eastAsia="en-GB"/>
        </w:rPr>
        <w:t xml:space="preserve"> a </w:t>
      </w:r>
      <w:r w:rsidR="00A542AD" w:rsidRPr="00226954">
        <w:rPr>
          <w:rFonts w:eastAsia="Times New Roman" w:cs="Times New Roman"/>
          <w:i/>
          <w:lang w:eastAsia="en-GB"/>
        </w:rPr>
        <w:t xml:space="preserve">domestic </w:t>
      </w:r>
      <w:r w:rsidR="00A542AD" w:rsidRPr="00226954">
        <w:rPr>
          <w:rFonts w:eastAsia="Times New Roman" w:cs="Times New Roman"/>
          <w:lang w:eastAsia="en-GB"/>
        </w:rPr>
        <w:t xml:space="preserve">interpretation of </w:t>
      </w:r>
      <w:r w:rsidR="00A339EA" w:rsidRPr="00226954">
        <w:rPr>
          <w:rFonts w:eastAsia="Times New Roman" w:cs="Times New Roman"/>
          <w:lang w:eastAsia="en-GB"/>
        </w:rPr>
        <w:t>human rights and</w:t>
      </w:r>
      <w:r w:rsidR="00AC7B8E" w:rsidRPr="00226954">
        <w:rPr>
          <w:rFonts w:eastAsia="Times New Roman" w:cs="Times New Roman"/>
          <w:lang w:eastAsia="en-GB"/>
        </w:rPr>
        <w:t xml:space="preserve"> </w:t>
      </w:r>
      <w:r w:rsidR="00A542AD" w:rsidRPr="00226954">
        <w:rPr>
          <w:rFonts w:eastAsia="Times New Roman" w:cs="Times New Roman"/>
          <w:lang w:eastAsia="en-GB"/>
        </w:rPr>
        <w:t xml:space="preserve">have </w:t>
      </w:r>
      <w:r w:rsidR="00A339EA" w:rsidRPr="00226954">
        <w:rPr>
          <w:rFonts w:eastAsia="Times New Roman" w:cs="Times New Roman"/>
          <w:lang w:eastAsia="en-GB"/>
        </w:rPr>
        <w:t xml:space="preserve">sought </w:t>
      </w:r>
      <w:r w:rsidR="00A542AD" w:rsidRPr="00226954">
        <w:rPr>
          <w:rFonts w:eastAsia="Times New Roman" w:cs="Times New Roman"/>
          <w:lang w:eastAsia="en-GB"/>
        </w:rPr>
        <w:t xml:space="preserve">rather to </w:t>
      </w:r>
      <w:r w:rsidR="00A542AD" w:rsidRPr="00226954">
        <w:rPr>
          <w:rFonts w:eastAsia="Times New Roman" w:cs="Times New Roman"/>
          <w:i/>
          <w:lang w:eastAsia="en-GB"/>
        </w:rPr>
        <w:t>mirror</w:t>
      </w:r>
      <w:r w:rsidR="00A542AD" w:rsidRPr="00226954">
        <w:rPr>
          <w:rFonts w:eastAsia="Times New Roman" w:cs="Times New Roman"/>
          <w:lang w:eastAsia="en-GB"/>
        </w:rPr>
        <w:t xml:space="preserve"> Strasbourg.</w:t>
      </w:r>
      <w:r w:rsidR="00D14914" w:rsidRPr="00226954">
        <w:rPr>
          <w:rStyle w:val="FootnoteReference"/>
          <w:rFonts w:eastAsia="Times New Roman" w:cs="Times New Roman"/>
          <w:lang w:eastAsia="en-GB"/>
        </w:rPr>
        <w:footnoteReference w:id="89"/>
      </w:r>
      <w:r w:rsidR="00A542AD" w:rsidRPr="00226954">
        <w:rPr>
          <w:rFonts w:eastAsia="Times New Roman" w:cs="Times New Roman"/>
          <w:lang w:eastAsia="en-GB"/>
        </w:rPr>
        <w:t xml:space="preserve"> </w:t>
      </w:r>
      <w:r w:rsidR="00D508ED" w:rsidRPr="00226954">
        <w:rPr>
          <w:rFonts w:eastAsia="Times New Roman" w:cs="Times New Roman"/>
          <w:lang w:eastAsia="en-GB"/>
        </w:rPr>
        <w:t>As Chapter 3 discusses, repeal and replacement with a British Bill of Rights creates an opportunity to create a</w:t>
      </w:r>
      <w:r w:rsidR="00D14914" w:rsidRPr="00226954">
        <w:rPr>
          <w:rFonts w:eastAsia="Times New Roman" w:cs="Times New Roman"/>
          <w:lang w:eastAsia="en-GB"/>
        </w:rPr>
        <w:t xml:space="preserve"> new </w:t>
      </w:r>
      <w:r w:rsidR="00D508ED" w:rsidRPr="00226954">
        <w:rPr>
          <w:rFonts w:eastAsia="Times New Roman" w:cs="Times New Roman"/>
          <w:i/>
          <w:lang w:eastAsia="en-GB"/>
        </w:rPr>
        <w:t>popular</w:t>
      </w:r>
      <w:r w:rsidR="00D508ED" w:rsidRPr="00226954">
        <w:rPr>
          <w:rFonts w:eastAsia="Times New Roman" w:cs="Times New Roman"/>
          <w:lang w:eastAsia="en-GB"/>
        </w:rPr>
        <w:t xml:space="preserve"> British rights-settlement, </w:t>
      </w:r>
      <w:r w:rsidR="00A339EA" w:rsidRPr="00226954">
        <w:rPr>
          <w:rFonts w:eastAsia="Times New Roman" w:cs="Times New Roman"/>
          <w:lang w:eastAsia="en-GB"/>
        </w:rPr>
        <w:t xml:space="preserve">building from the traditional protection of civil liberties. However, </w:t>
      </w:r>
      <w:r w:rsidR="002F1FA7" w:rsidRPr="00226954">
        <w:rPr>
          <w:rFonts w:eastAsia="Times New Roman" w:cs="Times New Roman"/>
          <w:lang w:eastAsia="en-GB"/>
        </w:rPr>
        <w:t>Conservative proposals to repeal the HRA</w:t>
      </w:r>
      <w:r w:rsidR="005C333F" w:rsidRPr="00226954">
        <w:rPr>
          <w:rFonts w:eastAsia="Times New Roman" w:cs="Times New Roman"/>
          <w:lang w:eastAsia="en-GB"/>
        </w:rPr>
        <w:t xml:space="preserve"> </w:t>
      </w:r>
      <w:r w:rsidR="003D3DA5">
        <w:rPr>
          <w:rFonts w:eastAsia="Times New Roman" w:cs="Times New Roman"/>
          <w:lang w:eastAsia="en-GB"/>
        </w:rPr>
        <w:t xml:space="preserve">in tandem with </w:t>
      </w:r>
      <w:r w:rsidR="005C333F" w:rsidRPr="00226954">
        <w:rPr>
          <w:rFonts w:eastAsia="Times New Roman" w:cs="Times New Roman"/>
          <w:lang w:eastAsia="en-GB"/>
        </w:rPr>
        <w:t xml:space="preserve">the creation of a </w:t>
      </w:r>
      <w:r w:rsidR="002F1FA7" w:rsidRPr="00226954">
        <w:rPr>
          <w:rFonts w:eastAsia="Times New Roman" w:cs="Times New Roman"/>
          <w:lang w:eastAsia="en-GB"/>
        </w:rPr>
        <w:t>neutered Bill of Rights</w:t>
      </w:r>
      <w:r w:rsidR="005C333F" w:rsidRPr="00226954">
        <w:rPr>
          <w:rFonts w:eastAsia="Times New Roman" w:cs="Times New Roman"/>
          <w:lang w:eastAsia="en-GB"/>
        </w:rPr>
        <w:t>,</w:t>
      </w:r>
      <w:r w:rsidR="002F1FA7" w:rsidRPr="00226954">
        <w:rPr>
          <w:rFonts w:eastAsia="Times New Roman" w:cs="Times New Roman"/>
          <w:lang w:eastAsia="en-GB"/>
        </w:rPr>
        <w:t xml:space="preserve"> </w:t>
      </w:r>
      <w:r w:rsidR="003D3DA5">
        <w:rPr>
          <w:rFonts w:eastAsia="Times New Roman" w:cs="Times New Roman"/>
          <w:lang w:eastAsia="en-GB"/>
        </w:rPr>
        <w:t>might</w:t>
      </w:r>
      <w:r w:rsidR="002F1FA7" w:rsidRPr="00226954">
        <w:rPr>
          <w:rFonts w:eastAsia="Times New Roman" w:cs="Times New Roman"/>
          <w:lang w:eastAsia="en-GB"/>
        </w:rPr>
        <w:t xml:space="preserve"> </w:t>
      </w:r>
      <w:r w:rsidR="005C333F" w:rsidRPr="00226954">
        <w:rPr>
          <w:rFonts w:eastAsia="Times New Roman" w:cs="Times New Roman"/>
          <w:lang w:eastAsia="en-GB"/>
        </w:rPr>
        <w:t>simply return the UK to the inferior protections of the pr</w:t>
      </w:r>
      <w:r w:rsidR="003D3DA5">
        <w:rPr>
          <w:rFonts w:eastAsia="Times New Roman" w:cs="Times New Roman"/>
          <w:lang w:eastAsia="en-GB"/>
        </w:rPr>
        <w:t>evious</w:t>
      </w:r>
      <w:r w:rsidR="005C333F" w:rsidRPr="00226954">
        <w:rPr>
          <w:rFonts w:eastAsia="Times New Roman" w:cs="Times New Roman"/>
          <w:lang w:eastAsia="en-GB"/>
        </w:rPr>
        <w:t xml:space="preserve"> rights-settlement in the UK, </w:t>
      </w:r>
      <w:r w:rsidR="003D3DA5">
        <w:rPr>
          <w:rFonts w:eastAsia="Times New Roman" w:cs="Times New Roman"/>
          <w:lang w:eastAsia="en-GB"/>
        </w:rPr>
        <w:t xml:space="preserve">partially </w:t>
      </w:r>
      <w:r w:rsidR="005C333F" w:rsidRPr="00226954">
        <w:rPr>
          <w:rFonts w:eastAsia="Times New Roman" w:cs="Times New Roman"/>
          <w:lang w:eastAsia="en-GB"/>
        </w:rPr>
        <w:t>removing effective judicial opposition to legislative incursions into the various rights discussed in this work</w:t>
      </w:r>
      <w:r w:rsidR="003D3DA5">
        <w:rPr>
          <w:rFonts w:eastAsia="Times New Roman" w:cs="Times New Roman"/>
          <w:lang w:eastAsia="en-GB"/>
        </w:rPr>
        <w:t>, and failing to call the executive fully to account</w:t>
      </w:r>
      <w:r w:rsidR="005C333F" w:rsidRPr="00226954">
        <w:rPr>
          <w:rFonts w:eastAsia="Times New Roman" w:cs="Times New Roman"/>
          <w:lang w:eastAsia="en-GB"/>
        </w:rPr>
        <w:t>.</w:t>
      </w:r>
    </w:p>
    <w:p w:rsidR="00DE4BAB" w:rsidRDefault="00DE4BAB" w:rsidP="00A339EA">
      <w:pPr>
        <w:spacing w:line="480" w:lineRule="auto"/>
        <w:ind w:firstLine="360"/>
        <w:jc w:val="both"/>
        <w:rPr>
          <w:rFonts w:eastAsia="Times New Roman" w:cs="Times New Roman"/>
          <w:lang w:eastAsia="en-GB"/>
        </w:rPr>
      </w:pPr>
    </w:p>
    <w:p w:rsidR="00DE4BAB" w:rsidRDefault="00DE4BAB" w:rsidP="00A339EA">
      <w:pPr>
        <w:spacing w:line="480" w:lineRule="auto"/>
        <w:ind w:firstLine="360"/>
        <w:jc w:val="both"/>
        <w:rPr>
          <w:rFonts w:eastAsia="Times New Roman" w:cs="Times New Roman"/>
          <w:lang w:eastAsia="en-GB"/>
        </w:rPr>
      </w:pPr>
    </w:p>
    <w:sectPr w:rsidR="00DE4B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E2" w:rsidRDefault="003804E2" w:rsidP="0044606D">
      <w:pPr>
        <w:spacing w:after="0" w:line="240" w:lineRule="auto"/>
      </w:pPr>
      <w:r>
        <w:separator/>
      </w:r>
    </w:p>
  </w:endnote>
  <w:endnote w:type="continuationSeparator" w:id="0">
    <w:p w:rsidR="003804E2" w:rsidRDefault="003804E2" w:rsidP="0044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E2" w:rsidRDefault="003804E2" w:rsidP="0044606D">
      <w:pPr>
        <w:spacing w:after="0" w:line="240" w:lineRule="auto"/>
      </w:pPr>
      <w:r>
        <w:separator/>
      </w:r>
    </w:p>
  </w:footnote>
  <w:footnote w:type="continuationSeparator" w:id="0">
    <w:p w:rsidR="003804E2" w:rsidRDefault="003804E2" w:rsidP="0044606D">
      <w:pPr>
        <w:spacing w:after="0" w:line="240" w:lineRule="auto"/>
      </w:pPr>
      <w:r>
        <w:continuationSeparator/>
      </w:r>
    </w:p>
  </w:footnote>
  <w:footnote w:id="1">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r w:rsidR="00674CCA" w:rsidRPr="00791A1D">
        <w:rPr>
          <w:rFonts w:ascii="Times New Roman" w:hAnsi="Times New Roman" w:cs="Times New Roman"/>
        </w:rPr>
        <w:t>H Fenwick ‘Origins of Rights and Freedoms’</w:t>
      </w:r>
      <w:r w:rsidR="00674CCA" w:rsidRPr="00791A1D">
        <w:rPr>
          <w:rFonts w:ascii="Times New Roman" w:hAnsi="Times New Roman" w:cs="Times New Roman"/>
        </w:rPr>
        <w:t xml:space="preserve"> </w:t>
      </w:r>
      <w:r w:rsidR="00674CCA" w:rsidRPr="00791A1D">
        <w:rPr>
          <w:rFonts w:ascii="Times New Roman" w:hAnsi="Times New Roman" w:cs="Times New Roman"/>
        </w:rPr>
        <w:t>i</w:t>
      </w:r>
      <w:r w:rsidR="00674CCA" w:rsidRPr="00791A1D">
        <w:rPr>
          <w:rFonts w:ascii="Times New Roman" w:hAnsi="Times New Roman" w:cs="Times New Roman"/>
        </w:rPr>
        <w:t xml:space="preserve">n </w:t>
      </w:r>
      <w:proofErr w:type="spellStart"/>
      <w:r w:rsidR="00674CCA" w:rsidRPr="00791A1D">
        <w:rPr>
          <w:rFonts w:ascii="Times New Roman" w:hAnsi="Times New Roman" w:cs="Times New Roman"/>
        </w:rPr>
        <w:t>Halsbury's</w:t>
      </w:r>
      <w:proofErr w:type="spellEnd"/>
      <w:r w:rsidR="00674CCA" w:rsidRPr="00791A1D">
        <w:rPr>
          <w:rFonts w:ascii="Times New Roman" w:hAnsi="Times New Roman" w:cs="Times New Roman"/>
        </w:rPr>
        <w:t xml:space="preserve"> Laws. Lord Mackay of </w:t>
      </w:r>
      <w:proofErr w:type="spellStart"/>
      <w:r w:rsidR="00674CCA" w:rsidRPr="00791A1D">
        <w:rPr>
          <w:rFonts w:ascii="Times New Roman" w:hAnsi="Times New Roman" w:cs="Times New Roman"/>
        </w:rPr>
        <w:t>Clashfern</w:t>
      </w:r>
      <w:proofErr w:type="spellEnd"/>
      <w:r w:rsidR="00674CCA" w:rsidRPr="00791A1D">
        <w:rPr>
          <w:rFonts w:ascii="Times New Roman" w:hAnsi="Times New Roman" w:cs="Times New Roman"/>
        </w:rPr>
        <w:t xml:space="preserve"> </w:t>
      </w:r>
      <w:r w:rsidR="00674CCA" w:rsidRPr="00791A1D">
        <w:rPr>
          <w:rFonts w:ascii="Times New Roman" w:hAnsi="Times New Roman" w:cs="Times New Roman"/>
        </w:rPr>
        <w:t>and</w:t>
      </w:r>
      <w:r w:rsidR="00674CCA" w:rsidRPr="00791A1D">
        <w:rPr>
          <w:rFonts w:ascii="Times New Roman" w:hAnsi="Times New Roman" w:cs="Times New Roman"/>
        </w:rPr>
        <w:t xml:space="preserve"> </w:t>
      </w:r>
      <w:proofErr w:type="spellStart"/>
      <w:r w:rsidR="00674CCA" w:rsidRPr="00791A1D">
        <w:rPr>
          <w:rFonts w:ascii="Times New Roman" w:hAnsi="Times New Roman" w:cs="Times New Roman"/>
        </w:rPr>
        <w:t>Falkowski</w:t>
      </w:r>
      <w:proofErr w:type="spellEnd"/>
      <w:r w:rsidR="00674CCA" w:rsidRPr="00791A1D">
        <w:rPr>
          <w:rFonts w:ascii="Times New Roman" w:hAnsi="Times New Roman" w:cs="Times New Roman"/>
        </w:rPr>
        <w:t>, D (</w:t>
      </w:r>
      <w:proofErr w:type="spellStart"/>
      <w:proofErr w:type="gramStart"/>
      <w:r w:rsidR="00674CCA" w:rsidRPr="00791A1D">
        <w:rPr>
          <w:rFonts w:ascii="Times New Roman" w:hAnsi="Times New Roman" w:cs="Times New Roman"/>
        </w:rPr>
        <w:t>ed</w:t>
      </w:r>
      <w:r w:rsidR="00674CCA" w:rsidRPr="00791A1D">
        <w:rPr>
          <w:rFonts w:ascii="Times New Roman" w:hAnsi="Times New Roman" w:cs="Times New Roman"/>
        </w:rPr>
        <w:t>s</w:t>
      </w:r>
      <w:proofErr w:type="spellEnd"/>
      <w:proofErr w:type="gramEnd"/>
      <w:r w:rsidR="00674CCA" w:rsidRPr="00791A1D">
        <w:rPr>
          <w:rFonts w:ascii="Times New Roman" w:hAnsi="Times New Roman" w:cs="Times New Roman"/>
        </w:rPr>
        <w:t xml:space="preserve">) </w:t>
      </w:r>
      <w:r w:rsidR="00674CCA" w:rsidRPr="00791A1D">
        <w:rPr>
          <w:rFonts w:ascii="Times New Roman" w:hAnsi="Times New Roman" w:cs="Times New Roman"/>
        </w:rPr>
        <w:t>(</w:t>
      </w:r>
      <w:r w:rsidR="00674CCA" w:rsidRPr="00791A1D">
        <w:rPr>
          <w:rFonts w:ascii="Times New Roman" w:hAnsi="Times New Roman" w:cs="Times New Roman"/>
        </w:rPr>
        <w:t>LexisNexis</w:t>
      </w:r>
      <w:r w:rsidR="00674CCA" w:rsidRPr="00791A1D">
        <w:rPr>
          <w:rFonts w:ascii="Times New Roman" w:hAnsi="Times New Roman" w:cs="Times New Roman"/>
        </w:rPr>
        <w:t>: London, 2013)</w:t>
      </w:r>
      <w:r w:rsidR="00674CCA" w:rsidRPr="00791A1D">
        <w:rPr>
          <w:rFonts w:ascii="Times New Roman" w:hAnsi="Times New Roman" w:cs="Times New Roman"/>
        </w:rPr>
        <w:t>.</w:t>
      </w:r>
    </w:p>
  </w:footnote>
  <w:footnote w:id="2">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Chap 00 pp00.</w:t>
      </w:r>
    </w:p>
  </w:footnote>
  <w:footnote w:id="3">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further: </w:t>
      </w:r>
      <w:proofErr w:type="spellStart"/>
      <w:r w:rsidRPr="00791A1D">
        <w:rPr>
          <w:rFonts w:ascii="Times New Roman" w:hAnsi="Times New Roman" w:cs="Times New Roman"/>
        </w:rPr>
        <w:t>Gearty</w:t>
      </w:r>
      <w:proofErr w:type="spellEnd"/>
      <w:r w:rsidRPr="00791A1D">
        <w:rPr>
          <w:rFonts w:ascii="Times New Roman" w:hAnsi="Times New Roman" w:cs="Times New Roman"/>
        </w:rPr>
        <w:t xml:space="preserve">, C and Ewing, K </w:t>
      </w:r>
      <w:r w:rsidR="00674CCA" w:rsidRPr="00791A1D">
        <w:rPr>
          <w:rFonts w:ascii="Times New Roman" w:hAnsi="Times New Roman" w:cs="Times New Roman"/>
          <w:i/>
          <w:iCs/>
        </w:rPr>
        <w:t xml:space="preserve">Freedom under Thatcher, </w:t>
      </w:r>
      <w:r w:rsidR="00674CCA" w:rsidRPr="00791A1D">
        <w:rPr>
          <w:rFonts w:ascii="Times New Roman" w:hAnsi="Times New Roman" w:cs="Times New Roman"/>
        </w:rPr>
        <w:t>1990</w:t>
      </w:r>
      <w:r w:rsidRPr="00791A1D">
        <w:rPr>
          <w:rFonts w:ascii="Times New Roman" w:hAnsi="Times New Roman" w:cs="Times New Roman"/>
        </w:rPr>
        <w:t xml:space="preserve">, OUP; Feldman, D </w:t>
      </w:r>
      <w:r w:rsidRPr="00791A1D">
        <w:rPr>
          <w:rFonts w:ascii="Times New Roman" w:hAnsi="Times New Roman" w:cs="Times New Roman"/>
          <w:i/>
          <w:iCs/>
        </w:rPr>
        <w:t xml:space="preserve">Civil Liberties </w:t>
      </w:r>
      <w:r w:rsidRPr="00791A1D">
        <w:rPr>
          <w:rFonts w:ascii="Times New Roman" w:hAnsi="Times New Roman" w:cs="Times New Roman"/>
        </w:rPr>
        <w:t xml:space="preserve">1st </w:t>
      </w:r>
      <w:proofErr w:type="spellStart"/>
      <w:r w:rsidRPr="00791A1D">
        <w:rPr>
          <w:rFonts w:ascii="Times New Roman" w:hAnsi="Times New Roman" w:cs="Times New Roman"/>
        </w:rPr>
        <w:t>edn</w:t>
      </w:r>
      <w:proofErr w:type="spellEnd"/>
      <w:r w:rsidRPr="00791A1D">
        <w:rPr>
          <w:rFonts w:ascii="Times New Roman" w:hAnsi="Times New Roman" w:cs="Times New Roman"/>
        </w:rPr>
        <w:t xml:space="preserve">, 1993, Clarendon; </w:t>
      </w:r>
      <w:proofErr w:type="spellStart"/>
      <w:r w:rsidRPr="00791A1D">
        <w:rPr>
          <w:rFonts w:ascii="Times New Roman" w:hAnsi="Times New Roman" w:cs="Times New Roman"/>
        </w:rPr>
        <w:t>Gearty</w:t>
      </w:r>
      <w:proofErr w:type="spellEnd"/>
      <w:r w:rsidRPr="00791A1D">
        <w:rPr>
          <w:rFonts w:ascii="Times New Roman" w:hAnsi="Times New Roman" w:cs="Times New Roman"/>
        </w:rPr>
        <w:t xml:space="preserve">, C and Ewing, K </w:t>
      </w:r>
      <w:r w:rsidRPr="00791A1D">
        <w:rPr>
          <w:rFonts w:ascii="Times New Roman" w:hAnsi="Times New Roman" w:cs="Times New Roman"/>
          <w:i/>
          <w:iCs/>
        </w:rPr>
        <w:t>The Struggle for Civil Liberties</w:t>
      </w:r>
      <w:r w:rsidRPr="00791A1D">
        <w:rPr>
          <w:rFonts w:ascii="Times New Roman" w:hAnsi="Times New Roman" w:cs="Times New Roman"/>
        </w:rPr>
        <w:t>, 2000, Clarendon.</w:t>
      </w:r>
    </w:p>
  </w:footnote>
  <w:footnote w:id="4">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Chap 3 pp00.</w:t>
      </w:r>
    </w:p>
  </w:footnote>
  <w:footnote w:id="5">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pp 00. </w:t>
      </w:r>
    </w:p>
  </w:footnote>
  <w:footnote w:id="6">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pp00.</w:t>
      </w:r>
    </w:p>
  </w:footnote>
  <w:footnote w:id="7">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F Klug </w:t>
      </w:r>
      <w:proofErr w:type="gramStart"/>
      <w:r w:rsidRPr="00791A1D">
        <w:rPr>
          <w:rFonts w:ascii="Times New Roman" w:hAnsi="Times New Roman" w:cs="Times New Roman"/>
          <w:i/>
        </w:rPr>
        <w:t>A</w:t>
      </w:r>
      <w:proofErr w:type="gramEnd"/>
      <w:r w:rsidRPr="00791A1D">
        <w:rPr>
          <w:rFonts w:ascii="Times New Roman" w:hAnsi="Times New Roman" w:cs="Times New Roman"/>
          <w:i/>
        </w:rPr>
        <w:t xml:space="preserve"> Magna Carta for humanity: horning in on human rights</w:t>
      </w:r>
      <w:r w:rsidR="00674CCA" w:rsidRPr="00791A1D">
        <w:rPr>
          <w:rFonts w:ascii="Times New Roman" w:hAnsi="Times New Roman" w:cs="Times New Roman"/>
        </w:rPr>
        <w:t xml:space="preserve">, </w:t>
      </w:r>
      <w:r w:rsidR="00674CCA" w:rsidRPr="00791A1D">
        <w:rPr>
          <w:rFonts w:ascii="Times New Roman" w:hAnsi="Times New Roman" w:cs="Times New Roman"/>
        </w:rPr>
        <w:t>2015</w:t>
      </w:r>
      <w:r w:rsidR="00674CCA" w:rsidRPr="00791A1D">
        <w:rPr>
          <w:rFonts w:ascii="Times New Roman" w:hAnsi="Times New Roman" w:cs="Times New Roman"/>
        </w:rPr>
        <w:t>, Routledge</w:t>
      </w:r>
      <w:r w:rsidRPr="00791A1D">
        <w:rPr>
          <w:rFonts w:ascii="Times New Roman" w:hAnsi="Times New Roman" w:cs="Times New Roman"/>
        </w:rPr>
        <w:t>; Klug</w:t>
      </w:r>
      <w:r w:rsidR="00674CCA" w:rsidRPr="00791A1D">
        <w:rPr>
          <w:rFonts w:ascii="Times New Roman" w:hAnsi="Times New Roman" w:cs="Times New Roman"/>
        </w:rPr>
        <w:t>, F</w:t>
      </w:r>
      <w:r w:rsidRPr="00791A1D">
        <w:rPr>
          <w:rFonts w:ascii="Times New Roman" w:hAnsi="Times New Roman" w:cs="Times New Roman"/>
        </w:rPr>
        <w:t xml:space="preserve"> </w:t>
      </w:r>
      <w:r w:rsidR="00674CCA" w:rsidRPr="00791A1D">
        <w:rPr>
          <w:rFonts w:ascii="Times New Roman" w:hAnsi="Times New Roman" w:cs="Times New Roman"/>
        </w:rPr>
        <w:t>‘</w:t>
      </w:r>
      <w:r w:rsidRPr="00791A1D">
        <w:rPr>
          <w:rFonts w:ascii="Times New Roman" w:hAnsi="Times New Roman" w:cs="Times New Roman"/>
        </w:rPr>
        <w:t xml:space="preserve">The Human Rights Act: a </w:t>
      </w:r>
      <w:r w:rsidR="00674CCA" w:rsidRPr="00791A1D">
        <w:rPr>
          <w:rFonts w:ascii="Times New Roman" w:hAnsi="Times New Roman" w:cs="Times New Roman"/>
        </w:rPr>
        <w:t>“third way”</w:t>
      </w:r>
      <w:r w:rsidRPr="00791A1D">
        <w:rPr>
          <w:rFonts w:ascii="Times New Roman" w:hAnsi="Times New Roman" w:cs="Times New Roman"/>
        </w:rPr>
        <w:t xml:space="preserve"> or </w:t>
      </w:r>
      <w:r w:rsidR="00674CCA" w:rsidRPr="00791A1D">
        <w:rPr>
          <w:rFonts w:ascii="Times New Roman" w:hAnsi="Times New Roman" w:cs="Times New Roman"/>
        </w:rPr>
        <w:t>“third wave”</w:t>
      </w:r>
      <w:r w:rsidRPr="00791A1D">
        <w:rPr>
          <w:rFonts w:ascii="Times New Roman" w:hAnsi="Times New Roman" w:cs="Times New Roman"/>
        </w:rPr>
        <w:t xml:space="preserve"> bill of rights?</w:t>
      </w:r>
      <w:r w:rsidR="00674CCA" w:rsidRPr="00791A1D">
        <w:rPr>
          <w:rFonts w:ascii="Times New Roman" w:hAnsi="Times New Roman" w:cs="Times New Roman"/>
        </w:rPr>
        <w:t>’</w:t>
      </w:r>
      <w:r w:rsidRPr="00791A1D">
        <w:rPr>
          <w:rFonts w:ascii="Times New Roman" w:hAnsi="Times New Roman" w:cs="Times New Roman"/>
        </w:rPr>
        <w:t xml:space="preserve"> </w:t>
      </w:r>
      <w:r w:rsidR="00674CCA" w:rsidRPr="00791A1D">
        <w:rPr>
          <w:rFonts w:ascii="Times New Roman" w:hAnsi="Times New Roman" w:cs="Times New Roman"/>
        </w:rPr>
        <w:t xml:space="preserve">(2001) </w:t>
      </w:r>
      <w:r w:rsidR="00674CCA" w:rsidRPr="00791A1D">
        <w:rPr>
          <w:rFonts w:ascii="Times New Roman" w:hAnsi="Times New Roman" w:cs="Times New Roman"/>
          <w:iCs/>
        </w:rPr>
        <w:t>EHRLR 361</w:t>
      </w:r>
      <w:r w:rsidRPr="00791A1D">
        <w:rPr>
          <w:rFonts w:ascii="Times New Roman" w:hAnsi="Times New Roman" w:cs="Times New Roman"/>
        </w:rPr>
        <w:t xml:space="preserve">; Klug, </w:t>
      </w:r>
      <w:r w:rsidR="00674CCA" w:rsidRPr="00791A1D">
        <w:rPr>
          <w:rFonts w:ascii="Times New Roman" w:hAnsi="Times New Roman" w:cs="Times New Roman"/>
        </w:rPr>
        <w:t xml:space="preserve">F </w:t>
      </w:r>
      <w:proofErr w:type="spellStart"/>
      <w:r w:rsidRPr="00791A1D">
        <w:rPr>
          <w:rFonts w:ascii="Times New Roman" w:hAnsi="Times New Roman" w:cs="Times New Roman"/>
        </w:rPr>
        <w:t>Starmer</w:t>
      </w:r>
      <w:proofErr w:type="spellEnd"/>
      <w:r w:rsidR="00674CCA" w:rsidRPr="00791A1D">
        <w:rPr>
          <w:rFonts w:ascii="Times New Roman" w:hAnsi="Times New Roman" w:cs="Times New Roman"/>
        </w:rPr>
        <w:t xml:space="preserve">, </w:t>
      </w:r>
      <w:r w:rsidR="00674CCA" w:rsidRPr="00791A1D">
        <w:rPr>
          <w:rFonts w:ascii="Times New Roman" w:hAnsi="Times New Roman" w:cs="Times New Roman"/>
        </w:rPr>
        <w:t>K</w:t>
      </w:r>
      <w:r w:rsidRPr="00791A1D">
        <w:rPr>
          <w:rFonts w:ascii="Times New Roman" w:hAnsi="Times New Roman" w:cs="Times New Roman"/>
        </w:rPr>
        <w:t xml:space="preserve"> </w:t>
      </w:r>
      <w:r w:rsidR="00674CCA" w:rsidRPr="00791A1D">
        <w:rPr>
          <w:rFonts w:ascii="Times New Roman" w:hAnsi="Times New Roman" w:cs="Times New Roman"/>
        </w:rPr>
        <w:t>‘</w:t>
      </w:r>
      <w:r w:rsidRPr="00791A1D">
        <w:rPr>
          <w:rFonts w:ascii="Times New Roman" w:hAnsi="Times New Roman" w:cs="Times New Roman"/>
        </w:rPr>
        <w:t>Incorporation through the front door, an evaluation of the Human Rights Act in the courts</w:t>
      </w:r>
      <w:r w:rsidR="00674CCA" w:rsidRPr="00791A1D">
        <w:rPr>
          <w:rFonts w:ascii="Times New Roman" w:hAnsi="Times New Roman" w:cs="Times New Roman"/>
        </w:rPr>
        <w:t>’ [2001] PL 654</w:t>
      </w:r>
      <w:r w:rsidRPr="00791A1D">
        <w:rPr>
          <w:rFonts w:ascii="Times New Roman" w:hAnsi="Times New Roman" w:cs="Times New Roman"/>
        </w:rPr>
        <w:t xml:space="preserve">; </w:t>
      </w:r>
      <w:r w:rsidR="00674CCA" w:rsidRPr="00791A1D">
        <w:rPr>
          <w:rFonts w:ascii="Times New Roman" w:hAnsi="Times New Roman" w:cs="Times New Roman"/>
        </w:rPr>
        <w:t xml:space="preserve">Klug, F </w:t>
      </w:r>
      <w:r w:rsidRPr="00791A1D">
        <w:rPr>
          <w:rFonts w:ascii="Times New Roman" w:hAnsi="Times New Roman" w:cs="Times New Roman"/>
          <w:i/>
          <w:iCs/>
        </w:rPr>
        <w:t>Values for a Godless Age, the story of the UK's new bill of rights</w:t>
      </w:r>
      <w:r w:rsidR="00674CCA" w:rsidRPr="00791A1D">
        <w:rPr>
          <w:rFonts w:ascii="Times New Roman" w:hAnsi="Times New Roman" w:cs="Times New Roman"/>
        </w:rPr>
        <w:t>, 2000, Penguin</w:t>
      </w:r>
      <w:r w:rsidRPr="00791A1D">
        <w:rPr>
          <w:rFonts w:ascii="Times New Roman" w:hAnsi="Times New Roman" w:cs="Times New Roman"/>
        </w:rPr>
        <w:t xml:space="preserve">. </w:t>
      </w:r>
    </w:p>
  </w:footnote>
  <w:footnote w:id="8">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r w:rsidRPr="00791A1D">
        <w:rPr>
          <w:rFonts w:ascii="Times New Roman" w:hAnsi="Times New Roman" w:cs="Times New Roman"/>
          <w:i/>
          <w:iCs/>
        </w:rPr>
        <w:t>Bringing Rights Home: Labour’s plans to incorporate the ECHR into UK Law: A Consultation Paper</w:t>
      </w:r>
      <w:r w:rsidRPr="00791A1D">
        <w:rPr>
          <w:rFonts w:ascii="Times New Roman" w:hAnsi="Times New Roman" w:cs="Times New Roman"/>
        </w:rPr>
        <w:t xml:space="preserve">, December 1996 (1997) and the White Paper, </w:t>
      </w:r>
      <w:r w:rsidRPr="00791A1D">
        <w:rPr>
          <w:rFonts w:ascii="Times New Roman" w:hAnsi="Times New Roman" w:cs="Times New Roman"/>
          <w:i/>
          <w:iCs/>
        </w:rPr>
        <w:t>Rights Brought Home</w:t>
      </w:r>
      <w:r w:rsidRPr="00791A1D">
        <w:rPr>
          <w:rFonts w:ascii="Times New Roman" w:hAnsi="Times New Roman" w:cs="Times New Roman"/>
        </w:rPr>
        <w:t xml:space="preserve">, Cm 3782, October 1997; see also Straw, J and </w:t>
      </w:r>
      <w:proofErr w:type="spellStart"/>
      <w:r w:rsidRPr="00791A1D">
        <w:rPr>
          <w:rFonts w:ascii="Times New Roman" w:hAnsi="Times New Roman" w:cs="Times New Roman"/>
        </w:rPr>
        <w:t>Boateng</w:t>
      </w:r>
      <w:proofErr w:type="spellEnd"/>
      <w:r w:rsidRPr="00791A1D">
        <w:rPr>
          <w:rFonts w:ascii="Times New Roman" w:hAnsi="Times New Roman" w:cs="Times New Roman"/>
        </w:rPr>
        <w:t>, P ‘Bringing Rights Home: Labour’s plan to incorporate the European Convention on Human Rights into UK law’ (1997) 1 EHRLR 71.</w:t>
      </w:r>
    </w:p>
  </w:footnote>
  <w:footnote w:id="9">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Lord Cooke ‘The British embracement of human rights’ (1999) 3 EHRLR 243; Feldman, D, ‘The Human Rights Act and constitutional principles’ (1999) 19(2) LS 165.</w:t>
      </w:r>
    </w:p>
  </w:footnote>
  <w:footnote w:id="10">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Michael Gove the Secretary of State for Justice HC Deb Vol 596 Col 291, 28</w:t>
      </w:r>
      <w:r w:rsidRPr="00791A1D">
        <w:rPr>
          <w:rFonts w:ascii="Times New Roman" w:hAnsi="Times New Roman" w:cs="Times New Roman"/>
          <w:vertAlign w:val="superscript"/>
        </w:rPr>
        <w:t>th</w:t>
      </w:r>
      <w:r w:rsidRPr="00791A1D">
        <w:rPr>
          <w:rFonts w:ascii="Times New Roman" w:hAnsi="Times New Roman" w:cs="Times New Roman"/>
        </w:rPr>
        <w:t xml:space="preserve"> May 2015. The implications of the current proposal from the Conservative government to repeal the HRA in 2017 or 2018 and replace it with a British Bill of Rights are considered at a number of points, and specifically in Chap 3 pp00.</w:t>
      </w:r>
    </w:p>
  </w:footnote>
  <w:footnote w:id="11">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spellStart"/>
      <w:proofErr w:type="gramStart"/>
      <w:r w:rsidR="00674CCA" w:rsidRPr="00791A1D">
        <w:rPr>
          <w:rFonts w:ascii="Times New Roman" w:hAnsi="Times New Roman" w:cs="Times New Roman"/>
          <w:bCs/>
        </w:rPr>
        <w:t>Masterman</w:t>
      </w:r>
      <w:proofErr w:type="spellEnd"/>
      <w:r w:rsidR="00674CCA" w:rsidRPr="00791A1D">
        <w:rPr>
          <w:rFonts w:ascii="Times New Roman" w:hAnsi="Times New Roman" w:cs="Times New Roman"/>
          <w:bCs/>
        </w:rPr>
        <w:t>, R</w:t>
      </w:r>
      <w:r w:rsidR="005A055D" w:rsidRPr="00791A1D">
        <w:rPr>
          <w:rFonts w:ascii="Times New Roman" w:hAnsi="Times New Roman" w:cs="Times New Roman"/>
          <w:b/>
          <w:bCs/>
        </w:rPr>
        <w:t xml:space="preserve"> </w:t>
      </w:r>
      <w:r w:rsidR="005A055D" w:rsidRPr="00791A1D">
        <w:rPr>
          <w:rFonts w:ascii="Times New Roman" w:hAnsi="Times New Roman" w:cs="Times New Roman"/>
        </w:rPr>
        <w:t xml:space="preserve">and </w:t>
      </w:r>
      <w:r w:rsidR="00674CCA" w:rsidRPr="00791A1D">
        <w:rPr>
          <w:rFonts w:ascii="Times New Roman" w:hAnsi="Times New Roman" w:cs="Times New Roman"/>
          <w:bCs/>
        </w:rPr>
        <w:t>Se-</w:t>
      </w:r>
      <w:proofErr w:type="spellStart"/>
      <w:r w:rsidR="00674CCA" w:rsidRPr="00791A1D">
        <w:rPr>
          <w:rFonts w:ascii="Times New Roman" w:hAnsi="Times New Roman" w:cs="Times New Roman"/>
          <w:bCs/>
        </w:rPr>
        <w:t>shauna</w:t>
      </w:r>
      <w:proofErr w:type="spellEnd"/>
      <w:r w:rsidR="005A055D" w:rsidRPr="00791A1D">
        <w:rPr>
          <w:rFonts w:ascii="Times New Roman" w:hAnsi="Times New Roman" w:cs="Times New Roman"/>
          <w:bCs/>
        </w:rPr>
        <w:t>, W</w:t>
      </w:r>
      <w:r w:rsidR="00674CCA" w:rsidRPr="00791A1D">
        <w:rPr>
          <w:rFonts w:ascii="Times New Roman" w:hAnsi="Times New Roman" w:cs="Times New Roman"/>
        </w:rPr>
        <w:t xml:space="preserve"> </w:t>
      </w:r>
      <w:r w:rsidR="005A055D" w:rsidRPr="00791A1D">
        <w:rPr>
          <w:rFonts w:ascii="Times New Roman" w:hAnsi="Times New Roman" w:cs="Times New Roman"/>
        </w:rPr>
        <w:t>‘</w:t>
      </w:r>
      <w:r w:rsidR="00674CCA" w:rsidRPr="00791A1D">
        <w:rPr>
          <w:rFonts w:ascii="Times New Roman" w:hAnsi="Times New Roman" w:cs="Times New Roman"/>
        </w:rPr>
        <w:t>A Common Law Resurgence in Rights Protection?</w:t>
      </w:r>
      <w:r w:rsidR="005A055D" w:rsidRPr="00791A1D">
        <w:rPr>
          <w:rFonts w:ascii="Times New Roman" w:hAnsi="Times New Roman" w:cs="Times New Roman"/>
        </w:rPr>
        <w:t>’</w:t>
      </w:r>
      <w:proofErr w:type="gramEnd"/>
      <w:r w:rsidR="00674CCA" w:rsidRPr="00791A1D">
        <w:rPr>
          <w:rFonts w:ascii="Times New Roman" w:hAnsi="Times New Roman" w:cs="Times New Roman"/>
        </w:rPr>
        <w:t xml:space="preserve"> </w:t>
      </w:r>
      <w:proofErr w:type="gramStart"/>
      <w:r w:rsidR="005A055D" w:rsidRPr="00791A1D">
        <w:rPr>
          <w:rFonts w:ascii="Times New Roman" w:hAnsi="Times New Roman" w:cs="Times New Roman"/>
        </w:rPr>
        <w:t xml:space="preserve">(2015) </w:t>
      </w:r>
      <w:r w:rsidR="005A055D" w:rsidRPr="00791A1D">
        <w:rPr>
          <w:rFonts w:ascii="Times New Roman" w:hAnsi="Times New Roman" w:cs="Times New Roman"/>
          <w:iCs/>
        </w:rPr>
        <w:t>EHRLR</w:t>
      </w:r>
      <w:r w:rsidR="00674CCA" w:rsidRPr="00791A1D">
        <w:rPr>
          <w:rFonts w:ascii="Times New Roman" w:hAnsi="Times New Roman" w:cs="Times New Roman"/>
        </w:rPr>
        <w:t xml:space="preserve"> 57</w:t>
      </w:r>
      <w:r w:rsidR="005A055D" w:rsidRPr="00791A1D">
        <w:rPr>
          <w:rFonts w:ascii="Times New Roman" w:hAnsi="Times New Roman" w:cs="Times New Roman"/>
        </w:rPr>
        <w:t>.</w:t>
      </w:r>
      <w:proofErr w:type="gramEnd"/>
    </w:p>
  </w:footnote>
  <w:footnote w:id="12">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Texts referred to throughout this book:  Klug, F, </w:t>
      </w:r>
      <w:r w:rsidRPr="00791A1D">
        <w:rPr>
          <w:rFonts w:ascii="Times New Roman" w:hAnsi="Times New Roman" w:cs="Times New Roman"/>
          <w:i/>
        </w:rPr>
        <w:t xml:space="preserve">A Magna Carta for all Humanity: Homing in on Human Rights, </w:t>
      </w:r>
      <w:r w:rsidRPr="00791A1D">
        <w:rPr>
          <w:rFonts w:ascii="Times New Roman" w:hAnsi="Times New Roman" w:cs="Times New Roman"/>
        </w:rPr>
        <w:t>2015, Routledge;</w:t>
      </w:r>
      <w:r w:rsidRPr="00791A1D">
        <w:rPr>
          <w:rFonts w:ascii="Times New Roman" w:hAnsi="Times New Roman" w:cs="Times New Roman"/>
          <w:i/>
        </w:rPr>
        <w:t xml:space="preserve"> </w:t>
      </w:r>
      <w:r w:rsidRPr="00791A1D">
        <w:rPr>
          <w:rFonts w:ascii="Times New Roman" w:hAnsi="Times New Roman" w:cs="Times New Roman"/>
        </w:rPr>
        <w:t xml:space="preserve">Feldman, D, </w:t>
      </w:r>
      <w:r w:rsidRPr="00791A1D">
        <w:rPr>
          <w:rFonts w:ascii="Times New Roman" w:hAnsi="Times New Roman" w:cs="Times New Roman"/>
          <w:i/>
          <w:iCs/>
        </w:rPr>
        <w:t>Civil Liberties and Human Rights in England and Wales</w:t>
      </w:r>
      <w:r w:rsidRPr="00791A1D">
        <w:rPr>
          <w:rFonts w:ascii="Times New Roman" w:hAnsi="Times New Roman" w:cs="Times New Roman"/>
        </w:rPr>
        <w:t xml:space="preserve">, 2002; Klug, F, </w:t>
      </w:r>
      <w:proofErr w:type="spellStart"/>
      <w:r w:rsidRPr="00791A1D">
        <w:rPr>
          <w:rFonts w:ascii="Times New Roman" w:hAnsi="Times New Roman" w:cs="Times New Roman"/>
        </w:rPr>
        <w:t>Starmer</w:t>
      </w:r>
      <w:proofErr w:type="spellEnd"/>
      <w:r w:rsidRPr="00791A1D">
        <w:rPr>
          <w:rFonts w:ascii="Times New Roman" w:hAnsi="Times New Roman" w:cs="Times New Roman"/>
        </w:rPr>
        <w:t xml:space="preserve">, K and Weir, S, </w:t>
      </w:r>
      <w:r w:rsidRPr="00791A1D">
        <w:rPr>
          <w:rFonts w:ascii="Times New Roman" w:hAnsi="Times New Roman" w:cs="Times New Roman"/>
          <w:i/>
          <w:iCs/>
        </w:rPr>
        <w:t>The Three Pillars of Liberty: Political Rights and Freedoms in the UK</w:t>
      </w:r>
      <w:r w:rsidRPr="00791A1D">
        <w:rPr>
          <w:rFonts w:ascii="Times New Roman" w:hAnsi="Times New Roman" w:cs="Times New Roman"/>
        </w:rPr>
        <w:t>, 1996, Routledge; Gordon, R and Wilmot-Smith, R (</w:t>
      </w:r>
      <w:proofErr w:type="spellStart"/>
      <w:r w:rsidRPr="00791A1D">
        <w:rPr>
          <w:rFonts w:ascii="Times New Roman" w:hAnsi="Times New Roman" w:cs="Times New Roman"/>
        </w:rPr>
        <w:t>eds</w:t>
      </w:r>
      <w:proofErr w:type="spellEnd"/>
      <w:r w:rsidRPr="00791A1D">
        <w:rPr>
          <w:rFonts w:ascii="Times New Roman" w:hAnsi="Times New Roman" w:cs="Times New Roman"/>
        </w:rPr>
        <w:t xml:space="preserve">), </w:t>
      </w:r>
      <w:r w:rsidRPr="00791A1D">
        <w:rPr>
          <w:rFonts w:ascii="Times New Roman" w:hAnsi="Times New Roman" w:cs="Times New Roman"/>
          <w:i/>
          <w:iCs/>
        </w:rPr>
        <w:t>Human Rights in the UK</w:t>
      </w:r>
      <w:r w:rsidRPr="00791A1D">
        <w:rPr>
          <w:rFonts w:ascii="Times New Roman" w:hAnsi="Times New Roman" w:cs="Times New Roman"/>
        </w:rPr>
        <w:t xml:space="preserve">, 1997, OUP; Van </w:t>
      </w:r>
      <w:proofErr w:type="spellStart"/>
      <w:r w:rsidRPr="00791A1D">
        <w:rPr>
          <w:rFonts w:ascii="Times New Roman" w:hAnsi="Times New Roman" w:cs="Times New Roman"/>
        </w:rPr>
        <w:t>Dijk</w:t>
      </w:r>
      <w:proofErr w:type="spellEnd"/>
      <w:r w:rsidRPr="00791A1D">
        <w:rPr>
          <w:rFonts w:ascii="Times New Roman" w:hAnsi="Times New Roman" w:cs="Times New Roman"/>
        </w:rPr>
        <w:t xml:space="preserve">, P and Van Hoof, F, Van Rijn, A, </w:t>
      </w:r>
      <w:proofErr w:type="spellStart"/>
      <w:r w:rsidRPr="00791A1D">
        <w:rPr>
          <w:rFonts w:ascii="Times New Roman" w:hAnsi="Times New Roman" w:cs="Times New Roman"/>
        </w:rPr>
        <w:t>Zwask</w:t>
      </w:r>
      <w:proofErr w:type="spellEnd"/>
      <w:r w:rsidRPr="00791A1D">
        <w:rPr>
          <w:rFonts w:ascii="Times New Roman" w:hAnsi="Times New Roman" w:cs="Times New Roman"/>
        </w:rPr>
        <w:t xml:space="preserve">, L, </w:t>
      </w:r>
      <w:r w:rsidRPr="00791A1D">
        <w:rPr>
          <w:rFonts w:ascii="Times New Roman" w:hAnsi="Times New Roman" w:cs="Times New Roman"/>
          <w:i/>
          <w:iCs/>
        </w:rPr>
        <w:t>Theory and Practice of the European Convention on Human Rights</w:t>
      </w:r>
      <w:r w:rsidRPr="00791A1D">
        <w:rPr>
          <w:rFonts w:ascii="Times New Roman" w:hAnsi="Times New Roman" w:cs="Times New Roman"/>
        </w:rPr>
        <w:t xml:space="preserve">, 4th </w:t>
      </w:r>
      <w:proofErr w:type="spellStart"/>
      <w:r w:rsidRPr="00791A1D">
        <w:rPr>
          <w:rFonts w:ascii="Times New Roman" w:hAnsi="Times New Roman" w:cs="Times New Roman"/>
        </w:rPr>
        <w:t>edn</w:t>
      </w:r>
      <w:proofErr w:type="spellEnd"/>
      <w:r w:rsidRPr="00791A1D">
        <w:rPr>
          <w:rFonts w:ascii="Times New Roman" w:hAnsi="Times New Roman" w:cs="Times New Roman"/>
        </w:rPr>
        <w:t xml:space="preserve">, 2006, </w:t>
      </w:r>
      <w:proofErr w:type="spellStart"/>
      <w:r w:rsidRPr="00791A1D">
        <w:rPr>
          <w:rFonts w:ascii="Times New Roman" w:hAnsi="Times New Roman" w:cs="Times New Roman"/>
        </w:rPr>
        <w:t>Intersentia</w:t>
      </w:r>
      <w:proofErr w:type="spellEnd"/>
      <w:r w:rsidRPr="00791A1D">
        <w:rPr>
          <w:rFonts w:ascii="Times New Roman" w:hAnsi="Times New Roman" w:cs="Times New Roman"/>
        </w:rPr>
        <w:t xml:space="preserve">; Mowbray, A, </w:t>
      </w:r>
      <w:r w:rsidRPr="00791A1D">
        <w:rPr>
          <w:rFonts w:ascii="Times New Roman" w:hAnsi="Times New Roman" w:cs="Times New Roman"/>
          <w:i/>
          <w:iCs/>
        </w:rPr>
        <w:t>Cases and Materials on the European Convention on Human Rights</w:t>
      </w:r>
      <w:r w:rsidRPr="00791A1D">
        <w:rPr>
          <w:rFonts w:ascii="Times New Roman" w:hAnsi="Times New Roman" w:cs="Times New Roman"/>
        </w:rPr>
        <w:t xml:space="preserve">, 3rd </w:t>
      </w:r>
      <w:proofErr w:type="spellStart"/>
      <w:r w:rsidRPr="00791A1D">
        <w:rPr>
          <w:rFonts w:ascii="Times New Roman" w:hAnsi="Times New Roman" w:cs="Times New Roman"/>
        </w:rPr>
        <w:t>edn</w:t>
      </w:r>
      <w:proofErr w:type="spellEnd"/>
      <w:r w:rsidRPr="00791A1D">
        <w:rPr>
          <w:rFonts w:ascii="Times New Roman" w:hAnsi="Times New Roman" w:cs="Times New Roman"/>
        </w:rPr>
        <w:t xml:space="preserve">, 2012, OUP; Janis, M, Kay, R and Bradley, A, </w:t>
      </w:r>
      <w:r w:rsidRPr="00791A1D">
        <w:rPr>
          <w:rFonts w:ascii="Times New Roman" w:hAnsi="Times New Roman" w:cs="Times New Roman"/>
          <w:i/>
          <w:iCs/>
        </w:rPr>
        <w:t>European Human Rights Law</w:t>
      </w:r>
      <w:r w:rsidRPr="00791A1D">
        <w:rPr>
          <w:rFonts w:ascii="Times New Roman" w:hAnsi="Times New Roman" w:cs="Times New Roman"/>
        </w:rPr>
        <w:t xml:space="preserve">, 3rd </w:t>
      </w:r>
      <w:proofErr w:type="spellStart"/>
      <w:r w:rsidRPr="00791A1D">
        <w:rPr>
          <w:rFonts w:ascii="Times New Roman" w:hAnsi="Times New Roman" w:cs="Times New Roman"/>
        </w:rPr>
        <w:t>edn</w:t>
      </w:r>
      <w:proofErr w:type="spellEnd"/>
      <w:r w:rsidRPr="00791A1D">
        <w:rPr>
          <w:rFonts w:ascii="Times New Roman" w:hAnsi="Times New Roman" w:cs="Times New Roman"/>
        </w:rPr>
        <w:t xml:space="preserve">, 2008, OUP; Harris, D, O’Boyle, K, Bates, E, and Buckley, C, </w:t>
      </w:r>
      <w:r w:rsidRPr="00791A1D">
        <w:rPr>
          <w:rFonts w:ascii="Times New Roman" w:hAnsi="Times New Roman" w:cs="Times New Roman"/>
          <w:i/>
          <w:iCs/>
        </w:rPr>
        <w:t>Law of the European Convention on Human Rights</w:t>
      </w:r>
      <w:r w:rsidRPr="00791A1D">
        <w:rPr>
          <w:rFonts w:ascii="Times New Roman" w:hAnsi="Times New Roman" w:cs="Times New Roman"/>
        </w:rPr>
        <w:t>, 2014, OUP; Dickson, B (</w:t>
      </w:r>
      <w:proofErr w:type="spellStart"/>
      <w:r w:rsidRPr="00791A1D">
        <w:rPr>
          <w:rFonts w:ascii="Times New Roman" w:hAnsi="Times New Roman" w:cs="Times New Roman"/>
        </w:rPr>
        <w:t>ed</w:t>
      </w:r>
      <w:proofErr w:type="spellEnd"/>
      <w:r w:rsidRPr="00791A1D">
        <w:rPr>
          <w:rFonts w:ascii="Times New Roman" w:hAnsi="Times New Roman" w:cs="Times New Roman"/>
        </w:rPr>
        <w:t xml:space="preserve">), and Connelly, A, </w:t>
      </w:r>
      <w:r w:rsidRPr="00791A1D">
        <w:rPr>
          <w:rFonts w:ascii="Times New Roman" w:hAnsi="Times New Roman" w:cs="Times New Roman"/>
          <w:i/>
          <w:iCs/>
        </w:rPr>
        <w:t>Human Rights and the European Convention</w:t>
      </w:r>
      <w:r w:rsidRPr="00791A1D">
        <w:rPr>
          <w:rFonts w:ascii="Times New Roman" w:hAnsi="Times New Roman" w:cs="Times New Roman"/>
        </w:rPr>
        <w:t xml:space="preserve">, 1996, Sweet and Maxwell; </w:t>
      </w:r>
      <w:proofErr w:type="spellStart"/>
      <w:r w:rsidRPr="00791A1D">
        <w:rPr>
          <w:rFonts w:ascii="Times New Roman" w:hAnsi="Times New Roman" w:cs="Times New Roman"/>
        </w:rPr>
        <w:t>Farran</w:t>
      </w:r>
      <w:proofErr w:type="spellEnd"/>
      <w:r w:rsidRPr="00791A1D">
        <w:rPr>
          <w:rFonts w:ascii="Times New Roman" w:hAnsi="Times New Roman" w:cs="Times New Roman"/>
        </w:rPr>
        <w:t xml:space="preserve">, S, </w:t>
      </w:r>
      <w:r w:rsidRPr="00791A1D">
        <w:rPr>
          <w:rFonts w:ascii="Times New Roman" w:hAnsi="Times New Roman" w:cs="Times New Roman"/>
          <w:i/>
          <w:iCs/>
        </w:rPr>
        <w:t>The UK Before the European Court of Human Rights</w:t>
      </w:r>
      <w:r w:rsidRPr="00791A1D">
        <w:rPr>
          <w:rFonts w:ascii="Times New Roman" w:hAnsi="Times New Roman" w:cs="Times New Roman"/>
        </w:rPr>
        <w:t xml:space="preserve">, 1996, Blackstone. Background: </w:t>
      </w:r>
      <w:proofErr w:type="spellStart"/>
      <w:r w:rsidRPr="00791A1D">
        <w:rPr>
          <w:rFonts w:ascii="Times New Roman" w:hAnsi="Times New Roman" w:cs="Times New Roman"/>
        </w:rPr>
        <w:t>Beddard</w:t>
      </w:r>
      <w:proofErr w:type="spellEnd"/>
      <w:r w:rsidRPr="00791A1D">
        <w:rPr>
          <w:rFonts w:ascii="Times New Roman" w:hAnsi="Times New Roman" w:cs="Times New Roman"/>
        </w:rPr>
        <w:t xml:space="preserve">, R, </w:t>
      </w:r>
      <w:r w:rsidRPr="00791A1D">
        <w:rPr>
          <w:rFonts w:ascii="Times New Roman" w:hAnsi="Times New Roman" w:cs="Times New Roman"/>
          <w:i/>
          <w:iCs/>
        </w:rPr>
        <w:t>Human Rights and Europe</w:t>
      </w:r>
      <w:r w:rsidRPr="00791A1D">
        <w:rPr>
          <w:rFonts w:ascii="Times New Roman" w:hAnsi="Times New Roman" w:cs="Times New Roman"/>
        </w:rPr>
        <w:t xml:space="preserve">, 3rd </w:t>
      </w:r>
      <w:proofErr w:type="spellStart"/>
      <w:r w:rsidRPr="00791A1D">
        <w:rPr>
          <w:rFonts w:ascii="Times New Roman" w:hAnsi="Times New Roman" w:cs="Times New Roman"/>
        </w:rPr>
        <w:t>edn</w:t>
      </w:r>
      <w:proofErr w:type="spellEnd"/>
      <w:r w:rsidRPr="00791A1D">
        <w:rPr>
          <w:rFonts w:ascii="Times New Roman" w:hAnsi="Times New Roman" w:cs="Times New Roman"/>
        </w:rPr>
        <w:t xml:space="preserve">, 1980, CUP; Fawcett, JES, </w:t>
      </w:r>
      <w:r w:rsidRPr="00791A1D">
        <w:rPr>
          <w:rFonts w:ascii="Times New Roman" w:hAnsi="Times New Roman" w:cs="Times New Roman"/>
          <w:i/>
          <w:iCs/>
        </w:rPr>
        <w:t>The Application of the European Convention on Human Rights</w:t>
      </w:r>
      <w:r w:rsidRPr="00791A1D">
        <w:rPr>
          <w:rFonts w:ascii="Times New Roman" w:hAnsi="Times New Roman" w:cs="Times New Roman"/>
        </w:rPr>
        <w:t xml:space="preserve">, 2nd </w:t>
      </w:r>
      <w:proofErr w:type="spellStart"/>
      <w:r w:rsidRPr="00791A1D">
        <w:rPr>
          <w:rFonts w:ascii="Times New Roman" w:hAnsi="Times New Roman" w:cs="Times New Roman"/>
        </w:rPr>
        <w:t>edn</w:t>
      </w:r>
      <w:proofErr w:type="spellEnd"/>
      <w:r w:rsidRPr="00791A1D">
        <w:rPr>
          <w:rFonts w:ascii="Times New Roman" w:hAnsi="Times New Roman" w:cs="Times New Roman"/>
        </w:rPr>
        <w:t xml:space="preserve">, 1987, Clarendon; Jacobs, F, </w:t>
      </w:r>
      <w:r w:rsidRPr="00791A1D">
        <w:rPr>
          <w:rFonts w:ascii="Times New Roman" w:hAnsi="Times New Roman" w:cs="Times New Roman"/>
          <w:i/>
          <w:iCs/>
        </w:rPr>
        <w:t>The European Convention on Human Rights</w:t>
      </w:r>
      <w:r w:rsidRPr="00791A1D">
        <w:rPr>
          <w:rFonts w:ascii="Times New Roman" w:hAnsi="Times New Roman" w:cs="Times New Roman"/>
        </w:rPr>
        <w:t xml:space="preserve">, 1975, OUP; </w:t>
      </w:r>
      <w:proofErr w:type="spellStart"/>
      <w:r w:rsidRPr="00791A1D">
        <w:rPr>
          <w:rFonts w:ascii="Times New Roman" w:hAnsi="Times New Roman" w:cs="Times New Roman"/>
        </w:rPr>
        <w:t>Nedjati</w:t>
      </w:r>
      <w:proofErr w:type="spellEnd"/>
      <w:r w:rsidRPr="00791A1D">
        <w:rPr>
          <w:rFonts w:ascii="Times New Roman" w:hAnsi="Times New Roman" w:cs="Times New Roman"/>
        </w:rPr>
        <w:t xml:space="preserve">, ZM, </w:t>
      </w:r>
      <w:r w:rsidRPr="00791A1D">
        <w:rPr>
          <w:rFonts w:ascii="Times New Roman" w:hAnsi="Times New Roman" w:cs="Times New Roman"/>
          <w:i/>
          <w:iCs/>
        </w:rPr>
        <w:t>Human Rights under the European Convention</w:t>
      </w:r>
      <w:r w:rsidRPr="00791A1D">
        <w:rPr>
          <w:rFonts w:ascii="Times New Roman" w:hAnsi="Times New Roman" w:cs="Times New Roman"/>
        </w:rPr>
        <w:t xml:space="preserve">, 1978, </w:t>
      </w:r>
      <w:proofErr w:type="spellStart"/>
      <w:r w:rsidRPr="00791A1D">
        <w:rPr>
          <w:rFonts w:ascii="Times New Roman" w:hAnsi="Times New Roman" w:cs="Times New Roman"/>
        </w:rPr>
        <w:t>Merrills</w:t>
      </w:r>
      <w:proofErr w:type="spellEnd"/>
      <w:r w:rsidRPr="00791A1D">
        <w:rPr>
          <w:rFonts w:ascii="Times New Roman" w:hAnsi="Times New Roman" w:cs="Times New Roman"/>
        </w:rPr>
        <w:t xml:space="preserve">, JG and Robertson, AH, </w:t>
      </w:r>
      <w:r w:rsidRPr="00791A1D">
        <w:rPr>
          <w:rFonts w:ascii="Times New Roman" w:hAnsi="Times New Roman" w:cs="Times New Roman"/>
          <w:i/>
          <w:iCs/>
        </w:rPr>
        <w:t>Human Rights in Europe</w:t>
      </w:r>
      <w:r w:rsidRPr="00791A1D">
        <w:rPr>
          <w:rFonts w:ascii="Times New Roman" w:hAnsi="Times New Roman" w:cs="Times New Roman"/>
        </w:rPr>
        <w:t xml:space="preserve">, 4th </w:t>
      </w:r>
      <w:proofErr w:type="spellStart"/>
      <w:r w:rsidRPr="00791A1D">
        <w:rPr>
          <w:rFonts w:ascii="Times New Roman" w:hAnsi="Times New Roman" w:cs="Times New Roman"/>
        </w:rPr>
        <w:t>edn</w:t>
      </w:r>
      <w:proofErr w:type="spellEnd"/>
      <w:r w:rsidRPr="00791A1D">
        <w:rPr>
          <w:rFonts w:ascii="Times New Roman" w:hAnsi="Times New Roman" w:cs="Times New Roman"/>
        </w:rPr>
        <w:t>, 2001, Juris Publishing.</w:t>
      </w:r>
    </w:p>
  </w:footnote>
  <w:footnote w:id="13">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The term ‘civil and political rights’ is used in contradistinction to the term ‘economic and social rights’ to denote first generation rights – those which have long been recognised in the Western democracies from the time of the French and American Declarations of the ‘Rights of Man’ in the eighteenth century.</w:t>
      </w:r>
    </w:p>
  </w:footnote>
  <w:footnote w:id="14">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The literature is immense, but the following are of particular importance. Simmonds, NE, </w:t>
      </w:r>
      <w:r w:rsidRPr="00791A1D">
        <w:rPr>
          <w:rFonts w:ascii="Times New Roman" w:hAnsi="Times New Roman" w:cs="Times New Roman"/>
          <w:i/>
          <w:iCs/>
        </w:rPr>
        <w:t>Central Issues in Jurisprudence</w:t>
      </w:r>
      <w:r w:rsidRPr="00791A1D">
        <w:rPr>
          <w:rFonts w:ascii="Times New Roman" w:hAnsi="Times New Roman" w:cs="Times New Roman"/>
        </w:rPr>
        <w:t xml:space="preserve">, 1986, Sweet and Maxwell, provides a brief but extremely lucid introduction to relevant jurisprudential issues. Substantive texts: Rawls, J, </w:t>
      </w:r>
      <w:r w:rsidRPr="00791A1D">
        <w:rPr>
          <w:rFonts w:ascii="Times New Roman" w:hAnsi="Times New Roman" w:cs="Times New Roman"/>
          <w:i/>
          <w:iCs/>
        </w:rPr>
        <w:t>A Theory of Justice</w:t>
      </w:r>
      <w:r w:rsidRPr="00791A1D">
        <w:rPr>
          <w:rFonts w:ascii="Times New Roman" w:hAnsi="Times New Roman" w:cs="Times New Roman"/>
        </w:rPr>
        <w:t xml:space="preserve">, 1972, Clarendon; Dworkin, R, </w:t>
      </w:r>
      <w:r w:rsidRPr="00791A1D">
        <w:rPr>
          <w:rFonts w:ascii="Times New Roman" w:hAnsi="Times New Roman" w:cs="Times New Roman"/>
          <w:i/>
          <w:iCs/>
        </w:rPr>
        <w:t>Taking Rights Seriously</w:t>
      </w:r>
      <w:r w:rsidRPr="00791A1D">
        <w:rPr>
          <w:rFonts w:ascii="Times New Roman" w:hAnsi="Times New Roman" w:cs="Times New Roman"/>
        </w:rPr>
        <w:t xml:space="preserve">, 1977, Duckworth, and </w:t>
      </w:r>
      <w:r w:rsidRPr="00791A1D">
        <w:rPr>
          <w:rFonts w:ascii="Times New Roman" w:hAnsi="Times New Roman" w:cs="Times New Roman"/>
          <w:i/>
          <w:iCs/>
        </w:rPr>
        <w:t>A Matter of Principle</w:t>
      </w:r>
      <w:r w:rsidRPr="00791A1D">
        <w:rPr>
          <w:rFonts w:ascii="Times New Roman" w:hAnsi="Times New Roman" w:cs="Times New Roman"/>
        </w:rPr>
        <w:t xml:space="preserve">, 1985, Clarendon; Hart, HLA, </w:t>
      </w:r>
      <w:r w:rsidRPr="00791A1D">
        <w:rPr>
          <w:rFonts w:ascii="Times New Roman" w:hAnsi="Times New Roman" w:cs="Times New Roman"/>
          <w:i/>
          <w:iCs/>
        </w:rPr>
        <w:t>The Concept of Law</w:t>
      </w:r>
      <w:r w:rsidRPr="00791A1D">
        <w:rPr>
          <w:rFonts w:ascii="Times New Roman" w:hAnsi="Times New Roman" w:cs="Times New Roman"/>
        </w:rPr>
        <w:t xml:space="preserve">, 1961, Clarendon, and </w:t>
      </w:r>
      <w:r w:rsidRPr="00791A1D">
        <w:rPr>
          <w:rFonts w:ascii="Times New Roman" w:hAnsi="Times New Roman" w:cs="Times New Roman"/>
          <w:i/>
          <w:iCs/>
        </w:rPr>
        <w:t>Essays in Jurisprudence and Philosophy</w:t>
      </w:r>
      <w:r w:rsidRPr="00791A1D">
        <w:rPr>
          <w:rFonts w:ascii="Times New Roman" w:hAnsi="Times New Roman" w:cs="Times New Roman"/>
        </w:rPr>
        <w:t>, 1983, Clarendon; Waldron, J (</w:t>
      </w:r>
      <w:proofErr w:type="spellStart"/>
      <w:r w:rsidRPr="00791A1D">
        <w:rPr>
          <w:rFonts w:ascii="Times New Roman" w:hAnsi="Times New Roman" w:cs="Times New Roman"/>
        </w:rPr>
        <w:t>ed</w:t>
      </w:r>
      <w:proofErr w:type="spellEnd"/>
      <w:r w:rsidRPr="00791A1D">
        <w:rPr>
          <w:rFonts w:ascii="Times New Roman" w:hAnsi="Times New Roman" w:cs="Times New Roman"/>
        </w:rPr>
        <w:t xml:space="preserve">), </w:t>
      </w:r>
      <w:r w:rsidRPr="00791A1D">
        <w:rPr>
          <w:rFonts w:ascii="Times New Roman" w:hAnsi="Times New Roman" w:cs="Times New Roman"/>
          <w:i/>
          <w:iCs/>
        </w:rPr>
        <w:t>Theories of Rights</w:t>
      </w:r>
      <w:r w:rsidRPr="00791A1D">
        <w:rPr>
          <w:rFonts w:ascii="Times New Roman" w:hAnsi="Times New Roman" w:cs="Times New Roman"/>
        </w:rPr>
        <w:t>, 1984, OUP.</w:t>
      </w:r>
    </w:p>
  </w:footnote>
  <w:footnote w:id="15">
    <w:p w:rsidR="00E35797" w:rsidRPr="00791A1D" w:rsidRDefault="00E35797" w:rsidP="00791A1D">
      <w:pPr>
        <w:pStyle w:val="FootnoteText"/>
        <w:jc w:val="both"/>
        <w:rPr>
          <w:rFonts w:ascii="Times New Roman" w:hAnsi="Times New Roman" w:cs="Times New Roman"/>
          <w:i/>
        </w:rPr>
      </w:pPr>
      <w:r w:rsidRPr="00791A1D">
        <w:rPr>
          <w:rStyle w:val="FootnoteReference"/>
          <w:rFonts w:ascii="Times New Roman" w:hAnsi="Times New Roman" w:cs="Times New Roman"/>
        </w:rPr>
        <w:footnoteRef/>
      </w:r>
      <w:r w:rsidRPr="00791A1D">
        <w:rPr>
          <w:rFonts w:ascii="Times New Roman" w:hAnsi="Times New Roman" w:cs="Times New Roman"/>
        </w:rPr>
        <w:t xml:space="preserve"> Criminal Justice Act 1988 s39.</w:t>
      </w:r>
    </w:p>
  </w:footnote>
  <w:footnote w:id="16">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chap 11 pp 00.</w:t>
      </w:r>
    </w:p>
  </w:footnote>
  <w:footnote w:id="17">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For a full discussion of this issue, see Hart, HLA, ‘Positivism and the separation of law and morals’, in </w:t>
      </w:r>
      <w:r w:rsidRPr="00791A1D">
        <w:rPr>
          <w:rFonts w:ascii="Times New Roman" w:hAnsi="Times New Roman" w:cs="Times New Roman"/>
          <w:i/>
          <w:iCs/>
        </w:rPr>
        <w:t>Essays in Jurisprudence and Philosophy</w:t>
      </w:r>
      <w:r w:rsidRPr="00791A1D">
        <w:rPr>
          <w:rFonts w:ascii="Times New Roman" w:hAnsi="Times New Roman" w:cs="Times New Roman"/>
        </w:rPr>
        <w:t>, 1983.</w:t>
      </w:r>
    </w:p>
  </w:footnote>
  <w:footnote w:id="18">
    <w:p w:rsidR="00E35797" w:rsidRPr="00791A1D" w:rsidRDefault="00E35797" w:rsidP="00791A1D">
      <w:pPr>
        <w:spacing w:after="0" w:line="240" w:lineRule="auto"/>
        <w:jc w:val="both"/>
        <w:rPr>
          <w:rFonts w:ascii="Times New Roman" w:hAnsi="Times New Roman" w:cs="Times New Roman"/>
          <w:sz w:val="20"/>
          <w:szCs w:val="20"/>
        </w:rPr>
      </w:pPr>
      <w:r w:rsidRPr="00791A1D">
        <w:rPr>
          <w:rStyle w:val="FootnoteReference"/>
          <w:rFonts w:ascii="Times New Roman" w:hAnsi="Times New Roman" w:cs="Times New Roman"/>
          <w:sz w:val="20"/>
          <w:szCs w:val="20"/>
        </w:rPr>
        <w:footnoteRef/>
      </w:r>
      <w:r w:rsidRPr="00791A1D">
        <w:rPr>
          <w:rFonts w:ascii="Times New Roman" w:hAnsi="Times New Roman" w:cs="Times New Roman"/>
          <w:sz w:val="20"/>
          <w:szCs w:val="20"/>
        </w:rPr>
        <w:t xml:space="preserve"> For the classical exposition of this theory, see Aquinas, T, ‘</w:t>
      </w:r>
      <w:r w:rsidRPr="00791A1D">
        <w:rPr>
          <w:rFonts w:ascii="Times New Roman" w:hAnsi="Times New Roman" w:cs="Times New Roman"/>
          <w:i/>
          <w:iCs/>
          <w:sz w:val="20"/>
          <w:szCs w:val="20"/>
        </w:rPr>
        <w:t xml:space="preserve">Summa </w:t>
      </w:r>
      <w:proofErr w:type="spellStart"/>
      <w:r w:rsidRPr="00791A1D">
        <w:rPr>
          <w:rFonts w:ascii="Times New Roman" w:hAnsi="Times New Roman" w:cs="Times New Roman"/>
          <w:i/>
          <w:iCs/>
          <w:sz w:val="20"/>
          <w:szCs w:val="20"/>
        </w:rPr>
        <w:t>theologica</w:t>
      </w:r>
      <w:proofErr w:type="spellEnd"/>
      <w:r w:rsidRPr="00791A1D">
        <w:rPr>
          <w:rFonts w:ascii="Times New Roman" w:hAnsi="Times New Roman" w:cs="Times New Roman"/>
          <w:i/>
          <w:iCs/>
          <w:sz w:val="20"/>
          <w:szCs w:val="20"/>
        </w:rPr>
        <w:t>’</w:t>
      </w:r>
      <w:r w:rsidRPr="00791A1D">
        <w:rPr>
          <w:rFonts w:ascii="Times New Roman" w:hAnsi="Times New Roman" w:cs="Times New Roman"/>
          <w:sz w:val="20"/>
          <w:szCs w:val="20"/>
        </w:rPr>
        <w:t xml:space="preserve">, in </w:t>
      </w:r>
      <w:proofErr w:type="spellStart"/>
      <w:r w:rsidRPr="00791A1D">
        <w:rPr>
          <w:rFonts w:ascii="Times New Roman" w:hAnsi="Times New Roman" w:cs="Times New Roman"/>
          <w:sz w:val="20"/>
          <w:szCs w:val="20"/>
        </w:rPr>
        <w:t>d’Entreves</w:t>
      </w:r>
      <w:proofErr w:type="spellEnd"/>
      <w:r w:rsidRPr="00791A1D">
        <w:rPr>
          <w:rFonts w:ascii="Times New Roman" w:hAnsi="Times New Roman" w:cs="Times New Roman"/>
          <w:sz w:val="20"/>
          <w:szCs w:val="20"/>
        </w:rPr>
        <w:t>, P (</w:t>
      </w:r>
      <w:proofErr w:type="spellStart"/>
      <w:proofErr w:type="gramStart"/>
      <w:r w:rsidRPr="00791A1D">
        <w:rPr>
          <w:rFonts w:ascii="Times New Roman" w:hAnsi="Times New Roman" w:cs="Times New Roman"/>
          <w:sz w:val="20"/>
          <w:szCs w:val="20"/>
        </w:rPr>
        <w:t>ed</w:t>
      </w:r>
      <w:proofErr w:type="spellEnd"/>
      <w:proofErr w:type="gramEnd"/>
      <w:r w:rsidRPr="00791A1D">
        <w:rPr>
          <w:rFonts w:ascii="Times New Roman" w:hAnsi="Times New Roman" w:cs="Times New Roman"/>
          <w:sz w:val="20"/>
          <w:szCs w:val="20"/>
        </w:rPr>
        <w:t xml:space="preserve">), </w:t>
      </w:r>
      <w:r w:rsidRPr="00791A1D">
        <w:rPr>
          <w:rFonts w:ascii="Times New Roman" w:hAnsi="Times New Roman" w:cs="Times New Roman"/>
          <w:i/>
          <w:iCs/>
          <w:sz w:val="20"/>
          <w:szCs w:val="20"/>
        </w:rPr>
        <w:t>Selected Political Writings</w:t>
      </w:r>
      <w:r w:rsidRPr="00791A1D">
        <w:rPr>
          <w:rFonts w:ascii="Times New Roman" w:hAnsi="Times New Roman" w:cs="Times New Roman"/>
          <w:sz w:val="20"/>
          <w:szCs w:val="20"/>
        </w:rPr>
        <w:t>, 1970, Blackwell.</w:t>
      </w:r>
    </w:p>
  </w:footnote>
  <w:footnote w:id="19">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Dworkin, R, </w:t>
      </w:r>
      <w:r w:rsidRPr="00791A1D">
        <w:rPr>
          <w:rFonts w:ascii="Times New Roman" w:hAnsi="Times New Roman" w:cs="Times New Roman"/>
          <w:i/>
          <w:iCs/>
        </w:rPr>
        <w:t>Taking Rights Seriously</w:t>
      </w:r>
      <w:r w:rsidRPr="00791A1D">
        <w:rPr>
          <w:rFonts w:ascii="Times New Roman" w:hAnsi="Times New Roman" w:cs="Times New Roman"/>
        </w:rPr>
        <w:t xml:space="preserve">, 1977, Duckworth. Dworkin sets out his account judicial adjudication in Chapters 2–4, in which his theory is cast mainly in the form of a critique of legal positivism. For a fuller development of the theory, see </w:t>
      </w:r>
      <w:r w:rsidRPr="00791A1D">
        <w:rPr>
          <w:rFonts w:ascii="Times New Roman" w:hAnsi="Times New Roman" w:cs="Times New Roman"/>
          <w:i/>
          <w:iCs/>
        </w:rPr>
        <w:t>Law’s Empire</w:t>
      </w:r>
      <w:r w:rsidRPr="00791A1D">
        <w:rPr>
          <w:rFonts w:ascii="Times New Roman" w:hAnsi="Times New Roman" w:cs="Times New Roman"/>
        </w:rPr>
        <w:t>, 1986, Fontana.</w:t>
      </w:r>
    </w:p>
  </w:footnote>
  <w:footnote w:id="20">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The term was coined by Mackie, J, ‘The third theory of law’, in Cohen, M (</w:t>
      </w:r>
      <w:proofErr w:type="spellStart"/>
      <w:proofErr w:type="gramStart"/>
      <w:r w:rsidRPr="00791A1D">
        <w:rPr>
          <w:rFonts w:ascii="Times New Roman" w:hAnsi="Times New Roman" w:cs="Times New Roman"/>
        </w:rPr>
        <w:t>ed</w:t>
      </w:r>
      <w:proofErr w:type="spellEnd"/>
      <w:proofErr w:type="gramEnd"/>
      <w:r w:rsidRPr="00791A1D">
        <w:rPr>
          <w:rFonts w:ascii="Times New Roman" w:hAnsi="Times New Roman" w:cs="Times New Roman"/>
        </w:rPr>
        <w:t xml:space="preserve">), </w:t>
      </w:r>
      <w:r w:rsidRPr="00791A1D">
        <w:rPr>
          <w:rFonts w:ascii="Times New Roman" w:hAnsi="Times New Roman" w:cs="Times New Roman"/>
          <w:i/>
          <w:iCs/>
        </w:rPr>
        <w:t>Ronald Dworkin and Contemporary Jurisprudence</w:t>
      </w:r>
      <w:r w:rsidRPr="00791A1D">
        <w:rPr>
          <w:rFonts w:ascii="Times New Roman" w:hAnsi="Times New Roman" w:cs="Times New Roman"/>
        </w:rPr>
        <w:t>, 1984.</w:t>
      </w:r>
    </w:p>
  </w:footnote>
  <w:footnote w:id="21">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For criticism of this position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Simmonds, NE, ‘Imperial visions and mundane practices’ [1987] CLJ 465 and </w:t>
      </w:r>
      <w:proofErr w:type="spellStart"/>
      <w:r w:rsidRPr="00791A1D">
        <w:rPr>
          <w:rFonts w:ascii="Times New Roman" w:hAnsi="Times New Roman" w:cs="Times New Roman"/>
        </w:rPr>
        <w:t>Cotterell</w:t>
      </w:r>
      <w:proofErr w:type="spellEnd"/>
      <w:r w:rsidRPr="00791A1D">
        <w:rPr>
          <w:rFonts w:ascii="Times New Roman" w:hAnsi="Times New Roman" w:cs="Times New Roman"/>
        </w:rPr>
        <w:t xml:space="preserve">, R, </w:t>
      </w:r>
      <w:r w:rsidRPr="00791A1D">
        <w:rPr>
          <w:rFonts w:ascii="Times New Roman" w:hAnsi="Times New Roman" w:cs="Times New Roman"/>
          <w:i/>
          <w:iCs/>
        </w:rPr>
        <w:t>The Politics of Jurisprudence</w:t>
      </w:r>
      <w:r w:rsidRPr="00791A1D">
        <w:rPr>
          <w:rFonts w:ascii="Times New Roman" w:hAnsi="Times New Roman" w:cs="Times New Roman"/>
        </w:rPr>
        <w:t xml:space="preserve">, 1989, </w:t>
      </w:r>
      <w:proofErr w:type="spellStart"/>
      <w:r w:rsidRPr="00791A1D">
        <w:rPr>
          <w:rFonts w:ascii="Times New Roman" w:hAnsi="Times New Roman" w:cs="Times New Roman"/>
        </w:rPr>
        <w:t>Butterworths</w:t>
      </w:r>
      <w:proofErr w:type="spellEnd"/>
      <w:r w:rsidRPr="00791A1D">
        <w:rPr>
          <w:rFonts w:ascii="Times New Roman" w:hAnsi="Times New Roman" w:cs="Times New Roman"/>
        </w:rPr>
        <w:t>, pp 172–81.</w:t>
      </w:r>
    </w:p>
  </w:footnote>
  <w:footnote w:id="22">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Dworkin, R, </w:t>
      </w:r>
      <w:r w:rsidRPr="00791A1D">
        <w:rPr>
          <w:rFonts w:ascii="Times New Roman" w:hAnsi="Times New Roman" w:cs="Times New Roman"/>
          <w:i/>
          <w:iCs/>
        </w:rPr>
        <w:t>Taking Rights Seriously</w:t>
      </w:r>
      <w:r w:rsidRPr="00791A1D">
        <w:rPr>
          <w:rFonts w:ascii="Times New Roman" w:hAnsi="Times New Roman" w:cs="Times New Roman"/>
        </w:rPr>
        <w:t>, 1977, Duckworth, p 67.</w:t>
      </w:r>
    </w:p>
  </w:footnote>
  <w:footnote w:id="23">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gramStart"/>
      <w:r w:rsidR="000B7147" w:rsidRPr="00791A1D">
        <w:rPr>
          <w:rFonts w:ascii="Times New Roman" w:hAnsi="Times New Roman" w:cs="Times New Roman"/>
        </w:rPr>
        <w:t xml:space="preserve">Dworkin, R </w:t>
      </w:r>
      <w:r w:rsidR="000B7147" w:rsidRPr="00791A1D">
        <w:rPr>
          <w:rStyle w:val="Emphasis"/>
          <w:rFonts w:ascii="Times New Roman" w:hAnsi="Times New Roman" w:cs="Times New Roman"/>
        </w:rPr>
        <w:t>Law's Empire</w:t>
      </w:r>
      <w:r w:rsidR="000B7147" w:rsidRPr="00791A1D">
        <w:rPr>
          <w:rFonts w:ascii="Times New Roman" w:hAnsi="Times New Roman" w:cs="Times New Roman"/>
        </w:rPr>
        <w:t xml:space="preserve">, </w:t>
      </w:r>
      <w:r w:rsidR="003B7232" w:rsidRPr="00791A1D">
        <w:rPr>
          <w:rFonts w:ascii="Times New Roman" w:hAnsi="Times New Roman" w:cs="Times New Roman"/>
        </w:rPr>
        <w:t xml:space="preserve">1986, </w:t>
      </w:r>
      <w:r w:rsidR="000B7147" w:rsidRPr="00791A1D">
        <w:rPr>
          <w:rFonts w:ascii="Times New Roman" w:hAnsi="Times New Roman" w:cs="Times New Roman"/>
        </w:rPr>
        <w:t>Fontana Press.</w:t>
      </w:r>
      <w:proofErr w:type="gramEnd"/>
      <w:r w:rsidRPr="00791A1D">
        <w:rPr>
          <w:rFonts w:ascii="Times New Roman" w:hAnsi="Times New Roman" w:cs="Times New Roman"/>
        </w:rPr>
        <w:t xml:space="preserve"> </w:t>
      </w:r>
    </w:p>
  </w:footnote>
  <w:footnote w:id="24">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spellStart"/>
      <w:proofErr w:type="gramStart"/>
      <w:r w:rsidRPr="00791A1D">
        <w:rPr>
          <w:rFonts w:ascii="Times New Roman" w:hAnsi="Times New Roman" w:cs="Times New Roman"/>
        </w:rPr>
        <w:t>Hohfeld</w:t>
      </w:r>
      <w:proofErr w:type="spellEnd"/>
      <w:r w:rsidRPr="00791A1D">
        <w:rPr>
          <w:rFonts w:ascii="Times New Roman" w:hAnsi="Times New Roman" w:cs="Times New Roman"/>
        </w:rPr>
        <w:t xml:space="preserve">, W, </w:t>
      </w:r>
      <w:r w:rsidRPr="00791A1D">
        <w:rPr>
          <w:rFonts w:ascii="Times New Roman" w:hAnsi="Times New Roman" w:cs="Times New Roman"/>
          <w:i/>
          <w:iCs/>
        </w:rPr>
        <w:t>Fundamental Legal Concepts as Applied in Judicial Reasoning</w:t>
      </w:r>
      <w:r w:rsidRPr="00791A1D">
        <w:rPr>
          <w:rFonts w:ascii="Times New Roman" w:hAnsi="Times New Roman" w:cs="Times New Roman"/>
        </w:rPr>
        <w:t>, 1920, particularly pp 35–41.</w:t>
      </w:r>
      <w:proofErr w:type="gramEnd"/>
    </w:p>
  </w:footnote>
  <w:footnote w:id="25">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r w:rsidR="00647056" w:rsidRPr="00791A1D">
        <w:rPr>
          <w:rFonts w:ascii="Times New Roman" w:hAnsi="Times New Roman" w:cs="Times New Roman"/>
        </w:rPr>
        <w:t xml:space="preserve">While </w:t>
      </w:r>
      <w:proofErr w:type="spellStart"/>
      <w:r w:rsidRPr="00791A1D">
        <w:rPr>
          <w:rFonts w:ascii="Times New Roman" w:hAnsi="Times New Roman" w:cs="Times New Roman"/>
        </w:rPr>
        <w:t>Hohfeld</w:t>
      </w:r>
      <w:proofErr w:type="spellEnd"/>
      <w:r w:rsidRPr="00791A1D">
        <w:rPr>
          <w:rFonts w:ascii="Times New Roman" w:hAnsi="Times New Roman" w:cs="Times New Roman"/>
        </w:rPr>
        <w:t xml:space="preserve"> referred to a power, that concept is not of relevance to the discussions in this book. </w:t>
      </w:r>
    </w:p>
  </w:footnote>
  <w:footnote w:id="26">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Chap 4 pp00. </w:t>
      </w:r>
    </w:p>
  </w:footnote>
  <w:footnote w:id="27">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gramStart"/>
      <w:r w:rsidRPr="00791A1D">
        <w:rPr>
          <w:rFonts w:ascii="Times New Roman" w:hAnsi="Times New Roman" w:cs="Times New Roman"/>
        </w:rPr>
        <w:t>Under the Obscene Publications Acts 1959 and 1964.</w:t>
      </w:r>
      <w:proofErr w:type="gramEnd"/>
      <w:r w:rsidRPr="00791A1D">
        <w:rPr>
          <w:rFonts w:ascii="Times New Roman" w:hAnsi="Times New Roman" w:cs="Times New Roman"/>
        </w:rPr>
        <w:t xml:space="preserve"> See chap 7 pp 461.</w:t>
      </w:r>
    </w:p>
  </w:footnote>
  <w:footnote w:id="28">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chap 12, p 1113.</w:t>
      </w:r>
    </w:p>
  </w:footnote>
  <w:footnote w:id="29">
    <w:p w:rsidR="00E35797" w:rsidRPr="00791A1D" w:rsidRDefault="00E35797" w:rsidP="00791A1D">
      <w:pPr>
        <w:spacing w:after="0"/>
        <w:jc w:val="both"/>
        <w:rPr>
          <w:rFonts w:ascii="Times New Roman" w:hAnsi="Times New Roman" w:cs="Times New Roman"/>
          <w:sz w:val="20"/>
          <w:szCs w:val="20"/>
        </w:rPr>
      </w:pPr>
      <w:r w:rsidRPr="00791A1D">
        <w:rPr>
          <w:rStyle w:val="FootnoteReference"/>
          <w:rFonts w:ascii="Times New Roman" w:hAnsi="Times New Roman" w:cs="Times New Roman"/>
          <w:sz w:val="20"/>
          <w:szCs w:val="20"/>
        </w:rPr>
        <w:footnoteRef/>
      </w:r>
      <w:r w:rsidRPr="00791A1D">
        <w:rPr>
          <w:rFonts w:ascii="Times New Roman" w:hAnsi="Times New Roman" w:cs="Times New Roman"/>
          <w:sz w:val="20"/>
          <w:szCs w:val="20"/>
        </w:rPr>
        <w:t xml:space="preserve"> Civil liberties and human rights are very rarely framed as powers, since these must typically be earned and are associated with individuals in a position of power, while civil liberties and human rights are typically conceived of as restraints on the (illegitimate) use of power by the state. An example of a power that is also protected as a human right is the power to transfer one’s property (an aspect of the protection of property, ECHR Protocol 1, Article 1). This is a power because the subject of such a power has the right to alter the claims-rights/liberties associated with his property ownership (such as to exclude others from it) by transferring them to another who will then benefit those claim-rights/liberties.</w:t>
      </w:r>
    </w:p>
  </w:footnote>
  <w:footnote w:id="30">
    <w:p w:rsidR="00846E2E" w:rsidRPr="00791A1D" w:rsidRDefault="00846E2E"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PACE Code C, Annex C; t</w:t>
      </w:r>
      <w:r w:rsidR="00647056" w:rsidRPr="00791A1D">
        <w:rPr>
          <w:rFonts w:ascii="Times New Roman" w:hAnsi="Times New Roman" w:cs="Times New Roman"/>
        </w:rPr>
        <w:t>he right</w:t>
      </w:r>
      <w:r w:rsidRPr="00791A1D">
        <w:rPr>
          <w:rFonts w:ascii="Times New Roman" w:hAnsi="Times New Roman" w:cs="Times New Roman"/>
        </w:rPr>
        <w:t xml:space="preserve"> has already been undermined </w:t>
      </w:r>
      <w:r w:rsidR="00647056" w:rsidRPr="00791A1D">
        <w:rPr>
          <w:rFonts w:ascii="Times New Roman" w:hAnsi="Times New Roman" w:cs="Times New Roman"/>
        </w:rPr>
        <w:t xml:space="preserve">but not abolished </w:t>
      </w:r>
      <w:r w:rsidRPr="00791A1D">
        <w:rPr>
          <w:rFonts w:ascii="Times New Roman" w:hAnsi="Times New Roman" w:cs="Times New Roman"/>
        </w:rPr>
        <w:t xml:space="preserve">in the Criminal Justice and Public Order Act 1994; see chap 12, pp 1234-1234. </w:t>
      </w:r>
    </w:p>
  </w:footnote>
  <w:footnote w:id="31">
    <w:p w:rsidR="007B7F1F" w:rsidRPr="00791A1D" w:rsidRDefault="007B7F1F"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Pp00.</w:t>
      </w:r>
    </w:p>
  </w:footnote>
  <w:footnote w:id="32">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r w:rsidR="007B7F1F" w:rsidRPr="00791A1D">
        <w:rPr>
          <w:rFonts w:ascii="Times New Roman" w:hAnsi="Times New Roman" w:cs="Times New Roman"/>
        </w:rPr>
        <w:t xml:space="preserve">See </w:t>
      </w:r>
      <w:r w:rsidR="007B7F1F" w:rsidRPr="00791A1D">
        <w:rPr>
          <w:rFonts w:ascii="Times New Roman" w:hAnsi="Times New Roman" w:cs="Times New Roman"/>
          <w:i/>
        </w:rPr>
        <w:t>Othman v UK</w:t>
      </w:r>
      <w:r w:rsidR="007B7F1F" w:rsidRPr="00791A1D">
        <w:rPr>
          <w:rFonts w:ascii="Times New Roman" w:hAnsi="Times New Roman" w:cs="Times New Roman"/>
        </w:rPr>
        <w:t xml:space="preserve"> </w:t>
      </w:r>
      <w:r w:rsidR="00791A1D" w:rsidRPr="00791A1D">
        <w:rPr>
          <w:rFonts w:ascii="Times New Roman" w:hAnsi="Times New Roman" w:cs="Times New Roman"/>
        </w:rPr>
        <w:t>(2012) 55 EHRR 1</w:t>
      </w:r>
      <w:r w:rsidR="007B7F1F" w:rsidRPr="00791A1D">
        <w:rPr>
          <w:rFonts w:ascii="Times New Roman" w:hAnsi="Times New Roman" w:cs="Times New Roman"/>
        </w:rPr>
        <w:t xml:space="preserve">; </w:t>
      </w:r>
      <w:r w:rsidRPr="00791A1D">
        <w:rPr>
          <w:rFonts w:ascii="Times New Roman" w:hAnsi="Times New Roman" w:cs="Times New Roman"/>
          <w:i/>
        </w:rPr>
        <w:t xml:space="preserve">MT (Algeria) v Secretary of State for the Home Department </w:t>
      </w:r>
      <w:r w:rsidRPr="00791A1D">
        <w:rPr>
          <w:rFonts w:ascii="Times New Roman" w:hAnsi="Times New Roman" w:cs="Times New Roman"/>
        </w:rPr>
        <w:t xml:space="preserve">[2007] EWCA 808; </w:t>
      </w:r>
      <w:proofErr w:type="spellStart"/>
      <w:r w:rsidRPr="00791A1D">
        <w:rPr>
          <w:rFonts w:ascii="Times New Roman" w:hAnsi="Times New Roman" w:cs="Times New Roman"/>
          <w:i/>
        </w:rPr>
        <w:t>Chahal</w:t>
      </w:r>
      <w:proofErr w:type="spellEnd"/>
      <w:r w:rsidRPr="00791A1D">
        <w:rPr>
          <w:rFonts w:ascii="Times New Roman" w:hAnsi="Times New Roman" w:cs="Times New Roman"/>
          <w:i/>
        </w:rPr>
        <w:t xml:space="preserve"> v UK</w:t>
      </w:r>
      <w:r w:rsidRPr="00791A1D">
        <w:rPr>
          <w:rFonts w:ascii="Times New Roman" w:hAnsi="Times New Roman" w:cs="Times New Roman"/>
        </w:rPr>
        <w:t xml:space="preserve"> (1996) 23 EHRR 413.</w:t>
      </w:r>
    </w:p>
  </w:footnote>
  <w:footnote w:id="33">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pp00. </w:t>
      </w:r>
    </w:p>
  </w:footnote>
  <w:footnote w:id="34">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Mahoney, J, </w:t>
      </w:r>
      <w:r w:rsidRPr="00791A1D">
        <w:rPr>
          <w:rFonts w:ascii="Times New Roman" w:hAnsi="Times New Roman" w:cs="Times New Roman"/>
          <w:i/>
        </w:rPr>
        <w:t>The Challenge of Human Rights</w:t>
      </w:r>
      <w:r w:rsidRPr="00791A1D">
        <w:rPr>
          <w:rFonts w:ascii="Times New Roman" w:hAnsi="Times New Roman" w:cs="Times New Roman"/>
        </w:rPr>
        <w:t>, 2007, Blackwell, chap 1.</w:t>
      </w:r>
    </w:p>
  </w:footnote>
  <w:footnote w:id="35">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in relation to the ECHR </w:t>
      </w:r>
      <w:r w:rsidRPr="00791A1D">
        <w:rPr>
          <w:rFonts w:ascii="Times New Roman" w:hAnsi="Times New Roman" w:cs="Times New Roman"/>
          <w:i/>
        </w:rPr>
        <w:t>Vo v France</w:t>
      </w:r>
      <w:r w:rsidRPr="00791A1D">
        <w:rPr>
          <w:rFonts w:ascii="Times New Roman" w:hAnsi="Times New Roman" w:cs="Times New Roman"/>
        </w:rPr>
        <w:t xml:space="preserve"> (2005) 40 EHRR 12, especially para 82.  </w:t>
      </w:r>
    </w:p>
  </w:footnote>
  <w:footnote w:id="36">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Article 12 ECHR states that ‘men and women of marriageable age have the right to marry’.</w:t>
      </w:r>
    </w:p>
  </w:footnote>
  <w:footnote w:id="37">
    <w:p w:rsidR="00E35797" w:rsidRPr="00791A1D" w:rsidRDefault="00E35797" w:rsidP="00791A1D">
      <w:pPr>
        <w:pStyle w:val="FootnoteText"/>
        <w:jc w:val="both"/>
        <w:rPr>
          <w:rFonts w:ascii="Times New Roman" w:hAnsi="Times New Roman" w:cs="Times New Roman"/>
          <w:i/>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in relation to assisted suicide and refusal of vital medical treatment, </w:t>
      </w:r>
      <w:r w:rsidRPr="00791A1D">
        <w:rPr>
          <w:rFonts w:ascii="Times New Roman" w:hAnsi="Times New Roman" w:cs="Times New Roman"/>
          <w:i/>
        </w:rPr>
        <w:t>Pretty v UK</w:t>
      </w:r>
      <w:r w:rsidRPr="00791A1D">
        <w:rPr>
          <w:rFonts w:ascii="Times New Roman" w:hAnsi="Times New Roman" w:cs="Times New Roman"/>
        </w:rPr>
        <w:t xml:space="preserve"> (2002) 35 EHRR 1, para 63.</w:t>
      </w:r>
    </w:p>
  </w:footnote>
  <w:footnote w:id="38">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spellStart"/>
      <w:proofErr w:type="gramStart"/>
      <w:r w:rsidRPr="00791A1D">
        <w:rPr>
          <w:rFonts w:ascii="Times New Roman" w:hAnsi="Times New Roman" w:cs="Times New Roman"/>
        </w:rPr>
        <w:t>Gewirth</w:t>
      </w:r>
      <w:proofErr w:type="spellEnd"/>
      <w:r w:rsidRPr="00791A1D">
        <w:rPr>
          <w:rFonts w:ascii="Times New Roman" w:hAnsi="Times New Roman" w:cs="Times New Roman"/>
        </w:rPr>
        <w:t xml:space="preserve">, A, </w:t>
      </w:r>
      <w:r w:rsidRPr="00791A1D">
        <w:rPr>
          <w:rFonts w:ascii="Times New Roman" w:hAnsi="Times New Roman" w:cs="Times New Roman"/>
          <w:i/>
        </w:rPr>
        <w:t xml:space="preserve">Reason and Morality, </w:t>
      </w:r>
      <w:r w:rsidRPr="00791A1D">
        <w:rPr>
          <w:rFonts w:ascii="Times New Roman" w:hAnsi="Times New Roman" w:cs="Times New Roman"/>
        </w:rPr>
        <w:t>1978, Chicago University Press, 64</w:t>
      </w:r>
      <w:r w:rsidRPr="00791A1D">
        <w:rPr>
          <w:rFonts w:ascii="Times New Roman" w:hAnsi="Times New Roman" w:cs="Times New Roman"/>
          <w:i/>
        </w:rPr>
        <w:t xml:space="preserve"> et seq</w:t>
      </w:r>
      <w:r w:rsidRPr="00791A1D">
        <w:rPr>
          <w:rFonts w:ascii="Times New Roman" w:hAnsi="Times New Roman" w:cs="Times New Roman"/>
        </w:rPr>
        <w:t>.</w:t>
      </w:r>
      <w:proofErr w:type="gramEnd"/>
    </w:p>
  </w:footnote>
  <w:footnote w:id="39">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for discussion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Griffin, J, </w:t>
      </w:r>
      <w:r w:rsidRPr="00791A1D">
        <w:rPr>
          <w:rFonts w:ascii="Times New Roman" w:eastAsia="Times New Roman" w:hAnsi="Times New Roman" w:cs="Times New Roman"/>
          <w:i/>
          <w:iCs/>
          <w:color w:val="1A1A1A"/>
          <w:lang w:eastAsia="en-GB"/>
        </w:rPr>
        <w:t>On Human Rights,</w:t>
      </w:r>
      <w:r w:rsidRPr="00791A1D">
        <w:rPr>
          <w:rFonts w:ascii="Times New Roman" w:eastAsia="Times New Roman" w:hAnsi="Times New Roman" w:cs="Times New Roman"/>
          <w:color w:val="1A1A1A"/>
          <w:lang w:eastAsia="en-GB"/>
        </w:rPr>
        <w:t xml:space="preserve"> 2008, OUP</w:t>
      </w:r>
      <w:r w:rsidRPr="00791A1D">
        <w:rPr>
          <w:rFonts w:ascii="Times New Roman" w:hAnsi="Times New Roman" w:cs="Times New Roman"/>
        </w:rPr>
        <w:t xml:space="preserve">, </w:t>
      </w:r>
      <w:proofErr w:type="gramStart"/>
      <w:r w:rsidRPr="00791A1D">
        <w:rPr>
          <w:rFonts w:ascii="Times New Roman" w:hAnsi="Times New Roman" w:cs="Times New Roman"/>
        </w:rPr>
        <w:t xml:space="preserve">32 </w:t>
      </w:r>
      <w:r w:rsidRPr="00791A1D">
        <w:rPr>
          <w:rFonts w:ascii="Times New Roman" w:hAnsi="Times New Roman" w:cs="Times New Roman"/>
          <w:i/>
        </w:rPr>
        <w:t>et seq</w:t>
      </w:r>
      <w:r w:rsidRPr="00791A1D">
        <w:rPr>
          <w:rFonts w:ascii="Times New Roman" w:hAnsi="Times New Roman" w:cs="Times New Roman"/>
        </w:rPr>
        <w:t>.</w:t>
      </w:r>
      <w:proofErr w:type="gramEnd"/>
    </w:p>
  </w:footnote>
  <w:footnote w:id="40">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gramStart"/>
      <w:r w:rsidRPr="00791A1D">
        <w:rPr>
          <w:rFonts w:ascii="Times New Roman" w:hAnsi="Times New Roman" w:cs="Times New Roman"/>
        </w:rPr>
        <w:t>See Chap 4 pp 00.</w:t>
      </w:r>
      <w:proofErr w:type="gramEnd"/>
    </w:p>
  </w:footnote>
  <w:footnote w:id="41">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Chap 4 pp 00 and Chap 10 pp 00. </w:t>
      </w:r>
    </w:p>
  </w:footnote>
  <w:footnote w:id="42">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A significant limitation on the operation of indirect horizontal effect is that there must be an existing cause of action which is unable to vindicate the right in question, but is sufficiently relevant to the vindication of the human right in question that it can be developed by the court so as to do so. However, this issue goes beyond the scope of the current chapter; see further chap 10 pp 00.</w:t>
      </w:r>
    </w:p>
  </w:footnote>
  <w:footnote w:id="43">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Griffin, J, </w:t>
      </w:r>
      <w:r w:rsidRPr="00791A1D">
        <w:rPr>
          <w:rFonts w:ascii="Times New Roman" w:eastAsia="Times New Roman" w:hAnsi="Times New Roman" w:cs="Times New Roman"/>
          <w:i/>
          <w:iCs/>
          <w:color w:val="1A1A1A"/>
          <w:lang w:eastAsia="en-GB"/>
        </w:rPr>
        <w:t>On Human Rights,</w:t>
      </w:r>
      <w:r w:rsidRPr="00791A1D">
        <w:rPr>
          <w:rFonts w:ascii="Times New Roman" w:eastAsia="Times New Roman" w:hAnsi="Times New Roman" w:cs="Times New Roman"/>
          <w:color w:val="1A1A1A"/>
          <w:lang w:eastAsia="en-GB"/>
        </w:rPr>
        <w:t xml:space="preserve"> 2008, OUP</w:t>
      </w:r>
      <w:r w:rsidRPr="00791A1D">
        <w:rPr>
          <w:rFonts w:ascii="Times New Roman" w:hAnsi="Times New Roman" w:cs="Times New Roman"/>
        </w:rPr>
        <w:t xml:space="preserve">, pp 14 </w:t>
      </w:r>
      <w:r w:rsidRPr="00791A1D">
        <w:rPr>
          <w:rFonts w:ascii="Times New Roman" w:hAnsi="Times New Roman" w:cs="Times New Roman"/>
          <w:i/>
        </w:rPr>
        <w:t>et seq</w:t>
      </w:r>
      <w:r w:rsidRPr="00791A1D">
        <w:rPr>
          <w:rFonts w:ascii="Times New Roman" w:hAnsi="Times New Roman" w:cs="Times New Roman"/>
        </w:rPr>
        <w:t>.</w:t>
      </w:r>
    </w:p>
  </w:footnote>
  <w:footnote w:id="44">
    <w:p w:rsidR="00C76C81" w:rsidRPr="00791A1D" w:rsidRDefault="00C76C81"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w:t>
      </w:r>
      <w:proofErr w:type="spellStart"/>
      <w:r w:rsidRPr="00791A1D">
        <w:rPr>
          <w:rFonts w:ascii="Times New Roman" w:hAnsi="Times New Roman" w:cs="Times New Roman"/>
        </w:rPr>
        <w:t>Gewirth</w:t>
      </w:r>
      <w:proofErr w:type="spellEnd"/>
      <w:r w:rsidRPr="00791A1D">
        <w:rPr>
          <w:rFonts w:ascii="Times New Roman" w:hAnsi="Times New Roman" w:cs="Times New Roman"/>
        </w:rPr>
        <w:t xml:space="preserve">, A, </w:t>
      </w:r>
      <w:r w:rsidRPr="00791A1D">
        <w:rPr>
          <w:rFonts w:ascii="Times New Roman" w:hAnsi="Times New Roman" w:cs="Times New Roman"/>
          <w:i/>
        </w:rPr>
        <w:t xml:space="preserve">Reason and Morality, </w:t>
      </w:r>
      <w:r w:rsidRPr="00791A1D">
        <w:rPr>
          <w:rFonts w:ascii="Times New Roman" w:hAnsi="Times New Roman" w:cs="Times New Roman"/>
        </w:rPr>
        <w:t>1978, Chicago University Press, 64</w:t>
      </w:r>
      <w:r w:rsidRPr="00791A1D">
        <w:rPr>
          <w:rFonts w:ascii="Times New Roman" w:hAnsi="Times New Roman" w:cs="Times New Roman"/>
          <w:i/>
        </w:rPr>
        <w:t xml:space="preserve"> et seq</w:t>
      </w:r>
      <w:r w:rsidRPr="00791A1D">
        <w:rPr>
          <w:rFonts w:ascii="Times New Roman" w:hAnsi="Times New Roman" w:cs="Times New Roman"/>
        </w:rPr>
        <w:t>.</w:t>
      </w:r>
    </w:p>
  </w:footnote>
  <w:footnote w:id="45">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Doyle, J, ‘Murders and drug dealer to get IVF in prison and you’ll be paying! Criminals using European Human Rights laws to start families at </w:t>
      </w:r>
      <w:proofErr w:type="spellStart"/>
      <w:proofErr w:type="gramStart"/>
      <w:r w:rsidRPr="00791A1D">
        <w:rPr>
          <w:rFonts w:ascii="Times New Roman" w:hAnsi="Times New Roman" w:cs="Times New Roman"/>
        </w:rPr>
        <w:t>taxpayers</w:t>
      </w:r>
      <w:proofErr w:type="spellEnd"/>
      <w:proofErr w:type="gramEnd"/>
      <w:r w:rsidRPr="00791A1D">
        <w:rPr>
          <w:rFonts w:ascii="Times New Roman" w:hAnsi="Times New Roman" w:cs="Times New Roman"/>
        </w:rPr>
        <w:t xml:space="preserve"> expense’ </w:t>
      </w:r>
      <w:r w:rsidRPr="00791A1D">
        <w:rPr>
          <w:rFonts w:ascii="Times New Roman" w:hAnsi="Times New Roman" w:cs="Times New Roman"/>
          <w:i/>
        </w:rPr>
        <w:t>Daily Mail</w:t>
      </w:r>
      <w:r w:rsidRPr="00791A1D">
        <w:rPr>
          <w:rFonts w:ascii="Times New Roman" w:hAnsi="Times New Roman" w:cs="Times New Roman"/>
        </w:rPr>
        <w:t>, 27</w:t>
      </w:r>
      <w:r w:rsidRPr="00791A1D">
        <w:rPr>
          <w:rFonts w:ascii="Times New Roman" w:hAnsi="Times New Roman" w:cs="Times New Roman"/>
          <w:vertAlign w:val="superscript"/>
        </w:rPr>
        <w:t>th</w:t>
      </w:r>
      <w:r w:rsidRPr="00791A1D">
        <w:rPr>
          <w:rFonts w:ascii="Times New Roman" w:hAnsi="Times New Roman" w:cs="Times New Roman"/>
        </w:rPr>
        <w:t xml:space="preserve"> December 2012; see at </w:t>
      </w:r>
      <w:hyperlink r:id="rId1" w:history="1">
        <w:r w:rsidRPr="00791A1D">
          <w:rPr>
            <w:rStyle w:val="Hyperlink"/>
            <w:rFonts w:ascii="Times New Roman" w:hAnsi="Times New Roman" w:cs="Times New Roman"/>
          </w:rPr>
          <w:t>http://www.dailymail.co.uk/news/article-2253943/Murderers-drug-dealer-IVF-prison-youll-paying-Criminals-using-Human-Rights-laws-start-family-taxpayers-expense.html</w:t>
        </w:r>
      </w:hyperlink>
      <w:r w:rsidRPr="00791A1D">
        <w:rPr>
          <w:rFonts w:ascii="Times New Roman" w:hAnsi="Times New Roman" w:cs="Times New Roman"/>
        </w:rPr>
        <w:t xml:space="preserve"> (last accessed 00.00.00).</w:t>
      </w:r>
    </w:p>
  </w:footnote>
  <w:footnote w:id="46">
    <w:p w:rsidR="00350F12" w:rsidRPr="00791A1D" w:rsidRDefault="00350F12" w:rsidP="00791A1D">
      <w:pPr>
        <w:spacing w:line="480" w:lineRule="auto"/>
        <w:ind w:left="360" w:hanging="360"/>
        <w:jc w:val="both"/>
        <w:rPr>
          <w:rFonts w:ascii="Times New Roman" w:hAnsi="Times New Roman" w:cs="Times New Roman"/>
          <w:sz w:val="20"/>
          <w:szCs w:val="20"/>
        </w:rPr>
      </w:pPr>
      <w:r w:rsidRPr="00791A1D">
        <w:rPr>
          <w:rStyle w:val="FootnoteReference"/>
          <w:rFonts w:ascii="Times New Roman" w:hAnsi="Times New Roman" w:cs="Times New Roman"/>
          <w:sz w:val="20"/>
          <w:szCs w:val="20"/>
        </w:rPr>
        <w:footnoteRef/>
      </w:r>
      <w:r w:rsidRPr="00791A1D">
        <w:rPr>
          <w:rFonts w:ascii="Times New Roman" w:hAnsi="Times New Roman" w:cs="Times New Roman"/>
          <w:sz w:val="20"/>
          <w:szCs w:val="20"/>
        </w:rPr>
        <w:t xml:space="preserve"> </w:t>
      </w:r>
      <w:r w:rsidRPr="00791A1D">
        <w:rPr>
          <w:rFonts w:ascii="Times New Roman" w:hAnsi="Times New Roman" w:cs="Times New Roman"/>
          <w:sz w:val="20"/>
          <w:szCs w:val="20"/>
        </w:rPr>
        <w:t xml:space="preserve">Rawls, </w:t>
      </w:r>
      <w:proofErr w:type="gramStart"/>
      <w:r w:rsidRPr="00791A1D">
        <w:rPr>
          <w:rFonts w:ascii="Times New Roman" w:hAnsi="Times New Roman" w:cs="Times New Roman"/>
          <w:i/>
          <w:iCs/>
          <w:sz w:val="20"/>
          <w:szCs w:val="20"/>
        </w:rPr>
        <w:t>A</w:t>
      </w:r>
      <w:proofErr w:type="gramEnd"/>
      <w:r w:rsidRPr="00791A1D">
        <w:rPr>
          <w:rFonts w:ascii="Times New Roman" w:hAnsi="Times New Roman" w:cs="Times New Roman"/>
          <w:i/>
          <w:iCs/>
          <w:sz w:val="20"/>
          <w:szCs w:val="20"/>
        </w:rPr>
        <w:t xml:space="preserve"> Theory of Justice</w:t>
      </w:r>
      <w:r w:rsidRPr="00791A1D">
        <w:rPr>
          <w:rFonts w:ascii="Times New Roman" w:hAnsi="Times New Roman" w:cs="Times New Roman"/>
          <w:sz w:val="20"/>
          <w:szCs w:val="20"/>
        </w:rPr>
        <w:t>, 1972, p 3.</w:t>
      </w:r>
    </w:p>
  </w:footnote>
  <w:footnote w:id="47">
    <w:p w:rsidR="00350F12" w:rsidRPr="00791A1D" w:rsidRDefault="00350F12" w:rsidP="00791A1D">
      <w:pPr>
        <w:spacing w:after="0" w:line="240" w:lineRule="auto"/>
        <w:ind w:left="360" w:hanging="360"/>
        <w:jc w:val="both"/>
        <w:rPr>
          <w:rFonts w:ascii="Times New Roman" w:hAnsi="Times New Roman" w:cs="Times New Roman"/>
          <w:sz w:val="20"/>
          <w:szCs w:val="20"/>
        </w:rPr>
      </w:pPr>
      <w:r w:rsidRPr="00791A1D">
        <w:rPr>
          <w:rStyle w:val="FootnoteReference"/>
          <w:rFonts w:ascii="Times New Roman" w:hAnsi="Times New Roman" w:cs="Times New Roman"/>
          <w:sz w:val="20"/>
          <w:szCs w:val="20"/>
        </w:rPr>
        <w:footnoteRef/>
      </w:r>
      <w:r w:rsidRPr="00791A1D">
        <w:rPr>
          <w:rFonts w:ascii="Times New Roman" w:hAnsi="Times New Roman" w:cs="Times New Roman"/>
          <w:sz w:val="20"/>
          <w:szCs w:val="20"/>
        </w:rPr>
        <w:t xml:space="preserve"> </w:t>
      </w:r>
      <w:r w:rsidRPr="00791A1D">
        <w:rPr>
          <w:rFonts w:ascii="Times New Roman" w:hAnsi="Times New Roman" w:cs="Times New Roman"/>
          <w:sz w:val="20"/>
          <w:szCs w:val="20"/>
        </w:rPr>
        <w:t xml:space="preserve">Dworkin, R, </w:t>
      </w:r>
      <w:r w:rsidRPr="00791A1D">
        <w:rPr>
          <w:rFonts w:ascii="Times New Roman" w:hAnsi="Times New Roman" w:cs="Times New Roman"/>
          <w:i/>
          <w:iCs/>
          <w:sz w:val="20"/>
          <w:szCs w:val="20"/>
        </w:rPr>
        <w:t>Taking Rights Seriously</w:t>
      </w:r>
      <w:r w:rsidRPr="00791A1D">
        <w:rPr>
          <w:rFonts w:ascii="Times New Roman" w:hAnsi="Times New Roman" w:cs="Times New Roman"/>
          <w:sz w:val="20"/>
          <w:szCs w:val="20"/>
        </w:rPr>
        <w:t>, p 191.</w:t>
      </w:r>
    </w:p>
  </w:footnote>
  <w:footnote w:id="48">
    <w:p w:rsidR="00350F12" w:rsidRPr="00791A1D" w:rsidRDefault="00350F12" w:rsidP="00791A1D">
      <w:pPr>
        <w:spacing w:after="0" w:line="240" w:lineRule="auto"/>
        <w:ind w:left="360" w:hanging="360"/>
        <w:jc w:val="both"/>
        <w:rPr>
          <w:rFonts w:ascii="Times New Roman" w:hAnsi="Times New Roman" w:cs="Times New Roman"/>
          <w:sz w:val="20"/>
          <w:szCs w:val="20"/>
        </w:rPr>
      </w:pPr>
      <w:r w:rsidRPr="00791A1D">
        <w:rPr>
          <w:rStyle w:val="FootnoteReference"/>
          <w:rFonts w:ascii="Times New Roman" w:hAnsi="Times New Roman" w:cs="Times New Roman"/>
          <w:sz w:val="20"/>
          <w:szCs w:val="20"/>
        </w:rPr>
        <w:footnoteRef/>
      </w:r>
      <w:r w:rsidRPr="00791A1D">
        <w:rPr>
          <w:rFonts w:ascii="Times New Roman" w:hAnsi="Times New Roman" w:cs="Times New Roman"/>
          <w:sz w:val="20"/>
          <w:szCs w:val="20"/>
        </w:rPr>
        <w:t xml:space="preserve"> </w:t>
      </w:r>
      <w:proofErr w:type="gramStart"/>
      <w:r w:rsidRPr="00791A1D">
        <w:rPr>
          <w:rFonts w:ascii="Times New Roman" w:hAnsi="Times New Roman" w:cs="Times New Roman"/>
          <w:sz w:val="20"/>
          <w:szCs w:val="20"/>
        </w:rPr>
        <w:t>Ibid, p 199.</w:t>
      </w:r>
      <w:proofErr w:type="gramEnd"/>
    </w:p>
  </w:footnote>
  <w:footnote w:id="49">
    <w:p w:rsidR="00350F12" w:rsidRPr="00791A1D" w:rsidRDefault="00350F12"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gramStart"/>
      <w:r w:rsidRPr="00791A1D">
        <w:rPr>
          <w:rFonts w:ascii="Times New Roman" w:hAnsi="Times New Roman" w:cs="Times New Roman"/>
        </w:rPr>
        <w:t>Ibid, p 200</w:t>
      </w:r>
      <w:r w:rsidRPr="00791A1D">
        <w:rPr>
          <w:rFonts w:ascii="Times New Roman" w:hAnsi="Times New Roman" w:cs="Times New Roman"/>
        </w:rPr>
        <w:t>.</w:t>
      </w:r>
      <w:proofErr w:type="gramEnd"/>
    </w:p>
  </w:footnote>
  <w:footnote w:id="50">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for discussion in relation to human rights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w:t>
      </w:r>
      <w:proofErr w:type="spellStart"/>
      <w:r w:rsidRPr="00791A1D">
        <w:rPr>
          <w:rFonts w:ascii="Times New Roman" w:hAnsi="Times New Roman" w:cs="Times New Roman"/>
        </w:rPr>
        <w:t>Gewirth</w:t>
      </w:r>
      <w:proofErr w:type="spellEnd"/>
      <w:r w:rsidRPr="00791A1D">
        <w:rPr>
          <w:rFonts w:ascii="Times New Roman" w:hAnsi="Times New Roman" w:cs="Times New Roman"/>
        </w:rPr>
        <w:t xml:space="preserve">, A, </w:t>
      </w:r>
      <w:r w:rsidRPr="00791A1D">
        <w:rPr>
          <w:rFonts w:ascii="Times New Roman" w:hAnsi="Times New Roman" w:cs="Times New Roman"/>
          <w:i/>
        </w:rPr>
        <w:t xml:space="preserve">Reason and Morality, </w:t>
      </w:r>
      <w:r w:rsidRPr="00791A1D">
        <w:rPr>
          <w:rFonts w:ascii="Times New Roman" w:hAnsi="Times New Roman" w:cs="Times New Roman"/>
        </w:rPr>
        <w:t>1978, Chicago University Press, 64, 263.</w:t>
      </w:r>
    </w:p>
  </w:footnote>
  <w:footnote w:id="51">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Chap 2 pp 00.</w:t>
      </w:r>
    </w:p>
  </w:footnote>
  <w:footnote w:id="52">
    <w:p w:rsidR="00DC127F" w:rsidRPr="00791A1D" w:rsidRDefault="00DC127F"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r w:rsidR="003B7232" w:rsidRPr="00791A1D">
        <w:rPr>
          <w:rFonts w:ascii="Times New Roman" w:hAnsi="Times New Roman" w:cs="Times New Roman"/>
        </w:rPr>
        <w:t xml:space="preserve">Green, </w:t>
      </w:r>
      <w:proofErr w:type="spellStart"/>
      <w:proofErr w:type="gramStart"/>
      <w:r w:rsidR="003B7232" w:rsidRPr="00791A1D">
        <w:rPr>
          <w:rFonts w:ascii="Times New Roman" w:hAnsi="Times New Roman" w:cs="Times New Roman"/>
        </w:rPr>
        <w:t>A</w:t>
      </w:r>
      <w:proofErr w:type="spellEnd"/>
      <w:proofErr w:type="gramEnd"/>
      <w:r w:rsidR="003B7232" w:rsidRPr="00791A1D">
        <w:rPr>
          <w:rFonts w:ascii="Times New Roman" w:hAnsi="Times New Roman" w:cs="Times New Roman"/>
        </w:rPr>
        <w:t xml:space="preserve"> ‘An absolute theory of Convention rights: why the ECHR gives rise to legal rights that cannot   conflict with each other’ (2010) UCL Jurisprudence Review 75.</w:t>
      </w:r>
    </w:p>
  </w:footnote>
  <w:footnote w:id="53">
    <w:p w:rsidR="00EB54D5" w:rsidRPr="00791A1D" w:rsidRDefault="00EB54D5"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in particular Chap 11 pp00. </w:t>
      </w:r>
    </w:p>
  </w:footnote>
  <w:footnote w:id="54">
    <w:p w:rsidR="00B007BD" w:rsidRPr="00791A1D" w:rsidRDefault="00B007BD"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gramStart"/>
      <w:r w:rsidR="003B7232" w:rsidRPr="00791A1D">
        <w:rPr>
          <w:rFonts w:ascii="Times New Roman" w:hAnsi="Times New Roman" w:cs="Times New Roman"/>
        </w:rPr>
        <w:t xml:space="preserve">Green, </w:t>
      </w:r>
      <w:r w:rsidR="003B7232" w:rsidRPr="00791A1D">
        <w:rPr>
          <w:rFonts w:ascii="Times New Roman" w:hAnsi="Times New Roman" w:cs="Times New Roman"/>
          <w:i/>
        </w:rPr>
        <w:t>op cit</w:t>
      </w:r>
      <w:r w:rsidR="003B7232" w:rsidRPr="00791A1D">
        <w:rPr>
          <w:rFonts w:ascii="Times New Roman" w:hAnsi="Times New Roman" w:cs="Times New Roman"/>
        </w:rPr>
        <w:t>.</w:t>
      </w:r>
      <w:proofErr w:type="gramEnd"/>
    </w:p>
  </w:footnote>
  <w:footnote w:id="55">
    <w:p w:rsidR="004D067B" w:rsidRPr="00791A1D" w:rsidRDefault="004D067B"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w:t>
      </w:r>
      <w:r w:rsidRPr="00791A1D">
        <w:rPr>
          <w:rFonts w:ascii="Times New Roman" w:hAnsi="Times New Roman" w:cs="Times New Roman"/>
          <w:i/>
        </w:rPr>
        <w:t>Othman v UK</w:t>
      </w:r>
      <w:r w:rsidR="003B7232" w:rsidRPr="00791A1D">
        <w:rPr>
          <w:rFonts w:ascii="Times New Roman" w:hAnsi="Times New Roman" w:cs="Times New Roman"/>
        </w:rPr>
        <w:t xml:space="preserve"> </w:t>
      </w:r>
      <w:r w:rsidR="003B7232" w:rsidRPr="00791A1D">
        <w:rPr>
          <w:rFonts w:ascii="Times New Roman" w:hAnsi="Times New Roman" w:cs="Times New Roman"/>
        </w:rPr>
        <w:t>(2012) 55 EHRR 1</w:t>
      </w:r>
      <w:r w:rsidR="003B7232" w:rsidRPr="00791A1D">
        <w:rPr>
          <w:rFonts w:ascii="Times New Roman" w:hAnsi="Times New Roman" w:cs="Times New Roman"/>
        </w:rPr>
        <w:t>;</w:t>
      </w:r>
      <w:r w:rsidRPr="00791A1D">
        <w:rPr>
          <w:rFonts w:ascii="Times New Roman" w:hAnsi="Times New Roman" w:cs="Times New Roman"/>
        </w:rPr>
        <w:t xml:space="preserve"> </w:t>
      </w:r>
      <w:r w:rsidRPr="00791A1D">
        <w:rPr>
          <w:rFonts w:ascii="Times New Roman" w:hAnsi="Times New Roman" w:cs="Times New Roman"/>
          <w:i/>
        </w:rPr>
        <w:t>Austin v UK</w:t>
      </w:r>
      <w:r w:rsidRPr="00791A1D">
        <w:rPr>
          <w:rFonts w:ascii="Times New Roman" w:hAnsi="Times New Roman" w:cs="Times New Roman"/>
        </w:rPr>
        <w:t xml:space="preserve"> </w:t>
      </w:r>
      <w:r w:rsidR="003B7232" w:rsidRPr="00791A1D">
        <w:rPr>
          <w:rFonts w:ascii="Times New Roman" w:hAnsi="Times New Roman" w:cs="Times New Roman"/>
        </w:rPr>
        <w:t>(2012) 55 EHRR 14</w:t>
      </w:r>
      <w:r w:rsidRPr="00791A1D">
        <w:rPr>
          <w:rFonts w:ascii="Times New Roman" w:hAnsi="Times New Roman" w:cs="Times New Roman"/>
        </w:rPr>
        <w:t>.</w:t>
      </w:r>
    </w:p>
  </w:footnote>
  <w:footnote w:id="56">
    <w:p w:rsidR="00B47FCE" w:rsidRPr="00791A1D" w:rsidRDefault="00B47FCE"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w:t>
      </w:r>
      <w:proofErr w:type="spellStart"/>
      <w:r w:rsidRPr="00791A1D">
        <w:rPr>
          <w:rFonts w:ascii="Times New Roman" w:hAnsi="Times New Roman" w:cs="Times New Roman"/>
        </w:rPr>
        <w:t>Mavronicola</w:t>
      </w:r>
      <w:proofErr w:type="spellEnd"/>
      <w:r w:rsidRPr="00791A1D">
        <w:rPr>
          <w:rFonts w:ascii="Times New Roman" w:hAnsi="Times New Roman" w:cs="Times New Roman"/>
        </w:rPr>
        <w:t xml:space="preserve">, N, ‘What is an "absolute right"? </w:t>
      </w:r>
      <w:proofErr w:type="gramStart"/>
      <w:r w:rsidRPr="00791A1D">
        <w:rPr>
          <w:rFonts w:ascii="Times New Roman" w:hAnsi="Times New Roman" w:cs="Times New Roman"/>
        </w:rPr>
        <w:t>Deciphering absoluteness in the context of article 3 of the European Convention on Human Rights’ (2012) 12(4) HRL Rev 723.</w:t>
      </w:r>
      <w:proofErr w:type="gramEnd"/>
    </w:p>
  </w:footnote>
  <w:footnote w:id="57">
    <w:p w:rsidR="00E35797" w:rsidRPr="00791A1D" w:rsidRDefault="00E35797" w:rsidP="00791A1D">
      <w:pPr>
        <w:spacing w:after="0" w:line="240" w:lineRule="auto"/>
        <w:jc w:val="both"/>
        <w:rPr>
          <w:rFonts w:ascii="Times New Roman" w:hAnsi="Times New Roman" w:cs="Times New Roman"/>
          <w:sz w:val="20"/>
          <w:szCs w:val="20"/>
        </w:rPr>
      </w:pPr>
      <w:r w:rsidRPr="00791A1D">
        <w:rPr>
          <w:rStyle w:val="FootnoteReference"/>
          <w:rFonts w:ascii="Times New Roman" w:hAnsi="Times New Roman" w:cs="Times New Roman"/>
          <w:sz w:val="20"/>
          <w:szCs w:val="20"/>
        </w:rPr>
        <w:footnoteRef/>
      </w:r>
      <w:r w:rsidRPr="00791A1D">
        <w:rPr>
          <w:rFonts w:ascii="Times New Roman" w:hAnsi="Times New Roman" w:cs="Times New Roman"/>
          <w:sz w:val="20"/>
          <w:szCs w:val="20"/>
        </w:rPr>
        <w:t xml:space="preserve"> This view is not attributed to Dworkin, although he does accept that there will be situations in which the core value of the right will not be at stake. Dworkin has comprehensively rejected Hart’s theory of statutory construction and application of the rules from past cases based around the notion of a core of certainty and a penumbra of uncertainty (for Hart’s position, see </w:t>
      </w:r>
      <w:r w:rsidRPr="00791A1D">
        <w:rPr>
          <w:rFonts w:ascii="Times New Roman" w:hAnsi="Times New Roman" w:cs="Times New Roman"/>
          <w:i/>
          <w:sz w:val="20"/>
          <w:szCs w:val="20"/>
        </w:rPr>
        <w:t>The Concept of Law</w:t>
      </w:r>
      <w:r w:rsidRPr="00791A1D">
        <w:rPr>
          <w:rFonts w:ascii="Times New Roman" w:hAnsi="Times New Roman" w:cs="Times New Roman"/>
          <w:sz w:val="20"/>
          <w:szCs w:val="20"/>
        </w:rPr>
        <w:t xml:space="preserve">, 1961, Clarendon; for Dworkin’s critique, </w:t>
      </w:r>
      <w:r w:rsidRPr="00791A1D">
        <w:rPr>
          <w:rFonts w:ascii="Times New Roman" w:hAnsi="Times New Roman" w:cs="Times New Roman"/>
          <w:i/>
          <w:sz w:val="20"/>
          <w:szCs w:val="20"/>
        </w:rPr>
        <w:t xml:space="preserve">op </w:t>
      </w:r>
      <w:proofErr w:type="spellStart"/>
      <w:r w:rsidRPr="00791A1D">
        <w:rPr>
          <w:rFonts w:ascii="Times New Roman" w:hAnsi="Times New Roman" w:cs="Times New Roman"/>
          <w:i/>
          <w:sz w:val="20"/>
          <w:szCs w:val="20"/>
        </w:rPr>
        <w:t>cit</w:t>
      </w:r>
      <w:proofErr w:type="spellEnd"/>
      <w:r w:rsidRPr="00791A1D">
        <w:rPr>
          <w:rFonts w:ascii="Times New Roman" w:hAnsi="Times New Roman" w:cs="Times New Roman"/>
          <w:sz w:val="20"/>
          <w:szCs w:val="20"/>
        </w:rPr>
        <w:t xml:space="preserve">, </w:t>
      </w:r>
      <w:proofErr w:type="spellStart"/>
      <w:r w:rsidRPr="00791A1D">
        <w:rPr>
          <w:rFonts w:ascii="Times New Roman" w:hAnsi="Times New Roman" w:cs="Times New Roman"/>
          <w:sz w:val="20"/>
          <w:szCs w:val="20"/>
        </w:rPr>
        <w:t>fn</w:t>
      </w:r>
      <w:proofErr w:type="spellEnd"/>
      <w:r w:rsidRPr="00791A1D">
        <w:rPr>
          <w:rFonts w:ascii="Times New Roman" w:hAnsi="Times New Roman" w:cs="Times New Roman"/>
          <w:sz w:val="20"/>
          <w:szCs w:val="20"/>
        </w:rPr>
        <w:t xml:space="preserve"> 3, Chapters 2–4). Dworkin argues that the areas of a rule which form the core and those which fall in the </w:t>
      </w:r>
      <w:proofErr w:type="gramStart"/>
      <w:r w:rsidRPr="00791A1D">
        <w:rPr>
          <w:rFonts w:ascii="Times New Roman" w:hAnsi="Times New Roman" w:cs="Times New Roman"/>
          <w:sz w:val="20"/>
          <w:szCs w:val="20"/>
        </w:rPr>
        <w:t>penumbra,</w:t>
      </w:r>
      <w:proofErr w:type="gramEnd"/>
      <w:r w:rsidRPr="00791A1D">
        <w:rPr>
          <w:rFonts w:ascii="Times New Roman" w:hAnsi="Times New Roman" w:cs="Times New Roman"/>
          <w:sz w:val="20"/>
          <w:szCs w:val="20"/>
        </w:rPr>
        <w:t xml:space="preserve"> can only be elucidated through a judge’s interpretation, which will carry him or her far from the specific words of the statute.</w:t>
      </w:r>
    </w:p>
  </w:footnote>
  <w:footnote w:id="58">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the Judgment of US Supreme Court, </w:t>
      </w:r>
      <w:r w:rsidRPr="00791A1D">
        <w:rPr>
          <w:rFonts w:ascii="Times New Roman" w:hAnsi="Times New Roman" w:cs="Times New Roman"/>
          <w:i/>
          <w:iCs/>
        </w:rPr>
        <w:t xml:space="preserve">Bolger v </w:t>
      </w:r>
      <w:proofErr w:type="spellStart"/>
      <w:r w:rsidRPr="00791A1D">
        <w:rPr>
          <w:rFonts w:ascii="Times New Roman" w:hAnsi="Times New Roman" w:cs="Times New Roman"/>
          <w:i/>
          <w:iCs/>
        </w:rPr>
        <w:t>Youngs</w:t>
      </w:r>
      <w:proofErr w:type="spellEnd"/>
      <w:r w:rsidRPr="00791A1D">
        <w:rPr>
          <w:rFonts w:ascii="Times New Roman" w:hAnsi="Times New Roman" w:cs="Times New Roman"/>
          <w:i/>
          <w:iCs/>
        </w:rPr>
        <w:t xml:space="preserve"> Drug Products Ltd </w:t>
      </w:r>
      <w:r w:rsidRPr="00791A1D">
        <w:rPr>
          <w:rFonts w:ascii="Times New Roman" w:hAnsi="Times New Roman" w:cs="Times New Roman"/>
        </w:rPr>
        <w:t>(1983) 103 Ct 2875, 2880–81.</w:t>
      </w:r>
    </w:p>
  </w:footnote>
  <w:footnote w:id="59">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The House of Lords appeared to recognise the central importance of free political speech in their pre-HRA decision that neither local nor central government could pursue an action in defamation: </w:t>
      </w:r>
      <w:r w:rsidRPr="00791A1D">
        <w:rPr>
          <w:rFonts w:ascii="Times New Roman" w:hAnsi="Times New Roman" w:cs="Times New Roman"/>
          <w:i/>
          <w:iCs/>
        </w:rPr>
        <w:t xml:space="preserve">Derbyshire CC v Times Newspapers </w:t>
      </w:r>
      <w:r w:rsidRPr="00791A1D">
        <w:rPr>
          <w:rFonts w:ascii="Times New Roman" w:hAnsi="Times New Roman" w:cs="Times New Roman"/>
        </w:rPr>
        <w:t>[1993] 1 All ER 1011.</w:t>
      </w:r>
    </w:p>
  </w:footnote>
  <w:footnote w:id="60">
    <w:p w:rsidR="001F2712" w:rsidRPr="00791A1D" w:rsidRDefault="001F2712"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r w:rsidRPr="00791A1D">
        <w:rPr>
          <w:rFonts w:ascii="Times New Roman" w:hAnsi="Times New Roman" w:cs="Times New Roman"/>
          <w:i/>
        </w:rPr>
        <w:t xml:space="preserve">Von Hannover </w:t>
      </w:r>
      <w:r w:rsidR="004061A3" w:rsidRPr="00791A1D">
        <w:rPr>
          <w:rFonts w:ascii="Times New Roman" w:hAnsi="Times New Roman" w:cs="Times New Roman"/>
          <w:i/>
        </w:rPr>
        <w:t>v Germany</w:t>
      </w:r>
      <w:r w:rsidR="004061A3" w:rsidRPr="00791A1D">
        <w:rPr>
          <w:rFonts w:ascii="Times New Roman" w:hAnsi="Times New Roman" w:cs="Times New Roman"/>
        </w:rPr>
        <w:t xml:space="preserve"> </w:t>
      </w:r>
      <w:r w:rsidR="004061A3" w:rsidRPr="00791A1D">
        <w:rPr>
          <w:rFonts w:ascii="Times New Roman" w:hAnsi="Times New Roman" w:cs="Times New Roman"/>
        </w:rPr>
        <w:t>(2005) 40 EHRR 1</w:t>
      </w:r>
      <w:r w:rsidRPr="00791A1D">
        <w:rPr>
          <w:rFonts w:ascii="Times New Roman" w:hAnsi="Times New Roman" w:cs="Times New Roman"/>
        </w:rPr>
        <w:t>.</w:t>
      </w:r>
    </w:p>
  </w:footnote>
  <w:footnote w:id="61">
    <w:p w:rsidR="007708CA" w:rsidRPr="00791A1D" w:rsidRDefault="007708CA"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r w:rsidR="0096544B">
        <w:rPr>
          <w:rFonts w:ascii="Times New Roman" w:hAnsi="Times New Roman" w:cs="Times New Roman"/>
        </w:rPr>
        <w:t xml:space="preserve">An example </w:t>
      </w:r>
      <w:r w:rsidR="00A93172">
        <w:rPr>
          <w:rFonts w:ascii="Times New Roman" w:hAnsi="Times New Roman" w:cs="Times New Roman"/>
        </w:rPr>
        <w:t xml:space="preserve">in the context of assisted suicide </w:t>
      </w:r>
      <w:r w:rsidR="0096544B">
        <w:rPr>
          <w:rFonts w:ascii="Times New Roman" w:hAnsi="Times New Roman" w:cs="Times New Roman"/>
        </w:rPr>
        <w:t xml:space="preserve">is the </w:t>
      </w:r>
      <w:proofErr w:type="spellStart"/>
      <w:r w:rsidR="0096544B">
        <w:rPr>
          <w:rFonts w:ascii="Times New Roman" w:hAnsi="Times New Roman" w:cs="Times New Roman"/>
        </w:rPr>
        <w:t>ECtHR’s</w:t>
      </w:r>
      <w:proofErr w:type="spellEnd"/>
      <w:r w:rsidR="0096544B">
        <w:rPr>
          <w:rFonts w:ascii="Times New Roman" w:hAnsi="Times New Roman" w:cs="Times New Roman"/>
        </w:rPr>
        <w:t xml:space="preserve"> treatment of the right to personal autonomy </w:t>
      </w:r>
      <w:r w:rsidR="00A93172">
        <w:rPr>
          <w:rFonts w:ascii="Times New Roman" w:hAnsi="Times New Roman" w:cs="Times New Roman"/>
        </w:rPr>
        <w:t xml:space="preserve">balanced against the state interest in preservation of life </w:t>
      </w:r>
      <w:r w:rsidR="0096544B">
        <w:rPr>
          <w:rFonts w:ascii="Times New Roman" w:hAnsi="Times New Roman" w:cs="Times New Roman"/>
        </w:rPr>
        <w:t>(</w:t>
      </w:r>
      <w:proofErr w:type="spellStart"/>
      <w:r w:rsidR="0096544B">
        <w:rPr>
          <w:rFonts w:ascii="Times New Roman" w:hAnsi="Times New Roman" w:cs="Times New Roman"/>
        </w:rPr>
        <w:t>eg</w:t>
      </w:r>
      <w:proofErr w:type="spellEnd"/>
      <w:r w:rsidR="0096544B">
        <w:rPr>
          <w:rFonts w:ascii="Times New Roman" w:hAnsi="Times New Roman" w:cs="Times New Roman"/>
        </w:rPr>
        <w:t xml:space="preserve"> </w:t>
      </w:r>
      <w:r w:rsidR="0096544B">
        <w:rPr>
          <w:rFonts w:ascii="Times New Roman" w:hAnsi="Times New Roman" w:cs="Times New Roman"/>
          <w:i/>
        </w:rPr>
        <w:t xml:space="preserve">Pretty v UK </w:t>
      </w:r>
      <w:r w:rsidR="0096544B">
        <w:rPr>
          <w:rFonts w:ascii="Times New Roman" w:hAnsi="Times New Roman" w:cs="Times New Roman"/>
        </w:rPr>
        <w:t xml:space="preserve">(2002) 35 EHRR 1 para 74). </w:t>
      </w:r>
    </w:p>
  </w:footnote>
  <w:footnote w:id="62">
    <w:p w:rsidR="00EC7E41" w:rsidRPr="00791A1D" w:rsidRDefault="00EC7E41"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gramStart"/>
      <w:r w:rsidRPr="00791A1D">
        <w:rPr>
          <w:rFonts w:ascii="Times New Roman" w:hAnsi="Times New Roman" w:cs="Times New Roman"/>
          <w:i/>
        </w:rPr>
        <w:t>Horncastle v UK</w:t>
      </w:r>
      <w:r w:rsidRPr="00791A1D">
        <w:rPr>
          <w:rFonts w:ascii="Times New Roman" w:hAnsi="Times New Roman" w:cs="Times New Roman"/>
        </w:rPr>
        <w:t xml:space="preserve"> </w:t>
      </w:r>
      <w:r w:rsidR="00791A1D" w:rsidRPr="00791A1D">
        <w:rPr>
          <w:rFonts w:ascii="Times New Roman" w:hAnsi="Times New Roman" w:cs="Times New Roman"/>
        </w:rPr>
        <w:t>(20</w:t>
      </w:r>
      <w:r w:rsidR="00791A1D" w:rsidRPr="00791A1D">
        <w:rPr>
          <w:rFonts w:ascii="Times New Roman" w:hAnsi="Times New Roman" w:cs="Times New Roman"/>
        </w:rPr>
        <w:t>15) 60 EHRR</w:t>
      </w:r>
      <w:r w:rsidR="00791A1D" w:rsidRPr="00791A1D">
        <w:rPr>
          <w:rFonts w:ascii="Times New Roman" w:hAnsi="Times New Roman" w:cs="Times New Roman"/>
        </w:rPr>
        <w:t xml:space="preserve"> 31</w:t>
      </w:r>
      <w:r w:rsidRPr="00791A1D">
        <w:rPr>
          <w:rFonts w:ascii="Times New Roman" w:hAnsi="Times New Roman" w:cs="Times New Roman"/>
        </w:rPr>
        <w:t>.</w:t>
      </w:r>
      <w:proofErr w:type="gramEnd"/>
    </w:p>
  </w:footnote>
  <w:footnote w:id="63">
    <w:p w:rsidR="00202605" w:rsidRPr="00AA5970" w:rsidRDefault="00202605"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r w:rsidR="00AA5970">
        <w:rPr>
          <w:rFonts w:ascii="Times New Roman" w:hAnsi="Times New Roman" w:cs="Times New Roman"/>
        </w:rPr>
        <w:t xml:space="preserve">See </w:t>
      </w:r>
      <w:proofErr w:type="spellStart"/>
      <w:r w:rsidR="00AA5970">
        <w:rPr>
          <w:rFonts w:ascii="Times New Roman" w:hAnsi="Times New Roman" w:cs="Times New Roman"/>
        </w:rPr>
        <w:t>eg</w:t>
      </w:r>
      <w:proofErr w:type="spellEnd"/>
      <w:r w:rsidR="00AA5970">
        <w:rPr>
          <w:rFonts w:ascii="Times New Roman" w:hAnsi="Times New Roman" w:cs="Times New Roman"/>
        </w:rPr>
        <w:t xml:space="preserve"> </w:t>
      </w:r>
      <w:proofErr w:type="spellStart"/>
      <w:r w:rsidR="00AA5970">
        <w:rPr>
          <w:rFonts w:ascii="Times New Roman" w:hAnsi="Times New Roman" w:cs="Times New Roman"/>
        </w:rPr>
        <w:t>Gewirth</w:t>
      </w:r>
      <w:proofErr w:type="spellEnd"/>
      <w:r w:rsidR="00AA5970">
        <w:rPr>
          <w:rFonts w:ascii="Times New Roman" w:hAnsi="Times New Roman" w:cs="Times New Roman"/>
        </w:rPr>
        <w:t xml:space="preserve">, A </w:t>
      </w:r>
      <w:r w:rsidR="00AA5970">
        <w:rPr>
          <w:rFonts w:ascii="Times New Roman" w:hAnsi="Times New Roman" w:cs="Times New Roman"/>
          <w:i/>
        </w:rPr>
        <w:t>Reason and Morality</w:t>
      </w:r>
      <w:r w:rsidR="00AA5970">
        <w:rPr>
          <w:rFonts w:ascii="Times New Roman" w:hAnsi="Times New Roman" w:cs="Times New Roman"/>
        </w:rPr>
        <w:t xml:space="preserve">, 1978, University </w:t>
      </w:r>
      <w:r w:rsidR="00B87721">
        <w:rPr>
          <w:rFonts w:ascii="Times New Roman" w:hAnsi="Times New Roman" w:cs="Times New Roman"/>
        </w:rPr>
        <w:t xml:space="preserve">of Chicago </w:t>
      </w:r>
      <w:bookmarkStart w:id="0" w:name="_GoBack"/>
      <w:bookmarkEnd w:id="0"/>
      <w:r w:rsidR="00AA5970">
        <w:rPr>
          <w:rFonts w:ascii="Times New Roman" w:hAnsi="Times New Roman" w:cs="Times New Roman"/>
        </w:rPr>
        <w:t xml:space="preserve">Press, </w:t>
      </w:r>
      <w:proofErr w:type="gramStart"/>
      <w:r w:rsidR="00AA5970">
        <w:rPr>
          <w:rFonts w:ascii="Times New Roman" w:hAnsi="Times New Roman" w:cs="Times New Roman"/>
        </w:rPr>
        <w:t xml:space="preserve">223 </w:t>
      </w:r>
      <w:r w:rsidR="00AA5970" w:rsidRPr="00AA5970">
        <w:rPr>
          <w:rFonts w:ascii="Times New Roman" w:hAnsi="Times New Roman" w:cs="Times New Roman"/>
          <w:i/>
        </w:rPr>
        <w:t>et seq</w:t>
      </w:r>
      <w:r w:rsidR="00AA5970">
        <w:rPr>
          <w:rFonts w:ascii="Times New Roman" w:hAnsi="Times New Roman" w:cs="Times New Roman"/>
        </w:rPr>
        <w:t>.</w:t>
      </w:r>
      <w:proofErr w:type="gramEnd"/>
    </w:p>
  </w:footnote>
  <w:footnote w:id="64">
    <w:p w:rsidR="00FC3A4A" w:rsidRPr="00791A1D" w:rsidRDefault="00FC3A4A"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An example is</w:t>
      </w:r>
      <w:r w:rsidR="00791A1D">
        <w:rPr>
          <w:rFonts w:ascii="Times New Roman" w:hAnsi="Times New Roman" w:cs="Times New Roman"/>
        </w:rPr>
        <w:t xml:space="preserve"> arguably provided by </w:t>
      </w:r>
      <w:r w:rsidR="00791A1D" w:rsidRPr="00791A1D">
        <w:rPr>
          <w:rFonts w:ascii="Times New Roman" w:hAnsi="Times New Roman" w:cs="Times New Roman"/>
          <w:i/>
        </w:rPr>
        <w:t>Firth v UK</w:t>
      </w:r>
      <w:r w:rsidR="00791A1D">
        <w:rPr>
          <w:rFonts w:ascii="Times New Roman" w:hAnsi="Times New Roman" w:cs="Times New Roman"/>
        </w:rPr>
        <w:t xml:space="preserve">, </w:t>
      </w:r>
      <w:proofErr w:type="spellStart"/>
      <w:r w:rsidR="00791A1D">
        <w:rPr>
          <w:rFonts w:ascii="Times New Roman" w:hAnsi="Times New Roman" w:cs="Times New Roman"/>
        </w:rPr>
        <w:t>Appl</w:t>
      </w:r>
      <w:proofErr w:type="spellEnd"/>
      <w:r w:rsidR="00791A1D">
        <w:rPr>
          <w:rFonts w:ascii="Times New Roman" w:hAnsi="Times New Roman" w:cs="Times New Roman"/>
        </w:rPr>
        <w:t xml:space="preserve"> 47784/09, judgment of 12</w:t>
      </w:r>
      <w:r w:rsidR="00791A1D" w:rsidRPr="00791A1D">
        <w:rPr>
          <w:rFonts w:ascii="Times New Roman" w:hAnsi="Times New Roman" w:cs="Times New Roman"/>
          <w:vertAlign w:val="superscript"/>
        </w:rPr>
        <w:t>th</w:t>
      </w:r>
      <w:r w:rsidR="00791A1D">
        <w:rPr>
          <w:rFonts w:ascii="Times New Roman" w:hAnsi="Times New Roman" w:cs="Times New Roman"/>
        </w:rPr>
        <w:t xml:space="preserve"> August 2014, which concerned </w:t>
      </w:r>
      <w:r w:rsidRPr="00791A1D">
        <w:rPr>
          <w:rFonts w:ascii="Times New Roman" w:hAnsi="Times New Roman" w:cs="Times New Roman"/>
        </w:rPr>
        <w:t xml:space="preserve">compensation for prisoners </w:t>
      </w:r>
      <w:r w:rsidR="00791A1D">
        <w:rPr>
          <w:rFonts w:ascii="Times New Roman" w:hAnsi="Times New Roman" w:cs="Times New Roman"/>
        </w:rPr>
        <w:t xml:space="preserve">who were </w:t>
      </w:r>
      <w:r w:rsidRPr="00791A1D">
        <w:rPr>
          <w:rFonts w:ascii="Times New Roman" w:hAnsi="Times New Roman" w:cs="Times New Roman"/>
        </w:rPr>
        <w:t xml:space="preserve">denied </w:t>
      </w:r>
      <w:r w:rsidR="00791A1D">
        <w:rPr>
          <w:rFonts w:ascii="Times New Roman" w:hAnsi="Times New Roman" w:cs="Times New Roman"/>
        </w:rPr>
        <w:t xml:space="preserve">the right to </w:t>
      </w:r>
      <w:r w:rsidRPr="00791A1D">
        <w:rPr>
          <w:rFonts w:ascii="Times New Roman" w:hAnsi="Times New Roman" w:cs="Times New Roman"/>
        </w:rPr>
        <w:t>vote</w:t>
      </w:r>
      <w:r w:rsidR="00791A1D">
        <w:rPr>
          <w:rFonts w:ascii="Times New Roman" w:hAnsi="Times New Roman" w:cs="Times New Roman"/>
        </w:rPr>
        <w:t xml:space="preserve"> (protected by the ECHR Protocol 1, para 1)</w:t>
      </w:r>
      <w:r w:rsidRPr="00791A1D">
        <w:rPr>
          <w:rFonts w:ascii="Times New Roman" w:hAnsi="Times New Roman" w:cs="Times New Roman"/>
        </w:rPr>
        <w:t>.</w:t>
      </w:r>
    </w:p>
  </w:footnote>
  <w:footnote w:id="65">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Griffin, J, </w:t>
      </w:r>
      <w:r w:rsidRPr="00791A1D">
        <w:rPr>
          <w:rFonts w:ascii="Times New Roman" w:eastAsia="Times New Roman" w:hAnsi="Times New Roman" w:cs="Times New Roman"/>
          <w:i/>
          <w:iCs/>
          <w:color w:val="1A1A1A"/>
          <w:lang w:eastAsia="en-GB"/>
        </w:rPr>
        <w:t>On Human Rights,</w:t>
      </w:r>
      <w:r w:rsidRPr="00791A1D">
        <w:rPr>
          <w:rFonts w:ascii="Times New Roman" w:eastAsia="Times New Roman" w:hAnsi="Times New Roman" w:cs="Times New Roman"/>
          <w:color w:val="1A1A1A"/>
          <w:lang w:eastAsia="en-GB"/>
        </w:rPr>
        <w:t xml:space="preserve"> 2008, OUP, p 191.</w:t>
      </w:r>
    </w:p>
  </w:footnote>
  <w:footnote w:id="66">
    <w:p w:rsidR="00202605" w:rsidRPr="00791A1D" w:rsidRDefault="00202605"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w:t>
      </w:r>
      <w:proofErr w:type="spellStart"/>
      <w:r w:rsidR="00791A1D" w:rsidRPr="00791A1D">
        <w:rPr>
          <w:rFonts w:ascii="Times New Roman" w:hAnsi="Times New Roman" w:cs="Times New Roman"/>
          <w:i/>
        </w:rPr>
        <w:t>Ha</w:t>
      </w:r>
      <w:r w:rsidRPr="00791A1D">
        <w:rPr>
          <w:rFonts w:ascii="Times New Roman" w:hAnsi="Times New Roman" w:cs="Times New Roman"/>
          <w:i/>
        </w:rPr>
        <w:t>malainen</w:t>
      </w:r>
      <w:proofErr w:type="spellEnd"/>
      <w:r w:rsidRPr="00791A1D">
        <w:rPr>
          <w:rFonts w:ascii="Times New Roman" w:hAnsi="Times New Roman" w:cs="Times New Roman"/>
          <w:i/>
        </w:rPr>
        <w:t xml:space="preserve"> v Finland</w:t>
      </w:r>
      <w:r w:rsidRPr="00791A1D">
        <w:rPr>
          <w:rFonts w:ascii="Times New Roman" w:hAnsi="Times New Roman" w:cs="Times New Roman"/>
        </w:rPr>
        <w:t xml:space="preserve"> </w:t>
      </w:r>
      <w:r w:rsidR="00791A1D" w:rsidRPr="00791A1D">
        <w:rPr>
          <w:rFonts w:ascii="Times New Roman" w:hAnsi="Times New Roman" w:cs="Times New Roman"/>
        </w:rPr>
        <w:t>[2015] 1 FCR</w:t>
      </w:r>
      <w:r w:rsidR="00791A1D" w:rsidRPr="00791A1D">
        <w:rPr>
          <w:rFonts w:ascii="Times New Roman" w:hAnsi="Times New Roman" w:cs="Times New Roman"/>
        </w:rPr>
        <w:t xml:space="preserve"> 379</w:t>
      </w:r>
      <w:r w:rsidR="00791A1D">
        <w:rPr>
          <w:rFonts w:ascii="Times New Roman" w:hAnsi="Times New Roman" w:cs="Times New Roman"/>
        </w:rPr>
        <w:t xml:space="preserve">; </w:t>
      </w:r>
      <w:r w:rsidR="00FC3A4A" w:rsidRPr="00791A1D">
        <w:rPr>
          <w:rFonts w:ascii="Times New Roman" w:hAnsi="Times New Roman" w:cs="Times New Roman"/>
        </w:rPr>
        <w:t>the claim was deemed to concern a positive obligation but would have involved minimal resource to satisfy it.</w:t>
      </w:r>
    </w:p>
  </w:footnote>
  <w:footnote w:id="67">
    <w:p w:rsidR="00E35797" w:rsidRPr="00791A1D" w:rsidRDefault="00E35797" w:rsidP="00791A1D">
      <w:pPr>
        <w:shd w:val="clear" w:color="auto" w:fill="FFFFFF"/>
        <w:spacing w:after="0" w:line="240" w:lineRule="auto"/>
        <w:jc w:val="both"/>
        <w:rPr>
          <w:rFonts w:ascii="Times New Roman" w:eastAsia="Times New Roman" w:hAnsi="Times New Roman" w:cs="Times New Roman"/>
          <w:color w:val="000000"/>
          <w:sz w:val="20"/>
          <w:szCs w:val="20"/>
          <w:lang w:eastAsia="en-GB"/>
        </w:rPr>
      </w:pPr>
      <w:r w:rsidRPr="00791A1D">
        <w:rPr>
          <w:rStyle w:val="FootnoteReference"/>
          <w:rFonts w:ascii="Times New Roman" w:hAnsi="Times New Roman" w:cs="Times New Roman"/>
          <w:sz w:val="20"/>
          <w:szCs w:val="20"/>
        </w:rPr>
        <w:footnoteRef/>
      </w:r>
      <w:r w:rsidRPr="00791A1D">
        <w:rPr>
          <w:rFonts w:ascii="Times New Roman" w:hAnsi="Times New Roman" w:cs="Times New Roman"/>
          <w:sz w:val="20"/>
          <w:szCs w:val="20"/>
        </w:rPr>
        <w:t xml:space="preserve">  See </w:t>
      </w:r>
      <w:proofErr w:type="spellStart"/>
      <w:r w:rsidRPr="00791A1D">
        <w:rPr>
          <w:rFonts w:ascii="Times New Roman" w:hAnsi="Times New Roman" w:cs="Times New Roman"/>
          <w:sz w:val="20"/>
          <w:szCs w:val="20"/>
        </w:rPr>
        <w:t>eg</w:t>
      </w:r>
      <w:proofErr w:type="spellEnd"/>
      <w:r w:rsidRPr="00791A1D">
        <w:rPr>
          <w:rFonts w:ascii="Times New Roman" w:hAnsi="Times New Roman" w:cs="Times New Roman"/>
          <w:sz w:val="20"/>
          <w:szCs w:val="20"/>
        </w:rPr>
        <w:t xml:space="preserve"> </w:t>
      </w:r>
      <w:proofErr w:type="spellStart"/>
      <w:r w:rsidRPr="00791A1D">
        <w:rPr>
          <w:rFonts w:ascii="Times New Roman" w:eastAsia="Times New Roman" w:hAnsi="Times New Roman" w:cs="Times New Roman"/>
          <w:color w:val="000000"/>
          <w:sz w:val="20"/>
          <w:szCs w:val="20"/>
          <w:lang w:eastAsia="en-GB"/>
        </w:rPr>
        <w:t>Nozick</w:t>
      </w:r>
      <w:proofErr w:type="spellEnd"/>
      <w:r w:rsidRPr="00791A1D">
        <w:rPr>
          <w:rFonts w:ascii="Times New Roman" w:eastAsia="Times New Roman" w:hAnsi="Times New Roman" w:cs="Times New Roman"/>
          <w:color w:val="000000"/>
          <w:sz w:val="20"/>
          <w:szCs w:val="20"/>
          <w:lang w:eastAsia="en-GB"/>
        </w:rPr>
        <w:t xml:space="preserve">, R, </w:t>
      </w:r>
      <w:r w:rsidRPr="00791A1D">
        <w:rPr>
          <w:rFonts w:ascii="Times New Roman" w:eastAsia="Times New Roman" w:hAnsi="Times New Roman" w:cs="Times New Roman"/>
          <w:i/>
          <w:iCs/>
          <w:color w:val="000000"/>
          <w:sz w:val="20"/>
          <w:szCs w:val="20"/>
          <w:lang w:eastAsia="en-GB"/>
        </w:rPr>
        <w:t>Anarchy, State and Utopia</w:t>
      </w:r>
      <w:r w:rsidRPr="00791A1D">
        <w:rPr>
          <w:rFonts w:ascii="Times New Roman" w:eastAsia="Times New Roman" w:hAnsi="Times New Roman" w:cs="Times New Roman"/>
          <w:color w:val="000000"/>
          <w:sz w:val="20"/>
          <w:szCs w:val="20"/>
          <w:lang w:eastAsia="en-GB"/>
        </w:rPr>
        <w:t>, 1974, Basic Books.</w:t>
      </w:r>
    </w:p>
  </w:footnote>
  <w:footnote w:id="68">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w:t>
      </w:r>
      <w:proofErr w:type="spellStart"/>
      <w:r w:rsidRPr="00791A1D">
        <w:rPr>
          <w:rFonts w:ascii="Times New Roman" w:hAnsi="Times New Roman" w:cs="Times New Roman"/>
        </w:rPr>
        <w:t>Gewirth</w:t>
      </w:r>
      <w:proofErr w:type="spellEnd"/>
      <w:r w:rsidRPr="00791A1D">
        <w:rPr>
          <w:rFonts w:ascii="Times New Roman" w:hAnsi="Times New Roman" w:cs="Times New Roman"/>
        </w:rPr>
        <w:t xml:space="preserve">, A, </w:t>
      </w:r>
      <w:r w:rsidRPr="00791A1D">
        <w:rPr>
          <w:rFonts w:ascii="Times New Roman" w:hAnsi="Times New Roman" w:cs="Times New Roman"/>
          <w:i/>
        </w:rPr>
        <w:t xml:space="preserve">The Community of Rights, </w:t>
      </w:r>
      <w:r w:rsidRPr="00791A1D">
        <w:rPr>
          <w:rFonts w:ascii="Times New Roman" w:hAnsi="Times New Roman" w:cs="Times New Roman"/>
        </w:rPr>
        <w:t>1996, University of Chicago Press.</w:t>
      </w:r>
    </w:p>
  </w:footnote>
  <w:footnote w:id="69">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Bentham, J, ‘Anarchical fallacies’, in Bowring, J (</w:t>
      </w:r>
      <w:proofErr w:type="spellStart"/>
      <w:proofErr w:type="gramStart"/>
      <w:r w:rsidRPr="00791A1D">
        <w:rPr>
          <w:rFonts w:ascii="Times New Roman" w:hAnsi="Times New Roman" w:cs="Times New Roman"/>
        </w:rPr>
        <w:t>ed</w:t>
      </w:r>
      <w:proofErr w:type="spellEnd"/>
      <w:proofErr w:type="gramEnd"/>
      <w:r w:rsidRPr="00791A1D">
        <w:rPr>
          <w:rFonts w:ascii="Times New Roman" w:hAnsi="Times New Roman" w:cs="Times New Roman"/>
        </w:rPr>
        <w:t xml:space="preserve">), </w:t>
      </w:r>
      <w:r w:rsidRPr="00791A1D">
        <w:rPr>
          <w:rFonts w:ascii="Times New Roman" w:hAnsi="Times New Roman" w:cs="Times New Roman"/>
          <w:i/>
          <w:iCs/>
        </w:rPr>
        <w:t>Collected Works of Jeremy Bentham</w:t>
      </w:r>
      <w:r w:rsidRPr="00791A1D">
        <w:rPr>
          <w:rFonts w:ascii="Times New Roman" w:hAnsi="Times New Roman" w:cs="Times New Roman"/>
        </w:rPr>
        <w:t>, 1843, p 494.</w:t>
      </w:r>
    </w:p>
  </w:footnote>
  <w:footnote w:id="70">
    <w:p w:rsidR="00E35797" w:rsidRPr="00791A1D" w:rsidRDefault="00E35797" w:rsidP="00791A1D">
      <w:pPr>
        <w:spacing w:after="0"/>
        <w:jc w:val="both"/>
        <w:rPr>
          <w:rFonts w:ascii="Times New Roman" w:hAnsi="Times New Roman" w:cs="Times New Roman"/>
          <w:sz w:val="20"/>
          <w:szCs w:val="20"/>
        </w:rPr>
      </w:pPr>
      <w:r w:rsidRPr="00791A1D">
        <w:rPr>
          <w:rStyle w:val="FootnoteReference"/>
          <w:rFonts w:ascii="Times New Roman" w:hAnsi="Times New Roman" w:cs="Times New Roman"/>
          <w:sz w:val="20"/>
          <w:szCs w:val="20"/>
        </w:rPr>
        <w:footnoteRef/>
      </w:r>
      <w:r w:rsidRPr="00791A1D">
        <w:rPr>
          <w:rFonts w:ascii="Times New Roman" w:hAnsi="Times New Roman" w:cs="Times New Roman"/>
          <w:sz w:val="20"/>
          <w:szCs w:val="20"/>
        </w:rPr>
        <w:t xml:space="preserve"> Utilitarianism is a major political philosophy. The original conception of utilitarianism espoused by Jeremy Bentham saw the aim of government as being to promote the greatest happiness of the greatest number of people (see Burns (</w:t>
      </w:r>
      <w:proofErr w:type="spellStart"/>
      <w:r w:rsidRPr="00791A1D">
        <w:rPr>
          <w:rFonts w:ascii="Times New Roman" w:hAnsi="Times New Roman" w:cs="Times New Roman"/>
          <w:sz w:val="20"/>
          <w:szCs w:val="20"/>
        </w:rPr>
        <w:t>ed</w:t>
      </w:r>
      <w:proofErr w:type="spellEnd"/>
      <w:r w:rsidRPr="00791A1D">
        <w:rPr>
          <w:rFonts w:ascii="Times New Roman" w:hAnsi="Times New Roman" w:cs="Times New Roman"/>
          <w:sz w:val="20"/>
          <w:szCs w:val="20"/>
        </w:rPr>
        <w:t xml:space="preserve">), </w:t>
      </w:r>
      <w:r w:rsidRPr="00791A1D">
        <w:rPr>
          <w:rFonts w:ascii="Times New Roman" w:hAnsi="Times New Roman" w:cs="Times New Roman"/>
          <w:i/>
          <w:iCs/>
          <w:sz w:val="20"/>
          <w:szCs w:val="20"/>
        </w:rPr>
        <w:t>Collected Works of Jeremy Bentham</w:t>
      </w:r>
      <w:r w:rsidRPr="00791A1D">
        <w:rPr>
          <w:rFonts w:ascii="Times New Roman" w:hAnsi="Times New Roman" w:cs="Times New Roman"/>
          <w:sz w:val="20"/>
          <w:szCs w:val="20"/>
        </w:rPr>
        <w:t xml:space="preserve">, 1970). A more recent and fashionable version states that an ideal society is one in which there is the maximum amount of preference satisfaction (see, generally, Smart, C and Williams, B, </w:t>
      </w:r>
      <w:r w:rsidRPr="00791A1D">
        <w:rPr>
          <w:rFonts w:ascii="Times New Roman" w:hAnsi="Times New Roman" w:cs="Times New Roman"/>
          <w:i/>
          <w:iCs/>
          <w:sz w:val="20"/>
          <w:szCs w:val="20"/>
        </w:rPr>
        <w:t xml:space="preserve">Utilitarianism: For and </w:t>
      </w:r>
      <w:proofErr w:type="gramStart"/>
      <w:r w:rsidRPr="00791A1D">
        <w:rPr>
          <w:rFonts w:ascii="Times New Roman" w:hAnsi="Times New Roman" w:cs="Times New Roman"/>
          <w:i/>
          <w:iCs/>
          <w:sz w:val="20"/>
          <w:szCs w:val="20"/>
        </w:rPr>
        <w:t>Against</w:t>
      </w:r>
      <w:proofErr w:type="gramEnd"/>
      <w:r w:rsidRPr="00791A1D">
        <w:rPr>
          <w:rFonts w:ascii="Times New Roman" w:hAnsi="Times New Roman" w:cs="Times New Roman"/>
          <w:sz w:val="20"/>
          <w:szCs w:val="20"/>
        </w:rPr>
        <w:t>, 1973, CUP). References in the text will be to this latter version, known as ‘preference utilitarianism’.</w:t>
      </w:r>
    </w:p>
  </w:footnote>
  <w:footnote w:id="71">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Smart, C and Williams, B, </w:t>
      </w:r>
      <w:r w:rsidRPr="00791A1D">
        <w:rPr>
          <w:rFonts w:ascii="Times New Roman" w:hAnsi="Times New Roman" w:cs="Times New Roman"/>
          <w:i/>
          <w:iCs/>
        </w:rPr>
        <w:t>Utilitarianism: For and Against</w:t>
      </w:r>
      <w:r w:rsidRPr="00791A1D">
        <w:rPr>
          <w:rFonts w:ascii="Times New Roman" w:hAnsi="Times New Roman" w:cs="Times New Roman"/>
        </w:rPr>
        <w:t>, 1973, CUP.</w:t>
      </w:r>
    </w:p>
  </w:footnote>
  <w:footnote w:id="72">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Marx, K, </w:t>
      </w:r>
      <w:r w:rsidRPr="00791A1D">
        <w:rPr>
          <w:rFonts w:ascii="Times New Roman" w:hAnsi="Times New Roman" w:cs="Times New Roman"/>
          <w:i/>
          <w:iCs/>
        </w:rPr>
        <w:t>On the Jewish Question</w:t>
      </w:r>
      <w:r w:rsidRPr="00791A1D">
        <w:rPr>
          <w:rFonts w:ascii="Times New Roman" w:hAnsi="Times New Roman" w:cs="Times New Roman"/>
        </w:rPr>
        <w:t>, 1843.</w:t>
      </w:r>
    </w:p>
  </w:footnote>
  <w:footnote w:id="73">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e.g., </w:t>
      </w:r>
      <w:proofErr w:type="spellStart"/>
      <w:r w:rsidRPr="00791A1D">
        <w:rPr>
          <w:rFonts w:ascii="Times New Roman" w:hAnsi="Times New Roman" w:cs="Times New Roman"/>
        </w:rPr>
        <w:t>Sandel</w:t>
      </w:r>
      <w:proofErr w:type="spellEnd"/>
      <w:r w:rsidRPr="00791A1D">
        <w:rPr>
          <w:rFonts w:ascii="Times New Roman" w:hAnsi="Times New Roman" w:cs="Times New Roman"/>
        </w:rPr>
        <w:t xml:space="preserve">, M, </w:t>
      </w:r>
      <w:r w:rsidRPr="00791A1D">
        <w:rPr>
          <w:rFonts w:ascii="Times New Roman" w:hAnsi="Times New Roman" w:cs="Times New Roman"/>
          <w:i/>
          <w:iCs/>
        </w:rPr>
        <w:t>Liberalism and the Limits of Justice</w:t>
      </w:r>
      <w:r w:rsidRPr="00791A1D">
        <w:rPr>
          <w:rFonts w:ascii="Times New Roman" w:hAnsi="Times New Roman" w:cs="Times New Roman"/>
        </w:rPr>
        <w:t>, 1982, CUP.</w:t>
      </w:r>
    </w:p>
  </w:footnote>
  <w:footnote w:id="74">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Unger, R, </w:t>
      </w:r>
      <w:proofErr w:type="gramStart"/>
      <w:r w:rsidRPr="00791A1D">
        <w:rPr>
          <w:rFonts w:ascii="Times New Roman" w:hAnsi="Times New Roman" w:cs="Times New Roman"/>
          <w:i/>
          <w:iCs/>
        </w:rPr>
        <w:t>The</w:t>
      </w:r>
      <w:proofErr w:type="gramEnd"/>
      <w:r w:rsidRPr="00791A1D">
        <w:rPr>
          <w:rFonts w:ascii="Times New Roman" w:hAnsi="Times New Roman" w:cs="Times New Roman"/>
          <w:i/>
          <w:iCs/>
        </w:rPr>
        <w:t xml:space="preserve"> Critical Legal Studies Movement</w:t>
      </w:r>
      <w:r w:rsidRPr="00791A1D">
        <w:rPr>
          <w:rFonts w:ascii="Times New Roman" w:hAnsi="Times New Roman" w:cs="Times New Roman"/>
        </w:rPr>
        <w:t>, 1986, Harvard University Press.</w:t>
      </w:r>
    </w:p>
  </w:footnote>
  <w:footnote w:id="75">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spellStart"/>
      <w:proofErr w:type="gramStart"/>
      <w:r w:rsidRPr="00791A1D">
        <w:rPr>
          <w:rFonts w:ascii="Times New Roman" w:hAnsi="Times New Roman" w:cs="Times New Roman"/>
        </w:rPr>
        <w:t>Tushnet</w:t>
      </w:r>
      <w:proofErr w:type="spellEnd"/>
      <w:r w:rsidRPr="00791A1D">
        <w:rPr>
          <w:rFonts w:ascii="Times New Roman" w:hAnsi="Times New Roman" w:cs="Times New Roman"/>
        </w:rPr>
        <w:t>, M, ‘An essay on rights’ (1984) 62(18) Texas L Rev 1363.</w:t>
      </w:r>
      <w:proofErr w:type="gramEnd"/>
    </w:p>
  </w:footnote>
  <w:footnote w:id="76">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Locke, J, </w:t>
      </w:r>
      <w:proofErr w:type="gramStart"/>
      <w:r w:rsidRPr="00791A1D">
        <w:rPr>
          <w:rFonts w:ascii="Times New Roman" w:hAnsi="Times New Roman" w:cs="Times New Roman"/>
          <w:i/>
          <w:iCs/>
        </w:rPr>
        <w:t>The</w:t>
      </w:r>
      <w:proofErr w:type="gramEnd"/>
      <w:r w:rsidRPr="00791A1D">
        <w:rPr>
          <w:rFonts w:ascii="Times New Roman" w:hAnsi="Times New Roman" w:cs="Times New Roman"/>
          <w:i/>
          <w:iCs/>
        </w:rPr>
        <w:t xml:space="preserve"> Second Treatise of Government</w:t>
      </w:r>
      <w:r w:rsidRPr="00791A1D">
        <w:rPr>
          <w:rFonts w:ascii="Times New Roman" w:hAnsi="Times New Roman" w:cs="Times New Roman"/>
        </w:rPr>
        <w:t>, 1698.</w:t>
      </w:r>
    </w:p>
  </w:footnote>
  <w:footnote w:id="77">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r w:rsidRPr="00791A1D">
        <w:rPr>
          <w:rFonts w:ascii="Times New Roman" w:hAnsi="Times New Roman" w:cs="Times New Roman"/>
          <w:i/>
          <w:iCs/>
        </w:rPr>
        <w:t xml:space="preserve"> </w:t>
      </w:r>
      <w:r w:rsidRPr="00791A1D">
        <w:rPr>
          <w:rFonts w:ascii="Times New Roman" w:hAnsi="Times New Roman" w:cs="Times New Roman"/>
        </w:rPr>
        <w:t xml:space="preserve">Rawls, J, </w:t>
      </w:r>
      <w:r w:rsidRPr="00791A1D">
        <w:rPr>
          <w:rFonts w:ascii="Times New Roman" w:hAnsi="Times New Roman" w:cs="Times New Roman"/>
          <w:i/>
          <w:iCs/>
        </w:rPr>
        <w:t>A Theory of Justice</w:t>
      </w:r>
      <w:r w:rsidRPr="00791A1D">
        <w:rPr>
          <w:rFonts w:ascii="Times New Roman" w:hAnsi="Times New Roman" w:cs="Times New Roman"/>
        </w:rPr>
        <w:t>, 1972, HUP.</w:t>
      </w:r>
    </w:p>
  </w:footnote>
  <w:footnote w:id="78">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Hart’s comments on this phenomenon generally in ‘Between utility and rights’ in Cohen, M (</w:t>
      </w:r>
      <w:proofErr w:type="spellStart"/>
      <w:r w:rsidRPr="00791A1D">
        <w:rPr>
          <w:rFonts w:ascii="Times New Roman" w:hAnsi="Times New Roman" w:cs="Times New Roman"/>
        </w:rPr>
        <w:t>ed</w:t>
      </w:r>
      <w:proofErr w:type="spellEnd"/>
      <w:r w:rsidRPr="00791A1D">
        <w:rPr>
          <w:rFonts w:ascii="Times New Roman" w:hAnsi="Times New Roman" w:cs="Times New Roman"/>
        </w:rPr>
        <w:t xml:space="preserve">), </w:t>
      </w:r>
      <w:r w:rsidRPr="00791A1D">
        <w:rPr>
          <w:rFonts w:ascii="Times New Roman" w:hAnsi="Times New Roman" w:cs="Times New Roman"/>
          <w:i/>
          <w:iCs/>
        </w:rPr>
        <w:t>Ronald Dworkin and Contemporary Jurisprudence</w:t>
      </w:r>
      <w:r w:rsidRPr="00791A1D">
        <w:rPr>
          <w:rFonts w:ascii="Times New Roman" w:hAnsi="Times New Roman" w:cs="Times New Roman"/>
        </w:rPr>
        <w:t>, 1984, Duckworth.</w:t>
      </w:r>
    </w:p>
  </w:footnote>
  <w:footnote w:id="79">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spellStart"/>
      <w:proofErr w:type="gramStart"/>
      <w:r w:rsidRPr="00791A1D">
        <w:rPr>
          <w:rFonts w:ascii="Times New Roman" w:hAnsi="Times New Roman" w:cs="Times New Roman"/>
        </w:rPr>
        <w:t>Nozick</w:t>
      </w:r>
      <w:proofErr w:type="spellEnd"/>
      <w:r w:rsidRPr="00791A1D">
        <w:rPr>
          <w:rFonts w:ascii="Times New Roman" w:hAnsi="Times New Roman" w:cs="Times New Roman"/>
        </w:rPr>
        <w:t xml:space="preserve">, R, </w:t>
      </w:r>
      <w:r w:rsidRPr="00791A1D">
        <w:rPr>
          <w:rFonts w:ascii="Times New Roman" w:hAnsi="Times New Roman" w:cs="Times New Roman"/>
          <w:i/>
          <w:iCs/>
        </w:rPr>
        <w:t>Anarchy, State and Utopia</w:t>
      </w:r>
      <w:r w:rsidRPr="00791A1D">
        <w:rPr>
          <w:rFonts w:ascii="Times New Roman" w:hAnsi="Times New Roman" w:cs="Times New Roman"/>
        </w:rPr>
        <w:t>, 1974, Blackwell, p 183.</w:t>
      </w:r>
      <w:proofErr w:type="gramEnd"/>
    </w:p>
  </w:footnote>
  <w:footnote w:id="80">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For this reference and a brief summary of the theory, see Rawls, J, </w:t>
      </w:r>
      <w:r w:rsidRPr="00791A1D">
        <w:rPr>
          <w:rFonts w:ascii="Times New Roman" w:hAnsi="Times New Roman" w:cs="Times New Roman"/>
          <w:i/>
          <w:iCs/>
        </w:rPr>
        <w:t>A Theory of Justice</w:t>
      </w:r>
      <w:r w:rsidRPr="00791A1D">
        <w:rPr>
          <w:rFonts w:ascii="Times New Roman" w:hAnsi="Times New Roman" w:cs="Times New Roman"/>
        </w:rPr>
        <w:t>, 1972, HUP, pp 11–15.</w:t>
      </w:r>
    </w:p>
  </w:footnote>
  <w:footnote w:id="81">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Dworkin, </w:t>
      </w:r>
      <w:r w:rsidRPr="00791A1D">
        <w:rPr>
          <w:rFonts w:ascii="Times New Roman" w:hAnsi="Times New Roman" w:cs="Times New Roman"/>
          <w:i/>
          <w:iCs/>
        </w:rPr>
        <w:t>Taking Rights Seriously</w:t>
      </w:r>
      <w:r w:rsidRPr="00791A1D">
        <w:rPr>
          <w:rFonts w:ascii="Times New Roman" w:hAnsi="Times New Roman" w:cs="Times New Roman"/>
        </w:rPr>
        <w:t>, 1977, Duckworth, Chapter 6.</w:t>
      </w:r>
    </w:p>
  </w:footnote>
  <w:footnote w:id="82">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gramStart"/>
      <w:r w:rsidRPr="00791A1D">
        <w:rPr>
          <w:rFonts w:ascii="Times New Roman" w:hAnsi="Times New Roman" w:cs="Times New Roman"/>
        </w:rPr>
        <w:t xml:space="preserve">Dworkin, </w:t>
      </w:r>
      <w:r w:rsidRPr="00791A1D">
        <w:rPr>
          <w:rFonts w:ascii="Times New Roman" w:hAnsi="Times New Roman" w:cs="Times New Roman"/>
          <w:i/>
          <w:iCs/>
        </w:rPr>
        <w:t>Taking Rights Seriously</w:t>
      </w:r>
      <w:r w:rsidRPr="00791A1D">
        <w:rPr>
          <w:rFonts w:ascii="Times New Roman" w:hAnsi="Times New Roman" w:cs="Times New Roman"/>
        </w:rPr>
        <w:t>, 1977, Duckworth, p 275.</w:t>
      </w:r>
      <w:proofErr w:type="gramEnd"/>
    </w:p>
  </w:footnote>
  <w:footnote w:id="83">
    <w:p w:rsidR="00E35797" w:rsidRPr="00791A1D" w:rsidRDefault="00E35797" w:rsidP="00791A1D">
      <w:pPr>
        <w:pStyle w:val="FootnoteText"/>
        <w:jc w:val="both"/>
        <w:rPr>
          <w:rFonts w:ascii="Times New Roman" w:hAnsi="Times New Roman" w:cs="Times New Roman"/>
          <w:b/>
        </w:rPr>
      </w:pPr>
      <w:r w:rsidRPr="00791A1D">
        <w:rPr>
          <w:rStyle w:val="FootnoteReference"/>
          <w:rFonts w:ascii="Times New Roman" w:hAnsi="Times New Roman" w:cs="Times New Roman"/>
        </w:rPr>
        <w:footnoteRef/>
      </w:r>
      <w:r w:rsidRPr="00791A1D">
        <w:rPr>
          <w:rFonts w:ascii="Times New Roman" w:hAnsi="Times New Roman" w:cs="Times New Roman"/>
        </w:rPr>
        <w:t xml:space="preserve"> Prior to the HRA most freedoms were merely liberties; one did no wrong to exercise them, but there was no positive duty on any organ of the state to allow or facilitate them. For example, the Public Order Act 1986 nowhere placed upon chief constables a duty to ensure freedom of assembly and speech. It should be noted that some of our entitlements clearly had and have the quality of </w:t>
      </w:r>
      <w:proofErr w:type="spellStart"/>
      <w:r w:rsidRPr="00791A1D">
        <w:rPr>
          <w:rFonts w:ascii="Times New Roman" w:hAnsi="Times New Roman" w:cs="Times New Roman"/>
        </w:rPr>
        <w:t>Hohfeldian</w:t>
      </w:r>
      <w:proofErr w:type="spellEnd"/>
      <w:r w:rsidRPr="00791A1D">
        <w:rPr>
          <w:rFonts w:ascii="Times New Roman" w:hAnsi="Times New Roman" w:cs="Times New Roman"/>
        </w:rPr>
        <w:t xml:space="preserve"> claim rights in that they are protected by a positive correlative duty, such as the right of access to a solicitor while in police custody (s 58 of the Police and Criminal Evidence Act 1984). Similarly equal treatment in certain contexts is provided for under domestic and EU instruments. Even when a citizen held a right, there were – under domestic law – no </w:t>
      </w:r>
      <w:r w:rsidRPr="00791A1D">
        <w:rPr>
          <w:rFonts w:ascii="Times New Roman" w:hAnsi="Times New Roman" w:cs="Times New Roman"/>
          <w:i/>
          <w:iCs/>
        </w:rPr>
        <w:t xml:space="preserve">legal </w:t>
      </w:r>
      <w:r w:rsidRPr="00791A1D">
        <w:rPr>
          <w:rFonts w:ascii="Times New Roman" w:hAnsi="Times New Roman" w:cs="Times New Roman"/>
        </w:rPr>
        <w:t>guarantees that the legislation providing the positive protection would not be repealed. Similarly, a citizen enjoying a liberty could not be certain that legislation would not be introduced into a previously unregulated area, thus destroying or limiting that liberty.</w:t>
      </w:r>
    </w:p>
  </w:footnote>
  <w:footnote w:id="84">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Unless the only possible reading of contrary primary legislation is that the right must be infringed. Even in that instance, a court may issue a non-binding declaration that the law is incompatible with the claimed human right (s 4), and the protection of human rights in law has then been secured by introducing remedial legislation (which has happened in almost all such instances of a declaration of incompatibility).</w:t>
      </w:r>
    </w:p>
  </w:footnote>
  <w:footnote w:id="85">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r w:rsidRPr="00791A1D">
        <w:rPr>
          <w:rFonts w:ascii="Times New Roman" w:hAnsi="Times New Roman" w:cs="Times New Roman"/>
          <w:i/>
        </w:rPr>
        <w:t>Othman v UK</w:t>
      </w:r>
      <w:r w:rsidRPr="00791A1D">
        <w:rPr>
          <w:rFonts w:ascii="Times New Roman" w:hAnsi="Times New Roman" w:cs="Times New Roman"/>
        </w:rPr>
        <w:t xml:space="preserve"> (2012) 55 EHRR 1, see Chap 14.</w:t>
      </w:r>
    </w:p>
  </w:footnote>
  <w:footnote w:id="86">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chap 14 pp 00.</w:t>
      </w:r>
    </w:p>
  </w:footnote>
  <w:footnote w:id="87">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gramStart"/>
      <w:r w:rsidRPr="00791A1D">
        <w:rPr>
          <w:rStyle w:val="Emphasis"/>
          <w:rFonts w:ascii="Times New Roman" w:hAnsi="Times New Roman" w:cs="Times New Roman"/>
        </w:rPr>
        <w:t>Roe v</w:t>
      </w:r>
      <w:r w:rsidRPr="00791A1D">
        <w:rPr>
          <w:rStyle w:val="st"/>
          <w:rFonts w:ascii="Times New Roman" w:hAnsi="Times New Roman" w:cs="Times New Roman"/>
        </w:rPr>
        <w:t xml:space="preserve"> </w:t>
      </w:r>
      <w:r w:rsidRPr="00791A1D">
        <w:rPr>
          <w:rStyle w:val="Emphasis"/>
          <w:rFonts w:ascii="Times New Roman" w:hAnsi="Times New Roman" w:cs="Times New Roman"/>
        </w:rPr>
        <w:t>Wade</w:t>
      </w:r>
      <w:r w:rsidRPr="00791A1D">
        <w:rPr>
          <w:rStyle w:val="st"/>
          <w:rFonts w:ascii="Times New Roman" w:hAnsi="Times New Roman" w:cs="Times New Roman"/>
        </w:rPr>
        <w:t xml:space="preserve"> (1973) 410 US 113.</w:t>
      </w:r>
      <w:proofErr w:type="gramEnd"/>
    </w:p>
  </w:footnote>
  <w:footnote w:id="88">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w:t>
      </w:r>
      <w:proofErr w:type="spellStart"/>
      <w:proofErr w:type="gramStart"/>
      <w:r w:rsidRPr="00791A1D">
        <w:rPr>
          <w:rFonts w:ascii="Times New Roman" w:hAnsi="Times New Roman" w:cs="Times New Roman"/>
          <w:i/>
        </w:rPr>
        <w:t>Obergefell</w:t>
      </w:r>
      <w:proofErr w:type="spellEnd"/>
      <w:r w:rsidRPr="00791A1D">
        <w:rPr>
          <w:rFonts w:ascii="Times New Roman" w:hAnsi="Times New Roman" w:cs="Times New Roman"/>
          <w:i/>
        </w:rPr>
        <w:t xml:space="preserve"> v Hodges, </w:t>
      </w:r>
      <w:r w:rsidRPr="00791A1D">
        <w:rPr>
          <w:rFonts w:ascii="Times New Roman" w:hAnsi="Times New Roman" w:cs="Times New Roman"/>
        </w:rPr>
        <w:t>Dockett No. 14-556, Supreme Court judgment of 26</w:t>
      </w:r>
      <w:r w:rsidRPr="00791A1D">
        <w:rPr>
          <w:rFonts w:ascii="Times New Roman" w:hAnsi="Times New Roman" w:cs="Times New Roman"/>
          <w:vertAlign w:val="superscript"/>
        </w:rPr>
        <w:t>th</w:t>
      </w:r>
      <w:r w:rsidRPr="00791A1D">
        <w:rPr>
          <w:rFonts w:ascii="Times New Roman" w:hAnsi="Times New Roman" w:cs="Times New Roman"/>
        </w:rPr>
        <w:t xml:space="preserve"> June 2015.</w:t>
      </w:r>
      <w:proofErr w:type="gramEnd"/>
    </w:p>
  </w:footnote>
  <w:footnote w:id="89">
    <w:p w:rsidR="00E35797" w:rsidRPr="00791A1D" w:rsidRDefault="00E35797" w:rsidP="00791A1D">
      <w:pPr>
        <w:pStyle w:val="FootnoteText"/>
        <w:jc w:val="both"/>
        <w:rPr>
          <w:rFonts w:ascii="Times New Roman" w:hAnsi="Times New Roman" w:cs="Times New Roman"/>
        </w:rPr>
      </w:pPr>
      <w:r w:rsidRPr="00791A1D">
        <w:rPr>
          <w:rStyle w:val="FootnoteReference"/>
          <w:rFonts w:ascii="Times New Roman" w:hAnsi="Times New Roman" w:cs="Times New Roman"/>
        </w:rPr>
        <w:footnoteRef/>
      </w:r>
      <w:r w:rsidRPr="00791A1D">
        <w:rPr>
          <w:rFonts w:ascii="Times New Roman" w:hAnsi="Times New Roman" w:cs="Times New Roman"/>
        </w:rPr>
        <w:t xml:space="preserve"> See </w:t>
      </w:r>
      <w:proofErr w:type="spellStart"/>
      <w:r w:rsidRPr="00791A1D">
        <w:rPr>
          <w:rFonts w:ascii="Times New Roman" w:hAnsi="Times New Roman" w:cs="Times New Roman"/>
        </w:rPr>
        <w:t>eg</w:t>
      </w:r>
      <w:proofErr w:type="spellEnd"/>
      <w:r w:rsidRPr="00791A1D">
        <w:rPr>
          <w:rFonts w:ascii="Times New Roman" w:hAnsi="Times New Roman" w:cs="Times New Roman"/>
        </w:rPr>
        <w:t xml:space="preserve"> </w:t>
      </w:r>
      <w:r w:rsidRPr="00791A1D">
        <w:rPr>
          <w:rFonts w:ascii="Times New Roman" w:hAnsi="Times New Roman" w:cs="Times New Roman"/>
          <w:i/>
        </w:rPr>
        <w:t xml:space="preserve">R (on the application of </w:t>
      </w:r>
      <w:proofErr w:type="spellStart"/>
      <w:r w:rsidRPr="00791A1D">
        <w:rPr>
          <w:rFonts w:ascii="Times New Roman" w:hAnsi="Times New Roman" w:cs="Times New Roman"/>
          <w:i/>
        </w:rPr>
        <w:t>Ullah</w:t>
      </w:r>
      <w:proofErr w:type="spellEnd"/>
      <w:r w:rsidRPr="00791A1D">
        <w:rPr>
          <w:rFonts w:ascii="Times New Roman" w:hAnsi="Times New Roman" w:cs="Times New Roman"/>
          <w:i/>
        </w:rPr>
        <w:t xml:space="preserve">) v Special Adjudicator </w:t>
      </w:r>
      <w:r w:rsidRPr="00791A1D">
        <w:rPr>
          <w:rFonts w:ascii="Times New Roman" w:hAnsi="Times New Roman" w:cs="Times New Roman"/>
        </w:rPr>
        <w:t>[2004] 2 AC 323; see further Chap 4 pp 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97" w:rsidRDefault="00E3579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A7282"/>
    <w:multiLevelType w:val="multilevel"/>
    <w:tmpl w:val="6F9665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6D"/>
    <w:rsid w:val="00002F39"/>
    <w:rsid w:val="00007BC0"/>
    <w:rsid w:val="00013BBF"/>
    <w:rsid w:val="000271D7"/>
    <w:rsid w:val="00032A76"/>
    <w:rsid w:val="00035299"/>
    <w:rsid w:val="00035999"/>
    <w:rsid w:val="00047CE6"/>
    <w:rsid w:val="0005679A"/>
    <w:rsid w:val="00060C72"/>
    <w:rsid w:val="0006143F"/>
    <w:rsid w:val="0006162B"/>
    <w:rsid w:val="00062362"/>
    <w:rsid w:val="0006392A"/>
    <w:rsid w:val="0006528E"/>
    <w:rsid w:val="00077729"/>
    <w:rsid w:val="000842EF"/>
    <w:rsid w:val="00085B6C"/>
    <w:rsid w:val="0009403E"/>
    <w:rsid w:val="000946CE"/>
    <w:rsid w:val="00095B79"/>
    <w:rsid w:val="00095DFF"/>
    <w:rsid w:val="00095FFF"/>
    <w:rsid w:val="00096938"/>
    <w:rsid w:val="000A6D4F"/>
    <w:rsid w:val="000B67AE"/>
    <w:rsid w:val="000B7147"/>
    <w:rsid w:val="000C0BB8"/>
    <w:rsid w:val="000C5CB0"/>
    <w:rsid w:val="000D0B91"/>
    <w:rsid w:val="000D6017"/>
    <w:rsid w:val="000E10DF"/>
    <w:rsid w:val="000E4EA0"/>
    <w:rsid w:val="000E64BC"/>
    <w:rsid w:val="000F7C36"/>
    <w:rsid w:val="001025CA"/>
    <w:rsid w:val="00110EFA"/>
    <w:rsid w:val="001148C2"/>
    <w:rsid w:val="001353E4"/>
    <w:rsid w:val="001366E8"/>
    <w:rsid w:val="00143EFB"/>
    <w:rsid w:val="00147434"/>
    <w:rsid w:val="00152977"/>
    <w:rsid w:val="00152ADB"/>
    <w:rsid w:val="001531A8"/>
    <w:rsid w:val="00155CC6"/>
    <w:rsid w:val="00181CA2"/>
    <w:rsid w:val="001906C0"/>
    <w:rsid w:val="00191990"/>
    <w:rsid w:val="00193B3D"/>
    <w:rsid w:val="00197DAE"/>
    <w:rsid w:val="001A406F"/>
    <w:rsid w:val="001A4D95"/>
    <w:rsid w:val="001A6281"/>
    <w:rsid w:val="001B0C86"/>
    <w:rsid w:val="001B42D9"/>
    <w:rsid w:val="001C586B"/>
    <w:rsid w:val="001C5A60"/>
    <w:rsid w:val="001D0E3A"/>
    <w:rsid w:val="001D5C74"/>
    <w:rsid w:val="001E2496"/>
    <w:rsid w:val="001E27A9"/>
    <w:rsid w:val="001E37A6"/>
    <w:rsid w:val="001E464F"/>
    <w:rsid w:val="001E681B"/>
    <w:rsid w:val="001F11A0"/>
    <w:rsid w:val="001F2712"/>
    <w:rsid w:val="001F2A41"/>
    <w:rsid w:val="001F4A7C"/>
    <w:rsid w:val="00202605"/>
    <w:rsid w:val="0020549F"/>
    <w:rsid w:val="002060E7"/>
    <w:rsid w:val="00212AFB"/>
    <w:rsid w:val="0021307A"/>
    <w:rsid w:val="00214721"/>
    <w:rsid w:val="00215A44"/>
    <w:rsid w:val="00217D0A"/>
    <w:rsid w:val="00221AE4"/>
    <w:rsid w:val="00223F8A"/>
    <w:rsid w:val="00226954"/>
    <w:rsid w:val="00230F0E"/>
    <w:rsid w:val="0023171B"/>
    <w:rsid w:val="0024035A"/>
    <w:rsid w:val="00240F45"/>
    <w:rsid w:val="00254242"/>
    <w:rsid w:val="002573F5"/>
    <w:rsid w:val="00264C0B"/>
    <w:rsid w:val="00267783"/>
    <w:rsid w:val="00271CC6"/>
    <w:rsid w:val="002724E6"/>
    <w:rsid w:val="00276371"/>
    <w:rsid w:val="002807DC"/>
    <w:rsid w:val="00292086"/>
    <w:rsid w:val="00292ED5"/>
    <w:rsid w:val="00294B20"/>
    <w:rsid w:val="002B529A"/>
    <w:rsid w:val="002C32D4"/>
    <w:rsid w:val="002C66A5"/>
    <w:rsid w:val="002D07F4"/>
    <w:rsid w:val="002D707D"/>
    <w:rsid w:val="002D7EA6"/>
    <w:rsid w:val="002D7F45"/>
    <w:rsid w:val="002E0606"/>
    <w:rsid w:val="002E4F5A"/>
    <w:rsid w:val="002E4FF6"/>
    <w:rsid w:val="002E65A8"/>
    <w:rsid w:val="002F0993"/>
    <w:rsid w:val="002F1FA7"/>
    <w:rsid w:val="003038A0"/>
    <w:rsid w:val="00304A01"/>
    <w:rsid w:val="00305507"/>
    <w:rsid w:val="00305A18"/>
    <w:rsid w:val="00306202"/>
    <w:rsid w:val="003101B9"/>
    <w:rsid w:val="003109FB"/>
    <w:rsid w:val="00311B80"/>
    <w:rsid w:val="00311C0D"/>
    <w:rsid w:val="0031407E"/>
    <w:rsid w:val="003143BA"/>
    <w:rsid w:val="00320400"/>
    <w:rsid w:val="003225EB"/>
    <w:rsid w:val="0032530E"/>
    <w:rsid w:val="0032583D"/>
    <w:rsid w:val="00327118"/>
    <w:rsid w:val="0033265C"/>
    <w:rsid w:val="0033461E"/>
    <w:rsid w:val="003354EB"/>
    <w:rsid w:val="00335601"/>
    <w:rsid w:val="00335BCF"/>
    <w:rsid w:val="003432D5"/>
    <w:rsid w:val="003438A0"/>
    <w:rsid w:val="00346533"/>
    <w:rsid w:val="00346BBA"/>
    <w:rsid w:val="00350F12"/>
    <w:rsid w:val="003521C8"/>
    <w:rsid w:val="00353A44"/>
    <w:rsid w:val="003657E8"/>
    <w:rsid w:val="00365CCB"/>
    <w:rsid w:val="003703B1"/>
    <w:rsid w:val="003706BD"/>
    <w:rsid w:val="00370EA6"/>
    <w:rsid w:val="0037237A"/>
    <w:rsid w:val="0037573F"/>
    <w:rsid w:val="003804E2"/>
    <w:rsid w:val="003826F6"/>
    <w:rsid w:val="00383C73"/>
    <w:rsid w:val="003968C9"/>
    <w:rsid w:val="0039751B"/>
    <w:rsid w:val="003A47DA"/>
    <w:rsid w:val="003A51CC"/>
    <w:rsid w:val="003B3C33"/>
    <w:rsid w:val="003B7232"/>
    <w:rsid w:val="003B7781"/>
    <w:rsid w:val="003C17AF"/>
    <w:rsid w:val="003C406D"/>
    <w:rsid w:val="003C561E"/>
    <w:rsid w:val="003C7490"/>
    <w:rsid w:val="003D0EB3"/>
    <w:rsid w:val="003D3DA5"/>
    <w:rsid w:val="003D490E"/>
    <w:rsid w:val="003D52D1"/>
    <w:rsid w:val="003D7D94"/>
    <w:rsid w:val="003E28F4"/>
    <w:rsid w:val="003E5B8D"/>
    <w:rsid w:val="003E73C9"/>
    <w:rsid w:val="003E75D6"/>
    <w:rsid w:val="003F4365"/>
    <w:rsid w:val="003F6BEB"/>
    <w:rsid w:val="00401EF2"/>
    <w:rsid w:val="00403445"/>
    <w:rsid w:val="00404E25"/>
    <w:rsid w:val="004052B3"/>
    <w:rsid w:val="0040605F"/>
    <w:rsid w:val="004061A3"/>
    <w:rsid w:val="00411517"/>
    <w:rsid w:val="00411950"/>
    <w:rsid w:val="00412324"/>
    <w:rsid w:val="00413051"/>
    <w:rsid w:val="00415F0A"/>
    <w:rsid w:val="00416061"/>
    <w:rsid w:val="004223D5"/>
    <w:rsid w:val="004241D2"/>
    <w:rsid w:val="004331BE"/>
    <w:rsid w:val="00435082"/>
    <w:rsid w:val="0044115B"/>
    <w:rsid w:val="0044606D"/>
    <w:rsid w:val="004473F0"/>
    <w:rsid w:val="0044792B"/>
    <w:rsid w:val="00447F32"/>
    <w:rsid w:val="00451B15"/>
    <w:rsid w:val="00451D65"/>
    <w:rsid w:val="00452FFF"/>
    <w:rsid w:val="00455F9F"/>
    <w:rsid w:val="00456A51"/>
    <w:rsid w:val="00457FA0"/>
    <w:rsid w:val="004604F7"/>
    <w:rsid w:val="004716F4"/>
    <w:rsid w:val="00472054"/>
    <w:rsid w:val="00473AF4"/>
    <w:rsid w:val="00475343"/>
    <w:rsid w:val="00476044"/>
    <w:rsid w:val="00480A38"/>
    <w:rsid w:val="0049128A"/>
    <w:rsid w:val="004939F2"/>
    <w:rsid w:val="004A0DA1"/>
    <w:rsid w:val="004B00A5"/>
    <w:rsid w:val="004B2BA0"/>
    <w:rsid w:val="004C397C"/>
    <w:rsid w:val="004C44C1"/>
    <w:rsid w:val="004C45EF"/>
    <w:rsid w:val="004C488E"/>
    <w:rsid w:val="004C7241"/>
    <w:rsid w:val="004C76EA"/>
    <w:rsid w:val="004D067B"/>
    <w:rsid w:val="004D1FBC"/>
    <w:rsid w:val="004D7A18"/>
    <w:rsid w:val="004E3E40"/>
    <w:rsid w:val="004E5202"/>
    <w:rsid w:val="004E724F"/>
    <w:rsid w:val="004F02B2"/>
    <w:rsid w:val="004F4945"/>
    <w:rsid w:val="004F4AD5"/>
    <w:rsid w:val="004F7A01"/>
    <w:rsid w:val="00500587"/>
    <w:rsid w:val="00503C31"/>
    <w:rsid w:val="0050459A"/>
    <w:rsid w:val="00506A0C"/>
    <w:rsid w:val="005074E6"/>
    <w:rsid w:val="00510AC2"/>
    <w:rsid w:val="0051162E"/>
    <w:rsid w:val="00523672"/>
    <w:rsid w:val="00525774"/>
    <w:rsid w:val="00527449"/>
    <w:rsid w:val="005331EA"/>
    <w:rsid w:val="00540A0D"/>
    <w:rsid w:val="005515D7"/>
    <w:rsid w:val="005519C4"/>
    <w:rsid w:val="0055705E"/>
    <w:rsid w:val="00563E6E"/>
    <w:rsid w:val="00564856"/>
    <w:rsid w:val="0056503C"/>
    <w:rsid w:val="0057044D"/>
    <w:rsid w:val="00573A6E"/>
    <w:rsid w:val="00573EBA"/>
    <w:rsid w:val="005776C8"/>
    <w:rsid w:val="00596E67"/>
    <w:rsid w:val="005A0004"/>
    <w:rsid w:val="005A055D"/>
    <w:rsid w:val="005A3FDC"/>
    <w:rsid w:val="005A4E81"/>
    <w:rsid w:val="005C333F"/>
    <w:rsid w:val="005C45B4"/>
    <w:rsid w:val="005C58A3"/>
    <w:rsid w:val="005D3B28"/>
    <w:rsid w:val="005D4974"/>
    <w:rsid w:val="005D7798"/>
    <w:rsid w:val="005E48D0"/>
    <w:rsid w:val="005F23B4"/>
    <w:rsid w:val="005F3C2C"/>
    <w:rsid w:val="005F7334"/>
    <w:rsid w:val="00607843"/>
    <w:rsid w:val="00610715"/>
    <w:rsid w:val="00611E01"/>
    <w:rsid w:val="00611E50"/>
    <w:rsid w:val="00614156"/>
    <w:rsid w:val="00616A89"/>
    <w:rsid w:val="00620625"/>
    <w:rsid w:val="00621138"/>
    <w:rsid w:val="0062211E"/>
    <w:rsid w:val="006254A2"/>
    <w:rsid w:val="00625B64"/>
    <w:rsid w:val="00630722"/>
    <w:rsid w:val="00635CF5"/>
    <w:rsid w:val="006459F2"/>
    <w:rsid w:val="0064639B"/>
    <w:rsid w:val="00647056"/>
    <w:rsid w:val="00650016"/>
    <w:rsid w:val="00651767"/>
    <w:rsid w:val="00651E65"/>
    <w:rsid w:val="006565FB"/>
    <w:rsid w:val="00663B3D"/>
    <w:rsid w:val="006739D5"/>
    <w:rsid w:val="00674CCA"/>
    <w:rsid w:val="00677544"/>
    <w:rsid w:val="00680BF9"/>
    <w:rsid w:val="00694050"/>
    <w:rsid w:val="0069664E"/>
    <w:rsid w:val="006B27ED"/>
    <w:rsid w:val="006B6EAA"/>
    <w:rsid w:val="006C2819"/>
    <w:rsid w:val="006C3CD5"/>
    <w:rsid w:val="006D07F5"/>
    <w:rsid w:val="006D1B09"/>
    <w:rsid w:val="006D2AD7"/>
    <w:rsid w:val="006E18E6"/>
    <w:rsid w:val="006E280E"/>
    <w:rsid w:val="006E35C9"/>
    <w:rsid w:val="006E3A63"/>
    <w:rsid w:val="007002E1"/>
    <w:rsid w:val="0070124D"/>
    <w:rsid w:val="00703BF5"/>
    <w:rsid w:val="0071235F"/>
    <w:rsid w:val="007176A0"/>
    <w:rsid w:val="00726319"/>
    <w:rsid w:val="00726CB9"/>
    <w:rsid w:val="0072707E"/>
    <w:rsid w:val="00727C20"/>
    <w:rsid w:val="00730EAC"/>
    <w:rsid w:val="00733189"/>
    <w:rsid w:val="00733E26"/>
    <w:rsid w:val="00736C34"/>
    <w:rsid w:val="007404FB"/>
    <w:rsid w:val="007430E5"/>
    <w:rsid w:val="00743684"/>
    <w:rsid w:val="00754A19"/>
    <w:rsid w:val="007639D4"/>
    <w:rsid w:val="00766B87"/>
    <w:rsid w:val="007708CA"/>
    <w:rsid w:val="007721D8"/>
    <w:rsid w:val="00776F01"/>
    <w:rsid w:val="0078026D"/>
    <w:rsid w:val="00782D33"/>
    <w:rsid w:val="00791761"/>
    <w:rsid w:val="00791A1D"/>
    <w:rsid w:val="00791ABD"/>
    <w:rsid w:val="007A078F"/>
    <w:rsid w:val="007A28C2"/>
    <w:rsid w:val="007B29B4"/>
    <w:rsid w:val="007B4FB7"/>
    <w:rsid w:val="007B722F"/>
    <w:rsid w:val="007B7F1F"/>
    <w:rsid w:val="007C2081"/>
    <w:rsid w:val="007C713B"/>
    <w:rsid w:val="007E1320"/>
    <w:rsid w:val="007E5E57"/>
    <w:rsid w:val="007E79A4"/>
    <w:rsid w:val="007F4E48"/>
    <w:rsid w:val="007F686A"/>
    <w:rsid w:val="00800935"/>
    <w:rsid w:val="00802F7F"/>
    <w:rsid w:val="008033FA"/>
    <w:rsid w:val="00807D6E"/>
    <w:rsid w:val="008141CA"/>
    <w:rsid w:val="00814FAA"/>
    <w:rsid w:val="008205EF"/>
    <w:rsid w:val="0082499A"/>
    <w:rsid w:val="0082508C"/>
    <w:rsid w:val="00827AE1"/>
    <w:rsid w:val="00831531"/>
    <w:rsid w:val="008368B4"/>
    <w:rsid w:val="0084077F"/>
    <w:rsid w:val="00846E2E"/>
    <w:rsid w:val="00847EDA"/>
    <w:rsid w:val="00853887"/>
    <w:rsid w:val="00860487"/>
    <w:rsid w:val="00873523"/>
    <w:rsid w:val="00880FC9"/>
    <w:rsid w:val="00884FB7"/>
    <w:rsid w:val="00885977"/>
    <w:rsid w:val="00891418"/>
    <w:rsid w:val="00895311"/>
    <w:rsid w:val="008A4D88"/>
    <w:rsid w:val="008A65F3"/>
    <w:rsid w:val="008B1B37"/>
    <w:rsid w:val="008B243C"/>
    <w:rsid w:val="008B2702"/>
    <w:rsid w:val="008B5DDE"/>
    <w:rsid w:val="008B6669"/>
    <w:rsid w:val="008B769E"/>
    <w:rsid w:val="008C088A"/>
    <w:rsid w:val="008C5E36"/>
    <w:rsid w:val="008C7EC0"/>
    <w:rsid w:val="008D084C"/>
    <w:rsid w:val="008D4B2D"/>
    <w:rsid w:val="008D7D94"/>
    <w:rsid w:val="008E2FC3"/>
    <w:rsid w:val="008E47D9"/>
    <w:rsid w:val="008E70DB"/>
    <w:rsid w:val="008F1065"/>
    <w:rsid w:val="008F1066"/>
    <w:rsid w:val="008F5AD8"/>
    <w:rsid w:val="00900565"/>
    <w:rsid w:val="00902B4B"/>
    <w:rsid w:val="00921BF6"/>
    <w:rsid w:val="009224B6"/>
    <w:rsid w:val="00951931"/>
    <w:rsid w:val="00954033"/>
    <w:rsid w:val="00960E5B"/>
    <w:rsid w:val="00962705"/>
    <w:rsid w:val="00963631"/>
    <w:rsid w:val="0096544B"/>
    <w:rsid w:val="00971DF6"/>
    <w:rsid w:val="00974D1F"/>
    <w:rsid w:val="009857D2"/>
    <w:rsid w:val="009A2270"/>
    <w:rsid w:val="009A7F4D"/>
    <w:rsid w:val="009C3D32"/>
    <w:rsid w:val="009C43CD"/>
    <w:rsid w:val="009C764B"/>
    <w:rsid w:val="009D4E2A"/>
    <w:rsid w:val="009D5592"/>
    <w:rsid w:val="009E468D"/>
    <w:rsid w:val="009E566C"/>
    <w:rsid w:val="009E5C06"/>
    <w:rsid w:val="009F04DC"/>
    <w:rsid w:val="00A07F87"/>
    <w:rsid w:val="00A22FC5"/>
    <w:rsid w:val="00A25A2D"/>
    <w:rsid w:val="00A32D0C"/>
    <w:rsid w:val="00A339EA"/>
    <w:rsid w:val="00A362F8"/>
    <w:rsid w:val="00A459E5"/>
    <w:rsid w:val="00A46F3B"/>
    <w:rsid w:val="00A52816"/>
    <w:rsid w:val="00A542AD"/>
    <w:rsid w:val="00A5772F"/>
    <w:rsid w:val="00A57F64"/>
    <w:rsid w:val="00A65903"/>
    <w:rsid w:val="00A666A5"/>
    <w:rsid w:val="00A67305"/>
    <w:rsid w:val="00A7161F"/>
    <w:rsid w:val="00A718D6"/>
    <w:rsid w:val="00A71FBB"/>
    <w:rsid w:val="00A74E23"/>
    <w:rsid w:val="00A82E29"/>
    <w:rsid w:val="00A8333B"/>
    <w:rsid w:val="00A8498C"/>
    <w:rsid w:val="00A85A0D"/>
    <w:rsid w:val="00A85D2F"/>
    <w:rsid w:val="00A90CFD"/>
    <w:rsid w:val="00A93172"/>
    <w:rsid w:val="00A93AC5"/>
    <w:rsid w:val="00A967A2"/>
    <w:rsid w:val="00AA4BAD"/>
    <w:rsid w:val="00AA5970"/>
    <w:rsid w:val="00AA681F"/>
    <w:rsid w:val="00AA7CA1"/>
    <w:rsid w:val="00AA7D33"/>
    <w:rsid w:val="00AA7F56"/>
    <w:rsid w:val="00AB6339"/>
    <w:rsid w:val="00AC16A4"/>
    <w:rsid w:val="00AC6767"/>
    <w:rsid w:val="00AC7B8E"/>
    <w:rsid w:val="00AD30FD"/>
    <w:rsid w:val="00AD5611"/>
    <w:rsid w:val="00AD670D"/>
    <w:rsid w:val="00AD6BE7"/>
    <w:rsid w:val="00AF6A98"/>
    <w:rsid w:val="00B007BD"/>
    <w:rsid w:val="00B018ED"/>
    <w:rsid w:val="00B045B3"/>
    <w:rsid w:val="00B06DB4"/>
    <w:rsid w:val="00B15BFD"/>
    <w:rsid w:val="00B17C6D"/>
    <w:rsid w:val="00B2294F"/>
    <w:rsid w:val="00B24BE2"/>
    <w:rsid w:val="00B253B5"/>
    <w:rsid w:val="00B31A94"/>
    <w:rsid w:val="00B33717"/>
    <w:rsid w:val="00B36FA6"/>
    <w:rsid w:val="00B379B5"/>
    <w:rsid w:val="00B4160C"/>
    <w:rsid w:val="00B47FCE"/>
    <w:rsid w:val="00B50CC1"/>
    <w:rsid w:val="00B62BD7"/>
    <w:rsid w:val="00B64755"/>
    <w:rsid w:val="00B657D5"/>
    <w:rsid w:val="00B70FA0"/>
    <w:rsid w:val="00B75553"/>
    <w:rsid w:val="00B77851"/>
    <w:rsid w:val="00B86552"/>
    <w:rsid w:val="00B87721"/>
    <w:rsid w:val="00B9067D"/>
    <w:rsid w:val="00B975FB"/>
    <w:rsid w:val="00BB0CE5"/>
    <w:rsid w:val="00BB196D"/>
    <w:rsid w:val="00BB389E"/>
    <w:rsid w:val="00BB590E"/>
    <w:rsid w:val="00BB5A2D"/>
    <w:rsid w:val="00BC4A40"/>
    <w:rsid w:val="00BC5A90"/>
    <w:rsid w:val="00BC6AFE"/>
    <w:rsid w:val="00BD0980"/>
    <w:rsid w:val="00BD0DF2"/>
    <w:rsid w:val="00BD231A"/>
    <w:rsid w:val="00BD30C2"/>
    <w:rsid w:val="00BE0548"/>
    <w:rsid w:val="00BE1AF0"/>
    <w:rsid w:val="00BE272E"/>
    <w:rsid w:val="00BE6902"/>
    <w:rsid w:val="00BE7051"/>
    <w:rsid w:val="00BE7ED8"/>
    <w:rsid w:val="00BF1D31"/>
    <w:rsid w:val="00BF3684"/>
    <w:rsid w:val="00C00143"/>
    <w:rsid w:val="00C02A69"/>
    <w:rsid w:val="00C02BE7"/>
    <w:rsid w:val="00C11BE3"/>
    <w:rsid w:val="00C172C3"/>
    <w:rsid w:val="00C21FE7"/>
    <w:rsid w:val="00C2487A"/>
    <w:rsid w:val="00C303A6"/>
    <w:rsid w:val="00C31F8F"/>
    <w:rsid w:val="00C334B1"/>
    <w:rsid w:val="00C423FC"/>
    <w:rsid w:val="00C46B72"/>
    <w:rsid w:val="00C6031C"/>
    <w:rsid w:val="00C60A0A"/>
    <w:rsid w:val="00C61BC1"/>
    <w:rsid w:val="00C62F13"/>
    <w:rsid w:val="00C648AC"/>
    <w:rsid w:val="00C70179"/>
    <w:rsid w:val="00C72A95"/>
    <w:rsid w:val="00C749A8"/>
    <w:rsid w:val="00C76C81"/>
    <w:rsid w:val="00C83DEA"/>
    <w:rsid w:val="00C9238A"/>
    <w:rsid w:val="00CA24AA"/>
    <w:rsid w:val="00CA2ECF"/>
    <w:rsid w:val="00CA6E8D"/>
    <w:rsid w:val="00CA7467"/>
    <w:rsid w:val="00CB3B6F"/>
    <w:rsid w:val="00CB5D35"/>
    <w:rsid w:val="00CC029E"/>
    <w:rsid w:val="00CC02E0"/>
    <w:rsid w:val="00CC7021"/>
    <w:rsid w:val="00CD16C7"/>
    <w:rsid w:val="00CD7B6B"/>
    <w:rsid w:val="00CE13FD"/>
    <w:rsid w:val="00CF0010"/>
    <w:rsid w:val="00CF27BC"/>
    <w:rsid w:val="00D06328"/>
    <w:rsid w:val="00D10568"/>
    <w:rsid w:val="00D1462A"/>
    <w:rsid w:val="00D14914"/>
    <w:rsid w:val="00D14B0D"/>
    <w:rsid w:val="00D2090A"/>
    <w:rsid w:val="00D32F86"/>
    <w:rsid w:val="00D46350"/>
    <w:rsid w:val="00D508ED"/>
    <w:rsid w:val="00D53EAC"/>
    <w:rsid w:val="00D5406D"/>
    <w:rsid w:val="00D57BA8"/>
    <w:rsid w:val="00D618B2"/>
    <w:rsid w:val="00D7009A"/>
    <w:rsid w:val="00D77924"/>
    <w:rsid w:val="00D82443"/>
    <w:rsid w:val="00D862DD"/>
    <w:rsid w:val="00D9114F"/>
    <w:rsid w:val="00D96CC1"/>
    <w:rsid w:val="00DA0569"/>
    <w:rsid w:val="00DA14D3"/>
    <w:rsid w:val="00DA2E1D"/>
    <w:rsid w:val="00DA3C3A"/>
    <w:rsid w:val="00DA7999"/>
    <w:rsid w:val="00DB4B78"/>
    <w:rsid w:val="00DB5785"/>
    <w:rsid w:val="00DB5994"/>
    <w:rsid w:val="00DC127F"/>
    <w:rsid w:val="00DC25B5"/>
    <w:rsid w:val="00DD164F"/>
    <w:rsid w:val="00DD1D49"/>
    <w:rsid w:val="00DD2DF8"/>
    <w:rsid w:val="00DE039C"/>
    <w:rsid w:val="00DE4BAB"/>
    <w:rsid w:val="00DF1AAD"/>
    <w:rsid w:val="00DF272A"/>
    <w:rsid w:val="00E00227"/>
    <w:rsid w:val="00E014D7"/>
    <w:rsid w:val="00E0560A"/>
    <w:rsid w:val="00E07A18"/>
    <w:rsid w:val="00E1081A"/>
    <w:rsid w:val="00E12397"/>
    <w:rsid w:val="00E13AE3"/>
    <w:rsid w:val="00E2247F"/>
    <w:rsid w:val="00E31661"/>
    <w:rsid w:val="00E33504"/>
    <w:rsid w:val="00E35797"/>
    <w:rsid w:val="00E42C73"/>
    <w:rsid w:val="00E432AB"/>
    <w:rsid w:val="00E443DA"/>
    <w:rsid w:val="00E50BB9"/>
    <w:rsid w:val="00E52E81"/>
    <w:rsid w:val="00E53A76"/>
    <w:rsid w:val="00E55BB5"/>
    <w:rsid w:val="00E60F44"/>
    <w:rsid w:val="00E62BBE"/>
    <w:rsid w:val="00E63105"/>
    <w:rsid w:val="00E711FB"/>
    <w:rsid w:val="00E72AC7"/>
    <w:rsid w:val="00E762CE"/>
    <w:rsid w:val="00E848A9"/>
    <w:rsid w:val="00E85042"/>
    <w:rsid w:val="00E87319"/>
    <w:rsid w:val="00EA4D4A"/>
    <w:rsid w:val="00EA52B8"/>
    <w:rsid w:val="00EB4B8F"/>
    <w:rsid w:val="00EB500E"/>
    <w:rsid w:val="00EB54D5"/>
    <w:rsid w:val="00EC3A25"/>
    <w:rsid w:val="00EC6C73"/>
    <w:rsid w:val="00EC6E85"/>
    <w:rsid w:val="00EC7E41"/>
    <w:rsid w:val="00ED0D7C"/>
    <w:rsid w:val="00ED1070"/>
    <w:rsid w:val="00ED111F"/>
    <w:rsid w:val="00ED439B"/>
    <w:rsid w:val="00EE39CF"/>
    <w:rsid w:val="00EE5AA5"/>
    <w:rsid w:val="00EE5F51"/>
    <w:rsid w:val="00EF27DC"/>
    <w:rsid w:val="00EF2D9C"/>
    <w:rsid w:val="00EF4B02"/>
    <w:rsid w:val="00EF4B84"/>
    <w:rsid w:val="00EF5271"/>
    <w:rsid w:val="00EF64E7"/>
    <w:rsid w:val="00F0371D"/>
    <w:rsid w:val="00F11DAB"/>
    <w:rsid w:val="00F204A1"/>
    <w:rsid w:val="00F2122E"/>
    <w:rsid w:val="00F25AA6"/>
    <w:rsid w:val="00F25BB9"/>
    <w:rsid w:val="00F31D29"/>
    <w:rsid w:val="00F356E0"/>
    <w:rsid w:val="00F407D4"/>
    <w:rsid w:val="00F44DD7"/>
    <w:rsid w:val="00F51015"/>
    <w:rsid w:val="00F513EE"/>
    <w:rsid w:val="00F531FB"/>
    <w:rsid w:val="00F56D08"/>
    <w:rsid w:val="00F624F1"/>
    <w:rsid w:val="00F70444"/>
    <w:rsid w:val="00F70923"/>
    <w:rsid w:val="00F77DB4"/>
    <w:rsid w:val="00F80ED5"/>
    <w:rsid w:val="00F82954"/>
    <w:rsid w:val="00F829D9"/>
    <w:rsid w:val="00F87DF0"/>
    <w:rsid w:val="00F93BD4"/>
    <w:rsid w:val="00F946AF"/>
    <w:rsid w:val="00FA3432"/>
    <w:rsid w:val="00FA51C1"/>
    <w:rsid w:val="00FB0E91"/>
    <w:rsid w:val="00FB4B4C"/>
    <w:rsid w:val="00FB6473"/>
    <w:rsid w:val="00FB713D"/>
    <w:rsid w:val="00FC1191"/>
    <w:rsid w:val="00FC1C05"/>
    <w:rsid w:val="00FC3A4A"/>
    <w:rsid w:val="00FD41F9"/>
    <w:rsid w:val="00FD586B"/>
    <w:rsid w:val="00FE3974"/>
    <w:rsid w:val="00FF3C11"/>
    <w:rsid w:val="00FF4FF8"/>
    <w:rsid w:val="00FF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06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606D"/>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Heading2"/>
    <w:next w:val="Normal"/>
    <w:link w:val="Heading3Char"/>
    <w:uiPriority w:val="9"/>
    <w:unhideWhenUsed/>
    <w:qFormat/>
    <w:rsid w:val="0082499A"/>
    <w:pPr>
      <w:outlineLvl w:val="2"/>
    </w:pPr>
    <w:rPr>
      <w:i/>
    </w:rPr>
  </w:style>
  <w:style w:type="paragraph" w:styleId="Heading4">
    <w:name w:val="heading 4"/>
    <w:basedOn w:val="Normal"/>
    <w:next w:val="Normal"/>
    <w:link w:val="Heading4Char"/>
    <w:uiPriority w:val="9"/>
    <w:unhideWhenUsed/>
    <w:qFormat/>
    <w:rsid w:val="00B865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31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06D"/>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4460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06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4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06D"/>
  </w:style>
  <w:style w:type="paragraph" w:styleId="Footer">
    <w:name w:val="footer"/>
    <w:basedOn w:val="Normal"/>
    <w:link w:val="FooterChar"/>
    <w:uiPriority w:val="99"/>
    <w:unhideWhenUsed/>
    <w:rsid w:val="0044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6D"/>
  </w:style>
  <w:style w:type="character" w:customStyle="1" w:styleId="Heading2Char">
    <w:name w:val="Heading 2 Char"/>
    <w:basedOn w:val="DefaultParagraphFont"/>
    <w:link w:val="Heading2"/>
    <w:uiPriority w:val="9"/>
    <w:rsid w:val="0044606D"/>
    <w:rPr>
      <w:rFonts w:asciiTheme="majorHAnsi" w:eastAsiaTheme="majorEastAsia" w:hAnsiTheme="majorHAnsi" w:cstheme="majorBidi"/>
      <w:b/>
      <w:bCs/>
      <w:sz w:val="26"/>
      <w:szCs w:val="26"/>
    </w:rPr>
  </w:style>
  <w:style w:type="paragraph" w:styleId="ListParagraph">
    <w:name w:val="List Paragraph"/>
    <w:basedOn w:val="Normal"/>
    <w:uiPriority w:val="34"/>
    <w:qFormat/>
    <w:rsid w:val="0044606D"/>
    <w:pPr>
      <w:ind w:left="720"/>
      <w:contextualSpacing/>
    </w:pPr>
  </w:style>
  <w:style w:type="character" w:customStyle="1" w:styleId="Heading3Char">
    <w:name w:val="Heading 3 Char"/>
    <w:basedOn w:val="DefaultParagraphFont"/>
    <w:link w:val="Heading3"/>
    <w:uiPriority w:val="9"/>
    <w:rsid w:val="0082499A"/>
    <w:rPr>
      <w:rFonts w:asciiTheme="majorHAnsi" w:eastAsiaTheme="majorEastAsia" w:hAnsiTheme="majorHAnsi" w:cstheme="majorBidi"/>
      <w:b/>
      <w:bCs/>
      <w:i/>
      <w:sz w:val="26"/>
      <w:szCs w:val="26"/>
    </w:rPr>
  </w:style>
  <w:style w:type="character" w:customStyle="1" w:styleId="Heading4Char">
    <w:name w:val="Heading 4 Char"/>
    <w:basedOn w:val="DefaultParagraphFont"/>
    <w:link w:val="Heading4"/>
    <w:uiPriority w:val="9"/>
    <w:rsid w:val="00B8655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842EF"/>
    <w:rPr>
      <w:sz w:val="16"/>
      <w:szCs w:val="16"/>
    </w:rPr>
  </w:style>
  <w:style w:type="paragraph" w:styleId="CommentText">
    <w:name w:val="annotation text"/>
    <w:basedOn w:val="Normal"/>
    <w:link w:val="CommentTextChar"/>
    <w:uiPriority w:val="99"/>
    <w:semiHidden/>
    <w:unhideWhenUsed/>
    <w:rsid w:val="000842EF"/>
    <w:pPr>
      <w:spacing w:line="240" w:lineRule="auto"/>
    </w:pPr>
    <w:rPr>
      <w:sz w:val="20"/>
      <w:szCs w:val="20"/>
    </w:rPr>
  </w:style>
  <w:style w:type="character" w:customStyle="1" w:styleId="CommentTextChar">
    <w:name w:val="Comment Text Char"/>
    <w:basedOn w:val="DefaultParagraphFont"/>
    <w:link w:val="CommentText"/>
    <w:uiPriority w:val="99"/>
    <w:semiHidden/>
    <w:rsid w:val="000842EF"/>
    <w:rPr>
      <w:sz w:val="20"/>
      <w:szCs w:val="20"/>
    </w:rPr>
  </w:style>
  <w:style w:type="paragraph" w:styleId="CommentSubject">
    <w:name w:val="annotation subject"/>
    <w:basedOn w:val="CommentText"/>
    <w:next w:val="CommentText"/>
    <w:link w:val="CommentSubjectChar"/>
    <w:uiPriority w:val="99"/>
    <w:semiHidden/>
    <w:unhideWhenUsed/>
    <w:rsid w:val="000842EF"/>
    <w:rPr>
      <w:b/>
      <w:bCs/>
    </w:rPr>
  </w:style>
  <w:style w:type="character" w:customStyle="1" w:styleId="CommentSubjectChar">
    <w:name w:val="Comment Subject Char"/>
    <w:basedOn w:val="CommentTextChar"/>
    <w:link w:val="CommentSubject"/>
    <w:uiPriority w:val="99"/>
    <w:semiHidden/>
    <w:rsid w:val="000842EF"/>
    <w:rPr>
      <w:b/>
      <w:bCs/>
      <w:sz w:val="20"/>
      <w:szCs w:val="20"/>
    </w:rPr>
  </w:style>
  <w:style w:type="paragraph" w:styleId="BalloonText">
    <w:name w:val="Balloon Text"/>
    <w:basedOn w:val="Normal"/>
    <w:link w:val="BalloonTextChar"/>
    <w:uiPriority w:val="99"/>
    <w:semiHidden/>
    <w:unhideWhenUsed/>
    <w:rsid w:val="0008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EF"/>
    <w:rPr>
      <w:rFonts w:ascii="Tahoma" w:hAnsi="Tahoma" w:cs="Tahoma"/>
      <w:sz w:val="16"/>
      <w:szCs w:val="16"/>
    </w:rPr>
  </w:style>
  <w:style w:type="paragraph" w:styleId="FootnoteText">
    <w:name w:val="footnote text"/>
    <w:basedOn w:val="Normal"/>
    <w:link w:val="FootnoteTextChar"/>
    <w:uiPriority w:val="99"/>
    <w:semiHidden/>
    <w:unhideWhenUsed/>
    <w:rsid w:val="00C83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DEA"/>
    <w:rPr>
      <w:sz w:val="20"/>
      <w:szCs w:val="20"/>
    </w:rPr>
  </w:style>
  <w:style w:type="character" w:styleId="FootnoteReference">
    <w:name w:val="footnote reference"/>
    <w:basedOn w:val="DefaultParagraphFont"/>
    <w:uiPriority w:val="99"/>
    <w:semiHidden/>
    <w:unhideWhenUsed/>
    <w:rsid w:val="00C83DEA"/>
    <w:rPr>
      <w:vertAlign w:val="superscript"/>
    </w:rPr>
  </w:style>
  <w:style w:type="character" w:customStyle="1" w:styleId="Heading5Char">
    <w:name w:val="Heading 5 Char"/>
    <w:basedOn w:val="DefaultParagraphFont"/>
    <w:link w:val="Heading5"/>
    <w:uiPriority w:val="9"/>
    <w:rsid w:val="00E63105"/>
    <w:rPr>
      <w:rFonts w:asciiTheme="majorHAnsi" w:eastAsiaTheme="majorEastAsia" w:hAnsiTheme="majorHAnsi" w:cstheme="majorBidi"/>
      <w:color w:val="243F60" w:themeColor="accent1" w:themeShade="7F"/>
    </w:rPr>
  </w:style>
  <w:style w:type="paragraph" w:styleId="NoSpacing">
    <w:name w:val="No Spacing"/>
    <w:uiPriority w:val="1"/>
    <w:qFormat/>
    <w:rsid w:val="00C11BE3"/>
    <w:pPr>
      <w:spacing w:after="0" w:line="240" w:lineRule="auto"/>
    </w:pPr>
  </w:style>
  <w:style w:type="character" w:styleId="Hyperlink">
    <w:name w:val="Hyperlink"/>
    <w:basedOn w:val="DefaultParagraphFont"/>
    <w:uiPriority w:val="99"/>
    <w:unhideWhenUsed/>
    <w:rsid w:val="000D6017"/>
    <w:rPr>
      <w:color w:val="0000FF" w:themeColor="hyperlink"/>
      <w:u w:val="single"/>
    </w:rPr>
  </w:style>
  <w:style w:type="character" w:customStyle="1" w:styleId="st">
    <w:name w:val="st"/>
    <w:basedOn w:val="DefaultParagraphFont"/>
    <w:rsid w:val="00C02A69"/>
  </w:style>
  <w:style w:type="character" w:styleId="Emphasis">
    <w:name w:val="Emphasis"/>
    <w:basedOn w:val="DefaultParagraphFont"/>
    <w:uiPriority w:val="20"/>
    <w:qFormat/>
    <w:rsid w:val="00C02A69"/>
    <w:rPr>
      <w:i/>
      <w:iCs/>
    </w:rPr>
  </w:style>
  <w:style w:type="paragraph" w:styleId="NormalWeb">
    <w:name w:val="Normal (Web)"/>
    <w:basedOn w:val="Normal"/>
    <w:uiPriority w:val="99"/>
    <w:semiHidden/>
    <w:unhideWhenUsed/>
    <w:rsid w:val="00A46F3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06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606D"/>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Heading2"/>
    <w:next w:val="Normal"/>
    <w:link w:val="Heading3Char"/>
    <w:uiPriority w:val="9"/>
    <w:unhideWhenUsed/>
    <w:qFormat/>
    <w:rsid w:val="0082499A"/>
    <w:pPr>
      <w:outlineLvl w:val="2"/>
    </w:pPr>
    <w:rPr>
      <w:i/>
    </w:rPr>
  </w:style>
  <w:style w:type="paragraph" w:styleId="Heading4">
    <w:name w:val="heading 4"/>
    <w:basedOn w:val="Normal"/>
    <w:next w:val="Normal"/>
    <w:link w:val="Heading4Char"/>
    <w:uiPriority w:val="9"/>
    <w:unhideWhenUsed/>
    <w:qFormat/>
    <w:rsid w:val="00B865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31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06D"/>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4460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06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4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06D"/>
  </w:style>
  <w:style w:type="paragraph" w:styleId="Footer">
    <w:name w:val="footer"/>
    <w:basedOn w:val="Normal"/>
    <w:link w:val="FooterChar"/>
    <w:uiPriority w:val="99"/>
    <w:unhideWhenUsed/>
    <w:rsid w:val="0044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6D"/>
  </w:style>
  <w:style w:type="character" w:customStyle="1" w:styleId="Heading2Char">
    <w:name w:val="Heading 2 Char"/>
    <w:basedOn w:val="DefaultParagraphFont"/>
    <w:link w:val="Heading2"/>
    <w:uiPriority w:val="9"/>
    <w:rsid w:val="0044606D"/>
    <w:rPr>
      <w:rFonts w:asciiTheme="majorHAnsi" w:eastAsiaTheme="majorEastAsia" w:hAnsiTheme="majorHAnsi" w:cstheme="majorBidi"/>
      <w:b/>
      <w:bCs/>
      <w:sz w:val="26"/>
      <w:szCs w:val="26"/>
    </w:rPr>
  </w:style>
  <w:style w:type="paragraph" w:styleId="ListParagraph">
    <w:name w:val="List Paragraph"/>
    <w:basedOn w:val="Normal"/>
    <w:uiPriority w:val="34"/>
    <w:qFormat/>
    <w:rsid w:val="0044606D"/>
    <w:pPr>
      <w:ind w:left="720"/>
      <w:contextualSpacing/>
    </w:pPr>
  </w:style>
  <w:style w:type="character" w:customStyle="1" w:styleId="Heading3Char">
    <w:name w:val="Heading 3 Char"/>
    <w:basedOn w:val="DefaultParagraphFont"/>
    <w:link w:val="Heading3"/>
    <w:uiPriority w:val="9"/>
    <w:rsid w:val="0082499A"/>
    <w:rPr>
      <w:rFonts w:asciiTheme="majorHAnsi" w:eastAsiaTheme="majorEastAsia" w:hAnsiTheme="majorHAnsi" w:cstheme="majorBidi"/>
      <w:b/>
      <w:bCs/>
      <w:i/>
      <w:sz w:val="26"/>
      <w:szCs w:val="26"/>
    </w:rPr>
  </w:style>
  <w:style w:type="character" w:customStyle="1" w:styleId="Heading4Char">
    <w:name w:val="Heading 4 Char"/>
    <w:basedOn w:val="DefaultParagraphFont"/>
    <w:link w:val="Heading4"/>
    <w:uiPriority w:val="9"/>
    <w:rsid w:val="00B8655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842EF"/>
    <w:rPr>
      <w:sz w:val="16"/>
      <w:szCs w:val="16"/>
    </w:rPr>
  </w:style>
  <w:style w:type="paragraph" w:styleId="CommentText">
    <w:name w:val="annotation text"/>
    <w:basedOn w:val="Normal"/>
    <w:link w:val="CommentTextChar"/>
    <w:uiPriority w:val="99"/>
    <w:semiHidden/>
    <w:unhideWhenUsed/>
    <w:rsid w:val="000842EF"/>
    <w:pPr>
      <w:spacing w:line="240" w:lineRule="auto"/>
    </w:pPr>
    <w:rPr>
      <w:sz w:val="20"/>
      <w:szCs w:val="20"/>
    </w:rPr>
  </w:style>
  <w:style w:type="character" w:customStyle="1" w:styleId="CommentTextChar">
    <w:name w:val="Comment Text Char"/>
    <w:basedOn w:val="DefaultParagraphFont"/>
    <w:link w:val="CommentText"/>
    <w:uiPriority w:val="99"/>
    <w:semiHidden/>
    <w:rsid w:val="000842EF"/>
    <w:rPr>
      <w:sz w:val="20"/>
      <w:szCs w:val="20"/>
    </w:rPr>
  </w:style>
  <w:style w:type="paragraph" w:styleId="CommentSubject">
    <w:name w:val="annotation subject"/>
    <w:basedOn w:val="CommentText"/>
    <w:next w:val="CommentText"/>
    <w:link w:val="CommentSubjectChar"/>
    <w:uiPriority w:val="99"/>
    <w:semiHidden/>
    <w:unhideWhenUsed/>
    <w:rsid w:val="000842EF"/>
    <w:rPr>
      <w:b/>
      <w:bCs/>
    </w:rPr>
  </w:style>
  <w:style w:type="character" w:customStyle="1" w:styleId="CommentSubjectChar">
    <w:name w:val="Comment Subject Char"/>
    <w:basedOn w:val="CommentTextChar"/>
    <w:link w:val="CommentSubject"/>
    <w:uiPriority w:val="99"/>
    <w:semiHidden/>
    <w:rsid w:val="000842EF"/>
    <w:rPr>
      <w:b/>
      <w:bCs/>
      <w:sz w:val="20"/>
      <w:szCs w:val="20"/>
    </w:rPr>
  </w:style>
  <w:style w:type="paragraph" w:styleId="BalloonText">
    <w:name w:val="Balloon Text"/>
    <w:basedOn w:val="Normal"/>
    <w:link w:val="BalloonTextChar"/>
    <w:uiPriority w:val="99"/>
    <w:semiHidden/>
    <w:unhideWhenUsed/>
    <w:rsid w:val="0008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EF"/>
    <w:rPr>
      <w:rFonts w:ascii="Tahoma" w:hAnsi="Tahoma" w:cs="Tahoma"/>
      <w:sz w:val="16"/>
      <w:szCs w:val="16"/>
    </w:rPr>
  </w:style>
  <w:style w:type="paragraph" w:styleId="FootnoteText">
    <w:name w:val="footnote text"/>
    <w:basedOn w:val="Normal"/>
    <w:link w:val="FootnoteTextChar"/>
    <w:uiPriority w:val="99"/>
    <w:semiHidden/>
    <w:unhideWhenUsed/>
    <w:rsid w:val="00C83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DEA"/>
    <w:rPr>
      <w:sz w:val="20"/>
      <w:szCs w:val="20"/>
    </w:rPr>
  </w:style>
  <w:style w:type="character" w:styleId="FootnoteReference">
    <w:name w:val="footnote reference"/>
    <w:basedOn w:val="DefaultParagraphFont"/>
    <w:uiPriority w:val="99"/>
    <w:semiHidden/>
    <w:unhideWhenUsed/>
    <w:rsid w:val="00C83DEA"/>
    <w:rPr>
      <w:vertAlign w:val="superscript"/>
    </w:rPr>
  </w:style>
  <w:style w:type="character" w:customStyle="1" w:styleId="Heading5Char">
    <w:name w:val="Heading 5 Char"/>
    <w:basedOn w:val="DefaultParagraphFont"/>
    <w:link w:val="Heading5"/>
    <w:uiPriority w:val="9"/>
    <w:rsid w:val="00E63105"/>
    <w:rPr>
      <w:rFonts w:asciiTheme="majorHAnsi" w:eastAsiaTheme="majorEastAsia" w:hAnsiTheme="majorHAnsi" w:cstheme="majorBidi"/>
      <w:color w:val="243F60" w:themeColor="accent1" w:themeShade="7F"/>
    </w:rPr>
  </w:style>
  <w:style w:type="paragraph" w:styleId="NoSpacing">
    <w:name w:val="No Spacing"/>
    <w:uiPriority w:val="1"/>
    <w:qFormat/>
    <w:rsid w:val="00C11BE3"/>
    <w:pPr>
      <w:spacing w:after="0" w:line="240" w:lineRule="auto"/>
    </w:pPr>
  </w:style>
  <w:style w:type="character" w:styleId="Hyperlink">
    <w:name w:val="Hyperlink"/>
    <w:basedOn w:val="DefaultParagraphFont"/>
    <w:uiPriority w:val="99"/>
    <w:unhideWhenUsed/>
    <w:rsid w:val="000D6017"/>
    <w:rPr>
      <w:color w:val="0000FF" w:themeColor="hyperlink"/>
      <w:u w:val="single"/>
    </w:rPr>
  </w:style>
  <w:style w:type="character" w:customStyle="1" w:styleId="st">
    <w:name w:val="st"/>
    <w:basedOn w:val="DefaultParagraphFont"/>
    <w:rsid w:val="00C02A69"/>
  </w:style>
  <w:style w:type="character" w:styleId="Emphasis">
    <w:name w:val="Emphasis"/>
    <w:basedOn w:val="DefaultParagraphFont"/>
    <w:uiPriority w:val="20"/>
    <w:qFormat/>
    <w:rsid w:val="00C02A69"/>
    <w:rPr>
      <w:i/>
      <w:iCs/>
    </w:rPr>
  </w:style>
  <w:style w:type="paragraph" w:styleId="NormalWeb">
    <w:name w:val="Normal (Web)"/>
    <w:basedOn w:val="Normal"/>
    <w:uiPriority w:val="99"/>
    <w:semiHidden/>
    <w:unhideWhenUsed/>
    <w:rsid w:val="00A46F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654">
      <w:bodyDiv w:val="1"/>
      <w:marLeft w:val="0"/>
      <w:marRight w:val="0"/>
      <w:marTop w:val="0"/>
      <w:marBottom w:val="0"/>
      <w:divBdr>
        <w:top w:val="none" w:sz="0" w:space="0" w:color="auto"/>
        <w:left w:val="none" w:sz="0" w:space="0" w:color="auto"/>
        <w:bottom w:val="none" w:sz="0" w:space="0" w:color="auto"/>
        <w:right w:val="none" w:sz="0" w:space="0" w:color="auto"/>
      </w:divBdr>
    </w:div>
    <w:div w:id="1438596355">
      <w:bodyDiv w:val="1"/>
      <w:marLeft w:val="0"/>
      <w:marRight w:val="0"/>
      <w:marTop w:val="0"/>
      <w:marBottom w:val="0"/>
      <w:divBdr>
        <w:top w:val="none" w:sz="0" w:space="0" w:color="auto"/>
        <w:left w:val="none" w:sz="0" w:space="0" w:color="auto"/>
        <w:bottom w:val="none" w:sz="0" w:space="0" w:color="auto"/>
        <w:right w:val="none" w:sz="0" w:space="0" w:color="auto"/>
      </w:divBdr>
    </w:div>
    <w:div w:id="1540629838">
      <w:bodyDiv w:val="1"/>
      <w:marLeft w:val="0"/>
      <w:marRight w:val="0"/>
      <w:marTop w:val="0"/>
      <w:marBottom w:val="0"/>
      <w:divBdr>
        <w:top w:val="none" w:sz="0" w:space="0" w:color="auto"/>
        <w:left w:val="none" w:sz="0" w:space="0" w:color="auto"/>
        <w:bottom w:val="none" w:sz="0" w:space="0" w:color="auto"/>
        <w:right w:val="none" w:sz="0" w:space="0" w:color="auto"/>
      </w:divBdr>
      <w:divsChild>
        <w:div w:id="252786908">
          <w:marLeft w:val="0"/>
          <w:marRight w:val="0"/>
          <w:marTop w:val="0"/>
          <w:marBottom w:val="0"/>
          <w:divBdr>
            <w:top w:val="none" w:sz="0" w:space="0" w:color="auto"/>
            <w:left w:val="none" w:sz="0" w:space="0" w:color="auto"/>
            <w:bottom w:val="none" w:sz="0" w:space="0" w:color="auto"/>
            <w:right w:val="none" w:sz="0" w:space="0" w:color="auto"/>
          </w:divBdr>
        </w:div>
      </w:divsChild>
    </w:div>
    <w:div w:id="1603757185">
      <w:bodyDiv w:val="1"/>
      <w:marLeft w:val="0"/>
      <w:marRight w:val="0"/>
      <w:marTop w:val="0"/>
      <w:marBottom w:val="0"/>
      <w:divBdr>
        <w:top w:val="none" w:sz="0" w:space="0" w:color="auto"/>
        <w:left w:val="none" w:sz="0" w:space="0" w:color="auto"/>
        <w:bottom w:val="none" w:sz="0" w:space="0" w:color="auto"/>
        <w:right w:val="none" w:sz="0" w:space="0" w:color="auto"/>
      </w:divBdr>
    </w:div>
    <w:div w:id="1809323301">
      <w:bodyDiv w:val="1"/>
      <w:marLeft w:val="0"/>
      <w:marRight w:val="0"/>
      <w:marTop w:val="0"/>
      <w:marBottom w:val="0"/>
      <w:divBdr>
        <w:top w:val="none" w:sz="0" w:space="0" w:color="auto"/>
        <w:left w:val="none" w:sz="0" w:space="0" w:color="auto"/>
        <w:bottom w:val="none" w:sz="0" w:space="0" w:color="auto"/>
        <w:right w:val="none" w:sz="0" w:space="0" w:color="auto"/>
      </w:divBdr>
    </w:div>
    <w:div w:id="19017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ailymail.co.uk/news/article-2253943/Murderers-drug-dealer-IVF-prison-youll-paying-Criminals-using-Human-Rights-laws-start-family-taxpayers-expe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41D9-E0C7-4C34-AB73-B92CFD02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38</Pages>
  <Words>12232</Words>
  <Characters>62508</Characters>
  <Application>Microsoft Office Word</Application>
  <DocSecurity>0</DocSecurity>
  <Lines>844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dcterms:created xsi:type="dcterms:W3CDTF">2015-08-06T16:22:00Z</dcterms:created>
  <dcterms:modified xsi:type="dcterms:W3CDTF">2015-08-07T20:40:00Z</dcterms:modified>
</cp:coreProperties>
</file>