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99E" w:rsidRDefault="0017099E" w:rsidP="00D82791">
      <w:r>
        <w:object w:dxaOrig="10519" w:dyaOrig="31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135.75pt" o:ole="">
            <v:imagedata r:id="rId6" o:title=""/>
          </v:shape>
          <o:OLEObject Type="Embed" ProgID="ChemDraw.Document.6.0" ShapeID="_x0000_i1025" DrawAspect="Content" ObjectID="_1552370224" r:id="rId7"/>
        </w:object>
      </w:r>
    </w:p>
    <w:p w:rsidR="0017099E" w:rsidRDefault="0017099E" w:rsidP="00D82791"/>
    <w:p w:rsidR="00D82791" w:rsidRPr="00D82791" w:rsidRDefault="00D82791" w:rsidP="00D82791">
      <w:r w:rsidRPr="00D82791">
        <w:t xml:space="preserve">Detection of </w:t>
      </w:r>
      <w:r w:rsidRPr="00164357">
        <w:rPr>
          <w:sz w:val="18"/>
          <w:szCs w:val="18"/>
        </w:rPr>
        <w:t>L</w:t>
      </w:r>
      <w:r w:rsidRPr="00D82791">
        <w:t xml:space="preserve">-alanylaminopeptidase activity in microorganisms using chromogenic self-immolative enzyme substrates </w:t>
      </w:r>
    </w:p>
    <w:p w:rsidR="00D82791" w:rsidRPr="00D82791" w:rsidRDefault="00D82791" w:rsidP="00D82791">
      <w:pPr>
        <w:rPr>
          <w:vertAlign w:val="superscript"/>
        </w:rPr>
      </w:pPr>
      <w:r w:rsidRPr="00D82791">
        <w:t>Marie Cellier,</w:t>
      </w:r>
      <w:r w:rsidRPr="00D82791">
        <w:rPr>
          <w:vertAlign w:val="superscript"/>
        </w:rPr>
        <w:t>a</w:t>
      </w:r>
      <w:r w:rsidRPr="00D82791">
        <w:t xml:space="preserve"> the late Arthur L. James,</w:t>
      </w:r>
      <w:r w:rsidRPr="00D82791">
        <w:rPr>
          <w:vertAlign w:val="superscript"/>
        </w:rPr>
        <w:t>b,d</w:t>
      </w:r>
      <w:r w:rsidRPr="00D82791">
        <w:t xml:space="preserve">  Sylvain Orenga,</w:t>
      </w:r>
      <w:r w:rsidRPr="00D82791">
        <w:rPr>
          <w:vertAlign w:val="superscript"/>
        </w:rPr>
        <w:t>a</w:t>
      </w:r>
      <w:r w:rsidRPr="00D82791">
        <w:t xml:space="preserve"> John D. Perry,</w:t>
      </w:r>
      <w:r w:rsidRPr="00D82791">
        <w:rPr>
          <w:vertAlign w:val="superscript"/>
        </w:rPr>
        <w:t>c</w:t>
      </w:r>
      <w:r w:rsidRPr="00D82791">
        <w:t xml:space="preserve"> Ari K. Rasul</w:t>
      </w:r>
      <w:r w:rsidRPr="00D82791">
        <w:rPr>
          <w:vertAlign w:val="superscript"/>
        </w:rPr>
        <w:t>b</w:t>
      </w:r>
      <w:r w:rsidRPr="00D82791">
        <w:t xml:space="preserve"> and Stephen P. Stanforth</w:t>
      </w:r>
      <w:r w:rsidRPr="00D82791">
        <w:rPr>
          <w:vertAlign w:val="superscript"/>
        </w:rPr>
        <w:t>b*</w:t>
      </w:r>
    </w:p>
    <w:p w:rsidR="00D82791" w:rsidRPr="00D82791" w:rsidRDefault="00D82791" w:rsidP="00A12986">
      <w:pPr>
        <w:spacing w:after="0"/>
        <w:rPr>
          <w:lang w:val="fr-FR"/>
        </w:rPr>
      </w:pPr>
      <w:r w:rsidRPr="00D82791">
        <w:rPr>
          <w:vertAlign w:val="superscript"/>
          <w:lang w:val="fr-FR"/>
        </w:rPr>
        <w:t xml:space="preserve">a </w:t>
      </w:r>
      <w:r w:rsidRPr="00D82791">
        <w:rPr>
          <w:lang w:val="fr-FR"/>
        </w:rPr>
        <w:t xml:space="preserve">Research &amp; Development Microbiology, bioMérieux SA, 3 route de Port Michaud, </w:t>
      </w:r>
    </w:p>
    <w:p w:rsidR="00D82791" w:rsidRPr="00A12986" w:rsidRDefault="00D82791" w:rsidP="00A12986">
      <w:pPr>
        <w:spacing w:after="0"/>
        <w:rPr>
          <w:lang w:val="fr-FR"/>
        </w:rPr>
      </w:pPr>
      <w:r w:rsidRPr="00D82791">
        <w:rPr>
          <w:lang w:val="fr-FR"/>
        </w:rPr>
        <w:t xml:space="preserve">  </w:t>
      </w:r>
      <w:r w:rsidRPr="00A12986">
        <w:rPr>
          <w:lang w:val="fr-FR"/>
        </w:rPr>
        <w:t>38 390 La-Balme-les-Grottes, France</w:t>
      </w:r>
      <w:r w:rsidR="00A12986" w:rsidRPr="00A12986">
        <w:rPr>
          <w:lang w:val="fr-FR"/>
        </w:rPr>
        <w:t>.</w:t>
      </w:r>
    </w:p>
    <w:p w:rsidR="00D82791" w:rsidRPr="00D82791" w:rsidRDefault="00D82791" w:rsidP="00A12986">
      <w:pPr>
        <w:spacing w:after="0"/>
      </w:pPr>
      <w:r w:rsidRPr="00D82791">
        <w:rPr>
          <w:vertAlign w:val="superscript"/>
        </w:rPr>
        <w:t xml:space="preserve">b </w:t>
      </w:r>
      <w:r w:rsidRPr="00D82791">
        <w:t>Department of Applied Sciences, Northumbria University, Newcastle upon Tyne, NE1 8ST, UK</w:t>
      </w:r>
      <w:r w:rsidR="00A12986">
        <w:t>.</w:t>
      </w:r>
    </w:p>
    <w:p w:rsidR="00D82791" w:rsidRPr="00D82791" w:rsidRDefault="00D82791" w:rsidP="00A12986">
      <w:pPr>
        <w:spacing w:after="0"/>
      </w:pPr>
      <w:r w:rsidRPr="00D82791">
        <w:rPr>
          <w:vertAlign w:val="superscript"/>
        </w:rPr>
        <w:t xml:space="preserve">c </w:t>
      </w:r>
      <w:r w:rsidRPr="00D82791">
        <w:t>Department of Microbiology, Freeman Hospital, Newcastle upon Tyne, NE7 7DN, UK</w:t>
      </w:r>
      <w:r w:rsidR="00A12986">
        <w:t>.</w:t>
      </w:r>
    </w:p>
    <w:p w:rsidR="00D82791" w:rsidRDefault="00D82791" w:rsidP="00A12986">
      <w:pPr>
        <w:spacing w:after="0"/>
      </w:pPr>
      <w:r w:rsidRPr="00D82791">
        <w:rPr>
          <w:vertAlign w:val="superscript"/>
        </w:rPr>
        <w:t>d</w:t>
      </w:r>
      <w:r w:rsidRPr="00D82791">
        <w:t xml:space="preserve"> Deceased, May 2014</w:t>
      </w:r>
    </w:p>
    <w:p w:rsidR="00A12986" w:rsidRPr="00D82791" w:rsidRDefault="00A12986" w:rsidP="00A12986">
      <w:pPr>
        <w:spacing w:after="0"/>
      </w:pPr>
    </w:p>
    <w:p w:rsidR="00D82791" w:rsidRDefault="0044239F" w:rsidP="00D82791">
      <w:r>
        <w:t>Abstract: Three</w:t>
      </w:r>
      <w:r w:rsidR="00D82791" w:rsidRPr="00D82791">
        <w:t xml:space="preserve"> </w:t>
      </w:r>
      <w:r w:rsidR="0013519A">
        <w:t xml:space="preserve">potential </w:t>
      </w:r>
      <w:r w:rsidR="00D82791" w:rsidRPr="00D82791">
        <w:t>chromogenic en</w:t>
      </w:r>
      <w:r>
        <w:t>zymatic probes</w:t>
      </w:r>
      <w:r w:rsidR="0013519A">
        <w:t>, each possessing</w:t>
      </w:r>
      <w:r w:rsidR="00D82791" w:rsidRPr="00D82791">
        <w:t xml:space="preserve"> a self-immolative spacer </w:t>
      </w:r>
      <w:r>
        <w:t>unit</w:t>
      </w:r>
      <w:r w:rsidR="0013519A">
        <w:t>,</w:t>
      </w:r>
      <w:r>
        <w:t xml:space="preserve"> </w:t>
      </w:r>
      <w:r w:rsidR="00D82791" w:rsidRPr="00D82791">
        <w:t xml:space="preserve">were synthesised for the purpose of </w:t>
      </w:r>
      <w:r w:rsidR="00F46364">
        <w:t xml:space="preserve">detecting </w:t>
      </w:r>
      <w:r w:rsidR="00F46364" w:rsidRPr="001A06BB">
        <w:rPr>
          <w:sz w:val="18"/>
          <w:szCs w:val="18"/>
        </w:rPr>
        <w:t>L</w:t>
      </w:r>
      <w:r w:rsidR="00F46364">
        <w:t xml:space="preserve">-alanylaminopeptidase activity </w:t>
      </w:r>
      <w:r w:rsidR="00EC0D18">
        <w:t xml:space="preserve">in </w:t>
      </w:r>
      <w:r w:rsidR="00D82791" w:rsidRPr="00D82791">
        <w:t>microorganisms. An Alizarin-based probe was the most effective</w:t>
      </w:r>
      <w:r w:rsidR="00F7201B">
        <w:t>,</w:t>
      </w:r>
      <w:r w:rsidR="00D82791" w:rsidRPr="00D82791">
        <w:t xml:space="preserve"> </w:t>
      </w:r>
      <w:r w:rsidR="00EC0D18">
        <w:t xml:space="preserve">allowing several species to generate </w:t>
      </w:r>
      <w:r w:rsidR="00F46364">
        <w:t xml:space="preserve">strongly </w:t>
      </w:r>
      <w:r w:rsidR="00D82791" w:rsidRPr="00D82791">
        <w:t>coloured colonies in the presence of metal ions.</w:t>
      </w:r>
    </w:p>
    <w:p w:rsidR="00D82791" w:rsidRPr="00D82791" w:rsidRDefault="00D82791" w:rsidP="00D82791">
      <w:r>
        <w:t xml:space="preserve">Keywords: chromogenic </w:t>
      </w:r>
      <w:r w:rsidRPr="00D82791">
        <w:t xml:space="preserve">enzyme substrates, </w:t>
      </w:r>
      <w:r w:rsidRPr="001A06BB">
        <w:rPr>
          <w:sz w:val="18"/>
          <w:szCs w:val="18"/>
        </w:rPr>
        <w:t>L</w:t>
      </w:r>
      <w:r w:rsidRPr="00D82791">
        <w:t>-alanylaminopeptidase detection, microorganisms.</w:t>
      </w:r>
    </w:p>
    <w:p w:rsidR="005B12A8" w:rsidRPr="00BC04D0" w:rsidRDefault="00E76668" w:rsidP="005B12A8">
      <w:r>
        <w:t>Molecules that possess a self-immolative spacer unit</w:t>
      </w:r>
      <w:r w:rsidR="00D82791" w:rsidRPr="00D82791">
        <w:t xml:space="preserve"> have </w:t>
      </w:r>
      <w:r>
        <w:t xml:space="preserve">been </w:t>
      </w:r>
      <w:r w:rsidR="00E166BB">
        <w:t xml:space="preserve">studied and </w:t>
      </w:r>
      <w:r>
        <w:t xml:space="preserve">utilised </w:t>
      </w:r>
      <w:r w:rsidR="00D82791" w:rsidRPr="00D82791">
        <w:t xml:space="preserve">in </w:t>
      </w:r>
      <w:r w:rsidR="00E166BB">
        <w:t>several</w:t>
      </w:r>
      <w:r w:rsidR="00F15EE6">
        <w:t xml:space="preserve"> </w:t>
      </w:r>
      <w:r>
        <w:t xml:space="preserve">areas </w:t>
      </w:r>
      <w:r w:rsidR="00E166BB">
        <w:t xml:space="preserve">of chemical science </w:t>
      </w:r>
      <w:r>
        <w:t>including</w:t>
      </w:r>
      <w:r w:rsidR="00D82791" w:rsidRPr="00D82791">
        <w:t xml:space="preserve"> drug delivery</w:t>
      </w:r>
      <w:r>
        <w:t xml:space="preserve"> systems, prodrug</w:t>
      </w:r>
      <w:r w:rsidR="00D24669">
        <w:t xml:space="preserve"> design,</w:t>
      </w:r>
      <w:r w:rsidR="00D82791" w:rsidRPr="00D82791">
        <w:t xml:space="preserve"> chemical sensors and enzyme sensors.</w:t>
      </w:r>
      <w:r w:rsidR="00D82791" w:rsidRPr="00D82791">
        <w:rPr>
          <w:vertAlign w:val="superscript"/>
        </w:rPr>
        <w:t>1</w:t>
      </w:r>
      <w:r w:rsidR="00D82791" w:rsidRPr="00D82791">
        <w:t xml:space="preserve"> In one </w:t>
      </w:r>
      <w:r w:rsidR="00E166BB">
        <w:t>theme</w:t>
      </w:r>
      <w:r w:rsidR="00F15EE6">
        <w:t xml:space="preserve"> </w:t>
      </w:r>
      <w:r w:rsidR="00D82791" w:rsidRPr="00D82791">
        <w:t>of self-immolative</w:t>
      </w:r>
      <w:r>
        <w:t xml:space="preserve"> spacer chemistry</w:t>
      </w:r>
      <w:r w:rsidR="00D82791" w:rsidRPr="00D82791">
        <w:t xml:space="preserve">, </w:t>
      </w:r>
      <w:r w:rsidR="00E166BB">
        <w:t>molecules</w:t>
      </w:r>
      <w:r>
        <w:t xml:space="preserve"> </w:t>
      </w:r>
      <w:r w:rsidR="00D82791" w:rsidRPr="00D82791">
        <w:t xml:space="preserve">of general structure </w:t>
      </w:r>
      <w:r w:rsidR="00D82791" w:rsidRPr="00D82791">
        <w:rPr>
          <w:b/>
        </w:rPr>
        <w:t>1</w:t>
      </w:r>
      <w:r w:rsidR="00D82791" w:rsidRPr="00D82791">
        <w:t xml:space="preserve"> have been </w:t>
      </w:r>
      <w:r w:rsidR="00E166BB">
        <w:t>constructed</w:t>
      </w:r>
      <w:r>
        <w:t xml:space="preserve"> </w:t>
      </w:r>
      <w:r w:rsidR="00D82791" w:rsidRPr="00D82791">
        <w:t>around a</w:t>
      </w:r>
      <w:r w:rsidR="00D82791" w:rsidRPr="00D82791">
        <w:rPr>
          <w:i/>
        </w:rPr>
        <w:t xml:space="preserve"> para</w:t>
      </w:r>
      <w:r w:rsidR="00D82791" w:rsidRPr="00D82791">
        <w:t xml:space="preserve">-aminobenzyl alcohol (PABA) core for the purpose of enabling the detection of protease enzyme activity as outlined in Scheme 1. This system is designed so that </w:t>
      </w:r>
      <w:r w:rsidR="005B12A8">
        <w:t>protease-induced fragmentation of compound</w:t>
      </w:r>
      <w:r w:rsidR="00F15EE6">
        <w:t>s</w:t>
      </w:r>
      <w:r w:rsidR="005B12A8">
        <w:t xml:space="preserve"> </w:t>
      </w:r>
      <w:r w:rsidR="005B12A8" w:rsidRPr="005B12A8">
        <w:rPr>
          <w:b/>
        </w:rPr>
        <w:t>1</w:t>
      </w:r>
      <w:r w:rsidR="00D82791" w:rsidRPr="00D82791">
        <w:t xml:space="preserve"> results</w:t>
      </w:r>
      <w:r w:rsidR="005B12A8">
        <w:t xml:space="preserve"> in the release of a fluorescent</w:t>
      </w:r>
      <w:r w:rsidR="00D82791" w:rsidRPr="00D82791">
        <w:t xml:space="preserve"> phenolic derivative </w:t>
      </w:r>
      <w:r w:rsidR="00D82791" w:rsidRPr="00D82791">
        <w:rPr>
          <w:b/>
        </w:rPr>
        <w:t>4</w:t>
      </w:r>
      <w:r w:rsidR="005B12A8">
        <w:t xml:space="preserve"> and hence </w:t>
      </w:r>
      <w:r w:rsidR="00F15EE6">
        <w:t xml:space="preserve">the presence of </w:t>
      </w:r>
      <w:r w:rsidR="005B12A8">
        <w:t>protease activity results in an increase in fluorescence.</w:t>
      </w:r>
      <w:r w:rsidR="00D82791" w:rsidRPr="00D82791">
        <w:t xml:space="preserve"> Thus, </w:t>
      </w:r>
      <w:r w:rsidR="00D24669">
        <w:t xml:space="preserve">the </w:t>
      </w:r>
      <w:r w:rsidR="005B12A8">
        <w:t xml:space="preserve">protease </w:t>
      </w:r>
      <w:r w:rsidR="00D82791" w:rsidRPr="00D82791">
        <w:t xml:space="preserve">substrates </w:t>
      </w:r>
      <w:r w:rsidR="00D82791" w:rsidRPr="00D82791">
        <w:rPr>
          <w:b/>
        </w:rPr>
        <w:t>1</w:t>
      </w:r>
      <w:r w:rsidR="00D82791" w:rsidRPr="00D82791">
        <w:t xml:space="preserve"> are hydrolytically cleaved </w:t>
      </w:r>
      <w:r w:rsidR="005A3495">
        <w:t>resulting in the formation of</w:t>
      </w:r>
      <w:r w:rsidR="00BB3EE9">
        <w:t xml:space="preserve"> </w:t>
      </w:r>
      <w:r w:rsidR="00D82791" w:rsidRPr="00D82791">
        <w:t>the intermediate</w:t>
      </w:r>
      <w:r w:rsidR="005A3495">
        <w:t>s</w:t>
      </w:r>
      <w:r w:rsidR="00D82791" w:rsidRPr="00D82791">
        <w:t xml:space="preserve"> </w:t>
      </w:r>
      <w:r w:rsidR="00D82791" w:rsidRPr="00D82791">
        <w:rPr>
          <w:b/>
        </w:rPr>
        <w:t xml:space="preserve">2 </w:t>
      </w:r>
      <w:r w:rsidR="00D82791" w:rsidRPr="00D82791">
        <w:t xml:space="preserve">which subsequently </w:t>
      </w:r>
      <w:r w:rsidR="005B12A8">
        <w:t>fragment</w:t>
      </w:r>
      <w:r w:rsidR="00D82791" w:rsidRPr="00D82791">
        <w:t xml:space="preserve"> with concomitant liberation of the imine </w:t>
      </w:r>
      <w:r w:rsidR="00D82791" w:rsidRPr="00D82791">
        <w:rPr>
          <w:b/>
        </w:rPr>
        <w:t>3</w:t>
      </w:r>
      <w:r w:rsidR="00D82791" w:rsidRPr="00D82791">
        <w:t xml:space="preserve"> and the fluorescent phenolic derivative </w:t>
      </w:r>
      <w:r w:rsidR="00D82791" w:rsidRPr="00D82791">
        <w:rPr>
          <w:b/>
        </w:rPr>
        <w:t>4</w:t>
      </w:r>
      <w:r w:rsidR="00D82791" w:rsidRPr="00D82791">
        <w:t>.</w:t>
      </w:r>
      <w:r w:rsidR="005B12A8" w:rsidRPr="005B12A8">
        <w:t xml:space="preserve"> </w:t>
      </w:r>
      <w:r w:rsidR="005B12A8">
        <w:t>A</w:t>
      </w:r>
      <w:r w:rsidR="005B12A8" w:rsidRPr="005B12A8">
        <w:t xml:space="preserve"> sensor for the detection of penicillin G acylase</w:t>
      </w:r>
      <w:r w:rsidR="009C1BAE">
        <w:t>,</w:t>
      </w:r>
      <w:r w:rsidR="005B12A8" w:rsidRPr="005B12A8">
        <w:rPr>
          <w:vertAlign w:val="superscript"/>
        </w:rPr>
        <w:t>2,3</w:t>
      </w:r>
      <w:r w:rsidR="005B12A8" w:rsidRPr="005B12A8">
        <w:t xml:space="preserve"> a probe for determining Caspase-3 activity</w:t>
      </w:r>
      <w:r w:rsidR="008C7B50">
        <w:t>,</w:t>
      </w:r>
      <w:r w:rsidR="005B12A8" w:rsidRPr="005B12A8">
        <w:rPr>
          <w:vertAlign w:val="superscript"/>
        </w:rPr>
        <w:t>2</w:t>
      </w:r>
      <w:r w:rsidR="005B12A8">
        <w:t xml:space="preserve"> an </w:t>
      </w:r>
      <w:r w:rsidR="005B12A8" w:rsidRPr="005B12A8">
        <w:t>assay for monitoring the activity of the autophagy-initiating enzyme ATG4B</w:t>
      </w:r>
      <w:r w:rsidR="00DC0C44">
        <w:rPr>
          <w:vertAlign w:val="superscript"/>
        </w:rPr>
        <w:t>4</w:t>
      </w:r>
      <w:r w:rsidR="005B12A8" w:rsidRPr="005B12A8">
        <w:t xml:space="preserve"> </w:t>
      </w:r>
      <w:r w:rsidR="008C7B50">
        <w:t>and a Resorufin-based fluorogenic/chromogenic substrate for the detection of proteases in biological matrices</w:t>
      </w:r>
      <w:r w:rsidR="008C7B50" w:rsidRPr="00FE67BC">
        <w:rPr>
          <w:vertAlign w:val="superscript"/>
        </w:rPr>
        <w:t>5</w:t>
      </w:r>
      <w:r w:rsidR="008C7B50">
        <w:t xml:space="preserve"> </w:t>
      </w:r>
      <w:r w:rsidR="00D24669">
        <w:t xml:space="preserve">are recent examples of the application of self-immolative spacers of general structure </w:t>
      </w:r>
      <w:r w:rsidR="00D24669" w:rsidRPr="00D24669">
        <w:rPr>
          <w:b/>
        </w:rPr>
        <w:t>1</w:t>
      </w:r>
      <w:r w:rsidR="00D24669">
        <w:t xml:space="preserve">. </w:t>
      </w:r>
      <w:r w:rsidR="007456C4">
        <w:t>We have recently described</w:t>
      </w:r>
      <w:r w:rsidR="008C7B50">
        <w:rPr>
          <w:vertAlign w:val="superscript"/>
        </w:rPr>
        <w:t>6</w:t>
      </w:r>
      <w:r w:rsidR="007456C4">
        <w:t xml:space="preserve"> the synthesis and evaluation of a </w:t>
      </w:r>
      <w:r w:rsidR="006F13DD">
        <w:t xml:space="preserve">series </w:t>
      </w:r>
      <w:r w:rsidR="007456C4">
        <w:t xml:space="preserve">of novel fluorogenic self-immolative enzyme substrates based on the general structure </w:t>
      </w:r>
      <w:r w:rsidR="007456C4" w:rsidRPr="007456C4">
        <w:rPr>
          <w:b/>
        </w:rPr>
        <w:t>1</w:t>
      </w:r>
      <w:r w:rsidR="007456C4">
        <w:t xml:space="preserve"> (AA = </w:t>
      </w:r>
      <w:r w:rsidR="007456C4" w:rsidRPr="001A06BB">
        <w:rPr>
          <w:sz w:val="18"/>
          <w:szCs w:val="18"/>
        </w:rPr>
        <w:t>L</w:t>
      </w:r>
      <w:r w:rsidR="007456C4">
        <w:t xml:space="preserve">-alanyl) for the detection of </w:t>
      </w:r>
      <w:r w:rsidR="007456C4" w:rsidRPr="001A06BB">
        <w:rPr>
          <w:sz w:val="18"/>
          <w:szCs w:val="18"/>
        </w:rPr>
        <w:t>L</w:t>
      </w:r>
      <w:r w:rsidR="007456C4">
        <w:t xml:space="preserve">-alanylaminopeptidase activity in </w:t>
      </w:r>
      <w:r w:rsidR="00996343">
        <w:t xml:space="preserve">a panel </w:t>
      </w:r>
      <w:r w:rsidR="007456C4">
        <w:t>clinica</w:t>
      </w:r>
      <w:r w:rsidR="006F13DD">
        <w:t xml:space="preserve">lly important </w:t>
      </w:r>
      <w:r w:rsidR="00996343">
        <w:t xml:space="preserve">Gram-negative and </w:t>
      </w:r>
      <w:r w:rsidR="00996343">
        <w:lastRenderedPageBreak/>
        <w:t xml:space="preserve">Gram-positive </w:t>
      </w:r>
      <w:r w:rsidR="006F13DD">
        <w:t xml:space="preserve">microorganisms, an area of importance in </w:t>
      </w:r>
      <w:r w:rsidR="00DC0C44">
        <w:t>diagnostic microbiology</w:t>
      </w:r>
      <w:r w:rsidR="00F46364">
        <w:t>.</w:t>
      </w:r>
      <w:r w:rsidR="008C7B50">
        <w:rPr>
          <w:vertAlign w:val="superscript"/>
        </w:rPr>
        <w:t>7</w:t>
      </w:r>
      <w:r w:rsidR="007456C4">
        <w:t xml:space="preserve"> Several of these substrates enabled the </w:t>
      </w:r>
      <w:r w:rsidR="00F46364">
        <w:t xml:space="preserve">detection of </w:t>
      </w:r>
      <w:r w:rsidR="00F46364" w:rsidRPr="001A06BB">
        <w:rPr>
          <w:sz w:val="18"/>
          <w:szCs w:val="18"/>
        </w:rPr>
        <w:t>L</w:t>
      </w:r>
      <w:r w:rsidR="00F46364">
        <w:t xml:space="preserve">-alanylaminopeptidase activity in </w:t>
      </w:r>
      <w:r w:rsidR="007456C4">
        <w:t xml:space="preserve">Gram-negative </w:t>
      </w:r>
      <w:r w:rsidR="005A3495">
        <w:t xml:space="preserve">microorganisms </w:t>
      </w:r>
      <w:r w:rsidR="007456C4">
        <w:t xml:space="preserve">in </w:t>
      </w:r>
      <w:r w:rsidR="00996343">
        <w:t xml:space="preserve">Columbia </w:t>
      </w:r>
      <w:r w:rsidR="007456C4">
        <w:t xml:space="preserve">agar media because </w:t>
      </w:r>
      <w:r w:rsidR="007456C4" w:rsidRPr="001A06BB">
        <w:rPr>
          <w:sz w:val="18"/>
          <w:szCs w:val="18"/>
        </w:rPr>
        <w:t>L</w:t>
      </w:r>
      <w:r w:rsidR="007456C4">
        <w:t xml:space="preserve">-alanylaminopeptidase activity is </w:t>
      </w:r>
      <w:r w:rsidR="00BF0904">
        <w:t xml:space="preserve">frequently </w:t>
      </w:r>
      <w:r w:rsidR="00DC0C44">
        <w:t xml:space="preserve">abundant in Gram-negative microorganisms whereas it is </w:t>
      </w:r>
      <w:r w:rsidR="007456C4">
        <w:t>generally less pronounced in the Gram-positive microorganisms.</w:t>
      </w:r>
      <w:r w:rsidR="008C7B50">
        <w:rPr>
          <w:vertAlign w:val="superscript"/>
        </w:rPr>
        <w:t>8</w:t>
      </w:r>
      <w:r w:rsidR="00DC0C44" w:rsidRPr="00DC0C44">
        <w:rPr>
          <w:vertAlign w:val="superscript"/>
        </w:rPr>
        <w:t>,</w:t>
      </w:r>
      <w:r w:rsidR="008C7B50">
        <w:rPr>
          <w:vertAlign w:val="superscript"/>
        </w:rPr>
        <w:t>9</w:t>
      </w:r>
      <w:r w:rsidR="00F46364">
        <w:t xml:space="preserve"> </w:t>
      </w:r>
      <w:r w:rsidR="00996343">
        <w:t>T</w:t>
      </w:r>
      <w:r w:rsidR="00F46364">
        <w:t xml:space="preserve">he growth of </w:t>
      </w:r>
      <w:r w:rsidR="00BB3EE9">
        <w:t xml:space="preserve">many of </w:t>
      </w:r>
      <w:r w:rsidR="00996343">
        <w:t xml:space="preserve">the panel of </w:t>
      </w:r>
      <w:r w:rsidR="00F46364">
        <w:t>Gram-positive microorganism</w:t>
      </w:r>
      <w:r w:rsidR="00BF0904">
        <w:t>s</w:t>
      </w:r>
      <w:r w:rsidR="00F46364">
        <w:t xml:space="preserve"> in Columbia agar </w:t>
      </w:r>
      <w:r w:rsidR="008E5EB4">
        <w:t xml:space="preserve">was </w:t>
      </w:r>
      <w:r w:rsidR="00F46364">
        <w:t>frequently inhibited</w:t>
      </w:r>
      <w:r w:rsidR="00996343">
        <w:t xml:space="preserve"> </w:t>
      </w:r>
      <w:r w:rsidR="00075157">
        <w:t xml:space="preserve">by these fluorogenic substrates, </w:t>
      </w:r>
      <w:r w:rsidR="00996343">
        <w:t>and hence fluorescent microorga</w:t>
      </w:r>
      <w:r w:rsidR="00075157">
        <w:t>nism colonies were not observed except in a few cases where some growth had occurred.</w:t>
      </w:r>
      <w:r w:rsidR="008C7B50">
        <w:rPr>
          <w:vertAlign w:val="superscript"/>
        </w:rPr>
        <w:t>6</w:t>
      </w:r>
      <w:r w:rsidR="00AB6BAB">
        <w:t xml:space="preserve"> </w:t>
      </w:r>
      <w:r w:rsidR="00AB6BAB" w:rsidRPr="00BC04D0">
        <w:t>A fluorogenic, self-immolative substrate designed for the detection of β-alanylaminopeptidase activity has recently been reported.</w:t>
      </w:r>
      <w:r w:rsidR="008173D7" w:rsidRPr="00BC04D0">
        <w:rPr>
          <w:vertAlign w:val="superscript"/>
        </w:rPr>
        <w:t>10</w:t>
      </w:r>
    </w:p>
    <w:p w:rsidR="00D32537" w:rsidRDefault="00D32537"/>
    <w:p w:rsidR="00E76668" w:rsidRDefault="00E76668">
      <w:r>
        <w:object w:dxaOrig="9991" w:dyaOrig="2602">
          <v:shape id="_x0000_i1026" type="#_x0000_t75" style="width:450.75pt;height:117.75pt" o:ole="">
            <v:imagedata r:id="rId8" o:title=""/>
          </v:shape>
          <o:OLEObject Type="Embed" ProgID="ChemDraw.Document.6.0" ShapeID="_x0000_i1026" DrawAspect="Content" ObjectID="_1552370225" r:id="rId9"/>
        </w:object>
      </w:r>
    </w:p>
    <w:p w:rsidR="00E76668" w:rsidRDefault="00E76668">
      <w:r w:rsidRPr="009D7045">
        <w:rPr>
          <w:b/>
        </w:rPr>
        <w:t>Scheme 1</w:t>
      </w:r>
      <w:r>
        <w:t>. Self-immolative spacers for protease detection.</w:t>
      </w:r>
    </w:p>
    <w:p w:rsidR="003A4B84" w:rsidRPr="00E317F0" w:rsidRDefault="000C5269" w:rsidP="003A4B84">
      <w:r>
        <w:t xml:space="preserve">In this Letter, we describe the synthesis and evaluation of some novel chromogenic self-immolative enzyme substrates for the detection of </w:t>
      </w:r>
      <w:r w:rsidRPr="001A06BB">
        <w:rPr>
          <w:sz w:val="18"/>
          <w:szCs w:val="18"/>
        </w:rPr>
        <w:t>L</w:t>
      </w:r>
      <w:r>
        <w:t xml:space="preserve">-alanylaminopeptidase activity in microorganisms. </w:t>
      </w:r>
      <w:r w:rsidR="00DD3994">
        <w:t xml:space="preserve">The core molecules (equivalent to compound </w:t>
      </w:r>
      <w:r w:rsidR="00DD3994" w:rsidRPr="00DD3994">
        <w:rPr>
          <w:b/>
        </w:rPr>
        <w:t>4</w:t>
      </w:r>
      <w:r w:rsidR="00DD3994">
        <w:t>) chosen for study were cyclohexenoesculetin</w:t>
      </w:r>
      <w:r w:rsidR="003A4B84" w:rsidRPr="003A4B84">
        <w:t xml:space="preserve"> </w:t>
      </w:r>
      <w:r w:rsidR="0066230C">
        <w:rPr>
          <w:b/>
        </w:rPr>
        <w:t>5</w:t>
      </w:r>
      <w:r w:rsidR="0066230C">
        <w:t xml:space="preserve"> (CHE) and</w:t>
      </w:r>
      <w:r w:rsidR="00DD3994">
        <w:t xml:space="preserve"> A</w:t>
      </w:r>
      <w:r w:rsidR="003A4B84" w:rsidRPr="003A4B84">
        <w:t xml:space="preserve">lizarin </w:t>
      </w:r>
      <w:r w:rsidR="0066230C">
        <w:rPr>
          <w:b/>
        </w:rPr>
        <w:t>11</w:t>
      </w:r>
      <w:r w:rsidR="003A4B84" w:rsidRPr="003A4B84">
        <w:rPr>
          <w:b/>
        </w:rPr>
        <w:t xml:space="preserve"> </w:t>
      </w:r>
      <w:r w:rsidR="00DD3994">
        <w:t>(Scheme 2)</w:t>
      </w:r>
      <w:r w:rsidR="0066230C">
        <w:t xml:space="preserve"> because b</w:t>
      </w:r>
      <w:r w:rsidR="003A4B84" w:rsidRPr="003A4B84">
        <w:t>oth of these molecules are annulated catechol deri</w:t>
      </w:r>
      <w:r w:rsidR="0066230C">
        <w:t>vatives and as such, they are known to form</w:t>
      </w:r>
      <w:r w:rsidR="003A4B84" w:rsidRPr="003A4B84">
        <w:t xml:space="preserve"> coloured chelates in the presence of selected metal ions. For example, the 7-β-D-glucoside derivative of compound </w:t>
      </w:r>
      <w:r w:rsidR="0066230C">
        <w:rPr>
          <w:b/>
        </w:rPr>
        <w:t>5</w:t>
      </w:r>
      <w:r w:rsidR="003A4B84" w:rsidRPr="003A4B84">
        <w:t xml:space="preserve"> in the </w:t>
      </w:r>
      <w:r w:rsidR="00332CF5">
        <w:t xml:space="preserve">presence of ammonium iron(III) </w:t>
      </w:r>
      <w:r w:rsidR="003A4B84" w:rsidRPr="003A4B84">
        <w:t>citrate produced black colonies with microorganisms that exhibited β-D-glucosidase activity.</w:t>
      </w:r>
      <w:r w:rsidR="008C7B50">
        <w:rPr>
          <w:vertAlign w:val="superscript"/>
        </w:rPr>
        <w:t>1</w:t>
      </w:r>
      <w:r w:rsidR="008173D7">
        <w:rPr>
          <w:vertAlign w:val="superscript"/>
        </w:rPr>
        <w:t>1</w:t>
      </w:r>
      <w:r w:rsidR="003A4B84" w:rsidRPr="003A4B84">
        <w:t xml:space="preserve"> The</w:t>
      </w:r>
      <w:r w:rsidR="00DD3994">
        <w:t xml:space="preserve"> 2-β-galactoside derivative of A</w:t>
      </w:r>
      <w:r w:rsidR="003A4B84" w:rsidRPr="003A4B84">
        <w:t xml:space="preserve">lizarin </w:t>
      </w:r>
      <w:r w:rsidR="0066230C">
        <w:rPr>
          <w:b/>
        </w:rPr>
        <w:t>11</w:t>
      </w:r>
      <w:r w:rsidR="003A4B84" w:rsidRPr="003A4B84">
        <w:t xml:space="preserve"> </w:t>
      </w:r>
      <w:r w:rsidR="0066230C">
        <w:t xml:space="preserve">produced </w:t>
      </w:r>
      <w:r w:rsidR="003A4B84" w:rsidRPr="003A4B84">
        <w:t xml:space="preserve">either violet or pink coloured colonies in the </w:t>
      </w:r>
      <w:r w:rsidR="00C86980">
        <w:t xml:space="preserve">presence of ammonium iron(III) </w:t>
      </w:r>
      <w:r w:rsidR="003A4B84" w:rsidRPr="003A4B84">
        <w:t>citrate or potassium aluminium sulphate respectively with microorganisms that displayed β-galactosidase activity.</w:t>
      </w:r>
      <w:r w:rsidR="0058007E">
        <w:rPr>
          <w:vertAlign w:val="superscript"/>
        </w:rPr>
        <w:t>1</w:t>
      </w:r>
      <w:r w:rsidR="008173D7">
        <w:rPr>
          <w:vertAlign w:val="superscript"/>
        </w:rPr>
        <w:t>2</w:t>
      </w:r>
      <w:r w:rsidR="00E317F0">
        <w:rPr>
          <w:vertAlign w:val="superscript"/>
        </w:rPr>
        <w:t xml:space="preserve"> </w:t>
      </w:r>
      <w:r w:rsidR="00E317F0">
        <w:t xml:space="preserve">The benefit of the work described in this Letter would be that </w:t>
      </w:r>
      <w:r w:rsidR="00E317F0" w:rsidRPr="001A06BB">
        <w:rPr>
          <w:sz w:val="18"/>
          <w:szCs w:val="18"/>
        </w:rPr>
        <w:t>L</w:t>
      </w:r>
      <w:r w:rsidR="00E317F0">
        <w:t>-alanylaminopeptidase activity might be detected through the formation of highly coloured metal chelates of catechol-type molecules.</w:t>
      </w:r>
    </w:p>
    <w:p w:rsidR="004400BE" w:rsidRDefault="000A0095" w:rsidP="004400BE">
      <w:r>
        <w:t xml:space="preserve">The synthesis of the required substrates is shown in Scheme 2 (see supplementary information for experimental details). </w:t>
      </w:r>
      <w:r w:rsidR="004400BE" w:rsidRPr="004400BE">
        <w:t xml:space="preserve">Treatment of heterocycle </w:t>
      </w:r>
      <w:r w:rsidR="00C86980">
        <w:rPr>
          <w:b/>
        </w:rPr>
        <w:t>5</w:t>
      </w:r>
      <w:r w:rsidR="004400BE" w:rsidRPr="004400BE">
        <w:t xml:space="preserve"> with compound </w:t>
      </w:r>
      <w:r w:rsidR="00C86980">
        <w:rPr>
          <w:b/>
        </w:rPr>
        <w:t>6</w:t>
      </w:r>
      <w:r w:rsidR="008C7B50">
        <w:rPr>
          <w:vertAlign w:val="superscript"/>
        </w:rPr>
        <w:t>6</w:t>
      </w:r>
      <w:r w:rsidR="004400BE" w:rsidRPr="004400BE">
        <w:t xml:space="preserve"> under basic conditions afforded a mixture of the mono-substituted product </w:t>
      </w:r>
      <w:r w:rsidR="004975DE">
        <w:rPr>
          <w:b/>
        </w:rPr>
        <w:t>7</w:t>
      </w:r>
      <w:r w:rsidR="004400BE" w:rsidRPr="004400BE">
        <w:t xml:space="preserve"> </w:t>
      </w:r>
      <w:r w:rsidR="006372CD" w:rsidRPr="00BC04D0">
        <w:t xml:space="preserve">(22%) </w:t>
      </w:r>
      <w:r w:rsidR="004400BE" w:rsidRPr="004400BE">
        <w:t xml:space="preserve">and the di-substituted compound </w:t>
      </w:r>
      <w:r w:rsidR="004975DE">
        <w:rPr>
          <w:b/>
        </w:rPr>
        <w:t>8</w:t>
      </w:r>
      <w:r w:rsidR="004400BE" w:rsidRPr="004400BE">
        <w:t xml:space="preserve"> </w:t>
      </w:r>
      <w:r w:rsidR="006372CD" w:rsidRPr="00BC04D0">
        <w:t xml:space="preserve">(38%) </w:t>
      </w:r>
      <w:r w:rsidR="004400BE" w:rsidRPr="004400BE">
        <w:t xml:space="preserve">which were separated by column chromatography. Compound </w:t>
      </w:r>
      <w:r w:rsidR="004975DE">
        <w:rPr>
          <w:b/>
        </w:rPr>
        <w:t>8</w:t>
      </w:r>
      <w:r w:rsidR="004400BE" w:rsidRPr="004400BE">
        <w:t xml:space="preserve"> </w:t>
      </w:r>
      <w:r w:rsidR="006372CD" w:rsidRPr="00BC04D0">
        <w:t xml:space="preserve">(84%) </w:t>
      </w:r>
      <w:r w:rsidR="004400BE" w:rsidRPr="004400BE">
        <w:t xml:space="preserve">was also prepared from heterocycle </w:t>
      </w:r>
      <w:r w:rsidR="004975DE">
        <w:rPr>
          <w:b/>
        </w:rPr>
        <w:t>5</w:t>
      </w:r>
      <w:r w:rsidR="004400BE" w:rsidRPr="004400BE">
        <w:t xml:space="preserve"> using 2 equivalents of the benzylic chloride </w:t>
      </w:r>
      <w:r w:rsidR="004975DE">
        <w:rPr>
          <w:b/>
        </w:rPr>
        <w:t>6</w:t>
      </w:r>
      <w:r w:rsidR="004400BE" w:rsidRPr="004400BE">
        <w:t xml:space="preserve">. De-protection of these individual compounds </w:t>
      </w:r>
      <w:r w:rsidR="004975DE">
        <w:rPr>
          <w:b/>
        </w:rPr>
        <w:t>7</w:t>
      </w:r>
      <w:r w:rsidR="004400BE" w:rsidRPr="004400BE">
        <w:t xml:space="preserve"> and </w:t>
      </w:r>
      <w:r w:rsidR="004975DE">
        <w:rPr>
          <w:b/>
        </w:rPr>
        <w:t>8</w:t>
      </w:r>
      <w:r w:rsidR="004400BE" w:rsidRPr="004400BE">
        <w:t xml:space="preserve"> with hydrogen chloride produced the</w:t>
      </w:r>
      <w:r w:rsidR="004975DE">
        <w:t xml:space="preserve"> hydrochloride salts of the</w:t>
      </w:r>
      <w:r w:rsidR="004400BE" w:rsidRPr="004400BE">
        <w:t xml:space="preserve"> substrates </w:t>
      </w:r>
      <w:r w:rsidR="004975DE">
        <w:rPr>
          <w:b/>
        </w:rPr>
        <w:t>9</w:t>
      </w:r>
      <w:r w:rsidR="004400BE" w:rsidRPr="004400BE">
        <w:t xml:space="preserve"> and </w:t>
      </w:r>
      <w:r w:rsidR="004975DE">
        <w:rPr>
          <w:b/>
        </w:rPr>
        <w:t>10</w:t>
      </w:r>
      <w:r w:rsidR="004400BE" w:rsidRPr="004400BE">
        <w:rPr>
          <w:b/>
        </w:rPr>
        <w:t xml:space="preserve"> </w:t>
      </w:r>
      <w:r w:rsidR="004400BE" w:rsidRPr="004400BE">
        <w:t xml:space="preserve">respectively. In a similar process, Alizarin </w:t>
      </w:r>
      <w:r w:rsidR="004975DE">
        <w:rPr>
          <w:b/>
        </w:rPr>
        <w:t>11</w:t>
      </w:r>
      <w:r w:rsidR="004400BE" w:rsidRPr="004400BE">
        <w:t xml:space="preserve"> reacted with compound </w:t>
      </w:r>
      <w:r w:rsidR="004975DE">
        <w:rPr>
          <w:b/>
        </w:rPr>
        <w:t>6</w:t>
      </w:r>
      <w:r w:rsidR="004400BE" w:rsidRPr="004400BE">
        <w:t xml:space="preserve"> under basic conditions giving the mono-substituted product </w:t>
      </w:r>
      <w:r w:rsidR="004975DE">
        <w:rPr>
          <w:b/>
        </w:rPr>
        <w:t>12</w:t>
      </w:r>
      <w:r w:rsidR="004400BE" w:rsidRPr="004400BE">
        <w:t xml:space="preserve"> from which the required substrate </w:t>
      </w:r>
      <w:r w:rsidR="004975DE">
        <w:rPr>
          <w:b/>
        </w:rPr>
        <w:t>13</w:t>
      </w:r>
      <w:r w:rsidR="004400BE" w:rsidRPr="004400BE">
        <w:t xml:space="preserve"> was obtained</w:t>
      </w:r>
      <w:r>
        <w:t xml:space="preserve"> by removal of the Boc protecting group</w:t>
      </w:r>
      <w:r w:rsidR="004400BE" w:rsidRPr="004400BE">
        <w:t>.</w:t>
      </w:r>
    </w:p>
    <w:p w:rsidR="003A4B84" w:rsidRPr="004400BE" w:rsidRDefault="00061250" w:rsidP="004400BE">
      <w:r>
        <w:object w:dxaOrig="13696" w:dyaOrig="9408">
          <v:shape id="_x0000_i1027" type="#_x0000_t75" style="width:452.25pt;height:310.5pt" o:ole="">
            <v:imagedata r:id="rId10" o:title=""/>
          </v:shape>
          <o:OLEObject Type="Embed" ProgID="ChemDraw.Document.6.0" ShapeID="_x0000_i1027" DrawAspect="Content" ObjectID="_1552370226" r:id="rId11"/>
        </w:object>
      </w:r>
    </w:p>
    <w:p w:rsidR="004400BE" w:rsidRDefault="003A4B84">
      <w:r w:rsidRPr="009D7045">
        <w:rPr>
          <w:b/>
        </w:rPr>
        <w:t>Scheme 2</w:t>
      </w:r>
      <w:r w:rsidR="004400BE" w:rsidRPr="004400BE">
        <w:t xml:space="preserve">. Synthesis of the substrates </w:t>
      </w:r>
      <w:r w:rsidR="00061250">
        <w:rPr>
          <w:b/>
        </w:rPr>
        <w:t>9</w:t>
      </w:r>
      <w:r w:rsidR="004400BE" w:rsidRPr="004400BE">
        <w:t xml:space="preserve">, </w:t>
      </w:r>
      <w:r w:rsidR="00061250">
        <w:rPr>
          <w:b/>
        </w:rPr>
        <w:t>10</w:t>
      </w:r>
      <w:r w:rsidR="004400BE" w:rsidRPr="004400BE">
        <w:t xml:space="preserve"> and </w:t>
      </w:r>
      <w:r w:rsidR="00061250">
        <w:rPr>
          <w:b/>
        </w:rPr>
        <w:t>13</w:t>
      </w:r>
      <w:r w:rsidR="004400BE" w:rsidRPr="004400BE">
        <w:t xml:space="preserve">. Reagents and conditions: (i) </w:t>
      </w:r>
      <w:r w:rsidR="00061250">
        <w:rPr>
          <w:b/>
        </w:rPr>
        <w:t>6</w:t>
      </w:r>
      <w:r w:rsidR="004400BE" w:rsidRPr="004400BE">
        <w:t xml:space="preserve"> (1 equiv.), Cs</w:t>
      </w:r>
      <w:r w:rsidR="004400BE" w:rsidRPr="004400BE">
        <w:rPr>
          <w:vertAlign w:val="subscript"/>
        </w:rPr>
        <w:t>2</w:t>
      </w:r>
      <w:r w:rsidR="004400BE" w:rsidRPr="004400BE">
        <w:t>CO</w:t>
      </w:r>
      <w:r w:rsidR="004400BE" w:rsidRPr="004400BE">
        <w:rPr>
          <w:vertAlign w:val="subscript"/>
        </w:rPr>
        <w:t xml:space="preserve">3 </w:t>
      </w:r>
      <w:r w:rsidR="004400BE" w:rsidRPr="004400BE">
        <w:t xml:space="preserve">(1 equiv.), DMF, 90 </w:t>
      </w:r>
      <w:r w:rsidR="004400BE" w:rsidRPr="004400BE">
        <w:rPr>
          <w:vertAlign w:val="superscript"/>
        </w:rPr>
        <w:t>o</w:t>
      </w:r>
      <w:r w:rsidR="004400BE" w:rsidRPr="004400BE">
        <w:t xml:space="preserve">C, 3-5 h; (ii) HCl/EtOAc, rt, 1-2 h; (iii) </w:t>
      </w:r>
      <w:r w:rsidR="00061250">
        <w:rPr>
          <w:b/>
        </w:rPr>
        <w:t>6</w:t>
      </w:r>
      <w:r w:rsidR="004400BE" w:rsidRPr="004400BE">
        <w:t xml:space="preserve"> (2 equiv.), Cs</w:t>
      </w:r>
      <w:r w:rsidR="004400BE" w:rsidRPr="004400BE">
        <w:rPr>
          <w:vertAlign w:val="subscript"/>
        </w:rPr>
        <w:t>2</w:t>
      </w:r>
      <w:r w:rsidR="004400BE" w:rsidRPr="004400BE">
        <w:t>CO</w:t>
      </w:r>
      <w:r w:rsidR="004400BE" w:rsidRPr="004400BE">
        <w:rPr>
          <w:vertAlign w:val="subscript"/>
        </w:rPr>
        <w:t xml:space="preserve">3 </w:t>
      </w:r>
      <w:r w:rsidR="004400BE" w:rsidRPr="004400BE">
        <w:t xml:space="preserve">(2 equiv.), DMF, 90 </w:t>
      </w:r>
      <w:r w:rsidR="004400BE" w:rsidRPr="004400BE">
        <w:rPr>
          <w:vertAlign w:val="superscript"/>
        </w:rPr>
        <w:t>o</w:t>
      </w:r>
      <w:r w:rsidR="0013519A">
        <w:t>C, 5 h.</w:t>
      </w:r>
    </w:p>
    <w:p w:rsidR="004400BE" w:rsidRPr="00DE1B52" w:rsidRDefault="004400BE" w:rsidP="004400BE">
      <w:r w:rsidRPr="004400BE">
        <w:t xml:space="preserve">Each substrate </w:t>
      </w:r>
      <w:r w:rsidR="00C95CE7">
        <w:t>(</w:t>
      </w:r>
      <w:r w:rsidR="00C95CE7" w:rsidRPr="00B12142">
        <w:t>100</w:t>
      </w:r>
      <w:r w:rsidR="00C95CE7">
        <w:t xml:space="preserve"> mgL</w:t>
      </w:r>
      <w:r w:rsidR="00C95CE7" w:rsidRPr="00C95CE7">
        <w:rPr>
          <w:vertAlign w:val="superscript"/>
        </w:rPr>
        <w:t>-1</w:t>
      </w:r>
      <w:r w:rsidR="00C95CE7">
        <w:t xml:space="preserve">) </w:t>
      </w:r>
      <w:r w:rsidRPr="004400BE">
        <w:t xml:space="preserve">was evaluated in Columbia agar media (37 </w:t>
      </w:r>
      <w:r w:rsidRPr="004400BE">
        <w:rPr>
          <w:vertAlign w:val="superscript"/>
        </w:rPr>
        <w:t>o</w:t>
      </w:r>
      <w:r w:rsidRPr="004400BE">
        <w:t>C in air for 18 hours) on a single plate against 20 clinically important microorganisms</w:t>
      </w:r>
      <w:r w:rsidR="00897CD1">
        <w:t xml:space="preserve"> </w:t>
      </w:r>
      <w:r w:rsidRPr="004400BE">
        <w:t>including 10 Gram-negative bacteria, 8 Gram-positive bacteria and 2 y</w:t>
      </w:r>
      <w:r w:rsidR="0013519A">
        <w:t>easts (</w:t>
      </w:r>
      <w:r w:rsidR="00C95CE7">
        <w:t>see Figure 1, top diagram</w:t>
      </w:r>
      <w:r w:rsidRPr="004400BE">
        <w:t xml:space="preserve">). </w:t>
      </w:r>
      <w:r w:rsidR="0013519A">
        <w:t>Also added to the media was eithe</w:t>
      </w:r>
      <w:r w:rsidR="00B62370">
        <w:t>r ammonium iron(III) citrate (</w:t>
      </w:r>
      <w:r w:rsidR="00B62370" w:rsidRPr="00B12142">
        <w:t>500</w:t>
      </w:r>
      <w:r w:rsidR="0013519A">
        <w:t xml:space="preserve"> mgL</w:t>
      </w:r>
      <w:r w:rsidR="0013519A" w:rsidRPr="0013519A">
        <w:rPr>
          <w:vertAlign w:val="superscript"/>
        </w:rPr>
        <w:t>-1</w:t>
      </w:r>
      <w:r w:rsidR="0013519A">
        <w:t>) or</w:t>
      </w:r>
      <w:r w:rsidR="005233AE">
        <w:t xml:space="preserve"> </w:t>
      </w:r>
      <w:r w:rsidR="0013519A">
        <w:t>aluminium pota</w:t>
      </w:r>
      <w:r w:rsidR="00B62370">
        <w:t>ssium sulphate dodecahydrate (</w:t>
      </w:r>
      <w:r w:rsidR="00B62370" w:rsidRPr="00B12142">
        <w:t>500</w:t>
      </w:r>
      <w:r w:rsidR="0013519A">
        <w:t xml:space="preserve"> mgL</w:t>
      </w:r>
      <w:r w:rsidR="0013519A" w:rsidRPr="0013519A">
        <w:rPr>
          <w:vertAlign w:val="superscript"/>
        </w:rPr>
        <w:t>-1</w:t>
      </w:r>
      <w:r w:rsidR="0013519A">
        <w:t>).</w:t>
      </w:r>
      <w:r w:rsidR="00821DB4">
        <w:t xml:space="preserve"> </w:t>
      </w:r>
      <w:r w:rsidR="00836BFA" w:rsidRPr="00BC04D0">
        <w:t xml:space="preserve">The substrate concentration and the selection and optimal concentration of metal ions were extrapolated from previous work with glycosides of CHE </w:t>
      </w:r>
      <w:r w:rsidR="00836BFA" w:rsidRPr="00BC04D0">
        <w:rPr>
          <w:b/>
        </w:rPr>
        <w:t>5</w:t>
      </w:r>
      <w:r w:rsidR="00836BFA" w:rsidRPr="00BC04D0">
        <w:t xml:space="preserve"> and Alizarin </w:t>
      </w:r>
      <w:r w:rsidR="00836BFA" w:rsidRPr="00BC04D0">
        <w:rPr>
          <w:b/>
        </w:rPr>
        <w:t>11</w:t>
      </w:r>
      <w:r w:rsidR="00836BFA" w:rsidRPr="00BC04D0">
        <w:t xml:space="preserve"> as documented in previous studies.</w:t>
      </w:r>
      <w:r w:rsidR="008173D7" w:rsidRPr="00BC04D0">
        <w:rPr>
          <w:vertAlign w:val="superscript"/>
        </w:rPr>
        <w:t>11-13</w:t>
      </w:r>
      <w:r w:rsidR="00836BFA" w:rsidRPr="00BC04D0" w:rsidDel="00836BFA">
        <w:rPr>
          <w:vertAlign w:val="superscript"/>
        </w:rPr>
        <w:t xml:space="preserve"> </w:t>
      </w:r>
      <w:r w:rsidR="005C5D46" w:rsidRPr="00BC04D0">
        <w:rPr>
          <w:vertAlign w:val="superscript"/>
        </w:rPr>
        <w:t xml:space="preserve"> </w:t>
      </w:r>
      <w:r w:rsidRPr="004400BE">
        <w:t xml:space="preserve">The growth of the microorganisms was compared to control plates in which no substrate </w:t>
      </w:r>
      <w:r w:rsidR="005233AE">
        <w:t xml:space="preserve">or </w:t>
      </w:r>
      <w:r w:rsidR="005233AE" w:rsidRPr="00B12142">
        <w:t>metal</w:t>
      </w:r>
      <w:r w:rsidR="005233AE" w:rsidRPr="005233AE">
        <w:rPr>
          <w:color w:val="FF0000"/>
        </w:rPr>
        <w:t xml:space="preserve"> </w:t>
      </w:r>
      <w:r w:rsidR="005233AE" w:rsidRPr="00B12142">
        <w:t>salt</w:t>
      </w:r>
      <w:r w:rsidR="005233AE" w:rsidRPr="005233AE">
        <w:rPr>
          <w:color w:val="FF0000"/>
        </w:rPr>
        <w:t xml:space="preserve"> </w:t>
      </w:r>
      <w:r w:rsidRPr="004400BE">
        <w:t xml:space="preserve">was present. </w:t>
      </w:r>
      <w:r w:rsidR="00EC0D18">
        <w:t>Control plates were also prepared containing metal ions (</w:t>
      </w:r>
      <w:r w:rsidR="00EC0D18" w:rsidRPr="00B12142">
        <w:t>500</w:t>
      </w:r>
      <w:r w:rsidR="00EC0D18">
        <w:t xml:space="preserve"> mgL</w:t>
      </w:r>
      <w:r w:rsidR="00EC0D18" w:rsidRPr="0013519A">
        <w:rPr>
          <w:vertAlign w:val="superscript"/>
        </w:rPr>
        <w:t>-1</w:t>
      </w:r>
      <w:r w:rsidR="00EC0D18">
        <w:t xml:space="preserve">) without substrate. </w:t>
      </w:r>
      <w:r w:rsidR="00F504AB">
        <w:t xml:space="preserve">All </w:t>
      </w:r>
      <w:r w:rsidR="00F504AB" w:rsidRPr="004400BE">
        <w:t xml:space="preserve">microorganisms grew well on </w:t>
      </w:r>
      <w:r w:rsidR="00F504AB">
        <w:t xml:space="preserve">all </w:t>
      </w:r>
      <w:r w:rsidR="00F504AB" w:rsidRPr="004400BE">
        <w:t>control plates</w:t>
      </w:r>
      <w:r w:rsidR="00F504AB">
        <w:t xml:space="preserve"> without inclusion of the two substrates and there was no inhibition caused by the incorporation of metal salts.</w:t>
      </w:r>
      <w:r w:rsidR="00F504AB" w:rsidRPr="004400BE">
        <w:t xml:space="preserve"> </w:t>
      </w:r>
      <w:r w:rsidRPr="004400BE">
        <w:t>When</w:t>
      </w:r>
      <w:r w:rsidR="000B4EEE">
        <w:t xml:space="preserve"> substrates </w:t>
      </w:r>
      <w:r w:rsidR="000B4EEE" w:rsidRPr="000B4EEE">
        <w:rPr>
          <w:b/>
        </w:rPr>
        <w:t>9</w:t>
      </w:r>
      <w:r w:rsidR="000B4EEE">
        <w:t xml:space="preserve"> and </w:t>
      </w:r>
      <w:r w:rsidR="000B4EEE" w:rsidRPr="000B4EEE">
        <w:rPr>
          <w:b/>
        </w:rPr>
        <w:t>10</w:t>
      </w:r>
      <w:r w:rsidR="000B4EEE">
        <w:t xml:space="preserve"> were evaluated as indicators of </w:t>
      </w:r>
      <w:r w:rsidR="000B4EEE" w:rsidRPr="00164357">
        <w:rPr>
          <w:sz w:val="18"/>
          <w:szCs w:val="18"/>
        </w:rPr>
        <w:t>L</w:t>
      </w:r>
      <w:r w:rsidR="000B4EEE">
        <w:t xml:space="preserve">-alanylaminopeptidase activity in the presence of </w:t>
      </w:r>
      <w:r w:rsidRPr="004400BE">
        <w:t xml:space="preserve">ammonium iron(III) citrate, </w:t>
      </w:r>
      <w:r w:rsidR="000B4EEE">
        <w:t xml:space="preserve">only </w:t>
      </w:r>
      <w:r w:rsidRPr="004400BE">
        <w:t xml:space="preserve">moderately intense, </w:t>
      </w:r>
      <w:r w:rsidR="000B4EEE">
        <w:t>grey-</w:t>
      </w:r>
      <w:r w:rsidRPr="004400BE">
        <w:t xml:space="preserve">coloured colonies were observed with most of the </w:t>
      </w:r>
      <w:r w:rsidR="00BF0904">
        <w:t xml:space="preserve">panel of </w:t>
      </w:r>
      <w:r w:rsidRPr="004400BE">
        <w:t xml:space="preserve">Gram-negative </w:t>
      </w:r>
      <w:r w:rsidR="00DD3994">
        <w:t>microorganisms (data not shown) and these substrates were not examined further.</w:t>
      </w:r>
      <w:r w:rsidRPr="004400BE">
        <w:t xml:space="preserve"> In contrast, </w:t>
      </w:r>
      <w:r w:rsidR="00EC0D18">
        <w:t xml:space="preserve">with </w:t>
      </w:r>
      <w:r w:rsidRPr="004400BE">
        <w:t xml:space="preserve">the Alizarin derived-substrate </w:t>
      </w:r>
      <w:r w:rsidR="00924CAD">
        <w:rPr>
          <w:b/>
        </w:rPr>
        <w:t>13</w:t>
      </w:r>
      <w:r w:rsidR="00BF0904">
        <w:t>,</w:t>
      </w:r>
      <w:r w:rsidR="00924CAD">
        <w:t xml:space="preserve"> </w:t>
      </w:r>
      <w:r w:rsidR="00EC0D18">
        <w:t xml:space="preserve">several species </w:t>
      </w:r>
      <w:r w:rsidR="00924CAD">
        <w:t xml:space="preserve">produced intense, purple-coloured colonies </w:t>
      </w:r>
      <w:r w:rsidRPr="004400BE">
        <w:t>in the presence of ammonium iron(III) cit</w:t>
      </w:r>
      <w:r w:rsidR="00924CAD">
        <w:t xml:space="preserve">rate and intense, pink-coloured colonies </w:t>
      </w:r>
      <w:r w:rsidRPr="004400BE">
        <w:t>in the presence of aluminium p</w:t>
      </w:r>
      <w:r w:rsidR="00924CAD">
        <w:t>otassium sulphate dodecahydrate</w:t>
      </w:r>
      <w:r w:rsidRPr="004400BE">
        <w:t xml:space="preserve"> with all of the selection of Gram-</w:t>
      </w:r>
      <w:r w:rsidR="00924CAD">
        <w:t xml:space="preserve">negative microorganisms </w:t>
      </w:r>
      <w:r w:rsidR="00EC0D18">
        <w:t xml:space="preserve">tested </w:t>
      </w:r>
      <w:r w:rsidR="00924CAD">
        <w:t>(Table 1</w:t>
      </w:r>
      <w:r w:rsidR="001240D5">
        <w:t>, Figure 1</w:t>
      </w:r>
      <w:r w:rsidRPr="004400BE">
        <w:t xml:space="preserve">). Less intensely coloured colonies were also produced with two of the Gram-positive microorganisms, </w:t>
      </w:r>
      <w:r w:rsidRPr="004400BE">
        <w:rPr>
          <w:i/>
        </w:rPr>
        <w:t xml:space="preserve">Enterococcus faecium </w:t>
      </w:r>
      <w:r w:rsidRPr="004400BE">
        <w:t xml:space="preserve">and </w:t>
      </w:r>
      <w:r w:rsidRPr="004400BE">
        <w:rPr>
          <w:i/>
        </w:rPr>
        <w:t>Enterococcus faecalis</w:t>
      </w:r>
      <w:r w:rsidR="00081768">
        <w:rPr>
          <w:i/>
        </w:rPr>
        <w:t xml:space="preserve">. </w:t>
      </w:r>
      <w:r w:rsidR="00DD3994">
        <w:t xml:space="preserve">The growth </w:t>
      </w:r>
      <w:r w:rsidR="00F504AB">
        <w:t>of the</w:t>
      </w:r>
      <w:r w:rsidR="00BB3EE9">
        <w:t xml:space="preserve"> other</w:t>
      </w:r>
      <w:r w:rsidR="00F504AB">
        <w:t xml:space="preserve"> </w:t>
      </w:r>
      <w:r w:rsidR="00DD3994">
        <w:t xml:space="preserve">Gram-positive </w:t>
      </w:r>
      <w:r w:rsidR="00F504AB">
        <w:t>bacteria</w:t>
      </w:r>
      <w:r w:rsidR="00DD3994">
        <w:t xml:space="preserve"> </w:t>
      </w:r>
      <w:r w:rsidR="00BB3EE9">
        <w:t xml:space="preserve">and also the yeasts </w:t>
      </w:r>
      <w:r w:rsidR="00DD3994">
        <w:t xml:space="preserve">was inhibited by the </w:t>
      </w:r>
      <w:r w:rsidR="00EB3B8C">
        <w:t>substrate/media combination</w:t>
      </w:r>
      <w:r w:rsidR="00EC0D18">
        <w:t>.</w:t>
      </w:r>
      <w:r w:rsidR="00EB3B8C">
        <w:t xml:space="preserve"> </w:t>
      </w:r>
      <w:r w:rsidR="007B359B" w:rsidRPr="00BC04D0">
        <w:t xml:space="preserve">Any potential toxicity of these substrates is most </w:t>
      </w:r>
      <w:r w:rsidR="007B359B" w:rsidRPr="00BC04D0">
        <w:lastRenderedPageBreak/>
        <w:t xml:space="preserve">likely to arise from the released chromophore or its chelate and these are common to both the previously described glycosides and the peptidase substrates described here. </w:t>
      </w:r>
    </w:p>
    <w:p w:rsidR="007A2FBB" w:rsidRPr="007A2FBB" w:rsidRDefault="007A2FBB" w:rsidP="007A2FBB"/>
    <w:tbl>
      <w:tblPr>
        <w:tblW w:w="9746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"/>
        <w:gridCol w:w="4333"/>
        <w:gridCol w:w="1061"/>
        <w:gridCol w:w="1415"/>
        <w:gridCol w:w="1061"/>
        <w:gridCol w:w="1415"/>
      </w:tblGrid>
      <w:tr w:rsidR="007A2FBB" w:rsidRPr="007A2FBB" w:rsidTr="001E5F53">
        <w:trPr>
          <w:trHeight w:val="279"/>
        </w:trPr>
        <w:tc>
          <w:tcPr>
            <w:tcW w:w="461" w:type="dxa"/>
          </w:tcPr>
          <w:p w:rsidR="007A2FBB" w:rsidRPr="007A2FBB" w:rsidRDefault="007A2FBB" w:rsidP="007A2FBB">
            <w:pPr>
              <w:rPr>
                <w:b/>
              </w:rPr>
            </w:pPr>
          </w:p>
        </w:tc>
        <w:tc>
          <w:tcPr>
            <w:tcW w:w="4333" w:type="dxa"/>
          </w:tcPr>
          <w:p w:rsidR="007A2FBB" w:rsidRPr="007A2FBB" w:rsidRDefault="007A2FBB" w:rsidP="007A2FBB">
            <w:pPr>
              <w:rPr>
                <w:b/>
              </w:rPr>
            </w:pPr>
          </w:p>
        </w:tc>
        <w:tc>
          <w:tcPr>
            <w:tcW w:w="2476" w:type="dxa"/>
            <w:gridSpan w:val="2"/>
          </w:tcPr>
          <w:p w:rsidR="007A2FBB" w:rsidRPr="007A2FBB" w:rsidRDefault="007A2FBB" w:rsidP="007A2FBB">
            <w:r>
              <w:rPr>
                <w:b/>
              </w:rPr>
              <w:t>13</w:t>
            </w:r>
            <w:r w:rsidRPr="007A2FBB">
              <w:rPr>
                <w:b/>
              </w:rPr>
              <w:t xml:space="preserve"> </w:t>
            </w:r>
            <w:r w:rsidRPr="007A2FBB">
              <w:t>with ammonium iron (III) citrate</w:t>
            </w:r>
          </w:p>
        </w:tc>
        <w:tc>
          <w:tcPr>
            <w:tcW w:w="2476" w:type="dxa"/>
            <w:gridSpan w:val="2"/>
          </w:tcPr>
          <w:p w:rsidR="007A2FBB" w:rsidRPr="007A2FBB" w:rsidRDefault="007A2FBB" w:rsidP="007A2FBB">
            <w:r>
              <w:rPr>
                <w:b/>
              </w:rPr>
              <w:t>13</w:t>
            </w:r>
            <w:r w:rsidRPr="007A2FBB">
              <w:rPr>
                <w:b/>
              </w:rPr>
              <w:t xml:space="preserve"> </w:t>
            </w:r>
            <w:r w:rsidRPr="007A2FBB">
              <w:t>with aluminium potassium sulphate dodecahydrate</w:t>
            </w:r>
          </w:p>
        </w:tc>
      </w:tr>
      <w:tr w:rsidR="007A2FBB" w:rsidRPr="007A2FBB" w:rsidTr="001E5F53">
        <w:trPr>
          <w:trHeight w:val="279"/>
        </w:trPr>
        <w:tc>
          <w:tcPr>
            <w:tcW w:w="461" w:type="dxa"/>
          </w:tcPr>
          <w:p w:rsidR="007A2FBB" w:rsidRPr="007A2FBB" w:rsidRDefault="007A2FBB" w:rsidP="007A2FBB">
            <w:pPr>
              <w:rPr>
                <w:b/>
              </w:rPr>
            </w:pPr>
          </w:p>
        </w:tc>
        <w:tc>
          <w:tcPr>
            <w:tcW w:w="4333" w:type="dxa"/>
          </w:tcPr>
          <w:p w:rsidR="007A2FBB" w:rsidRPr="007A2FBB" w:rsidRDefault="007A2FBB" w:rsidP="007A2FBB">
            <w:pPr>
              <w:rPr>
                <w:b/>
              </w:rPr>
            </w:pPr>
            <w:r w:rsidRPr="007A2FBB">
              <w:rPr>
                <w:b/>
              </w:rPr>
              <w:t>Microorganism / Reference</w:t>
            </w:r>
            <w:r w:rsidRPr="007A2FBB">
              <w:rPr>
                <w:b/>
                <w:vertAlign w:val="superscript"/>
              </w:rPr>
              <w:t>a</w:t>
            </w:r>
          </w:p>
        </w:tc>
        <w:tc>
          <w:tcPr>
            <w:tcW w:w="1061" w:type="dxa"/>
          </w:tcPr>
          <w:p w:rsidR="007A2FBB" w:rsidRPr="007A2FBB" w:rsidRDefault="007A2FBB" w:rsidP="007A2FBB">
            <w:pPr>
              <w:rPr>
                <w:b/>
              </w:rPr>
            </w:pPr>
            <w:r w:rsidRPr="007A2FBB">
              <w:rPr>
                <w:b/>
              </w:rPr>
              <w:t>Growth</w:t>
            </w:r>
            <w:r w:rsidRPr="007A2FBB">
              <w:rPr>
                <w:b/>
                <w:vertAlign w:val="superscript"/>
              </w:rPr>
              <w:t>b</w:t>
            </w:r>
          </w:p>
        </w:tc>
        <w:tc>
          <w:tcPr>
            <w:tcW w:w="1415" w:type="dxa"/>
          </w:tcPr>
          <w:p w:rsidR="007A2FBB" w:rsidRPr="007A2FBB" w:rsidRDefault="007A2FBB" w:rsidP="007A2FBB">
            <w:pPr>
              <w:rPr>
                <w:b/>
              </w:rPr>
            </w:pPr>
            <w:r w:rsidRPr="007A2FBB">
              <w:rPr>
                <w:b/>
              </w:rPr>
              <w:t>Colour</w:t>
            </w:r>
            <w:r w:rsidRPr="007A2FBB">
              <w:rPr>
                <w:b/>
                <w:vertAlign w:val="superscript"/>
              </w:rPr>
              <w:t>c</w:t>
            </w:r>
          </w:p>
        </w:tc>
        <w:tc>
          <w:tcPr>
            <w:tcW w:w="1061" w:type="dxa"/>
          </w:tcPr>
          <w:p w:rsidR="007A2FBB" w:rsidRPr="007A2FBB" w:rsidRDefault="007A2FBB" w:rsidP="007A2FBB">
            <w:pPr>
              <w:rPr>
                <w:b/>
              </w:rPr>
            </w:pPr>
            <w:r w:rsidRPr="007A2FBB">
              <w:rPr>
                <w:b/>
              </w:rPr>
              <w:t>Growth</w:t>
            </w:r>
            <w:r w:rsidRPr="007A2FBB">
              <w:rPr>
                <w:b/>
                <w:vertAlign w:val="superscript"/>
              </w:rPr>
              <w:t>b</w:t>
            </w:r>
          </w:p>
        </w:tc>
        <w:tc>
          <w:tcPr>
            <w:tcW w:w="1415" w:type="dxa"/>
          </w:tcPr>
          <w:p w:rsidR="007A2FBB" w:rsidRPr="007A2FBB" w:rsidRDefault="007A2FBB" w:rsidP="007A2FBB">
            <w:pPr>
              <w:rPr>
                <w:b/>
              </w:rPr>
            </w:pPr>
            <w:r w:rsidRPr="007A2FBB">
              <w:rPr>
                <w:b/>
              </w:rPr>
              <w:t>Colour</w:t>
            </w:r>
            <w:r w:rsidRPr="007A2FBB">
              <w:rPr>
                <w:b/>
                <w:vertAlign w:val="superscript"/>
              </w:rPr>
              <w:t>c</w:t>
            </w:r>
          </w:p>
        </w:tc>
      </w:tr>
      <w:tr w:rsidR="007A2FBB" w:rsidRPr="007A2FBB" w:rsidTr="001E5F53">
        <w:trPr>
          <w:trHeight w:val="228"/>
        </w:trPr>
        <w:tc>
          <w:tcPr>
            <w:tcW w:w="461" w:type="dxa"/>
          </w:tcPr>
          <w:p w:rsidR="007A2FBB" w:rsidRPr="007A2FBB" w:rsidRDefault="007A2FBB" w:rsidP="007A2FBB"/>
        </w:tc>
        <w:tc>
          <w:tcPr>
            <w:tcW w:w="4333" w:type="dxa"/>
            <w:vAlign w:val="bottom"/>
          </w:tcPr>
          <w:p w:rsidR="007A2FBB" w:rsidRPr="007A2FBB" w:rsidRDefault="007A2FBB" w:rsidP="007A2FBB">
            <w:r w:rsidRPr="007A2FBB">
              <w:t>Gram-negative microorganisms</w:t>
            </w:r>
          </w:p>
        </w:tc>
        <w:tc>
          <w:tcPr>
            <w:tcW w:w="1061" w:type="dxa"/>
            <w:vAlign w:val="bottom"/>
          </w:tcPr>
          <w:p w:rsidR="007A2FBB" w:rsidRPr="007A2FBB" w:rsidRDefault="007A2FBB" w:rsidP="007A2FBB">
            <w:pPr>
              <w:rPr>
                <w:b/>
              </w:rPr>
            </w:pPr>
          </w:p>
        </w:tc>
        <w:tc>
          <w:tcPr>
            <w:tcW w:w="1415" w:type="dxa"/>
            <w:vAlign w:val="bottom"/>
          </w:tcPr>
          <w:p w:rsidR="007A2FBB" w:rsidRPr="007A2FBB" w:rsidRDefault="007A2FBB" w:rsidP="007A2FBB"/>
        </w:tc>
        <w:tc>
          <w:tcPr>
            <w:tcW w:w="1061" w:type="dxa"/>
            <w:vAlign w:val="bottom"/>
          </w:tcPr>
          <w:p w:rsidR="007A2FBB" w:rsidRPr="007A2FBB" w:rsidRDefault="007A2FBB" w:rsidP="007A2FBB">
            <w:pPr>
              <w:rPr>
                <w:b/>
              </w:rPr>
            </w:pPr>
          </w:p>
        </w:tc>
        <w:tc>
          <w:tcPr>
            <w:tcW w:w="1415" w:type="dxa"/>
            <w:vAlign w:val="bottom"/>
          </w:tcPr>
          <w:p w:rsidR="007A2FBB" w:rsidRPr="007A2FBB" w:rsidRDefault="007A2FBB" w:rsidP="007A2FBB">
            <w:pPr>
              <w:rPr>
                <w:b/>
              </w:rPr>
            </w:pPr>
          </w:p>
        </w:tc>
      </w:tr>
      <w:tr w:rsidR="007A2FBB" w:rsidRPr="007A2FBB" w:rsidTr="001E5F53">
        <w:trPr>
          <w:trHeight w:val="228"/>
        </w:trPr>
        <w:tc>
          <w:tcPr>
            <w:tcW w:w="461" w:type="dxa"/>
          </w:tcPr>
          <w:p w:rsidR="007A2FBB" w:rsidRPr="007A2FBB" w:rsidRDefault="007A2FBB" w:rsidP="007A2FBB">
            <w:r w:rsidRPr="007A2FBB">
              <w:t>1</w:t>
            </w:r>
          </w:p>
        </w:tc>
        <w:tc>
          <w:tcPr>
            <w:tcW w:w="4333" w:type="dxa"/>
            <w:vAlign w:val="bottom"/>
          </w:tcPr>
          <w:p w:rsidR="007A2FBB" w:rsidRPr="007A2FBB" w:rsidRDefault="007A2FBB" w:rsidP="007A2FBB">
            <w:pPr>
              <w:rPr>
                <w:b/>
              </w:rPr>
            </w:pPr>
            <w:r w:rsidRPr="007A2FBB">
              <w:rPr>
                <w:i/>
              </w:rPr>
              <w:t xml:space="preserve">Escherichia coli </w:t>
            </w:r>
            <w:r w:rsidRPr="007A2FBB">
              <w:t>NCTC 10418</w:t>
            </w:r>
          </w:p>
        </w:tc>
        <w:tc>
          <w:tcPr>
            <w:tcW w:w="1061" w:type="dxa"/>
            <w:vAlign w:val="bottom"/>
          </w:tcPr>
          <w:p w:rsidR="007A2FBB" w:rsidRPr="007A2FBB" w:rsidRDefault="007A2FBB" w:rsidP="007A2FBB">
            <w:r w:rsidRPr="007A2FBB">
              <w:t xml:space="preserve"> ++</w:t>
            </w:r>
          </w:p>
        </w:tc>
        <w:tc>
          <w:tcPr>
            <w:tcW w:w="1415" w:type="dxa"/>
          </w:tcPr>
          <w:p w:rsidR="007A2FBB" w:rsidRPr="007A2FBB" w:rsidRDefault="007A2FBB" w:rsidP="007A2FBB">
            <w:r w:rsidRPr="007A2FBB">
              <w:t>++ purple</w:t>
            </w:r>
          </w:p>
        </w:tc>
        <w:tc>
          <w:tcPr>
            <w:tcW w:w="1061" w:type="dxa"/>
            <w:vAlign w:val="bottom"/>
          </w:tcPr>
          <w:p w:rsidR="007A2FBB" w:rsidRPr="007A2FBB" w:rsidRDefault="007A2FBB" w:rsidP="007A2FBB">
            <w:pPr>
              <w:rPr>
                <w:b/>
              </w:rPr>
            </w:pPr>
            <w:r w:rsidRPr="007A2FBB">
              <w:t xml:space="preserve"> ++</w:t>
            </w:r>
          </w:p>
        </w:tc>
        <w:tc>
          <w:tcPr>
            <w:tcW w:w="1415" w:type="dxa"/>
            <w:vAlign w:val="bottom"/>
          </w:tcPr>
          <w:p w:rsidR="007A2FBB" w:rsidRPr="007A2FBB" w:rsidRDefault="007A2FBB" w:rsidP="007A2FBB">
            <w:r w:rsidRPr="007A2FBB">
              <w:t>++ pink</w:t>
            </w:r>
          </w:p>
        </w:tc>
      </w:tr>
      <w:tr w:rsidR="007A2FBB" w:rsidRPr="007A2FBB" w:rsidTr="001E5F53">
        <w:trPr>
          <w:trHeight w:val="213"/>
        </w:trPr>
        <w:tc>
          <w:tcPr>
            <w:tcW w:w="461" w:type="dxa"/>
          </w:tcPr>
          <w:p w:rsidR="007A2FBB" w:rsidRPr="007A2FBB" w:rsidRDefault="007A2FBB" w:rsidP="007A2FBB">
            <w:r w:rsidRPr="007A2FBB">
              <w:t>2</w:t>
            </w:r>
          </w:p>
        </w:tc>
        <w:tc>
          <w:tcPr>
            <w:tcW w:w="4333" w:type="dxa"/>
            <w:vAlign w:val="bottom"/>
          </w:tcPr>
          <w:p w:rsidR="007A2FBB" w:rsidRPr="007A2FBB" w:rsidRDefault="00BC2271" w:rsidP="00BC2271">
            <w:pPr>
              <w:rPr>
                <w:b/>
              </w:rPr>
            </w:pPr>
            <w:r>
              <w:rPr>
                <w:i/>
              </w:rPr>
              <w:t xml:space="preserve">Raoultella planticola </w:t>
            </w:r>
            <w:r w:rsidR="007A2FBB" w:rsidRPr="007A2FBB">
              <w:t>NCTC 9528</w:t>
            </w:r>
          </w:p>
        </w:tc>
        <w:tc>
          <w:tcPr>
            <w:tcW w:w="1061" w:type="dxa"/>
            <w:vAlign w:val="bottom"/>
          </w:tcPr>
          <w:p w:rsidR="007A2FBB" w:rsidRPr="007A2FBB" w:rsidRDefault="007A2FBB" w:rsidP="007A2FBB">
            <w:r w:rsidRPr="007A2FBB">
              <w:t xml:space="preserve"> ++</w:t>
            </w:r>
          </w:p>
        </w:tc>
        <w:tc>
          <w:tcPr>
            <w:tcW w:w="1415" w:type="dxa"/>
          </w:tcPr>
          <w:p w:rsidR="007A2FBB" w:rsidRPr="007A2FBB" w:rsidRDefault="007A2FBB" w:rsidP="007A2FBB">
            <w:r w:rsidRPr="007A2FBB">
              <w:t>++ purple</w:t>
            </w:r>
          </w:p>
        </w:tc>
        <w:tc>
          <w:tcPr>
            <w:tcW w:w="1061" w:type="dxa"/>
            <w:vAlign w:val="bottom"/>
          </w:tcPr>
          <w:p w:rsidR="007A2FBB" w:rsidRPr="007A2FBB" w:rsidRDefault="007A2FBB" w:rsidP="007A2FBB">
            <w:pPr>
              <w:rPr>
                <w:b/>
              </w:rPr>
            </w:pPr>
            <w:r w:rsidRPr="007A2FBB">
              <w:t xml:space="preserve"> ++</w:t>
            </w:r>
          </w:p>
        </w:tc>
        <w:tc>
          <w:tcPr>
            <w:tcW w:w="1415" w:type="dxa"/>
          </w:tcPr>
          <w:p w:rsidR="007A2FBB" w:rsidRPr="007A2FBB" w:rsidRDefault="007A2FBB" w:rsidP="007A2FBB">
            <w:r w:rsidRPr="007A2FBB">
              <w:t>++ pink</w:t>
            </w:r>
          </w:p>
        </w:tc>
      </w:tr>
      <w:tr w:rsidR="007A2FBB" w:rsidRPr="007A2FBB" w:rsidTr="001E5F53">
        <w:trPr>
          <w:trHeight w:val="213"/>
        </w:trPr>
        <w:tc>
          <w:tcPr>
            <w:tcW w:w="461" w:type="dxa"/>
          </w:tcPr>
          <w:p w:rsidR="007A2FBB" w:rsidRPr="007A2FBB" w:rsidRDefault="007A2FBB" w:rsidP="007A2FBB">
            <w:r w:rsidRPr="007A2FBB">
              <w:t>3</w:t>
            </w:r>
          </w:p>
        </w:tc>
        <w:tc>
          <w:tcPr>
            <w:tcW w:w="4333" w:type="dxa"/>
            <w:vAlign w:val="bottom"/>
          </w:tcPr>
          <w:p w:rsidR="007A2FBB" w:rsidRPr="007A2FBB" w:rsidRDefault="007A2FBB" w:rsidP="007A2FBB">
            <w:pPr>
              <w:rPr>
                <w:b/>
              </w:rPr>
            </w:pPr>
            <w:r w:rsidRPr="007A2FBB">
              <w:rPr>
                <w:i/>
              </w:rPr>
              <w:t xml:space="preserve">Providencia rettgeri </w:t>
            </w:r>
            <w:r w:rsidRPr="007A2FBB">
              <w:t>NCTC 7475</w:t>
            </w:r>
          </w:p>
        </w:tc>
        <w:tc>
          <w:tcPr>
            <w:tcW w:w="1061" w:type="dxa"/>
            <w:vAlign w:val="bottom"/>
          </w:tcPr>
          <w:p w:rsidR="007A2FBB" w:rsidRPr="007A2FBB" w:rsidRDefault="007A2FBB" w:rsidP="007A2FBB">
            <w:r w:rsidRPr="007A2FBB">
              <w:t xml:space="preserve"> ++</w:t>
            </w:r>
          </w:p>
        </w:tc>
        <w:tc>
          <w:tcPr>
            <w:tcW w:w="1415" w:type="dxa"/>
          </w:tcPr>
          <w:p w:rsidR="007A2FBB" w:rsidRPr="007A2FBB" w:rsidRDefault="007A2FBB" w:rsidP="007A2FBB">
            <w:r w:rsidRPr="007A2FBB">
              <w:t>++ purple</w:t>
            </w:r>
          </w:p>
        </w:tc>
        <w:tc>
          <w:tcPr>
            <w:tcW w:w="1061" w:type="dxa"/>
            <w:vAlign w:val="bottom"/>
          </w:tcPr>
          <w:p w:rsidR="007A2FBB" w:rsidRPr="007A2FBB" w:rsidRDefault="007A2FBB" w:rsidP="007A2FBB">
            <w:pPr>
              <w:rPr>
                <w:b/>
              </w:rPr>
            </w:pPr>
            <w:r w:rsidRPr="007A2FBB">
              <w:t xml:space="preserve"> ++</w:t>
            </w:r>
          </w:p>
        </w:tc>
        <w:tc>
          <w:tcPr>
            <w:tcW w:w="1415" w:type="dxa"/>
          </w:tcPr>
          <w:p w:rsidR="007A2FBB" w:rsidRPr="007A2FBB" w:rsidRDefault="007A2FBB" w:rsidP="007A2FBB">
            <w:r w:rsidRPr="007A2FBB">
              <w:t>++ pink</w:t>
            </w:r>
          </w:p>
        </w:tc>
      </w:tr>
      <w:tr w:rsidR="007A2FBB" w:rsidRPr="007A2FBB" w:rsidTr="001E5F53">
        <w:trPr>
          <w:trHeight w:val="213"/>
        </w:trPr>
        <w:tc>
          <w:tcPr>
            <w:tcW w:w="461" w:type="dxa"/>
          </w:tcPr>
          <w:p w:rsidR="007A2FBB" w:rsidRPr="007A2FBB" w:rsidRDefault="007A2FBB" w:rsidP="007A2FBB">
            <w:r w:rsidRPr="007A2FBB">
              <w:t>4</w:t>
            </w:r>
          </w:p>
        </w:tc>
        <w:tc>
          <w:tcPr>
            <w:tcW w:w="4333" w:type="dxa"/>
            <w:vAlign w:val="bottom"/>
          </w:tcPr>
          <w:p w:rsidR="007A2FBB" w:rsidRPr="007A2FBB" w:rsidRDefault="007A2FBB" w:rsidP="007A2FBB">
            <w:pPr>
              <w:rPr>
                <w:b/>
              </w:rPr>
            </w:pPr>
            <w:r w:rsidRPr="007A2FBB">
              <w:rPr>
                <w:i/>
              </w:rPr>
              <w:t xml:space="preserve">Enterobacter cloacae </w:t>
            </w:r>
            <w:r w:rsidRPr="007A2FBB">
              <w:t>NCTC 11936</w:t>
            </w:r>
          </w:p>
        </w:tc>
        <w:tc>
          <w:tcPr>
            <w:tcW w:w="1061" w:type="dxa"/>
            <w:vAlign w:val="bottom"/>
          </w:tcPr>
          <w:p w:rsidR="007A2FBB" w:rsidRPr="007A2FBB" w:rsidRDefault="007A2FBB" w:rsidP="007A2FBB">
            <w:r w:rsidRPr="007A2FBB">
              <w:t xml:space="preserve"> ++</w:t>
            </w:r>
          </w:p>
        </w:tc>
        <w:tc>
          <w:tcPr>
            <w:tcW w:w="1415" w:type="dxa"/>
          </w:tcPr>
          <w:p w:rsidR="007A2FBB" w:rsidRPr="007A2FBB" w:rsidRDefault="007A2FBB" w:rsidP="007A2FBB">
            <w:r w:rsidRPr="007A2FBB">
              <w:t>++ purple</w:t>
            </w:r>
          </w:p>
        </w:tc>
        <w:tc>
          <w:tcPr>
            <w:tcW w:w="1061" w:type="dxa"/>
            <w:vAlign w:val="bottom"/>
          </w:tcPr>
          <w:p w:rsidR="007A2FBB" w:rsidRPr="007A2FBB" w:rsidRDefault="007A2FBB" w:rsidP="007A2FBB">
            <w:pPr>
              <w:rPr>
                <w:b/>
              </w:rPr>
            </w:pPr>
            <w:r w:rsidRPr="007A2FBB">
              <w:t xml:space="preserve"> ++</w:t>
            </w:r>
          </w:p>
        </w:tc>
        <w:tc>
          <w:tcPr>
            <w:tcW w:w="1415" w:type="dxa"/>
          </w:tcPr>
          <w:p w:rsidR="007A2FBB" w:rsidRPr="007A2FBB" w:rsidRDefault="007A2FBB" w:rsidP="007A2FBB">
            <w:r w:rsidRPr="007A2FBB">
              <w:t>++ pink</w:t>
            </w:r>
          </w:p>
        </w:tc>
      </w:tr>
      <w:tr w:rsidR="007A2FBB" w:rsidRPr="007A2FBB" w:rsidTr="001E5F53">
        <w:trPr>
          <w:trHeight w:val="127"/>
        </w:trPr>
        <w:tc>
          <w:tcPr>
            <w:tcW w:w="461" w:type="dxa"/>
          </w:tcPr>
          <w:p w:rsidR="007A2FBB" w:rsidRPr="007A2FBB" w:rsidRDefault="007A2FBB" w:rsidP="007A2FBB">
            <w:r w:rsidRPr="007A2FBB">
              <w:t>5</w:t>
            </w:r>
          </w:p>
        </w:tc>
        <w:tc>
          <w:tcPr>
            <w:tcW w:w="4333" w:type="dxa"/>
            <w:vAlign w:val="bottom"/>
          </w:tcPr>
          <w:p w:rsidR="007A2FBB" w:rsidRPr="007A2FBB" w:rsidRDefault="007A2FBB" w:rsidP="007A2FBB">
            <w:pPr>
              <w:rPr>
                <w:b/>
              </w:rPr>
            </w:pPr>
            <w:r w:rsidRPr="007A2FBB">
              <w:rPr>
                <w:i/>
              </w:rPr>
              <w:t xml:space="preserve">Serratia marcescens </w:t>
            </w:r>
            <w:r w:rsidRPr="007A2FBB">
              <w:t>NCTC 10211</w:t>
            </w:r>
          </w:p>
        </w:tc>
        <w:tc>
          <w:tcPr>
            <w:tcW w:w="1061" w:type="dxa"/>
            <w:vAlign w:val="bottom"/>
          </w:tcPr>
          <w:p w:rsidR="007A2FBB" w:rsidRPr="007A2FBB" w:rsidRDefault="007A2FBB" w:rsidP="007A2FBB">
            <w:r w:rsidRPr="007A2FBB">
              <w:t xml:space="preserve"> ++</w:t>
            </w:r>
          </w:p>
        </w:tc>
        <w:tc>
          <w:tcPr>
            <w:tcW w:w="1415" w:type="dxa"/>
          </w:tcPr>
          <w:p w:rsidR="007A2FBB" w:rsidRPr="007A2FBB" w:rsidRDefault="007A2FBB" w:rsidP="007A2FBB">
            <w:r w:rsidRPr="007A2FBB">
              <w:t>++ purple</w:t>
            </w:r>
          </w:p>
        </w:tc>
        <w:tc>
          <w:tcPr>
            <w:tcW w:w="1061" w:type="dxa"/>
            <w:vAlign w:val="bottom"/>
          </w:tcPr>
          <w:p w:rsidR="007A2FBB" w:rsidRPr="007A2FBB" w:rsidRDefault="007A2FBB" w:rsidP="007A2FBB">
            <w:pPr>
              <w:rPr>
                <w:b/>
              </w:rPr>
            </w:pPr>
            <w:r w:rsidRPr="007A2FBB">
              <w:t xml:space="preserve"> ++</w:t>
            </w:r>
          </w:p>
        </w:tc>
        <w:tc>
          <w:tcPr>
            <w:tcW w:w="1415" w:type="dxa"/>
          </w:tcPr>
          <w:p w:rsidR="007A2FBB" w:rsidRPr="007A2FBB" w:rsidRDefault="007A2FBB" w:rsidP="007A2FBB">
            <w:r w:rsidRPr="007A2FBB">
              <w:t>++ pink</w:t>
            </w:r>
          </w:p>
        </w:tc>
      </w:tr>
      <w:tr w:rsidR="007A2FBB" w:rsidRPr="007A2FBB" w:rsidTr="001E5F53">
        <w:trPr>
          <w:trHeight w:val="213"/>
        </w:trPr>
        <w:tc>
          <w:tcPr>
            <w:tcW w:w="461" w:type="dxa"/>
          </w:tcPr>
          <w:p w:rsidR="007A2FBB" w:rsidRPr="007A2FBB" w:rsidRDefault="007A2FBB" w:rsidP="007A2FBB">
            <w:r w:rsidRPr="007A2FBB">
              <w:t>6</w:t>
            </w:r>
          </w:p>
        </w:tc>
        <w:tc>
          <w:tcPr>
            <w:tcW w:w="4333" w:type="dxa"/>
            <w:vAlign w:val="bottom"/>
          </w:tcPr>
          <w:p w:rsidR="007A2FBB" w:rsidRPr="007A2FBB" w:rsidRDefault="007A2FBB" w:rsidP="007A2FBB">
            <w:pPr>
              <w:rPr>
                <w:b/>
              </w:rPr>
            </w:pPr>
            <w:r w:rsidRPr="007A2FBB">
              <w:rPr>
                <w:i/>
              </w:rPr>
              <w:t xml:space="preserve">Salmonella typhimurium </w:t>
            </w:r>
            <w:r w:rsidRPr="007A2FBB">
              <w:t>NCTC 74</w:t>
            </w:r>
          </w:p>
        </w:tc>
        <w:tc>
          <w:tcPr>
            <w:tcW w:w="1061" w:type="dxa"/>
            <w:vAlign w:val="bottom"/>
          </w:tcPr>
          <w:p w:rsidR="007A2FBB" w:rsidRPr="007A2FBB" w:rsidRDefault="007A2FBB" w:rsidP="007A2FBB">
            <w:r w:rsidRPr="007A2FBB">
              <w:t xml:space="preserve"> ++</w:t>
            </w:r>
          </w:p>
        </w:tc>
        <w:tc>
          <w:tcPr>
            <w:tcW w:w="1415" w:type="dxa"/>
          </w:tcPr>
          <w:p w:rsidR="007A2FBB" w:rsidRPr="007A2FBB" w:rsidRDefault="007A2FBB" w:rsidP="007A2FBB">
            <w:r w:rsidRPr="007A2FBB">
              <w:t>++ purple</w:t>
            </w:r>
          </w:p>
        </w:tc>
        <w:tc>
          <w:tcPr>
            <w:tcW w:w="1061" w:type="dxa"/>
            <w:vAlign w:val="bottom"/>
          </w:tcPr>
          <w:p w:rsidR="007A2FBB" w:rsidRPr="007A2FBB" w:rsidRDefault="007A2FBB" w:rsidP="007A2FBB">
            <w:pPr>
              <w:rPr>
                <w:b/>
              </w:rPr>
            </w:pPr>
            <w:r w:rsidRPr="007A2FBB">
              <w:t xml:space="preserve"> ++</w:t>
            </w:r>
          </w:p>
        </w:tc>
        <w:tc>
          <w:tcPr>
            <w:tcW w:w="1415" w:type="dxa"/>
          </w:tcPr>
          <w:p w:rsidR="007A2FBB" w:rsidRPr="007A2FBB" w:rsidRDefault="007A2FBB" w:rsidP="007A2FBB">
            <w:r w:rsidRPr="007A2FBB">
              <w:t>++ pink</w:t>
            </w:r>
          </w:p>
        </w:tc>
      </w:tr>
      <w:tr w:rsidR="007A2FBB" w:rsidRPr="007A2FBB" w:rsidTr="001E5F53">
        <w:trPr>
          <w:trHeight w:val="213"/>
        </w:trPr>
        <w:tc>
          <w:tcPr>
            <w:tcW w:w="461" w:type="dxa"/>
          </w:tcPr>
          <w:p w:rsidR="007A2FBB" w:rsidRPr="007A2FBB" w:rsidRDefault="007A2FBB" w:rsidP="007A2FBB">
            <w:r w:rsidRPr="007A2FBB">
              <w:t>7</w:t>
            </w:r>
          </w:p>
        </w:tc>
        <w:tc>
          <w:tcPr>
            <w:tcW w:w="4333" w:type="dxa"/>
            <w:vAlign w:val="bottom"/>
          </w:tcPr>
          <w:p w:rsidR="007A2FBB" w:rsidRPr="007A2FBB" w:rsidRDefault="007A2FBB" w:rsidP="007A2FBB">
            <w:pPr>
              <w:rPr>
                <w:b/>
              </w:rPr>
            </w:pPr>
            <w:r w:rsidRPr="007A2FBB">
              <w:rPr>
                <w:i/>
              </w:rPr>
              <w:t xml:space="preserve">Pseudomonas aeruginosa </w:t>
            </w:r>
            <w:r w:rsidRPr="007A2FBB">
              <w:t>NCTC 10662</w:t>
            </w:r>
          </w:p>
        </w:tc>
        <w:tc>
          <w:tcPr>
            <w:tcW w:w="1061" w:type="dxa"/>
            <w:vAlign w:val="bottom"/>
          </w:tcPr>
          <w:p w:rsidR="007A2FBB" w:rsidRPr="007A2FBB" w:rsidRDefault="007A2FBB" w:rsidP="007A2FBB">
            <w:r w:rsidRPr="007A2FBB">
              <w:t xml:space="preserve"> ++</w:t>
            </w:r>
          </w:p>
        </w:tc>
        <w:tc>
          <w:tcPr>
            <w:tcW w:w="1415" w:type="dxa"/>
          </w:tcPr>
          <w:p w:rsidR="007A2FBB" w:rsidRPr="007A2FBB" w:rsidRDefault="007A2FBB" w:rsidP="007A2FBB">
            <w:r w:rsidRPr="007A2FBB">
              <w:t>++ purple</w:t>
            </w:r>
          </w:p>
        </w:tc>
        <w:tc>
          <w:tcPr>
            <w:tcW w:w="1061" w:type="dxa"/>
            <w:vAlign w:val="bottom"/>
          </w:tcPr>
          <w:p w:rsidR="007A2FBB" w:rsidRPr="007A2FBB" w:rsidRDefault="007A2FBB" w:rsidP="007A2FBB">
            <w:pPr>
              <w:rPr>
                <w:b/>
              </w:rPr>
            </w:pPr>
            <w:r w:rsidRPr="007A2FBB">
              <w:t xml:space="preserve"> ++</w:t>
            </w:r>
          </w:p>
        </w:tc>
        <w:tc>
          <w:tcPr>
            <w:tcW w:w="1415" w:type="dxa"/>
          </w:tcPr>
          <w:p w:rsidR="007A2FBB" w:rsidRPr="007A2FBB" w:rsidRDefault="007A2FBB" w:rsidP="007A2FBB">
            <w:r w:rsidRPr="007A2FBB">
              <w:t>+ pink</w:t>
            </w:r>
          </w:p>
        </w:tc>
      </w:tr>
      <w:tr w:rsidR="007A2FBB" w:rsidRPr="007A2FBB" w:rsidTr="001E5F53">
        <w:trPr>
          <w:trHeight w:val="213"/>
        </w:trPr>
        <w:tc>
          <w:tcPr>
            <w:tcW w:w="461" w:type="dxa"/>
          </w:tcPr>
          <w:p w:rsidR="007A2FBB" w:rsidRPr="007A2FBB" w:rsidRDefault="007A2FBB" w:rsidP="007A2FBB">
            <w:r w:rsidRPr="007A2FBB">
              <w:t>8</w:t>
            </w:r>
          </w:p>
        </w:tc>
        <w:tc>
          <w:tcPr>
            <w:tcW w:w="4333" w:type="dxa"/>
            <w:vAlign w:val="bottom"/>
          </w:tcPr>
          <w:p w:rsidR="007A2FBB" w:rsidRPr="007A2FBB" w:rsidRDefault="007A2FBB" w:rsidP="007A2FBB">
            <w:pPr>
              <w:rPr>
                <w:b/>
              </w:rPr>
            </w:pPr>
            <w:r w:rsidRPr="007A2FBB">
              <w:rPr>
                <w:i/>
              </w:rPr>
              <w:t xml:space="preserve">Yersinia enterocolitica </w:t>
            </w:r>
            <w:r w:rsidRPr="007A2FBB">
              <w:t>NCTC 11176</w:t>
            </w:r>
          </w:p>
        </w:tc>
        <w:tc>
          <w:tcPr>
            <w:tcW w:w="1061" w:type="dxa"/>
            <w:vAlign w:val="bottom"/>
          </w:tcPr>
          <w:p w:rsidR="007A2FBB" w:rsidRPr="007A2FBB" w:rsidRDefault="007A2FBB" w:rsidP="007A2FBB">
            <w:r w:rsidRPr="007A2FBB">
              <w:t xml:space="preserve"> ++</w:t>
            </w:r>
          </w:p>
        </w:tc>
        <w:tc>
          <w:tcPr>
            <w:tcW w:w="1415" w:type="dxa"/>
          </w:tcPr>
          <w:p w:rsidR="007A2FBB" w:rsidRPr="007A2FBB" w:rsidRDefault="007A2FBB" w:rsidP="007A2FBB">
            <w:r w:rsidRPr="007A2FBB">
              <w:t>++ purple</w:t>
            </w:r>
          </w:p>
        </w:tc>
        <w:tc>
          <w:tcPr>
            <w:tcW w:w="1061" w:type="dxa"/>
            <w:vAlign w:val="bottom"/>
          </w:tcPr>
          <w:p w:rsidR="007A2FBB" w:rsidRPr="007A2FBB" w:rsidRDefault="007A2FBB" w:rsidP="007A2FBB">
            <w:pPr>
              <w:rPr>
                <w:b/>
              </w:rPr>
            </w:pPr>
            <w:r w:rsidRPr="007A2FBB">
              <w:t xml:space="preserve"> ++</w:t>
            </w:r>
          </w:p>
        </w:tc>
        <w:tc>
          <w:tcPr>
            <w:tcW w:w="1415" w:type="dxa"/>
          </w:tcPr>
          <w:p w:rsidR="007A2FBB" w:rsidRPr="007A2FBB" w:rsidRDefault="007A2FBB" w:rsidP="007A2FBB">
            <w:r w:rsidRPr="007A2FBB">
              <w:t>++ pink</w:t>
            </w:r>
          </w:p>
        </w:tc>
      </w:tr>
      <w:tr w:rsidR="007A2FBB" w:rsidRPr="007A2FBB" w:rsidTr="001E5F53">
        <w:trPr>
          <w:trHeight w:val="213"/>
        </w:trPr>
        <w:tc>
          <w:tcPr>
            <w:tcW w:w="461" w:type="dxa"/>
          </w:tcPr>
          <w:p w:rsidR="007A2FBB" w:rsidRPr="007A2FBB" w:rsidRDefault="007A2FBB" w:rsidP="007A2FBB">
            <w:r w:rsidRPr="007A2FBB">
              <w:t>9</w:t>
            </w:r>
          </w:p>
        </w:tc>
        <w:tc>
          <w:tcPr>
            <w:tcW w:w="4333" w:type="dxa"/>
            <w:vAlign w:val="bottom"/>
          </w:tcPr>
          <w:p w:rsidR="007A2FBB" w:rsidRPr="007A2FBB" w:rsidRDefault="007A2FBB" w:rsidP="007A2FBB">
            <w:pPr>
              <w:rPr>
                <w:b/>
              </w:rPr>
            </w:pPr>
            <w:r w:rsidRPr="007A2FBB">
              <w:rPr>
                <w:i/>
              </w:rPr>
              <w:t xml:space="preserve">Burkholderia cepacia </w:t>
            </w:r>
            <w:r w:rsidRPr="007A2FBB">
              <w:t>NCTC 10743</w:t>
            </w:r>
          </w:p>
        </w:tc>
        <w:tc>
          <w:tcPr>
            <w:tcW w:w="1061" w:type="dxa"/>
            <w:vAlign w:val="bottom"/>
          </w:tcPr>
          <w:p w:rsidR="007A2FBB" w:rsidRPr="007A2FBB" w:rsidRDefault="007A2FBB" w:rsidP="007A2FBB">
            <w:r w:rsidRPr="007A2FBB">
              <w:t xml:space="preserve"> ++</w:t>
            </w:r>
          </w:p>
        </w:tc>
        <w:tc>
          <w:tcPr>
            <w:tcW w:w="1415" w:type="dxa"/>
          </w:tcPr>
          <w:p w:rsidR="007A2FBB" w:rsidRPr="007A2FBB" w:rsidRDefault="007A2FBB" w:rsidP="007A2FBB">
            <w:r w:rsidRPr="007A2FBB">
              <w:t>++ purple</w:t>
            </w:r>
          </w:p>
        </w:tc>
        <w:tc>
          <w:tcPr>
            <w:tcW w:w="1061" w:type="dxa"/>
            <w:vAlign w:val="bottom"/>
          </w:tcPr>
          <w:p w:rsidR="007A2FBB" w:rsidRPr="007A2FBB" w:rsidRDefault="007A2FBB" w:rsidP="007A2FBB">
            <w:pPr>
              <w:rPr>
                <w:b/>
              </w:rPr>
            </w:pPr>
            <w:r w:rsidRPr="007A2FBB">
              <w:t xml:space="preserve"> ++</w:t>
            </w:r>
          </w:p>
        </w:tc>
        <w:tc>
          <w:tcPr>
            <w:tcW w:w="1415" w:type="dxa"/>
          </w:tcPr>
          <w:p w:rsidR="007A2FBB" w:rsidRPr="007A2FBB" w:rsidRDefault="007A2FBB" w:rsidP="007A2FBB">
            <w:r w:rsidRPr="007A2FBB">
              <w:t>++ pink</w:t>
            </w:r>
          </w:p>
        </w:tc>
      </w:tr>
      <w:tr w:rsidR="007A2FBB" w:rsidRPr="007A2FBB" w:rsidTr="001E5F53">
        <w:trPr>
          <w:trHeight w:val="213"/>
        </w:trPr>
        <w:tc>
          <w:tcPr>
            <w:tcW w:w="461" w:type="dxa"/>
          </w:tcPr>
          <w:p w:rsidR="007A2FBB" w:rsidRPr="007A2FBB" w:rsidRDefault="007A2FBB" w:rsidP="007A2FBB">
            <w:r w:rsidRPr="007A2FBB">
              <w:t>10</w:t>
            </w:r>
          </w:p>
        </w:tc>
        <w:tc>
          <w:tcPr>
            <w:tcW w:w="4333" w:type="dxa"/>
            <w:vAlign w:val="bottom"/>
          </w:tcPr>
          <w:p w:rsidR="007A2FBB" w:rsidRPr="007A2FBB" w:rsidRDefault="007A2FBB" w:rsidP="007A2FBB">
            <w:pPr>
              <w:rPr>
                <w:b/>
              </w:rPr>
            </w:pPr>
            <w:r w:rsidRPr="007A2FBB">
              <w:rPr>
                <w:i/>
              </w:rPr>
              <w:t xml:space="preserve">Acinetobacter baumannii </w:t>
            </w:r>
            <w:r w:rsidRPr="007A2FBB">
              <w:t>NCTC 12156</w:t>
            </w:r>
          </w:p>
        </w:tc>
        <w:tc>
          <w:tcPr>
            <w:tcW w:w="1061" w:type="dxa"/>
            <w:vAlign w:val="bottom"/>
          </w:tcPr>
          <w:p w:rsidR="007A2FBB" w:rsidRPr="007A2FBB" w:rsidRDefault="007A2FBB" w:rsidP="007A2FBB">
            <w:r w:rsidRPr="007A2FBB">
              <w:t xml:space="preserve"> ++</w:t>
            </w:r>
          </w:p>
        </w:tc>
        <w:tc>
          <w:tcPr>
            <w:tcW w:w="1415" w:type="dxa"/>
          </w:tcPr>
          <w:p w:rsidR="007A2FBB" w:rsidRPr="007A2FBB" w:rsidRDefault="007A2FBB" w:rsidP="007A2FBB">
            <w:r w:rsidRPr="007A2FBB">
              <w:t>++ purple</w:t>
            </w:r>
          </w:p>
        </w:tc>
        <w:tc>
          <w:tcPr>
            <w:tcW w:w="1061" w:type="dxa"/>
            <w:vAlign w:val="bottom"/>
          </w:tcPr>
          <w:p w:rsidR="007A2FBB" w:rsidRPr="007A2FBB" w:rsidRDefault="007A2FBB" w:rsidP="007A2FBB">
            <w:pPr>
              <w:rPr>
                <w:b/>
              </w:rPr>
            </w:pPr>
            <w:r w:rsidRPr="007A2FBB">
              <w:t xml:space="preserve"> ++</w:t>
            </w:r>
          </w:p>
        </w:tc>
        <w:tc>
          <w:tcPr>
            <w:tcW w:w="1415" w:type="dxa"/>
          </w:tcPr>
          <w:p w:rsidR="007A2FBB" w:rsidRPr="007A2FBB" w:rsidRDefault="007A2FBB" w:rsidP="007A2FBB">
            <w:r w:rsidRPr="007A2FBB">
              <w:t>++ pink</w:t>
            </w:r>
          </w:p>
        </w:tc>
      </w:tr>
      <w:tr w:rsidR="007A2FBB" w:rsidRPr="007A2FBB" w:rsidTr="001E5F53">
        <w:trPr>
          <w:trHeight w:val="213"/>
        </w:trPr>
        <w:tc>
          <w:tcPr>
            <w:tcW w:w="461" w:type="dxa"/>
          </w:tcPr>
          <w:p w:rsidR="007A2FBB" w:rsidRPr="007A2FBB" w:rsidRDefault="007A2FBB" w:rsidP="007A2FBB"/>
        </w:tc>
        <w:tc>
          <w:tcPr>
            <w:tcW w:w="4333" w:type="dxa"/>
            <w:vAlign w:val="bottom"/>
          </w:tcPr>
          <w:p w:rsidR="007A2FBB" w:rsidRPr="007A2FBB" w:rsidRDefault="007A2FBB" w:rsidP="007A2FBB">
            <w:pPr>
              <w:rPr>
                <w:i/>
              </w:rPr>
            </w:pPr>
          </w:p>
        </w:tc>
        <w:tc>
          <w:tcPr>
            <w:tcW w:w="1061" w:type="dxa"/>
            <w:vAlign w:val="bottom"/>
          </w:tcPr>
          <w:p w:rsidR="007A2FBB" w:rsidRPr="007A2FBB" w:rsidRDefault="007A2FBB" w:rsidP="007A2FBB"/>
        </w:tc>
        <w:tc>
          <w:tcPr>
            <w:tcW w:w="1415" w:type="dxa"/>
            <w:vAlign w:val="bottom"/>
          </w:tcPr>
          <w:p w:rsidR="007A2FBB" w:rsidRPr="007A2FBB" w:rsidRDefault="007A2FBB" w:rsidP="007A2FBB"/>
        </w:tc>
        <w:tc>
          <w:tcPr>
            <w:tcW w:w="1061" w:type="dxa"/>
            <w:vAlign w:val="bottom"/>
          </w:tcPr>
          <w:p w:rsidR="007A2FBB" w:rsidRPr="007A2FBB" w:rsidRDefault="007A2FBB" w:rsidP="007A2FBB">
            <w:pPr>
              <w:rPr>
                <w:b/>
              </w:rPr>
            </w:pPr>
          </w:p>
        </w:tc>
        <w:tc>
          <w:tcPr>
            <w:tcW w:w="1415" w:type="dxa"/>
            <w:vAlign w:val="bottom"/>
          </w:tcPr>
          <w:p w:rsidR="007A2FBB" w:rsidRPr="007A2FBB" w:rsidRDefault="007A2FBB" w:rsidP="007A2FBB"/>
        </w:tc>
      </w:tr>
      <w:tr w:rsidR="007A2FBB" w:rsidRPr="007A2FBB" w:rsidTr="001E5F53">
        <w:trPr>
          <w:trHeight w:val="213"/>
        </w:trPr>
        <w:tc>
          <w:tcPr>
            <w:tcW w:w="461" w:type="dxa"/>
          </w:tcPr>
          <w:p w:rsidR="007A2FBB" w:rsidRPr="007A2FBB" w:rsidRDefault="007A2FBB" w:rsidP="007A2FBB"/>
        </w:tc>
        <w:tc>
          <w:tcPr>
            <w:tcW w:w="4333" w:type="dxa"/>
            <w:vAlign w:val="bottom"/>
          </w:tcPr>
          <w:p w:rsidR="007A2FBB" w:rsidRPr="007A2FBB" w:rsidRDefault="007A2FBB" w:rsidP="007A2FBB">
            <w:r w:rsidRPr="007A2FBB">
              <w:t>Gram-positive microorganisms</w:t>
            </w:r>
          </w:p>
        </w:tc>
        <w:tc>
          <w:tcPr>
            <w:tcW w:w="1061" w:type="dxa"/>
            <w:vAlign w:val="bottom"/>
          </w:tcPr>
          <w:p w:rsidR="007A2FBB" w:rsidRPr="007A2FBB" w:rsidRDefault="007A2FBB" w:rsidP="007A2FBB"/>
        </w:tc>
        <w:tc>
          <w:tcPr>
            <w:tcW w:w="1415" w:type="dxa"/>
            <w:vAlign w:val="bottom"/>
          </w:tcPr>
          <w:p w:rsidR="007A2FBB" w:rsidRPr="007A2FBB" w:rsidRDefault="007A2FBB" w:rsidP="007A2FBB"/>
        </w:tc>
        <w:tc>
          <w:tcPr>
            <w:tcW w:w="1061" w:type="dxa"/>
            <w:vAlign w:val="bottom"/>
          </w:tcPr>
          <w:p w:rsidR="007A2FBB" w:rsidRPr="007A2FBB" w:rsidRDefault="007A2FBB" w:rsidP="007A2FBB">
            <w:pPr>
              <w:rPr>
                <w:b/>
              </w:rPr>
            </w:pPr>
          </w:p>
        </w:tc>
        <w:tc>
          <w:tcPr>
            <w:tcW w:w="1415" w:type="dxa"/>
            <w:vAlign w:val="bottom"/>
          </w:tcPr>
          <w:p w:rsidR="007A2FBB" w:rsidRPr="007A2FBB" w:rsidRDefault="007A2FBB" w:rsidP="007A2FBB"/>
        </w:tc>
      </w:tr>
      <w:tr w:rsidR="007A2FBB" w:rsidRPr="007A2FBB" w:rsidTr="001E5F53">
        <w:trPr>
          <w:trHeight w:val="213"/>
        </w:trPr>
        <w:tc>
          <w:tcPr>
            <w:tcW w:w="461" w:type="dxa"/>
          </w:tcPr>
          <w:p w:rsidR="007A2FBB" w:rsidRPr="007A2FBB" w:rsidRDefault="007A2FBB" w:rsidP="007A2FBB">
            <w:r w:rsidRPr="007A2FBB">
              <w:t>11</w:t>
            </w:r>
          </w:p>
        </w:tc>
        <w:tc>
          <w:tcPr>
            <w:tcW w:w="4333" w:type="dxa"/>
            <w:vAlign w:val="bottom"/>
          </w:tcPr>
          <w:p w:rsidR="007A2FBB" w:rsidRPr="007A2FBB" w:rsidRDefault="007A2FBB" w:rsidP="007A2FBB">
            <w:pPr>
              <w:rPr>
                <w:b/>
              </w:rPr>
            </w:pPr>
            <w:r w:rsidRPr="007A2FBB">
              <w:rPr>
                <w:i/>
              </w:rPr>
              <w:t xml:space="preserve">Streptococcus pyogenes </w:t>
            </w:r>
            <w:r w:rsidRPr="007A2FBB">
              <w:t>NCTC 8306</w:t>
            </w:r>
          </w:p>
        </w:tc>
        <w:tc>
          <w:tcPr>
            <w:tcW w:w="1061" w:type="dxa"/>
            <w:vAlign w:val="bottom"/>
          </w:tcPr>
          <w:p w:rsidR="007A2FBB" w:rsidRPr="007A2FBB" w:rsidRDefault="007A2FBB" w:rsidP="007A2FBB">
            <w:r w:rsidRPr="007A2FBB">
              <w:t xml:space="preserve"> -</w:t>
            </w:r>
          </w:p>
        </w:tc>
        <w:tc>
          <w:tcPr>
            <w:tcW w:w="1415" w:type="dxa"/>
            <w:vAlign w:val="bottom"/>
          </w:tcPr>
          <w:p w:rsidR="007A2FBB" w:rsidRPr="007A2FBB" w:rsidRDefault="007A2FBB" w:rsidP="007A2FBB">
            <w:r w:rsidRPr="007A2FBB">
              <w:t xml:space="preserve"> -</w:t>
            </w:r>
          </w:p>
        </w:tc>
        <w:tc>
          <w:tcPr>
            <w:tcW w:w="1061" w:type="dxa"/>
            <w:vAlign w:val="bottom"/>
          </w:tcPr>
          <w:p w:rsidR="007A2FBB" w:rsidRPr="007A2FBB" w:rsidRDefault="007A2FBB" w:rsidP="007A2FBB">
            <w:r w:rsidRPr="007A2FBB">
              <w:t xml:space="preserve"> -</w:t>
            </w:r>
          </w:p>
        </w:tc>
        <w:tc>
          <w:tcPr>
            <w:tcW w:w="1415" w:type="dxa"/>
            <w:vAlign w:val="bottom"/>
          </w:tcPr>
          <w:p w:rsidR="007A2FBB" w:rsidRPr="007A2FBB" w:rsidRDefault="007A2FBB" w:rsidP="007A2FBB">
            <w:r w:rsidRPr="007A2FBB">
              <w:t xml:space="preserve"> -</w:t>
            </w:r>
          </w:p>
        </w:tc>
      </w:tr>
      <w:tr w:rsidR="007A2FBB" w:rsidRPr="007A2FBB" w:rsidTr="001E5F53">
        <w:trPr>
          <w:trHeight w:val="213"/>
        </w:trPr>
        <w:tc>
          <w:tcPr>
            <w:tcW w:w="461" w:type="dxa"/>
          </w:tcPr>
          <w:p w:rsidR="007A2FBB" w:rsidRPr="007A2FBB" w:rsidRDefault="007A2FBB" w:rsidP="007A2FBB">
            <w:r w:rsidRPr="007A2FBB">
              <w:t>12</w:t>
            </w:r>
          </w:p>
        </w:tc>
        <w:tc>
          <w:tcPr>
            <w:tcW w:w="4333" w:type="dxa"/>
            <w:vAlign w:val="bottom"/>
          </w:tcPr>
          <w:p w:rsidR="007A2FBB" w:rsidRPr="007A2FBB" w:rsidRDefault="007A2FBB" w:rsidP="007A2FBB">
            <w:pPr>
              <w:rPr>
                <w:b/>
              </w:rPr>
            </w:pPr>
            <w:r w:rsidRPr="007A2FBB">
              <w:rPr>
                <w:i/>
              </w:rPr>
              <w:t xml:space="preserve">Staphylococcus aureus </w:t>
            </w:r>
            <w:r w:rsidRPr="007A2FBB">
              <w:t>(MRSA) NCTC 11939</w:t>
            </w:r>
          </w:p>
        </w:tc>
        <w:tc>
          <w:tcPr>
            <w:tcW w:w="1061" w:type="dxa"/>
            <w:vAlign w:val="bottom"/>
          </w:tcPr>
          <w:p w:rsidR="007A2FBB" w:rsidRPr="007A2FBB" w:rsidRDefault="007A2FBB" w:rsidP="007A2FBB">
            <w:r w:rsidRPr="007A2FBB">
              <w:t xml:space="preserve"> -</w:t>
            </w:r>
          </w:p>
        </w:tc>
        <w:tc>
          <w:tcPr>
            <w:tcW w:w="1415" w:type="dxa"/>
            <w:vAlign w:val="bottom"/>
          </w:tcPr>
          <w:p w:rsidR="007A2FBB" w:rsidRPr="007A2FBB" w:rsidRDefault="007A2FBB" w:rsidP="007A2FBB">
            <w:r w:rsidRPr="007A2FBB">
              <w:t>-</w:t>
            </w:r>
          </w:p>
        </w:tc>
        <w:tc>
          <w:tcPr>
            <w:tcW w:w="1061" w:type="dxa"/>
            <w:vAlign w:val="bottom"/>
          </w:tcPr>
          <w:p w:rsidR="007A2FBB" w:rsidRPr="007A2FBB" w:rsidRDefault="007A2FBB" w:rsidP="007A2FBB">
            <w:pPr>
              <w:rPr>
                <w:b/>
              </w:rPr>
            </w:pPr>
            <w:r w:rsidRPr="007A2FBB">
              <w:t xml:space="preserve"> +</w:t>
            </w:r>
          </w:p>
        </w:tc>
        <w:tc>
          <w:tcPr>
            <w:tcW w:w="1415" w:type="dxa"/>
            <w:vAlign w:val="bottom"/>
          </w:tcPr>
          <w:p w:rsidR="007A2FBB" w:rsidRPr="007A2FBB" w:rsidRDefault="007A2FBB" w:rsidP="007A2FBB">
            <w:r w:rsidRPr="007A2FBB">
              <w:t>-</w:t>
            </w:r>
          </w:p>
        </w:tc>
      </w:tr>
      <w:tr w:rsidR="007A2FBB" w:rsidRPr="007A2FBB" w:rsidTr="001E5F53">
        <w:trPr>
          <w:trHeight w:val="213"/>
        </w:trPr>
        <w:tc>
          <w:tcPr>
            <w:tcW w:w="461" w:type="dxa"/>
          </w:tcPr>
          <w:p w:rsidR="007A2FBB" w:rsidRPr="007A2FBB" w:rsidRDefault="007A2FBB" w:rsidP="007A2FBB">
            <w:r w:rsidRPr="007A2FBB">
              <w:t>13</w:t>
            </w:r>
          </w:p>
        </w:tc>
        <w:tc>
          <w:tcPr>
            <w:tcW w:w="4333" w:type="dxa"/>
            <w:vAlign w:val="bottom"/>
          </w:tcPr>
          <w:p w:rsidR="007A2FBB" w:rsidRPr="007A2FBB" w:rsidRDefault="007A2FBB" w:rsidP="007A2FBB">
            <w:pPr>
              <w:rPr>
                <w:b/>
              </w:rPr>
            </w:pPr>
            <w:r w:rsidRPr="007A2FBB">
              <w:rPr>
                <w:i/>
              </w:rPr>
              <w:t xml:space="preserve">Staphylococcus aureus </w:t>
            </w:r>
            <w:r w:rsidRPr="007A2FBB">
              <w:t xml:space="preserve"> (MSSA) NCTC 6571</w:t>
            </w:r>
          </w:p>
        </w:tc>
        <w:tc>
          <w:tcPr>
            <w:tcW w:w="1061" w:type="dxa"/>
            <w:vAlign w:val="bottom"/>
          </w:tcPr>
          <w:p w:rsidR="007A2FBB" w:rsidRPr="007A2FBB" w:rsidRDefault="007A2FBB" w:rsidP="007A2FBB">
            <w:r w:rsidRPr="007A2FBB">
              <w:t xml:space="preserve"> -</w:t>
            </w:r>
          </w:p>
        </w:tc>
        <w:tc>
          <w:tcPr>
            <w:tcW w:w="1415" w:type="dxa"/>
            <w:vAlign w:val="bottom"/>
          </w:tcPr>
          <w:p w:rsidR="007A2FBB" w:rsidRPr="007A2FBB" w:rsidRDefault="007A2FBB" w:rsidP="007A2FBB">
            <w:r w:rsidRPr="007A2FBB">
              <w:t xml:space="preserve"> -</w:t>
            </w:r>
          </w:p>
        </w:tc>
        <w:tc>
          <w:tcPr>
            <w:tcW w:w="1061" w:type="dxa"/>
            <w:vAlign w:val="bottom"/>
          </w:tcPr>
          <w:p w:rsidR="007A2FBB" w:rsidRPr="007A2FBB" w:rsidRDefault="007A2FBB" w:rsidP="007A2FBB">
            <w:pPr>
              <w:rPr>
                <w:b/>
              </w:rPr>
            </w:pPr>
            <w:r w:rsidRPr="007A2FBB">
              <w:t xml:space="preserve"> -</w:t>
            </w:r>
          </w:p>
        </w:tc>
        <w:tc>
          <w:tcPr>
            <w:tcW w:w="1415" w:type="dxa"/>
            <w:vAlign w:val="bottom"/>
          </w:tcPr>
          <w:p w:rsidR="007A2FBB" w:rsidRPr="007A2FBB" w:rsidRDefault="007A2FBB" w:rsidP="007A2FBB">
            <w:r w:rsidRPr="007A2FBB">
              <w:t xml:space="preserve"> -</w:t>
            </w:r>
          </w:p>
        </w:tc>
      </w:tr>
      <w:tr w:rsidR="007A2FBB" w:rsidRPr="007A2FBB" w:rsidTr="001E5F53">
        <w:trPr>
          <w:trHeight w:val="213"/>
        </w:trPr>
        <w:tc>
          <w:tcPr>
            <w:tcW w:w="461" w:type="dxa"/>
          </w:tcPr>
          <w:p w:rsidR="007A2FBB" w:rsidRPr="007A2FBB" w:rsidRDefault="007A2FBB" w:rsidP="007A2FBB">
            <w:r w:rsidRPr="007A2FBB">
              <w:t>14</w:t>
            </w:r>
          </w:p>
        </w:tc>
        <w:tc>
          <w:tcPr>
            <w:tcW w:w="4333" w:type="dxa"/>
            <w:vAlign w:val="bottom"/>
          </w:tcPr>
          <w:p w:rsidR="007A2FBB" w:rsidRPr="007A2FBB" w:rsidRDefault="007A2FBB" w:rsidP="007A2FBB">
            <w:pPr>
              <w:rPr>
                <w:b/>
              </w:rPr>
            </w:pPr>
            <w:r w:rsidRPr="007A2FBB">
              <w:rPr>
                <w:i/>
              </w:rPr>
              <w:t xml:space="preserve">Staphylococcus epidermidis </w:t>
            </w:r>
            <w:r w:rsidRPr="007A2FBB">
              <w:t>NCTC 11047</w:t>
            </w:r>
          </w:p>
        </w:tc>
        <w:tc>
          <w:tcPr>
            <w:tcW w:w="1061" w:type="dxa"/>
            <w:vAlign w:val="bottom"/>
          </w:tcPr>
          <w:p w:rsidR="007A2FBB" w:rsidRPr="007A2FBB" w:rsidRDefault="007A2FBB" w:rsidP="007A2FBB">
            <w:r w:rsidRPr="007A2FBB">
              <w:t xml:space="preserve"> -</w:t>
            </w:r>
          </w:p>
        </w:tc>
        <w:tc>
          <w:tcPr>
            <w:tcW w:w="1415" w:type="dxa"/>
            <w:vAlign w:val="bottom"/>
          </w:tcPr>
          <w:p w:rsidR="007A2FBB" w:rsidRPr="007A2FBB" w:rsidRDefault="007A2FBB" w:rsidP="007A2FBB">
            <w:r w:rsidRPr="007A2FBB">
              <w:t xml:space="preserve"> -</w:t>
            </w:r>
          </w:p>
        </w:tc>
        <w:tc>
          <w:tcPr>
            <w:tcW w:w="1061" w:type="dxa"/>
            <w:vAlign w:val="bottom"/>
          </w:tcPr>
          <w:p w:rsidR="007A2FBB" w:rsidRPr="007A2FBB" w:rsidRDefault="007A2FBB" w:rsidP="007A2FBB">
            <w:pPr>
              <w:rPr>
                <w:b/>
              </w:rPr>
            </w:pPr>
            <w:r w:rsidRPr="007A2FBB">
              <w:t xml:space="preserve"> -</w:t>
            </w:r>
          </w:p>
        </w:tc>
        <w:tc>
          <w:tcPr>
            <w:tcW w:w="1415" w:type="dxa"/>
            <w:vAlign w:val="bottom"/>
          </w:tcPr>
          <w:p w:rsidR="007A2FBB" w:rsidRPr="007A2FBB" w:rsidRDefault="007A2FBB" w:rsidP="007A2FBB">
            <w:r w:rsidRPr="007A2FBB">
              <w:t xml:space="preserve"> -</w:t>
            </w:r>
          </w:p>
        </w:tc>
      </w:tr>
      <w:tr w:rsidR="007A2FBB" w:rsidRPr="007A2FBB" w:rsidTr="001E5F53">
        <w:trPr>
          <w:trHeight w:val="181"/>
        </w:trPr>
        <w:tc>
          <w:tcPr>
            <w:tcW w:w="461" w:type="dxa"/>
          </w:tcPr>
          <w:p w:rsidR="007A2FBB" w:rsidRPr="007A2FBB" w:rsidRDefault="007A2FBB" w:rsidP="007A2FBB">
            <w:r w:rsidRPr="007A2FBB">
              <w:t>15</w:t>
            </w:r>
          </w:p>
        </w:tc>
        <w:tc>
          <w:tcPr>
            <w:tcW w:w="4333" w:type="dxa"/>
            <w:vAlign w:val="bottom"/>
          </w:tcPr>
          <w:p w:rsidR="007A2FBB" w:rsidRPr="007A2FBB" w:rsidRDefault="007A2FBB" w:rsidP="007A2FBB">
            <w:pPr>
              <w:rPr>
                <w:b/>
              </w:rPr>
            </w:pPr>
            <w:r w:rsidRPr="007A2FBB">
              <w:rPr>
                <w:i/>
              </w:rPr>
              <w:t xml:space="preserve">Listeria monocytogenes </w:t>
            </w:r>
            <w:r w:rsidRPr="007A2FBB">
              <w:t>NCTC 11994</w:t>
            </w:r>
          </w:p>
        </w:tc>
        <w:tc>
          <w:tcPr>
            <w:tcW w:w="1061" w:type="dxa"/>
            <w:vAlign w:val="bottom"/>
          </w:tcPr>
          <w:p w:rsidR="007A2FBB" w:rsidRPr="007A2FBB" w:rsidRDefault="007A2FBB" w:rsidP="007A2FBB">
            <w:r w:rsidRPr="007A2FBB">
              <w:t xml:space="preserve"> +</w:t>
            </w:r>
          </w:p>
        </w:tc>
        <w:tc>
          <w:tcPr>
            <w:tcW w:w="1415" w:type="dxa"/>
            <w:vAlign w:val="bottom"/>
          </w:tcPr>
          <w:p w:rsidR="007A2FBB" w:rsidRPr="007A2FBB" w:rsidRDefault="007A2FBB" w:rsidP="007A2FBB">
            <w:r w:rsidRPr="007A2FBB">
              <w:t xml:space="preserve"> </w:t>
            </w:r>
            <w:r w:rsidR="00B3335F">
              <w:t>Tr.</w:t>
            </w:r>
          </w:p>
        </w:tc>
        <w:tc>
          <w:tcPr>
            <w:tcW w:w="1061" w:type="dxa"/>
            <w:vAlign w:val="bottom"/>
          </w:tcPr>
          <w:p w:rsidR="007A2FBB" w:rsidRPr="007A2FBB" w:rsidRDefault="007A2FBB" w:rsidP="007A2FBB">
            <w:pPr>
              <w:rPr>
                <w:b/>
              </w:rPr>
            </w:pPr>
            <w:r w:rsidRPr="007A2FBB">
              <w:t xml:space="preserve"> +</w:t>
            </w:r>
          </w:p>
        </w:tc>
        <w:tc>
          <w:tcPr>
            <w:tcW w:w="1415" w:type="dxa"/>
            <w:vAlign w:val="bottom"/>
          </w:tcPr>
          <w:p w:rsidR="007A2FBB" w:rsidRPr="007A2FBB" w:rsidRDefault="007A2FBB" w:rsidP="007A2FBB">
            <w:r w:rsidRPr="007A2FBB">
              <w:t xml:space="preserve"> -</w:t>
            </w:r>
          </w:p>
        </w:tc>
      </w:tr>
      <w:tr w:rsidR="007A2FBB" w:rsidRPr="007A2FBB" w:rsidTr="001E5F53">
        <w:trPr>
          <w:trHeight w:val="213"/>
        </w:trPr>
        <w:tc>
          <w:tcPr>
            <w:tcW w:w="461" w:type="dxa"/>
          </w:tcPr>
          <w:p w:rsidR="007A2FBB" w:rsidRPr="007A2FBB" w:rsidRDefault="007A2FBB" w:rsidP="007A2FBB">
            <w:r w:rsidRPr="007A2FBB">
              <w:t>16</w:t>
            </w:r>
          </w:p>
        </w:tc>
        <w:tc>
          <w:tcPr>
            <w:tcW w:w="4333" w:type="dxa"/>
            <w:vAlign w:val="bottom"/>
          </w:tcPr>
          <w:p w:rsidR="007A2FBB" w:rsidRPr="007A2FBB" w:rsidRDefault="007A2FBB" w:rsidP="007A2FBB">
            <w:pPr>
              <w:rPr>
                <w:b/>
              </w:rPr>
            </w:pPr>
            <w:r w:rsidRPr="007A2FBB">
              <w:rPr>
                <w:i/>
              </w:rPr>
              <w:t xml:space="preserve">Enterococcus faecium </w:t>
            </w:r>
            <w:r w:rsidRPr="007A2FBB">
              <w:t>NCTC 7171</w:t>
            </w:r>
          </w:p>
        </w:tc>
        <w:tc>
          <w:tcPr>
            <w:tcW w:w="1061" w:type="dxa"/>
            <w:vAlign w:val="bottom"/>
          </w:tcPr>
          <w:p w:rsidR="007A2FBB" w:rsidRPr="007A2FBB" w:rsidRDefault="007A2FBB" w:rsidP="007A2FBB">
            <w:r w:rsidRPr="007A2FBB">
              <w:t xml:space="preserve"> +</w:t>
            </w:r>
          </w:p>
        </w:tc>
        <w:tc>
          <w:tcPr>
            <w:tcW w:w="1415" w:type="dxa"/>
            <w:vAlign w:val="bottom"/>
          </w:tcPr>
          <w:p w:rsidR="007A2FBB" w:rsidRPr="007A2FBB" w:rsidRDefault="007A2FBB" w:rsidP="007A2FBB">
            <w:r w:rsidRPr="007A2FBB">
              <w:t>+ purple</w:t>
            </w:r>
          </w:p>
        </w:tc>
        <w:tc>
          <w:tcPr>
            <w:tcW w:w="1061" w:type="dxa"/>
            <w:vAlign w:val="bottom"/>
          </w:tcPr>
          <w:p w:rsidR="007A2FBB" w:rsidRPr="007A2FBB" w:rsidRDefault="007A2FBB" w:rsidP="007A2FBB">
            <w:pPr>
              <w:rPr>
                <w:b/>
              </w:rPr>
            </w:pPr>
            <w:r w:rsidRPr="007A2FBB">
              <w:t xml:space="preserve"> +</w:t>
            </w:r>
          </w:p>
        </w:tc>
        <w:tc>
          <w:tcPr>
            <w:tcW w:w="1415" w:type="dxa"/>
            <w:vAlign w:val="bottom"/>
          </w:tcPr>
          <w:p w:rsidR="007A2FBB" w:rsidRPr="007A2FBB" w:rsidRDefault="007A2FBB" w:rsidP="007A2FBB">
            <w:r w:rsidRPr="007A2FBB">
              <w:t>+ pink</w:t>
            </w:r>
          </w:p>
        </w:tc>
      </w:tr>
      <w:tr w:rsidR="007A2FBB" w:rsidRPr="007A2FBB" w:rsidTr="001E5F53">
        <w:trPr>
          <w:trHeight w:val="213"/>
        </w:trPr>
        <w:tc>
          <w:tcPr>
            <w:tcW w:w="461" w:type="dxa"/>
          </w:tcPr>
          <w:p w:rsidR="007A2FBB" w:rsidRPr="007A2FBB" w:rsidRDefault="007A2FBB" w:rsidP="007A2FBB">
            <w:r w:rsidRPr="007A2FBB">
              <w:t>17</w:t>
            </w:r>
          </w:p>
        </w:tc>
        <w:tc>
          <w:tcPr>
            <w:tcW w:w="4333" w:type="dxa"/>
            <w:vAlign w:val="bottom"/>
          </w:tcPr>
          <w:p w:rsidR="007A2FBB" w:rsidRPr="007A2FBB" w:rsidRDefault="007A2FBB" w:rsidP="007A2FBB">
            <w:pPr>
              <w:rPr>
                <w:b/>
              </w:rPr>
            </w:pPr>
            <w:r w:rsidRPr="007A2FBB">
              <w:rPr>
                <w:i/>
              </w:rPr>
              <w:t xml:space="preserve">Enterococcus faecalis </w:t>
            </w:r>
            <w:r w:rsidRPr="007A2FBB">
              <w:t>NCTC 775</w:t>
            </w:r>
          </w:p>
        </w:tc>
        <w:tc>
          <w:tcPr>
            <w:tcW w:w="1061" w:type="dxa"/>
            <w:vAlign w:val="bottom"/>
          </w:tcPr>
          <w:p w:rsidR="007A2FBB" w:rsidRPr="007A2FBB" w:rsidRDefault="007A2FBB" w:rsidP="007A2FBB">
            <w:r w:rsidRPr="007A2FBB">
              <w:t xml:space="preserve"> +</w:t>
            </w:r>
          </w:p>
        </w:tc>
        <w:tc>
          <w:tcPr>
            <w:tcW w:w="1415" w:type="dxa"/>
            <w:vAlign w:val="bottom"/>
          </w:tcPr>
          <w:p w:rsidR="007A2FBB" w:rsidRPr="007A2FBB" w:rsidRDefault="007A2FBB" w:rsidP="007A2FBB">
            <w:r w:rsidRPr="007A2FBB">
              <w:t>+/- purple</w:t>
            </w:r>
          </w:p>
        </w:tc>
        <w:tc>
          <w:tcPr>
            <w:tcW w:w="1061" w:type="dxa"/>
            <w:vAlign w:val="bottom"/>
          </w:tcPr>
          <w:p w:rsidR="007A2FBB" w:rsidRPr="007A2FBB" w:rsidRDefault="007A2FBB" w:rsidP="007A2FBB">
            <w:pPr>
              <w:rPr>
                <w:b/>
              </w:rPr>
            </w:pPr>
            <w:r w:rsidRPr="007A2FBB">
              <w:t xml:space="preserve"> +</w:t>
            </w:r>
          </w:p>
        </w:tc>
        <w:tc>
          <w:tcPr>
            <w:tcW w:w="1415" w:type="dxa"/>
            <w:vAlign w:val="bottom"/>
          </w:tcPr>
          <w:p w:rsidR="007A2FBB" w:rsidRPr="007A2FBB" w:rsidRDefault="007A2FBB" w:rsidP="007A2FBB">
            <w:r w:rsidRPr="007A2FBB">
              <w:t>+ pink</w:t>
            </w:r>
          </w:p>
        </w:tc>
      </w:tr>
      <w:tr w:rsidR="007A2FBB" w:rsidRPr="007A2FBB" w:rsidTr="001E5F53">
        <w:trPr>
          <w:trHeight w:val="213"/>
        </w:trPr>
        <w:tc>
          <w:tcPr>
            <w:tcW w:w="461" w:type="dxa"/>
          </w:tcPr>
          <w:p w:rsidR="007A2FBB" w:rsidRPr="007A2FBB" w:rsidRDefault="007A2FBB" w:rsidP="007A2FBB">
            <w:r w:rsidRPr="007A2FBB">
              <w:t>18</w:t>
            </w:r>
          </w:p>
        </w:tc>
        <w:tc>
          <w:tcPr>
            <w:tcW w:w="4333" w:type="dxa"/>
            <w:vAlign w:val="bottom"/>
          </w:tcPr>
          <w:p w:rsidR="007A2FBB" w:rsidRPr="007A2FBB" w:rsidRDefault="007A2FBB" w:rsidP="007A2FBB">
            <w:pPr>
              <w:rPr>
                <w:b/>
              </w:rPr>
            </w:pPr>
            <w:r w:rsidRPr="007A2FBB">
              <w:rPr>
                <w:i/>
              </w:rPr>
              <w:t xml:space="preserve">Bacillus subtilis </w:t>
            </w:r>
            <w:r w:rsidRPr="007A2FBB">
              <w:t>NCTC 9372</w:t>
            </w:r>
          </w:p>
        </w:tc>
        <w:tc>
          <w:tcPr>
            <w:tcW w:w="1061" w:type="dxa"/>
            <w:vAlign w:val="bottom"/>
          </w:tcPr>
          <w:p w:rsidR="007A2FBB" w:rsidRPr="007A2FBB" w:rsidRDefault="007A2FBB" w:rsidP="007A2FBB">
            <w:r w:rsidRPr="007A2FBB">
              <w:t xml:space="preserve"> -</w:t>
            </w:r>
          </w:p>
        </w:tc>
        <w:tc>
          <w:tcPr>
            <w:tcW w:w="1415" w:type="dxa"/>
            <w:vAlign w:val="bottom"/>
          </w:tcPr>
          <w:p w:rsidR="007A2FBB" w:rsidRPr="007A2FBB" w:rsidRDefault="007A2FBB" w:rsidP="007A2FBB">
            <w:r w:rsidRPr="007A2FBB">
              <w:t xml:space="preserve"> -</w:t>
            </w:r>
          </w:p>
        </w:tc>
        <w:tc>
          <w:tcPr>
            <w:tcW w:w="1061" w:type="dxa"/>
            <w:vAlign w:val="bottom"/>
          </w:tcPr>
          <w:p w:rsidR="007A2FBB" w:rsidRPr="007A2FBB" w:rsidRDefault="007A2FBB" w:rsidP="007A2FBB">
            <w:pPr>
              <w:rPr>
                <w:b/>
              </w:rPr>
            </w:pPr>
            <w:r w:rsidRPr="007A2FBB">
              <w:t xml:space="preserve"> -</w:t>
            </w:r>
          </w:p>
        </w:tc>
        <w:tc>
          <w:tcPr>
            <w:tcW w:w="1415" w:type="dxa"/>
            <w:vAlign w:val="bottom"/>
          </w:tcPr>
          <w:p w:rsidR="007A2FBB" w:rsidRPr="007A2FBB" w:rsidRDefault="007A2FBB" w:rsidP="007A2FBB">
            <w:pPr>
              <w:rPr>
                <w:b/>
              </w:rPr>
            </w:pPr>
            <w:r w:rsidRPr="007A2FBB">
              <w:t xml:space="preserve"> -</w:t>
            </w:r>
          </w:p>
        </w:tc>
      </w:tr>
      <w:tr w:rsidR="007A2FBB" w:rsidRPr="007A2FBB" w:rsidTr="001E5F53">
        <w:trPr>
          <w:trHeight w:val="213"/>
        </w:trPr>
        <w:tc>
          <w:tcPr>
            <w:tcW w:w="461" w:type="dxa"/>
          </w:tcPr>
          <w:p w:rsidR="007A2FBB" w:rsidRPr="007A2FBB" w:rsidRDefault="007A2FBB" w:rsidP="007A2FBB"/>
        </w:tc>
        <w:tc>
          <w:tcPr>
            <w:tcW w:w="4333" w:type="dxa"/>
            <w:vAlign w:val="bottom"/>
          </w:tcPr>
          <w:p w:rsidR="007A2FBB" w:rsidRPr="007A2FBB" w:rsidRDefault="007A2FBB" w:rsidP="007A2FBB">
            <w:pPr>
              <w:rPr>
                <w:i/>
              </w:rPr>
            </w:pPr>
          </w:p>
        </w:tc>
        <w:tc>
          <w:tcPr>
            <w:tcW w:w="1061" w:type="dxa"/>
            <w:vAlign w:val="bottom"/>
          </w:tcPr>
          <w:p w:rsidR="007A2FBB" w:rsidRPr="007A2FBB" w:rsidRDefault="007A2FBB" w:rsidP="007A2FBB"/>
        </w:tc>
        <w:tc>
          <w:tcPr>
            <w:tcW w:w="1415" w:type="dxa"/>
            <w:vAlign w:val="bottom"/>
          </w:tcPr>
          <w:p w:rsidR="007A2FBB" w:rsidRPr="007A2FBB" w:rsidRDefault="007A2FBB" w:rsidP="007A2FBB"/>
        </w:tc>
        <w:tc>
          <w:tcPr>
            <w:tcW w:w="1061" w:type="dxa"/>
            <w:vAlign w:val="bottom"/>
          </w:tcPr>
          <w:p w:rsidR="007A2FBB" w:rsidRPr="007A2FBB" w:rsidRDefault="007A2FBB" w:rsidP="007A2FBB">
            <w:pPr>
              <w:rPr>
                <w:b/>
              </w:rPr>
            </w:pPr>
          </w:p>
        </w:tc>
        <w:tc>
          <w:tcPr>
            <w:tcW w:w="1415" w:type="dxa"/>
            <w:vAlign w:val="bottom"/>
          </w:tcPr>
          <w:p w:rsidR="007A2FBB" w:rsidRPr="007A2FBB" w:rsidRDefault="007A2FBB" w:rsidP="007A2FBB">
            <w:pPr>
              <w:rPr>
                <w:b/>
              </w:rPr>
            </w:pPr>
          </w:p>
        </w:tc>
      </w:tr>
      <w:tr w:rsidR="007A2FBB" w:rsidRPr="007A2FBB" w:rsidTr="001E5F53">
        <w:trPr>
          <w:trHeight w:val="213"/>
        </w:trPr>
        <w:tc>
          <w:tcPr>
            <w:tcW w:w="461" w:type="dxa"/>
          </w:tcPr>
          <w:p w:rsidR="007A2FBB" w:rsidRPr="007A2FBB" w:rsidRDefault="007A2FBB" w:rsidP="007A2FBB"/>
        </w:tc>
        <w:tc>
          <w:tcPr>
            <w:tcW w:w="4333" w:type="dxa"/>
            <w:vAlign w:val="bottom"/>
          </w:tcPr>
          <w:p w:rsidR="007A2FBB" w:rsidRPr="007A2FBB" w:rsidRDefault="007A2FBB" w:rsidP="007A2FBB">
            <w:r w:rsidRPr="007A2FBB">
              <w:t>Yeasts</w:t>
            </w:r>
          </w:p>
        </w:tc>
        <w:tc>
          <w:tcPr>
            <w:tcW w:w="1061" w:type="dxa"/>
            <w:vAlign w:val="bottom"/>
          </w:tcPr>
          <w:p w:rsidR="007A2FBB" w:rsidRPr="007A2FBB" w:rsidRDefault="007A2FBB" w:rsidP="007A2FBB"/>
        </w:tc>
        <w:tc>
          <w:tcPr>
            <w:tcW w:w="1415" w:type="dxa"/>
            <w:vAlign w:val="bottom"/>
          </w:tcPr>
          <w:p w:rsidR="007A2FBB" w:rsidRPr="007A2FBB" w:rsidRDefault="007A2FBB" w:rsidP="007A2FBB"/>
        </w:tc>
        <w:tc>
          <w:tcPr>
            <w:tcW w:w="1061" w:type="dxa"/>
            <w:vAlign w:val="bottom"/>
          </w:tcPr>
          <w:p w:rsidR="007A2FBB" w:rsidRPr="007A2FBB" w:rsidRDefault="007A2FBB" w:rsidP="007A2FBB">
            <w:pPr>
              <w:rPr>
                <w:b/>
              </w:rPr>
            </w:pPr>
          </w:p>
        </w:tc>
        <w:tc>
          <w:tcPr>
            <w:tcW w:w="1415" w:type="dxa"/>
            <w:vAlign w:val="bottom"/>
          </w:tcPr>
          <w:p w:rsidR="007A2FBB" w:rsidRPr="007A2FBB" w:rsidRDefault="007A2FBB" w:rsidP="007A2FBB">
            <w:pPr>
              <w:rPr>
                <w:b/>
              </w:rPr>
            </w:pPr>
          </w:p>
        </w:tc>
      </w:tr>
      <w:tr w:rsidR="007A2FBB" w:rsidRPr="007A2FBB" w:rsidTr="001E5F53">
        <w:trPr>
          <w:trHeight w:val="213"/>
        </w:trPr>
        <w:tc>
          <w:tcPr>
            <w:tcW w:w="461" w:type="dxa"/>
          </w:tcPr>
          <w:p w:rsidR="007A2FBB" w:rsidRPr="007A2FBB" w:rsidRDefault="007A2FBB" w:rsidP="007A2FBB">
            <w:r w:rsidRPr="007A2FBB">
              <w:t>19</w:t>
            </w:r>
          </w:p>
        </w:tc>
        <w:tc>
          <w:tcPr>
            <w:tcW w:w="4333" w:type="dxa"/>
            <w:vAlign w:val="bottom"/>
          </w:tcPr>
          <w:p w:rsidR="007A2FBB" w:rsidRPr="007A2FBB" w:rsidRDefault="007A2FBB" w:rsidP="007A2FBB">
            <w:pPr>
              <w:rPr>
                <w:b/>
              </w:rPr>
            </w:pPr>
            <w:r w:rsidRPr="007A2FBB">
              <w:rPr>
                <w:i/>
              </w:rPr>
              <w:t xml:space="preserve">Candida albicans </w:t>
            </w:r>
            <w:r w:rsidRPr="007A2FBB">
              <w:t>ATCC 90028</w:t>
            </w:r>
          </w:p>
        </w:tc>
        <w:tc>
          <w:tcPr>
            <w:tcW w:w="1061" w:type="dxa"/>
            <w:vAlign w:val="bottom"/>
          </w:tcPr>
          <w:p w:rsidR="007A2FBB" w:rsidRPr="007A2FBB" w:rsidRDefault="007A2FBB" w:rsidP="007A2FBB">
            <w:r w:rsidRPr="007A2FBB">
              <w:t>Tr.</w:t>
            </w:r>
          </w:p>
        </w:tc>
        <w:tc>
          <w:tcPr>
            <w:tcW w:w="1415" w:type="dxa"/>
            <w:vAlign w:val="bottom"/>
          </w:tcPr>
          <w:p w:rsidR="007A2FBB" w:rsidRPr="007A2FBB" w:rsidRDefault="007A2FBB" w:rsidP="007A2FBB">
            <w:r w:rsidRPr="007A2FBB">
              <w:t xml:space="preserve"> -</w:t>
            </w:r>
          </w:p>
        </w:tc>
        <w:tc>
          <w:tcPr>
            <w:tcW w:w="1061" w:type="dxa"/>
            <w:vAlign w:val="bottom"/>
          </w:tcPr>
          <w:p w:rsidR="007A2FBB" w:rsidRPr="007A2FBB" w:rsidRDefault="007A2FBB" w:rsidP="007A2FBB">
            <w:pPr>
              <w:rPr>
                <w:b/>
              </w:rPr>
            </w:pPr>
            <w:r w:rsidRPr="007A2FBB">
              <w:t>Tr.</w:t>
            </w:r>
          </w:p>
        </w:tc>
        <w:tc>
          <w:tcPr>
            <w:tcW w:w="1415" w:type="dxa"/>
            <w:vAlign w:val="bottom"/>
          </w:tcPr>
          <w:p w:rsidR="007A2FBB" w:rsidRPr="007A2FBB" w:rsidRDefault="007A2FBB" w:rsidP="007A2FBB">
            <w:r w:rsidRPr="007A2FBB">
              <w:t xml:space="preserve"> --</w:t>
            </w:r>
          </w:p>
        </w:tc>
      </w:tr>
      <w:tr w:rsidR="007A2FBB" w:rsidRPr="007A2FBB" w:rsidTr="001E5F53">
        <w:trPr>
          <w:trHeight w:val="213"/>
        </w:trPr>
        <w:tc>
          <w:tcPr>
            <w:tcW w:w="461" w:type="dxa"/>
          </w:tcPr>
          <w:p w:rsidR="007A2FBB" w:rsidRPr="007A2FBB" w:rsidRDefault="007A2FBB" w:rsidP="007A2FBB">
            <w:r w:rsidRPr="007A2FBB">
              <w:t>20</w:t>
            </w:r>
          </w:p>
        </w:tc>
        <w:tc>
          <w:tcPr>
            <w:tcW w:w="4333" w:type="dxa"/>
            <w:vAlign w:val="bottom"/>
          </w:tcPr>
          <w:p w:rsidR="007A2FBB" w:rsidRPr="007A2FBB" w:rsidRDefault="007A2FBB" w:rsidP="007A2FBB">
            <w:pPr>
              <w:rPr>
                <w:b/>
              </w:rPr>
            </w:pPr>
            <w:r w:rsidRPr="007A2FBB">
              <w:rPr>
                <w:i/>
              </w:rPr>
              <w:t xml:space="preserve">Candida glabrata </w:t>
            </w:r>
            <w:r w:rsidRPr="007A2FBB">
              <w:t>NCPF 3943</w:t>
            </w:r>
          </w:p>
        </w:tc>
        <w:tc>
          <w:tcPr>
            <w:tcW w:w="1061" w:type="dxa"/>
            <w:vAlign w:val="bottom"/>
          </w:tcPr>
          <w:p w:rsidR="007A2FBB" w:rsidRPr="007A2FBB" w:rsidRDefault="007A2FBB" w:rsidP="007A2FBB">
            <w:r w:rsidRPr="007A2FBB">
              <w:t>Tr.</w:t>
            </w:r>
          </w:p>
        </w:tc>
        <w:tc>
          <w:tcPr>
            <w:tcW w:w="1415" w:type="dxa"/>
            <w:vAlign w:val="bottom"/>
          </w:tcPr>
          <w:p w:rsidR="007A2FBB" w:rsidRPr="007A2FBB" w:rsidRDefault="007A2FBB" w:rsidP="007A2FBB">
            <w:r w:rsidRPr="007A2FBB">
              <w:t xml:space="preserve"> -</w:t>
            </w:r>
          </w:p>
        </w:tc>
        <w:tc>
          <w:tcPr>
            <w:tcW w:w="1061" w:type="dxa"/>
            <w:vAlign w:val="bottom"/>
          </w:tcPr>
          <w:p w:rsidR="007A2FBB" w:rsidRPr="007A2FBB" w:rsidRDefault="007A2FBB" w:rsidP="007A2FBB">
            <w:pPr>
              <w:rPr>
                <w:b/>
              </w:rPr>
            </w:pPr>
            <w:r w:rsidRPr="007A2FBB">
              <w:t>Tr.</w:t>
            </w:r>
          </w:p>
        </w:tc>
        <w:tc>
          <w:tcPr>
            <w:tcW w:w="1415" w:type="dxa"/>
            <w:vAlign w:val="bottom"/>
          </w:tcPr>
          <w:p w:rsidR="007A2FBB" w:rsidRPr="007A2FBB" w:rsidRDefault="007A2FBB" w:rsidP="007A2FBB">
            <w:r w:rsidRPr="007A2FBB">
              <w:t xml:space="preserve"> -</w:t>
            </w:r>
          </w:p>
        </w:tc>
      </w:tr>
    </w:tbl>
    <w:p w:rsidR="007A2FBB" w:rsidRPr="007A2FBB" w:rsidRDefault="007A2FBB" w:rsidP="009D7045">
      <w:pPr>
        <w:spacing w:after="0"/>
      </w:pPr>
      <w:r w:rsidRPr="007A2FBB">
        <w:rPr>
          <w:vertAlign w:val="superscript"/>
        </w:rPr>
        <w:t>a</w:t>
      </w:r>
      <w:r w:rsidRPr="007A2FBB">
        <w:t>NCTC: National Collection of Type Cultures; ATCC: American Type Culture Collection; NCPF: National Collection of Pathogenic Fungi.</w:t>
      </w:r>
    </w:p>
    <w:p w:rsidR="007A2FBB" w:rsidRPr="007A2FBB" w:rsidRDefault="007A2FBB" w:rsidP="009D7045">
      <w:pPr>
        <w:spacing w:after="0"/>
      </w:pPr>
      <w:r w:rsidRPr="007A2FBB">
        <w:rPr>
          <w:vertAlign w:val="superscript"/>
        </w:rPr>
        <w:t xml:space="preserve">b </w:t>
      </w:r>
      <w:r w:rsidRPr="007A2FBB">
        <w:t>++ strong growth, + moderate growth, +/- weak growth, Tr. trace of growth</w:t>
      </w:r>
      <w:r w:rsidR="006C34E3">
        <w:t xml:space="preserve">, </w:t>
      </w:r>
      <w:r w:rsidR="006C34E3" w:rsidRPr="00BC04D0">
        <w:t>- no growth</w:t>
      </w:r>
      <w:r w:rsidR="004A2414" w:rsidRPr="00BC04D0">
        <w:t>.</w:t>
      </w:r>
    </w:p>
    <w:p w:rsidR="007A2FBB" w:rsidRDefault="007A2FBB" w:rsidP="009D7045">
      <w:pPr>
        <w:spacing w:after="0"/>
      </w:pPr>
      <w:r w:rsidRPr="007A2FBB">
        <w:rPr>
          <w:vertAlign w:val="superscript"/>
        </w:rPr>
        <w:t>c</w:t>
      </w:r>
      <w:r w:rsidRPr="007A2FBB">
        <w:t xml:space="preserve"> ++ strong colour, + moderate colour, +/- weak colour, Tr. trace of colour</w:t>
      </w:r>
      <w:r w:rsidR="006C34E3">
        <w:t xml:space="preserve">, </w:t>
      </w:r>
      <w:r w:rsidR="006C34E3" w:rsidRPr="00BC04D0">
        <w:t xml:space="preserve">- no </w:t>
      </w:r>
      <w:r w:rsidR="00875C42" w:rsidRPr="00BC04D0">
        <w:t>colour</w:t>
      </w:r>
      <w:r w:rsidRPr="00BC04D0">
        <w:t>.</w:t>
      </w:r>
    </w:p>
    <w:p w:rsidR="009D7045" w:rsidRPr="007A2FBB" w:rsidRDefault="009D7045" w:rsidP="009D7045">
      <w:pPr>
        <w:spacing w:after="0"/>
      </w:pPr>
    </w:p>
    <w:p w:rsidR="007A2FBB" w:rsidRDefault="007A2FBB" w:rsidP="007A2FBB">
      <w:r w:rsidRPr="009D7045">
        <w:rPr>
          <w:b/>
        </w:rPr>
        <w:t>Table 1</w:t>
      </w:r>
      <w:r w:rsidRPr="007A2FBB">
        <w:t xml:space="preserve">. Evaluation of the chromogenic substrate </w:t>
      </w:r>
      <w:r>
        <w:rPr>
          <w:b/>
        </w:rPr>
        <w:t>13</w:t>
      </w:r>
      <w:r w:rsidRPr="007A2FBB">
        <w:t>.</w:t>
      </w:r>
    </w:p>
    <w:p w:rsidR="00220E3D" w:rsidRDefault="00220E3D" w:rsidP="007A2F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5"/>
        <w:gridCol w:w="3096"/>
      </w:tblGrid>
      <w:tr w:rsidR="0076361E" w:rsidTr="0076361E">
        <w:trPr>
          <w:trHeight w:val="2835"/>
        </w:trPr>
        <w:tc>
          <w:tcPr>
            <w:tcW w:w="6481" w:type="dxa"/>
            <w:gridSpan w:val="2"/>
            <w:vAlign w:val="center"/>
          </w:tcPr>
          <w:p w:rsidR="0076361E" w:rsidRDefault="0076361E" w:rsidP="003F52D8">
            <w:pPr>
              <w:jc w:val="center"/>
            </w:pPr>
            <w:r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6C09C271" wp14:editId="4D754C1B">
                  <wp:extent cx="1857375" cy="1694323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12"/>
                          <a:srcRect l="10394" t="12451" r="9678" b="8950"/>
                          <a:stretch/>
                        </pic:blipFill>
                        <pic:spPr bwMode="auto">
                          <a:xfrm>
                            <a:off x="0" y="0"/>
                            <a:ext cx="1871625" cy="1707322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61E" w:rsidTr="0076361E">
        <w:trPr>
          <w:trHeight w:val="975"/>
        </w:trPr>
        <w:tc>
          <w:tcPr>
            <w:tcW w:w="6481" w:type="dxa"/>
            <w:gridSpan w:val="2"/>
          </w:tcPr>
          <w:p w:rsidR="0076361E" w:rsidRDefault="0076361E" w:rsidP="003F52D8">
            <w:pPr>
              <w:rPr>
                <w:rFonts w:ascii="Calibri" w:eastAsia="Calibri" w:hAnsi="Calibri" w:cs="Times New Roman"/>
                <w:noProof/>
              </w:rPr>
            </w:pPr>
            <w:r w:rsidRPr="00220E3D">
              <w:rPr>
                <w:rFonts w:ascii="Calibri" w:eastAsia="Calibri" w:hAnsi="Calibri" w:cs="Times New Roman"/>
                <w:noProof/>
              </w:rPr>
              <w:t xml:space="preserve">Arrangement of microorganisms on the plate. </w:t>
            </w:r>
            <w:r w:rsidRPr="00220E3D">
              <w:rPr>
                <w:rFonts w:ascii="Calibri" w:eastAsia="Calibri" w:hAnsi="Calibri" w:cs="Times New Roman"/>
                <w:bCs/>
                <w:noProof/>
              </w:rPr>
              <w:t>Microorganisms are numbered in the sequence shown in Table 1. Pink spots represent Gram-negative bacteria, blue spots represent Gram-positive bacteria and the yeast species.</w:t>
            </w:r>
          </w:p>
        </w:tc>
      </w:tr>
      <w:tr w:rsidR="0076361E" w:rsidTr="0076361E">
        <w:trPr>
          <w:trHeight w:val="2948"/>
        </w:trPr>
        <w:tc>
          <w:tcPr>
            <w:tcW w:w="3385" w:type="dxa"/>
            <w:vAlign w:val="center"/>
          </w:tcPr>
          <w:p w:rsidR="0076361E" w:rsidRDefault="0076361E" w:rsidP="003F52D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F586BF" wp14:editId="113F0630">
                  <wp:extent cx="1924050" cy="1800225"/>
                  <wp:effectExtent l="0" t="0" r="0" b="9525"/>
                  <wp:docPr id="3" name="Picture 3" descr="IMG_3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IMG_3274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12" t="4018" r="50745" b="59638"/>
                          <a:stretch/>
                        </pic:blipFill>
                        <pic:spPr bwMode="auto">
                          <a:xfrm>
                            <a:off x="0" y="0"/>
                            <a:ext cx="1924451" cy="180060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</w:tcPr>
          <w:p w:rsidR="0076361E" w:rsidRDefault="0076361E" w:rsidP="003F52D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DD06C7" wp14:editId="6F59C1A1">
                  <wp:extent cx="1819275" cy="1800225"/>
                  <wp:effectExtent l="0" t="0" r="9525" b="9525"/>
                  <wp:docPr id="6" name="Picture 4" descr="IMG_3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IMG_3274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608" t="4820" r="16104" b="57630"/>
                          <a:stretch/>
                        </pic:blipFill>
                        <pic:spPr bwMode="auto">
                          <a:xfrm>
                            <a:off x="0" y="0"/>
                            <a:ext cx="1819557" cy="1800504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61E" w:rsidTr="0076361E">
        <w:trPr>
          <w:trHeight w:val="697"/>
        </w:trPr>
        <w:tc>
          <w:tcPr>
            <w:tcW w:w="3385" w:type="dxa"/>
          </w:tcPr>
          <w:p w:rsidR="0076361E" w:rsidRPr="00220E3D" w:rsidRDefault="0076361E" w:rsidP="003F52D8">
            <w:pPr>
              <w:rPr>
                <w:noProof/>
              </w:rPr>
            </w:pPr>
            <w:r>
              <w:rPr>
                <w:noProof/>
              </w:rPr>
              <w:t xml:space="preserve">With </w:t>
            </w:r>
            <w:r w:rsidRPr="00220E3D">
              <w:rPr>
                <w:noProof/>
              </w:rPr>
              <w:t>ammonium iron (III) citrate</w:t>
            </w:r>
            <w:r>
              <w:rPr>
                <w:noProof/>
              </w:rPr>
              <w:t xml:space="preserve"> (</w:t>
            </w:r>
            <w:r w:rsidRPr="00B12142">
              <w:rPr>
                <w:noProof/>
              </w:rPr>
              <w:t>500</w:t>
            </w:r>
            <w:r w:rsidRPr="006B42D7">
              <w:rPr>
                <w:noProof/>
                <w:color w:val="FF0000"/>
              </w:rPr>
              <w:t xml:space="preserve"> </w:t>
            </w:r>
            <w:r w:rsidRPr="00220E3D">
              <w:rPr>
                <w:noProof/>
              </w:rPr>
              <w:t>mgL</w:t>
            </w:r>
            <w:r w:rsidRPr="00220E3D">
              <w:rPr>
                <w:noProof/>
                <w:vertAlign w:val="superscript"/>
              </w:rPr>
              <w:t>-1</w:t>
            </w:r>
            <w:r>
              <w:rPr>
                <w:noProof/>
              </w:rPr>
              <w:t>)</w:t>
            </w:r>
          </w:p>
        </w:tc>
        <w:tc>
          <w:tcPr>
            <w:tcW w:w="3096" w:type="dxa"/>
          </w:tcPr>
          <w:p w:rsidR="0076361E" w:rsidRDefault="0076361E" w:rsidP="003F52D8">
            <w:pPr>
              <w:rPr>
                <w:noProof/>
              </w:rPr>
            </w:pPr>
            <w:r>
              <w:rPr>
                <w:noProof/>
              </w:rPr>
              <w:t xml:space="preserve">With </w:t>
            </w:r>
            <w:r w:rsidRPr="00220E3D">
              <w:rPr>
                <w:noProof/>
              </w:rPr>
              <w:t>aluminium potassium sulphate dodecahydrate</w:t>
            </w:r>
            <w:r>
              <w:rPr>
                <w:noProof/>
              </w:rPr>
              <w:t xml:space="preserve"> (</w:t>
            </w:r>
            <w:r w:rsidRPr="00B12142">
              <w:rPr>
                <w:noProof/>
              </w:rPr>
              <w:t>500</w:t>
            </w:r>
            <w:r w:rsidRPr="006B42D7">
              <w:rPr>
                <w:noProof/>
                <w:color w:val="FF0000"/>
              </w:rPr>
              <w:t xml:space="preserve"> </w:t>
            </w:r>
            <w:r w:rsidRPr="00220E3D">
              <w:rPr>
                <w:noProof/>
              </w:rPr>
              <w:t>mgL</w:t>
            </w:r>
            <w:r w:rsidRPr="00220E3D">
              <w:rPr>
                <w:noProof/>
                <w:vertAlign w:val="superscript"/>
              </w:rPr>
              <w:t>-1</w:t>
            </w:r>
            <w:r>
              <w:rPr>
                <w:noProof/>
              </w:rPr>
              <w:t>)</w:t>
            </w:r>
          </w:p>
        </w:tc>
      </w:tr>
    </w:tbl>
    <w:p w:rsidR="001240D5" w:rsidRDefault="001240D5" w:rsidP="007A2FBB"/>
    <w:p w:rsidR="00220E3D" w:rsidRDefault="001240D5" w:rsidP="00220E3D">
      <w:r w:rsidRPr="001240D5">
        <w:rPr>
          <w:b/>
        </w:rPr>
        <w:t>Figure 1</w:t>
      </w:r>
      <w:r>
        <w:t xml:space="preserve">. Representative Columbia agar plates depicting the colour produced by substrate </w:t>
      </w:r>
      <w:r w:rsidRPr="00220E3D">
        <w:rPr>
          <w:b/>
        </w:rPr>
        <w:t>13</w:t>
      </w:r>
      <w:r>
        <w:t xml:space="preserve"> </w:t>
      </w:r>
      <w:r w:rsidR="00220E3D" w:rsidRPr="00220E3D">
        <w:t>(100 mgL</w:t>
      </w:r>
      <w:r w:rsidR="00220E3D" w:rsidRPr="00C95CE7">
        <w:rPr>
          <w:vertAlign w:val="superscript"/>
        </w:rPr>
        <w:t>-1</w:t>
      </w:r>
      <w:r w:rsidR="00220E3D" w:rsidRPr="00220E3D">
        <w:t xml:space="preserve">) </w:t>
      </w:r>
      <w:r>
        <w:t xml:space="preserve">against a panel of 20 </w:t>
      </w:r>
      <w:r w:rsidR="00220E3D">
        <w:t xml:space="preserve">microorganisms </w:t>
      </w:r>
      <w:r w:rsidR="00CE2282">
        <w:t>(</w:t>
      </w:r>
      <w:r w:rsidR="00220E3D">
        <w:t xml:space="preserve">inoculum </w:t>
      </w:r>
      <w:r w:rsidR="00220E3D" w:rsidRPr="00BB6525">
        <w:t xml:space="preserve">100,000 </w:t>
      </w:r>
      <w:r w:rsidR="00281811" w:rsidRPr="00281811">
        <w:t>colony forming units</w:t>
      </w:r>
      <w:r w:rsidR="00281811">
        <w:t xml:space="preserve"> (</w:t>
      </w:r>
      <w:r w:rsidR="00E878E7">
        <w:t>CFU</w:t>
      </w:r>
      <w:r w:rsidR="00281811">
        <w:t>)</w:t>
      </w:r>
      <w:r w:rsidR="00BC2271" w:rsidRPr="00B12142">
        <w:t>/spot</w:t>
      </w:r>
      <w:r w:rsidR="00281811">
        <w:t>)</w:t>
      </w:r>
      <w:r w:rsidR="00220E3D">
        <w:t>.</w:t>
      </w:r>
    </w:p>
    <w:p w:rsidR="00220E3D" w:rsidRDefault="002D1380" w:rsidP="007A2FBB">
      <w:r>
        <w:lastRenderedPageBreak/>
        <w:t xml:space="preserve">Figure 2 depicts Columbia agar plates </w:t>
      </w:r>
      <w:r w:rsidR="006470BE">
        <w:t xml:space="preserve">inoculated with </w:t>
      </w:r>
      <w:r w:rsidR="002A3B11">
        <w:t>a representative Gram-negative microorganism,</w:t>
      </w:r>
      <w:r>
        <w:t xml:space="preserve"> </w:t>
      </w:r>
      <w:r w:rsidRPr="002D1380">
        <w:rPr>
          <w:i/>
        </w:rPr>
        <w:t>E.</w:t>
      </w:r>
      <w:r w:rsidR="00FE67BC">
        <w:rPr>
          <w:i/>
        </w:rPr>
        <w:t xml:space="preserve"> </w:t>
      </w:r>
      <w:r w:rsidR="00BC2271">
        <w:rPr>
          <w:i/>
        </w:rPr>
        <w:t>c</w:t>
      </w:r>
      <w:r w:rsidRPr="002D1380">
        <w:rPr>
          <w:i/>
        </w:rPr>
        <w:t>oli</w:t>
      </w:r>
      <w:r w:rsidR="002A3B11">
        <w:t xml:space="preserve">, </w:t>
      </w:r>
      <w:r>
        <w:t xml:space="preserve">in the presence of substrate </w:t>
      </w:r>
      <w:r w:rsidRPr="002D1380">
        <w:rPr>
          <w:b/>
        </w:rPr>
        <w:t>13</w:t>
      </w:r>
      <w:r>
        <w:t xml:space="preserve"> </w:t>
      </w:r>
      <w:r w:rsidR="00BC2271">
        <w:t xml:space="preserve">at </w:t>
      </w:r>
      <w:r>
        <w:t>two concentrations</w:t>
      </w:r>
      <w:r w:rsidR="002A3B11">
        <w:t xml:space="preserve"> </w:t>
      </w:r>
      <w:r w:rsidR="00BC2271">
        <w:t>with two</w:t>
      </w:r>
      <w:r w:rsidR="002A3B11">
        <w:t xml:space="preserve"> metal salts</w:t>
      </w:r>
      <w:r w:rsidR="006470BE">
        <w:t xml:space="preserve"> (both salts at 500 mgL</w:t>
      </w:r>
      <w:r w:rsidR="00281811" w:rsidRPr="00B12142">
        <w:rPr>
          <w:vertAlign w:val="superscript"/>
        </w:rPr>
        <w:t>-1</w:t>
      </w:r>
      <w:r w:rsidR="006470BE">
        <w:t>)</w:t>
      </w:r>
      <w:r w:rsidR="002A3B11">
        <w:t xml:space="preserve">. </w:t>
      </w:r>
      <w:r w:rsidR="00D90E32" w:rsidRPr="00BC04D0">
        <w:t>A bacterial suspension was prepared with a turbidity equivalent to 0.5 McFarland units. We then cultured 10 µL of this suspension and spread the plate to obtain isolated bacterial colonies. The inoculum was approximately 10</w:t>
      </w:r>
      <w:r w:rsidR="00D90E32" w:rsidRPr="00BC04D0">
        <w:rPr>
          <w:vertAlign w:val="superscript"/>
        </w:rPr>
        <w:t>6</w:t>
      </w:r>
      <w:r w:rsidR="00D90E32" w:rsidRPr="00BC04D0">
        <w:t xml:space="preserve"> CFU/plate. </w:t>
      </w:r>
      <w:r w:rsidR="002A3B11">
        <w:t>W</w:t>
      </w:r>
      <w:r w:rsidR="002A3B11" w:rsidRPr="002A3B11">
        <w:t xml:space="preserve">ith </w:t>
      </w:r>
      <w:r w:rsidR="006470BE">
        <w:t xml:space="preserve">substrate </w:t>
      </w:r>
      <w:r w:rsidR="006470BE" w:rsidRPr="002D1380">
        <w:rPr>
          <w:b/>
        </w:rPr>
        <w:t>13</w:t>
      </w:r>
      <w:r w:rsidR="006470BE">
        <w:t xml:space="preserve"> </w:t>
      </w:r>
      <w:r w:rsidR="002A3B11">
        <w:t>at a concentration</w:t>
      </w:r>
      <w:r w:rsidR="00DD3994">
        <w:t xml:space="preserve"> of</w:t>
      </w:r>
      <w:r w:rsidR="004C03B1">
        <w:t xml:space="preserve"> </w:t>
      </w:r>
      <w:r w:rsidR="002A3B11">
        <w:t>100 mgL</w:t>
      </w:r>
      <w:r w:rsidR="002A3B11" w:rsidRPr="002A3B11">
        <w:rPr>
          <w:vertAlign w:val="superscript"/>
        </w:rPr>
        <w:t>-1</w:t>
      </w:r>
      <w:r w:rsidR="002A3B11">
        <w:t xml:space="preserve">, a strong pink colouration is produced </w:t>
      </w:r>
      <w:r w:rsidR="006470BE">
        <w:t xml:space="preserve">by </w:t>
      </w:r>
      <w:r w:rsidR="006470BE" w:rsidRPr="006470BE">
        <w:rPr>
          <w:i/>
        </w:rPr>
        <w:t>E. coli</w:t>
      </w:r>
      <w:r w:rsidR="006470BE">
        <w:t xml:space="preserve"> </w:t>
      </w:r>
      <w:r w:rsidR="002A3B11">
        <w:t>whereas at a low</w:t>
      </w:r>
      <w:r w:rsidR="004C03B1">
        <w:t>er</w:t>
      </w:r>
      <w:r w:rsidR="002A3B11">
        <w:t xml:space="preserve"> </w:t>
      </w:r>
      <w:r w:rsidR="006470BE">
        <w:t xml:space="preserve">substrate </w:t>
      </w:r>
      <w:r w:rsidR="002A3B11">
        <w:t>concentration (50 mgL</w:t>
      </w:r>
      <w:r w:rsidR="002A3B11" w:rsidRPr="002A3B11">
        <w:rPr>
          <w:vertAlign w:val="superscript"/>
        </w:rPr>
        <w:t>-1</w:t>
      </w:r>
      <w:r w:rsidR="002A3B11">
        <w:t xml:space="preserve">) the depth of colour is diminished but </w:t>
      </w:r>
      <w:r w:rsidR="004C03B1">
        <w:t xml:space="preserve">colonies are </w:t>
      </w:r>
      <w:r w:rsidR="002A3B11">
        <w:t xml:space="preserve">still </w:t>
      </w:r>
      <w:r w:rsidR="008404ED">
        <w:t xml:space="preserve">clearly </w:t>
      </w:r>
      <w:r w:rsidR="002A3B11">
        <w:t>visible</w:t>
      </w:r>
      <w:r w:rsidR="004C03B1">
        <w:t xml:space="preserve"> against the background</w:t>
      </w:r>
      <w:r w:rsidR="002A3B11">
        <w:t>.</w:t>
      </w:r>
      <w:r w:rsidR="0030293A">
        <w:t xml:space="preserve"> </w:t>
      </w:r>
      <w:r w:rsidR="006470BE">
        <w:t xml:space="preserve">When </w:t>
      </w:r>
      <w:r w:rsidR="006470BE" w:rsidRPr="006470BE">
        <w:rPr>
          <w:i/>
        </w:rPr>
        <w:t>E. coli</w:t>
      </w:r>
      <w:r w:rsidR="006470BE">
        <w:t xml:space="preserve"> was inoculated onto medium </w:t>
      </w:r>
      <w:r w:rsidR="0030293A">
        <w:t xml:space="preserve">containing </w:t>
      </w:r>
      <w:r w:rsidR="006470BE">
        <w:t xml:space="preserve">substrate </w:t>
      </w:r>
      <w:r w:rsidR="006470BE" w:rsidRPr="002D1380">
        <w:rPr>
          <w:b/>
        </w:rPr>
        <w:t>13</w:t>
      </w:r>
      <w:r w:rsidR="006470BE">
        <w:t xml:space="preserve"> at 10</w:t>
      </w:r>
      <w:r w:rsidR="0030293A">
        <w:t>0 mgL</w:t>
      </w:r>
      <w:r w:rsidR="0030293A" w:rsidRPr="0030293A">
        <w:rPr>
          <w:vertAlign w:val="superscript"/>
        </w:rPr>
        <w:t>-1</w:t>
      </w:r>
      <w:r w:rsidR="0030293A">
        <w:t xml:space="preserve"> </w:t>
      </w:r>
      <w:r w:rsidR="005F776B">
        <w:t>in the presence of</w:t>
      </w:r>
      <w:r w:rsidR="006470BE">
        <w:t xml:space="preserve"> </w:t>
      </w:r>
      <w:r w:rsidR="006470BE" w:rsidRPr="0030293A">
        <w:t>ammonium iron (III) citrate</w:t>
      </w:r>
      <w:r w:rsidR="005F776B">
        <w:t>,</w:t>
      </w:r>
      <w:r w:rsidR="006470BE">
        <w:t xml:space="preserve"> </w:t>
      </w:r>
      <w:r w:rsidR="0030293A">
        <w:t xml:space="preserve">highly coloured purple colonies </w:t>
      </w:r>
      <w:r w:rsidR="006470BE">
        <w:t xml:space="preserve">were generated </w:t>
      </w:r>
      <w:r w:rsidR="0030293A">
        <w:t xml:space="preserve">and </w:t>
      </w:r>
      <w:r w:rsidR="006470BE">
        <w:t>th</w:t>
      </w:r>
      <w:r w:rsidR="005F776B">
        <w:t>is</w:t>
      </w:r>
      <w:r w:rsidR="006470BE">
        <w:t xml:space="preserve"> substrate remained </w:t>
      </w:r>
      <w:r w:rsidR="0030293A">
        <w:t>effective</w:t>
      </w:r>
      <w:r w:rsidR="006470BE">
        <w:t xml:space="preserve"> at a concentration of 50 mgL</w:t>
      </w:r>
      <w:r w:rsidR="006470BE" w:rsidRPr="002A3B11">
        <w:rPr>
          <w:vertAlign w:val="superscript"/>
        </w:rPr>
        <w:t>-1</w:t>
      </w:r>
      <w:r w:rsidR="0030293A">
        <w:t xml:space="preserve">. With both metal salts, there was a good contrast between </w:t>
      </w:r>
      <w:r w:rsidR="006470BE">
        <w:t xml:space="preserve">the colour of bacterial colonies </w:t>
      </w:r>
      <w:r w:rsidR="0030293A">
        <w:t>and the background colouration.</w:t>
      </w:r>
      <w:r w:rsidR="00E317F0">
        <w:t xml:space="preserve"> Figure 3 shows four microorganisms</w:t>
      </w:r>
      <w:r w:rsidR="00A66949">
        <w:t xml:space="preserve"> </w:t>
      </w:r>
      <w:r w:rsidR="00A66949" w:rsidRPr="00BC04D0">
        <w:t>(</w:t>
      </w:r>
      <w:r w:rsidR="005F776B" w:rsidRPr="00BC04D0">
        <w:t xml:space="preserve">at the </w:t>
      </w:r>
      <w:r w:rsidR="00A66949" w:rsidRPr="00BC04D0">
        <w:t xml:space="preserve">same inoculum as </w:t>
      </w:r>
      <w:r w:rsidR="005F776B" w:rsidRPr="00BC04D0">
        <w:t xml:space="preserve">the </w:t>
      </w:r>
      <w:r w:rsidR="00067AF7" w:rsidRPr="00BC04D0">
        <w:t xml:space="preserve">plates depicted in </w:t>
      </w:r>
      <w:r w:rsidR="00A66949" w:rsidRPr="00BC04D0">
        <w:t>Figure 2)</w:t>
      </w:r>
      <w:r w:rsidR="00E317F0" w:rsidRPr="00BC04D0">
        <w:t xml:space="preserve"> </w:t>
      </w:r>
      <w:r w:rsidR="00E317F0">
        <w:t xml:space="preserve">in the presence of substrate </w:t>
      </w:r>
      <w:r w:rsidR="00E317F0" w:rsidRPr="001A06BB">
        <w:rPr>
          <w:b/>
        </w:rPr>
        <w:t>13</w:t>
      </w:r>
      <w:r w:rsidR="00E317F0">
        <w:t xml:space="preserve"> and </w:t>
      </w:r>
      <w:r w:rsidR="00E317F0" w:rsidRPr="00E317F0">
        <w:t>aluminium potassium sulphate dodecahydrate (500 mgL</w:t>
      </w:r>
      <w:r w:rsidR="00E317F0" w:rsidRPr="00E317F0">
        <w:rPr>
          <w:vertAlign w:val="superscript"/>
        </w:rPr>
        <w:t>-1</w:t>
      </w:r>
      <w:r w:rsidR="00E317F0" w:rsidRPr="00E317F0">
        <w:t>)</w:t>
      </w:r>
      <w:r w:rsidR="00E317F0">
        <w:t>. The two Gram-negative microorganisms (top row) produced coloured c</w:t>
      </w:r>
      <w:r w:rsidR="001A06BB">
        <w:t>olonies whereas in contrast, t</w:t>
      </w:r>
      <w:r w:rsidR="001A06BB" w:rsidRPr="001A06BB">
        <w:t>he growth of the two Gram-positive organisms was completely inhibited in the presence of the substrate</w:t>
      </w:r>
      <w:r w:rsidR="001A06BB">
        <w:t xml:space="preserve"> and hence no colouration was produced.</w:t>
      </w:r>
    </w:p>
    <w:p w:rsidR="004400BE" w:rsidRDefault="00847519">
      <w:r>
        <w:rPr>
          <w:noProof/>
        </w:rPr>
        <w:drawing>
          <wp:inline distT="0" distB="0" distL="0" distR="0" wp14:anchorId="5F71367D" wp14:editId="15443473">
            <wp:extent cx="3733800" cy="2800350"/>
            <wp:effectExtent l="0" t="0" r="0" b="0"/>
            <wp:docPr id="4099" name="Picture 3" descr="IMG_2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 descr="IMG_275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099" cy="28110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404ED" w:rsidRDefault="00847519">
      <w:r w:rsidRPr="00847519">
        <w:rPr>
          <w:b/>
        </w:rPr>
        <w:t>Figure 2</w:t>
      </w:r>
      <w:r>
        <w:t xml:space="preserve">. Detection of </w:t>
      </w:r>
      <w:r w:rsidRPr="00164357">
        <w:rPr>
          <w:sz w:val="18"/>
          <w:szCs w:val="18"/>
        </w:rPr>
        <w:t>L</w:t>
      </w:r>
      <w:r>
        <w:t xml:space="preserve">-alanylaminopeptidase activity in </w:t>
      </w:r>
      <w:r w:rsidRPr="00847519">
        <w:rPr>
          <w:i/>
        </w:rPr>
        <w:t xml:space="preserve">E. </w:t>
      </w:r>
      <w:r w:rsidR="008404ED">
        <w:rPr>
          <w:i/>
        </w:rPr>
        <w:t>c</w:t>
      </w:r>
      <w:r w:rsidRPr="00847519">
        <w:rPr>
          <w:i/>
        </w:rPr>
        <w:t>oli</w:t>
      </w:r>
      <w:r>
        <w:t xml:space="preserve"> with substrate </w:t>
      </w:r>
      <w:r w:rsidRPr="00847519">
        <w:rPr>
          <w:b/>
        </w:rPr>
        <w:t>13</w:t>
      </w:r>
      <w:r>
        <w:t xml:space="preserve">. Top row: </w:t>
      </w:r>
      <w:r w:rsidR="008404ED">
        <w:t xml:space="preserve">substrate </w:t>
      </w:r>
      <w:r w:rsidR="008404ED" w:rsidRPr="00B12142">
        <w:rPr>
          <w:b/>
        </w:rPr>
        <w:t>13</w:t>
      </w:r>
      <w:r w:rsidR="008404ED">
        <w:t xml:space="preserve"> at </w:t>
      </w:r>
      <w:r w:rsidR="008404ED" w:rsidRPr="00847519">
        <w:t>50 mgL</w:t>
      </w:r>
      <w:r w:rsidR="008404ED" w:rsidRPr="00847519">
        <w:rPr>
          <w:vertAlign w:val="superscript"/>
        </w:rPr>
        <w:t>-1</w:t>
      </w:r>
      <w:r w:rsidR="008404ED" w:rsidRPr="00847519">
        <w:t xml:space="preserve"> (left) </w:t>
      </w:r>
      <w:r w:rsidR="008404ED">
        <w:t xml:space="preserve">and 100 </w:t>
      </w:r>
      <w:r w:rsidR="008404ED" w:rsidRPr="00847519">
        <w:t>mgL</w:t>
      </w:r>
      <w:r w:rsidR="008404ED" w:rsidRPr="00847519">
        <w:rPr>
          <w:vertAlign w:val="superscript"/>
        </w:rPr>
        <w:t>-1</w:t>
      </w:r>
      <w:r w:rsidR="008404ED" w:rsidRPr="00847519">
        <w:t xml:space="preserve"> (right)</w:t>
      </w:r>
      <w:r w:rsidR="008404ED">
        <w:t xml:space="preserve"> </w:t>
      </w:r>
      <w:r>
        <w:t xml:space="preserve">with </w:t>
      </w:r>
      <w:r w:rsidRPr="00847519">
        <w:t>aluminium potassium sulphate</w:t>
      </w:r>
      <w:r w:rsidR="008404ED">
        <w:t xml:space="preserve"> </w:t>
      </w:r>
      <w:r w:rsidRPr="00847519">
        <w:t>dodecahydrate</w:t>
      </w:r>
      <w:r>
        <w:t xml:space="preserve"> </w:t>
      </w:r>
      <w:r w:rsidR="008404ED">
        <w:t xml:space="preserve">(500 </w:t>
      </w:r>
      <w:r w:rsidR="008404ED" w:rsidRPr="00847519">
        <w:t>mgL</w:t>
      </w:r>
      <w:r w:rsidR="008404ED" w:rsidRPr="00847519">
        <w:rPr>
          <w:vertAlign w:val="superscript"/>
        </w:rPr>
        <w:t>-1</w:t>
      </w:r>
      <w:r w:rsidR="008404ED">
        <w:t xml:space="preserve">), bottom row: substrate </w:t>
      </w:r>
      <w:r w:rsidR="008404ED" w:rsidRPr="00B12142">
        <w:rPr>
          <w:b/>
        </w:rPr>
        <w:t>13</w:t>
      </w:r>
      <w:r w:rsidR="008404ED">
        <w:t xml:space="preserve"> at </w:t>
      </w:r>
      <w:r w:rsidR="008404ED" w:rsidRPr="00847519">
        <w:t>50 mgL</w:t>
      </w:r>
      <w:r w:rsidR="008404ED" w:rsidRPr="00847519">
        <w:rPr>
          <w:vertAlign w:val="superscript"/>
        </w:rPr>
        <w:t>-1</w:t>
      </w:r>
      <w:r w:rsidR="008404ED" w:rsidRPr="00847519">
        <w:t xml:space="preserve"> (left) </w:t>
      </w:r>
      <w:r w:rsidR="008404ED">
        <w:t xml:space="preserve">and 100 </w:t>
      </w:r>
      <w:r w:rsidR="008404ED" w:rsidRPr="00847519">
        <w:t>mgL</w:t>
      </w:r>
      <w:r w:rsidR="008404ED" w:rsidRPr="00847519">
        <w:rPr>
          <w:vertAlign w:val="superscript"/>
        </w:rPr>
        <w:t>-1</w:t>
      </w:r>
      <w:r w:rsidR="008404ED" w:rsidRPr="00847519">
        <w:t xml:space="preserve"> (right)</w:t>
      </w:r>
      <w:r w:rsidR="008404ED">
        <w:t xml:space="preserve"> with </w:t>
      </w:r>
      <w:r w:rsidR="008404ED" w:rsidRPr="00847519">
        <w:t>ammonium iron (III) citrate</w:t>
      </w:r>
      <w:r w:rsidR="008404ED">
        <w:t xml:space="preserve"> (500 </w:t>
      </w:r>
      <w:r w:rsidR="008404ED" w:rsidRPr="00847519">
        <w:t>mgL</w:t>
      </w:r>
      <w:r w:rsidR="008404ED" w:rsidRPr="00847519">
        <w:rPr>
          <w:vertAlign w:val="superscript"/>
        </w:rPr>
        <w:t>-1</w:t>
      </w:r>
      <w:r w:rsidR="008404ED">
        <w:t>).</w:t>
      </w:r>
      <w:r w:rsidR="00DC2F29">
        <w:t xml:space="preserve"> </w:t>
      </w:r>
    </w:p>
    <w:p w:rsidR="002767F7" w:rsidRDefault="002767F7"/>
    <w:p w:rsidR="002767F7" w:rsidRDefault="002767F7">
      <w:r>
        <w:rPr>
          <w:noProof/>
        </w:rPr>
        <w:lastRenderedPageBreak/>
        <w:drawing>
          <wp:inline distT="0" distB="0" distL="0" distR="0" wp14:anchorId="3BF4C7CC" wp14:editId="38A19F6C">
            <wp:extent cx="3987800" cy="2990850"/>
            <wp:effectExtent l="0" t="0" r="0" b="0"/>
            <wp:docPr id="12291" name="Picture 3" descr="IMG_2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3" descr="IMG_275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484" cy="299661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2767F7" w:rsidRDefault="002767F7"/>
    <w:p w:rsidR="002767F7" w:rsidRPr="002767F7" w:rsidRDefault="002767F7">
      <w:r w:rsidRPr="002767F7">
        <w:rPr>
          <w:b/>
        </w:rPr>
        <w:t>Figure 3</w:t>
      </w:r>
      <w:r>
        <w:t xml:space="preserve">. Substrate </w:t>
      </w:r>
      <w:r w:rsidRPr="002767F7">
        <w:rPr>
          <w:b/>
        </w:rPr>
        <w:t>13</w:t>
      </w:r>
      <w:r>
        <w:t xml:space="preserve"> (100 mgL</w:t>
      </w:r>
      <w:r w:rsidRPr="002767F7">
        <w:rPr>
          <w:vertAlign w:val="superscript"/>
        </w:rPr>
        <w:t>-1</w:t>
      </w:r>
      <w:r>
        <w:t xml:space="preserve">) and </w:t>
      </w:r>
      <w:r w:rsidRPr="002767F7">
        <w:t>aluminium potassium sulphate dodecahydrate</w:t>
      </w:r>
      <w:r>
        <w:t xml:space="preserve"> (</w:t>
      </w:r>
      <w:r w:rsidR="008404ED">
        <w:t>5</w:t>
      </w:r>
      <w:r>
        <w:t>00 mgL</w:t>
      </w:r>
      <w:r w:rsidRPr="002767F7">
        <w:rPr>
          <w:vertAlign w:val="superscript"/>
        </w:rPr>
        <w:t>-1</w:t>
      </w:r>
      <w:r>
        <w:t xml:space="preserve">) with: </w:t>
      </w:r>
      <w:r w:rsidRPr="002767F7">
        <w:rPr>
          <w:i/>
        </w:rPr>
        <w:t xml:space="preserve">E. </w:t>
      </w:r>
      <w:r w:rsidR="008404ED">
        <w:rPr>
          <w:i/>
        </w:rPr>
        <w:t>c</w:t>
      </w:r>
      <w:r w:rsidRPr="002767F7">
        <w:rPr>
          <w:i/>
        </w:rPr>
        <w:t>oli</w:t>
      </w:r>
      <w:r>
        <w:t xml:space="preserve"> (top left); </w:t>
      </w:r>
      <w:r w:rsidRPr="002767F7">
        <w:rPr>
          <w:i/>
        </w:rPr>
        <w:t>S</w:t>
      </w:r>
      <w:r>
        <w:t xml:space="preserve">. </w:t>
      </w:r>
      <w:r w:rsidRPr="002767F7">
        <w:rPr>
          <w:i/>
        </w:rPr>
        <w:t>typhimurium</w:t>
      </w:r>
      <w:r w:rsidRPr="002767F7">
        <w:t xml:space="preserve"> </w:t>
      </w:r>
      <w:r>
        <w:t xml:space="preserve">(top right); </w:t>
      </w:r>
      <w:r w:rsidRPr="002767F7">
        <w:rPr>
          <w:i/>
        </w:rPr>
        <w:t>S.</w:t>
      </w:r>
      <w:r>
        <w:t xml:space="preserve"> </w:t>
      </w:r>
      <w:r w:rsidRPr="002767F7">
        <w:rPr>
          <w:i/>
        </w:rPr>
        <w:t>aureus</w:t>
      </w:r>
      <w:r>
        <w:rPr>
          <w:i/>
        </w:rPr>
        <w:t xml:space="preserve"> </w:t>
      </w:r>
      <w:r>
        <w:t>(</w:t>
      </w:r>
      <w:r w:rsidRPr="00B12142">
        <w:t>MSSA</w:t>
      </w:r>
      <w:r>
        <w:t>)</w:t>
      </w:r>
      <w:r w:rsidR="00821DB4">
        <w:t xml:space="preserve"> </w:t>
      </w:r>
      <w:r>
        <w:t xml:space="preserve">(bottom left) and </w:t>
      </w:r>
      <w:r w:rsidRPr="002767F7">
        <w:rPr>
          <w:i/>
        </w:rPr>
        <w:t>S. pyogenes</w:t>
      </w:r>
      <w:r>
        <w:t xml:space="preserve"> (bottom right). </w:t>
      </w:r>
    </w:p>
    <w:p w:rsidR="002767F7" w:rsidRDefault="00D74813">
      <w:r>
        <w:t xml:space="preserve">In conclusion, substrate </w:t>
      </w:r>
      <w:r w:rsidRPr="00E878E7">
        <w:rPr>
          <w:b/>
        </w:rPr>
        <w:t>13</w:t>
      </w:r>
      <w:r>
        <w:t xml:space="preserve"> enabled effective detection of </w:t>
      </w:r>
      <w:r w:rsidRPr="001A06BB">
        <w:rPr>
          <w:sz w:val="18"/>
          <w:szCs w:val="18"/>
        </w:rPr>
        <w:t>L</w:t>
      </w:r>
      <w:r>
        <w:t>-alanylaminopeptidase activity in all Gram-negative bacteria tested here. The chromogenic substrate showed high sensitivity at a relatively low concentration (</w:t>
      </w:r>
      <w:r w:rsidRPr="00847519">
        <w:t>50 mgL</w:t>
      </w:r>
      <w:r w:rsidRPr="00847519">
        <w:rPr>
          <w:vertAlign w:val="superscript"/>
        </w:rPr>
        <w:t>-1</w:t>
      </w:r>
      <w:r>
        <w:t>), with no diffusion of the coloured chelate into the surrounding agar. Lack of diffusion is important as it allows colonies to be distinguished with polymicrobial cultures. Most Gram</w:t>
      </w:r>
      <w:r w:rsidR="00381785">
        <w:t>-</w:t>
      </w:r>
      <w:r>
        <w:t xml:space="preserve">positive bacteria were inhibited by the </w:t>
      </w:r>
      <w:r w:rsidRPr="00BC04D0">
        <w:t>substrate</w:t>
      </w:r>
      <w:r w:rsidR="00B62050" w:rsidRPr="00BC04D0">
        <w:t xml:space="preserve">’s toxicity </w:t>
      </w:r>
      <w:r>
        <w:t xml:space="preserve">which may be an advantage or a disadvantage depending on the desired application. The synthesis and evaluation of other amino-acyl derivatives of </w:t>
      </w:r>
      <w:r w:rsidR="00B7291D">
        <w:t>A</w:t>
      </w:r>
      <w:r>
        <w:t xml:space="preserve">lizarin could be of interest to target other </w:t>
      </w:r>
      <w:r w:rsidR="00F504AB">
        <w:t xml:space="preserve">peptidase </w:t>
      </w:r>
      <w:r>
        <w:t>enzymes that allow taxonomic differentiation between species of interest.</w:t>
      </w:r>
    </w:p>
    <w:p w:rsidR="004400BE" w:rsidRPr="004400BE" w:rsidRDefault="004400BE" w:rsidP="004400BE">
      <w:pPr>
        <w:rPr>
          <w:b/>
        </w:rPr>
      </w:pPr>
      <w:r w:rsidRPr="004400BE">
        <w:rPr>
          <w:b/>
        </w:rPr>
        <w:t xml:space="preserve">Acknowledgements </w:t>
      </w:r>
    </w:p>
    <w:p w:rsidR="004400BE" w:rsidRDefault="004400BE" w:rsidP="004400BE">
      <w:r w:rsidRPr="004400BE">
        <w:t xml:space="preserve">We thank bioMérieux SA for generous financial support and the EPSRC </w:t>
      </w:r>
      <w:r w:rsidR="00EC74FF">
        <w:t xml:space="preserve">UK National </w:t>
      </w:r>
      <w:r w:rsidRPr="004400BE">
        <w:t xml:space="preserve">Mass Spectrometry </w:t>
      </w:r>
      <w:r w:rsidR="00EC74FF">
        <w:t>Facility at</w:t>
      </w:r>
      <w:r w:rsidRPr="004400BE">
        <w:t xml:space="preserve"> Swansea</w:t>
      </w:r>
      <w:r w:rsidR="00EC74FF">
        <w:t xml:space="preserve"> University</w:t>
      </w:r>
      <w:r w:rsidRPr="004400BE">
        <w:t xml:space="preserve"> for high resolution mass spectra. </w:t>
      </w:r>
    </w:p>
    <w:p w:rsidR="002A3955" w:rsidRPr="002A3955" w:rsidRDefault="002A3955" w:rsidP="004400BE">
      <w:pPr>
        <w:rPr>
          <w:b/>
        </w:rPr>
      </w:pPr>
      <w:r w:rsidRPr="002A3955">
        <w:rPr>
          <w:b/>
        </w:rPr>
        <w:t>References</w:t>
      </w:r>
    </w:p>
    <w:p w:rsidR="002A3955" w:rsidRPr="002A3955" w:rsidRDefault="002A3955" w:rsidP="002A3955">
      <w:pPr>
        <w:spacing w:after="0"/>
        <w:rPr>
          <w:lang w:val="fr-FR"/>
        </w:rPr>
      </w:pPr>
      <w:r w:rsidRPr="002A3955">
        <w:t xml:space="preserve">1. For recent reviews see: Alouane, A.; Labruère, R.; Le Saux, T.; Schmidt, F.; Jullien, L. </w:t>
      </w:r>
      <w:r w:rsidRPr="002A3955">
        <w:rPr>
          <w:i/>
        </w:rPr>
        <w:t>Angew. Chem. Int. Ed</w:t>
      </w:r>
      <w:r w:rsidRPr="002A3955">
        <w:t xml:space="preserve">. </w:t>
      </w:r>
      <w:r w:rsidRPr="002A3955">
        <w:rPr>
          <w:b/>
        </w:rPr>
        <w:t>2015</w:t>
      </w:r>
      <w:r w:rsidRPr="002A3955">
        <w:t xml:space="preserve">, </w:t>
      </w:r>
      <w:r w:rsidRPr="002A3955">
        <w:rPr>
          <w:i/>
        </w:rPr>
        <w:t>54</w:t>
      </w:r>
      <w:r w:rsidRPr="002A3955">
        <w:t xml:space="preserve">, 7492; Gnaim, S.; Shabat, D. </w:t>
      </w:r>
      <w:r w:rsidRPr="002A3955">
        <w:rPr>
          <w:i/>
        </w:rPr>
        <w:t xml:space="preserve">Acc. </w:t>
      </w:r>
      <w:r w:rsidRPr="002A3955">
        <w:rPr>
          <w:i/>
          <w:lang w:val="fr-FR"/>
        </w:rPr>
        <w:t>Chem. Res</w:t>
      </w:r>
      <w:r w:rsidRPr="002A3955">
        <w:rPr>
          <w:lang w:val="fr-FR"/>
        </w:rPr>
        <w:t xml:space="preserve">. </w:t>
      </w:r>
      <w:r w:rsidRPr="002A3955">
        <w:rPr>
          <w:b/>
          <w:lang w:val="fr-FR"/>
        </w:rPr>
        <w:t>2014</w:t>
      </w:r>
      <w:r w:rsidRPr="002A3955">
        <w:rPr>
          <w:lang w:val="fr-FR"/>
        </w:rPr>
        <w:t xml:space="preserve">, </w:t>
      </w:r>
      <w:r w:rsidRPr="002A3955">
        <w:rPr>
          <w:i/>
          <w:lang w:val="fr-FR"/>
        </w:rPr>
        <w:t>47</w:t>
      </w:r>
      <w:r w:rsidRPr="002A3955">
        <w:rPr>
          <w:lang w:val="fr-FR"/>
        </w:rPr>
        <w:t xml:space="preserve">, 2970; Chen, L.; Li, J.; Du, L.; Li, M. </w:t>
      </w:r>
      <w:r w:rsidRPr="002A3955">
        <w:rPr>
          <w:i/>
          <w:lang w:val="fr-FR"/>
        </w:rPr>
        <w:t>Med. Res. Rev</w:t>
      </w:r>
      <w:r w:rsidRPr="002A3955">
        <w:rPr>
          <w:lang w:val="fr-FR"/>
        </w:rPr>
        <w:t xml:space="preserve">. </w:t>
      </w:r>
      <w:r w:rsidRPr="002A3955">
        <w:rPr>
          <w:b/>
          <w:lang w:val="fr-FR"/>
        </w:rPr>
        <w:t>2014</w:t>
      </w:r>
      <w:r w:rsidRPr="002A3955">
        <w:rPr>
          <w:lang w:val="fr-FR"/>
        </w:rPr>
        <w:t xml:space="preserve">, </w:t>
      </w:r>
      <w:r w:rsidRPr="002A3955">
        <w:rPr>
          <w:i/>
          <w:lang w:val="fr-FR"/>
        </w:rPr>
        <w:t>34</w:t>
      </w:r>
      <w:r w:rsidRPr="002A3955">
        <w:rPr>
          <w:lang w:val="fr-FR"/>
        </w:rPr>
        <w:t>, 1217.</w:t>
      </w:r>
    </w:p>
    <w:p w:rsidR="002A3955" w:rsidRPr="002A3955" w:rsidRDefault="002A3955" w:rsidP="002A3955">
      <w:pPr>
        <w:spacing w:after="0"/>
        <w:rPr>
          <w:lang w:val="fr-FR"/>
        </w:rPr>
      </w:pPr>
      <w:r w:rsidRPr="002A3955">
        <w:rPr>
          <w:lang w:val="fr-FR"/>
        </w:rPr>
        <w:t xml:space="preserve">2. Richard, J.-A.; Meyer, Y.; Jolivel, V.; Massonneau, M.; Dumeunier, R.; Vaudry, D.; Vaudry, H.; Renard, P.-Y.; Romieu, A. </w:t>
      </w:r>
      <w:r w:rsidRPr="002A3955">
        <w:rPr>
          <w:i/>
          <w:lang w:val="fr-FR"/>
        </w:rPr>
        <w:t>Bioconjugate Chem</w:t>
      </w:r>
      <w:r w:rsidRPr="002A3955">
        <w:rPr>
          <w:lang w:val="fr-FR"/>
        </w:rPr>
        <w:t xml:space="preserve">. </w:t>
      </w:r>
      <w:r w:rsidRPr="002A3955">
        <w:rPr>
          <w:b/>
          <w:lang w:val="fr-FR"/>
        </w:rPr>
        <w:t>2008</w:t>
      </w:r>
      <w:r w:rsidRPr="002A3955">
        <w:rPr>
          <w:lang w:val="fr-FR"/>
        </w:rPr>
        <w:t xml:space="preserve">, </w:t>
      </w:r>
      <w:r w:rsidRPr="002A3955">
        <w:rPr>
          <w:i/>
          <w:lang w:val="fr-FR"/>
        </w:rPr>
        <w:t>19</w:t>
      </w:r>
      <w:r w:rsidRPr="002A3955">
        <w:rPr>
          <w:lang w:val="fr-FR"/>
        </w:rPr>
        <w:t>, 1707.</w:t>
      </w:r>
    </w:p>
    <w:p w:rsidR="002A3955" w:rsidRPr="002A3955" w:rsidRDefault="002A3955" w:rsidP="002A3955">
      <w:pPr>
        <w:spacing w:after="0"/>
        <w:rPr>
          <w:lang w:val="fr-FR"/>
        </w:rPr>
      </w:pPr>
      <w:r w:rsidRPr="002A3955">
        <w:rPr>
          <w:lang w:val="fr-FR"/>
        </w:rPr>
        <w:t xml:space="preserve">3. Meyer, Y.; Richard, J.-A.; Delest, B.; Noack, P.; Renard, P.-Y.; Romieu, A. </w:t>
      </w:r>
      <w:r w:rsidRPr="002A3955">
        <w:rPr>
          <w:i/>
          <w:lang w:val="fr-FR"/>
        </w:rPr>
        <w:t>Org. Biomol. Chem.</w:t>
      </w:r>
      <w:r w:rsidRPr="002A3955">
        <w:rPr>
          <w:lang w:val="fr-FR"/>
        </w:rPr>
        <w:t xml:space="preserve"> </w:t>
      </w:r>
      <w:r w:rsidRPr="002A3955">
        <w:rPr>
          <w:b/>
          <w:lang w:val="fr-FR"/>
        </w:rPr>
        <w:t>2010</w:t>
      </w:r>
      <w:r w:rsidRPr="002A3955">
        <w:rPr>
          <w:lang w:val="fr-FR"/>
        </w:rPr>
        <w:t xml:space="preserve">, </w:t>
      </w:r>
      <w:r w:rsidRPr="002A3955">
        <w:rPr>
          <w:i/>
          <w:lang w:val="fr-FR"/>
        </w:rPr>
        <w:t>8</w:t>
      </w:r>
      <w:r w:rsidRPr="002A3955">
        <w:rPr>
          <w:lang w:val="fr-FR"/>
        </w:rPr>
        <w:t>, 1777.</w:t>
      </w:r>
    </w:p>
    <w:p w:rsidR="002A3955" w:rsidRDefault="002A3955" w:rsidP="002A3955">
      <w:pPr>
        <w:spacing w:after="0"/>
      </w:pPr>
      <w:r>
        <w:rPr>
          <w:lang w:val="fr-FR"/>
        </w:rPr>
        <w:t>4</w:t>
      </w:r>
      <w:r w:rsidRPr="002A3955">
        <w:rPr>
          <w:lang w:val="fr-FR"/>
        </w:rPr>
        <w:t xml:space="preserve">. Vezenkov, L.; Honson, N. S.; Kumar, N. S.; Bosc, D.; Kovacic, S.; Nguyen, T. G.; Pfeifer, T. A.; Young, R. N. </w:t>
      </w:r>
      <w:r w:rsidRPr="002A3955">
        <w:rPr>
          <w:i/>
          <w:lang w:val="fr-FR"/>
        </w:rPr>
        <w:t xml:space="preserve">Bioorg. </w:t>
      </w:r>
      <w:r w:rsidRPr="002A3955">
        <w:rPr>
          <w:i/>
        </w:rPr>
        <w:t>Med. Chem</w:t>
      </w:r>
      <w:r w:rsidRPr="002A3955">
        <w:t xml:space="preserve">. </w:t>
      </w:r>
      <w:r w:rsidRPr="002A3955">
        <w:rPr>
          <w:b/>
        </w:rPr>
        <w:t>2015</w:t>
      </w:r>
      <w:r w:rsidRPr="002A3955">
        <w:t xml:space="preserve">, </w:t>
      </w:r>
      <w:r w:rsidRPr="002A3955">
        <w:rPr>
          <w:i/>
        </w:rPr>
        <w:t>23</w:t>
      </w:r>
      <w:r w:rsidRPr="002A3955">
        <w:t>, 3237.</w:t>
      </w:r>
    </w:p>
    <w:p w:rsidR="008C7B50" w:rsidRDefault="008C7B50" w:rsidP="002A3955">
      <w:pPr>
        <w:spacing w:after="0"/>
      </w:pPr>
      <w:r>
        <w:lastRenderedPageBreak/>
        <w:t>5.</w:t>
      </w:r>
      <w:r w:rsidR="0055276D">
        <w:t xml:space="preserve"> Arian, D.; Harenburg, J.; Kramer, R. </w:t>
      </w:r>
      <w:r w:rsidR="0055276D" w:rsidRPr="00FE67BC">
        <w:rPr>
          <w:i/>
        </w:rPr>
        <w:t>J. Med. Chem</w:t>
      </w:r>
      <w:r w:rsidR="0055276D">
        <w:t xml:space="preserve">. </w:t>
      </w:r>
      <w:r w:rsidR="0055276D" w:rsidRPr="00FE67BC">
        <w:rPr>
          <w:b/>
        </w:rPr>
        <w:t>2016</w:t>
      </w:r>
      <w:r w:rsidR="0055276D">
        <w:t xml:space="preserve">, </w:t>
      </w:r>
      <w:r w:rsidR="0055276D" w:rsidRPr="00FE67BC">
        <w:rPr>
          <w:i/>
        </w:rPr>
        <w:t>59</w:t>
      </w:r>
      <w:r w:rsidR="0055276D">
        <w:t>, 7576.</w:t>
      </w:r>
    </w:p>
    <w:p w:rsidR="002A3955" w:rsidRPr="00FE67BC" w:rsidRDefault="008C7B50" w:rsidP="002A3955">
      <w:pPr>
        <w:spacing w:after="0"/>
      </w:pPr>
      <w:r>
        <w:t>6</w:t>
      </w:r>
      <w:r w:rsidR="002A3955" w:rsidRPr="002A3955">
        <w:t xml:space="preserve">. Cellier, M.; James, A. L.; Lowe, J.; </w:t>
      </w:r>
      <w:r w:rsidR="002A3955">
        <w:t>Orenga, S.</w:t>
      </w:r>
      <w:r w:rsidR="002A3955" w:rsidRPr="002A3955">
        <w:t xml:space="preserve">; Perry, J. D.; Rasul, A. </w:t>
      </w:r>
      <w:r w:rsidR="002A3955">
        <w:t>K.; Stanforth, S. P.</w:t>
      </w:r>
      <w:r w:rsidR="0058007E">
        <w:t xml:space="preserve"> </w:t>
      </w:r>
      <w:r w:rsidR="00281811">
        <w:rPr>
          <w:color w:val="FF0000"/>
        </w:rPr>
        <w:t xml:space="preserve"> </w:t>
      </w:r>
      <w:r w:rsidR="00281811" w:rsidRPr="00FE67BC">
        <w:rPr>
          <w:i/>
        </w:rPr>
        <w:t>Bioorg. Med. Chem.</w:t>
      </w:r>
      <w:r w:rsidR="00281811" w:rsidRPr="00FE67BC">
        <w:t xml:space="preserve"> </w:t>
      </w:r>
      <w:r w:rsidR="00821DB4" w:rsidRPr="00FE67BC">
        <w:rPr>
          <w:b/>
        </w:rPr>
        <w:t>2016</w:t>
      </w:r>
      <w:r w:rsidR="00821DB4">
        <w:t xml:space="preserve">, </w:t>
      </w:r>
      <w:r w:rsidR="00821DB4" w:rsidRPr="00FE67BC">
        <w:rPr>
          <w:i/>
        </w:rPr>
        <w:t>24</w:t>
      </w:r>
      <w:r w:rsidR="00821DB4">
        <w:t>, 4066.</w:t>
      </w:r>
    </w:p>
    <w:p w:rsidR="002A3955" w:rsidRPr="002A3955" w:rsidRDefault="008C7B50" w:rsidP="002A3955">
      <w:pPr>
        <w:spacing w:after="0"/>
      </w:pPr>
      <w:r>
        <w:t>7</w:t>
      </w:r>
      <w:r w:rsidR="002A3955" w:rsidRPr="002A3955">
        <w:t xml:space="preserve">. Orenga, S.; James, A. L.; Manfi, M.; Perry, J. D.; Pincus, D. H. </w:t>
      </w:r>
      <w:r w:rsidR="002A3955" w:rsidRPr="002A3955">
        <w:rPr>
          <w:i/>
        </w:rPr>
        <w:t>J. Microbiol. Methods</w:t>
      </w:r>
      <w:r w:rsidR="002A3955" w:rsidRPr="002A3955">
        <w:t xml:space="preserve"> </w:t>
      </w:r>
      <w:r w:rsidR="002A3955" w:rsidRPr="002A3955">
        <w:rPr>
          <w:b/>
        </w:rPr>
        <w:t>2009</w:t>
      </w:r>
      <w:r w:rsidR="002A3955" w:rsidRPr="002A3955">
        <w:t xml:space="preserve">, </w:t>
      </w:r>
      <w:r w:rsidR="002A3955" w:rsidRPr="002A3955">
        <w:rPr>
          <w:i/>
        </w:rPr>
        <w:t>79</w:t>
      </w:r>
      <w:r w:rsidR="002A3955" w:rsidRPr="002A3955">
        <w:t>, 139</w:t>
      </w:r>
      <w:r w:rsidR="00BB249D">
        <w:t>.</w:t>
      </w:r>
      <w:r w:rsidR="002A3955" w:rsidRPr="002A3955">
        <w:t xml:space="preserve"> </w:t>
      </w:r>
    </w:p>
    <w:p w:rsidR="002A3955" w:rsidRPr="002A3955" w:rsidRDefault="008C7B50" w:rsidP="002A3955">
      <w:pPr>
        <w:spacing w:after="0"/>
      </w:pPr>
      <w:r>
        <w:t>8</w:t>
      </w:r>
      <w:r w:rsidR="002A3955" w:rsidRPr="002A3955">
        <w:t xml:space="preserve">. Anderson, R. J.; Groundwater, P. W.; Huang, Y.; James, A. L.; Orenga, S.; Rigby, A.; Roger-Dalbert, C.; Perry, J. D.  </w:t>
      </w:r>
      <w:r w:rsidR="002A3955" w:rsidRPr="002A3955">
        <w:rPr>
          <w:i/>
        </w:rPr>
        <w:t>Bioorg. Med. Chem. Lett</w:t>
      </w:r>
      <w:r w:rsidR="002A3955" w:rsidRPr="002A3955">
        <w:t xml:space="preserve">. </w:t>
      </w:r>
      <w:r w:rsidR="002A3955" w:rsidRPr="002A3955">
        <w:rPr>
          <w:b/>
        </w:rPr>
        <w:t>2008</w:t>
      </w:r>
      <w:r w:rsidR="002A3955" w:rsidRPr="002A3955">
        <w:t xml:space="preserve">, </w:t>
      </w:r>
      <w:r w:rsidR="002A3955" w:rsidRPr="002A3955">
        <w:rPr>
          <w:i/>
        </w:rPr>
        <w:t>18</w:t>
      </w:r>
      <w:r w:rsidR="002A3955" w:rsidRPr="002A3955">
        <w:t>, 832.</w:t>
      </w:r>
    </w:p>
    <w:p w:rsidR="002A3955" w:rsidRDefault="008C7B50" w:rsidP="002A3955">
      <w:pPr>
        <w:spacing w:after="0"/>
      </w:pPr>
      <w:r>
        <w:t>9</w:t>
      </w:r>
      <w:r w:rsidR="002A3955" w:rsidRPr="002A3955">
        <w:t xml:space="preserve">. Carlone, G. M.; Valadez, M. J.; Pickett, M. J.  </w:t>
      </w:r>
      <w:r w:rsidR="002A3955" w:rsidRPr="002A3955">
        <w:rPr>
          <w:i/>
        </w:rPr>
        <w:t>J. Clin. Microbiol</w:t>
      </w:r>
      <w:r w:rsidR="002A3955" w:rsidRPr="002A3955">
        <w:t xml:space="preserve">. </w:t>
      </w:r>
      <w:r w:rsidR="002A3955" w:rsidRPr="002A3955">
        <w:rPr>
          <w:b/>
        </w:rPr>
        <w:t>1982</w:t>
      </w:r>
      <w:r w:rsidR="002A3955" w:rsidRPr="002A3955">
        <w:t xml:space="preserve">, </w:t>
      </w:r>
      <w:r w:rsidR="002A3955" w:rsidRPr="002A3955">
        <w:rPr>
          <w:i/>
        </w:rPr>
        <w:t>16</w:t>
      </w:r>
      <w:r w:rsidR="002A3955" w:rsidRPr="002A3955">
        <w:t>, 1157. </w:t>
      </w:r>
    </w:p>
    <w:p w:rsidR="008173D7" w:rsidRPr="00BC04D0" w:rsidRDefault="008173D7" w:rsidP="008173D7">
      <w:pPr>
        <w:spacing w:after="0"/>
      </w:pPr>
      <w:r w:rsidRPr="00BC04D0">
        <w:t xml:space="preserve">10. Váradi, L.; Hibbs, D. E.; Orenga, S.; Babolat, M.; Perry, J. D.; Groundwater, P. W. RSC Adv. </w:t>
      </w:r>
      <w:r w:rsidRPr="00BC04D0">
        <w:rPr>
          <w:b/>
        </w:rPr>
        <w:t>2016</w:t>
      </w:r>
      <w:r w:rsidRPr="00BC04D0">
        <w:t xml:space="preserve">, </w:t>
      </w:r>
      <w:r w:rsidRPr="00BC04D0">
        <w:rPr>
          <w:i/>
        </w:rPr>
        <w:t>6</w:t>
      </w:r>
      <w:r w:rsidRPr="00BC04D0">
        <w:t>, 58884.</w:t>
      </w:r>
    </w:p>
    <w:p w:rsidR="0058007E" w:rsidRPr="0058007E" w:rsidRDefault="008C7B50" w:rsidP="0058007E">
      <w:pPr>
        <w:spacing w:after="0"/>
      </w:pPr>
      <w:r>
        <w:t>1</w:t>
      </w:r>
      <w:r w:rsidR="008173D7">
        <w:t>1</w:t>
      </w:r>
      <w:r w:rsidR="0058007E" w:rsidRPr="0058007E">
        <w:t>. James,</w:t>
      </w:r>
      <w:r w:rsidR="0058007E">
        <w:t xml:space="preserve"> A. L.; </w:t>
      </w:r>
      <w:r w:rsidR="0058007E" w:rsidRPr="0058007E">
        <w:t>Perry,</w:t>
      </w:r>
      <w:r w:rsidR="0058007E">
        <w:t xml:space="preserve"> J. D.; </w:t>
      </w:r>
      <w:r w:rsidR="0058007E" w:rsidRPr="0058007E">
        <w:t>Ford,</w:t>
      </w:r>
      <w:r w:rsidR="0058007E">
        <w:t xml:space="preserve"> M.; </w:t>
      </w:r>
      <w:r w:rsidR="0058007E" w:rsidRPr="0058007E">
        <w:t>Armstrong</w:t>
      </w:r>
      <w:r w:rsidR="0058007E">
        <w:t xml:space="preserve">, L.; </w:t>
      </w:r>
      <w:r w:rsidR="0058007E" w:rsidRPr="0058007E">
        <w:t>Gould,</w:t>
      </w:r>
      <w:r w:rsidR="0058007E">
        <w:t xml:space="preserve"> F. K.</w:t>
      </w:r>
      <w:r w:rsidR="0058007E" w:rsidRPr="0058007E">
        <w:t xml:space="preserve"> </w:t>
      </w:r>
      <w:r w:rsidR="0058007E" w:rsidRPr="0058007E">
        <w:rPr>
          <w:i/>
        </w:rPr>
        <w:t>J. Appl. Microbiol</w:t>
      </w:r>
      <w:r w:rsidR="0058007E" w:rsidRPr="0058007E">
        <w:t xml:space="preserve">. </w:t>
      </w:r>
      <w:r w:rsidR="0058007E" w:rsidRPr="0058007E">
        <w:rPr>
          <w:b/>
        </w:rPr>
        <w:t>1997</w:t>
      </w:r>
      <w:r w:rsidR="0058007E" w:rsidRPr="0058007E">
        <w:t xml:space="preserve">, </w:t>
      </w:r>
      <w:r w:rsidR="0058007E" w:rsidRPr="0058007E">
        <w:rPr>
          <w:i/>
        </w:rPr>
        <w:t>82</w:t>
      </w:r>
      <w:r w:rsidR="0058007E" w:rsidRPr="0058007E">
        <w:t xml:space="preserve">, 532. </w:t>
      </w:r>
    </w:p>
    <w:p w:rsidR="0058007E" w:rsidRDefault="0058007E" w:rsidP="0058007E">
      <w:pPr>
        <w:spacing w:after="0"/>
      </w:pPr>
      <w:r>
        <w:t>1</w:t>
      </w:r>
      <w:r w:rsidR="008173D7">
        <w:t>2</w:t>
      </w:r>
      <w:r w:rsidRPr="0058007E">
        <w:t>. James,</w:t>
      </w:r>
      <w:r>
        <w:t xml:space="preserve"> A. L.; </w:t>
      </w:r>
      <w:r w:rsidRPr="0058007E">
        <w:t>Perry,</w:t>
      </w:r>
      <w:r>
        <w:t xml:space="preserve"> J. D.; </w:t>
      </w:r>
      <w:r w:rsidRPr="0058007E">
        <w:t>Chilvers,</w:t>
      </w:r>
      <w:r>
        <w:t xml:space="preserve"> K.; </w:t>
      </w:r>
      <w:r w:rsidRPr="0058007E">
        <w:t>Robson,</w:t>
      </w:r>
      <w:r>
        <w:t xml:space="preserve"> I. S.; </w:t>
      </w:r>
      <w:r w:rsidRPr="0058007E">
        <w:t>Armstrong</w:t>
      </w:r>
      <w:r>
        <w:t xml:space="preserve">, L.; </w:t>
      </w:r>
      <w:r w:rsidRPr="0058007E">
        <w:t>Orr,</w:t>
      </w:r>
      <w:r>
        <w:t xml:space="preserve"> K. E.</w:t>
      </w:r>
      <w:r w:rsidRPr="0058007E">
        <w:t xml:space="preserve"> </w:t>
      </w:r>
      <w:r w:rsidRPr="0058007E">
        <w:rPr>
          <w:i/>
        </w:rPr>
        <w:t>Lett. Appl. Microbiol</w:t>
      </w:r>
      <w:r w:rsidRPr="0058007E">
        <w:t xml:space="preserve">. </w:t>
      </w:r>
      <w:r w:rsidRPr="0058007E">
        <w:rPr>
          <w:b/>
        </w:rPr>
        <w:t>2000</w:t>
      </w:r>
      <w:r w:rsidRPr="0058007E">
        <w:t xml:space="preserve">, </w:t>
      </w:r>
      <w:r w:rsidRPr="0058007E">
        <w:rPr>
          <w:i/>
        </w:rPr>
        <w:t>30</w:t>
      </w:r>
      <w:r w:rsidRPr="0058007E">
        <w:t xml:space="preserve">, 336. </w:t>
      </w:r>
    </w:p>
    <w:p w:rsidR="00836BFA" w:rsidRPr="00BC04D0" w:rsidRDefault="008173D7" w:rsidP="00836BFA">
      <w:pPr>
        <w:pStyle w:val="PlainText"/>
      </w:pPr>
      <w:bookmarkStart w:id="0" w:name="_GoBack"/>
      <w:r w:rsidRPr="00BC04D0">
        <w:t xml:space="preserve">13. </w:t>
      </w:r>
      <w:r w:rsidR="00836BFA" w:rsidRPr="00BC04D0">
        <w:t xml:space="preserve">Perry, J. D.; Morris, K. A.; James, A. L.; Oliver, M.; Gould, F. K.  </w:t>
      </w:r>
      <w:r w:rsidR="00836BFA" w:rsidRPr="00BC04D0">
        <w:rPr>
          <w:i/>
        </w:rPr>
        <w:t>J. Appl. Microbiol</w:t>
      </w:r>
      <w:r w:rsidR="00836BFA" w:rsidRPr="00BC04D0">
        <w:t xml:space="preserve">. </w:t>
      </w:r>
      <w:r w:rsidR="00836BFA" w:rsidRPr="00BC04D0">
        <w:rPr>
          <w:b/>
        </w:rPr>
        <w:t>2007</w:t>
      </w:r>
      <w:r w:rsidR="00836BFA" w:rsidRPr="00BC04D0">
        <w:t xml:space="preserve">, </w:t>
      </w:r>
      <w:r w:rsidR="00836BFA" w:rsidRPr="00BC04D0">
        <w:rPr>
          <w:i/>
        </w:rPr>
        <w:t>102</w:t>
      </w:r>
      <w:r w:rsidR="00836BFA" w:rsidRPr="00BC04D0">
        <w:t>, 410.</w:t>
      </w:r>
    </w:p>
    <w:bookmarkEnd w:id="0"/>
    <w:p w:rsidR="00007761" w:rsidRDefault="00007761" w:rsidP="004400BE"/>
    <w:p w:rsidR="00491152" w:rsidRPr="004400BE" w:rsidRDefault="00491152" w:rsidP="004400BE"/>
    <w:p w:rsidR="004400BE" w:rsidRDefault="004400BE"/>
    <w:sectPr w:rsidR="004400BE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4E5" w:rsidRDefault="00FB24E5" w:rsidP="00007761">
      <w:pPr>
        <w:spacing w:after="0" w:line="240" w:lineRule="auto"/>
      </w:pPr>
      <w:r>
        <w:separator/>
      </w:r>
    </w:p>
  </w:endnote>
  <w:endnote w:type="continuationSeparator" w:id="0">
    <w:p w:rsidR="00FB24E5" w:rsidRDefault="00FB24E5" w:rsidP="00007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05875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56C4" w:rsidRDefault="007456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04D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456C4" w:rsidRDefault="00745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4E5" w:rsidRDefault="00FB24E5" w:rsidP="00007761">
      <w:pPr>
        <w:spacing w:after="0" w:line="240" w:lineRule="auto"/>
      </w:pPr>
      <w:r>
        <w:separator/>
      </w:r>
    </w:p>
  </w:footnote>
  <w:footnote w:type="continuationSeparator" w:id="0">
    <w:p w:rsidR="00FB24E5" w:rsidRDefault="00FB24E5" w:rsidP="000077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91"/>
    <w:rsid w:val="00007761"/>
    <w:rsid w:val="00061250"/>
    <w:rsid w:val="00061D80"/>
    <w:rsid w:val="00067AF7"/>
    <w:rsid w:val="00075157"/>
    <w:rsid w:val="00081768"/>
    <w:rsid w:val="000964A1"/>
    <w:rsid w:val="000A0095"/>
    <w:rsid w:val="000A6513"/>
    <w:rsid w:val="000B4EEE"/>
    <w:rsid w:val="000C4575"/>
    <w:rsid w:val="000C5269"/>
    <w:rsid w:val="000F53F1"/>
    <w:rsid w:val="00103B61"/>
    <w:rsid w:val="00120616"/>
    <w:rsid w:val="001240D5"/>
    <w:rsid w:val="0013519A"/>
    <w:rsid w:val="00164357"/>
    <w:rsid w:val="0017099E"/>
    <w:rsid w:val="001A06BB"/>
    <w:rsid w:val="001B05D8"/>
    <w:rsid w:val="002023E0"/>
    <w:rsid w:val="00220E3D"/>
    <w:rsid w:val="00274AB2"/>
    <w:rsid w:val="002767F7"/>
    <w:rsid w:val="00281811"/>
    <w:rsid w:val="002932E0"/>
    <w:rsid w:val="002A3955"/>
    <w:rsid w:val="002A3B11"/>
    <w:rsid w:val="002D1380"/>
    <w:rsid w:val="002E06B8"/>
    <w:rsid w:val="002F02DD"/>
    <w:rsid w:val="0030293A"/>
    <w:rsid w:val="003268E9"/>
    <w:rsid w:val="00332CF5"/>
    <w:rsid w:val="00381785"/>
    <w:rsid w:val="003A4B84"/>
    <w:rsid w:val="003F6BD9"/>
    <w:rsid w:val="00430129"/>
    <w:rsid w:val="004400BE"/>
    <w:rsid w:val="0044239F"/>
    <w:rsid w:val="004809A1"/>
    <w:rsid w:val="00491152"/>
    <w:rsid w:val="004975DE"/>
    <w:rsid w:val="004A2414"/>
    <w:rsid w:val="004C03B1"/>
    <w:rsid w:val="004C478D"/>
    <w:rsid w:val="004E2DA1"/>
    <w:rsid w:val="005233AE"/>
    <w:rsid w:val="0055276D"/>
    <w:rsid w:val="00563077"/>
    <w:rsid w:val="005641E5"/>
    <w:rsid w:val="0058007E"/>
    <w:rsid w:val="005804E3"/>
    <w:rsid w:val="005A3495"/>
    <w:rsid w:val="005B12A8"/>
    <w:rsid w:val="005C5D46"/>
    <w:rsid w:val="005F776B"/>
    <w:rsid w:val="00626953"/>
    <w:rsid w:val="00634415"/>
    <w:rsid w:val="006372CD"/>
    <w:rsid w:val="00643F1B"/>
    <w:rsid w:val="006470BE"/>
    <w:rsid w:val="0066230C"/>
    <w:rsid w:val="006B2703"/>
    <w:rsid w:val="006B42D7"/>
    <w:rsid w:val="006C2F38"/>
    <w:rsid w:val="006C34E3"/>
    <w:rsid w:val="006C35EB"/>
    <w:rsid w:val="006F13DD"/>
    <w:rsid w:val="006F6CBC"/>
    <w:rsid w:val="007326FE"/>
    <w:rsid w:val="007456C4"/>
    <w:rsid w:val="0076361E"/>
    <w:rsid w:val="00765794"/>
    <w:rsid w:val="00772DF3"/>
    <w:rsid w:val="00773732"/>
    <w:rsid w:val="007A2FBB"/>
    <w:rsid w:val="007B359B"/>
    <w:rsid w:val="007D4B21"/>
    <w:rsid w:val="007E7F5B"/>
    <w:rsid w:val="008173D7"/>
    <w:rsid w:val="00821DB4"/>
    <w:rsid w:val="0083479D"/>
    <w:rsid w:val="00836BFA"/>
    <w:rsid w:val="008404ED"/>
    <w:rsid w:val="00847519"/>
    <w:rsid w:val="00875C42"/>
    <w:rsid w:val="008841EA"/>
    <w:rsid w:val="00897095"/>
    <w:rsid w:val="00897CD1"/>
    <w:rsid w:val="008A2AB1"/>
    <w:rsid w:val="008C0DA5"/>
    <w:rsid w:val="008C7B50"/>
    <w:rsid w:val="008E5EB4"/>
    <w:rsid w:val="00924CAD"/>
    <w:rsid w:val="00966488"/>
    <w:rsid w:val="0099202D"/>
    <w:rsid w:val="00995954"/>
    <w:rsid w:val="00996343"/>
    <w:rsid w:val="009C1BAE"/>
    <w:rsid w:val="009D2A84"/>
    <w:rsid w:val="009D7045"/>
    <w:rsid w:val="00A12986"/>
    <w:rsid w:val="00A66949"/>
    <w:rsid w:val="00A831B2"/>
    <w:rsid w:val="00AB6BAB"/>
    <w:rsid w:val="00B12142"/>
    <w:rsid w:val="00B3335F"/>
    <w:rsid w:val="00B430F7"/>
    <w:rsid w:val="00B62050"/>
    <w:rsid w:val="00B62370"/>
    <w:rsid w:val="00B7291D"/>
    <w:rsid w:val="00BB249D"/>
    <w:rsid w:val="00BB3EE9"/>
    <w:rsid w:val="00BB6525"/>
    <w:rsid w:val="00BC04D0"/>
    <w:rsid w:val="00BC2271"/>
    <w:rsid w:val="00BD15E8"/>
    <w:rsid w:val="00BF0904"/>
    <w:rsid w:val="00BF57E0"/>
    <w:rsid w:val="00C46CAB"/>
    <w:rsid w:val="00C53225"/>
    <w:rsid w:val="00C64C3A"/>
    <w:rsid w:val="00C743F7"/>
    <w:rsid w:val="00C846F5"/>
    <w:rsid w:val="00C86980"/>
    <w:rsid w:val="00C95CE7"/>
    <w:rsid w:val="00CC2034"/>
    <w:rsid w:val="00CD31F5"/>
    <w:rsid w:val="00CD42F3"/>
    <w:rsid w:val="00CE2282"/>
    <w:rsid w:val="00CE4FF6"/>
    <w:rsid w:val="00D24669"/>
    <w:rsid w:val="00D25AC5"/>
    <w:rsid w:val="00D32537"/>
    <w:rsid w:val="00D35849"/>
    <w:rsid w:val="00D625EA"/>
    <w:rsid w:val="00D74813"/>
    <w:rsid w:val="00D82791"/>
    <w:rsid w:val="00D90E32"/>
    <w:rsid w:val="00DA4CA8"/>
    <w:rsid w:val="00DB440A"/>
    <w:rsid w:val="00DC0C44"/>
    <w:rsid w:val="00DC2F29"/>
    <w:rsid w:val="00DD3994"/>
    <w:rsid w:val="00DE1B52"/>
    <w:rsid w:val="00E166BB"/>
    <w:rsid w:val="00E317F0"/>
    <w:rsid w:val="00E76668"/>
    <w:rsid w:val="00E878E7"/>
    <w:rsid w:val="00EB3B8C"/>
    <w:rsid w:val="00EC0D18"/>
    <w:rsid w:val="00EC74FF"/>
    <w:rsid w:val="00F15EE6"/>
    <w:rsid w:val="00F46364"/>
    <w:rsid w:val="00F504AB"/>
    <w:rsid w:val="00F67883"/>
    <w:rsid w:val="00F7201B"/>
    <w:rsid w:val="00FB24E5"/>
    <w:rsid w:val="00FE67BC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27299D-23C0-4994-B6AC-37263FA9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761"/>
  </w:style>
  <w:style w:type="paragraph" w:styleId="Footer">
    <w:name w:val="footer"/>
    <w:basedOn w:val="Normal"/>
    <w:link w:val="FooterChar"/>
    <w:uiPriority w:val="99"/>
    <w:unhideWhenUsed/>
    <w:rsid w:val="00007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761"/>
  </w:style>
  <w:style w:type="character" w:styleId="Hyperlink">
    <w:name w:val="Hyperlink"/>
    <w:basedOn w:val="DefaultParagraphFont"/>
    <w:uiPriority w:val="99"/>
    <w:unhideWhenUsed/>
    <w:rsid w:val="004911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5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4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836BF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36BFA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2184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14610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Stanforth</dc:creator>
  <cp:lastModifiedBy>Steven Stanforth</cp:lastModifiedBy>
  <cp:revision>3</cp:revision>
  <cp:lastPrinted>2017-02-01T09:11:00Z</cp:lastPrinted>
  <dcterms:created xsi:type="dcterms:W3CDTF">2017-03-30T08:09:00Z</dcterms:created>
  <dcterms:modified xsi:type="dcterms:W3CDTF">2017-03-30T08:11:00Z</dcterms:modified>
</cp:coreProperties>
</file>