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83" w:rsidRPr="004D0659" w:rsidRDefault="00783683" w:rsidP="00783683">
      <w:pPr>
        <w:spacing w:after="200" w:line="480" w:lineRule="auto"/>
        <w:jc w:val="center"/>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THE CASE FOR SAME-SEX MARRIAGE BEFORE THE EUROPEAN COURT OF HUMAN RIGHTS</w:t>
      </w:r>
    </w:p>
    <w:p w:rsidR="00783683" w:rsidRPr="004D0659" w:rsidRDefault="00783683" w:rsidP="00783683">
      <w:pPr>
        <w:spacing w:after="200" w:line="480" w:lineRule="auto"/>
        <w:jc w:val="center"/>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Frances Hamilton</w:t>
      </w:r>
      <w:r>
        <w:rPr>
          <w:rStyle w:val="FootnoteReference"/>
          <w:rFonts w:ascii="Times New Roman" w:eastAsia="Times New Roman" w:hAnsi="Times New Roman" w:cs="Times New Roman"/>
          <w:b/>
          <w:sz w:val="24"/>
          <w:szCs w:val="24"/>
          <w:lang w:eastAsia="en-GB"/>
        </w:rPr>
        <w:footnoteReference w:id="1"/>
      </w:r>
    </w:p>
    <w:p w:rsidR="00783683" w:rsidRPr="004D0659" w:rsidRDefault="00783683" w:rsidP="00783683">
      <w:pPr>
        <w:spacing w:after="200" w:line="480" w:lineRule="auto"/>
        <w:jc w:val="both"/>
        <w:rPr>
          <w:rFonts w:ascii="Times New Roman" w:eastAsia="Times New Roman" w:hAnsi="Times New Roman" w:cs="Times New Roman"/>
          <w:i/>
          <w:sz w:val="24"/>
          <w:szCs w:val="24"/>
          <w:lang w:eastAsia="en-GB"/>
        </w:rPr>
      </w:pPr>
      <w:r w:rsidRPr="004D0659">
        <w:rPr>
          <w:rFonts w:ascii="Times New Roman" w:eastAsia="Times New Roman" w:hAnsi="Times New Roman" w:cs="Times New Roman"/>
          <w:b/>
          <w:i/>
          <w:sz w:val="24"/>
          <w:szCs w:val="24"/>
          <w:lang w:eastAsia="en-GB"/>
        </w:rPr>
        <w:t xml:space="preserve">SUMMARY. </w:t>
      </w:r>
      <w:r w:rsidRPr="004D0659">
        <w:rPr>
          <w:rFonts w:ascii="Times New Roman" w:eastAsia="Times New Roman" w:hAnsi="Times New Roman" w:cs="Times New Roman"/>
          <w:i/>
          <w:sz w:val="24"/>
          <w:szCs w:val="24"/>
          <w:lang w:eastAsia="en-GB"/>
        </w:rPr>
        <w:t>For proponents of same-sex marriage,</w:t>
      </w:r>
      <w:r w:rsidRPr="004D0659">
        <w:rPr>
          <w:rFonts w:ascii="Times New Roman" w:eastAsia="Times New Roman" w:hAnsi="Times New Roman" w:cs="Times New Roman"/>
          <w:b/>
          <w:i/>
          <w:sz w:val="24"/>
          <w:szCs w:val="24"/>
          <w:lang w:eastAsia="en-GB"/>
        </w:rPr>
        <w:t xml:space="preserve"> </w:t>
      </w:r>
      <w:r w:rsidRPr="004D0659">
        <w:rPr>
          <w:rFonts w:ascii="Times New Roman" w:eastAsia="Times New Roman" w:hAnsi="Times New Roman" w:cs="Times New Roman"/>
          <w:i/>
          <w:sz w:val="24"/>
          <w:szCs w:val="24"/>
          <w:lang w:eastAsia="en-GB"/>
        </w:rPr>
        <w:t xml:space="preserve">this essay considers the best strategy for success before the European Court of Human Rights (‘ECtHR’). The privacy aspect of Art 8 ECtHR will never be a successful argument with reference to marriage which involves a public status. The equality argument (Article 14) is useful in addressing this issue with its close connections with citizenship, symbolic value and proven record internationally. Difficulties remain with the equality argument; its conditional status, the width of the margin of appreciation (‘MoA’) required and </w:t>
      </w:r>
      <w:r>
        <w:rPr>
          <w:rFonts w:ascii="Times New Roman" w:eastAsia="Times New Roman" w:hAnsi="Times New Roman" w:cs="Times New Roman"/>
          <w:i/>
          <w:sz w:val="24"/>
          <w:szCs w:val="24"/>
          <w:lang w:eastAsia="en-GB"/>
        </w:rPr>
        <w:t xml:space="preserve">the need for an equality comparator. </w:t>
      </w:r>
      <w:r w:rsidRPr="004D0659">
        <w:rPr>
          <w:rFonts w:ascii="Times New Roman" w:eastAsia="Times New Roman" w:hAnsi="Times New Roman" w:cs="Times New Roman"/>
          <w:i/>
          <w:sz w:val="24"/>
          <w:szCs w:val="24"/>
          <w:lang w:eastAsia="en-GB"/>
        </w:rPr>
        <w:t xml:space="preserve">The equality argument needs reinforcement by use alongside a developing family law argument under Article 8 and a </w:t>
      </w:r>
      <w:r>
        <w:rPr>
          <w:rFonts w:ascii="Times New Roman" w:eastAsia="Times New Roman" w:hAnsi="Times New Roman" w:cs="Times New Roman"/>
          <w:i/>
          <w:sz w:val="24"/>
          <w:szCs w:val="24"/>
          <w:lang w:eastAsia="en-GB"/>
        </w:rPr>
        <w:t xml:space="preserve">dynamically interpreted </w:t>
      </w:r>
      <w:r w:rsidRPr="004D0659">
        <w:rPr>
          <w:rFonts w:ascii="Times New Roman" w:eastAsia="Times New Roman" w:hAnsi="Times New Roman" w:cs="Times New Roman"/>
          <w:i/>
          <w:sz w:val="24"/>
          <w:szCs w:val="24"/>
          <w:lang w:eastAsia="en-GB"/>
        </w:rPr>
        <w:t xml:space="preserve">Article 12 (right to marry) argument. Ultimately the success of any argument depends upon the developing consensus among Member States of the Council of Europe (‘Member States’). </w:t>
      </w: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b/>
          <w:sz w:val="24"/>
          <w:szCs w:val="24"/>
          <w:lang w:eastAsia="en-GB"/>
        </w:rPr>
        <w:t>Key Words:</w:t>
      </w:r>
      <w:r w:rsidRPr="004D0659">
        <w:rPr>
          <w:rFonts w:ascii="Times New Roman" w:eastAsia="Times New Roman" w:hAnsi="Times New Roman" w:cs="Times New Roman"/>
          <w:sz w:val="24"/>
          <w:szCs w:val="24"/>
          <w:lang w:eastAsia="en-GB"/>
        </w:rPr>
        <w:t xml:space="preserve"> Same-Sex Marriage, Privacy, E</w:t>
      </w:r>
      <w:r>
        <w:rPr>
          <w:rFonts w:ascii="Times New Roman" w:eastAsia="Times New Roman" w:hAnsi="Times New Roman" w:cs="Times New Roman"/>
          <w:sz w:val="24"/>
          <w:szCs w:val="24"/>
          <w:lang w:eastAsia="en-GB"/>
        </w:rPr>
        <w:t>quality, Margin of Appreciation, Family Law, Dynamic Interpretation, Consensus</w:t>
      </w:r>
    </w:p>
    <w:p w:rsidR="00783683" w:rsidRPr="004D0659" w:rsidRDefault="00783683" w:rsidP="00783683">
      <w:pPr>
        <w:spacing w:after="0" w:line="480" w:lineRule="auto"/>
        <w:jc w:val="center"/>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INTRODUCTION</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At an ECtHR level there continues to be no right to same-sex marriage.</w:t>
      </w:r>
      <w:r>
        <w:rPr>
          <w:rStyle w:val="EndnoteReference"/>
          <w:rFonts w:ascii="Times New Roman" w:eastAsia="Times New Roman" w:hAnsi="Times New Roman" w:cs="Times New Roman"/>
          <w:sz w:val="24"/>
          <w:szCs w:val="24"/>
          <w:lang w:eastAsia="en-GB"/>
        </w:rPr>
        <w:endnoteReference w:id="1"/>
      </w:r>
      <w:r w:rsidRPr="004D0659">
        <w:rPr>
          <w:rFonts w:ascii="Times New Roman" w:eastAsia="Times New Roman" w:hAnsi="Times New Roman" w:cs="Times New Roman"/>
          <w:sz w:val="24"/>
          <w:szCs w:val="24"/>
          <w:lang w:eastAsia="en-GB"/>
        </w:rPr>
        <w:t xml:space="preserve"> In </w:t>
      </w:r>
      <w:r w:rsidRPr="004D0659">
        <w:rPr>
          <w:rFonts w:ascii="Times New Roman" w:eastAsia="Times New Roman" w:hAnsi="Times New Roman" w:cs="Times New Roman"/>
          <w:i/>
          <w:sz w:val="24"/>
          <w:szCs w:val="24"/>
          <w:lang w:eastAsia="en-GB"/>
        </w:rPr>
        <w:t>Chapin and Charpentier v France</w:t>
      </w:r>
      <w:r w:rsidRPr="004D0659">
        <w:rPr>
          <w:rFonts w:ascii="Times New Roman" w:eastAsia="Times New Roman" w:hAnsi="Times New Roman" w:cs="Times New Roman"/>
          <w:sz w:val="24"/>
          <w:szCs w:val="24"/>
          <w:lang w:eastAsia="en-GB"/>
        </w:rPr>
        <w:t xml:space="preserve"> the ECtHR confirmed the position, reiterating their concerns about developing a consensus on the issue before acting.</w:t>
      </w:r>
      <w:r w:rsidRPr="004D0659">
        <w:rPr>
          <w:rFonts w:ascii="Times New Roman" w:eastAsia="Times New Roman" w:hAnsi="Times New Roman" w:cs="Times New Roman"/>
          <w:sz w:val="24"/>
          <w:szCs w:val="24"/>
          <w:vertAlign w:val="superscript"/>
          <w:lang w:eastAsia="en-GB"/>
        </w:rPr>
        <w:endnoteReference w:id="2"/>
      </w:r>
      <w:r w:rsidRPr="004D0659">
        <w:rPr>
          <w:rFonts w:ascii="Times New Roman" w:eastAsia="Times New Roman" w:hAnsi="Times New Roman" w:cs="Times New Roman"/>
          <w:sz w:val="24"/>
          <w:szCs w:val="24"/>
          <w:lang w:eastAsia="en-GB"/>
        </w:rPr>
        <w:t xml:space="preserve"> At present, whilst a majority of Member States now provide some level of legal protection for same-sex couples,</w:t>
      </w:r>
      <w:r>
        <w:rPr>
          <w:rStyle w:val="EndnoteReference"/>
          <w:rFonts w:ascii="Times New Roman" w:eastAsia="Times New Roman" w:hAnsi="Times New Roman" w:cs="Times New Roman"/>
          <w:sz w:val="24"/>
          <w:szCs w:val="24"/>
          <w:lang w:eastAsia="en-GB"/>
        </w:rPr>
        <w:endnoteReference w:id="3"/>
      </w:r>
      <w:r w:rsidRPr="004D0659">
        <w:rPr>
          <w:rFonts w:ascii="Times New Roman" w:eastAsia="Times New Roman" w:hAnsi="Times New Roman" w:cs="Times New Roman"/>
          <w:sz w:val="24"/>
          <w:szCs w:val="24"/>
          <w:lang w:eastAsia="en-GB"/>
        </w:rPr>
        <w:t xml:space="preserve"> only 13 Member States out of 47 provide for same-sex marriage.</w:t>
      </w:r>
      <w:r w:rsidRPr="004D0659">
        <w:rPr>
          <w:rStyle w:val="EndnoteReference"/>
          <w:rFonts w:ascii="Times New Roman" w:eastAsia="Times New Roman" w:hAnsi="Times New Roman" w:cs="Times New Roman"/>
          <w:sz w:val="24"/>
          <w:szCs w:val="24"/>
          <w:lang w:eastAsia="en-GB"/>
        </w:rPr>
        <w:endnoteReference w:id="4"/>
      </w:r>
      <w:r w:rsidRPr="004D0659">
        <w:rPr>
          <w:rFonts w:ascii="Times New Roman" w:eastAsia="Times New Roman" w:hAnsi="Times New Roman" w:cs="Times New Roman"/>
          <w:sz w:val="24"/>
          <w:szCs w:val="24"/>
          <w:lang w:eastAsia="en-GB"/>
        </w:rPr>
        <w:t xml:space="preserve"> Indeed some Member States constitutionally </w:t>
      </w:r>
      <w:r w:rsidRPr="004D0659">
        <w:rPr>
          <w:rFonts w:ascii="Times New Roman" w:eastAsia="Times New Roman" w:hAnsi="Times New Roman" w:cs="Times New Roman"/>
          <w:sz w:val="24"/>
          <w:szCs w:val="24"/>
          <w:lang w:eastAsia="en-GB"/>
        </w:rPr>
        <w:lastRenderedPageBreak/>
        <w:t>ban ma</w:t>
      </w:r>
      <w:r>
        <w:rPr>
          <w:rFonts w:ascii="Times New Roman" w:eastAsia="Times New Roman" w:hAnsi="Times New Roman" w:cs="Times New Roman"/>
          <w:sz w:val="24"/>
          <w:szCs w:val="24"/>
          <w:lang w:eastAsia="en-GB"/>
        </w:rPr>
        <w:t>rriage between same-sex couples</w:t>
      </w:r>
      <w:r w:rsidRPr="004D0659">
        <w:rPr>
          <w:rStyle w:val="EndnoteReference"/>
          <w:rFonts w:ascii="Times New Roman" w:eastAsia="Times New Roman" w:hAnsi="Times New Roman" w:cs="Times New Roman"/>
          <w:sz w:val="24"/>
          <w:szCs w:val="24"/>
          <w:lang w:eastAsia="en-GB"/>
        </w:rPr>
        <w:endnoteReference w:id="5"/>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(Fenwick 2016) </w:t>
      </w:r>
      <w:r w:rsidRPr="004D0659">
        <w:rPr>
          <w:rFonts w:ascii="Times New Roman" w:eastAsia="Times New Roman" w:hAnsi="Times New Roman" w:cs="Times New Roman"/>
          <w:sz w:val="24"/>
          <w:szCs w:val="24"/>
          <w:lang w:eastAsia="en-GB"/>
        </w:rPr>
        <w:t xml:space="preserve">and Russia has </w:t>
      </w:r>
      <w:r>
        <w:rPr>
          <w:rFonts w:ascii="Times New Roman" w:eastAsia="Times New Roman" w:hAnsi="Times New Roman" w:cs="Times New Roman"/>
          <w:sz w:val="24"/>
          <w:szCs w:val="24"/>
          <w:lang w:eastAsia="en-GB"/>
        </w:rPr>
        <w:t>certain homophobic policies (Fenwick 2016, 270 and Johnson ‘Homosexual Propoganda’ 2015).</w:t>
      </w:r>
      <w:r w:rsidRPr="004D0659">
        <w:rPr>
          <w:rStyle w:val="EndnoteReference"/>
          <w:rFonts w:ascii="Times New Roman" w:eastAsia="Times New Roman" w:hAnsi="Times New Roman" w:cs="Times New Roman"/>
          <w:sz w:val="24"/>
          <w:szCs w:val="24"/>
          <w:lang w:eastAsia="en-GB"/>
        </w:rPr>
        <w:endnoteReference w:id="6"/>
      </w:r>
      <w:r w:rsidRPr="004D0659">
        <w:rPr>
          <w:rFonts w:ascii="Times New Roman" w:eastAsia="Times New Roman" w:hAnsi="Times New Roman" w:cs="Times New Roman"/>
          <w:sz w:val="24"/>
          <w:szCs w:val="24"/>
          <w:lang w:eastAsia="en-GB"/>
        </w:rPr>
        <w:t xml:space="preserve"> Whilst same-sex couples now have the right to form a civil union or registered partnership,</w:t>
      </w:r>
      <w:r w:rsidRPr="004D0659">
        <w:rPr>
          <w:rFonts w:ascii="Times New Roman" w:eastAsia="Times New Roman" w:hAnsi="Times New Roman" w:cs="Times New Roman"/>
          <w:sz w:val="24"/>
          <w:szCs w:val="24"/>
          <w:vertAlign w:val="superscript"/>
          <w:lang w:eastAsia="en-GB"/>
        </w:rPr>
        <w:endnoteReference w:id="7"/>
      </w:r>
      <w:r w:rsidRPr="004D0659">
        <w:rPr>
          <w:rFonts w:ascii="Times New Roman" w:eastAsia="Times New Roman" w:hAnsi="Times New Roman" w:cs="Times New Roman"/>
          <w:sz w:val="24"/>
          <w:szCs w:val="24"/>
          <w:lang w:eastAsia="en-GB"/>
        </w:rPr>
        <w:t xml:space="preserve"> for many same-sex marriage campaigners this will never be seen as sufficient recognition of their unions.</w:t>
      </w:r>
      <w:r w:rsidRPr="004D0659">
        <w:rPr>
          <w:rStyle w:val="EndnoteReference"/>
          <w:rFonts w:ascii="Times New Roman" w:eastAsia="Times New Roman" w:hAnsi="Times New Roman" w:cs="Times New Roman"/>
          <w:sz w:val="24"/>
          <w:szCs w:val="24"/>
          <w:lang w:eastAsia="en-GB"/>
        </w:rPr>
        <w:endnoteReference w:id="8"/>
      </w:r>
      <w:r w:rsidRPr="004D0659">
        <w:rPr>
          <w:rFonts w:ascii="Times New Roman" w:eastAsia="Times New Roman" w:hAnsi="Times New Roman" w:cs="Times New Roman"/>
          <w:sz w:val="24"/>
          <w:szCs w:val="24"/>
          <w:lang w:eastAsia="en-GB"/>
        </w:rPr>
        <w:t xml:space="preserve">  Drafted in the 1950s the text of the ECvHR does not have a ‘ge</w:t>
      </w:r>
      <w:r>
        <w:rPr>
          <w:rFonts w:ascii="Times New Roman" w:eastAsia="Times New Roman" w:hAnsi="Times New Roman" w:cs="Times New Roman"/>
          <w:sz w:val="24"/>
          <w:szCs w:val="24"/>
          <w:lang w:eastAsia="en-GB"/>
        </w:rPr>
        <w:t>neral non-discrimination clause</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(Letsas 2006</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708).</w:t>
      </w:r>
      <w:r w:rsidRPr="004D0659">
        <w:rPr>
          <w:rFonts w:ascii="Times New Roman" w:eastAsia="Times New Roman" w:hAnsi="Times New Roman" w:cs="Times New Roman"/>
          <w:sz w:val="24"/>
          <w:szCs w:val="24"/>
          <w:lang w:eastAsia="en-GB"/>
        </w:rPr>
        <w:t xml:space="preserve"> All potential arguments therefore have to rely upon the ‘living instrument’ doctrine which allows the ECtHR to interpret the existing articles in the ECvHR to accord with modern reality. As there are no specific protections in the ECvHR relating to discrimination against gays, any arguments in relation to same-sex marriage have to build upon and develop the existing case law decided by the ECtHR</w:t>
      </w:r>
      <w:r>
        <w:rPr>
          <w:rFonts w:ascii="Times New Roman" w:eastAsia="Times New Roman" w:hAnsi="Times New Roman" w:cs="Times New Roman"/>
          <w:sz w:val="24"/>
          <w:szCs w:val="24"/>
          <w:lang w:eastAsia="en-GB"/>
        </w:rPr>
        <w:t xml:space="preserve"> (See Tahmindjis 2016, 10)</w:t>
      </w:r>
      <w:r w:rsidRPr="004D0659">
        <w:rPr>
          <w:rFonts w:ascii="Times New Roman" w:eastAsia="Times New Roman" w:hAnsi="Times New Roman" w:cs="Times New Roman"/>
          <w:sz w:val="24"/>
          <w:szCs w:val="24"/>
          <w:lang w:eastAsia="en-GB"/>
        </w:rPr>
        <w:t xml:space="preserve">. This article evaluates, for proponents of same-sex marriage, the best arguments for success before the ECtHR.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First, consideration is given to the historical dominance of the privacy aspect of Article 8</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on the development</w:t>
      </w:r>
      <w:r>
        <w:rPr>
          <w:rFonts w:ascii="Times New Roman" w:eastAsia="Times New Roman" w:hAnsi="Times New Roman" w:cs="Times New Roman"/>
          <w:sz w:val="24"/>
          <w:szCs w:val="24"/>
          <w:lang w:eastAsia="en-GB"/>
        </w:rPr>
        <w:t xml:space="preserve"> of gay rights before the ECtHR</w:t>
      </w:r>
      <w:r w:rsidRPr="00A043F9">
        <w:rPr>
          <w:rFonts w:ascii="Times New Roman" w:eastAsia="Calibri" w:hAnsi="Times New Roman" w:cs="Times New Roman"/>
          <w:sz w:val="24"/>
          <w:szCs w:val="24"/>
          <w:vertAlign w:val="superscript"/>
        </w:rPr>
        <w:t xml:space="preserve"> </w:t>
      </w:r>
      <w:r w:rsidRPr="004D0659">
        <w:rPr>
          <w:rFonts w:ascii="Times New Roman" w:eastAsia="Calibri" w:hAnsi="Times New Roman" w:cs="Times New Roman"/>
          <w:sz w:val="24"/>
          <w:szCs w:val="24"/>
          <w:vertAlign w:val="superscript"/>
        </w:rPr>
        <w:endnoteReference w:id="9"/>
      </w:r>
      <w:r w:rsidRPr="004D0659">
        <w:rPr>
          <w:rFonts w:ascii="Times New Roman" w:eastAsia="Times New Roman" w:hAnsi="Times New Roman" w:cs="Times New Roman"/>
          <w:sz w:val="24"/>
          <w:szCs w:val="24"/>
          <w:lang w:eastAsia="en-GB"/>
        </w:rPr>
        <w:t xml:space="preserve">  Privacy will never be a successful argument when it comes to marriage, a right so clearly connected with an individual’s public status.  Concentration on an equality argument can address many of these issues. However, specific difficulties with the use of equality arguments under article 14 are then explained.</w:t>
      </w:r>
      <w:r w:rsidRPr="004D0659">
        <w:rPr>
          <w:rFonts w:ascii="Times New Roman" w:eastAsia="Calibri" w:hAnsi="Times New Roman" w:cs="Times New Roman"/>
          <w:sz w:val="24"/>
          <w:szCs w:val="24"/>
          <w:vertAlign w:val="superscript"/>
        </w:rPr>
        <w:endnoteReference w:id="10"/>
      </w:r>
      <w:r w:rsidRPr="004D0659">
        <w:rPr>
          <w:rFonts w:ascii="Times New Roman" w:eastAsia="Times New Roman" w:hAnsi="Times New Roman" w:cs="Times New Roman"/>
          <w:sz w:val="24"/>
          <w:szCs w:val="24"/>
          <w:lang w:eastAsia="en-GB"/>
        </w:rPr>
        <w:t xml:space="preserve"> Article 14 is a conditional right only, meaning litigants always have to bring forward their claim under t</w:t>
      </w:r>
      <w:r>
        <w:rPr>
          <w:rFonts w:ascii="Times New Roman" w:eastAsia="Times New Roman" w:hAnsi="Times New Roman" w:cs="Times New Roman"/>
          <w:sz w:val="24"/>
          <w:szCs w:val="24"/>
          <w:lang w:eastAsia="en-GB"/>
        </w:rPr>
        <w:t>he ambit of another ECvHR right</w:t>
      </w:r>
      <w:r w:rsidRPr="004D0659">
        <w:rPr>
          <w:rFonts w:ascii="Times New Roman" w:eastAsia="Times New Roman" w:hAnsi="Times New Roman" w:cs="Times New Roman"/>
          <w:sz w:val="24"/>
          <w:szCs w:val="24"/>
          <w:lang w:eastAsia="en-GB"/>
        </w:rPr>
        <w:t xml:space="preserve">. Arguments are also made that equality rights often have a wider MoA and therefore lack of protection for gays. Lastly, in seeking to engage in equality arguments comparisons between different groups categorised by sexual orientation are required, thereby further emphasising the concept of the dominant heterosexual norm. The equality argument alone therefore needs to be strengthened by new revitalised arguments. The family life aspect of article 8, which has finally been interpreted to apply to same-sex couples, will play increasing importance. Lastly this article calls for a new interpretation of Article 12 </w:t>
      </w:r>
      <w:r w:rsidRPr="004D0659">
        <w:rPr>
          <w:rFonts w:ascii="Times New Roman" w:eastAsia="Times New Roman" w:hAnsi="Times New Roman" w:cs="Times New Roman"/>
          <w:sz w:val="24"/>
          <w:szCs w:val="24"/>
          <w:lang w:eastAsia="en-GB"/>
        </w:rPr>
        <w:lastRenderedPageBreak/>
        <w:t>(right to marry).</w:t>
      </w:r>
      <w:r>
        <w:rPr>
          <w:rStyle w:val="EndnoteReference"/>
          <w:rFonts w:ascii="Times New Roman" w:eastAsia="Times New Roman" w:hAnsi="Times New Roman" w:cs="Times New Roman"/>
          <w:sz w:val="24"/>
          <w:szCs w:val="24"/>
          <w:lang w:eastAsia="en-GB"/>
        </w:rPr>
        <w:endnoteReference w:id="11"/>
      </w:r>
      <w:r w:rsidRPr="004D0659">
        <w:rPr>
          <w:rFonts w:ascii="Times New Roman" w:eastAsia="Times New Roman" w:hAnsi="Times New Roman" w:cs="Times New Roman"/>
          <w:sz w:val="24"/>
          <w:szCs w:val="24"/>
          <w:lang w:eastAsia="en-GB"/>
        </w:rPr>
        <w:t xml:space="preserve"> Redundant historical text driven approaches should be abandoned in favour of a dynamic interpretation of the right to marry to include same-sex couples.  Ultimately however, any progress in the case for same-sex marriage is likely to depend upon the ECtHR recognising a consensus among Member States on this issue.</w:t>
      </w:r>
      <w:r w:rsidRPr="004D0659">
        <w:rPr>
          <w:rStyle w:val="EndnoteReference"/>
          <w:rFonts w:ascii="Times New Roman" w:eastAsia="Times New Roman" w:hAnsi="Times New Roman" w:cs="Times New Roman"/>
          <w:sz w:val="24"/>
          <w:szCs w:val="24"/>
          <w:lang w:eastAsia="en-GB"/>
        </w:rPr>
        <w:endnoteReference w:id="12"/>
      </w:r>
      <w:r w:rsidRPr="004D0659">
        <w:rPr>
          <w:rFonts w:ascii="Times New Roman" w:eastAsia="Times New Roman" w:hAnsi="Times New Roman" w:cs="Times New Roman"/>
          <w:sz w:val="24"/>
          <w:szCs w:val="24"/>
          <w:lang w:eastAsia="en-GB"/>
        </w:rPr>
        <w:t xml:space="preserve"> </w:t>
      </w:r>
    </w:p>
    <w:p w:rsidR="00783683"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B4696F" w:rsidRDefault="00783683" w:rsidP="00783683">
      <w:pPr>
        <w:spacing w:after="0"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THE DOMINANT INFLUENCE OF THE PRIVACY ARGUMENT BEFORE THE ECtHR IN CASES DEVELOPING GAY RIGHTS</w:t>
      </w:r>
    </w:p>
    <w:p w:rsidR="00783683" w:rsidRPr="004D0659" w:rsidRDefault="00783683" w:rsidP="00783683">
      <w:pPr>
        <w:spacing w:after="0" w:line="480" w:lineRule="auto"/>
        <w:contextualSpacing/>
        <w:rPr>
          <w:rFonts w:ascii="Times New Roman" w:eastAsia="Times New Roman" w:hAnsi="Times New Roman" w:cs="Times New Roman"/>
          <w:b/>
          <w:sz w:val="24"/>
          <w:szCs w:val="24"/>
          <w:lang w:eastAsia="en-GB"/>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Times New Roman" w:hAnsi="Times New Roman" w:cs="Times New Roman"/>
          <w:sz w:val="24"/>
          <w:szCs w:val="24"/>
          <w:lang w:eastAsia="en-GB"/>
        </w:rPr>
        <w:t>The right to privacy has traditionally been defined as containing a focus on a right to be ‘let alone</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It is described by Mill as ‘a circle around every individual human being which no government … ought to be permitted to overstep’ (Mill 1936, 943).</w:t>
      </w:r>
      <w:r w:rsidRPr="004D0659">
        <w:rPr>
          <w:rFonts w:ascii="Times New Roman" w:eastAsia="Times New Roman" w:hAnsi="Times New Roman" w:cs="Times New Roman"/>
          <w:sz w:val="24"/>
          <w:szCs w:val="24"/>
          <w:vertAlign w:val="superscript"/>
          <w:lang w:eastAsia="en-GB"/>
        </w:rPr>
        <w:t xml:space="preserve"> </w:t>
      </w:r>
      <w:r w:rsidRPr="004D0659">
        <w:rPr>
          <w:rFonts w:ascii="Times New Roman" w:eastAsia="Times New Roman" w:hAnsi="Times New Roman" w:cs="Times New Roman"/>
          <w:sz w:val="24"/>
          <w:szCs w:val="24"/>
          <w:lang w:eastAsia="en-GB"/>
        </w:rPr>
        <w:t xml:space="preserve"> Arguments based on privacy result in basic protections for gays, and arguably not same-sex marriage. However </w:t>
      </w:r>
      <w:r w:rsidRPr="004D0659">
        <w:rPr>
          <w:rFonts w:ascii="Times New Roman" w:eastAsia="Calibri" w:hAnsi="Times New Roman" w:cs="Times New Roman"/>
          <w:sz w:val="24"/>
          <w:szCs w:val="24"/>
        </w:rPr>
        <w:t xml:space="preserve">traditionally the right to a private life under Article 8 was dominant in relation to the expansion and development of gay rights. </w:t>
      </w:r>
      <w:r w:rsidRPr="004D0659">
        <w:rPr>
          <w:rFonts w:ascii="Times New Roman" w:eastAsia="Times New Roman" w:hAnsi="Times New Roman" w:cs="Times New Roman"/>
          <w:sz w:val="24"/>
          <w:szCs w:val="24"/>
          <w:lang w:eastAsia="en-GB"/>
        </w:rPr>
        <w:t>Several authors have stated that the large majority of the successful cases concerning the development of the ECtHR’s protection of gays from discrimination have resulted from the use of Article 8</w:t>
      </w:r>
      <w:r>
        <w:rPr>
          <w:rFonts w:ascii="Times New Roman" w:eastAsia="Times New Roman" w:hAnsi="Times New Roman" w:cs="Times New Roman"/>
          <w:sz w:val="24"/>
          <w:szCs w:val="24"/>
          <w:lang w:eastAsia="en-GB"/>
        </w:rPr>
        <w:t xml:space="preserve"> right to privacy (Johnson 2010;</w:t>
      </w:r>
      <w:r w:rsidRPr="004D0659">
        <w:rPr>
          <w:rFonts w:ascii="Times New Roman" w:eastAsia="Times New Roman" w:hAnsi="Times New Roman" w:cs="Times New Roman"/>
          <w:sz w:val="24"/>
          <w:szCs w:val="24"/>
          <w:lang w:eastAsia="en-GB"/>
        </w:rPr>
        <w:t xml:space="preserve"> Stark </w:t>
      </w:r>
      <w:r>
        <w:rPr>
          <w:rFonts w:ascii="Times New Roman" w:eastAsia="Times New Roman" w:hAnsi="Times New Roman" w:cs="Times New Roman"/>
          <w:sz w:val="24"/>
          <w:szCs w:val="24"/>
          <w:lang w:eastAsia="en-GB"/>
        </w:rPr>
        <w:t>2006, 1574; Caballoro 2004-2005, 166;</w:t>
      </w:r>
      <w:r w:rsidRPr="004D0659">
        <w:rPr>
          <w:rFonts w:ascii="Times New Roman" w:eastAsia="Times New Roman" w:hAnsi="Times New Roman" w:cs="Times New Roman"/>
          <w:sz w:val="24"/>
          <w:szCs w:val="24"/>
          <w:lang w:eastAsia="en-GB"/>
        </w:rPr>
        <w:t xml:space="preserve"> Danisis </w:t>
      </w:r>
      <w:r>
        <w:rPr>
          <w:rFonts w:ascii="Times New Roman" w:eastAsia="Times New Roman" w:hAnsi="Times New Roman" w:cs="Times New Roman"/>
          <w:sz w:val="24"/>
          <w:szCs w:val="24"/>
          <w:lang w:eastAsia="en-GB"/>
        </w:rPr>
        <w:t>2011, 802 and Walker 2001, 123).</w:t>
      </w:r>
      <w:r w:rsidRPr="004D0659">
        <w:rPr>
          <w:rFonts w:ascii="Times New Roman" w:eastAsia="Times New Roman" w:hAnsi="Times New Roman" w:cs="Times New Roman"/>
          <w:sz w:val="24"/>
          <w:szCs w:val="24"/>
          <w:lang w:eastAsia="en-GB"/>
        </w:rPr>
        <w:t xml:space="preserve"> </w:t>
      </w:r>
      <w:r w:rsidRPr="004D0659">
        <w:rPr>
          <w:rFonts w:ascii="Times New Roman" w:eastAsia="Calibri" w:hAnsi="Times New Roman" w:cs="Times New Roman"/>
          <w:sz w:val="24"/>
          <w:szCs w:val="24"/>
        </w:rPr>
        <w:t xml:space="preserve">The traditional focus on privacy can be seen from the earliest ECtHR cases including </w:t>
      </w:r>
      <w:r w:rsidRPr="004D0659">
        <w:rPr>
          <w:rFonts w:ascii="Times New Roman" w:eastAsia="Calibri" w:hAnsi="Times New Roman" w:cs="Times New Roman"/>
          <w:i/>
          <w:sz w:val="24"/>
          <w:szCs w:val="24"/>
        </w:rPr>
        <w:t>Dudgeon v UK</w:t>
      </w:r>
      <w:r w:rsidRPr="004D0659">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13"/>
      </w:r>
      <w:r w:rsidRPr="004D0659">
        <w:rPr>
          <w:rFonts w:ascii="Times New Roman" w:eastAsia="Calibri" w:hAnsi="Times New Roman" w:cs="Times New Roman"/>
          <w:sz w:val="24"/>
          <w:szCs w:val="24"/>
        </w:rPr>
        <w:t xml:space="preserve"> whereby the UK was obliged to de-criminalise sodomy in Northern Ireland. Although the case was ground-breaking at the time for finding a violation of Article 8 (See Walker 2001, 125) the ECtHT emphasised the fact that these concerned ‘private’ acts.</w:t>
      </w:r>
      <w:r w:rsidRPr="004D0659">
        <w:rPr>
          <w:rFonts w:ascii="Times New Roman" w:eastAsia="Calibri" w:hAnsi="Times New Roman" w:cs="Times New Roman"/>
          <w:sz w:val="24"/>
          <w:szCs w:val="24"/>
          <w:vertAlign w:val="superscript"/>
        </w:rPr>
        <w:endnoteReference w:id="14"/>
      </w:r>
      <w:r w:rsidRPr="004D0659">
        <w:rPr>
          <w:rFonts w:ascii="Times New Roman" w:eastAsia="Calibri" w:hAnsi="Times New Roman" w:cs="Times New Roman"/>
          <w:sz w:val="24"/>
          <w:szCs w:val="24"/>
        </w:rPr>
        <w:t xml:space="preserve"> The traditional focus on privacy before the ECtHR is also reflected in UK domestic legislation which referred to privacy as the main reason for protecting gay rights. </w:t>
      </w:r>
      <w:r w:rsidRPr="004D0659">
        <w:rPr>
          <w:rFonts w:ascii="Times New Roman" w:eastAsia="Times New Roman" w:hAnsi="Times New Roman" w:cs="Times New Roman"/>
          <w:sz w:val="24"/>
          <w:szCs w:val="24"/>
          <w:lang w:eastAsia="en-GB"/>
        </w:rPr>
        <w:t xml:space="preserve">(See Bradley 2003, 142 on the Wolfenden Report which was adopted in the Sexual Offences Act 1967).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Calibri" w:hAnsi="Times New Roman" w:cs="Times New Roman"/>
          <w:sz w:val="24"/>
          <w:szCs w:val="24"/>
        </w:rPr>
        <w:lastRenderedPageBreak/>
        <w:t>Although these EC</w:t>
      </w:r>
      <w:r>
        <w:rPr>
          <w:rFonts w:ascii="Times New Roman" w:eastAsia="Calibri" w:hAnsi="Times New Roman" w:cs="Times New Roman"/>
          <w:sz w:val="24"/>
          <w:szCs w:val="24"/>
        </w:rPr>
        <w:t>t</w:t>
      </w:r>
      <w:r w:rsidRPr="004D0659">
        <w:rPr>
          <w:rFonts w:ascii="Times New Roman" w:eastAsia="Calibri" w:hAnsi="Times New Roman" w:cs="Times New Roman"/>
          <w:sz w:val="24"/>
          <w:szCs w:val="24"/>
        </w:rPr>
        <w:t>HR cases and domestic legislation were significant achievements for gay rights campaigners at the time, commentators argue</w:t>
      </w:r>
      <w:r w:rsidRPr="004D0659">
        <w:rPr>
          <w:rFonts w:ascii="Times New Roman" w:eastAsia="Times New Roman" w:hAnsi="Times New Roman" w:cs="Times New Roman"/>
          <w:sz w:val="24"/>
          <w:szCs w:val="24"/>
          <w:lang w:eastAsia="en-GB"/>
        </w:rPr>
        <w:t xml:space="preserve"> that this has placed a limitation on the evolution of gay rights in Europe (Johnson 2010, 76 and Sedgewick 1990, 71). As a result of the perceived nexus made by the ECtHR between private functions and homosexuality, there has been less chance to develop wider rights beyond that of sexual privacy. Grigolo also comments on the limits of the privacy argument stating that this is just the start and not the end of sexual orientation rights (Grigolo 2003, 1040).  If cases concerning sexual orientation are going to continue to stress the private nature of such matters, it will not be as easy to bring forward arguments in relation to same-sex marriage. Marriage is a concept on the public stage. Marriage is celebrated in public in front of witnesses and has to comply with formal rules regarding state registration. Marriage has significant external legal consequences, although these do vary between countries (Waaldijk, 2005). In many jurisdictions this includes tax advantages, inheritance rights, protections in property law, post-divorce rights, right to name change and the right to bring a wrongful death action. Children born during a marriage are presumed to be the children of the husband. Privacy arguments will never be successful in this context. It is argued next that Article 14 (equality) arguments are advantageous in addressing these issues.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contextualSpacing/>
        <w:jc w:val="center"/>
        <w:rPr>
          <w:rFonts w:ascii="Times New Roman" w:eastAsia="Calibri" w:hAnsi="Times New Roman" w:cs="Times New Roman"/>
          <w:b/>
          <w:sz w:val="24"/>
          <w:szCs w:val="24"/>
        </w:rPr>
      </w:pPr>
      <w:r w:rsidRPr="004D0659">
        <w:rPr>
          <w:rFonts w:ascii="Times New Roman" w:eastAsia="Calibri" w:hAnsi="Times New Roman" w:cs="Times New Roman"/>
          <w:b/>
          <w:sz w:val="24"/>
          <w:szCs w:val="24"/>
        </w:rPr>
        <w:t>THE ADVANTAGES OF EQUALITY BASED ARGUMENTS FOR PROPONENTS OF SAME-SEX MARRIAGE</w:t>
      </w:r>
    </w:p>
    <w:p w:rsidR="00783683" w:rsidRPr="004D0659" w:rsidRDefault="00783683" w:rsidP="00783683">
      <w:pPr>
        <w:spacing w:after="0" w:line="480" w:lineRule="auto"/>
        <w:contextualSpacing/>
        <w:jc w:val="center"/>
        <w:rPr>
          <w:rFonts w:ascii="Times New Roman" w:eastAsia="Calibri" w:hAnsi="Times New Roman" w:cs="Times New Roman"/>
          <w:b/>
          <w:sz w:val="24"/>
          <w:szCs w:val="24"/>
        </w:rPr>
      </w:pPr>
    </w:p>
    <w:p w:rsidR="00783683" w:rsidRPr="004D0659" w:rsidRDefault="00783683" w:rsidP="00783683">
      <w:pPr>
        <w:autoSpaceDE w:val="0"/>
        <w:autoSpaceDN w:val="0"/>
        <w:adjustRightInd w:val="0"/>
        <w:spacing w:after="0" w:line="480" w:lineRule="auto"/>
        <w:jc w:val="both"/>
        <w:rPr>
          <w:rFonts w:ascii="Times New Roman" w:eastAsia="Times New Roman" w:hAnsi="Times New Roman" w:cs="Times New Roman"/>
          <w:color w:val="000000"/>
          <w:sz w:val="24"/>
          <w:szCs w:val="24"/>
          <w:lang w:eastAsia="en-GB"/>
        </w:rPr>
      </w:pPr>
      <w:r w:rsidRPr="004D0659">
        <w:rPr>
          <w:rFonts w:ascii="Times New Roman" w:eastAsia="Times New Roman" w:hAnsi="Times New Roman" w:cs="Times New Roman"/>
          <w:color w:val="000000"/>
          <w:sz w:val="24"/>
          <w:szCs w:val="24"/>
          <w:lang w:eastAsia="en-GB"/>
        </w:rPr>
        <w:t>There is far more scope for ‘evolution’ of an equality right. Whilst privacy is a right to be ‘let alone’,</w:t>
      </w:r>
      <w:r w:rsidRPr="004D0659">
        <w:rPr>
          <w:rFonts w:ascii="Times New Roman" w:eastAsia="Calibri" w:hAnsi="Times New Roman" w:cs="Times New Roman"/>
          <w:color w:val="000000"/>
          <w:sz w:val="24"/>
          <w:szCs w:val="24"/>
        </w:rPr>
        <w:t xml:space="preserve"> </w:t>
      </w:r>
      <w:r w:rsidRPr="004D0659">
        <w:rPr>
          <w:rFonts w:ascii="Times New Roman" w:eastAsia="Times New Roman" w:hAnsi="Times New Roman" w:cs="Times New Roman"/>
          <w:color w:val="000000"/>
          <w:sz w:val="24"/>
          <w:szCs w:val="24"/>
          <w:lang w:eastAsia="en-GB"/>
        </w:rPr>
        <w:t xml:space="preserve">in contrast equality is associated with citizenship and its public status. Marriage is seen by many as a key component of citizenship. </w:t>
      </w:r>
      <w:r>
        <w:rPr>
          <w:rFonts w:ascii="Times New Roman" w:eastAsia="Calibri" w:hAnsi="Times New Roman" w:cs="Times New Roman"/>
          <w:color w:val="000000"/>
          <w:sz w:val="24"/>
          <w:szCs w:val="24"/>
        </w:rPr>
        <w:t>(Harris 2007-2008; Bamforth 2012; Cott 2000, 1; Cossman 2007, 27;</w:t>
      </w:r>
      <w:r w:rsidRPr="004D0659">
        <w:rPr>
          <w:rFonts w:ascii="Times New Roman" w:eastAsia="Calibri" w:hAnsi="Times New Roman" w:cs="Times New Roman"/>
          <w:color w:val="000000"/>
          <w:sz w:val="24"/>
          <w:szCs w:val="24"/>
        </w:rPr>
        <w:t xml:space="preserve"> Kochenov 2009, 163 and Richardson 1998, 1495).  Exclusion of gays from </w:t>
      </w:r>
      <w:r w:rsidRPr="004D0659">
        <w:rPr>
          <w:rFonts w:ascii="Times New Roman" w:eastAsia="Calibri" w:hAnsi="Times New Roman" w:cs="Times New Roman"/>
          <w:color w:val="000000"/>
          <w:sz w:val="24"/>
          <w:szCs w:val="24"/>
        </w:rPr>
        <w:lastRenderedPageBreak/>
        <w:t>the status of marriage has been referred to as ‘domestic apartheid’ (Dunlap 1991, 63) and denial of ‘full political standin</w:t>
      </w:r>
      <w:r>
        <w:rPr>
          <w:rFonts w:ascii="Times New Roman" w:eastAsia="Calibri" w:hAnsi="Times New Roman" w:cs="Times New Roman"/>
          <w:color w:val="000000"/>
          <w:sz w:val="24"/>
          <w:szCs w:val="24"/>
        </w:rPr>
        <w:t>g’ for gays (Kornbluh 2011, 537;</w:t>
      </w:r>
      <w:r w:rsidRPr="004D0659">
        <w:rPr>
          <w:rFonts w:ascii="Times New Roman" w:eastAsia="Calibri" w:hAnsi="Times New Roman" w:cs="Times New Roman"/>
          <w:color w:val="000000"/>
          <w:sz w:val="24"/>
          <w:szCs w:val="24"/>
        </w:rPr>
        <w:t xml:space="preserve"> Bamforth 2012 and Marshall 1992, 18). </w:t>
      </w:r>
      <w:r w:rsidRPr="004D0659">
        <w:rPr>
          <w:rFonts w:ascii="Times New Roman" w:eastAsia="Times New Roman" w:hAnsi="Times New Roman" w:cs="Times New Roman"/>
          <w:color w:val="000000"/>
          <w:sz w:val="24"/>
          <w:szCs w:val="24"/>
          <w:lang w:eastAsia="en-GB"/>
        </w:rPr>
        <w:t>Citizenship allows full participation in society. For those countries which are part of the EU, it also allows EU citizens and their family relocate with associated employment rights</w:t>
      </w:r>
      <w:r w:rsidRPr="004D0659">
        <w:rPr>
          <w:rFonts w:ascii="Times New Roman" w:eastAsia="Calibri" w:hAnsi="Times New Roman" w:cs="Times New Roman"/>
          <w:sz w:val="24"/>
          <w:szCs w:val="24"/>
          <w:vertAlign w:val="superscript"/>
        </w:rPr>
        <w:endnoteReference w:id="15"/>
      </w:r>
      <w:r w:rsidRPr="004D0659">
        <w:rPr>
          <w:rFonts w:ascii="Times New Roman" w:eastAsia="Times New Roman" w:hAnsi="Times New Roman" w:cs="Times New Roman"/>
          <w:color w:val="000000"/>
          <w:sz w:val="24"/>
          <w:szCs w:val="24"/>
          <w:lang w:eastAsia="en-GB"/>
        </w:rPr>
        <w:t xml:space="preserve"> around the EU territory.</w:t>
      </w:r>
      <w:r w:rsidRPr="004D0659">
        <w:rPr>
          <w:rFonts w:ascii="Times New Roman" w:eastAsia="Calibri" w:hAnsi="Times New Roman" w:cs="Times New Roman"/>
          <w:sz w:val="24"/>
          <w:szCs w:val="24"/>
          <w:vertAlign w:val="superscript"/>
        </w:rPr>
        <w:endnoteReference w:id="16"/>
      </w:r>
      <w:r w:rsidRPr="004D0659">
        <w:rPr>
          <w:rFonts w:ascii="Times New Roman" w:eastAsia="Calibri" w:hAnsi="Times New Roman" w:cs="Times New Roman"/>
          <w:color w:val="000000"/>
          <w:sz w:val="24"/>
          <w:szCs w:val="24"/>
          <w:vertAlign w:val="superscript"/>
        </w:rPr>
        <w:t xml:space="preserve"> </w:t>
      </w:r>
      <w:r w:rsidRPr="004D0659">
        <w:rPr>
          <w:rFonts w:ascii="Times New Roman" w:eastAsia="Times New Roman" w:hAnsi="Times New Roman" w:cs="Times New Roman"/>
          <w:color w:val="000000"/>
          <w:sz w:val="24"/>
          <w:szCs w:val="24"/>
          <w:lang w:eastAsia="en-GB"/>
        </w:rPr>
        <w:t xml:space="preserve">Engagement of equality arguments in relation to same-sex marriage is therefore advantageous in achieving the associated benefits of citizenship. This is something which is never going to be achieved from a privacy argument alone. </w:t>
      </w:r>
    </w:p>
    <w:p w:rsidR="00783683" w:rsidRPr="004D0659" w:rsidRDefault="00783683" w:rsidP="00783683">
      <w:pPr>
        <w:spacing w:after="0" w:line="480" w:lineRule="auto"/>
        <w:jc w:val="both"/>
        <w:rPr>
          <w:rFonts w:ascii="Times New Roman" w:eastAsia="Times New Roman" w:hAnsi="Times New Roman" w:cs="Times New Roman"/>
          <w:color w:val="000000"/>
          <w:sz w:val="24"/>
          <w:szCs w:val="24"/>
          <w:lang w:eastAsia="en-GB"/>
        </w:rPr>
      </w:pPr>
    </w:p>
    <w:p w:rsidR="00783683" w:rsidRPr="00A043F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Equality arguments also have symbolic value which is a key attraction of marriage as opposed to civil partnership (</w:t>
      </w:r>
      <w:r>
        <w:rPr>
          <w:rFonts w:ascii="Times New Roman" w:eastAsia="Times New Roman" w:hAnsi="Times New Roman" w:cs="Times New Roman"/>
          <w:sz w:val="24"/>
          <w:szCs w:val="24"/>
          <w:lang w:eastAsia="en-GB"/>
        </w:rPr>
        <w:t>Dorf, 2011, 1275;</w:t>
      </w:r>
      <w:r w:rsidRPr="004D0659">
        <w:rPr>
          <w:rFonts w:ascii="Times New Roman" w:eastAsia="Times New Roman" w:hAnsi="Times New Roman" w:cs="Times New Roman"/>
          <w:sz w:val="24"/>
          <w:szCs w:val="24"/>
          <w:lang w:eastAsia="en-GB"/>
        </w:rPr>
        <w:t xml:space="preserve"> Aloni, 2010-2011, 150 and Isaak, 2008).  Writers have referred to marriage as ‘fundamental’ and ‘deeply rooted in our society’</w:t>
      </w:r>
      <w:r w:rsidRPr="004D0659">
        <w:rPr>
          <w:rFonts w:ascii="Times New Roman" w:eastAsia="Times New Roman" w:hAnsi="Times New Roman" w:cs="Times New Roman"/>
          <w:b/>
          <w:sz w:val="24"/>
          <w:szCs w:val="24"/>
          <w:lang w:eastAsia="en-GB"/>
        </w:rPr>
        <w:t xml:space="preserve"> </w:t>
      </w:r>
      <w:r w:rsidRPr="004D0659">
        <w:rPr>
          <w:rFonts w:ascii="Times New Roman" w:eastAsia="Times New Roman" w:hAnsi="Times New Roman" w:cs="Times New Roman"/>
          <w:sz w:val="24"/>
          <w:szCs w:val="24"/>
          <w:lang w:eastAsia="en-GB"/>
        </w:rPr>
        <w:t>(Lombino II, 2004-2005)</w:t>
      </w:r>
      <w:r w:rsidRPr="004D0659">
        <w:rPr>
          <w:rFonts w:ascii="Times New Roman" w:eastAsia="Times New Roman" w:hAnsi="Times New Roman" w:cs="Times New Roman"/>
          <w:b/>
          <w:sz w:val="24"/>
          <w:szCs w:val="24"/>
          <w:lang w:eastAsia="en-GB"/>
        </w:rPr>
        <w:t xml:space="preserve"> </w:t>
      </w:r>
      <w:r w:rsidRPr="004D0659">
        <w:rPr>
          <w:rFonts w:ascii="Times New Roman" w:eastAsia="Times New Roman" w:hAnsi="Times New Roman" w:cs="Times New Roman"/>
          <w:sz w:val="24"/>
          <w:szCs w:val="24"/>
          <w:lang w:eastAsia="en-GB"/>
        </w:rPr>
        <w:t>and that it is a ‘public tradition’ (Dent, 1999). Others describe marriage as the</w:t>
      </w:r>
      <w:r w:rsidRPr="004D0659">
        <w:rPr>
          <w:rFonts w:ascii="Times New Roman" w:eastAsia="Times New Roman" w:hAnsi="Times New Roman" w:cs="Times New Roman"/>
          <w:b/>
          <w:sz w:val="24"/>
          <w:szCs w:val="24"/>
          <w:lang w:eastAsia="en-GB"/>
        </w:rPr>
        <w:t xml:space="preserve"> </w:t>
      </w:r>
      <w:r w:rsidRPr="004D0659">
        <w:rPr>
          <w:rFonts w:ascii="Times New Roman" w:eastAsia="Times New Roman" w:hAnsi="Times New Roman" w:cs="Times New Roman"/>
          <w:sz w:val="24"/>
          <w:szCs w:val="24"/>
          <w:lang w:eastAsia="en-GB"/>
        </w:rPr>
        <w:t>‘</w:t>
      </w:r>
      <w:r w:rsidRPr="004D0659">
        <w:rPr>
          <w:rFonts w:ascii="Times New Roman" w:eastAsia="Calibri" w:hAnsi="Times New Roman" w:cs="Times New Roman"/>
          <w:sz w:val="24"/>
          <w:szCs w:val="24"/>
        </w:rPr>
        <w:t>privileged and preferred legal status in Europe and the United States’ (Aloni, 2010-1011, 110 and Equality Network, 2011). Even after achieving civil p</w:t>
      </w:r>
      <w:r>
        <w:rPr>
          <w:rFonts w:ascii="Times New Roman" w:eastAsia="Calibri" w:hAnsi="Times New Roman" w:cs="Times New Roman"/>
          <w:sz w:val="24"/>
          <w:szCs w:val="24"/>
        </w:rPr>
        <w:t>artnership, which often involves</w:t>
      </w:r>
      <w:r w:rsidRPr="004D0659">
        <w:rPr>
          <w:rFonts w:ascii="Times New Roman" w:eastAsia="Calibri" w:hAnsi="Times New Roman" w:cs="Times New Roman"/>
          <w:sz w:val="24"/>
          <w:szCs w:val="24"/>
        </w:rPr>
        <w:t xml:space="preserve"> similar legal rights to marriage,</w:t>
      </w:r>
      <w:r w:rsidRPr="004D0659">
        <w:rPr>
          <w:rFonts w:ascii="Times New Roman" w:eastAsia="Times New Roman" w:hAnsi="Times New Roman" w:cs="Times New Roman"/>
          <w:sz w:val="24"/>
          <w:szCs w:val="24"/>
          <w:lang w:eastAsia="en-GB"/>
        </w:rPr>
        <w:t xml:space="preserve"> </w:t>
      </w:r>
      <w:r w:rsidRPr="004D0659">
        <w:rPr>
          <w:rFonts w:ascii="Times New Roman" w:eastAsia="Calibri" w:hAnsi="Times New Roman" w:cs="Times New Roman"/>
          <w:sz w:val="24"/>
          <w:szCs w:val="24"/>
        </w:rPr>
        <w:t xml:space="preserve">proponents of same-sex marriage continued striving for marriage as a goal due to its symbolic status </w:t>
      </w:r>
      <w:r w:rsidRPr="004D0659">
        <w:rPr>
          <w:rFonts w:ascii="Times New Roman" w:eastAsia="Times New Roman" w:hAnsi="Times New Roman" w:cs="Times New Roman"/>
          <w:sz w:val="24"/>
          <w:szCs w:val="24"/>
          <w:lang w:eastAsia="en-GB"/>
        </w:rPr>
        <w:t>(Dunlap, 1991). O</w:t>
      </w:r>
      <w:r>
        <w:rPr>
          <w:rFonts w:ascii="Times New Roman" w:eastAsia="Times New Roman" w:hAnsi="Times New Roman" w:cs="Times New Roman"/>
          <w:sz w:val="24"/>
          <w:szCs w:val="24"/>
          <w:lang w:eastAsia="en-GB"/>
        </w:rPr>
        <w:t>t</w:t>
      </w:r>
      <w:r w:rsidRPr="004D0659">
        <w:rPr>
          <w:rFonts w:ascii="Times New Roman" w:eastAsia="Times New Roman" w:hAnsi="Times New Roman" w:cs="Times New Roman"/>
          <w:sz w:val="24"/>
          <w:szCs w:val="24"/>
          <w:lang w:eastAsia="en-GB"/>
        </w:rPr>
        <w:t xml:space="preserve">her jurisdictions have also stressed the importance of equality arguments in relation to their judgments on same-sex marriage. In </w:t>
      </w:r>
      <w:r>
        <w:rPr>
          <w:rFonts w:ascii="Times New Roman" w:eastAsia="Times New Roman" w:hAnsi="Times New Roman" w:cs="Times New Roman"/>
          <w:i/>
          <w:sz w:val="24"/>
          <w:szCs w:val="24"/>
          <w:lang w:eastAsia="en-GB"/>
        </w:rPr>
        <w:t xml:space="preserve">Minister of Home Affairs and Another v </w:t>
      </w:r>
      <w:r w:rsidRPr="004D0659">
        <w:rPr>
          <w:rFonts w:ascii="Times New Roman" w:eastAsia="Times New Roman" w:hAnsi="Times New Roman" w:cs="Times New Roman"/>
          <w:i/>
          <w:sz w:val="24"/>
          <w:szCs w:val="24"/>
          <w:lang w:eastAsia="en-GB"/>
        </w:rPr>
        <w:t>Fourie</w:t>
      </w:r>
      <w:r>
        <w:rPr>
          <w:rFonts w:ascii="Times New Roman" w:eastAsia="Times New Roman" w:hAnsi="Times New Roman" w:cs="Times New Roman"/>
          <w:i/>
          <w:sz w:val="24"/>
          <w:szCs w:val="24"/>
          <w:lang w:eastAsia="en-GB"/>
        </w:rPr>
        <w:t xml:space="preserve"> </w:t>
      </w:r>
      <w:r w:rsidRPr="00115673">
        <w:rPr>
          <w:rFonts w:ascii="Times New Roman" w:eastAsia="Times New Roman" w:hAnsi="Times New Roman" w:cs="Times New Roman"/>
          <w:i/>
          <w:sz w:val="24"/>
          <w:szCs w:val="24"/>
          <w:lang w:eastAsia="en-GB"/>
        </w:rPr>
        <w:t>(‘</w:t>
      </w:r>
      <w:r>
        <w:rPr>
          <w:rFonts w:ascii="Times New Roman" w:eastAsia="Times New Roman" w:hAnsi="Times New Roman" w:cs="Times New Roman"/>
          <w:i/>
          <w:sz w:val="24"/>
          <w:szCs w:val="24"/>
          <w:lang w:eastAsia="en-GB"/>
        </w:rPr>
        <w:t>Fourie’)</w:t>
      </w:r>
      <w:r w:rsidRPr="004D0659">
        <w:rPr>
          <w:rFonts w:ascii="Times New Roman" w:eastAsia="Times New Roman" w:hAnsi="Times New Roman" w:cs="Times New Roman"/>
          <w:sz w:val="24"/>
          <w:szCs w:val="24"/>
          <w:lang w:eastAsia="en-GB"/>
        </w:rPr>
        <w:t xml:space="preserve"> the South African Constitutional Court criticised privacy as a ‘negative liberty’</w:t>
      </w:r>
      <w:r w:rsidRPr="004D0659">
        <w:rPr>
          <w:rFonts w:ascii="Times New Roman" w:eastAsia="Times New Roman" w:hAnsi="Times New Roman" w:cs="Times New Roman"/>
          <w:sz w:val="24"/>
          <w:szCs w:val="24"/>
          <w:vertAlign w:val="superscript"/>
          <w:lang w:eastAsia="en-GB"/>
        </w:rPr>
        <w:endnoteReference w:id="17"/>
      </w:r>
      <w:r w:rsidRPr="004D0659">
        <w:rPr>
          <w:rFonts w:ascii="Times New Roman" w:eastAsia="Times New Roman" w:hAnsi="Times New Roman" w:cs="Times New Roman"/>
          <w:sz w:val="24"/>
          <w:szCs w:val="24"/>
          <w:lang w:eastAsia="en-GB"/>
        </w:rPr>
        <w:t xml:space="preserve"> in contrast to the strength of the equality argument which meant ‘equal concern and respect across differences.</w:t>
      </w:r>
      <w:r>
        <w:rPr>
          <w:rFonts w:ascii="Times New Roman" w:eastAsia="Times New Roman" w:hAnsi="Times New Roman" w:cs="Times New Roman"/>
          <w:sz w:val="24"/>
          <w:szCs w:val="24"/>
          <w:lang w:eastAsia="en-GB"/>
        </w:rPr>
        <w:t>’</w:t>
      </w:r>
      <w:r w:rsidRPr="004D0659">
        <w:rPr>
          <w:rFonts w:ascii="Times New Roman" w:eastAsia="Times New Roman" w:hAnsi="Times New Roman" w:cs="Times New Roman"/>
          <w:sz w:val="24"/>
          <w:szCs w:val="24"/>
          <w:vertAlign w:val="superscript"/>
          <w:lang w:eastAsia="en-GB"/>
        </w:rPr>
        <w:endnoteReference w:id="18"/>
      </w:r>
      <w:r w:rsidRPr="004D0659">
        <w:rPr>
          <w:rFonts w:ascii="Times New Roman" w:eastAsia="Times New Roman" w:hAnsi="Times New Roman" w:cs="Times New Roman"/>
          <w:sz w:val="24"/>
          <w:szCs w:val="24"/>
          <w:lang w:eastAsia="en-GB"/>
        </w:rPr>
        <w:t xml:space="preserve"> US courts have also relied heavily on the </w:t>
      </w:r>
      <w:r w:rsidRPr="004D0659">
        <w:rPr>
          <w:rFonts w:ascii="Times New Roman" w:eastAsia="Calibri" w:hAnsi="Times New Roman" w:cs="Times New Roman"/>
          <w:sz w:val="24"/>
          <w:szCs w:val="24"/>
        </w:rPr>
        <w:t>equality argumen</w:t>
      </w:r>
      <w:r>
        <w:rPr>
          <w:rFonts w:ascii="Times New Roman" w:eastAsia="Calibri" w:hAnsi="Times New Roman" w:cs="Times New Roman"/>
          <w:sz w:val="24"/>
          <w:szCs w:val="24"/>
        </w:rPr>
        <w:t xml:space="preserve">t </w:t>
      </w:r>
      <w:r w:rsidRPr="00A043F9">
        <w:rPr>
          <w:rFonts w:ascii="Times New Roman" w:eastAsia="Calibri" w:hAnsi="Times New Roman" w:cs="Times New Roman"/>
          <w:sz w:val="24"/>
          <w:szCs w:val="24"/>
        </w:rPr>
        <w:t>(See Barrett, 2006-2008, 695 for discussion).</w:t>
      </w:r>
      <w:r w:rsidRPr="004D0659">
        <w:rPr>
          <w:rFonts w:ascii="Times New Roman" w:eastAsia="Calibri" w:hAnsi="Times New Roman" w:cs="Times New Roman"/>
          <w:sz w:val="24"/>
          <w:szCs w:val="24"/>
          <w:vertAlign w:val="superscript"/>
        </w:rPr>
        <w:endnoteReference w:id="19"/>
      </w:r>
      <w:r w:rsidRPr="004D0659">
        <w:rPr>
          <w:rFonts w:ascii="Times New Roman" w:eastAsia="Calibri" w:hAnsi="Times New Roman" w:cs="Times New Roman"/>
          <w:sz w:val="24"/>
          <w:szCs w:val="24"/>
        </w:rPr>
        <w:t xml:space="preserve"> </w:t>
      </w:r>
      <w:r w:rsidRPr="004D0659">
        <w:rPr>
          <w:rFonts w:ascii="Times New Roman" w:eastAsia="Times New Roman" w:hAnsi="Times New Roman" w:cs="Times New Roman"/>
          <w:sz w:val="24"/>
          <w:szCs w:val="24"/>
          <w:lang w:eastAsia="en-GB"/>
        </w:rPr>
        <w:t xml:space="preserve">The recent Supreme Court judgment of </w:t>
      </w:r>
      <w:r w:rsidRPr="004D0659">
        <w:rPr>
          <w:rFonts w:ascii="Times New Roman" w:eastAsia="Times New Roman" w:hAnsi="Times New Roman" w:cs="Times New Roman"/>
          <w:i/>
          <w:sz w:val="24"/>
          <w:szCs w:val="24"/>
          <w:lang w:eastAsia="en-GB"/>
        </w:rPr>
        <w:t xml:space="preserve">Obergefell et al v Hodges, Director, Ohio Department of Health </w:t>
      </w:r>
      <w:r>
        <w:rPr>
          <w:rFonts w:ascii="Times New Roman" w:eastAsia="Times New Roman" w:hAnsi="Times New Roman" w:cs="Times New Roman"/>
          <w:sz w:val="24"/>
          <w:szCs w:val="24"/>
          <w:lang w:eastAsia="en-GB"/>
        </w:rPr>
        <w:t>(‘</w:t>
      </w:r>
      <w:r w:rsidRPr="00137AF2">
        <w:rPr>
          <w:rFonts w:ascii="Times New Roman" w:eastAsia="Times New Roman" w:hAnsi="Times New Roman" w:cs="Times New Roman"/>
          <w:i/>
          <w:sz w:val="24"/>
          <w:szCs w:val="24"/>
          <w:lang w:eastAsia="en-GB"/>
        </w:rPr>
        <w:t>Obergefell</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now</w:t>
      </w:r>
      <w:r w:rsidRPr="004D0659">
        <w:rPr>
          <w:rFonts w:ascii="Times New Roman" w:eastAsia="Times New Roman" w:hAnsi="Times New Roman" w:cs="Times New Roman"/>
          <w:i/>
          <w:sz w:val="24"/>
          <w:szCs w:val="24"/>
          <w:lang w:eastAsia="en-GB"/>
        </w:rPr>
        <w:t xml:space="preserve"> </w:t>
      </w:r>
      <w:r w:rsidRPr="004D0659">
        <w:rPr>
          <w:rFonts w:ascii="Times New Roman" w:eastAsia="Times New Roman" w:hAnsi="Times New Roman" w:cs="Times New Roman"/>
          <w:sz w:val="24"/>
          <w:szCs w:val="24"/>
          <w:lang w:eastAsia="en-GB"/>
        </w:rPr>
        <w:t xml:space="preserve">requires all </w:t>
      </w:r>
      <w:r>
        <w:rPr>
          <w:rFonts w:ascii="Times New Roman" w:eastAsia="Times New Roman" w:hAnsi="Times New Roman" w:cs="Times New Roman"/>
          <w:sz w:val="24"/>
          <w:szCs w:val="24"/>
          <w:lang w:eastAsia="en-GB"/>
        </w:rPr>
        <w:t xml:space="preserve">US </w:t>
      </w:r>
      <w:r w:rsidRPr="004D0659">
        <w:rPr>
          <w:rFonts w:ascii="Times New Roman" w:eastAsia="Times New Roman" w:hAnsi="Times New Roman" w:cs="Times New Roman"/>
          <w:sz w:val="24"/>
          <w:szCs w:val="24"/>
          <w:lang w:eastAsia="en-GB"/>
        </w:rPr>
        <w:t>states to issue marriage licences to same-sex couples and to recognise same-sex marriages validly performed in other jurisdictions.</w:t>
      </w:r>
      <w:r>
        <w:rPr>
          <w:rStyle w:val="EndnoteReference"/>
          <w:rFonts w:ascii="Times New Roman" w:eastAsia="Times New Roman" w:hAnsi="Times New Roman" w:cs="Times New Roman"/>
          <w:sz w:val="24"/>
          <w:szCs w:val="24"/>
          <w:lang w:eastAsia="en-GB"/>
        </w:rPr>
        <w:endnoteReference w:id="20"/>
      </w:r>
      <w:r w:rsidRPr="004D0659">
        <w:rPr>
          <w:rFonts w:ascii="Times New Roman" w:eastAsia="Times New Roman" w:hAnsi="Times New Roman" w:cs="Times New Roman"/>
          <w:sz w:val="24"/>
          <w:szCs w:val="24"/>
          <w:lang w:eastAsia="en-GB"/>
        </w:rPr>
        <w:t xml:space="preserve">  The</w:t>
      </w:r>
      <w:r>
        <w:rPr>
          <w:rFonts w:ascii="Times New Roman" w:eastAsia="Times New Roman" w:hAnsi="Times New Roman" w:cs="Times New Roman"/>
          <w:sz w:val="24"/>
          <w:szCs w:val="24"/>
          <w:lang w:eastAsia="en-GB"/>
        </w:rPr>
        <w:t xml:space="preserve"> main justification of the right to marry was ‘</w:t>
      </w:r>
      <w:r w:rsidRPr="004D0659">
        <w:rPr>
          <w:rFonts w:ascii="Times New Roman" w:eastAsia="Times New Roman" w:hAnsi="Times New Roman" w:cs="Times New Roman"/>
          <w:sz w:val="24"/>
          <w:szCs w:val="24"/>
          <w:lang w:eastAsia="en-GB"/>
        </w:rPr>
        <w:t>derived from the Fourteenth Amendment’s guarantee of equal protection</w:t>
      </w:r>
      <w:r>
        <w:rPr>
          <w:rFonts w:ascii="Times New Roman" w:eastAsia="Times New Roman" w:hAnsi="Times New Roman" w:cs="Times New Roman"/>
          <w:sz w:val="24"/>
          <w:szCs w:val="24"/>
          <w:lang w:eastAsia="en-GB"/>
        </w:rPr>
        <w:t>.’</w:t>
      </w:r>
      <w:r w:rsidRPr="004D0659">
        <w:rPr>
          <w:rFonts w:ascii="Times New Roman" w:eastAsia="Times New Roman" w:hAnsi="Times New Roman" w:cs="Times New Roman"/>
          <w:sz w:val="24"/>
          <w:szCs w:val="24"/>
          <w:vertAlign w:val="superscript"/>
          <w:lang w:eastAsia="en-GB"/>
        </w:rPr>
        <w:endnoteReference w:id="21"/>
      </w:r>
      <w:r w:rsidRPr="004D0659">
        <w:rPr>
          <w:rFonts w:ascii="Times New Roman" w:eastAsia="Times New Roman" w:hAnsi="Times New Roman" w:cs="Times New Roman"/>
          <w:sz w:val="24"/>
          <w:szCs w:val="24"/>
          <w:lang w:eastAsia="en-GB"/>
        </w:rPr>
        <w:t xml:space="preserve"> </w:t>
      </w:r>
      <w:r w:rsidRPr="004D0659">
        <w:rPr>
          <w:rFonts w:ascii="Times New Roman" w:eastAsia="Calibri" w:hAnsi="Times New Roman" w:cs="Times New Roman"/>
          <w:sz w:val="24"/>
          <w:szCs w:val="24"/>
        </w:rPr>
        <w:lastRenderedPageBreak/>
        <w:t xml:space="preserve">These examples demonstrate that internationally equality has been the most successful argument for those courts finding in favour of same-sex marriage. It is argued that it is advantageous for the ECtHR to engage with this argument in order to recognise same-sex marriage. At present equality is given a subsidiary role in cases concerning gays before the ECtHR.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center"/>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ECtHR ENGAGEMENT WITH ARTICLE 14</w:t>
      </w:r>
      <w:r>
        <w:rPr>
          <w:rFonts w:ascii="Times New Roman" w:eastAsia="Times New Roman" w:hAnsi="Times New Roman" w:cs="Times New Roman"/>
          <w:b/>
          <w:sz w:val="24"/>
          <w:szCs w:val="24"/>
          <w:lang w:eastAsia="en-GB"/>
        </w:rPr>
        <w:t xml:space="preserve"> (EQUALITY)</w:t>
      </w:r>
    </w:p>
    <w:p w:rsidR="00783683" w:rsidRPr="004D0659" w:rsidRDefault="00783683" w:rsidP="00783683">
      <w:pPr>
        <w:spacing w:after="0" w:line="480" w:lineRule="auto"/>
        <w:jc w:val="both"/>
        <w:rPr>
          <w:rFonts w:ascii="Times New Roman" w:eastAsia="Times New Roman" w:hAnsi="Times New Roman" w:cs="Times New Roman"/>
          <w:b/>
          <w:sz w:val="24"/>
          <w:szCs w:val="24"/>
          <w:lang w:eastAsia="en-GB"/>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 xml:space="preserve">Throughout its earlier judgments the ECtHR did not find it necessary to consider the arguments brought forward on the basis of Article 14.  In </w:t>
      </w:r>
      <w:r w:rsidRPr="004D0659">
        <w:rPr>
          <w:rFonts w:ascii="Times New Roman" w:eastAsia="Calibri" w:hAnsi="Times New Roman" w:cs="Times New Roman"/>
          <w:i/>
          <w:sz w:val="24"/>
          <w:szCs w:val="24"/>
        </w:rPr>
        <w:t>Dudgeon v UK,</w:t>
      </w:r>
      <w:r w:rsidRPr="004D0659">
        <w:rPr>
          <w:rFonts w:ascii="Times New Roman" w:eastAsia="Calibri" w:hAnsi="Times New Roman" w:cs="Times New Roman"/>
          <w:sz w:val="24"/>
          <w:szCs w:val="24"/>
        </w:rPr>
        <w:t xml:space="preserve"> the ECtHR found that ‘there is no call to rule on the merits’ of Article 14 as the same complaint had already been examined under Article 8</w:t>
      </w:r>
      <w:r>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22"/>
      </w:r>
      <w:r w:rsidRPr="004D0659">
        <w:rPr>
          <w:rFonts w:ascii="Times New Roman" w:eastAsia="Calibri" w:hAnsi="Times New Roman" w:cs="Times New Roman"/>
          <w:sz w:val="24"/>
          <w:szCs w:val="24"/>
        </w:rPr>
        <w:t xml:space="preserve"> This set a trend for further cases which did not consider Article 14.</w:t>
      </w:r>
      <w:r w:rsidRPr="004D0659">
        <w:rPr>
          <w:rFonts w:ascii="Times New Roman" w:eastAsia="Calibri" w:hAnsi="Times New Roman" w:cs="Times New Roman"/>
          <w:sz w:val="24"/>
          <w:szCs w:val="24"/>
          <w:vertAlign w:val="superscript"/>
        </w:rPr>
        <w:endnoteReference w:id="23"/>
      </w:r>
      <w:r w:rsidRPr="004D0659">
        <w:rPr>
          <w:rFonts w:ascii="Times New Roman" w:eastAsia="Calibri" w:hAnsi="Times New Roman" w:cs="Times New Roman"/>
          <w:sz w:val="24"/>
          <w:szCs w:val="24"/>
        </w:rPr>
        <w:t xml:space="preserve"> The traditional focus by the ECtHR on Article 8 privacy therefore remained. Grigolo asserts that in relation to </w:t>
      </w:r>
      <w:r w:rsidRPr="004D0659">
        <w:rPr>
          <w:rFonts w:ascii="Times New Roman" w:eastAsia="Calibri" w:hAnsi="Times New Roman" w:cs="Times New Roman"/>
          <w:i/>
          <w:sz w:val="24"/>
          <w:szCs w:val="24"/>
        </w:rPr>
        <w:t>Dudgeon v UK</w:t>
      </w:r>
      <w:r w:rsidRPr="004D0659">
        <w:rPr>
          <w:rFonts w:ascii="Times New Roman" w:eastAsia="Calibri" w:hAnsi="Times New Roman" w:cs="Times New Roman"/>
          <w:sz w:val="24"/>
          <w:szCs w:val="24"/>
        </w:rPr>
        <w:t xml:space="preserve"> </w:t>
      </w:r>
      <w:r>
        <w:rPr>
          <w:rFonts w:ascii="Times New Roman" w:eastAsia="Calibri" w:hAnsi="Times New Roman" w:cs="Times New Roman"/>
          <w:sz w:val="24"/>
          <w:szCs w:val="24"/>
        </w:rPr>
        <w:t>a conclusion based on Article 14 would have ‘</w:t>
      </w:r>
      <w:r w:rsidRPr="004D0659">
        <w:rPr>
          <w:rFonts w:ascii="Times New Roman" w:eastAsia="Calibri" w:hAnsi="Times New Roman" w:cs="Times New Roman"/>
          <w:sz w:val="24"/>
          <w:szCs w:val="24"/>
        </w:rPr>
        <w:t>strengthened the (political) ‘status’ of homosexuality to an excessive extent’ (Grigolo 2003, 1030). Perhaps this was a concern about not proceeding too quickly with the development of gay rights at the time for fear of a backlash of public opinion</w:t>
      </w:r>
      <w:r>
        <w:rPr>
          <w:rFonts w:ascii="Times New Roman" w:eastAsia="Calibri" w:hAnsi="Times New Roman" w:cs="Times New Roman"/>
          <w:sz w:val="24"/>
          <w:szCs w:val="24"/>
        </w:rPr>
        <w:t>, causing unnecessary polarization (Marshall 2010, 199-200 and Reinhardt 2005).</w:t>
      </w:r>
      <w:r w:rsidRPr="004D0659">
        <w:rPr>
          <w:rFonts w:ascii="Times New Roman" w:eastAsia="Calibri" w:hAnsi="Times New Roman" w:cs="Times New Roman"/>
          <w:sz w:val="24"/>
          <w:szCs w:val="24"/>
        </w:rPr>
        <w:t xml:space="preserve"> However, since that date gay rights have advanced significantly. Step by step, or incremental development has allowed recognition of gay rights and public acceptance of same-sex couples. More recently, the ECtHR has </w:t>
      </w:r>
      <w:r>
        <w:rPr>
          <w:rFonts w:ascii="Times New Roman" w:eastAsia="Calibri" w:hAnsi="Times New Roman" w:cs="Times New Roman"/>
          <w:sz w:val="24"/>
          <w:szCs w:val="24"/>
        </w:rPr>
        <w:t xml:space="preserve">been ‘increasingly sensitive </w:t>
      </w:r>
      <w:r w:rsidRPr="004D0659">
        <w:rPr>
          <w:rFonts w:ascii="Times New Roman" w:eastAsia="Calibri" w:hAnsi="Times New Roman" w:cs="Times New Roman"/>
          <w:sz w:val="24"/>
          <w:szCs w:val="24"/>
        </w:rPr>
        <w:t>to issues of non-discrimination’ (Cartabia 2011, 808</w:t>
      </w:r>
      <w:r>
        <w:rPr>
          <w:rFonts w:ascii="Times New Roman" w:eastAsia="Calibri" w:hAnsi="Times New Roman" w:cs="Times New Roman"/>
          <w:sz w:val="24"/>
          <w:szCs w:val="24"/>
        </w:rPr>
        <w:t>. See also Waaldijk 2016, 242</w:t>
      </w:r>
      <w:r w:rsidRPr="004D0659">
        <w:rPr>
          <w:rFonts w:ascii="Times New Roman" w:eastAsia="Calibri" w:hAnsi="Times New Roman" w:cs="Times New Roman"/>
          <w:sz w:val="24"/>
          <w:szCs w:val="24"/>
        </w:rPr>
        <w:t xml:space="preserve">). Significant case law emphasising equality includes </w:t>
      </w:r>
      <w:r w:rsidRPr="004D0659">
        <w:rPr>
          <w:rFonts w:ascii="Times New Roman" w:eastAsia="Calibri" w:hAnsi="Times New Roman" w:cs="Times New Roman"/>
          <w:i/>
          <w:sz w:val="24"/>
          <w:szCs w:val="24"/>
        </w:rPr>
        <w:t>Karner v Austria</w:t>
      </w:r>
      <w:r w:rsidRPr="004D0659">
        <w:rPr>
          <w:rFonts w:ascii="Times New Roman" w:eastAsia="Calibri" w:hAnsi="Times New Roman" w:cs="Times New Roman"/>
          <w:sz w:val="24"/>
          <w:szCs w:val="24"/>
        </w:rPr>
        <w:t xml:space="preserve"> where it was stated that </w:t>
      </w:r>
      <w:r w:rsidRPr="004D0659">
        <w:rPr>
          <w:rFonts w:ascii="Times New Roman" w:eastAsia="Times New Roman" w:hAnsi="Times New Roman" w:cs="Times New Roman"/>
          <w:color w:val="000000"/>
          <w:kern w:val="24"/>
          <w:sz w:val="24"/>
          <w:szCs w:val="24"/>
        </w:rPr>
        <w:t>‘weighty reasons were needed to just</w:t>
      </w:r>
      <w:r>
        <w:rPr>
          <w:rFonts w:ascii="Times New Roman" w:eastAsia="Times New Roman" w:hAnsi="Times New Roman" w:cs="Times New Roman"/>
          <w:color w:val="000000"/>
          <w:kern w:val="24"/>
          <w:sz w:val="24"/>
          <w:szCs w:val="24"/>
        </w:rPr>
        <w:t>ify a difference in treatment.’</w:t>
      </w:r>
      <w:r w:rsidRPr="004D0659">
        <w:rPr>
          <w:rFonts w:ascii="Times New Roman" w:eastAsia="Times New Roman" w:hAnsi="Times New Roman" w:cs="Times New Roman"/>
          <w:color w:val="000000"/>
          <w:kern w:val="24"/>
          <w:sz w:val="24"/>
          <w:szCs w:val="24"/>
          <w:vertAlign w:val="superscript"/>
        </w:rPr>
        <w:endnoteReference w:id="24"/>
      </w:r>
      <w:r w:rsidRPr="004D06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This dicta was used to great effect in later case law. </w:t>
      </w:r>
      <w:r w:rsidRPr="004D0659">
        <w:rPr>
          <w:rFonts w:ascii="Times New Roman" w:eastAsia="Calibri" w:hAnsi="Times New Roman" w:cs="Times New Roman"/>
          <w:sz w:val="24"/>
          <w:szCs w:val="24"/>
        </w:rPr>
        <w:t xml:space="preserve">For example when Greece attempted to reserve same-sex relationships to heterosexual couples only, this was found to violate Article 14  (right to equality) in </w:t>
      </w:r>
      <w:r w:rsidRPr="004D0659">
        <w:rPr>
          <w:rFonts w:ascii="Times New Roman" w:eastAsia="Calibri" w:hAnsi="Times New Roman" w:cs="Times New Roman"/>
          <w:sz w:val="24"/>
          <w:szCs w:val="24"/>
        </w:rPr>
        <w:lastRenderedPageBreak/>
        <w:t>conjunction with Article 8 (family law aspect).</w:t>
      </w:r>
      <w:r w:rsidRPr="004D0659">
        <w:rPr>
          <w:rStyle w:val="EndnoteReference"/>
          <w:rFonts w:ascii="Times New Roman" w:eastAsia="Calibri" w:hAnsi="Times New Roman" w:cs="Times New Roman"/>
          <w:sz w:val="24"/>
          <w:szCs w:val="24"/>
        </w:rPr>
        <w:endnoteReference w:id="25"/>
      </w:r>
      <w:r w:rsidRPr="004D0659">
        <w:rPr>
          <w:rFonts w:ascii="Times New Roman" w:eastAsia="Calibri" w:hAnsi="Times New Roman" w:cs="Times New Roman"/>
          <w:sz w:val="24"/>
          <w:szCs w:val="24"/>
        </w:rPr>
        <w:t xml:space="preserve"> Reliance on non-discrimination principles under Article 14 w</w:t>
      </w:r>
      <w:r>
        <w:rPr>
          <w:rFonts w:ascii="Times New Roman" w:eastAsia="Calibri" w:hAnsi="Times New Roman" w:cs="Times New Roman"/>
          <w:sz w:val="24"/>
          <w:szCs w:val="24"/>
        </w:rPr>
        <w:t>as</w:t>
      </w:r>
      <w:r w:rsidRPr="004D0659">
        <w:rPr>
          <w:rFonts w:ascii="Times New Roman" w:eastAsia="Calibri" w:hAnsi="Times New Roman" w:cs="Times New Roman"/>
          <w:sz w:val="24"/>
          <w:szCs w:val="24"/>
        </w:rPr>
        <w:t xml:space="preserve"> also successful in relation to same-sex couples</w:t>
      </w:r>
      <w:r>
        <w:rPr>
          <w:rFonts w:ascii="Times New Roman" w:eastAsia="Calibri" w:hAnsi="Times New Roman" w:cs="Times New Roman"/>
          <w:sz w:val="24"/>
          <w:szCs w:val="24"/>
        </w:rPr>
        <w:t>’</w:t>
      </w:r>
      <w:r w:rsidRPr="004D0659">
        <w:rPr>
          <w:rFonts w:ascii="Times New Roman" w:eastAsia="Calibri" w:hAnsi="Times New Roman" w:cs="Times New Roman"/>
          <w:sz w:val="24"/>
          <w:szCs w:val="24"/>
        </w:rPr>
        <w:t xml:space="preserve"> right to adopt.</w:t>
      </w:r>
      <w:r w:rsidRPr="004D0659">
        <w:rPr>
          <w:rStyle w:val="EndnoteReference"/>
          <w:rFonts w:ascii="Times New Roman" w:eastAsia="Calibri" w:hAnsi="Times New Roman" w:cs="Times New Roman"/>
          <w:sz w:val="24"/>
          <w:szCs w:val="24"/>
        </w:rPr>
        <w:endnoteReference w:id="26"/>
      </w:r>
      <w:r w:rsidRPr="004D0659">
        <w:rPr>
          <w:rFonts w:ascii="Times New Roman" w:eastAsia="Calibri" w:hAnsi="Times New Roman" w:cs="Times New Roman"/>
          <w:sz w:val="24"/>
          <w:szCs w:val="24"/>
        </w:rPr>
        <w:t xml:space="preserve">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 xml:space="preserve">Yet, in </w:t>
      </w:r>
      <w:r w:rsidRPr="004D0659">
        <w:rPr>
          <w:rFonts w:ascii="Times New Roman" w:eastAsia="Calibri" w:hAnsi="Times New Roman" w:cs="Times New Roman"/>
          <w:i/>
          <w:sz w:val="24"/>
          <w:szCs w:val="24"/>
        </w:rPr>
        <w:t xml:space="preserve">Oliari v Italy </w:t>
      </w:r>
      <w:r w:rsidRPr="004D0659">
        <w:rPr>
          <w:rFonts w:ascii="Times New Roman" w:eastAsia="Calibri" w:hAnsi="Times New Roman" w:cs="Times New Roman"/>
          <w:sz w:val="24"/>
          <w:szCs w:val="24"/>
        </w:rPr>
        <w:t>there was a reversal to this developing trend.</w:t>
      </w:r>
      <w:r>
        <w:rPr>
          <w:rStyle w:val="EndnoteReference"/>
          <w:rFonts w:ascii="Times New Roman" w:eastAsia="Calibri" w:hAnsi="Times New Roman" w:cs="Times New Roman"/>
          <w:sz w:val="24"/>
          <w:szCs w:val="24"/>
        </w:rPr>
        <w:endnoteReference w:id="27"/>
      </w:r>
      <w:r w:rsidRPr="004D0659">
        <w:rPr>
          <w:rFonts w:ascii="Times New Roman" w:eastAsia="Calibri" w:hAnsi="Times New Roman" w:cs="Times New Roman"/>
          <w:sz w:val="24"/>
          <w:szCs w:val="24"/>
        </w:rPr>
        <w:t xml:space="preserve"> The ECtHR determined that it was not necessary to consider the argument on the basis of Article 14. Instead the right to civil partnership was deemed to be successful under Article 8, creating a positive obligation on Member States to provide such a status to same-sex couples.</w:t>
      </w:r>
      <w:r>
        <w:rPr>
          <w:rStyle w:val="EndnoteReference"/>
          <w:rFonts w:ascii="Times New Roman" w:eastAsia="Calibri" w:hAnsi="Times New Roman" w:cs="Times New Roman"/>
          <w:sz w:val="24"/>
          <w:szCs w:val="24"/>
        </w:rPr>
        <w:endnoteReference w:id="28"/>
      </w:r>
      <w:r w:rsidRPr="004D0659">
        <w:rPr>
          <w:rFonts w:ascii="Times New Roman" w:eastAsia="Calibri" w:hAnsi="Times New Roman" w:cs="Times New Roman"/>
          <w:sz w:val="24"/>
          <w:szCs w:val="24"/>
        </w:rPr>
        <w:t xml:space="preserve">  Fenwick considers that </w:t>
      </w:r>
      <w:r>
        <w:rPr>
          <w:rFonts w:ascii="Times New Roman" w:eastAsia="Calibri" w:hAnsi="Times New Roman" w:cs="Times New Roman"/>
          <w:sz w:val="24"/>
          <w:szCs w:val="24"/>
        </w:rPr>
        <w:t>approach</w:t>
      </w:r>
      <w:r w:rsidRPr="004D0659">
        <w:rPr>
          <w:rFonts w:ascii="Times New Roman" w:eastAsia="Calibri" w:hAnsi="Times New Roman" w:cs="Times New Roman"/>
          <w:sz w:val="24"/>
          <w:szCs w:val="24"/>
        </w:rPr>
        <w:t xml:space="preserve"> ‘significant</w:t>
      </w:r>
      <w:r>
        <w:rPr>
          <w:rFonts w:ascii="Times New Roman" w:eastAsia="Calibri" w:hAnsi="Times New Roman" w:cs="Times New Roman"/>
          <w:sz w:val="24"/>
          <w:szCs w:val="24"/>
        </w:rPr>
        <w:t>’</w:t>
      </w:r>
      <w:r w:rsidRPr="004D06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(Fenwick 2016, </w:t>
      </w:r>
      <w:r w:rsidRPr="002B7691">
        <w:rPr>
          <w:rFonts w:ascii="Times New Roman" w:eastAsia="Calibri" w:hAnsi="Times New Roman" w:cs="Times New Roman"/>
          <w:sz w:val="24"/>
          <w:szCs w:val="24"/>
        </w:rPr>
        <w:t>263</w:t>
      </w:r>
      <w:r>
        <w:rPr>
          <w:rFonts w:ascii="Times New Roman" w:eastAsia="Calibri" w:hAnsi="Times New Roman" w:cs="Times New Roman"/>
          <w:sz w:val="24"/>
          <w:szCs w:val="24"/>
        </w:rPr>
        <w:t>).</w:t>
      </w:r>
      <w:r w:rsidRPr="004D0659">
        <w:rPr>
          <w:rStyle w:val="EndnoteReference"/>
          <w:rFonts w:ascii="Times New Roman" w:eastAsia="Calibri" w:hAnsi="Times New Roman" w:cs="Times New Roman"/>
          <w:sz w:val="24"/>
          <w:szCs w:val="24"/>
        </w:rPr>
        <w:endnoteReference w:id="29"/>
      </w:r>
      <w:r w:rsidRPr="004D0659">
        <w:rPr>
          <w:rFonts w:ascii="Times New Roman" w:eastAsia="Calibri" w:hAnsi="Times New Roman" w:cs="Times New Roman"/>
          <w:sz w:val="24"/>
          <w:szCs w:val="24"/>
        </w:rPr>
        <w:t xml:space="preserve"> If the case </w:t>
      </w:r>
      <w:r>
        <w:rPr>
          <w:rFonts w:ascii="Times New Roman" w:eastAsia="Calibri" w:hAnsi="Times New Roman" w:cs="Times New Roman"/>
          <w:sz w:val="24"/>
          <w:szCs w:val="24"/>
        </w:rPr>
        <w:t>had been</w:t>
      </w:r>
      <w:r w:rsidRPr="004D0659">
        <w:rPr>
          <w:rFonts w:ascii="Times New Roman" w:eastAsia="Calibri" w:hAnsi="Times New Roman" w:cs="Times New Roman"/>
          <w:sz w:val="24"/>
          <w:szCs w:val="24"/>
        </w:rPr>
        <w:t xml:space="preserve"> considered under Article 14, the ECtHR would have had to consider whether Italy was able to provide ‘weighty reasons’ for its difference in treatment of same-sex couples. It is unlikely that Italy would have been able to do this successfully</w:t>
      </w:r>
      <w:r w:rsidRPr="007465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D0659">
        <w:rPr>
          <w:rFonts w:ascii="Times New Roman" w:eastAsia="Calibri" w:hAnsi="Times New Roman" w:cs="Times New Roman"/>
          <w:sz w:val="24"/>
          <w:szCs w:val="24"/>
        </w:rPr>
        <w:t>The ECtHR therefore avoided having to consider whether the reasons given by Italy were discriminatory</w:t>
      </w:r>
      <w:r>
        <w:rPr>
          <w:rFonts w:ascii="Times New Roman" w:eastAsia="Calibri" w:hAnsi="Times New Roman" w:cs="Times New Roman"/>
          <w:sz w:val="24"/>
          <w:szCs w:val="24"/>
        </w:rPr>
        <w:t xml:space="preserve"> (see Hayward 2016, 29). </w:t>
      </w:r>
      <w:r w:rsidRPr="004D0659">
        <w:rPr>
          <w:rFonts w:ascii="Times New Roman" w:eastAsia="Calibri" w:hAnsi="Times New Roman" w:cs="Times New Roman"/>
          <w:sz w:val="24"/>
          <w:szCs w:val="24"/>
        </w:rPr>
        <w:t>Such a precedent would have undoubtedly strengthened the case for same-sex marriage. Indeed if the ‘weighty reasons’ dicta</w:t>
      </w:r>
      <w:r w:rsidRPr="004D0659">
        <w:rPr>
          <w:rStyle w:val="EndnoteReference"/>
          <w:rFonts w:ascii="Times New Roman" w:eastAsia="Calibri" w:hAnsi="Times New Roman" w:cs="Times New Roman"/>
          <w:sz w:val="24"/>
          <w:szCs w:val="24"/>
        </w:rPr>
        <w:endnoteReference w:id="30"/>
      </w:r>
      <w:r w:rsidRPr="004D0659">
        <w:rPr>
          <w:rFonts w:ascii="Times New Roman" w:eastAsia="Calibri" w:hAnsi="Times New Roman" w:cs="Times New Roman"/>
          <w:sz w:val="24"/>
          <w:szCs w:val="24"/>
        </w:rPr>
        <w:t xml:space="preserve"> were followed to its logical extent, this could result in the argument that there should be a right to same-sex marriage. The dissenting judges in </w:t>
      </w:r>
      <w:r w:rsidRPr="004D0659">
        <w:rPr>
          <w:rFonts w:ascii="Times New Roman" w:eastAsia="Calibri" w:hAnsi="Times New Roman" w:cs="Times New Roman"/>
          <w:i/>
          <w:sz w:val="24"/>
          <w:szCs w:val="24"/>
        </w:rPr>
        <w:t>Schalk and Kopf v Austria</w:t>
      </w:r>
      <w:r w:rsidRPr="004D0659">
        <w:rPr>
          <w:rFonts w:ascii="Times New Roman" w:eastAsia="Calibri" w:hAnsi="Times New Roman" w:cs="Times New Roman"/>
          <w:sz w:val="24"/>
          <w:szCs w:val="24"/>
        </w:rPr>
        <w:t xml:space="preserve"> </w:t>
      </w:r>
      <w:r>
        <w:rPr>
          <w:rFonts w:ascii="Times New Roman" w:eastAsia="Calibri" w:hAnsi="Times New Roman" w:cs="Times New Roman"/>
          <w:sz w:val="24"/>
          <w:szCs w:val="24"/>
        </w:rPr>
        <w:t>commented that having identified a ‘relevantly similar situation’ which required ‘particularly serious reasons by way of justification’ the ECtHR should have found a violation of Art 14 taken in conjunction with Art 8.</w:t>
      </w:r>
      <w:r>
        <w:rPr>
          <w:rStyle w:val="EndnoteReference"/>
          <w:rFonts w:ascii="Times New Roman" w:eastAsia="Calibri" w:hAnsi="Times New Roman" w:cs="Times New Roman"/>
          <w:sz w:val="24"/>
          <w:szCs w:val="24"/>
        </w:rPr>
        <w:endnoteReference w:id="31"/>
      </w:r>
      <w:r w:rsidRPr="004D0659">
        <w:rPr>
          <w:rFonts w:ascii="Times New Roman" w:eastAsia="Calibri" w:hAnsi="Times New Roman" w:cs="Times New Roman"/>
          <w:sz w:val="24"/>
          <w:szCs w:val="24"/>
        </w:rPr>
        <w:t xml:space="preserve">Arguably it is only the concerns about lack of consensus between Member States which have prevented the ECtHR utilising equality arguments to their full extent.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As well as the</w:t>
      </w:r>
      <w:r>
        <w:rPr>
          <w:rFonts w:ascii="Times New Roman" w:eastAsia="Calibri" w:hAnsi="Times New Roman" w:cs="Times New Roman"/>
          <w:sz w:val="24"/>
          <w:szCs w:val="24"/>
        </w:rPr>
        <w:t>se</w:t>
      </w:r>
      <w:r w:rsidRPr="004D0659">
        <w:rPr>
          <w:rFonts w:ascii="Times New Roman" w:eastAsia="Calibri" w:hAnsi="Times New Roman" w:cs="Times New Roman"/>
          <w:sz w:val="24"/>
          <w:szCs w:val="24"/>
        </w:rPr>
        <w:t xml:space="preserve"> political concerns, a further difficulty in the use of Article 14 ECvHR is that it is a conditional right which can only be asserted where another alleged violation of the ECvHR is made simultaneously (Letsas 2006, 708).</w:t>
      </w:r>
      <w:r w:rsidRPr="004D0659">
        <w:rPr>
          <w:rFonts w:ascii="Times New Roman" w:eastAsia="Times New Roman" w:hAnsi="Times New Roman" w:cs="Times New Roman"/>
          <w:sz w:val="24"/>
          <w:szCs w:val="24"/>
          <w:lang w:eastAsia="en-GB"/>
        </w:rPr>
        <w:t xml:space="preserve">  </w:t>
      </w:r>
      <w:r w:rsidRPr="004D0659">
        <w:rPr>
          <w:rFonts w:ascii="Times New Roman" w:eastAsia="Calibri" w:hAnsi="Times New Roman" w:cs="Times New Roman"/>
          <w:sz w:val="24"/>
          <w:szCs w:val="24"/>
        </w:rPr>
        <w:t xml:space="preserve">For Member States such as the UK which have not ratified the free standing Protocol 12 equality provisions, this means that Article 14 </w:t>
      </w:r>
      <w:r w:rsidRPr="004D0659">
        <w:rPr>
          <w:rFonts w:ascii="Times New Roman" w:eastAsia="Calibri" w:hAnsi="Times New Roman" w:cs="Times New Roman"/>
          <w:sz w:val="24"/>
          <w:szCs w:val="24"/>
        </w:rPr>
        <w:lastRenderedPageBreak/>
        <w:t xml:space="preserve">(equality) points have to be made in tandem with another alleged breach of the ECtHR. Although it does remain possible for the ECvHR in judgment to find a violation of Article 14 alone, this is provided that the applicant framed their case under the alleged breach of another treaty right (for discussion see Letsas 2006, 720). </w:t>
      </w:r>
      <w:r w:rsidRPr="004D0659">
        <w:rPr>
          <w:rFonts w:ascii="Times New Roman" w:eastAsia="Times New Roman" w:hAnsi="Times New Roman" w:cs="Times New Roman"/>
          <w:sz w:val="24"/>
          <w:szCs w:val="24"/>
          <w:lang w:eastAsia="en-GB"/>
        </w:rPr>
        <w:t>The international examples drawn from South Africa and the US demonstrate the strong influence of equality provisions in those constitutions.</w:t>
      </w:r>
      <w:r>
        <w:rPr>
          <w:rStyle w:val="EndnoteReference"/>
          <w:rFonts w:ascii="Times New Roman" w:eastAsia="Times New Roman" w:hAnsi="Times New Roman" w:cs="Times New Roman"/>
          <w:sz w:val="24"/>
          <w:szCs w:val="24"/>
          <w:lang w:eastAsia="en-GB"/>
        </w:rPr>
        <w:endnoteReference w:id="32"/>
      </w:r>
      <w:r w:rsidRPr="004D0659">
        <w:rPr>
          <w:rFonts w:ascii="Times New Roman" w:eastAsia="Times New Roman" w:hAnsi="Times New Roman" w:cs="Times New Roman"/>
          <w:sz w:val="24"/>
          <w:szCs w:val="24"/>
          <w:lang w:eastAsia="en-GB"/>
        </w:rPr>
        <w:t xml:space="preserve"> In contrast Article 14 ECvHR drafted in the 1950s, only offers a handicapped protection for equality. </w:t>
      </w: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An important point to draw from this is that although this article advocates the greater use of the equality argument under Article 14, this has to be done by expanding the ambit of other articles. As explained above cases made under Article 14 in tandem with the privacy branch of Article 8 would not be successful in relation to same-sex marriage. In this respect attention is drawn to the developing notion of ‘family life’ for same-sex couples under Article 8 and a recommended further development of Article 1</w:t>
      </w:r>
      <w:r>
        <w:rPr>
          <w:rFonts w:ascii="Times New Roman" w:eastAsia="Calibri" w:hAnsi="Times New Roman" w:cs="Times New Roman"/>
          <w:sz w:val="24"/>
          <w:szCs w:val="24"/>
        </w:rPr>
        <w:t>2 (</w:t>
      </w:r>
      <w:r w:rsidRPr="004D0659">
        <w:rPr>
          <w:rFonts w:ascii="Times New Roman" w:eastAsia="Calibri" w:hAnsi="Times New Roman" w:cs="Times New Roman"/>
          <w:sz w:val="24"/>
          <w:szCs w:val="24"/>
        </w:rPr>
        <w:t>right to marry</w:t>
      </w:r>
      <w:r>
        <w:rPr>
          <w:rFonts w:ascii="Times New Roman" w:eastAsia="Calibri" w:hAnsi="Times New Roman" w:cs="Times New Roman"/>
          <w:sz w:val="24"/>
          <w:szCs w:val="24"/>
        </w:rPr>
        <w:t>)</w:t>
      </w:r>
      <w:r w:rsidRPr="004D0659">
        <w:rPr>
          <w:rFonts w:ascii="Times New Roman" w:eastAsia="Calibri" w:hAnsi="Times New Roman" w:cs="Times New Roman"/>
          <w:sz w:val="24"/>
          <w:szCs w:val="24"/>
        </w:rPr>
        <w:t>. Both of these points are addressed in the final sections of this piece. Further difficulties for the ECtHR in seeking to engage with equality arguments are considered next. Firstly, equality arguments have a wide MoA, leading to a vaguer protection of rights.  Secondly, equality argument by its nature requires a categorisation of groups into sexual interests to allow a comparison, thereby resulting in a re-emphasis of the heterosexual norm.</w:t>
      </w:r>
      <w:r w:rsidRPr="004D0659">
        <w:rPr>
          <w:rFonts w:ascii="Times New Roman" w:eastAsia="Times New Roman" w:hAnsi="Times New Roman" w:cs="Times New Roman"/>
          <w:sz w:val="24"/>
          <w:szCs w:val="24"/>
          <w:lang w:eastAsia="en-GB"/>
        </w:rPr>
        <w:t xml:space="preserve"> </w:t>
      </w: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ind w:left="1800"/>
        <w:contextualSpacing/>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 xml:space="preserve">DIFFERING WIDTHS OF MARGIN OF APPRECIATION </w:t>
      </w:r>
    </w:p>
    <w:p w:rsidR="00783683" w:rsidRPr="004D0659" w:rsidRDefault="00783683" w:rsidP="00783683">
      <w:pPr>
        <w:spacing w:after="0" w:line="480" w:lineRule="auto"/>
        <w:jc w:val="both"/>
        <w:rPr>
          <w:rFonts w:ascii="Times New Roman" w:eastAsia="Times New Roman" w:hAnsi="Times New Roman" w:cs="Times New Roman"/>
          <w:b/>
          <w:i/>
          <w:sz w:val="24"/>
          <w:szCs w:val="24"/>
          <w:lang w:eastAsia="en-GB"/>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The MoA is the ‘amount of discretion… [Member States are offered]</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 xml:space="preserve">in fulfilling their obligations under the ECtHR’ (Butler 2008-2009, 695 and Yourow 1996, 13). The purpose behind this concept is to accommodate diversity between nations ‘while enforcing effective </w:t>
      </w:r>
      <w:r w:rsidRPr="004D0659">
        <w:rPr>
          <w:rFonts w:ascii="Times New Roman" w:eastAsia="Times New Roman" w:hAnsi="Times New Roman" w:cs="Times New Roman"/>
          <w:sz w:val="24"/>
          <w:szCs w:val="24"/>
          <w:lang w:eastAsia="en-GB"/>
        </w:rPr>
        <w:lastRenderedPageBreak/>
        <w:t>implementation’ of the ECHR (Donoho 2001, 451). At the heart of the debate on MoA lies a deeper question regarding the contrasting arguments concerning universalism and relativism. Human rights need to be ‘sufficiently universal to make them appropriate subjects for meaningful international regulation’ (Dohono 2001, 394). Yet there is no common ‘uniform European conception of morals’ between Member States (Sweeney 2005, 462).</w:t>
      </w:r>
      <w:r w:rsidRPr="004D0659">
        <w:rPr>
          <w:rFonts w:ascii="Times New Roman" w:eastAsia="Times New Roman" w:hAnsi="Times New Roman" w:cs="Times New Roman"/>
          <w:sz w:val="24"/>
          <w:szCs w:val="24"/>
          <w:vertAlign w:val="superscript"/>
          <w:lang w:eastAsia="en-GB"/>
        </w:rPr>
        <w:endnoteReference w:id="33"/>
      </w:r>
      <w:r w:rsidRPr="004D0659">
        <w:rPr>
          <w:rFonts w:ascii="Times New Roman" w:eastAsia="Times New Roman" w:hAnsi="Times New Roman" w:cs="Times New Roman"/>
          <w:sz w:val="24"/>
          <w:szCs w:val="24"/>
          <w:lang w:eastAsia="en-GB"/>
        </w:rPr>
        <w:t xml:space="preserve"> The doctrine of MoA tries to reach an acceptable compromise between these two competing aims.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Default="00783683" w:rsidP="00783683">
      <w:pPr>
        <w:spacing w:after="20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One of the central questions surrounding the MoA concerns the width of the discretion offered to the Member States. The MoA is itself variable and depends upon a number of factors. This includes the fact that domestic institutions can be in a better situation to assess local conditions than that of an international court. Secondly the degree of consensus and lastly ‘the importance of the national interest at stake ought to be balanced against the nature of the individual’s rights…’ (Shany 2005, 927).  Debate rages around the importance of each of these factors. Some commentators consider consensus to be the m</w:t>
      </w:r>
      <w:r>
        <w:rPr>
          <w:rFonts w:ascii="Times New Roman" w:eastAsia="Times New Roman" w:hAnsi="Times New Roman" w:cs="Times New Roman"/>
          <w:sz w:val="24"/>
          <w:szCs w:val="24"/>
          <w:lang w:eastAsia="en-GB"/>
        </w:rPr>
        <w:t>ost prominent (Donoho 2001, 452;</w:t>
      </w:r>
      <w:r w:rsidRPr="004D0659">
        <w:rPr>
          <w:rFonts w:ascii="Times New Roman" w:eastAsia="Times New Roman" w:hAnsi="Times New Roman" w:cs="Times New Roman"/>
          <w:sz w:val="24"/>
          <w:szCs w:val="24"/>
          <w:lang w:eastAsia="en-GB"/>
        </w:rPr>
        <w:t xml:space="preserve"> Letsas 2006 and Wada 2004). Butler also identified this as a factor in determining when national authorities were best placed to make a decision (Butler 2008-2009, 701). There are also other important considerations which are relevant when it comes to determining the width of the MoA. These include the effect which the Member State’s conduct has had on an individual (Donoho 2001, 452) and the aim of the interference (Hutchinson 1999).  </w:t>
      </w: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How the factors are to be weighed when determining the width of the MoA is unclear. Authors criticise the vagueness and lack of transparency of the MoA concept and its c</w:t>
      </w:r>
      <w:r>
        <w:rPr>
          <w:rFonts w:ascii="Times New Roman" w:eastAsia="Times New Roman" w:hAnsi="Times New Roman" w:cs="Times New Roman"/>
          <w:sz w:val="24"/>
          <w:szCs w:val="24"/>
          <w:lang w:eastAsia="en-GB"/>
        </w:rPr>
        <w:t xml:space="preserve">onnecting ideas (Wada 2005, 280; Butler 2008-2009, 702; Hutchinson 1999, </w:t>
      </w:r>
      <w:r w:rsidRPr="004D0659">
        <w:rPr>
          <w:rFonts w:ascii="Times New Roman" w:eastAsia="Times New Roman" w:hAnsi="Times New Roman" w:cs="Times New Roman"/>
          <w:sz w:val="24"/>
          <w:szCs w:val="24"/>
          <w:lang w:eastAsia="en-GB"/>
        </w:rPr>
        <w:t xml:space="preserve">641 and Brauch 2004-2005, 121). Hutchinson argues that the ‘doctrine as it stands is not a great deal of help to the [ECtHR] in its decision-making processes’ (Hutchinson 1999, 649). There is also a separate criticism that </w:t>
      </w:r>
      <w:r w:rsidRPr="004D0659">
        <w:rPr>
          <w:rFonts w:ascii="Times New Roman" w:eastAsia="Times New Roman" w:hAnsi="Times New Roman" w:cs="Times New Roman"/>
          <w:sz w:val="24"/>
          <w:szCs w:val="24"/>
          <w:lang w:eastAsia="en-GB"/>
        </w:rPr>
        <w:lastRenderedPageBreak/>
        <w:t>the MoA opens the door to discrimination again</w:t>
      </w:r>
      <w:r>
        <w:rPr>
          <w:rFonts w:ascii="Times New Roman" w:eastAsia="Times New Roman" w:hAnsi="Times New Roman" w:cs="Times New Roman"/>
          <w:sz w:val="24"/>
          <w:szCs w:val="24"/>
          <w:lang w:eastAsia="en-GB"/>
        </w:rPr>
        <w:t>st minorities (Hodson 1998-1999; Letsas 2006; Sweeney 2005;</w:t>
      </w:r>
      <w:r w:rsidRPr="004D0659">
        <w:rPr>
          <w:rFonts w:ascii="Times New Roman" w:eastAsia="Times New Roman" w:hAnsi="Times New Roman" w:cs="Times New Roman"/>
          <w:sz w:val="24"/>
          <w:szCs w:val="24"/>
          <w:lang w:eastAsia="en-GB"/>
        </w:rPr>
        <w:t xml:space="preserve"> Lester 1998 and Hamilton 2013). The specific criticism made here relates to the varying widths given to the MoA in respect of different human rights. It is worth examining how the width of the MoA is determined in relevant cases which have been brought before the ECtHR. In certain circumstances there is a recognised narrow MoA. This is exemplified where matters of personal autonomy and privacy are at stake.</w:t>
      </w:r>
      <w:r w:rsidRPr="004D0659">
        <w:rPr>
          <w:rFonts w:ascii="Times New Roman" w:eastAsia="Times New Roman" w:hAnsi="Times New Roman" w:cs="Times New Roman"/>
          <w:sz w:val="24"/>
          <w:szCs w:val="24"/>
          <w:vertAlign w:val="superscript"/>
          <w:lang w:eastAsia="en-GB"/>
        </w:rPr>
        <w:endnoteReference w:id="34"/>
      </w:r>
      <w:r w:rsidRPr="004D0659">
        <w:rPr>
          <w:rFonts w:ascii="Times New Roman" w:eastAsia="Times New Roman" w:hAnsi="Times New Roman" w:cs="Times New Roman"/>
          <w:sz w:val="24"/>
          <w:szCs w:val="24"/>
          <w:lang w:eastAsia="en-GB"/>
        </w:rPr>
        <w:t xml:space="preserve">  In contrast in relation to equality cases the situation is less clear and more likely to lead to a wider MoA. </w:t>
      </w:r>
    </w:p>
    <w:p w:rsidR="00783683" w:rsidRPr="004D0659" w:rsidRDefault="00783683" w:rsidP="00783683">
      <w:pPr>
        <w:spacing w:after="20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 xml:space="preserve">The ECtHR spelt out in </w:t>
      </w:r>
      <w:r w:rsidRPr="004D0659">
        <w:rPr>
          <w:rFonts w:ascii="Times New Roman" w:eastAsia="Times New Roman" w:hAnsi="Times New Roman" w:cs="Times New Roman"/>
          <w:i/>
          <w:sz w:val="24"/>
          <w:szCs w:val="24"/>
          <w:lang w:eastAsia="en-GB"/>
        </w:rPr>
        <w:t>Dudgeon v UK</w:t>
      </w:r>
      <w:r w:rsidRPr="004D0659">
        <w:rPr>
          <w:rFonts w:ascii="Times New Roman" w:eastAsia="Times New Roman" w:hAnsi="Times New Roman" w:cs="Times New Roman"/>
          <w:sz w:val="24"/>
          <w:szCs w:val="24"/>
          <w:lang w:eastAsia="en-GB"/>
        </w:rPr>
        <w:t xml:space="preserve"> that in relation to privacy there is a narrow MoA as it concerned a ‘most intimate aspect of private life’.</w:t>
      </w:r>
      <w:r w:rsidRPr="004D0659">
        <w:rPr>
          <w:rFonts w:ascii="Times New Roman" w:eastAsia="Times New Roman" w:hAnsi="Times New Roman" w:cs="Times New Roman"/>
          <w:sz w:val="24"/>
          <w:szCs w:val="24"/>
          <w:vertAlign w:val="superscript"/>
          <w:lang w:eastAsia="en-GB"/>
        </w:rPr>
        <w:endnoteReference w:id="35"/>
      </w:r>
      <w:r w:rsidRPr="004D0659">
        <w:rPr>
          <w:rFonts w:ascii="Times New Roman" w:eastAsia="Times New Roman" w:hAnsi="Times New Roman" w:cs="Times New Roman"/>
          <w:sz w:val="24"/>
          <w:szCs w:val="24"/>
          <w:lang w:eastAsia="en-GB"/>
        </w:rPr>
        <w:t xml:space="preserve"> Subsequent cases brought under the privacy branch of Article 8 were also treated in the same way.</w:t>
      </w:r>
      <w:r w:rsidRPr="004D0659">
        <w:rPr>
          <w:rFonts w:ascii="Times New Roman" w:eastAsia="Times New Roman" w:hAnsi="Times New Roman" w:cs="Times New Roman"/>
          <w:sz w:val="24"/>
          <w:szCs w:val="24"/>
          <w:vertAlign w:val="superscript"/>
          <w:lang w:eastAsia="en-GB"/>
        </w:rPr>
        <w:endnoteReference w:id="36"/>
      </w:r>
      <w:r w:rsidRPr="004D0659">
        <w:rPr>
          <w:rFonts w:ascii="Times New Roman" w:eastAsia="Times New Roman" w:hAnsi="Times New Roman" w:cs="Times New Roman"/>
          <w:sz w:val="24"/>
          <w:szCs w:val="24"/>
          <w:lang w:eastAsia="en-GB"/>
        </w:rPr>
        <w:t xml:space="preserve"> This was because of the high level of effect which such laws could have on the life of the individual applicants (Grigolo 2003, 1038) and the fact that private conduct is less likely to cause harm than that done in public (Lewis 2007, 400 and Mill 1859, 13). There was also seen to be a consensus in many Member States </w:t>
      </w:r>
      <w:r>
        <w:rPr>
          <w:rFonts w:ascii="Times New Roman" w:eastAsia="Times New Roman" w:hAnsi="Times New Roman" w:cs="Times New Roman"/>
          <w:sz w:val="24"/>
          <w:szCs w:val="24"/>
          <w:lang w:eastAsia="en-GB"/>
        </w:rPr>
        <w:t xml:space="preserve">meaning </w:t>
      </w:r>
      <w:r w:rsidRPr="004D0659">
        <w:rPr>
          <w:rFonts w:ascii="Times New Roman" w:eastAsia="Times New Roman" w:hAnsi="Times New Roman" w:cs="Times New Roman"/>
          <w:sz w:val="24"/>
          <w:szCs w:val="24"/>
          <w:lang w:eastAsia="en-GB"/>
        </w:rPr>
        <w:t>that ‘such limitations were not necessary in a democratic society’ (Hutchinson 1999, 648).</w:t>
      </w:r>
      <w:r w:rsidRPr="004D0659">
        <w:rPr>
          <w:rFonts w:ascii="Times New Roman" w:eastAsia="Times New Roman" w:hAnsi="Times New Roman" w:cs="Times New Roman"/>
          <w:sz w:val="24"/>
          <w:szCs w:val="24"/>
          <w:vertAlign w:val="superscript"/>
          <w:lang w:eastAsia="en-GB"/>
        </w:rPr>
        <w:endnoteReference w:id="37"/>
      </w:r>
      <w:r w:rsidRPr="004D0659">
        <w:rPr>
          <w:rFonts w:ascii="Times New Roman" w:eastAsia="Times New Roman" w:hAnsi="Times New Roman" w:cs="Times New Roman"/>
          <w:sz w:val="24"/>
          <w:szCs w:val="24"/>
          <w:lang w:eastAsia="en-GB"/>
        </w:rPr>
        <w:t xml:space="preserve"> </w:t>
      </w:r>
      <w:r w:rsidRPr="004D0659">
        <w:rPr>
          <w:rFonts w:ascii="Times New Roman" w:eastAsiaTheme="minorEastAsia" w:hAnsi="Times New Roman" w:cs="Times New Roman"/>
          <w:sz w:val="24"/>
          <w:szCs w:val="24"/>
          <w:lang w:eastAsia="zh-CN"/>
        </w:rPr>
        <w:t xml:space="preserve">The certainty about the narrowness of the MoA in relation to the privacy aspect of Article 8, is not replicated in relation to cases brought under Article 14 equality. </w:t>
      </w:r>
      <w:r w:rsidRPr="004D0659">
        <w:rPr>
          <w:rFonts w:ascii="Times New Roman" w:eastAsia="Times New Roman" w:hAnsi="Times New Roman" w:cs="Times New Roman"/>
          <w:sz w:val="24"/>
          <w:szCs w:val="24"/>
          <w:lang w:eastAsia="en-GB"/>
        </w:rPr>
        <w:t xml:space="preserve">The width of the MoA in relation to equality cases is often variable. In </w:t>
      </w:r>
      <w:r w:rsidRPr="004D0659">
        <w:rPr>
          <w:rFonts w:ascii="Times New Roman" w:eastAsia="Times New Roman" w:hAnsi="Times New Roman" w:cs="Times New Roman"/>
          <w:i/>
          <w:sz w:val="24"/>
          <w:szCs w:val="24"/>
          <w:lang w:eastAsia="en-GB"/>
        </w:rPr>
        <w:t>Karner v Austria</w:t>
      </w:r>
      <w:r w:rsidRPr="004D0659">
        <w:rPr>
          <w:rFonts w:ascii="Times New Roman" w:eastAsia="Times New Roman" w:hAnsi="Times New Roman" w:cs="Times New Roman"/>
          <w:sz w:val="24"/>
          <w:szCs w:val="24"/>
          <w:lang w:eastAsia="en-GB"/>
        </w:rPr>
        <w:t xml:space="preserve"> the ECtHR stated that in cases of sexual orientation discrimination, the Member States in question have to offer particularly convincing and weighty reasons to justify their conduct.</w:t>
      </w:r>
      <w:r w:rsidRPr="004D0659">
        <w:rPr>
          <w:rFonts w:ascii="Times New Roman" w:eastAsia="Times New Roman" w:hAnsi="Times New Roman" w:cs="Times New Roman"/>
          <w:sz w:val="24"/>
          <w:szCs w:val="24"/>
          <w:vertAlign w:val="superscript"/>
          <w:lang w:eastAsia="en-GB"/>
        </w:rPr>
        <w:endnoteReference w:id="38"/>
      </w:r>
      <w:r w:rsidRPr="004D0659">
        <w:rPr>
          <w:rFonts w:ascii="Times New Roman" w:eastAsia="Times New Roman" w:hAnsi="Times New Roman" w:cs="Times New Roman"/>
          <w:sz w:val="24"/>
          <w:szCs w:val="24"/>
          <w:lang w:eastAsia="en-GB"/>
        </w:rPr>
        <w:t xml:space="preserve"> Although this would seem to point to a narrow MoA, this has not assisted in the area of same-sex marriage. The ECtHR continues to be influenced by the lack of consensus between Member States.</w:t>
      </w:r>
      <w:r w:rsidRPr="004D0659">
        <w:rPr>
          <w:rFonts w:ascii="Times New Roman" w:eastAsia="Times New Roman" w:hAnsi="Times New Roman" w:cs="Times New Roman"/>
          <w:sz w:val="24"/>
          <w:szCs w:val="24"/>
          <w:vertAlign w:val="superscript"/>
          <w:lang w:eastAsia="en-GB"/>
        </w:rPr>
        <w:endnoteReference w:id="39"/>
      </w:r>
      <w:r w:rsidRPr="004D0659">
        <w:rPr>
          <w:rFonts w:ascii="Times New Roman" w:eastAsia="Times New Roman" w:hAnsi="Times New Roman" w:cs="Times New Roman"/>
          <w:sz w:val="24"/>
          <w:szCs w:val="24"/>
          <w:lang w:eastAsia="en-GB"/>
        </w:rPr>
        <w:t xml:space="preserve"> Areas with lack of international consensus are likely to have a wider MoA (Shuibhne,</w:t>
      </w:r>
      <w:r>
        <w:rPr>
          <w:rFonts w:ascii="Times New Roman" w:eastAsia="Times New Roman" w:hAnsi="Times New Roman" w:cs="Times New Roman"/>
          <w:sz w:val="24"/>
          <w:szCs w:val="24"/>
          <w:lang w:eastAsia="en-GB"/>
        </w:rPr>
        <w:t xml:space="preserve"> 2009;</w:t>
      </w:r>
      <w:r w:rsidRPr="004D0659">
        <w:rPr>
          <w:rFonts w:ascii="Times New Roman" w:eastAsia="Times New Roman" w:hAnsi="Times New Roman" w:cs="Times New Roman"/>
          <w:sz w:val="24"/>
          <w:szCs w:val="24"/>
          <w:lang w:eastAsia="en-GB"/>
        </w:rPr>
        <w:t xml:space="preserve"> L</w:t>
      </w:r>
      <w:r>
        <w:rPr>
          <w:rFonts w:ascii="Times New Roman" w:eastAsia="Times New Roman" w:hAnsi="Times New Roman" w:cs="Times New Roman"/>
          <w:sz w:val="24"/>
          <w:szCs w:val="24"/>
          <w:lang w:eastAsia="en-GB"/>
        </w:rPr>
        <w:t>ewis 2007, 397; Nigro 2010;</w:t>
      </w:r>
      <w:r w:rsidRPr="004D0659">
        <w:rPr>
          <w:rFonts w:ascii="Times New Roman" w:eastAsia="Times New Roman" w:hAnsi="Times New Roman" w:cs="Times New Roman"/>
          <w:sz w:val="24"/>
          <w:szCs w:val="24"/>
          <w:lang w:eastAsia="en-GB"/>
        </w:rPr>
        <w:t xml:space="preserve"> Hutchinson 1999 and Wada 2005). A point reiterated by the ECtHR on important cases on same-sex marriage</w:t>
      </w:r>
      <w:r w:rsidRPr="004D0659">
        <w:rPr>
          <w:rFonts w:ascii="Times New Roman" w:eastAsia="Times New Roman" w:hAnsi="Times New Roman" w:cs="Times New Roman"/>
          <w:sz w:val="24"/>
          <w:szCs w:val="24"/>
          <w:vertAlign w:val="superscript"/>
          <w:lang w:eastAsia="en-GB"/>
        </w:rPr>
        <w:endnoteReference w:id="40"/>
      </w:r>
      <w:r w:rsidRPr="004D0659">
        <w:rPr>
          <w:rFonts w:ascii="Times New Roman" w:eastAsia="Times New Roman" w:hAnsi="Times New Roman" w:cs="Times New Roman"/>
          <w:sz w:val="24"/>
          <w:szCs w:val="24"/>
          <w:lang w:eastAsia="en-GB"/>
        </w:rPr>
        <w:t xml:space="preserve">  referring to the wide MoA enjoyed.</w:t>
      </w:r>
      <w:r w:rsidRPr="004D0659">
        <w:rPr>
          <w:rFonts w:ascii="Times New Roman" w:eastAsia="Times New Roman" w:hAnsi="Times New Roman" w:cs="Times New Roman"/>
          <w:sz w:val="24"/>
          <w:szCs w:val="24"/>
          <w:vertAlign w:val="superscript"/>
          <w:lang w:eastAsia="en-GB"/>
        </w:rPr>
        <w:endnoteReference w:id="41"/>
      </w:r>
      <w:r w:rsidRPr="004D0659">
        <w:rPr>
          <w:rFonts w:ascii="Times New Roman" w:eastAsia="Times New Roman" w:hAnsi="Times New Roman" w:cs="Times New Roman"/>
          <w:sz w:val="24"/>
          <w:szCs w:val="24"/>
          <w:lang w:eastAsia="en-GB"/>
        </w:rPr>
        <w:t xml:space="preserve"> The ECtHR is likely only going to be prepared to move forwards when a lack of consensus can either be </w:t>
      </w:r>
      <w:r w:rsidRPr="004D0659">
        <w:rPr>
          <w:rFonts w:ascii="Times New Roman" w:eastAsia="Times New Roman" w:hAnsi="Times New Roman" w:cs="Times New Roman"/>
          <w:sz w:val="24"/>
          <w:szCs w:val="24"/>
          <w:lang w:eastAsia="en-GB"/>
        </w:rPr>
        <w:lastRenderedPageBreak/>
        <w:t xml:space="preserve">explained or starts to emerge. No clear ruling on the width of MoA in relation to equality cases can be deduced and this remains highly circumstance dependent. Such a wide ranging vague MoA has the danger of rendering any equality right ‘meaningless’ </w:t>
      </w:r>
      <w:bookmarkStart w:id="0" w:name="para122"/>
      <w:bookmarkEnd w:id="0"/>
      <w:r w:rsidRPr="004D0659">
        <w:rPr>
          <w:rFonts w:ascii="Times New Roman" w:eastAsia="Times New Roman" w:hAnsi="Times New Roman" w:cs="Times New Roman"/>
          <w:sz w:val="24"/>
          <w:szCs w:val="24"/>
          <w:lang w:eastAsia="en-GB"/>
        </w:rPr>
        <w:t xml:space="preserve">(Cartabia 2001, 814).  Ultimately the ECtHR is leaving the decision on same-sex marriage to domestic authorities.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In reaching the limits of protection for gays that the right to privacy can offer, the argument has turned to equality as offering more scope for the evolution of rights. One of the disadvantages of the equality argument is that in contrast to privacy the width of the MoA is much more variable and can be wider. In having a varying MoA for different types of rights, Donoho and other commentators have stated that in essence that the ECtHR has created a ‘hierarchy among rights protected’ by the ECtHR (Donoho 2001, 459 and Butler 2008-2009, 703).</w:t>
      </w:r>
      <w:r w:rsidRPr="004D0659">
        <w:rPr>
          <w:rFonts w:ascii="Times New Roman" w:eastAsia="Times New Roman" w:hAnsi="Times New Roman" w:cs="Times New Roman"/>
          <w:sz w:val="24"/>
          <w:szCs w:val="24"/>
          <w:vertAlign w:val="superscript"/>
          <w:lang w:eastAsia="en-GB"/>
        </w:rPr>
        <w:t xml:space="preserve"> </w:t>
      </w:r>
      <w:r w:rsidRPr="004D0659">
        <w:rPr>
          <w:rFonts w:ascii="Times New Roman" w:eastAsia="Times New Roman" w:hAnsi="Times New Roman" w:cs="Times New Roman"/>
          <w:sz w:val="24"/>
          <w:szCs w:val="24"/>
          <w:lang w:eastAsia="en-GB"/>
        </w:rPr>
        <w:t xml:space="preserve"> By moving from privacy to equality the argument in favour of expansion of gay rights to include same-sex marriage has moved down the hierarchy of protected rights, meaning less protection is offered to gays. This is another reason to utilise any equality right arguments alongside an expanded family law argument under Article 8 and a revitalised right to marry under Article 12 argument. The next section considers a further difficulty with the use of the equality argument by the ECtHR.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contextualSpacing/>
        <w:jc w:val="center"/>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THE EQUALITY ARGUMENT REQUIRES CATEGORISATION OF INDIVIDUALS INTO CLASSES OF SEXUAL ORIENTATION</w:t>
      </w:r>
    </w:p>
    <w:p w:rsidR="00783683" w:rsidRPr="004D0659" w:rsidRDefault="00783683" w:rsidP="00783683">
      <w:pPr>
        <w:spacing w:after="0" w:line="480" w:lineRule="auto"/>
        <w:jc w:val="both"/>
        <w:rPr>
          <w:rFonts w:ascii="Times New Roman" w:eastAsia="Times New Roman" w:hAnsi="Times New Roman" w:cs="Times New Roman"/>
          <w:b/>
          <w:sz w:val="24"/>
          <w:szCs w:val="24"/>
          <w:lang w:eastAsia="en-GB"/>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Times New Roman" w:hAnsi="Times New Roman" w:cs="Times New Roman"/>
          <w:sz w:val="24"/>
          <w:szCs w:val="24"/>
          <w:lang w:eastAsia="en-GB"/>
        </w:rPr>
        <w:t xml:space="preserve">Throughout its case law the ECtHR refers to gays as ‘homosexuals’, creating a clear categorisation of sexual interests. Evidence of the heteronormative model can be traced to the earliest cases concerning gays. In </w:t>
      </w:r>
      <w:r w:rsidRPr="004D0659">
        <w:rPr>
          <w:rFonts w:ascii="Times New Roman" w:eastAsia="Times New Roman" w:hAnsi="Times New Roman" w:cs="Times New Roman"/>
          <w:i/>
          <w:sz w:val="24"/>
          <w:szCs w:val="24"/>
          <w:lang w:eastAsia="en-GB"/>
        </w:rPr>
        <w:t>Dudgeon v UK</w:t>
      </w:r>
      <w:r w:rsidRPr="004D0659">
        <w:rPr>
          <w:rFonts w:ascii="Times New Roman" w:eastAsia="Times New Roman" w:hAnsi="Times New Roman" w:cs="Times New Roman"/>
          <w:sz w:val="24"/>
          <w:szCs w:val="24"/>
          <w:lang w:eastAsia="en-GB"/>
        </w:rPr>
        <w:t xml:space="preserve"> the applicant in question categorised himself as a ‘homosexual’ at the outset of the case by stating that ‘on his own evidence, [he had] been </w:t>
      </w:r>
      <w:r w:rsidRPr="004D0659">
        <w:rPr>
          <w:rFonts w:ascii="Times New Roman" w:eastAsia="Times New Roman" w:hAnsi="Times New Roman" w:cs="Times New Roman"/>
          <w:sz w:val="24"/>
          <w:szCs w:val="24"/>
          <w:lang w:eastAsia="en-GB"/>
        </w:rPr>
        <w:lastRenderedPageBreak/>
        <w:t>consciously homosexual from the age of 14’.</w:t>
      </w:r>
      <w:r w:rsidRPr="004D0659">
        <w:rPr>
          <w:rFonts w:ascii="Times New Roman" w:eastAsia="Times New Roman" w:hAnsi="Times New Roman" w:cs="Times New Roman"/>
          <w:sz w:val="24"/>
          <w:szCs w:val="24"/>
          <w:vertAlign w:val="superscript"/>
          <w:lang w:eastAsia="en-GB"/>
        </w:rPr>
        <w:endnoteReference w:id="42"/>
      </w:r>
      <w:r w:rsidRPr="004D0659">
        <w:rPr>
          <w:rFonts w:ascii="Times New Roman" w:eastAsia="Times New Roman" w:hAnsi="Times New Roman" w:cs="Times New Roman"/>
          <w:sz w:val="24"/>
          <w:szCs w:val="24"/>
          <w:lang w:eastAsia="en-GB"/>
        </w:rPr>
        <w:t xml:space="preserve"> A similar approach was also taken in </w:t>
      </w:r>
      <w:r w:rsidRPr="004D0659">
        <w:rPr>
          <w:rFonts w:ascii="Times New Roman" w:eastAsia="Times New Roman" w:hAnsi="Times New Roman" w:cs="Times New Roman"/>
          <w:i/>
          <w:sz w:val="24"/>
          <w:szCs w:val="24"/>
          <w:lang w:eastAsia="en-GB"/>
        </w:rPr>
        <w:t>Sutherland v UK</w:t>
      </w:r>
      <w:r w:rsidRPr="004D0659">
        <w:rPr>
          <w:rFonts w:ascii="Times New Roman" w:eastAsia="Times New Roman" w:hAnsi="Times New Roman" w:cs="Times New Roman"/>
          <w:sz w:val="24"/>
          <w:szCs w:val="24"/>
          <w:lang w:eastAsia="en-GB"/>
        </w:rPr>
        <w:t>.</w:t>
      </w:r>
      <w:r w:rsidRPr="004D0659">
        <w:rPr>
          <w:rFonts w:ascii="Times New Roman" w:eastAsia="Calibri" w:hAnsi="Times New Roman" w:cs="Times New Roman"/>
          <w:sz w:val="24"/>
          <w:szCs w:val="24"/>
          <w:vertAlign w:val="superscript"/>
        </w:rPr>
        <w:endnoteReference w:id="43"/>
      </w:r>
      <w:r w:rsidRPr="004D0659">
        <w:rPr>
          <w:rFonts w:ascii="Times New Roman" w:eastAsia="Times New Roman" w:hAnsi="Times New Roman" w:cs="Times New Roman"/>
          <w:sz w:val="24"/>
          <w:szCs w:val="24"/>
          <w:lang w:eastAsia="en-GB"/>
        </w:rPr>
        <w:t xml:space="preserve"> Grigolo argues that the ECtHR traditionally proceeded on the basis of toleration (Grigolo 2003) stating in </w:t>
      </w:r>
      <w:r w:rsidRPr="00282450">
        <w:rPr>
          <w:rFonts w:ascii="Times New Roman" w:eastAsia="Times New Roman" w:hAnsi="Times New Roman" w:cs="Times New Roman"/>
          <w:i/>
          <w:sz w:val="24"/>
          <w:szCs w:val="24"/>
          <w:lang w:eastAsia="en-GB"/>
        </w:rPr>
        <w:t>Dudgeon</w:t>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v </w:t>
      </w:r>
      <w:r w:rsidRPr="00282450">
        <w:rPr>
          <w:rFonts w:ascii="Times New Roman" w:eastAsia="Times New Roman" w:hAnsi="Times New Roman" w:cs="Times New Roman"/>
          <w:i/>
          <w:sz w:val="24"/>
          <w:szCs w:val="24"/>
          <w:lang w:eastAsia="en-GB"/>
        </w:rPr>
        <w:t>UK</w:t>
      </w:r>
      <w:r>
        <w:rPr>
          <w:rFonts w:ascii="Times New Roman" w:eastAsia="Times New Roman" w:hAnsi="Times New Roman" w:cs="Times New Roman"/>
          <w:sz w:val="24"/>
          <w:szCs w:val="24"/>
          <w:lang w:eastAsia="en-GB"/>
        </w:rPr>
        <w:t xml:space="preserve"> that ‘[d]</w:t>
      </w:r>
      <w:r w:rsidRPr="004D0659">
        <w:rPr>
          <w:rFonts w:ascii="Times New Roman" w:eastAsia="Times New Roman" w:hAnsi="Times New Roman" w:cs="Times New Roman"/>
          <w:sz w:val="24"/>
          <w:szCs w:val="24"/>
          <w:lang w:eastAsia="en-GB"/>
        </w:rPr>
        <w:t xml:space="preserve">ecriminalisation’ does not imply approval’ </w:t>
      </w:r>
      <w:r w:rsidRPr="004D0659">
        <w:rPr>
          <w:rFonts w:ascii="Times New Roman" w:eastAsia="Calibri" w:hAnsi="Times New Roman" w:cs="Times New Roman"/>
          <w:sz w:val="24"/>
          <w:szCs w:val="24"/>
        </w:rPr>
        <w:t>(Grigolo 2003, 1030).</w:t>
      </w:r>
      <w:r w:rsidRPr="004D0659">
        <w:rPr>
          <w:rFonts w:ascii="Times New Roman" w:eastAsia="Times New Roman" w:hAnsi="Times New Roman" w:cs="Times New Roman"/>
          <w:sz w:val="24"/>
          <w:szCs w:val="24"/>
          <w:vertAlign w:val="superscript"/>
          <w:lang w:eastAsia="en-GB"/>
        </w:rPr>
        <w:endnoteReference w:id="44"/>
      </w:r>
      <w:r w:rsidRPr="004D0659">
        <w:rPr>
          <w:rFonts w:ascii="Times New Roman" w:eastAsia="Times New Roman" w:hAnsi="Times New Roman" w:cs="Times New Roman"/>
          <w:sz w:val="24"/>
          <w:szCs w:val="24"/>
          <w:lang w:eastAsia="en-GB"/>
        </w:rPr>
        <w:t xml:space="preserve"> Interestingly, the typecasting of homosexuals as a group outside of normal society can also be seen from UK policy. Earlier in the judgment of </w:t>
      </w:r>
      <w:r w:rsidRPr="004D0659">
        <w:rPr>
          <w:rFonts w:ascii="Times New Roman" w:eastAsia="Times New Roman" w:hAnsi="Times New Roman" w:cs="Times New Roman"/>
          <w:i/>
          <w:sz w:val="24"/>
          <w:szCs w:val="24"/>
          <w:lang w:eastAsia="en-GB"/>
        </w:rPr>
        <w:t xml:space="preserve">Dudgeon v UK </w:t>
      </w:r>
      <w:r w:rsidRPr="004D0659">
        <w:rPr>
          <w:rFonts w:ascii="Times New Roman" w:eastAsia="Times New Roman" w:hAnsi="Times New Roman" w:cs="Times New Roman"/>
          <w:sz w:val="24"/>
          <w:szCs w:val="24"/>
          <w:lang w:eastAsia="en-GB"/>
        </w:rPr>
        <w:t>the ECtHR quoted the Wolfenden report as demonstrating the need to protect society at large from ‘corruption’ by such individuals.</w:t>
      </w:r>
      <w:r w:rsidRPr="004D0659">
        <w:rPr>
          <w:rFonts w:ascii="Times New Roman" w:eastAsia="Calibri" w:hAnsi="Times New Roman" w:cs="Times New Roman"/>
          <w:sz w:val="24"/>
          <w:szCs w:val="24"/>
          <w:vertAlign w:val="superscript"/>
        </w:rPr>
        <w:endnoteReference w:id="45"/>
      </w:r>
      <w:r w:rsidRPr="004D0659">
        <w:rPr>
          <w:rFonts w:ascii="Times New Roman" w:eastAsia="Times New Roman" w:hAnsi="Times New Roman" w:cs="Times New Roman"/>
          <w:sz w:val="24"/>
          <w:szCs w:val="24"/>
          <w:lang w:eastAsia="en-GB"/>
        </w:rPr>
        <w:t xml:space="preserve"> </w:t>
      </w:r>
      <w:r w:rsidRPr="004D0659">
        <w:rPr>
          <w:rFonts w:ascii="Times New Roman" w:eastAsia="Calibri" w:hAnsi="Times New Roman" w:cs="Times New Roman"/>
          <w:sz w:val="24"/>
          <w:szCs w:val="24"/>
        </w:rPr>
        <w:t>The ECtHR has also commonly given credence to arguments made by defendant governments that they were pursuing legitimate aims in seeking to regulate the sexual activities of gays.</w:t>
      </w:r>
      <w:r w:rsidRPr="004D0659">
        <w:rPr>
          <w:rFonts w:ascii="Times New Roman" w:eastAsia="Calibri" w:hAnsi="Times New Roman" w:cs="Times New Roman"/>
          <w:sz w:val="24"/>
          <w:szCs w:val="24"/>
          <w:vertAlign w:val="superscript"/>
        </w:rPr>
        <w:endnoteReference w:id="46"/>
      </w:r>
      <w:r w:rsidRPr="004D0659">
        <w:rPr>
          <w:rFonts w:ascii="Times New Roman" w:eastAsia="Calibri" w:hAnsi="Times New Roman" w:cs="Times New Roman"/>
          <w:sz w:val="24"/>
          <w:szCs w:val="24"/>
        </w:rPr>
        <w:t xml:space="preserve"> More recent ECtHR case law concerning the ‘family life of same-sex couples’ arguably continues to be ‘inherently shaped by h</w:t>
      </w:r>
      <w:r>
        <w:rPr>
          <w:rFonts w:ascii="Times New Roman" w:eastAsia="Calibri" w:hAnsi="Times New Roman" w:cs="Times New Roman"/>
          <w:sz w:val="24"/>
          <w:szCs w:val="24"/>
        </w:rPr>
        <w:t>eteronormative standards</w:t>
      </w:r>
      <w:r w:rsidRPr="004D0659">
        <w:rPr>
          <w:rFonts w:ascii="Times New Roman" w:eastAsia="Calibri" w:hAnsi="Times New Roman" w:cs="Times New Roman"/>
          <w:sz w:val="24"/>
          <w:szCs w:val="24"/>
        </w:rPr>
        <w:t>’</w:t>
      </w:r>
      <w:r>
        <w:rPr>
          <w:rFonts w:ascii="Times New Roman" w:eastAsia="Calibri" w:hAnsi="Times New Roman" w:cs="Times New Roman"/>
          <w:sz w:val="24"/>
          <w:szCs w:val="24"/>
        </w:rPr>
        <w:t xml:space="preserve"> (Ammaturo 2014, 178).</w:t>
      </w:r>
      <w:r w:rsidRPr="004D0659">
        <w:rPr>
          <w:rFonts w:ascii="Times New Roman" w:eastAsia="Calibri" w:hAnsi="Times New Roman" w:cs="Times New Roman"/>
          <w:sz w:val="24"/>
          <w:szCs w:val="24"/>
        </w:rPr>
        <w:t xml:space="preserve"> The very fact that same-sex couples, although now recognised as having a ‘family life’ but are not entitled to access the married state</w:t>
      </w:r>
      <w:r w:rsidRPr="004D0659">
        <w:rPr>
          <w:rStyle w:val="EndnoteReference"/>
          <w:rFonts w:ascii="Times New Roman" w:eastAsia="Calibri" w:hAnsi="Times New Roman" w:cs="Times New Roman"/>
          <w:sz w:val="24"/>
          <w:szCs w:val="24"/>
        </w:rPr>
        <w:endnoteReference w:id="47"/>
      </w:r>
      <w:r w:rsidRPr="004D0659">
        <w:rPr>
          <w:rFonts w:ascii="Times New Roman" w:eastAsia="Calibri" w:hAnsi="Times New Roman" w:cs="Times New Roman"/>
          <w:sz w:val="24"/>
          <w:szCs w:val="24"/>
        </w:rPr>
        <w:t xml:space="preserve"> arguably demonstrates a certain ‘p</w:t>
      </w:r>
      <w:r>
        <w:rPr>
          <w:rFonts w:ascii="Times New Roman" w:eastAsia="Calibri" w:hAnsi="Times New Roman" w:cs="Times New Roman"/>
          <w:sz w:val="24"/>
          <w:szCs w:val="24"/>
        </w:rPr>
        <w:t xml:space="preserve">rivileging of marital families’ (O’Mahony 2012, </w:t>
      </w:r>
      <w:r w:rsidRPr="0071648D">
        <w:rPr>
          <w:rFonts w:ascii="Times New Roman" w:eastAsia="Calibri" w:hAnsi="Times New Roman" w:cs="Times New Roman"/>
          <w:sz w:val="24"/>
          <w:szCs w:val="24"/>
        </w:rPr>
        <w:t>34</w:t>
      </w:r>
      <w:r>
        <w:rPr>
          <w:rFonts w:ascii="Times New Roman" w:eastAsia="Calibri" w:hAnsi="Times New Roman" w:cs="Times New Roman"/>
          <w:sz w:val="24"/>
          <w:szCs w:val="24"/>
        </w:rPr>
        <w:t>. See also Ammaturo 2014).</w:t>
      </w:r>
    </w:p>
    <w:p w:rsidR="00783683"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categorisation of individuals into classes of sexual orientation, appears to have been the common practice of the ECtHR. Yet </w:t>
      </w:r>
      <w:r w:rsidRPr="004D0659">
        <w:rPr>
          <w:rFonts w:ascii="Times New Roman" w:eastAsia="Times New Roman" w:hAnsi="Times New Roman" w:cs="Times New Roman"/>
          <w:sz w:val="24"/>
          <w:szCs w:val="24"/>
          <w:lang w:eastAsia="en-GB"/>
        </w:rPr>
        <w:t>when the equality argument is deployed it becomes a requirement to categorise individuals into classes of sexual orientation, as equality necessitates comparisons to be made between different groups. The categorisation of individuals is harmful as it means that minority groups are asserting their ‘other’ness a</w:t>
      </w:r>
      <w:r>
        <w:rPr>
          <w:rFonts w:ascii="Times New Roman" w:eastAsia="Times New Roman" w:hAnsi="Times New Roman" w:cs="Times New Roman"/>
          <w:sz w:val="24"/>
          <w:szCs w:val="24"/>
          <w:lang w:eastAsia="en-GB"/>
        </w:rPr>
        <w:t xml:space="preserve">gainst the ‘heteronormal’ group </w:t>
      </w:r>
      <w:r w:rsidRPr="004D0659">
        <w:rPr>
          <w:rFonts w:ascii="Times New Roman" w:eastAsia="Times New Roman" w:hAnsi="Times New Roman" w:cs="Times New Roman"/>
          <w:sz w:val="24"/>
          <w:szCs w:val="24"/>
          <w:lang w:eastAsia="en-GB"/>
        </w:rPr>
        <w:t>(Shwobel 2012, 1129 and Knop 2001). This could lead to an identitarian crisis for those individuals who are forced t</w:t>
      </w:r>
      <w:r>
        <w:rPr>
          <w:rFonts w:ascii="Times New Roman" w:eastAsia="Times New Roman" w:hAnsi="Times New Roman" w:cs="Times New Roman"/>
          <w:sz w:val="24"/>
          <w:szCs w:val="24"/>
          <w:lang w:eastAsia="en-GB"/>
        </w:rPr>
        <w:t xml:space="preserve">o identify with a certain group in order to bring legal challenges.  This erodes the true variety of identities to which individuals may ascribe </w:t>
      </w:r>
      <w:r>
        <w:rPr>
          <w:rFonts w:ascii="Times New Roman" w:eastAsia="Calibri" w:hAnsi="Times New Roman" w:cs="Times New Roman"/>
          <w:sz w:val="24"/>
          <w:szCs w:val="24"/>
        </w:rPr>
        <w:t>(Grigolo 2003, 1027-1028). Queer theorists instead argue that categories of homosexual and heterosexual should not be so ‘fixed and given’</w:t>
      </w:r>
      <w:r w:rsidRPr="004D0659">
        <w:rPr>
          <w:rFonts w:ascii="Times New Roman" w:eastAsia="Times New Roman" w:hAnsi="Times New Roman" w:cs="Times New Roman"/>
          <w:sz w:val="24"/>
          <w:szCs w:val="24"/>
          <w:lang w:eastAsia="en-GB"/>
        </w:rPr>
        <w:t xml:space="preserve"> (Grigolo 2003 and Kornbluh 2011). A further difficulty is highlighted </w:t>
      </w:r>
      <w:r w:rsidRPr="004D0659">
        <w:rPr>
          <w:rFonts w:ascii="Times New Roman" w:eastAsia="Times New Roman" w:hAnsi="Times New Roman" w:cs="Times New Roman"/>
          <w:sz w:val="24"/>
          <w:szCs w:val="24"/>
          <w:lang w:eastAsia="en-GB"/>
        </w:rPr>
        <w:lastRenderedPageBreak/>
        <w:t>by Grigolo who argues that categorisation into different sexual groups is disadvantageous because it ‘reinforces the dichotomy within which the ‘other’ ...is defined’ meaning that the ‘position for the dominant (the heterosexual man) is confirmed and stabilised’ (Grigolo 2003, 1025). Categorisation could mean that the minority groups are dominate</w:t>
      </w:r>
      <w:r>
        <w:rPr>
          <w:rFonts w:ascii="Times New Roman" w:eastAsia="Times New Roman" w:hAnsi="Times New Roman" w:cs="Times New Roman"/>
          <w:sz w:val="24"/>
          <w:szCs w:val="24"/>
          <w:lang w:eastAsia="en-GB"/>
        </w:rPr>
        <w:t>d by those in majority category (See also Rosenfeld 2012, 344).</w:t>
      </w:r>
      <w:r w:rsidRPr="004D0659">
        <w:rPr>
          <w:rFonts w:ascii="Times New Roman" w:eastAsia="Times New Roman" w:hAnsi="Times New Roman" w:cs="Times New Roman"/>
          <w:sz w:val="24"/>
          <w:szCs w:val="24"/>
          <w:lang w:eastAsia="en-GB"/>
        </w:rPr>
        <w:t xml:space="preserve">  </w:t>
      </w: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 xml:space="preserve">Criticism can also be made as to how the ECtHR have used the comparability test in practice. Arguably it is evidence of the heteronormative model applied, that means that the ECtHR </w:t>
      </w:r>
      <w:r>
        <w:rPr>
          <w:rFonts w:ascii="Times New Roman" w:eastAsia="Times New Roman" w:hAnsi="Times New Roman" w:cs="Times New Roman"/>
          <w:sz w:val="24"/>
          <w:szCs w:val="24"/>
          <w:lang w:eastAsia="en-GB"/>
        </w:rPr>
        <w:t>is keen to emphasis the entire lack of comparability</w:t>
      </w:r>
      <w:r w:rsidRPr="004D0659">
        <w:rPr>
          <w:rFonts w:ascii="Times New Roman" w:eastAsia="Times New Roman" w:hAnsi="Times New Roman" w:cs="Times New Roman"/>
          <w:sz w:val="24"/>
          <w:szCs w:val="24"/>
          <w:lang w:eastAsia="en-GB"/>
        </w:rPr>
        <w:t xml:space="preserve"> between </w:t>
      </w:r>
      <w:r>
        <w:rPr>
          <w:rFonts w:ascii="Times New Roman" w:eastAsia="Times New Roman" w:hAnsi="Times New Roman" w:cs="Times New Roman"/>
          <w:sz w:val="24"/>
          <w:szCs w:val="24"/>
          <w:lang w:eastAsia="en-GB"/>
        </w:rPr>
        <w:t xml:space="preserve">non-married and married couples (See Fenwick 2016). </w:t>
      </w:r>
      <w:r w:rsidRPr="004D0659">
        <w:rPr>
          <w:rFonts w:ascii="Times New Roman" w:eastAsia="Times New Roman" w:hAnsi="Times New Roman" w:cs="Times New Roman"/>
          <w:sz w:val="24"/>
          <w:szCs w:val="24"/>
          <w:lang w:eastAsia="en-GB"/>
        </w:rPr>
        <w:t>Despite the fact that gays cannot access the married state, case law demonstrates that any case brought by gay couples on the basis of discrimination can only be brought by comparison to non-married heterosexual couples.</w:t>
      </w:r>
      <w:r w:rsidRPr="004D0659">
        <w:rPr>
          <w:rStyle w:val="EndnoteReference"/>
          <w:rFonts w:ascii="Times New Roman" w:eastAsia="Times New Roman" w:hAnsi="Times New Roman" w:cs="Times New Roman"/>
          <w:sz w:val="24"/>
          <w:szCs w:val="24"/>
          <w:lang w:eastAsia="en-GB"/>
        </w:rPr>
        <w:endnoteReference w:id="48"/>
      </w:r>
      <w:r w:rsidRPr="004D0659">
        <w:rPr>
          <w:rFonts w:ascii="Times New Roman" w:eastAsia="Times New Roman" w:hAnsi="Times New Roman" w:cs="Times New Roman"/>
          <w:sz w:val="24"/>
          <w:szCs w:val="24"/>
          <w:lang w:eastAsia="en-GB"/>
        </w:rPr>
        <w:t xml:space="preserve"> This can be seen for example by the joint adoption case law. Same-sex couples could only bring their case specifically by reference to comparison with non-married couples.</w:t>
      </w:r>
      <w:r w:rsidRPr="004D0659">
        <w:rPr>
          <w:rStyle w:val="EndnoteReference"/>
          <w:rFonts w:ascii="Times New Roman" w:eastAsia="Times New Roman" w:hAnsi="Times New Roman" w:cs="Times New Roman"/>
          <w:sz w:val="24"/>
          <w:szCs w:val="24"/>
          <w:lang w:eastAsia="en-GB"/>
        </w:rPr>
        <w:endnoteReference w:id="49"/>
      </w:r>
      <w:r w:rsidRPr="004D0659">
        <w:rPr>
          <w:rFonts w:ascii="Times New Roman" w:eastAsia="Times New Roman" w:hAnsi="Times New Roman" w:cs="Times New Roman"/>
          <w:sz w:val="24"/>
          <w:szCs w:val="24"/>
          <w:lang w:eastAsia="en-GB"/>
        </w:rPr>
        <w:t xml:space="preserve"> The ECtHR is reluctant to allow any comp</w:t>
      </w:r>
      <w:r>
        <w:rPr>
          <w:rFonts w:ascii="Times New Roman" w:eastAsia="Times New Roman" w:hAnsi="Times New Roman" w:cs="Times New Roman"/>
          <w:sz w:val="24"/>
          <w:szCs w:val="24"/>
          <w:lang w:eastAsia="en-GB"/>
        </w:rPr>
        <w:t xml:space="preserve">arison with non-married couples (See Johnson ‘Marriage, Heteronormativity’ 2015). Again in the case of </w:t>
      </w:r>
      <w:r w:rsidRPr="00282450">
        <w:rPr>
          <w:rFonts w:ascii="Times New Roman" w:eastAsia="Times New Roman" w:hAnsi="Times New Roman" w:cs="Times New Roman"/>
          <w:i/>
          <w:sz w:val="24"/>
          <w:szCs w:val="24"/>
          <w:lang w:eastAsia="en-GB"/>
        </w:rPr>
        <w:t>Hamalaninen v Finland</w:t>
      </w:r>
      <w:r>
        <w:rPr>
          <w:rFonts w:ascii="Times New Roman" w:eastAsia="Times New Roman" w:hAnsi="Times New Roman" w:cs="Times New Roman"/>
          <w:sz w:val="24"/>
          <w:szCs w:val="24"/>
          <w:lang w:eastAsia="en-GB"/>
        </w:rPr>
        <w:t xml:space="preserve"> which </w:t>
      </w:r>
      <w:r w:rsidRPr="004D0659">
        <w:rPr>
          <w:rFonts w:ascii="Times New Roman" w:eastAsia="Times New Roman" w:hAnsi="Times New Roman" w:cs="Times New Roman"/>
          <w:sz w:val="24"/>
          <w:szCs w:val="24"/>
          <w:lang w:eastAsia="en-GB"/>
        </w:rPr>
        <w:t>concern</w:t>
      </w:r>
      <w:r>
        <w:rPr>
          <w:rFonts w:ascii="Times New Roman" w:eastAsia="Times New Roman" w:hAnsi="Times New Roman" w:cs="Times New Roman"/>
          <w:sz w:val="24"/>
          <w:szCs w:val="24"/>
          <w:lang w:eastAsia="en-GB"/>
        </w:rPr>
        <w:t>ed</w:t>
      </w:r>
      <w:r w:rsidRPr="004D0659">
        <w:rPr>
          <w:rFonts w:ascii="Times New Roman" w:eastAsia="Times New Roman" w:hAnsi="Times New Roman" w:cs="Times New Roman"/>
          <w:sz w:val="24"/>
          <w:szCs w:val="24"/>
          <w:lang w:eastAsia="en-GB"/>
        </w:rPr>
        <w:t xml:space="preserve"> the ability of a transsexual to remain married following a sex change</w:t>
      </w:r>
      <w:r>
        <w:rPr>
          <w:rFonts w:ascii="Times New Roman" w:eastAsia="Times New Roman" w:hAnsi="Times New Roman" w:cs="Times New Roman"/>
          <w:sz w:val="24"/>
          <w:szCs w:val="24"/>
          <w:lang w:eastAsia="en-GB"/>
        </w:rPr>
        <w:t>,</w:t>
      </w:r>
      <w:r w:rsidRPr="004D0659">
        <w:rPr>
          <w:rFonts w:ascii="Times New Roman" w:eastAsia="Times New Roman" w:hAnsi="Times New Roman" w:cs="Times New Roman"/>
          <w:sz w:val="24"/>
          <w:szCs w:val="24"/>
          <w:lang w:eastAsia="en-GB"/>
        </w:rPr>
        <w:t xml:space="preserve"> any comparison with a heterosexual couple was viewed as ‘insufficiently </w:t>
      </w:r>
      <w:r>
        <w:rPr>
          <w:rFonts w:ascii="Times New Roman" w:eastAsia="Times New Roman" w:hAnsi="Times New Roman" w:cs="Times New Roman"/>
          <w:sz w:val="24"/>
          <w:szCs w:val="24"/>
          <w:lang w:eastAsia="en-GB"/>
        </w:rPr>
        <w:t>similar</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(Fenwick 2016, 255).</w:t>
      </w:r>
      <w:r>
        <w:rPr>
          <w:rStyle w:val="EndnoteReference"/>
          <w:rFonts w:ascii="Times New Roman" w:eastAsia="Times New Roman" w:hAnsi="Times New Roman" w:cs="Times New Roman"/>
          <w:sz w:val="24"/>
          <w:szCs w:val="24"/>
          <w:lang w:eastAsia="en-GB"/>
        </w:rPr>
        <w:endnoteReference w:id="50"/>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The lack of comparability asserted by the ECtHR is then used as a reason to refuse to consider Article 14 equality points at all. The ECtHR therefore never considers whether there is an ‘objective or reasonable justification for an impugned distinction</w:t>
      </w:r>
      <w:r>
        <w:rPr>
          <w:rFonts w:ascii="Times New Roman" w:eastAsia="Times New Roman" w:hAnsi="Times New Roman" w:cs="Times New Roman"/>
          <w:sz w:val="24"/>
          <w:szCs w:val="24"/>
          <w:lang w:eastAsia="en-GB"/>
        </w:rPr>
        <w:t>’ (Johnson ‘Marriage, Heteronormativity’ 2015, 57).</w:t>
      </w:r>
      <w:r w:rsidRPr="004D0659">
        <w:rPr>
          <w:rFonts w:ascii="Times New Roman" w:eastAsia="Times New Roman" w:hAnsi="Times New Roman" w:cs="Times New Roman"/>
          <w:sz w:val="24"/>
          <w:szCs w:val="24"/>
          <w:lang w:eastAsia="en-GB"/>
        </w:rPr>
        <w:t xml:space="preserve"> This leads Waaldijk to describe the use of the comparability test by the ECtHR as ‘nothin</w:t>
      </w:r>
      <w:r>
        <w:rPr>
          <w:rFonts w:ascii="Times New Roman" w:eastAsia="Times New Roman" w:hAnsi="Times New Roman" w:cs="Times New Roman"/>
          <w:sz w:val="24"/>
          <w:szCs w:val="24"/>
          <w:lang w:eastAsia="en-GB"/>
        </w:rPr>
        <w:t>g but trouble</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(Waaldijk 2016, 243).</w:t>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equality argument requires a comparison. G</w:t>
      </w:r>
      <w:r w:rsidRPr="004D0659">
        <w:rPr>
          <w:rFonts w:ascii="Times New Roman" w:eastAsia="Times New Roman" w:hAnsi="Times New Roman" w:cs="Times New Roman"/>
          <w:sz w:val="24"/>
          <w:szCs w:val="24"/>
          <w:lang w:eastAsia="en-GB"/>
        </w:rPr>
        <w:t>ays therefore have to assert their ‘other’</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ness agai</w:t>
      </w:r>
      <w:r>
        <w:rPr>
          <w:rFonts w:ascii="Times New Roman" w:eastAsia="Times New Roman" w:hAnsi="Times New Roman" w:cs="Times New Roman"/>
          <w:sz w:val="24"/>
          <w:szCs w:val="24"/>
          <w:lang w:eastAsia="en-GB"/>
        </w:rPr>
        <w:t>nst the heteronormative model.</w:t>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This emphasises</w:t>
      </w:r>
      <w:r w:rsidRPr="004D0659">
        <w:rPr>
          <w:rFonts w:ascii="Times New Roman" w:eastAsia="Times New Roman" w:hAnsi="Times New Roman" w:cs="Times New Roman"/>
          <w:sz w:val="24"/>
          <w:szCs w:val="24"/>
          <w:lang w:eastAsia="en-GB"/>
        </w:rPr>
        <w:t xml:space="preserve"> the heterosexual norm and </w:t>
      </w:r>
      <w:r>
        <w:rPr>
          <w:rFonts w:ascii="Times New Roman" w:eastAsia="Times New Roman" w:hAnsi="Times New Roman" w:cs="Times New Roman"/>
          <w:sz w:val="24"/>
          <w:szCs w:val="24"/>
          <w:lang w:eastAsia="en-GB"/>
        </w:rPr>
        <w:t>potentially creates</w:t>
      </w:r>
      <w:r w:rsidRPr="004D0659">
        <w:rPr>
          <w:rFonts w:ascii="Times New Roman" w:eastAsia="Times New Roman" w:hAnsi="Times New Roman" w:cs="Times New Roman"/>
          <w:sz w:val="24"/>
          <w:szCs w:val="24"/>
          <w:lang w:eastAsia="en-GB"/>
        </w:rPr>
        <w:t xml:space="preserve"> an identity crisis</w:t>
      </w:r>
      <w:r>
        <w:rPr>
          <w:rFonts w:ascii="Times New Roman" w:eastAsia="Times New Roman" w:hAnsi="Times New Roman" w:cs="Times New Roman"/>
          <w:sz w:val="24"/>
          <w:szCs w:val="24"/>
          <w:lang w:eastAsia="en-GB"/>
        </w:rPr>
        <w:t xml:space="preserve"> for those individuals who cannot so easily </w:t>
      </w:r>
      <w:r>
        <w:rPr>
          <w:rFonts w:ascii="Times New Roman" w:eastAsia="Times New Roman" w:hAnsi="Times New Roman" w:cs="Times New Roman"/>
          <w:sz w:val="24"/>
          <w:szCs w:val="24"/>
          <w:lang w:eastAsia="en-GB"/>
        </w:rPr>
        <w:lastRenderedPageBreak/>
        <w:t>identify with one of the comparator categories</w:t>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In addition it appears that </w:t>
      </w:r>
      <w:r w:rsidRPr="004D0659">
        <w:rPr>
          <w:rFonts w:ascii="Times New Roman" w:eastAsia="Times New Roman" w:hAnsi="Times New Roman" w:cs="Times New Roman"/>
          <w:sz w:val="24"/>
          <w:szCs w:val="24"/>
          <w:lang w:eastAsia="en-GB"/>
        </w:rPr>
        <w:t xml:space="preserve">the heteronormative model of marriage is so emphasised </w:t>
      </w:r>
      <w:r>
        <w:rPr>
          <w:rFonts w:ascii="Times New Roman" w:eastAsia="Times New Roman" w:hAnsi="Times New Roman" w:cs="Times New Roman"/>
          <w:sz w:val="24"/>
          <w:szCs w:val="24"/>
          <w:lang w:eastAsia="en-GB"/>
        </w:rPr>
        <w:t xml:space="preserve">by </w:t>
      </w:r>
      <w:r w:rsidRPr="004D0659">
        <w:rPr>
          <w:rFonts w:ascii="Times New Roman" w:eastAsia="Times New Roman" w:hAnsi="Times New Roman" w:cs="Times New Roman"/>
          <w:sz w:val="24"/>
          <w:szCs w:val="24"/>
          <w:lang w:eastAsia="en-GB"/>
        </w:rPr>
        <w:t>the ECtHR</w:t>
      </w:r>
      <w:r>
        <w:rPr>
          <w:rFonts w:ascii="Times New Roman" w:eastAsia="Times New Roman" w:hAnsi="Times New Roman" w:cs="Times New Roman"/>
          <w:sz w:val="24"/>
          <w:szCs w:val="24"/>
          <w:lang w:eastAsia="en-GB"/>
        </w:rPr>
        <w:t xml:space="preserve"> that they are</w:t>
      </w:r>
      <w:r w:rsidRPr="004D0659">
        <w:rPr>
          <w:rFonts w:ascii="Times New Roman" w:eastAsia="Times New Roman" w:hAnsi="Times New Roman" w:cs="Times New Roman"/>
          <w:sz w:val="24"/>
          <w:szCs w:val="24"/>
          <w:lang w:eastAsia="en-GB"/>
        </w:rPr>
        <w:t xml:space="preserve"> not even be able to entertain any comparison with a non-married couple.</w:t>
      </w:r>
      <w:r>
        <w:rPr>
          <w:rStyle w:val="EndnoteReference"/>
          <w:rFonts w:ascii="Times New Roman" w:eastAsia="Times New Roman" w:hAnsi="Times New Roman" w:cs="Times New Roman"/>
          <w:sz w:val="24"/>
          <w:szCs w:val="24"/>
          <w:lang w:eastAsia="en-GB"/>
        </w:rPr>
        <w:endnoteReference w:id="51"/>
      </w:r>
      <w:r w:rsidRPr="004D0659">
        <w:rPr>
          <w:rFonts w:ascii="Times New Roman" w:eastAsia="Times New Roman" w:hAnsi="Times New Roman" w:cs="Times New Roman"/>
          <w:sz w:val="24"/>
          <w:szCs w:val="24"/>
          <w:lang w:eastAsia="en-GB"/>
        </w:rPr>
        <w:t xml:space="preserve"> Categorisation of individuals into groups of sexual interest does not create solutions and can in practice create further problems. Again this exposes a significant weakness in the equality argument. Other arguments are clearly needed to support this.  The developing rights of gays to family life under Article 8 is now considered.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contextualSpacing/>
        <w:jc w:val="center"/>
        <w:rPr>
          <w:rFonts w:ascii="Times New Roman" w:eastAsia="Calibri" w:hAnsi="Times New Roman" w:cs="Times New Roman"/>
          <w:b/>
          <w:sz w:val="24"/>
          <w:szCs w:val="24"/>
        </w:rPr>
      </w:pPr>
      <w:r w:rsidRPr="004D0659">
        <w:rPr>
          <w:rFonts w:ascii="Times New Roman" w:eastAsia="Calibri" w:hAnsi="Times New Roman" w:cs="Times New Roman"/>
          <w:b/>
          <w:sz w:val="24"/>
          <w:szCs w:val="24"/>
        </w:rPr>
        <w:t>DEVELOPING ‘FAMILY LIFE’ ARGUMENTS FOR SAME-SEX PARTNERS</w:t>
      </w:r>
    </w:p>
    <w:p w:rsidR="00783683" w:rsidRPr="004D0659" w:rsidRDefault="00783683" w:rsidP="00783683">
      <w:pPr>
        <w:spacing w:after="0" w:line="480" w:lineRule="auto"/>
        <w:ind w:left="1080"/>
        <w:contextualSpacing/>
        <w:rPr>
          <w:rFonts w:ascii="Times New Roman" w:eastAsia="Calibri" w:hAnsi="Times New Roman" w:cs="Times New Roman"/>
          <w:b/>
          <w:sz w:val="24"/>
          <w:szCs w:val="24"/>
        </w:rPr>
      </w:pPr>
    </w:p>
    <w:p w:rsidR="00783683" w:rsidRPr="00B33945" w:rsidRDefault="00783683" w:rsidP="00783683">
      <w:pPr>
        <w:pStyle w:val="FootnoteText"/>
        <w:spacing w:line="480" w:lineRule="auto"/>
        <w:jc w:val="both"/>
        <w:rPr>
          <w:rFonts w:eastAsia="Calibri"/>
          <w:sz w:val="24"/>
          <w:szCs w:val="24"/>
        </w:rPr>
      </w:pPr>
      <w:r w:rsidRPr="00B33945">
        <w:rPr>
          <w:rFonts w:eastAsia="Calibri"/>
          <w:sz w:val="24"/>
          <w:szCs w:val="24"/>
        </w:rPr>
        <w:t>As Article 14 is a conditional right it has to be deployed in conjunction with a case being brought forward under another article. One pathway to be utilised is the expanded use of the family life argument under Article 8. Historically, the ECtHR refused to recognise same-sex partners as having a ‘family life’.</w:t>
      </w:r>
      <w:r w:rsidRPr="00B33945">
        <w:rPr>
          <w:rFonts w:eastAsia="Calibri"/>
          <w:sz w:val="24"/>
          <w:szCs w:val="24"/>
          <w:vertAlign w:val="superscript"/>
        </w:rPr>
        <w:endnoteReference w:id="52"/>
      </w:r>
      <w:r w:rsidRPr="00B33945">
        <w:rPr>
          <w:rFonts w:eastAsia="Calibri"/>
          <w:sz w:val="24"/>
          <w:szCs w:val="24"/>
        </w:rPr>
        <w:t xml:space="preserve"> Instead such relationships were always considered ‘generative of private life rather than family life’ (Cabellero 2004-2005, 152). Critics argued that th</w:t>
      </w:r>
      <w:r>
        <w:rPr>
          <w:rFonts w:eastAsia="Calibri"/>
          <w:sz w:val="24"/>
          <w:szCs w:val="24"/>
        </w:rPr>
        <w:t xml:space="preserve">is was another example of the </w:t>
      </w:r>
      <w:r w:rsidRPr="00B33945">
        <w:rPr>
          <w:rFonts w:eastAsia="Calibri"/>
          <w:sz w:val="24"/>
          <w:szCs w:val="24"/>
        </w:rPr>
        <w:t xml:space="preserve">ECvHR </w:t>
      </w:r>
      <w:r>
        <w:rPr>
          <w:rFonts w:eastAsia="Calibri"/>
          <w:sz w:val="24"/>
          <w:szCs w:val="24"/>
        </w:rPr>
        <w:t>being</w:t>
      </w:r>
      <w:r w:rsidRPr="00B33945">
        <w:rPr>
          <w:rFonts w:eastAsia="Calibri"/>
          <w:sz w:val="24"/>
          <w:szCs w:val="24"/>
        </w:rPr>
        <w:t xml:space="preserve"> ‘predicated on the nuclear, married, heterosexual ideal’ (Stalford, 2002, 411). Gradually the ECtHR has become more lenient over time with regards to the definiti</w:t>
      </w:r>
      <w:r>
        <w:rPr>
          <w:rFonts w:eastAsia="Calibri"/>
          <w:sz w:val="24"/>
          <w:szCs w:val="24"/>
        </w:rPr>
        <w:t>on of family within Article 8. It has adopted a</w:t>
      </w:r>
      <w:r w:rsidRPr="00B33945">
        <w:rPr>
          <w:rFonts w:eastAsia="Calibri"/>
          <w:sz w:val="24"/>
          <w:szCs w:val="24"/>
        </w:rPr>
        <w:t xml:space="preserve"> ‘realistic and flexible approach’ (Cabellero, 2004-2005 152). This includes protecting de facto situations, including unmarried couples and wider relations as well as single parents and divorced couples.</w:t>
      </w:r>
      <w:r w:rsidRPr="00B33945">
        <w:rPr>
          <w:rFonts w:eastAsia="Calibri"/>
          <w:sz w:val="24"/>
          <w:szCs w:val="24"/>
          <w:vertAlign w:val="superscript"/>
        </w:rPr>
        <w:endnoteReference w:id="53"/>
      </w:r>
      <w:r w:rsidRPr="00B33945">
        <w:rPr>
          <w:rFonts w:eastAsia="Calibri"/>
          <w:sz w:val="24"/>
          <w:szCs w:val="24"/>
        </w:rPr>
        <w:t xml:space="preserve">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 xml:space="preserve">This expansion of Article 8 ECHR has gradually been reflected in the more determined stance the ECtHR has taken towards cases involving gays and same-sex couples. In </w:t>
      </w:r>
      <w:r w:rsidRPr="004D0659">
        <w:rPr>
          <w:rFonts w:ascii="Times New Roman" w:eastAsia="Calibri" w:hAnsi="Times New Roman" w:cs="Times New Roman"/>
          <w:i/>
          <w:sz w:val="24"/>
          <w:szCs w:val="24"/>
        </w:rPr>
        <w:t>Karner v Austria</w:t>
      </w:r>
      <w:r w:rsidRPr="004D0659">
        <w:rPr>
          <w:rFonts w:ascii="Times New Roman" w:eastAsia="Calibri" w:hAnsi="Times New Roman" w:cs="Times New Roman"/>
          <w:sz w:val="24"/>
          <w:szCs w:val="24"/>
        </w:rPr>
        <w:t xml:space="preserve"> the ECtHR stated that ‘differences based on sexual orientation require particularly serious reasons by way of justification</w:t>
      </w:r>
      <w:r>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54"/>
      </w:r>
      <w:r w:rsidRPr="004D0659">
        <w:rPr>
          <w:rFonts w:ascii="Times New Roman" w:eastAsia="Calibri" w:hAnsi="Times New Roman" w:cs="Times New Roman"/>
          <w:sz w:val="24"/>
          <w:szCs w:val="24"/>
        </w:rPr>
        <w:t xml:space="preserve"> The ECtHR avoided having to consider the question under </w:t>
      </w:r>
      <w:r w:rsidRPr="004D0659">
        <w:rPr>
          <w:rFonts w:ascii="Times New Roman" w:eastAsia="Calibri" w:hAnsi="Times New Roman" w:cs="Times New Roman"/>
          <w:sz w:val="24"/>
          <w:szCs w:val="24"/>
        </w:rPr>
        <w:lastRenderedPageBreak/>
        <w:t>‘private life’ or ‘family life’ as the applicant had brought his claim under the ‘right to respect for his home</w:t>
      </w:r>
      <w:r>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55"/>
      </w:r>
      <w:r w:rsidRPr="004D0659">
        <w:rPr>
          <w:rFonts w:ascii="Times New Roman" w:eastAsia="Calibri" w:hAnsi="Times New Roman" w:cs="Times New Roman"/>
          <w:sz w:val="24"/>
          <w:szCs w:val="24"/>
        </w:rPr>
        <w:t xml:space="preserve"> In </w:t>
      </w:r>
      <w:r w:rsidRPr="004D0659">
        <w:rPr>
          <w:rFonts w:ascii="Times New Roman" w:eastAsia="Calibri" w:hAnsi="Times New Roman" w:cs="Times New Roman"/>
          <w:i/>
          <w:sz w:val="24"/>
          <w:szCs w:val="24"/>
        </w:rPr>
        <w:t>Schalk and Kopf v Austria</w:t>
      </w:r>
      <w:r w:rsidRPr="004D0659">
        <w:rPr>
          <w:rFonts w:ascii="Times New Roman" w:eastAsia="Calibri" w:hAnsi="Times New Roman" w:cs="Times New Roman"/>
          <w:sz w:val="24"/>
          <w:szCs w:val="24"/>
        </w:rPr>
        <w:t>, the ECtHR finally recognised that due to a ‘rapid evolution in social attitudes’</w:t>
      </w:r>
      <w:r w:rsidRPr="004D0659">
        <w:rPr>
          <w:rStyle w:val="EndnoteReference"/>
          <w:rFonts w:ascii="Times New Roman" w:eastAsia="Calibri" w:hAnsi="Times New Roman" w:cs="Times New Roman"/>
          <w:sz w:val="24"/>
          <w:szCs w:val="24"/>
        </w:rPr>
        <w:endnoteReference w:id="56"/>
      </w:r>
      <w:r w:rsidRPr="004D0659">
        <w:rPr>
          <w:rFonts w:ascii="Times New Roman" w:eastAsia="Calibri" w:hAnsi="Times New Roman" w:cs="Times New Roman"/>
          <w:sz w:val="24"/>
          <w:szCs w:val="24"/>
        </w:rPr>
        <w:t xml:space="preserve"> that it would be ‘artificial to maintain… that… ‘a same-sex couple cannot enjoy ‘family life</w:t>
      </w:r>
      <w:r>
        <w:rPr>
          <w:rFonts w:ascii="Times New Roman" w:eastAsia="Calibri" w:hAnsi="Times New Roman" w:cs="Times New Roman"/>
          <w:sz w:val="24"/>
          <w:szCs w:val="24"/>
        </w:rPr>
        <w:t>”.</w:t>
      </w:r>
      <w:r w:rsidRPr="004D0659">
        <w:rPr>
          <w:rStyle w:val="EndnoteReference"/>
          <w:rFonts w:ascii="Times New Roman" w:eastAsia="Calibri" w:hAnsi="Times New Roman" w:cs="Times New Roman"/>
          <w:sz w:val="24"/>
          <w:szCs w:val="24"/>
        </w:rPr>
        <w:endnoteReference w:id="57"/>
      </w:r>
      <w:r w:rsidRPr="004D0659">
        <w:rPr>
          <w:rFonts w:ascii="Times New Roman" w:eastAsia="Calibri" w:hAnsi="Times New Roman" w:cs="Times New Roman"/>
          <w:sz w:val="24"/>
          <w:szCs w:val="24"/>
        </w:rPr>
        <w:t xml:space="preserve"> It therefore concluded that a ‘cohabiting same-sex couple living in a stable partnership, fell within the notion of ‘family life’, just as the relationship of different-sex couple in the same situation would</w:t>
      </w:r>
      <w:r>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58"/>
      </w:r>
      <w:r w:rsidRPr="004D0659">
        <w:rPr>
          <w:rFonts w:ascii="Times New Roman" w:eastAsia="Calibri" w:hAnsi="Times New Roman" w:cs="Times New Roman"/>
          <w:sz w:val="24"/>
          <w:szCs w:val="24"/>
        </w:rPr>
        <w:t xml:space="preserve"> This has been seen by authors as a breakthrough case due to the shift in finally recognise same-sex partners as being protected under the right to a family life (O’Mahoney 2012, 38</w:t>
      </w:r>
      <w:r>
        <w:rPr>
          <w:rFonts w:ascii="Times New Roman" w:eastAsia="Calibri" w:hAnsi="Times New Roman" w:cs="Times New Roman"/>
          <w:sz w:val="24"/>
          <w:szCs w:val="24"/>
        </w:rPr>
        <w:t xml:space="preserve">; </w:t>
      </w:r>
      <w:r w:rsidRPr="004D0659">
        <w:rPr>
          <w:rFonts w:ascii="Times New Roman" w:eastAsia="Calibri" w:hAnsi="Times New Roman" w:cs="Times New Roman"/>
          <w:sz w:val="24"/>
          <w:szCs w:val="24"/>
        </w:rPr>
        <w:t xml:space="preserve"> Danisis 2011, 804</w:t>
      </w:r>
      <w:r>
        <w:rPr>
          <w:rFonts w:ascii="Times New Roman" w:eastAsia="Calibri" w:hAnsi="Times New Roman" w:cs="Times New Roman"/>
          <w:sz w:val="24"/>
          <w:szCs w:val="24"/>
        </w:rPr>
        <w:t xml:space="preserve"> and Sutherland 2011</w:t>
      </w:r>
      <w:r w:rsidRPr="004D0659">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t xml:space="preserve"> </w:t>
      </w:r>
      <w:r w:rsidRPr="004D0659">
        <w:rPr>
          <w:rFonts w:ascii="Times New Roman" w:eastAsia="Calibri" w:hAnsi="Times New Roman" w:cs="Times New Roman"/>
          <w:sz w:val="24"/>
          <w:szCs w:val="24"/>
        </w:rPr>
        <w:t>In practice, the ECtHR followed a much more conservative approach with regards to the result of the case.  The ECtHR did not recognise same-sex marriage due to a lack of consensus on the issue between Member States,</w:t>
      </w:r>
      <w:r w:rsidRPr="004D0659">
        <w:rPr>
          <w:rFonts w:ascii="Times New Roman" w:eastAsia="Calibri" w:hAnsi="Times New Roman" w:cs="Times New Roman"/>
          <w:sz w:val="24"/>
          <w:szCs w:val="24"/>
          <w:vertAlign w:val="superscript"/>
        </w:rPr>
        <w:t xml:space="preserve"> </w:t>
      </w:r>
      <w:r w:rsidRPr="004D0659">
        <w:rPr>
          <w:rFonts w:ascii="Times New Roman" w:eastAsia="Calibri" w:hAnsi="Times New Roman" w:cs="Times New Roman"/>
          <w:sz w:val="24"/>
          <w:szCs w:val="24"/>
        </w:rPr>
        <w:t>preferring to allow national courts to decide this matter.</w:t>
      </w:r>
      <w:r w:rsidRPr="004D0659">
        <w:rPr>
          <w:rFonts w:ascii="Times New Roman" w:eastAsia="Calibri" w:hAnsi="Times New Roman" w:cs="Times New Roman"/>
          <w:sz w:val="24"/>
          <w:szCs w:val="24"/>
          <w:vertAlign w:val="superscript"/>
        </w:rPr>
        <w:endnoteReference w:id="59"/>
      </w:r>
      <w:r w:rsidRPr="004D0659">
        <w:rPr>
          <w:rFonts w:ascii="Times New Roman" w:eastAsia="Calibri" w:hAnsi="Times New Roman" w:cs="Times New Roman"/>
          <w:sz w:val="24"/>
          <w:szCs w:val="24"/>
        </w:rPr>
        <w:t xml:space="preserve"> </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Further case law has followed on an expansive approach towards the development of positive obligations placed on Member states under Article 8 (Akandji-Kombe, 2007). Member States have a duty not to interfere with an individual’s private life. They also have a positive obligation under Article 8 to ensure effective respect for private and family life, through law enforcement, legal and regulatory frameworks and the provision of resources.</w:t>
      </w:r>
      <w:r w:rsidRPr="004D0659">
        <w:rPr>
          <w:rFonts w:ascii="Times New Roman" w:eastAsia="Calibri" w:hAnsi="Times New Roman" w:cs="Times New Roman"/>
          <w:sz w:val="24"/>
          <w:szCs w:val="24"/>
          <w:vertAlign w:val="superscript"/>
        </w:rPr>
        <w:endnoteReference w:id="60"/>
      </w:r>
      <w:r>
        <w:rPr>
          <w:rFonts w:ascii="Times New Roman" w:eastAsia="Calibri" w:hAnsi="Times New Roman" w:cs="Times New Roman"/>
          <w:sz w:val="24"/>
          <w:szCs w:val="24"/>
        </w:rPr>
        <w:t xml:space="preserve"> </w:t>
      </w:r>
      <w:r w:rsidRPr="004D0659">
        <w:rPr>
          <w:rFonts w:ascii="Times New Roman" w:eastAsia="Calibri" w:hAnsi="Times New Roman" w:cs="Times New Roman"/>
          <w:sz w:val="24"/>
          <w:szCs w:val="24"/>
        </w:rPr>
        <w:t>In certain areas, namely the right to sexual self-determination for transsexuals</w:t>
      </w:r>
      <w:r w:rsidRPr="004D0659">
        <w:rPr>
          <w:rFonts w:ascii="Times New Roman" w:eastAsia="Calibri" w:hAnsi="Times New Roman" w:cs="Times New Roman"/>
          <w:sz w:val="24"/>
          <w:szCs w:val="24"/>
          <w:vertAlign w:val="superscript"/>
        </w:rPr>
        <w:endnoteReference w:id="61"/>
      </w:r>
      <w:r w:rsidRPr="004D0659">
        <w:rPr>
          <w:rFonts w:ascii="Times New Roman" w:eastAsia="Calibri" w:hAnsi="Times New Roman" w:cs="Times New Roman"/>
          <w:sz w:val="24"/>
          <w:szCs w:val="24"/>
        </w:rPr>
        <w:t xml:space="preserve"> and the right to know ones origins (for example compelling a reluctant putative father to undergo a DNA test)</w:t>
      </w:r>
      <w:r w:rsidRPr="004D0659">
        <w:rPr>
          <w:rFonts w:ascii="Times New Roman" w:eastAsia="Calibri" w:hAnsi="Times New Roman" w:cs="Times New Roman"/>
          <w:sz w:val="24"/>
          <w:szCs w:val="24"/>
          <w:vertAlign w:val="superscript"/>
        </w:rPr>
        <w:endnoteReference w:id="62"/>
      </w:r>
      <w:r w:rsidRPr="004D0659">
        <w:rPr>
          <w:rFonts w:ascii="Times New Roman" w:eastAsia="Calibri" w:hAnsi="Times New Roman" w:cs="Times New Roman"/>
          <w:sz w:val="24"/>
          <w:szCs w:val="24"/>
        </w:rPr>
        <w:t xml:space="preserve">  this has led to far reaching judgments by the ECtHR. Most recently the ECtHR has relied upon the positive obligations under Article 8 to recognise same-sex couples’ rights to enter into a registered partnership / civil partnership.</w:t>
      </w:r>
      <w:r w:rsidRPr="004D0659">
        <w:rPr>
          <w:rStyle w:val="EndnoteReference"/>
          <w:rFonts w:ascii="Times New Roman" w:eastAsia="Calibri" w:hAnsi="Times New Roman" w:cs="Times New Roman"/>
          <w:sz w:val="24"/>
          <w:szCs w:val="24"/>
        </w:rPr>
        <w:endnoteReference w:id="63"/>
      </w:r>
      <w:r w:rsidRPr="004D0659">
        <w:rPr>
          <w:rFonts w:ascii="Times New Roman" w:eastAsia="Calibri" w:hAnsi="Times New Roman" w:cs="Times New Roman"/>
          <w:sz w:val="24"/>
          <w:szCs w:val="24"/>
        </w:rPr>
        <w:t xml:space="preserve"> Case law recognising single gay individuals right to adopt</w:t>
      </w:r>
      <w:r w:rsidRPr="004D0659">
        <w:rPr>
          <w:rStyle w:val="EndnoteReference"/>
          <w:rFonts w:ascii="Times New Roman" w:eastAsia="Calibri" w:hAnsi="Times New Roman" w:cs="Times New Roman"/>
          <w:sz w:val="24"/>
          <w:szCs w:val="24"/>
        </w:rPr>
        <w:endnoteReference w:id="64"/>
      </w:r>
      <w:r w:rsidRPr="004D0659">
        <w:rPr>
          <w:rFonts w:ascii="Times New Roman" w:eastAsia="Calibri" w:hAnsi="Times New Roman" w:cs="Times New Roman"/>
          <w:sz w:val="24"/>
          <w:szCs w:val="24"/>
        </w:rPr>
        <w:t xml:space="preserve"> and same-sex couples right to adopt outside of marriage</w:t>
      </w:r>
      <w:r w:rsidRPr="004D0659">
        <w:rPr>
          <w:rStyle w:val="EndnoteReference"/>
          <w:rFonts w:ascii="Times New Roman" w:eastAsia="Calibri" w:hAnsi="Times New Roman" w:cs="Times New Roman"/>
          <w:sz w:val="24"/>
          <w:szCs w:val="24"/>
        </w:rPr>
        <w:endnoteReference w:id="65"/>
      </w:r>
      <w:r w:rsidRPr="004D0659">
        <w:rPr>
          <w:rFonts w:ascii="Times New Roman" w:eastAsia="Calibri" w:hAnsi="Times New Roman" w:cs="Times New Roman"/>
          <w:sz w:val="24"/>
          <w:szCs w:val="24"/>
        </w:rPr>
        <w:t xml:space="preserve"> has also followed. This is an area which promises much for the future and can help assist with some of the deficiencies noted in the equality right argument under Article 14.  In relation to same-sex marriage, the recurring </w:t>
      </w:r>
      <w:r w:rsidRPr="004D0659">
        <w:rPr>
          <w:rFonts w:ascii="Times New Roman" w:eastAsia="Calibri" w:hAnsi="Times New Roman" w:cs="Times New Roman"/>
          <w:sz w:val="24"/>
          <w:szCs w:val="24"/>
        </w:rPr>
        <w:lastRenderedPageBreak/>
        <w:t xml:space="preserve">issue of lack of consensus between Member States, is likely to be a barrier to progress until sufficient Member States move in this direction. A final possibility which should be </w:t>
      </w:r>
      <w:r>
        <w:rPr>
          <w:rFonts w:ascii="Times New Roman" w:eastAsia="Calibri" w:hAnsi="Times New Roman" w:cs="Times New Roman"/>
          <w:sz w:val="24"/>
          <w:szCs w:val="24"/>
        </w:rPr>
        <w:t>explored relates to Article 12 r</w:t>
      </w:r>
      <w:r w:rsidRPr="004D0659">
        <w:rPr>
          <w:rFonts w:ascii="Times New Roman" w:eastAsia="Calibri" w:hAnsi="Times New Roman" w:cs="Times New Roman"/>
          <w:sz w:val="24"/>
          <w:szCs w:val="24"/>
        </w:rPr>
        <w:t>ight to Marry.</w:t>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200" w:line="480" w:lineRule="auto"/>
        <w:ind w:left="1080"/>
        <w:contextualSpacing/>
        <w:jc w:val="center"/>
        <w:textAlignment w:val="baseline"/>
        <w:rPr>
          <w:rFonts w:ascii="Times New Roman" w:eastAsia="Times New Roman" w:hAnsi="Times New Roman" w:cs="Times New Roman"/>
          <w:b/>
          <w:color w:val="000000"/>
          <w:kern w:val="24"/>
          <w:sz w:val="24"/>
          <w:szCs w:val="24"/>
        </w:rPr>
      </w:pPr>
      <w:r w:rsidRPr="004D0659">
        <w:rPr>
          <w:rFonts w:ascii="Times New Roman" w:eastAsia="Times New Roman" w:hAnsi="Times New Roman" w:cs="Times New Roman"/>
          <w:b/>
          <w:color w:val="000000"/>
          <w:kern w:val="24"/>
          <w:sz w:val="24"/>
          <w:szCs w:val="24"/>
        </w:rPr>
        <w:t>ARTICLE 12 RIGHT TO MARRY</w:t>
      </w:r>
    </w:p>
    <w:p w:rsidR="00783683" w:rsidRPr="004D0659" w:rsidRDefault="00783683" w:rsidP="00783683">
      <w:pPr>
        <w:spacing w:after="200" w:line="480" w:lineRule="auto"/>
        <w:ind w:left="1080"/>
        <w:contextualSpacing/>
        <w:textAlignment w:val="baseline"/>
        <w:rPr>
          <w:rFonts w:ascii="Times New Roman" w:eastAsia="Times New Roman" w:hAnsi="Times New Roman" w:cs="Times New Roman"/>
          <w:b/>
          <w:color w:val="000000"/>
          <w:kern w:val="24"/>
          <w:sz w:val="24"/>
          <w:szCs w:val="24"/>
        </w:rPr>
      </w:pP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sidRPr="004D0659">
        <w:rPr>
          <w:rFonts w:ascii="Times New Roman" w:eastAsia="Calibri" w:hAnsi="Times New Roman" w:cs="Times New Roman"/>
          <w:sz w:val="24"/>
          <w:szCs w:val="24"/>
        </w:rPr>
        <w:t xml:space="preserve">In </w:t>
      </w:r>
      <w:r w:rsidRPr="004D0659">
        <w:rPr>
          <w:rFonts w:ascii="Times New Roman" w:eastAsia="Calibri" w:hAnsi="Times New Roman" w:cs="Times New Roman"/>
          <w:i/>
          <w:sz w:val="24"/>
          <w:szCs w:val="24"/>
        </w:rPr>
        <w:t>Schalk and Kopf v Austria</w:t>
      </w:r>
      <w:r w:rsidRPr="004D0659">
        <w:rPr>
          <w:rFonts w:ascii="Times New Roman" w:eastAsia="Calibri" w:hAnsi="Times New Roman" w:cs="Times New Roman"/>
          <w:sz w:val="24"/>
          <w:szCs w:val="24"/>
        </w:rPr>
        <w:t xml:space="preserve"> the ECtHR had a disappointing treatment of the claim made under Article 12.</w:t>
      </w:r>
      <w:r>
        <w:rPr>
          <w:rStyle w:val="EndnoteReference"/>
          <w:rFonts w:ascii="Times New Roman" w:eastAsia="Calibri" w:hAnsi="Times New Roman" w:cs="Times New Roman"/>
          <w:sz w:val="24"/>
          <w:szCs w:val="24"/>
        </w:rPr>
        <w:endnoteReference w:id="66"/>
      </w:r>
      <w:r w:rsidRPr="004D0659">
        <w:rPr>
          <w:rFonts w:ascii="Times New Roman" w:eastAsia="Calibri" w:hAnsi="Times New Roman" w:cs="Times New Roman"/>
          <w:sz w:val="24"/>
          <w:szCs w:val="24"/>
        </w:rPr>
        <w:t xml:space="preserve">  The ECtHR noted that Article 12 only granted the right to marry ‘to men and women’.</w:t>
      </w:r>
      <w:r>
        <w:rPr>
          <w:rStyle w:val="EndnoteReference"/>
          <w:rFonts w:ascii="Times New Roman" w:eastAsia="Calibri" w:hAnsi="Times New Roman" w:cs="Times New Roman"/>
          <w:sz w:val="24"/>
          <w:szCs w:val="24"/>
        </w:rPr>
        <w:endnoteReference w:id="67"/>
      </w:r>
      <w:r w:rsidRPr="004D0659">
        <w:rPr>
          <w:rFonts w:ascii="Times New Roman" w:eastAsia="Calibri" w:hAnsi="Times New Roman" w:cs="Times New Roman"/>
          <w:sz w:val="24"/>
          <w:szCs w:val="24"/>
        </w:rPr>
        <w:t xml:space="preserve"> This was contrasted to other articles which referred to ‘everyone’ or ‘no one’ and cited the ‘historical context’ as being significant.</w:t>
      </w:r>
      <w:r w:rsidRPr="004D0659">
        <w:rPr>
          <w:rFonts w:ascii="Times New Roman" w:eastAsia="Calibri" w:hAnsi="Times New Roman" w:cs="Times New Roman"/>
          <w:sz w:val="24"/>
          <w:szCs w:val="24"/>
          <w:vertAlign w:val="superscript"/>
        </w:rPr>
        <w:endnoteReference w:id="68"/>
      </w:r>
      <w:r w:rsidRPr="004D0659">
        <w:rPr>
          <w:rFonts w:ascii="Times New Roman" w:eastAsia="Calibri" w:hAnsi="Times New Roman" w:cs="Times New Roman"/>
          <w:sz w:val="24"/>
          <w:szCs w:val="24"/>
        </w:rPr>
        <w:t xml:space="preserve"> This follows the traditional approach of the ECtHR as seen by the case of </w:t>
      </w:r>
      <w:r w:rsidRPr="004D0659">
        <w:rPr>
          <w:rFonts w:ascii="Times New Roman" w:eastAsia="Calibri" w:hAnsi="Times New Roman" w:cs="Times New Roman"/>
          <w:i/>
          <w:sz w:val="24"/>
          <w:szCs w:val="24"/>
        </w:rPr>
        <w:t>Rees v United Kingdom</w:t>
      </w:r>
      <w:r w:rsidRPr="004D0659">
        <w:rPr>
          <w:rFonts w:ascii="Times New Roman" w:eastAsia="Calibri" w:hAnsi="Times New Roman" w:cs="Times New Roman"/>
          <w:sz w:val="24"/>
          <w:szCs w:val="24"/>
        </w:rPr>
        <w:t xml:space="preserve"> where the ECtHR stated that ‘Article 12… is mainly concerned to protect marriage as the basis of the family’.</w:t>
      </w:r>
      <w:r w:rsidRPr="004D0659">
        <w:rPr>
          <w:rFonts w:ascii="Times New Roman" w:eastAsia="Calibri" w:hAnsi="Times New Roman" w:cs="Times New Roman"/>
          <w:sz w:val="24"/>
          <w:szCs w:val="24"/>
          <w:vertAlign w:val="superscript"/>
        </w:rPr>
        <w:endnoteReference w:id="69"/>
      </w:r>
      <w:r w:rsidRPr="004D0659">
        <w:rPr>
          <w:rFonts w:ascii="Times New Roman" w:eastAsia="Calibri" w:hAnsi="Times New Roman" w:cs="Times New Roman"/>
          <w:sz w:val="24"/>
          <w:szCs w:val="24"/>
        </w:rPr>
        <w:t xml:space="preserve"> It also follows decisions taken by domestic courts which in same-sex marriage cases relied upon traditional definitions of marriage set in legislation.</w:t>
      </w:r>
      <w:r w:rsidRPr="004D0659">
        <w:rPr>
          <w:rFonts w:ascii="Times New Roman" w:eastAsia="Times New Roman" w:hAnsi="Times New Roman" w:cs="Times New Roman"/>
          <w:sz w:val="24"/>
          <w:szCs w:val="24"/>
          <w:vertAlign w:val="superscript"/>
          <w:lang w:eastAsia="en-GB"/>
        </w:rPr>
        <w:endnoteReference w:id="70"/>
      </w:r>
      <w:r>
        <w:rPr>
          <w:rFonts w:ascii="Times New Roman" w:eastAsia="Calibri" w:hAnsi="Times New Roman" w:cs="Times New Roman"/>
          <w:sz w:val="24"/>
          <w:szCs w:val="24"/>
        </w:rPr>
        <w:t xml:space="preserve"> </w:t>
      </w:r>
      <w:r w:rsidRPr="004D0659">
        <w:rPr>
          <w:rFonts w:ascii="Times New Roman" w:eastAsia="Calibri" w:hAnsi="Times New Roman" w:cs="Times New Roman"/>
          <w:sz w:val="24"/>
          <w:szCs w:val="24"/>
        </w:rPr>
        <w:t xml:space="preserve"> </w:t>
      </w:r>
      <w:r w:rsidRPr="004D0659">
        <w:rPr>
          <w:rFonts w:ascii="Times New Roman" w:eastAsia="Times New Roman" w:hAnsi="Times New Roman" w:cs="Times New Roman"/>
          <w:sz w:val="24"/>
          <w:szCs w:val="24"/>
          <w:lang w:eastAsia="en-GB"/>
        </w:rPr>
        <w:t xml:space="preserve">The grammatical reading by the ECtHR also reflects the approach taken by the HRC in </w:t>
      </w:r>
      <w:r w:rsidRPr="004D0659">
        <w:rPr>
          <w:rFonts w:ascii="Times New Roman" w:eastAsia="Times New Roman" w:hAnsi="Times New Roman" w:cs="Times New Roman"/>
          <w:i/>
          <w:sz w:val="24"/>
          <w:szCs w:val="24"/>
          <w:lang w:eastAsia="en-GB"/>
        </w:rPr>
        <w:t>Joslin v New Zealand</w:t>
      </w:r>
      <w:r w:rsidRPr="004D0659">
        <w:rPr>
          <w:rFonts w:ascii="Times New Roman" w:eastAsia="Times New Roman" w:hAnsi="Times New Roman" w:cs="Times New Roman"/>
          <w:sz w:val="24"/>
          <w:szCs w:val="24"/>
          <w:lang w:eastAsia="en-GB"/>
        </w:rPr>
        <w:t>.</w:t>
      </w:r>
      <w:r w:rsidRPr="004D0659">
        <w:rPr>
          <w:rFonts w:ascii="Times New Roman" w:eastAsia="Times New Roman" w:hAnsi="Times New Roman" w:cs="Times New Roman"/>
          <w:sz w:val="24"/>
          <w:szCs w:val="24"/>
          <w:vertAlign w:val="superscript"/>
          <w:lang w:eastAsia="en-GB"/>
        </w:rPr>
        <w:endnoteReference w:id="71"/>
      </w:r>
      <w:r w:rsidRPr="004D0659">
        <w:rPr>
          <w:rFonts w:ascii="Times New Roman" w:eastAsia="Times New Roman" w:hAnsi="Times New Roman" w:cs="Times New Roman"/>
          <w:sz w:val="24"/>
          <w:szCs w:val="24"/>
          <w:lang w:eastAsia="en-GB"/>
        </w:rPr>
        <w:t xml:space="preserve">  Even the Yogyakarta Principles which can be regarded as more radical, do not allow a human right for same-sex couples to marry.</w:t>
      </w:r>
      <w:r w:rsidRPr="004D0659">
        <w:rPr>
          <w:rFonts w:ascii="Times New Roman" w:eastAsia="Times New Roman" w:hAnsi="Times New Roman" w:cs="Times New Roman"/>
          <w:sz w:val="24"/>
          <w:szCs w:val="24"/>
          <w:vertAlign w:val="superscript"/>
          <w:lang w:eastAsia="en-GB"/>
        </w:rPr>
        <w:endnoteReference w:id="72"/>
      </w:r>
      <w:r w:rsidRPr="004D0659">
        <w:rPr>
          <w:rFonts w:ascii="Times New Roman" w:eastAsia="Times New Roman" w:hAnsi="Times New Roman" w:cs="Times New Roman"/>
          <w:sz w:val="24"/>
          <w:szCs w:val="24"/>
          <w:lang w:eastAsia="en-GB"/>
        </w:rPr>
        <w:t xml:space="preserve"> Once again this </w:t>
      </w:r>
      <w:r w:rsidRPr="004D0659">
        <w:rPr>
          <w:rFonts w:ascii="Times New Roman" w:eastAsia="Calibri" w:hAnsi="Times New Roman" w:cs="Times New Roman"/>
          <w:sz w:val="24"/>
          <w:szCs w:val="24"/>
        </w:rPr>
        <w:t xml:space="preserve">decision has been recently reaffirmed by the ECtHR in the decision of </w:t>
      </w:r>
      <w:r w:rsidRPr="004D0659">
        <w:rPr>
          <w:rFonts w:ascii="Times New Roman" w:eastAsia="Calibri" w:hAnsi="Times New Roman" w:cs="Times New Roman"/>
          <w:i/>
          <w:sz w:val="24"/>
          <w:szCs w:val="24"/>
        </w:rPr>
        <w:t>Chapin and Charpentier v France</w:t>
      </w:r>
      <w:r w:rsidRPr="004D0659">
        <w:rPr>
          <w:rStyle w:val="EndnoteReference"/>
          <w:rFonts w:ascii="Times New Roman" w:eastAsia="Calibri" w:hAnsi="Times New Roman" w:cs="Times New Roman"/>
          <w:sz w:val="24"/>
          <w:szCs w:val="24"/>
        </w:rPr>
        <w:endnoteReference w:id="73"/>
      </w:r>
      <w:r w:rsidRPr="004D0659">
        <w:rPr>
          <w:rFonts w:ascii="Times New Roman" w:eastAsia="Calibri" w:hAnsi="Times New Roman" w:cs="Times New Roman"/>
          <w:sz w:val="24"/>
          <w:szCs w:val="24"/>
        </w:rPr>
        <w:t xml:space="preserve"> where it was found that there was no violation of Article 12 taken together with Article 14. </w:t>
      </w:r>
      <w:r w:rsidRPr="004D0659">
        <w:rPr>
          <w:rFonts w:ascii="Times New Roman" w:eastAsia="Times New Roman" w:hAnsi="Times New Roman" w:cs="Times New Roman"/>
          <w:sz w:val="24"/>
          <w:szCs w:val="24"/>
          <w:lang w:eastAsia="en-GB"/>
        </w:rPr>
        <w:t xml:space="preserve"> </w:t>
      </w: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 xml:space="preserve">Despite these precedents, the text driven traditional approach by the ECtHR was not in fact necessary. Arguably any argument based on the intention of the drafters of the ECvHR in the 1950s is erroneous.  They had no ‘conscious ambition’ to protect heterosexual marriage, as same-sex marriage would have been unthinkable at the time (Johnson </w:t>
      </w:r>
      <w:r>
        <w:rPr>
          <w:rFonts w:ascii="Times New Roman" w:eastAsia="Times New Roman" w:hAnsi="Times New Roman" w:cs="Times New Roman"/>
          <w:sz w:val="24"/>
          <w:szCs w:val="24"/>
          <w:lang w:eastAsia="en-GB"/>
        </w:rPr>
        <w:t xml:space="preserve">‘The Choice of Wording’ </w:t>
      </w:r>
      <w:r w:rsidRPr="004D0659">
        <w:rPr>
          <w:rFonts w:ascii="Times New Roman" w:eastAsia="Times New Roman" w:hAnsi="Times New Roman" w:cs="Times New Roman"/>
          <w:sz w:val="24"/>
          <w:szCs w:val="24"/>
          <w:lang w:eastAsia="en-GB"/>
        </w:rPr>
        <w:t>2015, 220).</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Fenwick disputes the strict interpretation of the words ‘men and women’ as it could have been intended instead of excluding same-sex couples, to exclude child</w:t>
      </w:r>
      <w:r>
        <w:rPr>
          <w:rFonts w:ascii="Times New Roman" w:eastAsia="Times New Roman" w:hAnsi="Times New Roman" w:cs="Times New Roman"/>
          <w:sz w:val="24"/>
          <w:szCs w:val="24"/>
          <w:lang w:eastAsia="en-GB"/>
        </w:rPr>
        <w:t xml:space="preserve">ren from the status </w:t>
      </w:r>
      <w:r>
        <w:rPr>
          <w:rFonts w:ascii="Times New Roman" w:eastAsia="Times New Roman" w:hAnsi="Times New Roman" w:cs="Times New Roman"/>
          <w:sz w:val="24"/>
          <w:szCs w:val="24"/>
          <w:lang w:eastAsia="en-GB"/>
        </w:rPr>
        <w:lastRenderedPageBreak/>
        <w:t>of marriage (Fenwick 2016, 253).</w:t>
      </w:r>
      <w:r w:rsidRPr="004D0659">
        <w:rPr>
          <w:rFonts w:ascii="Times New Roman" w:eastAsia="Times New Roman" w:hAnsi="Times New Roman" w:cs="Times New Roman"/>
          <w:sz w:val="24"/>
          <w:szCs w:val="24"/>
          <w:lang w:eastAsia="en-GB"/>
        </w:rPr>
        <w:t xml:space="preserve">  The attitude of the ECtHR also contrasts with the decisions of progressive courts which acknowledge the necessity of law evolving over time as society changes</w:t>
      </w:r>
      <w:r w:rsidRPr="004D0659">
        <w:rPr>
          <w:rFonts w:ascii="Times New Roman" w:eastAsia="Times New Roman" w:hAnsi="Times New Roman" w:cs="Times New Roman"/>
          <w:sz w:val="24"/>
          <w:szCs w:val="24"/>
          <w:vertAlign w:val="superscript"/>
          <w:lang w:eastAsia="en-GB"/>
        </w:rPr>
        <w:endnoteReference w:id="74"/>
      </w:r>
      <w:r w:rsidRPr="004D0659">
        <w:rPr>
          <w:rFonts w:ascii="Times New Roman" w:eastAsia="Times New Roman" w:hAnsi="Times New Roman" w:cs="Times New Roman"/>
          <w:sz w:val="24"/>
          <w:szCs w:val="24"/>
          <w:lang w:eastAsia="en-GB"/>
        </w:rPr>
        <w:t xml:space="preserve"> and that the con</w:t>
      </w:r>
      <w:r>
        <w:rPr>
          <w:rFonts w:ascii="Times New Roman" w:eastAsia="Times New Roman" w:hAnsi="Times New Roman" w:cs="Times New Roman"/>
          <w:sz w:val="24"/>
          <w:szCs w:val="24"/>
          <w:lang w:eastAsia="en-GB"/>
        </w:rPr>
        <w:t>cept of marriage should not be ‘stuck in … permafrost’ (Tobin 2007).</w:t>
      </w:r>
      <w:r w:rsidRPr="004D0659">
        <w:rPr>
          <w:rFonts w:ascii="Times New Roman" w:eastAsia="Times New Roman" w:hAnsi="Times New Roman" w:cs="Times New Roman"/>
          <w:sz w:val="24"/>
          <w:szCs w:val="24"/>
          <w:lang w:eastAsia="en-GB"/>
        </w:rPr>
        <w:t xml:space="preserve"> Such a definitional argument fails to take account of the social realities of same-sex couples living together in identical </w:t>
      </w:r>
      <w:r>
        <w:rPr>
          <w:rFonts w:ascii="Times New Roman" w:eastAsia="Times New Roman" w:hAnsi="Times New Roman" w:cs="Times New Roman"/>
          <w:sz w:val="24"/>
          <w:szCs w:val="24"/>
          <w:lang w:eastAsia="en-GB"/>
        </w:rPr>
        <w:t>fashion to opposite-sex couples (Tobin 2007)</w:t>
      </w:r>
      <w:r>
        <w:rPr>
          <w:rFonts w:ascii="Times New Roman" w:eastAsia="Times New Roman" w:hAnsi="Times New Roman" w:cs="Times New Roman"/>
          <w:sz w:val="24"/>
          <w:szCs w:val="24"/>
          <w:vertAlign w:val="superscript"/>
          <w:lang w:eastAsia="en-GB"/>
        </w:rPr>
        <w:t>.</w:t>
      </w:r>
      <w:r w:rsidRPr="004D0659">
        <w:rPr>
          <w:rFonts w:ascii="Times New Roman" w:eastAsia="Times New Roman" w:hAnsi="Times New Roman" w:cs="Times New Roman"/>
          <w:sz w:val="24"/>
          <w:szCs w:val="24"/>
          <w:lang w:eastAsia="en-GB"/>
        </w:rPr>
        <w:t xml:space="preserve"> It also contrasts with the ‘living instrument’ doctrine which the ECtHR has itself developed, on the basis that human rights should be rendered ‘dynamic and evolutive’.</w:t>
      </w:r>
      <w:r w:rsidRPr="004D0659">
        <w:rPr>
          <w:rFonts w:ascii="Times New Roman" w:eastAsia="Times New Roman" w:hAnsi="Times New Roman" w:cs="Times New Roman"/>
          <w:sz w:val="24"/>
          <w:szCs w:val="24"/>
          <w:vertAlign w:val="superscript"/>
          <w:lang w:eastAsia="en-GB"/>
        </w:rPr>
        <w:endnoteReference w:id="75"/>
      </w:r>
      <w:r w:rsidRPr="004D0659">
        <w:rPr>
          <w:rFonts w:ascii="Times New Roman" w:eastAsia="Times New Roman" w:hAnsi="Times New Roman" w:cs="Times New Roman"/>
          <w:sz w:val="24"/>
          <w:szCs w:val="24"/>
          <w:lang w:eastAsia="en-GB"/>
        </w:rPr>
        <w:t xml:space="preserve"> In justifying the use of a dynamic inte</w:t>
      </w:r>
      <w:r>
        <w:rPr>
          <w:rFonts w:ascii="Times New Roman" w:eastAsia="Times New Roman" w:hAnsi="Times New Roman" w:cs="Times New Roman"/>
          <w:sz w:val="24"/>
          <w:szCs w:val="24"/>
          <w:lang w:eastAsia="en-GB"/>
        </w:rPr>
        <w:t>rpretation in many other cases,</w:t>
      </w:r>
      <w:r w:rsidRPr="004D0659">
        <w:rPr>
          <w:rFonts w:ascii="Times New Roman" w:eastAsia="Times New Roman" w:hAnsi="Times New Roman" w:cs="Times New Roman"/>
          <w:sz w:val="24"/>
          <w:szCs w:val="24"/>
          <w:lang w:eastAsia="en-GB"/>
        </w:rPr>
        <w:t xml:space="preserve"> Letsas explains that over time the ECtHR  has ‘settled on the view that lack of a clear intention on the part of the drafters is simply irrelevant when one is considering wheth</w:t>
      </w:r>
      <w:r>
        <w:rPr>
          <w:rFonts w:ascii="Times New Roman" w:eastAsia="Times New Roman" w:hAnsi="Times New Roman" w:cs="Times New Roman"/>
          <w:sz w:val="24"/>
          <w:szCs w:val="24"/>
          <w:lang w:eastAsia="en-GB"/>
        </w:rPr>
        <w:t xml:space="preserve">er to recognise a right or not’ (Letsas 2010, 518). </w:t>
      </w:r>
      <w:r w:rsidRPr="004D0659">
        <w:rPr>
          <w:rFonts w:ascii="Times New Roman" w:eastAsia="Times New Roman" w:hAnsi="Times New Roman" w:cs="Times New Roman"/>
          <w:sz w:val="24"/>
          <w:szCs w:val="24"/>
          <w:lang w:eastAsia="en-GB"/>
        </w:rPr>
        <w:t xml:space="preserve">There are many precedents where the ECtHR has demonstrated that it is prepared to move away from previous case law, where this no longer accords with modern reality. </w:t>
      </w:r>
      <w:r>
        <w:rPr>
          <w:rFonts w:ascii="Times New Roman" w:eastAsia="Times New Roman" w:hAnsi="Times New Roman" w:cs="Times New Roman"/>
          <w:sz w:val="24"/>
          <w:szCs w:val="24"/>
          <w:lang w:eastAsia="en-GB"/>
        </w:rPr>
        <w:t xml:space="preserve">Hodson </w:t>
      </w:r>
      <w:r w:rsidRPr="004D0659">
        <w:rPr>
          <w:rFonts w:ascii="Times New Roman" w:eastAsia="Times New Roman" w:hAnsi="Times New Roman" w:cs="Times New Roman"/>
          <w:sz w:val="24"/>
          <w:szCs w:val="24"/>
          <w:lang w:eastAsia="en-GB"/>
        </w:rPr>
        <w:t xml:space="preserve">cites the case of </w:t>
      </w:r>
      <w:r w:rsidRPr="008350A3">
        <w:rPr>
          <w:rFonts w:ascii="Times New Roman" w:eastAsia="Times New Roman" w:hAnsi="Times New Roman" w:cs="Times New Roman"/>
          <w:i/>
          <w:sz w:val="24"/>
          <w:szCs w:val="24"/>
          <w:lang w:eastAsia="en-GB"/>
        </w:rPr>
        <w:t>Christine Goodwin v UK</w:t>
      </w:r>
      <w:r w:rsidRPr="004D0659">
        <w:rPr>
          <w:rFonts w:ascii="Times New Roman" w:eastAsia="Times New Roman" w:hAnsi="Times New Roman" w:cs="Times New Roman"/>
          <w:sz w:val="24"/>
          <w:szCs w:val="24"/>
          <w:lang w:eastAsia="en-GB"/>
        </w:rPr>
        <w:t xml:space="preserve"> which shows the ECtHR using a transformative approach to Article 12 and its</w:t>
      </w:r>
      <w:r>
        <w:rPr>
          <w:rFonts w:ascii="Times New Roman" w:eastAsia="Times New Roman" w:hAnsi="Times New Roman" w:cs="Times New Roman"/>
          <w:sz w:val="24"/>
          <w:szCs w:val="24"/>
          <w:lang w:eastAsia="en-GB"/>
        </w:rPr>
        <w:t xml:space="preserve"> rigid language, by allowing a ‘</w:t>
      </w:r>
      <w:r w:rsidRPr="004D0659">
        <w:rPr>
          <w:rFonts w:ascii="Times New Roman" w:eastAsia="Times New Roman" w:hAnsi="Times New Roman" w:cs="Times New Roman"/>
          <w:sz w:val="24"/>
          <w:szCs w:val="24"/>
          <w:lang w:eastAsia="en-GB"/>
        </w:rPr>
        <w:t>transperson (in their own gender) to marry a</w:t>
      </w:r>
      <w:r>
        <w:rPr>
          <w:rFonts w:ascii="Times New Roman" w:eastAsia="Times New Roman" w:hAnsi="Times New Roman" w:cs="Times New Roman"/>
          <w:sz w:val="24"/>
          <w:szCs w:val="24"/>
          <w:lang w:eastAsia="en-GB"/>
        </w:rPr>
        <w:t xml:space="preserve"> person of the opposite gender</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Hodson</w:t>
      </w:r>
      <w:r>
        <w:rPr>
          <w:rFonts w:ascii="Times New Roman" w:eastAsia="Times New Roman" w:hAnsi="Times New Roman" w:cs="Times New Roman"/>
          <w:sz w:val="24"/>
          <w:szCs w:val="24"/>
          <w:lang w:eastAsia="en-GB"/>
        </w:rPr>
        <w:t xml:space="preserve"> 2011, 172).</w:t>
      </w:r>
      <w:r w:rsidRPr="004D0659">
        <w:rPr>
          <w:rFonts w:ascii="Times New Roman" w:eastAsia="Times New Roman" w:hAnsi="Times New Roman" w:cs="Times New Roman"/>
          <w:sz w:val="24"/>
          <w:szCs w:val="24"/>
          <w:vertAlign w:val="superscript"/>
          <w:lang w:eastAsia="en-GB"/>
        </w:rPr>
        <w:endnoteReference w:id="76"/>
      </w:r>
      <w:r w:rsidRPr="004D0659">
        <w:rPr>
          <w:rFonts w:ascii="Times New Roman" w:eastAsia="Times New Roman" w:hAnsi="Times New Roman" w:cs="Times New Roman"/>
          <w:sz w:val="24"/>
          <w:szCs w:val="24"/>
          <w:lang w:eastAsia="en-GB"/>
        </w:rPr>
        <w:t xml:space="preserve">  The definitional argument does therefore not offer in itself any justification for the ECtHR in refusing to extend marriage to same-sex couples. </w:t>
      </w: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A separate justification for the approach taken by the ECtHR, is that marriage should be viewed as a separate category or ‘lex specialis.’</w:t>
      </w:r>
      <w:r w:rsidRPr="004D0659">
        <w:rPr>
          <w:rStyle w:val="EndnoteReference"/>
          <w:rFonts w:ascii="Times New Roman" w:eastAsia="Times New Roman" w:hAnsi="Times New Roman" w:cs="Times New Roman"/>
          <w:sz w:val="24"/>
          <w:szCs w:val="24"/>
          <w:lang w:eastAsia="en-GB"/>
        </w:rPr>
        <w:endnoteReference w:id="77"/>
      </w:r>
      <w:r w:rsidRPr="004D0659">
        <w:rPr>
          <w:rFonts w:ascii="Times New Roman" w:eastAsia="Times New Roman" w:hAnsi="Times New Roman" w:cs="Times New Roman"/>
          <w:sz w:val="24"/>
          <w:szCs w:val="24"/>
          <w:lang w:eastAsia="en-GB"/>
        </w:rPr>
        <w:t xml:space="preserve"> The dictionary definition explains this to be a ‘law governing a specific matter.’ This means that the ‘doctrine states that the law governing a specific subject matter overrides a law th</w:t>
      </w:r>
      <w:r>
        <w:rPr>
          <w:rFonts w:ascii="Times New Roman" w:eastAsia="Times New Roman" w:hAnsi="Times New Roman" w:cs="Times New Roman"/>
          <w:sz w:val="24"/>
          <w:szCs w:val="24"/>
          <w:lang w:eastAsia="en-GB"/>
        </w:rPr>
        <w:t>at only governs general matters</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4D0659">
        <w:rPr>
          <w:rStyle w:val="EndnoteReference"/>
          <w:rFonts w:ascii="Times New Roman" w:eastAsia="Times New Roman" w:hAnsi="Times New Roman" w:cs="Times New Roman"/>
          <w:sz w:val="24"/>
          <w:szCs w:val="24"/>
          <w:lang w:eastAsia="en-GB"/>
        </w:rPr>
        <w:endnoteReference w:id="78"/>
      </w:r>
      <w:r w:rsidRPr="004D0659">
        <w:rPr>
          <w:rFonts w:ascii="Times New Roman" w:eastAsia="Times New Roman" w:hAnsi="Times New Roman" w:cs="Times New Roman"/>
          <w:sz w:val="24"/>
          <w:szCs w:val="24"/>
          <w:lang w:eastAsia="en-GB"/>
        </w:rPr>
        <w:t xml:space="preserve">  All other ECtHR case law concerning the equalisation of family rights for gays and same-sex couples under the positive development of Article 8 family life has taken place outside o</w:t>
      </w:r>
      <w:r>
        <w:rPr>
          <w:rFonts w:ascii="Times New Roman" w:eastAsia="Times New Roman" w:hAnsi="Times New Roman" w:cs="Times New Roman"/>
          <w:sz w:val="24"/>
          <w:szCs w:val="24"/>
          <w:lang w:eastAsia="en-GB"/>
        </w:rPr>
        <w:t>f the consideration of marriage (See Waaldijk 2016).</w:t>
      </w:r>
      <w:r w:rsidRPr="004D0659">
        <w:rPr>
          <w:rFonts w:ascii="Times New Roman" w:eastAsia="Times New Roman" w:hAnsi="Times New Roman" w:cs="Times New Roman"/>
          <w:sz w:val="24"/>
          <w:szCs w:val="24"/>
          <w:lang w:eastAsia="en-GB"/>
        </w:rPr>
        <w:t xml:space="preserve">  Johnson also comments that the ECtHR has </w:t>
      </w:r>
      <w:r>
        <w:rPr>
          <w:rFonts w:ascii="Times New Roman" w:eastAsia="Times New Roman" w:hAnsi="Times New Roman" w:cs="Times New Roman"/>
          <w:sz w:val="24"/>
          <w:szCs w:val="24"/>
          <w:lang w:eastAsia="en-GB"/>
        </w:rPr>
        <w:t>developed a ‘two-track approach</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(Johnson ‘Marriage, Heteronormativity’ 2015, 69).</w:t>
      </w:r>
      <w:r w:rsidRPr="004D0659">
        <w:rPr>
          <w:rFonts w:ascii="Times New Roman" w:eastAsia="Times New Roman" w:hAnsi="Times New Roman" w:cs="Times New Roman"/>
          <w:sz w:val="24"/>
          <w:szCs w:val="24"/>
          <w:lang w:eastAsia="en-GB"/>
        </w:rPr>
        <w:t xml:space="preserve"> The jurisprudence on sexual orientation discrimination issues is regarded as ‘entirel</w:t>
      </w:r>
      <w:r>
        <w:rPr>
          <w:rFonts w:ascii="Times New Roman" w:eastAsia="Times New Roman" w:hAnsi="Times New Roman" w:cs="Times New Roman"/>
          <w:sz w:val="24"/>
          <w:szCs w:val="24"/>
          <w:lang w:eastAsia="en-GB"/>
        </w:rPr>
        <w:t xml:space="preserve">y distinct’ to that of marriage </w:t>
      </w:r>
      <w:r>
        <w:rPr>
          <w:rFonts w:ascii="Times New Roman" w:eastAsia="Times New Roman" w:hAnsi="Times New Roman" w:cs="Times New Roman"/>
          <w:sz w:val="24"/>
          <w:szCs w:val="24"/>
          <w:lang w:eastAsia="en-GB"/>
        </w:rPr>
        <w:lastRenderedPageBreak/>
        <w:t xml:space="preserve">(Johnson ‘Marriage, Heteronormativity’ 2015, 69). </w:t>
      </w:r>
      <w:r w:rsidRPr="004D0659">
        <w:rPr>
          <w:rFonts w:ascii="Times New Roman" w:eastAsia="Times New Roman" w:hAnsi="Times New Roman" w:cs="Times New Roman"/>
          <w:sz w:val="24"/>
          <w:szCs w:val="24"/>
          <w:lang w:eastAsia="en-GB"/>
        </w:rPr>
        <w:t xml:space="preserve">Yet it is not explained thoroughly by the ECtHR why this should be the case. </w:t>
      </w: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One answer could mean that marriage is viewed by the ECtHR as having a special status, such that it cannot be subject to the usual detailed scrutiny.</w:t>
      </w:r>
      <w:r w:rsidRPr="004D0659">
        <w:rPr>
          <w:rFonts w:ascii="Times New Roman" w:eastAsia="Times New Roman" w:hAnsi="Times New Roman" w:cs="Times New Roman"/>
          <w:b/>
          <w:sz w:val="24"/>
          <w:szCs w:val="24"/>
          <w:lang w:eastAsia="en-GB"/>
        </w:rPr>
        <w:t xml:space="preserve"> </w:t>
      </w:r>
      <w:r w:rsidRPr="004D0659">
        <w:rPr>
          <w:rFonts w:ascii="Times New Roman" w:eastAsia="Times New Roman" w:hAnsi="Times New Roman" w:cs="Times New Roman"/>
          <w:sz w:val="24"/>
          <w:szCs w:val="24"/>
          <w:lang w:eastAsia="en-GB"/>
        </w:rPr>
        <w:t>Hodson argues t</w:t>
      </w:r>
      <w:r>
        <w:rPr>
          <w:rFonts w:ascii="Times New Roman" w:eastAsia="Times New Roman" w:hAnsi="Times New Roman" w:cs="Times New Roman"/>
          <w:sz w:val="24"/>
          <w:szCs w:val="24"/>
          <w:lang w:eastAsia="en-GB"/>
        </w:rPr>
        <w:t>hat marriage is being set apart</w:t>
      </w:r>
      <w:r w:rsidRPr="004D0659">
        <w:rPr>
          <w:rFonts w:ascii="Times New Roman" w:eastAsia="Times New Roman" w:hAnsi="Times New Roman" w:cs="Times New Roman"/>
          <w:sz w:val="24"/>
          <w:szCs w:val="24"/>
          <w:lang w:eastAsia="en-GB"/>
        </w:rPr>
        <w:t xml:space="preserve"> from the other family rights </w:t>
      </w:r>
      <w:r>
        <w:rPr>
          <w:rFonts w:ascii="Times New Roman" w:eastAsia="Times New Roman" w:hAnsi="Times New Roman" w:cs="Times New Roman"/>
          <w:sz w:val="24"/>
          <w:szCs w:val="24"/>
          <w:lang w:eastAsia="en-GB"/>
        </w:rPr>
        <w:t xml:space="preserve">and </w:t>
      </w:r>
      <w:r w:rsidRPr="004D0659">
        <w:rPr>
          <w:rFonts w:ascii="Times New Roman" w:eastAsia="Times New Roman" w:hAnsi="Times New Roman" w:cs="Times New Roman"/>
          <w:sz w:val="24"/>
          <w:szCs w:val="24"/>
          <w:lang w:eastAsia="en-GB"/>
        </w:rPr>
        <w:t>being treated as an ‘untou</w:t>
      </w:r>
      <w:r>
        <w:rPr>
          <w:rFonts w:ascii="Times New Roman" w:eastAsia="Times New Roman" w:hAnsi="Times New Roman" w:cs="Times New Roman"/>
          <w:sz w:val="24"/>
          <w:szCs w:val="24"/>
          <w:lang w:eastAsia="en-GB"/>
        </w:rPr>
        <w:t xml:space="preserve">chable, almost sacred, category’ </w:t>
      </w:r>
      <w:r w:rsidRPr="00027011">
        <w:rPr>
          <w:rFonts w:ascii="Times New Roman" w:eastAsia="Times New Roman" w:hAnsi="Times New Roman" w:cs="Times New Roman"/>
          <w:sz w:val="24"/>
          <w:szCs w:val="24"/>
          <w:lang w:eastAsia="en-GB"/>
        </w:rPr>
        <w:t>(</w:t>
      </w:r>
      <w:r w:rsidRPr="00027011">
        <w:rPr>
          <w:rFonts w:ascii="Times New Roman" w:hAnsi="Times New Roman" w:cs="Times New Roman"/>
          <w:sz w:val="24"/>
          <w:szCs w:val="24"/>
        </w:rPr>
        <w:t>Hodson 2011, 177 and see also Fenwick</w:t>
      </w:r>
      <w:r w:rsidRPr="00027011">
        <w:rPr>
          <w:rFonts w:ascii="Times New Roman" w:eastAsia="Times New Roman" w:hAnsi="Times New Roman" w:cs="Times New Roman"/>
          <w:sz w:val="24"/>
          <w:szCs w:val="24"/>
          <w:lang w:eastAsia="en-GB"/>
        </w:rPr>
        <w:t xml:space="preserve"> 2016).</w:t>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 xml:space="preserve"> In </w:t>
      </w:r>
      <w:r w:rsidRPr="004D0659">
        <w:rPr>
          <w:rFonts w:ascii="Times New Roman" w:eastAsia="Times New Roman" w:hAnsi="Times New Roman" w:cs="Times New Roman"/>
          <w:i/>
          <w:sz w:val="24"/>
          <w:szCs w:val="24"/>
          <w:lang w:eastAsia="en-GB"/>
        </w:rPr>
        <w:t>Oliari v Italy</w:t>
      </w:r>
      <w:r w:rsidRPr="004D0659">
        <w:rPr>
          <w:rFonts w:ascii="Times New Roman" w:eastAsia="Times New Roman" w:hAnsi="Times New Roman" w:cs="Times New Roman"/>
          <w:sz w:val="24"/>
          <w:szCs w:val="24"/>
          <w:lang w:eastAsia="en-GB"/>
        </w:rPr>
        <w:t xml:space="preserve">  the ECtHR refused to consider the case under Article 12 and declared the complaint on this point as ‘manifestly </w:t>
      </w:r>
      <w:r>
        <w:rPr>
          <w:rFonts w:ascii="Times New Roman" w:eastAsia="Times New Roman" w:hAnsi="Times New Roman" w:cs="Times New Roman"/>
          <w:sz w:val="24"/>
          <w:szCs w:val="24"/>
          <w:lang w:eastAsia="en-GB"/>
        </w:rPr>
        <w:t>ill-founded</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4D0659">
        <w:rPr>
          <w:rStyle w:val="EndnoteReference"/>
          <w:rFonts w:ascii="Times New Roman" w:eastAsia="Times New Roman" w:hAnsi="Times New Roman" w:cs="Times New Roman"/>
          <w:sz w:val="24"/>
          <w:szCs w:val="24"/>
          <w:lang w:eastAsia="en-GB"/>
        </w:rPr>
        <w:endnoteReference w:id="79"/>
      </w:r>
      <w:r w:rsidRPr="004D0659">
        <w:rPr>
          <w:rFonts w:ascii="Times New Roman" w:eastAsia="Times New Roman" w:hAnsi="Times New Roman" w:cs="Times New Roman"/>
          <w:sz w:val="24"/>
          <w:szCs w:val="24"/>
          <w:lang w:eastAsia="en-GB"/>
        </w:rPr>
        <w:t xml:space="preserve"> This can be seen as a  ‘retrograde step’ by the ECtHR and a strengthening of its attitude in refusing to consider</w:t>
      </w:r>
      <w:r>
        <w:rPr>
          <w:rFonts w:ascii="Times New Roman" w:eastAsia="Times New Roman" w:hAnsi="Times New Roman" w:cs="Times New Roman"/>
          <w:sz w:val="24"/>
          <w:szCs w:val="24"/>
          <w:lang w:eastAsia="en-GB"/>
        </w:rPr>
        <w:t xml:space="preserve"> any right to same-sex marriage (Hayward 2016, 30 and Fenwick 2016). </w:t>
      </w:r>
      <w:r w:rsidRPr="004D0659">
        <w:rPr>
          <w:rFonts w:ascii="Times New Roman" w:eastAsia="Times New Roman" w:hAnsi="Times New Roman" w:cs="Times New Roman"/>
          <w:sz w:val="24"/>
          <w:szCs w:val="24"/>
          <w:lang w:eastAsia="en-GB"/>
        </w:rPr>
        <w:t xml:space="preserve">Again in </w:t>
      </w:r>
      <w:r w:rsidRPr="004D0659">
        <w:rPr>
          <w:rFonts w:ascii="Times New Roman" w:eastAsia="Times New Roman" w:hAnsi="Times New Roman" w:cs="Times New Roman"/>
          <w:i/>
          <w:sz w:val="24"/>
          <w:szCs w:val="24"/>
          <w:lang w:eastAsia="en-GB"/>
        </w:rPr>
        <w:t>Chapin and Charpentier v France</w:t>
      </w:r>
      <w:r w:rsidRPr="004D0659">
        <w:rPr>
          <w:rFonts w:ascii="Times New Roman" w:eastAsia="Times New Roman" w:hAnsi="Times New Roman" w:cs="Times New Roman"/>
          <w:sz w:val="24"/>
          <w:szCs w:val="24"/>
          <w:lang w:eastAsia="en-GB"/>
        </w:rPr>
        <w:t xml:space="preserve"> no violation of Article 12 was found.</w:t>
      </w:r>
      <w:r>
        <w:rPr>
          <w:rStyle w:val="EndnoteReference"/>
          <w:rFonts w:ascii="Times New Roman" w:eastAsia="Times New Roman" w:hAnsi="Times New Roman" w:cs="Times New Roman"/>
          <w:sz w:val="24"/>
          <w:szCs w:val="24"/>
          <w:lang w:eastAsia="en-GB"/>
        </w:rPr>
        <w:endnoteReference w:id="80"/>
      </w:r>
      <w:r w:rsidRPr="004D0659">
        <w:rPr>
          <w:rFonts w:ascii="Times New Roman" w:eastAsia="Times New Roman" w:hAnsi="Times New Roman" w:cs="Times New Roman"/>
          <w:sz w:val="24"/>
          <w:szCs w:val="24"/>
          <w:lang w:eastAsia="en-GB"/>
        </w:rPr>
        <w:t xml:space="preserve"> The approach of the ECtHR can be greatly criticised. As stated earlier the ECtHR appears to be continuing to promote a heterosexual view of marriage.</w:t>
      </w:r>
      <w:r w:rsidRPr="004D0659">
        <w:rPr>
          <w:rStyle w:val="EndnoteReference"/>
          <w:rFonts w:ascii="Times New Roman" w:eastAsia="Times New Roman" w:hAnsi="Times New Roman" w:cs="Times New Roman"/>
          <w:sz w:val="24"/>
          <w:szCs w:val="24"/>
          <w:lang w:eastAsia="en-GB"/>
        </w:rPr>
        <w:endnoteReference w:id="81"/>
      </w:r>
      <w:r w:rsidRPr="004D0659">
        <w:rPr>
          <w:rFonts w:ascii="Times New Roman" w:eastAsia="Times New Roman" w:hAnsi="Times New Roman" w:cs="Times New Roman"/>
          <w:sz w:val="24"/>
          <w:szCs w:val="24"/>
          <w:lang w:eastAsia="en-GB"/>
        </w:rPr>
        <w:t xml:space="preserve"> At present in treating marriage as fundamentally different from the rest of the family law case law involving sex</w:t>
      </w:r>
      <w:r>
        <w:rPr>
          <w:rFonts w:ascii="Times New Roman" w:eastAsia="Times New Roman" w:hAnsi="Times New Roman" w:cs="Times New Roman"/>
          <w:sz w:val="24"/>
          <w:szCs w:val="24"/>
          <w:lang w:eastAsia="en-GB"/>
        </w:rPr>
        <w:t>ualities, Grigolo notes that a ‘</w:t>
      </w:r>
      <w:r w:rsidRPr="004D0659">
        <w:rPr>
          <w:rFonts w:ascii="Times New Roman" w:eastAsia="Times New Roman" w:hAnsi="Times New Roman" w:cs="Times New Roman"/>
          <w:sz w:val="24"/>
          <w:szCs w:val="24"/>
          <w:lang w:eastAsia="en-GB"/>
        </w:rPr>
        <w:t>struc</w:t>
      </w:r>
      <w:r>
        <w:rPr>
          <w:rFonts w:ascii="Times New Roman" w:eastAsia="Times New Roman" w:hAnsi="Times New Roman" w:cs="Times New Roman"/>
          <w:sz w:val="24"/>
          <w:szCs w:val="24"/>
          <w:lang w:eastAsia="en-GB"/>
        </w:rPr>
        <w:t>tural problem has been created’ (Grigolo 2003, 2040). In</w:t>
      </w:r>
      <w:r w:rsidRPr="004D0659">
        <w:rPr>
          <w:rFonts w:ascii="Times New Roman" w:eastAsia="Times New Roman" w:hAnsi="Times New Roman" w:cs="Times New Roman"/>
          <w:sz w:val="24"/>
          <w:szCs w:val="24"/>
          <w:lang w:eastAsia="en-GB"/>
        </w:rPr>
        <w:t xml:space="preserve"> relation to art</w:t>
      </w:r>
      <w:r>
        <w:rPr>
          <w:rFonts w:ascii="Times New Roman" w:eastAsia="Times New Roman" w:hAnsi="Times New Roman" w:cs="Times New Roman"/>
          <w:sz w:val="24"/>
          <w:szCs w:val="24"/>
          <w:lang w:eastAsia="en-GB"/>
        </w:rPr>
        <w:t>icle 8 there is a principle of ‘</w:t>
      </w:r>
      <w:r w:rsidRPr="004D0659">
        <w:rPr>
          <w:rFonts w:ascii="Times New Roman" w:eastAsia="Times New Roman" w:hAnsi="Times New Roman" w:cs="Times New Roman"/>
          <w:sz w:val="24"/>
          <w:szCs w:val="24"/>
          <w:lang w:eastAsia="en-GB"/>
        </w:rPr>
        <w:t>equalit</w:t>
      </w:r>
      <w:r>
        <w:rPr>
          <w:rFonts w:ascii="Times New Roman" w:eastAsia="Times New Roman" w:hAnsi="Times New Roman" w:cs="Times New Roman"/>
          <w:sz w:val="24"/>
          <w:szCs w:val="24"/>
          <w:lang w:eastAsia="en-GB"/>
        </w:rPr>
        <w:t>y of familial</w:t>
      </w:r>
      <w:r w:rsidRPr="004D0659">
        <w:rPr>
          <w:rFonts w:ascii="Times New Roman" w:eastAsia="Times New Roman" w:hAnsi="Times New Roman" w:cs="Times New Roman"/>
          <w:sz w:val="24"/>
          <w:szCs w:val="24"/>
          <w:lang w:eastAsia="en-GB"/>
        </w:rPr>
        <w:t xml:space="preserve"> choices</w:t>
      </w:r>
      <w:r>
        <w:rPr>
          <w:rFonts w:ascii="Times New Roman" w:eastAsia="Calibri" w:hAnsi="Times New Roman" w:cs="Times New Roman"/>
          <w:sz w:val="24"/>
          <w:szCs w:val="24"/>
        </w:rPr>
        <w:t>’</w:t>
      </w:r>
      <w:r w:rsidRPr="004D0659">
        <w:rPr>
          <w:rFonts w:ascii="Times New Roman" w:eastAsia="Calibri" w:hAnsi="Times New Roman" w:cs="Times New Roman"/>
          <w:sz w:val="24"/>
          <w:szCs w:val="24"/>
        </w:rPr>
        <w:t xml:space="preserve"> and y</w:t>
      </w:r>
      <w:r>
        <w:rPr>
          <w:rFonts w:ascii="Times New Roman" w:eastAsia="Calibri" w:hAnsi="Times New Roman" w:cs="Times New Roman"/>
          <w:sz w:val="24"/>
          <w:szCs w:val="24"/>
        </w:rPr>
        <w:t>et in relation to Article 12 a ‘specific choice’ is secured (Grigolo 2003, 1040).</w:t>
      </w:r>
      <w:r w:rsidRPr="004D0659">
        <w:rPr>
          <w:rFonts w:ascii="Times New Roman" w:eastAsia="Calibri" w:hAnsi="Times New Roman" w:cs="Times New Roman"/>
          <w:sz w:val="24"/>
          <w:szCs w:val="24"/>
        </w:rPr>
        <w:t xml:space="preserve"> </w:t>
      </w:r>
      <w:r w:rsidRPr="004D0659">
        <w:rPr>
          <w:rFonts w:ascii="Times New Roman" w:eastAsia="Times New Roman" w:hAnsi="Times New Roman" w:cs="Times New Roman"/>
          <w:sz w:val="24"/>
          <w:szCs w:val="24"/>
          <w:lang w:eastAsia="en-GB"/>
        </w:rPr>
        <w:t xml:space="preserve">By not even entertaining any comparisons to non-married couples, the ECtHR does not allow of any immediate hope of a recognition of same-sex marriage under Article 12. </w:t>
      </w: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sidRPr="004D0659">
        <w:rPr>
          <w:rFonts w:ascii="Times New Roman" w:eastAsia="Times New Roman" w:hAnsi="Times New Roman" w:cs="Times New Roman"/>
          <w:sz w:val="24"/>
          <w:szCs w:val="24"/>
          <w:lang w:eastAsia="en-GB"/>
        </w:rPr>
        <w:t>It needs to be explored in further detail as to why marriage is given such a sacred special status by the ECtHR. One explanation could be bec</w:t>
      </w:r>
      <w:r>
        <w:rPr>
          <w:rFonts w:ascii="Times New Roman" w:eastAsia="Times New Roman" w:hAnsi="Times New Roman" w:cs="Times New Roman"/>
          <w:sz w:val="24"/>
          <w:szCs w:val="24"/>
          <w:lang w:eastAsia="en-GB"/>
        </w:rPr>
        <w:t>ause marriage</w:t>
      </w:r>
      <w:r w:rsidRPr="004D0659">
        <w:rPr>
          <w:rFonts w:ascii="Times New Roman" w:eastAsia="Times New Roman" w:hAnsi="Times New Roman" w:cs="Times New Roman"/>
          <w:sz w:val="24"/>
          <w:szCs w:val="24"/>
          <w:lang w:eastAsia="en-GB"/>
        </w:rPr>
        <w:t xml:space="preserve"> is seen</w:t>
      </w:r>
      <w:r>
        <w:rPr>
          <w:rFonts w:ascii="Times New Roman" w:eastAsia="Times New Roman" w:hAnsi="Times New Roman" w:cs="Times New Roman"/>
          <w:sz w:val="24"/>
          <w:szCs w:val="24"/>
          <w:lang w:eastAsia="en-GB"/>
        </w:rPr>
        <w:t xml:space="preserve"> by the ECtHR</w:t>
      </w:r>
      <w:r w:rsidRPr="004D0659">
        <w:rPr>
          <w:rFonts w:ascii="Times New Roman" w:eastAsia="Times New Roman" w:hAnsi="Times New Roman" w:cs="Times New Roman"/>
          <w:sz w:val="24"/>
          <w:szCs w:val="24"/>
          <w:lang w:eastAsia="en-GB"/>
        </w:rPr>
        <w:t xml:space="preserve"> as a moral or religious right</w:t>
      </w:r>
      <w:r>
        <w:rPr>
          <w:rFonts w:ascii="Times New Roman" w:eastAsia="Times New Roman" w:hAnsi="Times New Roman" w:cs="Times New Roman"/>
          <w:sz w:val="24"/>
          <w:szCs w:val="24"/>
          <w:lang w:eastAsia="en-GB"/>
        </w:rPr>
        <w:t>, meaning that it should have a minimal role in regulation (Miller 2005, 2186 and Bradley 2003)</w:t>
      </w:r>
      <w:r w:rsidRPr="004D0659">
        <w:rPr>
          <w:rFonts w:ascii="Times New Roman" w:eastAsia="Times New Roman" w:hAnsi="Times New Roman" w:cs="Times New Roman"/>
          <w:sz w:val="24"/>
          <w:szCs w:val="24"/>
          <w:lang w:eastAsia="en-GB"/>
        </w:rPr>
        <w:t>. Brauch notes that ‘particularly in the area of</w:t>
      </w:r>
      <w:r>
        <w:rPr>
          <w:rFonts w:ascii="Times New Roman" w:eastAsia="Times New Roman" w:hAnsi="Times New Roman" w:cs="Times New Roman"/>
          <w:sz w:val="24"/>
          <w:szCs w:val="24"/>
          <w:lang w:eastAsia="en-GB"/>
        </w:rPr>
        <w:t xml:space="preserve"> morals’ wide margins are given (Brauch 2004-2005, 119). </w:t>
      </w:r>
      <w:r w:rsidRPr="004D0659">
        <w:rPr>
          <w:rFonts w:ascii="Times New Roman" w:eastAsia="Times New Roman" w:hAnsi="Times New Roman" w:cs="Times New Roman"/>
          <w:sz w:val="24"/>
          <w:szCs w:val="24"/>
          <w:lang w:eastAsia="en-GB"/>
        </w:rPr>
        <w:t xml:space="preserve">Even if it were correct to review marriage </w:t>
      </w:r>
      <w:r>
        <w:rPr>
          <w:rFonts w:ascii="Times New Roman" w:eastAsia="Times New Roman" w:hAnsi="Times New Roman" w:cs="Times New Roman"/>
          <w:sz w:val="24"/>
          <w:szCs w:val="24"/>
          <w:lang w:eastAsia="en-GB"/>
        </w:rPr>
        <w:t>as primarily a religious right,</w:t>
      </w:r>
      <w:r w:rsidRPr="004D0659">
        <w:rPr>
          <w:rFonts w:ascii="Times New Roman" w:eastAsia="Times New Roman" w:hAnsi="Times New Roman" w:cs="Times New Roman"/>
          <w:sz w:val="24"/>
          <w:szCs w:val="24"/>
          <w:lang w:eastAsia="en-GB"/>
        </w:rPr>
        <w:t xml:space="preserve"> it is not always easy to pinpoint why the ECtHR need be so deferential in the area of religion</w:t>
      </w:r>
      <w:r>
        <w:rPr>
          <w:rFonts w:ascii="Times New Roman" w:eastAsia="Times New Roman" w:hAnsi="Times New Roman" w:cs="Times New Roman"/>
          <w:sz w:val="24"/>
          <w:szCs w:val="24"/>
          <w:lang w:eastAsia="en-GB"/>
        </w:rPr>
        <w:t xml:space="preserve"> (Lewis 2007, 396). </w:t>
      </w:r>
      <w:r w:rsidRPr="004D0659">
        <w:rPr>
          <w:rFonts w:ascii="Times New Roman" w:eastAsia="Times New Roman" w:hAnsi="Times New Roman" w:cs="Times New Roman"/>
          <w:sz w:val="24"/>
          <w:szCs w:val="24"/>
          <w:lang w:eastAsia="en-GB"/>
        </w:rPr>
        <w:t xml:space="preserve">There are also specific difficulties with </w:t>
      </w:r>
      <w:r>
        <w:rPr>
          <w:rFonts w:ascii="Times New Roman" w:eastAsia="Times New Roman" w:hAnsi="Times New Roman" w:cs="Times New Roman"/>
          <w:sz w:val="24"/>
          <w:szCs w:val="24"/>
          <w:lang w:eastAsia="en-GB"/>
        </w:rPr>
        <w:t xml:space="preserve">the ECtHR </w:t>
      </w:r>
      <w:r w:rsidRPr="004D0659">
        <w:rPr>
          <w:rFonts w:ascii="Times New Roman" w:eastAsia="Times New Roman" w:hAnsi="Times New Roman" w:cs="Times New Roman"/>
          <w:sz w:val="24"/>
          <w:szCs w:val="24"/>
          <w:lang w:eastAsia="en-GB"/>
        </w:rPr>
        <w:t xml:space="preserve">regarding </w:t>
      </w:r>
      <w:r w:rsidRPr="004D0659">
        <w:rPr>
          <w:rFonts w:ascii="Times New Roman" w:eastAsia="Times New Roman" w:hAnsi="Times New Roman" w:cs="Times New Roman"/>
          <w:sz w:val="24"/>
          <w:szCs w:val="24"/>
          <w:lang w:eastAsia="en-GB"/>
        </w:rPr>
        <w:lastRenderedPageBreak/>
        <w:t xml:space="preserve">marriage as a religious right.  </w:t>
      </w:r>
      <w:r>
        <w:rPr>
          <w:rFonts w:ascii="Times New Roman" w:eastAsia="Times New Roman" w:hAnsi="Times New Roman" w:cs="Times New Roman"/>
          <w:sz w:val="24"/>
          <w:szCs w:val="24"/>
          <w:lang w:eastAsia="en-GB"/>
        </w:rPr>
        <w:t xml:space="preserve">Sachs J in the South African Constitutional Court case of </w:t>
      </w:r>
      <w:r w:rsidRPr="00FF6000">
        <w:rPr>
          <w:rFonts w:ascii="Times New Roman" w:eastAsia="Times New Roman" w:hAnsi="Times New Roman" w:cs="Times New Roman"/>
          <w:i/>
          <w:sz w:val="24"/>
          <w:szCs w:val="24"/>
          <w:lang w:eastAsia="en-GB"/>
        </w:rPr>
        <w:t>Fourie</w:t>
      </w:r>
      <w:r>
        <w:rPr>
          <w:rFonts w:ascii="Times New Roman" w:eastAsia="Times New Roman" w:hAnsi="Times New Roman" w:cs="Times New Roman"/>
          <w:sz w:val="24"/>
          <w:szCs w:val="24"/>
          <w:lang w:eastAsia="en-GB"/>
        </w:rPr>
        <w:t xml:space="preserve"> explains that ‘[m</w:t>
      </w:r>
      <w:r>
        <w:rPr>
          <w:rFonts w:ascii="TimesNewRomanPSMT" w:hAnsi="TimesNewRomanPSMT" w:cs="TimesNewRomanPSMT"/>
          <w:sz w:val="24"/>
          <w:szCs w:val="24"/>
        </w:rPr>
        <w:t>]any may see a religious</w:t>
      </w:r>
      <w:r>
        <w:rPr>
          <w:rFonts w:ascii="Times New Roman" w:eastAsia="Times New Roman" w:hAnsi="Times New Roman" w:cs="Times New Roman"/>
          <w:sz w:val="24"/>
          <w:szCs w:val="24"/>
          <w:lang w:eastAsia="en-GB"/>
        </w:rPr>
        <w:t xml:space="preserve"> </w:t>
      </w:r>
      <w:r>
        <w:rPr>
          <w:rFonts w:ascii="TimesNewRomanPSMT" w:hAnsi="TimesNewRomanPSMT" w:cs="TimesNewRomanPSMT"/>
          <w:sz w:val="24"/>
          <w:szCs w:val="24"/>
        </w:rPr>
        <w:t>dimension to marriage, but this is not something that the law is concerned with.’</w:t>
      </w:r>
      <w:r>
        <w:rPr>
          <w:rStyle w:val="EndnoteReference"/>
          <w:rFonts w:ascii="TimesNewRomanPSMT" w:hAnsi="TimesNewRomanPSMT" w:cs="TimesNewRomanPSMT"/>
          <w:sz w:val="24"/>
          <w:szCs w:val="24"/>
        </w:rPr>
        <w:endnoteReference w:id="82"/>
      </w:r>
      <w:r>
        <w:rPr>
          <w:rFonts w:ascii="TimesNewRomanPSMT" w:hAnsi="TimesNewRomanPSMT" w:cs="TimesNewRomanPSMT"/>
          <w:sz w:val="24"/>
          <w:szCs w:val="24"/>
        </w:rPr>
        <w:t xml:space="preserve"> Civil marriage is largely about a ‘set of legal protections and benefits’</w:t>
      </w:r>
      <w:r>
        <w:rPr>
          <w:rFonts w:ascii="Times New Roman" w:eastAsia="Times New Roman" w:hAnsi="Times New Roman" w:cs="Times New Roman"/>
          <w:sz w:val="24"/>
          <w:szCs w:val="24"/>
          <w:lang w:eastAsia="en-GB"/>
        </w:rPr>
        <w:t xml:space="preserve"> (Miller 2005, 2186).</w:t>
      </w:r>
      <w:r w:rsidRPr="004D0659">
        <w:rPr>
          <w:rFonts w:ascii="Times New Roman" w:eastAsia="Times New Roman" w:hAnsi="Times New Roman" w:cs="Times New Roman"/>
          <w:sz w:val="24"/>
          <w:szCs w:val="24"/>
          <w:vertAlign w:val="superscript"/>
          <w:lang w:eastAsia="en-GB"/>
        </w:rPr>
        <w:endnoteReference w:id="83"/>
      </w:r>
      <w:r>
        <w:rPr>
          <w:rFonts w:ascii="Times New Roman" w:eastAsia="Times New Roman" w:hAnsi="Times New Roman" w:cs="Times New Roman"/>
          <w:sz w:val="24"/>
          <w:szCs w:val="24"/>
          <w:lang w:eastAsia="en-GB"/>
        </w:rPr>
        <w:t xml:space="preserve"> </w:t>
      </w:r>
      <w:r w:rsidRPr="004D0659">
        <w:rPr>
          <w:rFonts w:ascii="Times New Roman" w:eastAsia="Times New Roman" w:hAnsi="Times New Roman" w:cs="Times New Roman"/>
          <w:sz w:val="24"/>
          <w:szCs w:val="24"/>
          <w:lang w:eastAsia="en-GB"/>
        </w:rPr>
        <w:t>Civil marriage needs to be differentiated from the religious concept. Bradley also concludes that ‘in a secular society, it becomes increasingly difficult to justify restrictions on marital capac</w:t>
      </w:r>
      <w:r>
        <w:rPr>
          <w:rFonts w:ascii="Times New Roman" w:eastAsia="Times New Roman" w:hAnsi="Times New Roman" w:cs="Times New Roman"/>
          <w:sz w:val="24"/>
          <w:szCs w:val="24"/>
          <w:lang w:eastAsia="en-GB"/>
        </w:rPr>
        <w:t>ity, founded on Church doctrine</w:t>
      </w:r>
      <w:r w:rsidRPr="004D065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(Bradley 2003, 130).</w:t>
      </w:r>
      <w:r w:rsidRPr="004D0659">
        <w:rPr>
          <w:rFonts w:ascii="Times New Roman" w:eastAsia="Times New Roman" w:hAnsi="Times New Roman" w:cs="Times New Roman"/>
          <w:sz w:val="24"/>
          <w:szCs w:val="24"/>
          <w:lang w:eastAsia="en-GB"/>
        </w:rPr>
        <w:t xml:space="preserve"> If we move away from the religious or moral </w:t>
      </w:r>
      <w:r>
        <w:rPr>
          <w:rFonts w:ascii="Times New Roman" w:eastAsia="Times New Roman" w:hAnsi="Times New Roman" w:cs="Times New Roman"/>
          <w:sz w:val="24"/>
          <w:szCs w:val="24"/>
          <w:lang w:eastAsia="en-GB"/>
        </w:rPr>
        <w:t xml:space="preserve">or religious </w:t>
      </w:r>
      <w:r w:rsidRPr="004D0659">
        <w:rPr>
          <w:rFonts w:ascii="Times New Roman" w:eastAsia="Times New Roman" w:hAnsi="Times New Roman" w:cs="Times New Roman"/>
          <w:sz w:val="24"/>
          <w:szCs w:val="24"/>
          <w:lang w:eastAsia="en-GB"/>
        </w:rPr>
        <w:t xml:space="preserve">reading of marriage, it becomes much more difficult to justify the wide MoA reserved to marriage. </w:t>
      </w:r>
    </w:p>
    <w:p w:rsidR="00783683" w:rsidRPr="004D0659" w:rsidRDefault="00783683" w:rsidP="00783683">
      <w:pPr>
        <w:spacing w:after="200" w:line="480" w:lineRule="auto"/>
        <w:jc w:val="both"/>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Yet </w:t>
      </w:r>
      <w:r w:rsidRPr="004D0659">
        <w:rPr>
          <w:rFonts w:ascii="Times New Roman" w:eastAsia="Times New Roman" w:hAnsi="Times New Roman" w:cs="Times New Roman"/>
          <w:sz w:val="24"/>
          <w:szCs w:val="24"/>
          <w:lang w:eastAsia="en-GB"/>
        </w:rPr>
        <w:t>Article 12 as interpreted by the ECtHR at present seems to be an unpromising line to pursue. However, the developing equality concept</w:t>
      </w:r>
      <w:r w:rsidRPr="004D0659">
        <w:rPr>
          <w:rFonts w:ascii="Times New Roman" w:eastAsia="Times New Roman" w:hAnsi="Times New Roman" w:cs="Times New Roman"/>
          <w:sz w:val="24"/>
          <w:szCs w:val="24"/>
          <w:vertAlign w:val="superscript"/>
          <w:lang w:eastAsia="en-GB"/>
        </w:rPr>
        <w:endnoteReference w:id="84"/>
      </w:r>
      <w:r w:rsidRPr="004D0659">
        <w:rPr>
          <w:rFonts w:ascii="Times New Roman" w:eastAsia="Times New Roman" w:hAnsi="Times New Roman" w:cs="Times New Roman"/>
          <w:sz w:val="24"/>
          <w:szCs w:val="24"/>
          <w:lang w:eastAsia="en-GB"/>
        </w:rPr>
        <w:t xml:space="preserve"> and the evolving nature of the family case law concerning same-sex couples under Article 8</w:t>
      </w:r>
      <w:r>
        <w:rPr>
          <w:rStyle w:val="EndnoteReference"/>
          <w:rFonts w:ascii="Times New Roman" w:eastAsia="Times New Roman" w:hAnsi="Times New Roman" w:cs="Times New Roman"/>
          <w:sz w:val="24"/>
          <w:szCs w:val="24"/>
          <w:lang w:eastAsia="en-GB"/>
        </w:rPr>
        <w:endnoteReference w:id="85"/>
      </w:r>
      <w:r w:rsidRPr="004D0659">
        <w:rPr>
          <w:rFonts w:ascii="Times New Roman" w:eastAsia="Times New Roman" w:hAnsi="Times New Roman" w:cs="Times New Roman"/>
          <w:sz w:val="24"/>
          <w:szCs w:val="24"/>
          <w:lang w:eastAsia="en-GB"/>
        </w:rPr>
        <w:t xml:space="preserve"> could lead to a dynamic interpretation of Article 12.  In reality, the ECtHR can never divorce its legal jurisprudence from the actual realities of public attitudes across Europe. Ultimately as Johnson states the ‘implicit motivating principle’ in </w:t>
      </w:r>
      <w:r>
        <w:rPr>
          <w:rFonts w:ascii="Times New Roman" w:eastAsia="Times New Roman" w:hAnsi="Times New Roman" w:cs="Times New Roman"/>
          <w:sz w:val="24"/>
          <w:szCs w:val="24"/>
          <w:lang w:eastAsia="en-GB"/>
        </w:rPr>
        <w:t xml:space="preserve">relation to the interpretation of article 12, is that allowing same-sex couples to marry is currently regarded as a ‘step too far’ bearing in mind the cultural conditions across Europe. (Johnson ‘Marriage, Heteronormativity’ 2015, 71). </w:t>
      </w:r>
      <w:r w:rsidRPr="004D0659">
        <w:rPr>
          <w:rFonts w:ascii="Times New Roman" w:eastAsia="Times New Roman" w:hAnsi="Times New Roman" w:cs="Times New Roman"/>
          <w:sz w:val="24"/>
          <w:szCs w:val="24"/>
          <w:lang w:eastAsia="en-GB"/>
        </w:rPr>
        <w:t xml:space="preserve">In </w:t>
      </w:r>
      <w:r w:rsidRPr="007814F9">
        <w:rPr>
          <w:rFonts w:ascii="Times New Roman" w:eastAsia="Times New Roman" w:hAnsi="Times New Roman" w:cs="Times New Roman"/>
          <w:i/>
          <w:sz w:val="24"/>
          <w:szCs w:val="24"/>
          <w:lang w:eastAsia="en-GB"/>
        </w:rPr>
        <w:t>Schalk and Kopf v Austria</w:t>
      </w:r>
      <w:r w:rsidRPr="004D0659">
        <w:rPr>
          <w:rFonts w:ascii="Times New Roman" w:eastAsia="Times New Roman" w:hAnsi="Times New Roman" w:cs="Times New Roman"/>
          <w:sz w:val="24"/>
          <w:szCs w:val="24"/>
          <w:lang w:eastAsia="en-GB"/>
        </w:rPr>
        <w:t xml:space="preserve"> the ECtHR was careful to refer to the ‘deep-rooted social and cultural connotations’ of marriage, which national authorities a</w:t>
      </w:r>
      <w:r>
        <w:rPr>
          <w:rFonts w:ascii="Times New Roman" w:eastAsia="Times New Roman" w:hAnsi="Times New Roman" w:cs="Times New Roman"/>
          <w:sz w:val="24"/>
          <w:szCs w:val="24"/>
          <w:lang w:eastAsia="en-GB"/>
        </w:rPr>
        <w:t>re in the best place to assess.</w:t>
      </w:r>
      <w:r>
        <w:rPr>
          <w:rStyle w:val="EndnoteReference"/>
          <w:rFonts w:ascii="Times New Roman" w:eastAsia="Times New Roman" w:hAnsi="Times New Roman" w:cs="Times New Roman"/>
          <w:sz w:val="24"/>
          <w:szCs w:val="24"/>
          <w:lang w:eastAsia="en-GB"/>
        </w:rPr>
        <w:endnoteReference w:id="86"/>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w:t>
      </w:r>
      <w:r w:rsidRPr="004D0659">
        <w:rPr>
          <w:rFonts w:ascii="Times New Roman" w:eastAsia="Times New Roman" w:hAnsi="Times New Roman" w:cs="Times New Roman"/>
          <w:sz w:val="24"/>
          <w:szCs w:val="24"/>
          <w:lang w:eastAsia="en-GB"/>
        </w:rPr>
        <w:t xml:space="preserve"> ECTHR </w:t>
      </w:r>
      <w:r>
        <w:rPr>
          <w:rFonts w:ascii="Times New Roman" w:eastAsia="Times New Roman" w:hAnsi="Times New Roman" w:cs="Times New Roman"/>
          <w:sz w:val="24"/>
          <w:szCs w:val="24"/>
          <w:lang w:eastAsia="en-GB"/>
        </w:rPr>
        <w:t>continues to emphasise lack</w:t>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of </w:t>
      </w:r>
      <w:r w:rsidRPr="004D0659">
        <w:rPr>
          <w:rFonts w:ascii="Times New Roman" w:eastAsia="Times New Roman" w:hAnsi="Times New Roman" w:cs="Times New Roman"/>
          <w:sz w:val="24"/>
          <w:szCs w:val="24"/>
          <w:lang w:eastAsia="en-GB"/>
        </w:rPr>
        <w:t>consensus in these cases.</w:t>
      </w:r>
      <w:r>
        <w:rPr>
          <w:rStyle w:val="EndnoteReference"/>
          <w:rFonts w:ascii="Times New Roman" w:eastAsia="Times New Roman" w:hAnsi="Times New Roman" w:cs="Times New Roman"/>
          <w:sz w:val="24"/>
          <w:szCs w:val="24"/>
          <w:lang w:eastAsia="en-GB"/>
        </w:rPr>
        <w:endnoteReference w:id="87"/>
      </w:r>
      <w:r w:rsidRPr="004D0659">
        <w:rPr>
          <w:rFonts w:ascii="Times New Roman" w:eastAsia="Times New Roman" w:hAnsi="Times New Roman" w:cs="Times New Roman"/>
          <w:sz w:val="24"/>
          <w:szCs w:val="24"/>
          <w:lang w:eastAsia="en-GB"/>
        </w:rPr>
        <w:t xml:space="preserve"> Perhaps this is necessary to ensure that the ECtHR retains the respect of all its Member States and ensures that its judgements are enforced. </w:t>
      </w:r>
      <w:r>
        <w:rPr>
          <w:rFonts w:ascii="Times New Roman" w:eastAsia="Times New Roman" w:hAnsi="Times New Roman" w:cs="Times New Roman"/>
          <w:sz w:val="24"/>
          <w:szCs w:val="24"/>
          <w:lang w:eastAsia="en-GB"/>
        </w:rPr>
        <w:t>An</w:t>
      </w:r>
      <w:r w:rsidRPr="004D0659">
        <w:rPr>
          <w:rFonts w:ascii="Times New Roman" w:eastAsia="Times New Roman" w:hAnsi="Times New Roman" w:cs="Times New Roman"/>
          <w:sz w:val="24"/>
          <w:szCs w:val="24"/>
          <w:lang w:eastAsia="en-GB"/>
        </w:rPr>
        <w:t xml:space="preserve"> incremental, or step-by-</w:t>
      </w:r>
      <w:r>
        <w:rPr>
          <w:rFonts w:ascii="Times New Roman" w:eastAsia="Times New Roman" w:hAnsi="Times New Roman" w:cs="Times New Roman"/>
          <w:sz w:val="24"/>
          <w:szCs w:val="24"/>
          <w:lang w:eastAsia="en-GB"/>
        </w:rPr>
        <w:t>step approach by the ECtHR is to be welcomed. I</w:t>
      </w:r>
      <w:r w:rsidRPr="004D0659">
        <w:rPr>
          <w:rFonts w:ascii="Times New Roman" w:eastAsia="Times New Roman" w:hAnsi="Times New Roman" w:cs="Times New Roman"/>
          <w:sz w:val="24"/>
          <w:szCs w:val="24"/>
          <w:lang w:eastAsia="en-GB"/>
        </w:rPr>
        <w:t xml:space="preserve">t is </w:t>
      </w:r>
      <w:r>
        <w:rPr>
          <w:rFonts w:ascii="Times New Roman" w:eastAsia="Times New Roman" w:hAnsi="Times New Roman" w:cs="Times New Roman"/>
          <w:sz w:val="24"/>
          <w:szCs w:val="24"/>
          <w:lang w:eastAsia="en-GB"/>
        </w:rPr>
        <w:t xml:space="preserve">more </w:t>
      </w:r>
      <w:r w:rsidRPr="004D0659">
        <w:rPr>
          <w:rFonts w:ascii="Times New Roman" w:eastAsia="Times New Roman" w:hAnsi="Times New Roman" w:cs="Times New Roman"/>
          <w:sz w:val="24"/>
          <w:szCs w:val="24"/>
          <w:lang w:eastAsia="en-GB"/>
        </w:rPr>
        <w:t xml:space="preserve">likely to result in lasting change, without any backlash in public opinion, which could ultimately retard the cause sought to be advanced. Ultimately once a consensus has developed, and there are a majority of Member States supporting same-sex marriage, the ECtHR has the tools in its jurisprudence to move forward on this issue. It is likely that Article 14 (equality) would be </w:t>
      </w:r>
      <w:r w:rsidRPr="004D0659">
        <w:rPr>
          <w:rFonts w:ascii="Times New Roman" w:eastAsia="Times New Roman" w:hAnsi="Times New Roman" w:cs="Times New Roman"/>
          <w:sz w:val="24"/>
          <w:szCs w:val="24"/>
          <w:lang w:eastAsia="en-GB"/>
        </w:rPr>
        <w:lastRenderedPageBreak/>
        <w:t xml:space="preserve">utilised together with a reading of the positive obligations under the family law aspect of Article 8 and a new dynamic interpretation of Article 12, right to marry. </w:t>
      </w:r>
    </w:p>
    <w:p w:rsidR="00783683" w:rsidRPr="004D0659" w:rsidRDefault="00783683" w:rsidP="00783683">
      <w:pPr>
        <w:spacing w:after="200" w:line="480" w:lineRule="auto"/>
        <w:ind w:left="1800"/>
        <w:contextualSpacing/>
        <w:rPr>
          <w:rFonts w:ascii="Times New Roman" w:eastAsia="Times New Roman" w:hAnsi="Times New Roman" w:cs="Times New Roman"/>
          <w:sz w:val="24"/>
          <w:szCs w:val="24"/>
          <w:lang w:eastAsia="en-GB"/>
        </w:rPr>
      </w:pPr>
    </w:p>
    <w:p w:rsidR="00783683" w:rsidRPr="004D0659" w:rsidRDefault="00783683" w:rsidP="00783683">
      <w:pPr>
        <w:spacing w:after="200" w:line="480" w:lineRule="auto"/>
        <w:ind w:left="1800"/>
        <w:contextualSpacing/>
        <w:rPr>
          <w:rFonts w:ascii="Times New Roman" w:eastAsia="Times New Roman" w:hAnsi="Times New Roman" w:cs="Times New Roman"/>
          <w:b/>
          <w:sz w:val="24"/>
          <w:szCs w:val="24"/>
          <w:lang w:eastAsia="en-GB"/>
        </w:rPr>
      </w:pPr>
      <w:r w:rsidRPr="004D0659">
        <w:rPr>
          <w:rFonts w:ascii="Times New Roman" w:eastAsia="Times New Roman" w:hAnsi="Times New Roman" w:cs="Times New Roman"/>
          <w:b/>
          <w:sz w:val="24"/>
          <w:szCs w:val="24"/>
          <w:lang w:eastAsia="en-GB"/>
        </w:rPr>
        <w:tab/>
      </w:r>
      <w:r w:rsidRPr="004D0659">
        <w:rPr>
          <w:rFonts w:ascii="Times New Roman" w:eastAsia="Times New Roman" w:hAnsi="Times New Roman" w:cs="Times New Roman"/>
          <w:b/>
          <w:sz w:val="24"/>
          <w:szCs w:val="24"/>
          <w:lang w:eastAsia="en-GB"/>
        </w:rPr>
        <w:tab/>
      </w:r>
      <w:r w:rsidRPr="004D0659">
        <w:rPr>
          <w:rFonts w:ascii="Times New Roman" w:eastAsia="Times New Roman" w:hAnsi="Times New Roman" w:cs="Times New Roman"/>
          <w:b/>
          <w:sz w:val="24"/>
          <w:szCs w:val="24"/>
          <w:lang w:eastAsia="en-GB"/>
        </w:rPr>
        <w:tab/>
        <w:t xml:space="preserve">CONCLUSION </w:t>
      </w:r>
    </w:p>
    <w:p w:rsidR="00783683" w:rsidRPr="004D0659" w:rsidRDefault="00783683" w:rsidP="00783683">
      <w:pPr>
        <w:spacing w:after="200" w:line="480" w:lineRule="auto"/>
        <w:contextualSpacing/>
        <w:jc w:val="both"/>
        <w:rPr>
          <w:rFonts w:ascii="Times New Roman" w:eastAsia="Calibri" w:hAnsi="Times New Roman" w:cs="Times New Roman"/>
          <w:sz w:val="24"/>
          <w:szCs w:val="24"/>
        </w:rPr>
      </w:pPr>
    </w:p>
    <w:p w:rsidR="00783683" w:rsidRPr="004D0659" w:rsidRDefault="00783683" w:rsidP="00783683">
      <w:pPr>
        <w:spacing w:after="200"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text of the </w:t>
      </w:r>
      <w:r w:rsidRPr="004D0659">
        <w:rPr>
          <w:rFonts w:ascii="Times New Roman" w:eastAsia="Calibri" w:hAnsi="Times New Roman" w:cs="Times New Roman"/>
          <w:sz w:val="24"/>
          <w:szCs w:val="24"/>
        </w:rPr>
        <w:t xml:space="preserve">ECvHR does not include a specific sexual orientation non-discrimination clause. </w:t>
      </w:r>
      <w:r>
        <w:rPr>
          <w:rFonts w:ascii="Times New Roman" w:eastAsia="Calibri" w:hAnsi="Times New Roman" w:cs="Times New Roman"/>
          <w:sz w:val="24"/>
          <w:szCs w:val="24"/>
        </w:rPr>
        <w:t>Proponents of same-sex marriage therefore have to adapt the existing provisions and case law to suit their cause. This article has considered the best approach to pursue. The historical reliance on the Article 8</w:t>
      </w:r>
      <w:r w:rsidRPr="004D0659">
        <w:rPr>
          <w:rFonts w:ascii="Times New Roman" w:eastAsia="Calibri" w:hAnsi="Times New Roman" w:cs="Times New Roman"/>
          <w:sz w:val="24"/>
          <w:szCs w:val="24"/>
        </w:rPr>
        <w:t xml:space="preserve"> privacy right has difficulties when it comes to same-sex marriage, a right very much on the public stage. An argument on the basis of equality has done much to address this, because of the close connections to citizenship, its symbolic status and the success on the international stage that such arguments have had.</w:t>
      </w:r>
      <w:r>
        <w:rPr>
          <w:rStyle w:val="EndnoteReference"/>
          <w:rFonts w:ascii="Times New Roman" w:eastAsia="Calibri" w:hAnsi="Times New Roman" w:cs="Times New Roman"/>
          <w:sz w:val="24"/>
          <w:szCs w:val="24"/>
        </w:rPr>
        <w:endnoteReference w:id="88"/>
      </w:r>
      <w:r w:rsidRPr="004D0659">
        <w:rPr>
          <w:rFonts w:ascii="Times New Roman" w:eastAsia="Calibri" w:hAnsi="Times New Roman" w:cs="Times New Roman"/>
          <w:sz w:val="24"/>
          <w:szCs w:val="24"/>
        </w:rPr>
        <w:t xml:space="preserve"> However, difficulties with the equality argument remain, not least its conditional status under the ECvHR. There are also difficulties with the vagueness of a wide MoA and the need for categorisation into sexual orientation categories which an equality argument requires. This may not be desirable either because of the strengthening of the heteronormative approach of the ECtHR or because of the difficulties of individuals identifying with certain set categories.</w:t>
      </w:r>
    </w:p>
    <w:p w:rsidR="00783683" w:rsidRPr="004D0659" w:rsidRDefault="00783683" w:rsidP="00783683">
      <w:pPr>
        <w:spacing w:after="200" w:line="480" w:lineRule="auto"/>
        <w:contextualSpacing/>
        <w:jc w:val="both"/>
        <w:rPr>
          <w:rFonts w:ascii="Times New Roman" w:eastAsia="Calibri" w:hAnsi="Times New Roman" w:cs="Times New Roman"/>
          <w:sz w:val="24"/>
          <w:szCs w:val="24"/>
        </w:rPr>
      </w:pPr>
    </w:p>
    <w:p w:rsidR="00783683" w:rsidRDefault="00783683" w:rsidP="00783683">
      <w:pPr>
        <w:spacing w:after="0" w:line="480" w:lineRule="auto"/>
        <w:jc w:val="both"/>
        <w:rPr>
          <w:rFonts w:ascii="Times New Roman" w:eastAsia="Calibri" w:hAnsi="Times New Roman" w:cs="Times New Roman"/>
          <w:sz w:val="24"/>
          <w:szCs w:val="24"/>
        </w:rPr>
      </w:pPr>
      <w:r w:rsidRPr="004D0659">
        <w:rPr>
          <w:rFonts w:ascii="Times New Roman" w:eastAsia="Calibri" w:hAnsi="Times New Roman" w:cs="Times New Roman"/>
          <w:sz w:val="24"/>
          <w:szCs w:val="24"/>
        </w:rPr>
        <w:t>As Article 14 is a conditional right it has to be deployed in conjunction with a case being brought forward under another article. In this respect the developing family law argument under Article 8 is of use. Historically, the ECtHR refused to recognise same-sex partners as having a ‘family life’.</w:t>
      </w:r>
      <w:r w:rsidRPr="004D0659">
        <w:rPr>
          <w:rFonts w:ascii="Times New Roman" w:eastAsia="Calibri" w:hAnsi="Times New Roman" w:cs="Times New Roman"/>
          <w:sz w:val="24"/>
          <w:szCs w:val="24"/>
          <w:vertAlign w:val="superscript"/>
        </w:rPr>
        <w:endnoteReference w:id="89"/>
      </w:r>
      <w:r w:rsidRPr="004D0659">
        <w:rPr>
          <w:rFonts w:ascii="Times New Roman" w:eastAsia="Calibri" w:hAnsi="Times New Roman" w:cs="Times New Roman"/>
          <w:sz w:val="24"/>
          <w:szCs w:val="24"/>
        </w:rPr>
        <w:t xml:space="preserve"> Yet over time case law has developed dramatically and Article 8 has been interpreted flexibly </w:t>
      </w:r>
      <w:r>
        <w:rPr>
          <w:rFonts w:ascii="Times New Roman" w:eastAsia="Calibri" w:hAnsi="Times New Roman" w:cs="Times New Roman"/>
          <w:sz w:val="24"/>
          <w:szCs w:val="24"/>
        </w:rPr>
        <w:t>(Cabellero  2004-2005)</w:t>
      </w:r>
      <w:r w:rsidRPr="004D0659">
        <w:rPr>
          <w:rFonts w:ascii="Times New Roman" w:eastAsia="Calibri" w:hAnsi="Times New Roman" w:cs="Times New Roman"/>
          <w:sz w:val="24"/>
          <w:szCs w:val="24"/>
        </w:rPr>
        <w:t xml:space="preserve"> to include a wide range of families, far removed from the traditional model.</w:t>
      </w:r>
      <w:r w:rsidRPr="004D0659">
        <w:rPr>
          <w:rFonts w:ascii="Times New Roman" w:eastAsia="Calibri" w:hAnsi="Times New Roman" w:cs="Times New Roman"/>
          <w:sz w:val="24"/>
          <w:szCs w:val="24"/>
          <w:vertAlign w:val="superscript"/>
        </w:rPr>
        <w:endnoteReference w:id="90"/>
      </w:r>
      <w:r w:rsidRPr="004D0659">
        <w:rPr>
          <w:rFonts w:ascii="Times New Roman" w:eastAsia="Calibri" w:hAnsi="Times New Roman" w:cs="Times New Roman"/>
          <w:sz w:val="24"/>
          <w:szCs w:val="24"/>
        </w:rPr>
        <w:t xml:space="preserve"> Finally, in 2010 gays were reco</w:t>
      </w:r>
      <w:r>
        <w:rPr>
          <w:rFonts w:ascii="Times New Roman" w:eastAsia="Calibri" w:hAnsi="Times New Roman" w:cs="Times New Roman"/>
          <w:sz w:val="24"/>
          <w:szCs w:val="24"/>
        </w:rPr>
        <w:t>gnised as having a ‘family life</w:t>
      </w:r>
      <w:r w:rsidRPr="004D0659">
        <w:rPr>
          <w:rFonts w:ascii="Times New Roman" w:eastAsia="Calibri" w:hAnsi="Times New Roman" w:cs="Times New Roman"/>
          <w:sz w:val="24"/>
          <w:szCs w:val="24"/>
        </w:rPr>
        <w:t>’</w:t>
      </w:r>
      <w:r>
        <w:rPr>
          <w:rFonts w:ascii="Times New Roman" w:eastAsia="Calibri" w:hAnsi="Times New Roman" w:cs="Times New Roman"/>
          <w:sz w:val="24"/>
          <w:szCs w:val="24"/>
        </w:rPr>
        <w:t>.</w:t>
      </w:r>
      <w:r w:rsidRPr="004D0659">
        <w:rPr>
          <w:rFonts w:ascii="Times New Roman" w:eastAsia="Calibri" w:hAnsi="Times New Roman" w:cs="Times New Roman"/>
          <w:sz w:val="24"/>
          <w:szCs w:val="24"/>
          <w:vertAlign w:val="superscript"/>
        </w:rPr>
        <w:endnoteReference w:id="91"/>
      </w:r>
      <w:r w:rsidRPr="004D0659">
        <w:rPr>
          <w:rFonts w:ascii="Times New Roman" w:eastAsia="Calibri" w:hAnsi="Times New Roman" w:cs="Times New Roman"/>
          <w:sz w:val="24"/>
          <w:szCs w:val="24"/>
        </w:rPr>
        <w:t xml:space="preserve">  In 2015 a reading of the positive obligations under Article 8 family life led to </w:t>
      </w:r>
      <w:r w:rsidRPr="004D0659">
        <w:rPr>
          <w:rFonts w:ascii="Times New Roman" w:eastAsia="Calibri" w:hAnsi="Times New Roman" w:cs="Times New Roman"/>
          <w:sz w:val="24"/>
          <w:szCs w:val="24"/>
        </w:rPr>
        <w:lastRenderedPageBreak/>
        <w:t>the ECtHR imposing a right for same-sex couples to enter into a registered partnership / civil partnership.</w:t>
      </w:r>
      <w:r w:rsidRPr="004D0659">
        <w:rPr>
          <w:rStyle w:val="EndnoteReference"/>
          <w:rFonts w:ascii="Times New Roman" w:eastAsia="Calibri" w:hAnsi="Times New Roman" w:cs="Times New Roman"/>
          <w:sz w:val="24"/>
          <w:szCs w:val="24"/>
        </w:rPr>
        <w:endnoteReference w:id="92"/>
      </w:r>
      <w:r w:rsidRPr="004D0659">
        <w:rPr>
          <w:rFonts w:ascii="Times New Roman" w:eastAsia="Calibri" w:hAnsi="Times New Roman" w:cs="Times New Roman"/>
          <w:sz w:val="24"/>
          <w:szCs w:val="24"/>
        </w:rPr>
        <w:t xml:space="preserve">  Yet again there are currently limits to the extent of Article 8, as this does not entitle same-sex couples to enter into marriage.</w:t>
      </w:r>
      <w:r w:rsidRPr="004D0659">
        <w:rPr>
          <w:rStyle w:val="EndnoteReference"/>
          <w:rFonts w:ascii="Times New Roman" w:eastAsia="Calibri" w:hAnsi="Times New Roman" w:cs="Times New Roman"/>
          <w:sz w:val="24"/>
          <w:szCs w:val="24"/>
        </w:rPr>
        <w:endnoteReference w:id="93"/>
      </w:r>
    </w:p>
    <w:p w:rsidR="00783683" w:rsidRPr="004D0659" w:rsidRDefault="00783683" w:rsidP="00783683">
      <w:pPr>
        <w:spacing w:after="0" w:line="480" w:lineRule="auto"/>
        <w:jc w:val="both"/>
        <w:rPr>
          <w:rFonts w:ascii="Times New Roman" w:eastAsia="Calibri" w:hAnsi="Times New Roman" w:cs="Times New Roman"/>
          <w:sz w:val="24"/>
          <w:szCs w:val="24"/>
        </w:rPr>
      </w:pPr>
    </w:p>
    <w:p w:rsidR="00783683" w:rsidRPr="004D0659" w:rsidRDefault="00783683" w:rsidP="00783683">
      <w:pPr>
        <w:spacing w:after="0" w:line="480" w:lineRule="auto"/>
        <w:jc w:val="both"/>
        <w:rPr>
          <w:rFonts w:ascii="Times New Roman" w:eastAsia="Times New Roman" w:hAnsi="Times New Roman" w:cs="Times New Roman"/>
          <w:sz w:val="24"/>
          <w:szCs w:val="24"/>
          <w:lang w:eastAsia="en-GB"/>
        </w:rPr>
      </w:pPr>
      <w:r w:rsidRPr="004D0659">
        <w:rPr>
          <w:rFonts w:ascii="Times New Roman" w:eastAsia="Calibri" w:hAnsi="Times New Roman" w:cs="Times New Roman"/>
          <w:sz w:val="24"/>
          <w:szCs w:val="24"/>
        </w:rPr>
        <w:t>Article 12 right to marry, is the one which has had the most disap</w:t>
      </w:r>
      <w:r>
        <w:rPr>
          <w:rFonts w:ascii="Times New Roman" w:eastAsia="Calibri" w:hAnsi="Times New Roman" w:cs="Times New Roman"/>
          <w:sz w:val="24"/>
          <w:szCs w:val="24"/>
        </w:rPr>
        <w:t>pointing treatment by the ECtHR.  Y</w:t>
      </w:r>
      <w:r w:rsidRPr="004D0659">
        <w:rPr>
          <w:rFonts w:ascii="Times New Roman" w:eastAsia="Calibri" w:hAnsi="Times New Roman" w:cs="Times New Roman"/>
          <w:sz w:val="24"/>
          <w:szCs w:val="24"/>
        </w:rPr>
        <w:t>et</w:t>
      </w:r>
      <w:r>
        <w:rPr>
          <w:rFonts w:ascii="Times New Roman" w:eastAsia="Calibri" w:hAnsi="Times New Roman" w:cs="Times New Roman"/>
          <w:sz w:val="24"/>
          <w:szCs w:val="24"/>
        </w:rPr>
        <w:t xml:space="preserve"> this</w:t>
      </w:r>
      <w:r w:rsidRPr="004D0659">
        <w:rPr>
          <w:rFonts w:ascii="Times New Roman" w:eastAsia="Calibri" w:hAnsi="Times New Roman" w:cs="Times New Roman"/>
          <w:sz w:val="24"/>
          <w:szCs w:val="24"/>
        </w:rPr>
        <w:t xml:space="preserve"> could have the most impact if interpreted dynamically. A textual reading has been made of Article 12 to grant th</w:t>
      </w:r>
      <w:r>
        <w:rPr>
          <w:rFonts w:ascii="Times New Roman" w:eastAsia="Calibri" w:hAnsi="Times New Roman" w:cs="Times New Roman"/>
          <w:sz w:val="24"/>
          <w:szCs w:val="24"/>
        </w:rPr>
        <w:t>is right only to ‘men and women</w:t>
      </w:r>
      <w:r w:rsidRPr="004D0659">
        <w:rPr>
          <w:rFonts w:ascii="Times New Roman" w:eastAsia="Calibri" w:hAnsi="Times New Roman" w:cs="Times New Roman"/>
          <w:sz w:val="24"/>
          <w:szCs w:val="24"/>
        </w:rPr>
        <w:t>’</w:t>
      </w:r>
      <w:r>
        <w:rPr>
          <w:rFonts w:ascii="Times New Roman" w:eastAsia="Calibri" w:hAnsi="Times New Roman" w:cs="Times New Roman"/>
          <w:sz w:val="24"/>
          <w:szCs w:val="24"/>
        </w:rPr>
        <w:t>.</w:t>
      </w:r>
      <w:r w:rsidRPr="004D0659">
        <w:rPr>
          <w:rStyle w:val="EndnoteReference"/>
          <w:rFonts w:ascii="Times New Roman" w:eastAsia="Calibri" w:hAnsi="Times New Roman" w:cs="Times New Roman"/>
          <w:sz w:val="24"/>
          <w:szCs w:val="24"/>
        </w:rPr>
        <w:endnoteReference w:id="94"/>
      </w:r>
      <w:r w:rsidRPr="004D0659">
        <w:rPr>
          <w:rFonts w:ascii="Times New Roman" w:eastAsia="Calibri" w:hAnsi="Times New Roman" w:cs="Times New Roman"/>
          <w:sz w:val="24"/>
          <w:szCs w:val="24"/>
        </w:rPr>
        <w:t xml:space="preserve"> Yet such a limited approach is not necessary, given the ECtHR’s widely developed dynamic interpretation techniques used in other cases involving Article 12.</w:t>
      </w:r>
      <w:r w:rsidRPr="004D0659">
        <w:rPr>
          <w:rStyle w:val="EndnoteReference"/>
          <w:rFonts w:ascii="Times New Roman" w:eastAsia="Calibri" w:hAnsi="Times New Roman" w:cs="Times New Roman"/>
          <w:sz w:val="24"/>
          <w:szCs w:val="24"/>
        </w:rPr>
        <w:endnoteReference w:id="95"/>
      </w:r>
      <w:r w:rsidRPr="004D0659">
        <w:rPr>
          <w:rFonts w:ascii="Times New Roman" w:eastAsia="Calibri" w:hAnsi="Times New Roman" w:cs="Times New Roman"/>
          <w:sz w:val="24"/>
          <w:szCs w:val="24"/>
        </w:rPr>
        <w:t xml:space="preserve"> Many progressive courts consider it a necessity that law should change as society changes. </w:t>
      </w:r>
      <w:r w:rsidRPr="004D0659">
        <w:rPr>
          <w:rFonts w:ascii="Times New Roman" w:eastAsia="Times New Roman" w:hAnsi="Times New Roman" w:cs="Times New Roman"/>
          <w:sz w:val="24"/>
          <w:szCs w:val="24"/>
          <w:vertAlign w:val="superscript"/>
          <w:lang w:eastAsia="en-GB"/>
        </w:rPr>
        <w:endnoteReference w:id="96"/>
      </w:r>
      <w:r w:rsidRPr="004D065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Ther</w:t>
      </w:r>
      <w:r w:rsidRPr="004D0659">
        <w:rPr>
          <w:rFonts w:ascii="Times New Roman" w:eastAsia="Times New Roman" w:hAnsi="Times New Roman" w:cs="Times New Roman"/>
          <w:sz w:val="24"/>
          <w:szCs w:val="24"/>
          <w:lang w:eastAsia="en-GB"/>
        </w:rPr>
        <w:t xml:space="preserve">e </w:t>
      </w:r>
      <w:r>
        <w:rPr>
          <w:rFonts w:ascii="Times New Roman" w:eastAsia="Times New Roman" w:hAnsi="Times New Roman" w:cs="Times New Roman"/>
          <w:sz w:val="24"/>
          <w:szCs w:val="24"/>
          <w:lang w:eastAsia="en-GB"/>
        </w:rPr>
        <w:t xml:space="preserve">are also many </w:t>
      </w:r>
      <w:r w:rsidRPr="004D0659">
        <w:rPr>
          <w:rFonts w:ascii="Times New Roman" w:eastAsia="Times New Roman" w:hAnsi="Times New Roman" w:cs="Times New Roman"/>
          <w:sz w:val="24"/>
          <w:szCs w:val="24"/>
          <w:lang w:eastAsia="en-GB"/>
        </w:rPr>
        <w:t>difficulties with attributing a religious status to marriage, when judged by a secular authority such as the ECtHR. The developing equality concept</w:t>
      </w:r>
      <w:r w:rsidRPr="004D0659">
        <w:rPr>
          <w:rFonts w:ascii="Times New Roman" w:eastAsia="Times New Roman" w:hAnsi="Times New Roman" w:cs="Times New Roman"/>
          <w:sz w:val="24"/>
          <w:szCs w:val="24"/>
          <w:vertAlign w:val="superscript"/>
          <w:lang w:eastAsia="en-GB"/>
        </w:rPr>
        <w:endnoteReference w:id="97"/>
      </w:r>
      <w:r w:rsidRPr="004D0659">
        <w:rPr>
          <w:rFonts w:ascii="Times New Roman" w:eastAsia="Times New Roman" w:hAnsi="Times New Roman" w:cs="Times New Roman"/>
          <w:sz w:val="24"/>
          <w:szCs w:val="24"/>
          <w:lang w:eastAsia="en-GB"/>
        </w:rPr>
        <w:t xml:space="preserve"> and the evolving nature of the family case law concerning same-sex couples under Article 8</w:t>
      </w:r>
      <w:r>
        <w:rPr>
          <w:rStyle w:val="EndnoteReference"/>
          <w:rFonts w:ascii="Times New Roman" w:eastAsia="Times New Roman" w:hAnsi="Times New Roman" w:cs="Times New Roman"/>
          <w:sz w:val="24"/>
          <w:szCs w:val="24"/>
          <w:lang w:eastAsia="en-GB"/>
        </w:rPr>
        <w:endnoteReference w:id="98"/>
      </w:r>
      <w:r w:rsidRPr="004D0659">
        <w:rPr>
          <w:rFonts w:ascii="Times New Roman" w:eastAsia="Times New Roman" w:hAnsi="Times New Roman" w:cs="Times New Roman"/>
          <w:sz w:val="24"/>
          <w:szCs w:val="24"/>
          <w:lang w:eastAsia="en-GB"/>
        </w:rPr>
        <w:t xml:space="preserve"> could lead to a dynamic interpretation of Article 12. Yet in reality there needs to be a consensus between Member States before the ECtHR is likely to move forward on this issue.</w:t>
      </w:r>
      <w:r w:rsidRPr="004D0659">
        <w:rPr>
          <w:rStyle w:val="EndnoteReference"/>
          <w:rFonts w:ascii="Times New Roman" w:eastAsia="Times New Roman" w:hAnsi="Times New Roman" w:cs="Times New Roman"/>
          <w:sz w:val="24"/>
          <w:szCs w:val="24"/>
          <w:lang w:eastAsia="en-GB"/>
        </w:rPr>
        <w:endnoteReference w:id="99"/>
      </w:r>
      <w:r w:rsidRPr="004D0659">
        <w:rPr>
          <w:rFonts w:ascii="Times New Roman" w:eastAsia="Times New Roman" w:hAnsi="Times New Roman" w:cs="Times New Roman"/>
          <w:sz w:val="24"/>
          <w:szCs w:val="24"/>
          <w:lang w:eastAsia="en-GB"/>
        </w:rPr>
        <w:t xml:space="preserve"> </w:t>
      </w:r>
    </w:p>
    <w:p w:rsidR="00454A21" w:rsidRDefault="00454A21">
      <w:bookmarkStart w:id="1" w:name="_GoBack"/>
      <w:bookmarkEnd w:id="1"/>
    </w:p>
    <w:sectPr w:rsidR="00454A2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683" w:rsidRDefault="00783683" w:rsidP="00783683">
      <w:pPr>
        <w:spacing w:after="0" w:line="240" w:lineRule="auto"/>
      </w:pPr>
      <w:r>
        <w:separator/>
      </w:r>
    </w:p>
  </w:endnote>
  <w:endnote w:type="continuationSeparator" w:id="0">
    <w:p w:rsidR="00783683" w:rsidRDefault="00783683" w:rsidP="00783683">
      <w:pPr>
        <w:spacing w:after="0" w:line="240" w:lineRule="auto"/>
      </w:pPr>
      <w:r>
        <w:continuationSeparator/>
      </w:r>
    </w:p>
  </w:endnote>
  <w:endnote w:id="1">
    <w:p w:rsidR="00783683"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Schalk and Kopf v Austria</w:t>
      </w:r>
      <w:r w:rsidRPr="00BB7A3A">
        <w:rPr>
          <w:rFonts w:ascii="Times New Roman" w:hAnsi="Times New Roman" w:cs="Times New Roman"/>
        </w:rPr>
        <w:t xml:space="preserve"> (App. No. 30141/04, 24 June 2010) para 94</w:t>
      </w:r>
      <w:r>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2">
    <w:p w:rsidR="00783683" w:rsidRPr="00BB7A3A" w:rsidRDefault="00783683" w:rsidP="00783683">
      <w:pPr>
        <w:spacing w:line="240" w:lineRule="auto"/>
        <w:jc w:val="both"/>
        <w:rPr>
          <w:rFonts w:ascii="Times New Roman" w:eastAsia="Times New Roman" w:hAnsi="Times New Roman" w:cs="Times New Roman"/>
          <w:b/>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Chapin and Charpentier v France</w:t>
      </w:r>
      <w:r>
        <w:rPr>
          <w:rFonts w:ascii="Times New Roman" w:hAnsi="Times New Roman" w:cs="Times New Roman"/>
          <w:sz w:val="20"/>
          <w:szCs w:val="20"/>
        </w:rPr>
        <w:t xml:space="preserve"> (App. No. 40183/07, </w:t>
      </w:r>
      <w:r w:rsidRPr="00BB7A3A">
        <w:rPr>
          <w:rFonts w:ascii="Times New Roman" w:hAnsi="Times New Roman" w:cs="Times New Roman"/>
          <w:sz w:val="20"/>
          <w:szCs w:val="20"/>
        </w:rPr>
        <w:t>9 June 2016).</w:t>
      </w:r>
    </w:p>
  </w:endnote>
  <w:endnote w:id="3">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BB7A3A">
        <w:rPr>
          <w:rFonts w:ascii="Times New Roman" w:hAnsi="Times New Roman" w:cs="Times New Roman"/>
          <w:i/>
        </w:rPr>
        <w:t>Oliari v Italy</w:t>
      </w:r>
      <w:r w:rsidRPr="00BB7A3A">
        <w:rPr>
          <w:rFonts w:ascii="Times New Roman" w:hAnsi="Times New Roman" w:cs="Times New Roman"/>
        </w:rPr>
        <w:t xml:space="preserve"> (App. Nos. 18766/11 and 36030/11, 31 July 2015) for information.  </w:t>
      </w:r>
    </w:p>
    <w:p w:rsidR="00783683" w:rsidRPr="00BB7A3A" w:rsidRDefault="00783683" w:rsidP="00783683">
      <w:pPr>
        <w:pStyle w:val="EndnoteText"/>
        <w:rPr>
          <w:rFonts w:ascii="Times New Roman" w:hAnsi="Times New Roman" w:cs="Times New Roman"/>
        </w:rPr>
      </w:pPr>
    </w:p>
  </w:endnote>
  <w:endnote w:id="4">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The following Member States have enacted same-sex marriage laws: Belgium, Denmark, Finland (effective from 2017), France, Iceland, Ireland, Luxembourg, the Netherlands, Norway, Portugal, Spain, Sweden and United Kingdom (apart from Northern Ireland).  The following 21 Member States have enacted Civil Partnership laws: </w:t>
      </w:r>
      <w:r w:rsidRPr="00BB7A3A">
        <w:rPr>
          <w:rFonts w:ascii="Times New Roman" w:hAnsi="Times New Roman" w:cs="Times New Roman"/>
          <w:lang w:val="en"/>
        </w:rPr>
        <w:t xml:space="preserve">Andorra, Austria, Belgium, Croatia, Cyprus, the Czech Republic, Estonia, Finland, France, Germany, Greece, Hungary, Iceland, Italy, Liechtenstein, Luxembourg, Malta, the Netherlands, Slovenia, Switzerland and the United Kingdom.  </w:t>
      </w:r>
    </w:p>
  </w:endnote>
  <w:endnote w:id="5">
    <w:p w:rsidR="00783683" w:rsidRPr="00E90FE1" w:rsidRDefault="00783683" w:rsidP="00783683">
      <w:pPr>
        <w:spacing w:before="240" w:after="240" w:line="240" w:lineRule="auto"/>
        <w:rPr>
          <w:rFonts w:ascii="Times New Roman" w:eastAsia="Times New Roman" w:hAnsi="Times New Roman" w:cs="Times New Roman"/>
          <w:color w:val="333333"/>
          <w:sz w:val="20"/>
          <w:szCs w:val="20"/>
          <w:lang w:val="en"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sz w:val="20"/>
          <w:szCs w:val="20"/>
          <w:lang w:val="en"/>
        </w:rPr>
        <w:t xml:space="preserve">Same-sex marriage is not recognized in several European countries and in addition marriage is defined as a union solely between a man and a woman in the constitutions of Armenia, Bulgaria, Croatia, Latvia, Lithuania, Moldova, Montenegro, Poland, Serbia, Slovakia and Ukraine. </w:t>
      </w:r>
      <w:r w:rsidRPr="00BB7A3A">
        <w:rPr>
          <w:rFonts w:ascii="Times New Roman" w:hAnsi="Times New Roman" w:cs="Times New Roman"/>
          <w:sz w:val="20"/>
          <w:szCs w:val="20"/>
        </w:rPr>
        <w:t xml:space="preserve">See Fenwick 2016 for discussion. </w:t>
      </w:r>
    </w:p>
  </w:endnote>
  <w:endnote w:id="6">
    <w:p w:rsidR="00783683" w:rsidRPr="00BB7A3A" w:rsidRDefault="00783683" w:rsidP="00783683">
      <w:pPr>
        <w:pStyle w:val="EndnoteText"/>
        <w:rPr>
          <w:rFonts w:ascii="Times New Roman" w:eastAsia="Calibri"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BB7A3A">
        <w:rPr>
          <w:rFonts w:ascii="Times New Roman" w:eastAsia="Calibri" w:hAnsi="Times New Roman" w:cs="Times New Roman"/>
        </w:rPr>
        <w:t>Fenwick 2016, 270 who explains that gay propaganda laws are still in force in Russia. See also Johnson ‘Homosexual Propoaganda’ (2015).</w:t>
      </w:r>
    </w:p>
    <w:p w:rsidR="00783683" w:rsidRPr="00BB7A3A" w:rsidRDefault="00783683" w:rsidP="00783683">
      <w:pPr>
        <w:pStyle w:val="EndnoteText"/>
        <w:rPr>
          <w:rFonts w:ascii="Times New Roman" w:hAnsi="Times New Roman" w:cs="Times New Roman"/>
        </w:rPr>
      </w:pPr>
    </w:p>
  </w:endnote>
  <w:endnote w:id="7">
    <w:p w:rsidR="00783683" w:rsidRPr="00BB7A3A" w:rsidRDefault="00783683" w:rsidP="00783683">
      <w:pPr>
        <w:pStyle w:val="EndnoteText"/>
        <w:rPr>
          <w:rFonts w:ascii="Times New Roman" w:hAnsi="Times New Roman" w:cs="Times New Roman"/>
        </w:rPr>
      </w:pPr>
      <w:r>
        <w:rPr>
          <w:rStyle w:val="EndnoteReference"/>
        </w:rPr>
        <w:endnoteRef/>
      </w:r>
      <w:r>
        <w:rPr>
          <w:rFonts w:ascii="Times New Roman" w:hAnsi="Times New Roman" w:cs="Times New Roman"/>
        </w:rPr>
        <w:t xml:space="preserve"> </w:t>
      </w:r>
      <w:r w:rsidRPr="00BB7A3A">
        <w:rPr>
          <w:rFonts w:ascii="Times New Roman" w:hAnsi="Times New Roman" w:cs="Times New Roman"/>
          <w:i/>
        </w:rPr>
        <w:t>Oliari v Italy</w:t>
      </w:r>
      <w:r w:rsidRPr="00BB7A3A">
        <w:rPr>
          <w:rFonts w:ascii="Times New Roman" w:hAnsi="Times New Roman" w:cs="Times New Roman"/>
        </w:rPr>
        <w:t xml:space="preserve"> (n</w:t>
      </w:r>
      <w:r>
        <w:rPr>
          <w:rFonts w:ascii="Times New Roman" w:hAnsi="Times New Roman" w:cs="Times New Roman"/>
        </w:rPr>
        <w:t>3</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8">
    <w:p w:rsidR="00783683"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Sue Wilkinson’s Witness Statement in </w:t>
      </w:r>
      <w:r w:rsidRPr="00BB7A3A">
        <w:rPr>
          <w:rFonts w:ascii="Times New Roman" w:hAnsi="Times New Roman" w:cs="Times New Roman"/>
          <w:i/>
        </w:rPr>
        <w:t>Wilkinson v Kritzinger</w:t>
      </w:r>
      <w:r w:rsidRPr="00BB7A3A">
        <w:rPr>
          <w:rFonts w:ascii="Times New Roman" w:hAnsi="Times New Roman" w:cs="Times New Roman"/>
        </w:rPr>
        <w:t xml:space="preserve"> [2006] EWHC 835</w:t>
      </w:r>
      <w:r>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9">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Article 8 of the ECHR provides that ‘(1) Everyone has the right to respect for his private and family life, his home and his correspondence. (2)</w:t>
      </w:r>
      <w:r>
        <w:rPr>
          <w:rFonts w:ascii="Times New Roman" w:hAnsi="Times New Roman" w:cs="Times New Roman"/>
        </w:rPr>
        <w:t xml:space="preserve"> </w:t>
      </w:r>
      <w:r w:rsidRPr="00BB7A3A">
        <w:rPr>
          <w:rFonts w:ascii="Times New Roman" w:hAnsi="Times New Roman" w:cs="Times New Roman"/>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783683" w:rsidRPr="00BB7A3A" w:rsidRDefault="00783683" w:rsidP="00783683">
      <w:pPr>
        <w:pStyle w:val="EndnoteText"/>
        <w:jc w:val="both"/>
        <w:rPr>
          <w:rFonts w:ascii="Times New Roman" w:hAnsi="Times New Roman" w:cs="Times New Roman"/>
        </w:rPr>
      </w:pPr>
      <w:r w:rsidRPr="00BB7A3A">
        <w:rPr>
          <w:rFonts w:ascii="Times New Roman" w:hAnsi="Times New Roman" w:cs="Times New Roman"/>
        </w:rPr>
        <w:t xml:space="preserve"> </w:t>
      </w:r>
    </w:p>
  </w:endnote>
  <w:endnote w:id="10">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Article 14 of the ECHR provides that ‘The enjoyment of the rights and freedoms set forth in the Convention shall be secured without discrimination on any ground such as sex, race, colour, language, religion, political or other opinion, national or social association with a national minority, property, birth or other status.’</w:t>
      </w:r>
    </w:p>
    <w:p w:rsidR="00783683" w:rsidRPr="00BB7A3A" w:rsidRDefault="00783683" w:rsidP="00783683">
      <w:pPr>
        <w:pStyle w:val="EndnoteText"/>
        <w:jc w:val="both"/>
        <w:rPr>
          <w:rFonts w:ascii="Times New Roman" w:hAnsi="Times New Roman" w:cs="Times New Roman"/>
        </w:rPr>
      </w:pPr>
    </w:p>
  </w:endnote>
  <w:endnote w:id="11">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Article 12 provides </w:t>
      </w:r>
      <w:r>
        <w:t>that ‘[m]</w:t>
      </w:r>
      <w:r w:rsidRPr="00BB7A3A">
        <w:rPr>
          <w:rFonts w:ascii="Times New Roman" w:hAnsi="Times New Roman" w:cs="Times New Roman"/>
        </w:rPr>
        <w:t>en and women of marriageable age have the right to marry and to found a family, according to the national laws governing the exercise of this right’.</w:t>
      </w:r>
    </w:p>
    <w:p w:rsidR="00783683" w:rsidRPr="00BB7A3A" w:rsidRDefault="00783683" w:rsidP="00783683">
      <w:pPr>
        <w:pStyle w:val="EndnoteText"/>
        <w:rPr>
          <w:rFonts w:ascii="Times New Roman" w:hAnsi="Times New Roman" w:cs="Times New Roman"/>
        </w:rPr>
      </w:pPr>
    </w:p>
  </w:endnote>
  <w:endnote w:id="12">
    <w:p w:rsidR="00783683" w:rsidRPr="00E90FE1" w:rsidRDefault="00783683" w:rsidP="00783683">
      <w:pPr>
        <w:spacing w:line="240" w:lineRule="auto"/>
        <w:jc w:val="both"/>
        <w:rPr>
          <w:rFonts w:ascii="Times New Roman" w:eastAsia="Times New Roman" w:hAnsi="Times New Roman" w:cs="Times New Roman"/>
          <w:b/>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See </w:t>
      </w:r>
      <w:r w:rsidRPr="00BB7A3A">
        <w:rPr>
          <w:rFonts w:ascii="Times New Roman" w:hAnsi="Times New Roman" w:cs="Times New Roman"/>
          <w:i/>
          <w:sz w:val="20"/>
          <w:szCs w:val="20"/>
        </w:rPr>
        <w:t xml:space="preserve">Schalk and Kopf v Austria </w:t>
      </w:r>
      <w:r>
        <w:rPr>
          <w:rFonts w:ascii="Times New Roman" w:hAnsi="Times New Roman" w:cs="Times New Roman"/>
          <w:sz w:val="20"/>
          <w:szCs w:val="20"/>
        </w:rPr>
        <w:t>(n1</w:t>
      </w:r>
      <w:r w:rsidRPr="00BB7A3A">
        <w:rPr>
          <w:rFonts w:ascii="Times New Roman" w:hAnsi="Times New Roman" w:cs="Times New Roman"/>
          <w:sz w:val="20"/>
          <w:szCs w:val="20"/>
        </w:rPr>
        <w:t xml:space="preserve">) para 57, </w:t>
      </w:r>
      <w:r w:rsidRPr="00BB7A3A">
        <w:rPr>
          <w:rFonts w:ascii="Times New Roman" w:hAnsi="Times New Roman" w:cs="Times New Roman"/>
          <w:i/>
          <w:sz w:val="20"/>
          <w:szCs w:val="20"/>
        </w:rPr>
        <w:t>Hamalaninen v Finland</w:t>
      </w:r>
      <w:r w:rsidRPr="00BB7A3A">
        <w:rPr>
          <w:rFonts w:ascii="Times New Roman" w:hAnsi="Times New Roman" w:cs="Times New Roman"/>
          <w:sz w:val="20"/>
          <w:szCs w:val="20"/>
        </w:rPr>
        <w:t xml:space="preserve"> (App. No. 37359/09, 16 July 2014) para 39 and </w:t>
      </w:r>
      <w:r w:rsidRPr="00BB7A3A">
        <w:rPr>
          <w:rFonts w:ascii="Times New Roman" w:hAnsi="Times New Roman" w:cs="Times New Roman"/>
          <w:i/>
          <w:sz w:val="20"/>
          <w:szCs w:val="20"/>
        </w:rPr>
        <w:t>Chapin and Charpentier v France</w:t>
      </w:r>
      <w:r w:rsidRPr="00BB7A3A">
        <w:rPr>
          <w:rFonts w:ascii="Times New Roman" w:hAnsi="Times New Roman" w:cs="Times New Roman"/>
          <w:sz w:val="20"/>
          <w:szCs w:val="20"/>
        </w:rPr>
        <w:t xml:space="preserve"> (</w:t>
      </w:r>
      <w:r>
        <w:rPr>
          <w:rFonts w:ascii="Times New Roman" w:hAnsi="Times New Roman" w:cs="Times New Roman"/>
          <w:sz w:val="20"/>
          <w:szCs w:val="20"/>
        </w:rPr>
        <w:t>n2).</w:t>
      </w:r>
    </w:p>
  </w:endnote>
  <w:endnote w:id="13">
    <w:p w:rsidR="00783683" w:rsidRPr="00BB7A3A" w:rsidRDefault="00783683" w:rsidP="00783683">
      <w:pPr>
        <w:pStyle w:val="s32b251d"/>
        <w:jc w:val="both"/>
        <w:rPr>
          <w:sz w:val="20"/>
          <w:szCs w:val="20"/>
        </w:rPr>
      </w:pPr>
      <w:r w:rsidRPr="00BB7A3A">
        <w:rPr>
          <w:rStyle w:val="EndnoteReference"/>
          <w:rFonts w:eastAsia="Calibri"/>
          <w:sz w:val="20"/>
          <w:szCs w:val="20"/>
        </w:rPr>
        <w:endnoteRef/>
      </w:r>
      <w:r w:rsidRPr="00BB7A3A">
        <w:rPr>
          <w:sz w:val="20"/>
          <w:szCs w:val="20"/>
        </w:rPr>
        <w:t xml:space="preserve"> </w:t>
      </w:r>
      <w:r w:rsidRPr="00BB7A3A">
        <w:rPr>
          <w:i/>
          <w:sz w:val="20"/>
          <w:szCs w:val="20"/>
        </w:rPr>
        <w:t>Dudgeon v United Kingdom</w:t>
      </w:r>
      <w:r w:rsidRPr="00BB7A3A">
        <w:rPr>
          <w:sz w:val="20"/>
          <w:szCs w:val="20"/>
        </w:rPr>
        <w:t xml:space="preserve"> (App. No. 7525/76, 22 October 1981).</w:t>
      </w:r>
    </w:p>
  </w:endnote>
  <w:endnote w:id="14">
    <w:p w:rsidR="00783683" w:rsidRPr="00BB7A3A" w:rsidRDefault="00783683" w:rsidP="00783683">
      <w:pPr>
        <w:pStyle w:val="EndnoteText"/>
        <w:jc w:val="both"/>
        <w:rPr>
          <w:rFonts w:ascii="Times New Roman" w:eastAsia="Calibri" w:hAnsi="Times New Roman" w:cs="Times New Roman"/>
          <w:b/>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lang w:val="es-ES_tradnl"/>
        </w:rPr>
        <w:t xml:space="preserve">Ibid. </w:t>
      </w:r>
      <w:r w:rsidRPr="00BB7A3A">
        <w:rPr>
          <w:rFonts w:ascii="Times New Roman" w:eastAsia="Calibri" w:hAnsi="Times New Roman" w:cs="Times New Roman"/>
          <w:lang w:val="es-ES_tradnl"/>
        </w:rPr>
        <w:t>para. 39.</w:t>
      </w:r>
      <w:r w:rsidRPr="00BB7A3A">
        <w:rPr>
          <w:rFonts w:ascii="Times New Roman" w:hAnsi="Times New Roman" w:cs="Times New Roman"/>
          <w:i/>
          <w:lang w:val="es-ES_tradnl"/>
        </w:rPr>
        <w:t xml:space="preserve"> ADT v UK</w:t>
      </w:r>
      <w:r w:rsidRPr="00BB7A3A">
        <w:rPr>
          <w:rFonts w:ascii="Times New Roman" w:hAnsi="Times New Roman" w:cs="Times New Roman"/>
          <w:lang w:val="es-ES_tradnl"/>
        </w:rPr>
        <w:t xml:space="preserve"> (App. No. 35765/97, 31 July 2000).</w:t>
      </w:r>
      <w:r w:rsidRPr="00BB7A3A">
        <w:rPr>
          <w:rFonts w:ascii="Times New Roman" w:eastAsia="Calibri" w:hAnsi="Times New Roman" w:cs="Times New Roman"/>
          <w:i/>
          <w:lang w:val="es-ES_tradnl"/>
        </w:rPr>
        <w:t xml:space="preserve"> </w:t>
      </w:r>
      <w:r w:rsidRPr="00BB7A3A">
        <w:rPr>
          <w:rFonts w:ascii="Times New Roman" w:eastAsia="Calibri" w:hAnsi="Times New Roman" w:cs="Times New Roman"/>
          <w:i/>
        </w:rPr>
        <w:t>See also Sutherland v UK</w:t>
      </w:r>
      <w:r w:rsidRPr="00BB7A3A">
        <w:rPr>
          <w:rFonts w:ascii="Times New Roman" w:eastAsia="Calibri" w:hAnsi="Times New Roman" w:cs="Times New Roman"/>
        </w:rPr>
        <w:t xml:space="preserve">, </w:t>
      </w:r>
      <w:r w:rsidRPr="00BB7A3A">
        <w:rPr>
          <w:rFonts w:ascii="Times New Roman" w:hAnsi="Times New Roman" w:cs="Times New Roman"/>
        </w:rPr>
        <w:t>Admissibility, (App. No. 25186/94, 21 May 1996)</w:t>
      </w:r>
      <w:r>
        <w:rPr>
          <w:rFonts w:ascii="Times New Roman" w:hAnsi="Times New Roman" w:cs="Times New Roman"/>
          <w:b/>
        </w:rPr>
        <w:t>,</w:t>
      </w:r>
      <w:r w:rsidRPr="00BB7A3A">
        <w:rPr>
          <w:rFonts w:ascii="Times New Roman" w:hAnsi="Times New Roman" w:cs="Times New Roman"/>
          <w:b/>
        </w:rPr>
        <w:t xml:space="preserve"> </w:t>
      </w:r>
      <w:r w:rsidRPr="00BB7A3A">
        <w:rPr>
          <w:rFonts w:ascii="Times New Roman" w:eastAsia="Calibri" w:hAnsi="Times New Roman" w:cs="Times New Roman"/>
          <w:i/>
        </w:rPr>
        <w:t>Smith and Grady v UK (</w:t>
      </w:r>
      <w:r>
        <w:rPr>
          <w:rFonts w:ascii="Times New Roman" w:hAnsi="Times New Roman" w:cs="Times New Roman"/>
        </w:rPr>
        <w:t>App. No</w:t>
      </w:r>
      <w:r w:rsidRPr="00BB7A3A">
        <w:rPr>
          <w:rFonts w:ascii="Times New Roman" w:hAnsi="Times New Roman" w:cs="Times New Roman"/>
        </w:rPr>
        <w:t xml:space="preserve">s 33985/96 and 33986/96, 27 September 1999) para 89 and </w:t>
      </w:r>
      <w:r w:rsidRPr="00BB7A3A">
        <w:rPr>
          <w:rFonts w:ascii="Times New Roman" w:hAnsi="Times New Roman" w:cs="Times New Roman"/>
          <w:i/>
        </w:rPr>
        <w:t>Lustig-Prean and Beckett v UK (</w:t>
      </w:r>
      <w:r w:rsidRPr="00BB7A3A">
        <w:rPr>
          <w:rFonts w:ascii="Times New Roman" w:hAnsi="Times New Roman" w:cs="Times New Roman"/>
        </w:rPr>
        <w:t>App. Nos 31417/96 and 32377/96, 27 September 1999) para 82</w:t>
      </w:r>
      <w:r w:rsidRPr="00BB7A3A">
        <w:rPr>
          <w:rFonts w:ascii="Times New Roman" w:hAnsi="Times New Roman" w:cs="Times New Roman"/>
          <w:color w:val="000000"/>
          <w:kern w:val="24"/>
        </w:rPr>
        <w:t>.</w:t>
      </w:r>
    </w:p>
    <w:p w:rsidR="00783683" w:rsidRPr="00BB7A3A" w:rsidRDefault="00783683" w:rsidP="00783683">
      <w:pPr>
        <w:spacing w:after="0" w:line="240" w:lineRule="auto"/>
        <w:jc w:val="both"/>
        <w:rPr>
          <w:rFonts w:ascii="Times New Roman" w:eastAsia="Calibri" w:hAnsi="Times New Roman" w:cs="Times New Roman"/>
          <w:sz w:val="20"/>
          <w:szCs w:val="20"/>
        </w:rPr>
      </w:pPr>
    </w:p>
  </w:endnote>
  <w:endnote w:id="15">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Treaty on the Functioning of the European Union Art 23. </w:t>
      </w:r>
    </w:p>
    <w:p w:rsidR="00783683" w:rsidRPr="00BB7A3A" w:rsidRDefault="00783683" w:rsidP="00783683">
      <w:pPr>
        <w:pStyle w:val="EndnoteText"/>
        <w:jc w:val="both"/>
        <w:rPr>
          <w:rFonts w:ascii="Times New Roman" w:hAnsi="Times New Roman" w:cs="Times New Roman"/>
        </w:rPr>
      </w:pPr>
    </w:p>
  </w:endnote>
  <w:endnote w:id="16">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Ibid.</w:t>
      </w:r>
      <w:r w:rsidRPr="00BB7A3A">
        <w:rPr>
          <w:rFonts w:ascii="Times New Roman" w:hAnsi="Times New Roman" w:cs="Times New Roman"/>
        </w:rPr>
        <w:t xml:space="preserve"> Art 20(2).</w:t>
      </w:r>
    </w:p>
    <w:p w:rsidR="00783683" w:rsidRPr="00BB7A3A" w:rsidRDefault="00783683" w:rsidP="00783683">
      <w:pPr>
        <w:pStyle w:val="EndnoteText"/>
        <w:jc w:val="both"/>
        <w:rPr>
          <w:rFonts w:ascii="Times New Roman" w:hAnsi="Times New Roman" w:cs="Times New Roman"/>
        </w:rPr>
      </w:pPr>
    </w:p>
  </w:endnote>
  <w:endnote w:id="17">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South African Constitutional Court judgment of </w:t>
      </w:r>
      <w:r w:rsidRPr="00BB7A3A">
        <w:rPr>
          <w:rFonts w:ascii="Times New Roman" w:hAnsi="Times New Roman" w:cs="Times New Roman"/>
          <w:i/>
        </w:rPr>
        <w:t>Minister of Home Affairs and Another v Fourie and Another</w:t>
      </w:r>
      <w:r w:rsidRPr="00BB7A3A">
        <w:rPr>
          <w:rFonts w:ascii="Times New Roman" w:hAnsi="Times New Roman" w:cs="Times New Roman"/>
        </w:rPr>
        <w:t xml:space="preserve"> (CCT 60/40) [2005] ZACC 19, [2006] (3) BCLR 355 (CC), [2006] (1) SA 524 (CC) per Sachs J para 46.</w:t>
      </w:r>
    </w:p>
    <w:p w:rsidR="00783683" w:rsidRPr="00BB7A3A" w:rsidRDefault="00783683" w:rsidP="00783683">
      <w:pPr>
        <w:pStyle w:val="EndnoteText"/>
        <w:jc w:val="both"/>
        <w:rPr>
          <w:rFonts w:ascii="Times New Roman" w:hAnsi="Times New Roman" w:cs="Times New Roman"/>
        </w:rPr>
      </w:pPr>
    </w:p>
  </w:endnote>
  <w:endnote w:id="18">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Ibid.</w:t>
      </w:r>
      <w:r w:rsidRPr="00BB7A3A">
        <w:rPr>
          <w:rFonts w:ascii="Times New Roman" w:hAnsi="Times New Roman" w:cs="Times New Roman"/>
        </w:rPr>
        <w:t xml:space="preserve"> per Sachs J para 60.</w:t>
      </w:r>
    </w:p>
    <w:p w:rsidR="00783683" w:rsidRPr="00BB7A3A" w:rsidRDefault="00783683" w:rsidP="00783683">
      <w:pPr>
        <w:pStyle w:val="EndnoteText"/>
        <w:jc w:val="both"/>
        <w:rPr>
          <w:rFonts w:ascii="Times New Roman" w:hAnsi="Times New Roman" w:cs="Times New Roman"/>
        </w:rPr>
      </w:pPr>
    </w:p>
  </w:endnote>
  <w:endnote w:id="19">
    <w:p w:rsidR="00783683" w:rsidRPr="00BB7A3A" w:rsidRDefault="00783683" w:rsidP="00783683">
      <w:pPr>
        <w:spacing w:line="240" w:lineRule="auto"/>
        <w:contextualSpacing/>
        <w:jc w:val="both"/>
        <w:rPr>
          <w:rFonts w:ascii="Times New Roman" w:eastAsia="Calibri" w:hAnsi="Times New Roman" w:cs="Times New Roman"/>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eastAsia="Calibri" w:hAnsi="Times New Roman" w:cs="Times New Roman"/>
          <w:sz w:val="20"/>
          <w:szCs w:val="20"/>
        </w:rPr>
        <w:t xml:space="preserve">Barrett, 2006-2008 discusses at 695 the Supreme Court of New Jersey in </w:t>
      </w:r>
      <w:r w:rsidRPr="00BB7A3A">
        <w:rPr>
          <w:rFonts w:ascii="Times New Roman" w:eastAsia="Calibri" w:hAnsi="Times New Roman" w:cs="Times New Roman"/>
          <w:i/>
          <w:sz w:val="20"/>
          <w:szCs w:val="20"/>
        </w:rPr>
        <w:t>Lewis v Harris</w:t>
      </w:r>
      <w:r w:rsidRPr="00BB7A3A">
        <w:rPr>
          <w:rFonts w:ascii="Times New Roman" w:eastAsia="Calibri" w:hAnsi="Times New Roman" w:cs="Times New Roman"/>
          <w:sz w:val="20"/>
          <w:szCs w:val="20"/>
        </w:rPr>
        <w:t xml:space="preserve"> 908 A.2d 196, 224 (N.J. 2006) and at the Supreme Court of Hawaii in </w:t>
      </w:r>
      <w:r w:rsidRPr="00BB7A3A">
        <w:rPr>
          <w:rFonts w:ascii="Times New Roman" w:eastAsia="Calibri" w:hAnsi="Times New Roman" w:cs="Times New Roman"/>
          <w:i/>
          <w:sz w:val="20"/>
          <w:szCs w:val="20"/>
        </w:rPr>
        <w:t>Baehr v Lewin</w:t>
      </w:r>
      <w:r w:rsidRPr="00BB7A3A">
        <w:rPr>
          <w:rFonts w:ascii="Times New Roman" w:eastAsia="Calibri" w:hAnsi="Times New Roman" w:cs="Times New Roman"/>
          <w:sz w:val="20"/>
          <w:szCs w:val="20"/>
        </w:rPr>
        <w:t xml:space="preserve"> 852 P.2d 44. See also Lombino II, 2004. See also </w:t>
      </w:r>
      <w:r w:rsidRPr="00BB7A3A">
        <w:rPr>
          <w:rFonts w:ascii="Times New Roman" w:hAnsi="Times New Roman" w:cs="Times New Roman"/>
          <w:sz w:val="20"/>
          <w:szCs w:val="20"/>
        </w:rPr>
        <w:t>Crane,</w:t>
      </w:r>
      <w:r w:rsidRPr="00BB7A3A">
        <w:rPr>
          <w:rFonts w:ascii="Times New Roman" w:eastAsia="Calibri" w:hAnsi="Times New Roman" w:cs="Times New Roman"/>
          <w:sz w:val="20"/>
          <w:szCs w:val="20"/>
        </w:rPr>
        <w:t xml:space="preserve"> 2003-20045, 465 referring to </w:t>
      </w:r>
      <w:r w:rsidRPr="00BB7A3A">
        <w:rPr>
          <w:rFonts w:ascii="Times New Roman" w:eastAsia="Calibri" w:hAnsi="Times New Roman" w:cs="Times New Roman"/>
          <w:i/>
          <w:sz w:val="20"/>
          <w:szCs w:val="20"/>
        </w:rPr>
        <w:t>Goodridge v Department of Public Health</w:t>
      </w:r>
      <w:r w:rsidRPr="00BB7A3A">
        <w:rPr>
          <w:rFonts w:ascii="Times New Roman" w:eastAsia="Calibri" w:hAnsi="Times New Roman" w:cs="Times New Roman"/>
          <w:sz w:val="20"/>
          <w:szCs w:val="20"/>
        </w:rPr>
        <w:t xml:space="preserve"> 440 Mass. 309, 798 N.E. 2d 941 (2004).</w:t>
      </w:r>
    </w:p>
  </w:endnote>
  <w:endnote w:id="2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Obergefell et al v Hodges, Director, Ohio Department of Health</w:t>
      </w:r>
      <w:r w:rsidRPr="00BB7A3A">
        <w:rPr>
          <w:rFonts w:ascii="Times New Roman" w:hAnsi="Times New Roman" w:cs="Times New Roman"/>
        </w:rPr>
        <w:t xml:space="preserve"> (2015) (Docket No. 14-556).</w:t>
      </w:r>
    </w:p>
    <w:p w:rsidR="00783683" w:rsidRPr="00BB7A3A" w:rsidRDefault="00783683" w:rsidP="00783683">
      <w:pPr>
        <w:pStyle w:val="EndnoteText"/>
        <w:rPr>
          <w:rFonts w:ascii="Times New Roman" w:hAnsi="Times New Roman" w:cs="Times New Roman"/>
        </w:rPr>
      </w:pPr>
    </w:p>
  </w:endnote>
  <w:endnote w:id="21">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Ibid. </w:t>
      </w:r>
      <w:r w:rsidRPr="00BB7A3A">
        <w:rPr>
          <w:rFonts w:ascii="Times New Roman" w:hAnsi="Times New Roman" w:cs="Times New Roman"/>
        </w:rPr>
        <w:t xml:space="preserve"> </w:t>
      </w:r>
      <w:r>
        <w:rPr>
          <w:rFonts w:ascii="Times New Roman" w:hAnsi="Times New Roman" w:cs="Times New Roman"/>
        </w:rPr>
        <w:t>10.</w:t>
      </w:r>
    </w:p>
  </w:endnote>
  <w:endnote w:id="22">
    <w:p w:rsidR="00783683" w:rsidRDefault="00783683" w:rsidP="00783683">
      <w:pPr>
        <w:pStyle w:val="EndnoteText"/>
        <w:rPr>
          <w:rFonts w:ascii="Times New Roman" w:hAnsi="Times New Roman" w:cs="Times New Roman"/>
        </w:rPr>
      </w:pPr>
    </w:p>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Dudgeon v United Kingdom </w:t>
      </w:r>
      <w:r w:rsidRPr="00BB7A3A">
        <w:rPr>
          <w:rFonts w:ascii="Times New Roman" w:hAnsi="Times New Roman" w:cs="Times New Roman"/>
        </w:rPr>
        <w:t>(n</w:t>
      </w:r>
      <w:r>
        <w:rPr>
          <w:rFonts w:ascii="Times New Roman" w:hAnsi="Times New Roman" w:cs="Times New Roman"/>
        </w:rPr>
        <w:t>13</w:t>
      </w:r>
      <w:r w:rsidRPr="00BB7A3A">
        <w:rPr>
          <w:rFonts w:ascii="Times New Roman" w:hAnsi="Times New Roman" w:cs="Times New Roman"/>
        </w:rPr>
        <w:t xml:space="preserve">) </w:t>
      </w:r>
      <w:r>
        <w:rPr>
          <w:rFonts w:ascii="Times New Roman" w:hAnsi="Times New Roman" w:cs="Times New Roman"/>
        </w:rPr>
        <w:t xml:space="preserve">para 69.  </w:t>
      </w:r>
      <w:r w:rsidRPr="00BB7A3A">
        <w:rPr>
          <w:rFonts w:ascii="Times New Roman" w:hAnsi="Times New Roman" w:cs="Times New Roman"/>
        </w:rPr>
        <w:t>Grigolo 2003,</w:t>
      </w:r>
      <w:r w:rsidRPr="00BB7A3A">
        <w:rPr>
          <w:rFonts w:ascii="Times New Roman" w:eastAsia="Calibri" w:hAnsi="Times New Roman" w:cs="Times New Roman"/>
        </w:rPr>
        <w:t xml:space="preserve"> 1030 stated that in this case the ‘[c]ourt did not find it necessary to examine the case under Article 14.’ </w:t>
      </w:r>
    </w:p>
    <w:p w:rsidR="00783683" w:rsidRPr="00BB7A3A" w:rsidRDefault="00783683" w:rsidP="00783683">
      <w:pPr>
        <w:pStyle w:val="EndnoteText"/>
        <w:jc w:val="both"/>
        <w:rPr>
          <w:rFonts w:ascii="Times New Roman" w:hAnsi="Times New Roman" w:cs="Times New Roman"/>
        </w:rPr>
      </w:pPr>
    </w:p>
  </w:endnote>
  <w:endnote w:id="23">
    <w:p w:rsidR="00783683" w:rsidRPr="00BB7A3A" w:rsidRDefault="00783683" w:rsidP="00783683">
      <w:pPr>
        <w:pStyle w:val="EndnoteText"/>
        <w:jc w:val="both"/>
        <w:rPr>
          <w:rFonts w:ascii="Times New Roman" w:eastAsia="Calibri"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See eg</w:t>
      </w:r>
      <w:r w:rsidRPr="00BB7A3A">
        <w:rPr>
          <w:rFonts w:ascii="Times New Roman" w:hAnsi="Times New Roman" w:cs="Times New Roman"/>
        </w:rPr>
        <w:t xml:space="preserve"> </w:t>
      </w:r>
      <w:r w:rsidRPr="00BB7A3A">
        <w:rPr>
          <w:rFonts w:ascii="Times New Roman" w:hAnsi="Times New Roman" w:cs="Times New Roman"/>
          <w:i/>
        </w:rPr>
        <w:t>ADT v UK</w:t>
      </w:r>
      <w:r w:rsidRPr="00BB7A3A">
        <w:rPr>
          <w:rFonts w:ascii="Times New Roman" w:hAnsi="Times New Roman" w:cs="Times New Roman"/>
        </w:rPr>
        <w:t xml:space="preserve"> </w:t>
      </w:r>
      <w:r>
        <w:rPr>
          <w:rFonts w:ascii="Times New Roman" w:hAnsi="Times New Roman" w:cs="Times New Roman"/>
        </w:rPr>
        <w:t xml:space="preserve">(n14) </w:t>
      </w:r>
      <w:r w:rsidRPr="00BB7A3A">
        <w:rPr>
          <w:rFonts w:ascii="Times New Roman" w:eastAsia="Calibri" w:hAnsi="Times New Roman" w:cs="Times New Roman"/>
        </w:rPr>
        <w:t xml:space="preserve">para 40, </w:t>
      </w:r>
      <w:r w:rsidRPr="00BB7A3A">
        <w:rPr>
          <w:rFonts w:ascii="Times New Roman" w:hAnsi="Times New Roman" w:cs="Times New Roman"/>
          <w:i/>
        </w:rPr>
        <w:t>Lustig-Prean and Beckett v UK</w:t>
      </w:r>
      <w:r w:rsidRPr="00BB7A3A">
        <w:rPr>
          <w:rFonts w:ascii="Times New Roman" w:hAnsi="Times New Roman" w:cs="Times New Roman"/>
        </w:rPr>
        <w:t xml:space="preserve"> </w:t>
      </w:r>
      <w:r>
        <w:rPr>
          <w:rFonts w:ascii="Times New Roman" w:hAnsi="Times New Roman" w:cs="Times New Roman"/>
        </w:rPr>
        <w:t xml:space="preserve">(n14) </w:t>
      </w:r>
      <w:r w:rsidRPr="00BB7A3A">
        <w:rPr>
          <w:rFonts w:ascii="Times New Roman" w:eastAsia="Calibri" w:hAnsi="Times New Roman" w:cs="Times New Roman"/>
        </w:rPr>
        <w:t xml:space="preserve">paras 107-109 and </w:t>
      </w:r>
      <w:r w:rsidRPr="00BB7A3A">
        <w:rPr>
          <w:rFonts w:ascii="Times New Roman" w:hAnsi="Times New Roman" w:cs="Times New Roman"/>
          <w:i/>
        </w:rPr>
        <w:t>Smith and Grady</w:t>
      </w:r>
      <w:r w:rsidRPr="00BB7A3A">
        <w:rPr>
          <w:rFonts w:ascii="Times New Roman" w:hAnsi="Times New Roman" w:cs="Times New Roman"/>
        </w:rPr>
        <w:t xml:space="preserve"> </w:t>
      </w:r>
      <w:r w:rsidRPr="00BB7A3A">
        <w:rPr>
          <w:rFonts w:ascii="Times New Roman" w:hAnsi="Times New Roman" w:cs="Times New Roman"/>
          <w:i/>
        </w:rPr>
        <w:t>v UK</w:t>
      </w:r>
      <w:r w:rsidRPr="00BB7A3A">
        <w:rPr>
          <w:rFonts w:ascii="Times New Roman" w:hAnsi="Times New Roman" w:cs="Times New Roman"/>
        </w:rPr>
        <w:t xml:space="preserve"> </w:t>
      </w:r>
      <w:r>
        <w:rPr>
          <w:rFonts w:ascii="Times New Roman" w:hAnsi="Times New Roman" w:cs="Times New Roman"/>
        </w:rPr>
        <w:t xml:space="preserve">n14) </w:t>
      </w:r>
      <w:r w:rsidRPr="00BB7A3A">
        <w:rPr>
          <w:rFonts w:ascii="Times New Roman" w:eastAsia="Calibri" w:hAnsi="Times New Roman" w:cs="Times New Roman"/>
        </w:rPr>
        <w:t>paras 114 – 116.</w:t>
      </w:r>
    </w:p>
    <w:p w:rsidR="00783683" w:rsidRPr="00BB7A3A" w:rsidRDefault="00783683" w:rsidP="00783683">
      <w:pPr>
        <w:pStyle w:val="EndnoteText"/>
        <w:jc w:val="both"/>
        <w:rPr>
          <w:rFonts w:ascii="Times New Roman" w:hAnsi="Times New Roman" w:cs="Times New Roman"/>
        </w:rPr>
      </w:pPr>
    </w:p>
  </w:endnote>
  <w:endnote w:id="24">
    <w:p w:rsidR="00783683" w:rsidRPr="00BB7A3A" w:rsidRDefault="00783683" w:rsidP="00783683">
      <w:pPr>
        <w:pStyle w:val="EndnoteText"/>
        <w:jc w:val="both"/>
        <w:rPr>
          <w:rFonts w:ascii="Times New Roman" w:hAnsi="Times New Roman" w:cs="Times New Roman"/>
          <w:color w:val="000000"/>
          <w:kern w:val="24"/>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color w:val="000000"/>
          <w:kern w:val="24"/>
        </w:rPr>
        <w:t>Karner v Austria</w:t>
      </w:r>
      <w:r>
        <w:rPr>
          <w:rFonts w:ascii="Times New Roman" w:hAnsi="Times New Roman" w:cs="Times New Roman"/>
        </w:rPr>
        <w:t xml:space="preserve"> (</w:t>
      </w:r>
      <w:r w:rsidRPr="00BB7A3A">
        <w:rPr>
          <w:rFonts w:ascii="Times New Roman" w:hAnsi="Times New Roman" w:cs="Times New Roman"/>
        </w:rPr>
        <w:t>App</w:t>
      </w:r>
      <w:r>
        <w:rPr>
          <w:rFonts w:ascii="Times New Roman" w:hAnsi="Times New Roman" w:cs="Times New Roman"/>
        </w:rPr>
        <w:t>.</w:t>
      </w:r>
      <w:r w:rsidRPr="00BB7A3A">
        <w:rPr>
          <w:rFonts w:ascii="Times New Roman" w:hAnsi="Times New Roman" w:cs="Times New Roman"/>
        </w:rPr>
        <w:t xml:space="preserve"> No</w:t>
      </w:r>
      <w:r>
        <w:rPr>
          <w:rFonts w:ascii="Times New Roman" w:hAnsi="Times New Roman" w:cs="Times New Roman"/>
        </w:rPr>
        <w:t xml:space="preserve">. 40016/98, </w:t>
      </w:r>
      <w:r w:rsidRPr="00BB7A3A">
        <w:rPr>
          <w:rFonts w:ascii="Times New Roman" w:hAnsi="Times New Roman" w:cs="Times New Roman"/>
        </w:rPr>
        <w:t>24 July 2003</w:t>
      </w:r>
      <w:r>
        <w:rPr>
          <w:rFonts w:ascii="Times New Roman" w:hAnsi="Times New Roman" w:cs="Times New Roman"/>
        </w:rPr>
        <w:t>)</w:t>
      </w:r>
      <w:r w:rsidRPr="00BB7A3A">
        <w:rPr>
          <w:rFonts w:ascii="Times New Roman" w:hAnsi="Times New Roman" w:cs="Times New Roman"/>
        </w:rPr>
        <w:t xml:space="preserve"> </w:t>
      </w:r>
      <w:r w:rsidRPr="00BB7A3A">
        <w:rPr>
          <w:rFonts w:ascii="Times New Roman" w:hAnsi="Times New Roman" w:cs="Times New Roman"/>
          <w:color w:val="000000"/>
          <w:kern w:val="24"/>
        </w:rPr>
        <w:t>para 37.</w:t>
      </w:r>
      <w:r w:rsidRPr="00BB7A3A">
        <w:rPr>
          <w:rFonts w:ascii="Times New Roman" w:hAnsi="Times New Roman" w:cs="Times New Roman"/>
        </w:rPr>
        <w:t xml:space="preserve"> These other cases have also stressed the importance of the equality argument under Article 14. </w:t>
      </w:r>
      <w:r w:rsidRPr="00BB7A3A">
        <w:rPr>
          <w:rFonts w:ascii="Times New Roman" w:hAnsi="Times New Roman" w:cs="Times New Roman"/>
          <w:i/>
        </w:rPr>
        <w:t>X and Other</w:t>
      </w:r>
      <w:r>
        <w:rPr>
          <w:rFonts w:ascii="Times New Roman" w:hAnsi="Times New Roman" w:cs="Times New Roman"/>
          <w:i/>
        </w:rPr>
        <w:t xml:space="preserve">s v Austria </w:t>
      </w:r>
      <w:r>
        <w:rPr>
          <w:rFonts w:ascii="Times New Roman" w:hAnsi="Times New Roman" w:cs="Times New Roman"/>
        </w:rPr>
        <w:t>(App.</w:t>
      </w:r>
      <w:r w:rsidRPr="00BB7A3A">
        <w:rPr>
          <w:rFonts w:ascii="Times New Roman" w:hAnsi="Times New Roman" w:cs="Times New Roman"/>
        </w:rPr>
        <w:t xml:space="preserve"> No. 19010/07, 19 February 2013; </w:t>
      </w:r>
      <w:r w:rsidRPr="00BB7A3A">
        <w:rPr>
          <w:rFonts w:ascii="Times New Roman" w:hAnsi="Times New Roman" w:cs="Times New Roman"/>
          <w:i/>
        </w:rPr>
        <w:t>Vallianatos v Greece</w:t>
      </w:r>
      <w:r w:rsidRPr="00BB7A3A">
        <w:rPr>
          <w:rFonts w:ascii="Times New Roman" w:hAnsi="Times New Roman" w:cs="Times New Roman"/>
        </w:rPr>
        <w:t xml:space="preserve">, </w:t>
      </w:r>
      <w:r>
        <w:rPr>
          <w:rFonts w:ascii="Times New Roman" w:hAnsi="Times New Roman" w:cs="Times New Roman"/>
        </w:rPr>
        <w:t>App.</w:t>
      </w:r>
      <w:r w:rsidRPr="00BB7A3A">
        <w:rPr>
          <w:rFonts w:ascii="Times New Roman" w:hAnsi="Times New Roman" w:cs="Times New Roman"/>
        </w:rPr>
        <w:t xml:space="preserve"> Nos 29381/09 and 32684/09, 7 November 2013 and </w:t>
      </w:r>
      <w:r w:rsidRPr="00BB7A3A">
        <w:rPr>
          <w:rFonts w:ascii="Times New Roman" w:hAnsi="Times New Roman" w:cs="Times New Roman"/>
          <w:i/>
        </w:rPr>
        <w:t>Hamailainen v Finland</w:t>
      </w:r>
      <w:r>
        <w:rPr>
          <w:rFonts w:ascii="Times New Roman" w:hAnsi="Times New Roman" w:cs="Times New Roman"/>
        </w:rPr>
        <w:t xml:space="preserve"> (n12)</w:t>
      </w:r>
      <w:r w:rsidRPr="00BB7A3A">
        <w:rPr>
          <w:rFonts w:ascii="Times New Roman" w:hAnsi="Times New Roman" w:cs="Times New Roman"/>
        </w:rPr>
        <w:t>.</w:t>
      </w:r>
    </w:p>
    <w:p w:rsidR="00783683" w:rsidRPr="00BB7A3A" w:rsidRDefault="00783683" w:rsidP="00783683">
      <w:pPr>
        <w:pStyle w:val="EndnoteText"/>
        <w:jc w:val="both"/>
        <w:rPr>
          <w:rFonts w:ascii="Times New Roman" w:hAnsi="Times New Roman" w:cs="Times New Roman"/>
        </w:rPr>
      </w:pPr>
    </w:p>
  </w:endnote>
  <w:endnote w:id="25">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Vallianatos v Greece </w:t>
      </w:r>
      <w:r>
        <w:rPr>
          <w:rFonts w:ascii="Times New Roman" w:hAnsi="Times New Roman" w:cs="Times New Roman"/>
        </w:rPr>
        <w:t>(n24</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26">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X and Others v. Austria</w:t>
      </w:r>
      <w:r w:rsidRPr="00BB7A3A">
        <w:rPr>
          <w:rFonts w:ascii="Times New Roman" w:hAnsi="Times New Roman" w:cs="Times New Roman"/>
        </w:rPr>
        <w:t xml:space="preserve"> (</w:t>
      </w:r>
      <w:r>
        <w:rPr>
          <w:rFonts w:ascii="Times New Roman" w:hAnsi="Times New Roman" w:cs="Times New Roman"/>
        </w:rPr>
        <w:t>n24)</w:t>
      </w:r>
    </w:p>
    <w:p w:rsidR="00783683" w:rsidRPr="00BB7A3A" w:rsidRDefault="00783683" w:rsidP="00783683">
      <w:pPr>
        <w:pStyle w:val="EndnoteText"/>
        <w:rPr>
          <w:rFonts w:ascii="Times New Roman" w:hAnsi="Times New Roman" w:cs="Times New Roman"/>
        </w:rPr>
      </w:pPr>
    </w:p>
  </w:endnote>
  <w:endnote w:id="27">
    <w:p w:rsidR="00783683" w:rsidRPr="00BB7A3A"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lang w:val="es-ES_tradnl"/>
        </w:rPr>
        <w:t>Oliari v Italy</w:t>
      </w:r>
      <w:r w:rsidRPr="00BB7A3A">
        <w:rPr>
          <w:rFonts w:ascii="Times New Roman" w:hAnsi="Times New Roman" w:cs="Times New Roman"/>
          <w:lang w:val="es-ES_tradnl"/>
        </w:rPr>
        <w:t xml:space="preserve"> (n</w:t>
      </w:r>
      <w:r>
        <w:rPr>
          <w:rFonts w:ascii="Times New Roman" w:hAnsi="Times New Roman" w:cs="Times New Roman"/>
          <w:lang w:val="es-ES_tradnl"/>
        </w:rPr>
        <w:t>3</w:t>
      </w:r>
      <w:r w:rsidRPr="00BB7A3A">
        <w:rPr>
          <w:rFonts w:ascii="Times New Roman" w:hAnsi="Times New Roman" w:cs="Times New Roman"/>
          <w:lang w:val="es-ES_tradnl"/>
        </w:rPr>
        <w:t xml:space="preserve">). </w:t>
      </w:r>
    </w:p>
    <w:p w:rsidR="00783683" w:rsidRPr="00BB7A3A" w:rsidRDefault="00783683" w:rsidP="00783683">
      <w:pPr>
        <w:pStyle w:val="EndnoteText"/>
        <w:rPr>
          <w:rFonts w:ascii="Times New Roman" w:hAnsi="Times New Roman" w:cs="Times New Roman"/>
          <w:lang w:val="es-ES_tradnl"/>
        </w:rPr>
      </w:pPr>
    </w:p>
  </w:endnote>
  <w:endnote w:id="28">
    <w:p w:rsidR="00783683" w:rsidRPr="00A043F9"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Ibid,</w:t>
      </w:r>
    </w:p>
    <w:p w:rsidR="00783683" w:rsidRPr="00A043F9" w:rsidRDefault="00783683" w:rsidP="00783683">
      <w:pPr>
        <w:pStyle w:val="EndnoteText"/>
        <w:rPr>
          <w:rFonts w:ascii="Times New Roman" w:hAnsi="Times New Roman" w:cs="Times New Roman"/>
          <w:lang w:val="es-ES_tradnl"/>
        </w:rPr>
      </w:pPr>
      <w:r w:rsidRPr="00A043F9">
        <w:rPr>
          <w:rFonts w:ascii="Times New Roman" w:hAnsi="Times New Roman" w:cs="Times New Roman"/>
          <w:lang w:val="es-ES_tradnl"/>
        </w:rPr>
        <w:t xml:space="preserve"> </w:t>
      </w:r>
    </w:p>
  </w:endnote>
  <w:endnote w:id="29">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Fenwick 2016 considering </w:t>
      </w:r>
      <w:r>
        <w:rPr>
          <w:rFonts w:ascii="Times New Roman" w:hAnsi="Times New Roman" w:cs="Times New Roman"/>
          <w:i/>
        </w:rPr>
        <w:t xml:space="preserve">Ibid, </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3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Formulated in </w:t>
      </w:r>
      <w:r w:rsidRPr="00BB7A3A">
        <w:rPr>
          <w:rFonts w:ascii="Times New Roman" w:hAnsi="Times New Roman" w:cs="Times New Roman"/>
          <w:i/>
        </w:rPr>
        <w:t xml:space="preserve">Karner v Austria </w:t>
      </w:r>
      <w:r>
        <w:rPr>
          <w:rFonts w:ascii="Times New Roman" w:hAnsi="Times New Roman" w:cs="Times New Roman"/>
        </w:rPr>
        <w:t>(n24</w:t>
      </w:r>
      <w:r w:rsidRPr="00BB7A3A">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31">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19397E">
        <w:rPr>
          <w:rFonts w:ascii="Times New Roman" w:hAnsi="Times New Roman" w:cs="Times New Roman"/>
          <w:lang w:val="de-DE"/>
        </w:rPr>
        <w:t xml:space="preserve"> </w:t>
      </w:r>
      <w:r w:rsidRPr="0019397E">
        <w:rPr>
          <w:rFonts w:ascii="Times New Roman" w:hAnsi="Times New Roman" w:cs="Times New Roman"/>
          <w:i/>
          <w:lang w:val="de-DE"/>
        </w:rPr>
        <w:t>Schalk and Kopf v Austria</w:t>
      </w:r>
      <w:r w:rsidRPr="0019397E">
        <w:rPr>
          <w:rFonts w:ascii="Times New Roman" w:hAnsi="Times New Roman" w:cs="Times New Roman"/>
          <w:lang w:val="de-DE"/>
        </w:rPr>
        <w:t xml:space="preserve"> (n</w:t>
      </w:r>
      <w:r>
        <w:rPr>
          <w:rFonts w:ascii="Times New Roman" w:hAnsi="Times New Roman" w:cs="Times New Roman"/>
          <w:lang w:val="de-DE"/>
        </w:rPr>
        <w:t>1</w:t>
      </w:r>
      <w:r w:rsidRPr="0019397E">
        <w:rPr>
          <w:rFonts w:ascii="Times New Roman" w:hAnsi="Times New Roman" w:cs="Times New Roman"/>
          <w:lang w:val="de-DE"/>
        </w:rPr>
        <w:t xml:space="preserve">). </w:t>
      </w:r>
      <w:r w:rsidRPr="00BB7A3A">
        <w:rPr>
          <w:rFonts w:ascii="Times New Roman" w:hAnsi="Times New Roman" w:cs="Times New Roman"/>
        </w:rPr>
        <w:t xml:space="preserve">Dissenting Opinion of Judges Rozakis, Spielmann and Jebens para 8. </w:t>
      </w:r>
    </w:p>
  </w:endnote>
  <w:endnote w:id="32">
    <w:p w:rsidR="00783683" w:rsidRPr="00BB7A3A" w:rsidRDefault="00783683" w:rsidP="00783683">
      <w:pPr>
        <w:shd w:val="clear" w:color="auto" w:fill="FFFFFF"/>
        <w:spacing w:before="240" w:after="180" w:line="240" w:lineRule="auto"/>
        <w:outlineLvl w:val="2"/>
        <w:rPr>
          <w:rFonts w:ascii="Times New Roman" w:eastAsia="Times New Roman" w:hAnsi="Times New Roman" w:cs="Times New Roman"/>
          <w:color w:val="64473A"/>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See eg</w:t>
      </w:r>
      <w:r w:rsidRPr="00BB7A3A">
        <w:rPr>
          <w:rFonts w:ascii="Times New Roman" w:hAnsi="Times New Roman" w:cs="Times New Roman"/>
          <w:sz w:val="20"/>
          <w:szCs w:val="20"/>
        </w:rPr>
        <w:t xml:space="preserve"> the South African Constitutional Court judgment of </w:t>
      </w:r>
      <w:r w:rsidRPr="00BB7A3A">
        <w:rPr>
          <w:rFonts w:ascii="Times New Roman" w:hAnsi="Times New Roman" w:cs="Times New Roman"/>
          <w:i/>
          <w:sz w:val="20"/>
          <w:szCs w:val="20"/>
        </w:rPr>
        <w:t>Minister of Home Affairs and Another v Fourie and Another</w:t>
      </w:r>
      <w:r>
        <w:rPr>
          <w:rFonts w:ascii="Times New Roman" w:hAnsi="Times New Roman" w:cs="Times New Roman"/>
          <w:sz w:val="20"/>
          <w:szCs w:val="20"/>
        </w:rPr>
        <w:t xml:space="preserve"> (n17</w:t>
      </w:r>
      <w:r w:rsidRPr="00BB7A3A">
        <w:rPr>
          <w:rFonts w:ascii="Times New Roman" w:hAnsi="Times New Roman" w:cs="Times New Roman"/>
          <w:sz w:val="20"/>
          <w:szCs w:val="20"/>
        </w:rPr>
        <w:t xml:space="preserve">) and </w:t>
      </w:r>
      <w:r w:rsidRPr="00BB7A3A">
        <w:rPr>
          <w:rFonts w:ascii="Times New Roman" w:hAnsi="Times New Roman" w:cs="Times New Roman"/>
          <w:i/>
          <w:sz w:val="20"/>
          <w:szCs w:val="20"/>
        </w:rPr>
        <w:t xml:space="preserve">Obergefell et al v Hodges, Director, Ohio Department of Health </w:t>
      </w:r>
      <w:r>
        <w:rPr>
          <w:rFonts w:ascii="Times New Roman" w:hAnsi="Times New Roman" w:cs="Times New Roman"/>
          <w:sz w:val="20"/>
          <w:szCs w:val="20"/>
        </w:rPr>
        <w:t>(n20</w:t>
      </w:r>
      <w:r w:rsidRPr="00BB7A3A">
        <w:rPr>
          <w:rFonts w:ascii="Times New Roman" w:hAnsi="Times New Roman" w:cs="Times New Roman"/>
          <w:sz w:val="20"/>
          <w:szCs w:val="20"/>
        </w:rPr>
        <w:t xml:space="preserve">). </w:t>
      </w:r>
    </w:p>
  </w:endnote>
  <w:endnote w:id="33">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Sweeney 2005, 462 referring to </w:t>
      </w:r>
      <w:r w:rsidRPr="00BB7A3A">
        <w:rPr>
          <w:rFonts w:ascii="Times New Roman" w:hAnsi="Times New Roman" w:cs="Times New Roman"/>
          <w:i/>
        </w:rPr>
        <w:t>Handyside v UK</w:t>
      </w:r>
      <w:r w:rsidRPr="00BB7A3A">
        <w:rPr>
          <w:rFonts w:ascii="Times New Roman" w:hAnsi="Times New Roman" w:cs="Times New Roman"/>
        </w:rPr>
        <w:t xml:space="preserve"> </w:t>
      </w:r>
      <w:r>
        <w:rPr>
          <w:rFonts w:ascii="Times New Roman" w:hAnsi="Times New Roman" w:cs="Times New Roman"/>
        </w:rPr>
        <w:t>(</w:t>
      </w:r>
      <w:r w:rsidRPr="00BB7A3A">
        <w:rPr>
          <w:rFonts w:ascii="Times New Roman" w:hAnsi="Times New Roman" w:cs="Times New Roman"/>
        </w:rPr>
        <w:t>App</w:t>
      </w:r>
      <w:r>
        <w:rPr>
          <w:rFonts w:ascii="Times New Roman" w:hAnsi="Times New Roman" w:cs="Times New Roman"/>
        </w:rPr>
        <w:t>.</w:t>
      </w:r>
      <w:r w:rsidRPr="00BB7A3A">
        <w:rPr>
          <w:rFonts w:ascii="Times New Roman" w:hAnsi="Times New Roman" w:cs="Times New Roman"/>
        </w:rPr>
        <w:t xml:space="preserve"> No. 5493/72</w:t>
      </w:r>
      <w:r>
        <w:rPr>
          <w:rFonts w:ascii="Times New Roman" w:hAnsi="Times New Roman" w:cs="Times New Roman"/>
        </w:rPr>
        <w:t xml:space="preserve">, </w:t>
      </w:r>
      <w:r w:rsidRPr="00BB7A3A">
        <w:rPr>
          <w:rFonts w:ascii="Times New Roman" w:hAnsi="Times New Roman" w:cs="Times New Roman"/>
        </w:rPr>
        <w:t>7 December 1976</w:t>
      </w:r>
      <w:r>
        <w:rPr>
          <w:rFonts w:ascii="Times New Roman" w:hAnsi="Times New Roman" w:cs="Times New Roman"/>
        </w:rPr>
        <w:t>)</w:t>
      </w:r>
      <w:r w:rsidRPr="00BB7A3A">
        <w:rPr>
          <w:rFonts w:ascii="Times New Roman" w:hAnsi="Times New Roman" w:cs="Times New Roman"/>
        </w:rPr>
        <w:t>.</w:t>
      </w:r>
    </w:p>
    <w:p w:rsidR="00783683" w:rsidRPr="00BB7A3A" w:rsidRDefault="00783683" w:rsidP="00783683">
      <w:pPr>
        <w:pStyle w:val="EndnoteText"/>
        <w:jc w:val="both"/>
        <w:rPr>
          <w:rFonts w:ascii="Times New Roman" w:hAnsi="Times New Roman" w:cs="Times New Roman"/>
        </w:rPr>
      </w:pPr>
    </w:p>
  </w:endnote>
  <w:endnote w:id="34">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Eg</w:t>
      </w:r>
      <w:r w:rsidRPr="00BB7A3A">
        <w:rPr>
          <w:rFonts w:ascii="Times New Roman" w:hAnsi="Times New Roman" w:cs="Times New Roman"/>
        </w:rPr>
        <w:t xml:space="preserve"> </w:t>
      </w:r>
      <w:r w:rsidRPr="00BB7A3A">
        <w:rPr>
          <w:rFonts w:ascii="Times New Roman" w:hAnsi="Times New Roman" w:cs="Times New Roman"/>
          <w:i/>
        </w:rPr>
        <w:t>Dudgeon v United Kingdom</w:t>
      </w:r>
      <w:r>
        <w:rPr>
          <w:rFonts w:ascii="Times New Roman" w:hAnsi="Times New Roman" w:cs="Times New Roman"/>
        </w:rPr>
        <w:t xml:space="preserve"> (n13</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35">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Ibid</w:t>
      </w:r>
      <w:r>
        <w:rPr>
          <w:rFonts w:ascii="Times New Roman" w:hAnsi="Times New Roman" w:cs="Times New Roman"/>
          <w:i/>
        </w:rPr>
        <w:t xml:space="preserve">. </w:t>
      </w:r>
      <w:r w:rsidRPr="00BB7A3A">
        <w:rPr>
          <w:rFonts w:ascii="Times New Roman" w:hAnsi="Times New Roman" w:cs="Times New Roman"/>
        </w:rPr>
        <w:t>para 52.</w:t>
      </w:r>
      <w:r w:rsidRPr="00BB7A3A">
        <w:rPr>
          <w:rFonts w:ascii="Times New Roman" w:hAnsi="Times New Roman" w:cs="Times New Roman"/>
          <w:i/>
        </w:rPr>
        <w:t xml:space="preserve"> </w:t>
      </w:r>
    </w:p>
    <w:p w:rsidR="00783683" w:rsidRPr="00BB7A3A" w:rsidRDefault="00783683" w:rsidP="00783683">
      <w:pPr>
        <w:pStyle w:val="EndnoteText"/>
        <w:jc w:val="both"/>
        <w:rPr>
          <w:rFonts w:ascii="Times New Roman" w:hAnsi="Times New Roman" w:cs="Times New Roman"/>
        </w:rPr>
      </w:pPr>
    </w:p>
  </w:endnote>
  <w:endnote w:id="36">
    <w:p w:rsidR="00783683" w:rsidRPr="00BB7A3A" w:rsidRDefault="00783683" w:rsidP="00783683">
      <w:pPr>
        <w:pStyle w:val="EndnoteText"/>
        <w:rPr>
          <w:rFonts w:ascii="Times New Roman" w:hAnsi="Times New Roman" w:cs="Times New Roman"/>
          <w:b/>
          <w:bCs/>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Lustig-Prean and Beckett v UK </w:t>
      </w:r>
      <w:r>
        <w:rPr>
          <w:rFonts w:ascii="Times New Roman" w:hAnsi="Times New Roman" w:cs="Times New Roman"/>
        </w:rPr>
        <w:t>(n14</w:t>
      </w:r>
      <w:r w:rsidRPr="00BB7A3A">
        <w:rPr>
          <w:rFonts w:ascii="Times New Roman" w:hAnsi="Times New Roman" w:cs="Times New Roman"/>
        </w:rPr>
        <w:t>)</w:t>
      </w:r>
      <w:r>
        <w:rPr>
          <w:rFonts w:ascii="Times New Roman" w:eastAsia="Calibri" w:hAnsi="Times New Roman" w:cs="Times New Roman"/>
        </w:rPr>
        <w:t>,</w:t>
      </w:r>
      <w:r w:rsidRPr="00BB7A3A">
        <w:rPr>
          <w:rFonts w:ascii="Times New Roman" w:eastAsia="Calibri" w:hAnsi="Times New Roman" w:cs="Times New Roman"/>
        </w:rPr>
        <w:t xml:space="preserve"> </w:t>
      </w:r>
      <w:r w:rsidRPr="00BB7A3A">
        <w:rPr>
          <w:rFonts w:ascii="Times New Roman" w:eastAsia="Calibri" w:hAnsi="Times New Roman" w:cs="Times New Roman"/>
          <w:i/>
        </w:rPr>
        <w:t xml:space="preserve">Smith and Grady v UK </w:t>
      </w:r>
      <w:r>
        <w:rPr>
          <w:rFonts w:ascii="Times New Roman" w:eastAsia="Calibri" w:hAnsi="Times New Roman" w:cs="Times New Roman"/>
        </w:rPr>
        <w:t>(n14</w:t>
      </w:r>
      <w:r w:rsidRPr="00BB7A3A">
        <w:rPr>
          <w:rFonts w:ascii="Times New Roman" w:eastAsia="Calibri" w:hAnsi="Times New Roman" w:cs="Times New Roman"/>
        </w:rPr>
        <w:t>)</w:t>
      </w:r>
      <w:r w:rsidRPr="00BB7A3A">
        <w:rPr>
          <w:rFonts w:ascii="Times New Roman" w:hAnsi="Times New Roman" w:cs="Times New Roman"/>
        </w:rPr>
        <w:t xml:space="preserve"> and </w:t>
      </w:r>
      <w:r w:rsidRPr="00BB7A3A">
        <w:rPr>
          <w:rFonts w:ascii="Times New Roman" w:hAnsi="Times New Roman" w:cs="Times New Roman"/>
          <w:i/>
        </w:rPr>
        <w:t>L and V v Austria</w:t>
      </w:r>
      <w:r>
        <w:rPr>
          <w:rFonts w:ascii="Times New Roman" w:hAnsi="Times New Roman" w:cs="Times New Roman"/>
        </w:rPr>
        <w:t>, (App.</w:t>
      </w:r>
      <w:r w:rsidRPr="00BB7A3A">
        <w:rPr>
          <w:rFonts w:ascii="Times New Roman" w:hAnsi="Times New Roman" w:cs="Times New Roman"/>
        </w:rPr>
        <w:t xml:space="preserve"> Nos 39392/98 and 39829/98</w:t>
      </w:r>
      <w:r>
        <w:rPr>
          <w:rFonts w:ascii="Times New Roman" w:hAnsi="Times New Roman" w:cs="Times New Roman"/>
        </w:rPr>
        <w:t xml:space="preserve">, </w:t>
      </w:r>
      <w:r w:rsidRPr="00BB7A3A">
        <w:rPr>
          <w:rFonts w:ascii="Times New Roman" w:hAnsi="Times New Roman" w:cs="Times New Roman"/>
        </w:rPr>
        <w:t xml:space="preserve"> 9 January 2003.   </w:t>
      </w:r>
    </w:p>
    <w:p w:rsidR="00783683" w:rsidRPr="00BB7A3A" w:rsidRDefault="00783683" w:rsidP="00783683">
      <w:pPr>
        <w:pStyle w:val="EndnoteText"/>
        <w:rPr>
          <w:rFonts w:ascii="Times New Roman" w:hAnsi="Times New Roman" w:cs="Times New Roman"/>
        </w:rPr>
      </w:pPr>
    </w:p>
  </w:endnote>
  <w:endnote w:id="37">
    <w:p w:rsidR="00783683" w:rsidRPr="00BB7A3A" w:rsidRDefault="00783683" w:rsidP="00783683">
      <w:pPr>
        <w:spacing w:after="0" w:line="240" w:lineRule="auto"/>
        <w:jc w:val="both"/>
        <w:rPr>
          <w:rFonts w:ascii="Times New Roman" w:hAnsi="Times New Roman" w:cs="Times New Roman"/>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Dudgeon v United Kingdom</w:t>
      </w:r>
      <w:r>
        <w:rPr>
          <w:rFonts w:ascii="Times New Roman" w:hAnsi="Times New Roman" w:cs="Times New Roman"/>
          <w:sz w:val="20"/>
          <w:szCs w:val="20"/>
        </w:rPr>
        <w:t xml:space="preserve"> (n13</w:t>
      </w:r>
      <w:r w:rsidRPr="00BB7A3A">
        <w:rPr>
          <w:rFonts w:ascii="Times New Roman" w:hAnsi="Times New Roman" w:cs="Times New Roman"/>
          <w:sz w:val="20"/>
          <w:szCs w:val="20"/>
        </w:rPr>
        <w:t>) para 49.</w:t>
      </w:r>
    </w:p>
    <w:p w:rsidR="00783683" w:rsidRPr="00BB7A3A" w:rsidRDefault="00783683" w:rsidP="00783683">
      <w:pPr>
        <w:spacing w:after="0" w:line="240" w:lineRule="auto"/>
        <w:jc w:val="both"/>
        <w:rPr>
          <w:rFonts w:ascii="Times New Roman" w:hAnsi="Times New Roman" w:cs="Times New Roman"/>
          <w:sz w:val="20"/>
          <w:szCs w:val="20"/>
        </w:rPr>
      </w:pPr>
      <w:r w:rsidRPr="00BB7A3A">
        <w:rPr>
          <w:rFonts w:ascii="Times New Roman" w:hAnsi="Times New Roman" w:cs="Times New Roman"/>
          <w:sz w:val="20"/>
          <w:szCs w:val="20"/>
        </w:rPr>
        <w:t xml:space="preserve"> </w:t>
      </w:r>
    </w:p>
  </w:endnote>
  <w:endnote w:id="38">
    <w:p w:rsidR="00783683" w:rsidRPr="00BB7A3A" w:rsidRDefault="00783683" w:rsidP="00783683">
      <w:pPr>
        <w:spacing w:after="0" w:line="240" w:lineRule="auto"/>
        <w:outlineLvl w:val="1"/>
        <w:rPr>
          <w:rFonts w:ascii="Times New Roman" w:eastAsia="Times New Roman" w:hAnsi="Times New Roman" w:cs="Times New Roman"/>
          <w:b/>
          <w:bCs/>
          <w:kern w:val="36"/>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See eg</w:t>
      </w:r>
      <w:r w:rsidRPr="00BB7A3A">
        <w:rPr>
          <w:rFonts w:ascii="Times New Roman" w:hAnsi="Times New Roman" w:cs="Times New Roman"/>
          <w:sz w:val="20"/>
          <w:szCs w:val="20"/>
        </w:rPr>
        <w:t xml:space="preserve"> </w:t>
      </w:r>
      <w:r>
        <w:rPr>
          <w:rFonts w:ascii="Times New Roman" w:hAnsi="Times New Roman" w:cs="Times New Roman"/>
          <w:i/>
          <w:color w:val="000000"/>
          <w:kern w:val="24"/>
          <w:sz w:val="20"/>
          <w:szCs w:val="20"/>
        </w:rPr>
        <w:t xml:space="preserve">Karner v Austria </w:t>
      </w:r>
      <w:r>
        <w:rPr>
          <w:rFonts w:ascii="Times New Roman" w:hAnsi="Times New Roman" w:cs="Times New Roman"/>
          <w:sz w:val="20"/>
          <w:szCs w:val="20"/>
        </w:rPr>
        <w:t>(n24)</w:t>
      </w:r>
      <w:r w:rsidRPr="00BB7A3A">
        <w:rPr>
          <w:rFonts w:ascii="Times New Roman" w:hAnsi="Times New Roman" w:cs="Times New Roman"/>
          <w:sz w:val="20"/>
          <w:szCs w:val="20"/>
        </w:rPr>
        <w:t xml:space="preserve"> and </w:t>
      </w:r>
      <w:r w:rsidRPr="00A80CE9">
        <w:rPr>
          <w:rFonts w:ascii="Times New Roman" w:hAnsi="Times New Roman" w:cs="Times New Roman"/>
          <w:i/>
          <w:sz w:val="20"/>
          <w:szCs w:val="20"/>
        </w:rPr>
        <w:t>Kozak v Poland</w:t>
      </w:r>
      <w:r>
        <w:rPr>
          <w:rFonts w:ascii="Times New Roman" w:hAnsi="Times New Roman" w:cs="Times New Roman"/>
          <w:sz w:val="20"/>
          <w:szCs w:val="20"/>
        </w:rPr>
        <w:t xml:space="preserve"> (App.</w:t>
      </w:r>
      <w:r w:rsidRPr="00BB7A3A">
        <w:rPr>
          <w:rFonts w:ascii="Times New Roman" w:hAnsi="Times New Roman" w:cs="Times New Roman"/>
          <w:sz w:val="20"/>
          <w:szCs w:val="20"/>
        </w:rPr>
        <w:t xml:space="preserve"> No</w:t>
      </w:r>
      <w:r>
        <w:rPr>
          <w:rFonts w:ascii="Times New Roman" w:hAnsi="Times New Roman" w:cs="Times New Roman"/>
          <w:sz w:val="20"/>
          <w:szCs w:val="20"/>
        </w:rPr>
        <w:t xml:space="preserve">. 13102/02, </w:t>
      </w:r>
      <w:r w:rsidRPr="00BB7A3A">
        <w:rPr>
          <w:rFonts w:ascii="Times New Roman" w:hAnsi="Times New Roman" w:cs="Times New Roman"/>
          <w:sz w:val="20"/>
          <w:szCs w:val="20"/>
        </w:rPr>
        <w:t>2 March 2010</w:t>
      </w:r>
      <w:r>
        <w:rPr>
          <w:rFonts w:ascii="Times New Roman" w:hAnsi="Times New Roman" w:cs="Times New Roman"/>
          <w:sz w:val="20"/>
          <w:szCs w:val="20"/>
        </w:rPr>
        <w:t>)</w:t>
      </w:r>
      <w:r w:rsidRPr="00BB7A3A">
        <w:rPr>
          <w:rFonts w:ascii="Times New Roman" w:hAnsi="Times New Roman" w:cs="Times New Roman"/>
          <w:sz w:val="20"/>
          <w:szCs w:val="20"/>
        </w:rPr>
        <w:t xml:space="preserve">. </w:t>
      </w:r>
    </w:p>
    <w:p w:rsidR="00783683" w:rsidRPr="00BB7A3A" w:rsidRDefault="00783683" w:rsidP="00783683">
      <w:pPr>
        <w:pStyle w:val="EndnoteText"/>
        <w:rPr>
          <w:rFonts w:ascii="Times New Roman" w:hAnsi="Times New Roman" w:cs="Times New Roman"/>
        </w:rPr>
      </w:pPr>
    </w:p>
  </w:endnote>
  <w:endnote w:id="39">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for example </w:t>
      </w:r>
      <w:r w:rsidRPr="00BB7A3A">
        <w:rPr>
          <w:rFonts w:ascii="Times New Roman" w:hAnsi="Times New Roman" w:cs="Times New Roman"/>
          <w:i/>
        </w:rPr>
        <w:t>Schalk and Kopf v Austria</w:t>
      </w:r>
      <w:r>
        <w:rPr>
          <w:rFonts w:ascii="Times New Roman" w:hAnsi="Times New Roman" w:cs="Times New Roman"/>
        </w:rPr>
        <w:t xml:space="preserve">  (n1</w:t>
      </w:r>
      <w:r w:rsidRPr="00BB7A3A">
        <w:rPr>
          <w:rFonts w:ascii="Times New Roman" w:hAnsi="Times New Roman" w:cs="Times New Roman"/>
        </w:rPr>
        <w:t xml:space="preserve">), </w:t>
      </w:r>
      <w:r w:rsidRPr="00BB7A3A">
        <w:rPr>
          <w:rFonts w:ascii="Times New Roman" w:hAnsi="Times New Roman" w:cs="Times New Roman"/>
          <w:i/>
        </w:rPr>
        <w:t xml:space="preserve">Hamalaninen v Finland </w:t>
      </w:r>
      <w:r w:rsidRPr="00BB7A3A">
        <w:rPr>
          <w:rFonts w:ascii="Times New Roman" w:hAnsi="Times New Roman" w:cs="Times New Roman"/>
        </w:rPr>
        <w:t>(n</w:t>
      </w:r>
      <w:r>
        <w:rPr>
          <w:rFonts w:ascii="Times New Roman" w:hAnsi="Times New Roman" w:cs="Times New Roman"/>
        </w:rPr>
        <w:t>12</w:t>
      </w:r>
      <w:r w:rsidRPr="00BB7A3A">
        <w:rPr>
          <w:rFonts w:ascii="Times New Roman" w:hAnsi="Times New Roman" w:cs="Times New Roman"/>
        </w:rPr>
        <w:t xml:space="preserve">) and </w:t>
      </w:r>
      <w:r w:rsidRPr="00BB7A3A">
        <w:rPr>
          <w:rFonts w:ascii="Times New Roman" w:hAnsi="Times New Roman" w:cs="Times New Roman"/>
          <w:i/>
        </w:rPr>
        <w:t>Chapin and Charpentier v France</w:t>
      </w:r>
      <w:r w:rsidRPr="00BB7A3A">
        <w:rPr>
          <w:rFonts w:ascii="Times New Roman" w:hAnsi="Times New Roman" w:cs="Times New Roman"/>
        </w:rPr>
        <w:t xml:space="preserve"> (n</w:t>
      </w:r>
      <w:r>
        <w:rPr>
          <w:rFonts w:ascii="Times New Roman" w:hAnsi="Times New Roman" w:cs="Times New Roman"/>
        </w:rPr>
        <w:t>2</w:t>
      </w:r>
      <w:r w:rsidRPr="00BB7A3A">
        <w:rPr>
          <w:rFonts w:ascii="Times New Roman" w:hAnsi="Times New Roman" w:cs="Times New Roman"/>
        </w:rPr>
        <w:t xml:space="preserve"> ). </w:t>
      </w:r>
    </w:p>
    <w:p w:rsidR="00783683" w:rsidRPr="00BB7A3A" w:rsidRDefault="00783683" w:rsidP="00783683">
      <w:pPr>
        <w:pStyle w:val="EndnoteText"/>
        <w:rPr>
          <w:rFonts w:ascii="Times New Roman" w:hAnsi="Times New Roman" w:cs="Times New Roman"/>
        </w:rPr>
      </w:pPr>
    </w:p>
  </w:endnote>
  <w:endnote w:id="4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w:t>
      </w:r>
      <w:r w:rsidRPr="00BB7A3A">
        <w:rPr>
          <w:rFonts w:ascii="Times New Roman" w:hAnsi="Times New Roman" w:cs="Times New Roman"/>
          <w:i/>
        </w:rPr>
        <w:t xml:space="preserve"> Ibid. </w:t>
      </w:r>
    </w:p>
    <w:p w:rsidR="00783683" w:rsidRPr="00BB7A3A" w:rsidRDefault="00783683" w:rsidP="00783683">
      <w:pPr>
        <w:pStyle w:val="EndnoteText"/>
        <w:rPr>
          <w:rFonts w:ascii="Times New Roman" w:hAnsi="Times New Roman" w:cs="Times New Roman"/>
        </w:rPr>
      </w:pPr>
    </w:p>
  </w:endnote>
  <w:endnote w:id="41">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BB7A3A">
        <w:rPr>
          <w:rFonts w:ascii="Times New Roman" w:hAnsi="Times New Roman" w:cs="Times New Roman"/>
          <w:i/>
        </w:rPr>
        <w:t>Schalk and Kopf v Austria</w:t>
      </w:r>
      <w:r w:rsidRPr="00BB7A3A">
        <w:rPr>
          <w:rFonts w:ascii="Times New Roman" w:hAnsi="Times New Roman" w:cs="Times New Roman"/>
        </w:rPr>
        <w:t xml:space="preserve"> </w:t>
      </w:r>
      <w:r>
        <w:rPr>
          <w:rFonts w:ascii="Times New Roman" w:hAnsi="Times New Roman" w:cs="Times New Roman"/>
        </w:rPr>
        <w:t>(n1</w:t>
      </w:r>
      <w:r w:rsidRPr="00BB7A3A">
        <w:rPr>
          <w:rFonts w:ascii="Times New Roman" w:hAnsi="Times New Roman" w:cs="Times New Roman"/>
        </w:rPr>
        <w:t xml:space="preserve">) para 45 and </w:t>
      </w:r>
      <w:r w:rsidRPr="00BB7A3A">
        <w:rPr>
          <w:rFonts w:ascii="Times New Roman" w:hAnsi="Times New Roman" w:cs="Times New Roman"/>
          <w:i/>
        </w:rPr>
        <w:t>Hamalaninen v Finland</w:t>
      </w:r>
      <w:r w:rsidRPr="00BB7A3A">
        <w:rPr>
          <w:rFonts w:ascii="Times New Roman" w:hAnsi="Times New Roman" w:cs="Times New Roman"/>
        </w:rPr>
        <w:t xml:space="preserve"> (n</w:t>
      </w:r>
      <w:r>
        <w:rPr>
          <w:rFonts w:ascii="Times New Roman" w:hAnsi="Times New Roman" w:cs="Times New Roman"/>
        </w:rPr>
        <w:t>12</w:t>
      </w:r>
      <w:r w:rsidRPr="00BB7A3A">
        <w:rPr>
          <w:rFonts w:ascii="Times New Roman" w:hAnsi="Times New Roman" w:cs="Times New Roman"/>
        </w:rPr>
        <w:t>) para 75.</w:t>
      </w:r>
    </w:p>
    <w:p w:rsidR="00783683" w:rsidRPr="00BB7A3A" w:rsidRDefault="00783683" w:rsidP="00783683">
      <w:pPr>
        <w:pStyle w:val="EndnoteText"/>
        <w:jc w:val="both"/>
        <w:rPr>
          <w:rFonts w:ascii="Times New Roman" w:hAnsi="Times New Roman" w:cs="Times New Roman"/>
        </w:rPr>
      </w:pPr>
    </w:p>
  </w:endnote>
  <w:endnote w:id="42">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Dudgeon v United Kingdom</w:t>
      </w:r>
      <w:r>
        <w:rPr>
          <w:rFonts w:ascii="Times New Roman" w:hAnsi="Times New Roman" w:cs="Times New Roman"/>
        </w:rPr>
        <w:t xml:space="preserve"> (n13</w:t>
      </w:r>
      <w:r w:rsidRPr="00BB7A3A">
        <w:rPr>
          <w:rFonts w:ascii="Times New Roman" w:hAnsi="Times New Roman" w:cs="Times New Roman"/>
        </w:rPr>
        <w:t>) para 32.</w:t>
      </w:r>
    </w:p>
    <w:p w:rsidR="00783683" w:rsidRPr="00BB7A3A" w:rsidRDefault="00783683" w:rsidP="00783683">
      <w:pPr>
        <w:pStyle w:val="EndnoteText"/>
        <w:jc w:val="both"/>
        <w:rPr>
          <w:rFonts w:ascii="Times New Roman" w:hAnsi="Times New Roman" w:cs="Times New Roman"/>
        </w:rPr>
      </w:pPr>
    </w:p>
  </w:endnote>
  <w:endnote w:id="43">
    <w:p w:rsidR="00783683" w:rsidRPr="00BB7A3A" w:rsidRDefault="00783683" w:rsidP="00783683">
      <w:pPr>
        <w:pStyle w:val="EndnoteText"/>
        <w:jc w:val="both"/>
        <w:rPr>
          <w:rFonts w:ascii="Times New Roman" w:hAnsi="Times New Roman" w:cs="Times New Roman"/>
          <w:lang w:val="de-DE"/>
        </w:rPr>
      </w:pPr>
      <w:r w:rsidRPr="00BB7A3A">
        <w:rPr>
          <w:rStyle w:val="EndnoteReference"/>
          <w:rFonts w:ascii="Times New Roman" w:hAnsi="Times New Roman" w:cs="Times New Roman"/>
        </w:rPr>
        <w:endnoteRef/>
      </w:r>
      <w:r w:rsidRPr="00BB7A3A">
        <w:rPr>
          <w:rFonts w:ascii="Times New Roman" w:hAnsi="Times New Roman" w:cs="Times New Roman"/>
          <w:lang w:val="de-DE"/>
        </w:rPr>
        <w:t xml:space="preserve"> </w:t>
      </w:r>
      <w:r w:rsidRPr="00BB7A3A">
        <w:rPr>
          <w:rFonts w:ascii="Times New Roman" w:hAnsi="Times New Roman" w:cs="Times New Roman"/>
          <w:i/>
          <w:lang w:val="de-DE"/>
        </w:rPr>
        <w:t xml:space="preserve">Sutherland v UK </w:t>
      </w:r>
      <w:r w:rsidRPr="00BB7A3A">
        <w:rPr>
          <w:rFonts w:ascii="Times New Roman" w:hAnsi="Times New Roman" w:cs="Times New Roman"/>
          <w:lang w:val="de-DE"/>
        </w:rPr>
        <w:t>(n )</w:t>
      </w:r>
      <w:r w:rsidRPr="00BB7A3A">
        <w:rPr>
          <w:rFonts w:ascii="Times New Roman" w:hAnsi="Times New Roman" w:cs="Times New Roman"/>
          <w:i/>
          <w:lang w:val="de-DE"/>
        </w:rPr>
        <w:t xml:space="preserve"> </w:t>
      </w:r>
      <w:r w:rsidRPr="00BB7A3A">
        <w:rPr>
          <w:rFonts w:ascii="Times New Roman" w:hAnsi="Times New Roman" w:cs="Times New Roman"/>
          <w:lang w:val="de-DE"/>
        </w:rPr>
        <w:t>para  2.</w:t>
      </w:r>
    </w:p>
    <w:p w:rsidR="00783683" w:rsidRPr="00BB7A3A" w:rsidRDefault="00783683" w:rsidP="00783683">
      <w:pPr>
        <w:pStyle w:val="EndnoteText"/>
        <w:jc w:val="both"/>
        <w:rPr>
          <w:rFonts w:ascii="Times New Roman" w:hAnsi="Times New Roman" w:cs="Times New Roman"/>
          <w:lang w:val="de-DE"/>
        </w:rPr>
      </w:pPr>
    </w:p>
  </w:endnote>
  <w:endnote w:id="44">
    <w:p w:rsidR="00783683" w:rsidRPr="00BB7A3A" w:rsidRDefault="00783683" w:rsidP="00783683">
      <w:pPr>
        <w:pStyle w:val="EndnoteText"/>
        <w:jc w:val="both"/>
        <w:rPr>
          <w:rFonts w:ascii="Times New Roman" w:eastAsia="Calibri"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Grigolo 2003,</w:t>
      </w:r>
      <w:r w:rsidRPr="00BB7A3A">
        <w:rPr>
          <w:rFonts w:ascii="Times New Roman" w:eastAsia="Calibri" w:hAnsi="Times New Roman" w:cs="Times New Roman"/>
        </w:rPr>
        <w:t xml:space="preserve"> 1030 referring to </w:t>
      </w:r>
      <w:r w:rsidRPr="00BB7A3A">
        <w:rPr>
          <w:rFonts w:ascii="Times New Roman" w:hAnsi="Times New Roman" w:cs="Times New Roman"/>
          <w:i/>
        </w:rPr>
        <w:t>Dudgeon v United Kingdom</w:t>
      </w:r>
      <w:r>
        <w:rPr>
          <w:rFonts w:ascii="Times New Roman" w:hAnsi="Times New Roman" w:cs="Times New Roman"/>
        </w:rPr>
        <w:t xml:space="preserve"> (n13)</w:t>
      </w:r>
      <w:r w:rsidRPr="00BB7A3A">
        <w:rPr>
          <w:rFonts w:ascii="Times New Roman" w:hAnsi="Times New Roman" w:cs="Times New Roman"/>
        </w:rPr>
        <w:t xml:space="preserve"> </w:t>
      </w:r>
      <w:r w:rsidRPr="00BB7A3A">
        <w:rPr>
          <w:rFonts w:ascii="Times New Roman" w:eastAsia="Calibri" w:hAnsi="Times New Roman" w:cs="Times New Roman"/>
        </w:rPr>
        <w:t>para 49.</w:t>
      </w:r>
    </w:p>
    <w:p w:rsidR="00783683" w:rsidRPr="00BB7A3A" w:rsidRDefault="00783683" w:rsidP="00783683">
      <w:pPr>
        <w:pStyle w:val="EndnoteText"/>
        <w:jc w:val="both"/>
        <w:rPr>
          <w:rFonts w:ascii="Times New Roman" w:hAnsi="Times New Roman" w:cs="Times New Roman"/>
        </w:rPr>
      </w:pPr>
    </w:p>
  </w:endnote>
  <w:endnote w:id="45">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Dudgeon v United Kingdom</w:t>
      </w:r>
      <w:r w:rsidRPr="00BB7A3A">
        <w:rPr>
          <w:rFonts w:ascii="Times New Roman" w:hAnsi="Times New Roman" w:cs="Times New Roman"/>
        </w:rPr>
        <w:t xml:space="preserve"> (n</w:t>
      </w:r>
      <w:r>
        <w:rPr>
          <w:rFonts w:ascii="Times New Roman" w:hAnsi="Times New Roman" w:cs="Times New Roman"/>
        </w:rPr>
        <w:t>13</w:t>
      </w:r>
      <w:r w:rsidRPr="00BB7A3A">
        <w:rPr>
          <w:rFonts w:ascii="Times New Roman" w:hAnsi="Times New Roman" w:cs="Times New Roman"/>
        </w:rPr>
        <w:t>) para 17.</w:t>
      </w:r>
    </w:p>
    <w:p w:rsidR="00783683" w:rsidRPr="00BB7A3A" w:rsidRDefault="00783683" w:rsidP="00783683">
      <w:pPr>
        <w:pStyle w:val="EndnoteText"/>
        <w:jc w:val="both"/>
        <w:rPr>
          <w:rFonts w:ascii="Times New Roman" w:hAnsi="Times New Roman" w:cs="Times New Roman"/>
        </w:rPr>
      </w:pPr>
    </w:p>
  </w:endnote>
  <w:endnote w:id="46">
    <w:p w:rsidR="00783683" w:rsidRPr="00A80CE9" w:rsidRDefault="00783683" w:rsidP="00783683">
      <w:pPr>
        <w:pStyle w:val="EndnoteText"/>
        <w:rPr>
          <w:rFonts w:ascii="Times New Roman" w:hAnsi="Times New Roman" w:cs="Times New Roman"/>
          <w:color w:val="000000"/>
          <w:kern w:val="24"/>
          <w:lang w:val="es-ES_tradnl"/>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Lustig-Prean and Beckett v UK </w:t>
      </w:r>
      <w:r>
        <w:rPr>
          <w:rFonts w:ascii="Times New Roman" w:hAnsi="Times New Roman" w:cs="Times New Roman"/>
        </w:rPr>
        <w:t>(n14</w:t>
      </w:r>
      <w:r w:rsidRPr="00BB7A3A">
        <w:rPr>
          <w:rFonts w:ascii="Times New Roman" w:hAnsi="Times New Roman" w:cs="Times New Roman"/>
        </w:rPr>
        <w:t xml:space="preserve">) </w:t>
      </w:r>
      <w:r w:rsidRPr="00BB7A3A">
        <w:rPr>
          <w:rFonts w:ascii="Times New Roman" w:eastAsia="Calibri" w:hAnsi="Times New Roman" w:cs="Times New Roman"/>
        </w:rPr>
        <w:t>para 67 and</w:t>
      </w:r>
      <w:r w:rsidRPr="00BB7A3A">
        <w:rPr>
          <w:rFonts w:ascii="Times New Roman" w:hAnsi="Times New Roman" w:cs="Times New Roman"/>
        </w:rPr>
        <w:t xml:space="preserve"> </w:t>
      </w:r>
      <w:r w:rsidRPr="00BB7A3A">
        <w:rPr>
          <w:rFonts w:ascii="Times New Roman" w:eastAsia="Calibri" w:hAnsi="Times New Roman" w:cs="Times New Roman"/>
          <w:i/>
        </w:rPr>
        <w:t xml:space="preserve">Smith and Grady v UK </w:t>
      </w:r>
      <w:r>
        <w:rPr>
          <w:rFonts w:ascii="Times New Roman" w:eastAsia="Calibri" w:hAnsi="Times New Roman" w:cs="Times New Roman"/>
        </w:rPr>
        <w:t>(n14</w:t>
      </w:r>
      <w:r w:rsidRPr="00BB7A3A">
        <w:rPr>
          <w:rFonts w:ascii="Times New Roman" w:eastAsia="Calibri" w:hAnsi="Times New Roman" w:cs="Times New Roman"/>
        </w:rPr>
        <w:t>)</w:t>
      </w:r>
      <w:r w:rsidRPr="00BB7A3A">
        <w:rPr>
          <w:rFonts w:ascii="Times New Roman" w:eastAsia="Calibri" w:hAnsi="Times New Roman" w:cs="Times New Roman"/>
          <w:i/>
        </w:rPr>
        <w:t xml:space="preserve"> </w:t>
      </w:r>
      <w:r w:rsidRPr="00BB7A3A">
        <w:rPr>
          <w:rFonts w:ascii="Times New Roman" w:hAnsi="Times New Roman" w:cs="Times New Roman"/>
        </w:rPr>
        <w:t>para 74.</w:t>
      </w:r>
      <w:r w:rsidRPr="00BB7A3A">
        <w:rPr>
          <w:rFonts w:ascii="Times New Roman" w:hAnsi="Times New Roman" w:cs="Times New Roman"/>
          <w:i/>
        </w:rPr>
        <w:t xml:space="preserve"> </w:t>
      </w:r>
      <w:r w:rsidRPr="00A80CE9">
        <w:rPr>
          <w:rFonts w:ascii="Times New Roman" w:hAnsi="Times New Roman" w:cs="Times New Roman"/>
          <w:i/>
          <w:lang w:val="es-ES_tradnl"/>
        </w:rPr>
        <w:t>Salgueiro da Silva Mouta v Portugal</w:t>
      </w:r>
      <w:r>
        <w:rPr>
          <w:rFonts w:ascii="Times New Roman" w:hAnsi="Times New Roman" w:cs="Times New Roman"/>
          <w:lang w:val="es-ES_tradnl"/>
        </w:rPr>
        <w:t xml:space="preserve"> (</w:t>
      </w:r>
      <w:r w:rsidRPr="00A80CE9">
        <w:rPr>
          <w:rFonts w:ascii="Times New Roman" w:hAnsi="Times New Roman" w:cs="Times New Roman"/>
          <w:lang w:val="es-ES_tradnl"/>
        </w:rPr>
        <w:t>App</w:t>
      </w:r>
      <w:r>
        <w:rPr>
          <w:rFonts w:ascii="Times New Roman" w:hAnsi="Times New Roman" w:cs="Times New Roman"/>
          <w:lang w:val="es-ES_tradnl"/>
        </w:rPr>
        <w:t>.</w:t>
      </w:r>
      <w:r w:rsidRPr="00A80CE9">
        <w:rPr>
          <w:rFonts w:ascii="Times New Roman" w:hAnsi="Times New Roman" w:cs="Times New Roman"/>
          <w:lang w:val="es-ES_tradnl"/>
        </w:rPr>
        <w:t xml:space="preserve"> No. 33290/96, 21 December 1999</w:t>
      </w:r>
      <w:r>
        <w:rPr>
          <w:rFonts w:ascii="Times New Roman" w:hAnsi="Times New Roman" w:cs="Times New Roman"/>
          <w:lang w:val="es-ES_tradnl"/>
        </w:rPr>
        <w:t>)</w:t>
      </w:r>
      <w:r w:rsidRPr="00A80CE9">
        <w:rPr>
          <w:rFonts w:ascii="Times New Roman" w:hAnsi="Times New Roman" w:cs="Times New Roman"/>
          <w:lang w:val="es-ES_tradnl"/>
        </w:rPr>
        <w:t xml:space="preserve"> </w:t>
      </w:r>
      <w:r w:rsidRPr="00A80CE9">
        <w:rPr>
          <w:rFonts w:ascii="Times New Roman" w:hAnsi="Times New Roman" w:cs="Times New Roman"/>
          <w:color w:val="000000"/>
          <w:kern w:val="24"/>
          <w:lang w:val="es-ES_tradnl"/>
        </w:rPr>
        <w:t>para 30.</w:t>
      </w:r>
    </w:p>
    <w:p w:rsidR="00783683" w:rsidRPr="00A80CE9" w:rsidRDefault="00783683" w:rsidP="00783683">
      <w:pPr>
        <w:pStyle w:val="EndnoteText"/>
        <w:rPr>
          <w:rFonts w:ascii="Times New Roman" w:hAnsi="Times New Roman" w:cs="Times New Roman"/>
          <w:lang w:val="es-ES_tradnl"/>
        </w:rPr>
      </w:pPr>
    </w:p>
  </w:endnote>
  <w:endnote w:id="47">
    <w:p w:rsidR="00783683" w:rsidRPr="00A80CE9" w:rsidRDefault="00783683" w:rsidP="00783683">
      <w:pPr>
        <w:pStyle w:val="EndnoteText"/>
        <w:rPr>
          <w:rFonts w:ascii="Times New Roman" w:eastAsia="Calibri" w:hAnsi="Times New Roman" w:cs="Times New Roman"/>
          <w:lang w:val="de-DE"/>
        </w:rPr>
      </w:pPr>
      <w:r w:rsidRPr="00BB7A3A">
        <w:rPr>
          <w:rStyle w:val="EndnoteReference"/>
          <w:rFonts w:ascii="Times New Roman" w:hAnsi="Times New Roman" w:cs="Times New Roman"/>
        </w:rPr>
        <w:endnoteRef/>
      </w:r>
      <w:r w:rsidRPr="00A80CE9">
        <w:rPr>
          <w:rFonts w:ascii="Times New Roman" w:hAnsi="Times New Roman" w:cs="Times New Roman"/>
          <w:lang w:val="de-DE"/>
        </w:rPr>
        <w:t xml:space="preserve"> </w:t>
      </w:r>
      <w:r w:rsidRPr="00A80CE9">
        <w:rPr>
          <w:rFonts w:ascii="Times New Roman" w:hAnsi="Times New Roman" w:cs="Times New Roman"/>
          <w:i/>
          <w:lang w:val="de-DE"/>
        </w:rPr>
        <w:t>Schalk and Kopf v Austria</w:t>
      </w:r>
      <w:r w:rsidRPr="00A80CE9">
        <w:rPr>
          <w:rFonts w:ascii="Times New Roman" w:hAnsi="Times New Roman" w:cs="Times New Roman"/>
          <w:lang w:val="de-DE"/>
        </w:rPr>
        <w:t xml:space="preserve"> (n1). </w:t>
      </w:r>
    </w:p>
    <w:p w:rsidR="00783683" w:rsidRPr="00A80CE9" w:rsidRDefault="00783683" w:rsidP="00783683">
      <w:pPr>
        <w:pStyle w:val="EndnoteText"/>
        <w:rPr>
          <w:rFonts w:ascii="Times New Roman" w:hAnsi="Times New Roman" w:cs="Times New Roman"/>
          <w:lang w:val="de-DE"/>
        </w:rPr>
      </w:pPr>
    </w:p>
  </w:endnote>
  <w:endnote w:id="48">
    <w:p w:rsidR="00783683" w:rsidRPr="00BB7A3A" w:rsidRDefault="00783683" w:rsidP="00783683">
      <w:pPr>
        <w:pStyle w:val="EndnoteText"/>
        <w:rPr>
          <w:rFonts w:ascii="Times New Roman" w:hAnsi="Times New Roman" w:cs="Times New Roman"/>
          <w:i/>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6802BE">
        <w:rPr>
          <w:rFonts w:ascii="Times New Roman" w:hAnsi="Times New Roman" w:cs="Times New Roman"/>
          <w:i/>
        </w:rPr>
        <w:t>Eg</w:t>
      </w:r>
      <w:r>
        <w:rPr>
          <w:rFonts w:ascii="Times New Roman" w:hAnsi="Times New Roman" w:cs="Times New Roman"/>
        </w:rPr>
        <w:t xml:space="preserve"> </w:t>
      </w:r>
      <w:r w:rsidRPr="00BB7A3A">
        <w:rPr>
          <w:rFonts w:ascii="Times New Roman" w:hAnsi="Times New Roman" w:cs="Times New Roman"/>
          <w:i/>
        </w:rPr>
        <w:t>X and Others v. Austria</w:t>
      </w:r>
      <w:r>
        <w:rPr>
          <w:rFonts w:ascii="Times New Roman" w:hAnsi="Times New Roman" w:cs="Times New Roman"/>
        </w:rPr>
        <w:t xml:space="preserve"> (n24) </w:t>
      </w:r>
      <w:r w:rsidRPr="00BB7A3A">
        <w:rPr>
          <w:rFonts w:ascii="Times New Roman" w:hAnsi="Times New Roman" w:cs="Times New Roman"/>
        </w:rPr>
        <w:t xml:space="preserve">and </w:t>
      </w:r>
      <w:r w:rsidRPr="00BB7A3A">
        <w:rPr>
          <w:rFonts w:ascii="Times New Roman" w:hAnsi="Times New Roman" w:cs="Times New Roman"/>
          <w:i/>
        </w:rPr>
        <w:t xml:space="preserve">Hamalaninen v Finland </w:t>
      </w:r>
      <w:r w:rsidRPr="00BB7A3A">
        <w:rPr>
          <w:rFonts w:ascii="Times New Roman" w:hAnsi="Times New Roman" w:cs="Times New Roman"/>
        </w:rPr>
        <w:t>(n</w:t>
      </w:r>
      <w:r>
        <w:rPr>
          <w:rFonts w:ascii="Times New Roman" w:hAnsi="Times New Roman" w:cs="Times New Roman"/>
        </w:rPr>
        <w:t>12</w:t>
      </w:r>
      <w:r w:rsidRPr="00BB7A3A">
        <w:rPr>
          <w:rFonts w:ascii="Times New Roman" w:hAnsi="Times New Roman" w:cs="Times New Roman"/>
        </w:rPr>
        <w:t>).</w:t>
      </w:r>
      <w:r w:rsidRPr="00BB7A3A">
        <w:rPr>
          <w:rFonts w:ascii="Times New Roman" w:hAnsi="Times New Roman" w:cs="Times New Roman"/>
          <w:i/>
        </w:rPr>
        <w:t xml:space="preserve"> </w:t>
      </w:r>
    </w:p>
    <w:p w:rsidR="00783683" w:rsidRPr="00BB7A3A" w:rsidRDefault="00783683" w:rsidP="00783683">
      <w:pPr>
        <w:pStyle w:val="EndnoteText"/>
        <w:rPr>
          <w:rFonts w:ascii="Times New Roman" w:hAnsi="Times New Roman" w:cs="Times New Roman"/>
        </w:rPr>
      </w:pPr>
    </w:p>
  </w:endnote>
  <w:endnote w:id="49">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6802BE">
        <w:rPr>
          <w:rFonts w:ascii="Times New Roman" w:hAnsi="Times New Roman" w:cs="Times New Roman"/>
          <w:i/>
        </w:rPr>
        <w:t>Eg</w:t>
      </w:r>
      <w:r>
        <w:rPr>
          <w:rFonts w:ascii="Times New Roman" w:hAnsi="Times New Roman" w:cs="Times New Roman"/>
        </w:rPr>
        <w:t xml:space="preserve"> </w:t>
      </w:r>
      <w:r w:rsidRPr="00BB7A3A">
        <w:rPr>
          <w:rFonts w:ascii="Times New Roman" w:hAnsi="Times New Roman" w:cs="Times New Roman"/>
          <w:i/>
        </w:rPr>
        <w:t xml:space="preserve">X and Others v Austria </w:t>
      </w:r>
      <w:r>
        <w:rPr>
          <w:rFonts w:ascii="Times New Roman" w:hAnsi="Times New Roman" w:cs="Times New Roman"/>
        </w:rPr>
        <w:t>(n24</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5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Fenwick 2016, 255 discussing </w:t>
      </w:r>
      <w:r w:rsidRPr="00BB7A3A">
        <w:rPr>
          <w:rFonts w:ascii="Times New Roman" w:hAnsi="Times New Roman" w:cs="Times New Roman"/>
          <w:i/>
        </w:rPr>
        <w:t xml:space="preserve">Hamalaninen v Finland </w:t>
      </w:r>
      <w:r w:rsidRPr="00BB7A3A">
        <w:rPr>
          <w:rFonts w:ascii="Times New Roman" w:hAnsi="Times New Roman" w:cs="Times New Roman"/>
        </w:rPr>
        <w:t>(n</w:t>
      </w:r>
      <w:r>
        <w:rPr>
          <w:rFonts w:ascii="Times New Roman" w:hAnsi="Times New Roman" w:cs="Times New Roman"/>
        </w:rPr>
        <w:t>12</w:t>
      </w:r>
      <w:r w:rsidRPr="00BB7A3A">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51">
    <w:p w:rsidR="00783683"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For example see </w:t>
      </w:r>
      <w:r w:rsidRPr="00BB7A3A">
        <w:rPr>
          <w:rFonts w:ascii="Times New Roman" w:hAnsi="Times New Roman" w:cs="Times New Roman"/>
          <w:i/>
        </w:rPr>
        <w:t>X and Others v. Austria</w:t>
      </w:r>
      <w:r>
        <w:rPr>
          <w:rFonts w:ascii="Times New Roman" w:hAnsi="Times New Roman" w:cs="Times New Roman"/>
        </w:rPr>
        <w:t xml:space="preserve"> (n24</w:t>
      </w:r>
      <w:r w:rsidRPr="00BB7A3A">
        <w:rPr>
          <w:rFonts w:ascii="Times New Roman" w:hAnsi="Times New Roman" w:cs="Times New Roman"/>
        </w:rPr>
        <w:t xml:space="preserve">)  and </w:t>
      </w:r>
      <w:r w:rsidRPr="00BB7A3A">
        <w:rPr>
          <w:rFonts w:ascii="Times New Roman" w:hAnsi="Times New Roman" w:cs="Times New Roman"/>
          <w:i/>
        </w:rPr>
        <w:t xml:space="preserve">Hamalaninen v Finland </w:t>
      </w:r>
      <w:r w:rsidRPr="00BB7A3A">
        <w:rPr>
          <w:rFonts w:ascii="Times New Roman" w:hAnsi="Times New Roman" w:cs="Times New Roman"/>
        </w:rPr>
        <w:t>(n</w:t>
      </w:r>
      <w:r>
        <w:rPr>
          <w:rFonts w:ascii="Times New Roman" w:hAnsi="Times New Roman" w:cs="Times New Roman"/>
        </w:rPr>
        <w:t>12</w:t>
      </w:r>
      <w:r w:rsidRPr="00BB7A3A">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52">
    <w:p w:rsidR="00783683" w:rsidRPr="00BB7A3A" w:rsidRDefault="00783683" w:rsidP="00783683">
      <w:pPr>
        <w:pStyle w:val="EndnoteText"/>
        <w:jc w:val="both"/>
        <w:rPr>
          <w:rStyle w:val="sb8d990e2"/>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Pr>
          <w:rFonts w:ascii="Times New Roman" w:hAnsi="Times New Roman" w:cs="Times New Roman"/>
          <w:i/>
        </w:rPr>
        <w:t>X and Y v UK (A</w:t>
      </w:r>
      <w:r w:rsidRPr="00BB7A3A">
        <w:rPr>
          <w:rFonts w:ascii="Times New Roman" w:hAnsi="Times New Roman" w:cs="Times New Roman"/>
        </w:rPr>
        <w:t>pp. No. 21830/</w:t>
      </w:r>
      <w:r>
        <w:rPr>
          <w:rFonts w:ascii="Times New Roman" w:hAnsi="Times New Roman" w:cs="Times New Roman"/>
        </w:rPr>
        <w:t>93,</w:t>
      </w:r>
      <w:r w:rsidRPr="00BB7A3A">
        <w:rPr>
          <w:rFonts w:ascii="Times New Roman" w:hAnsi="Times New Roman" w:cs="Times New Roman"/>
        </w:rPr>
        <w:t xml:space="preserve"> 22 April 1997)</w:t>
      </w:r>
      <w:r w:rsidRPr="00BB7A3A">
        <w:rPr>
          <w:rFonts w:ascii="Times New Roman" w:hAnsi="Times New Roman" w:cs="Times New Roman"/>
          <w:i/>
        </w:rPr>
        <w:t>,</w:t>
      </w:r>
      <w:r w:rsidRPr="00BB7A3A">
        <w:rPr>
          <w:rFonts w:ascii="Times New Roman" w:hAnsi="Times New Roman" w:cs="Times New Roman"/>
          <w:b/>
          <w:i/>
        </w:rPr>
        <w:t xml:space="preserve"> </w:t>
      </w:r>
      <w:r w:rsidRPr="00BB7A3A">
        <w:rPr>
          <w:rFonts w:ascii="Times New Roman" w:hAnsi="Times New Roman" w:cs="Times New Roman"/>
          <w:i/>
        </w:rPr>
        <w:t>Simpson v UK</w:t>
      </w:r>
      <w:r>
        <w:rPr>
          <w:rFonts w:ascii="Times New Roman" w:hAnsi="Times New Roman" w:cs="Times New Roman"/>
        </w:rPr>
        <w:t xml:space="preserve"> (</w:t>
      </w:r>
      <w:r w:rsidRPr="00BB7A3A">
        <w:rPr>
          <w:rFonts w:ascii="Times New Roman" w:hAnsi="Times New Roman" w:cs="Times New Roman"/>
        </w:rPr>
        <w:t>App. No</w:t>
      </w:r>
      <w:r>
        <w:rPr>
          <w:rFonts w:ascii="Times New Roman" w:hAnsi="Times New Roman" w:cs="Times New Roman"/>
        </w:rPr>
        <w:t xml:space="preserve">. 11716/85, </w:t>
      </w:r>
      <w:r w:rsidRPr="00BB7A3A">
        <w:rPr>
          <w:rFonts w:ascii="Times New Roman" w:hAnsi="Times New Roman" w:cs="Times New Roman"/>
        </w:rPr>
        <w:t xml:space="preserve">14 May 1986), </w:t>
      </w:r>
      <w:r w:rsidRPr="00BB7A3A">
        <w:rPr>
          <w:rFonts w:ascii="Times New Roman" w:hAnsi="Times New Roman" w:cs="Times New Roman"/>
          <w:i/>
        </w:rPr>
        <w:t>Kerkhoven and Hinke v The Netherlands</w:t>
      </w:r>
      <w:r>
        <w:rPr>
          <w:rFonts w:ascii="Times New Roman" w:hAnsi="Times New Roman" w:cs="Times New Roman"/>
        </w:rPr>
        <w:t xml:space="preserve"> (</w:t>
      </w:r>
      <w:r w:rsidRPr="00BB7A3A">
        <w:rPr>
          <w:rFonts w:ascii="Times New Roman" w:hAnsi="Times New Roman" w:cs="Times New Roman"/>
        </w:rPr>
        <w:t>App. No</w:t>
      </w:r>
      <w:r>
        <w:rPr>
          <w:rFonts w:ascii="Times New Roman" w:hAnsi="Times New Roman" w:cs="Times New Roman"/>
        </w:rPr>
        <w:t xml:space="preserve">. 15666/89, </w:t>
      </w:r>
      <w:r w:rsidRPr="00BB7A3A">
        <w:rPr>
          <w:rFonts w:ascii="Times New Roman" w:hAnsi="Times New Roman" w:cs="Times New Roman"/>
        </w:rPr>
        <w:t xml:space="preserve">19 May 1992) and </w:t>
      </w:r>
      <w:r>
        <w:rPr>
          <w:rFonts w:ascii="Times New Roman" w:hAnsi="Times New Roman" w:cs="Times New Roman"/>
          <w:i/>
        </w:rPr>
        <w:t>Mata Estevez v Spain (</w:t>
      </w:r>
      <w:r w:rsidRPr="00BB7A3A">
        <w:rPr>
          <w:rFonts w:ascii="Times New Roman" w:hAnsi="Times New Roman" w:cs="Times New Roman"/>
        </w:rPr>
        <w:t>App. No</w:t>
      </w:r>
      <w:r>
        <w:rPr>
          <w:rFonts w:ascii="Times New Roman" w:hAnsi="Times New Roman" w:cs="Times New Roman"/>
        </w:rPr>
        <w:t xml:space="preserve">. 56501/00, </w:t>
      </w:r>
      <w:r w:rsidRPr="00BB7A3A">
        <w:rPr>
          <w:rFonts w:ascii="Times New Roman" w:hAnsi="Times New Roman" w:cs="Times New Roman"/>
        </w:rPr>
        <w:t xml:space="preserve">10 May 2001. </w:t>
      </w:r>
    </w:p>
    <w:p w:rsidR="00783683" w:rsidRPr="00BB7A3A" w:rsidRDefault="00783683" w:rsidP="00783683">
      <w:pPr>
        <w:pStyle w:val="EndnoteText"/>
        <w:jc w:val="both"/>
        <w:rPr>
          <w:rFonts w:ascii="Times New Roman" w:hAnsi="Times New Roman" w:cs="Times New Roman"/>
        </w:rPr>
      </w:pPr>
    </w:p>
  </w:endnote>
  <w:endnote w:id="53">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BB7A3A">
        <w:rPr>
          <w:rFonts w:ascii="Times New Roman" w:hAnsi="Times New Roman" w:cs="Times New Roman"/>
          <w:i/>
        </w:rPr>
        <w:t>Berreh</w:t>
      </w:r>
      <w:r>
        <w:rPr>
          <w:rFonts w:ascii="Times New Roman" w:hAnsi="Times New Roman" w:cs="Times New Roman"/>
          <w:i/>
        </w:rPr>
        <w:t>ab and Koster v The Netherlands (</w:t>
      </w:r>
      <w:r w:rsidRPr="00BB7A3A">
        <w:rPr>
          <w:rFonts w:ascii="Times New Roman" w:hAnsi="Times New Roman" w:cs="Times New Roman"/>
        </w:rPr>
        <w:t>App. No. 10730/</w:t>
      </w:r>
      <w:r>
        <w:rPr>
          <w:rFonts w:ascii="Times New Roman" w:hAnsi="Times New Roman" w:cs="Times New Roman"/>
        </w:rPr>
        <w:t>83,</w:t>
      </w:r>
      <w:r w:rsidRPr="00BB7A3A">
        <w:rPr>
          <w:rFonts w:ascii="Times New Roman" w:hAnsi="Times New Roman" w:cs="Times New Roman"/>
        </w:rPr>
        <w:t xml:space="preserve"> 21 June 1988), </w:t>
      </w:r>
      <w:r w:rsidRPr="00BB7A3A">
        <w:rPr>
          <w:rFonts w:ascii="Times New Roman" w:hAnsi="Times New Roman" w:cs="Times New Roman"/>
          <w:i/>
        </w:rPr>
        <w:t>Marckx v Belgium</w:t>
      </w:r>
      <w:r>
        <w:rPr>
          <w:rFonts w:ascii="Times New Roman" w:hAnsi="Times New Roman" w:cs="Times New Roman"/>
        </w:rPr>
        <w:t xml:space="preserve"> (App. No. 6833/74,</w:t>
      </w:r>
      <w:r w:rsidRPr="00BB7A3A">
        <w:rPr>
          <w:rFonts w:ascii="Times New Roman" w:hAnsi="Times New Roman" w:cs="Times New Roman"/>
        </w:rPr>
        <w:t xml:space="preserve"> 13 June 1979), </w:t>
      </w:r>
      <w:r w:rsidRPr="00BB7A3A">
        <w:rPr>
          <w:rFonts w:ascii="Times New Roman" w:hAnsi="Times New Roman" w:cs="Times New Roman"/>
          <w:i/>
        </w:rPr>
        <w:t>Kroon v Netherlands</w:t>
      </w:r>
      <w:r>
        <w:rPr>
          <w:rFonts w:ascii="Times New Roman" w:hAnsi="Times New Roman" w:cs="Times New Roman"/>
        </w:rPr>
        <w:t xml:space="preserve"> (App. No. 18535/91, </w:t>
      </w:r>
      <w:r w:rsidRPr="00BB7A3A">
        <w:rPr>
          <w:rFonts w:ascii="Times New Roman" w:hAnsi="Times New Roman" w:cs="Times New Roman"/>
        </w:rPr>
        <w:t xml:space="preserve">27 October 1994) and </w:t>
      </w:r>
      <w:r w:rsidRPr="00BB7A3A">
        <w:rPr>
          <w:rFonts w:ascii="Times New Roman" w:hAnsi="Times New Roman" w:cs="Times New Roman"/>
          <w:i/>
        </w:rPr>
        <w:t>Boughanemi v France</w:t>
      </w:r>
      <w:r>
        <w:rPr>
          <w:rFonts w:ascii="Times New Roman" w:hAnsi="Times New Roman" w:cs="Times New Roman"/>
        </w:rPr>
        <w:t xml:space="preserve"> (</w:t>
      </w:r>
      <w:r w:rsidRPr="00BB7A3A">
        <w:rPr>
          <w:rFonts w:ascii="Times New Roman" w:hAnsi="Times New Roman" w:cs="Times New Roman"/>
        </w:rPr>
        <w:t>App. No.</w:t>
      </w:r>
      <w:r>
        <w:rPr>
          <w:rFonts w:ascii="Times New Roman" w:hAnsi="Times New Roman" w:cs="Times New Roman"/>
        </w:rPr>
        <w:t xml:space="preserve"> 22070/93, </w:t>
      </w:r>
      <w:r w:rsidRPr="00BB7A3A">
        <w:rPr>
          <w:rFonts w:ascii="Times New Roman" w:hAnsi="Times New Roman" w:cs="Times New Roman"/>
        </w:rPr>
        <w:t>24 April 1996).</w:t>
      </w:r>
    </w:p>
    <w:p w:rsidR="00783683" w:rsidRPr="00BB7A3A" w:rsidRDefault="00783683" w:rsidP="00783683">
      <w:pPr>
        <w:pStyle w:val="EndnoteText"/>
        <w:rPr>
          <w:rFonts w:ascii="Times New Roman" w:hAnsi="Times New Roman" w:cs="Times New Roman"/>
        </w:rPr>
      </w:pPr>
    </w:p>
  </w:endnote>
  <w:endnote w:id="54">
    <w:p w:rsidR="00783683" w:rsidRPr="00BB7A3A" w:rsidRDefault="00783683" w:rsidP="00783683">
      <w:pPr>
        <w:pStyle w:val="EndnoteText"/>
        <w:jc w:val="both"/>
        <w:rPr>
          <w:rFonts w:ascii="Times New Roman" w:hAnsi="Times New Roman" w:cs="Times New Roman"/>
          <w:lang w:val="es-ES_tradnl"/>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color w:val="000000"/>
          <w:kern w:val="24"/>
          <w:lang w:val="es-ES_tradnl"/>
        </w:rPr>
        <w:t>Karner v Austria</w:t>
      </w:r>
      <w:r w:rsidRPr="00BB7A3A">
        <w:rPr>
          <w:rFonts w:ascii="Times New Roman" w:hAnsi="Times New Roman" w:cs="Times New Roman"/>
          <w:lang w:val="es-ES_tradnl"/>
        </w:rPr>
        <w:t xml:space="preserve"> (n</w:t>
      </w:r>
      <w:r>
        <w:rPr>
          <w:rFonts w:ascii="Times New Roman" w:hAnsi="Times New Roman" w:cs="Times New Roman"/>
          <w:lang w:val="es-ES_tradnl"/>
        </w:rPr>
        <w:t>24</w:t>
      </w:r>
      <w:r w:rsidRPr="00BB7A3A">
        <w:rPr>
          <w:rFonts w:ascii="Times New Roman" w:hAnsi="Times New Roman" w:cs="Times New Roman"/>
          <w:lang w:val="es-ES_tradnl"/>
        </w:rPr>
        <w:t xml:space="preserve">) </w:t>
      </w:r>
      <w:r w:rsidRPr="00BB7A3A">
        <w:rPr>
          <w:rFonts w:ascii="Times New Roman" w:hAnsi="Times New Roman" w:cs="Times New Roman"/>
          <w:color w:val="000000"/>
          <w:kern w:val="24"/>
          <w:lang w:val="es-ES_tradnl"/>
        </w:rPr>
        <w:t>para 37.</w:t>
      </w:r>
    </w:p>
    <w:p w:rsidR="00783683" w:rsidRPr="00BB7A3A" w:rsidRDefault="00783683" w:rsidP="00783683">
      <w:pPr>
        <w:pStyle w:val="EndnoteText"/>
        <w:jc w:val="both"/>
        <w:rPr>
          <w:rFonts w:ascii="Times New Roman" w:hAnsi="Times New Roman" w:cs="Times New Roman"/>
          <w:lang w:val="es-ES_tradnl"/>
        </w:rPr>
      </w:pPr>
    </w:p>
  </w:endnote>
  <w:endnote w:id="55">
    <w:p w:rsidR="00783683" w:rsidRPr="00BB7A3A" w:rsidRDefault="00783683" w:rsidP="00783683">
      <w:pPr>
        <w:pStyle w:val="EndnoteText"/>
        <w:jc w:val="both"/>
        <w:rPr>
          <w:rFonts w:ascii="Times New Roman" w:hAnsi="Times New Roman" w:cs="Times New Roman"/>
          <w:color w:val="000000"/>
          <w:kern w:val="24"/>
          <w:lang w:val="es-ES_tradnl"/>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lang w:val="es-ES_tradnl"/>
        </w:rPr>
        <w:t>Ibid.</w:t>
      </w:r>
      <w:r w:rsidRPr="00BB7A3A">
        <w:rPr>
          <w:rFonts w:ascii="Times New Roman" w:hAnsi="Times New Roman" w:cs="Times New Roman"/>
          <w:lang w:val="es-ES_tradnl"/>
        </w:rPr>
        <w:t xml:space="preserve"> </w:t>
      </w:r>
      <w:r w:rsidRPr="00BB7A3A">
        <w:rPr>
          <w:rFonts w:ascii="Times New Roman" w:hAnsi="Times New Roman" w:cs="Times New Roman"/>
          <w:color w:val="000000"/>
          <w:kern w:val="24"/>
          <w:lang w:val="es-ES_tradnl"/>
        </w:rPr>
        <w:t>para 33.</w:t>
      </w:r>
    </w:p>
    <w:p w:rsidR="00783683" w:rsidRPr="00BB7A3A" w:rsidRDefault="00783683" w:rsidP="00783683">
      <w:pPr>
        <w:pStyle w:val="EndnoteText"/>
        <w:jc w:val="both"/>
        <w:rPr>
          <w:rFonts w:ascii="Times New Roman" w:hAnsi="Times New Roman" w:cs="Times New Roman"/>
          <w:lang w:val="es-ES_tradnl"/>
        </w:rPr>
      </w:pPr>
    </w:p>
  </w:endnote>
  <w:endnote w:id="56">
    <w:p w:rsidR="00783683" w:rsidRPr="00A043F9"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 xml:space="preserve">Schalk and Kopf v Austria </w:t>
      </w:r>
      <w:r w:rsidRPr="00A043F9">
        <w:rPr>
          <w:rFonts w:ascii="Times New Roman" w:hAnsi="Times New Roman" w:cs="Times New Roman"/>
          <w:lang w:val="es-ES_tradnl"/>
        </w:rPr>
        <w:t>(n1)  para 93.</w:t>
      </w:r>
    </w:p>
    <w:p w:rsidR="00783683" w:rsidRPr="00A043F9" w:rsidRDefault="00783683" w:rsidP="00783683">
      <w:pPr>
        <w:pStyle w:val="EndnoteText"/>
        <w:rPr>
          <w:rFonts w:ascii="Times New Roman" w:hAnsi="Times New Roman" w:cs="Times New Roman"/>
          <w:lang w:val="es-ES_tradnl"/>
        </w:rPr>
      </w:pPr>
    </w:p>
  </w:endnote>
  <w:endnote w:id="57">
    <w:p w:rsidR="00783683" w:rsidRPr="00BB7A3A"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lang w:val="es-ES_tradnl"/>
        </w:rPr>
        <w:t>Ibid</w:t>
      </w:r>
      <w:r w:rsidRPr="00BB7A3A">
        <w:rPr>
          <w:rFonts w:ascii="Times New Roman" w:hAnsi="Times New Roman" w:cs="Times New Roman"/>
          <w:lang w:val="es-ES_tradnl"/>
        </w:rPr>
        <w:t>.  para 94.</w:t>
      </w:r>
    </w:p>
    <w:p w:rsidR="00783683" w:rsidRPr="00BB7A3A" w:rsidRDefault="00783683" w:rsidP="00783683">
      <w:pPr>
        <w:pStyle w:val="EndnoteText"/>
        <w:rPr>
          <w:rFonts w:ascii="Times New Roman" w:hAnsi="Times New Roman" w:cs="Times New Roman"/>
          <w:lang w:val="es-ES_tradnl"/>
        </w:rPr>
      </w:pPr>
    </w:p>
  </w:endnote>
  <w:endnote w:id="58">
    <w:p w:rsidR="00783683" w:rsidRPr="00BB7A3A" w:rsidRDefault="00783683" w:rsidP="00783683">
      <w:pPr>
        <w:pStyle w:val="EndnoteText"/>
        <w:jc w:val="both"/>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Ibid. </w:t>
      </w:r>
      <w:r w:rsidRPr="00BB7A3A">
        <w:rPr>
          <w:rFonts w:ascii="Times New Roman" w:hAnsi="Times New Roman" w:cs="Times New Roman"/>
        </w:rPr>
        <w:t xml:space="preserve"> </w:t>
      </w:r>
    </w:p>
    <w:p w:rsidR="00783683" w:rsidRPr="00A043F9" w:rsidRDefault="00783683" w:rsidP="00783683">
      <w:pPr>
        <w:pStyle w:val="EndnoteText"/>
        <w:jc w:val="both"/>
        <w:rPr>
          <w:rFonts w:ascii="Times New Roman" w:hAnsi="Times New Roman" w:cs="Times New Roman"/>
        </w:rPr>
      </w:pPr>
      <w:r w:rsidRPr="00A043F9">
        <w:rPr>
          <w:rStyle w:val="sb8d990e2"/>
          <w:rFonts w:ascii="Times New Roman" w:hAnsi="Times New Roman" w:cs="Times New Roman"/>
        </w:rPr>
        <w:t>  </w:t>
      </w:r>
    </w:p>
  </w:endnote>
  <w:endnote w:id="59">
    <w:p w:rsidR="00783683" w:rsidRPr="00A043F9"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A043F9">
        <w:rPr>
          <w:rFonts w:ascii="Times New Roman" w:hAnsi="Times New Roman" w:cs="Times New Roman"/>
        </w:rPr>
        <w:t xml:space="preserve"> </w:t>
      </w:r>
      <w:r w:rsidRPr="00A043F9">
        <w:rPr>
          <w:rFonts w:ascii="Times New Roman" w:eastAsia="Calibri" w:hAnsi="Times New Roman" w:cs="Times New Roman"/>
          <w:i/>
        </w:rPr>
        <w:t>Schalk and Kopf v Austria</w:t>
      </w:r>
      <w:r w:rsidRPr="00A043F9">
        <w:rPr>
          <w:rFonts w:ascii="Times New Roman" w:hAnsi="Times New Roman" w:cs="Times New Roman"/>
        </w:rPr>
        <w:t xml:space="preserve"> (n1) para 62.</w:t>
      </w:r>
    </w:p>
    <w:p w:rsidR="00783683" w:rsidRPr="00A043F9" w:rsidRDefault="00783683" w:rsidP="00783683">
      <w:pPr>
        <w:pStyle w:val="EndnoteText"/>
        <w:rPr>
          <w:rFonts w:ascii="Times New Roman" w:hAnsi="Times New Roman" w:cs="Times New Roman"/>
        </w:rPr>
      </w:pPr>
    </w:p>
  </w:endnote>
  <w:endnote w:id="60">
    <w:p w:rsidR="00783683" w:rsidRPr="00BB7A3A" w:rsidRDefault="00783683" w:rsidP="00783683">
      <w:pPr>
        <w:spacing w:after="0" w:line="240" w:lineRule="auto"/>
        <w:jc w:val="both"/>
        <w:rPr>
          <w:rFonts w:ascii="Times New Roman" w:hAnsi="Times New Roman" w:cs="Times New Roman"/>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In </w:t>
      </w:r>
      <w:r w:rsidRPr="00BB7A3A">
        <w:rPr>
          <w:rFonts w:ascii="Times New Roman" w:hAnsi="Times New Roman" w:cs="Times New Roman"/>
          <w:i/>
          <w:sz w:val="20"/>
          <w:szCs w:val="20"/>
        </w:rPr>
        <w:t>Marckx v Belgium</w:t>
      </w:r>
      <w:r>
        <w:rPr>
          <w:rFonts w:ascii="Times New Roman" w:hAnsi="Times New Roman" w:cs="Times New Roman"/>
          <w:sz w:val="20"/>
          <w:szCs w:val="20"/>
        </w:rPr>
        <w:t xml:space="preserve"> (n53</w:t>
      </w:r>
      <w:r w:rsidRPr="00BB7A3A">
        <w:rPr>
          <w:rFonts w:ascii="Times New Roman" w:hAnsi="Times New Roman" w:cs="Times New Roman"/>
          <w:sz w:val="20"/>
          <w:szCs w:val="20"/>
        </w:rPr>
        <w:t>)</w:t>
      </w:r>
      <w:r>
        <w:rPr>
          <w:rFonts w:ascii="Times New Roman" w:hAnsi="Times New Roman" w:cs="Times New Roman"/>
          <w:sz w:val="20"/>
          <w:szCs w:val="20"/>
        </w:rPr>
        <w:t xml:space="preserve"> </w:t>
      </w:r>
      <w:r w:rsidRPr="00BB7A3A">
        <w:rPr>
          <w:rFonts w:ascii="Times New Roman" w:hAnsi="Times New Roman" w:cs="Times New Roman"/>
          <w:sz w:val="20"/>
          <w:szCs w:val="20"/>
        </w:rPr>
        <w:t xml:space="preserve">para 31 the ECtHR explained that Article 8 placed ‘positive obligations on the states in addition to the duty of non-interference in private and family life.’ See also Hayward </w:t>
      </w:r>
      <w:r>
        <w:rPr>
          <w:rFonts w:ascii="Times New Roman" w:hAnsi="Times New Roman" w:cs="Times New Roman"/>
          <w:sz w:val="20"/>
          <w:szCs w:val="20"/>
        </w:rPr>
        <w:t xml:space="preserve">2016 </w:t>
      </w:r>
      <w:r w:rsidRPr="00BB7A3A">
        <w:rPr>
          <w:rFonts w:ascii="Times New Roman" w:hAnsi="Times New Roman" w:cs="Times New Roman"/>
          <w:sz w:val="20"/>
          <w:szCs w:val="20"/>
        </w:rPr>
        <w:t>and O’Mahoney 2012.</w:t>
      </w:r>
    </w:p>
    <w:p w:rsidR="00783683" w:rsidRPr="00BB7A3A" w:rsidRDefault="00783683" w:rsidP="00783683">
      <w:pPr>
        <w:pStyle w:val="EndnoteText"/>
        <w:rPr>
          <w:rFonts w:ascii="Times New Roman" w:hAnsi="Times New Roman" w:cs="Times New Roman"/>
        </w:rPr>
      </w:pPr>
    </w:p>
  </w:endnote>
  <w:endnote w:id="61">
    <w:p w:rsidR="00783683" w:rsidRPr="00BB7A3A" w:rsidRDefault="00783683" w:rsidP="00783683">
      <w:pPr>
        <w:pStyle w:val="EndnoteText"/>
        <w:rPr>
          <w:rFonts w:ascii="Times New Roman" w:hAnsi="Times New Roman" w:cs="Times New Roman"/>
          <w:i/>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See</w:t>
      </w:r>
      <w:r w:rsidRPr="00BB7A3A">
        <w:rPr>
          <w:rFonts w:ascii="Times New Roman" w:hAnsi="Times New Roman" w:cs="Times New Roman"/>
        </w:rPr>
        <w:t xml:space="preserve"> </w:t>
      </w:r>
      <w:r w:rsidRPr="00BB7A3A">
        <w:rPr>
          <w:rFonts w:ascii="Times New Roman" w:eastAsia="Calibri" w:hAnsi="Times New Roman" w:cs="Times New Roman"/>
          <w:i/>
        </w:rPr>
        <w:t>I v United Kingdom</w:t>
      </w:r>
      <w:r>
        <w:rPr>
          <w:rFonts w:ascii="Times New Roman" w:eastAsia="Calibri" w:hAnsi="Times New Roman" w:cs="Times New Roman"/>
        </w:rPr>
        <w:t xml:space="preserve"> (App. No. 25680/94, </w:t>
      </w:r>
      <w:r w:rsidRPr="00BB7A3A">
        <w:rPr>
          <w:rFonts w:ascii="Times New Roman" w:eastAsia="Calibri" w:hAnsi="Times New Roman" w:cs="Times New Roman"/>
        </w:rPr>
        <w:t xml:space="preserve">11 July 2002) and </w:t>
      </w:r>
      <w:r w:rsidRPr="00BB7A3A">
        <w:rPr>
          <w:rFonts w:ascii="Times New Roman" w:eastAsia="Calibri" w:hAnsi="Times New Roman" w:cs="Times New Roman"/>
          <w:i/>
        </w:rPr>
        <w:t>Christine Goodwin v UK</w:t>
      </w:r>
      <w:r>
        <w:rPr>
          <w:rFonts w:ascii="Times New Roman" w:eastAsia="Calibri" w:hAnsi="Times New Roman" w:cs="Times New Roman"/>
        </w:rPr>
        <w:t xml:space="preserve"> (</w:t>
      </w:r>
      <w:r w:rsidRPr="00BB7A3A">
        <w:rPr>
          <w:rFonts w:ascii="Times New Roman" w:eastAsia="Calibri" w:hAnsi="Times New Roman" w:cs="Times New Roman"/>
        </w:rPr>
        <w:t>App</w:t>
      </w:r>
      <w:r>
        <w:rPr>
          <w:rFonts w:ascii="Times New Roman" w:eastAsia="Calibri" w:hAnsi="Times New Roman" w:cs="Times New Roman"/>
        </w:rPr>
        <w:t xml:space="preserve">.No. 28957/95, </w:t>
      </w:r>
      <w:r w:rsidRPr="00BB7A3A">
        <w:rPr>
          <w:rFonts w:ascii="Times New Roman" w:eastAsia="Calibri" w:hAnsi="Times New Roman" w:cs="Times New Roman"/>
        </w:rPr>
        <w:t xml:space="preserve">11 July 2002). </w:t>
      </w:r>
    </w:p>
    <w:p w:rsidR="00783683" w:rsidRPr="00BB7A3A" w:rsidRDefault="00783683" w:rsidP="00783683">
      <w:pPr>
        <w:pStyle w:val="EndnoteText"/>
        <w:rPr>
          <w:rFonts w:ascii="Times New Roman" w:hAnsi="Times New Roman" w:cs="Times New Roman"/>
        </w:rPr>
      </w:pPr>
    </w:p>
  </w:endnote>
  <w:endnote w:id="62">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See Mikulic v Croatia</w:t>
      </w:r>
      <w:r w:rsidRPr="00BB7A3A">
        <w:rPr>
          <w:rFonts w:ascii="Times New Roman" w:hAnsi="Times New Roman" w:cs="Times New Roman"/>
        </w:rPr>
        <w:t xml:space="preserve">, </w:t>
      </w:r>
      <w:r>
        <w:rPr>
          <w:rFonts w:ascii="Times New Roman" w:hAnsi="Times New Roman" w:cs="Times New Roman"/>
        </w:rPr>
        <w:t>(</w:t>
      </w:r>
      <w:r w:rsidRPr="00BB7A3A">
        <w:rPr>
          <w:rFonts w:ascii="Times New Roman" w:hAnsi="Times New Roman" w:cs="Times New Roman"/>
        </w:rPr>
        <w:t>App. No. 53176/</w:t>
      </w:r>
      <w:r>
        <w:rPr>
          <w:rFonts w:ascii="Times New Roman" w:hAnsi="Times New Roman" w:cs="Times New Roman"/>
        </w:rPr>
        <w:t xml:space="preserve">99, </w:t>
      </w:r>
      <w:r w:rsidRPr="00BB7A3A">
        <w:rPr>
          <w:rFonts w:ascii="Times New Roman" w:hAnsi="Times New Roman" w:cs="Times New Roman"/>
        </w:rPr>
        <w:t>7 February 2002).</w:t>
      </w:r>
    </w:p>
    <w:p w:rsidR="00783683" w:rsidRPr="00BB7A3A" w:rsidRDefault="00783683" w:rsidP="00783683">
      <w:pPr>
        <w:pStyle w:val="EndnoteText"/>
        <w:rPr>
          <w:rFonts w:ascii="Times New Roman" w:hAnsi="Times New Roman" w:cs="Times New Roman"/>
        </w:rPr>
      </w:pPr>
    </w:p>
  </w:endnote>
  <w:endnote w:id="63">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Oliari v Italy</w:t>
      </w:r>
      <w:r>
        <w:rPr>
          <w:rFonts w:ascii="Times New Roman" w:hAnsi="Times New Roman" w:cs="Times New Roman"/>
        </w:rPr>
        <w:t xml:space="preserve"> (n3</w:t>
      </w:r>
      <w:r w:rsidRPr="00BB7A3A">
        <w:rPr>
          <w:rFonts w:ascii="Times New Roman" w:hAnsi="Times New Roman" w:cs="Times New Roman"/>
        </w:rPr>
        <w:t xml:space="preserve">). See also Hayward 2016.  </w:t>
      </w:r>
    </w:p>
    <w:p w:rsidR="00783683" w:rsidRPr="00BB7A3A" w:rsidRDefault="00783683" w:rsidP="00783683">
      <w:pPr>
        <w:pStyle w:val="EndnoteText"/>
        <w:rPr>
          <w:rFonts w:ascii="Times New Roman" w:hAnsi="Times New Roman" w:cs="Times New Roman"/>
        </w:rPr>
      </w:pPr>
    </w:p>
  </w:endnote>
  <w:endnote w:id="64">
    <w:p w:rsidR="00783683" w:rsidRDefault="00783683" w:rsidP="00783683">
      <w:pPr>
        <w:pStyle w:val="FootnoteText"/>
        <w:spacing w:line="360" w:lineRule="auto"/>
      </w:pPr>
      <w:r w:rsidRPr="00BB7A3A">
        <w:rPr>
          <w:rStyle w:val="EndnoteReference"/>
        </w:rPr>
        <w:endnoteRef/>
      </w:r>
      <w:r w:rsidRPr="00BB7A3A">
        <w:t xml:space="preserve"> </w:t>
      </w:r>
      <w:r w:rsidRPr="00057EA6">
        <w:rPr>
          <w:i/>
        </w:rPr>
        <w:t>EB v France</w:t>
      </w:r>
      <w:r w:rsidRPr="00057EA6">
        <w:t xml:space="preserve"> </w:t>
      </w:r>
      <w:r>
        <w:t>(</w:t>
      </w:r>
      <w:r w:rsidRPr="00057EA6">
        <w:t>App</w:t>
      </w:r>
      <w:r>
        <w:t>.</w:t>
      </w:r>
      <w:r w:rsidRPr="00057EA6">
        <w:t xml:space="preserve"> No</w:t>
      </w:r>
      <w:r>
        <w:t xml:space="preserve">. 43546/02, </w:t>
      </w:r>
      <w:r w:rsidRPr="00057EA6">
        <w:t>22 January 2008).</w:t>
      </w:r>
    </w:p>
    <w:p w:rsidR="00783683" w:rsidRPr="00BB7A3A" w:rsidRDefault="00783683" w:rsidP="00783683">
      <w:pPr>
        <w:pStyle w:val="FootnoteText"/>
        <w:spacing w:line="360" w:lineRule="auto"/>
      </w:pPr>
    </w:p>
  </w:endnote>
  <w:endnote w:id="65">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X and Others v Austria</w:t>
      </w:r>
      <w:r>
        <w:rPr>
          <w:rFonts w:ascii="Times New Roman" w:hAnsi="Times New Roman" w:cs="Times New Roman"/>
        </w:rPr>
        <w:t xml:space="preserve"> (n24</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66">
    <w:p w:rsidR="00783683" w:rsidRPr="00A043F9" w:rsidRDefault="00783683" w:rsidP="00783683">
      <w:pPr>
        <w:pStyle w:val="EndnoteText"/>
        <w:rPr>
          <w:rFonts w:ascii="Times New Roman" w:hAnsi="Times New Roman" w:cs="Times New Roman"/>
          <w:lang w:val="de-DE"/>
        </w:rPr>
      </w:pPr>
      <w:r w:rsidRPr="00BB7A3A">
        <w:rPr>
          <w:rStyle w:val="EndnoteReference"/>
          <w:rFonts w:ascii="Times New Roman" w:hAnsi="Times New Roman" w:cs="Times New Roman"/>
        </w:rPr>
        <w:endnoteRef/>
      </w:r>
      <w:r w:rsidRPr="00A043F9">
        <w:rPr>
          <w:rFonts w:ascii="Times New Roman" w:hAnsi="Times New Roman" w:cs="Times New Roman"/>
          <w:lang w:val="de-DE"/>
        </w:rPr>
        <w:t xml:space="preserve"> </w:t>
      </w:r>
      <w:r w:rsidRPr="00A043F9">
        <w:rPr>
          <w:rFonts w:ascii="Times New Roman" w:hAnsi="Times New Roman" w:cs="Times New Roman"/>
          <w:i/>
          <w:lang w:val="de-DE"/>
        </w:rPr>
        <w:t>Schalk and Kopf v Austria</w:t>
      </w:r>
      <w:r w:rsidRPr="00A043F9">
        <w:rPr>
          <w:rFonts w:ascii="Times New Roman" w:hAnsi="Times New Roman" w:cs="Times New Roman"/>
          <w:lang w:val="de-DE"/>
        </w:rPr>
        <w:t xml:space="preserve"> (n1). </w:t>
      </w:r>
    </w:p>
    <w:p w:rsidR="00783683" w:rsidRPr="00A043F9" w:rsidRDefault="00783683" w:rsidP="00783683">
      <w:pPr>
        <w:pStyle w:val="EndnoteText"/>
        <w:rPr>
          <w:rFonts w:ascii="Times New Roman" w:hAnsi="Times New Roman" w:cs="Times New Roman"/>
          <w:lang w:val="de-DE"/>
        </w:rPr>
      </w:pPr>
    </w:p>
  </w:endnote>
  <w:endnote w:id="67">
    <w:p w:rsidR="00783683" w:rsidRPr="00A043F9"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 xml:space="preserve">Ibid. </w:t>
      </w:r>
      <w:r w:rsidRPr="00A043F9">
        <w:rPr>
          <w:rFonts w:ascii="Times New Roman" w:hAnsi="Times New Roman" w:cs="Times New Roman"/>
          <w:lang w:val="es-ES_tradnl"/>
        </w:rPr>
        <w:t xml:space="preserve"> para 52. </w:t>
      </w:r>
    </w:p>
    <w:p w:rsidR="00783683" w:rsidRPr="00A043F9" w:rsidRDefault="00783683" w:rsidP="00783683">
      <w:pPr>
        <w:pStyle w:val="EndnoteText"/>
        <w:rPr>
          <w:rFonts w:ascii="Times New Roman" w:hAnsi="Times New Roman" w:cs="Times New Roman"/>
          <w:lang w:val="es-ES_tradnl"/>
        </w:rPr>
      </w:pPr>
    </w:p>
  </w:endnote>
  <w:endnote w:id="68">
    <w:p w:rsidR="00783683" w:rsidRPr="00A043F9" w:rsidRDefault="00783683" w:rsidP="00783683">
      <w:pPr>
        <w:pStyle w:val="EndnoteText"/>
        <w:jc w:val="both"/>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 xml:space="preserve">Ibid. </w:t>
      </w:r>
      <w:r w:rsidRPr="00A043F9">
        <w:rPr>
          <w:rFonts w:ascii="Times New Roman" w:hAnsi="Times New Roman" w:cs="Times New Roman"/>
          <w:lang w:val="es-ES_tradnl"/>
        </w:rPr>
        <w:t xml:space="preserve"> </w:t>
      </w:r>
    </w:p>
    <w:p w:rsidR="00783683" w:rsidRPr="00A043F9" w:rsidRDefault="00783683" w:rsidP="00783683">
      <w:pPr>
        <w:pStyle w:val="EndnoteText"/>
        <w:jc w:val="both"/>
        <w:rPr>
          <w:rFonts w:ascii="Times New Roman" w:hAnsi="Times New Roman" w:cs="Times New Roman"/>
          <w:lang w:val="es-ES_tradnl"/>
        </w:rPr>
      </w:pPr>
    </w:p>
  </w:endnote>
  <w:endnote w:id="69">
    <w:p w:rsidR="00783683" w:rsidRPr="00A043F9"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Rees v UK (</w:t>
      </w:r>
      <w:r w:rsidRPr="00A043F9">
        <w:rPr>
          <w:rFonts w:ascii="Times New Roman" w:hAnsi="Times New Roman" w:cs="Times New Roman"/>
          <w:lang w:val="es-ES_tradnl"/>
        </w:rPr>
        <w:t xml:space="preserve">App. No. 9532/81,17 October 1986) para 49. </w:t>
      </w:r>
    </w:p>
    <w:p w:rsidR="00783683" w:rsidRPr="00A043F9" w:rsidRDefault="00783683" w:rsidP="00783683">
      <w:pPr>
        <w:pStyle w:val="EndnoteText"/>
        <w:rPr>
          <w:rFonts w:ascii="Times New Roman" w:hAnsi="Times New Roman" w:cs="Times New Roman"/>
          <w:lang w:val="es-ES_tradnl"/>
        </w:rPr>
      </w:pPr>
    </w:p>
  </w:endnote>
  <w:endnote w:id="7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Eg </w:t>
      </w:r>
      <w:r w:rsidRPr="00BB7A3A">
        <w:rPr>
          <w:rFonts w:ascii="Times New Roman" w:hAnsi="Times New Roman" w:cs="Times New Roman"/>
        </w:rPr>
        <w:t xml:space="preserve">the English High Court in </w:t>
      </w:r>
      <w:r w:rsidRPr="00BB7A3A">
        <w:rPr>
          <w:rFonts w:ascii="Times New Roman" w:hAnsi="Times New Roman" w:cs="Times New Roman"/>
          <w:i/>
        </w:rPr>
        <w:t>Wilkinson v Kritzinger</w:t>
      </w:r>
      <w:r>
        <w:rPr>
          <w:rFonts w:ascii="Times New Roman" w:hAnsi="Times New Roman" w:cs="Times New Roman"/>
        </w:rPr>
        <w:t xml:space="preserve"> [2006] EWHC 2022 (Fam) and the</w:t>
      </w:r>
      <w:r w:rsidRPr="00BB7A3A">
        <w:rPr>
          <w:rFonts w:ascii="Times New Roman" w:hAnsi="Times New Roman" w:cs="Times New Roman"/>
        </w:rPr>
        <w:t xml:space="preserve"> Irish High Court in </w:t>
      </w:r>
      <w:r w:rsidRPr="00BB7A3A">
        <w:rPr>
          <w:rFonts w:ascii="Times New Roman" w:hAnsi="Times New Roman" w:cs="Times New Roman"/>
          <w:i/>
        </w:rPr>
        <w:t>Zappone and Gilligan v Revenue Commissioners</w:t>
      </w:r>
      <w:r w:rsidRPr="00BB7A3A">
        <w:rPr>
          <w:rFonts w:ascii="Times New Roman" w:hAnsi="Times New Roman" w:cs="Times New Roman"/>
        </w:rPr>
        <w:t xml:space="preserve"> [2006] IEHC 404.  </w:t>
      </w:r>
    </w:p>
    <w:p w:rsidR="00783683" w:rsidRPr="00BB7A3A" w:rsidRDefault="00783683" w:rsidP="00783683">
      <w:pPr>
        <w:pStyle w:val="EndnoteText"/>
        <w:rPr>
          <w:rFonts w:ascii="Times New Roman" w:hAnsi="Times New Roman" w:cs="Times New Roman"/>
        </w:rPr>
      </w:pPr>
    </w:p>
  </w:endnote>
  <w:endnote w:id="71">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iCs/>
        </w:rPr>
        <w:t>Ms Juliet Joslin et al. v. New Zealand</w:t>
      </w:r>
      <w:r w:rsidRPr="00BB7A3A">
        <w:rPr>
          <w:rFonts w:ascii="Times New Roman" w:hAnsi="Times New Roman" w:cs="Times New Roman"/>
        </w:rPr>
        <w:t>, (2002) Communication No. 902/1999, U.N. Doc. A/57/40.</w:t>
      </w:r>
    </w:p>
    <w:p w:rsidR="00783683" w:rsidRPr="00BB7A3A" w:rsidRDefault="00783683" w:rsidP="00783683">
      <w:pPr>
        <w:pStyle w:val="EndnoteText"/>
        <w:rPr>
          <w:rFonts w:ascii="Times New Roman" w:hAnsi="Times New Roman" w:cs="Times New Roman"/>
        </w:rPr>
      </w:pPr>
    </w:p>
  </w:endnote>
  <w:endnote w:id="72">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Yogyakarata Principles 24E and 24F on the Application of International Human Rights Law in Relation to Sexual Orientation and Gender Identity available at </w:t>
      </w:r>
      <w:hyperlink r:id="rId1" w:history="1">
        <w:r w:rsidRPr="00BB7A3A">
          <w:rPr>
            <w:rStyle w:val="Hyperlink"/>
            <w:rFonts w:ascii="Times New Roman" w:hAnsi="Times New Roman" w:cs="Times New Roman"/>
            <w:color w:val="auto"/>
          </w:rPr>
          <w:t>http://www.yogyakartaprinciples.org/</w:t>
        </w:r>
      </w:hyperlink>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73">
    <w:p w:rsidR="00783683" w:rsidRPr="006D32A5" w:rsidRDefault="00783683" w:rsidP="00783683">
      <w:pPr>
        <w:spacing w:after="200" w:line="240" w:lineRule="auto"/>
        <w:jc w:val="both"/>
        <w:rPr>
          <w:rFonts w:ascii="Times New Roman" w:eastAsia="Times New Roman" w:hAnsi="Times New Roman" w:cs="Times New Roman"/>
          <w:b/>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eastAsia="Times New Roman" w:hAnsi="Times New Roman" w:cs="Times New Roman"/>
          <w:i/>
          <w:sz w:val="20"/>
          <w:szCs w:val="20"/>
          <w:lang w:eastAsia="en-GB"/>
        </w:rPr>
        <w:t>Chapin and Charpentier v France</w:t>
      </w:r>
      <w:r w:rsidRPr="00BB7A3A">
        <w:rPr>
          <w:rFonts w:ascii="Times New Roman" w:eastAsia="Times New Roman" w:hAnsi="Times New Roman" w:cs="Times New Roman"/>
          <w:b/>
          <w:sz w:val="20"/>
          <w:szCs w:val="20"/>
          <w:lang w:eastAsia="en-GB"/>
        </w:rPr>
        <w:t xml:space="preserve"> </w:t>
      </w:r>
      <w:r>
        <w:rPr>
          <w:rFonts w:ascii="Times New Roman" w:eastAsia="Times New Roman" w:hAnsi="Times New Roman" w:cs="Times New Roman"/>
          <w:sz w:val="20"/>
          <w:szCs w:val="20"/>
          <w:lang w:eastAsia="en-GB"/>
        </w:rPr>
        <w:t>(n2</w:t>
      </w:r>
      <w:r w:rsidRPr="00BB7A3A">
        <w:rPr>
          <w:rFonts w:ascii="Times New Roman" w:eastAsia="Times New Roman" w:hAnsi="Times New Roman" w:cs="Times New Roman"/>
          <w:sz w:val="20"/>
          <w:szCs w:val="20"/>
          <w:lang w:eastAsia="en-GB"/>
        </w:rPr>
        <w:t>).</w:t>
      </w:r>
      <w:r>
        <w:rPr>
          <w:rFonts w:ascii="Times New Roman" w:eastAsia="Times New Roman" w:hAnsi="Times New Roman" w:cs="Times New Roman"/>
          <w:b/>
          <w:sz w:val="20"/>
          <w:szCs w:val="20"/>
          <w:lang w:eastAsia="en-GB"/>
        </w:rPr>
        <w:t xml:space="preserve"> </w:t>
      </w:r>
    </w:p>
  </w:endnote>
  <w:endnote w:id="74">
    <w:p w:rsidR="00783683" w:rsidRPr="00BB7A3A" w:rsidRDefault="00783683" w:rsidP="00783683">
      <w:pPr>
        <w:shd w:val="clear" w:color="auto" w:fill="FFFFFF"/>
        <w:spacing w:before="240" w:after="180" w:line="240" w:lineRule="auto"/>
        <w:outlineLvl w:val="2"/>
        <w:rPr>
          <w:rFonts w:ascii="Times New Roman" w:eastAsia="Times New Roman" w:hAnsi="Times New Roman" w:cs="Times New Roman"/>
          <w:color w:val="64473A"/>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See eg</w:t>
      </w:r>
      <w:r w:rsidRPr="00BB7A3A">
        <w:rPr>
          <w:rFonts w:ascii="Times New Roman" w:hAnsi="Times New Roman" w:cs="Times New Roman"/>
          <w:sz w:val="20"/>
          <w:szCs w:val="20"/>
        </w:rPr>
        <w:t xml:space="preserve"> the South African Constitutional Court judgment of </w:t>
      </w:r>
      <w:r w:rsidRPr="00BB7A3A">
        <w:rPr>
          <w:rFonts w:ascii="Times New Roman" w:hAnsi="Times New Roman" w:cs="Times New Roman"/>
          <w:i/>
          <w:sz w:val="20"/>
          <w:szCs w:val="20"/>
        </w:rPr>
        <w:t>Minister of Home Affairs and Another v Fourie and Another</w:t>
      </w:r>
      <w:r>
        <w:rPr>
          <w:rFonts w:ascii="Times New Roman" w:hAnsi="Times New Roman" w:cs="Times New Roman"/>
          <w:sz w:val="20"/>
          <w:szCs w:val="20"/>
        </w:rPr>
        <w:t xml:space="preserve"> (n17</w:t>
      </w:r>
      <w:r w:rsidRPr="00BB7A3A">
        <w:rPr>
          <w:rFonts w:ascii="Times New Roman" w:hAnsi="Times New Roman" w:cs="Times New Roman"/>
          <w:sz w:val="20"/>
          <w:szCs w:val="20"/>
        </w:rPr>
        <w:t>) per Sachs J para 102.</w:t>
      </w:r>
    </w:p>
  </w:endnote>
  <w:endnote w:id="75">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6D32A5">
        <w:rPr>
          <w:rFonts w:ascii="Times New Roman" w:hAnsi="Times New Roman" w:cs="Times New Roman"/>
          <w:i/>
        </w:rPr>
        <w:t>Eg</w:t>
      </w:r>
      <w:r w:rsidRPr="00BB7A3A">
        <w:rPr>
          <w:rFonts w:ascii="Times New Roman" w:hAnsi="Times New Roman" w:cs="Times New Roman"/>
        </w:rPr>
        <w:t xml:space="preserve"> in relation to transsexuals’ rights see </w:t>
      </w:r>
      <w:r w:rsidRPr="00BB7A3A">
        <w:rPr>
          <w:rFonts w:ascii="Times New Roman" w:eastAsia="Calibri" w:hAnsi="Times New Roman" w:cs="Times New Roman"/>
          <w:i/>
        </w:rPr>
        <w:t xml:space="preserve">Christine Goodwin v UK </w:t>
      </w:r>
      <w:r>
        <w:rPr>
          <w:rFonts w:ascii="Times New Roman" w:eastAsia="Calibri" w:hAnsi="Times New Roman" w:cs="Times New Roman"/>
        </w:rPr>
        <w:t>(n61</w:t>
      </w:r>
      <w:r w:rsidRPr="00BB7A3A">
        <w:rPr>
          <w:rFonts w:ascii="Times New Roman" w:eastAsia="Calibri" w:hAnsi="Times New Roman" w:cs="Times New Roman"/>
        </w:rPr>
        <w:t xml:space="preserve">) </w:t>
      </w:r>
      <w:r w:rsidRPr="00BB7A3A">
        <w:rPr>
          <w:rFonts w:ascii="Times New Roman" w:hAnsi="Times New Roman" w:cs="Times New Roman"/>
        </w:rPr>
        <w:t xml:space="preserve">para 74. See also Tahmindjis 2016 for discussion. </w:t>
      </w:r>
    </w:p>
    <w:p w:rsidR="00783683" w:rsidRPr="00BB7A3A" w:rsidRDefault="00783683" w:rsidP="00783683">
      <w:pPr>
        <w:pStyle w:val="EndnoteText"/>
        <w:rPr>
          <w:rFonts w:ascii="Times New Roman" w:hAnsi="Times New Roman" w:cs="Times New Roman"/>
        </w:rPr>
      </w:pPr>
    </w:p>
  </w:endnote>
  <w:endnote w:id="76">
    <w:p w:rsidR="00783683" w:rsidRPr="00BB7A3A" w:rsidRDefault="00783683" w:rsidP="00783683">
      <w:pPr>
        <w:spacing w:after="0" w:line="240" w:lineRule="auto"/>
        <w:rPr>
          <w:rFonts w:ascii="Times New Roman" w:hAnsi="Times New Roman" w:cs="Times New Roman"/>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Hodson 2011 referring to </w:t>
      </w:r>
      <w:r w:rsidRPr="00BB7A3A">
        <w:rPr>
          <w:rFonts w:ascii="Times New Roman" w:hAnsi="Times New Roman" w:cs="Times New Roman"/>
          <w:i/>
          <w:sz w:val="20"/>
          <w:szCs w:val="20"/>
        </w:rPr>
        <w:t>Christine Goodwin v UK</w:t>
      </w:r>
      <w:r>
        <w:rPr>
          <w:rFonts w:ascii="Times New Roman" w:hAnsi="Times New Roman" w:cs="Times New Roman"/>
          <w:sz w:val="20"/>
          <w:szCs w:val="20"/>
        </w:rPr>
        <w:t xml:space="preserve"> (n61</w:t>
      </w:r>
      <w:r w:rsidRPr="00BB7A3A">
        <w:rPr>
          <w:rFonts w:ascii="Times New Roman" w:hAnsi="Times New Roman" w:cs="Times New Roman"/>
          <w:sz w:val="20"/>
          <w:szCs w:val="20"/>
        </w:rPr>
        <w:t xml:space="preserve">). </w:t>
      </w:r>
    </w:p>
    <w:p w:rsidR="00783683" w:rsidRPr="00BB7A3A" w:rsidRDefault="00783683" w:rsidP="00783683">
      <w:pPr>
        <w:pStyle w:val="EndnoteText"/>
        <w:rPr>
          <w:rFonts w:ascii="Times New Roman" w:hAnsi="Times New Roman" w:cs="Times New Roman"/>
        </w:rPr>
      </w:pPr>
    </w:p>
  </w:endnote>
  <w:endnote w:id="77">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BB7A3A">
        <w:rPr>
          <w:rFonts w:ascii="Times New Roman" w:hAnsi="Times New Roman" w:cs="Times New Roman"/>
          <w:i/>
        </w:rPr>
        <w:t>Rees v UK</w:t>
      </w:r>
      <w:r>
        <w:rPr>
          <w:rFonts w:ascii="Times New Roman" w:hAnsi="Times New Roman" w:cs="Times New Roman"/>
        </w:rPr>
        <w:t xml:space="preserve"> (n69</w:t>
      </w:r>
      <w:r w:rsidRPr="00BB7A3A">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78">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See US Legal Dictionary Online </w:t>
      </w:r>
      <w:hyperlink r:id="rId2" w:history="1">
        <w:r w:rsidRPr="00BB7A3A">
          <w:rPr>
            <w:rStyle w:val="Hyperlink"/>
            <w:rFonts w:ascii="Times New Roman" w:hAnsi="Times New Roman" w:cs="Times New Roman"/>
          </w:rPr>
          <w:t>http://definitions.uslegal.com/l/lex-specialis/</w:t>
        </w:r>
      </w:hyperlink>
    </w:p>
    <w:p w:rsidR="00783683" w:rsidRPr="00BB7A3A" w:rsidRDefault="00783683" w:rsidP="00783683">
      <w:pPr>
        <w:pStyle w:val="EndnoteText"/>
        <w:rPr>
          <w:rFonts w:ascii="Times New Roman" w:hAnsi="Times New Roman" w:cs="Times New Roman"/>
        </w:rPr>
      </w:pPr>
    </w:p>
  </w:endnote>
  <w:endnote w:id="79">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lang w:val="es-ES_tradnl"/>
        </w:rPr>
        <w:t xml:space="preserve"> </w:t>
      </w:r>
      <w:r w:rsidRPr="00BB7A3A">
        <w:rPr>
          <w:rFonts w:ascii="Times New Roman" w:hAnsi="Times New Roman" w:cs="Times New Roman"/>
          <w:i/>
          <w:lang w:val="es-ES_tradnl"/>
        </w:rPr>
        <w:t>Oliari v Italy</w:t>
      </w:r>
      <w:r>
        <w:rPr>
          <w:rFonts w:ascii="Times New Roman" w:hAnsi="Times New Roman" w:cs="Times New Roman"/>
          <w:lang w:val="es-ES_tradnl"/>
        </w:rPr>
        <w:t xml:space="preserve"> (n3</w:t>
      </w:r>
      <w:r w:rsidRPr="00BB7A3A">
        <w:rPr>
          <w:rFonts w:ascii="Times New Roman" w:hAnsi="Times New Roman" w:cs="Times New Roman"/>
          <w:lang w:val="es-ES_tradnl"/>
        </w:rPr>
        <w:t xml:space="preserve">) para 194. </w:t>
      </w:r>
      <w:r w:rsidRPr="00BB7A3A">
        <w:rPr>
          <w:rFonts w:ascii="Times New Roman" w:hAnsi="Times New Roman" w:cs="Times New Roman"/>
        </w:rPr>
        <w:t>See also Hayward</w:t>
      </w:r>
      <w:r w:rsidRPr="00BB7A3A">
        <w:rPr>
          <w:rFonts w:ascii="Times New Roman" w:hAnsi="Times New Roman" w:cs="Times New Roman"/>
          <w:i/>
        </w:rPr>
        <w:t xml:space="preserve"> </w:t>
      </w:r>
      <w:r w:rsidRPr="00BB7A3A">
        <w:rPr>
          <w:rFonts w:ascii="Times New Roman" w:hAnsi="Times New Roman" w:cs="Times New Roman"/>
        </w:rPr>
        <w:t xml:space="preserve">2016. </w:t>
      </w:r>
    </w:p>
    <w:p w:rsidR="00783683" w:rsidRPr="00BB7A3A" w:rsidRDefault="00783683" w:rsidP="00783683">
      <w:pPr>
        <w:pStyle w:val="EndnoteText"/>
        <w:rPr>
          <w:rFonts w:ascii="Times New Roman" w:hAnsi="Times New Roman" w:cs="Times New Roman"/>
        </w:rPr>
      </w:pPr>
    </w:p>
  </w:endnote>
  <w:endnote w:id="8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Chapin and Charpentier v France</w:t>
      </w:r>
      <w:r>
        <w:rPr>
          <w:rFonts w:ascii="Times New Roman" w:hAnsi="Times New Roman" w:cs="Times New Roman"/>
        </w:rPr>
        <w:t xml:space="preserve"> (n2</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81">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section entitled ‘The Equality Argument Requires Categorisation of Individuals into Classes of Sexual Orientation.’ </w:t>
      </w:r>
    </w:p>
    <w:p w:rsidR="00783683" w:rsidRPr="00BB7A3A" w:rsidRDefault="00783683" w:rsidP="00783683">
      <w:pPr>
        <w:pStyle w:val="EndnoteText"/>
        <w:rPr>
          <w:rFonts w:ascii="Times New Roman" w:hAnsi="Times New Roman" w:cs="Times New Roman"/>
        </w:rPr>
      </w:pPr>
    </w:p>
  </w:endnote>
  <w:endnote w:id="82">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The South African Constitutional Court judgment of </w:t>
      </w:r>
      <w:r w:rsidRPr="00BB7A3A">
        <w:rPr>
          <w:rFonts w:ascii="Times New Roman" w:hAnsi="Times New Roman" w:cs="Times New Roman"/>
          <w:i/>
        </w:rPr>
        <w:t>Minister of Home Affairs and Another v Fourie and Another</w:t>
      </w:r>
      <w:r>
        <w:rPr>
          <w:rFonts w:ascii="Times New Roman" w:hAnsi="Times New Roman" w:cs="Times New Roman"/>
        </w:rPr>
        <w:t xml:space="preserve"> (n17) per Sachs J para 102.</w:t>
      </w:r>
    </w:p>
    <w:p w:rsidR="00783683" w:rsidRPr="00BB7A3A" w:rsidRDefault="00783683" w:rsidP="00783683">
      <w:pPr>
        <w:pStyle w:val="EndnoteText"/>
        <w:rPr>
          <w:rFonts w:ascii="Times New Roman" w:hAnsi="Times New Roman" w:cs="Times New Roman"/>
        </w:rPr>
      </w:pPr>
    </w:p>
  </w:endnote>
  <w:endnote w:id="83">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Miller 2005 referring to Namath, M. (2004) Statement at a Press Conference Concerning the Federal Marriage Amendment on Capitol Hill, Washington, D.C. (3 March 2004) </w:t>
      </w:r>
      <w:hyperlink r:id="rId3" w:history="1">
        <w:r w:rsidRPr="00BB7A3A">
          <w:rPr>
            <w:rStyle w:val="Hyperlink"/>
            <w:rFonts w:ascii="Times New Roman" w:hAnsi="Times New Roman" w:cs="Times New Roman"/>
          </w:rPr>
          <w:t>http://rac.org/news/030304.html</w:t>
        </w:r>
      </w:hyperlink>
      <w:r w:rsidRPr="00BB7A3A">
        <w:rPr>
          <w:rFonts w:ascii="Times New Roman" w:hAnsi="Times New Roman" w:cs="Times New Roman"/>
        </w:rPr>
        <w:t>.</w:t>
      </w:r>
    </w:p>
    <w:p w:rsidR="00783683" w:rsidRPr="00BB7A3A" w:rsidRDefault="00783683" w:rsidP="00783683">
      <w:pPr>
        <w:pStyle w:val="EndnoteText"/>
        <w:rPr>
          <w:rFonts w:ascii="Times New Roman" w:hAnsi="Times New Roman" w:cs="Times New Roman"/>
        </w:rPr>
      </w:pPr>
    </w:p>
  </w:endnote>
  <w:endnote w:id="84">
    <w:p w:rsidR="00783683" w:rsidRPr="00BB7A3A" w:rsidRDefault="00783683" w:rsidP="00783683">
      <w:pPr>
        <w:spacing w:after="0" w:line="240" w:lineRule="auto"/>
        <w:rPr>
          <w:rFonts w:ascii="Times New Roman" w:eastAsia="Times New Roman" w:hAnsi="Times New Roman" w:cs="Times New Roman"/>
          <w:b/>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See section entitled ‘ECtHR Engagement with Article 14.’ </w:t>
      </w:r>
    </w:p>
    <w:p w:rsidR="00783683" w:rsidRPr="00BB7A3A" w:rsidRDefault="00783683" w:rsidP="00783683">
      <w:pPr>
        <w:pStyle w:val="EndnoteText"/>
        <w:rPr>
          <w:rFonts w:ascii="Times New Roman" w:hAnsi="Times New Roman" w:cs="Times New Roman"/>
        </w:rPr>
      </w:pPr>
    </w:p>
  </w:endnote>
  <w:endnote w:id="85">
    <w:p w:rsidR="00783683" w:rsidRPr="00BB7A3A" w:rsidRDefault="00783683" w:rsidP="00783683">
      <w:pPr>
        <w:spacing w:after="0" w:line="240" w:lineRule="auto"/>
        <w:contextualSpacing/>
        <w:rPr>
          <w:rFonts w:ascii="Times New Roman" w:eastAsia="Calibri" w:hAnsi="Times New Roman" w:cs="Times New Roman"/>
          <w:b/>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See section entitled ‘Developing ‘Family Life’ Arguments for Same-Sex Partners’. </w:t>
      </w:r>
    </w:p>
    <w:p w:rsidR="00783683" w:rsidRPr="00BB7A3A" w:rsidRDefault="00783683" w:rsidP="00783683">
      <w:pPr>
        <w:pStyle w:val="EndnoteText"/>
        <w:rPr>
          <w:rFonts w:ascii="Times New Roman" w:hAnsi="Times New Roman" w:cs="Times New Roman"/>
        </w:rPr>
      </w:pPr>
    </w:p>
  </w:endnote>
  <w:endnote w:id="86">
    <w:p w:rsidR="00783683" w:rsidRPr="00BB7A3A" w:rsidRDefault="00783683" w:rsidP="00783683">
      <w:pPr>
        <w:pStyle w:val="EndnoteText"/>
        <w:rPr>
          <w:rFonts w:ascii="Times New Roman" w:hAnsi="Times New Roman" w:cs="Times New Roman"/>
          <w:lang w:val="de-DE"/>
        </w:rPr>
      </w:pPr>
      <w:r w:rsidRPr="00BB7A3A">
        <w:rPr>
          <w:rStyle w:val="EndnoteReference"/>
          <w:rFonts w:ascii="Times New Roman" w:hAnsi="Times New Roman" w:cs="Times New Roman"/>
        </w:rPr>
        <w:endnoteRef/>
      </w:r>
      <w:r w:rsidRPr="00BB7A3A">
        <w:rPr>
          <w:rFonts w:ascii="Times New Roman" w:hAnsi="Times New Roman" w:cs="Times New Roman"/>
          <w:lang w:val="de-DE"/>
        </w:rPr>
        <w:t xml:space="preserve"> </w:t>
      </w:r>
      <w:r w:rsidRPr="00BB7A3A">
        <w:rPr>
          <w:rFonts w:ascii="Times New Roman" w:hAnsi="Times New Roman" w:cs="Times New Roman"/>
          <w:i/>
          <w:lang w:val="de-DE"/>
        </w:rPr>
        <w:t>Schalk and Kopf v Austria (n</w:t>
      </w:r>
      <w:r>
        <w:rPr>
          <w:rFonts w:ascii="Times New Roman" w:hAnsi="Times New Roman" w:cs="Times New Roman"/>
          <w:lang w:val="de-DE"/>
        </w:rPr>
        <w:t>1</w:t>
      </w:r>
      <w:r w:rsidRPr="00BB7A3A">
        <w:rPr>
          <w:rFonts w:ascii="Times New Roman" w:hAnsi="Times New Roman" w:cs="Times New Roman"/>
          <w:lang w:val="de-DE"/>
        </w:rPr>
        <w:t xml:space="preserve">) para 62. </w:t>
      </w:r>
    </w:p>
    <w:p w:rsidR="00783683" w:rsidRPr="00BB7A3A" w:rsidRDefault="00783683" w:rsidP="00783683">
      <w:pPr>
        <w:pStyle w:val="EndnoteText"/>
        <w:rPr>
          <w:rFonts w:ascii="Times New Roman" w:hAnsi="Times New Roman" w:cs="Times New Roman"/>
          <w:lang w:val="de-DE"/>
        </w:rPr>
      </w:pPr>
    </w:p>
  </w:endnote>
  <w:endnote w:id="87">
    <w:p w:rsidR="00783683"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w:t>
      </w:r>
      <w:r w:rsidRPr="00BB7A3A">
        <w:rPr>
          <w:rFonts w:ascii="Times New Roman" w:hAnsi="Times New Roman" w:cs="Times New Roman"/>
          <w:i/>
        </w:rPr>
        <w:t xml:space="preserve"> </w:t>
      </w:r>
      <w:r>
        <w:rPr>
          <w:rFonts w:ascii="Times New Roman" w:hAnsi="Times New Roman" w:cs="Times New Roman"/>
          <w:i/>
        </w:rPr>
        <w:t xml:space="preserve">eg </w:t>
      </w:r>
      <w:r w:rsidRPr="00BB7A3A">
        <w:rPr>
          <w:rFonts w:ascii="Times New Roman" w:hAnsi="Times New Roman" w:cs="Times New Roman"/>
          <w:i/>
        </w:rPr>
        <w:t>n</w:t>
      </w:r>
      <w:r>
        <w:rPr>
          <w:rFonts w:ascii="Times New Roman" w:hAnsi="Times New Roman" w:cs="Times New Roman"/>
          <w:i/>
        </w:rPr>
        <w:t>1 and n2.</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88">
    <w:p w:rsidR="00783683" w:rsidRDefault="00783683" w:rsidP="00783683">
      <w:pPr>
        <w:pStyle w:val="EndnoteText"/>
      </w:pPr>
      <w:r>
        <w:rPr>
          <w:rStyle w:val="EndnoteReference"/>
        </w:rPr>
        <w:endnoteRef/>
      </w:r>
      <w:r>
        <w:t xml:space="preserve"> See </w:t>
      </w:r>
      <w:r w:rsidRPr="00BB7A3A">
        <w:rPr>
          <w:rFonts w:ascii="Times New Roman" w:hAnsi="Times New Roman" w:cs="Times New Roman"/>
          <w:i/>
        </w:rPr>
        <w:t>Minister of Home Affairs and Another v Fourie and Another</w:t>
      </w:r>
      <w:r w:rsidRPr="00BB7A3A">
        <w:rPr>
          <w:rFonts w:ascii="Times New Roman" w:hAnsi="Times New Roman" w:cs="Times New Roman"/>
        </w:rPr>
        <w:t xml:space="preserve"> (n</w:t>
      </w:r>
      <w:r>
        <w:rPr>
          <w:rFonts w:ascii="Times New Roman" w:hAnsi="Times New Roman" w:cs="Times New Roman"/>
        </w:rPr>
        <w:t>17</w:t>
      </w:r>
      <w:r w:rsidRPr="00BB7A3A">
        <w:rPr>
          <w:rFonts w:ascii="Times New Roman" w:hAnsi="Times New Roman" w:cs="Times New Roman"/>
        </w:rPr>
        <w:t xml:space="preserve">) and </w:t>
      </w:r>
      <w:r w:rsidRPr="00BB7A3A">
        <w:rPr>
          <w:rFonts w:ascii="Times New Roman" w:hAnsi="Times New Roman" w:cs="Times New Roman"/>
          <w:i/>
        </w:rPr>
        <w:t xml:space="preserve">Obergefell et al v Hodges, Director, Ohio Department of Health </w:t>
      </w:r>
      <w:r>
        <w:rPr>
          <w:rFonts w:ascii="Times New Roman" w:hAnsi="Times New Roman" w:cs="Times New Roman"/>
        </w:rPr>
        <w:t>(n20</w:t>
      </w:r>
      <w:r w:rsidRPr="00BB7A3A">
        <w:rPr>
          <w:rFonts w:ascii="Times New Roman" w:hAnsi="Times New Roman" w:cs="Times New Roman"/>
        </w:rPr>
        <w:t xml:space="preserve">). </w:t>
      </w:r>
      <w:r>
        <w:t xml:space="preserve">    </w:t>
      </w:r>
    </w:p>
    <w:p w:rsidR="00783683" w:rsidRDefault="00783683" w:rsidP="00783683">
      <w:pPr>
        <w:pStyle w:val="EndnoteText"/>
      </w:pPr>
    </w:p>
  </w:endnote>
  <w:endnote w:id="89">
    <w:p w:rsidR="00783683" w:rsidRPr="00BB7A3A" w:rsidRDefault="00783683" w:rsidP="00783683">
      <w:pPr>
        <w:pStyle w:val="EndnoteText"/>
        <w:jc w:val="both"/>
        <w:rPr>
          <w:rStyle w:val="sb8d990e2"/>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w:t>
      </w:r>
      <w:r w:rsidRPr="00057EA6">
        <w:rPr>
          <w:rFonts w:ascii="Times New Roman" w:hAnsi="Times New Roman" w:cs="Times New Roman"/>
        </w:rPr>
        <w:t>n52.</w:t>
      </w:r>
      <w:r w:rsidRPr="00BB7A3A">
        <w:rPr>
          <w:rFonts w:ascii="Times New Roman" w:hAnsi="Times New Roman" w:cs="Times New Roman"/>
        </w:rPr>
        <w:t xml:space="preserve">  </w:t>
      </w:r>
    </w:p>
    <w:p w:rsidR="00783683" w:rsidRPr="00BB7A3A" w:rsidRDefault="00783683" w:rsidP="00783683">
      <w:pPr>
        <w:pStyle w:val="EndnoteText"/>
        <w:jc w:val="both"/>
        <w:rPr>
          <w:rFonts w:ascii="Times New Roman" w:hAnsi="Times New Roman" w:cs="Times New Roman"/>
        </w:rPr>
      </w:pPr>
    </w:p>
  </w:endnote>
  <w:endnote w:id="90">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Pr>
          <w:rFonts w:ascii="Times New Roman" w:hAnsi="Times New Roman" w:cs="Times New Roman"/>
        </w:rPr>
        <w:t xml:space="preserve"> See </w:t>
      </w:r>
      <w:r w:rsidRPr="00057EA6">
        <w:rPr>
          <w:rFonts w:ascii="Times New Roman" w:hAnsi="Times New Roman" w:cs="Times New Roman"/>
        </w:rPr>
        <w:t>n53.</w:t>
      </w:r>
      <w:r w:rsidRPr="00BB7A3A">
        <w:rPr>
          <w:rFonts w:ascii="Times New Roman" w:hAnsi="Times New Roman" w:cs="Times New Roman"/>
        </w:rPr>
        <w:t xml:space="preserve"> </w:t>
      </w:r>
    </w:p>
    <w:p w:rsidR="00783683" w:rsidRPr="00BB7A3A" w:rsidRDefault="00783683" w:rsidP="00783683">
      <w:pPr>
        <w:pStyle w:val="EndnoteText"/>
        <w:rPr>
          <w:rFonts w:ascii="Times New Roman" w:hAnsi="Times New Roman" w:cs="Times New Roman"/>
        </w:rPr>
      </w:pPr>
    </w:p>
  </w:endnote>
  <w:endnote w:id="91">
    <w:p w:rsidR="00783683" w:rsidRDefault="00783683" w:rsidP="00783683">
      <w:pPr>
        <w:pStyle w:val="EndnoteText"/>
        <w:jc w:val="both"/>
        <w:rPr>
          <w:rStyle w:val="sb8d990e2"/>
          <w:rFonts w:ascii="Times New Roman" w:hAnsi="Times New Roman" w:cs="Times New Roman"/>
        </w:rPr>
      </w:pPr>
      <w:r w:rsidRPr="00BB7A3A">
        <w:rPr>
          <w:rStyle w:val="EndnoteReference"/>
          <w:rFonts w:ascii="Times New Roman" w:hAnsi="Times New Roman" w:cs="Times New Roman"/>
        </w:rPr>
        <w:endnoteRef/>
      </w:r>
      <w:r w:rsidRPr="006D32A5">
        <w:rPr>
          <w:rFonts w:ascii="Times New Roman" w:hAnsi="Times New Roman" w:cs="Times New Roman"/>
        </w:rPr>
        <w:t xml:space="preserve"> </w:t>
      </w:r>
      <w:r w:rsidRPr="006D32A5">
        <w:rPr>
          <w:rFonts w:ascii="Times New Roman" w:hAnsi="Times New Roman" w:cs="Times New Roman"/>
          <w:i/>
        </w:rPr>
        <w:t>Schalk and Kopf v Austria</w:t>
      </w:r>
      <w:r w:rsidRPr="006D32A5">
        <w:rPr>
          <w:rFonts w:ascii="Times New Roman" w:hAnsi="Times New Roman" w:cs="Times New Roman"/>
        </w:rPr>
        <w:t xml:space="preserve"> </w:t>
      </w:r>
      <w:r w:rsidRPr="006D32A5">
        <w:rPr>
          <w:rFonts w:ascii="Times New Roman" w:hAnsi="Times New Roman" w:cs="Times New Roman"/>
          <w:i/>
        </w:rPr>
        <w:t>(</w:t>
      </w:r>
      <w:r w:rsidRPr="006D32A5">
        <w:rPr>
          <w:rFonts w:ascii="Times New Roman" w:hAnsi="Times New Roman" w:cs="Times New Roman"/>
        </w:rPr>
        <w:t>n1) para 94.</w:t>
      </w:r>
      <w:r w:rsidRPr="006D32A5">
        <w:rPr>
          <w:rStyle w:val="sb8d990e2"/>
          <w:rFonts w:ascii="Times New Roman" w:hAnsi="Times New Roman" w:cs="Times New Roman"/>
        </w:rPr>
        <w:t>  </w:t>
      </w:r>
    </w:p>
    <w:p w:rsidR="00783683" w:rsidRPr="006D32A5" w:rsidRDefault="00783683" w:rsidP="00783683">
      <w:pPr>
        <w:pStyle w:val="EndnoteText"/>
        <w:jc w:val="both"/>
        <w:rPr>
          <w:rFonts w:ascii="Times New Roman" w:hAnsi="Times New Roman" w:cs="Times New Roman"/>
        </w:rPr>
      </w:pPr>
    </w:p>
  </w:endnote>
  <w:endnote w:id="92">
    <w:p w:rsidR="00783683" w:rsidRPr="00A043F9" w:rsidRDefault="00783683" w:rsidP="00783683">
      <w:pPr>
        <w:pStyle w:val="EndnoteText"/>
        <w:rPr>
          <w:rFonts w:ascii="Times New Roman" w:hAnsi="Times New Roman" w:cs="Times New Roman"/>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Oliari v Italy</w:t>
      </w:r>
      <w:r w:rsidRPr="00A043F9">
        <w:rPr>
          <w:rFonts w:ascii="Times New Roman" w:hAnsi="Times New Roman" w:cs="Times New Roman"/>
          <w:lang w:val="es-ES_tradnl"/>
        </w:rPr>
        <w:t xml:space="preserve"> (n3). </w:t>
      </w:r>
    </w:p>
    <w:p w:rsidR="00783683" w:rsidRPr="00A043F9" w:rsidRDefault="00783683" w:rsidP="00783683">
      <w:pPr>
        <w:pStyle w:val="EndnoteText"/>
        <w:rPr>
          <w:rFonts w:ascii="Times New Roman" w:hAnsi="Times New Roman" w:cs="Times New Roman"/>
          <w:lang w:val="es-ES_tradnl"/>
        </w:rPr>
      </w:pPr>
    </w:p>
  </w:endnote>
  <w:endnote w:id="93">
    <w:p w:rsidR="00783683" w:rsidRPr="00A043F9" w:rsidRDefault="00783683" w:rsidP="00783683">
      <w:pPr>
        <w:pStyle w:val="EndnoteText"/>
        <w:rPr>
          <w:rFonts w:ascii="Times New Roman" w:hAnsi="Times New Roman" w:cs="Times New Roman"/>
          <w:i/>
          <w:lang w:val="es-ES_tradnl"/>
        </w:rPr>
      </w:pPr>
      <w:r w:rsidRPr="00BB7A3A">
        <w:rPr>
          <w:rStyle w:val="EndnoteReference"/>
          <w:rFonts w:ascii="Times New Roman" w:hAnsi="Times New Roman" w:cs="Times New Roman"/>
        </w:rPr>
        <w:endnoteRef/>
      </w:r>
      <w:r w:rsidRPr="00A043F9">
        <w:rPr>
          <w:rFonts w:ascii="Times New Roman" w:hAnsi="Times New Roman" w:cs="Times New Roman"/>
          <w:lang w:val="es-ES_tradnl"/>
        </w:rPr>
        <w:t xml:space="preserve"> </w:t>
      </w:r>
      <w:r w:rsidRPr="00A043F9">
        <w:rPr>
          <w:rFonts w:ascii="Times New Roman" w:hAnsi="Times New Roman" w:cs="Times New Roman"/>
          <w:i/>
          <w:lang w:val="es-ES_tradnl"/>
        </w:rPr>
        <w:t xml:space="preserve">Ibid. </w:t>
      </w:r>
    </w:p>
    <w:p w:rsidR="00783683" w:rsidRPr="00A043F9" w:rsidRDefault="00783683" w:rsidP="00783683">
      <w:pPr>
        <w:pStyle w:val="EndnoteText"/>
        <w:rPr>
          <w:rFonts w:ascii="Times New Roman" w:hAnsi="Times New Roman" w:cs="Times New Roman"/>
          <w:lang w:val="es-ES_tradnl"/>
        </w:rPr>
      </w:pPr>
    </w:p>
  </w:endnote>
  <w:endnote w:id="94">
    <w:p w:rsidR="00783683" w:rsidRPr="00A043F9" w:rsidRDefault="00783683" w:rsidP="00783683">
      <w:pPr>
        <w:pStyle w:val="EndnoteText"/>
        <w:rPr>
          <w:rFonts w:ascii="Times New Roman" w:hAnsi="Times New Roman" w:cs="Times New Roman"/>
          <w:i/>
          <w:lang w:val="de-DE"/>
        </w:rPr>
      </w:pPr>
      <w:r w:rsidRPr="00BB7A3A">
        <w:rPr>
          <w:rStyle w:val="EndnoteReference"/>
          <w:rFonts w:ascii="Times New Roman" w:hAnsi="Times New Roman" w:cs="Times New Roman"/>
        </w:rPr>
        <w:endnoteRef/>
      </w:r>
      <w:r w:rsidRPr="00A043F9">
        <w:rPr>
          <w:rFonts w:ascii="Times New Roman" w:hAnsi="Times New Roman" w:cs="Times New Roman"/>
          <w:lang w:val="de-DE"/>
        </w:rPr>
        <w:t xml:space="preserve"> </w:t>
      </w:r>
      <w:r w:rsidRPr="00A043F9">
        <w:rPr>
          <w:rFonts w:ascii="Times New Roman" w:hAnsi="Times New Roman" w:cs="Times New Roman"/>
          <w:i/>
          <w:lang w:val="de-DE"/>
        </w:rPr>
        <w:t xml:space="preserve">Schalk and Kopf v Austria </w:t>
      </w:r>
      <w:r w:rsidRPr="00A043F9">
        <w:rPr>
          <w:rFonts w:ascii="Times New Roman" w:hAnsi="Times New Roman" w:cs="Times New Roman"/>
          <w:lang w:val="de-DE"/>
        </w:rPr>
        <w:t>(n1).</w:t>
      </w:r>
      <w:r w:rsidRPr="00A043F9">
        <w:rPr>
          <w:rFonts w:ascii="Times New Roman" w:hAnsi="Times New Roman" w:cs="Times New Roman"/>
          <w:i/>
          <w:lang w:val="de-DE"/>
        </w:rPr>
        <w:t xml:space="preserve"> </w:t>
      </w:r>
    </w:p>
    <w:p w:rsidR="00783683" w:rsidRPr="00A043F9" w:rsidRDefault="00783683" w:rsidP="00783683">
      <w:pPr>
        <w:pStyle w:val="EndnoteText"/>
        <w:rPr>
          <w:rFonts w:ascii="Times New Roman" w:hAnsi="Times New Roman" w:cs="Times New Roman"/>
          <w:i/>
          <w:lang w:val="de-DE"/>
        </w:rPr>
      </w:pPr>
    </w:p>
  </w:endnote>
  <w:endnote w:id="95">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w:t>
      </w:r>
      <w:r w:rsidRPr="00BB7A3A">
        <w:rPr>
          <w:rFonts w:ascii="Times New Roman" w:hAnsi="Times New Roman" w:cs="Times New Roman"/>
          <w:i/>
        </w:rPr>
        <w:t xml:space="preserve">Christine Goodwin v UK </w:t>
      </w:r>
      <w:r>
        <w:rPr>
          <w:rFonts w:ascii="Times New Roman" w:hAnsi="Times New Roman" w:cs="Times New Roman"/>
        </w:rPr>
        <w:t>(n61</w:t>
      </w:r>
      <w:r w:rsidRPr="00BB7A3A">
        <w:rPr>
          <w:rFonts w:ascii="Times New Roman" w:hAnsi="Times New Roman" w:cs="Times New Roman"/>
        </w:rPr>
        <w:t xml:space="preserve">). </w:t>
      </w:r>
    </w:p>
  </w:endnote>
  <w:endnote w:id="96">
    <w:p w:rsidR="00783683" w:rsidRPr="00BB7A3A" w:rsidRDefault="00783683" w:rsidP="00783683">
      <w:pPr>
        <w:shd w:val="clear" w:color="auto" w:fill="FFFFFF"/>
        <w:spacing w:before="240" w:after="180" w:line="240" w:lineRule="auto"/>
        <w:outlineLvl w:val="2"/>
        <w:rPr>
          <w:rFonts w:ascii="Times New Roman" w:eastAsia="Times New Roman" w:hAnsi="Times New Roman" w:cs="Times New Roman"/>
          <w:color w:val="64473A"/>
          <w:sz w:val="20"/>
          <w:szCs w:val="20"/>
          <w:lang w:eastAsia="en-GB"/>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See eg</w:t>
      </w:r>
      <w:r w:rsidRPr="00BB7A3A">
        <w:rPr>
          <w:rFonts w:ascii="Times New Roman" w:hAnsi="Times New Roman" w:cs="Times New Roman"/>
          <w:sz w:val="20"/>
          <w:szCs w:val="20"/>
        </w:rPr>
        <w:t xml:space="preserve"> the South African Constitutional Court judgment of </w:t>
      </w:r>
      <w:r w:rsidRPr="00BB7A3A">
        <w:rPr>
          <w:rFonts w:ascii="Times New Roman" w:hAnsi="Times New Roman" w:cs="Times New Roman"/>
          <w:i/>
          <w:sz w:val="20"/>
          <w:szCs w:val="20"/>
        </w:rPr>
        <w:t>Minister of Home Affairs and Another v Fourie and Another</w:t>
      </w:r>
      <w:r>
        <w:rPr>
          <w:rFonts w:ascii="Times New Roman" w:hAnsi="Times New Roman" w:cs="Times New Roman"/>
          <w:sz w:val="20"/>
          <w:szCs w:val="20"/>
        </w:rPr>
        <w:t xml:space="preserve"> (n17</w:t>
      </w:r>
      <w:r w:rsidRPr="00BB7A3A">
        <w:rPr>
          <w:rFonts w:ascii="Times New Roman" w:hAnsi="Times New Roman" w:cs="Times New Roman"/>
          <w:sz w:val="20"/>
          <w:szCs w:val="20"/>
        </w:rPr>
        <w:t>) per Sachs J para 102.</w:t>
      </w:r>
    </w:p>
  </w:endnote>
  <w:endnote w:id="97">
    <w:p w:rsidR="00783683" w:rsidRPr="00BB7A3A" w:rsidRDefault="00783683" w:rsidP="00783683">
      <w:pPr>
        <w:pStyle w:val="EndnoteText"/>
        <w:rPr>
          <w:rFonts w:ascii="Times New Roman" w:hAnsi="Times New Roman" w:cs="Times New Roman"/>
        </w:rPr>
      </w:pPr>
      <w:r w:rsidRPr="00BB7A3A">
        <w:rPr>
          <w:rStyle w:val="EndnoteReference"/>
          <w:rFonts w:ascii="Times New Roman" w:hAnsi="Times New Roman" w:cs="Times New Roman"/>
        </w:rPr>
        <w:endnoteRef/>
      </w:r>
      <w:r w:rsidRPr="00BB7A3A">
        <w:rPr>
          <w:rFonts w:ascii="Times New Roman" w:hAnsi="Times New Roman" w:cs="Times New Roman"/>
        </w:rPr>
        <w:t xml:space="preserve"> See section entitled ‘ECtHR Engagement with Article 14.’</w:t>
      </w:r>
    </w:p>
    <w:p w:rsidR="00783683" w:rsidRPr="00BB7A3A" w:rsidRDefault="00783683" w:rsidP="00783683">
      <w:pPr>
        <w:pStyle w:val="EndnoteText"/>
        <w:rPr>
          <w:rFonts w:ascii="Times New Roman" w:hAnsi="Times New Roman" w:cs="Times New Roman"/>
        </w:rPr>
      </w:pPr>
    </w:p>
  </w:endnote>
  <w:endnote w:id="98">
    <w:p w:rsidR="00783683" w:rsidRPr="00BB7A3A" w:rsidRDefault="00783683" w:rsidP="00783683">
      <w:pPr>
        <w:spacing w:after="0" w:line="240" w:lineRule="auto"/>
        <w:contextualSpacing/>
        <w:rPr>
          <w:rFonts w:ascii="Times New Roman" w:eastAsia="Calibri" w:hAnsi="Times New Roman" w:cs="Times New Roman"/>
          <w:b/>
          <w:sz w:val="20"/>
          <w:szCs w:val="20"/>
        </w:rPr>
      </w:pPr>
      <w:r w:rsidRPr="00BB7A3A">
        <w:rPr>
          <w:rStyle w:val="EndnoteReference"/>
          <w:rFonts w:ascii="Times New Roman" w:hAnsi="Times New Roman" w:cs="Times New Roman"/>
          <w:sz w:val="20"/>
          <w:szCs w:val="20"/>
        </w:rPr>
        <w:endnoteRef/>
      </w:r>
      <w:r w:rsidRPr="00BB7A3A">
        <w:rPr>
          <w:rFonts w:ascii="Times New Roman" w:hAnsi="Times New Roman" w:cs="Times New Roman"/>
          <w:sz w:val="20"/>
          <w:szCs w:val="20"/>
        </w:rPr>
        <w:t xml:space="preserve"> See section entitled ‘Developing ‘Family Life’ Arguments for Same-Sex Partners’. </w:t>
      </w:r>
    </w:p>
    <w:p w:rsidR="00783683" w:rsidRPr="00BB7A3A" w:rsidRDefault="00783683" w:rsidP="00783683">
      <w:pPr>
        <w:pStyle w:val="EndnoteText"/>
        <w:rPr>
          <w:rFonts w:ascii="Times New Roman" w:hAnsi="Times New Roman" w:cs="Times New Roman"/>
        </w:rPr>
      </w:pPr>
    </w:p>
  </w:endnote>
  <w:endnote w:id="99">
    <w:p w:rsidR="00783683" w:rsidRPr="00BB7A3A" w:rsidRDefault="00783683" w:rsidP="00783683">
      <w:pPr>
        <w:pStyle w:val="EndnoteText"/>
        <w:spacing w:line="480" w:lineRule="auto"/>
        <w:jc w:val="both"/>
        <w:rPr>
          <w:rFonts w:ascii="Times New Roman" w:hAnsi="Times New Roman" w:cs="Times New Roman"/>
        </w:rPr>
      </w:pPr>
    </w:p>
    <w:p w:rsidR="00783683" w:rsidRPr="00BB7A3A" w:rsidRDefault="00783683" w:rsidP="00783683">
      <w:pPr>
        <w:pStyle w:val="EndnoteText"/>
        <w:spacing w:line="480" w:lineRule="auto"/>
        <w:jc w:val="both"/>
        <w:rPr>
          <w:rFonts w:ascii="Times New Roman" w:hAnsi="Times New Roman" w:cs="Times New Roman"/>
          <w:b/>
          <w:lang w:val="de-DE"/>
        </w:rPr>
      </w:pPr>
      <w:r w:rsidRPr="00BB7A3A">
        <w:rPr>
          <w:rFonts w:ascii="Times New Roman" w:hAnsi="Times New Roman" w:cs="Times New Roman"/>
          <w:b/>
          <w:lang w:val="de-DE"/>
        </w:rPr>
        <w:t>References</w:t>
      </w:r>
    </w:p>
    <w:p w:rsidR="00783683" w:rsidRPr="00BB7A3A" w:rsidRDefault="00783683" w:rsidP="00783683">
      <w:pPr>
        <w:spacing w:after="0" w:line="480" w:lineRule="auto"/>
        <w:jc w:val="both"/>
        <w:rPr>
          <w:rFonts w:ascii="Times New Roman" w:hAnsi="Times New Roman" w:cs="Times New Roman"/>
          <w:sz w:val="20"/>
          <w:szCs w:val="20"/>
        </w:rPr>
      </w:pPr>
      <w:r w:rsidRPr="00BB7A3A">
        <w:rPr>
          <w:rFonts w:ascii="Times New Roman" w:hAnsi="Times New Roman" w:cs="Times New Roman"/>
          <w:sz w:val="20"/>
          <w:szCs w:val="20"/>
          <w:lang w:val="de-DE"/>
        </w:rPr>
        <w:t xml:space="preserve">Akandji-Kombe, J. F. (2007). </w:t>
      </w:r>
      <w:r w:rsidRPr="00BB7A3A">
        <w:rPr>
          <w:rFonts w:ascii="Times New Roman" w:hAnsi="Times New Roman" w:cs="Times New Roman"/>
          <w:i/>
          <w:sz w:val="20"/>
          <w:szCs w:val="20"/>
        </w:rPr>
        <w:t>Positive obligations under the European Convention on Human Rights: A Guide to the Implementation of the ECHR</w:t>
      </w:r>
      <w:r w:rsidRPr="00BB7A3A">
        <w:rPr>
          <w:rFonts w:ascii="Times New Roman" w:hAnsi="Times New Roman" w:cs="Times New Roman"/>
          <w:sz w:val="20"/>
          <w:szCs w:val="20"/>
        </w:rPr>
        <w:t xml:space="preserve">. Human Rights Handbook No.7. Available on the European Court of Human Rights website </w:t>
      </w:r>
      <w:hyperlink r:id="rId4" w:history="1">
        <w:r w:rsidRPr="00BB7A3A">
          <w:rPr>
            <w:rFonts w:ascii="Times New Roman" w:hAnsi="Times New Roman" w:cs="Times New Roman"/>
            <w:sz w:val="20"/>
            <w:szCs w:val="20"/>
          </w:rPr>
          <w:t>http://www.echr.coe.int/LibraryDocs/DG2/HRHAND/DG2-EN-HRHAND-07(2007).pdf</w:t>
        </w:r>
      </w:hyperlink>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eastAsia="Times New Roman" w:hAnsi="Times New Roman" w:cs="Times New Roman"/>
          <w:sz w:val="20"/>
          <w:szCs w:val="20"/>
          <w:lang w:eastAsia="en-GB"/>
        </w:rPr>
        <w:t xml:space="preserve">Aloni, E. (2010-1011). Incrementalism, civil unions and the possibility of predicting same-sex marriage. </w:t>
      </w:r>
      <w:r w:rsidRPr="00BB7A3A">
        <w:rPr>
          <w:rFonts w:ascii="Times New Roman" w:eastAsia="Times New Roman" w:hAnsi="Times New Roman" w:cs="Times New Roman"/>
          <w:i/>
          <w:sz w:val="20"/>
          <w:szCs w:val="20"/>
          <w:lang w:eastAsia="en-GB"/>
        </w:rPr>
        <w:t>Duke Journal of Gender Law and Policy, 18,</w:t>
      </w:r>
      <w:r w:rsidRPr="00BB7A3A">
        <w:rPr>
          <w:rFonts w:ascii="Times New Roman" w:eastAsia="Times New Roman" w:hAnsi="Times New Roman" w:cs="Times New Roman"/>
          <w:sz w:val="20"/>
          <w:szCs w:val="20"/>
          <w:lang w:eastAsia="en-GB"/>
        </w:rPr>
        <w:t xml:space="preserve"> 105.</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hAnsi="Times New Roman" w:cs="Times New Roman"/>
          <w:sz w:val="20"/>
          <w:szCs w:val="20"/>
        </w:rPr>
        <w:t xml:space="preserve">Ammaturo, F. (2014). </w:t>
      </w:r>
      <w:r w:rsidRPr="00BB7A3A">
        <w:rPr>
          <w:rFonts w:ascii="Times New Roman" w:eastAsia="Times New Roman" w:hAnsi="Times New Roman" w:cs="Times New Roman"/>
          <w:sz w:val="20"/>
          <w:szCs w:val="20"/>
          <w:lang w:eastAsia="en-GB"/>
        </w:rPr>
        <w:t xml:space="preserve">The right to a privilege? Homonormativity and the recognition of same-sex couples in Europe. </w:t>
      </w:r>
      <w:r w:rsidRPr="00BB7A3A">
        <w:rPr>
          <w:rFonts w:ascii="Times New Roman" w:eastAsia="Times New Roman" w:hAnsi="Times New Roman" w:cs="Times New Roman"/>
          <w:i/>
          <w:sz w:val="20"/>
          <w:szCs w:val="20"/>
          <w:lang w:eastAsia="en-GB"/>
        </w:rPr>
        <w:t xml:space="preserve">Social and Legal Studies, 23(2), </w:t>
      </w:r>
      <w:r w:rsidRPr="00BB7A3A">
        <w:rPr>
          <w:rFonts w:ascii="Times New Roman" w:eastAsia="Times New Roman" w:hAnsi="Times New Roman" w:cs="Times New Roman"/>
          <w:sz w:val="20"/>
          <w:szCs w:val="20"/>
          <w:lang w:eastAsia="en-GB"/>
        </w:rPr>
        <w:t>175</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eastAsia="Times New Roman" w:hAnsi="Times New Roman" w:cs="Times New Roman"/>
          <w:sz w:val="20"/>
          <w:szCs w:val="20"/>
          <w:lang w:eastAsia="en-GB"/>
        </w:rPr>
        <w:t xml:space="preserve"> Bamforth, N. (2012). Sexuality and citizenship in contemporary constitutional argument. </w:t>
      </w:r>
      <w:r w:rsidRPr="00BB7A3A">
        <w:rPr>
          <w:rFonts w:ascii="Times New Roman" w:eastAsia="Times New Roman" w:hAnsi="Times New Roman" w:cs="Times New Roman"/>
          <w:i/>
          <w:sz w:val="20"/>
          <w:szCs w:val="20"/>
          <w:lang w:eastAsia="en-GB"/>
        </w:rPr>
        <w:t xml:space="preserve">International Journal of Constitutional Law, 10(2), </w:t>
      </w:r>
      <w:r w:rsidRPr="00BB7A3A">
        <w:rPr>
          <w:rFonts w:ascii="Times New Roman" w:eastAsia="Times New Roman" w:hAnsi="Times New Roman" w:cs="Times New Roman"/>
          <w:sz w:val="20"/>
          <w:szCs w:val="20"/>
          <w:lang w:eastAsia="en-GB"/>
        </w:rPr>
        <w:t>477.</w:t>
      </w:r>
    </w:p>
    <w:p w:rsidR="00783683" w:rsidRPr="00BB7A3A" w:rsidRDefault="00783683" w:rsidP="00783683">
      <w:pPr>
        <w:spacing w:after="200" w:line="480" w:lineRule="auto"/>
        <w:contextualSpacing/>
        <w:jc w:val="both"/>
        <w:rPr>
          <w:rFonts w:ascii="Times New Roman" w:eastAsia="Calibri" w:hAnsi="Times New Roman" w:cs="Times New Roman"/>
          <w:sz w:val="20"/>
          <w:szCs w:val="20"/>
        </w:rPr>
      </w:pPr>
      <w:r w:rsidRPr="00BB7A3A">
        <w:rPr>
          <w:rFonts w:ascii="Times New Roman" w:eastAsia="Calibri" w:hAnsi="Times New Roman" w:cs="Times New Roman"/>
          <w:sz w:val="20"/>
          <w:szCs w:val="20"/>
        </w:rPr>
        <w:t>Barrett, S.J.</w:t>
      </w:r>
      <w:r>
        <w:rPr>
          <w:rFonts w:ascii="Times New Roman" w:eastAsia="Calibri" w:hAnsi="Times New Roman" w:cs="Times New Roman"/>
          <w:sz w:val="20"/>
          <w:szCs w:val="20"/>
        </w:rPr>
        <w:t xml:space="preserve"> </w:t>
      </w:r>
      <w:r w:rsidRPr="00BB7A3A">
        <w:rPr>
          <w:rFonts w:ascii="Times New Roman" w:eastAsia="Calibri" w:hAnsi="Times New Roman" w:cs="Times New Roman"/>
          <w:sz w:val="20"/>
          <w:szCs w:val="20"/>
        </w:rPr>
        <w:t xml:space="preserve">(2006-2008). For the sake of the children:  A new approach to securing same-sex marriage rights. </w:t>
      </w:r>
      <w:r w:rsidRPr="00BB7A3A">
        <w:rPr>
          <w:rFonts w:ascii="Times New Roman" w:eastAsia="Calibri" w:hAnsi="Times New Roman" w:cs="Times New Roman"/>
          <w:i/>
          <w:sz w:val="20"/>
          <w:szCs w:val="20"/>
        </w:rPr>
        <w:t>Brooklyn Law Review,73,</w:t>
      </w:r>
      <w:r w:rsidRPr="00BB7A3A">
        <w:rPr>
          <w:rFonts w:ascii="Times New Roman" w:eastAsia="Calibri" w:hAnsi="Times New Roman" w:cs="Times New Roman"/>
          <w:sz w:val="20"/>
          <w:szCs w:val="20"/>
        </w:rPr>
        <w:t xml:space="preserve"> 695. </w:t>
      </w:r>
    </w:p>
    <w:p w:rsidR="00783683" w:rsidRPr="00BB7A3A" w:rsidRDefault="00783683" w:rsidP="00783683">
      <w:pPr>
        <w:spacing w:after="200" w:line="480" w:lineRule="auto"/>
        <w:contextualSpacing/>
        <w:jc w:val="both"/>
        <w:rPr>
          <w:rFonts w:ascii="Times New Roman" w:eastAsia="Calibri" w:hAnsi="Times New Roman" w:cs="Times New Roman"/>
          <w:sz w:val="20"/>
          <w:szCs w:val="20"/>
        </w:rPr>
      </w:pPr>
      <w:r w:rsidRPr="00BB7A3A">
        <w:rPr>
          <w:rFonts w:ascii="Times New Roman" w:hAnsi="Times New Roman" w:cs="Times New Roman"/>
          <w:sz w:val="20"/>
          <w:szCs w:val="20"/>
        </w:rPr>
        <w:t xml:space="preserve">Benvenisti, E. (1998-1999). </w:t>
      </w:r>
      <w:r w:rsidRPr="00BB7A3A">
        <w:rPr>
          <w:rFonts w:ascii="Times New Roman" w:eastAsia="Times New Roman" w:hAnsi="Times New Roman" w:cs="Times New Roman"/>
          <w:sz w:val="20"/>
          <w:szCs w:val="20"/>
          <w:lang w:eastAsia="en-GB"/>
        </w:rPr>
        <w:t>Margin of appreciation, consensus and universal standards.</w:t>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New York University Journal of International Law and Politics, 31,</w:t>
      </w:r>
      <w:r w:rsidRPr="00BB7A3A">
        <w:rPr>
          <w:rFonts w:ascii="Times New Roman" w:hAnsi="Times New Roman" w:cs="Times New Roman"/>
          <w:sz w:val="20"/>
          <w:szCs w:val="20"/>
        </w:rPr>
        <w:t xml:space="preserve"> 843.</w:t>
      </w:r>
    </w:p>
    <w:p w:rsidR="00783683" w:rsidRPr="00BB7A3A" w:rsidRDefault="00783683" w:rsidP="00783683">
      <w:pPr>
        <w:spacing w:after="0" w:line="480" w:lineRule="auto"/>
        <w:jc w:val="both"/>
        <w:rPr>
          <w:rFonts w:ascii="Times New Roman" w:hAnsi="Times New Roman" w:cs="Times New Roman"/>
          <w:sz w:val="20"/>
          <w:szCs w:val="20"/>
        </w:rPr>
      </w:pPr>
      <w:r w:rsidRPr="00BB7A3A">
        <w:rPr>
          <w:rFonts w:ascii="Times New Roman" w:hAnsi="Times New Roman" w:cs="Times New Roman"/>
          <w:sz w:val="20"/>
          <w:szCs w:val="20"/>
        </w:rPr>
        <w:t xml:space="preserve">Bradley, D. (2003). Comparative law, family law and common law. </w:t>
      </w:r>
      <w:r w:rsidRPr="00BB7A3A">
        <w:rPr>
          <w:rFonts w:ascii="Times New Roman" w:hAnsi="Times New Roman" w:cs="Times New Roman"/>
          <w:i/>
          <w:sz w:val="20"/>
          <w:szCs w:val="20"/>
        </w:rPr>
        <w:t xml:space="preserve">Oxford Journal of Legal Studies, 33(1), </w:t>
      </w:r>
      <w:r w:rsidRPr="00BB7A3A">
        <w:rPr>
          <w:rFonts w:ascii="Times New Roman" w:hAnsi="Times New Roman" w:cs="Times New Roman"/>
          <w:sz w:val="20"/>
          <w:szCs w:val="20"/>
        </w:rPr>
        <w:t>127.</w:t>
      </w:r>
    </w:p>
    <w:p w:rsidR="00783683" w:rsidRPr="00BB7A3A" w:rsidRDefault="00783683" w:rsidP="00783683">
      <w:pPr>
        <w:spacing w:after="0" w:line="480" w:lineRule="auto"/>
        <w:rPr>
          <w:rFonts w:ascii="Times New Roman" w:hAnsi="Times New Roman" w:cs="Times New Roman"/>
          <w:sz w:val="20"/>
          <w:szCs w:val="20"/>
        </w:rPr>
      </w:pPr>
      <w:r w:rsidRPr="00BB7A3A">
        <w:rPr>
          <w:rFonts w:ascii="Times New Roman" w:hAnsi="Times New Roman" w:cs="Times New Roman"/>
          <w:sz w:val="20"/>
          <w:szCs w:val="20"/>
        </w:rPr>
        <w:t xml:space="preserve">Brauch, J. (2004-2005). The margin of appreciation and the jurisprudence of the European Court of Human Rights: Threat to the rule of law. </w:t>
      </w:r>
      <w:r w:rsidRPr="00BB7A3A">
        <w:rPr>
          <w:rFonts w:ascii="Times New Roman" w:hAnsi="Times New Roman" w:cs="Times New Roman"/>
          <w:i/>
          <w:sz w:val="20"/>
          <w:szCs w:val="20"/>
        </w:rPr>
        <w:t xml:space="preserve">Columbia Journal of European Law, 11, </w:t>
      </w:r>
      <w:r w:rsidRPr="00BB7A3A">
        <w:rPr>
          <w:rFonts w:ascii="Times New Roman" w:hAnsi="Times New Roman" w:cs="Times New Roman"/>
          <w:sz w:val="20"/>
          <w:szCs w:val="20"/>
        </w:rPr>
        <w:t>113.</w:t>
      </w:r>
    </w:p>
    <w:p w:rsidR="00783683" w:rsidRPr="00BB7A3A" w:rsidRDefault="00783683" w:rsidP="00783683">
      <w:pPr>
        <w:spacing w:after="0" w:line="480" w:lineRule="auto"/>
        <w:jc w:val="both"/>
        <w:rPr>
          <w:rFonts w:ascii="Times New Roman" w:eastAsia="Times New Roman" w:hAnsi="Times New Roman" w:cs="Times New Roman"/>
          <w:b/>
          <w:sz w:val="20"/>
          <w:szCs w:val="20"/>
          <w:lang w:eastAsia="en-GB"/>
        </w:rPr>
      </w:pPr>
      <w:r w:rsidRPr="00BB7A3A">
        <w:rPr>
          <w:rFonts w:ascii="Times New Roman" w:hAnsi="Times New Roman" w:cs="Times New Roman"/>
          <w:sz w:val="20"/>
          <w:szCs w:val="20"/>
        </w:rPr>
        <w:t xml:space="preserve">Butler, P. (2008-2009). </w:t>
      </w:r>
      <w:r w:rsidRPr="00BB7A3A">
        <w:rPr>
          <w:rFonts w:ascii="Times New Roman" w:eastAsia="Calibri" w:hAnsi="Times New Roman" w:cs="Times New Roman"/>
          <w:sz w:val="20"/>
          <w:szCs w:val="20"/>
        </w:rPr>
        <w:t xml:space="preserve">Margin of appreciation - A note towards a solution for the Pacific. </w:t>
      </w:r>
      <w:r w:rsidRPr="00BB7A3A">
        <w:rPr>
          <w:rFonts w:ascii="Times New Roman" w:eastAsia="Calibri" w:hAnsi="Times New Roman" w:cs="Times New Roman"/>
          <w:i/>
          <w:sz w:val="20"/>
          <w:szCs w:val="20"/>
        </w:rPr>
        <w:t>Victoria University Wellington Law Rev</w:t>
      </w:r>
      <w:r w:rsidRPr="00BB7A3A">
        <w:rPr>
          <w:rFonts w:ascii="Times New Roman" w:eastAsia="Calibri" w:hAnsi="Times New Roman" w:cs="Times New Roman"/>
          <w:sz w:val="20"/>
          <w:szCs w:val="20"/>
        </w:rPr>
        <w:t xml:space="preserve">iew, </w:t>
      </w:r>
      <w:r>
        <w:rPr>
          <w:rFonts w:ascii="Times New Roman" w:eastAsia="Calibri" w:hAnsi="Times New Roman" w:cs="Times New Roman"/>
          <w:i/>
          <w:sz w:val="20"/>
          <w:szCs w:val="20"/>
        </w:rPr>
        <w:t xml:space="preserve">39, </w:t>
      </w:r>
      <w:r w:rsidRPr="00BB7A3A">
        <w:rPr>
          <w:rFonts w:ascii="Times New Roman" w:eastAsia="Calibri" w:hAnsi="Times New Roman" w:cs="Times New Roman"/>
          <w:sz w:val="20"/>
          <w:szCs w:val="20"/>
        </w:rPr>
        <w:t>687.</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hAnsi="Times New Roman" w:cs="Times New Roman"/>
          <w:sz w:val="20"/>
          <w:szCs w:val="20"/>
        </w:rPr>
        <w:t>Cabellero, S.S</w:t>
      </w:r>
      <w:r w:rsidRPr="00BB7A3A">
        <w:rPr>
          <w:rFonts w:ascii="Times New Roman" w:hAnsi="Times New Roman" w:cs="Times New Roman"/>
          <w:b/>
          <w:sz w:val="20"/>
          <w:szCs w:val="20"/>
        </w:rPr>
        <w:t>.</w:t>
      </w:r>
      <w:r w:rsidRPr="00BB7A3A">
        <w:rPr>
          <w:rFonts w:ascii="Times New Roman" w:hAnsi="Times New Roman" w:cs="Times New Roman"/>
          <w:sz w:val="20"/>
          <w:szCs w:val="20"/>
        </w:rPr>
        <w:t xml:space="preserve"> (2004-2005). </w:t>
      </w:r>
      <w:r w:rsidRPr="00BB7A3A">
        <w:rPr>
          <w:rFonts w:ascii="Times New Roman" w:eastAsia="Times New Roman" w:hAnsi="Times New Roman" w:cs="Times New Roman"/>
          <w:sz w:val="20"/>
          <w:szCs w:val="20"/>
          <w:lang w:eastAsia="en-GB"/>
        </w:rPr>
        <w:t xml:space="preserve">Unmarried cohabiting couples before the European Court of Human Rights: Parity with marriage? </w:t>
      </w:r>
      <w:r w:rsidRPr="00BB7A3A">
        <w:rPr>
          <w:rFonts w:ascii="Times New Roman" w:eastAsia="Times New Roman" w:hAnsi="Times New Roman" w:cs="Times New Roman"/>
          <w:i/>
          <w:sz w:val="20"/>
          <w:szCs w:val="20"/>
          <w:lang w:eastAsia="en-GB"/>
        </w:rPr>
        <w:t xml:space="preserve">Columbia Journal of European Law, 11, </w:t>
      </w:r>
      <w:r w:rsidRPr="00BB7A3A">
        <w:rPr>
          <w:rFonts w:ascii="Times New Roman" w:eastAsia="Times New Roman" w:hAnsi="Times New Roman" w:cs="Times New Roman"/>
          <w:sz w:val="20"/>
          <w:szCs w:val="20"/>
          <w:lang w:eastAsia="en-GB"/>
        </w:rPr>
        <w:t xml:space="preserve">151. </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hAnsi="Times New Roman" w:cs="Times New Roman"/>
          <w:sz w:val="20"/>
          <w:szCs w:val="20"/>
        </w:rPr>
        <w:t xml:space="preserve">Cartabia, M. (2011). </w:t>
      </w:r>
      <w:r w:rsidRPr="00BB7A3A">
        <w:rPr>
          <w:rFonts w:ascii="Times New Roman" w:eastAsia="Times New Roman" w:hAnsi="Times New Roman" w:cs="Times New Roman"/>
          <w:sz w:val="20"/>
          <w:szCs w:val="20"/>
          <w:lang w:eastAsia="en-GB"/>
        </w:rPr>
        <w:t xml:space="preserve">The European Court of Human Rights: Judging non-discrimination. </w:t>
      </w:r>
      <w:r w:rsidRPr="00BB7A3A">
        <w:rPr>
          <w:rFonts w:ascii="Times New Roman" w:eastAsia="Times New Roman" w:hAnsi="Times New Roman" w:cs="Times New Roman"/>
          <w:i/>
          <w:sz w:val="20"/>
          <w:szCs w:val="20"/>
          <w:lang w:eastAsia="en-GB"/>
        </w:rPr>
        <w:t>International Journal of Constitutional Law, 9(4),</w:t>
      </w:r>
      <w:r w:rsidRPr="00BB7A3A">
        <w:rPr>
          <w:rFonts w:ascii="Times New Roman" w:eastAsia="Times New Roman" w:hAnsi="Times New Roman" w:cs="Times New Roman"/>
          <w:sz w:val="20"/>
          <w:szCs w:val="20"/>
          <w:lang w:eastAsia="en-GB"/>
        </w:rPr>
        <w:t xml:space="preserve"> 808.</w:t>
      </w:r>
    </w:p>
    <w:p w:rsidR="00783683" w:rsidRDefault="00783683" w:rsidP="00783683">
      <w:pPr>
        <w:spacing w:after="0" w:line="480" w:lineRule="auto"/>
        <w:jc w:val="both"/>
        <w:rPr>
          <w:rFonts w:ascii="Times New Roman" w:hAnsi="Times New Roman" w:cs="Times New Roman"/>
          <w:sz w:val="20"/>
          <w:szCs w:val="20"/>
        </w:rPr>
      </w:pPr>
      <w:r w:rsidRPr="00BB7A3A">
        <w:rPr>
          <w:rFonts w:ascii="Times New Roman" w:hAnsi="Times New Roman" w:cs="Times New Roman"/>
          <w:sz w:val="20"/>
          <w:szCs w:val="20"/>
        </w:rPr>
        <w:t>Cossman, B. (2007</w:t>
      </w:r>
      <w:r w:rsidRPr="00BB7A3A">
        <w:rPr>
          <w:rFonts w:ascii="Times New Roman" w:hAnsi="Times New Roman" w:cs="Times New Roman"/>
          <w:i/>
          <w:sz w:val="20"/>
          <w:szCs w:val="20"/>
        </w:rPr>
        <w:t xml:space="preserve">).  Sexual citizens: The legal and cultural regulation of sex and belonging, </w:t>
      </w:r>
      <w:r w:rsidRPr="00BB7A3A">
        <w:rPr>
          <w:rFonts w:ascii="Times New Roman" w:hAnsi="Times New Roman" w:cs="Times New Roman"/>
          <w:sz w:val="20"/>
          <w:szCs w:val="20"/>
        </w:rPr>
        <w:t>California:</w:t>
      </w:r>
      <w:r w:rsidRPr="00BB7A3A">
        <w:rPr>
          <w:rFonts w:ascii="Times New Roman" w:hAnsi="Times New Roman" w:cs="Times New Roman"/>
          <w:i/>
          <w:sz w:val="20"/>
          <w:szCs w:val="20"/>
        </w:rPr>
        <w:t xml:space="preserve"> </w:t>
      </w:r>
      <w:r w:rsidRPr="00BB7A3A">
        <w:rPr>
          <w:rFonts w:ascii="Times New Roman" w:hAnsi="Times New Roman" w:cs="Times New Roman"/>
          <w:sz w:val="20"/>
          <w:szCs w:val="20"/>
        </w:rPr>
        <w:t>Stanford University Press</w:t>
      </w:r>
      <w:r>
        <w:rPr>
          <w:rFonts w:ascii="Times New Roman" w:hAnsi="Times New Roman" w:cs="Times New Roman"/>
          <w:sz w:val="20"/>
          <w:szCs w:val="20"/>
        </w:rPr>
        <w:t>.</w:t>
      </w:r>
    </w:p>
    <w:p w:rsidR="00783683" w:rsidRPr="00BB7A3A" w:rsidRDefault="00783683" w:rsidP="00783683">
      <w:pPr>
        <w:spacing w:after="0" w:line="480" w:lineRule="auto"/>
        <w:jc w:val="both"/>
        <w:rPr>
          <w:rFonts w:ascii="Times New Roman" w:eastAsia="Times New Roman" w:hAnsi="Times New Roman" w:cs="Times New Roman"/>
          <w:b/>
          <w:i/>
          <w:sz w:val="20"/>
          <w:szCs w:val="20"/>
          <w:lang w:eastAsia="en-GB"/>
        </w:rPr>
      </w:pPr>
      <w:r w:rsidRPr="00BB7A3A">
        <w:rPr>
          <w:rFonts w:ascii="Times New Roman" w:eastAsia="Times New Roman" w:hAnsi="Times New Roman" w:cs="Times New Roman"/>
          <w:sz w:val="20"/>
          <w:szCs w:val="20"/>
          <w:lang w:eastAsia="en-GB"/>
        </w:rPr>
        <w:t xml:space="preserve">Cott, N. (2000). </w:t>
      </w:r>
      <w:r w:rsidRPr="00BB7A3A">
        <w:rPr>
          <w:rFonts w:ascii="Times New Roman" w:eastAsia="Times New Roman" w:hAnsi="Times New Roman" w:cs="Times New Roman"/>
          <w:i/>
          <w:sz w:val="20"/>
          <w:szCs w:val="20"/>
          <w:lang w:eastAsia="en-GB"/>
        </w:rPr>
        <w:t xml:space="preserve">Public vows: A history of marriage and the nation. </w:t>
      </w:r>
      <w:r w:rsidRPr="00BB7A3A">
        <w:rPr>
          <w:rFonts w:ascii="Times New Roman" w:eastAsia="Times New Roman" w:hAnsi="Times New Roman" w:cs="Times New Roman"/>
          <w:sz w:val="20"/>
          <w:szCs w:val="20"/>
          <w:lang w:eastAsia="en-GB"/>
        </w:rPr>
        <w:t>Massachusetts</w:t>
      </w:r>
      <w:r w:rsidRPr="00BB7A3A">
        <w:rPr>
          <w:rFonts w:ascii="Times New Roman" w:eastAsia="Times New Roman" w:hAnsi="Times New Roman" w:cs="Times New Roman"/>
          <w:i/>
          <w:sz w:val="20"/>
          <w:szCs w:val="20"/>
          <w:lang w:eastAsia="en-GB"/>
        </w:rPr>
        <w:t xml:space="preserve">, </w:t>
      </w:r>
      <w:r w:rsidRPr="00BB7A3A">
        <w:rPr>
          <w:rFonts w:ascii="Times New Roman" w:eastAsia="Times New Roman" w:hAnsi="Times New Roman" w:cs="Times New Roman"/>
          <w:sz w:val="20"/>
          <w:szCs w:val="20"/>
          <w:lang w:eastAsia="en-GB"/>
        </w:rPr>
        <w:t>Harvard University Press.</w:t>
      </w:r>
    </w:p>
    <w:p w:rsidR="00783683" w:rsidRPr="00BB7A3A" w:rsidRDefault="00783683" w:rsidP="00783683">
      <w:pPr>
        <w:spacing w:after="0" w:line="480" w:lineRule="auto"/>
        <w:jc w:val="both"/>
        <w:rPr>
          <w:rFonts w:ascii="Times New Roman" w:eastAsia="Calibri" w:hAnsi="Times New Roman" w:cs="Times New Roman"/>
          <w:sz w:val="20"/>
          <w:szCs w:val="20"/>
          <w:lang w:eastAsia="en-GB"/>
        </w:rPr>
      </w:pPr>
      <w:r w:rsidRPr="00BB7A3A">
        <w:rPr>
          <w:rFonts w:ascii="Times New Roman" w:eastAsia="Times New Roman" w:hAnsi="Times New Roman" w:cs="Times New Roman"/>
          <w:sz w:val="20"/>
          <w:szCs w:val="20"/>
          <w:lang w:eastAsia="en-GB"/>
        </w:rPr>
        <w:t xml:space="preserve">Crane, J. (2003-2004). </w:t>
      </w:r>
      <w:r w:rsidRPr="00BB7A3A">
        <w:rPr>
          <w:rFonts w:ascii="Times New Roman" w:eastAsia="Calibri" w:hAnsi="Times New Roman" w:cs="Times New Roman"/>
          <w:sz w:val="20"/>
          <w:szCs w:val="20"/>
          <w:lang w:eastAsia="en-GB"/>
        </w:rPr>
        <w:t xml:space="preserve">Legislative and constitutional responses to Goodridge </w:t>
      </w:r>
      <w:r>
        <w:rPr>
          <w:rFonts w:ascii="Times New Roman" w:eastAsia="Calibri" w:hAnsi="Times New Roman" w:cs="Times New Roman"/>
          <w:sz w:val="20"/>
          <w:szCs w:val="20"/>
          <w:lang w:eastAsia="en-GB"/>
        </w:rPr>
        <w:t xml:space="preserve">v Department of Public Health. </w:t>
      </w:r>
      <w:r w:rsidRPr="00BB7A3A">
        <w:rPr>
          <w:rFonts w:ascii="Times New Roman" w:eastAsia="Calibri" w:hAnsi="Times New Roman" w:cs="Times New Roman"/>
          <w:i/>
          <w:sz w:val="20"/>
          <w:szCs w:val="20"/>
          <w:lang w:eastAsia="en-GB"/>
        </w:rPr>
        <w:t>New York University Journal of Legislation and Public Policy, 7,</w:t>
      </w:r>
      <w:r w:rsidRPr="00BB7A3A">
        <w:rPr>
          <w:rFonts w:ascii="Times New Roman" w:eastAsia="Calibri" w:hAnsi="Times New Roman" w:cs="Times New Roman"/>
          <w:sz w:val="20"/>
          <w:szCs w:val="20"/>
          <w:lang w:eastAsia="en-GB"/>
        </w:rPr>
        <w:t xml:space="preserve"> 465.</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eastAsia="Times New Roman" w:hAnsi="Times New Roman" w:cs="Times New Roman"/>
          <w:sz w:val="20"/>
          <w:szCs w:val="20"/>
          <w:lang w:eastAsia="en-GB"/>
        </w:rPr>
        <w:t>Danisis, C. (2011). How far can the European Court of Human Rights go in the fight against discrimination? Defining new standards in its non-discrimination jurisprudence.</w:t>
      </w:r>
      <w:r w:rsidRPr="00BB7A3A">
        <w:rPr>
          <w:rFonts w:ascii="Times New Roman" w:eastAsia="Times New Roman" w:hAnsi="Times New Roman" w:cs="Times New Roman"/>
          <w:i/>
          <w:sz w:val="20"/>
          <w:szCs w:val="20"/>
          <w:lang w:eastAsia="en-GB"/>
        </w:rPr>
        <w:t xml:space="preserve"> International Journal of Constitutional Law </w:t>
      </w:r>
      <w:r w:rsidRPr="00BB7A3A">
        <w:rPr>
          <w:rFonts w:ascii="Times New Roman" w:eastAsia="Times New Roman" w:hAnsi="Times New Roman" w:cs="Times New Roman"/>
          <w:sz w:val="20"/>
          <w:szCs w:val="20"/>
          <w:lang w:eastAsia="en-GB"/>
        </w:rPr>
        <w:t>793.</w:t>
      </w:r>
    </w:p>
    <w:p w:rsidR="00783683" w:rsidRPr="00BB7A3A" w:rsidRDefault="00783683" w:rsidP="00783683">
      <w:pPr>
        <w:spacing w:after="200" w:line="480" w:lineRule="auto"/>
        <w:contextualSpacing/>
        <w:jc w:val="both"/>
        <w:rPr>
          <w:rFonts w:ascii="Times New Roman" w:eastAsia="Calibri" w:hAnsi="Times New Roman" w:cs="Times New Roman"/>
          <w:sz w:val="20"/>
          <w:szCs w:val="20"/>
        </w:rPr>
      </w:pPr>
      <w:r w:rsidRPr="00BB7A3A">
        <w:rPr>
          <w:rFonts w:ascii="Times New Roman" w:hAnsi="Times New Roman" w:cs="Times New Roman"/>
          <w:sz w:val="20"/>
          <w:szCs w:val="20"/>
        </w:rPr>
        <w:t xml:space="preserve">Dent, G. (1999). </w:t>
      </w:r>
      <w:r w:rsidRPr="00BB7A3A">
        <w:rPr>
          <w:rFonts w:ascii="Times New Roman" w:eastAsia="Calibri" w:hAnsi="Times New Roman" w:cs="Times New Roman"/>
          <w:sz w:val="20"/>
          <w:szCs w:val="20"/>
        </w:rPr>
        <w:t xml:space="preserve">The defense [sic] of traditional marriage. </w:t>
      </w:r>
      <w:r w:rsidRPr="00BB7A3A">
        <w:rPr>
          <w:rFonts w:ascii="Times New Roman" w:eastAsia="Calibri" w:hAnsi="Times New Roman" w:cs="Times New Roman"/>
          <w:i/>
          <w:sz w:val="20"/>
          <w:szCs w:val="20"/>
        </w:rPr>
        <w:t xml:space="preserve">Journal of Law and Politics, 15, </w:t>
      </w:r>
      <w:r w:rsidRPr="00BB7A3A">
        <w:rPr>
          <w:rFonts w:ascii="Times New Roman" w:eastAsia="Calibri" w:hAnsi="Times New Roman" w:cs="Times New Roman"/>
          <w:sz w:val="20"/>
          <w:szCs w:val="20"/>
        </w:rPr>
        <w:t>581.</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r w:rsidRPr="00BB7A3A">
        <w:rPr>
          <w:rFonts w:ascii="Times New Roman" w:eastAsia="Times New Roman" w:hAnsi="Times New Roman" w:cs="Times New Roman"/>
          <w:sz w:val="20"/>
          <w:szCs w:val="20"/>
          <w:lang w:eastAsia="en-GB"/>
        </w:rPr>
        <w:t>Donoho, D.L.</w:t>
      </w:r>
      <w:r w:rsidRPr="00BB7A3A">
        <w:rPr>
          <w:rFonts w:ascii="Times New Roman" w:eastAsia="Times New Roman" w:hAnsi="Times New Roman" w:cs="Times New Roman"/>
          <w:b/>
          <w:sz w:val="20"/>
          <w:szCs w:val="20"/>
          <w:lang w:eastAsia="en-GB"/>
        </w:rPr>
        <w:t xml:space="preserve"> </w:t>
      </w:r>
      <w:r w:rsidRPr="00BB7A3A">
        <w:rPr>
          <w:rFonts w:ascii="Times New Roman" w:eastAsia="Times New Roman" w:hAnsi="Times New Roman" w:cs="Times New Roman"/>
          <w:sz w:val="20"/>
          <w:szCs w:val="20"/>
          <w:lang w:eastAsia="en-GB"/>
        </w:rPr>
        <w:t xml:space="preserve">(2001). Autonomy, self-governance, and the margin of appreciation: Developing a jurisprudence of diversity within universal human rights. </w:t>
      </w:r>
      <w:r w:rsidRPr="00BB7A3A">
        <w:rPr>
          <w:rFonts w:ascii="Times New Roman" w:eastAsia="Times New Roman" w:hAnsi="Times New Roman" w:cs="Times New Roman"/>
          <w:i/>
          <w:sz w:val="20"/>
          <w:szCs w:val="20"/>
          <w:lang w:eastAsia="en-GB"/>
        </w:rPr>
        <w:t xml:space="preserve">Emory International Law Review, 15, </w:t>
      </w:r>
      <w:r w:rsidRPr="00BB7A3A">
        <w:rPr>
          <w:rFonts w:ascii="Times New Roman" w:eastAsia="Times New Roman" w:hAnsi="Times New Roman" w:cs="Times New Roman"/>
          <w:sz w:val="20"/>
          <w:szCs w:val="20"/>
          <w:lang w:eastAsia="en-GB"/>
        </w:rPr>
        <w:t xml:space="preserve"> 391.</w:t>
      </w:r>
    </w:p>
    <w:p w:rsidR="00783683" w:rsidRPr="00BB7A3A" w:rsidRDefault="00783683" w:rsidP="00783683">
      <w:pPr>
        <w:spacing w:after="0" w:line="480" w:lineRule="auto"/>
        <w:jc w:val="both"/>
        <w:rPr>
          <w:rFonts w:ascii="Times New Roman" w:eastAsia="Calibri" w:hAnsi="Times New Roman" w:cs="Times New Roman"/>
          <w:sz w:val="20"/>
          <w:szCs w:val="20"/>
          <w:lang w:eastAsia="en-GB"/>
        </w:rPr>
      </w:pPr>
      <w:r w:rsidRPr="00BB7A3A">
        <w:rPr>
          <w:rFonts w:ascii="Times New Roman" w:eastAsia="Calibri" w:hAnsi="Times New Roman" w:cs="Times New Roman"/>
          <w:sz w:val="20"/>
          <w:szCs w:val="20"/>
          <w:lang w:eastAsia="en-GB"/>
        </w:rPr>
        <w:t xml:space="preserve">Dorf, M. (2011). Same-sex marriage, second-class citizenship, and law’s social meanings. </w:t>
      </w:r>
      <w:r w:rsidRPr="00BB7A3A">
        <w:rPr>
          <w:rFonts w:ascii="Times New Roman" w:eastAsia="Calibri" w:hAnsi="Times New Roman" w:cs="Times New Roman"/>
          <w:i/>
          <w:sz w:val="20"/>
          <w:szCs w:val="20"/>
          <w:lang w:eastAsia="en-GB"/>
        </w:rPr>
        <w:t>Virginia Law Review</w:t>
      </w:r>
      <w:r w:rsidRPr="00BB7A3A">
        <w:rPr>
          <w:rFonts w:ascii="Times New Roman" w:eastAsia="Calibri" w:hAnsi="Times New Roman" w:cs="Times New Roman"/>
          <w:sz w:val="20"/>
          <w:szCs w:val="20"/>
          <w:lang w:eastAsia="en-GB"/>
        </w:rPr>
        <w:t xml:space="preserve">, </w:t>
      </w:r>
      <w:r w:rsidRPr="00BB7A3A">
        <w:rPr>
          <w:rFonts w:ascii="Times New Roman" w:eastAsia="Calibri" w:hAnsi="Times New Roman" w:cs="Times New Roman"/>
          <w:i/>
          <w:sz w:val="20"/>
          <w:szCs w:val="20"/>
          <w:lang w:eastAsia="en-GB"/>
        </w:rPr>
        <w:t>97,</w:t>
      </w:r>
      <w:r w:rsidRPr="00BB7A3A">
        <w:rPr>
          <w:rFonts w:ascii="Times New Roman" w:eastAsia="Calibri" w:hAnsi="Times New Roman" w:cs="Times New Roman"/>
          <w:sz w:val="20"/>
          <w:szCs w:val="20"/>
          <w:lang w:eastAsia="en-GB"/>
        </w:rPr>
        <w:t xml:space="preserve"> 1267.</w:t>
      </w:r>
    </w:p>
    <w:p w:rsidR="00783683" w:rsidRPr="00BB7A3A" w:rsidRDefault="00783683" w:rsidP="00783683">
      <w:pPr>
        <w:spacing w:after="200" w:line="480" w:lineRule="auto"/>
        <w:contextualSpacing/>
        <w:jc w:val="both"/>
        <w:rPr>
          <w:rFonts w:ascii="Times New Roman" w:eastAsia="Calibri" w:hAnsi="Times New Roman" w:cs="Times New Roman"/>
          <w:sz w:val="20"/>
          <w:szCs w:val="20"/>
        </w:rPr>
      </w:pPr>
      <w:r w:rsidRPr="00BB7A3A">
        <w:rPr>
          <w:rFonts w:ascii="Times New Roman" w:hAnsi="Times New Roman" w:cs="Times New Roman"/>
          <w:sz w:val="20"/>
          <w:szCs w:val="20"/>
        </w:rPr>
        <w:t>Dunlap,</w:t>
      </w:r>
      <w:r w:rsidRPr="00BB7A3A">
        <w:rPr>
          <w:rFonts w:ascii="Times New Roman" w:hAnsi="Times New Roman" w:cs="Times New Roman"/>
          <w:b/>
          <w:sz w:val="20"/>
          <w:szCs w:val="20"/>
        </w:rPr>
        <w:t xml:space="preserve"> </w:t>
      </w:r>
      <w:r w:rsidRPr="00BB7A3A">
        <w:rPr>
          <w:rFonts w:ascii="Times New Roman" w:hAnsi="Times New Roman" w:cs="Times New Roman"/>
          <w:sz w:val="20"/>
          <w:szCs w:val="20"/>
        </w:rPr>
        <w:t>M.</w:t>
      </w:r>
      <w:r w:rsidRPr="00BB7A3A">
        <w:rPr>
          <w:rFonts w:ascii="Times New Roman" w:hAnsi="Times New Roman" w:cs="Times New Roman"/>
          <w:b/>
          <w:sz w:val="20"/>
          <w:szCs w:val="20"/>
        </w:rPr>
        <w:t xml:space="preserve"> </w:t>
      </w:r>
      <w:r w:rsidRPr="00BB7A3A">
        <w:rPr>
          <w:rFonts w:ascii="Times New Roman" w:hAnsi="Times New Roman" w:cs="Times New Roman"/>
          <w:sz w:val="20"/>
          <w:szCs w:val="20"/>
        </w:rPr>
        <w:t xml:space="preserve">(1991). </w:t>
      </w:r>
      <w:r w:rsidRPr="00BB7A3A">
        <w:rPr>
          <w:rFonts w:ascii="Times New Roman" w:eastAsia="Calibri" w:hAnsi="Times New Roman" w:cs="Times New Roman"/>
          <w:sz w:val="20"/>
          <w:szCs w:val="20"/>
        </w:rPr>
        <w:t xml:space="preserve">The lesbian and gay marriage debate: A microcosm of our hopes and troubles in the nineties.  </w:t>
      </w:r>
      <w:r w:rsidRPr="00BB7A3A">
        <w:rPr>
          <w:rFonts w:ascii="Times New Roman" w:eastAsia="Calibri" w:hAnsi="Times New Roman" w:cs="Times New Roman"/>
          <w:i/>
          <w:sz w:val="20"/>
          <w:szCs w:val="20"/>
        </w:rPr>
        <w:t xml:space="preserve">Law and Sexuality Review Lesbian and Gay Legal Issues, 1, </w:t>
      </w:r>
      <w:r w:rsidRPr="00BB7A3A">
        <w:rPr>
          <w:rFonts w:ascii="Times New Roman" w:eastAsia="Calibri" w:hAnsi="Times New Roman" w:cs="Times New Roman"/>
          <w:sz w:val="20"/>
          <w:szCs w:val="20"/>
        </w:rPr>
        <w:t xml:space="preserve"> 63.</w:t>
      </w:r>
    </w:p>
    <w:p w:rsidR="00783683" w:rsidRPr="00BB7A3A" w:rsidRDefault="00783683" w:rsidP="00783683">
      <w:pPr>
        <w:spacing w:after="200" w:line="480" w:lineRule="auto"/>
        <w:contextualSpacing/>
        <w:jc w:val="both"/>
        <w:rPr>
          <w:rFonts w:ascii="Times New Roman" w:hAnsi="Times New Roman" w:cs="Times New Roman"/>
          <w:iCs/>
          <w:sz w:val="20"/>
          <w:szCs w:val="20"/>
        </w:rPr>
      </w:pPr>
      <w:r w:rsidRPr="00BB7A3A">
        <w:rPr>
          <w:rFonts w:ascii="Times New Roman" w:hAnsi="Times New Roman" w:cs="Times New Roman"/>
          <w:sz w:val="20"/>
          <w:szCs w:val="20"/>
        </w:rPr>
        <w:t xml:space="preserve">Equality Network (2011). </w:t>
      </w:r>
      <w:r w:rsidRPr="00BB7A3A">
        <w:rPr>
          <w:rFonts w:ascii="Times New Roman" w:hAnsi="Times New Roman" w:cs="Times New Roman"/>
          <w:i/>
          <w:iCs/>
          <w:sz w:val="20"/>
          <w:szCs w:val="20"/>
        </w:rPr>
        <w:t>Equal Marriage: Report of the Equality Network Survey of LGBT People’s Views on Marriage Equality</w:t>
      </w:r>
      <w:r w:rsidRPr="00BB7A3A">
        <w:rPr>
          <w:rFonts w:ascii="Times New Roman" w:hAnsi="Times New Roman" w:cs="Times New Roman"/>
          <w:iCs/>
          <w:sz w:val="20"/>
          <w:szCs w:val="20"/>
        </w:rPr>
        <w:t xml:space="preserve"> available at</w:t>
      </w:r>
      <w:r w:rsidRPr="00BB7A3A">
        <w:rPr>
          <w:rFonts w:ascii="Times New Roman" w:hAnsi="Times New Roman" w:cs="Times New Roman"/>
          <w:sz w:val="20"/>
          <w:szCs w:val="20"/>
        </w:rPr>
        <w:t xml:space="preserve"> </w:t>
      </w:r>
      <w:hyperlink r:id="rId5" w:history="1">
        <w:r w:rsidRPr="00BB7A3A">
          <w:rPr>
            <w:rFonts w:ascii="Times New Roman" w:hAnsi="Times New Roman" w:cs="Times New Roman"/>
            <w:iCs/>
            <w:sz w:val="20"/>
            <w:szCs w:val="20"/>
          </w:rPr>
          <w:t>http://www.equality-network.org/wp-content/uploads/2013/08/Equal-Marriage-Report-26.1.11.pdf</w:t>
        </w:r>
      </w:hyperlink>
      <w:r w:rsidRPr="00BB7A3A">
        <w:rPr>
          <w:rFonts w:ascii="Times New Roman" w:hAnsi="Times New Roman" w:cs="Times New Roman"/>
          <w:iCs/>
          <w:sz w:val="20"/>
          <w:szCs w:val="20"/>
        </w:rPr>
        <w:t>.</w:t>
      </w:r>
    </w:p>
    <w:p w:rsidR="00783683" w:rsidRDefault="00783683" w:rsidP="00783683">
      <w:pPr>
        <w:spacing w:after="200" w:line="480" w:lineRule="auto"/>
        <w:contextualSpacing/>
        <w:jc w:val="both"/>
        <w:rPr>
          <w:rFonts w:ascii="Times New Roman" w:eastAsia="Times New Roman" w:hAnsi="Times New Roman" w:cs="Times New Roman"/>
          <w:sz w:val="20"/>
          <w:szCs w:val="20"/>
          <w:lang w:eastAsia="en-GB"/>
        </w:rPr>
      </w:pPr>
      <w:r>
        <w:rPr>
          <w:rFonts w:ascii="Times New Roman" w:hAnsi="Times New Roman" w:cs="Times New Roman"/>
          <w:sz w:val="20"/>
          <w:szCs w:val="20"/>
        </w:rPr>
        <w:t>Eskridg</w:t>
      </w:r>
      <w:r w:rsidRPr="00BB7A3A">
        <w:rPr>
          <w:rFonts w:ascii="Times New Roman" w:hAnsi="Times New Roman" w:cs="Times New Roman"/>
          <w:sz w:val="20"/>
          <w:szCs w:val="20"/>
        </w:rPr>
        <w:t xml:space="preserve">e, W. Jr. (2004). </w:t>
      </w:r>
      <w:r w:rsidRPr="00BB7A3A">
        <w:rPr>
          <w:rFonts w:ascii="Times New Roman" w:eastAsia="Times New Roman" w:hAnsi="Times New Roman" w:cs="Times New Roman"/>
          <w:sz w:val="20"/>
          <w:szCs w:val="20"/>
          <w:lang w:eastAsia="en-GB"/>
        </w:rPr>
        <w:t xml:space="preserve">Development – United States: Lawrence v Texas and the imperative of comparative constitutionalism. </w:t>
      </w:r>
      <w:r w:rsidRPr="00BB7A3A">
        <w:rPr>
          <w:rFonts w:ascii="Times New Roman" w:eastAsia="Times New Roman" w:hAnsi="Times New Roman" w:cs="Times New Roman"/>
          <w:i/>
          <w:sz w:val="20"/>
          <w:szCs w:val="20"/>
          <w:lang w:eastAsia="en-GB"/>
        </w:rPr>
        <w:t>International Journa</w:t>
      </w:r>
      <w:r>
        <w:rPr>
          <w:rFonts w:ascii="Times New Roman" w:eastAsia="Times New Roman" w:hAnsi="Times New Roman" w:cs="Times New Roman"/>
          <w:i/>
          <w:sz w:val="20"/>
          <w:szCs w:val="20"/>
          <w:lang w:eastAsia="en-GB"/>
        </w:rPr>
        <w:t xml:space="preserve">l of Constitutional Law, 2(3), </w:t>
      </w:r>
      <w:r w:rsidRPr="00BB7A3A">
        <w:rPr>
          <w:rFonts w:ascii="Times New Roman" w:eastAsia="Times New Roman" w:hAnsi="Times New Roman" w:cs="Times New Roman"/>
          <w:sz w:val="20"/>
          <w:szCs w:val="20"/>
          <w:lang w:eastAsia="en-GB"/>
        </w:rPr>
        <w:t>555.</w:t>
      </w:r>
    </w:p>
    <w:p w:rsidR="00783683" w:rsidRPr="00027011" w:rsidRDefault="00783683" w:rsidP="00783683">
      <w:pPr>
        <w:spacing w:before="240" w:after="240" w:line="480" w:lineRule="auto"/>
        <w:rPr>
          <w:rFonts w:ascii="Times New Roman" w:eastAsia="Calibri" w:hAnsi="Times New Roman" w:cs="Times New Roman"/>
          <w:sz w:val="20"/>
          <w:szCs w:val="20"/>
        </w:rPr>
      </w:pPr>
      <w:r w:rsidRPr="00BB7A3A">
        <w:rPr>
          <w:rFonts w:ascii="Times New Roman" w:eastAsia="Calibri" w:hAnsi="Times New Roman" w:cs="Times New Roman"/>
          <w:sz w:val="20"/>
          <w:szCs w:val="20"/>
        </w:rPr>
        <w:t xml:space="preserve">Fenwick, H. (2016). Same sex unions and the Strasbourg court in a divided Europe: Driving forward reform or protecting the Court’s authority via consensus analysis. </w:t>
      </w:r>
      <w:r w:rsidRPr="00BB7A3A">
        <w:rPr>
          <w:rFonts w:ascii="Times New Roman" w:eastAsia="Calibri" w:hAnsi="Times New Roman" w:cs="Times New Roman"/>
          <w:i/>
          <w:sz w:val="20"/>
          <w:szCs w:val="20"/>
        </w:rPr>
        <w:t>European Human Rights Law Review, 3,</w:t>
      </w:r>
      <w:r w:rsidRPr="00BB7A3A">
        <w:rPr>
          <w:rFonts w:ascii="Times New Roman" w:eastAsia="Calibri" w:hAnsi="Times New Roman" w:cs="Times New Roman"/>
          <w:sz w:val="20"/>
          <w:szCs w:val="20"/>
        </w:rPr>
        <w:t xml:space="preserve"> 248.</w:t>
      </w:r>
      <w:r w:rsidRPr="00BB7A3A">
        <w:rPr>
          <w:rFonts w:ascii="Times New Roman" w:eastAsia="Calibri" w:hAnsi="Times New Roman" w:cs="Times New Roman"/>
          <w:i/>
          <w:sz w:val="20"/>
          <w:szCs w:val="20"/>
        </w:rPr>
        <w:t xml:space="preserve"> </w:t>
      </w:r>
      <w:r w:rsidRPr="00BB7A3A">
        <w:rPr>
          <w:rFonts w:ascii="Times New Roman" w:eastAsia="Calibri" w:hAnsi="Times New Roman" w:cs="Times New Roman"/>
          <w:sz w:val="20"/>
          <w:szCs w:val="20"/>
        </w:rPr>
        <w:t xml:space="preserve">  Gallagher, M. (2010). Why accommodate? Reflections on the gay marriage culture wars. </w:t>
      </w:r>
      <w:r w:rsidRPr="00BB7A3A">
        <w:rPr>
          <w:rFonts w:ascii="Times New Roman" w:eastAsia="Calibri" w:hAnsi="Times New Roman" w:cs="Times New Roman"/>
          <w:i/>
          <w:sz w:val="20"/>
          <w:szCs w:val="20"/>
        </w:rPr>
        <w:t>Northwestern Journal of Law and Social Polic</w:t>
      </w:r>
      <w:r>
        <w:rPr>
          <w:rFonts w:ascii="Times New Roman" w:eastAsia="Calibri" w:hAnsi="Times New Roman" w:cs="Times New Roman"/>
          <w:i/>
          <w:sz w:val="20"/>
          <w:szCs w:val="20"/>
        </w:rPr>
        <w:t>y, 5,</w:t>
      </w:r>
      <w:r>
        <w:rPr>
          <w:rFonts w:ascii="Times New Roman" w:eastAsia="Calibri" w:hAnsi="Times New Roman" w:cs="Times New Roman"/>
          <w:sz w:val="20"/>
          <w:szCs w:val="20"/>
        </w:rPr>
        <w:t xml:space="preserve"> 260.</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Grigolo, M. (2003). Sexualities and the ECHR: Introducing the universal sexual legal subject. </w:t>
      </w:r>
      <w:r w:rsidRPr="00BB7A3A">
        <w:rPr>
          <w:rFonts w:ascii="Times New Roman" w:hAnsi="Times New Roman" w:cs="Times New Roman"/>
          <w:i/>
          <w:sz w:val="20"/>
          <w:szCs w:val="20"/>
        </w:rPr>
        <w:t xml:space="preserve">European Journal of International Law, 14(5), </w:t>
      </w:r>
      <w:r w:rsidRPr="00BB7A3A">
        <w:rPr>
          <w:rFonts w:ascii="Times New Roman" w:hAnsi="Times New Roman" w:cs="Times New Roman"/>
          <w:sz w:val="20"/>
          <w:szCs w:val="20"/>
        </w:rPr>
        <w:t>1023.</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Hamilton, F. (2013). Why margin of appreciation is not the answer to the gay marriage debate. </w:t>
      </w:r>
      <w:r w:rsidRPr="00BB7A3A">
        <w:rPr>
          <w:rFonts w:ascii="Times New Roman" w:eastAsia="Times New Roman" w:hAnsi="Times New Roman" w:cs="Times New Roman"/>
          <w:i/>
          <w:sz w:val="20"/>
          <w:szCs w:val="20"/>
          <w:lang w:eastAsia="en-GB"/>
        </w:rPr>
        <w:t>European Human Rights Law Review, 2013(1),</w:t>
      </w:r>
      <w:r w:rsidRPr="00BB7A3A">
        <w:rPr>
          <w:rFonts w:ascii="Times New Roman" w:eastAsia="Times New Roman" w:hAnsi="Times New Roman" w:cs="Times New Roman"/>
          <w:b/>
          <w:sz w:val="20"/>
          <w:szCs w:val="20"/>
          <w:lang w:eastAsia="en-GB"/>
        </w:rPr>
        <w:t xml:space="preserve"> </w:t>
      </w:r>
      <w:r w:rsidRPr="00BB7A3A">
        <w:rPr>
          <w:rFonts w:ascii="Times New Roman" w:eastAsia="Times New Roman" w:hAnsi="Times New Roman" w:cs="Times New Roman"/>
          <w:sz w:val="20"/>
          <w:szCs w:val="20"/>
          <w:lang w:eastAsia="en-GB"/>
        </w:rPr>
        <w:t>47.</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Harris, A. (2007-2008). Loving before and after the law. </w:t>
      </w:r>
      <w:r w:rsidRPr="00BB7A3A">
        <w:rPr>
          <w:rFonts w:ascii="Times New Roman" w:eastAsia="Times New Roman" w:hAnsi="Times New Roman" w:cs="Times New Roman"/>
          <w:i/>
          <w:sz w:val="20"/>
          <w:szCs w:val="20"/>
          <w:lang w:eastAsia="en-GB"/>
        </w:rPr>
        <w:t xml:space="preserve">Fordham International Law Review, 76, </w:t>
      </w:r>
      <w:r w:rsidRPr="00BB7A3A">
        <w:rPr>
          <w:rFonts w:ascii="Times New Roman" w:eastAsia="Times New Roman" w:hAnsi="Times New Roman" w:cs="Times New Roman"/>
          <w:sz w:val="20"/>
          <w:szCs w:val="20"/>
          <w:lang w:eastAsia="en-GB"/>
        </w:rPr>
        <w:t>2821.</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Hayward, N. (2016). Same-sex registered partnerships – A right to be recognised? </w:t>
      </w:r>
      <w:r w:rsidRPr="00BB7A3A">
        <w:rPr>
          <w:rFonts w:ascii="Times New Roman" w:hAnsi="Times New Roman" w:cs="Times New Roman"/>
          <w:i/>
          <w:sz w:val="20"/>
          <w:szCs w:val="20"/>
        </w:rPr>
        <w:t xml:space="preserve">Cambridge Law Journal, 75(1), </w:t>
      </w:r>
      <w:r w:rsidRPr="00BB7A3A">
        <w:rPr>
          <w:rFonts w:ascii="Times New Roman" w:hAnsi="Times New Roman" w:cs="Times New Roman"/>
          <w:sz w:val="20"/>
          <w:szCs w:val="20"/>
        </w:rPr>
        <w:t>27.</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Hodson, L. (2011). A Marriage by any other name? Shalk and Kopf v Austria.  </w:t>
      </w:r>
      <w:r w:rsidRPr="00BB7A3A">
        <w:rPr>
          <w:rFonts w:ascii="Times New Roman" w:eastAsia="Times New Roman" w:hAnsi="Times New Roman" w:cs="Times New Roman"/>
          <w:i/>
          <w:sz w:val="20"/>
          <w:szCs w:val="20"/>
          <w:lang w:eastAsia="en-GB"/>
        </w:rPr>
        <w:t>Human Rights Law Review, 11(1),</w:t>
      </w:r>
      <w:r w:rsidRPr="00BB7A3A">
        <w:rPr>
          <w:rFonts w:ascii="Times New Roman" w:eastAsia="Times New Roman" w:hAnsi="Times New Roman" w:cs="Times New Roman"/>
          <w:sz w:val="20"/>
          <w:szCs w:val="20"/>
          <w:lang w:eastAsia="en-GB"/>
        </w:rPr>
        <w:t xml:space="preserve"> 170.</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Hohengarten, W.N. (1993-1994). Same-sex marriage and the right to privacy.  </w:t>
      </w:r>
      <w:r w:rsidRPr="00BB7A3A">
        <w:rPr>
          <w:rFonts w:ascii="Times New Roman" w:eastAsia="Times New Roman" w:hAnsi="Times New Roman" w:cs="Times New Roman"/>
          <w:i/>
          <w:sz w:val="20"/>
          <w:szCs w:val="20"/>
          <w:lang w:eastAsia="en-GB"/>
        </w:rPr>
        <w:t>Yale Law Review, 103,</w:t>
      </w:r>
      <w:r w:rsidRPr="00BB7A3A">
        <w:rPr>
          <w:rFonts w:ascii="Times New Roman" w:eastAsia="Times New Roman" w:hAnsi="Times New Roman" w:cs="Times New Roman"/>
          <w:sz w:val="20"/>
          <w:szCs w:val="20"/>
          <w:lang w:eastAsia="en-GB"/>
        </w:rPr>
        <w:t xml:space="preserve"> 1495.</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Hutchinson, M. (1999). The margin of appreciation doctrine in the European Court of Human Rights. </w:t>
      </w:r>
      <w:r w:rsidRPr="00BB7A3A">
        <w:rPr>
          <w:rFonts w:ascii="Times New Roman" w:hAnsi="Times New Roman" w:cs="Times New Roman"/>
          <w:i/>
          <w:sz w:val="20"/>
          <w:szCs w:val="20"/>
        </w:rPr>
        <w:t xml:space="preserve">International and Comparative Law Quarterly, 48, </w:t>
      </w:r>
      <w:r w:rsidRPr="00BB7A3A">
        <w:rPr>
          <w:rFonts w:ascii="Times New Roman" w:hAnsi="Times New Roman" w:cs="Times New Roman"/>
          <w:sz w:val="20"/>
          <w:szCs w:val="20"/>
        </w:rPr>
        <w:t>638.</w:t>
      </w:r>
    </w:p>
    <w:p w:rsidR="00783683" w:rsidRDefault="00783683" w:rsidP="00783683">
      <w:pPr>
        <w:spacing w:after="0" w:line="480" w:lineRule="auto"/>
        <w:rPr>
          <w:rFonts w:ascii="Times New Roman" w:hAnsi="Times New Roman" w:cs="Times New Roman"/>
          <w:sz w:val="20"/>
          <w:szCs w:val="20"/>
        </w:rPr>
      </w:pPr>
      <w:r w:rsidRPr="00BB7A3A">
        <w:rPr>
          <w:rFonts w:ascii="Times New Roman" w:hAnsi="Times New Roman" w:cs="Times New Roman"/>
          <w:sz w:val="20"/>
          <w:szCs w:val="20"/>
        </w:rPr>
        <w:t xml:space="preserve">Isaak, M. (2008). What’s in a name? Civil unions and the constitutional significance of marriage. </w:t>
      </w:r>
      <w:r w:rsidRPr="00BB7A3A">
        <w:rPr>
          <w:rFonts w:ascii="Times New Roman" w:hAnsi="Times New Roman" w:cs="Times New Roman"/>
          <w:i/>
          <w:sz w:val="20"/>
          <w:szCs w:val="20"/>
        </w:rPr>
        <w:t xml:space="preserve">University of Pennsylvania Journal of Constitutional Law, 10, </w:t>
      </w:r>
      <w:r>
        <w:rPr>
          <w:rFonts w:ascii="Times New Roman" w:hAnsi="Times New Roman" w:cs="Times New Roman"/>
          <w:sz w:val="20"/>
          <w:szCs w:val="20"/>
        </w:rPr>
        <w:t>607.</w:t>
      </w:r>
    </w:p>
    <w:p w:rsidR="00783683" w:rsidRPr="00411350" w:rsidRDefault="00783683" w:rsidP="00783683">
      <w:pPr>
        <w:shd w:val="clear" w:color="auto" w:fill="FFFFFF"/>
        <w:spacing w:before="100" w:after="200" w:line="480" w:lineRule="auto"/>
        <w:outlineLvl w:val="1"/>
        <w:rPr>
          <w:rFonts w:ascii="Times New Roman" w:eastAsia="Calibri" w:hAnsi="Times New Roman" w:cs="Times New Roman"/>
          <w:sz w:val="20"/>
          <w:szCs w:val="20"/>
        </w:rPr>
      </w:pPr>
      <w:r w:rsidRPr="00BB7A3A">
        <w:rPr>
          <w:rFonts w:ascii="Times New Roman" w:hAnsi="Times New Roman" w:cs="Times New Roman"/>
          <w:sz w:val="20"/>
          <w:szCs w:val="20"/>
        </w:rPr>
        <w:t xml:space="preserve">Johnson, P. (2010). </w:t>
      </w:r>
      <w:r w:rsidRPr="00BB7A3A">
        <w:rPr>
          <w:rFonts w:ascii="Times New Roman" w:hAnsi="Times New Roman" w:cs="Times New Roman"/>
          <w:bCs/>
          <w:color w:val="000000"/>
          <w:kern w:val="36"/>
          <w:sz w:val="20"/>
          <w:szCs w:val="20"/>
        </w:rPr>
        <w:t xml:space="preserve">An essentially private manifestation of human personality: Constructions of homosexuality in the European Court of Human Rights. </w:t>
      </w:r>
      <w:r w:rsidRPr="00BB7A3A">
        <w:rPr>
          <w:rFonts w:ascii="Times New Roman" w:hAnsi="Times New Roman" w:cs="Times New Roman"/>
          <w:i/>
          <w:color w:val="000000"/>
          <w:sz w:val="20"/>
          <w:szCs w:val="20"/>
        </w:rPr>
        <w:t>Human Rights Law Review, 10(1),</w:t>
      </w:r>
      <w:r>
        <w:rPr>
          <w:rFonts w:ascii="Times New Roman" w:hAnsi="Times New Roman" w:cs="Times New Roman"/>
          <w:color w:val="000000"/>
          <w:sz w:val="20"/>
          <w:szCs w:val="20"/>
        </w:rPr>
        <w:t xml:space="preserve"> 67. </w:t>
      </w:r>
      <w:r>
        <w:rPr>
          <w:rFonts w:ascii="Times New Roman" w:hAnsi="Times New Roman" w:cs="Times New Roman"/>
          <w:color w:val="000000"/>
          <w:sz w:val="20"/>
          <w:szCs w:val="20"/>
        </w:rPr>
        <w:br/>
      </w:r>
      <w:r w:rsidRPr="00BB7A3A">
        <w:rPr>
          <w:rFonts w:ascii="Times New Roman" w:eastAsia="Times New Roman" w:hAnsi="Times New Roman" w:cs="Times New Roman"/>
          <w:sz w:val="20"/>
          <w:szCs w:val="20"/>
          <w:lang w:eastAsia="en-GB"/>
        </w:rPr>
        <w:t xml:space="preserve">Johnson, P. (2015).  ‘The choice of wording must be regarded as deliberate’:  Same-sex marriage and Article 12 of the European Convention on Human Rights’ </w:t>
      </w:r>
      <w:r w:rsidRPr="00BB7A3A">
        <w:rPr>
          <w:rFonts w:ascii="Times New Roman" w:eastAsia="Times New Roman" w:hAnsi="Times New Roman" w:cs="Times New Roman"/>
          <w:i/>
          <w:sz w:val="20"/>
          <w:szCs w:val="20"/>
          <w:lang w:eastAsia="en-GB"/>
        </w:rPr>
        <w:t xml:space="preserve">European Law Review, </w:t>
      </w:r>
      <w:r w:rsidRPr="00BB7A3A">
        <w:rPr>
          <w:rFonts w:ascii="Times New Roman" w:eastAsia="Times New Roman" w:hAnsi="Times New Roman" w:cs="Times New Roman"/>
          <w:sz w:val="20"/>
          <w:szCs w:val="20"/>
          <w:lang w:eastAsia="en-GB"/>
        </w:rPr>
        <w:t>207.</w:t>
      </w:r>
      <w:r>
        <w:rPr>
          <w:rFonts w:ascii="Times New Roman" w:eastAsia="Times New Roman" w:hAnsi="Times New Roman" w:cs="Times New Roman"/>
          <w:sz w:val="20"/>
          <w:szCs w:val="20"/>
          <w:lang w:eastAsia="en-GB"/>
        </w:rPr>
        <w:br/>
      </w:r>
      <w:r w:rsidRPr="006802BE">
        <w:rPr>
          <w:rFonts w:ascii="Times New Roman" w:eastAsia="Times New Roman" w:hAnsi="Times New Roman" w:cs="Times New Roman"/>
          <w:sz w:val="20"/>
          <w:szCs w:val="20"/>
          <w:lang w:eastAsia="en-GB"/>
        </w:rPr>
        <w:t>J</w:t>
      </w:r>
      <w:r w:rsidRPr="006802BE">
        <w:rPr>
          <w:rFonts w:ascii="Times New Roman" w:eastAsia="Calibri" w:hAnsi="Times New Roman" w:cs="Times New Roman"/>
          <w:sz w:val="20"/>
          <w:szCs w:val="20"/>
        </w:rPr>
        <w:t xml:space="preserve">ohnson, P. (2015) Homosexual propaganda in the Russian Federation: Are they in violation of the European Convention on Human Rights? </w:t>
      </w:r>
      <w:r w:rsidRPr="006802BE">
        <w:rPr>
          <w:rFonts w:ascii="Times New Roman" w:eastAsia="Calibri" w:hAnsi="Times New Roman" w:cs="Times New Roman"/>
          <w:i/>
          <w:sz w:val="20"/>
          <w:szCs w:val="20"/>
        </w:rPr>
        <w:t>Russian Law Journal, 3(2),</w:t>
      </w:r>
      <w:r w:rsidRPr="006802BE">
        <w:rPr>
          <w:rFonts w:ascii="Times New Roman" w:eastAsia="Calibri" w:hAnsi="Times New Roman" w:cs="Times New Roman"/>
          <w:sz w:val="20"/>
          <w:szCs w:val="20"/>
        </w:rPr>
        <w:t xml:space="preserve"> 37.</w:t>
      </w:r>
      <w:r>
        <w:rPr>
          <w:rFonts w:ascii="Times New Roman" w:eastAsia="Calibri" w:hAnsi="Times New Roman" w:cs="Times New Roman"/>
          <w:sz w:val="20"/>
          <w:szCs w:val="20"/>
        </w:rPr>
        <w:br/>
      </w:r>
      <w:r w:rsidRPr="006802BE">
        <w:rPr>
          <w:rFonts w:ascii="Times New Roman" w:hAnsi="Times New Roman" w:cs="Times New Roman"/>
          <w:sz w:val="20"/>
          <w:szCs w:val="20"/>
        </w:rPr>
        <w:t>Johnson, P. (2015) Marriage, h</w:t>
      </w:r>
      <w:r w:rsidRPr="006802BE">
        <w:rPr>
          <w:rFonts w:ascii="Times New Roman" w:eastAsia="Times New Roman" w:hAnsi="Times New Roman" w:cs="Times New Roman"/>
          <w:sz w:val="20"/>
          <w:szCs w:val="20"/>
          <w:lang w:eastAsia="en-GB"/>
        </w:rPr>
        <w:t>eteronormativity and the European Court</w:t>
      </w:r>
      <w:r w:rsidRPr="006802BE">
        <w:rPr>
          <w:rFonts w:ascii="Times New Roman" w:hAnsi="Times New Roman" w:cs="Times New Roman"/>
          <w:sz w:val="20"/>
          <w:szCs w:val="20"/>
        </w:rPr>
        <w:t xml:space="preserve"> of Human Rights: A r</w:t>
      </w:r>
      <w:r w:rsidRPr="006802BE">
        <w:rPr>
          <w:rFonts w:ascii="Times New Roman" w:eastAsia="Times New Roman" w:hAnsi="Times New Roman" w:cs="Times New Roman"/>
          <w:sz w:val="20"/>
          <w:szCs w:val="20"/>
          <w:lang w:eastAsia="en-GB"/>
        </w:rPr>
        <w:t>eappraisal</w:t>
      </w:r>
      <w:r w:rsidRPr="006802BE">
        <w:rPr>
          <w:rFonts w:ascii="Times New Roman" w:hAnsi="Times New Roman" w:cs="Times New Roman"/>
          <w:sz w:val="20"/>
          <w:szCs w:val="20"/>
        </w:rPr>
        <w:t>.</w:t>
      </w:r>
      <w:r w:rsidRPr="006802BE">
        <w:rPr>
          <w:rFonts w:ascii="Times New Roman" w:eastAsia="Times New Roman" w:hAnsi="Times New Roman" w:cs="Times New Roman"/>
          <w:sz w:val="20"/>
          <w:szCs w:val="20"/>
          <w:lang w:eastAsia="en-GB"/>
        </w:rPr>
        <w:t xml:space="preserve"> </w:t>
      </w:r>
      <w:r w:rsidRPr="006802BE">
        <w:rPr>
          <w:rFonts w:ascii="Times New Roman" w:eastAsia="Times New Roman" w:hAnsi="Times New Roman" w:cs="Times New Roman"/>
          <w:i/>
          <w:sz w:val="20"/>
          <w:szCs w:val="20"/>
          <w:lang w:eastAsia="en-GB"/>
        </w:rPr>
        <w:t>International Journal of Law Policy and the Family</w:t>
      </w:r>
      <w:r w:rsidRPr="006802BE">
        <w:rPr>
          <w:rFonts w:ascii="Times New Roman" w:hAnsi="Times New Roman" w:cs="Times New Roman"/>
          <w:i/>
          <w:sz w:val="20"/>
          <w:szCs w:val="20"/>
        </w:rPr>
        <w:t>,</w:t>
      </w:r>
      <w:r w:rsidRPr="006802BE">
        <w:rPr>
          <w:rFonts w:ascii="Times New Roman" w:eastAsia="Times New Roman" w:hAnsi="Times New Roman" w:cs="Times New Roman"/>
          <w:sz w:val="20"/>
          <w:szCs w:val="20"/>
          <w:lang w:eastAsia="en-GB"/>
        </w:rPr>
        <w:t xml:space="preserve"> </w:t>
      </w:r>
      <w:r w:rsidRPr="006802BE">
        <w:rPr>
          <w:rFonts w:ascii="Times New Roman" w:eastAsia="Times New Roman" w:hAnsi="Times New Roman" w:cs="Times New Roman"/>
          <w:i/>
          <w:sz w:val="20"/>
          <w:szCs w:val="20"/>
          <w:lang w:eastAsia="en-GB"/>
        </w:rPr>
        <w:t>29</w:t>
      </w:r>
      <w:r w:rsidRPr="006802BE">
        <w:rPr>
          <w:rFonts w:ascii="Times New Roman" w:hAnsi="Times New Roman" w:cs="Times New Roman"/>
          <w:i/>
          <w:sz w:val="20"/>
          <w:szCs w:val="20"/>
        </w:rPr>
        <w:t>,</w:t>
      </w:r>
      <w:r w:rsidRPr="006802BE">
        <w:rPr>
          <w:rFonts w:ascii="Times New Roman" w:eastAsia="Times New Roman" w:hAnsi="Times New Roman" w:cs="Times New Roman"/>
          <w:sz w:val="20"/>
          <w:szCs w:val="20"/>
          <w:lang w:eastAsia="en-GB"/>
        </w:rPr>
        <w:t xml:space="preserve"> 56.</w:t>
      </w:r>
      <w:r>
        <w:rPr>
          <w:rFonts w:ascii="Times New Roman" w:hAnsi="Times New Roman" w:cs="Times New Roman"/>
          <w:color w:val="000000"/>
          <w:sz w:val="20"/>
          <w:szCs w:val="20"/>
        </w:rPr>
        <w:br/>
      </w:r>
      <w:r w:rsidRPr="00BB7A3A">
        <w:rPr>
          <w:rFonts w:ascii="Times New Roman" w:eastAsia="Times New Roman" w:hAnsi="Times New Roman" w:cs="Times New Roman"/>
          <w:sz w:val="20"/>
          <w:szCs w:val="20"/>
          <w:lang w:eastAsia="en-GB"/>
        </w:rPr>
        <w:t xml:space="preserve">Knop, K. (2001). Citizenship, public and private. </w:t>
      </w:r>
      <w:r w:rsidRPr="00BB7A3A">
        <w:rPr>
          <w:rFonts w:ascii="Times New Roman" w:eastAsia="Times New Roman" w:hAnsi="Times New Roman" w:cs="Times New Roman"/>
          <w:i/>
          <w:sz w:val="20"/>
          <w:szCs w:val="20"/>
          <w:lang w:eastAsia="en-GB"/>
        </w:rPr>
        <w:t>Law and contemporary problems, 71,</w:t>
      </w:r>
      <w:r w:rsidRPr="00BB7A3A">
        <w:rPr>
          <w:rFonts w:ascii="Times New Roman" w:eastAsia="Times New Roman" w:hAnsi="Times New Roman" w:cs="Times New Roman"/>
          <w:sz w:val="20"/>
          <w:szCs w:val="20"/>
          <w:lang w:eastAsia="en-GB"/>
        </w:rPr>
        <w:t xml:space="preserve"> 312.</w:t>
      </w:r>
      <w:r>
        <w:rPr>
          <w:rFonts w:ascii="Times New Roman" w:hAnsi="Times New Roman" w:cs="Times New Roman"/>
          <w:color w:val="000000"/>
          <w:sz w:val="20"/>
          <w:szCs w:val="20"/>
        </w:rPr>
        <w:br/>
      </w:r>
      <w:r w:rsidRPr="00BB7A3A">
        <w:rPr>
          <w:rFonts w:ascii="Times New Roman" w:eastAsia="Times New Roman" w:hAnsi="Times New Roman" w:cs="Times New Roman"/>
          <w:sz w:val="20"/>
          <w:szCs w:val="20"/>
          <w:lang w:eastAsia="en-GB"/>
        </w:rPr>
        <w:t>Kochenov, D. (2009). On options of citizens and moral choices of states: Gays and European f</w:t>
      </w:r>
      <w:r>
        <w:rPr>
          <w:rFonts w:ascii="Times New Roman" w:eastAsia="Times New Roman" w:hAnsi="Times New Roman" w:cs="Times New Roman"/>
          <w:sz w:val="20"/>
          <w:szCs w:val="20"/>
          <w:lang w:eastAsia="en-GB"/>
        </w:rPr>
        <w:t xml:space="preserve">ederalism. </w:t>
      </w:r>
      <w:r w:rsidRPr="00BB7A3A">
        <w:rPr>
          <w:rFonts w:ascii="Times New Roman" w:eastAsia="Times New Roman" w:hAnsi="Times New Roman" w:cs="Times New Roman"/>
          <w:sz w:val="20"/>
          <w:szCs w:val="20"/>
          <w:lang w:eastAsia="en-GB"/>
        </w:rPr>
        <w:t xml:space="preserve"> </w:t>
      </w:r>
      <w:r w:rsidRPr="00BB7A3A">
        <w:rPr>
          <w:rFonts w:ascii="Times New Roman" w:eastAsia="Times New Roman" w:hAnsi="Times New Roman" w:cs="Times New Roman"/>
          <w:i/>
          <w:sz w:val="20"/>
          <w:szCs w:val="20"/>
          <w:lang w:eastAsia="en-GB"/>
        </w:rPr>
        <w:t>Fordham International Law Review, 33(1),</w:t>
      </w:r>
      <w:r w:rsidRPr="00BB7A3A">
        <w:rPr>
          <w:rFonts w:ascii="Times New Roman" w:eastAsia="Times New Roman" w:hAnsi="Times New Roman" w:cs="Times New Roman"/>
          <w:sz w:val="20"/>
          <w:szCs w:val="20"/>
          <w:lang w:eastAsia="en-GB"/>
        </w:rPr>
        <w:t xml:space="preserve"> 156.</w:t>
      </w:r>
      <w:r>
        <w:rPr>
          <w:rFonts w:ascii="Times New Roman" w:hAnsi="Times New Roman" w:cs="Times New Roman"/>
          <w:color w:val="000000"/>
          <w:sz w:val="20"/>
          <w:szCs w:val="20"/>
        </w:rPr>
        <w:br/>
      </w:r>
      <w:r w:rsidRPr="00BB7A3A">
        <w:rPr>
          <w:rFonts w:ascii="Times New Roman" w:hAnsi="Times New Roman" w:cs="Times New Roman"/>
          <w:sz w:val="20"/>
          <w:szCs w:val="20"/>
        </w:rPr>
        <w:t xml:space="preserve">Kornbluh, (2011). </w:t>
      </w:r>
      <w:r w:rsidRPr="00BB7A3A">
        <w:rPr>
          <w:rFonts w:ascii="Times New Roman" w:eastAsia="Calibri" w:hAnsi="Times New Roman" w:cs="Times New Roman"/>
          <w:sz w:val="20"/>
          <w:szCs w:val="20"/>
        </w:rPr>
        <w:t xml:space="preserve">Queer legal history: A field grows up and comes out, </w:t>
      </w:r>
      <w:r w:rsidRPr="00BB7A3A">
        <w:rPr>
          <w:rFonts w:ascii="Times New Roman" w:eastAsia="Calibri" w:hAnsi="Times New Roman" w:cs="Times New Roman"/>
          <w:i/>
          <w:sz w:val="20"/>
          <w:szCs w:val="20"/>
        </w:rPr>
        <w:t xml:space="preserve">Law and Social Inquiry, 36(2), </w:t>
      </w:r>
      <w:r>
        <w:rPr>
          <w:rFonts w:ascii="Times New Roman" w:eastAsia="Calibri" w:hAnsi="Times New Roman" w:cs="Times New Roman"/>
          <w:sz w:val="20"/>
          <w:szCs w:val="20"/>
        </w:rPr>
        <w:t>537.</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Lester (1998). Universality versus subsidiarity: A reply. </w:t>
      </w:r>
      <w:r w:rsidRPr="00BB7A3A">
        <w:rPr>
          <w:rFonts w:ascii="Times New Roman" w:eastAsia="Times New Roman" w:hAnsi="Times New Roman" w:cs="Times New Roman"/>
          <w:i/>
          <w:sz w:val="20"/>
          <w:szCs w:val="20"/>
          <w:lang w:eastAsia="en-GB"/>
        </w:rPr>
        <w:t xml:space="preserve">European Human Rights Law Review, 1998(1), </w:t>
      </w:r>
      <w:r w:rsidRPr="00BB7A3A">
        <w:rPr>
          <w:rFonts w:ascii="Times New Roman" w:eastAsia="Times New Roman" w:hAnsi="Times New Roman" w:cs="Times New Roman"/>
          <w:sz w:val="20"/>
          <w:szCs w:val="20"/>
          <w:lang w:eastAsia="en-GB"/>
        </w:rPr>
        <w:t>73.</w:t>
      </w:r>
      <w:r>
        <w:rPr>
          <w:rFonts w:ascii="Times New Roman" w:eastAsia="Calibri" w:hAnsi="Times New Roman" w:cs="Times New Roman"/>
          <w:sz w:val="20"/>
          <w:szCs w:val="20"/>
        </w:rPr>
        <w:br/>
      </w:r>
      <w:r w:rsidRPr="00BB7A3A">
        <w:rPr>
          <w:rFonts w:ascii="Times New Roman" w:eastAsia="Calibri" w:hAnsi="Times New Roman" w:cs="Times New Roman"/>
          <w:sz w:val="20"/>
          <w:szCs w:val="20"/>
        </w:rPr>
        <w:t xml:space="preserve">Letsas, G. (2006). Two concepts of the margin of appreciation. </w:t>
      </w:r>
      <w:r w:rsidRPr="00BB7A3A">
        <w:rPr>
          <w:rFonts w:ascii="Times New Roman" w:eastAsia="Times New Roman" w:hAnsi="Times New Roman" w:cs="Times New Roman"/>
          <w:i/>
          <w:sz w:val="20"/>
          <w:szCs w:val="20"/>
          <w:lang w:eastAsia="en-GB"/>
        </w:rPr>
        <w:t>Oxford Journal of Legal Studies, 26(4),</w:t>
      </w:r>
      <w:r w:rsidRPr="00BB7A3A">
        <w:rPr>
          <w:rFonts w:ascii="Times New Roman" w:eastAsia="Times New Roman" w:hAnsi="Times New Roman" w:cs="Times New Roman"/>
          <w:sz w:val="20"/>
          <w:szCs w:val="20"/>
          <w:lang w:eastAsia="en-GB"/>
        </w:rPr>
        <w:t xml:space="preserve"> 705.</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Letsas, G. (2010). Strasbourg’s interpretative ethic: Lessons for the International Lawyer. </w:t>
      </w:r>
      <w:r w:rsidRPr="00BB7A3A">
        <w:rPr>
          <w:rFonts w:ascii="Times New Roman" w:hAnsi="Times New Roman" w:cs="Times New Roman"/>
          <w:i/>
          <w:sz w:val="20"/>
          <w:szCs w:val="20"/>
        </w:rPr>
        <w:t xml:space="preserve">European Journal of International Law, 21(3), </w:t>
      </w:r>
      <w:r w:rsidRPr="00BB7A3A">
        <w:rPr>
          <w:rFonts w:ascii="Times New Roman" w:hAnsi="Times New Roman" w:cs="Times New Roman"/>
          <w:sz w:val="20"/>
          <w:szCs w:val="20"/>
        </w:rPr>
        <w:t>509.</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Lewis, (2007). </w:t>
      </w:r>
      <w:r w:rsidRPr="00BB7A3A">
        <w:rPr>
          <w:rFonts w:ascii="Times New Roman" w:eastAsia="Times New Roman" w:hAnsi="Times New Roman" w:cs="Times New Roman"/>
          <w:sz w:val="20"/>
          <w:szCs w:val="20"/>
          <w:lang w:eastAsia="en-GB"/>
        </w:rPr>
        <w:t xml:space="preserve">What not to wear: Religious rights, the European Court and the margin of appreciation. </w:t>
      </w:r>
      <w:r w:rsidRPr="00BB7A3A">
        <w:rPr>
          <w:rFonts w:ascii="Times New Roman" w:eastAsia="Times New Roman" w:hAnsi="Times New Roman" w:cs="Times New Roman"/>
          <w:i/>
          <w:sz w:val="20"/>
          <w:szCs w:val="20"/>
          <w:lang w:eastAsia="en-GB"/>
        </w:rPr>
        <w:t>International and Comparative Law Quarterly, 56,</w:t>
      </w:r>
      <w:r w:rsidRPr="00BB7A3A">
        <w:rPr>
          <w:rFonts w:ascii="Times New Roman" w:eastAsia="Times New Roman" w:hAnsi="Times New Roman" w:cs="Times New Roman"/>
          <w:sz w:val="20"/>
          <w:szCs w:val="20"/>
          <w:lang w:eastAsia="en-GB"/>
        </w:rPr>
        <w:t xml:space="preserve"> 395.</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L’Heureux-Dube, C. (2003). </w:t>
      </w:r>
      <w:r w:rsidRPr="00BB7A3A">
        <w:rPr>
          <w:rFonts w:ascii="Times New Roman" w:eastAsia="Times New Roman" w:hAnsi="Times New Roman" w:cs="Times New Roman"/>
          <w:sz w:val="20"/>
          <w:szCs w:val="20"/>
          <w:lang w:eastAsia="en-GB"/>
        </w:rPr>
        <w:t xml:space="preserve">Realising equality in the twentieth century: the role of the Supreme Court of Canada in comparative perspective. </w:t>
      </w:r>
      <w:r w:rsidRPr="00BB7A3A">
        <w:rPr>
          <w:rFonts w:ascii="Times New Roman" w:eastAsia="Times New Roman" w:hAnsi="Times New Roman" w:cs="Times New Roman"/>
          <w:i/>
          <w:sz w:val="20"/>
          <w:szCs w:val="20"/>
          <w:lang w:eastAsia="en-GB"/>
        </w:rPr>
        <w:t xml:space="preserve">International Journal of Constitutional Law, 1(1), </w:t>
      </w:r>
      <w:r w:rsidRPr="00BB7A3A">
        <w:rPr>
          <w:rFonts w:ascii="Times New Roman" w:eastAsia="Times New Roman" w:hAnsi="Times New Roman" w:cs="Times New Roman"/>
          <w:sz w:val="20"/>
          <w:szCs w:val="20"/>
          <w:lang w:eastAsia="en-GB"/>
        </w:rPr>
        <w:t>35.</w:t>
      </w:r>
      <w:r>
        <w:rPr>
          <w:rFonts w:ascii="Times New Roman" w:eastAsia="Calibri" w:hAnsi="Times New Roman" w:cs="Times New Roman"/>
          <w:sz w:val="20"/>
          <w:szCs w:val="20"/>
        </w:rPr>
        <w:br/>
      </w:r>
      <w:r w:rsidRPr="00BB7A3A">
        <w:rPr>
          <w:rFonts w:ascii="Times New Roman" w:eastAsia="Calibri" w:hAnsi="Times New Roman" w:cs="Times New Roman"/>
          <w:sz w:val="20"/>
          <w:szCs w:val="20"/>
        </w:rPr>
        <w:t xml:space="preserve">Lombino II, R.M. (2003). Gay marriage: Equality matters. </w:t>
      </w:r>
      <w:r w:rsidRPr="00BB7A3A">
        <w:rPr>
          <w:rFonts w:ascii="Times New Roman" w:hAnsi="Times New Roman" w:cs="Times New Roman"/>
          <w:i/>
          <w:sz w:val="20"/>
          <w:szCs w:val="20"/>
        </w:rPr>
        <w:t>Southern California Review of</w:t>
      </w:r>
      <w:r>
        <w:rPr>
          <w:rFonts w:ascii="Times New Roman" w:hAnsi="Times New Roman" w:cs="Times New Roman"/>
          <w:i/>
          <w:sz w:val="20"/>
          <w:szCs w:val="20"/>
        </w:rPr>
        <w:t xml:space="preserve"> Law and Women's Studies, 14(1)</w:t>
      </w:r>
      <w:r w:rsidRPr="00BB7A3A">
        <w:rPr>
          <w:rFonts w:ascii="Times New Roman" w:hAnsi="Times New Roman" w:cs="Times New Roman"/>
          <w:i/>
          <w:sz w:val="20"/>
          <w:szCs w:val="20"/>
        </w:rPr>
        <w:t xml:space="preserve"> </w:t>
      </w:r>
      <w:r w:rsidRPr="00BB7A3A">
        <w:rPr>
          <w:rFonts w:ascii="Times New Roman" w:hAnsi="Times New Roman" w:cs="Times New Roman"/>
          <w:sz w:val="20"/>
          <w:szCs w:val="20"/>
        </w:rPr>
        <w:t>3.</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Marshall, K. L. (2010). Strategic pragmatism or radical idealism? The same-sex marriage and civil rights movements juxtaposed. </w:t>
      </w:r>
      <w:r w:rsidRPr="00BB7A3A">
        <w:rPr>
          <w:rFonts w:ascii="Times New Roman" w:hAnsi="Times New Roman" w:cs="Times New Roman"/>
          <w:i/>
          <w:sz w:val="20"/>
          <w:szCs w:val="20"/>
        </w:rPr>
        <w:t xml:space="preserve">William and Mary Policy Review 2, </w:t>
      </w:r>
      <w:r w:rsidRPr="00BB7A3A">
        <w:rPr>
          <w:rFonts w:ascii="Times New Roman" w:hAnsi="Times New Roman" w:cs="Times New Roman"/>
          <w:sz w:val="20"/>
          <w:szCs w:val="20"/>
        </w:rPr>
        <w:t>194.</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Marshall, T. (1992). Citizenship and social class. In Marshall T. and Bottomore T. (eds), (1992) </w:t>
      </w:r>
      <w:r w:rsidRPr="00BB7A3A">
        <w:rPr>
          <w:rFonts w:ascii="Times New Roman" w:hAnsi="Times New Roman" w:cs="Times New Roman"/>
          <w:i/>
          <w:sz w:val="20"/>
          <w:szCs w:val="20"/>
        </w:rPr>
        <w:t>Citizenship and Social Class</w:t>
      </w:r>
      <w:r>
        <w:rPr>
          <w:rFonts w:ascii="Times New Roman" w:hAnsi="Times New Roman" w:cs="Times New Roman"/>
          <w:sz w:val="20"/>
          <w:szCs w:val="20"/>
        </w:rPr>
        <w:t>. Pluto Press.</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Mill (1859). On Liberty. In Collini S. (ed) (1989) </w:t>
      </w:r>
      <w:r w:rsidRPr="00BB7A3A">
        <w:rPr>
          <w:rFonts w:ascii="Times New Roman" w:eastAsia="Times New Roman" w:hAnsi="Times New Roman" w:cs="Times New Roman"/>
          <w:i/>
          <w:sz w:val="20"/>
          <w:szCs w:val="20"/>
          <w:lang w:eastAsia="en-GB"/>
        </w:rPr>
        <w:t>On liberty and other writings</w:t>
      </w:r>
      <w:r>
        <w:rPr>
          <w:rFonts w:ascii="Times New Roman" w:eastAsia="Times New Roman" w:hAnsi="Times New Roman" w:cs="Times New Roman"/>
          <w:sz w:val="20"/>
          <w:szCs w:val="20"/>
          <w:lang w:eastAsia="en-GB"/>
        </w:rPr>
        <w:t>.</w:t>
      </w:r>
      <w:r w:rsidRPr="00BB7A3A">
        <w:rPr>
          <w:rFonts w:ascii="Times New Roman" w:eastAsia="Times New Roman" w:hAnsi="Times New Roman" w:cs="Times New Roman"/>
          <w:sz w:val="20"/>
          <w:szCs w:val="20"/>
          <w:lang w:eastAsia="en-GB"/>
        </w:rPr>
        <w:t xml:space="preserve"> Cambridge, Cambridge University Press. </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Mill (1936). </w:t>
      </w:r>
      <w:r w:rsidRPr="00BB7A3A">
        <w:rPr>
          <w:rFonts w:ascii="Times New Roman" w:eastAsia="Times New Roman" w:hAnsi="Times New Roman" w:cs="Times New Roman"/>
          <w:i/>
          <w:iCs/>
          <w:sz w:val="20"/>
          <w:szCs w:val="20"/>
          <w:lang w:eastAsia="en-GB"/>
        </w:rPr>
        <w:t>Principles of political economy.</w:t>
      </w:r>
      <w:r w:rsidRPr="00BB7A3A">
        <w:rPr>
          <w:rFonts w:ascii="Times New Roman" w:eastAsia="Times New Roman" w:hAnsi="Times New Roman" w:cs="Times New Roman"/>
          <w:sz w:val="20"/>
          <w:szCs w:val="20"/>
          <w:lang w:eastAsia="en-GB"/>
        </w:rPr>
        <w:t xml:space="preserve"> London, New York and Toronto: Longmans Green and Co.</w:t>
      </w:r>
      <w:r>
        <w:rPr>
          <w:rFonts w:ascii="Times New Roman" w:hAnsi="Times New Roman" w:cs="Times New Roman"/>
          <w:sz w:val="20"/>
          <w:szCs w:val="20"/>
        </w:rPr>
        <w:br/>
      </w:r>
      <w:r w:rsidRPr="00BB7A3A">
        <w:rPr>
          <w:rFonts w:ascii="Times New Roman" w:hAnsi="Times New Roman" w:cs="Times New Roman"/>
          <w:sz w:val="20"/>
          <w:szCs w:val="20"/>
        </w:rPr>
        <w:t xml:space="preserve">Miller, A. A. (2005) Letting go of a national religion: Why the state should relinquish control over marriage. </w:t>
      </w:r>
      <w:r w:rsidRPr="00BB7A3A">
        <w:rPr>
          <w:rFonts w:ascii="Times New Roman" w:eastAsia="Calibri" w:hAnsi="Times New Roman" w:cs="Times New Roman"/>
          <w:i/>
          <w:sz w:val="20"/>
          <w:szCs w:val="20"/>
        </w:rPr>
        <w:t xml:space="preserve">Loyola of Los Angeles Law Review, 38(3), </w:t>
      </w:r>
      <w:r w:rsidRPr="00BB7A3A">
        <w:rPr>
          <w:rFonts w:ascii="Times New Roman" w:eastAsia="Calibri" w:hAnsi="Times New Roman" w:cs="Times New Roman"/>
          <w:sz w:val="20"/>
          <w:szCs w:val="20"/>
        </w:rPr>
        <w:t>2185.</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Nair, Y. (2010). Against equality, against marriage: An introduction’ in Conrad R. and Nair Y. (eds), </w:t>
      </w:r>
      <w:r w:rsidRPr="00BB7A3A">
        <w:rPr>
          <w:rFonts w:ascii="Times New Roman" w:eastAsia="Times New Roman" w:hAnsi="Times New Roman" w:cs="Times New Roman"/>
          <w:i/>
          <w:sz w:val="20"/>
          <w:szCs w:val="20"/>
          <w:lang w:eastAsia="en-GB"/>
        </w:rPr>
        <w:t>Against equality: Queer critiques of gay marriage</w:t>
      </w:r>
      <w:r w:rsidRPr="00BB7A3A">
        <w:rPr>
          <w:rFonts w:ascii="Times New Roman" w:eastAsia="Times New Roman" w:hAnsi="Times New Roman" w:cs="Times New Roman"/>
          <w:sz w:val="20"/>
          <w:szCs w:val="20"/>
          <w:lang w:eastAsia="en-GB"/>
        </w:rPr>
        <w:t>. Lewiston, Against Equality Publishing Collective.</w:t>
      </w:r>
      <w:r>
        <w:rPr>
          <w:rFonts w:ascii="Times New Roman" w:hAnsi="Times New Roman" w:cs="Times New Roman"/>
          <w:sz w:val="20"/>
          <w:szCs w:val="20"/>
        </w:rPr>
        <w:br/>
      </w:r>
      <w:r w:rsidRPr="00BB7A3A">
        <w:rPr>
          <w:rFonts w:ascii="Times New Roman" w:hAnsi="Times New Roman" w:cs="Times New Roman"/>
          <w:sz w:val="20"/>
          <w:szCs w:val="20"/>
        </w:rPr>
        <w:t xml:space="preserve">Nigro, R. (2010). </w:t>
      </w:r>
      <w:r w:rsidRPr="00BB7A3A">
        <w:rPr>
          <w:rFonts w:ascii="Times New Roman" w:eastAsia="Times New Roman" w:hAnsi="Times New Roman" w:cs="Times New Roman"/>
          <w:sz w:val="20"/>
          <w:szCs w:val="20"/>
          <w:lang w:eastAsia="en-GB"/>
        </w:rPr>
        <w:t xml:space="preserve">The margin of appreciation doctrine and the case law of the European Court of Human Rights on the Islamic veil. </w:t>
      </w:r>
      <w:r>
        <w:rPr>
          <w:rFonts w:ascii="Times New Roman" w:eastAsia="Times New Roman" w:hAnsi="Times New Roman" w:cs="Times New Roman"/>
          <w:i/>
          <w:sz w:val="20"/>
          <w:szCs w:val="20"/>
          <w:lang w:eastAsia="en-GB"/>
        </w:rPr>
        <w:t xml:space="preserve">Human Rights Law Review, 11, </w:t>
      </w:r>
      <w:r w:rsidRPr="00BB7A3A">
        <w:rPr>
          <w:rFonts w:ascii="Times New Roman" w:eastAsia="Times New Roman" w:hAnsi="Times New Roman" w:cs="Times New Roman"/>
          <w:sz w:val="20"/>
          <w:szCs w:val="20"/>
          <w:lang w:eastAsia="en-GB"/>
        </w:rPr>
        <w:t>531.</w:t>
      </w:r>
      <w:r>
        <w:rPr>
          <w:rFonts w:ascii="Times New Roman" w:hAnsi="Times New Roman" w:cs="Times New Roman"/>
          <w:sz w:val="20"/>
          <w:szCs w:val="20"/>
        </w:rPr>
        <w:br/>
      </w:r>
      <w:r w:rsidRPr="00BB7A3A">
        <w:rPr>
          <w:rFonts w:ascii="Times New Roman" w:hAnsi="Times New Roman" w:cs="Times New Roman"/>
          <w:sz w:val="20"/>
          <w:szCs w:val="20"/>
        </w:rPr>
        <w:t xml:space="preserve">O’Mahoney, C. (2012). Irreconcilable differences? Article 8 ECHR and Irish law on non-traditional families. </w:t>
      </w:r>
      <w:r w:rsidRPr="00BB7A3A">
        <w:rPr>
          <w:rFonts w:ascii="Times New Roman" w:hAnsi="Times New Roman" w:cs="Times New Roman"/>
          <w:i/>
          <w:sz w:val="20"/>
          <w:szCs w:val="20"/>
        </w:rPr>
        <w:t>International Journal of Law Policy and the Family</w:t>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26(1),</w:t>
      </w:r>
      <w:r>
        <w:rPr>
          <w:rFonts w:ascii="Times New Roman" w:hAnsi="Times New Roman" w:cs="Times New Roman"/>
          <w:sz w:val="20"/>
          <w:szCs w:val="20"/>
        </w:rPr>
        <w:t xml:space="preserve"> 31. </w:t>
      </w:r>
      <w:r>
        <w:rPr>
          <w:rFonts w:ascii="Times New Roman" w:hAnsi="Times New Roman" w:cs="Times New Roman"/>
          <w:sz w:val="20"/>
          <w:szCs w:val="20"/>
        </w:rPr>
        <w:br/>
      </w:r>
      <w:r w:rsidRPr="00BB7A3A">
        <w:rPr>
          <w:rFonts w:ascii="Times New Roman" w:hAnsi="Times New Roman" w:cs="Times New Roman"/>
          <w:sz w:val="20"/>
          <w:szCs w:val="20"/>
        </w:rPr>
        <w:t xml:space="preserve">Polikoff, N. (2008-2009). </w:t>
      </w:r>
      <w:r w:rsidRPr="00BB7A3A">
        <w:rPr>
          <w:rFonts w:ascii="Times New Roman" w:eastAsia="Calibri" w:hAnsi="Times New Roman" w:cs="Times New Roman"/>
          <w:sz w:val="20"/>
          <w:szCs w:val="20"/>
        </w:rPr>
        <w:t xml:space="preserve">Equality and justice for lesbian and gay families and relationships. </w:t>
      </w:r>
      <w:r w:rsidRPr="00BB7A3A">
        <w:rPr>
          <w:rFonts w:ascii="Times New Roman" w:eastAsia="Calibri" w:hAnsi="Times New Roman" w:cs="Times New Roman"/>
          <w:i/>
          <w:sz w:val="20"/>
          <w:szCs w:val="20"/>
        </w:rPr>
        <w:t>Rutgers Law Review</w:t>
      </w:r>
      <w:r w:rsidRPr="00BB7A3A">
        <w:rPr>
          <w:rFonts w:ascii="Times New Roman" w:eastAsia="Calibri" w:hAnsi="Times New Roman" w:cs="Times New Roman"/>
          <w:sz w:val="20"/>
          <w:szCs w:val="20"/>
        </w:rPr>
        <w:t xml:space="preserve">, </w:t>
      </w:r>
      <w:r w:rsidRPr="00BB7A3A">
        <w:rPr>
          <w:rFonts w:ascii="Times New Roman" w:eastAsia="Calibri" w:hAnsi="Times New Roman" w:cs="Times New Roman"/>
          <w:i/>
          <w:sz w:val="20"/>
          <w:szCs w:val="20"/>
        </w:rPr>
        <w:t>61</w:t>
      </w:r>
      <w:r w:rsidRPr="00BB7A3A">
        <w:rPr>
          <w:rFonts w:ascii="Times New Roman" w:eastAsia="Calibri" w:hAnsi="Times New Roman" w:cs="Times New Roman"/>
          <w:sz w:val="20"/>
          <w:szCs w:val="20"/>
        </w:rPr>
        <w:t>, 529.</w:t>
      </w:r>
      <w:r>
        <w:rPr>
          <w:rFonts w:ascii="Times New Roman" w:hAnsi="Times New Roman" w:cs="Times New Roman"/>
          <w:sz w:val="20"/>
          <w:szCs w:val="20"/>
        </w:rPr>
        <w:br/>
      </w:r>
      <w:r w:rsidRPr="00BB7A3A">
        <w:rPr>
          <w:rFonts w:ascii="Times New Roman" w:hAnsi="Times New Roman" w:cs="Times New Roman"/>
          <w:sz w:val="20"/>
          <w:szCs w:val="20"/>
        </w:rPr>
        <w:t xml:space="preserve">Rauch, J. (2010). </w:t>
      </w:r>
      <w:r w:rsidRPr="00BB7A3A">
        <w:rPr>
          <w:rFonts w:ascii="Times New Roman" w:eastAsia="Calibri" w:hAnsi="Times New Roman" w:cs="Times New Roman"/>
          <w:sz w:val="20"/>
          <w:szCs w:val="20"/>
        </w:rPr>
        <w:t xml:space="preserve">Red families, blue families, gay families and the search for a new normal. </w:t>
      </w:r>
      <w:r w:rsidRPr="00BB7A3A">
        <w:rPr>
          <w:rFonts w:ascii="Times New Roman" w:eastAsia="Calibri" w:hAnsi="Times New Roman" w:cs="Times New Roman"/>
          <w:i/>
          <w:sz w:val="20"/>
          <w:szCs w:val="20"/>
        </w:rPr>
        <w:t>Law and Inequality</w:t>
      </w:r>
      <w:r>
        <w:rPr>
          <w:rFonts w:ascii="Times New Roman" w:eastAsia="Calibri" w:hAnsi="Times New Roman" w:cs="Times New Roman"/>
          <w:i/>
          <w:sz w:val="20"/>
          <w:szCs w:val="20"/>
        </w:rPr>
        <w:t>, 28,</w:t>
      </w:r>
      <w:r w:rsidRPr="00BB7A3A">
        <w:rPr>
          <w:rFonts w:ascii="Times New Roman" w:eastAsia="Calibri" w:hAnsi="Times New Roman" w:cs="Times New Roman"/>
          <w:i/>
          <w:sz w:val="20"/>
          <w:szCs w:val="20"/>
        </w:rPr>
        <w:t xml:space="preserve"> </w:t>
      </w:r>
      <w:r>
        <w:rPr>
          <w:rFonts w:ascii="Times New Roman" w:eastAsia="Calibri" w:hAnsi="Times New Roman" w:cs="Times New Roman"/>
          <w:sz w:val="20"/>
          <w:szCs w:val="20"/>
        </w:rPr>
        <w:t>333.</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Rehnquist, (1989). Constitutional courts – comparative remarks’ reprinted in Kirchhof P. and Kommers D.P.(eds) (1993) </w:t>
      </w:r>
      <w:r w:rsidRPr="00BB7A3A">
        <w:rPr>
          <w:rFonts w:ascii="Times New Roman" w:eastAsia="Times New Roman" w:hAnsi="Times New Roman" w:cs="Times New Roman"/>
          <w:i/>
          <w:sz w:val="20"/>
          <w:szCs w:val="20"/>
          <w:lang w:eastAsia="en-GB"/>
        </w:rPr>
        <w:t xml:space="preserve">Germany and its basic law: Past, present and future – A German –American symposium. </w:t>
      </w:r>
      <w:r w:rsidRPr="00BB7A3A">
        <w:rPr>
          <w:rFonts w:ascii="Times New Roman" w:eastAsia="Times New Roman" w:hAnsi="Times New Roman" w:cs="Times New Roman"/>
          <w:sz w:val="20"/>
          <w:szCs w:val="20"/>
          <w:lang w:eastAsia="en-GB"/>
        </w:rPr>
        <w:t xml:space="preserve"> Nomos.</w:t>
      </w:r>
      <w:r>
        <w:rPr>
          <w:rFonts w:ascii="Times New Roman" w:hAnsi="Times New Roman" w:cs="Times New Roman"/>
          <w:sz w:val="20"/>
          <w:szCs w:val="20"/>
        </w:rPr>
        <w:br/>
      </w:r>
      <w:r w:rsidRPr="00BB7A3A">
        <w:rPr>
          <w:rFonts w:ascii="Times New Roman" w:hAnsi="Times New Roman" w:cs="Times New Roman"/>
          <w:sz w:val="20"/>
          <w:szCs w:val="20"/>
        </w:rPr>
        <w:t xml:space="preserve">Reinhardt, S. (Judge) (2005). Legal and political perspectives on the battle over same-sex marriage. </w:t>
      </w:r>
      <w:r w:rsidRPr="00BB7A3A">
        <w:rPr>
          <w:rFonts w:ascii="Times New Roman" w:hAnsi="Times New Roman" w:cs="Times New Roman"/>
          <w:i/>
          <w:sz w:val="20"/>
          <w:szCs w:val="20"/>
        </w:rPr>
        <w:t xml:space="preserve">Stanley Law and Policy Review, 16, </w:t>
      </w:r>
      <w:r>
        <w:rPr>
          <w:rFonts w:ascii="Times New Roman" w:hAnsi="Times New Roman" w:cs="Times New Roman"/>
          <w:sz w:val="20"/>
          <w:szCs w:val="20"/>
        </w:rPr>
        <w:t>12.</w:t>
      </w:r>
      <w:r>
        <w:rPr>
          <w:rFonts w:ascii="Times New Roman" w:hAnsi="Times New Roman" w:cs="Times New Roman"/>
          <w:sz w:val="20"/>
          <w:szCs w:val="20"/>
        </w:rPr>
        <w:br/>
      </w:r>
      <w:r w:rsidRPr="00BB7A3A">
        <w:rPr>
          <w:rFonts w:ascii="Times New Roman" w:hAnsi="Times New Roman" w:cs="Times New Roman"/>
          <w:sz w:val="20"/>
          <w:szCs w:val="20"/>
        </w:rPr>
        <w:t>Richardson, D. (1998). Sexuality and citizenship,</w:t>
      </w:r>
      <w:r w:rsidRPr="00BB7A3A">
        <w:rPr>
          <w:rFonts w:ascii="Times New Roman" w:hAnsi="Times New Roman" w:cs="Times New Roman"/>
          <w:i/>
          <w:sz w:val="20"/>
          <w:szCs w:val="20"/>
        </w:rPr>
        <w:t xml:space="preserve"> Sociology, 32, </w:t>
      </w:r>
      <w:r w:rsidRPr="00BB7A3A">
        <w:rPr>
          <w:rFonts w:ascii="Times New Roman" w:hAnsi="Times New Roman" w:cs="Times New Roman"/>
          <w:sz w:val="20"/>
          <w:szCs w:val="20"/>
        </w:rPr>
        <w:t>83.</w:t>
      </w:r>
      <w:r>
        <w:rPr>
          <w:rFonts w:ascii="Times New Roman" w:hAnsi="Times New Roman" w:cs="Times New Roman"/>
          <w:sz w:val="20"/>
          <w:szCs w:val="20"/>
        </w:rPr>
        <w:br/>
      </w:r>
      <w:r w:rsidRPr="00BB7A3A">
        <w:rPr>
          <w:rFonts w:ascii="Times New Roman" w:hAnsi="Times New Roman" w:cs="Times New Roman"/>
          <w:sz w:val="20"/>
          <w:szCs w:val="20"/>
        </w:rPr>
        <w:t xml:space="preserve">Rosenfeld, M. (2012). Introduction: Gender, sexual orientation and equal citizenship. </w:t>
      </w:r>
      <w:r w:rsidRPr="00BB7A3A">
        <w:rPr>
          <w:rFonts w:ascii="Times New Roman" w:hAnsi="Times New Roman" w:cs="Times New Roman"/>
          <w:i/>
          <w:sz w:val="20"/>
          <w:szCs w:val="20"/>
        </w:rPr>
        <w:t>International Journal of Constitutional Law, 10(2),</w:t>
      </w:r>
      <w:r w:rsidRPr="00BB7A3A">
        <w:rPr>
          <w:rFonts w:ascii="Times New Roman" w:hAnsi="Times New Roman" w:cs="Times New Roman"/>
          <w:sz w:val="20"/>
          <w:szCs w:val="20"/>
        </w:rPr>
        <w:t xml:space="preserve"> 340.</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Schwobel, C. (2012). Whither the private in global governance. </w:t>
      </w:r>
      <w:r w:rsidRPr="00BB7A3A">
        <w:rPr>
          <w:rFonts w:ascii="Times New Roman" w:eastAsia="Times New Roman" w:hAnsi="Times New Roman" w:cs="Times New Roman"/>
          <w:i/>
          <w:sz w:val="20"/>
          <w:szCs w:val="20"/>
          <w:lang w:eastAsia="en-GB"/>
        </w:rPr>
        <w:t xml:space="preserve">International Journal of Constitutional Law, 10(4), </w:t>
      </w:r>
      <w:r w:rsidRPr="00BB7A3A">
        <w:rPr>
          <w:rFonts w:ascii="Times New Roman" w:eastAsia="Times New Roman" w:hAnsi="Times New Roman" w:cs="Times New Roman"/>
          <w:sz w:val="20"/>
          <w:szCs w:val="20"/>
          <w:lang w:eastAsia="en-GB"/>
        </w:rPr>
        <w:t>1106.</w:t>
      </w:r>
      <w:r>
        <w:rPr>
          <w:rFonts w:ascii="Times New Roman" w:hAnsi="Times New Roman" w:cs="Times New Roman"/>
          <w:sz w:val="20"/>
          <w:szCs w:val="20"/>
        </w:rPr>
        <w:br/>
      </w:r>
      <w:r w:rsidRPr="00BB7A3A">
        <w:rPr>
          <w:rFonts w:ascii="Times New Roman" w:eastAsia="Times New Roman" w:hAnsi="Times New Roman" w:cs="Times New Roman"/>
          <w:sz w:val="20"/>
          <w:szCs w:val="20"/>
          <w:lang w:eastAsia="en-GB"/>
        </w:rPr>
        <w:t xml:space="preserve">Sedgewick, E. (1990). </w:t>
      </w:r>
      <w:r w:rsidRPr="00BB7A3A">
        <w:rPr>
          <w:rFonts w:ascii="Times New Roman" w:eastAsia="Times New Roman" w:hAnsi="Times New Roman" w:cs="Times New Roman"/>
          <w:i/>
          <w:sz w:val="20"/>
          <w:szCs w:val="20"/>
          <w:lang w:eastAsia="en-GB"/>
        </w:rPr>
        <w:t>Epistemology of the closet</w:t>
      </w:r>
      <w:r w:rsidRPr="00BB7A3A">
        <w:rPr>
          <w:rFonts w:ascii="Times New Roman" w:eastAsia="Times New Roman" w:hAnsi="Times New Roman" w:cs="Times New Roman"/>
          <w:sz w:val="20"/>
          <w:szCs w:val="20"/>
          <w:lang w:eastAsia="en-GB"/>
        </w:rPr>
        <w:t>. Harmondsworth: Penguin.</w:t>
      </w:r>
      <w:r>
        <w:rPr>
          <w:rFonts w:ascii="Times New Roman" w:eastAsia="Calibri" w:hAnsi="Times New Roman" w:cs="Times New Roman"/>
          <w:sz w:val="20"/>
          <w:szCs w:val="20"/>
        </w:rPr>
        <w:br/>
      </w:r>
      <w:r w:rsidRPr="00BB7A3A">
        <w:rPr>
          <w:rFonts w:ascii="Times New Roman" w:eastAsia="Times New Roman" w:hAnsi="Times New Roman" w:cs="Times New Roman"/>
          <w:sz w:val="20"/>
          <w:szCs w:val="20"/>
          <w:lang w:eastAsia="en-GB"/>
        </w:rPr>
        <w:t xml:space="preserve">Shany, Y. (2005). Toward a general margin of appreciation doctrine in international law. </w:t>
      </w:r>
      <w:r w:rsidRPr="00BB7A3A">
        <w:rPr>
          <w:rFonts w:ascii="Times New Roman" w:eastAsia="Times New Roman" w:hAnsi="Times New Roman" w:cs="Times New Roman"/>
          <w:i/>
          <w:sz w:val="20"/>
          <w:szCs w:val="20"/>
          <w:lang w:eastAsia="en-GB"/>
        </w:rPr>
        <w:t>European Journal of International Law, 16(5),</w:t>
      </w:r>
      <w:r>
        <w:rPr>
          <w:rFonts w:ascii="Times New Roman" w:eastAsia="Times New Roman" w:hAnsi="Times New Roman" w:cs="Times New Roman"/>
          <w:sz w:val="20"/>
          <w:szCs w:val="20"/>
          <w:lang w:eastAsia="en-GB"/>
        </w:rPr>
        <w:t xml:space="preserve"> 907.</w:t>
      </w:r>
      <w:r>
        <w:rPr>
          <w:rFonts w:ascii="Times New Roman" w:eastAsia="Times New Roman" w:hAnsi="Times New Roman" w:cs="Times New Roman"/>
          <w:sz w:val="20"/>
          <w:szCs w:val="20"/>
          <w:lang w:eastAsia="en-GB"/>
        </w:rPr>
        <w:br/>
      </w:r>
      <w:r w:rsidRPr="00BB7A3A">
        <w:rPr>
          <w:rFonts w:ascii="Times New Roman" w:hAnsi="Times New Roman" w:cs="Times New Roman"/>
          <w:sz w:val="20"/>
          <w:szCs w:val="20"/>
        </w:rPr>
        <w:t xml:space="preserve">Shuibhe (2009). </w:t>
      </w:r>
      <w:r w:rsidRPr="00BB7A3A">
        <w:rPr>
          <w:rFonts w:ascii="Times New Roman" w:eastAsia="Times New Roman" w:hAnsi="Times New Roman" w:cs="Times New Roman"/>
          <w:sz w:val="20"/>
          <w:szCs w:val="20"/>
          <w:lang w:eastAsia="en-GB"/>
        </w:rPr>
        <w:t xml:space="preserve">Margins of appreciation; National values, fundamental rights and EC free movement law. </w:t>
      </w:r>
      <w:r w:rsidRPr="00BB7A3A">
        <w:rPr>
          <w:rFonts w:ascii="Times New Roman" w:eastAsia="Times New Roman" w:hAnsi="Times New Roman" w:cs="Times New Roman"/>
          <w:i/>
          <w:sz w:val="20"/>
          <w:szCs w:val="20"/>
          <w:lang w:eastAsia="en-GB"/>
        </w:rPr>
        <w:t>European Law Review, 34(2),</w:t>
      </w:r>
      <w:r w:rsidRPr="00BB7A3A">
        <w:rPr>
          <w:rFonts w:ascii="Times New Roman" w:eastAsia="Times New Roman" w:hAnsi="Times New Roman" w:cs="Times New Roman"/>
          <w:sz w:val="20"/>
          <w:szCs w:val="20"/>
          <w:lang w:eastAsia="en-GB"/>
        </w:rPr>
        <w:t xml:space="preserve"> 230.</w:t>
      </w:r>
      <w:r>
        <w:rPr>
          <w:rFonts w:ascii="Times New Roman" w:eastAsia="Times New Roman" w:hAnsi="Times New Roman" w:cs="Times New Roman"/>
          <w:sz w:val="20"/>
          <w:szCs w:val="20"/>
          <w:lang w:eastAsia="en-GB"/>
        </w:rPr>
        <w:br/>
      </w:r>
      <w:r w:rsidRPr="00BB7A3A">
        <w:rPr>
          <w:rFonts w:ascii="Times New Roman" w:eastAsia="Times New Roman" w:hAnsi="Times New Roman" w:cs="Times New Roman"/>
          <w:sz w:val="20"/>
          <w:szCs w:val="20"/>
          <w:lang w:eastAsia="en-GB"/>
        </w:rPr>
        <w:t xml:space="preserve">Stalford, H. (2002). Concepts of family under EU law – Lessons from the ECHR. </w:t>
      </w:r>
      <w:r w:rsidRPr="00BB7A3A">
        <w:rPr>
          <w:rFonts w:ascii="Times New Roman" w:eastAsia="Times New Roman" w:hAnsi="Times New Roman" w:cs="Times New Roman"/>
          <w:i/>
          <w:sz w:val="20"/>
          <w:szCs w:val="20"/>
          <w:lang w:eastAsia="en-GB"/>
        </w:rPr>
        <w:t>International Journal of Law, Policy and the Family, 16,</w:t>
      </w:r>
      <w:r>
        <w:rPr>
          <w:rFonts w:ascii="Times New Roman" w:eastAsia="Times New Roman" w:hAnsi="Times New Roman" w:cs="Times New Roman"/>
          <w:sz w:val="20"/>
          <w:szCs w:val="20"/>
          <w:lang w:eastAsia="en-GB"/>
        </w:rPr>
        <w:t xml:space="preserve"> 410.</w:t>
      </w:r>
      <w:r>
        <w:rPr>
          <w:rFonts w:ascii="Times New Roman" w:eastAsia="Times New Roman" w:hAnsi="Times New Roman" w:cs="Times New Roman"/>
          <w:sz w:val="20"/>
          <w:szCs w:val="20"/>
          <w:lang w:eastAsia="en-GB"/>
        </w:rPr>
        <w:br/>
      </w:r>
      <w:r w:rsidRPr="00BB7A3A">
        <w:rPr>
          <w:rFonts w:ascii="Times New Roman" w:eastAsia="Times New Roman" w:hAnsi="Times New Roman" w:cs="Times New Roman"/>
          <w:sz w:val="20"/>
          <w:szCs w:val="20"/>
          <w:lang w:eastAsia="en-GB"/>
        </w:rPr>
        <w:t xml:space="preserve"> Stark, B. (2006). When globalization hits home: International family law comes of age. </w:t>
      </w:r>
      <w:r w:rsidRPr="00BB7A3A">
        <w:rPr>
          <w:rFonts w:ascii="Times New Roman" w:eastAsia="Times New Roman" w:hAnsi="Times New Roman" w:cs="Times New Roman"/>
          <w:i/>
          <w:sz w:val="20"/>
          <w:szCs w:val="20"/>
          <w:lang w:eastAsia="en-GB"/>
        </w:rPr>
        <w:t>Vande</w:t>
      </w:r>
      <w:r>
        <w:rPr>
          <w:rFonts w:ascii="Times New Roman" w:eastAsia="Times New Roman" w:hAnsi="Times New Roman" w:cs="Times New Roman"/>
          <w:i/>
          <w:sz w:val="20"/>
          <w:szCs w:val="20"/>
          <w:lang w:eastAsia="en-GB"/>
        </w:rPr>
        <w:t xml:space="preserve">rbilt Journal of Transnational </w:t>
      </w:r>
      <w:r w:rsidRPr="00BB7A3A">
        <w:rPr>
          <w:rFonts w:ascii="Times New Roman" w:eastAsia="Times New Roman" w:hAnsi="Times New Roman" w:cs="Times New Roman"/>
          <w:i/>
          <w:sz w:val="20"/>
          <w:szCs w:val="20"/>
          <w:lang w:eastAsia="en-GB"/>
        </w:rPr>
        <w:t>Law, 36,</w:t>
      </w:r>
      <w:r>
        <w:rPr>
          <w:rFonts w:ascii="Times New Roman" w:eastAsia="Times New Roman" w:hAnsi="Times New Roman" w:cs="Times New Roman"/>
          <w:sz w:val="20"/>
          <w:szCs w:val="20"/>
          <w:lang w:eastAsia="en-GB"/>
        </w:rPr>
        <w:t xml:space="preserve">  1551.</w:t>
      </w:r>
      <w:r>
        <w:rPr>
          <w:rFonts w:ascii="Times New Roman" w:eastAsia="Times New Roman" w:hAnsi="Times New Roman" w:cs="Times New Roman"/>
          <w:sz w:val="20"/>
          <w:szCs w:val="20"/>
          <w:lang w:eastAsia="en-GB"/>
        </w:rPr>
        <w:br/>
      </w:r>
      <w:r w:rsidRPr="00BB7A3A">
        <w:rPr>
          <w:rFonts w:ascii="Times New Roman" w:hAnsi="Times New Roman" w:cs="Times New Roman"/>
          <w:sz w:val="20"/>
          <w:szCs w:val="20"/>
        </w:rPr>
        <w:t xml:space="preserve">Sutherland, E. (2011). A step closer to same-sex marriage throughout Europe. </w:t>
      </w:r>
      <w:r w:rsidRPr="00BB7A3A">
        <w:rPr>
          <w:rFonts w:ascii="Times New Roman" w:hAnsi="Times New Roman" w:cs="Times New Roman"/>
          <w:i/>
          <w:sz w:val="20"/>
          <w:szCs w:val="20"/>
        </w:rPr>
        <w:t>Edinburgh Law Review, 15,</w:t>
      </w:r>
      <w:r w:rsidRPr="00BB7A3A">
        <w:rPr>
          <w:rFonts w:ascii="Times New Roman" w:hAnsi="Times New Roman" w:cs="Times New Roman"/>
          <w:sz w:val="20"/>
          <w:szCs w:val="20"/>
        </w:rPr>
        <w:t xml:space="preserve"> 97.</w:t>
      </w:r>
      <w:r>
        <w:rPr>
          <w:rFonts w:ascii="Times New Roman" w:eastAsia="Times New Roman" w:hAnsi="Times New Roman" w:cs="Times New Roman"/>
          <w:sz w:val="20"/>
          <w:szCs w:val="20"/>
          <w:lang w:eastAsia="en-GB"/>
        </w:rPr>
        <w:br/>
      </w:r>
      <w:r w:rsidRPr="00BB7A3A">
        <w:rPr>
          <w:rFonts w:ascii="Times New Roman" w:eastAsia="Times New Roman" w:hAnsi="Times New Roman" w:cs="Times New Roman"/>
          <w:sz w:val="20"/>
          <w:szCs w:val="20"/>
          <w:lang w:eastAsia="en-GB"/>
        </w:rPr>
        <w:t xml:space="preserve">Sweeney, J.A. (2005). Margin of appreciation: Cultural relativity and the European Court of Human Rights in the post-cold war era. </w:t>
      </w:r>
      <w:r w:rsidRPr="00BB7A3A">
        <w:rPr>
          <w:rFonts w:ascii="Times New Roman" w:eastAsia="Times New Roman" w:hAnsi="Times New Roman" w:cs="Times New Roman"/>
          <w:i/>
          <w:sz w:val="20"/>
          <w:szCs w:val="20"/>
          <w:lang w:eastAsia="en-GB"/>
        </w:rPr>
        <w:t xml:space="preserve">International and Comparative Law Quarterly, 54, </w:t>
      </w:r>
      <w:r>
        <w:rPr>
          <w:rFonts w:ascii="Times New Roman" w:eastAsia="Times New Roman" w:hAnsi="Times New Roman" w:cs="Times New Roman"/>
          <w:sz w:val="20"/>
          <w:szCs w:val="20"/>
          <w:lang w:eastAsia="en-GB"/>
        </w:rPr>
        <w:t>459.</w:t>
      </w:r>
      <w:r>
        <w:rPr>
          <w:rFonts w:ascii="Times New Roman" w:eastAsia="Times New Roman" w:hAnsi="Times New Roman" w:cs="Times New Roman"/>
          <w:sz w:val="20"/>
          <w:szCs w:val="20"/>
          <w:lang w:eastAsia="en-GB"/>
        </w:rPr>
        <w:br/>
      </w:r>
      <w:r w:rsidRPr="00BB7A3A">
        <w:rPr>
          <w:rFonts w:ascii="Times New Roman" w:hAnsi="Times New Roman" w:cs="Times New Roman"/>
          <w:sz w:val="20"/>
          <w:szCs w:val="20"/>
        </w:rPr>
        <w:t xml:space="preserve">Tahmindjis, P. (2016) Sexuality and International Human Rights Law, </w:t>
      </w:r>
      <w:r w:rsidRPr="00BB7A3A">
        <w:rPr>
          <w:rFonts w:ascii="Times New Roman" w:hAnsi="Times New Roman" w:cs="Times New Roman"/>
          <w:i/>
          <w:sz w:val="20"/>
          <w:szCs w:val="20"/>
        </w:rPr>
        <w:t>Journal of Homosexuality,</w:t>
      </w:r>
      <w:r w:rsidRPr="00BB7A3A">
        <w:rPr>
          <w:rFonts w:ascii="Times New Roman" w:hAnsi="Times New Roman" w:cs="Times New Roman"/>
          <w:sz w:val="20"/>
          <w:szCs w:val="20"/>
        </w:rPr>
        <w:t xml:space="preserve"> </w:t>
      </w:r>
      <w:r w:rsidRPr="00BB7A3A">
        <w:rPr>
          <w:rFonts w:ascii="Times New Roman" w:hAnsi="Times New Roman" w:cs="Times New Roman"/>
          <w:i/>
          <w:sz w:val="20"/>
          <w:szCs w:val="20"/>
        </w:rPr>
        <w:t xml:space="preserve">48(3), </w:t>
      </w:r>
      <w:r w:rsidRPr="00BB7A3A">
        <w:rPr>
          <w:rFonts w:ascii="Times New Roman" w:hAnsi="Times New Roman" w:cs="Times New Roman"/>
          <w:sz w:val="20"/>
          <w:szCs w:val="20"/>
        </w:rPr>
        <w:t>9.</w:t>
      </w:r>
      <w:r>
        <w:rPr>
          <w:rFonts w:ascii="Times New Roman" w:eastAsia="Times New Roman" w:hAnsi="Times New Roman" w:cs="Times New Roman"/>
          <w:sz w:val="20"/>
          <w:szCs w:val="20"/>
          <w:lang w:eastAsia="en-GB"/>
        </w:rPr>
        <w:br/>
      </w:r>
      <w:r w:rsidRPr="00BB7A3A">
        <w:rPr>
          <w:rFonts w:ascii="Times New Roman" w:hAnsi="Times New Roman" w:cs="Times New Roman"/>
          <w:sz w:val="20"/>
          <w:szCs w:val="20"/>
        </w:rPr>
        <w:t xml:space="preserve">Tobin, B. (2007). </w:t>
      </w:r>
      <w:r w:rsidRPr="00BB7A3A">
        <w:rPr>
          <w:rFonts w:ascii="Times New Roman" w:eastAsia="Times New Roman" w:hAnsi="Times New Roman" w:cs="Times New Roman"/>
          <w:sz w:val="20"/>
          <w:szCs w:val="20"/>
          <w:lang w:eastAsia="en-GB"/>
        </w:rPr>
        <w:t xml:space="preserve">Gay marriage – A bridge too far? </w:t>
      </w:r>
      <w:r w:rsidRPr="00BB7A3A">
        <w:rPr>
          <w:rFonts w:ascii="Times New Roman" w:eastAsia="Times New Roman" w:hAnsi="Times New Roman" w:cs="Times New Roman"/>
          <w:i/>
          <w:sz w:val="20"/>
          <w:szCs w:val="20"/>
          <w:lang w:eastAsia="en-GB"/>
        </w:rPr>
        <w:t xml:space="preserve">Irish Student Law Review, 15, </w:t>
      </w:r>
      <w:r>
        <w:rPr>
          <w:rFonts w:ascii="Times New Roman" w:eastAsia="Times New Roman" w:hAnsi="Times New Roman" w:cs="Times New Roman"/>
          <w:sz w:val="20"/>
          <w:szCs w:val="20"/>
          <w:lang w:eastAsia="en-GB"/>
        </w:rPr>
        <w:t>175.</w:t>
      </w:r>
      <w:r>
        <w:rPr>
          <w:rFonts w:ascii="Times New Roman" w:eastAsia="Times New Roman" w:hAnsi="Times New Roman" w:cs="Times New Roman"/>
          <w:sz w:val="20"/>
          <w:szCs w:val="20"/>
          <w:lang w:eastAsia="en-GB"/>
        </w:rPr>
        <w:br/>
      </w:r>
      <w:r w:rsidRPr="00BB7A3A">
        <w:rPr>
          <w:rFonts w:ascii="Times New Roman" w:hAnsi="Times New Roman" w:cs="Times New Roman"/>
          <w:iCs/>
          <w:sz w:val="20"/>
          <w:szCs w:val="20"/>
        </w:rPr>
        <w:t xml:space="preserve">Waaldijk, K. (2005). More or less together: Levels of legal consequences of marriage, cohabitation and registered partnership for different-sex and same-sex partners. A comparative study of nine European countries </w:t>
      </w:r>
      <w:r w:rsidRPr="00BB7A3A">
        <w:rPr>
          <w:rFonts w:ascii="Times New Roman" w:hAnsi="Times New Roman" w:cs="Times New Roman"/>
          <w:sz w:val="20"/>
          <w:szCs w:val="20"/>
        </w:rPr>
        <w:t xml:space="preserve">(in cooperation with John Asland et al.). </w:t>
      </w:r>
      <w:r w:rsidRPr="00A043F9">
        <w:rPr>
          <w:rFonts w:ascii="Times New Roman" w:hAnsi="Times New Roman" w:cs="Times New Roman"/>
          <w:sz w:val="20"/>
          <w:szCs w:val="20"/>
          <w:lang w:val="fr-FR"/>
        </w:rPr>
        <w:t>Documents de travail no.125, Paris: Institut national d’études démographiques.</w:t>
      </w:r>
      <w:r w:rsidRPr="00A043F9">
        <w:rPr>
          <w:rFonts w:ascii="Times New Roman" w:eastAsia="Times New Roman" w:hAnsi="Times New Roman" w:cs="Times New Roman"/>
          <w:sz w:val="20"/>
          <w:szCs w:val="20"/>
          <w:lang w:val="fr-FR" w:eastAsia="en-GB"/>
        </w:rPr>
        <w:br/>
      </w:r>
      <w:r w:rsidRPr="00A043F9">
        <w:rPr>
          <w:rFonts w:ascii="Times New Roman" w:hAnsi="Times New Roman" w:cs="Times New Roman"/>
          <w:sz w:val="20"/>
          <w:szCs w:val="20"/>
          <w:lang w:val="fr-FR"/>
        </w:rPr>
        <w:t xml:space="preserve">Waaldijk, K. (2016). </w:t>
      </w:r>
      <w:r w:rsidRPr="00BB7A3A">
        <w:rPr>
          <w:rFonts w:ascii="Times New Roman" w:hAnsi="Times New Roman" w:cs="Times New Roman"/>
          <w:sz w:val="20"/>
          <w:szCs w:val="20"/>
        </w:rPr>
        <w:t xml:space="preserve">Great diversity and some equality: Non-marital legal family formats for same-sex couples in Europe. </w:t>
      </w:r>
      <w:r w:rsidRPr="00A043F9">
        <w:rPr>
          <w:rFonts w:ascii="Times New Roman" w:hAnsi="Times New Roman" w:cs="Times New Roman"/>
          <w:sz w:val="20"/>
          <w:szCs w:val="20"/>
          <w:lang w:val="de-DE"/>
        </w:rPr>
        <w:t>In Waaldijk, K.,  Van Den B</w:t>
      </w:r>
      <w:r w:rsidRPr="00BB7A3A">
        <w:rPr>
          <w:rFonts w:ascii="Times New Roman" w:hAnsi="Times New Roman" w:cs="Times New Roman"/>
          <w:sz w:val="20"/>
          <w:szCs w:val="20"/>
          <w:lang w:val="de-DE"/>
        </w:rPr>
        <w:t xml:space="preserve">rink, M., Burri S.,  and Goldshmidt, J. (Eds.)  </w:t>
      </w:r>
      <w:r w:rsidRPr="00BB7A3A">
        <w:rPr>
          <w:rFonts w:ascii="Times New Roman" w:hAnsi="Times New Roman" w:cs="Times New Roman"/>
          <w:i/>
          <w:sz w:val="20"/>
          <w:szCs w:val="20"/>
        </w:rPr>
        <w:t>Equality and human rights: Nothing but trouble – Liber Amicorum Titial Loenen.</w:t>
      </w:r>
      <w:r w:rsidRPr="00BB7A3A">
        <w:rPr>
          <w:rFonts w:ascii="Times New Roman" w:hAnsi="Times New Roman" w:cs="Times New Roman"/>
          <w:sz w:val="20"/>
          <w:szCs w:val="20"/>
        </w:rPr>
        <w:t xml:space="preserve"> Netherlands Institute of Human Rights, 2016 Sim Special 38.</w:t>
      </w:r>
      <w:r>
        <w:rPr>
          <w:rFonts w:ascii="Times New Roman" w:eastAsia="Times New Roman" w:hAnsi="Times New Roman" w:cs="Times New Roman"/>
          <w:sz w:val="20"/>
          <w:szCs w:val="20"/>
          <w:lang w:eastAsia="en-GB"/>
        </w:rPr>
        <w:br/>
      </w:r>
      <w:r w:rsidRPr="00BB7A3A">
        <w:rPr>
          <w:rFonts w:ascii="Times New Roman" w:eastAsia="Times New Roman" w:hAnsi="Times New Roman" w:cs="Times New Roman"/>
          <w:sz w:val="20"/>
          <w:szCs w:val="20"/>
          <w:lang w:eastAsia="en-GB"/>
        </w:rPr>
        <w:t xml:space="preserve">Wada, E. (2004). A pretty picture. The margin of appreciation and the right to assisted suicide. </w:t>
      </w:r>
      <w:r w:rsidRPr="00BB7A3A">
        <w:rPr>
          <w:rFonts w:ascii="Times New Roman" w:eastAsia="Times New Roman" w:hAnsi="Times New Roman" w:cs="Times New Roman"/>
          <w:i/>
          <w:sz w:val="20"/>
          <w:szCs w:val="20"/>
          <w:lang w:eastAsia="en-GB"/>
        </w:rPr>
        <w:t xml:space="preserve">Loyola of Los Angelos International and Comparative Law Review, 27, </w:t>
      </w:r>
      <w:r>
        <w:rPr>
          <w:rFonts w:ascii="Times New Roman" w:eastAsia="Times New Roman" w:hAnsi="Times New Roman" w:cs="Times New Roman"/>
          <w:sz w:val="20"/>
          <w:szCs w:val="20"/>
          <w:lang w:eastAsia="en-GB"/>
        </w:rPr>
        <w:t xml:space="preserve">275. </w:t>
      </w:r>
      <w:r>
        <w:rPr>
          <w:rFonts w:ascii="Times New Roman" w:eastAsia="Times New Roman" w:hAnsi="Times New Roman" w:cs="Times New Roman"/>
          <w:sz w:val="20"/>
          <w:szCs w:val="20"/>
          <w:lang w:eastAsia="en-GB"/>
        </w:rPr>
        <w:br/>
      </w:r>
      <w:r w:rsidRPr="00BB7A3A">
        <w:rPr>
          <w:rFonts w:ascii="Times New Roman" w:hAnsi="Times New Roman" w:cs="Times New Roman"/>
          <w:sz w:val="20"/>
          <w:szCs w:val="20"/>
        </w:rPr>
        <w:t>Walker, K.</w:t>
      </w:r>
      <w:r w:rsidRPr="00BB7A3A">
        <w:rPr>
          <w:rFonts w:ascii="Times New Roman" w:hAnsi="Times New Roman" w:cs="Times New Roman"/>
          <w:b/>
          <w:sz w:val="20"/>
          <w:szCs w:val="20"/>
        </w:rPr>
        <w:t xml:space="preserve"> </w:t>
      </w:r>
      <w:r w:rsidRPr="00BB7A3A">
        <w:rPr>
          <w:rFonts w:ascii="Times New Roman" w:hAnsi="Times New Roman" w:cs="Times New Roman"/>
          <w:sz w:val="20"/>
          <w:szCs w:val="20"/>
        </w:rPr>
        <w:t xml:space="preserve">(2001). </w:t>
      </w:r>
      <w:r w:rsidRPr="00BB7A3A">
        <w:rPr>
          <w:rFonts w:ascii="Times New Roman" w:eastAsia="Calibri" w:hAnsi="Times New Roman" w:cs="Times New Roman"/>
          <w:sz w:val="20"/>
          <w:szCs w:val="20"/>
        </w:rPr>
        <w:t xml:space="preserve">Moving gaily forward? Lesbian, gay and transgender human rights in Europe. </w:t>
      </w:r>
      <w:r w:rsidRPr="00BB7A3A">
        <w:rPr>
          <w:rFonts w:ascii="Times New Roman" w:eastAsia="Calibri" w:hAnsi="Times New Roman" w:cs="Times New Roman"/>
          <w:i/>
          <w:sz w:val="20"/>
          <w:szCs w:val="20"/>
        </w:rPr>
        <w:t xml:space="preserve">Melbourne Journal of International Law, 2, </w:t>
      </w:r>
      <w:r w:rsidRPr="00BB7A3A">
        <w:rPr>
          <w:rFonts w:ascii="Times New Roman" w:eastAsia="Calibri" w:hAnsi="Times New Roman" w:cs="Times New Roman"/>
          <w:sz w:val="20"/>
          <w:szCs w:val="20"/>
        </w:rPr>
        <w:t>122.</w:t>
      </w:r>
      <w:r>
        <w:rPr>
          <w:rFonts w:ascii="Times New Roman" w:eastAsia="Calibri" w:hAnsi="Times New Roman" w:cs="Times New Roman"/>
          <w:sz w:val="20"/>
          <w:szCs w:val="20"/>
        </w:rPr>
        <w:br/>
      </w:r>
      <w:r w:rsidRPr="00BB7A3A">
        <w:rPr>
          <w:rFonts w:ascii="Times New Roman" w:hAnsi="Times New Roman" w:cs="Times New Roman"/>
          <w:sz w:val="20"/>
          <w:szCs w:val="20"/>
        </w:rPr>
        <w:t xml:space="preserve">Wible, A. (2006).  Book review. </w:t>
      </w:r>
      <w:r w:rsidRPr="00BB7A3A">
        <w:rPr>
          <w:rFonts w:ascii="Times New Roman" w:hAnsi="Times New Roman" w:cs="Times New Roman"/>
          <w:i/>
          <w:sz w:val="20"/>
          <w:szCs w:val="20"/>
        </w:rPr>
        <w:t xml:space="preserve">Ethics, 116(3), </w:t>
      </w:r>
      <w:r w:rsidRPr="00BB7A3A">
        <w:rPr>
          <w:rFonts w:ascii="Times New Roman" w:hAnsi="Times New Roman" w:cs="Times New Roman"/>
          <w:sz w:val="20"/>
          <w:szCs w:val="20"/>
        </w:rPr>
        <w:t xml:space="preserve">604 reviewing </w:t>
      </w:r>
      <w:r w:rsidRPr="00BB7A3A">
        <w:rPr>
          <w:rFonts w:ascii="Times New Roman" w:eastAsia="Calibri" w:hAnsi="Times New Roman" w:cs="Times New Roman"/>
          <w:sz w:val="20"/>
          <w:szCs w:val="20"/>
        </w:rPr>
        <w:t xml:space="preserve">Mohr (2005) </w:t>
      </w:r>
      <w:r w:rsidRPr="00BB7A3A">
        <w:rPr>
          <w:rFonts w:ascii="Times New Roman" w:eastAsia="Calibri" w:hAnsi="Times New Roman" w:cs="Times New Roman"/>
          <w:i/>
          <w:sz w:val="20"/>
          <w:szCs w:val="20"/>
        </w:rPr>
        <w:t>The long arc of justice, lesbian and gay marriage, equality and rights</w:t>
      </w:r>
      <w:r w:rsidRPr="00BB7A3A">
        <w:rPr>
          <w:rFonts w:ascii="Times New Roman" w:eastAsia="Calibri" w:hAnsi="Times New Roman" w:cs="Times New Roman"/>
          <w:sz w:val="20"/>
          <w:szCs w:val="20"/>
        </w:rPr>
        <w:t>. New York: Columbia Press.</w:t>
      </w:r>
      <w:r>
        <w:rPr>
          <w:rFonts w:ascii="Times New Roman" w:hAnsi="Times New Roman" w:cs="Times New Roman"/>
          <w:sz w:val="20"/>
          <w:szCs w:val="20"/>
        </w:rPr>
        <w:br/>
      </w:r>
      <w:r w:rsidRPr="00BB7A3A">
        <w:rPr>
          <w:rFonts w:ascii="Times New Roman" w:eastAsia="Calibri" w:hAnsi="Times New Roman" w:cs="Times New Roman"/>
          <w:sz w:val="20"/>
          <w:szCs w:val="20"/>
          <w:lang w:eastAsia="en-GB"/>
        </w:rPr>
        <w:t xml:space="preserve"> </w:t>
      </w:r>
      <w:r w:rsidRPr="00BB7A3A">
        <w:rPr>
          <w:rFonts w:ascii="Times New Roman" w:eastAsia="Times New Roman" w:hAnsi="Times New Roman" w:cs="Times New Roman"/>
          <w:sz w:val="20"/>
          <w:szCs w:val="20"/>
          <w:lang w:eastAsia="en-GB"/>
        </w:rPr>
        <w:t>Yourow, H.C.</w:t>
      </w:r>
      <w:r w:rsidRPr="00BB7A3A">
        <w:rPr>
          <w:rFonts w:ascii="Times New Roman" w:eastAsia="Times New Roman" w:hAnsi="Times New Roman" w:cs="Times New Roman"/>
          <w:i/>
          <w:sz w:val="20"/>
          <w:szCs w:val="20"/>
          <w:lang w:eastAsia="en-GB"/>
        </w:rPr>
        <w:t xml:space="preserve"> </w:t>
      </w:r>
      <w:r w:rsidRPr="00BB7A3A">
        <w:rPr>
          <w:rFonts w:ascii="Times New Roman" w:eastAsia="Times New Roman" w:hAnsi="Times New Roman" w:cs="Times New Roman"/>
          <w:sz w:val="20"/>
          <w:szCs w:val="20"/>
          <w:lang w:eastAsia="en-GB"/>
        </w:rPr>
        <w:t xml:space="preserve">(1996) </w:t>
      </w:r>
      <w:r w:rsidRPr="00BB7A3A">
        <w:rPr>
          <w:rFonts w:ascii="Times New Roman" w:eastAsia="Times New Roman" w:hAnsi="Times New Roman" w:cs="Times New Roman"/>
          <w:i/>
          <w:sz w:val="20"/>
          <w:szCs w:val="20"/>
          <w:lang w:eastAsia="en-GB"/>
        </w:rPr>
        <w:t>Margin of appreciation doctrine in the dynamics of European human rights jurisprudence</w:t>
      </w:r>
      <w:r w:rsidRPr="00BB7A3A">
        <w:rPr>
          <w:rFonts w:ascii="Times New Roman" w:eastAsia="Times New Roman" w:hAnsi="Times New Roman" w:cs="Times New Roman"/>
          <w:sz w:val="20"/>
          <w:szCs w:val="20"/>
          <w:lang w:eastAsia="en-GB"/>
        </w:rPr>
        <w:t xml:space="preserve">. Brill, Netherlands. </w:t>
      </w:r>
    </w:p>
    <w:p w:rsidR="00783683" w:rsidRPr="00BB7A3A" w:rsidRDefault="00783683" w:rsidP="00783683">
      <w:pPr>
        <w:spacing w:after="0" w:line="480" w:lineRule="auto"/>
        <w:jc w:val="both"/>
        <w:rPr>
          <w:rFonts w:ascii="Times New Roman" w:eastAsia="Times New Roman" w:hAnsi="Times New Roman" w:cs="Times New Roman"/>
          <w:sz w:val="20"/>
          <w:szCs w:val="20"/>
          <w:lang w:eastAsia="en-GB"/>
        </w:rPr>
      </w:pPr>
    </w:p>
    <w:p w:rsidR="00783683" w:rsidRPr="00BB7A3A" w:rsidRDefault="00783683" w:rsidP="00783683">
      <w:pPr>
        <w:spacing w:after="0" w:line="240" w:lineRule="auto"/>
        <w:rPr>
          <w:rFonts w:ascii="Times New Roman" w:eastAsia="Times New Roman" w:hAnsi="Times New Roman" w:cs="Times New Roman"/>
          <w:sz w:val="20"/>
          <w:szCs w:val="20"/>
          <w:lang w:eastAsia="en-GB"/>
        </w:rPr>
      </w:pPr>
    </w:p>
    <w:p w:rsidR="00783683" w:rsidRDefault="00783683" w:rsidP="0078368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683" w:rsidRDefault="00783683" w:rsidP="00783683">
      <w:pPr>
        <w:spacing w:after="0" w:line="240" w:lineRule="auto"/>
      </w:pPr>
      <w:r>
        <w:separator/>
      </w:r>
    </w:p>
  </w:footnote>
  <w:footnote w:type="continuationSeparator" w:id="0">
    <w:p w:rsidR="00783683" w:rsidRDefault="00783683" w:rsidP="00783683">
      <w:pPr>
        <w:spacing w:after="0" w:line="240" w:lineRule="auto"/>
      </w:pPr>
      <w:r>
        <w:continuationSeparator/>
      </w:r>
    </w:p>
  </w:footnote>
  <w:footnote w:id="1">
    <w:p w:rsidR="00783683" w:rsidRDefault="00783683" w:rsidP="00783683">
      <w:pPr>
        <w:pStyle w:val="FootnoteText"/>
      </w:pPr>
      <w:r>
        <w:rPr>
          <w:rStyle w:val="FootnoteReference"/>
        </w:rPr>
        <w:footnoteRef/>
      </w:r>
      <w:r>
        <w:t xml:space="preserve"> </w:t>
      </w:r>
      <w:r w:rsidRPr="00BB7A3A">
        <w:t>Frances Hamilton is a Senior Lecturer of Law at Northumbria University. She is a qualified solicitor and has an LLM from Trinity College Dublin and an MA in Law from Cambridge University. Her contact address is the Faculty of Business and Law, City Campus East, Northumbria University, NE1 8ST.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83"/>
    <w:rsid w:val="00435F11"/>
    <w:rsid w:val="00454A21"/>
    <w:rsid w:val="00783683"/>
    <w:rsid w:val="00D51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4D83-B543-44E5-9DEF-43D17533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83683"/>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783683"/>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783683"/>
    <w:rPr>
      <w:vertAlign w:val="superscript"/>
    </w:rPr>
  </w:style>
  <w:style w:type="character" w:styleId="Hyperlink">
    <w:name w:val="Hyperlink"/>
    <w:basedOn w:val="DefaultParagraphFont"/>
    <w:uiPriority w:val="99"/>
    <w:unhideWhenUsed/>
    <w:rsid w:val="00783683"/>
    <w:rPr>
      <w:color w:val="0000FF"/>
      <w:u w:val="single"/>
    </w:rPr>
  </w:style>
  <w:style w:type="paragraph" w:customStyle="1" w:styleId="s32b251d">
    <w:name w:val="s32b251d"/>
    <w:basedOn w:val="Normal"/>
    <w:rsid w:val="007836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8d990e2">
    <w:name w:val="sb8d990e2"/>
    <w:basedOn w:val="DefaultParagraphFont"/>
    <w:rsid w:val="00783683"/>
  </w:style>
  <w:style w:type="paragraph" w:styleId="EndnoteText">
    <w:name w:val="endnote text"/>
    <w:basedOn w:val="Normal"/>
    <w:link w:val="EndnoteTextChar"/>
    <w:uiPriority w:val="99"/>
    <w:unhideWhenUsed/>
    <w:rsid w:val="00783683"/>
    <w:pPr>
      <w:spacing w:after="0" w:line="240" w:lineRule="auto"/>
    </w:pPr>
    <w:rPr>
      <w:sz w:val="20"/>
      <w:szCs w:val="20"/>
    </w:rPr>
  </w:style>
  <w:style w:type="character" w:customStyle="1" w:styleId="EndnoteTextChar">
    <w:name w:val="Endnote Text Char"/>
    <w:basedOn w:val="DefaultParagraphFont"/>
    <w:link w:val="EndnoteText"/>
    <w:uiPriority w:val="99"/>
    <w:rsid w:val="00783683"/>
    <w:rPr>
      <w:sz w:val="20"/>
      <w:szCs w:val="20"/>
    </w:rPr>
  </w:style>
  <w:style w:type="character" w:styleId="EndnoteReference">
    <w:name w:val="endnote reference"/>
    <w:basedOn w:val="DefaultParagraphFont"/>
    <w:uiPriority w:val="99"/>
    <w:semiHidden/>
    <w:unhideWhenUsed/>
    <w:rsid w:val="00783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rac.org/news/030304.html" TargetMode="External"/><Relationship Id="rId2" Type="http://schemas.openxmlformats.org/officeDocument/2006/relationships/hyperlink" Target="http://definitions.uslegal.com/l/lex-specialis/" TargetMode="External"/><Relationship Id="rId1" Type="http://schemas.openxmlformats.org/officeDocument/2006/relationships/hyperlink" Target="http://www.yogyakartaprinciples.org/" TargetMode="External"/><Relationship Id="rId5" Type="http://schemas.openxmlformats.org/officeDocument/2006/relationships/hyperlink" Target="http://www.equality-network.org/wp-content/uploads/2013/08/Equal-Marriage-Report-26.1.11.pdf" TargetMode="External"/><Relationship Id="rId4" Type="http://schemas.openxmlformats.org/officeDocument/2006/relationships/hyperlink" Target="http://www.echr.coe.int/LibraryDocs/DG2/HRHAND/DG2-EN-HRHAND-07(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C115-1819-4D27-873F-87C908AB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6321</Words>
  <Characters>36032</Characters>
  <Application>Microsoft Office Word</Application>
  <DocSecurity>0</DocSecurity>
  <Lines>300</Lines>
  <Paragraphs>84</Paragraphs>
  <ScaleCrop>false</ScaleCrop>
  <Company>Northumbria University at Newcastle</Company>
  <LinksUpToDate>false</LinksUpToDate>
  <CharactersWithSpaces>42269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Hamilton</dc:creator>
  <cp:keywords/>
  <dc:description/>
  <cp:lastModifiedBy>Frances Hamilton</cp:lastModifiedBy>
  <cp:revision>1</cp:revision>
  <dcterms:created xsi:type="dcterms:W3CDTF">2016-11-07T09:33:00Z</dcterms:created>
  <dcterms:modified xsi:type="dcterms:W3CDTF">2016-11-07T09:34:00Z</dcterms:modified>
</cp:coreProperties>
</file>